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2709" w14:textId="77777777" w:rsidR="00715914" w:rsidRPr="005F1388" w:rsidRDefault="00DA186E" w:rsidP="00715914">
      <w:pPr>
        <w:rPr>
          <w:sz w:val="28"/>
        </w:rPr>
      </w:pPr>
      <w:r>
        <w:rPr>
          <w:noProof/>
          <w:lang w:eastAsia="en-AU"/>
        </w:rPr>
        <w:drawing>
          <wp:inline distT="0" distB="0" distL="0" distR="0" wp14:anchorId="32B60439" wp14:editId="0BCCD99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1FF471B" w14:textId="77777777" w:rsidR="00715914" w:rsidRPr="00E500D4" w:rsidRDefault="00715914" w:rsidP="00715914">
      <w:pPr>
        <w:rPr>
          <w:sz w:val="19"/>
        </w:rPr>
      </w:pPr>
    </w:p>
    <w:p w14:paraId="4957B18C" w14:textId="77777777" w:rsidR="00554826" w:rsidRPr="00E500D4" w:rsidRDefault="00424F6A" w:rsidP="00554826">
      <w:pPr>
        <w:pStyle w:val="ShortT"/>
      </w:pPr>
      <w:r>
        <w:t>National Reconstruction Fund Corporation (Investment Mandate) Direction 2023</w:t>
      </w:r>
    </w:p>
    <w:p w14:paraId="4443206D" w14:textId="77777777" w:rsidR="00554826" w:rsidRPr="00DA182D" w:rsidRDefault="00424F6A" w:rsidP="00554826">
      <w:pPr>
        <w:pStyle w:val="SignCoverPageStart"/>
        <w:spacing w:before="240"/>
        <w:ind w:right="91"/>
        <w:rPr>
          <w:szCs w:val="22"/>
        </w:rPr>
      </w:pPr>
      <w:r>
        <w:rPr>
          <w:szCs w:val="22"/>
        </w:rPr>
        <w:t>We</w:t>
      </w:r>
      <w:r w:rsidR="00554826" w:rsidRPr="00DA182D">
        <w:rPr>
          <w:szCs w:val="22"/>
        </w:rPr>
        <w:t xml:space="preserve">, </w:t>
      </w:r>
      <w:r>
        <w:rPr>
          <w:szCs w:val="22"/>
        </w:rPr>
        <w:t>Ed Husic, Minister for Industry and Science</w:t>
      </w:r>
      <w:r w:rsidR="000E5DD4">
        <w:rPr>
          <w:szCs w:val="22"/>
        </w:rPr>
        <w:t>,</w:t>
      </w:r>
      <w:r>
        <w:rPr>
          <w:szCs w:val="22"/>
        </w:rPr>
        <w:t xml:space="preserve"> and Katy Gallagher, Minister for Finance</w:t>
      </w:r>
      <w:r w:rsidR="00554826" w:rsidRPr="00DA182D">
        <w:rPr>
          <w:szCs w:val="22"/>
        </w:rPr>
        <w:t xml:space="preserve">, </w:t>
      </w:r>
      <w:r w:rsidR="00554826">
        <w:rPr>
          <w:szCs w:val="22"/>
        </w:rPr>
        <w:t xml:space="preserve">make the following </w:t>
      </w:r>
      <w:r>
        <w:rPr>
          <w:szCs w:val="22"/>
        </w:rPr>
        <w:t>direction</w:t>
      </w:r>
      <w:r w:rsidR="00554826" w:rsidRPr="00DA182D">
        <w:rPr>
          <w:szCs w:val="22"/>
        </w:rPr>
        <w:t>.</w:t>
      </w:r>
    </w:p>
    <w:p w14:paraId="5E3FC3E5" w14:textId="5C6FE1EE" w:rsidR="00424F6A" w:rsidRPr="00001A63" w:rsidRDefault="00424F6A" w:rsidP="00424F6A">
      <w:pPr>
        <w:keepNext/>
        <w:spacing w:before="300" w:line="240" w:lineRule="atLeast"/>
        <w:ind w:right="397"/>
        <w:jc w:val="both"/>
        <w:rPr>
          <w:szCs w:val="22"/>
        </w:rPr>
      </w:pPr>
      <w:r>
        <w:rPr>
          <w:szCs w:val="22"/>
        </w:rPr>
        <w:t>Dated</w:t>
      </w:r>
      <w:r w:rsidR="00280BBC">
        <w:rPr>
          <w:szCs w:val="22"/>
        </w:rPr>
        <w:t>: 27 November 2023</w:t>
      </w:r>
      <w:r w:rsidRPr="00001A63">
        <w:rPr>
          <w:szCs w:val="22"/>
        </w:rPr>
        <w:tab/>
      </w:r>
      <w:r w:rsidRPr="00001A63">
        <w:rPr>
          <w:szCs w:val="22"/>
        </w:rPr>
        <w:tab/>
      </w:r>
      <w:r>
        <w:rPr>
          <w:szCs w:val="22"/>
        </w:rPr>
        <w:tab/>
      </w:r>
      <w:r w:rsidRPr="00001A63">
        <w:rPr>
          <w:szCs w:val="22"/>
        </w:rPr>
        <w:tab/>
      </w:r>
    </w:p>
    <w:p w14:paraId="4F4B2146" w14:textId="519FED91" w:rsidR="00424F6A" w:rsidRPr="00424F6A" w:rsidRDefault="00424F6A" w:rsidP="00424F6A">
      <w:pPr>
        <w:keepNext/>
        <w:tabs>
          <w:tab w:val="left" w:pos="3402"/>
        </w:tabs>
        <w:spacing w:before="1440" w:line="300" w:lineRule="atLeast"/>
        <w:ind w:right="397"/>
        <w:rPr>
          <w:b/>
          <w:szCs w:val="22"/>
        </w:rPr>
      </w:pPr>
      <w:r w:rsidRPr="00424F6A">
        <w:rPr>
          <w:szCs w:val="22"/>
        </w:rPr>
        <w:t xml:space="preserve">Ed Husic </w:t>
      </w:r>
    </w:p>
    <w:p w14:paraId="104868A7" w14:textId="77777777" w:rsidR="00424F6A" w:rsidRPr="00424F6A" w:rsidRDefault="00424F6A" w:rsidP="00424F6A">
      <w:pPr>
        <w:pStyle w:val="SignCoverPageEnd"/>
        <w:ind w:right="91"/>
        <w:rPr>
          <w:sz w:val="22"/>
        </w:rPr>
      </w:pPr>
      <w:r w:rsidRPr="00424F6A">
        <w:rPr>
          <w:sz w:val="22"/>
        </w:rPr>
        <w:t>Minister for Industry and Science</w:t>
      </w:r>
    </w:p>
    <w:p w14:paraId="44E38990" w14:textId="77777777" w:rsidR="00424F6A" w:rsidRDefault="00424F6A" w:rsidP="00554826">
      <w:pPr>
        <w:keepNext/>
        <w:spacing w:before="300" w:line="240" w:lineRule="atLeast"/>
        <w:ind w:right="397"/>
        <w:jc w:val="both"/>
        <w:rPr>
          <w:szCs w:val="22"/>
        </w:rPr>
      </w:pPr>
    </w:p>
    <w:p w14:paraId="68212A4F" w14:textId="4EEA8D4F" w:rsidR="00554826" w:rsidRPr="00424F6A" w:rsidRDefault="00554826" w:rsidP="00554826">
      <w:pPr>
        <w:keepNext/>
        <w:spacing w:before="300" w:line="240" w:lineRule="atLeast"/>
        <w:ind w:right="397"/>
        <w:jc w:val="both"/>
        <w:rPr>
          <w:szCs w:val="22"/>
        </w:rPr>
      </w:pPr>
      <w:r w:rsidRPr="00424F6A">
        <w:rPr>
          <w:szCs w:val="22"/>
        </w:rPr>
        <w:t>Dated</w:t>
      </w:r>
      <w:r w:rsidR="00280BBC">
        <w:rPr>
          <w:szCs w:val="22"/>
        </w:rPr>
        <w:t>: 27 November 2023</w:t>
      </w:r>
      <w:r w:rsidRPr="00424F6A">
        <w:rPr>
          <w:szCs w:val="22"/>
        </w:rPr>
        <w:tab/>
      </w:r>
      <w:r w:rsidRPr="00424F6A">
        <w:rPr>
          <w:szCs w:val="22"/>
        </w:rPr>
        <w:tab/>
      </w:r>
      <w:r w:rsidRPr="00424F6A">
        <w:rPr>
          <w:szCs w:val="22"/>
        </w:rPr>
        <w:tab/>
      </w:r>
      <w:r w:rsidRPr="00424F6A">
        <w:rPr>
          <w:szCs w:val="22"/>
        </w:rPr>
        <w:tab/>
      </w:r>
    </w:p>
    <w:p w14:paraId="5B610019" w14:textId="6CD14566" w:rsidR="00554826" w:rsidRPr="00424F6A" w:rsidRDefault="00424F6A" w:rsidP="00554826">
      <w:pPr>
        <w:keepNext/>
        <w:tabs>
          <w:tab w:val="left" w:pos="3402"/>
        </w:tabs>
        <w:spacing w:before="1440" w:line="300" w:lineRule="atLeast"/>
        <w:ind w:right="397"/>
        <w:rPr>
          <w:b/>
          <w:szCs w:val="22"/>
        </w:rPr>
      </w:pPr>
      <w:r w:rsidRPr="00424F6A">
        <w:rPr>
          <w:szCs w:val="22"/>
        </w:rPr>
        <w:t>Katy Gallagher</w:t>
      </w:r>
      <w:r w:rsidR="00554826" w:rsidRPr="00424F6A">
        <w:rPr>
          <w:szCs w:val="22"/>
        </w:rPr>
        <w:t xml:space="preserve"> </w:t>
      </w:r>
    </w:p>
    <w:p w14:paraId="334DB266" w14:textId="77777777" w:rsidR="00554826" w:rsidRPr="008E0027" w:rsidRDefault="00424F6A" w:rsidP="00554826">
      <w:pPr>
        <w:pStyle w:val="SignCoverPageEnd"/>
        <w:ind w:right="91"/>
        <w:rPr>
          <w:sz w:val="22"/>
        </w:rPr>
      </w:pPr>
      <w:r w:rsidRPr="00424F6A">
        <w:rPr>
          <w:sz w:val="22"/>
        </w:rPr>
        <w:t>Minister for Finance</w:t>
      </w:r>
    </w:p>
    <w:p w14:paraId="46C1BB6F" w14:textId="77777777" w:rsidR="00554826" w:rsidRDefault="00554826" w:rsidP="00554826"/>
    <w:p w14:paraId="11407D00" w14:textId="77777777" w:rsidR="00554826" w:rsidRPr="00ED79B6" w:rsidRDefault="00554826" w:rsidP="00554826"/>
    <w:p w14:paraId="6296A082" w14:textId="77777777" w:rsidR="009A65E1" w:rsidRDefault="009A65E1" w:rsidP="009A65E1">
      <w:pPr>
        <w:pStyle w:val="notedraft"/>
        <w:sectPr w:rsidR="009A65E1" w:rsidSect="00F6696E">
          <w:headerReference w:type="even" r:id="rId13"/>
          <w:headerReference w:type="default" r:id="rId14"/>
          <w:footerReference w:type="even" r:id="rId15"/>
          <w:footerReference w:type="default" r:id="rId16"/>
          <w:footerReference w:type="first" r:id="rId17"/>
          <w:type w:val="continuous"/>
          <w:pgSz w:w="11907" w:h="16839" w:code="9"/>
          <w:pgMar w:top="2234" w:right="1797" w:bottom="1440" w:left="1797" w:header="720" w:footer="989" w:gutter="0"/>
          <w:pgNumType w:start="1"/>
          <w:cols w:space="708"/>
          <w:titlePg/>
          <w:docGrid w:linePitch="360"/>
        </w:sectPr>
      </w:pPr>
    </w:p>
    <w:p w14:paraId="4798944F" w14:textId="77777777" w:rsidR="007500C8" w:rsidRDefault="00715914" w:rsidP="00715914">
      <w:pPr>
        <w:outlineLvl w:val="0"/>
        <w:rPr>
          <w:sz w:val="36"/>
        </w:rPr>
      </w:pPr>
      <w:r w:rsidRPr="007A1328">
        <w:rPr>
          <w:sz w:val="36"/>
        </w:rPr>
        <w:lastRenderedPageBreak/>
        <w:t>Contents</w:t>
      </w:r>
    </w:p>
    <w:p w14:paraId="4D49D19E" w14:textId="04E19B36" w:rsidR="00083783" w:rsidRDefault="00B418CB">
      <w:pPr>
        <w:pStyle w:val="TOC2"/>
        <w:rPr>
          <w:rFonts w:asciiTheme="minorHAnsi" w:eastAsiaTheme="minorEastAsia" w:hAnsiTheme="minorHAnsi" w:cstheme="minorBidi"/>
          <w:b w:val="0"/>
          <w:noProof/>
          <w:kern w:val="0"/>
          <w:sz w:val="22"/>
          <w:szCs w:val="22"/>
        </w:rPr>
      </w:pPr>
      <w:r>
        <w:rPr>
          <w:sz w:val="18"/>
        </w:rPr>
        <w:fldChar w:fldCharType="begin"/>
      </w:r>
      <w:r>
        <w:instrText xml:space="preserve"> TOC \o "1-9" </w:instrText>
      </w:r>
      <w:r>
        <w:rPr>
          <w:sz w:val="18"/>
        </w:rPr>
        <w:fldChar w:fldCharType="separate"/>
      </w:r>
      <w:r w:rsidR="00083783">
        <w:rPr>
          <w:noProof/>
        </w:rPr>
        <w:t>Part 1—Preliminary</w:t>
      </w:r>
      <w:r w:rsidR="00083783">
        <w:rPr>
          <w:noProof/>
        </w:rPr>
        <w:tab/>
      </w:r>
      <w:r w:rsidR="00083783">
        <w:rPr>
          <w:noProof/>
        </w:rPr>
        <w:fldChar w:fldCharType="begin"/>
      </w:r>
      <w:r w:rsidR="00083783">
        <w:rPr>
          <w:noProof/>
        </w:rPr>
        <w:instrText xml:space="preserve"> PAGEREF _Toc151394331 \h </w:instrText>
      </w:r>
      <w:r w:rsidR="00083783">
        <w:rPr>
          <w:noProof/>
        </w:rPr>
      </w:r>
      <w:r w:rsidR="00083783">
        <w:rPr>
          <w:noProof/>
        </w:rPr>
        <w:fldChar w:fldCharType="separate"/>
      </w:r>
      <w:r w:rsidR="008D7362">
        <w:rPr>
          <w:noProof/>
        </w:rPr>
        <w:t>1</w:t>
      </w:r>
      <w:r w:rsidR="00083783">
        <w:rPr>
          <w:noProof/>
        </w:rPr>
        <w:fldChar w:fldCharType="end"/>
      </w:r>
    </w:p>
    <w:p w14:paraId="23FB7A4F" w14:textId="13432605" w:rsidR="00083783" w:rsidRDefault="00083783">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_Toc151394332 \h </w:instrText>
      </w:r>
      <w:r>
        <w:rPr>
          <w:noProof/>
        </w:rPr>
      </w:r>
      <w:r>
        <w:rPr>
          <w:noProof/>
        </w:rPr>
        <w:fldChar w:fldCharType="separate"/>
      </w:r>
      <w:r w:rsidR="008D7362">
        <w:rPr>
          <w:noProof/>
        </w:rPr>
        <w:t>1</w:t>
      </w:r>
      <w:r>
        <w:rPr>
          <w:noProof/>
        </w:rPr>
        <w:fldChar w:fldCharType="end"/>
      </w:r>
    </w:p>
    <w:p w14:paraId="018FEF5C" w14:textId="7D26B125" w:rsidR="00083783" w:rsidRDefault="0008378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_Toc151394333 \h </w:instrText>
      </w:r>
      <w:r>
        <w:rPr>
          <w:noProof/>
        </w:rPr>
      </w:r>
      <w:r>
        <w:rPr>
          <w:noProof/>
        </w:rPr>
        <w:fldChar w:fldCharType="separate"/>
      </w:r>
      <w:r w:rsidR="008D7362">
        <w:rPr>
          <w:noProof/>
        </w:rPr>
        <w:t>1</w:t>
      </w:r>
      <w:r>
        <w:rPr>
          <w:noProof/>
        </w:rPr>
        <w:fldChar w:fldCharType="end"/>
      </w:r>
    </w:p>
    <w:p w14:paraId="09DE5AEA" w14:textId="1324F40A" w:rsidR="00083783" w:rsidRDefault="0008378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_Toc151394334 \h </w:instrText>
      </w:r>
      <w:r>
        <w:rPr>
          <w:noProof/>
        </w:rPr>
      </w:r>
      <w:r>
        <w:rPr>
          <w:noProof/>
        </w:rPr>
        <w:fldChar w:fldCharType="separate"/>
      </w:r>
      <w:r w:rsidR="008D7362">
        <w:rPr>
          <w:noProof/>
        </w:rPr>
        <w:t>1</w:t>
      </w:r>
      <w:r>
        <w:rPr>
          <w:noProof/>
        </w:rPr>
        <w:fldChar w:fldCharType="end"/>
      </w:r>
    </w:p>
    <w:p w14:paraId="32528938" w14:textId="6A939512" w:rsidR="00083783" w:rsidRDefault="00083783">
      <w:pPr>
        <w:pStyle w:val="TOC5"/>
        <w:rPr>
          <w:rFonts w:asciiTheme="minorHAnsi" w:eastAsiaTheme="minorEastAsia" w:hAnsiTheme="minorHAnsi" w:cstheme="minorBidi"/>
          <w:noProof/>
          <w:kern w:val="0"/>
          <w:sz w:val="22"/>
          <w:szCs w:val="22"/>
        </w:rPr>
      </w:pPr>
      <w:r>
        <w:rPr>
          <w:noProof/>
        </w:rPr>
        <w:t>4  Object</w:t>
      </w:r>
      <w:r>
        <w:rPr>
          <w:noProof/>
        </w:rPr>
        <w:tab/>
      </w:r>
      <w:r>
        <w:rPr>
          <w:noProof/>
        </w:rPr>
        <w:fldChar w:fldCharType="begin"/>
      </w:r>
      <w:r>
        <w:rPr>
          <w:noProof/>
        </w:rPr>
        <w:instrText xml:space="preserve"> PAGEREF _Toc151394335 \h </w:instrText>
      </w:r>
      <w:r>
        <w:rPr>
          <w:noProof/>
        </w:rPr>
      </w:r>
      <w:r>
        <w:rPr>
          <w:noProof/>
        </w:rPr>
        <w:fldChar w:fldCharType="separate"/>
      </w:r>
      <w:r w:rsidR="008D7362">
        <w:rPr>
          <w:noProof/>
        </w:rPr>
        <w:t>1</w:t>
      </w:r>
      <w:r>
        <w:rPr>
          <w:noProof/>
        </w:rPr>
        <w:fldChar w:fldCharType="end"/>
      </w:r>
    </w:p>
    <w:p w14:paraId="2366EFE4" w14:textId="0E1680A5" w:rsidR="00083783" w:rsidRDefault="00083783">
      <w:pPr>
        <w:pStyle w:val="TOC5"/>
        <w:rPr>
          <w:rFonts w:asciiTheme="minorHAnsi" w:eastAsiaTheme="minorEastAsia" w:hAnsiTheme="minorHAnsi" w:cstheme="minorBidi"/>
          <w:noProof/>
          <w:kern w:val="0"/>
          <w:sz w:val="22"/>
          <w:szCs w:val="22"/>
        </w:rPr>
      </w:pPr>
      <w:r>
        <w:rPr>
          <w:noProof/>
        </w:rPr>
        <w:t>5  Simplified outline of this instrument</w:t>
      </w:r>
      <w:r>
        <w:rPr>
          <w:noProof/>
        </w:rPr>
        <w:tab/>
      </w:r>
      <w:r>
        <w:rPr>
          <w:noProof/>
        </w:rPr>
        <w:fldChar w:fldCharType="begin"/>
      </w:r>
      <w:r>
        <w:rPr>
          <w:noProof/>
        </w:rPr>
        <w:instrText xml:space="preserve"> PAGEREF _Toc151394336 \h </w:instrText>
      </w:r>
      <w:r>
        <w:rPr>
          <w:noProof/>
        </w:rPr>
      </w:r>
      <w:r>
        <w:rPr>
          <w:noProof/>
        </w:rPr>
        <w:fldChar w:fldCharType="separate"/>
      </w:r>
      <w:r w:rsidR="008D7362">
        <w:rPr>
          <w:noProof/>
        </w:rPr>
        <w:t>2</w:t>
      </w:r>
      <w:r>
        <w:rPr>
          <w:noProof/>
        </w:rPr>
        <w:fldChar w:fldCharType="end"/>
      </w:r>
    </w:p>
    <w:p w14:paraId="3F0DC50C" w14:textId="31F414B5" w:rsidR="00083783" w:rsidRDefault="00083783">
      <w:pPr>
        <w:pStyle w:val="TOC5"/>
        <w:rPr>
          <w:rFonts w:asciiTheme="minorHAnsi" w:eastAsiaTheme="minorEastAsia" w:hAnsiTheme="minorHAnsi" w:cstheme="minorBidi"/>
          <w:noProof/>
          <w:kern w:val="0"/>
          <w:sz w:val="22"/>
          <w:szCs w:val="22"/>
        </w:rPr>
      </w:pPr>
      <w:r>
        <w:rPr>
          <w:noProof/>
        </w:rPr>
        <w:t>6  Definitions</w:t>
      </w:r>
      <w:r>
        <w:rPr>
          <w:noProof/>
        </w:rPr>
        <w:tab/>
      </w:r>
      <w:r>
        <w:rPr>
          <w:noProof/>
        </w:rPr>
        <w:fldChar w:fldCharType="begin"/>
      </w:r>
      <w:r>
        <w:rPr>
          <w:noProof/>
        </w:rPr>
        <w:instrText xml:space="preserve"> PAGEREF _Toc151394337 \h </w:instrText>
      </w:r>
      <w:r>
        <w:rPr>
          <w:noProof/>
        </w:rPr>
      </w:r>
      <w:r>
        <w:rPr>
          <w:noProof/>
        </w:rPr>
        <w:fldChar w:fldCharType="separate"/>
      </w:r>
      <w:r w:rsidR="008D7362">
        <w:rPr>
          <w:noProof/>
        </w:rPr>
        <w:t>2</w:t>
      </w:r>
      <w:r>
        <w:rPr>
          <w:noProof/>
        </w:rPr>
        <w:fldChar w:fldCharType="end"/>
      </w:r>
    </w:p>
    <w:p w14:paraId="0E4D3CEF" w14:textId="3EC4A4DE" w:rsidR="00083783" w:rsidRDefault="00083783">
      <w:pPr>
        <w:pStyle w:val="TOC2"/>
        <w:rPr>
          <w:rFonts w:asciiTheme="minorHAnsi" w:eastAsiaTheme="minorEastAsia" w:hAnsiTheme="minorHAnsi" w:cstheme="minorBidi"/>
          <w:b w:val="0"/>
          <w:noProof/>
          <w:kern w:val="0"/>
          <w:sz w:val="22"/>
          <w:szCs w:val="22"/>
        </w:rPr>
      </w:pPr>
      <w:r>
        <w:rPr>
          <w:noProof/>
        </w:rPr>
        <w:t>Part 2—Directions</w:t>
      </w:r>
      <w:r>
        <w:rPr>
          <w:noProof/>
        </w:rPr>
        <w:tab/>
      </w:r>
      <w:r>
        <w:rPr>
          <w:noProof/>
        </w:rPr>
        <w:fldChar w:fldCharType="begin"/>
      </w:r>
      <w:r>
        <w:rPr>
          <w:noProof/>
        </w:rPr>
        <w:instrText xml:space="preserve"> PAGEREF _Toc151394338 \h </w:instrText>
      </w:r>
      <w:r>
        <w:rPr>
          <w:noProof/>
        </w:rPr>
      </w:r>
      <w:r>
        <w:rPr>
          <w:noProof/>
        </w:rPr>
        <w:fldChar w:fldCharType="separate"/>
      </w:r>
      <w:r w:rsidR="008D7362">
        <w:rPr>
          <w:noProof/>
        </w:rPr>
        <w:t>4</w:t>
      </w:r>
      <w:r>
        <w:rPr>
          <w:noProof/>
        </w:rPr>
        <w:fldChar w:fldCharType="end"/>
      </w:r>
    </w:p>
    <w:p w14:paraId="44275745" w14:textId="21B3DAC7" w:rsidR="00083783" w:rsidRDefault="00083783">
      <w:pPr>
        <w:pStyle w:val="TOC5"/>
        <w:rPr>
          <w:rFonts w:asciiTheme="minorHAnsi" w:eastAsiaTheme="minorEastAsia" w:hAnsiTheme="minorHAnsi" w:cstheme="minorBidi"/>
          <w:noProof/>
          <w:kern w:val="0"/>
          <w:sz w:val="22"/>
          <w:szCs w:val="22"/>
        </w:rPr>
      </w:pPr>
      <w:r>
        <w:rPr>
          <w:noProof/>
        </w:rPr>
        <w:t>7  Introduction</w:t>
      </w:r>
      <w:r>
        <w:rPr>
          <w:noProof/>
        </w:rPr>
        <w:tab/>
      </w:r>
      <w:r>
        <w:rPr>
          <w:noProof/>
        </w:rPr>
        <w:fldChar w:fldCharType="begin"/>
      </w:r>
      <w:r>
        <w:rPr>
          <w:noProof/>
        </w:rPr>
        <w:instrText xml:space="preserve"> PAGEREF _Toc151394339 \h </w:instrText>
      </w:r>
      <w:r>
        <w:rPr>
          <w:noProof/>
        </w:rPr>
      </w:r>
      <w:r>
        <w:rPr>
          <w:noProof/>
        </w:rPr>
        <w:fldChar w:fldCharType="separate"/>
      </w:r>
      <w:r w:rsidR="008D7362">
        <w:rPr>
          <w:noProof/>
        </w:rPr>
        <w:t>4</w:t>
      </w:r>
      <w:r>
        <w:rPr>
          <w:noProof/>
        </w:rPr>
        <w:fldChar w:fldCharType="end"/>
      </w:r>
    </w:p>
    <w:p w14:paraId="344BBF9E" w14:textId="312BE814" w:rsidR="00083783" w:rsidRDefault="00083783">
      <w:pPr>
        <w:pStyle w:val="TOC5"/>
        <w:rPr>
          <w:rFonts w:asciiTheme="minorHAnsi" w:eastAsiaTheme="minorEastAsia" w:hAnsiTheme="minorHAnsi" w:cstheme="minorBidi"/>
          <w:noProof/>
          <w:kern w:val="0"/>
          <w:sz w:val="22"/>
          <w:szCs w:val="22"/>
        </w:rPr>
      </w:pPr>
      <w:r>
        <w:rPr>
          <w:noProof/>
        </w:rPr>
        <w:t>8  Portfolio benchmark return</w:t>
      </w:r>
      <w:r>
        <w:rPr>
          <w:noProof/>
        </w:rPr>
        <w:tab/>
      </w:r>
      <w:r>
        <w:rPr>
          <w:noProof/>
        </w:rPr>
        <w:fldChar w:fldCharType="begin"/>
      </w:r>
      <w:r>
        <w:rPr>
          <w:noProof/>
        </w:rPr>
        <w:instrText xml:space="preserve"> PAGEREF _Toc151394340 \h </w:instrText>
      </w:r>
      <w:r>
        <w:rPr>
          <w:noProof/>
        </w:rPr>
      </w:r>
      <w:r>
        <w:rPr>
          <w:noProof/>
        </w:rPr>
        <w:fldChar w:fldCharType="separate"/>
      </w:r>
      <w:r w:rsidR="008D7362">
        <w:rPr>
          <w:noProof/>
        </w:rPr>
        <w:t>4</w:t>
      </w:r>
      <w:r>
        <w:rPr>
          <w:noProof/>
        </w:rPr>
        <w:fldChar w:fldCharType="end"/>
      </w:r>
    </w:p>
    <w:p w14:paraId="5902EA29" w14:textId="679BDC8C" w:rsidR="00083783" w:rsidRDefault="00083783">
      <w:pPr>
        <w:pStyle w:val="TOC5"/>
        <w:rPr>
          <w:rFonts w:asciiTheme="minorHAnsi" w:eastAsiaTheme="minorEastAsia" w:hAnsiTheme="minorHAnsi" w:cstheme="minorBidi"/>
          <w:noProof/>
          <w:kern w:val="0"/>
          <w:sz w:val="22"/>
          <w:szCs w:val="22"/>
        </w:rPr>
      </w:pPr>
      <w:r>
        <w:rPr>
          <w:noProof/>
        </w:rPr>
        <w:t>9  Portfolio risk</w:t>
      </w:r>
      <w:r>
        <w:rPr>
          <w:noProof/>
        </w:rPr>
        <w:tab/>
      </w:r>
      <w:r>
        <w:rPr>
          <w:noProof/>
        </w:rPr>
        <w:fldChar w:fldCharType="begin"/>
      </w:r>
      <w:r>
        <w:rPr>
          <w:noProof/>
        </w:rPr>
        <w:instrText xml:space="preserve"> PAGEREF _Toc151394341 \h </w:instrText>
      </w:r>
      <w:r>
        <w:rPr>
          <w:noProof/>
        </w:rPr>
      </w:r>
      <w:r>
        <w:rPr>
          <w:noProof/>
        </w:rPr>
        <w:fldChar w:fldCharType="separate"/>
      </w:r>
      <w:r w:rsidR="008D7362">
        <w:rPr>
          <w:noProof/>
        </w:rPr>
        <w:t>4</w:t>
      </w:r>
      <w:r>
        <w:rPr>
          <w:noProof/>
        </w:rPr>
        <w:fldChar w:fldCharType="end"/>
      </w:r>
    </w:p>
    <w:p w14:paraId="5FDE17F6" w14:textId="0ECBB5A1" w:rsidR="00083783" w:rsidRDefault="00083783">
      <w:pPr>
        <w:pStyle w:val="TOC5"/>
        <w:rPr>
          <w:rFonts w:asciiTheme="minorHAnsi" w:eastAsiaTheme="minorEastAsia" w:hAnsiTheme="minorHAnsi" w:cstheme="minorBidi"/>
          <w:noProof/>
          <w:kern w:val="0"/>
          <w:sz w:val="22"/>
          <w:szCs w:val="22"/>
        </w:rPr>
      </w:pPr>
      <w:r>
        <w:rPr>
          <w:noProof/>
        </w:rPr>
        <w:t>10  Investment considerations</w:t>
      </w:r>
      <w:r>
        <w:rPr>
          <w:noProof/>
        </w:rPr>
        <w:tab/>
      </w:r>
      <w:r>
        <w:rPr>
          <w:noProof/>
        </w:rPr>
        <w:fldChar w:fldCharType="begin"/>
      </w:r>
      <w:r>
        <w:rPr>
          <w:noProof/>
        </w:rPr>
        <w:instrText xml:space="preserve"> PAGEREF _Toc151394342 \h </w:instrText>
      </w:r>
      <w:r>
        <w:rPr>
          <w:noProof/>
        </w:rPr>
      </w:r>
      <w:r>
        <w:rPr>
          <w:noProof/>
        </w:rPr>
        <w:fldChar w:fldCharType="separate"/>
      </w:r>
      <w:r w:rsidR="008D7362">
        <w:rPr>
          <w:noProof/>
        </w:rPr>
        <w:t>4</w:t>
      </w:r>
      <w:r>
        <w:rPr>
          <w:noProof/>
        </w:rPr>
        <w:fldChar w:fldCharType="end"/>
      </w:r>
    </w:p>
    <w:p w14:paraId="664A15E0" w14:textId="7BCFE0E6" w:rsidR="00083783" w:rsidRDefault="00083783">
      <w:pPr>
        <w:pStyle w:val="TOC5"/>
        <w:rPr>
          <w:rFonts w:asciiTheme="minorHAnsi" w:eastAsiaTheme="minorEastAsia" w:hAnsiTheme="minorHAnsi" w:cstheme="minorBidi"/>
          <w:noProof/>
          <w:kern w:val="0"/>
          <w:sz w:val="22"/>
          <w:szCs w:val="22"/>
        </w:rPr>
      </w:pPr>
      <w:r>
        <w:rPr>
          <w:noProof/>
        </w:rPr>
        <w:t>11  Corporation must take medium</w:t>
      </w:r>
      <w:r>
        <w:rPr>
          <w:noProof/>
        </w:rPr>
        <w:noBreakHyphen/>
        <w:t xml:space="preserve"> to long</w:t>
      </w:r>
      <w:r>
        <w:rPr>
          <w:noProof/>
        </w:rPr>
        <w:noBreakHyphen/>
        <w:t>term outlook</w:t>
      </w:r>
      <w:r>
        <w:rPr>
          <w:noProof/>
        </w:rPr>
        <w:tab/>
      </w:r>
      <w:r>
        <w:rPr>
          <w:noProof/>
        </w:rPr>
        <w:fldChar w:fldCharType="begin"/>
      </w:r>
      <w:r>
        <w:rPr>
          <w:noProof/>
        </w:rPr>
        <w:instrText xml:space="preserve"> PAGEREF _Toc151394343 \h </w:instrText>
      </w:r>
      <w:r>
        <w:rPr>
          <w:noProof/>
        </w:rPr>
      </w:r>
      <w:r>
        <w:rPr>
          <w:noProof/>
        </w:rPr>
        <w:fldChar w:fldCharType="separate"/>
      </w:r>
      <w:r w:rsidR="008D7362">
        <w:rPr>
          <w:noProof/>
        </w:rPr>
        <w:t>5</w:t>
      </w:r>
      <w:r>
        <w:rPr>
          <w:noProof/>
        </w:rPr>
        <w:fldChar w:fldCharType="end"/>
      </w:r>
    </w:p>
    <w:p w14:paraId="43362697" w14:textId="56EAF0BD" w:rsidR="00083783" w:rsidRDefault="00083783">
      <w:pPr>
        <w:pStyle w:val="TOC5"/>
        <w:rPr>
          <w:rFonts w:asciiTheme="minorHAnsi" w:eastAsiaTheme="minorEastAsia" w:hAnsiTheme="minorHAnsi" w:cstheme="minorBidi"/>
          <w:noProof/>
          <w:kern w:val="0"/>
          <w:sz w:val="22"/>
          <w:szCs w:val="22"/>
        </w:rPr>
      </w:pPr>
      <w:r>
        <w:rPr>
          <w:noProof/>
        </w:rPr>
        <w:t>12  Corporation must consider impacts of Corporation’s investment practices</w:t>
      </w:r>
      <w:r>
        <w:rPr>
          <w:noProof/>
        </w:rPr>
        <w:tab/>
      </w:r>
      <w:r>
        <w:rPr>
          <w:noProof/>
        </w:rPr>
        <w:fldChar w:fldCharType="begin"/>
      </w:r>
      <w:r>
        <w:rPr>
          <w:noProof/>
        </w:rPr>
        <w:instrText xml:space="preserve"> PAGEREF _Toc151394344 \h </w:instrText>
      </w:r>
      <w:r>
        <w:rPr>
          <w:noProof/>
        </w:rPr>
      </w:r>
      <w:r>
        <w:rPr>
          <w:noProof/>
        </w:rPr>
        <w:fldChar w:fldCharType="separate"/>
      </w:r>
      <w:r w:rsidR="008D7362">
        <w:rPr>
          <w:noProof/>
        </w:rPr>
        <w:t>5</w:t>
      </w:r>
      <w:r>
        <w:rPr>
          <w:noProof/>
        </w:rPr>
        <w:fldChar w:fldCharType="end"/>
      </w:r>
    </w:p>
    <w:p w14:paraId="0F733E22" w14:textId="581262DC" w:rsidR="00083783" w:rsidRDefault="00083783">
      <w:pPr>
        <w:pStyle w:val="TOC5"/>
        <w:rPr>
          <w:rFonts w:asciiTheme="minorHAnsi" w:eastAsiaTheme="minorEastAsia" w:hAnsiTheme="minorHAnsi" w:cstheme="minorBidi"/>
          <w:noProof/>
          <w:kern w:val="0"/>
          <w:sz w:val="22"/>
          <w:szCs w:val="22"/>
        </w:rPr>
      </w:pPr>
      <w:r>
        <w:rPr>
          <w:noProof/>
        </w:rPr>
        <w:t>13  Corporation not to damage Commonwealth’s reputation</w:t>
      </w:r>
      <w:r>
        <w:rPr>
          <w:noProof/>
        </w:rPr>
        <w:tab/>
      </w:r>
      <w:r>
        <w:rPr>
          <w:noProof/>
        </w:rPr>
        <w:fldChar w:fldCharType="begin"/>
      </w:r>
      <w:r>
        <w:rPr>
          <w:noProof/>
        </w:rPr>
        <w:instrText xml:space="preserve"> PAGEREF _Toc151394345 \h </w:instrText>
      </w:r>
      <w:r>
        <w:rPr>
          <w:noProof/>
        </w:rPr>
      </w:r>
      <w:r>
        <w:rPr>
          <w:noProof/>
        </w:rPr>
        <w:fldChar w:fldCharType="separate"/>
      </w:r>
      <w:r w:rsidR="008D7362">
        <w:rPr>
          <w:noProof/>
        </w:rPr>
        <w:t>5</w:t>
      </w:r>
      <w:r>
        <w:rPr>
          <w:noProof/>
        </w:rPr>
        <w:fldChar w:fldCharType="end"/>
      </w:r>
    </w:p>
    <w:p w14:paraId="53235892" w14:textId="201398B4" w:rsidR="00083783" w:rsidRDefault="00083783">
      <w:pPr>
        <w:pStyle w:val="TOC5"/>
        <w:rPr>
          <w:rFonts w:asciiTheme="minorHAnsi" w:eastAsiaTheme="minorEastAsia" w:hAnsiTheme="minorHAnsi" w:cstheme="minorBidi"/>
          <w:noProof/>
          <w:kern w:val="0"/>
          <w:sz w:val="22"/>
          <w:szCs w:val="22"/>
        </w:rPr>
      </w:pPr>
      <w:r>
        <w:rPr>
          <w:noProof/>
        </w:rPr>
        <w:t>14  Corporation must collaborate and cooperate</w:t>
      </w:r>
      <w:r>
        <w:rPr>
          <w:noProof/>
        </w:rPr>
        <w:tab/>
      </w:r>
      <w:r>
        <w:rPr>
          <w:noProof/>
        </w:rPr>
        <w:fldChar w:fldCharType="begin"/>
      </w:r>
      <w:r>
        <w:rPr>
          <w:noProof/>
        </w:rPr>
        <w:instrText xml:space="preserve"> PAGEREF _Toc151394346 \h </w:instrText>
      </w:r>
      <w:r>
        <w:rPr>
          <w:noProof/>
        </w:rPr>
      </w:r>
      <w:r>
        <w:rPr>
          <w:noProof/>
        </w:rPr>
        <w:fldChar w:fldCharType="separate"/>
      </w:r>
      <w:r w:rsidR="008D7362">
        <w:rPr>
          <w:noProof/>
        </w:rPr>
        <w:t>5</w:t>
      </w:r>
      <w:r>
        <w:rPr>
          <w:noProof/>
        </w:rPr>
        <w:fldChar w:fldCharType="end"/>
      </w:r>
    </w:p>
    <w:p w14:paraId="0E09B80D" w14:textId="6ADC68C4" w:rsidR="00083783" w:rsidRDefault="00083783">
      <w:pPr>
        <w:pStyle w:val="TOC5"/>
        <w:rPr>
          <w:rFonts w:asciiTheme="minorHAnsi" w:eastAsiaTheme="minorEastAsia" w:hAnsiTheme="minorHAnsi" w:cstheme="minorBidi"/>
          <w:noProof/>
          <w:kern w:val="0"/>
          <w:sz w:val="22"/>
          <w:szCs w:val="22"/>
        </w:rPr>
      </w:pPr>
      <w:r>
        <w:rPr>
          <w:noProof/>
        </w:rPr>
        <w:t>15  Targeted financing levels</w:t>
      </w:r>
      <w:r>
        <w:rPr>
          <w:noProof/>
        </w:rPr>
        <w:tab/>
      </w:r>
      <w:r>
        <w:rPr>
          <w:noProof/>
        </w:rPr>
        <w:fldChar w:fldCharType="begin"/>
      </w:r>
      <w:r>
        <w:rPr>
          <w:noProof/>
        </w:rPr>
        <w:instrText xml:space="preserve"> PAGEREF _Toc151394347 \h </w:instrText>
      </w:r>
      <w:r>
        <w:rPr>
          <w:noProof/>
        </w:rPr>
      </w:r>
      <w:r>
        <w:rPr>
          <w:noProof/>
        </w:rPr>
        <w:fldChar w:fldCharType="separate"/>
      </w:r>
      <w:r w:rsidR="008D7362">
        <w:rPr>
          <w:noProof/>
        </w:rPr>
        <w:t>6</w:t>
      </w:r>
      <w:r>
        <w:rPr>
          <w:noProof/>
        </w:rPr>
        <w:fldChar w:fldCharType="end"/>
      </w:r>
    </w:p>
    <w:p w14:paraId="25E68A7D" w14:textId="79B5E671" w:rsidR="00083783" w:rsidRDefault="00083783">
      <w:pPr>
        <w:pStyle w:val="TOC5"/>
        <w:rPr>
          <w:rFonts w:asciiTheme="minorHAnsi" w:eastAsiaTheme="minorEastAsia" w:hAnsiTheme="minorHAnsi" w:cstheme="minorBidi"/>
          <w:noProof/>
          <w:kern w:val="0"/>
          <w:sz w:val="22"/>
          <w:szCs w:val="22"/>
        </w:rPr>
      </w:pPr>
      <w:r>
        <w:rPr>
          <w:noProof/>
        </w:rPr>
        <w:t>16  Limits on concessional</w:t>
      </w:r>
      <w:r w:rsidRPr="004B0D49">
        <w:rPr>
          <w:i/>
          <w:noProof/>
        </w:rPr>
        <w:t xml:space="preserve"> </w:t>
      </w:r>
      <w:r>
        <w:rPr>
          <w:noProof/>
        </w:rPr>
        <w:t>financial accommodation</w:t>
      </w:r>
      <w:r>
        <w:rPr>
          <w:noProof/>
        </w:rPr>
        <w:tab/>
      </w:r>
      <w:r>
        <w:rPr>
          <w:noProof/>
        </w:rPr>
        <w:fldChar w:fldCharType="begin"/>
      </w:r>
      <w:r>
        <w:rPr>
          <w:noProof/>
        </w:rPr>
        <w:instrText xml:space="preserve"> PAGEREF _Toc151394348 \h </w:instrText>
      </w:r>
      <w:r>
        <w:rPr>
          <w:noProof/>
        </w:rPr>
      </w:r>
      <w:r>
        <w:rPr>
          <w:noProof/>
        </w:rPr>
        <w:fldChar w:fldCharType="separate"/>
      </w:r>
      <w:r w:rsidR="008D7362">
        <w:rPr>
          <w:noProof/>
        </w:rPr>
        <w:t>6</w:t>
      </w:r>
      <w:r>
        <w:rPr>
          <w:noProof/>
        </w:rPr>
        <w:fldChar w:fldCharType="end"/>
      </w:r>
    </w:p>
    <w:p w14:paraId="185BA6FE" w14:textId="59696B4B" w:rsidR="00083783" w:rsidRDefault="00083783">
      <w:pPr>
        <w:pStyle w:val="TOC5"/>
        <w:rPr>
          <w:rFonts w:asciiTheme="minorHAnsi" w:eastAsiaTheme="minorEastAsia" w:hAnsiTheme="minorHAnsi" w:cstheme="minorBidi"/>
          <w:noProof/>
          <w:kern w:val="0"/>
          <w:sz w:val="22"/>
          <w:szCs w:val="22"/>
        </w:rPr>
      </w:pPr>
      <w:r>
        <w:rPr>
          <w:noProof/>
        </w:rPr>
        <w:t>17  Limits on equity investments</w:t>
      </w:r>
      <w:r>
        <w:rPr>
          <w:noProof/>
        </w:rPr>
        <w:tab/>
      </w:r>
      <w:r>
        <w:rPr>
          <w:noProof/>
        </w:rPr>
        <w:fldChar w:fldCharType="begin"/>
      </w:r>
      <w:r>
        <w:rPr>
          <w:noProof/>
        </w:rPr>
        <w:instrText xml:space="preserve"> PAGEREF _Toc151394349 \h </w:instrText>
      </w:r>
      <w:r>
        <w:rPr>
          <w:noProof/>
        </w:rPr>
      </w:r>
      <w:r>
        <w:rPr>
          <w:noProof/>
        </w:rPr>
        <w:fldChar w:fldCharType="separate"/>
      </w:r>
      <w:r w:rsidR="008D7362">
        <w:rPr>
          <w:noProof/>
        </w:rPr>
        <w:t>6</w:t>
      </w:r>
      <w:r>
        <w:rPr>
          <w:noProof/>
        </w:rPr>
        <w:fldChar w:fldCharType="end"/>
      </w:r>
    </w:p>
    <w:p w14:paraId="0F221FFD" w14:textId="67796810" w:rsidR="00083783" w:rsidRDefault="00083783">
      <w:pPr>
        <w:pStyle w:val="TOC5"/>
        <w:rPr>
          <w:rFonts w:asciiTheme="minorHAnsi" w:eastAsiaTheme="minorEastAsia" w:hAnsiTheme="minorHAnsi" w:cstheme="minorBidi"/>
          <w:noProof/>
          <w:kern w:val="0"/>
          <w:sz w:val="22"/>
          <w:szCs w:val="22"/>
        </w:rPr>
      </w:pPr>
      <w:r>
        <w:rPr>
          <w:noProof/>
        </w:rPr>
        <w:t>18  Limits on guarantees</w:t>
      </w:r>
      <w:r>
        <w:rPr>
          <w:noProof/>
        </w:rPr>
        <w:tab/>
      </w:r>
      <w:r>
        <w:rPr>
          <w:noProof/>
        </w:rPr>
        <w:fldChar w:fldCharType="begin"/>
      </w:r>
      <w:r>
        <w:rPr>
          <w:noProof/>
        </w:rPr>
        <w:instrText xml:space="preserve"> PAGEREF _Toc151394350 \h </w:instrText>
      </w:r>
      <w:r>
        <w:rPr>
          <w:noProof/>
        </w:rPr>
      </w:r>
      <w:r>
        <w:rPr>
          <w:noProof/>
        </w:rPr>
        <w:fldChar w:fldCharType="separate"/>
      </w:r>
      <w:r w:rsidR="008D7362">
        <w:rPr>
          <w:noProof/>
        </w:rPr>
        <w:t>7</w:t>
      </w:r>
      <w:r>
        <w:rPr>
          <w:noProof/>
        </w:rPr>
        <w:fldChar w:fldCharType="end"/>
      </w:r>
    </w:p>
    <w:p w14:paraId="2B31EBDA" w14:textId="2BDF3AEF" w:rsidR="00083783" w:rsidRDefault="00083783">
      <w:pPr>
        <w:pStyle w:val="TOC5"/>
        <w:rPr>
          <w:rFonts w:asciiTheme="minorHAnsi" w:eastAsiaTheme="minorEastAsia" w:hAnsiTheme="minorHAnsi" w:cstheme="minorBidi"/>
          <w:noProof/>
          <w:kern w:val="0"/>
          <w:sz w:val="22"/>
          <w:szCs w:val="22"/>
        </w:rPr>
      </w:pPr>
      <w:r>
        <w:rPr>
          <w:noProof/>
        </w:rPr>
        <w:t>19  Australian industry participation</w:t>
      </w:r>
      <w:r>
        <w:rPr>
          <w:noProof/>
        </w:rPr>
        <w:tab/>
      </w:r>
      <w:r>
        <w:rPr>
          <w:noProof/>
        </w:rPr>
        <w:fldChar w:fldCharType="begin"/>
      </w:r>
      <w:r>
        <w:rPr>
          <w:noProof/>
        </w:rPr>
        <w:instrText xml:space="preserve"> PAGEREF _Toc151394351 \h </w:instrText>
      </w:r>
      <w:r>
        <w:rPr>
          <w:noProof/>
        </w:rPr>
      </w:r>
      <w:r>
        <w:rPr>
          <w:noProof/>
        </w:rPr>
        <w:fldChar w:fldCharType="separate"/>
      </w:r>
      <w:r w:rsidR="008D7362">
        <w:rPr>
          <w:noProof/>
        </w:rPr>
        <w:t>7</w:t>
      </w:r>
      <w:r>
        <w:rPr>
          <w:noProof/>
        </w:rPr>
        <w:fldChar w:fldCharType="end"/>
      </w:r>
    </w:p>
    <w:p w14:paraId="21276252" w14:textId="4B45B1D8" w:rsidR="00F6696E" w:rsidRDefault="00B418CB" w:rsidP="00F6696E">
      <w:pPr>
        <w:outlineLvl w:val="0"/>
      </w:pPr>
      <w:r>
        <w:fldChar w:fldCharType="end"/>
      </w:r>
    </w:p>
    <w:p w14:paraId="7EF39503" w14:textId="77777777" w:rsidR="00F6696E" w:rsidRPr="00A802BC" w:rsidRDefault="00F6696E" w:rsidP="00F6696E">
      <w:pPr>
        <w:outlineLvl w:val="0"/>
        <w:rPr>
          <w:sz w:val="20"/>
        </w:rPr>
      </w:pPr>
    </w:p>
    <w:p w14:paraId="61A8A141" w14:textId="77777777" w:rsidR="00F6696E" w:rsidRDefault="00F6696E" w:rsidP="00F6696E">
      <w:pPr>
        <w:sectPr w:rsidR="00F6696E" w:rsidSect="00BC6855">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1D3F1C8C" w14:textId="77777777" w:rsidR="000E5DD4" w:rsidRDefault="000E5DD4" w:rsidP="000E5DD4">
      <w:pPr>
        <w:pStyle w:val="ActHead2"/>
      </w:pPr>
      <w:bookmarkStart w:id="0" w:name="_Toc151394331"/>
      <w:r>
        <w:lastRenderedPageBreak/>
        <w:t>Part 1—Preliminary</w:t>
      </w:r>
      <w:bookmarkEnd w:id="0"/>
    </w:p>
    <w:p w14:paraId="1936E9D9" w14:textId="77777777" w:rsidR="00554826" w:rsidRPr="00554826" w:rsidRDefault="00554826" w:rsidP="00554826">
      <w:pPr>
        <w:pStyle w:val="ActHead5"/>
      </w:pPr>
      <w:bookmarkStart w:id="1" w:name="_Toc151394332"/>
      <w:r w:rsidRPr="00554826">
        <w:t>1  Name</w:t>
      </w:r>
      <w:bookmarkEnd w:id="1"/>
    </w:p>
    <w:p w14:paraId="6AB5EC24" w14:textId="3B2F370B" w:rsidR="00554826" w:rsidRDefault="00554826" w:rsidP="00554826">
      <w:pPr>
        <w:pStyle w:val="subsection"/>
      </w:pPr>
      <w:r w:rsidRPr="009C2562">
        <w:tab/>
      </w:r>
      <w:r w:rsidRPr="009C2562">
        <w:tab/>
        <w:t xml:space="preserve">This </w:t>
      </w:r>
      <w:r>
        <w:t xml:space="preserve">instrument </w:t>
      </w:r>
      <w:r w:rsidRPr="009C2562">
        <w:t xml:space="preserve">is the </w:t>
      </w:r>
      <w:bookmarkStart w:id="2" w:name="BKCheck15B_3"/>
      <w:bookmarkEnd w:id="2"/>
      <w:r w:rsidR="00424F6A" w:rsidRPr="00424F6A">
        <w:rPr>
          <w:i/>
        </w:rPr>
        <w:fldChar w:fldCharType="begin"/>
      </w:r>
      <w:r w:rsidR="00424F6A" w:rsidRPr="00424F6A">
        <w:rPr>
          <w:i/>
        </w:rPr>
        <w:instrText xml:space="preserve"> STYLEREF  ShortT  \* MERGEFORMAT </w:instrText>
      </w:r>
      <w:r w:rsidR="00424F6A" w:rsidRPr="00424F6A">
        <w:rPr>
          <w:i/>
        </w:rPr>
        <w:fldChar w:fldCharType="separate"/>
      </w:r>
      <w:r w:rsidR="008D7362">
        <w:rPr>
          <w:i/>
          <w:noProof/>
        </w:rPr>
        <w:t>National Reconstruction Fund Corporation (Investment Mandate) Direction 2023</w:t>
      </w:r>
      <w:r w:rsidR="00424F6A" w:rsidRPr="00424F6A">
        <w:rPr>
          <w:i/>
        </w:rPr>
        <w:fldChar w:fldCharType="end"/>
      </w:r>
      <w:r w:rsidRPr="009C2562">
        <w:t>.</w:t>
      </w:r>
    </w:p>
    <w:p w14:paraId="56698940" w14:textId="0B1DC695" w:rsidR="000871E6" w:rsidRDefault="000871E6" w:rsidP="00F402C5">
      <w:pPr>
        <w:pStyle w:val="notetext"/>
        <w:rPr>
          <w:snapToGrid w:val="0"/>
        </w:rPr>
      </w:pPr>
      <w:r>
        <w:rPr>
          <w:snapToGrid w:val="0"/>
        </w:rPr>
        <w:t>Note:</w:t>
      </w:r>
      <w:r>
        <w:rPr>
          <w:snapToGrid w:val="0"/>
        </w:rPr>
        <w:tab/>
      </w:r>
      <w:r w:rsidR="007727AD">
        <w:rPr>
          <w:snapToGrid w:val="0"/>
        </w:rPr>
        <w:t>Neither s</w:t>
      </w:r>
      <w:r>
        <w:rPr>
          <w:snapToGrid w:val="0"/>
        </w:rPr>
        <w:t>ection </w:t>
      </w:r>
      <w:bookmarkStart w:id="3" w:name="OLE_LINK9"/>
      <w:bookmarkStart w:id="4" w:name="OLE_LINK10"/>
      <w:bookmarkEnd w:id="3"/>
      <w:r>
        <w:rPr>
          <w:snapToGrid w:val="0"/>
        </w:rPr>
        <w:t xml:space="preserve">42 </w:t>
      </w:r>
      <w:r w:rsidR="007727AD">
        <w:rPr>
          <w:snapToGrid w:val="0"/>
        </w:rPr>
        <w:t xml:space="preserve">nor Part 4 of Chapter 3 </w:t>
      </w:r>
      <w:r>
        <w:rPr>
          <w:snapToGrid w:val="0"/>
        </w:rPr>
        <w:t>of the </w:t>
      </w:r>
      <w:r w:rsidRPr="000871E6">
        <w:rPr>
          <w:i/>
          <w:snapToGrid w:val="0"/>
        </w:rPr>
        <w:t>Legislation Act 2003</w:t>
      </w:r>
      <w:r>
        <w:rPr>
          <w:snapToGrid w:val="0"/>
        </w:rPr>
        <w:t> (which deal with the disallowance of legislative instruments</w:t>
      </w:r>
      <w:r w:rsidR="007727AD">
        <w:rPr>
          <w:snapToGrid w:val="0"/>
        </w:rPr>
        <w:t xml:space="preserve"> and </w:t>
      </w:r>
      <w:r>
        <w:rPr>
          <w:snapToGrid w:val="0"/>
        </w:rPr>
        <w:t xml:space="preserve">the sunsetting of legislative instruments) </w:t>
      </w:r>
      <w:r w:rsidR="007727AD">
        <w:rPr>
          <w:snapToGrid w:val="0"/>
        </w:rPr>
        <w:t xml:space="preserve">applies </w:t>
      </w:r>
      <w:r w:rsidR="00A35E15">
        <w:rPr>
          <w:snapToGrid w:val="0"/>
        </w:rPr>
        <w:t>in relation</w:t>
      </w:r>
      <w:r>
        <w:rPr>
          <w:snapToGrid w:val="0"/>
        </w:rPr>
        <w:t xml:space="preserve"> to this instrument.</w:t>
      </w:r>
      <w:bookmarkEnd w:id="4"/>
    </w:p>
    <w:p w14:paraId="16C674AA" w14:textId="77777777" w:rsidR="00554826" w:rsidRPr="00554826" w:rsidRDefault="00554826" w:rsidP="00554826">
      <w:pPr>
        <w:pStyle w:val="ActHead5"/>
      </w:pPr>
      <w:bookmarkStart w:id="5" w:name="_Toc151394333"/>
      <w:r w:rsidRPr="00554826">
        <w:t>2  Commencement</w:t>
      </w:r>
      <w:bookmarkEnd w:id="5"/>
    </w:p>
    <w:p w14:paraId="5676573A" w14:textId="77777777" w:rsidR="003767E2" w:rsidRPr="003422B4" w:rsidRDefault="003767E2" w:rsidP="003767E2">
      <w:pPr>
        <w:pStyle w:val="subsection"/>
      </w:pPr>
      <w:r w:rsidRPr="003422B4">
        <w:tab/>
        <w:t>(1)</w:t>
      </w:r>
      <w:r w:rsidRPr="003422B4">
        <w:tab/>
        <w:t>Each provision of this instrument specified in column 1 of the table commences, or is taken to have commenced, in accordance with column 2 of the table. Any other statement in column 2 has effect according to its terms.</w:t>
      </w:r>
    </w:p>
    <w:p w14:paraId="14FD3220" w14:textId="77777777" w:rsidR="003767E2" w:rsidRPr="003422B4"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3422B4" w14:paraId="4240C1FE" w14:textId="77777777" w:rsidTr="00BC6855">
        <w:trPr>
          <w:tblHeader/>
        </w:trPr>
        <w:tc>
          <w:tcPr>
            <w:tcW w:w="8364" w:type="dxa"/>
            <w:gridSpan w:val="3"/>
            <w:tcBorders>
              <w:top w:val="single" w:sz="12" w:space="0" w:color="auto"/>
              <w:bottom w:val="single" w:sz="6" w:space="0" w:color="auto"/>
            </w:tcBorders>
            <w:shd w:val="clear" w:color="auto" w:fill="auto"/>
            <w:hideMark/>
          </w:tcPr>
          <w:p w14:paraId="5078B83C" w14:textId="77777777" w:rsidR="003767E2" w:rsidRPr="003422B4" w:rsidRDefault="003767E2" w:rsidP="00BC6855">
            <w:pPr>
              <w:pStyle w:val="TableHeading"/>
            </w:pPr>
            <w:r w:rsidRPr="003422B4">
              <w:t>Commencement information</w:t>
            </w:r>
          </w:p>
        </w:tc>
      </w:tr>
      <w:tr w:rsidR="003767E2" w:rsidRPr="003422B4" w14:paraId="239C652E" w14:textId="77777777" w:rsidTr="00BC6855">
        <w:trPr>
          <w:tblHeader/>
        </w:trPr>
        <w:tc>
          <w:tcPr>
            <w:tcW w:w="2127" w:type="dxa"/>
            <w:tcBorders>
              <w:top w:val="single" w:sz="6" w:space="0" w:color="auto"/>
              <w:bottom w:val="single" w:sz="6" w:space="0" w:color="auto"/>
            </w:tcBorders>
            <w:shd w:val="clear" w:color="auto" w:fill="auto"/>
            <w:hideMark/>
          </w:tcPr>
          <w:p w14:paraId="495F1234" w14:textId="77777777" w:rsidR="003767E2" w:rsidRPr="003422B4" w:rsidRDefault="003767E2" w:rsidP="00BC6855">
            <w:pPr>
              <w:pStyle w:val="TableHeading"/>
            </w:pPr>
            <w:r w:rsidRPr="003422B4">
              <w:t>Column 1</w:t>
            </w:r>
          </w:p>
        </w:tc>
        <w:tc>
          <w:tcPr>
            <w:tcW w:w="4394" w:type="dxa"/>
            <w:tcBorders>
              <w:top w:val="single" w:sz="6" w:space="0" w:color="auto"/>
              <w:bottom w:val="single" w:sz="6" w:space="0" w:color="auto"/>
            </w:tcBorders>
            <w:shd w:val="clear" w:color="auto" w:fill="auto"/>
            <w:hideMark/>
          </w:tcPr>
          <w:p w14:paraId="5F4A2211" w14:textId="77777777" w:rsidR="003767E2" w:rsidRPr="003422B4" w:rsidRDefault="003767E2" w:rsidP="00BC6855">
            <w:pPr>
              <w:pStyle w:val="TableHeading"/>
            </w:pPr>
            <w:r w:rsidRPr="003422B4">
              <w:t>Column 2</w:t>
            </w:r>
          </w:p>
        </w:tc>
        <w:tc>
          <w:tcPr>
            <w:tcW w:w="1843" w:type="dxa"/>
            <w:tcBorders>
              <w:top w:val="single" w:sz="6" w:space="0" w:color="auto"/>
              <w:bottom w:val="single" w:sz="6" w:space="0" w:color="auto"/>
            </w:tcBorders>
            <w:shd w:val="clear" w:color="auto" w:fill="auto"/>
            <w:hideMark/>
          </w:tcPr>
          <w:p w14:paraId="3A09C376" w14:textId="77777777" w:rsidR="003767E2" w:rsidRPr="003422B4" w:rsidRDefault="003767E2" w:rsidP="00BC6855">
            <w:pPr>
              <w:pStyle w:val="TableHeading"/>
            </w:pPr>
            <w:r w:rsidRPr="003422B4">
              <w:t>Column 3</w:t>
            </w:r>
          </w:p>
        </w:tc>
      </w:tr>
      <w:tr w:rsidR="003767E2" w:rsidRPr="003422B4" w14:paraId="4A7DAE67" w14:textId="77777777" w:rsidTr="00BC6855">
        <w:trPr>
          <w:tblHeader/>
        </w:trPr>
        <w:tc>
          <w:tcPr>
            <w:tcW w:w="2127" w:type="dxa"/>
            <w:tcBorders>
              <w:top w:val="single" w:sz="6" w:space="0" w:color="auto"/>
              <w:bottom w:val="single" w:sz="12" w:space="0" w:color="auto"/>
            </w:tcBorders>
            <w:shd w:val="clear" w:color="auto" w:fill="auto"/>
            <w:hideMark/>
          </w:tcPr>
          <w:p w14:paraId="41E24AFC" w14:textId="77777777" w:rsidR="003767E2" w:rsidRPr="003422B4" w:rsidRDefault="003767E2" w:rsidP="00BC6855">
            <w:pPr>
              <w:pStyle w:val="TableHeading"/>
            </w:pPr>
            <w:r w:rsidRPr="003422B4">
              <w:t>Provisions</w:t>
            </w:r>
          </w:p>
        </w:tc>
        <w:tc>
          <w:tcPr>
            <w:tcW w:w="4394" w:type="dxa"/>
            <w:tcBorders>
              <w:top w:val="single" w:sz="6" w:space="0" w:color="auto"/>
              <w:bottom w:val="single" w:sz="12" w:space="0" w:color="auto"/>
            </w:tcBorders>
            <w:shd w:val="clear" w:color="auto" w:fill="auto"/>
            <w:hideMark/>
          </w:tcPr>
          <w:p w14:paraId="21638502" w14:textId="77777777" w:rsidR="003767E2" w:rsidRPr="003422B4" w:rsidRDefault="003767E2" w:rsidP="00BC6855">
            <w:pPr>
              <w:pStyle w:val="TableHeading"/>
            </w:pPr>
            <w:r w:rsidRPr="003422B4">
              <w:t>Commencement</w:t>
            </w:r>
          </w:p>
        </w:tc>
        <w:tc>
          <w:tcPr>
            <w:tcW w:w="1843" w:type="dxa"/>
            <w:tcBorders>
              <w:top w:val="single" w:sz="6" w:space="0" w:color="auto"/>
              <w:bottom w:val="single" w:sz="12" w:space="0" w:color="auto"/>
            </w:tcBorders>
            <w:shd w:val="clear" w:color="auto" w:fill="auto"/>
            <w:hideMark/>
          </w:tcPr>
          <w:p w14:paraId="01F260F1" w14:textId="77777777" w:rsidR="003767E2" w:rsidRPr="003422B4" w:rsidRDefault="003767E2" w:rsidP="00BC6855">
            <w:pPr>
              <w:pStyle w:val="TableHeading"/>
            </w:pPr>
            <w:r w:rsidRPr="003422B4">
              <w:t>Date/Details</w:t>
            </w:r>
          </w:p>
        </w:tc>
      </w:tr>
      <w:tr w:rsidR="003767E2" w:rsidRPr="003422B4" w14:paraId="25FF30EF" w14:textId="77777777" w:rsidTr="00BC6855">
        <w:tc>
          <w:tcPr>
            <w:tcW w:w="2127" w:type="dxa"/>
            <w:tcBorders>
              <w:top w:val="single" w:sz="12" w:space="0" w:color="auto"/>
              <w:bottom w:val="single" w:sz="12" w:space="0" w:color="auto"/>
            </w:tcBorders>
            <w:shd w:val="clear" w:color="auto" w:fill="auto"/>
            <w:hideMark/>
          </w:tcPr>
          <w:p w14:paraId="52988FBE" w14:textId="77777777" w:rsidR="003767E2" w:rsidRPr="00424F6A" w:rsidRDefault="003767E2" w:rsidP="00BC6855">
            <w:pPr>
              <w:pStyle w:val="Tabletext"/>
            </w:pPr>
            <w:r w:rsidRPr="00424F6A">
              <w:t xml:space="preserve">1.  </w:t>
            </w:r>
            <w:r w:rsidR="00424F6A" w:rsidRPr="00424F6A">
              <w:t>The whole of this instrument</w:t>
            </w:r>
          </w:p>
        </w:tc>
        <w:tc>
          <w:tcPr>
            <w:tcW w:w="4394" w:type="dxa"/>
            <w:tcBorders>
              <w:top w:val="single" w:sz="12" w:space="0" w:color="auto"/>
              <w:bottom w:val="single" w:sz="12" w:space="0" w:color="auto"/>
            </w:tcBorders>
            <w:shd w:val="clear" w:color="auto" w:fill="auto"/>
            <w:hideMark/>
          </w:tcPr>
          <w:p w14:paraId="41CF5333" w14:textId="77777777" w:rsidR="003767E2" w:rsidRPr="003A6229" w:rsidRDefault="00BC6855" w:rsidP="00BC6855">
            <w:pPr>
              <w:pStyle w:val="Tabletext"/>
              <w:rPr>
                <w:i/>
              </w:rPr>
            </w:pPr>
            <w:r w:rsidRPr="00BC6855">
              <w:t>The day after this instrument is registered.</w:t>
            </w:r>
          </w:p>
        </w:tc>
        <w:tc>
          <w:tcPr>
            <w:tcW w:w="1843" w:type="dxa"/>
            <w:tcBorders>
              <w:top w:val="single" w:sz="12" w:space="0" w:color="auto"/>
              <w:bottom w:val="single" w:sz="12" w:space="0" w:color="auto"/>
            </w:tcBorders>
            <w:shd w:val="clear" w:color="auto" w:fill="auto"/>
          </w:tcPr>
          <w:p w14:paraId="49B7A9F0" w14:textId="77777777" w:rsidR="003767E2" w:rsidRPr="00B43C50" w:rsidRDefault="003767E2" w:rsidP="00BC6855">
            <w:pPr>
              <w:pStyle w:val="Tabletext"/>
              <w:rPr>
                <w:i/>
              </w:rPr>
            </w:pPr>
          </w:p>
        </w:tc>
      </w:tr>
    </w:tbl>
    <w:p w14:paraId="3AE657EC" w14:textId="77777777" w:rsidR="003767E2" w:rsidRPr="003422B4" w:rsidRDefault="003767E2" w:rsidP="003767E2">
      <w:pPr>
        <w:pStyle w:val="notetext"/>
      </w:pPr>
      <w:r w:rsidRPr="003422B4">
        <w:rPr>
          <w:snapToGrid w:val="0"/>
          <w:lang w:eastAsia="en-US"/>
        </w:rPr>
        <w:t>Note:</w:t>
      </w:r>
      <w:r w:rsidRPr="003422B4">
        <w:rPr>
          <w:snapToGrid w:val="0"/>
          <w:lang w:eastAsia="en-US"/>
        </w:rPr>
        <w:tab/>
        <w:t>This table relates only to the provisions of this instrument</w:t>
      </w:r>
      <w:r w:rsidRPr="003422B4">
        <w:t xml:space="preserve"> </w:t>
      </w:r>
      <w:r w:rsidRPr="003422B4">
        <w:rPr>
          <w:snapToGrid w:val="0"/>
          <w:lang w:eastAsia="en-US"/>
        </w:rPr>
        <w:t>as originally made. It will not be amended to deal with any later amendments of this instrument.</w:t>
      </w:r>
    </w:p>
    <w:p w14:paraId="31C7D45F" w14:textId="77777777" w:rsidR="003767E2" w:rsidRPr="003422B4" w:rsidRDefault="003767E2" w:rsidP="003767E2">
      <w:pPr>
        <w:pStyle w:val="subsection"/>
      </w:pPr>
      <w:r w:rsidRPr="003422B4">
        <w:tab/>
        <w:t>(2)</w:t>
      </w:r>
      <w:r w:rsidRPr="003422B4">
        <w:tab/>
        <w:t>Any information in column 3 of the table is not part of this instrument. Information may be inserted in this column, or information in it may be edited, in any published version of this instrument.</w:t>
      </w:r>
    </w:p>
    <w:p w14:paraId="5A2B1FF8" w14:textId="77777777" w:rsidR="00554826" w:rsidRPr="00554826" w:rsidRDefault="00554826" w:rsidP="00554826">
      <w:pPr>
        <w:pStyle w:val="ActHead5"/>
      </w:pPr>
      <w:bookmarkStart w:id="6" w:name="_Toc151394334"/>
      <w:r w:rsidRPr="00554826">
        <w:t>3  Authority</w:t>
      </w:r>
      <w:bookmarkEnd w:id="6"/>
    </w:p>
    <w:p w14:paraId="437656AB" w14:textId="77777777" w:rsidR="00554826" w:rsidRPr="009C2562" w:rsidRDefault="00554826" w:rsidP="00554826">
      <w:pPr>
        <w:pStyle w:val="subsection"/>
      </w:pPr>
      <w:r w:rsidRPr="009C2562">
        <w:tab/>
      </w:r>
      <w:r w:rsidRPr="009C2562">
        <w:tab/>
        <w:t xml:space="preserve">This instrument is made under </w:t>
      </w:r>
      <w:r w:rsidR="00424F6A">
        <w:t xml:space="preserve">subsection 71(1) of the </w:t>
      </w:r>
      <w:r w:rsidR="00424F6A">
        <w:rPr>
          <w:i/>
        </w:rPr>
        <w:t>National Reconstruction Fund Corporation Act 2023</w:t>
      </w:r>
      <w:r w:rsidRPr="009C2562">
        <w:t>.</w:t>
      </w:r>
    </w:p>
    <w:p w14:paraId="1518E94B" w14:textId="77777777" w:rsidR="00F63F75" w:rsidRPr="00A637D9" w:rsidRDefault="00F63F75" w:rsidP="00F63F75">
      <w:pPr>
        <w:pStyle w:val="ActHead5"/>
      </w:pPr>
      <w:bookmarkStart w:id="7" w:name="_Toc151394335"/>
      <w:r w:rsidRPr="00A637D9">
        <w:t>4  Object</w:t>
      </w:r>
      <w:bookmarkEnd w:id="7"/>
    </w:p>
    <w:p w14:paraId="27D3A019" w14:textId="15704475" w:rsidR="00CA4C76" w:rsidRDefault="00F63F75" w:rsidP="00F63F75">
      <w:pPr>
        <w:pStyle w:val="subsection"/>
      </w:pPr>
      <w:r w:rsidRPr="00F402C5">
        <w:tab/>
      </w:r>
      <w:r w:rsidRPr="00F402C5">
        <w:tab/>
        <w:t>The object of this instrument is to ensure that the Corporation performs the Corporation’s investment functions and exercises the Corporation’s investment powers</w:t>
      </w:r>
      <w:r w:rsidR="00CA4C76">
        <w:t>:</w:t>
      </w:r>
    </w:p>
    <w:p w14:paraId="37C6B3EC" w14:textId="341DD708" w:rsidR="00B01673" w:rsidRDefault="00CA4C76" w:rsidP="00B01673">
      <w:pPr>
        <w:pStyle w:val="paragraph"/>
      </w:pPr>
      <w:r>
        <w:tab/>
        <w:t>(a)</w:t>
      </w:r>
      <w:r>
        <w:tab/>
      </w:r>
      <w:r w:rsidR="0018072B">
        <w:t>in a commercial manner</w:t>
      </w:r>
      <w:r w:rsidR="0052469D">
        <w:t xml:space="preserve"> to deliver a positive return to </w:t>
      </w:r>
      <w:r w:rsidR="00116CE5">
        <w:t xml:space="preserve">the Australian </w:t>
      </w:r>
      <w:r w:rsidR="0052469D">
        <w:t>Government over time</w:t>
      </w:r>
      <w:r>
        <w:t>; and</w:t>
      </w:r>
    </w:p>
    <w:p w14:paraId="6F6BFE49" w14:textId="1CDFA6C3" w:rsidR="00E65872" w:rsidRPr="00F402C5" w:rsidRDefault="00CA4C76" w:rsidP="00B01673">
      <w:pPr>
        <w:pStyle w:val="paragraph"/>
      </w:pPr>
      <w:r>
        <w:tab/>
        <w:t>(b)</w:t>
      </w:r>
      <w:r>
        <w:tab/>
      </w:r>
      <w:r w:rsidR="00F63F75" w:rsidRPr="00F402C5">
        <w:t xml:space="preserve">so as to </w:t>
      </w:r>
      <w:r w:rsidR="00894EB4">
        <w:t xml:space="preserve">invest to support, </w:t>
      </w:r>
      <w:r w:rsidR="00F63F75" w:rsidRPr="00F402C5">
        <w:t>diversify and transform Australia’s industry and economy</w:t>
      </w:r>
      <w:r w:rsidR="0001033C">
        <w:t>.</w:t>
      </w:r>
    </w:p>
    <w:p w14:paraId="11E438C3" w14:textId="51A8AF4D" w:rsidR="00F63F75" w:rsidRPr="00BC6855" w:rsidRDefault="0018072B" w:rsidP="00F63F75">
      <w:pPr>
        <w:pStyle w:val="ActHead5"/>
      </w:pPr>
      <w:bookmarkStart w:id="8" w:name="_Toc151394336"/>
      <w:r>
        <w:lastRenderedPageBreak/>
        <w:t>5</w:t>
      </w:r>
      <w:r w:rsidR="00F63F75" w:rsidRPr="00BC6855">
        <w:t xml:space="preserve">  </w:t>
      </w:r>
      <w:r w:rsidR="00F63F75">
        <w:t>Simplified outline of this instrument</w:t>
      </w:r>
      <w:bookmarkEnd w:id="8"/>
    </w:p>
    <w:p w14:paraId="2EAFE5A4" w14:textId="4F9D7207" w:rsidR="00F63F75" w:rsidRPr="00C3508D" w:rsidRDefault="00F63F75" w:rsidP="00F63F75">
      <w:pPr>
        <w:pStyle w:val="SOText"/>
        <w:rPr>
          <w:color w:val="000000" w:themeColor="text1"/>
        </w:rPr>
      </w:pPr>
      <w:r w:rsidRPr="00046116">
        <w:rPr>
          <w:color w:val="000000" w:themeColor="text1"/>
        </w:rPr>
        <w:t xml:space="preserve">The </w:t>
      </w:r>
      <w:r w:rsidR="00CA4C76" w:rsidRPr="00046116">
        <w:rPr>
          <w:color w:val="000000" w:themeColor="text1"/>
        </w:rPr>
        <w:t xml:space="preserve">Act established the </w:t>
      </w:r>
      <w:r w:rsidRPr="00046116">
        <w:rPr>
          <w:color w:val="000000" w:themeColor="text1"/>
        </w:rPr>
        <w:t xml:space="preserve">Corporation </w:t>
      </w:r>
      <w:r w:rsidR="00CA4C76" w:rsidRPr="00046116">
        <w:rPr>
          <w:color w:val="000000" w:themeColor="text1"/>
        </w:rPr>
        <w:t xml:space="preserve">to </w:t>
      </w:r>
      <w:r w:rsidRPr="00046116">
        <w:rPr>
          <w:color w:val="000000" w:themeColor="text1"/>
        </w:rPr>
        <w:t>facilitat</w:t>
      </w:r>
      <w:r w:rsidR="00CA4C76" w:rsidRPr="00046116">
        <w:rPr>
          <w:color w:val="000000" w:themeColor="text1"/>
        </w:rPr>
        <w:t>e</w:t>
      </w:r>
      <w:r w:rsidRPr="00046116">
        <w:rPr>
          <w:color w:val="000000" w:themeColor="text1"/>
        </w:rPr>
        <w:t xml:space="preserve"> increased flows of finance into priority areas of the Australian economy. The priority areas are declared in the </w:t>
      </w:r>
      <w:r w:rsidRPr="00046116">
        <w:rPr>
          <w:i/>
          <w:color w:val="000000" w:themeColor="text1"/>
        </w:rPr>
        <w:t>National Reconstruction Fund Corporation (Priority Areas) Declaration 2023</w:t>
      </w:r>
      <w:r w:rsidRPr="00046116">
        <w:rPr>
          <w:color w:val="000000" w:themeColor="text1"/>
        </w:rPr>
        <w:t xml:space="preserve">. </w:t>
      </w:r>
    </w:p>
    <w:p w14:paraId="7B625A0B" w14:textId="77777777" w:rsidR="00F63F75" w:rsidRDefault="00F63F75" w:rsidP="00F63F75">
      <w:pPr>
        <w:pStyle w:val="SOText"/>
      </w:pPr>
      <w:r>
        <w:t>The Act:</w:t>
      </w:r>
    </w:p>
    <w:p w14:paraId="07254399" w14:textId="390395F7" w:rsidR="00F63F75" w:rsidRDefault="00F63F75" w:rsidP="00F63F75">
      <w:pPr>
        <w:pStyle w:val="SOPara"/>
      </w:pPr>
      <w:r>
        <w:tab/>
        <w:t>(a)</w:t>
      </w:r>
      <w:r>
        <w:tab/>
        <w:t>permits the Ministers, by legislative instrument, to give the Board direction</w:t>
      </w:r>
      <w:r w:rsidR="0004713A">
        <w:t>s</w:t>
      </w:r>
      <w:r>
        <w:t xml:space="preserve"> about the performance of the Corporation’s investment functions or the exercise of the Corporation’s investment powers (or both); and</w:t>
      </w:r>
    </w:p>
    <w:p w14:paraId="3B9EF1C4" w14:textId="77777777" w:rsidR="00F63F75" w:rsidRDefault="00F63F75" w:rsidP="00F63F75">
      <w:pPr>
        <w:pStyle w:val="SOPara"/>
      </w:pPr>
      <w:r>
        <w:tab/>
        <w:t>(b)</w:t>
      </w:r>
      <w:r>
        <w:tab/>
        <w:t>requires the Ministers to give at least one such direction.</w:t>
      </w:r>
    </w:p>
    <w:p w14:paraId="5BADB3FC" w14:textId="77777777" w:rsidR="00F63F75" w:rsidRDefault="00F63F75" w:rsidP="00F63F75">
      <w:pPr>
        <w:pStyle w:val="SOText"/>
      </w:pPr>
      <w:r>
        <w:t xml:space="preserve">The directions together constitute the </w:t>
      </w:r>
      <w:r w:rsidRPr="00F402C5">
        <w:t>Investment Mandate</w:t>
      </w:r>
      <w:r>
        <w:t>. This instrument sets out such directions.</w:t>
      </w:r>
    </w:p>
    <w:p w14:paraId="31DEA4D6" w14:textId="77777777" w:rsidR="00F63F75" w:rsidRDefault="00F63F75" w:rsidP="00F63F75">
      <w:pPr>
        <w:pStyle w:val="SOText"/>
      </w:pPr>
      <w:r>
        <w:t>The Corporation is bound by the Investment Mandate. The Board must take all reasonable steps to ensure that the Corporation and its subsidiaries comply with the Investment Mandate. The Board can be directed, under subsection 74(3) of the Act, to:</w:t>
      </w:r>
    </w:p>
    <w:p w14:paraId="45667ADC" w14:textId="77777777" w:rsidR="00F63F75" w:rsidRDefault="00F63F75" w:rsidP="00F63F75">
      <w:pPr>
        <w:pStyle w:val="SOPara"/>
      </w:pPr>
      <w:r>
        <w:tab/>
        <w:t>(a)</w:t>
      </w:r>
      <w:r>
        <w:tab/>
        <w:t>explain to the Ministers any failure to comply with the Investment Mandate; and</w:t>
      </w:r>
    </w:p>
    <w:p w14:paraId="078430F4" w14:textId="77777777" w:rsidR="00F63F75" w:rsidRDefault="00F63F75" w:rsidP="00F63F75">
      <w:pPr>
        <w:pStyle w:val="SOPara"/>
      </w:pPr>
      <w:r>
        <w:tab/>
        <w:t>(b)</w:t>
      </w:r>
      <w:r>
        <w:tab/>
        <w:t xml:space="preserve">take specified action to ensure compliance. </w:t>
      </w:r>
    </w:p>
    <w:p w14:paraId="7556AABF" w14:textId="53D75A2B" w:rsidR="00F63F75" w:rsidRDefault="00F63F75" w:rsidP="00F63F75">
      <w:pPr>
        <w:pStyle w:val="SOText"/>
      </w:pPr>
      <w:r>
        <w:t>The Board’s</w:t>
      </w:r>
      <w:r w:rsidR="00445A01">
        <w:t xml:space="preserve"> investment</w:t>
      </w:r>
      <w:r>
        <w:t xml:space="preserve"> policies must also be consistent with the Investment Mandate.</w:t>
      </w:r>
    </w:p>
    <w:p w14:paraId="2D248E91" w14:textId="1DAC67C3" w:rsidR="00554826" w:rsidRPr="00554826" w:rsidRDefault="0018072B" w:rsidP="00554826">
      <w:pPr>
        <w:pStyle w:val="ActHead5"/>
      </w:pPr>
      <w:bookmarkStart w:id="9" w:name="_Toc151394337"/>
      <w:r>
        <w:t>6</w:t>
      </w:r>
      <w:r w:rsidR="00554826" w:rsidRPr="00554826">
        <w:t xml:space="preserve">  Definitions</w:t>
      </w:r>
      <w:bookmarkEnd w:id="9"/>
    </w:p>
    <w:p w14:paraId="6E7E20D9" w14:textId="77777777" w:rsidR="00554826" w:rsidRPr="009C2562" w:rsidRDefault="00554826" w:rsidP="00554826">
      <w:pPr>
        <w:pStyle w:val="notetext"/>
      </w:pPr>
      <w:r w:rsidRPr="009C2562">
        <w:t>Note:</w:t>
      </w:r>
      <w:r w:rsidRPr="009C2562">
        <w:tab/>
        <w:t xml:space="preserve">A number of expressions used in this instrument are defined in </w:t>
      </w:r>
      <w:r w:rsidR="00424F6A">
        <w:t xml:space="preserve">section 5 </w:t>
      </w:r>
      <w:r>
        <w:t>of the Act</w:t>
      </w:r>
      <w:r w:rsidRPr="009C2562">
        <w:t>, including the following:</w:t>
      </w:r>
    </w:p>
    <w:p w14:paraId="680DD925" w14:textId="660ED05F" w:rsidR="00256461" w:rsidRDefault="00424F6A" w:rsidP="00424F6A">
      <w:pPr>
        <w:pStyle w:val="notepara"/>
      </w:pPr>
      <w:r>
        <w:t>(a)</w:t>
      </w:r>
      <w:r>
        <w:tab/>
      </w:r>
      <w:r w:rsidR="00256461">
        <w:t>Account;</w:t>
      </w:r>
    </w:p>
    <w:p w14:paraId="6112A99F" w14:textId="77777777" w:rsidR="00C80724" w:rsidRDefault="00256461" w:rsidP="00C80724">
      <w:pPr>
        <w:pStyle w:val="notepara"/>
      </w:pPr>
      <w:r>
        <w:t>(</w:t>
      </w:r>
      <w:r w:rsidR="00960408">
        <w:t>b</w:t>
      </w:r>
      <w:r>
        <w:t>)</w:t>
      </w:r>
      <w:r>
        <w:tab/>
      </w:r>
      <w:r w:rsidR="00C80724">
        <w:t>Australia’s greenhouse gas emissions reduction targets;</w:t>
      </w:r>
    </w:p>
    <w:p w14:paraId="77BF0C4E" w14:textId="0A7ECA18" w:rsidR="00424F6A" w:rsidRDefault="00C80724" w:rsidP="00C80724">
      <w:pPr>
        <w:pStyle w:val="notepara"/>
      </w:pPr>
      <w:r>
        <w:t>(c)</w:t>
      </w:r>
      <w:r>
        <w:tab/>
      </w:r>
      <w:r w:rsidR="00424F6A">
        <w:t>Board;</w:t>
      </w:r>
    </w:p>
    <w:p w14:paraId="5C9A7DE7" w14:textId="148F77FC" w:rsidR="00A67902" w:rsidRDefault="00424F6A" w:rsidP="00424F6A">
      <w:pPr>
        <w:pStyle w:val="notepara"/>
      </w:pPr>
      <w:r>
        <w:t>(</w:t>
      </w:r>
      <w:r w:rsidR="00C80724">
        <w:t>d</w:t>
      </w:r>
      <w:r>
        <w:t>)</w:t>
      </w:r>
      <w:r>
        <w:tab/>
      </w:r>
      <w:r w:rsidR="00A67902">
        <w:t>Commonwealth entity;</w:t>
      </w:r>
    </w:p>
    <w:p w14:paraId="774806B1" w14:textId="5EFAC235" w:rsidR="00424F6A" w:rsidRDefault="00A67902" w:rsidP="00A67902">
      <w:pPr>
        <w:pStyle w:val="notepara"/>
      </w:pPr>
      <w:r>
        <w:t>(</w:t>
      </w:r>
      <w:r w:rsidR="00C80724">
        <w:t>e</w:t>
      </w:r>
      <w:r>
        <w:t>)</w:t>
      </w:r>
      <w:r>
        <w:tab/>
      </w:r>
      <w:r w:rsidR="00424F6A">
        <w:t>Corporation;</w:t>
      </w:r>
    </w:p>
    <w:p w14:paraId="5ED0AACD" w14:textId="54F945EB" w:rsidR="00DB7B19" w:rsidRDefault="00424F6A" w:rsidP="00424F6A">
      <w:pPr>
        <w:pStyle w:val="notepara"/>
      </w:pPr>
      <w:r>
        <w:t>(</w:t>
      </w:r>
      <w:r w:rsidR="00C80724">
        <w:t>f</w:t>
      </w:r>
      <w:r>
        <w:t>)</w:t>
      </w:r>
      <w:r>
        <w:tab/>
      </w:r>
      <w:r w:rsidR="00DB7B19">
        <w:t>Corporation body;</w:t>
      </w:r>
    </w:p>
    <w:p w14:paraId="2135A5F8" w14:textId="79FC19F7" w:rsidR="00424F6A" w:rsidRDefault="00DB7B19" w:rsidP="00424F6A">
      <w:pPr>
        <w:pStyle w:val="notepara"/>
      </w:pPr>
      <w:r>
        <w:t>(</w:t>
      </w:r>
      <w:r w:rsidR="00C80724">
        <w:t>g</w:t>
      </w:r>
      <w:r>
        <w:t>)</w:t>
      </w:r>
      <w:r>
        <w:tab/>
      </w:r>
      <w:r w:rsidR="00424F6A">
        <w:t>Corporation’s investment function</w:t>
      </w:r>
      <w:r w:rsidR="00072690">
        <w:t>s</w:t>
      </w:r>
      <w:r w:rsidR="00424F6A">
        <w:t>;</w:t>
      </w:r>
    </w:p>
    <w:p w14:paraId="222CE3B4" w14:textId="577D1184" w:rsidR="00072690" w:rsidRPr="00072690" w:rsidRDefault="007B6F7C" w:rsidP="00424F6A">
      <w:pPr>
        <w:pStyle w:val="notepara"/>
        <w:rPr>
          <w:b/>
        </w:rPr>
      </w:pPr>
      <w:r>
        <w:t>(</w:t>
      </w:r>
      <w:r w:rsidR="00C80724">
        <w:t>h</w:t>
      </w:r>
      <w:r>
        <w:t>)</w:t>
      </w:r>
      <w:r>
        <w:tab/>
      </w:r>
      <w:r w:rsidR="00072690">
        <w:t>Corporation’s investment powers;</w:t>
      </w:r>
    </w:p>
    <w:p w14:paraId="5F6B5F14" w14:textId="36D27B52" w:rsidR="00F66493" w:rsidRDefault="0007700E" w:rsidP="00424F6A">
      <w:pPr>
        <w:pStyle w:val="notepara"/>
      </w:pPr>
      <w:r>
        <w:t>(</w:t>
      </w:r>
      <w:r w:rsidR="005E7290">
        <w:t>i</w:t>
      </w:r>
      <w:r>
        <w:t>)</w:t>
      </w:r>
      <w:r>
        <w:tab/>
      </w:r>
      <w:r w:rsidR="00F66493">
        <w:t>Finance Minister;</w:t>
      </w:r>
    </w:p>
    <w:p w14:paraId="6925120D" w14:textId="04FAE4CA" w:rsidR="005E7290" w:rsidRDefault="005E7290" w:rsidP="005E7290">
      <w:pPr>
        <w:pStyle w:val="notepara"/>
      </w:pPr>
      <w:r>
        <w:t>(j)</w:t>
      </w:r>
      <w:r>
        <w:tab/>
        <w:t>financial accommodation;</w:t>
      </w:r>
    </w:p>
    <w:p w14:paraId="32032CAD" w14:textId="0099EC1A" w:rsidR="00072690" w:rsidRDefault="007B6F7C" w:rsidP="00424F6A">
      <w:pPr>
        <w:pStyle w:val="notepara"/>
      </w:pPr>
      <w:r>
        <w:t>(</w:t>
      </w:r>
      <w:r w:rsidR="00826CD5">
        <w:t>k</w:t>
      </w:r>
      <w:r>
        <w:t>)</w:t>
      </w:r>
      <w:r>
        <w:tab/>
      </w:r>
      <w:r w:rsidR="00072690">
        <w:t>Investment Mandate;</w:t>
      </w:r>
    </w:p>
    <w:p w14:paraId="6B58CC2D" w14:textId="64E3EF7C" w:rsidR="00826CD5" w:rsidRDefault="00826CD5" w:rsidP="00826CD5">
      <w:pPr>
        <w:pStyle w:val="notepara"/>
      </w:pPr>
      <w:r>
        <w:t>(l)</w:t>
      </w:r>
      <w:r>
        <w:tab/>
        <w:t>investment of a Corporation body;</w:t>
      </w:r>
    </w:p>
    <w:p w14:paraId="2672EFF4" w14:textId="33FB52C8" w:rsidR="00015DF3" w:rsidRDefault="007B6F7C" w:rsidP="00826CD5">
      <w:pPr>
        <w:pStyle w:val="notepara"/>
      </w:pPr>
      <w:r>
        <w:t>(</w:t>
      </w:r>
      <w:r w:rsidR="00C80724">
        <w:t>m</w:t>
      </w:r>
      <w:r>
        <w:t>)</w:t>
      </w:r>
      <w:r>
        <w:tab/>
      </w:r>
      <w:r w:rsidR="00015DF3">
        <w:t>Ministers</w:t>
      </w:r>
      <w:r w:rsidR="002651D5">
        <w:t>;</w:t>
      </w:r>
    </w:p>
    <w:p w14:paraId="226C1DCA" w14:textId="347C70FF" w:rsidR="000E7B4C" w:rsidRDefault="007B6F7C" w:rsidP="00424F6A">
      <w:pPr>
        <w:pStyle w:val="notepara"/>
      </w:pPr>
      <w:r>
        <w:t>(</w:t>
      </w:r>
      <w:r w:rsidR="00C80724">
        <w:t>n</w:t>
      </w:r>
      <w:r>
        <w:t>)</w:t>
      </w:r>
      <w:r>
        <w:tab/>
      </w:r>
      <w:r w:rsidR="000E7B4C">
        <w:t>priority area of the Australian economy</w:t>
      </w:r>
      <w:r w:rsidR="002651D5">
        <w:t>;</w:t>
      </w:r>
    </w:p>
    <w:p w14:paraId="37C02556" w14:textId="2507C5CC" w:rsidR="00E54922" w:rsidRDefault="00E54922" w:rsidP="00424F6A">
      <w:pPr>
        <w:pStyle w:val="notepara"/>
      </w:pPr>
      <w:r>
        <w:t>(</w:t>
      </w:r>
      <w:r w:rsidR="00C80724">
        <w:t>o</w:t>
      </w:r>
      <w:r>
        <w:t>)</w:t>
      </w:r>
      <w:r>
        <w:tab/>
        <w:t>uncommitted balance</w:t>
      </w:r>
      <w:r w:rsidR="0020404A">
        <w:t>.</w:t>
      </w:r>
    </w:p>
    <w:p w14:paraId="488B2008" w14:textId="77777777" w:rsidR="00554826" w:rsidRPr="009C2562" w:rsidRDefault="00554826" w:rsidP="00554826">
      <w:pPr>
        <w:pStyle w:val="subsection"/>
      </w:pPr>
      <w:r w:rsidRPr="009C2562">
        <w:tab/>
      </w:r>
      <w:r w:rsidRPr="009C2562">
        <w:tab/>
        <w:t>In this instrument:</w:t>
      </w:r>
    </w:p>
    <w:p w14:paraId="1C58A674" w14:textId="6D432B4E" w:rsidR="00554826" w:rsidRDefault="00554826" w:rsidP="00554826">
      <w:pPr>
        <w:pStyle w:val="Definition"/>
      </w:pPr>
      <w:r w:rsidRPr="009C2562">
        <w:rPr>
          <w:b/>
          <w:i/>
        </w:rPr>
        <w:t>Act</w:t>
      </w:r>
      <w:r w:rsidRPr="009C2562">
        <w:t xml:space="preserve"> means the </w:t>
      </w:r>
      <w:r w:rsidR="00424F6A">
        <w:rPr>
          <w:i/>
        </w:rPr>
        <w:t>National Reconstruction Fund Corporation Act 2023</w:t>
      </w:r>
      <w:r>
        <w:t>.</w:t>
      </w:r>
    </w:p>
    <w:p w14:paraId="6A425FF2" w14:textId="77777777" w:rsidR="00F63F75" w:rsidRPr="00075303" w:rsidRDefault="00F63F75" w:rsidP="00F63F75">
      <w:pPr>
        <w:pStyle w:val="Definition"/>
      </w:pPr>
      <w:r w:rsidRPr="002651D5">
        <w:rPr>
          <w:b/>
          <w:i/>
        </w:rPr>
        <w:lastRenderedPageBreak/>
        <w:t xml:space="preserve">Corporation’s investment practices </w:t>
      </w:r>
      <w:r w:rsidRPr="002651D5">
        <w:t xml:space="preserve">means the </w:t>
      </w:r>
      <w:r w:rsidRPr="002651D5">
        <w:rPr>
          <w:rFonts w:cstheme="minorHAnsi"/>
          <w:szCs w:val="24"/>
        </w:rPr>
        <w:t>performance of the Corporation’s investment functions and the exercise of the Corporation’s investment powers.</w:t>
      </w:r>
    </w:p>
    <w:p w14:paraId="44E14486" w14:textId="12ABF906" w:rsidR="0007700E" w:rsidRDefault="0007700E" w:rsidP="00554826">
      <w:pPr>
        <w:pStyle w:val="Definition"/>
      </w:pPr>
      <w:r>
        <w:rPr>
          <w:b/>
          <w:i/>
        </w:rPr>
        <w:t>Corporation’s portfolio</w:t>
      </w:r>
      <w:r>
        <w:t xml:space="preserve">, at a particular time, means all </w:t>
      </w:r>
      <w:r w:rsidR="00CB1462">
        <w:t xml:space="preserve">of the </w:t>
      </w:r>
      <w:r>
        <w:t xml:space="preserve">investments of </w:t>
      </w:r>
      <w:r w:rsidR="0072154E">
        <w:t xml:space="preserve">all </w:t>
      </w:r>
      <w:r w:rsidR="00CB1462">
        <w:t xml:space="preserve">Corporation </w:t>
      </w:r>
      <w:r w:rsidR="0072154E">
        <w:t xml:space="preserve">bodies </w:t>
      </w:r>
      <w:r>
        <w:t>at that time.</w:t>
      </w:r>
    </w:p>
    <w:p w14:paraId="20FD9701" w14:textId="4CFE5D90" w:rsidR="00E41242" w:rsidRDefault="00E41242" w:rsidP="00554826">
      <w:pPr>
        <w:pStyle w:val="Definition"/>
      </w:pPr>
      <w:r>
        <w:rPr>
          <w:b/>
          <w:i/>
        </w:rPr>
        <w:t xml:space="preserve">Department of Finance </w:t>
      </w:r>
      <w:r>
        <w:t>means the Department administered by the Finance Minister.</w:t>
      </w:r>
    </w:p>
    <w:p w14:paraId="38E8F050" w14:textId="5EBA0278" w:rsidR="0072154E" w:rsidRPr="0072154E" w:rsidRDefault="0072154E" w:rsidP="00554826">
      <w:pPr>
        <w:pStyle w:val="Definition"/>
      </w:pPr>
      <w:r>
        <w:rPr>
          <w:b/>
          <w:i/>
        </w:rPr>
        <w:t xml:space="preserve">investment </w:t>
      </w:r>
      <w:r>
        <w:t>means an investment of a Corporation body.</w:t>
      </w:r>
    </w:p>
    <w:p w14:paraId="27833D15" w14:textId="259D0ECF" w:rsidR="000E5DD4" w:rsidRDefault="00CB1462" w:rsidP="00F402C5">
      <w:pPr>
        <w:pStyle w:val="Definition"/>
        <w:rPr>
          <w:highlight w:val="yellow"/>
        </w:rPr>
      </w:pPr>
      <w:r>
        <w:rPr>
          <w:b/>
          <w:i/>
        </w:rPr>
        <w:t xml:space="preserve">portfolio benchmark return </w:t>
      </w:r>
      <w:r>
        <w:t>means the return described in section </w:t>
      </w:r>
      <w:r w:rsidR="0004540D">
        <w:t>8</w:t>
      </w:r>
      <w:r>
        <w:t>.</w:t>
      </w:r>
      <w:r w:rsidR="000E5DD4">
        <w:rPr>
          <w:highlight w:val="yellow"/>
        </w:rPr>
        <w:br w:type="page"/>
      </w:r>
    </w:p>
    <w:p w14:paraId="70CB0FF7" w14:textId="77777777" w:rsidR="000E5DD4" w:rsidRDefault="000E5DD4" w:rsidP="000E5DD4">
      <w:pPr>
        <w:pStyle w:val="ActHead2"/>
      </w:pPr>
      <w:bookmarkStart w:id="10" w:name="_Toc151394338"/>
      <w:r>
        <w:lastRenderedPageBreak/>
        <w:t>Part 2—Directions</w:t>
      </w:r>
      <w:bookmarkEnd w:id="10"/>
    </w:p>
    <w:p w14:paraId="056246F3" w14:textId="76904BDD" w:rsidR="00B01673" w:rsidRDefault="0018072B" w:rsidP="005765C4">
      <w:pPr>
        <w:pStyle w:val="ActHead5"/>
      </w:pPr>
      <w:bookmarkStart w:id="11" w:name="_Toc151394339"/>
      <w:r>
        <w:t>7</w:t>
      </w:r>
      <w:r w:rsidR="000E5DD4">
        <w:t xml:space="preserve">  </w:t>
      </w:r>
      <w:r w:rsidR="00B01673">
        <w:t>Introduction</w:t>
      </w:r>
      <w:bookmarkEnd w:id="11"/>
    </w:p>
    <w:p w14:paraId="449BBCF6" w14:textId="30874CD2" w:rsidR="00C3508D" w:rsidRDefault="002760BF" w:rsidP="00F9564A">
      <w:pPr>
        <w:pStyle w:val="subsection"/>
      </w:pPr>
      <w:r>
        <w:tab/>
      </w:r>
      <w:r>
        <w:tab/>
        <w:t xml:space="preserve">The Corporation will </w:t>
      </w:r>
      <w:r w:rsidR="00C3508D">
        <w:t xml:space="preserve">crowd in </w:t>
      </w:r>
      <w:r>
        <w:t>finance to transform and diversify Australia’s industry and economy, and support the development of market</w:t>
      </w:r>
      <w:r>
        <w:noBreakHyphen/>
        <w:t>leading enterprises in the priority areas of the Australian economy that deliver high</w:t>
      </w:r>
      <w:r>
        <w:noBreakHyphen/>
        <w:t>value, internationally competitive products and services across the value chain. The Corporation will have regard to public policy outcomes when making investment decisions.</w:t>
      </w:r>
    </w:p>
    <w:p w14:paraId="1E8B7F7C" w14:textId="33A63123" w:rsidR="005765C4" w:rsidRDefault="00B01673" w:rsidP="005765C4">
      <w:pPr>
        <w:pStyle w:val="ActHead5"/>
      </w:pPr>
      <w:bookmarkStart w:id="12" w:name="_Toc151394340"/>
      <w:r>
        <w:t xml:space="preserve">8  </w:t>
      </w:r>
      <w:r w:rsidR="005765C4">
        <w:t>Portfolio benchmark return</w:t>
      </w:r>
      <w:bookmarkEnd w:id="12"/>
    </w:p>
    <w:p w14:paraId="68A66CCB" w14:textId="6F02DCFF" w:rsidR="00050CC3" w:rsidRDefault="005765C4" w:rsidP="005765C4">
      <w:pPr>
        <w:pStyle w:val="subsection"/>
      </w:pPr>
      <w:r>
        <w:tab/>
      </w:r>
      <w:r>
        <w:tab/>
      </w:r>
      <w:r w:rsidR="005B1E2C">
        <w:t>T</w:t>
      </w:r>
      <w:r>
        <w:t xml:space="preserve">he </w:t>
      </w:r>
      <w:r w:rsidR="00FA66E1" w:rsidRPr="00F402C5">
        <w:t>Corporation</w:t>
      </w:r>
      <w:r w:rsidR="00FA66E1">
        <w:t xml:space="preserve"> </w:t>
      </w:r>
      <w:r w:rsidR="005B1E2C">
        <w:t>must</w:t>
      </w:r>
      <w:r w:rsidR="00050CC3">
        <w:t>:</w:t>
      </w:r>
    </w:p>
    <w:p w14:paraId="53A8A327" w14:textId="68B38D37" w:rsidR="00050CC3" w:rsidRDefault="00050CC3" w:rsidP="00050CC3">
      <w:pPr>
        <w:pStyle w:val="paragraph"/>
      </w:pPr>
      <w:r>
        <w:tab/>
        <w:t>(a)</w:t>
      </w:r>
      <w:r>
        <w:tab/>
      </w:r>
      <w:r w:rsidR="005765C4">
        <w:t xml:space="preserve">target an average return of </w:t>
      </w:r>
      <w:r w:rsidR="009F3D9A">
        <w:t xml:space="preserve">between 2 and </w:t>
      </w:r>
      <w:r w:rsidR="00F216C3" w:rsidRPr="008F38B9">
        <w:t>3 per cent</w:t>
      </w:r>
      <w:r w:rsidR="008F38B9" w:rsidRPr="008F38B9">
        <w:t xml:space="preserve"> </w:t>
      </w:r>
      <w:r w:rsidR="00FF2A7D" w:rsidRPr="0089628C">
        <w:t xml:space="preserve">above </w:t>
      </w:r>
      <w:r w:rsidR="0052469D">
        <w:t>the</w:t>
      </w:r>
      <w:r w:rsidR="0052469D" w:rsidRPr="0089628C">
        <w:t xml:space="preserve"> </w:t>
      </w:r>
      <w:r w:rsidR="00FF2A7D" w:rsidRPr="0089628C">
        <w:t>five</w:t>
      </w:r>
      <w:r w:rsidR="0052469D">
        <w:noBreakHyphen/>
      </w:r>
      <w:r w:rsidR="00FF2A7D" w:rsidRPr="0089628C">
        <w:t xml:space="preserve">year Australian government bond </w:t>
      </w:r>
      <w:r w:rsidR="00A42662">
        <w:t xml:space="preserve">rate </w:t>
      </w:r>
      <w:r w:rsidR="0024796B" w:rsidRPr="0089628C">
        <w:t>(</w:t>
      </w:r>
      <w:r w:rsidR="00FF2A7D" w:rsidRPr="0089628C">
        <w:t>weighted to the</w:t>
      </w:r>
      <w:r w:rsidR="009064C7">
        <w:t xml:space="preserve"> </w:t>
      </w:r>
      <w:r w:rsidR="009064C7" w:rsidRPr="002B752C">
        <w:t>size and</w:t>
      </w:r>
      <w:r w:rsidR="00FF2A7D" w:rsidRPr="0089628C">
        <w:t xml:space="preserve"> time of investing</w:t>
      </w:r>
      <w:r w:rsidR="0024796B" w:rsidRPr="0089628C">
        <w:t>)</w:t>
      </w:r>
      <w:r w:rsidR="005B1E2C" w:rsidRPr="002B752C">
        <w:t xml:space="preserve"> </w:t>
      </w:r>
      <w:r w:rsidR="005765C4">
        <w:t xml:space="preserve">as the benchmark return of the </w:t>
      </w:r>
      <w:r w:rsidR="005765C4" w:rsidRPr="00CB1462">
        <w:t>Corporation’s portfolio</w:t>
      </w:r>
      <w:r w:rsidR="00BA16B1" w:rsidRPr="00BA16B1">
        <w:t xml:space="preserve"> </w:t>
      </w:r>
      <w:r w:rsidR="00BA16B1">
        <w:t xml:space="preserve">over </w:t>
      </w:r>
      <w:r w:rsidR="00BA16B1" w:rsidRPr="00464A70">
        <w:t>the medium to long term</w:t>
      </w:r>
      <w:r>
        <w:t>; and</w:t>
      </w:r>
    </w:p>
    <w:p w14:paraId="0787EF3B" w14:textId="26EC17BD" w:rsidR="005765C4" w:rsidRDefault="00050CC3" w:rsidP="00CB1462">
      <w:pPr>
        <w:pStyle w:val="paragraph"/>
      </w:pPr>
      <w:r>
        <w:tab/>
        <w:t>(b)</w:t>
      </w:r>
      <w:r>
        <w:tab/>
        <w:t>measure p</w:t>
      </w:r>
      <w:r w:rsidR="005765C4">
        <w:t>erformance against this benchmark</w:t>
      </w:r>
      <w:r w:rsidR="00B01673">
        <w:t xml:space="preserve"> before </w:t>
      </w:r>
      <w:r w:rsidR="00B01673" w:rsidRPr="0089628C">
        <w:t>deducting</w:t>
      </w:r>
      <w:r w:rsidR="0089628C">
        <w:t xml:space="preserve"> o</w:t>
      </w:r>
      <w:r w:rsidR="00B01673">
        <w:t>perating expenses</w:t>
      </w:r>
      <w:r w:rsidR="005765C4">
        <w:t>.</w:t>
      </w:r>
      <w:r w:rsidR="0079302D">
        <w:t xml:space="preserve"> </w:t>
      </w:r>
    </w:p>
    <w:p w14:paraId="48E53911" w14:textId="51CB9953" w:rsidR="001A3CC6" w:rsidRDefault="001A3CC6">
      <w:pPr>
        <w:pStyle w:val="notetext"/>
      </w:pPr>
      <w:r>
        <w:t>Note:</w:t>
      </w:r>
      <w:r>
        <w:tab/>
        <w:t xml:space="preserve">The </w:t>
      </w:r>
      <w:r w:rsidRPr="0045495C">
        <w:t xml:space="preserve">Ministers </w:t>
      </w:r>
      <w:r w:rsidR="00AA37AF">
        <w:t>intend to</w:t>
      </w:r>
      <w:r>
        <w:t xml:space="preserve"> </w:t>
      </w:r>
      <w:r w:rsidRPr="0045495C">
        <w:t>review the portfolio benchmark return 3 years</w:t>
      </w:r>
      <w:r w:rsidR="008A3AED">
        <w:t xml:space="preserve"> after this instrument commences</w:t>
      </w:r>
      <w:r>
        <w:t>.</w:t>
      </w:r>
    </w:p>
    <w:p w14:paraId="6B37C9A9" w14:textId="5F09B951" w:rsidR="000E7B4C" w:rsidRDefault="00B01673" w:rsidP="000E7B4C">
      <w:pPr>
        <w:pStyle w:val="ActHead5"/>
      </w:pPr>
      <w:bookmarkStart w:id="13" w:name="_Toc122015006"/>
      <w:bookmarkStart w:id="14" w:name="_Toc151394341"/>
      <w:r>
        <w:t>9</w:t>
      </w:r>
      <w:r w:rsidR="000E7B4C">
        <w:t xml:space="preserve">  Portfolio risk</w:t>
      </w:r>
      <w:bookmarkEnd w:id="13"/>
      <w:bookmarkEnd w:id="14"/>
    </w:p>
    <w:p w14:paraId="4CE98322" w14:textId="2E7BF0A7" w:rsidR="00DF1EFF" w:rsidRDefault="000E7B4C" w:rsidP="000E7B4C">
      <w:pPr>
        <w:pStyle w:val="subsection"/>
      </w:pPr>
      <w:r>
        <w:tab/>
        <w:t>(1)</w:t>
      </w:r>
      <w:r>
        <w:tab/>
        <w:t>In targeting the portfolio benchmark return, the</w:t>
      </w:r>
      <w:r w:rsidR="00C62FEF">
        <w:t xml:space="preserve"> </w:t>
      </w:r>
      <w:r w:rsidR="00C62FEF" w:rsidRPr="00D1699A">
        <w:t>Corporation</w:t>
      </w:r>
      <w:r w:rsidR="00C62FEF">
        <w:t xml:space="preserve"> </w:t>
      </w:r>
      <w:r>
        <w:t>must</w:t>
      </w:r>
      <w:r w:rsidR="00DF1EFF">
        <w:t>:</w:t>
      </w:r>
    </w:p>
    <w:p w14:paraId="67A0EE63" w14:textId="1DA810F5" w:rsidR="00DF1EFF" w:rsidRDefault="00DF1EFF" w:rsidP="00D1699A">
      <w:pPr>
        <w:pStyle w:val="paragraph"/>
      </w:pPr>
      <w:r>
        <w:tab/>
        <w:t>(a)</w:t>
      </w:r>
      <w:r>
        <w:tab/>
        <w:t>operate with a commercial approach</w:t>
      </w:r>
      <w:r w:rsidR="001F4D3E">
        <w:t>, including</w:t>
      </w:r>
      <w:r w:rsidR="007D6212">
        <w:t xml:space="preserve"> by</w:t>
      </w:r>
      <w:r w:rsidR="001F4D3E">
        <w:t xml:space="preserve"> undertaking appropriate due diligence</w:t>
      </w:r>
      <w:r w:rsidR="008F38B9" w:rsidRPr="003A3EE7">
        <w:t>,</w:t>
      </w:r>
      <w:r w:rsidR="001F4D3E">
        <w:t xml:space="preserve"> credit</w:t>
      </w:r>
      <w:r w:rsidR="008F38B9" w:rsidRPr="003A3EE7">
        <w:t xml:space="preserve"> and</w:t>
      </w:r>
      <w:r w:rsidR="00171CB9" w:rsidRPr="003A3EE7">
        <w:t xml:space="preserve"> investment</w:t>
      </w:r>
      <w:r w:rsidR="001F4D3E">
        <w:t xml:space="preserve"> risk assessment processes</w:t>
      </w:r>
      <w:r>
        <w:t>; and</w:t>
      </w:r>
    </w:p>
    <w:p w14:paraId="56405034" w14:textId="3146EAF1" w:rsidR="00E346BC" w:rsidRDefault="00DF1EFF" w:rsidP="00C3229C">
      <w:pPr>
        <w:pStyle w:val="paragraph"/>
      </w:pPr>
      <w:r>
        <w:tab/>
        <w:t>(b)</w:t>
      </w:r>
      <w:r>
        <w:tab/>
      </w:r>
      <w:r w:rsidR="000E7B4C">
        <w:t xml:space="preserve">seek to develop </w:t>
      </w:r>
      <w:r w:rsidR="00CB1462">
        <w:t xml:space="preserve">the Corporation’s </w:t>
      </w:r>
      <w:r w:rsidR="000E7B4C">
        <w:t xml:space="preserve">portfolio </w:t>
      </w:r>
      <w:r w:rsidR="00CB1462">
        <w:t xml:space="preserve">so </w:t>
      </w:r>
      <w:r w:rsidR="000E7B4C">
        <w:t xml:space="preserve">that </w:t>
      </w:r>
      <w:r w:rsidR="00CB1462">
        <w:t>it will</w:t>
      </w:r>
      <w:r w:rsidR="001F4D3E">
        <w:t xml:space="preserve"> be diversified and</w:t>
      </w:r>
      <w:r w:rsidR="00CB1462">
        <w:t xml:space="preserve"> have, </w:t>
      </w:r>
      <w:r w:rsidR="000E7B4C">
        <w:t>in aggregate</w:t>
      </w:r>
      <w:r w:rsidR="00CB1462">
        <w:t>,</w:t>
      </w:r>
      <w:r w:rsidR="000E7B4C">
        <w:t xml:space="preserve"> an acceptable but not excessive level of risk.</w:t>
      </w:r>
    </w:p>
    <w:p w14:paraId="7C51C5CF" w14:textId="31AAD608" w:rsidR="000E7B4C" w:rsidRDefault="00E346BC" w:rsidP="0036492A">
      <w:pPr>
        <w:pStyle w:val="subsection"/>
      </w:pPr>
      <w:r>
        <w:tab/>
        <w:t>(2)</w:t>
      </w:r>
      <w:r>
        <w:tab/>
        <w:t>T</w:t>
      </w:r>
      <w:r w:rsidR="000E7B4C">
        <w:t>he level of risk deemed acceptable by the</w:t>
      </w:r>
      <w:r w:rsidR="00C62FEF">
        <w:t xml:space="preserve"> </w:t>
      </w:r>
      <w:r w:rsidR="00C62FEF" w:rsidRPr="00D1699A">
        <w:t>Corporation</w:t>
      </w:r>
      <w:r w:rsidR="000E7B4C">
        <w:t xml:space="preserve"> may be higher than the risk tolerance of commercial banks and private sector investors</w:t>
      </w:r>
      <w:r w:rsidR="00DB7B19">
        <w:t>, if this higher risk tolerance support</w:t>
      </w:r>
      <w:r w:rsidR="00DF1EFF">
        <w:t>s</w:t>
      </w:r>
      <w:r w:rsidR="00DB7B19">
        <w:t xml:space="preserve"> the objects of the Act and this instrument</w:t>
      </w:r>
      <w:r w:rsidR="000E7B4C">
        <w:t>.</w:t>
      </w:r>
    </w:p>
    <w:p w14:paraId="19242819" w14:textId="3A5C2932" w:rsidR="00795B3D" w:rsidRDefault="000E7B4C" w:rsidP="000E7B4C">
      <w:pPr>
        <w:pStyle w:val="subsection"/>
      </w:pPr>
      <w:r>
        <w:tab/>
        <w:t>(</w:t>
      </w:r>
      <w:r w:rsidR="00E346BC">
        <w:t>3</w:t>
      </w:r>
      <w:r>
        <w:t>)</w:t>
      </w:r>
      <w:r>
        <w:tab/>
      </w:r>
      <w:r w:rsidR="00750BB1">
        <w:t>Subject to subsection (1), t</w:t>
      </w:r>
      <w:r w:rsidR="00795B3D">
        <w:t xml:space="preserve">he Corporation </w:t>
      </w:r>
      <w:r w:rsidR="00B01673">
        <w:t xml:space="preserve">may </w:t>
      </w:r>
      <w:r w:rsidR="00795B3D">
        <w:t xml:space="preserve">consider </w:t>
      </w:r>
      <w:r w:rsidR="00B01673">
        <w:t xml:space="preserve">that </w:t>
      </w:r>
      <w:r w:rsidR="00795B3D">
        <w:t>higher risks than are acceptable for other investments would be appropriate for:</w:t>
      </w:r>
    </w:p>
    <w:p w14:paraId="5CAF1BB1" w14:textId="3DF6F90A" w:rsidR="00795B3D" w:rsidRDefault="00795B3D" w:rsidP="00795B3D">
      <w:pPr>
        <w:pStyle w:val="paragraph"/>
      </w:pPr>
      <w:r>
        <w:tab/>
        <w:t>(a)</w:t>
      </w:r>
      <w:r>
        <w:tab/>
        <w:t>investments in emerging technologies and industries; or</w:t>
      </w:r>
    </w:p>
    <w:p w14:paraId="46BCD0B8" w14:textId="29A3F573" w:rsidR="00795B3D" w:rsidRDefault="00795B3D" w:rsidP="00795B3D">
      <w:pPr>
        <w:pStyle w:val="paragraph"/>
      </w:pPr>
      <w:r>
        <w:tab/>
        <w:t>(b)</w:t>
      </w:r>
      <w:r>
        <w:tab/>
        <w:t>investments that support Australia’s strategic interests; or</w:t>
      </w:r>
    </w:p>
    <w:p w14:paraId="120C0B15" w14:textId="64C41BDD" w:rsidR="00795B3D" w:rsidRDefault="00795B3D" w:rsidP="00750BB1">
      <w:pPr>
        <w:pStyle w:val="paragraph"/>
      </w:pPr>
      <w:r>
        <w:tab/>
        <w:t>(c)</w:t>
      </w:r>
      <w:r>
        <w:tab/>
        <w:t>investments with long-term payback periods.</w:t>
      </w:r>
    </w:p>
    <w:p w14:paraId="681E9E1E" w14:textId="00597597" w:rsidR="000E7B4C" w:rsidRDefault="00795B3D" w:rsidP="000E7B4C">
      <w:pPr>
        <w:pStyle w:val="subsection"/>
      </w:pPr>
      <w:r>
        <w:tab/>
        <w:t>(4)</w:t>
      </w:r>
      <w:r>
        <w:tab/>
      </w:r>
      <w:r w:rsidR="000E7B4C" w:rsidRPr="000E7B4C">
        <w:t xml:space="preserve">The </w:t>
      </w:r>
      <w:r w:rsidR="00C62FEF" w:rsidRPr="00F402C5">
        <w:t>Corporation</w:t>
      </w:r>
      <w:r w:rsidR="00C62FEF">
        <w:t xml:space="preserve"> </w:t>
      </w:r>
      <w:r w:rsidR="001947D7">
        <w:t>must</w:t>
      </w:r>
      <w:r w:rsidR="000E7B4C" w:rsidRPr="000E7B4C">
        <w:t xml:space="preserve"> periodically review </w:t>
      </w:r>
      <w:r w:rsidR="00D33251">
        <w:t xml:space="preserve">the Corporation’s investment </w:t>
      </w:r>
      <w:r w:rsidR="009064C7" w:rsidRPr="002B752C">
        <w:t xml:space="preserve">and operational </w:t>
      </w:r>
      <w:r w:rsidR="00D33251">
        <w:t xml:space="preserve">practices </w:t>
      </w:r>
      <w:r w:rsidR="000E7B4C" w:rsidRPr="000E7B4C">
        <w:t xml:space="preserve">for the purposes of managing the risk of the </w:t>
      </w:r>
      <w:r w:rsidR="00DB62A8">
        <w:t xml:space="preserve">Corporation’s </w:t>
      </w:r>
      <w:r w:rsidR="000E7B4C" w:rsidRPr="000E7B4C">
        <w:t>portfolio over time</w:t>
      </w:r>
      <w:r w:rsidR="000E7B4C" w:rsidRPr="002651D5">
        <w:t>.</w:t>
      </w:r>
    </w:p>
    <w:p w14:paraId="633C01FF" w14:textId="77777777" w:rsidR="00C80724" w:rsidRDefault="00C80724" w:rsidP="00C80724">
      <w:pPr>
        <w:pStyle w:val="ActHead5"/>
        <w:rPr>
          <w:i/>
          <w:sz w:val="20"/>
        </w:rPr>
      </w:pPr>
      <w:bookmarkStart w:id="15" w:name="_Toc128489749"/>
      <w:bookmarkStart w:id="16" w:name="_Toc151394342"/>
      <w:r>
        <w:t>10  Investment considerations</w:t>
      </w:r>
      <w:bookmarkEnd w:id="15"/>
      <w:bookmarkEnd w:id="16"/>
    </w:p>
    <w:p w14:paraId="32955AB9" w14:textId="77777777" w:rsidR="00C3508D" w:rsidRDefault="00C3508D" w:rsidP="00C3508D">
      <w:pPr>
        <w:pStyle w:val="subsection"/>
      </w:pPr>
      <w:r>
        <w:tab/>
        <w:t>(1)</w:t>
      </w:r>
      <w:r>
        <w:tab/>
        <w:t>The Corporation must, through the Corporation’s investment practices, have regard to the matters that the Board, when performing its functions, is required to have regard to as set out in subsections 17(3A) and (4) of the Act.</w:t>
      </w:r>
    </w:p>
    <w:p w14:paraId="26C64B31" w14:textId="77777777" w:rsidR="00C3508D" w:rsidRDefault="00C3508D" w:rsidP="00C3508D">
      <w:pPr>
        <w:pStyle w:val="subsection"/>
      </w:pPr>
      <w:r>
        <w:lastRenderedPageBreak/>
        <w:tab/>
        <w:t>(2)</w:t>
      </w:r>
      <w:r>
        <w:tab/>
        <w:t>The Corporation must also have regard to:</w:t>
      </w:r>
    </w:p>
    <w:p w14:paraId="456B2C8B" w14:textId="77777777" w:rsidR="0033440E" w:rsidRDefault="00C3508D" w:rsidP="009064C7">
      <w:pPr>
        <w:pStyle w:val="paragraph"/>
      </w:pPr>
      <w:r>
        <w:tab/>
        <w:t>(a)</w:t>
      </w:r>
      <w:r>
        <w:tab/>
        <w:t>the desirability of support</w:t>
      </w:r>
      <w:r w:rsidR="00F9564A">
        <w:t>ing</w:t>
      </w:r>
      <w:r w:rsidR="0033440E">
        <w:t>:</w:t>
      </w:r>
    </w:p>
    <w:p w14:paraId="665A0DB6" w14:textId="50063C42" w:rsidR="009064C7" w:rsidRDefault="0033440E" w:rsidP="0033440E">
      <w:pPr>
        <w:pStyle w:val="paragraphsub"/>
      </w:pPr>
      <w:r>
        <w:tab/>
        <w:t>(i)</w:t>
      </w:r>
      <w:r>
        <w:tab/>
      </w:r>
      <w:r w:rsidR="009064C7" w:rsidRPr="002B752C">
        <w:t>sustainability and circular economy principles and solutions; and</w:t>
      </w:r>
    </w:p>
    <w:p w14:paraId="0AD5544F" w14:textId="0C456FAC" w:rsidR="000721DF" w:rsidRPr="002B752C" w:rsidRDefault="00C3508D" w:rsidP="0033440E">
      <w:pPr>
        <w:pStyle w:val="paragraphsub"/>
      </w:pPr>
      <w:r>
        <w:tab/>
        <w:t>(</w:t>
      </w:r>
      <w:r w:rsidR="0033440E">
        <w:t>ii</w:t>
      </w:r>
      <w:r>
        <w:t>)</w:t>
      </w:r>
      <w:r>
        <w:tab/>
      </w:r>
      <w:r w:rsidR="000721DF" w:rsidRPr="002B752C">
        <w:t>regional development; and</w:t>
      </w:r>
    </w:p>
    <w:p w14:paraId="74FF7DC0" w14:textId="004630AA" w:rsidR="00C3508D" w:rsidRDefault="000721DF" w:rsidP="00C3508D">
      <w:pPr>
        <w:pStyle w:val="paragraph"/>
      </w:pPr>
      <w:r w:rsidRPr="002B752C">
        <w:tab/>
        <w:t>(</w:t>
      </w:r>
      <w:r w:rsidR="003F1737">
        <w:t>b</w:t>
      </w:r>
      <w:r w:rsidRPr="002B752C">
        <w:t>)</w:t>
      </w:r>
      <w:r w:rsidRPr="002B752C">
        <w:tab/>
      </w:r>
      <w:r w:rsidR="00C3508D">
        <w:t>national security.</w:t>
      </w:r>
    </w:p>
    <w:p w14:paraId="1FA7ED89" w14:textId="5ABD5EF6" w:rsidR="000A6A5D" w:rsidRDefault="00B01673" w:rsidP="00E934A5">
      <w:pPr>
        <w:pStyle w:val="ActHead5"/>
      </w:pPr>
      <w:bookmarkStart w:id="17" w:name="_Toc151394343"/>
      <w:bookmarkStart w:id="18" w:name="_Toc120704836"/>
      <w:bookmarkStart w:id="19" w:name="_Toc122015008"/>
      <w:r>
        <w:t>11</w:t>
      </w:r>
      <w:r w:rsidR="000A6A5D">
        <w:t xml:space="preserve">  </w:t>
      </w:r>
      <w:r w:rsidR="00B95F1A">
        <w:t>Corporation must take m</w:t>
      </w:r>
      <w:r w:rsidR="000A6A5D">
        <w:t>edium</w:t>
      </w:r>
      <w:r w:rsidR="000A6A5D">
        <w:noBreakHyphen/>
        <w:t xml:space="preserve"> to long</w:t>
      </w:r>
      <w:r w:rsidR="000A6A5D">
        <w:noBreakHyphen/>
        <w:t>term outlook</w:t>
      </w:r>
      <w:bookmarkEnd w:id="17"/>
    </w:p>
    <w:p w14:paraId="5E099378" w14:textId="57EFEEBF" w:rsidR="000A6A5D" w:rsidRDefault="000A6A5D" w:rsidP="00D1699A">
      <w:pPr>
        <w:pStyle w:val="subsection"/>
      </w:pPr>
      <w:r>
        <w:tab/>
      </w:r>
      <w:r w:rsidR="00347256">
        <w:t>(1)</w:t>
      </w:r>
      <w:r>
        <w:tab/>
        <w:t>The Corporation must take a medium</w:t>
      </w:r>
      <w:r>
        <w:noBreakHyphen/>
        <w:t xml:space="preserve"> to long</w:t>
      </w:r>
      <w:r>
        <w:noBreakHyphen/>
        <w:t>term outlook in relation to the Corporation’s investment practices.</w:t>
      </w:r>
    </w:p>
    <w:p w14:paraId="1A0A1532" w14:textId="63CE4C15" w:rsidR="00CA2FFF" w:rsidRDefault="00347256" w:rsidP="0006558F">
      <w:pPr>
        <w:pStyle w:val="subsection"/>
      </w:pPr>
      <w:r>
        <w:tab/>
        <w:t>(2)</w:t>
      </w:r>
      <w:r>
        <w:tab/>
        <w:t xml:space="preserve">Subsection (1) does not prevent the Corporation from </w:t>
      </w:r>
      <w:r w:rsidR="009064C7" w:rsidRPr="002B752C">
        <w:t xml:space="preserve">making or </w:t>
      </w:r>
      <w:r w:rsidR="0016559F">
        <w:t xml:space="preserve">realising particular investments over </w:t>
      </w:r>
      <w:r w:rsidR="003C56B2">
        <w:t>a</w:t>
      </w:r>
      <w:r w:rsidR="0016559F">
        <w:t xml:space="preserve"> short</w:t>
      </w:r>
      <w:r w:rsidR="003C56B2">
        <w:t>er</w:t>
      </w:r>
      <w:r w:rsidR="0016559F">
        <w:t xml:space="preserve"> term </w:t>
      </w:r>
      <w:r w:rsidR="0006558F">
        <w:t>when this would be consistent with the Act and this instrument</w:t>
      </w:r>
      <w:r w:rsidR="00CA2FFF">
        <w:t>.</w:t>
      </w:r>
    </w:p>
    <w:p w14:paraId="4C37C888" w14:textId="622B9E27" w:rsidR="00347256" w:rsidRDefault="00CA2FFF" w:rsidP="00553260">
      <w:pPr>
        <w:pStyle w:val="notetext"/>
      </w:pPr>
      <w:r>
        <w:t>E</w:t>
      </w:r>
      <w:r w:rsidR="00347256">
        <w:t>xample</w:t>
      </w:r>
      <w:r>
        <w:t xml:space="preserve">: </w:t>
      </w:r>
      <w:r>
        <w:tab/>
        <w:t>R</w:t>
      </w:r>
      <w:r w:rsidR="00347256">
        <w:t xml:space="preserve">ealising investments </w:t>
      </w:r>
      <w:r w:rsidR="0006558F">
        <w:t xml:space="preserve">when </w:t>
      </w:r>
      <w:r w:rsidR="008964B1">
        <w:t xml:space="preserve">there are viable opportunities </w:t>
      </w:r>
      <w:r w:rsidR="0006558F">
        <w:t>to do so</w:t>
      </w:r>
      <w:r w:rsidRPr="00CA2FFF">
        <w:t xml:space="preserve"> </w:t>
      </w:r>
      <w:r>
        <w:t xml:space="preserve">and </w:t>
      </w:r>
      <w:r w:rsidR="000B6F1A">
        <w:t xml:space="preserve">when </w:t>
      </w:r>
      <w:r>
        <w:t>this would be consistent with the Act and this instrument</w:t>
      </w:r>
      <w:r w:rsidR="0006558F">
        <w:t>.</w:t>
      </w:r>
    </w:p>
    <w:p w14:paraId="6AFE1145" w14:textId="3139F7A5" w:rsidR="00E934A5" w:rsidRDefault="00B01673" w:rsidP="00E934A5">
      <w:pPr>
        <w:pStyle w:val="ActHead5"/>
      </w:pPr>
      <w:bookmarkStart w:id="20" w:name="_Toc151394344"/>
      <w:r>
        <w:t xml:space="preserve">12  </w:t>
      </w:r>
      <w:r w:rsidR="00EC2CCA">
        <w:t>Corporation must consider i</w:t>
      </w:r>
      <w:r w:rsidR="00E934A5">
        <w:t xml:space="preserve">mpacts </w:t>
      </w:r>
      <w:r w:rsidR="007232B0">
        <w:t xml:space="preserve">of </w:t>
      </w:r>
      <w:r w:rsidR="000A6A5D">
        <w:t xml:space="preserve">Corporation’s </w:t>
      </w:r>
      <w:r w:rsidR="00E934A5">
        <w:t xml:space="preserve">investment </w:t>
      </w:r>
      <w:bookmarkEnd w:id="18"/>
      <w:bookmarkEnd w:id="19"/>
      <w:r w:rsidR="000A6A5D">
        <w:t>practices</w:t>
      </w:r>
      <w:bookmarkEnd w:id="20"/>
    </w:p>
    <w:p w14:paraId="2FE97FC6" w14:textId="4A4D5591" w:rsidR="00CB3CD6" w:rsidRDefault="00CB3CD6" w:rsidP="00CB3CD6">
      <w:pPr>
        <w:pStyle w:val="subsection"/>
      </w:pPr>
      <w:r>
        <w:tab/>
      </w:r>
      <w:r>
        <w:tab/>
      </w:r>
      <w:r w:rsidR="000A6A5D">
        <w:t>T</w:t>
      </w:r>
      <w:r w:rsidR="00E934A5" w:rsidRPr="00CB3CD6">
        <w:t xml:space="preserve">he </w:t>
      </w:r>
      <w:r w:rsidR="005B6BD7" w:rsidRPr="00F402C5">
        <w:t>Corporation</w:t>
      </w:r>
      <w:r w:rsidR="000A6A5D">
        <w:t xml:space="preserve"> must</w:t>
      </w:r>
      <w:r>
        <w:t>:</w:t>
      </w:r>
    </w:p>
    <w:p w14:paraId="550BDC5E" w14:textId="3D5B6CEE" w:rsidR="000A6A5D" w:rsidRDefault="00CB3CD6" w:rsidP="000A6A5D">
      <w:pPr>
        <w:pStyle w:val="paragraph"/>
      </w:pPr>
      <w:r>
        <w:tab/>
        <w:t>(a)</w:t>
      </w:r>
      <w:r>
        <w:tab/>
      </w:r>
      <w:r w:rsidR="00E934A5" w:rsidRPr="00CB3CD6">
        <w:t xml:space="preserve">consider the potential effect </w:t>
      </w:r>
      <w:r w:rsidR="000A6A5D">
        <w:t xml:space="preserve">of the Corporation’s investment practices </w:t>
      </w:r>
      <w:r w:rsidR="00E934A5" w:rsidRPr="00CB3CD6">
        <w:t>on</w:t>
      </w:r>
      <w:r w:rsidR="000A6A5D">
        <w:t>:</w:t>
      </w:r>
    </w:p>
    <w:p w14:paraId="69E2C183" w14:textId="776EC9AA" w:rsidR="000A6A5D" w:rsidRDefault="000A6A5D" w:rsidP="00D1699A">
      <w:pPr>
        <w:pStyle w:val="paragraphsub"/>
      </w:pPr>
      <w:r>
        <w:tab/>
        <w:t>(i)</w:t>
      </w:r>
      <w:r>
        <w:tab/>
      </w:r>
      <w:r w:rsidR="00E934A5" w:rsidRPr="00CB3CD6">
        <w:t>other market participants</w:t>
      </w:r>
      <w:r>
        <w:t>;</w:t>
      </w:r>
      <w:r w:rsidR="00E934A5" w:rsidRPr="00CB3CD6">
        <w:t xml:space="preserve"> and</w:t>
      </w:r>
    </w:p>
    <w:p w14:paraId="0AD1667C" w14:textId="703B6B7A" w:rsidR="00CB3CD6" w:rsidRDefault="000A6A5D" w:rsidP="000A6A5D">
      <w:pPr>
        <w:pStyle w:val="paragraphsub"/>
      </w:pPr>
      <w:r>
        <w:tab/>
        <w:t>(ii)</w:t>
      </w:r>
      <w:r>
        <w:tab/>
      </w:r>
      <w:r w:rsidR="00E934A5" w:rsidRPr="00CB3CD6">
        <w:t>the efficient operation of the Australian financial market</w:t>
      </w:r>
      <w:r w:rsidR="00CB3CD6">
        <w:t>; and</w:t>
      </w:r>
    </w:p>
    <w:p w14:paraId="1E5556AD" w14:textId="329716BD" w:rsidR="00CB3CD6" w:rsidRDefault="00CB3CD6" w:rsidP="00D1699A">
      <w:pPr>
        <w:pStyle w:val="paragraph"/>
        <w:rPr>
          <w:i/>
        </w:rPr>
      </w:pPr>
      <w:r>
        <w:tab/>
        <w:t>(</w:t>
      </w:r>
      <w:r w:rsidR="000A6A5D">
        <w:t>b</w:t>
      </w:r>
      <w:r>
        <w:t>)</w:t>
      </w:r>
      <w:r>
        <w:tab/>
      </w:r>
      <w:r w:rsidR="00E934A5" w:rsidRPr="00CB3CD6">
        <w:t xml:space="preserve">seek to avoid displacing alternative private </w:t>
      </w:r>
      <w:r w:rsidR="00A90B9A">
        <w:t xml:space="preserve">and public </w:t>
      </w:r>
      <w:r w:rsidR="00E934A5" w:rsidRPr="00CB3CD6">
        <w:t xml:space="preserve">sector financing </w:t>
      </w:r>
      <w:r w:rsidR="00E934A5" w:rsidRPr="00F402C5">
        <w:t xml:space="preserve">in </w:t>
      </w:r>
      <w:r w:rsidRPr="00F402C5">
        <w:t xml:space="preserve">each </w:t>
      </w:r>
      <w:r w:rsidR="00E934A5" w:rsidRPr="00F402C5">
        <w:t>priority area of the Australian economy</w:t>
      </w:r>
      <w:r w:rsidR="00A90B9A">
        <w:t>, to the extent that this is reasonably practicable</w:t>
      </w:r>
      <w:r w:rsidR="000A6A5D">
        <w:rPr>
          <w:i/>
        </w:rPr>
        <w:t>.</w:t>
      </w:r>
    </w:p>
    <w:p w14:paraId="7D308C25" w14:textId="55B97CC6" w:rsidR="0091063A" w:rsidRPr="0091063A" w:rsidRDefault="00B01673" w:rsidP="00A82A50">
      <w:pPr>
        <w:pStyle w:val="ActHead5"/>
      </w:pPr>
      <w:bookmarkStart w:id="21" w:name="_Toc151394345"/>
      <w:r>
        <w:t xml:space="preserve">13  </w:t>
      </w:r>
      <w:r w:rsidR="00EC2CCA">
        <w:t>Corporation not to</w:t>
      </w:r>
      <w:r w:rsidR="0091063A">
        <w:t xml:space="preserve"> </w:t>
      </w:r>
      <w:r w:rsidR="0001033C">
        <w:t>d</w:t>
      </w:r>
      <w:r w:rsidR="0091063A">
        <w:t xml:space="preserve">amage </w:t>
      </w:r>
      <w:r w:rsidR="00673AE8">
        <w:t>Commonwealth</w:t>
      </w:r>
      <w:r w:rsidR="0091063A">
        <w:t>’s reputation</w:t>
      </w:r>
      <w:bookmarkEnd w:id="21"/>
    </w:p>
    <w:p w14:paraId="303D3DDE" w14:textId="058AC5C4" w:rsidR="00E934A5" w:rsidRDefault="000A6A5D" w:rsidP="00D1699A">
      <w:pPr>
        <w:pStyle w:val="subsection"/>
      </w:pPr>
      <w:r>
        <w:tab/>
      </w:r>
      <w:r>
        <w:tab/>
        <w:t xml:space="preserve">The Corporation </w:t>
      </w:r>
      <w:r w:rsidR="00E934A5" w:rsidRPr="00CB3CD6">
        <w:t>must not</w:t>
      </w:r>
      <w:r>
        <w:t xml:space="preserve">, through </w:t>
      </w:r>
      <w:r w:rsidR="005318A6">
        <w:t xml:space="preserve">the Corporation’s </w:t>
      </w:r>
      <w:r>
        <w:t>investment practices,</w:t>
      </w:r>
      <w:r w:rsidR="00E934A5" w:rsidRPr="00CB3CD6">
        <w:t xml:space="preserve"> act in a way that is likely to cause damage to the </w:t>
      </w:r>
      <w:r w:rsidR="00CB3CD6">
        <w:t xml:space="preserve">Commonwealth’s </w:t>
      </w:r>
      <w:r w:rsidR="00E934A5" w:rsidRPr="00CB3CD6">
        <w:t>reputation.</w:t>
      </w:r>
    </w:p>
    <w:p w14:paraId="38BE7FEC" w14:textId="0C43A3E5" w:rsidR="000A6A5D" w:rsidRPr="00D1699A" w:rsidRDefault="00B01673" w:rsidP="00D1699A">
      <w:pPr>
        <w:pStyle w:val="ActHead5"/>
        <w:rPr>
          <w:b w:val="0"/>
        </w:rPr>
      </w:pPr>
      <w:bookmarkStart w:id="22" w:name="_Toc151394346"/>
      <w:r w:rsidRPr="00D1699A">
        <w:t>1</w:t>
      </w:r>
      <w:r>
        <w:t>4</w:t>
      </w:r>
      <w:r w:rsidRPr="00D1699A">
        <w:t xml:space="preserve">  </w:t>
      </w:r>
      <w:r w:rsidR="000A6A5D" w:rsidRPr="00D1699A">
        <w:t>C</w:t>
      </w:r>
      <w:r w:rsidR="00EC2CCA">
        <w:t xml:space="preserve">orporation </w:t>
      </w:r>
      <w:r w:rsidR="00EC2CCA" w:rsidRPr="00A82A50">
        <w:t xml:space="preserve">must </w:t>
      </w:r>
      <w:r w:rsidR="00A82A50">
        <w:t>c</w:t>
      </w:r>
      <w:r w:rsidR="000A6A5D" w:rsidRPr="00D1699A">
        <w:t>ollaborat</w:t>
      </w:r>
      <w:r w:rsidR="00EC2CCA">
        <w:t>e</w:t>
      </w:r>
      <w:r w:rsidR="000A6A5D" w:rsidRPr="00D1699A">
        <w:t xml:space="preserve"> and cooperat</w:t>
      </w:r>
      <w:r w:rsidR="00EC2CCA">
        <w:t>e</w:t>
      </w:r>
      <w:bookmarkEnd w:id="22"/>
    </w:p>
    <w:p w14:paraId="451B1549" w14:textId="751B02C1" w:rsidR="006D0189" w:rsidRDefault="006D0189" w:rsidP="006D0189">
      <w:pPr>
        <w:pStyle w:val="subsection"/>
      </w:pPr>
      <w:r w:rsidRPr="003A3EE7">
        <w:rPr>
          <w:rFonts w:eastAsia="Batang"/>
          <w:lang w:eastAsia="ko-KR"/>
        </w:rPr>
        <w:tab/>
      </w:r>
      <w:r w:rsidR="00DC16E8" w:rsidRPr="009B0F64">
        <w:t>(1)</w:t>
      </w:r>
      <w:r w:rsidRPr="009B0F64">
        <w:tab/>
      </w:r>
      <w:r w:rsidRPr="00CB652B">
        <w:t xml:space="preserve">Where it would be practical and appropriate in order to facilitate the Corporation’s investment </w:t>
      </w:r>
      <w:r w:rsidRPr="00AD18A1">
        <w:t>practices</w:t>
      </w:r>
      <w:r w:rsidRPr="00E140D9">
        <w:t>, the Corporation must seek to cooperate and col</w:t>
      </w:r>
      <w:r w:rsidRPr="00CB652B">
        <w:t xml:space="preserve">laborate with </w:t>
      </w:r>
      <w:r w:rsidR="00360744">
        <w:t xml:space="preserve">other </w:t>
      </w:r>
      <w:r w:rsidRPr="00CB652B">
        <w:t>Commonwealth</w:t>
      </w:r>
      <w:r w:rsidR="00360744">
        <w:t xml:space="preserve"> entities</w:t>
      </w:r>
      <w:r w:rsidR="00DC16E8">
        <w:t>, and with any State or Territory entities,</w:t>
      </w:r>
      <w:r w:rsidR="00A67902">
        <w:t xml:space="preserve"> </w:t>
      </w:r>
      <w:r w:rsidRPr="00CB652B">
        <w:t>that are also able to support investments in the priority areas of the Australian economy.</w:t>
      </w:r>
    </w:p>
    <w:p w14:paraId="7F213C6D" w14:textId="0786FD41" w:rsidR="009C1CEE" w:rsidRPr="00826CD5" w:rsidRDefault="00DC16E8" w:rsidP="006D0189">
      <w:pPr>
        <w:pStyle w:val="subsection"/>
      </w:pPr>
      <w:r w:rsidRPr="00826CD5">
        <w:tab/>
        <w:t>(2)</w:t>
      </w:r>
      <w:r w:rsidRPr="00826CD5">
        <w:tab/>
      </w:r>
      <w:r w:rsidR="009C1CEE" w:rsidRPr="00826CD5">
        <w:t xml:space="preserve">Without limitation, </w:t>
      </w:r>
      <w:r w:rsidR="0073341B" w:rsidRPr="00826CD5">
        <w:t xml:space="preserve">for the purposes of subsection (1), </w:t>
      </w:r>
      <w:r w:rsidR="00532C1C" w:rsidRPr="00826CD5">
        <w:t xml:space="preserve">Commonwealth entities include but are not limited to </w:t>
      </w:r>
      <w:r w:rsidR="009C1CEE" w:rsidRPr="00826CD5">
        <w:t>the following:</w:t>
      </w:r>
    </w:p>
    <w:p w14:paraId="6779DA58" w14:textId="7A7C59B0" w:rsidR="009C1CEE" w:rsidRPr="00826CD5" w:rsidRDefault="009C1CEE" w:rsidP="009C1CEE">
      <w:pPr>
        <w:pStyle w:val="paragraph"/>
      </w:pPr>
      <w:r w:rsidRPr="00826CD5">
        <w:tab/>
        <w:t>(a)</w:t>
      </w:r>
      <w:r w:rsidRPr="00826CD5">
        <w:tab/>
        <w:t>the Australian Renewable Energy Agency;</w:t>
      </w:r>
    </w:p>
    <w:p w14:paraId="48BA3E35" w14:textId="6BA3C42E" w:rsidR="009C1CEE" w:rsidRPr="00826CD5" w:rsidRDefault="009C1CEE" w:rsidP="009C1CEE">
      <w:pPr>
        <w:pStyle w:val="paragraph"/>
      </w:pPr>
      <w:r w:rsidRPr="00826CD5">
        <w:tab/>
        <w:t>(b)</w:t>
      </w:r>
      <w:r w:rsidRPr="00826CD5">
        <w:tab/>
        <w:t>the Clean Energy Finance Corporation;</w:t>
      </w:r>
    </w:p>
    <w:p w14:paraId="2BF141BC" w14:textId="3C6AAA52" w:rsidR="009C1CEE" w:rsidRPr="00826CD5" w:rsidRDefault="009C1CEE" w:rsidP="009C1CEE">
      <w:pPr>
        <w:pStyle w:val="paragraph"/>
      </w:pPr>
      <w:r w:rsidRPr="00826CD5">
        <w:tab/>
        <w:t>(c)</w:t>
      </w:r>
      <w:r w:rsidRPr="00826CD5">
        <w:tab/>
        <w:t>the Northern Australia Infrastructure Facility;</w:t>
      </w:r>
    </w:p>
    <w:p w14:paraId="617391E7" w14:textId="6D9DDDDD" w:rsidR="009C1CEE" w:rsidRPr="00826CD5" w:rsidRDefault="009C1CEE" w:rsidP="009C1CEE">
      <w:pPr>
        <w:pStyle w:val="paragraph"/>
      </w:pPr>
      <w:r w:rsidRPr="00826CD5">
        <w:tab/>
        <w:t>(d)</w:t>
      </w:r>
      <w:r w:rsidRPr="00826CD5">
        <w:tab/>
        <w:t>Export Finance Australia;</w:t>
      </w:r>
    </w:p>
    <w:p w14:paraId="29B12522" w14:textId="6BBD87D5" w:rsidR="009C1CEE" w:rsidRPr="00826CD5" w:rsidRDefault="009C1CEE" w:rsidP="009C1CEE">
      <w:pPr>
        <w:pStyle w:val="paragraph"/>
      </w:pPr>
      <w:r w:rsidRPr="00826CD5">
        <w:tab/>
        <w:t>(e)</w:t>
      </w:r>
      <w:r w:rsidRPr="00826CD5">
        <w:tab/>
        <w:t>Housing Australia;</w:t>
      </w:r>
    </w:p>
    <w:p w14:paraId="0BEA5781" w14:textId="2ACA45E5" w:rsidR="009C1CEE" w:rsidRPr="00826CD5" w:rsidRDefault="009C1CEE" w:rsidP="009C1CEE">
      <w:pPr>
        <w:pStyle w:val="paragraph"/>
      </w:pPr>
      <w:r w:rsidRPr="00826CD5">
        <w:tab/>
        <w:t>(f)</w:t>
      </w:r>
      <w:r w:rsidRPr="00826CD5">
        <w:tab/>
        <w:t>the Regional Investment Corporation;</w:t>
      </w:r>
    </w:p>
    <w:p w14:paraId="382BB4A6" w14:textId="78F38F36" w:rsidR="009C1CEE" w:rsidRPr="00826CD5" w:rsidRDefault="009C1CEE" w:rsidP="009C1CEE">
      <w:pPr>
        <w:pStyle w:val="paragraph"/>
      </w:pPr>
      <w:r w:rsidRPr="00826CD5">
        <w:tab/>
        <w:t>(g)</w:t>
      </w:r>
      <w:r w:rsidRPr="00826CD5">
        <w:tab/>
        <w:t>the Net Zero Economy Agency</w:t>
      </w:r>
      <w:r w:rsidR="0073341B" w:rsidRPr="00826CD5">
        <w:t>.</w:t>
      </w:r>
    </w:p>
    <w:p w14:paraId="7B8DE0B4" w14:textId="46AFD28E" w:rsidR="00DC16E8" w:rsidRDefault="009C1CEE" w:rsidP="006D0189">
      <w:pPr>
        <w:pStyle w:val="subsection"/>
      </w:pPr>
      <w:r>
        <w:lastRenderedPageBreak/>
        <w:tab/>
      </w:r>
      <w:r w:rsidR="0073341B">
        <w:t>(3)</w:t>
      </w:r>
      <w:r>
        <w:tab/>
      </w:r>
      <w:r w:rsidR="00DC16E8">
        <w:t xml:space="preserve">For subsection (1), </w:t>
      </w:r>
      <w:r w:rsidR="00DE57BC">
        <w:t xml:space="preserve">each of </w:t>
      </w:r>
      <w:r w:rsidR="00DC16E8">
        <w:t xml:space="preserve">the following </w:t>
      </w:r>
      <w:r w:rsidR="00DE57BC">
        <w:t xml:space="preserve">is a </w:t>
      </w:r>
      <w:r w:rsidR="00DC16E8" w:rsidRPr="0042313D">
        <w:rPr>
          <w:b/>
          <w:i/>
        </w:rPr>
        <w:t>State or Territory entit</w:t>
      </w:r>
      <w:r w:rsidR="00DE57BC">
        <w:rPr>
          <w:b/>
          <w:i/>
        </w:rPr>
        <w:t>y</w:t>
      </w:r>
      <w:r w:rsidR="00DC16E8">
        <w:t>:</w:t>
      </w:r>
    </w:p>
    <w:p w14:paraId="19A3C481" w14:textId="14EEDD1D" w:rsidR="00DC16E8" w:rsidRDefault="00DC16E8" w:rsidP="00DC16E8">
      <w:pPr>
        <w:pStyle w:val="paragraph"/>
      </w:pPr>
      <w:r>
        <w:tab/>
        <w:t>(a)</w:t>
      </w:r>
      <w:r>
        <w:tab/>
      </w:r>
      <w:r w:rsidR="00DE57BC">
        <w:t xml:space="preserve">a </w:t>
      </w:r>
      <w:r>
        <w:t xml:space="preserve">State </w:t>
      </w:r>
      <w:r w:rsidR="00DE57BC">
        <w:t xml:space="preserve">or a </w:t>
      </w:r>
      <w:r>
        <w:t>Territory;</w:t>
      </w:r>
    </w:p>
    <w:p w14:paraId="3FE3449E" w14:textId="1BD8C975" w:rsidR="00DC16E8" w:rsidRDefault="00DC16E8" w:rsidP="00AB76C4">
      <w:pPr>
        <w:pStyle w:val="paragraph"/>
      </w:pPr>
      <w:r>
        <w:tab/>
        <w:t>(b)</w:t>
      </w:r>
      <w:r>
        <w:tab/>
      </w:r>
      <w:r w:rsidR="00DE57BC">
        <w:t xml:space="preserve">a body corporate </w:t>
      </w:r>
      <w:r>
        <w:t xml:space="preserve">established for a public purpose by or under a law of a State or </w:t>
      </w:r>
      <w:r w:rsidR="00DE57BC">
        <w:t xml:space="preserve">a </w:t>
      </w:r>
      <w:r>
        <w:t>Territory.</w:t>
      </w:r>
    </w:p>
    <w:p w14:paraId="66B55270" w14:textId="0C11F75C" w:rsidR="0073341B" w:rsidRDefault="0073341B" w:rsidP="0073341B">
      <w:pPr>
        <w:pStyle w:val="subsection"/>
        <w:rPr>
          <w:color w:val="000000"/>
          <w:szCs w:val="22"/>
        </w:rPr>
      </w:pPr>
      <w:r>
        <w:tab/>
        <w:t>(4)</w:t>
      </w:r>
      <w:r>
        <w:tab/>
      </w:r>
      <w:r w:rsidR="00532C1C">
        <w:rPr>
          <w14:ligatures w14:val="standardContextual"/>
        </w:rPr>
        <w:t>Where the Net Zero Economy Agency has engaged with the Corporation on opportunities that support the transition to net zero emissions, the Corporation will consider those opportunities.</w:t>
      </w:r>
    </w:p>
    <w:p w14:paraId="02070A4C" w14:textId="4DED8D53" w:rsidR="00E934A5" w:rsidRPr="00CB652B" w:rsidRDefault="00B01673" w:rsidP="00E934A5">
      <w:pPr>
        <w:pStyle w:val="ActHead5"/>
        <w:rPr>
          <w:u w:val="words"/>
        </w:rPr>
      </w:pPr>
      <w:bookmarkStart w:id="23" w:name="_Toc118452703"/>
      <w:bookmarkStart w:id="24" w:name="_Toc120704837"/>
      <w:bookmarkStart w:id="25" w:name="_Toc122015009"/>
      <w:bookmarkStart w:id="26" w:name="_Toc151394347"/>
      <w:r>
        <w:t xml:space="preserve">15  </w:t>
      </w:r>
      <w:r w:rsidR="00E934A5" w:rsidRPr="00F402C5">
        <w:t>Targeted</w:t>
      </w:r>
      <w:r w:rsidR="00E31A8C" w:rsidRPr="00F402C5">
        <w:t xml:space="preserve"> </w:t>
      </w:r>
      <w:r w:rsidR="00E934A5">
        <w:t>financing levels</w:t>
      </w:r>
      <w:bookmarkEnd w:id="23"/>
      <w:bookmarkEnd w:id="24"/>
      <w:bookmarkEnd w:id="25"/>
      <w:bookmarkEnd w:id="26"/>
    </w:p>
    <w:p w14:paraId="6322BD21" w14:textId="57562E83" w:rsidR="00E934A5" w:rsidRDefault="00546BB2" w:rsidP="00546BB2">
      <w:pPr>
        <w:pStyle w:val="subsection"/>
      </w:pPr>
      <w:r>
        <w:tab/>
      </w:r>
      <w:r>
        <w:tab/>
      </w:r>
      <w:r w:rsidR="00C80724">
        <w:t xml:space="preserve">The Corporation must allocate investments </w:t>
      </w:r>
      <w:r w:rsidR="00547D9E" w:rsidRPr="00BA09DD">
        <w:t xml:space="preserve">so as to </w:t>
      </w:r>
      <w:r w:rsidR="00547D9E" w:rsidRPr="00F402C5">
        <w:t>target</w:t>
      </w:r>
      <w:r w:rsidR="00E31A8C">
        <w:t xml:space="preserve"> </w:t>
      </w:r>
      <w:r w:rsidR="00547D9E" w:rsidRPr="00BA09DD">
        <w:t xml:space="preserve">the following </w:t>
      </w:r>
      <w:r w:rsidR="00547D9E">
        <w:t xml:space="preserve">funding </w:t>
      </w:r>
      <w:r w:rsidR="00547D9E" w:rsidRPr="00BA09DD">
        <w:t>levels</w:t>
      </w:r>
      <w:r w:rsidR="00E934A5" w:rsidRPr="003E3359">
        <w:t xml:space="preserve"> </w:t>
      </w:r>
      <w:r w:rsidR="00E934A5">
        <w:t>over</w:t>
      </w:r>
      <w:r w:rsidR="00E934A5" w:rsidRPr="003E3359">
        <w:t xml:space="preserve"> the medium to long</w:t>
      </w:r>
      <w:r w:rsidR="00FB5627">
        <w:t xml:space="preserve"> </w:t>
      </w:r>
      <w:r w:rsidR="00E934A5" w:rsidRPr="003E3359">
        <w:t>term:</w:t>
      </w:r>
    </w:p>
    <w:p w14:paraId="46BE8BAF" w14:textId="0512C40F" w:rsidR="00E934A5" w:rsidRPr="00F402C5" w:rsidRDefault="00546BB2" w:rsidP="00546BB2">
      <w:pPr>
        <w:pStyle w:val="paragraph"/>
      </w:pPr>
      <w:r w:rsidRPr="00E31A8C">
        <w:tab/>
        <w:t>(a)</w:t>
      </w:r>
      <w:r w:rsidRPr="00E31A8C">
        <w:tab/>
      </w:r>
      <w:r w:rsidR="00E934A5" w:rsidRPr="00F402C5">
        <w:t>renewables and low emission technologies</w:t>
      </w:r>
      <w:r w:rsidRPr="00E31A8C">
        <w:t>—</w:t>
      </w:r>
      <w:r w:rsidR="00A21198">
        <w:t xml:space="preserve">up to </w:t>
      </w:r>
      <w:r w:rsidR="00E934A5" w:rsidRPr="00856CAC">
        <w:t>$3 billion</w:t>
      </w:r>
      <w:r w:rsidRPr="00856CAC">
        <w:t>;</w:t>
      </w:r>
    </w:p>
    <w:p w14:paraId="17018A40" w14:textId="271C5A9B" w:rsidR="00E934A5" w:rsidRPr="00F402C5" w:rsidRDefault="00546BB2" w:rsidP="00347256">
      <w:pPr>
        <w:pStyle w:val="paragraph"/>
      </w:pPr>
      <w:r w:rsidRPr="00F402C5">
        <w:tab/>
        <w:t>(b)</w:t>
      </w:r>
      <w:r w:rsidRPr="00F402C5">
        <w:tab/>
      </w:r>
      <w:r w:rsidR="00E934A5" w:rsidRPr="00F402C5">
        <w:t>medical manufacturing</w:t>
      </w:r>
      <w:r w:rsidRPr="00E31A8C">
        <w:t>—</w:t>
      </w:r>
      <w:r w:rsidR="00E934A5" w:rsidRPr="00856CAC">
        <w:t>$1.5 billion</w:t>
      </w:r>
      <w:r w:rsidRPr="00856CAC">
        <w:t>;</w:t>
      </w:r>
    </w:p>
    <w:p w14:paraId="31216C47" w14:textId="193F8F7C" w:rsidR="00E934A5" w:rsidRPr="00F402C5" w:rsidRDefault="00546BB2" w:rsidP="00347256">
      <w:pPr>
        <w:pStyle w:val="paragraph"/>
      </w:pPr>
      <w:r w:rsidRPr="00F402C5">
        <w:tab/>
        <w:t>(c)</w:t>
      </w:r>
      <w:r w:rsidRPr="00F402C5">
        <w:tab/>
      </w:r>
      <w:r w:rsidR="00E934A5" w:rsidRPr="00F402C5">
        <w:t>value adding in resources</w:t>
      </w:r>
      <w:r w:rsidRPr="00E31A8C">
        <w:t>—</w:t>
      </w:r>
      <w:r w:rsidR="00E934A5" w:rsidRPr="00856CAC">
        <w:t>$1 billion</w:t>
      </w:r>
      <w:r w:rsidRPr="00856CAC">
        <w:t>;</w:t>
      </w:r>
    </w:p>
    <w:p w14:paraId="6A43AE04" w14:textId="2638301E" w:rsidR="00E934A5" w:rsidRPr="00F402C5" w:rsidRDefault="00546BB2" w:rsidP="00347256">
      <w:pPr>
        <w:pStyle w:val="paragraph"/>
      </w:pPr>
      <w:r w:rsidRPr="00F402C5">
        <w:tab/>
        <w:t>(d)</w:t>
      </w:r>
      <w:r w:rsidRPr="00F402C5">
        <w:tab/>
      </w:r>
      <w:r w:rsidR="00E934A5" w:rsidRPr="00F402C5">
        <w:t>critical technologies</w:t>
      </w:r>
      <w:r w:rsidR="005C7F83">
        <w:t xml:space="preserve"> in the national interest</w:t>
      </w:r>
      <w:r w:rsidRPr="00E31A8C">
        <w:t>—</w:t>
      </w:r>
      <w:r w:rsidR="00E934A5" w:rsidRPr="00856CAC">
        <w:t>$1 billion</w:t>
      </w:r>
      <w:r w:rsidRPr="00856CAC">
        <w:t>;</w:t>
      </w:r>
    </w:p>
    <w:p w14:paraId="4177C192" w14:textId="4CC11E1F" w:rsidR="00E934A5" w:rsidRPr="00F402C5" w:rsidRDefault="00546BB2" w:rsidP="00347256">
      <w:pPr>
        <w:pStyle w:val="paragraph"/>
      </w:pPr>
      <w:r w:rsidRPr="00F402C5">
        <w:tab/>
        <w:t>(e)</w:t>
      </w:r>
      <w:r w:rsidRPr="00F402C5">
        <w:tab/>
      </w:r>
      <w:r w:rsidR="00E934A5" w:rsidRPr="00F402C5">
        <w:t>advanced manufacturing</w:t>
      </w:r>
      <w:r w:rsidRPr="00E31A8C">
        <w:t>—</w:t>
      </w:r>
      <w:r w:rsidR="00E934A5" w:rsidRPr="00856CAC">
        <w:t>$1 billion</w:t>
      </w:r>
      <w:r w:rsidRPr="00856CAC">
        <w:t>;</w:t>
      </w:r>
    </w:p>
    <w:p w14:paraId="2A49CA05" w14:textId="4409313A" w:rsidR="00E934A5" w:rsidRPr="00F402C5" w:rsidRDefault="00546BB2" w:rsidP="00347256">
      <w:pPr>
        <w:pStyle w:val="paragraph"/>
      </w:pPr>
      <w:r w:rsidRPr="00F402C5">
        <w:tab/>
        <w:t>(f)</w:t>
      </w:r>
      <w:r w:rsidRPr="00F402C5">
        <w:tab/>
      </w:r>
      <w:r w:rsidR="00E934A5" w:rsidRPr="00F402C5">
        <w:t>agriculture, forestry, fisheries, food and fibre</w:t>
      </w:r>
      <w:r w:rsidRPr="00E31A8C">
        <w:t>—</w:t>
      </w:r>
      <w:r w:rsidR="00E934A5" w:rsidRPr="00856CAC">
        <w:t>$500 million.</w:t>
      </w:r>
    </w:p>
    <w:p w14:paraId="3CC78183" w14:textId="6D533B96" w:rsidR="00492838" w:rsidRDefault="00492838" w:rsidP="00F402C5">
      <w:pPr>
        <w:pStyle w:val="notetext"/>
      </w:pPr>
      <w:r>
        <w:t xml:space="preserve">Note: </w:t>
      </w:r>
      <w:r>
        <w:tab/>
      </w:r>
      <w:r w:rsidR="004906F1">
        <w:t xml:space="preserve">These target areas do not correspond directly with the priority areas of the Australian economy. </w:t>
      </w:r>
      <w:r w:rsidRPr="00492838">
        <w:t xml:space="preserve">It might be possible to count a particular investment in a single priority area of the Australian economy towards the target set out in any one of paragraphs (a) to (f), or to the targets set out in more than </w:t>
      </w:r>
      <w:r w:rsidR="00312B32">
        <w:t xml:space="preserve">one </w:t>
      </w:r>
      <w:r w:rsidRPr="00492838">
        <w:t>of paragraphs (a) to (f)</w:t>
      </w:r>
      <w:r w:rsidR="004906F1">
        <w:t>.</w:t>
      </w:r>
    </w:p>
    <w:p w14:paraId="532CA3C3" w14:textId="0920D329" w:rsidR="00E934A5" w:rsidRDefault="00B01673" w:rsidP="00E934A5">
      <w:pPr>
        <w:pStyle w:val="ActHead5"/>
      </w:pPr>
      <w:bookmarkStart w:id="27" w:name="_Toc118452710"/>
      <w:bookmarkStart w:id="28" w:name="_Toc120704840"/>
      <w:bookmarkStart w:id="29" w:name="_Toc122015010"/>
      <w:bookmarkStart w:id="30" w:name="_Toc151394348"/>
      <w:r>
        <w:t xml:space="preserve">16  </w:t>
      </w:r>
      <w:r w:rsidR="00E934A5">
        <w:t xml:space="preserve">Limits on </w:t>
      </w:r>
      <w:r w:rsidR="008E7D86" w:rsidRPr="00552718">
        <w:t>concessional</w:t>
      </w:r>
      <w:r w:rsidR="008E7D86">
        <w:rPr>
          <w:i/>
        </w:rPr>
        <w:t xml:space="preserve"> </w:t>
      </w:r>
      <w:r w:rsidR="00E934A5">
        <w:t>financial accommodation</w:t>
      </w:r>
      <w:bookmarkEnd w:id="27"/>
      <w:bookmarkEnd w:id="28"/>
      <w:bookmarkEnd w:id="29"/>
      <w:bookmarkEnd w:id="30"/>
    </w:p>
    <w:p w14:paraId="507EE498" w14:textId="5A84610C" w:rsidR="00624711" w:rsidRDefault="00E4014F" w:rsidP="0068408E">
      <w:pPr>
        <w:pStyle w:val="subsection"/>
      </w:pPr>
      <w:r>
        <w:tab/>
      </w:r>
      <w:r>
        <w:tab/>
      </w:r>
      <w:r w:rsidR="00E934A5" w:rsidRPr="00E4014F">
        <w:t xml:space="preserve">The </w:t>
      </w:r>
      <w:r w:rsidR="005B6BD7" w:rsidRPr="00315540">
        <w:t>Corporation</w:t>
      </w:r>
      <w:r w:rsidR="00315540">
        <w:t xml:space="preserve"> </w:t>
      </w:r>
      <w:r w:rsidR="00E934A5" w:rsidRPr="00E4014F">
        <w:t xml:space="preserve">must </w:t>
      </w:r>
      <w:r w:rsidR="006D7B38">
        <w:t xml:space="preserve">not provide </w:t>
      </w:r>
      <w:r w:rsidR="00E934A5" w:rsidRPr="00E4014F">
        <w:t>financial accommodation on concessional terms</w:t>
      </w:r>
      <w:r w:rsidR="006D7B38">
        <w:t xml:space="preserve"> unless</w:t>
      </w:r>
      <w:r w:rsidR="005F48CC">
        <w:t xml:space="preserve"> </w:t>
      </w:r>
      <w:r w:rsidR="00750BB1">
        <w:t>it</w:t>
      </w:r>
      <w:r w:rsidR="005F48CC">
        <w:t xml:space="preserve"> </w:t>
      </w:r>
      <w:r w:rsidR="006D7B38">
        <w:t>is satisfied that</w:t>
      </w:r>
      <w:r w:rsidR="00624711">
        <w:t>:</w:t>
      </w:r>
    </w:p>
    <w:p w14:paraId="22C3984A" w14:textId="4E371A39" w:rsidR="0089628C" w:rsidRDefault="00624711" w:rsidP="0089628C">
      <w:pPr>
        <w:pStyle w:val="paragraph"/>
      </w:pPr>
      <w:r>
        <w:tab/>
        <w:t>(a)</w:t>
      </w:r>
      <w:r>
        <w:tab/>
      </w:r>
      <w:r w:rsidR="0068408E">
        <w:t xml:space="preserve">this is the </w:t>
      </w:r>
      <w:r w:rsidR="0016559F">
        <w:t>most appropriate</w:t>
      </w:r>
      <w:r w:rsidR="006D7B38">
        <w:t xml:space="preserve"> </w:t>
      </w:r>
      <w:r w:rsidR="0068408E">
        <w:t xml:space="preserve">way of </w:t>
      </w:r>
      <w:r w:rsidR="005F48CC">
        <w:t xml:space="preserve">achieving </w:t>
      </w:r>
      <w:r w:rsidR="00DD61C4">
        <w:t xml:space="preserve">particular </w:t>
      </w:r>
      <w:r w:rsidR="006D7B38">
        <w:t xml:space="preserve">public policy outcomes that the </w:t>
      </w:r>
      <w:r w:rsidR="005F48CC">
        <w:t>Corporation</w:t>
      </w:r>
      <w:r w:rsidR="006D7B38">
        <w:t xml:space="preserve"> is seeking to achieve</w:t>
      </w:r>
      <w:r w:rsidR="005F48CC">
        <w:t>; and</w:t>
      </w:r>
    </w:p>
    <w:p w14:paraId="044F93E2" w14:textId="13974A8C" w:rsidR="00907915" w:rsidRPr="008F38B9" w:rsidRDefault="0005374A" w:rsidP="0089628C">
      <w:pPr>
        <w:pStyle w:val="paragraph"/>
      </w:pPr>
      <w:r>
        <w:tab/>
        <w:t>(b)</w:t>
      </w:r>
      <w:r>
        <w:tab/>
      </w:r>
      <w:r w:rsidR="00A37448" w:rsidRPr="008F38B9">
        <w:t xml:space="preserve">based on a reasonable </w:t>
      </w:r>
      <w:r w:rsidR="00385B4A" w:rsidRPr="008F38B9">
        <w:t>qualitative</w:t>
      </w:r>
      <w:r w:rsidR="00A37448" w:rsidRPr="008F38B9">
        <w:t xml:space="preserve"> assessment, </w:t>
      </w:r>
      <w:r w:rsidR="00907915" w:rsidRPr="008F38B9">
        <w:t>the level of concessionality is</w:t>
      </w:r>
      <w:r w:rsidR="00A37448" w:rsidRPr="008F38B9">
        <w:t xml:space="preserve"> </w:t>
      </w:r>
      <w:r w:rsidR="00907915" w:rsidRPr="008F38B9">
        <w:t xml:space="preserve">commensurate with </w:t>
      </w:r>
      <w:r w:rsidR="00A37448" w:rsidRPr="008F38B9">
        <w:t xml:space="preserve">the </w:t>
      </w:r>
      <w:r w:rsidR="00F4244F" w:rsidRPr="008F38B9">
        <w:t>anticipated</w:t>
      </w:r>
      <w:r w:rsidR="00F65496" w:rsidRPr="008F38B9">
        <w:t xml:space="preserve"> </w:t>
      </w:r>
      <w:r w:rsidR="00A37448" w:rsidRPr="008F38B9">
        <w:t>economic benefits and public policy outcomes</w:t>
      </w:r>
      <w:r w:rsidR="00907915" w:rsidRPr="008F38B9">
        <w:t>; and</w:t>
      </w:r>
    </w:p>
    <w:p w14:paraId="7293457B" w14:textId="38CC1F0F" w:rsidR="00E934A5" w:rsidRDefault="00907915" w:rsidP="0089628C">
      <w:pPr>
        <w:pStyle w:val="paragraph"/>
      </w:pPr>
      <w:r w:rsidRPr="008F38B9">
        <w:tab/>
        <w:t>(c)</w:t>
      </w:r>
      <w:r w:rsidRPr="008F38B9">
        <w:tab/>
      </w:r>
      <w:r w:rsidR="0005374A">
        <w:t>the concessionality</w:t>
      </w:r>
      <w:r w:rsidR="00624711">
        <w:t xml:space="preserve"> </w:t>
      </w:r>
      <w:r w:rsidR="006D7B38">
        <w:t xml:space="preserve">provided </w:t>
      </w:r>
      <w:r w:rsidR="00624711">
        <w:t>is the minim</w:t>
      </w:r>
      <w:r w:rsidR="006D7B38">
        <w:t xml:space="preserve">um that would </w:t>
      </w:r>
      <w:r w:rsidR="006D7B38" w:rsidRPr="008F38B9">
        <w:t xml:space="preserve">achieve those </w:t>
      </w:r>
      <w:r w:rsidR="00A37448" w:rsidRPr="008F38B9">
        <w:t xml:space="preserve">benefits and </w:t>
      </w:r>
      <w:r w:rsidR="006D7B38" w:rsidRPr="008F38B9">
        <w:t>outcomes</w:t>
      </w:r>
      <w:r w:rsidR="008F38B9" w:rsidRPr="008F38B9">
        <w:t xml:space="preserve"> and </w:t>
      </w:r>
      <w:r w:rsidR="00385B4A" w:rsidRPr="008F38B9">
        <w:t>allow the investment proposal to proceed</w:t>
      </w:r>
      <w:r w:rsidR="00E934A5" w:rsidRPr="00E4014F">
        <w:t>.</w:t>
      </w:r>
    </w:p>
    <w:p w14:paraId="4849B2C3" w14:textId="0615D6FD" w:rsidR="00E934A5" w:rsidRDefault="00B01673" w:rsidP="00E934A5">
      <w:pPr>
        <w:pStyle w:val="ActHead5"/>
      </w:pPr>
      <w:bookmarkStart w:id="31" w:name="_Toc118452711"/>
      <w:bookmarkStart w:id="32" w:name="_Toc120704841"/>
      <w:bookmarkStart w:id="33" w:name="_Toc122015011"/>
      <w:bookmarkStart w:id="34" w:name="_Toc151394349"/>
      <w:r>
        <w:t xml:space="preserve">17  </w:t>
      </w:r>
      <w:r w:rsidR="00E934A5">
        <w:t>Limits on equity investments</w:t>
      </w:r>
      <w:bookmarkEnd w:id="31"/>
      <w:bookmarkEnd w:id="32"/>
      <w:bookmarkEnd w:id="33"/>
      <w:bookmarkEnd w:id="34"/>
    </w:p>
    <w:p w14:paraId="38C9CC37" w14:textId="740A2F44" w:rsidR="00D35E55" w:rsidRDefault="00CA3BF6" w:rsidP="00552718">
      <w:pPr>
        <w:pStyle w:val="subsection"/>
      </w:pPr>
      <w:r>
        <w:tab/>
      </w:r>
      <w:r w:rsidR="00F34993">
        <w:t>(1)</w:t>
      </w:r>
      <w:r>
        <w:tab/>
      </w:r>
      <w:r w:rsidR="001947D7">
        <w:t>The Corporation</w:t>
      </w:r>
      <w:r w:rsidR="00482056">
        <w:t xml:space="preserve"> </w:t>
      </w:r>
      <w:r w:rsidR="006879AF">
        <w:t xml:space="preserve">must not acquire an equity interest in an entity </w:t>
      </w:r>
      <w:r w:rsidR="005846A5">
        <w:t xml:space="preserve">if this </w:t>
      </w:r>
      <w:r w:rsidR="006879AF">
        <w:t>would</w:t>
      </w:r>
      <w:r w:rsidR="001D27A2" w:rsidRPr="001D27A2">
        <w:t xml:space="preserve"> </w:t>
      </w:r>
      <w:r w:rsidR="001D27A2">
        <w:t>result in</w:t>
      </w:r>
      <w:r w:rsidR="0001033C">
        <w:t xml:space="preserve"> </w:t>
      </w:r>
      <w:r w:rsidR="006879AF">
        <w:t xml:space="preserve">Corporation </w:t>
      </w:r>
      <w:r w:rsidR="00D35E55">
        <w:t>b</w:t>
      </w:r>
      <w:r w:rsidR="006879AF">
        <w:t>odies</w:t>
      </w:r>
      <w:r w:rsidR="00382150">
        <w:t xml:space="preserve"> and</w:t>
      </w:r>
      <w:r w:rsidR="006879AF">
        <w:t xml:space="preserve"> any </w:t>
      </w:r>
      <w:r w:rsidR="00717584">
        <w:t xml:space="preserve">other </w:t>
      </w:r>
      <w:r w:rsidR="006879AF" w:rsidRPr="00D1699A">
        <w:t xml:space="preserve">Commonwealth </w:t>
      </w:r>
      <w:r w:rsidR="00A67902">
        <w:t xml:space="preserve">entities </w:t>
      </w:r>
      <w:r w:rsidR="00175464" w:rsidRPr="00382150">
        <w:t>together</w:t>
      </w:r>
      <w:r w:rsidR="006879AF">
        <w:t xml:space="preserve"> </w:t>
      </w:r>
      <w:r w:rsidR="00D35E55">
        <w:t>either:</w:t>
      </w:r>
    </w:p>
    <w:p w14:paraId="32AFC77E" w14:textId="311D8B15" w:rsidR="00D35E55" w:rsidRDefault="00D35E55" w:rsidP="00552718">
      <w:pPr>
        <w:pStyle w:val="paragraph"/>
      </w:pPr>
      <w:r>
        <w:tab/>
        <w:t>(</w:t>
      </w:r>
      <w:r w:rsidR="0001033C">
        <w:t>a</w:t>
      </w:r>
      <w:r>
        <w:t>)</w:t>
      </w:r>
      <w:r>
        <w:tab/>
      </w:r>
      <w:r w:rsidR="006879AF">
        <w:t xml:space="preserve">holding a majority of the equity </w:t>
      </w:r>
      <w:r>
        <w:t xml:space="preserve">interests </w:t>
      </w:r>
      <w:r w:rsidR="006879AF">
        <w:t>in the entity</w:t>
      </w:r>
      <w:r>
        <w:t>;</w:t>
      </w:r>
      <w:r w:rsidR="006879AF">
        <w:t xml:space="preserve"> or </w:t>
      </w:r>
    </w:p>
    <w:p w14:paraId="72B31846" w14:textId="556D6584" w:rsidR="006879AF" w:rsidRDefault="00D35E55" w:rsidP="00552718">
      <w:pPr>
        <w:pStyle w:val="paragraph"/>
      </w:pPr>
      <w:r>
        <w:tab/>
        <w:t>(</w:t>
      </w:r>
      <w:r w:rsidR="0001033C">
        <w:t>b</w:t>
      </w:r>
      <w:r>
        <w:t>)</w:t>
      </w:r>
      <w:r>
        <w:tab/>
      </w:r>
      <w:r w:rsidR="006879AF">
        <w:t>being in a position to control the entity</w:t>
      </w:r>
      <w:r>
        <w:t>.</w:t>
      </w:r>
    </w:p>
    <w:p w14:paraId="1F6CDDF1" w14:textId="7FE67FD3" w:rsidR="00F34993" w:rsidRPr="00E61840" w:rsidRDefault="00F34993" w:rsidP="00F34993">
      <w:pPr>
        <w:pStyle w:val="subsection"/>
      </w:pPr>
      <w:r w:rsidRPr="00E61840">
        <w:tab/>
        <w:t>(2)</w:t>
      </w:r>
      <w:r w:rsidRPr="00E61840">
        <w:tab/>
      </w:r>
      <w:r w:rsidR="00E519D3" w:rsidRPr="00E61840">
        <w:t>Subsection (3) applies if</w:t>
      </w:r>
      <w:r w:rsidRPr="00E61840">
        <w:t>:</w:t>
      </w:r>
    </w:p>
    <w:p w14:paraId="13762B58" w14:textId="7A55FAC5" w:rsidR="00F34993" w:rsidRPr="00E61840" w:rsidRDefault="00F34993" w:rsidP="00D1699A">
      <w:pPr>
        <w:pStyle w:val="paragraph"/>
      </w:pPr>
      <w:r w:rsidRPr="00E61840">
        <w:tab/>
        <w:t>(a)</w:t>
      </w:r>
      <w:r w:rsidRPr="00E61840">
        <w:tab/>
      </w:r>
      <w:r w:rsidR="00E519D3" w:rsidRPr="00E61840">
        <w:t xml:space="preserve">a Corporation body </w:t>
      </w:r>
      <w:r w:rsidRPr="00E61840">
        <w:t xml:space="preserve">holds </w:t>
      </w:r>
      <w:r w:rsidR="00E519D3" w:rsidRPr="00E61840">
        <w:t xml:space="preserve">one or more </w:t>
      </w:r>
      <w:r w:rsidRPr="00E61840">
        <w:t>equity interest</w:t>
      </w:r>
      <w:r w:rsidR="00E519D3" w:rsidRPr="00E61840">
        <w:t>s</w:t>
      </w:r>
      <w:r w:rsidRPr="00E61840">
        <w:t xml:space="preserve"> in an entity; and</w:t>
      </w:r>
    </w:p>
    <w:p w14:paraId="561F6F6E" w14:textId="15C72413" w:rsidR="001D27A2" w:rsidRPr="00E61840" w:rsidRDefault="00F34993" w:rsidP="00D1699A">
      <w:pPr>
        <w:pStyle w:val="paragraph"/>
      </w:pPr>
      <w:r w:rsidRPr="00E61840">
        <w:tab/>
        <w:t>(b)</w:t>
      </w:r>
      <w:r w:rsidRPr="00E61840">
        <w:tab/>
      </w:r>
      <w:r w:rsidR="00105144" w:rsidRPr="00CB652B">
        <w:t xml:space="preserve">the Corporation body becomes aware that </w:t>
      </w:r>
      <w:r w:rsidR="001D27A2" w:rsidRPr="00CB652B">
        <w:t xml:space="preserve">holding those equity interests results in </w:t>
      </w:r>
      <w:r w:rsidR="001A3FD0" w:rsidRPr="00CB652B">
        <w:t>the situation referred</w:t>
      </w:r>
      <w:r w:rsidR="001A3FD0" w:rsidRPr="00E61840">
        <w:t xml:space="preserve"> to in </w:t>
      </w:r>
      <w:r w:rsidR="001A3FD0">
        <w:t>subsection (1)</w:t>
      </w:r>
      <w:r w:rsidR="001D27A2" w:rsidRPr="00E61840">
        <w:t>.</w:t>
      </w:r>
    </w:p>
    <w:p w14:paraId="18C7C0A2" w14:textId="06DAEA6E" w:rsidR="00E519D3" w:rsidRPr="00E61840" w:rsidRDefault="00E519D3" w:rsidP="00D1699A">
      <w:pPr>
        <w:pStyle w:val="subsection"/>
      </w:pPr>
      <w:r w:rsidRPr="00E61840">
        <w:lastRenderedPageBreak/>
        <w:tab/>
        <w:t>(3)</w:t>
      </w:r>
      <w:r w:rsidRPr="00E61840">
        <w:tab/>
        <w:t>The Corporation body must:</w:t>
      </w:r>
    </w:p>
    <w:p w14:paraId="785C303B" w14:textId="59646FF6" w:rsidR="00E519D3" w:rsidRPr="00E61840" w:rsidRDefault="00E519D3" w:rsidP="00D1699A">
      <w:pPr>
        <w:pStyle w:val="paragraph"/>
        <w:rPr>
          <w:color w:val="000000"/>
          <w:szCs w:val="22"/>
        </w:rPr>
      </w:pPr>
      <w:r w:rsidRPr="00E61840">
        <w:rPr>
          <w:color w:val="000000"/>
          <w:szCs w:val="22"/>
        </w:rPr>
        <w:tab/>
        <w:t>(a)</w:t>
      </w:r>
      <w:r w:rsidRPr="00E61840">
        <w:rPr>
          <w:color w:val="000000"/>
          <w:szCs w:val="22"/>
        </w:rPr>
        <w:tab/>
      </w:r>
      <w:r w:rsidRPr="00CB652B">
        <w:rPr>
          <w:color w:val="000000"/>
          <w:szCs w:val="22"/>
        </w:rPr>
        <w:t xml:space="preserve">realise </w:t>
      </w:r>
      <w:r w:rsidR="0031659F" w:rsidRPr="00CB652B">
        <w:rPr>
          <w:color w:val="000000"/>
          <w:szCs w:val="22"/>
        </w:rPr>
        <w:t xml:space="preserve">sufficient </w:t>
      </w:r>
      <w:r w:rsidRPr="00CB652B">
        <w:rPr>
          <w:color w:val="000000"/>
          <w:szCs w:val="22"/>
        </w:rPr>
        <w:t xml:space="preserve">equity </w:t>
      </w:r>
      <w:r w:rsidRPr="00CB652B">
        <w:t>interests</w:t>
      </w:r>
      <w:r w:rsidR="0031659F" w:rsidRPr="00CB652B">
        <w:t xml:space="preserve"> so that the situation no longer exists</w:t>
      </w:r>
      <w:r w:rsidRPr="00CB652B">
        <w:rPr>
          <w:color w:val="000000"/>
          <w:szCs w:val="22"/>
        </w:rPr>
        <w:t>; and</w:t>
      </w:r>
    </w:p>
    <w:p w14:paraId="03B34CE3" w14:textId="16AD0BD8" w:rsidR="00E519D3" w:rsidRPr="00E61840" w:rsidRDefault="00E519D3" w:rsidP="00D1699A">
      <w:pPr>
        <w:pStyle w:val="paragraph"/>
      </w:pPr>
      <w:r w:rsidRPr="00E61840">
        <w:tab/>
        <w:t>(b)</w:t>
      </w:r>
      <w:r w:rsidRPr="00E61840">
        <w:tab/>
        <w:t>do so as soon as reasonably practicable in the circumstances after the Corporation body becomes aware of the fact.</w:t>
      </w:r>
    </w:p>
    <w:p w14:paraId="168662A8" w14:textId="373107BB" w:rsidR="00F34993" w:rsidRPr="00E61840" w:rsidRDefault="00F34993" w:rsidP="00F34993">
      <w:pPr>
        <w:pStyle w:val="subsection"/>
        <w:rPr>
          <w:iCs/>
          <w:color w:val="000000"/>
          <w:szCs w:val="22"/>
          <w:shd w:val="clear" w:color="auto" w:fill="FFFFFF"/>
        </w:rPr>
      </w:pPr>
      <w:r w:rsidRPr="00E61840">
        <w:tab/>
      </w:r>
      <w:r w:rsidRPr="00E46147">
        <w:t>(</w:t>
      </w:r>
      <w:r w:rsidR="00E519D3" w:rsidRPr="00E46147">
        <w:t>4</w:t>
      </w:r>
      <w:r w:rsidRPr="00E46147">
        <w:t>)</w:t>
      </w:r>
      <w:r w:rsidRPr="00E46147">
        <w:tab/>
        <w:t xml:space="preserve">For this section, </w:t>
      </w:r>
      <w:r w:rsidRPr="00E46147">
        <w:rPr>
          <w:b/>
          <w:i/>
        </w:rPr>
        <w:t xml:space="preserve">control </w:t>
      </w:r>
      <w:r w:rsidRPr="00CB652B">
        <w:t xml:space="preserve">has </w:t>
      </w:r>
      <w:r w:rsidR="00826CD5">
        <w:t xml:space="preserve">the </w:t>
      </w:r>
      <w:r w:rsidRPr="00CB652B">
        <w:rPr>
          <w:color w:val="000000"/>
          <w:szCs w:val="22"/>
          <w:shd w:val="clear" w:color="auto" w:fill="FFFFFF"/>
        </w:rPr>
        <w:t xml:space="preserve">same meaning as in the </w:t>
      </w:r>
      <w:r w:rsidR="00E516A9" w:rsidRPr="00CB652B">
        <w:rPr>
          <w:color w:val="000000"/>
          <w:szCs w:val="22"/>
          <w:shd w:val="clear" w:color="auto" w:fill="FFFFFF"/>
        </w:rPr>
        <w:t>definition of “subsidiary” in</w:t>
      </w:r>
      <w:r w:rsidR="00E46147" w:rsidRPr="00CB652B">
        <w:rPr>
          <w:color w:val="000000"/>
          <w:szCs w:val="22"/>
          <w:shd w:val="clear" w:color="auto" w:fill="FFFFFF"/>
        </w:rPr>
        <w:t xml:space="preserve"> the </w:t>
      </w:r>
      <w:r w:rsidR="00E46147" w:rsidRPr="00CB652B">
        <w:rPr>
          <w:i/>
          <w:color w:val="000000"/>
          <w:szCs w:val="22"/>
          <w:shd w:val="clear" w:color="auto" w:fill="FFFFFF"/>
        </w:rPr>
        <w:t>Public Governance, Performance and Accountability Act 201</w:t>
      </w:r>
      <w:r w:rsidR="004042AB" w:rsidRPr="00CB652B">
        <w:rPr>
          <w:i/>
          <w:color w:val="000000"/>
          <w:szCs w:val="22"/>
          <w:shd w:val="clear" w:color="auto" w:fill="FFFFFF"/>
        </w:rPr>
        <w:t>3</w:t>
      </w:r>
      <w:r w:rsidRPr="00CB652B">
        <w:rPr>
          <w:iCs/>
          <w:color w:val="000000"/>
          <w:szCs w:val="22"/>
          <w:shd w:val="clear" w:color="auto" w:fill="FFFFFF"/>
        </w:rPr>
        <w:t>.</w:t>
      </w:r>
    </w:p>
    <w:p w14:paraId="33562EDF" w14:textId="45CD8C6A" w:rsidR="00E934A5" w:rsidRDefault="00B01673" w:rsidP="00E934A5">
      <w:pPr>
        <w:pStyle w:val="ActHead5"/>
      </w:pPr>
      <w:bookmarkStart w:id="35" w:name="_Toc118452712"/>
      <w:bookmarkStart w:id="36" w:name="_Toc120704842"/>
      <w:bookmarkStart w:id="37" w:name="_Toc122015012"/>
      <w:bookmarkStart w:id="38" w:name="_Toc151394350"/>
      <w:r>
        <w:t xml:space="preserve">18  </w:t>
      </w:r>
      <w:r w:rsidR="00E934A5">
        <w:t>Limits on guarantees</w:t>
      </w:r>
      <w:bookmarkEnd w:id="35"/>
      <w:bookmarkEnd w:id="36"/>
      <w:bookmarkEnd w:id="37"/>
      <w:bookmarkEnd w:id="38"/>
    </w:p>
    <w:p w14:paraId="69206238" w14:textId="0BB0814C" w:rsidR="00C65B0E" w:rsidRDefault="00C65B0E" w:rsidP="00C65B0E">
      <w:pPr>
        <w:pStyle w:val="notemargin"/>
      </w:pPr>
      <w:r>
        <w:t>Note:</w:t>
      </w:r>
      <w:r>
        <w:tab/>
      </w:r>
      <w:r>
        <w:tab/>
      </w:r>
      <w:r w:rsidRPr="00536DCF">
        <w:t xml:space="preserve">Guarantees pose a particular risk to the </w:t>
      </w:r>
      <w:r w:rsidRPr="00D1699A">
        <w:t>Corporation’s</w:t>
      </w:r>
      <w:r w:rsidRPr="00536DCF">
        <w:t xml:space="preserve"> balance sheet and, as such, restrictions on their use are appropriate.</w:t>
      </w:r>
    </w:p>
    <w:p w14:paraId="503BAFB6" w14:textId="23BA9D0B" w:rsidR="00896369" w:rsidRDefault="00C65B0E" w:rsidP="00C65B0E">
      <w:pPr>
        <w:pStyle w:val="subsection"/>
      </w:pPr>
      <w:r>
        <w:tab/>
      </w:r>
      <w:r>
        <w:tab/>
        <w:t>T</w:t>
      </w:r>
      <w:r w:rsidRPr="00536DCF">
        <w:t>he</w:t>
      </w:r>
      <w:r w:rsidR="00896369">
        <w:t xml:space="preserve"> </w:t>
      </w:r>
      <w:r w:rsidR="000949FF" w:rsidRPr="00D1699A">
        <w:t>Corporation</w:t>
      </w:r>
      <w:r w:rsidR="000949FF" w:rsidRPr="00896369">
        <w:t xml:space="preserve"> </w:t>
      </w:r>
      <w:r w:rsidR="00896369" w:rsidRPr="00896369">
        <w:t>must</w:t>
      </w:r>
      <w:r w:rsidR="00896369">
        <w:t>:</w:t>
      </w:r>
    </w:p>
    <w:p w14:paraId="7DB9E2D0" w14:textId="7B0E9E4F" w:rsidR="00896369" w:rsidRDefault="00896369" w:rsidP="00896369">
      <w:pPr>
        <w:pStyle w:val="paragraph"/>
      </w:pPr>
      <w:r>
        <w:tab/>
        <w:t>(a)</w:t>
      </w:r>
      <w:r>
        <w:tab/>
      </w:r>
      <w:bookmarkStart w:id="39" w:name="_Hlk128392340"/>
      <w:r w:rsidR="00B13E1E" w:rsidRPr="000F2E24">
        <w:t xml:space="preserve">not give guarantees unless it is satisfied that this is the </w:t>
      </w:r>
      <w:r w:rsidR="00D24F78">
        <w:t xml:space="preserve">most appropriate </w:t>
      </w:r>
      <w:r w:rsidR="00B13E1E" w:rsidRPr="000F2E24">
        <w:t xml:space="preserve">way of achieving </w:t>
      </w:r>
      <w:r w:rsidR="00DD61C4" w:rsidRPr="000F2E24">
        <w:t xml:space="preserve">particular </w:t>
      </w:r>
      <w:r w:rsidR="00B13E1E" w:rsidRPr="000F2E24">
        <w:t>public policy outcomes that the Corporation is seeking to achieve</w:t>
      </w:r>
      <w:bookmarkEnd w:id="39"/>
      <w:r w:rsidRPr="00705180">
        <w:t>;</w:t>
      </w:r>
      <w:r>
        <w:t xml:space="preserve"> and</w:t>
      </w:r>
    </w:p>
    <w:p w14:paraId="6BC8354C" w14:textId="7663998B" w:rsidR="00896369" w:rsidRDefault="00C65B0E" w:rsidP="00896369">
      <w:pPr>
        <w:pStyle w:val="paragraph"/>
      </w:pPr>
      <w:r>
        <w:tab/>
        <w:t>(</w:t>
      </w:r>
      <w:r w:rsidR="00896369">
        <w:t>b</w:t>
      </w:r>
      <w:r>
        <w:t>)</w:t>
      </w:r>
      <w:r>
        <w:tab/>
      </w:r>
      <w:r w:rsidRPr="00536DCF">
        <w:t xml:space="preserve">ensure that </w:t>
      </w:r>
      <w:r>
        <w:t>any</w:t>
      </w:r>
      <w:r w:rsidRPr="00536DCF">
        <w:t xml:space="preserve"> guarantee</w:t>
      </w:r>
      <w:r>
        <w:t xml:space="preserve"> that </w:t>
      </w:r>
      <w:r w:rsidR="000949FF">
        <w:t>it</w:t>
      </w:r>
      <w:r w:rsidR="00896369">
        <w:t xml:space="preserve"> </w:t>
      </w:r>
      <w:r>
        <w:t>does give</w:t>
      </w:r>
      <w:r w:rsidRPr="00536DCF">
        <w:t xml:space="preserve"> </w:t>
      </w:r>
      <w:r>
        <w:t>is</w:t>
      </w:r>
      <w:r w:rsidRPr="00536DCF">
        <w:t xml:space="preserve"> </w:t>
      </w:r>
      <w:r w:rsidR="00F51337">
        <w:t xml:space="preserve">appropriately </w:t>
      </w:r>
      <w:r w:rsidRPr="00536DCF">
        <w:t>limited and quantifiable</w:t>
      </w:r>
      <w:r w:rsidR="00896369">
        <w:t>; and</w:t>
      </w:r>
    </w:p>
    <w:p w14:paraId="726EA2ED" w14:textId="5EF0A648" w:rsidR="00C73A70" w:rsidRPr="008F38B9" w:rsidRDefault="00C73A70" w:rsidP="00C73A70">
      <w:pPr>
        <w:pStyle w:val="paragraph"/>
      </w:pPr>
      <w:bookmarkStart w:id="40" w:name="_Toc118452714"/>
      <w:r w:rsidRPr="008F38B9">
        <w:tab/>
        <w:t>(</w:t>
      </w:r>
      <w:r w:rsidR="001601CF" w:rsidRPr="008F38B9">
        <w:t>c</w:t>
      </w:r>
      <w:r w:rsidRPr="008F38B9">
        <w:t>)</w:t>
      </w:r>
      <w:r w:rsidRPr="008F38B9">
        <w:tab/>
        <w:t>ensure that the total</w:t>
      </w:r>
      <w:r w:rsidR="00F65496" w:rsidRPr="008F38B9">
        <w:t xml:space="preserve"> </w:t>
      </w:r>
      <w:r w:rsidR="00385B4A" w:rsidRPr="008F38B9">
        <w:t>of the Corporation</w:t>
      </w:r>
      <w:r w:rsidR="00F65496" w:rsidRPr="008F38B9">
        <w:t xml:space="preserve">’s liabilities (whether actual or contingent) that are in respect of </w:t>
      </w:r>
      <w:r w:rsidRPr="008F38B9">
        <w:t>guarantee</w:t>
      </w:r>
      <w:r w:rsidR="00F65496" w:rsidRPr="008F38B9">
        <w:t>s</w:t>
      </w:r>
      <w:r w:rsidR="00271C2A" w:rsidRPr="008F38B9">
        <w:t xml:space="preserve"> </w:t>
      </w:r>
      <w:r w:rsidRPr="008F38B9">
        <w:t>do</w:t>
      </w:r>
      <w:r w:rsidR="001601CF" w:rsidRPr="008F38B9">
        <w:t>es</w:t>
      </w:r>
      <w:r w:rsidRPr="008F38B9">
        <w:t xml:space="preserve"> not</w:t>
      </w:r>
      <w:r w:rsidR="00F65496" w:rsidRPr="008F38B9">
        <w:t>, at any time,</w:t>
      </w:r>
      <w:r w:rsidR="00271C2A" w:rsidRPr="008F38B9">
        <w:t xml:space="preserve"> </w:t>
      </w:r>
      <w:r w:rsidRPr="008F38B9">
        <w:t>exceed 5</w:t>
      </w:r>
      <w:r w:rsidR="00F65496" w:rsidRPr="008F38B9">
        <w:t xml:space="preserve"> per cent </w:t>
      </w:r>
      <w:r w:rsidRPr="008F38B9">
        <w:t>of</w:t>
      </w:r>
      <w:r w:rsidRPr="008F38B9">
        <w:rPr>
          <w:szCs w:val="22"/>
          <w:shd w:val="clear" w:color="auto" w:fill="FFFFFF"/>
        </w:rPr>
        <w:t xml:space="preserve"> the </w:t>
      </w:r>
      <w:r w:rsidR="00F65496" w:rsidRPr="008F38B9">
        <w:rPr>
          <w:szCs w:val="22"/>
          <w:shd w:val="clear" w:color="auto" w:fill="FFFFFF"/>
        </w:rPr>
        <w:t>amount standing to the credit of the Account</w:t>
      </w:r>
      <w:r w:rsidRPr="008F38B9">
        <w:t>.</w:t>
      </w:r>
    </w:p>
    <w:p w14:paraId="3475B128" w14:textId="59376503" w:rsidR="00347256" w:rsidRDefault="00B01673" w:rsidP="00E934A5">
      <w:pPr>
        <w:pStyle w:val="ActHead5"/>
      </w:pPr>
      <w:bookmarkStart w:id="41" w:name="_Toc151394351"/>
      <w:bookmarkStart w:id="42" w:name="_Toc118452715"/>
      <w:bookmarkStart w:id="43" w:name="_Toc120704843"/>
      <w:bookmarkStart w:id="44" w:name="_Toc122015013"/>
      <w:bookmarkEnd w:id="40"/>
      <w:r>
        <w:t xml:space="preserve">19  </w:t>
      </w:r>
      <w:r w:rsidR="00C3508D">
        <w:t>Australian industry participation</w:t>
      </w:r>
      <w:bookmarkEnd w:id="41"/>
    </w:p>
    <w:bookmarkEnd w:id="42"/>
    <w:bookmarkEnd w:id="43"/>
    <w:bookmarkEnd w:id="44"/>
    <w:p w14:paraId="142C267D" w14:textId="40463397" w:rsidR="00E934A5" w:rsidRDefault="00E934A5" w:rsidP="00110DED">
      <w:pPr>
        <w:pStyle w:val="subsection"/>
        <w:rPr>
          <w:i/>
        </w:rPr>
      </w:pPr>
      <w:r>
        <w:tab/>
      </w:r>
      <w:r w:rsidR="00347256">
        <w:t>(1)</w:t>
      </w:r>
      <w:r w:rsidRPr="009027A9">
        <w:rPr>
          <w:i/>
        </w:rPr>
        <w:tab/>
      </w:r>
      <w:r w:rsidR="003674BC">
        <w:t>The Corporation must ensure that a</w:t>
      </w:r>
      <w:r w:rsidR="006E6ADB">
        <w:t xml:space="preserve">n </w:t>
      </w:r>
      <w:r w:rsidRPr="006E6ADB">
        <w:t xml:space="preserve">Australian Industry Participation (AIP) </w:t>
      </w:r>
      <w:r w:rsidR="00826CD5">
        <w:t>p</w:t>
      </w:r>
      <w:r w:rsidRPr="006E6ADB">
        <w:t>lan</w:t>
      </w:r>
      <w:r w:rsidR="00AB76C4">
        <w:t xml:space="preserve"> is</w:t>
      </w:r>
      <w:r w:rsidR="006E6ADB">
        <w:t xml:space="preserve"> completed for </w:t>
      </w:r>
      <w:r w:rsidR="00AB76C4">
        <w:t xml:space="preserve">an </w:t>
      </w:r>
      <w:r w:rsidR="006E6ADB">
        <w:t>investment</w:t>
      </w:r>
      <w:r w:rsidR="003674BC">
        <w:t xml:space="preserve"> </w:t>
      </w:r>
      <w:r w:rsidR="00AB76C4">
        <w:t xml:space="preserve">where required by </w:t>
      </w:r>
      <w:r w:rsidRPr="006E6ADB">
        <w:t xml:space="preserve">the </w:t>
      </w:r>
      <w:r w:rsidR="006E6ADB">
        <w:t xml:space="preserve">Australian </w:t>
      </w:r>
      <w:r w:rsidRPr="006E6ADB">
        <w:t xml:space="preserve">Government’s AIP </w:t>
      </w:r>
      <w:r w:rsidR="00826CD5">
        <w:t>p</w:t>
      </w:r>
      <w:r w:rsidRPr="006E6ADB">
        <w:t>lan policy</w:t>
      </w:r>
      <w:r w:rsidRPr="009027A9">
        <w:rPr>
          <w:i/>
        </w:rPr>
        <w:t>.</w:t>
      </w:r>
    </w:p>
    <w:p w14:paraId="161CF518" w14:textId="4C174C50" w:rsidR="00705180" w:rsidRPr="003B3670" w:rsidRDefault="00347256" w:rsidP="00385B4A">
      <w:pPr>
        <w:pStyle w:val="subsection"/>
      </w:pPr>
      <w:r>
        <w:tab/>
        <w:t>(2)</w:t>
      </w:r>
      <w:r>
        <w:tab/>
      </w:r>
      <w:r w:rsidR="00E41242">
        <w:t xml:space="preserve">The Corporation must consult with the Department of Finance about </w:t>
      </w:r>
      <w:r w:rsidR="00F66493">
        <w:t>the application of the Australian Government’s Buy Australian Plan.</w:t>
      </w:r>
    </w:p>
    <w:sectPr w:rsidR="00705180" w:rsidRPr="003B3670" w:rsidSect="008C2EAC">
      <w:headerReference w:type="even" r:id="rId23"/>
      <w:headerReference w:type="default" r:id="rId24"/>
      <w:footerReference w:type="even" r:id="rId25"/>
      <w:footerReference w:type="default" r:id="rId26"/>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2DBF" w14:textId="77777777" w:rsidR="00D41DCE" w:rsidRDefault="00D41DCE" w:rsidP="00715914">
      <w:pPr>
        <w:spacing w:line="240" w:lineRule="auto"/>
      </w:pPr>
      <w:r>
        <w:separator/>
      </w:r>
    </w:p>
  </w:endnote>
  <w:endnote w:type="continuationSeparator" w:id="0">
    <w:p w14:paraId="1AB28742" w14:textId="77777777" w:rsidR="00D41DCE" w:rsidRDefault="00D41DC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B8CD" w14:textId="77777777" w:rsidR="00D41DCE" w:rsidRPr="00E33C1C" w:rsidRDefault="00D41DCE"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41DCE" w14:paraId="4C1EC899" w14:textId="77777777" w:rsidTr="00B33709">
      <w:tc>
        <w:tcPr>
          <w:tcW w:w="709" w:type="dxa"/>
          <w:tcBorders>
            <w:top w:val="nil"/>
            <w:left w:val="nil"/>
            <w:bottom w:val="nil"/>
            <w:right w:val="nil"/>
          </w:tcBorders>
        </w:tcPr>
        <w:p w14:paraId="6956503C" w14:textId="77777777" w:rsidR="00D41DCE" w:rsidRDefault="00D41DCE"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2F50FDBE" w14:textId="09136BD0" w:rsidR="00D41DCE" w:rsidRPr="004E1307" w:rsidRDefault="00D41DCE"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National Reconstruction Fund Corporation (Investment Mandate) Direction 2023</w:t>
          </w:r>
          <w:r w:rsidRPr="004E1307">
            <w:rPr>
              <w:i/>
              <w:sz w:val="18"/>
            </w:rPr>
            <w:fldChar w:fldCharType="end"/>
          </w:r>
        </w:p>
      </w:tc>
      <w:tc>
        <w:tcPr>
          <w:tcW w:w="1383" w:type="dxa"/>
          <w:tcBorders>
            <w:top w:val="nil"/>
            <w:left w:val="nil"/>
            <w:bottom w:val="nil"/>
            <w:right w:val="nil"/>
          </w:tcBorders>
        </w:tcPr>
        <w:p w14:paraId="512323BC" w14:textId="77777777" w:rsidR="00D41DCE" w:rsidRDefault="00D41DCE" w:rsidP="00A369E3">
          <w:pPr>
            <w:spacing w:line="0" w:lineRule="atLeast"/>
            <w:jc w:val="right"/>
            <w:rPr>
              <w:sz w:val="18"/>
            </w:rPr>
          </w:pPr>
        </w:p>
      </w:tc>
    </w:tr>
    <w:tr w:rsidR="00D41DCE" w14:paraId="7FCC2D9F"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4028599" w14:textId="77777777" w:rsidR="00D41DCE" w:rsidRDefault="00D41DCE" w:rsidP="00A369E3">
          <w:pPr>
            <w:jc w:val="right"/>
            <w:rPr>
              <w:sz w:val="18"/>
            </w:rPr>
          </w:pPr>
        </w:p>
      </w:tc>
    </w:tr>
  </w:tbl>
  <w:p w14:paraId="56FF344E" w14:textId="77777777" w:rsidR="00D41DCE" w:rsidRPr="00ED79B6" w:rsidRDefault="00D41DCE"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9EF7" w14:textId="77777777" w:rsidR="00D41DCE" w:rsidRPr="00E33C1C" w:rsidRDefault="00D41DCE"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41DCE" w14:paraId="15F1EE6A" w14:textId="77777777" w:rsidTr="00A369E3">
      <w:tc>
        <w:tcPr>
          <w:tcW w:w="1384" w:type="dxa"/>
          <w:tcBorders>
            <w:top w:val="nil"/>
            <w:left w:val="nil"/>
            <w:bottom w:val="nil"/>
            <w:right w:val="nil"/>
          </w:tcBorders>
        </w:tcPr>
        <w:p w14:paraId="395C3230" w14:textId="77777777" w:rsidR="00D41DCE" w:rsidRDefault="00D41DCE" w:rsidP="00A369E3">
          <w:pPr>
            <w:spacing w:line="0" w:lineRule="atLeast"/>
            <w:rPr>
              <w:sz w:val="18"/>
            </w:rPr>
          </w:pPr>
        </w:p>
      </w:tc>
      <w:tc>
        <w:tcPr>
          <w:tcW w:w="6379" w:type="dxa"/>
          <w:tcBorders>
            <w:top w:val="nil"/>
            <w:left w:val="nil"/>
            <w:bottom w:val="nil"/>
            <w:right w:val="nil"/>
          </w:tcBorders>
        </w:tcPr>
        <w:p w14:paraId="20FE27B7" w14:textId="77777777" w:rsidR="00D41DCE" w:rsidRDefault="00D41DCE"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51466DDF" w14:textId="77777777" w:rsidR="00D41DCE" w:rsidRDefault="00D41DCE"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41DCE" w14:paraId="1BF518E1"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D540948" w14:textId="77777777" w:rsidR="00D41DCE" w:rsidRDefault="00D41DCE" w:rsidP="00A369E3">
          <w:pPr>
            <w:rPr>
              <w:sz w:val="18"/>
            </w:rPr>
          </w:pPr>
        </w:p>
      </w:tc>
    </w:tr>
  </w:tbl>
  <w:p w14:paraId="24C81DD2" w14:textId="77777777" w:rsidR="00D41DCE" w:rsidRPr="00ED79B6" w:rsidRDefault="00D41DCE"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9D07" w14:textId="77777777" w:rsidR="00D41DCE" w:rsidRPr="00E33C1C" w:rsidRDefault="00D41DCE"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D41DCE" w14:paraId="572D6439" w14:textId="77777777" w:rsidTr="00B33709">
      <w:tc>
        <w:tcPr>
          <w:tcW w:w="1384" w:type="dxa"/>
          <w:tcBorders>
            <w:top w:val="nil"/>
            <w:left w:val="nil"/>
            <w:bottom w:val="nil"/>
            <w:right w:val="nil"/>
          </w:tcBorders>
        </w:tcPr>
        <w:p w14:paraId="6E2021A8" w14:textId="77777777" w:rsidR="00D41DCE" w:rsidRDefault="00D41DCE" w:rsidP="00A369E3">
          <w:pPr>
            <w:spacing w:line="0" w:lineRule="atLeast"/>
            <w:rPr>
              <w:sz w:val="18"/>
            </w:rPr>
          </w:pPr>
        </w:p>
      </w:tc>
      <w:tc>
        <w:tcPr>
          <w:tcW w:w="6379" w:type="dxa"/>
          <w:tcBorders>
            <w:top w:val="nil"/>
            <w:left w:val="nil"/>
            <w:bottom w:val="nil"/>
            <w:right w:val="nil"/>
          </w:tcBorders>
        </w:tcPr>
        <w:p w14:paraId="61B81DA5" w14:textId="77777777" w:rsidR="00D41DCE" w:rsidRDefault="00D41DCE" w:rsidP="00A369E3">
          <w:pPr>
            <w:spacing w:line="0" w:lineRule="atLeast"/>
            <w:jc w:val="center"/>
            <w:rPr>
              <w:sz w:val="18"/>
            </w:rPr>
          </w:pPr>
        </w:p>
      </w:tc>
      <w:tc>
        <w:tcPr>
          <w:tcW w:w="709" w:type="dxa"/>
          <w:tcBorders>
            <w:top w:val="nil"/>
            <w:left w:val="nil"/>
            <w:bottom w:val="nil"/>
            <w:right w:val="nil"/>
          </w:tcBorders>
        </w:tcPr>
        <w:p w14:paraId="6F562745" w14:textId="77777777" w:rsidR="00D41DCE" w:rsidRDefault="00D41DCE" w:rsidP="00A369E3">
          <w:pPr>
            <w:spacing w:line="0" w:lineRule="atLeast"/>
            <w:jc w:val="right"/>
            <w:rPr>
              <w:sz w:val="18"/>
            </w:rPr>
          </w:pPr>
        </w:p>
      </w:tc>
    </w:tr>
  </w:tbl>
  <w:p w14:paraId="036AB6C0" w14:textId="77777777" w:rsidR="00D41DCE" w:rsidRPr="00ED79B6" w:rsidRDefault="00D41DCE"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CA36" w14:textId="77777777" w:rsidR="00D41DCE" w:rsidRPr="002B0EA5" w:rsidRDefault="00D41DCE" w:rsidP="00BC685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D41DCE" w14:paraId="0AE58844" w14:textId="77777777" w:rsidTr="00BC6855">
      <w:tc>
        <w:tcPr>
          <w:tcW w:w="365" w:type="pct"/>
        </w:tcPr>
        <w:p w14:paraId="392C4EBD" w14:textId="77777777" w:rsidR="00D41DCE" w:rsidRDefault="00D41DCE" w:rsidP="00BC685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73D56952" w14:textId="77777777" w:rsidR="00D41DCE" w:rsidRDefault="00D41DCE" w:rsidP="00BC6855">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947" w:type="pct"/>
        </w:tcPr>
        <w:p w14:paraId="5D3665A0" w14:textId="77777777" w:rsidR="00D41DCE" w:rsidRDefault="00D41DCE" w:rsidP="00BC6855">
          <w:pPr>
            <w:spacing w:line="0" w:lineRule="atLeast"/>
            <w:jc w:val="right"/>
            <w:rPr>
              <w:sz w:val="18"/>
            </w:rPr>
          </w:pPr>
        </w:p>
      </w:tc>
    </w:tr>
    <w:tr w:rsidR="00D41DCE" w14:paraId="529780FF" w14:textId="77777777" w:rsidTr="00BC6855">
      <w:tc>
        <w:tcPr>
          <w:tcW w:w="5000" w:type="pct"/>
          <w:gridSpan w:val="3"/>
        </w:tcPr>
        <w:p w14:paraId="22A943B7" w14:textId="77777777" w:rsidR="00D41DCE" w:rsidRDefault="00D41DCE" w:rsidP="00BC6855">
          <w:pPr>
            <w:jc w:val="right"/>
            <w:rPr>
              <w:sz w:val="18"/>
            </w:rPr>
          </w:pPr>
        </w:p>
      </w:tc>
    </w:tr>
  </w:tbl>
  <w:p w14:paraId="193C9559" w14:textId="77777777" w:rsidR="00D41DCE" w:rsidRPr="00ED79B6" w:rsidRDefault="00D41DCE" w:rsidP="00BC685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F18F" w14:textId="77777777" w:rsidR="00D41DCE" w:rsidRPr="002B0EA5" w:rsidRDefault="00D41DCE" w:rsidP="00BC685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D41DCE" w14:paraId="5FC70E33" w14:textId="77777777" w:rsidTr="00BC6855">
      <w:tc>
        <w:tcPr>
          <w:tcW w:w="947" w:type="pct"/>
        </w:tcPr>
        <w:p w14:paraId="4829BB2A" w14:textId="77777777" w:rsidR="00D41DCE" w:rsidRDefault="00D41DCE" w:rsidP="00BC6855">
          <w:pPr>
            <w:spacing w:line="0" w:lineRule="atLeast"/>
            <w:rPr>
              <w:sz w:val="18"/>
            </w:rPr>
          </w:pPr>
        </w:p>
      </w:tc>
      <w:tc>
        <w:tcPr>
          <w:tcW w:w="3688" w:type="pct"/>
        </w:tcPr>
        <w:p w14:paraId="03FE074A" w14:textId="6B30696C" w:rsidR="00D41DCE" w:rsidRDefault="00D41DCE" w:rsidP="00BC6855">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80BBC">
            <w:rPr>
              <w:i/>
              <w:noProof/>
              <w:sz w:val="18"/>
            </w:rPr>
            <w:t>National Reconstruction Fund Corporation (Investment Mandate) Direction 2023</w:t>
          </w:r>
          <w:r w:rsidRPr="004E1307">
            <w:rPr>
              <w:i/>
              <w:sz w:val="18"/>
            </w:rPr>
            <w:fldChar w:fldCharType="end"/>
          </w:r>
        </w:p>
      </w:tc>
      <w:tc>
        <w:tcPr>
          <w:tcW w:w="365" w:type="pct"/>
        </w:tcPr>
        <w:p w14:paraId="436A4ADE" w14:textId="77777777" w:rsidR="00D41DCE" w:rsidRDefault="00D41DCE" w:rsidP="00BC685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41DCE" w14:paraId="1708EA03" w14:textId="77777777" w:rsidTr="00BC6855">
      <w:tc>
        <w:tcPr>
          <w:tcW w:w="5000" w:type="pct"/>
          <w:gridSpan w:val="3"/>
        </w:tcPr>
        <w:p w14:paraId="7278956A" w14:textId="77777777" w:rsidR="00D41DCE" w:rsidRDefault="00D41DCE" w:rsidP="00BC6855">
          <w:pPr>
            <w:rPr>
              <w:sz w:val="18"/>
            </w:rPr>
          </w:pPr>
        </w:p>
      </w:tc>
    </w:tr>
  </w:tbl>
  <w:p w14:paraId="4C063B26" w14:textId="77777777" w:rsidR="00D41DCE" w:rsidRPr="00ED79B6" w:rsidRDefault="00D41DCE" w:rsidP="00BC685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642F" w14:textId="77777777" w:rsidR="00D41DCE" w:rsidRPr="002B0EA5" w:rsidRDefault="00D41DCE" w:rsidP="00BC685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D41DCE" w14:paraId="2E46510F" w14:textId="77777777" w:rsidTr="00BC6855">
      <w:tc>
        <w:tcPr>
          <w:tcW w:w="365" w:type="pct"/>
        </w:tcPr>
        <w:p w14:paraId="555546A0" w14:textId="77777777" w:rsidR="00D41DCE" w:rsidRDefault="00D41DCE" w:rsidP="00BC685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4383432A" w14:textId="6955A9CD" w:rsidR="00D41DCE" w:rsidRDefault="00D41DCE" w:rsidP="00BC6855">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80BBC">
            <w:rPr>
              <w:i/>
              <w:noProof/>
              <w:sz w:val="18"/>
            </w:rPr>
            <w:t>National Reconstruction Fund Corporation (Investment Mandate) Direction 2023</w:t>
          </w:r>
          <w:r w:rsidRPr="004E1307">
            <w:rPr>
              <w:i/>
              <w:sz w:val="18"/>
            </w:rPr>
            <w:fldChar w:fldCharType="end"/>
          </w:r>
        </w:p>
      </w:tc>
      <w:tc>
        <w:tcPr>
          <w:tcW w:w="947" w:type="pct"/>
        </w:tcPr>
        <w:p w14:paraId="1DB47056" w14:textId="77777777" w:rsidR="00D41DCE" w:rsidRDefault="00D41DCE" w:rsidP="00BC6855">
          <w:pPr>
            <w:spacing w:line="0" w:lineRule="atLeast"/>
            <w:jc w:val="right"/>
            <w:rPr>
              <w:sz w:val="18"/>
            </w:rPr>
          </w:pPr>
        </w:p>
      </w:tc>
    </w:tr>
    <w:tr w:rsidR="00D41DCE" w14:paraId="5A750041" w14:textId="77777777" w:rsidTr="00BC6855">
      <w:tc>
        <w:tcPr>
          <w:tcW w:w="5000" w:type="pct"/>
          <w:gridSpan w:val="3"/>
        </w:tcPr>
        <w:p w14:paraId="5AA080AB" w14:textId="77777777" w:rsidR="00D41DCE" w:rsidRDefault="00D41DCE" w:rsidP="00BC6855">
          <w:pPr>
            <w:jc w:val="right"/>
            <w:rPr>
              <w:sz w:val="18"/>
            </w:rPr>
          </w:pPr>
        </w:p>
      </w:tc>
    </w:tr>
  </w:tbl>
  <w:p w14:paraId="5597992D" w14:textId="77777777" w:rsidR="00D41DCE" w:rsidRPr="00ED79B6" w:rsidRDefault="00D41DCE" w:rsidP="00BC685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9E70" w14:textId="77777777" w:rsidR="00D41DCE" w:rsidRPr="002B0EA5" w:rsidRDefault="00D41DCE" w:rsidP="00BC685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D41DCE" w14:paraId="60D061A0" w14:textId="77777777" w:rsidTr="00BC6855">
      <w:tc>
        <w:tcPr>
          <w:tcW w:w="947" w:type="pct"/>
        </w:tcPr>
        <w:p w14:paraId="00ED0589" w14:textId="77777777" w:rsidR="00D41DCE" w:rsidRDefault="00D41DCE" w:rsidP="00BC6855">
          <w:pPr>
            <w:spacing w:line="0" w:lineRule="atLeast"/>
            <w:rPr>
              <w:sz w:val="18"/>
            </w:rPr>
          </w:pPr>
        </w:p>
      </w:tc>
      <w:tc>
        <w:tcPr>
          <w:tcW w:w="3688" w:type="pct"/>
        </w:tcPr>
        <w:p w14:paraId="1FF9F9E4" w14:textId="60488D36" w:rsidR="00D41DCE" w:rsidRDefault="00D41DCE" w:rsidP="00BC6855">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80BBC">
            <w:rPr>
              <w:i/>
              <w:noProof/>
              <w:sz w:val="18"/>
            </w:rPr>
            <w:t>National Reconstruction Fund Corporation (Investment Mandate) Direction 2023</w:t>
          </w:r>
          <w:r w:rsidRPr="004E1307">
            <w:rPr>
              <w:i/>
              <w:sz w:val="18"/>
            </w:rPr>
            <w:fldChar w:fldCharType="end"/>
          </w:r>
        </w:p>
      </w:tc>
      <w:tc>
        <w:tcPr>
          <w:tcW w:w="365" w:type="pct"/>
        </w:tcPr>
        <w:p w14:paraId="53F45E3E" w14:textId="77777777" w:rsidR="00D41DCE" w:rsidRDefault="00D41DCE" w:rsidP="00BC685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D41DCE" w14:paraId="2D0E9803" w14:textId="77777777" w:rsidTr="00BC6855">
      <w:tc>
        <w:tcPr>
          <w:tcW w:w="5000" w:type="pct"/>
          <w:gridSpan w:val="3"/>
        </w:tcPr>
        <w:p w14:paraId="353E2B44" w14:textId="77777777" w:rsidR="00D41DCE" w:rsidRDefault="00D41DCE" w:rsidP="00BC6855">
          <w:pPr>
            <w:rPr>
              <w:sz w:val="18"/>
            </w:rPr>
          </w:pPr>
        </w:p>
      </w:tc>
    </w:tr>
  </w:tbl>
  <w:p w14:paraId="23EA696F" w14:textId="77777777" w:rsidR="00D41DCE" w:rsidRPr="00ED79B6" w:rsidRDefault="00D41DCE" w:rsidP="00BC685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5C20" w14:textId="77777777" w:rsidR="00D41DCE" w:rsidRDefault="00D41DCE" w:rsidP="00715914">
      <w:pPr>
        <w:spacing w:line="240" w:lineRule="auto"/>
      </w:pPr>
      <w:r>
        <w:separator/>
      </w:r>
    </w:p>
  </w:footnote>
  <w:footnote w:type="continuationSeparator" w:id="0">
    <w:p w14:paraId="7AF7FC4E" w14:textId="77777777" w:rsidR="00D41DCE" w:rsidRDefault="00D41DC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6D2A" w14:textId="77777777" w:rsidR="00D41DCE" w:rsidRPr="005F1388" w:rsidRDefault="00D41DCE"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98E1" w14:textId="77777777" w:rsidR="00D41DCE" w:rsidRPr="005F1388" w:rsidRDefault="00D41DCE"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E16B" w14:textId="77777777" w:rsidR="00D41DCE" w:rsidRPr="00ED79B6" w:rsidRDefault="00D41DCE" w:rsidP="00BC6855">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C24" w14:textId="77777777" w:rsidR="00D41DCE" w:rsidRPr="00ED79B6" w:rsidRDefault="00D41DCE" w:rsidP="00BC6855">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089C" w14:textId="77777777" w:rsidR="00D41DCE" w:rsidRPr="00ED79B6" w:rsidRDefault="00D41DCE"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6798" w14:textId="77777777" w:rsidR="00D41DCE" w:rsidRDefault="00D41DCE" w:rsidP="00715914">
    <w:pPr>
      <w:rPr>
        <w:sz w:val="20"/>
      </w:rPr>
    </w:pPr>
  </w:p>
  <w:p w14:paraId="4B78DDDD" w14:textId="77777777" w:rsidR="00D41DCE" w:rsidRDefault="00D41DCE" w:rsidP="00715914">
    <w:pPr>
      <w:rPr>
        <w:sz w:val="20"/>
      </w:rPr>
    </w:pPr>
  </w:p>
  <w:p w14:paraId="76E44CD9" w14:textId="77777777" w:rsidR="00D41DCE" w:rsidRPr="007A1328" w:rsidRDefault="00D41DCE" w:rsidP="00715914">
    <w:pPr>
      <w:rPr>
        <w:sz w:val="20"/>
      </w:rPr>
    </w:pPr>
  </w:p>
  <w:p w14:paraId="2F651605" w14:textId="77777777" w:rsidR="00D41DCE" w:rsidRPr="007A1328" w:rsidRDefault="00D41DCE" w:rsidP="00715914">
    <w:pPr>
      <w:rPr>
        <w:b/>
        <w:sz w:val="24"/>
      </w:rPr>
    </w:pPr>
  </w:p>
  <w:p w14:paraId="540A9AF4" w14:textId="77777777" w:rsidR="00D41DCE" w:rsidRPr="007A1328" w:rsidRDefault="00D41DCE"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DAF9" w14:textId="77777777" w:rsidR="00D41DCE" w:rsidRPr="007A1328" w:rsidRDefault="00D41DCE" w:rsidP="00715914">
    <w:pPr>
      <w:jc w:val="right"/>
      <w:rPr>
        <w:sz w:val="20"/>
      </w:rPr>
    </w:pPr>
  </w:p>
  <w:p w14:paraId="31733ACE" w14:textId="77777777" w:rsidR="00D41DCE" w:rsidRPr="007A1328" w:rsidRDefault="00D41DCE" w:rsidP="00715914">
    <w:pPr>
      <w:jc w:val="right"/>
      <w:rPr>
        <w:sz w:val="20"/>
      </w:rPr>
    </w:pPr>
  </w:p>
  <w:p w14:paraId="2CA3BB17" w14:textId="77777777" w:rsidR="00D41DCE" w:rsidRPr="007A1328" w:rsidRDefault="00D41DCE" w:rsidP="00715914">
    <w:pPr>
      <w:jc w:val="right"/>
      <w:rPr>
        <w:sz w:val="20"/>
      </w:rPr>
    </w:pPr>
  </w:p>
  <w:p w14:paraId="204D3B6C" w14:textId="77777777" w:rsidR="00D41DCE" w:rsidRPr="007A1328" w:rsidRDefault="00D41DCE" w:rsidP="00715914">
    <w:pPr>
      <w:jc w:val="right"/>
      <w:rPr>
        <w:b/>
        <w:sz w:val="24"/>
      </w:rPr>
    </w:pPr>
  </w:p>
  <w:p w14:paraId="4DED5E73" w14:textId="77777777" w:rsidR="00D41DCE" w:rsidRPr="007A1328" w:rsidRDefault="00D41DCE"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E05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DC6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084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E269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2E6F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C5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463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8F1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B8D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67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06EB"/>
    <w:multiLevelType w:val="hybridMultilevel"/>
    <w:tmpl w:val="2E16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0802E8"/>
    <w:multiLevelType w:val="hybridMultilevel"/>
    <w:tmpl w:val="A206571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541F2"/>
    <w:multiLevelType w:val="hybridMultilevel"/>
    <w:tmpl w:val="3B42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8184C"/>
    <w:multiLevelType w:val="hybridMultilevel"/>
    <w:tmpl w:val="BB424B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19905CCF"/>
    <w:multiLevelType w:val="hybridMultilevel"/>
    <w:tmpl w:val="56A6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AD3D14"/>
    <w:multiLevelType w:val="hybridMultilevel"/>
    <w:tmpl w:val="E7DC9006"/>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2F4691"/>
    <w:multiLevelType w:val="hybridMultilevel"/>
    <w:tmpl w:val="E9261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492D38"/>
    <w:multiLevelType w:val="hybridMultilevel"/>
    <w:tmpl w:val="F10845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B691B70"/>
    <w:multiLevelType w:val="hybridMultilevel"/>
    <w:tmpl w:val="2E689F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2F812287"/>
    <w:multiLevelType w:val="hybridMultilevel"/>
    <w:tmpl w:val="AAB2D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34C53546"/>
    <w:multiLevelType w:val="hybridMultilevel"/>
    <w:tmpl w:val="F3BC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831F53"/>
    <w:multiLevelType w:val="hybridMultilevel"/>
    <w:tmpl w:val="B06233A6"/>
    <w:lvl w:ilvl="0" w:tplc="D4541A2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46486A05"/>
    <w:multiLevelType w:val="hybridMultilevel"/>
    <w:tmpl w:val="807EF3AE"/>
    <w:lvl w:ilvl="0" w:tplc="F6B2BD7A">
      <w:start w:val="1"/>
      <w:numFmt w:val="decimal"/>
      <w:lvlText w:val="(%1)"/>
      <w:lvlJc w:val="left"/>
      <w:pPr>
        <w:ind w:left="720" w:hanging="360"/>
      </w:pPr>
      <w:rPr>
        <w:rFonts w:hint="default"/>
      </w:rPr>
    </w:lvl>
    <w:lvl w:ilvl="1" w:tplc="E64A451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43658C"/>
    <w:multiLevelType w:val="hybridMultilevel"/>
    <w:tmpl w:val="7732223E"/>
    <w:lvl w:ilvl="0" w:tplc="96CC756E">
      <w:start w:val="1"/>
      <w:numFmt w:val="lowerLetter"/>
      <w:lvlText w:val="(%1)"/>
      <w:lvlJc w:val="left"/>
      <w:pPr>
        <w:ind w:left="2360" w:hanging="375"/>
      </w:pPr>
    </w:lvl>
    <w:lvl w:ilvl="1" w:tplc="0C090019">
      <w:start w:val="1"/>
      <w:numFmt w:val="lowerLetter"/>
      <w:lvlText w:val="%2."/>
      <w:lvlJc w:val="left"/>
      <w:pPr>
        <w:ind w:left="3065" w:hanging="360"/>
      </w:pPr>
    </w:lvl>
    <w:lvl w:ilvl="2" w:tplc="0C09001B">
      <w:start w:val="1"/>
      <w:numFmt w:val="lowerRoman"/>
      <w:lvlText w:val="%3."/>
      <w:lvlJc w:val="right"/>
      <w:pPr>
        <w:ind w:left="3785" w:hanging="180"/>
      </w:pPr>
    </w:lvl>
    <w:lvl w:ilvl="3" w:tplc="0C09000F">
      <w:start w:val="1"/>
      <w:numFmt w:val="decimal"/>
      <w:lvlText w:val="%4."/>
      <w:lvlJc w:val="left"/>
      <w:pPr>
        <w:ind w:left="4505" w:hanging="360"/>
      </w:pPr>
    </w:lvl>
    <w:lvl w:ilvl="4" w:tplc="0C090019">
      <w:start w:val="1"/>
      <w:numFmt w:val="lowerLetter"/>
      <w:lvlText w:val="%5."/>
      <w:lvlJc w:val="left"/>
      <w:pPr>
        <w:ind w:left="5225" w:hanging="360"/>
      </w:pPr>
    </w:lvl>
    <w:lvl w:ilvl="5" w:tplc="0C09001B">
      <w:start w:val="1"/>
      <w:numFmt w:val="lowerRoman"/>
      <w:lvlText w:val="%6."/>
      <w:lvlJc w:val="right"/>
      <w:pPr>
        <w:ind w:left="5945" w:hanging="180"/>
      </w:pPr>
    </w:lvl>
    <w:lvl w:ilvl="6" w:tplc="0C09000F">
      <w:start w:val="1"/>
      <w:numFmt w:val="decimal"/>
      <w:lvlText w:val="%7."/>
      <w:lvlJc w:val="left"/>
      <w:pPr>
        <w:ind w:left="6665" w:hanging="360"/>
      </w:pPr>
    </w:lvl>
    <w:lvl w:ilvl="7" w:tplc="0C090019">
      <w:start w:val="1"/>
      <w:numFmt w:val="lowerLetter"/>
      <w:lvlText w:val="%8."/>
      <w:lvlJc w:val="left"/>
      <w:pPr>
        <w:ind w:left="7385" w:hanging="360"/>
      </w:pPr>
    </w:lvl>
    <w:lvl w:ilvl="8" w:tplc="0C09001B">
      <w:start w:val="1"/>
      <w:numFmt w:val="lowerRoman"/>
      <w:lvlText w:val="%9."/>
      <w:lvlJc w:val="right"/>
      <w:pPr>
        <w:ind w:left="8105" w:hanging="180"/>
      </w:pPr>
    </w:lvl>
  </w:abstractNum>
  <w:abstractNum w:abstractNumId="28" w15:restartNumberingAfterBreak="0">
    <w:nsid w:val="577151E3"/>
    <w:multiLevelType w:val="hybridMultilevel"/>
    <w:tmpl w:val="93F2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0B2425"/>
    <w:multiLevelType w:val="hybridMultilevel"/>
    <w:tmpl w:val="97F4D578"/>
    <w:lvl w:ilvl="0" w:tplc="206E9A32">
      <w:start w:val="1"/>
      <w:numFmt w:val="decimal"/>
      <w:lvlText w:val="(%1)"/>
      <w:lvlJc w:val="left"/>
      <w:pPr>
        <w:ind w:left="1500" w:hanging="360"/>
      </w:pPr>
      <w:rPr>
        <w:rFonts w:hint="default"/>
      </w:rPr>
    </w:lvl>
    <w:lvl w:ilvl="1" w:tplc="96CC756E">
      <w:start w:val="1"/>
      <w:numFmt w:val="lowerLetter"/>
      <w:lvlText w:val="(%2)"/>
      <w:lvlJc w:val="left"/>
      <w:pPr>
        <w:ind w:left="2220" w:hanging="360"/>
      </w:pPr>
      <w:rPr>
        <w:rFonts w:hint="default"/>
      </w:r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0742FF"/>
    <w:multiLevelType w:val="hybridMultilevel"/>
    <w:tmpl w:val="96D85C8E"/>
    <w:lvl w:ilvl="0" w:tplc="195A0B92">
      <w:start w:val="1"/>
      <w:numFmt w:val="decimal"/>
      <w:lvlText w:val="(%1)"/>
      <w:lvlJc w:val="left"/>
      <w:pPr>
        <w:ind w:left="1140" w:hanging="390"/>
      </w:pPr>
      <w:rPr>
        <w:rFonts w:hint="default"/>
      </w:rPr>
    </w:lvl>
    <w:lvl w:ilvl="1" w:tplc="209EAB78">
      <w:start w:val="1"/>
      <w:numFmt w:val="lowerLetter"/>
      <w:lvlText w:val="(%2)"/>
      <w:lvlJc w:val="left"/>
      <w:pPr>
        <w:ind w:left="1845" w:hanging="375"/>
      </w:pPr>
      <w:rPr>
        <w:rFonts w:hint="default"/>
      </w:r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num w:numId="1" w16cid:durableId="1749888793">
    <w:abstractNumId w:val="9"/>
  </w:num>
  <w:num w:numId="2" w16cid:durableId="737944437">
    <w:abstractNumId w:val="7"/>
  </w:num>
  <w:num w:numId="3" w16cid:durableId="1034118227">
    <w:abstractNumId w:val="6"/>
  </w:num>
  <w:num w:numId="4" w16cid:durableId="261842925">
    <w:abstractNumId w:val="5"/>
  </w:num>
  <w:num w:numId="5" w16cid:durableId="968241506">
    <w:abstractNumId w:val="4"/>
  </w:num>
  <w:num w:numId="6" w16cid:durableId="353312497">
    <w:abstractNumId w:val="8"/>
  </w:num>
  <w:num w:numId="7" w16cid:durableId="763845108">
    <w:abstractNumId w:val="3"/>
  </w:num>
  <w:num w:numId="8" w16cid:durableId="852839768">
    <w:abstractNumId w:val="2"/>
  </w:num>
  <w:num w:numId="9" w16cid:durableId="821701521">
    <w:abstractNumId w:val="1"/>
  </w:num>
  <w:num w:numId="10" w16cid:durableId="1613513579">
    <w:abstractNumId w:val="0"/>
  </w:num>
  <w:num w:numId="11" w16cid:durableId="469130267">
    <w:abstractNumId w:val="25"/>
  </w:num>
  <w:num w:numId="12" w16cid:durableId="729615999">
    <w:abstractNumId w:val="12"/>
  </w:num>
  <w:num w:numId="13" w16cid:durableId="1479834505">
    <w:abstractNumId w:val="17"/>
  </w:num>
  <w:num w:numId="14" w16cid:durableId="238365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866342">
    <w:abstractNumId w:val="29"/>
  </w:num>
  <w:num w:numId="16" w16cid:durableId="1665552157">
    <w:abstractNumId w:val="31"/>
  </w:num>
  <w:num w:numId="17" w16cid:durableId="1236623518">
    <w:abstractNumId w:val="27"/>
  </w:num>
  <w:num w:numId="18" w16cid:durableId="781993966">
    <w:abstractNumId w:val="14"/>
  </w:num>
  <w:num w:numId="19" w16cid:durableId="1940871200">
    <w:abstractNumId w:val="19"/>
  </w:num>
  <w:num w:numId="20" w16cid:durableId="1544443626">
    <w:abstractNumId w:val="20"/>
  </w:num>
  <w:num w:numId="21" w16cid:durableId="1758477769">
    <w:abstractNumId w:val="24"/>
  </w:num>
  <w:num w:numId="22" w16cid:durableId="1339039394">
    <w:abstractNumId w:val="26"/>
  </w:num>
  <w:num w:numId="23" w16cid:durableId="521935311">
    <w:abstractNumId w:val="22"/>
  </w:num>
  <w:num w:numId="24" w16cid:durableId="137272699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3618534">
    <w:abstractNumId w:val="11"/>
  </w:num>
  <w:num w:numId="26" w16cid:durableId="1638563443">
    <w:abstractNumId w:val="16"/>
  </w:num>
  <w:num w:numId="27" w16cid:durableId="710031014">
    <w:abstractNumId w:val="21"/>
  </w:num>
  <w:num w:numId="28" w16cid:durableId="382871222">
    <w:abstractNumId w:val="28"/>
  </w:num>
  <w:num w:numId="29" w16cid:durableId="1773432974">
    <w:abstractNumId w:val="10"/>
  </w:num>
  <w:num w:numId="30" w16cid:durableId="1323847700">
    <w:abstractNumId w:val="13"/>
  </w:num>
  <w:num w:numId="31" w16cid:durableId="1009019172">
    <w:abstractNumId w:val="23"/>
  </w:num>
  <w:num w:numId="32" w16cid:durableId="2095853907">
    <w:abstractNumId w:val="18"/>
  </w:num>
  <w:num w:numId="33" w16cid:durableId="89738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6A"/>
    <w:rsid w:val="000004A3"/>
    <w:rsid w:val="00003054"/>
    <w:rsid w:val="00004174"/>
    <w:rsid w:val="0000443A"/>
    <w:rsid w:val="00004470"/>
    <w:rsid w:val="0000451C"/>
    <w:rsid w:val="0001033C"/>
    <w:rsid w:val="00010E1F"/>
    <w:rsid w:val="0001148E"/>
    <w:rsid w:val="000136AF"/>
    <w:rsid w:val="00015DF3"/>
    <w:rsid w:val="000203D2"/>
    <w:rsid w:val="00020D44"/>
    <w:rsid w:val="00023AE8"/>
    <w:rsid w:val="000258B1"/>
    <w:rsid w:val="000277F7"/>
    <w:rsid w:val="0003287A"/>
    <w:rsid w:val="00037282"/>
    <w:rsid w:val="00037FD8"/>
    <w:rsid w:val="0004032A"/>
    <w:rsid w:val="00040A89"/>
    <w:rsid w:val="000437C1"/>
    <w:rsid w:val="0004455A"/>
    <w:rsid w:val="0004540D"/>
    <w:rsid w:val="00046116"/>
    <w:rsid w:val="0004713A"/>
    <w:rsid w:val="00047E47"/>
    <w:rsid w:val="00050CC3"/>
    <w:rsid w:val="0005365D"/>
    <w:rsid w:val="0005374A"/>
    <w:rsid w:val="000565E9"/>
    <w:rsid w:val="00061115"/>
    <w:rsid w:val="000614BF"/>
    <w:rsid w:val="00063AA2"/>
    <w:rsid w:val="00064B51"/>
    <w:rsid w:val="0006558F"/>
    <w:rsid w:val="0006709C"/>
    <w:rsid w:val="000676B8"/>
    <w:rsid w:val="000678E6"/>
    <w:rsid w:val="000721DF"/>
    <w:rsid w:val="00072690"/>
    <w:rsid w:val="00074376"/>
    <w:rsid w:val="00074B2E"/>
    <w:rsid w:val="0007700E"/>
    <w:rsid w:val="000809BC"/>
    <w:rsid w:val="00082627"/>
    <w:rsid w:val="00083783"/>
    <w:rsid w:val="000871E6"/>
    <w:rsid w:val="00091601"/>
    <w:rsid w:val="000949FF"/>
    <w:rsid w:val="000978F5"/>
    <w:rsid w:val="000A6A5D"/>
    <w:rsid w:val="000B15CD"/>
    <w:rsid w:val="000B35EB"/>
    <w:rsid w:val="000B6F1A"/>
    <w:rsid w:val="000C134B"/>
    <w:rsid w:val="000C16D1"/>
    <w:rsid w:val="000C4DD1"/>
    <w:rsid w:val="000D05EF"/>
    <w:rsid w:val="000D3080"/>
    <w:rsid w:val="000D3193"/>
    <w:rsid w:val="000D5C3A"/>
    <w:rsid w:val="000E2261"/>
    <w:rsid w:val="000E5DD4"/>
    <w:rsid w:val="000E78B7"/>
    <w:rsid w:val="000E7B4C"/>
    <w:rsid w:val="000F21C1"/>
    <w:rsid w:val="000F2945"/>
    <w:rsid w:val="000F2E24"/>
    <w:rsid w:val="000F4F38"/>
    <w:rsid w:val="000F625A"/>
    <w:rsid w:val="000F6AD8"/>
    <w:rsid w:val="000F7119"/>
    <w:rsid w:val="00100211"/>
    <w:rsid w:val="00103E21"/>
    <w:rsid w:val="00105144"/>
    <w:rsid w:val="00105919"/>
    <w:rsid w:val="0010745C"/>
    <w:rsid w:val="00110DED"/>
    <w:rsid w:val="00116CE5"/>
    <w:rsid w:val="00117260"/>
    <w:rsid w:val="0012232E"/>
    <w:rsid w:val="00123DFD"/>
    <w:rsid w:val="00126F8D"/>
    <w:rsid w:val="00131A28"/>
    <w:rsid w:val="00131B01"/>
    <w:rsid w:val="00132CEB"/>
    <w:rsid w:val="001339B0"/>
    <w:rsid w:val="00134839"/>
    <w:rsid w:val="00140BBB"/>
    <w:rsid w:val="00142B62"/>
    <w:rsid w:val="001441B7"/>
    <w:rsid w:val="001446B6"/>
    <w:rsid w:val="00144A8E"/>
    <w:rsid w:val="001516CB"/>
    <w:rsid w:val="00151D70"/>
    <w:rsid w:val="00152336"/>
    <w:rsid w:val="00157B8B"/>
    <w:rsid w:val="001601CF"/>
    <w:rsid w:val="00160AC5"/>
    <w:rsid w:val="001634D2"/>
    <w:rsid w:val="0016559F"/>
    <w:rsid w:val="00165AE5"/>
    <w:rsid w:val="00166382"/>
    <w:rsid w:val="00166C2F"/>
    <w:rsid w:val="00170DF5"/>
    <w:rsid w:val="001719C0"/>
    <w:rsid w:val="00171CB9"/>
    <w:rsid w:val="0017479E"/>
    <w:rsid w:val="00175464"/>
    <w:rsid w:val="00175D1E"/>
    <w:rsid w:val="00175DA7"/>
    <w:rsid w:val="0018072B"/>
    <w:rsid w:val="001809D7"/>
    <w:rsid w:val="00180ED6"/>
    <w:rsid w:val="00186BC2"/>
    <w:rsid w:val="001871A0"/>
    <w:rsid w:val="001939E1"/>
    <w:rsid w:val="001947D7"/>
    <w:rsid w:val="00194C3E"/>
    <w:rsid w:val="00195382"/>
    <w:rsid w:val="001A3CC6"/>
    <w:rsid w:val="001A3FD0"/>
    <w:rsid w:val="001A66E3"/>
    <w:rsid w:val="001B0A63"/>
    <w:rsid w:val="001B2CB6"/>
    <w:rsid w:val="001B3260"/>
    <w:rsid w:val="001B6E4D"/>
    <w:rsid w:val="001C159D"/>
    <w:rsid w:val="001C61C5"/>
    <w:rsid w:val="001C69C4"/>
    <w:rsid w:val="001D27A2"/>
    <w:rsid w:val="001D37EF"/>
    <w:rsid w:val="001D3838"/>
    <w:rsid w:val="001D3E6B"/>
    <w:rsid w:val="001D4D9A"/>
    <w:rsid w:val="001E1436"/>
    <w:rsid w:val="001E3590"/>
    <w:rsid w:val="001E406B"/>
    <w:rsid w:val="001E7407"/>
    <w:rsid w:val="001F1320"/>
    <w:rsid w:val="001F4D3E"/>
    <w:rsid w:val="001F5835"/>
    <w:rsid w:val="001F5D5E"/>
    <w:rsid w:val="001F6219"/>
    <w:rsid w:val="001F6CD4"/>
    <w:rsid w:val="002009FE"/>
    <w:rsid w:val="0020404A"/>
    <w:rsid w:val="002044E4"/>
    <w:rsid w:val="002063F1"/>
    <w:rsid w:val="00206C4D"/>
    <w:rsid w:val="00210955"/>
    <w:rsid w:val="0021227C"/>
    <w:rsid w:val="00212806"/>
    <w:rsid w:val="00215019"/>
    <w:rsid w:val="00215AF1"/>
    <w:rsid w:val="00215CD3"/>
    <w:rsid w:val="00227958"/>
    <w:rsid w:val="002321E8"/>
    <w:rsid w:val="00232984"/>
    <w:rsid w:val="00233158"/>
    <w:rsid w:val="00234CE5"/>
    <w:rsid w:val="00234F16"/>
    <w:rsid w:val="002372E1"/>
    <w:rsid w:val="0024010F"/>
    <w:rsid w:val="0024051F"/>
    <w:rsid w:val="00240749"/>
    <w:rsid w:val="00243018"/>
    <w:rsid w:val="002462DA"/>
    <w:rsid w:val="0024796B"/>
    <w:rsid w:val="00256461"/>
    <w:rsid w:val="002564A4"/>
    <w:rsid w:val="00262133"/>
    <w:rsid w:val="002651D5"/>
    <w:rsid w:val="00265BBA"/>
    <w:rsid w:val="00266C3E"/>
    <w:rsid w:val="0026736C"/>
    <w:rsid w:val="00270ACB"/>
    <w:rsid w:val="00271C2A"/>
    <w:rsid w:val="002758FB"/>
    <w:rsid w:val="002760BF"/>
    <w:rsid w:val="00280BBC"/>
    <w:rsid w:val="00281308"/>
    <w:rsid w:val="002839AA"/>
    <w:rsid w:val="00284535"/>
    <w:rsid w:val="00284719"/>
    <w:rsid w:val="00284AEE"/>
    <w:rsid w:val="00290033"/>
    <w:rsid w:val="002908D4"/>
    <w:rsid w:val="00295973"/>
    <w:rsid w:val="00297ECB"/>
    <w:rsid w:val="002A135B"/>
    <w:rsid w:val="002A18BA"/>
    <w:rsid w:val="002A2AC0"/>
    <w:rsid w:val="002A723C"/>
    <w:rsid w:val="002A7270"/>
    <w:rsid w:val="002A7BCF"/>
    <w:rsid w:val="002B36D9"/>
    <w:rsid w:val="002B43D0"/>
    <w:rsid w:val="002B752C"/>
    <w:rsid w:val="002B7615"/>
    <w:rsid w:val="002C1C91"/>
    <w:rsid w:val="002C3FD1"/>
    <w:rsid w:val="002D043A"/>
    <w:rsid w:val="002D1257"/>
    <w:rsid w:val="002D266B"/>
    <w:rsid w:val="002D2B44"/>
    <w:rsid w:val="002D3645"/>
    <w:rsid w:val="002D4D80"/>
    <w:rsid w:val="002D5003"/>
    <w:rsid w:val="002D567F"/>
    <w:rsid w:val="002D6224"/>
    <w:rsid w:val="002D7DED"/>
    <w:rsid w:val="002E27F1"/>
    <w:rsid w:val="002E355D"/>
    <w:rsid w:val="002E7C55"/>
    <w:rsid w:val="002F6DBF"/>
    <w:rsid w:val="00302005"/>
    <w:rsid w:val="00303516"/>
    <w:rsid w:val="00304F8B"/>
    <w:rsid w:val="00305BA0"/>
    <w:rsid w:val="0030754D"/>
    <w:rsid w:val="00310844"/>
    <w:rsid w:val="00312B32"/>
    <w:rsid w:val="00315540"/>
    <w:rsid w:val="0031659F"/>
    <w:rsid w:val="0032393E"/>
    <w:rsid w:val="00331716"/>
    <w:rsid w:val="0033440E"/>
    <w:rsid w:val="00335BC6"/>
    <w:rsid w:val="003415D3"/>
    <w:rsid w:val="0034376A"/>
    <w:rsid w:val="00344338"/>
    <w:rsid w:val="00344701"/>
    <w:rsid w:val="00347256"/>
    <w:rsid w:val="00347B08"/>
    <w:rsid w:val="00352B0F"/>
    <w:rsid w:val="00357714"/>
    <w:rsid w:val="00360459"/>
    <w:rsid w:val="00360744"/>
    <w:rsid w:val="003646D4"/>
    <w:rsid w:val="0036492A"/>
    <w:rsid w:val="003674BC"/>
    <w:rsid w:val="003731F5"/>
    <w:rsid w:val="0037342F"/>
    <w:rsid w:val="003767E2"/>
    <w:rsid w:val="003778D3"/>
    <w:rsid w:val="0038049F"/>
    <w:rsid w:val="00382150"/>
    <w:rsid w:val="0038503A"/>
    <w:rsid w:val="00385B4A"/>
    <w:rsid w:val="00391380"/>
    <w:rsid w:val="0039708D"/>
    <w:rsid w:val="003A084F"/>
    <w:rsid w:val="003A3CD6"/>
    <w:rsid w:val="003A3EE7"/>
    <w:rsid w:val="003A54A7"/>
    <w:rsid w:val="003B3670"/>
    <w:rsid w:val="003B46EA"/>
    <w:rsid w:val="003C100A"/>
    <w:rsid w:val="003C3345"/>
    <w:rsid w:val="003C3A40"/>
    <w:rsid w:val="003C56B2"/>
    <w:rsid w:val="003C6231"/>
    <w:rsid w:val="003C771D"/>
    <w:rsid w:val="003D0149"/>
    <w:rsid w:val="003D0BFE"/>
    <w:rsid w:val="003D3B1F"/>
    <w:rsid w:val="003D5700"/>
    <w:rsid w:val="003E341B"/>
    <w:rsid w:val="003E4D00"/>
    <w:rsid w:val="003E6D64"/>
    <w:rsid w:val="003F15BE"/>
    <w:rsid w:val="003F1737"/>
    <w:rsid w:val="003F40EA"/>
    <w:rsid w:val="003F4269"/>
    <w:rsid w:val="003F45EA"/>
    <w:rsid w:val="004042AB"/>
    <w:rsid w:val="00405B79"/>
    <w:rsid w:val="00407AD7"/>
    <w:rsid w:val="004116CD"/>
    <w:rsid w:val="004161F6"/>
    <w:rsid w:val="00417EB9"/>
    <w:rsid w:val="00422313"/>
    <w:rsid w:val="0042313D"/>
    <w:rsid w:val="00423BD1"/>
    <w:rsid w:val="00424CA9"/>
    <w:rsid w:val="00424F6A"/>
    <w:rsid w:val="00426602"/>
    <w:rsid w:val="004276DF"/>
    <w:rsid w:val="00430763"/>
    <w:rsid w:val="00431E9B"/>
    <w:rsid w:val="00433298"/>
    <w:rsid w:val="004379E3"/>
    <w:rsid w:val="0044015E"/>
    <w:rsid w:val="00441768"/>
    <w:rsid w:val="00441CCC"/>
    <w:rsid w:val="0044291A"/>
    <w:rsid w:val="00443C76"/>
    <w:rsid w:val="00445A01"/>
    <w:rsid w:val="0045495C"/>
    <w:rsid w:val="00463433"/>
    <w:rsid w:val="00464A70"/>
    <w:rsid w:val="00464D10"/>
    <w:rsid w:val="00465483"/>
    <w:rsid w:val="00467661"/>
    <w:rsid w:val="00472DBE"/>
    <w:rsid w:val="00474A19"/>
    <w:rsid w:val="004760F6"/>
    <w:rsid w:val="00477702"/>
    <w:rsid w:val="00477830"/>
    <w:rsid w:val="0048154D"/>
    <w:rsid w:val="00482056"/>
    <w:rsid w:val="00482AE6"/>
    <w:rsid w:val="00483102"/>
    <w:rsid w:val="00484C63"/>
    <w:rsid w:val="00484E89"/>
    <w:rsid w:val="00486DB2"/>
    <w:rsid w:val="00487764"/>
    <w:rsid w:val="004906F1"/>
    <w:rsid w:val="00492838"/>
    <w:rsid w:val="00496F97"/>
    <w:rsid w:val="004A53AB"/>
    <w:rsid w:val="004A6A87"/>
    <w:rsid w:val="004A7EDB"/>
    <w:rsid w:val="004B1678"/>
    <w:rsid w:val="004B18DC"/>
    <w:rsid w:val="004B513E"/>
    <w:rsid w:val="004B6C48"/>
    <w:rsid w:val="004C0D55"/>
    <w:rsid w:val="004C1DD0"/>
    <w:rsid w:val="004C25A2"/>
    <w:rsid w:val="004C4E59"/>
    <w:rsid w:val="004C6809"/>
    <w:rsid w:val="004C796E"/>
    <w:rsid w:val="004D0DE9"/>
    <w:rsid w:val="004D263A"/>
    <w:rsid w:val="004D3518"/>
    <w:rsid w:val="004D3913"/>
    <w:rsid w:val="004E063A"/>
    <w:rsid w:val="004E0BBA"/>
    <w:rsid w:val="004E0E26"/>
    <w:rsid w:val="004E1307"/>
    <w:rsid w:val="004E199A"/>
    <w:rsid w:val="004E7BEC"/>
    <w:rsid w:val="004F3078"/>
    <w:rsid w:val="00504949"/>
    <w:rsid w:val="00505D3D"/>
    <w:rsid w:val="00506AF6"/>
    <w:rsid w:val="00507027"/>
    <w:rsid w:val="00516B8D"/>
    <w:rsid w:val="00522ED7"/>
    <w:rsid w:val="0052469D"/>
    <w:rsid w:val="00526331"/>
    <w:rsid w:val="00530235"/>
    <w:rsid w:val="005303C8"/>
    <w:rsid w:val="005318A6"/>
    <w:rsid w:val="00532C1C"/>
    <w:rsid w:val="00535BB9"/>
    <w:rsid w:val="00537FBC"/>
    <w:rsid w:val="00544095"/>
    <w:rsid w:val="00546BB2"/>
    <w:rsid w:val="00547D9E"/>
    <w:rsid w:val="00552718"/>
    <w:rsid w:val="00553260"/>
    <w:rsid w:val="00554826"/>
    <w:rsid w:val="00555B3D"/>
    <w:rsid w:val="00562877"/>
    <w:rsid w:val="00565CB5"/>
    <w:rsid w:val="00573605"/>
    <w:rsid w:val="005753C5"/>
    <w:rsid w:val="005765C4"/>
    <w:rsid w:val="00577D53"/>
    <w:rsid w:val="00580140"/>
    <w:rsid w:val="005846A5"/>
    <w:rsid w:val="00584811"/>
    <w:rsid w:val="00585784"/>
    <w:rsid w:val="0058707B"/>
    <w:rsid w:val="005907F6"/>
    <w:rsid w:val="00591351"/>
    <w:rsid w:val="00593AA6"/>
    <w:rsid w:val="00594161"/>
    <w:rsid w:val="00594749"/>
    <w:rsid w:val="005947B5"/>
    <w:rsid w:val="00595705"/>
    <w:rsid w:val="00597637"/>
    <w:rsid w:val="005A5855"/>
    <w:rsid w:val="005A65D5"/>
    <w:rsid w:val="005B15C4"/>
    <w:rsid w:val="005B1E2C"/>
    <w:rsid w:val="005B4067"/>
    <w:rsid w:val="005B4C36"/>
    <w:rsid w:val="005B5F73"/>
    <w:rsid w:val="005B6BD7"/>
    <w:rsid w:val="005C3F41"/>
    <w:rsid w:val="005C4B65"/>
    <w:rsid w:val="005C7465"/>
    <w:rsid w:val="005C7BCA"/>
    <w:rsid w:val="005C7CAF"/>
    <w:rsid w:val="005C7F83"/>
    <w:rsid w:val="005D0D26"/>
    <w:rsid w:val="005D1CFF"/>
    <w:rsid w:val="005D1D92"/>
    <w:rsid w:val="005D2D09"/>
    <w:rsid w:val="005D32CF"/>
    <w:rsid w:val="005D7DF0"/>
    <w:rsid w:val="005E096F"/>
    <w:rsid w:val="005E7209"/>
    <w:rsid w:val="005E7290"/>
    <w:rsid w:val="005F48CC"/>
    <w:rsid w:val="005F5FE1"/>
    <w:rsid w:val="005F6001"/>
    <w:rsid w:val="005F6019"/>
    <w:rsid w:val="005F63A5"/>
    <w:rsid w:val="00600219"/>
    <w:rsid w:val="00600ECC"/>
    <w:rsid w:val="00602824"/>
    <w:rsid w:val="00604F2A"/>
    <w:rsid w:val="0060718D"/>
    <w:rsid w:val="00607984"/>
    <w:rsid w:val="00613F78"/>
    <w:rsid w:val="00617D78"/>
    <w:rsid w:val="00620076"/>
    <w:rsid w:val="00622DDA"/>
    <w:rsid w:val="00624711"/>
    <w:rsid w:val="00625FB3"/>
    <w:rsid w:val="00627E0A"/>
    <w:rsid w:val="00631C2F"/>
    <w:rsid w:val="00636FF7"/>
    <w:rsid w:val="00640092"/>
    <w:rsid w:val="0064678D"/>
    <w:rsid w:val="00650EA0"/>
    <w:rsid w:val="006517CE"/>
    <w:rsid w:val="00652BFF"/>
    <w:rsid w:val="0065488B"/>
    <w:rsid w:val="006556E7"/>
    <w:rsid w:val="00661AD9"/>
    <w:rsid w:val="00662F69"/>
    <w:rsid w:val="006636E3"/>
    <w:rsid w:val="0066437E"/>
    <w:rsid w:val="0066672D"/>
    <w:rsid w:val="00670EA1"/>
    <w:rsid w:val="006738FB"/>
    <w:rsid w:val="00673AE8"/>
    <w:rsid w:val="006766AE"/>
    <w:rsid w:val="00677CC2"/>
    <w:rsid w:val="00680BD5"/>
    <w:rsid w:val="0068408E"/>
    <w:rsid w:val="0068744B"/>
    <w:rsid w:val="006879AF"/>
    <w:rsid w:val="006905DE"/>
    <w:rsid w:val="0069207B"/>
    <w:rsid w:val="006A154F"/>
    <w:rsid w:val="006A1657"/>
    <w:rsid w:val="006A437B"/>
    <w:rsid w:val="006A7037"/>
    <w:rsid w:val="006B0726"/>
    <w:rsid w:val="006B4E88"/>
    <w:rsid w:val="006B5520"/>
    <w:rsid w:val="006B5789"/>
    <w:rsid w:val="006C30C5"/>
    <w:rsid w:val="006C4505"/>
    <w:rsid w:val="006C7F8C"/>
    <w:rsid w:val="006D0189"/>
    <w:rsid w:val="006D39F8"/>
    <w:rsid w:val="006D73F5"/>
    <w:rsid w:val="006D7B23"/>
    <w:rsid w:val="006D7B38"/>
    <w:rsid w:val="006E2E1C"/>
    <w:rsid w:val="006E4BCB"/>
    <w:rsid w:val="006E6246"/>
    <w:rsid w:val="006E69C2"/>
    <w:rsid w:val="006E6ADB"/>
    <w:rsid w:val="006E6DCC"/>
    <w:rsid w:val="006F0C13"/>
    <w:rsid w:val="006F318F"/>
    <w:rsid w:val="006F7988"/>
    <w:rsid w:val="00700155"/>
    <w:rsid w:val="0070017E"/>
    <w:rsid w:val="00700707"/>
    <w:rsid w:val="00700B2C"/>
    <w:rsid w:val="007050A2"/>
    <w:rsid w:val="00705180"/>
    <w:rsid w:val="0071236D"/>
    <w:rsid w:val="00713084"/>
    <w:rsid w:val="00714F20"/>
    <w:rsid w:val="0071590F"/>
    <w:rsid w:val="00715914"/>
    <w:rsid w:val="0071632C"/>
    <w:rsid w:val="00717584"/>
    <w:rsid w:val="0072147A"/>
    <w:rsid w:val="0072154E"/>
    <w:rsid w:val="007232B0"/>
    <w:rsid w:val="00723791"/>
    <w:rsid w:val="00725BFB"/>
    <w:rsid w:val="00730FB3"/>
    <w:rsid w:val="00731E00"/>
    <w:rsid w:val="0073341B"/>
    <w:rsid w:val="00743561"/>
    <w:rsid w:val="007440B7"/>
    <w:rsid w:val="007500C8"/>
    <w:rsid w:val="00750BB1"/>
    <w:rsid w:val="00754882"/>
    <w:rsid w:val="00754889"/>
    <w:rsid w:val="00756272"/>
    <w:rsid w:val="007605EE"/>
    <w:rsid w:val="00760B61"/>
    <w:rsid w:val="00761C8D"/>
    <w:rsid w:val="00762B6F"/>
    <w:rsid w:val="00762D38"/>
    <w:rsid w:val="007642D7"/>
    <w:rsid w:val="00764EDE"/>
    <w:rsid w:val="0076639D"/>
    <w:rsid w:val="007715C9"/>
    <w:rsid w:val="00771613"/>
    <w:rsid w:val="007727AD"/>
    <w:rsid w:val="00773378"/>
    <w:rsid w:val="00774EDD"/>
    <w:rsid w:val="007757EC"/>
    <w:rsid w:val="00783E89"/>
    <w:rsid w:val="007851F9"/>
    <w:rsid w:val="007855F2"/>
    <w:rsid w:val="007865D8"/>
    <w:rsid w:val="0079302D"/>
    <w:rsid w:val="00793915"/>
    <w:rsid w:val="00795B3D"/>
    <w:rsid w:val="007A3716"/>
    <w:rsid w:val="007A4A8D"/>
    <w:rsid w:val="007B0EE1"/>
    <w:rsid w:val="007B2337"/>
    <w:rsid w:val="007B6F7C"/>
    <w:rsid w:val="007C2253"/>
    <w:rsid w:val="007C2D8B"/>
    <w:rsid w:val="007C50D5"/>
    <w:rsid w:val="007C5193"/>
    <w:rsid w:val="007C65E8"/>
    <w:rsid w:val="007D1F4B"/>
    <w:rsid w:val="007D452C"/>
    <w:rsid w:val="007D4B75"/>
    <w:rsid w:val="007D5522"/>
    <w:rsid w:val="007D6212"/>
    <w:rsid w:val="007D7911"/>
    <w:rsid w:val="007E163D"/>
    <w:rsid w:val="007E1F89"/>
    <w:rsid w:val="007E4ECE"/>
    <w:rsid w:val="007E667A"/>
    <w:rsid w:val="007F28C9"/>
    <w:rsid w:val="007F2DAE"/>
    <w:rsid w:val="007F420E"/>
    <w:rsid w:val="007F4F77"/>
    <w:rsid w:val="007F51B2"/>
    <w:rsid w:val="007F5758"/>
    <w:rsid w:val="00802516"/>
    <w:rsid w:val="008040DD"/>
    <w:rsid w:val="0080720A"/>
    <w:rsid w:val="008117E9"/>
    <w:rsid w:val="00812B0E"/>
    <w:rsid w:val="00816DB6"/>
    <w:rsid w:val="00824498"/>
    <w:rsid w:val="00826BD1"/>
    <w:rsid w:val="00826CD5"/>
    <w:rsid w:val="0083056C"/>
    <w:rsid w:val="00833761"/>
    <w:rsid w:val="00843388"/>
    <w:rsid w:val="00843815"/>
    <w:rsid w:val="00844AC0"/>
    <w:rsid w:val="008479C7"/>
    <w:rsid w:val="00847DE2"/>
    <w:rsid w:val="00854923"/>
    <w:rsid w:val="00854A71"/>
    <w:rsid w:val="00854D0B"/>
    <w:rsid w:val="00856A31"/>
    <w:rsid w:val="00856CAC"/>
    <w:rsid w:val="00857276"/>
    <w:rsid w:val="00860B4E"/>
    <w:rsid w:val="00861807"/>
    <w:rsid w:val="00862F59"/>
    <w:rsid w:val="00867B37"/>
    <w:rsid w:val="008754D0"/>
    <w:rsid w:val="00875D13"/>
    <w:rsid w:val="00882D48"/>
    <w:rsid w:val="00882EC1"/>
    <w:rsid w:val="00885085"/>
    <w:rsid w:val="00885481"/>
    <w:rsid w:val="008855C9"/>
    <w:rsid w:val="00886456"/>
    <w:rsid w:val="008927D4"/>
    <w:rsid w:val="008941CF"/>
    <w:rsid w:val="00894EB4"/>
    <w:rsid w:val="00896176"/>
    <w:rsid w:val="0089628C"/>
    <w:rsid w:val="00896369"/>
    <w:rsid w:val="008964B1"/>
    <w:rsid w:val="00896D92"/>
    <w:rsid w:val="008A3AED"/>
    <w:rsid w:val="008A46E1"/>
    <w:rsid w:val="008A486C"/>
    <w:rsid w:val="008A4C47"/>
    <w:rsid w:val="008A4F43"/>
    <w:rsid w:val="008A6B7B"/>
    <w:rsid w:val="008B2706"/>
    <w:rsid w:val="008B445C"/>
    <w:rsid w:val="008B64F3"/>
    <w:rsid w:val="008C25F2"/>
    <w:rsid w:val="008C28A1"/>
    <w:rsid w:val="008C2EAC"/>
    <w:rsid w:val="008D0BF3"/>
    <w:rsid w:val="008D0EE0"/>
    <w:rsid w:val="008D7362"/>
    <w:rsid w:val="008E0027"/>
    <w:rsid w:val="008E0453"/>
    <w:rsid w:val="008E5330"/>
    <w:rsid w:val="008E5491"/>
    <w:rsid w:val="008E6067"/>
    <w:rsid w:val="008E7D86"/>
    <w:rsid w:val="008E7EB4"/>
    <w:rsid w:val="008F0BEB"/>
    <w:rsid w:val="008F38B9"/>
    <w:rsid w:val="008F54E7"/>
    <w:rsid w:val="008F62D8"/>
    <w:rsid w:val="009027A9"/>
    <w:rsid w:val="00903422"/>
    <w:rsid w:val="009040EE"/>
    <w:rsid w:val="009064C7"/>
    <w:rsid w:val="009064E9"/>
    <w:rsid w:val="00906829"/>
    <w:rsid w:val="00907915"/>
    <w:rsid w:val="00907A9B"/>
    <w:rsid w:val="0091063A"/>
    <w:rsid w:val="009254C3"/>
    <w:rsid w:val="009273D5"/>
    <w:rsid w:val="00932377"/>
    <w:rsid w:val="00933C3D"/>
    <w:rsid w:val="0093566E"/>
    <w:rsid w:val="00936388"/>
    <w:rsid w:val="00941236"/>
    <w:rsid w:val="00943FD5"/>
    <w:rsid w:val="00944328"/>
    <w:rsid w:val="00946BAB"/>
    <w:rsid w:val="00947D5A"/>
    <w:rsid w:val="009519E4"/>
    <w:rsid w:val="0095234C"/>
    <w:rsid w:val="009532A5"/>
    <w:rsid w:val="009545BD"/>
    <w:rsid w:val="009546AB"/>
    <w:rsid w:val="00955F6F"/>
    <w:rsid w:val="00960408"/>
    <w:rsid w:val="009617C7"/>
    <w:rsid w:val="009639DD"/>
    <w:rsid w:val="00964CF0"/>
    <w:rsid w:val="00966A5B"/>
    <w:rsid w:val="00967CC5"/>
    <w:rsid w:val="00977493"/>
    <w:rsid w:val="00977806"/>
    <w:rsid w:val="00982242"/>
    <w:rsid w:val="00985124"/>
    <w:rsid w:val="00986803"/>
    <w:rsid w:val="009868E9"/>
    <w:rsid w:val="00986C69"/>
    <w:rsid w:val="009900A3"/>
    <w:rsid w:val="00990CEF"/>
    <w:rsid w:val="00995F60"/>
    <w:rsid w:val="009A16CA"/>
    <w:rsid w:val="009A1E9A"/>
    <w:rsid w:val="009A65E1"/>
    <w:rsid w:val="009B0F64"/>
    <w:rsid w:val="009B3A89"/>
    <w:rsid w:val="009B498E"/>
    <w:rsid w:val="009C1CEE"/>
    <w:rsid w:val="009C21E0"/>
    <w:rsid w:val="009C3413"/>
    <w:rsid w:val="009C6324"/>
    <w:rsid w:val="009C6BD8"/>
    <w:rsid w:val="009D43F2"/>
    <w:rsid w:val="009D5BB6"/>
    <w:rsid w:val="009E3A71"/>
    <w:rsid w:val="009F095E"/>
    <w:rsid w:val="009F3C14"/>
    <w:rsid w:val="009F3D9A"/>
    <w:rsid w:val="00A01589"/>
    <w:rsid w:val="00A02A7D"/>
    <w:rsid w:val="00A030FD"/>
    <w:rsid w:val="00A0441E"/>
    <w:rsid w:val="00A12128"/>
    <w:rsid w:val="00A134FD"/>
    <w:rsid w:val="00A209D3"/>
    <w:rsid w:val="00A21198"/>
    <w:rsid w:val="00A22C98"/>
    <w:rsid w:val="00A231E2"/>
    <w:rsid w:val="00A340A0"/>
    <w:rsid w:val="00A35E15"/>
    <w:rsid w:val="00A369E3"/>
    <w:rsid w:val="00A36B2B"/>
    <w:rsid w:val="00A37448"/>
    <w:rsid w:val="00A41ACB"/>
    <w:rsid w:val="00A42662"/>
    <w:rsid w:val="00A44129"/>
    <w:rsid w:val="00A47263"/>
    <w:rsid w:val="00A517EA"/>
    <w:rsid w:val="00A53F38"/>
    <w:rsid w:val="00A54BB1"/>
    <w:rsid w:val="00A57600"/>
    <w:rsid w:val="00A62D37"/>
    <w:rsid w:val="00A64912"/>
    <w:rsid w:val="00A67381"/>
    <w:rsid w:val="00A67902"/>
    <w:rsid w:val="00A70A74"/>
    <w:rsid w:val="00A75FE9"/>
    <w:rsid w:val="00A76BBB"/>
    <w:rsid w:val="00A77EE9"/>
    <w:rsid w:val="00A81526"/>
    <w:rsid w:val="00A82A50"/>
    <w:rsid w:val="00A90B9A"/>
    <w:rsid w:val="00A91159"/>
    <w:rsid w:val="00A96D3D"/>
    <w:rsid w:val="00AA37AF"/>
    <w:rsid w:val="00AA7D93"/>
    <w:rsid w:val="00AB7067"/>
    <w:rsid w:val="00AB76C4"/>
    <w:rsid w:val="00AC32F3"/>
    <w:rsid w:val="00AC4E48"/>
    <w:rsid w:val="00AC6013"/>
    <w:rsid w:val="00AD18A1"/>
    <w:rsid w:val="00AD51D8"/>
    <w:rsid w:val="00AD53CC"/>
    <w:rsid w:val="00AD5641"/>
    <w:rsid w:val="00AE1481"/>
    <w:rsid w:val="00AE37CC"/>
    <w:rsid w:val="00AE6C5E"/>
    <w:rsid w:val="00AF028D"/>
    <w:rsid w:val="00AF06CF"/>
    <w:rsid w:val="00AF51B0"/>
    <w:rsid w:val="00B00E0C"/>
    <w:rsid w:val="00B01673"/>
    <w:rsid w:val="00B07CDB"/>
    <w:rsid w:val="00B120FA"/>
    <w:rsid w:val="00B13E1E"/>
    <w:rsid w:val="00B15B56"/>
    <w:rsid w:val="00B16A31"/>
    <w:rsid w:val="00B17DFD"/>
    <w:rsid w:val="00B24D50"/>
    <w:rsid w:val="00B25306"/>
    <w:rsid w:val="00B27831"/>
    <w:rsid w:val="00B308FE"/>
    <w:rsid w:val="00B31264"/>
    <w:rsid w:val="00B31F96"/>
    <w:rsid w:val="00B32695"/>
    <w:rsid w:val="00B33709"/>
    <w:rsid w:val="00B33B3C"/>
    <w:rsid w:val="00B36308"/>
    <w:rsid w:val="00B36392"/>
    <w:rsid w:val="00B4047C"/>
    <w:rsid w:val="00B418CB"/>
    <w:rsid w:val="00B44030"/>
    <w:rsid w:val="00B47444"/>
    <w:rsid w:val="00B50ADC"/>
    <w:rsid w:val="00B5309A"/>
    <w:rsid w:val="00B566B1"/>
    <w:rsid w:val="00B62E63"/>
    <w:rsid w:val="00B63834"/>
    <w:rsid w:val="00B641E7"/>
    <w:rsid w:val="00B67773"/>
    <w:rsid w:val="00B7338E"/>
    <w:rsid w:val="00B76906"/>
    <w:rsid w:val="00B80199"/>
    <w:rsid w:val="00B83204"/>
    <w:rsid w:val="00B856E7"/>
    <w:rsid w:val="00B8603A"/>
    <w:rsid w:val="00B867D8"/>
    <w:rsid w:val="00B932D5"/>
    <w:rsid w:val="00B93C72"/>
    <w:rsid w:val="00B95F1A"/>
    <w:rsid w:val="00B97018"/>
    <w:rsid w:val="00BA09DD"/>
    <w:rsid w:val="00BA16B1"/>
    <w:rsid w:val="00BA220B"/>
    <w:rsid w:val="00BA2363"/>
    <w:rsid w:val="00BA3A57"/>
    <w:rsid w:val="00BA486D"/>
    <w:rsid w:val="00BA5C79"/>
    <w:rsid w:val="00BB1533"/>
    <w:rsid w:val="00BB3DA8"/>
    <w:rsid w:val="00BB4E1A"/>
    <w:rsid w:val="00BC015E"/>
    <w:rsid w:val="00BC37FB"/>
    <w:rsid w:val="00BC4FE5"/>
    <w:rsid w:val="00BC6855"/>
    <w:rsid w:val="00BC76AC"/>
    <w:rsid w:val="00BC7B21"/>
    <w:rsid w:val="00BD0ECB"/>
    <w:rsid w:val="00BE2155"/>
    <w:rsid w:val="00BE33B1"/>
    <w:rsid w:val="00BE719A"/>
    <w:rsid w:val="00BE720A"/>
    <w:rsid w:val="00BF0D73"/>
    <w:rsid w:val="00BF2465"/>
    <w:rsid w:val="00C00E7D"/>
    <w:rsid w:val="00C045FE"/>
    <w:rsid w:val="00C054D9"/>
    <w:rsid w:val="00C063B3"/>
    <w:rsid w:val="00C105E4"/>
    <w:rsid w:val="00C1078F"/>
    <w:rsid w:val="00C16619"/>
    <w:rsid w:val="00C16720"/>
    <w:rsid w:val="00C1743B"/>
    <w:rsid w:val="00C20764"/>
    <w:rsid w:val="00C2561C"/>
    <w:rsid w:val="00C25E7F"/>
    <w:rsid w:val="00C2746F"/>
    <w:rsid w:val="00C30B75"/>
    <w:rsid w:val="00C31B73"/>
    <w:rsid w:val="00C3229C"/>
    <w:rsid w:val="00C323D6"/>
    <w:rsid w:val="00C324A0"/>
    <w:rsid w:val="00C3508D"/>
    <w:rsid w:val="00C35880"/>
    <w:rsid w:val="00C4079E"/>
    <w:rsid w:val="00C4219E"/>
    <w:rsid w:val="00C42BF8"/>
    <w:rsid w:val="00C50043"/>
    <w:rsid w:val="00C51D07"/>
    <w:rsid w:val="00C544A4"/>
    <w:rsid w:val="00C60350"/>
    <w:rsid w:val="00C60579"/>
    <w:rsid w:val="00C61F0C"/>
    <w:rsid w:val="00C62FEF"/>
    <w:rsid w:val="00C6304A"/>
    <w:rsid w:val="00C65B0E"/>
    <w:rsid w:val="00C72E98"/>
    <w:rsid w:val="00C73A70"/>
    <w:rsid w:val="00C7573B"/>
    <w:rsid w:val="00C7586A"/>
    <w:rsid w:val="00C80724"/>
    <w:rsid w:val="00C91613"/>
    <w:rsid w:val="00C97A54"/>
    <w:rsid w:val="00CA16AA"/>
    <w:rsid w:val="00CA2E6F"/>
    <w:rsid w:val="00CA2FFF"/>
    <w:rsid w:val="00CA3BF6"/>
    <w:rsid w:val="00CA4C76"/>
    <w:rsid w:val="00CA53EA"/>
    <w:rsid w:val="00CA5B23"/>
    <w:rsid w:val="00CB1462"/>
    <w:rsid w:val="00CB23E6"/>
    <w:rsid w:val="00CB3CD6"/>
    <w:rsid w:val="00CB602E"/>
    <w:rsid w:val="00CB6170"/>
    <w:rsid w:val="00CB652B"/>
    <w:rsid w:val="00CB7B74"/>
    <w:rsid w:val="00CB7E90"/>
    <w:rsid w:val="00CC0C1C"/>
    <w:rsid w:val="00CC43CF"/>
    <w:rsid w:val="00CD02DA"/>
    <w:rsid w:val="00CD19E8"/>
    <w:rsid w:val="00CD3AA0"/>
    <w:rsid w:val="00CD632B"/>
    <w:rsid w:val="00CD6DF1"/>
    <w:rsid w:val="00CE051D"/>
    <w:rsid w:val="00CE05F8"/>
    <w:rsid w:val="00CE1335"/>
    <w:rsid w:val="00CE493D"/>
    <w:rsid w:val="00CE7299"/>
    <w:rsid w:val="00CF07FA"/>
    <w:rsid w:val="00CF0BB2"/>
    <w:rsid w:val="00CF20A4"/>
    <w:rsid w:val="00CF2428"/>
    <w:rsid w:val="00CF3EE8"/>
    <w:rsid w:val="00CF6929"/>
    <w:rsid w:val="00D0156C"/>
    <w:rsid w:val="00D068C8"/>
    <w:rsid w:val="00D1096B"/>
    <w:rsid w:val="00D13441"/>
    <w:rsid w:val="00D150E7"/>
    <w:rsid w:val="00D1699A"/>
    <w:rsid w:val="00D20F06"/>
    <w:rsid w:val="00D21865"/>
    <w:rsid w:val="00D22547"/>
    <w:rsid w:val="00D24F78"/>
    <w:rsid w:val="00D25A64"/>
    <w:rsid w:val="00D264CE"/>
    <w:rsid w:val="00D32F14"/>
    <w:rsid w:val="00D33251"/>
    <w:rsid w:val="00D35E55"/>
    <w:rsid w:val="00D36533"/>
    <w:rsid w:val="00D41DCE"/>
    <w:rsid w:val="00D44F62"/>
    <w:rsid w:val="00D51F62"/>
    <w:rsid w:val="00D52DC2"/>
    <w:rsid w:val="00D53BCC"/>
    <w:rsid w:val="00D54C9E"/>
    <w:rsid w:val="00D579BF"/>
    <w:rsid w:val="00D610F2"/>
    <w:rsid w:val="00D6387C"/>
    <w:rsid w:val="00D6537E"/>
    <w:rsid w:val="00D65CEC"/>
    <w:rsid w:val="00D678AC"/>
    <w:rsid w:val="00D70DFB"/>
    <w:rsid w:val="00D71C03"/>
    <w:rsid w:val="00D72D8C"/>
    <w:rsid w:val="00D75334"/>
    <w:rsid w:val="00D766DF"/>
    <w:rsid w:val="00D76A03"/>
    <w:rsid w:val="00D8206C"/>
    <w:rsid w:val="00D83C1F"/>
    <w:rsid w:val="00D86EC9"/>
    <w:rsid w:val="00D907D3"/>
    <w:rsid w:val="00D90861"/>
    <w:rsid w:val="00D91F10"/>
    <w:rsid w:val="00D9222D"/>
    <w:rsid w:val="00DA186E"/>
    <w:rsid w:val="00DA38EB"/>
    <w:rsid w:val="00DA4116"/>
    <w:rsid w:val="00DB251C"/>
    <w:rsid w:val="00DB4630"/>
    <w:rsid w:val="00DB62A8"/>
    <w:rsid w:val="00DB6C9C"/>
    <w:rsid w:val="00DB7B19"/>
    <w:rsid w:val="00DB7B2B"/>
    <w:rsid w:val="00DC0535"/>
    <w:rsid w:val="00DC16E8"/>
    <w:rsid w:val="00DC256E"/>
    <w:rsid w:val="00DC26CC"/>
    <w:rsid w:val="00DC312F"/>
    <w:rsid w:val="00DC4F88"/>
    <w:rsid w:val="00DD61C4"/>
    <w:rsid w:val="00DD659B"/>
    <w:rsid w:val="00DD767E"/>
    <w:rsid w:val="00DE0522"/>
    <w:rsid w:val="00DE107C"/>
    <w:rsid w:val="00DE57BC"/>
    <w:rsid w:val="00DF1EFF"/>
    <w:rsid w:val="00DF2388"/>
    <w:rsid w:val="00DF3F28"/>
    <w:rsid w:val="00DF6337"/>
    <w:rsid w:val="00DF717F"/>
    <w:rsid w:val="00E03670"/>
    <w:rsid w:val="00E05704"/>
    <w:rsid w:val="00E062A8"/>
    <w:rsid w:val="00E1175F"/>
    <w:rsid w:val="00E140D9"/>
    <w:rsid w:val="00E205D3"/>
    <w:rsid w:val="00E2099F"/>
    <w:rsid w:val="00E2500F"/>
    <w:rsid w:val="00E31A8C"/>
    <w:rsid w:val="00E338EF"/>
    <w:rsid w:val="00E346BC"/>
    <w:rsid w:val="00E3486D"/>
    <w:rsid w:val="00E35D14"/>
    <w:rsid w:val="00E35F3A"/>
    <w:rsid w:val="00E36AF6"/>
    <w:rsid w:val="00E4014F"/>
    <w:rsid w:val="00E41242"/>
    <w:rsid w:val="00E42921"/>
    <w:rsid w:val="00E434CD"/>
    <w:rsid w:val="00E46147"/>
    <w:rsid w:val="00E472B5"/>
    <w:rsid w:val="00E516A9"/>
    <w:rsid w:val="00E519D3"/>
    <w:rsid w:val="00E52381"/>
    <w:rsid w:val="00E544BB"/>
    <w:rsid w:val="00E54922"/>
    <w:rsid w:val="00E60B74"/>
    <w:rsid w:val="00E61840"/>
    <w:rsid w:val="00E62FE3"/>
    <w:rsid w:val="00E65872"/>
    <w:rsid w:val="00E74B3E"/>
    <w:rsid w:val="00E74DC7"/>
    <w:rsid w:val="00E8075A"/>
    <w:rsid w:val="00E81EEC"/>
    <w:rsid w:val="00E82FBC"/>
    <w:rsid w:val="00E8415C"/>
    <w:rsid w:val="00E86636"/>
    <w:rsid w:val="00E934A5"/>
    <w:rsid w:val="00E940D8"/>
    <w:rsid w:val="00E94D5E"/>
    <w:rsid w:val="00E97505"/>
    <w:rsid w:val="00EA391A"/>
    <w:rsid w:val="00EA7100"/>
    <w:rsid w:val="00EA7F9F"/>
    <w:rsid w:val="00EB00FB"/>
    <w:rsid w:val="00EB1274"/>
    <w:rsid w:val="00EB2091"/>
    <w:rsid w:val="00EB54F8"/>
    <w:rsid w:val="00EB58ED"/>
    <w:rsid w:val="00EB767C"/>
    <w:rsid w:val="00EB76DD"/>
    <w:rsid w:val="00EC0ACE"/>
    <w:rsid w:val="00EC2CCA"/>
    <w:rsid w:val="00EC3DAE"/>
    <w:rsid w:val="00ED281D"/>
    <w:rsid w:val="00ED2BB6"/>
    <w:rsid w:val="00ED34E1"/>
    <w:rsid w:val="00ED3B8D"/>
    <w:rsid w:val="00ED4D96"/>
    <w:rsid w:val="00ED6D27"/>
    <w:rsid w:val="00EE0764"/>
    <w:rsid w:val="00EE5E36"/>
    <w:rsid w:val="00EF005D"/>
    <w:rsid w:val="00EF2BCD"/>
    <w:rsid w:val="00EF2E3A"/>
    <w:rsid w:val="00EF3C99"/>
    <w:rsid w:val="00F01C02"/>
    <w:rsid w:val="00F02C7C"/>
    <w:rsid w:val="00F06F3C"/>
    <w:rsid w:val="00F072A7"/>
    <w:rsid w:val="00F078DC"/>
    <w:rsid w:val="00F15A21"/>
    <w:rsid w:val="00F20964"/>
    <w:rsid w:val="00F216C3"/>
    <w:rsid w:val="00F259DF"/>
    <w:rsid w:val="00F303CF"/>
    <w:rsid w:val="00F31662"/>
    <w:rsid w:val="00F32BA8"/>
    <w:rsid w:val="00F32EE0"/>
    <w:rsid w:val="00F34522"/>
    <w:rsid w:val="00F34993"/>
    <w:rsid w:val="00F349F1"/>
    <w:rsid w:val="00F37D38"/>
    <w:rsid w:val="00F402C5"/>
    <w:rsid w:val="00F41D02"/>
    <w:rsid w:val="00F4244F"/>
    <w:rsid w:val="00F4350D"/>
    <w:rsid w:val="00F454CF"/>
    <w:rsid w:val="00F479C4"/>
    <w:rsid w:val="00F51337"/>
    <w:rsid w:val="00F529F9"/>
    <w:rsid w:val="00F567F7"/>
    <w:rsid w:val="00F60627"/>
    <w:rsid w:val="00F60B4A"/>
    <w:rsid w:val="00F63F75"/>
    <w:rsid w:val="00F65496"/>
    <w:rsid w:val="00F66493"/>
    <w:rsid w:val="00F6696E"/>
    <w:rsid w:val="00F6750D"/>
    <w:rsid w:val="00F67CB8"/>
    <w:rsid w:val="00F73BD6"/>
    <w:rsid w:val="00F831BD"/>
    <w:rsid w:val="00F83989"/>
    <w:rsid w:val="00F84027"/>
    <w:rsid w:val="00F85099"/>
    <w:rsid w:val="00F8538A"/>
    <w:rsid w:val="00F9379C"/>
    <w:rsid w:val="00F937F2"/>
    <w:rsid w:val="00F9564A"/>
    <w:rsid w:val="00F9632C"/>
    <w:rsid w:val="00F96F9B"/>
    <w:rsid w:val="00F9733A"/>
    <w:rsid w:val="00FA1E52"/>
    <w:rsid w:val="00FA4C32"/>
    <w:rsid w:val="00FA4EB6"/>
    <w:rsid w:val="00FA58C1"/>
    <w:rsid w:val="00FA66E1"/>
    <w:rsid w:val="00FB41FC"/>
    <w:rsid w:val="00FB5627"/>
    <w:rsid w:val="00FB5A08"/>
    <w:rsid w:val="00FC508B"/>
    <w:rsid w:val="00FC5C9A"/>
    <w:rsid w:val="00FC5FF8"/>
    <w:rsid w:val="00FC6A80"/>
    <w:rsid w:val="00FE15D6"/>
    <w:rsid w:val="00FE4688"/>
    <w:rsid w:val="00FE55C4"/>
    <w:rsid w:val="00FE5FC5"/>
    <w:rsid w:val="00FE7B68"/>
    <w:rsid w:val="00FF0977"/>
    <w:rsid w:val="00FF2A7D"/>
    <w:rsid w:val="00FF5704"/>
    <w:rsid w:val="00FF6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CA7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0CC3"/>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customStyle="1" w:styleId="Note">
    <w:name w:val="Note"/>
    <w:basedOn w:val="subsection"/>
    <w:rsid w:val="00424F6A"/>
  </w:style>
  <w:style w:type="paragraph" w:styleId="CommentSubject">
    <w:name w:val="annotation subject"/>
    <w:basedOn w:val="CommentText"/>
    <w:next w:val="CommentText"/>
    <w:link w:val="CommentSubjectChar"/>
    <w:uiPriority w:val="99"/>
    <w:semiHidden/>
    <w:unhideWhenUsed/>
    <w:rsid w:val="002F6DBF"/>
    <w:rPr>
      <w:b/>
      <w:bCs/>
    </w:rPr>
  </w:style>
  <w:style w:type="paragraph" w:styleId="CommentText">
    <w:name w:val="annotation text"/>
    <w:basedOn w:val="Normal"/>
    <w:link w:val="CommentTextChar"/>
    <w:uiPriority w:val="99"/>
    <w:unhideWhenUsed/>
    <w:rsid w:val="005765C4"/>
    <w:pPr>
      <w:spacing w:line="240" w:lineRule="auto"/>
    </w:pPr>
    <w:rPr>
      <w:sz w:val="20"/>
    </w:rPr>
  </w:style>
  <w:style w:type="character" w:customStyle="1" w:styleId="CommentTextChar">
    <w:name w:val="Comment Text Char"/>
    <w:basedOn w:val="DefaultParagraphFont"/>
    <w:link w:val="CommentText"/>
    <w:uiPriority w:val="99"/>
    <w:rsid w:val="005765C4"/>
  </w:style>
  <w:style w:type="character" w:styleId="CommentReference">
    <w:name w:val="annotation reference"/>
    <w:basedOn w:val="DefaultParagraphFont"/>
    <w:uiPriority w:val="99"/>
    <w:unhideWhenUsed/>
    <w:rsid w:val="005765C4"/>
    <w:rPr>
      <w:sz w:val="16"/>
      <w:szCs w:val="16"/>
    </w:rPr>
  </w:style>
  <w:style w:type="character" w:customStyle="1" w:styleId="CommentSubjectChar">
    <w:name w:val="Comment Subject Char"/>
    <w:basedOn w:val="CommentTextChar"/>
    <w:link w:val="CommentSubject"/>
    <w:uiPriority w:val="99"/>
    <w:semiHidden/>
    <w:rsid w:val="002F6DBF"/>
    <w:rPr>
      <w:b/>
      <w:bCs/>
    </w:rPr>
  </w:style>
  <w:style w:type="character" w:customStyle="1" w:styleId="paragraphChar">
    <w:name w:val="paragraph Char"/>
    <w:aliases w:val="a Char"/>
    <w:link w:val="paragraph"/>
    <w:rsid w:val="007F2DAE"/>
    <w:rPr>
      <w:rFonts w:eastAsia="Times New Roman" w:cs="Times New Roman"/>
      <w:sz w:val="22"/>
      <w:lang w:eastAsia="en-AU"/>
    </w:rPr>
  </w:style>
  <w:style w:type="character" w:styleId="Hyperlink">
    <w:name w:val="Hyperlink"/>
    <w:basedOn w:val="DefaultParagraphFont"/>
    <w:uiPriority w:val="99"/>
    <w:unhideWhenUsed/>
    <w:rsid w:val="00C62FEF"/>
    <w:rPr>
      <w:color w:val="0000FF" w:themeColor="hyperlink"/>
      <w:u w:val="single"/>
    </w:rPr>
  </w:style>
  <w:style w:type="character" w:styleId="UnresolvedMention">
    <w:name w:val="Unresolved Mention"/>
    <w:basedOn w:val="DefaultParagraphFont"/>
    <w:uiPriority w:val="99"/>
    <w:semiHidden/>
    <w:unhideWhenUsed/>
    <w:rsid w:val="00C62FEF"/>
    <w:rPr>
      <w:color w:val="605E5C"/>
      <w:shd w:val="clear" w:color="auto" w:fill="E1DFDD"/>
    </w:rPr>
  </w:style>
  <w:style w:type="paragraph" w:styleId="Revision">
    <w:name w:val="Revision"/>
    <w:hidden/>
    <w:uiPriority w:val="99"/>
    <w:semiHidden/>
    <w:rsid w:val="00D35E55"/>
    <w:rPr>
      <w:sz w:val="22"/>
    </w:rPr>
  </w:style>
  <w:style w:type="character" w:customStyle="1" w:styleId="ActHead5Char">
    <w:name w:val="ActHead 5 Char"/>
    <w:aliases w:val="s Char"/>
    <w:link w:val="ActHead5"/>
    <w:locked/>
    <w:rsid w:val="009A1E9A"/>
    <w:rPr>
      <w:rFonts w:eastAsia="Times New Roman" w:cs="Times New Roman"/>
      <w:b/>
      <w:kern w:val="28"/>
      <w:sz w:val="24"/>
      <w:lang w:eastAsia="en-AU"/>
    </w:rPr>
  </w:style>
  <w:style w:type="paragraph" w:styleId="NormalWeb">
    <w:name w:val="Normal (Web)"/>
    <w:basedOn w:val="Normal"/>
    <w:uiPriority w:val="99"/>
    <w:unhideWhenUsed/>
    <w:rsid w:val="0071236D"/>
    <w:pPr>
      <w:spacing w:before="100" w:beforeAutospacing="1" w:after="100" w:afterAutospacing="1" w:line="240" w:lineRule="auto"/>
    </w:pPr>
    <w:rPr>
      <w:rFonts w:eastAsia="Times New Roman" w:cs="Times New Roman"/>
      <w:sz w:val="24"/>
      <w:szCs w:val="24"/>
      <w:lang w:eastAsia="en-AU"/>
    </w:rPr>
  </w:style>
  <w:style w:type="paragraph" w:customStyle="1" w:styleId="NumberedParagraphs">
    <w:name w:val="Numbered Paragraphs"/>
    <w:basedOn w:val="Normal"/>
    <w:uiPriority w:val="99"/>
    <w:rsid w:val="000A6A5D"/>
    <w:pPr>
      <w:numPr>
        <w:numId w:val="23"/>
      </w:numPr>
      <w:tabs>
        <w:tab w:val="left" w:pos="726"/>
        <w:tab w:val="left" w:pos="1089"/>
        <w:tab w:val="left" w:pos="1452"/>
        <w:tab w:val="left" w:pos="1814"/>
      </w:tabs>
      <w:spacing w:line="360" w:lineRule="auto"/>
    </w:pPr>
    <w:rPr>
      <w:rFonts w:eastAsia="Times New Roman" w:cs="Times New Roman"/>
      <w:sz w:val="24"/>
      <w:lang w:eastAsia="en-AU"/>
    </w:rPr>
  </w:style>
  <w:style w:type="paragraph" w:customStyle="1" w:styleId="OutlineNumbered1">
    <w:name w:val="Outline Numbered 1"/>
    <w:basedOn w:val="Normal"/>
    <w:uiPriority w:val="99"/>
    <w:rsid w:val="000A6A5D"/>
    <w:pPr>
      <w:numPr>
        <w:numId w:val="24"/>
      </w:numPr>
      <w:spacing w:after="240" w:line="240" w:lineRule="auto"/>
    </w:pPr>
    <w:rPr>
      <w:rFonts w:eastAsia="Batang" w:cs="Times New Roman"/>
      <w:sz w:val="24"/>
      <w:lang w:eastAsia="ko-KR"/>
    </w:rPr>
  </w:style>
  <w:style w:type="paragraph" w:customStyle="1" w:styleId="OutlineNumbered2">
    <w:name w:val="Outline Numbered 2"/>
    <w:basedOn w:val="Normal"/>
    <w:uiPriority w:val="99"/>
    <w:rsid w:val="000A6A5D"/>
    <w:pPr>
      <w:numPr>
        <w:ilvl w:val="1"/>
        <w:numId w:val="24"/>
      </w:numPr>
      <w:spacing w:after="240" w:line="240" w:lineRule="auto"/>
    </w:pPr>
    <w:rPr>
      <w:rFonts w:eastAsia="Batang" w:cs="Times New Roman"/>
      <w:sz w:val="24"/>
      <w:lang w:eastAsia="ko-KR"/>
    </w:rPr>
  </w:style>
  <w:style w:type="paragraph" w:customStyle="1" w:styleId="OutlineNumbered3">
    <w:name w:val="Outline Numbered 3"/>
    <w:basedOn w:val="Normal"/>
    <w:uiPriority w:val="99"/>
    <w:rsid w:val="000A6A5D"/>
    <w:pPr>
      <w:numPr>
        <w:ilvl w:val="2"/>
        <w:numId w:val="24"/>
      </w:numPr>
      <w:spacing w:after="240" w:line="240" w:lineRule="auto"/>
    </w:pPr>
    <w:rPr>
      <w:rFonts w:eastAsia="Batang" w:cs="Times New Roman"/>
      <w:sz w:val="24"/>
      <w:lang w:eastAsia="ko-KR"/>
    </w:rPr>
  </w:style>
  <w:style w:type="character" w:styleId="FollowedHyperlink">
    <w:name w:val="FollowedHyperlink"/>
    <w:basedOn w:val="DefaultParagraphFont"/>
    <w:uiPriority w:val="99"/>
    <w:semiHidden/>
    <w:unhideWhenUsed/>
    <w:rsid w:val="00262133"/>
    <w:rPr>
      <w:color w:val="800080" w:themeColor="followedHyperlink"/>
      <w:u w:val="single"/>
    </w:rPr>
  </w:style>
  <w:style w:type="paragraph" w:customStyle="1" w:styleId="Notes">
    <w:name w:val="Notes("/>
    <w:basedOn w:val="paragraphsub"/>
    <w:rsid w:val="00E65872"/>
  </w:style>
  <w:style w:type="paragraph" w:customStyle="1" w:styleId="Notesd">
    <w:name w:val="Notes(d"/>
    <w:basedOn w:val="Notes"/>
    <w:rsid w:val="00E65872"/>
  </w:style>
  <w:style w:type="paragraph" w:customStyle="1" w:styleId="Leg1SecHead1">
    <w:name w:val="Leg1 Sec Head: 1."/>
    <w:aliases w:val="L1"/>
    <w:basedOn w:val="Normal"/>
    <w:uiPriority w:val="5"/>
    <w:qFormat/>
    <w:rsid w:val="00C80724"/>
    <w:pPr>
      <w:tabs>
        <w:tab w:val="left" w:pos="425"/>
        <w:tab w:val="left" w:pos="850"/>
        <w:tab w:val="left" w:pos="1276"/>
      </w:tabs>
      <w:spacing w:before="60" w:after="60"/>
      <w:ind w:left="1276" w:right="567" w:hanging="850"/>
    </w:pPr>
    <w:rPr>
      <w:rFonts w:ascii="Arial" w:eastAsia="Times New Roman" w:hAnsi="Arial" w:cs="Arial"/>
      <w:b/>
      <w:sz w:val="20"/>
      <w:szCs w:val="22"/>
      <w:lang w:eastAsia="en-AU"/>
    </w:rPr>
  </w:style>
  <w:style w:type="paragraph" w:customStyle="1" w:styleId="Leg4Subsec1">
    <w:name w:val="Leg4 Subsec: (1)"/>
    <w:aliases w:val="L4"/>
    <w:basedOn w:val="Normal"/>
    <w:uiPriority w:val="5"/>
    <w:qFormat/>
    <w:rsid w:val="00C80724"/>
    <w:pPr>
      <w:spacing w:before="60" w:after="60"/>
      <w:ind w:left="1276" w:right="567" w:hanging="425"/>
    </w:pPr>
    <w:rPr>
      <w:rFonts w:ascii="Arial" w:eastAsia="Times New Roman" w:hAnsi="Arial" w:cs="Arial"/>
      <w:sz w:val="20"/>
      <w:szCs w:val="22"/>
      <w:lang w:eastAsia="en-AU"/>
    </w:rPr>
  </w:style>
  <w:style w:type="paragraph" w:customStyle="1" w:styleId="Leg5Paraa">
    <w:name w:val="Leg5 Para: (a)"/>
    <w:aliases w:val="L5"/>
    <w:basedOn w:val="Normal"/>
    <w:uiPriority w:val="5"/>
    <w:qFormat/>
    <w:rsid w:val="00C80724"/>
    <w:pPr>
      <w:spacing w:before="60" w:after="60"/>
      <w:ind w:left="1843" w:right="567" w:hanging="567"/>
    </w:pPr>
    <w:rPr>
      <w:rFonts w:ascii="Arial" w:eastAsia="Times New Roman" w:hAnsi="Arial" w:cs="Arial"/>
      <w:sz w:val="20"/>
      <w:szCs w:val="22"/>
      <w:lang w:eastAsia="en-AU"/>
    </w:rPr>
  </w:style>
  <w:style w:type="paragraph" w:customStyle="1" w:styleId="Leg6SubParai">
    <w:name w:val="Leg6 SubPara: (i)"/>
    <w:aliases w:val="L6"/>
    <w:basedOn w:val="Normal"/>
    <w:uiPriority w:val="5"/>
    <w:qFormat/>
    <w:rsid w:val="00C80724"/>
    <w:pPr>
      <w:spacing w:before="60" w:after="60"/>
      <w:ind w:left="2409" w:right="567" w:hanging="567"/>
    </w:pPr>
    <w:rPr>
      <w:rFonts w:ascii="Arial" w:eastAsia="Times New Roman" w:hAnsi="Arial" w:cs="Arial"/>
      <w:sz w:val="20"/>
      <w:szCs w:val="22"/>
      <w:lang w:eastAsia="en-AU"/>
    </w:rPr>
  </w:style>
  <w:style w:type="character" w:styleId="PlaceholderText">
    <w:name w:val="Placeholder Text"/>
    <w:basedOn w:val="DefaultParagraphFont"/>
    <w:uiPriority w:val="99"/>
    <w:semiHidden/>
    <w:rsid w:val="00A81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257">
      <w:bodyDiv w:val="1"/>
      <w:marLeft w:val="0"/>
      <w:marRight w:val="0"/>
      <w:marTop w:val="0"/>
      <w:marBottom w:val="0"/>
      <w:divBdr>
        <w:top w:val="none" w:sz="0" w:space="0" w:color="auto"/>
        <w:left w:val="none" w:sz="0" w:space="0" w:color="auto"/>
        <w:bottom w:val="none" w:sz="0" w:space="0" w:color="auto"/>
        <w:right w:val="none" w:sz="0" w:space="0" w:color="auto"/>
      </w:divBdr>
    </w:div>
    <w:div w:id="220410248">
      <w:bodyDiv w:val="1"/>
      <w:marLeft w:val="0"/>
      <w:marRight w:val="0"/>
      <w:marTop w:val="0"/>
      <w:marBottom w:val="0"/>
      <w:divBdr>
        <w:top w:val="none" w:sz="0" w:space="0" w:color="auto"/>
        <w:left w:val="none" w:sz="0" w:space="0" w:color="auto"/>
        <w:bottom w:val="none" w:sz="0" w:space="0" w:color="auto"/>
        <w:right w:val="none" w:sz="0" w:space="0" w:color="auto"/>
      </w:divBdr>
    </w:div>
    <w:div w:id="311523550">
      <w:bodyDiv w:val="1"/>
      <w:marLeft w:val="0"/>
      <w:marRight w:val="0"/>
      <w:marTop w:val="0"/>
      <w:marBottom w:val="0"/>
      <w:divBdr>
        <w:top w:val="none" w:sz="0" w:space="0" w:color="auto"/>
        <w:left w:val="none" w:sz="0" w:space="0" w:color="auto"/>
        <w:bottom w:val="none" w:sz="0" w:space="0" w:color="auto"/>
        <w:right w:val="none" w:sz="0" w:space="0" w:color="auto"/>
      </w:divBdr>
    </w:div>
    <w:div w:id="427430405">
      <w:bodyDiv w:val="1"/>
      <w:marLeft w:val="0"/>
      <w:marRight w:val="0"/>
      <w:marTop w:val="0"/>
      <w:marBottom w:val="0"/>
      <w:divBdr>
        <w:top w:val="none" w:sz="0" w:space="0" w:color="auto"/>
        <w:left w:val="none" w:sz="0" w:space="0" w:color="auto"/>
        <w:bottom w:val="none" w:sz="0" w:space="0" w:color="auto"/>
        <w:right w:val="none" w:sz="0" w:space="0" w:color="auto"/>
      </w:divBdr>
    </w:div>
    <w:div w:id="806437243">
      <w:bodyDiv w:val="1"/>
      <w:marLeft w:val="0"/>
      <w:marRight w:val="0"/>
      <w:marTop w:val="0"/>
      <w:marBottom w:val="0"/>
      <w:divBdr>
        <w:top w:val="none" w:sz="0" w:space="0" w:color="auto"/>
        <w:left w:val="none" w:sz="0" w:space="0" w:color="auto"/>
        <w:bottom w:val="none" w:sz="0" w:space="0" w:color="auto"/>
        <w:right w:val="none" w:sz="0" w:space="0" w:color="auto"/>
      </w:divBdr>
    </w:div>
    <w:div w:id="867060373">
      <w:bodyDiv w:val="1"/>
      <w:marLeft w:val="0"/>
      <w:marRight w:val="0"/>
      <w:marTop w:val="0"/>
      <w:marBottom w:val="0"/>
      <w:divBdr>
        <w:top w:val="none" w:sz="0" w:space="0" w:color="auto"/>
        <w:left w:val="none" w:sz="0" w:space="0" w:color="auto"/>
        <w:bottom w:val="none" w:sz="0" w:space="0" w:color="auto"/>
        <w:right w:val="none" w:sz="0" w:space="0" w:color="auto"/>
      </w:divBdr>
    </w:div>
    <w:div w:id="1004478227">
      <w:bodyDiv w:val="1"/>
      <w:marLeft w:val="0"/>
      <w:marRight w:val="0"/>
      <w:marTop w:val="0"/>
      <w:marBottom w:val="0"/>
      <w:divBdr>
        <w:top w:val="none" w:sz="0" w:space="0" w:color="auto"/>
        <w:left w:val="none" w:sz="0" w:space="0" w:color="auto"/>
        <w:bottom w:val="none" w:sz="0" w:space="0" w:color="auto"/>
        <w:right w:val="none" w:sz="0" w:space="0" w:color="auto"/>
      </w:divBdr>
    </w:div>
    <w:div w:id="1181776449">
      <w:bodyDiv w:val="1"/>
      <w:marLeft w:val="0"/>
      <w:marRight w:val="0"/>
      <w:marTop w:val="0"/>
      <w:marBottom w:val="0"/>
      <w:divBdr>
        <w:top w:val="none" w:sz="0" w:space="0" w:color="auto"/>
        <w:left w:val="none" w:sz="0" w:space="0" w:color="auto"/>
        <w:bottom w:val="none" w:sz="0" w:space="0" w:color="auto"/>
        <w:right w:val="none" w:sz="0" w:space="0" w:color="auto"/>
      </w:divBdr>
    </w:div>
    <w:div w:id="1231386081">
      <w:bodyDiv w:val="1"/>
      <w:marLeft w:val="0"/>
      <w:marRight w:val="0"/>
      <w:marTop w:val="0"/>
      <w:marBottom w:val="0"/>
      <w:divBdr>
        <w:top w:val="none" w:sz="0" w:space="0" w:color="auto"/>
        <w:left w:val="none" w:sz="0" w:space="0" w:color="auto"/>
        <w:bottom w:val="none" w:sz="0" w:space="0" w:color="auto"/>
        <w:right w:val="none" w:sz="0" w:space="0" w:color="auto"/>
      </w:divBdr>
    </w:div>
    <w:div w:id="1339622303">
      <w:bodyDiv w:val="1"/>
      <w:marLeft w:val="0"/>
      <w:marRight w:val="0"/>
      <w:marTop w:val="0"/>
      <w:marBottom w:val="0"/>
      <w:divBdr>
        <w:top w:val="none" w:sz="0" w:space="0" w:color="auto"/>
        <w:left w:val="none" w:sz="0" w:space="0" w:color="auto"/>
        <w:bottom w:val="none" w:sz="0" w:space="0" w:color="auto"/>
        <w:right w:val="none" w:sz="0" w:space="0" w:color="auto"/>
      </w:divBdr>
    </w:div>
    <w:div w:id="1523936464">
      <w:bodyDiv w:val="1"/>
      <w:marLeft w:val="0"/>
      <w:marRight w:val="0"/>
      <w:marTop w:val="0"/>
      <w:marBottom w:val="0"/>
      <w:divBdr>
        <w:top w:val="none" w:sz="0" w:space="0" w:color="auto"/>
        <w:left w:val="none" w:sz="0" w:space="0" w:color="auto"/>
        <w:bottom w:val="none" w:sz="0" w:space="0" w:color="auto"/>
        <w:right w:val="none" w:sz="0" w:space="0" w:color="auto"/>
      </w:divBdr>
    </w:div>
    <w:div w:id="1673027378">
      <w:bodyDiv w:val="1"/>
      <w:marLeft w:val="0"/>
      <w:marRight w:val="0"/>
      <w:marTop w:val="0"/>
      <w:marBottom w:val="0"/>
      <w:divBdr>
        <w:top w:val="none" w:sz="0" w:space="0" w:color="auto"/>
        <w:left w:val="none" w:sz="0" w:space="0" w:color="auto"/>
        <w:bottom w:val="none" w:sz="0" w:space="0" w:color="auto"/>
        <w:right w:val="none" w:sz="0" w:space="0" w:color="auto"/>
      </w:divBdr>
    </w:div>
    <w:div w:id="1764688338">
      <w:bodyDiv w:val="1"/>
      <w:marLeft w:val="0"/>
      <w:marRight w:val="0"/>
      <w:marTop w:val="0"/>
      <w:marBottom w:val="0"/>
      <w:divBdr>
        <w:top w:val="none" w:sz="0" w:space="0" w:color="auto"/>
        <w:left w:val="none" w:sz="0" w:space="0" w:color="auto"/>
        <w:bottom w:val="none" w:sz="0" w:space="0" w:color="auto"/>
        <w:right w:val="none" w:sz="0" w:space="0" w:color="auto"/>
      </w:divBdr>
    </w:div>
    <w:div w:id="1887060754">
      <w:bodyDiv w:val="1"/>
      <w:marLeft w:val="0"/>
      <w:marRight w:val="0"/>
      <w:marTop w:val="0"/>
      <w:marBottom w:val="0"/>
      <w:divBdr>
        <w:top w:val="none" w:sz="0" w:space="0" w:color="auto"/>
        <w:left w:val="none" w:sz="0" w:space="0" w:color="auto"/>
        <w:bottom w:val="none" w:sz="0" w:space="0" w:color="auto"/>
        <w:right w:val="none" w:sz="0" w:space="0" w:color="auto"/>
      </w:divBdr>
    </w:div>
    <w:div w:id="1929120231">
      <w:bodyDiv w:val="1"/>
      <w:marLeft w:val="0"/>
      <w:marRight w:val="0"/>
      <w:marTop w:val="0"/>
      <w:marBottom w:val="0"/>
      <w:divBdr>
        <w:top w:val="none" w:sz="0" w:space="0" w:color="auto"/>
        <w:left w:val="none" w:sz="0" w:space="0" w:color="auto"/>
        <w:bottom w:val="none" w:sz="0" w:space="0" w:color="auto"/>
        <w:right w:val="none" w:sz="0" w:space="0" w:color="auto"/>
      </w:divBdr>
    </w:div>
    <w:div w:id="1946501295">
      <w:bodyDiv w:val="1"/>
      <w:marLeft w:val="0"/>
      <w:marRight w:val="0"/>
      <w:marTop w:val="0"/>
      <w:marBottom w:val="0"/>
      <w:divBdr>
        <w:top w:val="none" w:sz="0" w:space="0" w:color="auto"/>
        <w:left w:val="none" w:sz="0" w:space="0" w:color="auto"/>
        <w:bottom w:val="none" w:sz="0" w:space="0" w:color="auto"/>
        <w:right w:val="none" w:sz="0" w:space="0" w:color="auto"/>
      </w:divBdr>
      <w:divsChild>
        <w:div w:id="2083604181">
          <w:marLeft w:val="0"/>
          <w:marRight w:val="0"/>
          <w:marTop w:val="0"/>
          <w:marBottom w:val="0"/>
          <w:divBdr>
            <w:top w:val="none" w:sz="0" w:space="0" w:color="auto"/>
            <w:left w:val="none" w:sz="0" w:space="0" w:color="auto"/>
            <w:bottom w:val="none" w:sz="0" w:space="0" w:color="auto"/>
            <w:right w:val="none" w:sz="0" w:space="0" w:color="auto"/>
          </w:divBdr>
          <w:divsChild>
            <w:div w:id="7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9DFF768-3634-49A5-A2A3-362A153A8A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63EBF2D913C034F8BEA9A3E46F44496" ma:contentTypeVersion="" ma:contentTypeDescription="PDMS Document Site Content Type" ma:contentTypeScope="" ma:versionID="fd7c5c5c7f6a44413fcd0c35c29645e1">
  <xsd:schema xmlns:xsd="http://www.w3.org/2001/XMLSchema" xmlns:xs="http://www.w3.org/2001/XMLSchema" xmlns:p="http://schemas.microsoft.com/office/2006/metadata/properties" xmlns:ns2="19DFF768-3634-49A5-A2A3-362A153A8A82" targetNamespace="http://schemas.microsoft.com/office/2006/metadata/properties" ma:root="true" ma:fieldsID="cc93eaca20d96d8dbd9e1f3d81559908" ns2:_="">
    <xsd:import namespace="19DFF768-3634-49A5-A2A3-362A153A8A8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FF768-3634-49A5-A2A3-362A153A8A8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 D O C U M E N T S ! 4 9 7 8 8 7 1 5 . 3 < / d o c u m e n t i d >  
     < s e n d e r i d > G R A H J A < / s e n d e r i d >  
     < s e n d e r e m a i l > J A M E S . G R A H A M @ A G S . G O V . A U < / s e n d e r e m a i l >  
     < l a s t m o d i f i e d > 2 0 2 3 - 1 1 - 2 0 T 1 8 : 1 2 : 0 0 . 0 0 0 0 0 0 0 + 1 1 : 0 0 < / l a s t m o d i f i e d >  
     < d a t a b a s e > D O C U M E N T S 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822FB-2D86-4191-BA6A-5863F64238FA}">
  <ds:schemaRefs>
    <ds:schemaRef ds:uri="http://www.w3.org/XML/1998/namespace"/>
    <ds:schemaRef ds:uri="http://schemas.microsoft.com/office/2006/metadata/properties"/>
    <ds:schemaRef ds:uri="http://purl.org/dc/terms/"/>
    <ds:schemaRef ds:uri="http://purl.org/dc/elements/1.1/"/>
    <ds:schemaRef ds:uri="19DFF768-3634-49A5-A2A3-362A153A8A82"/>
    <ds:schemaRef ds:uri="http://schemas.microsoft.com/office/infopath/2007/PartnerControl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972AA09-0E04-4840-A52D-6583BD95A089}">
  <ds:schemaRefs>
    <ds:schemaRef ds:uri="http://schemas.openxmlformats.org/officeDocument/2006/bibliography"/>
  </ds:schemaRefs>
</ds:datastoreItem>
</file>

<file path=customXml/itemProps3.xml><?xml version="1.0" encoding="utf-8"?>
<ds:datastoreItem xmlns:ds="http://schemas.openxmlformats.org/officeDocument/2006/customXml" ds:itemID="{5EAB4E25-5E5D-4CB6-9799-CEC3C82B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FF768-3634-49A5-A2A3-362A153A8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2B64B-BFD2-4228-80E0-94F971C09246}">
  <ds:schemaRefs>
    <ds:schemaRef ds:uri="http://www.imanage.com/work/xmlschema"/>
  </ds:schemaRefs>
</ds:datastoreItem>
</file>

<file path=customXml/itemProps5.xml><?xml version="1.0" encoding="utf-8"?>
<ds:datastoreItem xmlns:ds="http://schemas.openxmlformats.org/officeDocument/2006/customXml" ds:itemID="{90020266-6389-4226-9547-681A90517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2023</Words>
  <Characters>11860</Characters>
  <Application>Microsoft Office Word</Application>
  <DocSecurity>0</DocSecurity>
  <Lines>204</Lines>
  <Paragraphs>78</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2023-11-21T22:19:00Z</dcterms:created>
  <dcterms:modified xsi:type="dcterms:W3CDTF">2023-11-27T23:50:00Z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0x010100266966F133664895A6EE3632470D45F500663EBF2D913C034F8BEA9A3E46F44496</vt:lpwstr>
  </property>
</Properties>
</file>