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B4" w14:textId="76126565" w:rsidR="004D51FA" w:rsidRPr="00393900" w:rsidRDefault="004D51FA" w:rsidP="00DF7DA0">
      <w:pPr>
        <w:pStyle w:val="Heading"/>
        <w:spacing w:after="240"/>
        <w:jc w:val="center"/>
        <w:rPr>
          <w:rFonts w:ascii="Times New Roman" w:hAnsi="Times New Roman"/>
          <w:i/>
          <w:sz w:val="24"/>
          <w:szCs w:val="24"/>
        </w:rPr>
      </w:pPr>
      <w:r w:rsidRPr="00393900">
        <w:rPr>
          <w:rFonts w:ascii="Times New Roman" w:hAnsi="Times New Roman"/>
          <w:i/>
          <w:sz w:val="24"/>
          <w:szCs w:val="24"/>
        </w:rPr>
        <w:t xml:space="preserve">Banking (prudential standard) determination No. </w:t>
      </w:r>
      <w:r w:rsidR="645E71D9" w:rsidRPr="004BBD03">
        <w:rPr>
          <w:rFonts w:ascii="Times New Roman" w:hAnsi="Times New Roman"/>
          <w:i/>
          <w:iCs/>
          <w:sz w:val="24"/>
          <w:szCs w:val="24"/>
        </w:rPr>
        <w:t>6</w:t>
      </w:r>
      <w:r w:rsidR="00FD5575" w:rsidRPr="00393900">
        <w:rPr>
          <w:rFonts w:ascii="Times New Roman" w:hAnsi="Times New Roman"/>
          <w:i/>
          <w:sz w:val="24"/>
          <w:szCs w:val="24"/>
        </w:rPr>
        <w:t xml:space="preserve"> </w:t>
      </w:r>
      <w:r w:rsidRPr="00393900">
        <w:rPr>
          <w:rFonts w:ascii="Times New Roman" w:hAnsi="Times New Roman"/>
          <w:i/>
          <w:sz w:val="24"/>
          <w:szCs w:val="24"/>
        </w:rPr>
        <w:t xml:space="preserve">of </w:t>
      </w:r>
      <w:r w:rsidR="00153F9D" w:rsidRPr="00393900">
        <w:rPr>
          <w:rFonts w:ascii="Times New Roman" w:hAnsi="Times New Roman"/>
          <w:i/>
          <w:sz w:val="24"/>
          <w:szCs w:val="24"/>
        </w:rPr>
        <w:t>2023</w:t>
      </w:r>
      <w:bookmarkStart w:id="0" w:name="bkInstrumentSubTitle"/>
      <w:bookmarkEnd w:id="0"/>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45F6AE52"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6F26076F" w14:textId="7E49E6D1" w:rsidR="000158EF" w:rsidRPr="009418C9" w:rsidRDefault="007A4AF8" w:rsidP="00637C41">
      <w:pPr>
        <w:widowControl w:val="0"/>
        <w:spacing w:after="240"/>
        <w:jc w:val="both"/>
        <w:rPr>
          <w:rFonts w:ascii="Times New Roman" w:hAnsi="Times New Roman"/>
          <w:sz w:val="24"/>
          <w:szCs w:val="24"/>
        </w:rPr>
      </w:pPr>
      <w:bookmarkStart w:id="1" w:name="bkAct"/>
      <w:bookmarkStart w:id="2" w:name="bkExplanatory"/>
      <w:bookmarkEnd w:id="1"/>
      <w:bookmarkEnd w:id="2"/>
      <w:r w:rsidRPr="007A4AF8">
        <w:rPr>
          <w:rFonts w:ascii="Times New Roman" w:hAnsi="Times New Roman"/>
          <w:sz w:val="24"/>
          <w:szCs w:val="24"/>
        </w:rPr>
        <w:t xml:space="preserve">APRA may, in writing, determine, vary or revoke a prudential standard that applies to </w:t>
      </w:r>
      <w:r w:rsidR="000158EF" w:rsidRPr="009418C9">
        <w:rPr>
          <w:rFonts w:ascii="Times New Roman" w:hAnsi="Times New Roman"/>
          <w:sz w:val="24"/>
          <w:szCs w:val="24"/>
        </w:rPr>
        <w:t>authorised deposit-taking institutions (ADIs) and authorised non-operating holding companies (authorised NOHCs)</w:t>
      </w:r>
      <w:r w:rsidR="000B3ACF">
        <w:rPr>
          <w:rFonts w:ascii="Times New Roman" w:hAnsi="Times New Roman"/>
          <w:sz w:val="24"/>
          <w:szCs w:val="24"/>
        </w:rPr>
        <w:t xml:space="preserve"> u</w:t>
      </w:r>
      <w:r w:rsidR="000B3ACF" w:rsidRPr="00590C51">
        <w:rPr>
          <w:rFonts w:ascii="Times New Roman" w:hAnsi="Times New Roman"/>
          <w:sz w:val="24"/>
          <w:szCs w:val="24"/>
        </w:rPr>
        <w:t>nder subsection 11</w:t>
      </w:r>
      <w:proofErr w:type="gramStart"/>
      <w:r w:rsidR="000B3ACF" w:rsidRPr="00590C51">
        <w:rPr>
          <w:rFonts w:ascii="Times New Roman" w:hAnsi="Times New Roman"/>
          <w:sz w:val="24"/>
          <w:szCs w:val="24"/>
        </w:rPr>
        <w:t>AF(</w:t>
      </w:r>
      <w:proofErr w:type="gramEnd"/>
      <w:r w:rsidR="000B3ACF" w:rsidRPr="00590C51">
        <w:rPr>
          <w:rFonts w:ascii="Times New Roman" w:hAnsi="Times New Roman"/>
          <w:sz w:val="24"/>
          <w:szCs w:val="24"/>
        </w:rPr>
        <w:t xml:space="preserve">1) </w:t>
      </w:r>
      <w:r w:rsidR="000B3ACF">
        <w:rPr>
          <w:rFonts w:ascii="Times New Roman" w:hAnsi="Times New Roman"/>
          <w:sz w:val="24"/>
          <w:szCs w:val="24"/>
        </w:rPr>
        <w:t xml:space="preserve">and (3) </w:t>
      </w:r>
      <w:r w:rsidR="000B3ACF" w:rsidRPr="00590C51">
        <w:rPr>
          <w:rFonts w:ascii="Times New Roman" w:hAnsi="Times New Roman"/>
          <w:sz w:val="24"/>
          <w:szCs w:val="24"/>
        </w:rPr>
        <w:t xml:space="preserve">of the </w:t>
      </w:r>
      <w:r w:rsidR="000B3ACF" w:rsidRPr="00590C51">
        <w:rPr>
          <w:rFonts w:ascii="Times New Roman" w:hAnsi="Times New Roman"/>
          <w:i/>
          <w:sz w:val="24"/>
          <w:szCs w:val="24"/>
        </w:rPr>
        <w:t>Banking Act 1959</w:t>
      </w:r>
      <w:r w:rsidR="000B3ACF" w:rsidRPr="00590C51">
        <w:rPr>
          <w:rFonts w:ascii="Times New Roman" w:hAnsi="Times New Roman"/>
          <w:sz w:val="24"/>
          <w:szCs w:val="24"/>
        </w:rPr>
        <w:t xml:space="preserve"> (the Act)</w:t>
      </w:r>
      <w:r w:rsidR="000158EF" w:rsidRPr="009418C9">
        <w:rPr>
          <w:rFonts w:ascii="Times New Roman" w:hAnsi="Times New Roman"/>
          <w:sz w:val="24"/>
          <w:szCs w:val="24"/>
        </w:rPr>
        <w:t xml:space="preserve">. </w:t>
      </w:r>
    </w:p>
    <w:p w14:paraId="53E5A006" w14:textId="6AD53C98" w:rsidR="00F757CD" w:rsidRPr="006762F8" w:rsidRDefault="002436BD" w:rsidP="006762F8">
      <w:pPr>
        <w:spacing w:after="240"/>
        <w:jc w:val="both"/>
        <w:rPr>
          <w:rFonts w:ascii="Times New Roman" w:hAnsi="Times New Roman"/>
          <w:sz w:val="24"/>
          <w:szCs w:val="24"/>
        </w:rPr>
      </w:pPr>
      <w:r w:rsidRPr="00112707">
        <w:rPr>
          <w:rFonts w:ascii="Times New Roman" w:hAnsi="Times New Roman"/>
          <w:sz w:val="24"/>
          <w:szCs w:val="24"/>
        </w:rPr>
        <w:t>On</w:t>
      </w:r>
      <w:r w:rsidR="00112707">
        <w:rPr>
          <w:rFonts w:ascii="Times New Roman" w:hAnsi="Times New Roman"/>
          <w:sz w:val="24"/>
          <w:szCs w:val="24"/>
        </w:rPr>
        <w:t xml:space="preserve"> </w:t>
      </w:r>
      <w:r w:rsidR="00B509F5" w:rsidRPr="00B509F5">
        <w:rPr>
          <w:rFonts w:ascii="Times New Roman" w:hAnsi="Times New Roman"/>
          <w:sz w:val="24"/>
          <w:szCs w:val="24"/>
        </w:rPr>
        <w:t>21</w:t>
      </w:r>
      <w:r w:rsidR="002B0A11" w:rsidRPr="00B509F5">
        <w:rPr>
          <w:rFonts w:ascii="Times New Roman" w:hAnsi="Times New Roman"/>
          <w:sz w:val="24"/>
          <w:szCs w:val="24"/>
        </w:rPr>
        <w:t xml:space="preserve"> </w:t>
      </w:r>
      <w:r w:rsidR="00F97101" w:rsidRPr="00B509F5">
        <w:rPr>
          <w:rFonts w:ascii="Times New Roman" w:hAnsi="Times New Roman"/>
          <w:sz w:val="24"/>
          <w:szCs w:val="24"/>
        </w:rPr>
        <w:t xml:space="preserve">November </w:t>
      </w:r>
      <w:r w:rsidR="002B0A11" w:rsidRPr="00B509F5">
        <w:rPr>
          <w:rFonts w:ascii="Times New Roman" w:hAnsi="Times New Roman"/>
          <w:sz w:val="24"/>
          <w:szCs w:val="24"/>
        </w:rPr>
        <w:t>2023</w:t>
      </w:r>
      <w:r w:rsidRPr="00EE2C47">
        <w:rPr>
          <w:rFonts w:ascii="Times New Roman" w:hAnsi="Times New Roman"/>
          <w:sz w:val="24"/>
          <w:szCs w:val="24"/>
        </w:rPr>
        <w:t>, APRA made</w:t>
      </w:r>
      <w:r w:rsidR="00030D8E">
        <w:rPr>
          <w:rFonts w:ascii="Times New Roman" w:hAnsi="Times New Roman"/>
          <w:sz w:val="24"/>
          <w:szCs w:val="24"/>
        </w:rPr>
        <w:t xml:space="preserve"> </w:t>
      </w:r>
      <w:r w:rsidR="001A193A" w:rsidRPr="00393900">
        <w:rPr>
          <w:rFonts w:ascii="Times New Roman" w:hAnsi="Times New Roman"/>
          <w:i/>
          <w:sz w:val="24"/>
          <w:szCs w:val="24"/>
        </w:rPr>
        <w:t xml:space="preserve">Banking (prudential standard) determination No. </w:t>
      </w:r>
      <w:r w:rsidR="42EF5A8B" w:rsidRPr="004BBD03">
        <w:rPr>
          <w:rFonts w:ascii="Times New Roman" w:hAnsi="Times New Roman"/>
          <w:i/>
          <w:iCs/>
          <w:sz w:val="24"/>
          <w:szCs w:val="24"/>
        </w:rPr>
        <w:t>6</w:t>
      </w:r>
      <w:r w:rsidR="001A193A" w:rsidRPr="00393900">
        <w:rPr>
          <w:rFonts w:ascii="Times New Roman" w:hAnsi="Times New Roman"/>
          <w:i/>
          <w:sz w:val="24"/>
          <w:szCs w:val="24"/>
        </w:rPr>
        <w:t xml:space="preserve"> of 2023</w:t>
      </w:r>
      <w:r w:rsidR="001A193A" w:rsidRPr="001A193A">
        <w:rPr>
          <w:rFonts w:ascii="Times New Roman" w:hAnsi="Times New Roman"/>
          <w:sz w:val="24"/>
          <w:szCs w:val="24"/>
        </w:rPr>
        <w:t xml:space="preserve"> </w:t>
      </w:r>
      <w:r w:rsidR="006762F8">
        <w:rPr>
          <w:rFonts w:ascii="Times New Roman" w:hAnsi="Times New Roman"/>
          <w:sz w:val="24"/>
          <w:szCs w:val="24"/>
        </w:rPr>
        <w:t>(the instrument)</w:t>
      </w:r>
      <w:r w:rsidR="00F757CD" w:rsidRPr="006762F8">
        <w:rPr>
          <w:rFonts w:ascii="Times New Roman" w:hAnsi="Times New Roman"/>
          <w:sz w:val="24"/>
          <w:szCs w:val="24"/>
        </w:rPr>
        <w:t xml:space="preserve">, which revokes </w:t>
      </w:r>
      <w:r w:rsidR="00F757CD" w:rsidRPr="006762F8">
        <w:rPr>
          <w:rFonts w:ascii="Times New Roman" w:hAnsi="Times New Roman"/>
          <w:i/>
          <w:sz w:val="24"/>
          <w:szCs w:val="24"/>
        </w:rPr>
        <w:t>Prudential Standard APS 1</w:t>
      </w:r>
      <w:r w:rsidR="00A548E3" w:rsidRPr="006762F8">
        <w:rPr>
          <w:rFonts w:ascii="Times New Roman" w:hAnsi="Times New Roman"/>
          <w:i/>
          <w:sz w:val="24"/>
          <w:szCs w:val="24"/>
        </w:rPr>
        <w:t>20</w:t>
      </w:r>
      <w:r w:rsidR="00A762CF" w:rsidRPr="006762F8">
        <w:rPr>
          <w:rFonts w:ascii="Times New Roman" w:hAnsi="Times New Roman"/>
          <w:i/>
          <w:sz w:val="24"/>
          <w:szCs w:val="24"/>
        </w:rPr>
        <w:t xml:space="preserve"> Securitisation</w:t>
      </w:r>
      <w:r w:rsidR="00F757CD" w:rsidRPr="006762F8">
        <w:rPr>
          <w:rFonts w:ascii="Times New Roman" w:hAnsi="Times New Roman"/>
          <w:i/>
          <w:sz w:val="24"/>
          <w:szCs w:val="24"/>
        </w:rPr>
        <w:t xml:space="preserve"> </w:t>
      </w:r>
      <w:r w:rsidR="00F757CD" w:rsidRPr="006762F8">
        <w:rPr>
          <w:rFonts w:ascii="Times New Roman" w:hAnsi="Times New Roman"/>
          <w:sz w:val="24"/>
          <w:szCs w:val="24"/>
        </w:rPr>
        <w:t xml:space="preserve">made under </w:t>
      </w:r>
      <w:r w:rsidR="00F757CD" w:rsidRPr="00393900">
        <w:rPr>
          <w:rFonts w:ascii="Times New Roman" w:hAnsi="Times New Roman"/>
          <w:i/>
          <w:sz w:val="24"/>
          <w:szCs w:val="24"/>
        </w:rPr>
        <w:t xml:space="preserve">Banking (prudential standard) determination No. </w:t>
      </w:r>
      <w:r w:rsidR="00EC1437" w:rsidRPr="00393900">
        <w:rPr>
          <w:rFonts w:ascii="Times New Roman" w:hAnsi="Times New Roman"/>
          <w:i/>
          <w:sz w:val="24"/>
          <w:szCs w:val="24"/>
        </w:rPr>
        <w:t>2</w:t>
      </w:r>
      <w:r w:rsidR="00F757CD" w:rsidRPr="00393900">
        <w:rPr>
          <w:rFonts w:ascii="Times New Roman" w:hAnsi="Times New Roman"/>
          <w:i/>
          <w:sz w:val="24"/>
          <w:szCs w:val="24"/>
        </w:rPr>
        <w:t xml:space="preserve"> of 20</w:t>
      </w:r>
      <w:r w:rsidR="005771FB" w:rsidRPr="00393900">
        <w:rPr>
          <w:rFonts w:ascii="Times New Roman" w:hAnsi="Times New Roman"/>
          <w:i/>
          <w:sz w:val="24"/>
          <w:szCs w:val="24"/>
        </w:rPr>
        <w:t>2</w:t>
      </w:r>
      <w:r w:rsidR="00EC1437" w:rsidRPr="00393900">
        <w:rPr>
          <w:rFonts w:ascii="Times New Roman" w:hAnsi="Times New Roman"/>
          <w:i/>
          <w:sz w:val="24"/>
          <w:szCs w:val="24"/>
        </w:rPr>
        <w:t>3</w:t>
      </w:r>
      <w:r w:rsidR="00F757CD" w:rsidRPr="006762F8">
        <w:rPr>
          <w:rFonts w:ascii="Times New Roman" w:hAnsi="Times New Roman"/>
          <w:sz w:val="24"/>
          <w:szCs w:val="24"/>
        </w:rPr>
        <w:t xml:space="preserve"> and determines a new </w:t>
      </w:r>
      <w:r w:rsidR="00F757CD" w:rsidRPr="006762F8">
        <w:rPr>
          <w:rFonts w:ascii="Times New Roman" w:hAnsi="Times New Roman"/>
          <w:i/>
          <w:sz w:val="24"/>
          <w:szCs w:val="24"/>
        </w:rPr>
        <w:t>Prudential Standard APS 1</w:t>
      </w:r>
      <w:r w:rsidR="00A762CF" w:rsidRPr="006762F8">
        <w:rPr>
          <w:rFonts w:ascii="Times New Roman" w:hAnsi="Times New Roman"/>
          <w:i/>
          <w:sz w:val="24"/>
          <w:szCs w:val="24"/>
        </w:rPr>
        <w:t>20</w:t>
      </w:r>
      <w:r w:rsidR="00F757CD" w:rsidRPr="006762F8">
        <w:rPr>
          <w:rFonts w:ascii="Times New Roman" w:hAnsi="Times New Roman"/>
          <w:i/>
          <w:sz w:val="24"/>
          <w:szCs w:val="24"/>
        </w:rPr>
        <w:t xml:space="preserve"> </w:t>
      </w:r>
      <w:r w:rsidR="00A762CF" w:rsidRPr="006762F8">
        <w:rPr>
          <w:rFonts w:ascii="Times New Roman" w:hAnsi="Times New Roman"/>
          <w:i/>
          <w:sz w:val="24"/>
          <w:szCs w:val="24"/>
        </w:rPr>
        <w:t xml:space="preserve">Securitisation </w:t>
      </w:r>
      <w:r w:rsidR="00F757CD" w:rsidRPr="006762F8">
        <w:rPr>
          <w:rFonts w:ascii="Times New Roman" w:hAnsi="Times New Roman"/>
          <w:sz w:val="24"/>
          <w:szCs w:val="24"/>
        </w:rPr>
        <w:t>(APS 1</w:t>
      </w:r>
      <w:r w:rsidR="00A762CF" w:rsidRPr="006762F8">
        <w:rPr>
          <w:rFonts w:ascii="Times New Roman" w:hAnsi="Times New Roman"/>
          <w:sz w:val="24"/>
          <w:szCs w:val="24"/>
        </w:rPr>
        <w:t>20</w:t>
      </w:r>
      <w:r w:rsidR="00F757CD" w:rsidRPr="006762F8">
        <w:rPr>
          <w:rFonts w:ascii="Times New Roman" w:hAnsi="Times New Roman"/>
          <w:sz w:val="24"/>
          <w:szCs w:val="24"/>
        </w:rPr>
        <w:t>)</w:t>
      </w:r>
      <w:r w:rsidR="006762F8">
        <w:rPr>
          <w:rFonts w:ascii="Times New Roman" w:hAnsi="Times New Roman"/>
          <w:sz w:val="24"/>
          <w:szCs w:val="24"/>
        </w:rPr>
        <w:t>.</w:t>
      </w:r>
    </w:p>
    <w:p w14:paraId="21FC60F2" w14:textId="68EF9138" w:rsidR="006E16F5" w:rsidRDefault="006E16F5" w:rsidP="006E16F5">
      <w:pPr>
        <w:widowControl w:val="0"/>
        <w:spacing w:after="240"/>
        <w:jc w:val="both"/>
        <w:rPr>
          <w:rFonts w:ascii="Times New Roman" w:hAnsi="Times New Roman"/>
          <w:sz w:val="24"/>
          <w:szCs w:val="24"/>
        </w:rPr>
      </w:pPr>
      <w:r>
        <w:rPr>
          <w:rFonts w:ascii="Times New Roman" w:hAnsi="Times New Roman"/>
          <w:sz w:val="24"/>
          <w:szCs w:val="24"/>
        </w:rPr>
        <w:t>The instrument commences on 1 January 2024.</w:t>
      </w:r>
    </w:p>
    <w:p w14:paraId="25ABAD4C" w14:textId="5E18C75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CD17388" w14:textId="494F6483" w:rsidR="00EC1437" w:rsidRPr="00F910C6" w:rsidRDefault="00EC1437" w:rsidP="002E1F21">
      <w:pPr>
        <w:spacing w:after="240"/>
        <w:jc w:val="both"/>
        <w:rPr>
          <w:rFonts w:ascii="Times New Roman" w:hAnsi="Times New Roman"/>
          <w:sz w:val="24"/>
          <w:szCs w:val="24"/>
        </w:rPr>
      </w:pPr>
      <w:r w:rsidRPr="00F910C6">
        <w:rPr>
          <w:rFonts w:ascii="Times New Roman" w:hAnsi="Times New Roman"/>
          <w:sz w:val="24"/>
          <w:szCs w:val="24"/>
        </w:rPr>
        <w:t xml:space="preserve">APRA’s mandate is to ensure the safety and soundness of prudentially regulated financial institutions so that they can meet their financial promises to depositors, </w:t>
      </w:r>
      <w:proofErr w:type="gramStart"/>
      <w:r w:rsidRPr="00F910C6">
        <w:rPr>
          <w:rFonts w:ascii="Times New Roman" w:hAnsi="Times New Roman"/>
          <w:sz w:val="24"/>
          <w:szCs w:val="24"/>
        </w:rPr>
        <w:t>policyholders</w:t>
      </w:r>
      <w:proofErr w:type="gramEnd"/>
      <w:r w:rsidRPr="00F910C6">
        <w:rPr>
          <w:rFonts w:ascii="Times New Roman" w:hAnsi="Times New Roman"/>
          <w:sz w:val="24"/>
          <w:szCs w:val="24"/>
        </w:rPr>
        <w:t xml:space="preserve"> and fund members within a stable, efficient and competitive financial system.</w:t>
      </w:r>
    </w:p>
    <w:p w14:paraId="77A4E1AB" w14:textId="0E7C0E18" w:rsidR="00EC1437" w:rsidRPr="00F910C6" w:rsidRDefault="00EC1437" w:rsidP="002E1F21">
      <w:pPr>
        <w:spacing w:after="240"/>
        <w:jc w:val="both"/>
        <w:rPr>
          <w:rFonts w:ascii="Times New Roman" w:hAnsi="Times New Roman"/>
          <w:sz w:val="24"/>
          <w:szCs w:val="24"/>
        </w:rPr>
      </w:pPr>
      <w:r w:rsidRPr="00F910C6">
        <w:rPr>
          <w:rFonts w:ascii="Times New Roman" w:hAnsi="Times New Roman"/>
          <w:sz w:val="24"/>
          <w:szCs w:val="24"/>
        </w:rPr>
        <w:t xml:space="preserve">APRA carries out this mandate through a multi-layered prudential framework that encompasses licensing and supervision of </w:t>
      </w:r>
      <w:r w:rsidRPr="009246D4">
        <w:rPr>
          <w:rFonts w:ascii="Times New Roman" w:hAnsi="Times New Roman"/>
          <w:sz w:val="24"/>
          <w:szCs w:val="24"/>
        </w:rPr>
        <w:t>institutions</w:t>
      </w:r>
      <w:r w:rsidRPr="00F910C6">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0A92EE8E" w14:textId="58415104" w:rsidR="00591FD6" w:rsidRPr="00F910C6" w:rsidRDefault="00591FD6" w:rsidP="002E1F21">
      <w:pPr>
        <w:spacing w:after="240"/>
        <w:jc w:val="both"/>
        <w:rPr>
          <w:rFonts w:ascii="Times New Roman" w:eastAsiaTheme="minorEastAsia" w:hAnsi="Times New Roman"/>
          <w:sz w:val="24"/>
          <w:szCs w:val="24"/>
          <w:lang w:eastAsia="en-US"/>
        </w:rPr>
      </w:pPr>
      <w:r w:rsidRPr="00F910C6">
        <w:rPr>
          <w:rFonts w:ascii="Times New Roman" w:eastAsiaTheme="minorEastAsia" w:hAnsi="Times New Roman"/>
          <w:sz w:val="24"/>
          <w:szCs w:val="24"/>
          <w:lang w:eastAsia="en-US"/>
        </w:rPr>
        <w:t xml:space="preserve">One of the key components of APRA’s prudential framework is the suite of prudential standards which require ADIs to hold regulatory capital as a buffer against the risks which they undertake (capital standards). These capital standards include APS 120. </w:t>
      </w:r>
    </w:p>
    <w:p w14:paraId="34375A0B" w14:textId="0D465738" w:rsidR="004B3DA7" w:rsidRPr="00F910C6" w:rsidRDefault="00E83CF9" w:rsidP="002E1F21">
      <w:pPr>
        <w:spacing w:after="240"/>
        <w:jc w:val="both"/>
        <w:rPr>
          <w:rFonts w:ascii="Times New Roman" w:eastAsiaTheme="minorEastAsia" w:hAnsi="Times New Roman"/>
          <w:sz w:val="24"/>
          <w:szCs w:val="24"/>
          <w:lang w:eastAsia="en-US"/>
        </w:rPr>
      </w:pPr>
      <w:r w:rsidRPr="00F910C6">
        <w:rPr>
          <w:rFonts w:ascii="Times New Roman" w:eastAsiaTheme="minorEastAsia" w:hAnsi="Times New Roman"/>
          <w:sz w:val="24"/>
          <w:szCs w:val="24"/>
          <w:lang w:eastAsia="en-US"/>
        </w:rPr>
        <w:t>Securitisation involves selling a ‘pool’ of assets (typically loans) to a special purpose vehicle</w:t>
      </w:r>
      <w:r w:rsidR="00AA10AB">
        <w:rPr>
          <w:rFonts w:ascii="Times New Roman" w:eastAsiaTheme="minorEastAsia" w:hAnsi="Times New Roman"/>
          <w:sz w:val="24"/>
          <w:szCs w:val="24"/>
          <w:lang w:eastAsia="en-US"/>
        </w:rPr>
        <w:t xml:space="preserve"> (SPV)</w:t>
      </w:r>
      <w:r w:rsidRPr="00F910C6">
        <w:rPr>
          <w:rFonts w:ascii="Times New Roman" w:eastAsiaTheme="minorEastAsia" w:hAnsi="Times New Roman"/>
          <w:sz w:val="24"/>
          <w:szCs w:val="24"/>
          <w:lang w:eastAsia="en-US"/>
        </w:rPr>
        <w:t xml:space="preserve">, which then obtains funding for these assets from the capital markets. </w:t>
      </w:r>
      <w:r w:rsidR="004B3DA7" w:rsidRPr="00F910C6">
        <w:rPr>
          <w:rFonts w:ascii="Times New Roman" w:eastAsiaTheme="minorEastAsia" w:hAnsi="Times New Roman"/>
          <w:sz w:val="24"/>
          <w:szCs w:val="24"/>
          <w:lang w:eastAsia="en-US"/>
        </w:rPr>
        <w:t xml:space="preserve">Where </w:t>
      </w:r>
      <w:r w:rsidR="00965ED7">
        <w:rPr>
          <w:rFonts w:ascii="Times New Roman" w:eastAsiaTheme="minorEastAsia" w:hAnsi="Times New Roman"/>
          <w:sz w:val="24"/>
          <w:szCs w:val="24"/>
          <w:lang w:eastAsia="en-US"/>
        </w:rPr>
        <w:t xml:space="preserve">significant </w:t>
      </w:r>
      <w:r w:rsidR="004B3DA7" w:rsidRPr="00F910C6">
        <w:rPr>
          <w:rFonts w:ascii="Times New Roman" w:eastAsiaTheme="minorEastAsia" w:hAnsi="Times New Roman"/>
          <w:sz w:val="24"/>
          <w:szCs w:val="24"/>
          <w:lang w:eastAsia="en-US"/>
        </w:rPr>
        <w:t xml:space="preserve">credit risk </w:t>
      </w:r>
      <w:r w:rsidR="00965ED7">
        <w:rPr>
          <w:rFonts w:ascii="Times New Roman" w:eastAsiaTheme="minorEastAsia" w:hAnsi="Times New Roman"/>
          <w:sz w:val="24"/>
          <w:szCs w:val="24"/>
          <w:lang w:eastAsia="en-US"/>
        </w:rPr>
        <w:t xml:space="preserve">associated with </w:t>
      </w:r>
      <w:r w:rsidR="004B3DA7" w:rsidRPr="00F910C6">
        <w:rPr>
          <w:rFonts w:ascii="Times New Roman" w:eastAsiaTheme="minorEastAsia" w:hAnsi="Times New Roman"/>
          <w:sz w:val="24"/>
          <w:szCs w:val="24"/>
          <w:lang w:eastAsia="en-US"/>
        </w:rPr>
        <w:t xml:space="preserve">the ‘pool’ is transferred to third parties, ADIs may receive relief from regulatory capital requirements. </w:t>
      </w:r>
    </w:p>
    <w:p w14:paraId="5065070D" w14:textId="2A246120" w:rsidR="00E83CF9" w:rsidRPr="00F910C6" w:rsidRDefault="00E231DE" w:rsidP="00AA10AB">
      <w:pPr>
        <w:spacing w:after="240"/>
        <w:jc w:val="both"/>
        <w:rPr>
          <w:rFonts w:ascii="Times New Roman" w:eastAsiaTheme="minorEastAsia" w:hAnsi="Times New Roman"/>
          <w:sz w:val="24"/>
          <w:szCs w:val="24"/>
          <w:lang w:eastAsia="en-US"/>
        </w:rPr>
      </w:pPr>
      <w:r w:rsidRPr="00F910C6">
        <w:rPr>
          <w:rFonts w:ascii="Times New Roman" w:eastAsiaTheme="minorEastAsia" w:hAnsi="Times New Roman"/>
          <w:sz w:val="24"/>
          <w:szCs w:val="24"/>
          <w:lang w:eastAsia="en-US"/>
        </w:rPr>
        <w:t>APS 120 sets out the criteria that an ADI must meet to achieve regulatory capital relief</w:t>
      </w:r>
      <w:r w:rsidR="004B3DA7" w:rsidRPr="00F910C6">
        <w:rPr>
          <w:rFonts w:ascii="Times New Roman" w:eastAsiaTheme="minorEastAsia" w:hAnsi="Times New Roman"/>
          <w:sz w:val="24"/>
          <w:szCs w:val="24"/>
          <w:lang w:eastAsia="en-US"/>
        </w:rPr>
        <w:t xml:space="preserve">, as well as </w:t>
      </w:r>
      <w:r w:rsidRPr="00F910C6">
        <w:rPr>
          <w:rFonts w:ascii="Times New Roman" w:eastAsiaTheme="minorEastAsia" w:hAnsi="Times New Roman"/>
          <w:sz w:val="24"/>
          <w:szCs w:val="24"/>
          <w:lang w:eastAsia="en-US"/>
        </w:rPr>
        <w:t>general requirements applying to an ADI’s involvement in all types of securitisation activities and the methodology for calculating an ADI’s capital requirement for securitisation exposures</w:t>
      </w:r>
      <w:r w:rsidR="00AD7789">
        <w:rPr>
          <w:rFonts w:ascii="Times New Roman" w:eastAsiaTheme="minorEastAsia" w:hAnsi="Times New Roman"/>
          <w:sz w:val="24"/>
          <w:szCs w:val="24"/>
          <w:lang w:eastAsia="en-US"/>
        </w:rPr>
        <w:t xml:space="preserve"> (risk positions held by an ADI arising from securitisation</w:t>
      </w:r>
      <w:r w:rsidR="00AA10AB">
        <w:rPr>
          <w:rFonts w:ascii="Times New Roman" w:eastAsiaTheme="minorEastAsia" w:hAnsi="Times New Roman"/>
          <w:sz w:val="24"/>
          <w:szCs w:val="24"/>
          <w:lang w:eastAsia="en-US"/>
        </w:rPr>
        <w:t xml:space="preserve"> such as securities issued by an SPV</w:t>
      </w:r>
      <w:r w:rsidR="00965ED7">
        <w:rPr>
          <w:rFonts w:ascii="Times New Roman" w:eastAsiaTheme="minorEastAsia" w:hAnsi="Times New Roman"/>
          <w:sz w:val="24"/>
          <w:szCs w:val="24"/>
          <w:lang w:eastAsia="en-US"/>
        </w:rPr>
        <w:t xml:space="preserve"> to fund the ‘pool’ of assets</w:t>
      </w:r>
      <w:r w:rsidR="00AD7789">
        <w:rPr>
          <w:rFonts w:ascii="Times New Roman" w:eastAsiaTheme="minorEastAsia" w:hAnsi="Times New Roman"/>
          <w:sz w:val="24"/>
          <w:szCs w:val="24"/>
          <w:lang w:eastAsia="en-US"/>
        </w:rPr>
        <w:t>)</w:t>
      </w:r>
      <w:r w:rsidRPr="00F910C6">
        <w:rPr>
          <w:rFonts w:ascii="Times New Roman" w:eastAsiaTheme="minorEastAsia" w:hAnsi="Times New Roman"/>
          <w:sz w:val="24"/>
          <w:szCs w:val="24"/>
          <w:lang w:eastAsia="en-US"/>
        </w:rPr>
        <w:t>.</w:t>
      </w:r>
    </w:p>
    <w:p w14:paraId="6E9E2C8E" w14:textId="3E7ABE43"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47EF5BBD" w14:textId="7DD78611" w:rsidR="00670D51" w:rsidRPr="002E1F21" w:rsidRDefault="003F6B96" w:rsidP="002E1F21">
      <w:pPr>
        <w:spacing w:after="240"/>
        <w:jc w:val="both"/>
        <w:rPr>
          <w:rFonts w:ascii="Times New Roman" w:hAnsi="Times New Roman"/>
          <w:sz w:val="24"/>
          <w:szCs w:val="24"/>
        </w:rPr>
      </w:pPr>
      <w:bookmarkStart w:id="3" w:name="_Hlk112080807"/>
      <w:r w:rsidRPr="002E1F21">
        <w:rPr>
          <w:rFonts w:ascii="Times New Roman" w:hAnsi="Times New Roman"/>
          <w:sz w:val="24"/>
          <w:szCs w:val="24"/>
        </w:rPr>
        <w:t>The purpose of the instrument is to revoke</w:t>
      </w:r>
      <w:r w:rsidR="00AA0A82" w:rsidRPr="002E1F21">
        <w:rPr>
          <w:rFonts w:ascii="Times New Roman" w:hAnsi="Times New Roman"/>
          <w:sz w:val="24"/>
          <w:szCs w:val="24"/>
        </w:rPr>
        <w:t xml:space="preserve"> APS 120 made under </w:t>
      </w:r>
      <w:r w:rsidR="00AA0A82" w:rsidRPr="00393900">
        <w:rPr>
          <w:rFonts w:ascii="Times New Roman" w:hAnsi="Times New Roman"/>
          <w:i/>
          <w:sz w:val="24"/>
          <w:szCs w:val="24"/>
        </w:rPr>
        <w:t>Banking (prudential standard) determin</w:t>
      </w:r>
      <w:r w:rsidR="00AA0A82" w:rsidRPr="00F97101">
        <w:rPr>
          <w:rFonts w:ascii="Times New Roman" w:hAnsi="Times New Roman"/>
          <w:i/>
          <w:sz w:val="24"/>
          <w:szCs w:val="24"/>
        </w:rPr>
        <w:t xml:space="preserve">ation No. </w:t>
      </w:r>
      <w:r w:rsidR="0000431F" w:rsidRPr="001E419F">
        <w:rPr>
          <w:rFonts w:ascii="Times New Roman" w:hAnsi="Times New Roman"/>
          <w:i/>
          <w:sz w:val="24"/>
          <w:szCs w:val="24"/>
        </w:rPr>
        <w:t>2</w:t>
      </w:r>
      <w:r w:rsidR="00AA0A82" w:rsidRPr="00F97101">
        <w:rPr>
          <w:rFonts w:ascii="Times New Roman" w:hAnsi="Times New Roman"/>
          <w:i/>
          <w:sz w:val="24"/>
          <w:szCs w:val="24"/>
        </w:rPr>
        <w:t xml:space="preserve"> of 202</w:t>
      </w:r>
      <w:r w:rsidR="00EC1437" w:rsidRPr="00F97101">
        <w:rPr>
          <w:rFonts w:ascii="Times New Roman" w:hAnsi="Times New Roman"/>
          <w:i/>
          <w:sz w:val="24"/>
          <w:szCs w:val="24"/>
        </w:rPr>
        <w:t>3</w:t>
      </w:r>
      <w:r w:rsidR="00AA0A82" w:rsidRPr="00F97101">
        <w:rPr>
          <w:rFonts w:ascii="Times New Roman" w:hAnsi="Times New Roman"/>
          <w:sz w:val="24"/>
          <w:szCs w:val="24"/>
        </w:rPr>
        <w:t xml:space="preserve"> and replace</w:t>
      </w:r>
      <w:r w:rsidR="00AA0A82" w:rsidRPr="002E1F21">
        <w:rPr>
          <w:rFonts w:ascii="Times New Roman" w:hAnsi="Times New Roman"/>
          <w:sz w:val="24"/>
          <w:szCs w:val="24"/>
        </w:rPr>
        <w:t xml:space="preserve"> it </w:t>
      </w:r>
      <w:r w:rsidR="00550B0A" w:rsidRPr="002E1F21">
        <w:rPr>
          <w:rFonts w:ascii="Times New Roman" w:hAnsi="Times New Roman"/>
          <w:sz w:val="24"/>
          <w:szCs w:val="24"/>
        </w:rPr>
        <w:t xml:space="preserve">with </w:t>
      </w:r>
      <w:r w:rsidR="009677B8" w:rsidRPr="002E1F21">
        <w:rPr>
          <w:rFonts w:ascii="Times New Roman" w:hAnsi="Times New Roman"/>
          <w:sz w:val="24"/>
          <w:szCs w:val="24"/>
        </w:rPr>
        <w:t xml:space="preserve">a </w:t>
      </w:r>
      <w:r w:rsidR="00AA0A82" w:rsidRPr="002E1F21">
        <w:rPr>
          <w:rFonts w:ascii="Times New Roman" w:hAnsi="Times New Roman"/>
          <w:sz w:val="24"/>
          <w:szCs w:val="24"/>
        </w:rPr>
        <w:t>new version of the prudential standard incorporating</w:t>
      </w:r>
      <w:r w:rsidR="00670D51" w:rsidRPr="002E1F21">
        <w:rPr>
          <w:rFonts w:ascii="Times New Roman" w:hAnsi="Times New Roman"/>
          <w:sz w:val="24"/>
          <w:szCs w:val="24"/>
        </w:rPr>
        <w:t xml:space="preserve"> minor updates</w:t>
      </w:r>
      <w:r w:rsidR="00D34EB6" w:rsidRPr="002E1F21">
        <w:rPr>
          <w:rFonts w:ascii="Times New Roman" w:hAnsi="Times New Roman"/>
          <w:sz w:val="24"/>
          <w:szCs w:val="24"/>
        </w:rPr>
        <w:t>.</w:t>
      </w:r>
    </w:p>
    <w:p w14:paraId="186E284F" w14:textId="080EB5F5" w:rsidR="00F910C6" w:rsidRDefault="00263B84" w:rsidP="002E1F21">
      <w:pPr>
        <w:spacing w:after="240"/>
        <w:jc w:val="both"/>
        <w:rPr>
          <w:rFonts w:ascii="Times New Roman" w:eastAsiaTheme="minorEastAsia" w:hAnsi="Times New Roman"/>
          <w:sz w:val="24"/>
          <w:szCs w:val="24"/>
          <w:lang w:eastAsia="en-US"/>
        </w:rPr>
      </w:pPr>
      <w:r w:rsidRPr="002E1F21">
        <w:rPr>
          <w:rFonts w:ascii="Times New Roman" w:eastAsiaTheme="minorEastAsia" w:hAnsi="Times New Roman"/>
          <w:sz w:val="24"/>
          <w:szCs w:val="24"/>
          <w:lang w:eastAsia="en-US"/>
        </w:rPr>
        <w:lastRenderedPageBreak/>
        <w:t>As part of a process to ensure minor updates to APRA’s prudential framework are made in a timely manner, and part of APRA's strategic initiative to modernise the prudential architecture, APRA is making minor a</w:t>
      </w:r>
      <w:r w:rsidR="00D4174F">
        <w:rPr>
          <w:rFonts w:ascii="Times New Roman" w:eastAsiaTheme="minorEastAsia" w:hAnsi="Times New Roman"/>
          <w:sz w:val="24"/>
          <w:szCs w:val="24"/>
          <w:lang w:eastAsia="en-US"/>
        </w:rPr>
        <w:t>mendments</w:t>
      </w:r>
      <w:r w:rsidRPr="002E1F21">
        <w:rPr>
          <w:rFonts w:ascii="Times New Roman" w:eastAsiaTheme="minorEastAsia" w:hAnsi="Times New Roman"/>
          <w:sz w:val="24"/>
          <w:szCs w:val="24"/>
          <w:lang w:eastAsia="en-US"/>
        </w:rPr>
        <w:t xml:space="preserve"> to APS 120.</w:t>
      </w:r>
      <w:r w:rsidRPr="002E1F21">
        <w:rPr>
          <w:rStyle w:val="FootnoteReference"/>
          <w:rFonts w:ascii="Times New Roman" w:eastAsiaTheme="minorEastAsia" w:hAnsi="Times New Roman"/>
          <w:sz w:val="24"/>
          <w:szCs w:val="24"/>
          <w:lang w:eastAsia="en-US"/>
        </w:rPr>
        <w:footnoteReference w:id="2"/>
      </w:r>
      <w:r w:rsidRPr="002E1F21">
        <w:rPr>
          <w:rFonts w:ascii="Times New Roman" w:eastAsiaTheme="minorEastAsia" w:hAnsi="Times New Roman"/>
          <w:sz w:val="24"/>
          <w:szCs w:val="24"/>
          <w:lang w:eastAsia="en-US"/>
        </w:rPr>
        <w:t xml:space="preserve"> The minor amendments to APS 120 </w:t>
      </w:r>
      <w:r w:rsidR="00984911">
        <w:rPr>
          <w:rFonts w:ascii="Times New Roman" w:eastAsiaTheme="minorEastAsia" w:hAnsi="Times New Roman"/>
          <w:sz w:val="24"/>
          <w:szCs w:val="24"/>
          <w:lang w:eastAsia="en-US"/>
        </w:rPr>
        <w:t>involve minor correction</w:t>
      </w:r>
      <w:r w:rsidR="003F4C50">
        <w:rPr>
          <w:rFonts w:ascii="Times New Roman" w:eastAsiaTheme="minorEastAsia" w:hAnsi="Times New Roman"/>
          <w:sz w:val="24"/>
          <w:szCs w:val="24"/>
          <w:lang w:eastAsia="en-US"/>
        </w:rPr>
        <w:t>s</w:t>
      </w:r>
      <w:r w:rsidR="00984911">
        <w:rPr>
          <w:rFonts w:ascii="Times New Roman" w:eastAsiaTheme="minorEastAsia" w:hAnsi="Times New Roman"/>
          <w:sz w:val="24"/>
          <w:szCs w:val="24"/>
          <w:lang w:eastAsia="en-US"/>
        </w:rPr>
        <w:t xml:space="preserve"> to </w:t>
      </w:r>
      <w:r w:rsidR="003F4C50">
        <w:rPr>
          <w:rFonts w:ascii="Times New Roman" w:eastAsiaTheme="minorEastAsia" w:hAnsi="Times New Roman"/>
          <w:sz w:val="24"/>
          <w:szCs w:val="24"/>
          <w:lang w:eastAsia="en-US"/>
        </w:rPr>
        <w:t xml:space="preserve">references </w:t>
      </w:r>
      <w:r w:rsidRPr="002E1F21">
        <w:rPr>
          <w:rFonts w:ascii="Times New Roman" w:eastAsiaTheme="minorEastAsia" w:hAnsi="Times New Roman"/>
          <w:sz w:val="24"/>
          <w:szCs w:val="24"/>
          <w:lang w:eastAsia="en-US"/>
        </w:rPr>
        <w:t>and do not present any material change in policy settings.</w:t>
      </w:r>
      <w:r w:rsidR="00F64B12">
        <w:rPr>
          <w:rFonts w:ascii="Times New Roman" w:eastAsiaTheme="minorEastAsia" w:hAnsi="Times New Roman"/>
          <w:sz w:val="24"/>
          <w:szCs w:val="24"/>
          <w:lang w:eastAsia="en-US"/>
        </w:rPr>
        <w:t xml:space="preserve"> </w:t>
      </w:r>
    </w:p>
    <w:bookmarkEnd w:id="3"/>
    <w:p w14:paraId="07C01312" w14:textId="4021F21F" w:rsidR="00826D94" w:rsidRPr="00EC2764" w:rsidRDefault="00826D94" w:rsidP="00826D94">
      <w:pPr>
        <w:spacing w:after="24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The key provisions in </w:t>
      </w:r>
      <w:r w:rsidRPr="00EC2764">
        <w:rPr>
          <w:rFonts w:ascii="Times New Roman" w:eastAsia="Calibri" w:hAnsi="Times New Roman"/>
          <w:sz w:val="24"/>
          <w:szCs w:val="24"/>
          <w:lang w:eastAsia="en-US"/>
        </w:rPr>
        <w:t xml:space="preserve">APS 120 </w:t>
      </w:r>
      <w:r>
        <w:rPr>
          <w:rFonts w:ascii="Times New Roman" w:eastAsia="Calibri" w:hAnsi="Times New Roman"/>
          <w:sz w:val="24"/>
          <w:szCs w:val="24"/>
          <w:lang w:eastAsia="en-US"/>
        </w:rPr>
        <w:t xml:space="preserve">are: </w:t>
      </w:r>
    </w:p>
    <w:p w14:paraId="6EA85AE0" w14:textId="77777777" w:rsidR="00826D94" w:rsidRPr="00435BDE" w:rsidRDefault="00826D94" w:rsidP="00826D94">
      <w:pPr>
        <w:numPr>
          <w:ilvl w:val="0"/>
          <w:numId w:val="29"/>
        </w:numPr>
        <w:spacing w:after="240" w:line="259" w:lineRule="auto"/>
        <w:ind w:left="567" w:hanging="567"/>
        <w:jc w:val="both"/>
        <w:rPr>
          <w:rFonts w:ascii="Times New Roman" w:eastAsia="Calibri" w:hAnsi="Times New Roman"/>
          <w:sz w:val="24"/>
          <w:szCs w:val="24"/>
          <w:lang w:eastAsia="en-US"/>
        </w:rPr>
      </w:pPr>
      <w:r w:rsidRPr="00435BDE">
        <w:rPr>
          <w:rFonts w:ascii="Times New Roman" w:eastAsia="Calibri" w:hAnsi="Times New Roman"/>
          <w:sz w:val="24"/>
          <w:szCs w:val="24"/>
          <w:lang w:eastAsia="en-US"/>
        </w:rPr>
        <w:t>a requirement for a</w:t>
      </w:r>
      <w:r>
        <w:rPr>
          <w:rFonts w:ascii="Times New Roman" w:eastAsia="Calibri" w:hAnsi="Times New Roman"/>
          <w:sz w:val="24"/>
          <w:szCs w:val="24"/>
          <w:lang w:eastAsia="en-US"/>
        </w:rPr>
        <w:t>n</w:t>
      </w:r>
      <w:r w:rsidRPr="00435BDE">
        <w:rPr>
          <w:rFonts w:ascii="Times New Roman" w:eastAsia="Calibri" w:hAnsi="Times New Roman"/>
          <w:sz w:val="24"/>
          <w:szCs w:val="24"/>
          <w:lang w:eastAsia="en-US"/>
        </w:rPr>
        <w:t xml:space="preserve"> ADI to have a risk management framework covering its involvement in a securitisation</w:t>
      </w:r>
      <w:r w:rsidRPr="00435BDE">
        <w:rPr>
          <w:rFonts w:ascii="Times New Roman" w:hAnsi="Times New Roman"/>
          <w:sz w:val="24"/>
          <w:szCs w:val="24"/>
        </w:rPr>
        <w:t xml:space="preserve"> (including due diligence requirements</w:t>
      </w:r>
      <w:r>
        <w:rPr>
          <w:rFonts w:ascii="Times New Roman" w:hAnsi="Times New Roman"/>
          <w:sz w:val="24"/>
          <w:szCs w:val="24"/>
        </w:rPr>
        <w:t xml:space="preserve"> and a self-assessment process</w:t>
      </w:r>
      <w:r w:rsidRPr="00435BDE">
        <w:rPr>
          <w:rFonts w:ascii="Times New Roman" w:hAnsi="Times New Roman"/>
          <w:sz w:val="24"/>
          <w:szCs w:val="24"/>
        </w:rPr>
        <w:t xml:space="preserve">) and </w:t>
      </w:r>
      <w:r w:rsidRPr="00435BDE">
        <w:rPr>
          <w:rFonts w:ascii="Times New Roman" w:eastAsia="Calibri" w:hAnsi="Times New Roman"/>
          <w:sz w:val="24"/>
          <w:szCs w:val="24"/>
          <w:lang w:eastAsia="en-US"/>
        </w:rPr>
        <w:t xml:space="preserve">ensure there is clear and prominent disclosure of the nature and limitations of its obligations arising from its involvement in a </w:t>
      </w:r>
      <w:proofErr w:type="gramStart"/>
      <w:r w:rsidRPr="00435BDE">
        <w:rPr>
          <w:rFonts w:ascii="Times New Roman" w:eastAsia="Calibri" w:hAnsi="Times New Roman"/>
          <w:sz w:val="24"/>
          <w:szCs w:val="24"/>
          <w:lang w:eastAsia="en-US"/>
        </w:rPr>
        <w:t>securitisation;</w:t>
      </w:r>
      <w:proofErr w:type="gramEnd"/>
    </w:p>
    <w:p w14:paraId="4BB32C33" w14:textId="75EE3A86" w:rsidR="00826D94" w:rsidRPr="00EC2764" w:rsidRDefault="00826D94" w:rsidP="00826D94">
      <w:pPr>
        <w:numPr>
          <w:ilvl w:val="0"/>
          <w:numId w:val="29"/>
        </w:numPr>
        <w:spacing w:after="240" w:line="259" w:lineRule="auto"/>
        <w:ind w:left="567" w:hanging="567"/>
        <w:jc w:val="both"/>
        <w:rPr>
          <w:rFonts w:ascii="Times New Roman" w:eastAsia="Calibri" w:hAnsi="Times New Roman"/>
          <w:sz w:val="24"/>
          <w:szCs w:val="24"/>
          <w:lang w:eastAsia="en-US"/>
        </w:rPr>
      </w:pPr>
      <w:r w:rsidRPr="00EC2764">
        <w:rPr>
          <w:rFonts w:ascii="Times New Roman" w:eastAsia="Calibri" w:hAnsi="Times New Roman"/>
          <w:sz w:val="24"/>
          <w:szCs w:val="24"/>
          <w:lang w:eastAsia="en-US"/>
        </w:rPr>
        <w:t xml:space="preserve">a simple and objective test for determining regulatory capital relief for </w:t>
      </w:r>
      <w:r w:rsidR="1AA1CAF2" w:rsidRPr="2A7270BF">
        <w:rPr>
          <w:rFonts w:ascii="Times New Roman" w:eastAsia="Calibri" w:hAnsi="Times New Roman"/>
          <w:sz w:val="24"/>
          <w:szCs w:val="24"/>
          <w:lang w:eastAsia="en-US"/>
        </w:rPr>
        <w:t xml:space="preserve">the </w:t>
      </w:r>
      <w:r w:rsidR="03E604FE" w:rsidRPr="36B26776">
        <w:rPr>
          <w:rFonts w:ascii="Times New Roman" w:eastAsia="Calibri" w:hAnsi="Times New Roman"/>
          <w:sz w:val="24"/>
          <w:szCs w:val="24"/>
          <w:lang w:eastAsia="en-US"/>
        </w:rPr>
        <w:t xml:space="preserve">securitised </w:t>
      </w:r>
      <w:r w:rsidRPr="428A8AF3">
        <w:rPr>
          <w:rFonts w:ascii="Times New Roman" w:eastAsia="Calibri" w:hAnsi="Times New Roman"/>
          <w:sz w:val="24"/>
          <w:szCs w:val="24"/>
          <w:lang w:eastAsia="en-US"/>
        </w:rPr>
        <w:t>loans</w:t>
      </w:r>
      <w:r>
        <w:rPr>
          <w:rFonts w:ascii="Times New Roman" w:eastAsia="Calibri" w:hAnsi="Times New Roman"/>
          <w:sz w:val="24"/>
          <w:szCs w:val="24"/>
          <w:lang w:eastAsia="en-US"/>
        </w:rPr>
        <w:t xml:space="preserve">, which provides greater transparency for </w:t>
      </w:r>
      <w:proofErr w:type="gramStart"/>
      <w:r>
        <w:rPr>
          <w:rFonts w:ascii="Times New Roman" w:eastAsia="Calibri" w:hAnsi="Times New Roman"/>
          <w:sz w:val="24"/>
          <w:szCs w:val="24"/>
          <w:lang w:eastAsia="en-US"/>
        </w:rPr>
        <w:t>ADIs</w:t>
      </w:r>
      <w:r w:rsidRPr="00EC2764">
        <w:rPr>
          <w:rFonts w:ascii="Times New Roman" w:eastAsia="Calibri" w:hAnsi="Times New Roman"/>
          <w:sz w:val="24"/>
          <w:szCs w:val="24"/>
          <w:lang w:eastAsia="en-US"/>
        </w:rPr>
        <w:t>;</w:t>
      </w:r>
      <w:proofErr w:type="gramEnd"/>
    </w:p>
    <w:p w14:paraId="26621FD5" w14:textId="232D31A6" w:rsidR="74925F6A" w:rsidRDefault="74925F6A" w:rsidP="7B3EE8EE">
      <w:pPr>
        <w:numPr>
          <w:ilvl w:val="0"/>
          <w:numId w:val="29"/>
        </w:numPr>
        <w:spacing w:after="240" w:line="259" w:lineRule="auto"/>
        <w:ind w:left="567" w:hanging="567"/>
        <w:jc w:val="both"/>
        <w:rPr>
          <w:rFonts w:ascii="Times New Roman" w:eastAsia="Calibri" w:hAnsi="Times New Roman"/>
          <w:sz w:val="24"/>
          <w:szCs w:val="24"/>
          <w:lang w:eastAsia="en-US"/>
        </w:rPr>
      </w:pPr>
      <w:r w:rsidRPr="489D0EEC">
        <w:rPr>
          <w:rFonts w:ascii="Times New Roman" w:eastAsia="Calibri" w:hAnsi="Times New Roman"/>
          <w:sz w:val="24"/>
          <w:szCs w:val="24"/>
          <w:lang w:eastAsia="en-US"/>
        </w:rPr>
        <w:t xml:space="preserve">the explicit recognition of securitisation for funding-only purposes (no regulatory capital relief for securitised loans) to promote long-term, stable wholesale funding of assets and to facilitate liquidity arrangements through self-securitisation with the Reserve Bank of </w:t>
      </w:r>
      <w:proofErr w:type="gramStart"/>
      <w:r w:rsidRPr="489D0EEC">
        <w:rPr>
          <w:rFonts w:ascii="Times New Roman" w:eastAsia="Calibri" w:hAnsi="Times New Roman"/>
          <w:sz w:val="24"/>
          <w:szCs w:val="24"/>
          <w:lang w:eastAsia="en-US"/>
        </w:rPr>
        <w:t>Australia;</w:t>
      </w:r>
      <w:proofErr w:type="gramEnd"/>
      <w:r w:rsidRPr="489D0EEC">
        <w:rPr>
          <w:rFonts w:ascii="Times New Roman" w:eastAsia="Calibri" w:hAnsi="Times New Roman"/>
          <w:sz w:val="24"/>
          <w:szCs w:val="24"/>
          <w:lang w:eastAsia="en-US"/>
        </w:rPr>
        <w:t xml:space="preserve"> </w:t>
      </w:r>
    </w:p>
    <w:p w14:paraId="00D984D9" w14:textId="6D7EF415" w:rsidR="74925F6A" w:rsidRDefault="74925F6A" w:rsidP="525B85F8">
      <w:pPr>
        <w:numPr>
          <w:ilvl w:val="0"/>
          <w:numId w:val="29"/>
        </w:numPr>
        <w:spacing w:after="240" w:line="259" w:lineRule="auto"/>
        <w:ind w:left="567" w:hanging="567"/>
        <w:jc w:val="both"/>
        <w:rPr>
          <w:szCs w:val="22"/>
          <w:lang w:eastAsia="en-US"/>
        </w:rPr>
      </w:pPr>
      <w:r w:rsidRPr="7B3EE8EE">
        <w:rPr>
          <w:rFonts w:ascii="Times New Roman" w:eastAsia="Calibri" w:hAnsi="Times New Roman"/>
          <w:sz w:val="24"/>
          <w:szCs w:val="24"/>
          <w:lang w:eastAsia="en-US"/>
        </w:rPr>
        <w:t>ineligibility</w:t>
      </w:r>
      <w:r w:rsidRPr="489D0EEC">
        <w:rPr>
          <w:rFonts w:ascii="Times New Roman" w:eastAsia="Calibri" w:hAnsi="Times New Roman"/>
          <w:sz w:val="24"/>
          <w:szCs w:val="24"/>
          <w:lang w:eastAsia="en-US"/>
        </w:rPr>
        <w:t xml:space="preserve"> of complex and opaque securitisation such as securitisation of revolving credit facilities (</w:t>
      </w:r>
      <w:proofErr w:type="gramStart"/>
      <w:r w:rsidRPr="489D0EEC">
        <w:rPr>
          <w:rFonts w:ascii="Times New Roman" w:eastAsia="Calibri" w:hAnsi="Times New Roman"/>
          <w:sz w:val="24"/>
          <w:szCs w:val="24"/>
          <w:lang w:eastAsia="en-US"/>
        </w:rPr>
        <w:t>e.g.</w:t>
      </w:r>
      <w:proofErr w:type="gramEnd"/>
      <w:r w:rsidRPr="489D0EEC">
        <w:rPr>
          <w:rFonts w:ascii="Times New Roman" w:eastAsia="Calibri" w:hAnsi="Times New Roman"/>
          <w:sz w:val="24"/>
          <w:szCs w:val="24"/>
          <w:lang w:eastAsia="en-US"/>
        </w:rPr>
        <w:t xml:space="preserve"> credit cards), asset-backed commercial paper securitisation (e.g. programs that issue short-term commercial paper to fund long-term assets) and synthetic securitisation (e.g. securitisation that involves credit derivatives) to obtain regulatory capital relief</w:t>
      </w:r>
      <w:r w:rsidRPr="76E62310">
        <w:rPr>
          <w:rFonts w:ascii="Times New Roman" w:eastAsia="Calibri" w:hAnsi="Times New Roman"/>
          <w:sz w:val="24"/>
          <w:szCs w:val="24"/>
          <w:lang w:eastAsia="en-US"/>
        </w:rPr>
        <w:t xml:space="preserve">; </w:t>
      </w:r>
    </w:p>
    <w:p w14:paraId="33B37EDD" w14:textId="77777777" w:rsidR="00826D94" w:rsidRPr="00EC2764" w:rsidRDefault="00826D94" w:rsidP="00826D94">
      <w:pPr>
        <w:numPr>
          <w:ilvl w:val="0"/>
          <w:numId w:val="29"/>
        </w:numPr>
        <w:spacing w:after="240" w:line="259" w:lineRule="auto"/>
        <w:ind w:left="567" w:hanging="567"/>
        <w:jc w:val="both"/>
        <w:rPr>
          <w:rFonts w:ascii="Times New Roman" w:eastAsia="Calibri" w:hAnsi="Times New Roman"/>
          <w:sz w:val="24"/>
          <w:szCs w:val="24"/>
          <w:lang w:eastAsia="en-US"/>
        </w:rPr>
      </w:pPr>
      <w:r w:rsidRPr="00EC2764">
        <w:rPr>
          <w:rFonts w:ascii="Times New Roman" w:eastAsia="Calibri" w:hAnsi="Times New Roman"/>
          <w:sz w:val="24"/>
          <w:szCs w:val="24"/>
          <w:lang w:eastAsia="en-US"/>
        </w:rPr>
        <w:t xml:space="preserve">simple and transparent approaches to calculating regulatory capital for securitisation exposures. In particular, </w:t>
      </w:r>
      <w:r>
        <w:rPr>
          <w:rFonts w:ascii="Times New Roman" w:eastAsia="Calibri" w:hAnsi="Times New Roman"/>
          <w:sz w:val="24"/>
          <w:szCs w:val="24"/>
          <w:lang w:eastAsia="en-US"/>
        </w:rPr>
        <w:t>the prudential standard requires a</w:t>
      </w:r>
      <w:r w:rsidRPr="00EC2764">
        <w:rPr>
          <w:rFonts w:ascii="Times New Roman" w:eastAsia="Calibri" w:hAnsi="Times New Roman"/>
          <w:sz w:val="24"/>
          <w:szCs w:val="24"/>
          <w:lang w:eastAsia="en-US"/>
        </w:rPr>
        <w:t xml:space="preserve">ll ADIs </w:t>
      </w:r>
      <w:r>
        <w:rPr>
          <w:rFonts w:ascii="Times New Roman" w:eastAsia="Calibri" w:hAnsi="Times New Roman"/>
          <w:sz w:val="24"/>
          <w:szCs w:val="24"/>
          <w:lang w:eastAsia="en-US"/>
        </w:rPr>
        <w:t>to use</w:t>
      </w:r>
      <w:r w:rsidRPr="00EC2764">
        <w:rPr>
          <w:rFonts w:ascii="Times New Roman" w:eastAsia="Calibri" w:hAnsi="Times New Roman"/>
          <w:sz w:val="24"/>
          <w:szCs w:val="24"/>
          <w:lang w:eastAsia="en-US"/>
        </w:rPr>
        <w:t>:</w:t>
      </w:r>
    </w:p>
    <w:p w14:paraId="0816B211" w14:textId="77777777" w:rsidR="00826D94" w:rsidRPr="00EC2764" w:rsidRDefault="00826D94" w:rsidP="00826D94">
      <w:pPr>
        <w:numPr>
          <w:ilvl w:val="1"/>
          <w:numId w:val="29"/>
        </w:numPr>
        <w:spacing w:after="240" w:line="259" w:lineRule="auto"/>
        <w:jc w:val="both"/>
        <w:rPr>
          <w:rFonts w:ascii="Times New Roman" w:eastAsia="Calibri" w:hAnsi="Times New Roman"/>
          <w:sz w:val="24"/>
          <w:szCs w:val="24"/>
          <w:lang w:eastAsia="en-US"/>
        </w:rPr>
      </w:pPr>
      <w:r w:rsidRPr="00EC2764">
        <w:rPr>
          <w:rFonts w:ascii="Times New Roman" w:eastAsia="Calibri" w:hAnsi="Times New Roman"/>
          <w:sz w:val="24"/>
          <w:szCs w:val="24"/>
          <w:lang w:eastAsia="en-US"/>
        </w:rPr>
        <w:t xml:space="preserve">a risk weight schedule to determine regulatory capital for </w:t>
      </w:r>
      <w:proofErr w:type="gramStart"/>
      <w:r w:rsidRPr="00EC2764">
        <w:rPr>
          <w:rFonts w:ascii="Times New Roman" w:eastAsia="Calibri" w:hAnsi="Times New Roman"/>
          <w:sz w:val="24"/>
          <w:szCs w:val="24"/>
          <w:lang w:eastAsia="en-US"/>
        </w:rPr>
        <w:t>externally-rated</w:t>
      </w:r>
      <w:proofErr w:type="gramEnd"/>
      <w:r w:rsidRPr="00EC2764">
        <w:rPr>
          <w:rFonts w:ascii="Times New Roman" w:eastAsia="Calibri" w:hAnsi="Times New Roman"/>
          <w:sz w:val="24"/>
          <w:szCs w:val="24"/>
          <w:lang w:eastAsia="en-US"/>
        </w:rPr>
        <w:t xml:space="preserve"> securitisation exposures; and</w:t>
      </w:r>
    </w:p>
    <w:p w14:paraId="69B9D81E" w14:textId="77777777" w:rsidR="00826D94" w:rsidRPr="00EC2764" w:rsidRDefault="00826D94" w:rsidP="00826D94">
      <w:pPr>
        <w:numPr>
          <w:ilvl w:val="1"/>
          <w:numId w:val="29"/>
        </w:numPr>
        <w:spacing w:after="240" w:line="259" w:lineRule="auto"/>
        <w:jc w:val="both"/>
        <w:rPr>
          <w:rFonts w:ascii="Times New Roman" w:eastAsia="Calibri" w:hAnsi="Times New Roman"/>
          <w:sz w:val="24"/>
          <w:szCs w:val="24"/>
          <w:lang w:eastAsia="en-US"/>
        </w:rPr>
      </w:pPr>
      <w:r w:rsidRPr="00EC2764">
        <w:rPr>
          <w:rFonts w:ascii="Times New Roman" w:eastAsia="Calibri" w:hAnsi="Times New Roman"/>
          <w:sz w:val="24"/>
          <w:szCs w:val="24"/>
          <w:lang w:eastAsia="en-US"/>
        </w:rPr>
        <w:t>a supervisory formula approach to determine regulatory capital for unrated securitisation exposures.</w:t>
      </w:r>
    </w:p>
    <w:p w14:paraId="5465278E" w14:textId="242AA21F" w:rsidR="00826D94" w:rsidRPr="00EC2764" w:rsidRDefault="2271839F" w:rsidP="2552B39A">
      <w:pPr>
        <w:numPr>
          <w:ilvl w:val="0"/>
          <w:numId w:val="29"/>
        </w:numPr>
        <w:spacing w:after="240" w:line="259" w:lineRule="auto"/>
        <w:ind w:left="567" w:hanging="567"/>
        <w:jc w:val="both"/>
        <w:rPr>
          <w:rFonts w:ascii="Times New Roman" w:eastAsia="Calibri" w:hAnsi="Times New Roman"/>
          <w:sz w:val="24"/>
          <w:szCs w:val="24"/>
          <w:lang w:eastAsia="en-US"/>
        </w:rPr>
      </w:pPr>
      <w:r w:rsidRPr="39129F68">
        <w:rPr>
          <w:rFonts w:ascii="Times New Roman" w:eastAsia="Calibri" w:hAnsi="Times New Roman"/>
          <w:sz w:val="24"/>
          <w:szCs w:val="24"/>
          <w:lang w:eastAsia="en-US"/>
        </w:rPr>
        <w:t>B</w:t>
      </w:r>
      <w:r w:rsidR="00826D94" w:rsidRPr="39129F68">
        <w:rPr>
          <w:rFonts w:ascii="Times New Roman" w:eastAsia="Calibri" w:hAnsi="Times New Roman"/>
          <w:sz w:val="24"/>
          <w:szCs w:val="24"/>
          <w:lang w:eastAsia="en-US"/>
        </w:rPr>
        <w:t>oth</w:t>
      </w:r>
      <w:r w:rsidR="00826D94" w:rsidRPr="00EC2764">
        <w:rPr>
          <w:rFonts w:ascii="Times New Roman" w:eastAsia="Calibri" w:hAnsi="Times New Roman"/>
          <w:sz w:val="24"/>
          <w:szCs w:val="24"/>
          <w:lang w:eastAsia="en-US"/>
        </w:rPr>
        <w:t xml:space="preserve"> approaches are subject to </w:t>
      </w:r>
      <w:r w:rsidR="00826D94">
        <w:rPr>
          <w:rFonts w:ascii="Times New Roman" w:eastAsia="Calibri" w:hAnsi="Times New Roman"/>
          <w:sz w:val="24"/>
          <w:szCs w:val="24"/>
          <w:lang w:eastAsia="en-US"/>
        </w:rPr>
        <w:t xml:space="preserve">minimum capital requirements (a </w:t>
      </w:r>
      <w:r w:rsidR="00826D94" w:rsidRPr="00EC2764">
        <w:rPr>
          <w:rFonts w:ascii="Times New Roman" w:eastAsia="Calibri" w:hAnsi="Times New Roman"/>
          <w:sz w:val="24"/>
          <w:szCs w:val="24"/>
          <w:lang w:eastAsia="en-US"/>
        </w:rPr>
        <w:t>risk weight floor</w:t>
      </w:r>
      <w:r w:rsidR="00826D94">
        <w:rPr>
          <w:rFonts w:ascii="Times New Roman" w:eastAsia="Calibri" w:hAnsi="Times New Roman"/>
          <w:sz w:val="24"/>
          <w:szCs w:val="24"/>
          <w:lang w:eastAsia="en-US"/>
        </w:rPr>
        <w:t>)</w:t>
      </w:r>
      <w:r w:rsidR="00826D94" w:rsidRPr="00EC2764">
        <w:rPr>
          <w:rFonts w:ascii="Times New Roman" w:eastAsia="Calibri" w:hAnsi="Times New Roman"/>
          <w:sz w:val="24"/>
          <w:szCs w:val="24"/>
          <w:lang w:eastAsia="en-US"/>
        </w:rPr>
        <w:t xml:space="preserve"> </w:t>
      </w:r>
      <w:r w:rsidR="00826D94">
        <w:rPr>
          <w:rFonts w:ascii="Times New Roman" w:eastAsia="Calibri" w:hAnsi="Times New Roman"/>
          <w:sz w:val="24"/>
          <w:szCs w:val="24"/>
          <w:lang w:eastAsia="en-US"/>
        </w:rPr>
        <w:t xml:space="preserve">to guard against inappropriate regulatory arbitrage </w:t>
      </w:r>
      <w:r w:rsidR="00826D94" w:rsidRPr="00EC2764">
        <w:rPr>
          <w:rFonts w:ascii="Times New Roman" w:eastAsia="Calibri" w:hAnsi="Times New Roman"/>
          <w:sz w:val="24"/>
          <w:szCs w:val="24"/>
          <w:lang w:eastAsia="en-US"/>
        </w:rPr>
        <w:t>and there are some maximum capital requirements (</w:t>
      </w:r>
      <w:proofErr w:type="gramStart"/>
      <w:r w:rsidR="00826D94" w:rsidRPr="00EC2764">
        <w:rPr>
          <w:rFonts w:ascii="Times New Roman" w:eastAsia="Calibri" w:hAnsi="Times New Roman"/>
          <w:sz w:val="24"/>
          <w:szCs w:val="24"/>
          <w:lang w:eastAsia="en-US"/>
        </w:rPr>
        <w:t>e.g.</w:t>
      </w:r>
      <w:proofErr w:type="gramEnd"/>
      <w:r w:rsidR="00826D94" w:rsidRPr="00EC2764">
        <w:rPr>
          <w:rFonts w:ascii="Times New Roman" w:eastAsia="Calibri" w:hAnsi="Times New Roman"/>
          <w:sz w:val="24"/>
          <w:szCs w:val="24"/>
          <w:lang w:eastAsia="en-US"/>
        </w:rPr>
        <w:t xml:space="preserve"> a risk weight cap for senior securitisation exposures</w:t>
      </w:r>
      <w:r w:rsidR="528B75FA" w:rsidRPr="22B608BC">
        <w:rPr>
          <w:rFonts w:ascii="Times New Roman" w:eastAsia="Calibri" w:hAnsi="Times New Roman"/>
          <w:sz w:val="24"/>
          <w:szCs w:val="24"/>
          <w:lang w:eastAsia="en-US"/>
        </w:rPr>
        <w:t xml:space="preserve"> </w:t>
      </w:r>
      <w:r w:rsidR="528B75FA" w:rsidRPr="69D641D0">
        <w:rPr>
          <w:rFonts w:ascii="Times New Roman" w:eastAsia="Calibri" w:hAnsi="Times New Roman"/>
          <w:sz w:val="24"/>
          <w:szCs w:val="24"/>
          <w:lang w:eastAsia="en-US"/>
        </w:rPr>
        <w:t xml:space="preserve">to ensure </w:t>
      </w:r>
      <w:r w:rsidR="528B75FA" w:rsidRPr="5A760C4C">
        <w:rPr>
          <w:rFonts w:ascii="Times New Roman" w:eastAsia="Calibri" w:hAnsi="Times New Roman"/>
          <w:sz w:val="24"/>
          <w:szCs w:val="24"/>
          <w:lang w:eastAsia="en-US"/>
        </w:rPr>
        <w:t xml:space="preserve">exposures </w:t>
      </w:r>
      <w:r w:rsidR="528B75FA" w:rsidRPr="27ED8D78">
        <w:rPr>
          <w:rFonts w:ascii="Times New Roman" w:eastAsia="Calibri" w:hAnsi="Times New Roman"/>
          <w:sz w:val="24"/>
          <w:szCs w:val="24"/>
          <w:lang w:eastAsia="en-US"/>
        </w:rPr>
        <w:t xml:space="preserve">are not </w:t>
      </w:r>
      <w:r w:rsidR="5A9F87A0" w:rsidRPr="38C1BFDF">
        <w:rPr>
          <w:rFonts w:ascii="Times New Roman" w:eastAsia="Calibri" w:hAnsi="Times New Roman"/>
          <w:sz w:val="24"/>
          <w:szCs w:val="24"/>
          <w:lang w:eastAsia="en-US"/>
        </w:rPr>
        <w:t>exces</w:t>
      </w:r>
      <w:r w:rsidR="528B75FA" w:rsidRPr="38C1BFDF">
        <w:rPr>
          <w:rFonts w:ascii="Times New Roman" w:eastAsia="Calibri" w:hAnsi="Times New Roman"/>
          <w:sz w:val="24"/>
          <w:szCs w:val="24"/>
          <w:lang w:eastAsia="en-US"/>
        </w:rPr>
        <w:t>siv</w:t>
      </w:r>
      <w:r w:rsidR="5D92E5D8" w:rsidRPr="38C1BFDF">
        <w:rPr>
          <w:rFonts w:ascii="Times New Roman" w:eastAsia="Calibri" w:hAnsi="Times New Roman"/>
          <w:sz w:val="24"/>
          <w:szCs w:val="24"/>
          <w:lang w:eastAsia="en-US"/>
        </w:rPr>
        <w:t>e</w:t>
      </w:r>
      <w:r w:rsidR="528B75FA" w:rsidRPr="38C1BFDF">
        <w:rPr>
          <w:rFonts w:ascii="Times New Roman" w:eastAsia="Calibri" w:hAnsi="Times New Roman"/>
          <w:sz w:val="24"/>
          <w:szCs w:val="24"/>
          <w:lang w:eastAsia="en-US"/>
        </w:rPr>
        <w:t>ly</w:t>
      </w:r>
      <w:r w:rsidR="528B75FA" w:rsidRPr="203D72B6">
        <w:rPr>
          <w:rFonts w:ascii="Times New Roman" w:eastAsia="Calibri" w:hAnsi="Times New Roman"/>
          <w:sz w:val="24"/>
          <w:szCs w:val="24"/>
          <w:lang w:eastAsia="en-US"/>
        </w:rPr>
        <w:t xml:space="preserve"> </w:t>
      </w:r>
      <w:r w:rsidR="528B75FA" w:rsidRPr="08ED4CE3">
        <w:rPr>
          <w:rFonts w:ascii="Times New Roman" w:eastAsia="Calibri" w:hAnsi="Times New Roman"/>
          <w:sz w:val="24"/>
          <w:szCs w:val="24"/>
          <w:lang w:eastAsia="en-US"/>
        </w:rPr>
        <w:t xml:space="preserve">capitalised and </w:t>
      </w:r>
      <w:r w:rsidR="528B75FA" w:rsidRPr="2D51456D">
        <w:rPr>
          <w:rFonts w:ascii="Times New Roman" w:eastAsia="Calibri" w:hAnsi="Times New Roman"/>
          <w:sz w:val="24"/>
          <w:szCs w:val="24"/>
          <w:lang w:eastAsia="en-US"/>
        </w:rPr>
        <w:t xml:space="preserve">an </w:t>
      </w:r>
      <w:r w:rsidR="528B75FA" w:rsidRPr="71035F20">
        <w:rPr>
          <w:rFonts w:ascii="Times New Roman" w:eastAsia="Calibri" w:hAnsi="Times New Roman"/>
          <w:sz w:val="24"/>
          <w:szCs w:val="24"/>
          <w:lang w:eastAsia="en-US"/>
        </w:rPr>
        <w:t>overall cap</w:t>
      </w:r>
      <w:r w:rsidR="528B75FA" w:rsidRPr="1A0B6D6C">
        <w:rPr>
          <w:rFonts w:ascii="Times New Roman" w:eastAsia="Calibri" w:hAnsi="Times New Roman"/>
          <w:sz w:val="24"/>
          <w:szCs w:val="24"/>
          <w:lang w:eastAsia="en-US"/>
        </w:rPr>
        <w:t xml:space="preserve"> </w:t>
      </w:r>
      <w:r w:rsidR="761B35D5" w:rsidRPr="6C3DCED5">
        <w:rPr>
          <w:rFonts w:ascii="Times New Roman" w:eastAsia="Calibri" w:hAnsi="Times New Roman"/>
          <w:sz w:val="24"/>
          <w:szCs w:val="24"/>
          <w:lang w:eastAsia="en-US"/>
        </w:rPr>
        <w:t>to ensure</w:t>
      </w:r>
      <w:r w:rsidR="528B75FA" w:rsidRPr="1D622AD8">
        <w:rPr>
          <w:rFonts w:ascii="Times New Roman" w:eastAsia="Calibri" w:hAnsi="Times New Roman"/>
          <w:sz w:val="24"/>
          <w:szCs w:val="24"/>
          <w:lang w:eastAsia="en-US"/>
        </w:rPr>
        <w:t xml:space="preserve"> </w:t>
      </w:r>
      <w:r w:rsidR="761B35D5" w:rsidRPr="749C82CA">
        <w:rPr>
          <w:rFonts w:ascii="Times New Roman" w:eastAsia="Calibri" w:hAnsi="Times New Roman"/>
          <w:sz w:val="24"/>
          <w:szCs w:val="24"/>
          <w:lang w:eastAsia="en-US"/>
        </w:rPr>
        <w:t xml:space="preserve">that the sum </w:t>
      </w:r>
      <w:r w:rsidR="761B35D5" w:rsidRPr="51B69FB8">
        <w:rPr>
          <w:rFonts w:ascii="Times New Roman" w:eastAsia="Calibri" w:hAnsi="Times New Roman"/>
          <w:sz w:val="24"/>
          <w:szCs w:val="24"/>
          <w:lang w:eastAsia="en-US"/>
        </w:rPr>
        <w:t xml:space="preserve">of the </w:t>
      </w:r>
      <w:r w:rsidR="761B35D5" w:rsidRPr="2D677872">
        <w:rPr>
          <w:rFonts w:ascii="Times New Roman" w:eastAsia="Calibri" w:hAnsi="Times New Roman"/>
          <w:sz w:val="24"/>
          <w:szCs w:val="24"/>
          <w:lang w:eastAsia="en-US"/>
        </w:rPr>
        <w:t xml:space="preserve">capital </w:t>
      </w:r>
      <w:r w:rsidR="761B35D5" w:rsidRPr="7665E825">
        <w:rPr>
          <w:rFonts w:ascii="Times New Roman" w:eastAsia="Calibri" w:hAnsi="Times New Roman"/>
          <w:sz w:val="24"/>
          <w:szCs w:val="24"/>
          <w:lang w:eastAsia="en-US"/>
        </w:rPr>
        <w:t xml:space="preserve">charges </w:t>
      </w:r>
      <w:r w:rsidR="761B35D5" w:rsidRPr="4F69A573">
        <w:rPr>
          <w:rFonts w:ascii="Times New Roman" w:eastAsia="Calibri" w:hAnsi="Times New Roman"/>
          <w:sz w:val="24"/>
          <w:szCs w:val="24"/>
          <w:lang w:eastAsia="en-US"/>
        </w:rPr>
        <w:t>applied</w:t>
      </w:r>
      <w:r w:rsidR="761B35D5" w:rsidRPr="010124D7">
        <w:rPr>
          <w:rFonts w:ascii="Times New Roman" w:eastAsia="Calibri" w:hAnsi="Times New Roman"/>
          <w:sz w:val="24"/>
          <w:szCs w:val="24"/>
          <w:lang w:eastAsia="en-US"/>
        </w:rPr>
        <w:t xml:space="preserve"> to </w:t>
      </w:r>
      <w:r w:rsidR="761B35D5" w:rsidRPr="46ED3695">
        <w:rPr>
          <w:rFonts w:ascii="Times New Roman" w:eastAsia="Calibri" w:hAnsi="Times New Roman"/>
          <w:sz w:val="24"/>
          <w:szCs w:val="24"/>
          <w:lang w:eastAsia="en-US"/>
        </w:rPr>
        <w:t xml:space="preserve">retained </w:t>
      </w:r>
      <w:r w:rsidR="761B35D5" w:rsidRPr="6840CA63">
        <w:rPr>
          <w:rFonts w:ascii="Times New Roman" w:eastAsia="Calibri" w:hAnsi="Times New Roman"/>
          <w:sz w:val="24"/>
          <w:szCs w:val="24"/>
          <w:lang w:eastAsia="en-US"/>
        </w:rPr>
        <w:t>securitisation</w:t>
      </w:r>
      <w:r w:rsidR="761B35D5" w:rsidRPr="3ED3798F">
        <w:rPr>
          <w:rFonts w:ascii="Times New Roman" w:eastAsia="Calibri" w:hAnsi="Times New Roman"/>
          <w:sz w:val="24"/>
          <w:szCs w:val="24"/>
          <w:lang w:eastAsia="en-US"/>
        </w:rPr>
        <w:t xml:space="preserve"> </w:t>
      </w:r>
      <w:r w:rsidR="761B35D5" w:rsidRPr="0C4AFABB">
        <w:rPr>
          <w:rFonts w:ascii="Times New Roman" w:eastAsia="Calibri" w:hAnsi="Times New Roman"/>
          <w:sz w:val="24"/>
          <w:szCs w:val="24"/>
          <w:lang w:eastAsia="en-US"/>
        </w:rPr>
        <w:t xml:space="preserve">exposures is not </w:t>
      </w:r>
      <w:r w:rsidR="761B35D5" w:rsidRPr="6DD21752">
        <w:rPr>
          <w:rFonts w:ascii="Times New Roman" w:eastAsia="Calibri" w:hAnsi="Times New Roman"/>
          <w:sz w:val="24"/>
          <w:szCs w:val="24"/>
          <w:lang w:eastAsia="en-US"/>
        </w:rPr>
        <w:t>excessive</w:t>
      </w:r>
      <w:r w:rsidR="00826D94" w:rsidRPr="77AE4947">
        <w:rPr>
          <w:rFonts w:ascii="Times New Roman" w:eastAsia="Calibri" w:hAnsi="Times New Roman"/>
          <w:sz w:val="24"/>
          <w:szCs w:val="24"/>
          <w:lang w:eastAsia="en-US"/>
        </w:rPr>
        <w:t>).</w:t>
      </w:r>
      <w:r w:rsidR="00826D94">
        <w:rPr>
          <w:rFonts w:ascii="Times New Roman" w:eastAsia="Calibri" w:hAnsi="Times New Roman"/>
          <w:sz w:val="24"/>
          <w:szCs w:val="24"/>
          <w:lang w:eastAsia="en-US"/>
        </w:rPr>
        <w:t xml:space="preserve"> </w:t>
      </w:r>
    </w:p>
    <w:p w14:paraId="19A4DB9B" w14:textId="3510975F" w:rsidR="00826D94" w:rsidRPr="00EC2764" w:rsidRDefault="00826D94" w:rsidP="456E57CF">
      <w:pPr>
        <w:numPr>
          <w:ilvl w:val="0"/>
          <w:numId w:val="29"/>
        </w:numPr>
        <w:spacing w:after="240" w:line="259" w:lineRule="auto"/>
        <w:ind w:left="567" w:hanging="567"/>
        <w:jc w:val="both"/>
        <w:rPr>
          <w:rFonts w:ascii="Times New Roman" w:eastAsia="Calibri" w:hAnsi="Times New Roman"/>
          <w:sz w:val="24"/>
          <w:szCs w:val="24"/>
          <w:lang w:eastAsia="en-US"/>
        </w:rPr>
      </w:pPr>
      <w:r w:rsidRPr="6398023D">
        <w:rPr>
          <w:rFonts w:ascii="Times New Roman" w:eastAsia="Calibri" w:hAnsi="Times New Roman"/>
          <w:sz w:val="24"/>
          <w:szCs w:val="24"/>
          <w:lang w:eastAsia="en-US"/>
        </w:rPr>
        <w:lastRenderedPageBreak/>
        <w:t xml:space="preserve">If an ADI cannot use these approaches, a Common Equity Tier 1 </w:t>
      </w:r>
      <w:r w:rsidR="00E75241" w:rsidRPr="6398023D">
        <w:rPr>
          <w:rFonts w:ascii="Times New Roman" w:eastAsia="Calibri" w:hAnsi="Times New Roman"/>
          <w:sz w:val="24"/>
          <w:szCs w:val="24"/>
          <w:lang w:eastAsia="en-US"/>
        </w:rPr>
        <w:t xml:space="preserve">(CET1) </w:t>
      </w:r>
      <w:r w:rsidRPr="6398023D">
        <w:rPr>
          <w:rFonts w:ascii="Times New Roman" w:eastAsia="Calibri" w:hAnsi="Times New Roman"/>
          <w:sz w:val="24"/>
          <w:szCs w:val="24"/>
          <w:lang w:eastAsia="en-US"/>
        </w:rPr>
        <w:t>capital deduction appl</w:t>
      </w:r>
      <w:r w:rsidR="5420951A" w:rsidRPr="6398023D">
        <w:rPr>
          <w:rFonts w:ascii="Times New Roman" w:eastAsia="Calibri" w:hAnsi="Times New Roman"/>
          <w:sz w:val="24"/>
          <w:szCs w:val="24"/>
          <w:lang w:eastAsia="en-US"/>
        </w:rPr>
        <w:t>ies</w:t>
      </w:r>
      <w:r w:rsidRPr="6398023D">
        <w:rPr>
          <w:rFonts w:ascii="Times New Roman" w:eastAsia="Calibri" w:hAnsi="Times New Roman"/>
          <w:sz w:val="24"/>
          <w:szCs w:val="24"/>
          <w:lang w:eastAsia="en-US"/>
        </w:rPr>
        <w:t xml:space="preserve"> to the securitisation exposure</w:t>
      </w:r>
      <w:r w:rsidR="748596EE" w:rsidRPr="6398023D">
        <w:rPr>
          <w:rFonts w:ascii="Times New Roman" w:eastAsia="Calibri" w:hAnsi="Times New Roman"/>
          <w:sz w:val="24"/>
          <w:szCs w:val="24"/>
          <w:lang w:eastAsia="en-US"/>
        </w:rPr>
        <w:t>.</w:t>
      </w:r>
      <w:r w:rsidR="000A46CE" w:rsidRPr="6398023D">
        <w:rPr>
          <w:rFonts w:ascii="Times New Roman" w:eastAsia="Calibri" w:hAnsi="Times New Roman"/>
          <w:sz w:val="24"/>
          <w:szCs w:val="24"/>
          <w:lang w:eastAsia="en-US"/>
        </w:rPr>
        <w:t xml:space="preserve"> Notwithstanding</w:t>
      </w:r>
      <w:r w:rsidR="001D7B42" w:rsidRPr="6398023D">
        <w:rPr>
          <w:rFonts w:ascii="Times New Roman" w:eastAsia="Calibri" w:hAnsi="Times New Roman"/>
          <w:sz w:val="24"/>
          <w:szCs w:val="24"/>
          <w:lang w:eastAsia="en-US"/>
        </w:rPr>
        <w:t xml:space="preserve"> the approaches, </w:t>
      </w:r>
      <w:r w:rsidR="494E0E0C" w:rsidRPr="6398023D">
        <w:rPr>
          <w:rFonts w:ascii="Times New Roman" w:eastAsia="Calibri" w:hAnsi="Times New Roman"/>
          <w:sz w:val="24"/>
          <w:szCs w:val="24"/>
          <w:lang w:eastAsia="en-US"/>
        </w:rPr>
        <w:t xml:space="preserve">a </w:t>
      </w:r>
      <w:proofErr w:type="spellStart"/>
      <w:r w:rsidR="001D7B42" w:rsidRPr="6398023D">
        <w:rPr>
          <w:rFonts w:ascii="Times New Roman" w:eastAsia="Calibri" w:hAnsi="Times New Roman"/>
          <w:sz w:val="24"/>
          <w:szCs w:val="24"/>
          <w:lang w:eastAsia="en-US"/>
        </w:rPr>
        <w:t>resecurit</w:t>
      </w:r>
      <w:r w:rsidR="007131F6" w:rsidRPr="6398023D">
        <w:rPr>
          <w:rFonts w:ascii="Times New Roman" w:eastAsia="Calibri" w:hAnsi="Times New Roman"/>
          <w:sz w:val="24"/>
          <w:szCs w:val="24"/>
          <w:lang w:eastAsia="en-US"/>
        </w:rPr>
        <w:t>i</w:t>
      </w:r>
      <w:r w:rsidR="001D7B42" w:rsidRPr="6398023D">
        <w:rPr>
          <w:rFonts w:ascii="Times New Roman" w:eastAsia="Calibri" w:hAnsi="Times New Roman"/>
          <w:sz w:val="24"/>
          <w:szCs w:val="24"/>
          <w:lang w:eastAsia="en-US"/>
        </w:rPr>
        <w:t>sation</w:t>
      </w:r>
      <w:proofErr w:type="spellEnd"/>
      <w:r w:rsidR="001D7B42" w:rsidRPr="6398023D">
        <w:rPr>
          <w:rFonts w:ascii="Times New Roman" w:eastAsia="Calibri" w:hAnsi="Times New Roman"/>
          <w:sz w:val="24"/>
          <w:szCs w:val="24"/>
          <w:lang w:eastAsia="en-US"/>
        </w:rPr>
        <w:t xml:space="preserve"> exposure (</w:t>
      </w:r>
      <w:proofErr w:type="gramStart"/>
      <w:r w:rsidR="3AB492D8" w:rsidRPr="6398023D">
        <w:rPr>
          <w:rFonts w:ascii="Times New Roman" w:eastAsia="Calibri" w:hAnsi="Times New Roman"/>
          <w:sz w:val="24"/>
          <w:szCs w:val="24"/>
          <w:lang w:eastAsia="en-US"/>
        </w:rPr>
        <w:t>e.g.</w:t>
      </w:r>
      <w:proofErr w:type="gramEnd"/>
      <w:r w:rsidR="3AB492D8" w:rsidRPr="6398023D">
        <w:rPr>
          <w:rFonts w:ascii="Times New Roman" w:eastAsia="Calibri" w:hAnsi="Times New Roman"/>
          <w:sz w:val="24"/>
          <w:szCs w:val="24"/>
          <w:lang w:eastAsia="en-US"/>
        </w:rPr>
        <w:t xml:space="preserve"> </w:t>
      </w:r>
      <w:r w:rsidR="0051061C" w:rsidRPr="6398023D">
        <w:rPr>
          <w:rFonts w:ascii="Times New Roman" w:eastAsia="Calibri" w:hAnsi="Times New Roman"/>
          <w:sz w:val="24"/>
          <w:szCs w:val="24"/>
          <w:lang w:eastAsia="en-US"/>
        </w:rPr>
        <w:t xml:space="preserve">a </w:t>
      </w:r>
      <w:r w:rsidR="001D7B42" w:rsidRPr="6398023D">
        <w:rPr>
          <w:rFonts w:ascii="Times New Roman" w:eastAsia="Calibri" w:hAnsi="Times New Roman"/>
          <w:sz w:val="24"/>
          <w:szCs w:val="24"/>
          <w:lang w:eastAsia="en-US"/>
        </w:rPr>
        <w:t>securit</w:t>
      </w:r>
      <w:r w:rsidR="007131F6" w:rsidRPr="6398023D">
        <w:rPr>
          <w:rFonts w:ascii="Times New Roman" w:eastAsia="Calibri" w:hAnsi="Times New Roman"/>
          <w:sz w:val="24"/>
          <w:szCs w:val="24"/>
          <w:lang w:eastAsia="en-US"/>
        </w:rPr>
        <w:t>i</w:t>
      </w:r>
      <w:r w:rsidR="001D7B42" w:rsidRPr="6398023D">
        <w:rPr>
          <w:rFonts w:ascii="Times New Roman" w:eastAsia="Calibri" w:hAnsi="Times New Roman"/>
          <w:sz w:val="24"/>
          <w:szCs w:val="24"/>
          <w:lang w:eastAsia="en-US"/>
        </w:rPr>
        <w:t>sation</w:t>
      </w:r>
      <w:r w:rsidR="5F3ED3F4" w:rsidRPr="6398023D">
        <w:rPr>
          <w:rFonts w:ascii="Times New Roman" w:eastAsia="Calibri" w:hAnsi="Times New Roman"/>
          <w:sz w:val="24"/>
          <w:szCs w:val="24"/>
          <w:lang w:eastAsia="en-US"/>
        </w:rPr>
        <w:t xml:space="preserve"> of a securit</w:t>
      </w:r>
      <w:r w:rsidR="587429A2" w:rsidRPr="6398023D">
        <w:rPr>
          <w:rFonts w:ascii="Times New Roman" w:eastAsia="Calibri" w:hAnsi="Times New Roman"/>
          <w:sz w:val="24"/>
          <w:szCs w:val="24"/>
          <w:lang w:eastAsia="en-US"/>
        </w:rPr>
        <w:t>i</w:t>
      </w:r>
      <w:r w:rsidR="5F3ED3F4" w:rsidRPr="6398023D">
        <w:rPr>
          <w:rFonts w:ascii="Times New Roman" w:eastAsia="Calibri" w:hAnsi="Times New Roman"/>
          <w:sz w:val="24"/>
          <w:szCs w:val="24"/>
          <w:lang w:eastAsia="en-US"/>
        </w:rPr>
        <w:t>sation</w:t>
      </w:r>
      <w:r w:rsidR="02202D9A" w:rsidRPr="6398023D">
        <w:rPr>
          <w:rFonts w:ascii="Times New Roman" w:eastAsia="Calibri" w:hAnsi="Times New Roman"/>
          <w:sz w:val="24"/>
          <w:szCs w:val="24"/>
          <w:lang w:eastAsia="en-US"/>
        </w:rPr>
        <w:t>)</w:t>
      </w:r>
      <w:r w:rsidR="5F3ED3F4" w:rsidRPr="6398023D">
        <w:rPr>
          <w:rFonts w:ascii="Times New Roman" w:eastAsia="Calibri" w:hAnsi="Times New Roman"/>
          <w:sz w:val="24"/>
          <w:szCs w:val="24"/>
          <w:lang w:eastAsia="en-US"/>
        </w:rPr>
        <w:t xml:space="preserve"> </w:t>
      </w:r>
      <w:r w:rsidR="007131F6" w:rsidRPr="6398023D">
        <w:rPr>
          <w:rFonts w:ascii="Times New Roman" w:eastAsia="Calibri" w:hAnsi="Times New Roman"/>
          <w:sz w:val="24"/>
          <w:szCs w:val="24"/>
          <w:lang w:eastAsia="en-US"/>
        </w:rPr>
        <w:t>must be de</w:t>
      </w:r>
      <w:r w:rsidR="0051061C" w:rsidRPr="6398023D">
        <w:rPr>
          <w:rFonts w:ascii="Times New Roman" w:eastAsia="Calibri" w:hAnsi="Times New Roman"/>
          <w:sz w:val="24"/>
          <w:szCs w:val="24"/>
          <w:lang w:eastAsia="en-US"/>
        </w:rPr>
        <w:t>ducted</w:t>
      </w:r>
      <w:r w:rsidR="007131F6" w:rsidRPr="6398023D">
        <w:rPr>
          <w:rFonts w:ascii="Times New Roman" w:eastAsia="Calibri" w:hAnsi="Times New Roman"/>
          <w:sz w:val="24"/>
          <w:szCs w:val="24"/>
          <w:lang w:eastAsia="en-US"/>
        </w:rPr>
        <w:t xml:space="preserve"> from CET1</w:t>
      </w:r>
      <w:r w:rsidR="00E75241" w:rsidRPr="6398023D">
        <w:rPr>
          <w:rFonts w:ascii="Times New Roman" w:eastAsia="Calibri" w:hAnsi="Times New Roman"/>
          <w:sz w:val="24"/>
          <w:szCs w:val="24"/>
          <w:lang w:eastAsia="en-US"/>
        </w:rPr>
        <w:t xml:space="preserve"> capital</w:t>
      </w:r>
      <w:r w:rsidR="5362BEBB" w:rsidRPr="6398023D">
        <w:rPr>
          <w:rFonts w:ascii="Times New Roman" w:eastAsia="Calibri" w:hAnsi="Times New Roman"/>
          <w:sz w:val="24"/>
          <w:szCs w:val="24"/>
          <w:lang w:eastAsia="en-US"/>
        </w:rPr>
        <w:t>.</w:t>
      </w:r>
    </w:p>
    <w:p w14:paraId="4F18C081" w14:textId="3C9E1123" w:rsidR="00826D94" w:rsidRPr="00D775C8" w:rsidRDefault="00826D94" w:rsidP="00826D94">
      <w:pPr>
        <w:spacing w:after="240"/>
        <w:jc w:val="both"/>
        <w:rPr>
          <w:rFonts w:ascii="Times New Roman" w:eastAsia="Calibri" w:hAnsi="Times New Roman"/>
          <w:sz w:val="24"/>
          <w:szCs w:val="24"/>
          <w:lang w:eastAsia="en-US"/>
        </w:rPr>
      </w:pPr>
      <w:r w:rsidRPr="00D775C8">
        <w:rPr>
          <w:rFonts w:ascii="Times New Roman" w:eastAsia="Calibri" w:hAnsi="Times New Roman"/>
          <w:sz w:val="24"/>
          <w:szCs w:val="24"/>
          <w:lang w:eastAsia="en-US"/>
        </w:rPr>
        <w:t>There are also some prior notification requirements for certain other secured funding arrangements. Such arrangements could be highly structured securities and haircuts on the value of the securities could be much higher (with consequent larger amounts of over</w:t>
      </w:r>
      <w:r w:rsidR="00A41669">
        <w:rPr>
          <w:rFonts w:ascii="Times New Roman" w:eastAsia="Calibri" w:hAnsi="Times New Roman"/>
          <w:sz w:val="24"/>
          <w:szCs w:val="24"/>
          <w:lang w:eastAsia="en-US"/>
        </w:rPr>
        <w:t>-</w:t>
      </w:r>
      <w:r w:rsidRPr="00D775C8">
        <w:rPr>
          <w:rFonts w:ascii="Times New Roman" w:eastAsia="Calibri" w:hAnsi="Times New Roman"/>
          <w:sz w:val="24"/>
          <w:szCs w:val="24"/>
          <w:lang w:eastAsia="en-US"/>
        </w:rPr>
        <w:t xml:space="preserve">collateralisation </w:t>
      </w:r>
      <w:r>
        <w:rPr>
          <w:rFonts w:ascii="Times New Roman" w:eastAsia="Calibri" w:hAnsi="Times New Roman"/>
          <w:sz w:val="24"/>
          <w:szCs w:val="24"/>
          <w:lang w:eastAsia="en-US"/>
        </w:rPr>
        <w:t xml:space="preserve">of assets </w:t>
      </w:r>
      <w:r w:rsidRPr="00D775C8">
        <w:rPr>
          <w:rFonts w:ascii="Times New Roman" w:eastAsia="Calibri" w:hAnsi="Times New Roman"/>
          <w:sz w:val="24"/>
          <w:szCs w:val="24"/>
          <w:lang w:eastAsia="en-US"/>
        </w:rPr>
        <w:t xml:space="preserve">involved), which may be detrimental to the protection of depositors’ interests. </w:t>
      </w:r>
    </w:p>
    <w:p w14:paraId="039DE56A" w14:textId="77777777" w:rsidR="00826D94" w:rsidRPr="00FC45D1" w:rsidRDefault="00826D94" w:rsidP="00826D94">
      <w:pPr>
        <w:spacing w:after="240" w:line="259" w:lineRule="auto"/>
        <w:jc w:val="both"/>
        <w:rPr>
          <w:rFonts w:ascii="Times New Roman" w:hAnsi="Times New Roman"/>
          <w:sz w:val="24"/>
          <w:szCs w:val="24"/>
          <w:u w:val="single"/>
        </w:rPr>
      </w:pPr>
      <w:r w:rsidRPr="7104E36F">
        <w:rPr>
          <w:rFonts w:ascii="Times New Roman" w:eastAsia="Calibri" w:hAnsi="Times New Roman"/>
          <w:sz w:val="24"/>
          <w:szCs w:val="24"/>
          <w:lang w:eastAsia="en-US"/>
        </w:rPr>
        <w:t xml:space="preserve">APS 120 provides for some transition arrangements for securitisation transactions </w:t>
      </w:r>
      <w:proofErr w:type="gramStart"/>
      <w:r w:rsidRPr="7104E36F">
        <w:rPr>
          <w:rFonts w:ascii="Times New Roman" w:eastAsia="Calibri" w:hAnsi="Times New Roman"/>
          <w:sz w:val="24"/>
          <w:szCs w:val="24"/>
          <w:lang w:eastAsia="en-US"/>
        </w:rPr>
        <w:t>entered into</w:t>
      </w:r>
      <w:proofErr w:type="gramEnd"/>
      <w:r w:rsidRPr="7104E36F">
        <w:rPr>
          <w:rFonts w:ascii="Times New Roman" w:eastAsia="Calibri" w:hAnsi="Times New Roman"/>
          <w:sz w:val="24"/>
          <w:szCs w:val="24"/>
          <w:lang w:eastAsia="en-US"/>
        </w:rPr>
        <w:t xml:space="preserve"> prior to 1 January 2018. This is necessary to </w:t>
      </w:r>
      <w:r w:rsidRPr="7104E36F">
        <w:rPr>
          <w:rFonts w:ascii="Times New Roman" w:hAnsi="Times New Roman"/>
          <w:sz w:val="24"/>
          <w:szCs w:val="24"/>
        </w:rPr>
        <w:t xml:space="preserve">accommodate some legacy arrangements such as </w:t>
      </w:r>
      <w:proofErr w:type="gramStart"/>
      <w:r w:rsidRPr="7104E36F">
        <w:rPr>
          <w:rFonts w:ascii="Times New Roman" w:hAnsi="Times New Roman"/>
          <w:sz w:val="24"/>
          <w:szCs w:val="24"/>
        </w:rPr>
        <w:t>legally-binding</w:t>
      </w:r>
      <w:proofErr w:type="gramEnd"/>
      <w:r w:rsidRPr="7104E36F">
        <w:rPr>
          <w:rFonts w:ascii="Times New Roman" w:hAnsi="Times New Roman"/>
          <w:sz w:val="24"/>
          <w:szCs w:val="24"/>
        </w:rPr>
        <w:t xml:space="preserve"> commercial </w:t>
      </w:r>
      <w:r w:rsidRPr="7104E36F">
        <w:rPr>
          <w:rFonts w:ascii="Times New Roman" w:eastAsia="Calibri" w:hAnsi="Times New Roman"/>
          <w:sz w:val="24"/>
          <w:szCs w:val="24"/>
          <w:lang w:eastAsia="en-US"/>
        </w:rPr>
        <w:t>agreements entered into by ADIs in their securitisations before the commencement of previous versions of APS 120.</w:t>
      </w:r>
    </w:p>
    <w:p w14:paraId="75C48B5C" w14:textId="53395266" w:rsidR="007727A1" w:rsidRPr="00393900" w:rsidRDefault="007727A1" w:rsidP="00393900">
      <w:pPr>
        <w:pStyle w:val="Heading"/>
        <w:spacing w:after="240"/>
        <w:rPr>
          <w:rFonts w:ascii="Times New Roman" w:hAnsi="Times New Roman"/>
          <w:i/>
          <w:sz w:val="24"/>
          <w:szCs w:val="24"/>
        </w:rPr>
      </w:pPr>
      <w:r w:rsidRPr="00AB677C">
        <w:rPr>
          <w:rFonts w:ascii="Times New Roman" w:hAnsi="Times New Roman"/>
          <w:i/>
          <w:sz w:val="24"/>
          <w:szCs w:val="24"/>
        </w:rPr>
        <w:t>Exercise of discretion by APRA</w:t>
      </w:r>
    </w:p>
    <w:p w14:paraId="752CFDF8" w14:textId="7566ECE6" w:rsidR="00A71EDF" w:rsidRPr="002E1F21" w:rsidRDefault="009677B8" w:rsidP="002E1F21">
      <w:pPr>
        <w:spacing w:after="240"/>
        <w:jc w:val="both"/>
        <w:rPr>
          <w:rFonts w:ascii="Times New Roman" w:hAnsi="Times New Roman"/>
          <w:sz w:val="24"/>
          <w:szCs w:val="24"/>
        </w:rPr>
      </w:pPr>
      <w:r w:rsidRPr="002E1F21">
        <w:rPr>
          <w:rFonts w:ascii="Times New Roman" w:hAnsi="Times New Roman"/>
          <w:sz w:val="24"/>
          <w:szCs w:val="24"/>
        </w:rPr>
        <w:t xml:space="preserve">APS 120 </w:t>
      </w:r>
      <w:r w:rsidR="004A0949" w:rsidRPr="002E1F21">
        <w:rPr>
          <w:rFonts w:ascii="Times New Roman" w:hAnsi="Times New Roman"/>
          <w:sz w:val="24"/>
          <w:szCs w:val="24"/>
        </w:rPr>
        <w:t>provide</w:t>
      </w:r>
      <w:r w:rsidRPr="002E1F21">
        <w:rPr>
          <w:rFonts w:ascii="Times New Roman" w:hAnsi="Times New Roman"/>
          <w:sz w:val="24"/>
          <w:szCs w:val="24"/>
        </w:rPr>
        <w:t>s</w:t>
      </w:r>
      <w:r w:rsidR="004A0949" w:rsidRPr="002E1F21">
        <w:rPr>
          <w:rFonts w:ascii="Times New Roman" w:hAnsi="Times New Roman"/>
          <w:sz w:val="24"/>
          <w:szCs w:val="24"/>
        </w:rPr>
        <w:t xml:space="preserve">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A5F8F5C" w14:textId="4F9F8DA0" w:rsidR="00A67708" w:rsidRPr="002E1F21" w:rsidRDefault="003159B0" w:rsidP="002E1F21">
      <w:pPr>
        <w:pStyle w:val="Heading"/>
        <w:spacing w:after="240"/>
        <w:rPr>
          <w:rFonts w:ascii="Times New Roman" w:hAnsi="Times New Roman"/>
          <w:b w:val="0"/>
          <w:sz w:val="24"/>
          <w:szCs w:val="24"/>
        </w:rPr>
      </w:pPr>
      <w:r w:rsidRPr="002E1F21">
        <w:rPr>
          <w:rFonts w:ascii="Times New Roman" w:hAnsi="Times New Roman"/>
          <w:b w:val="0"/>
          <w:sz w:val="24"/>
          <w:szCs w:val="24"/>
        </w:rPr>
        <w:t>A</w:t>
      </w:r>
      <w:r w:rsidR="00D14060" w:rsidRPr="002E1F21">
        <w:rPr>
          <w:rFonts w:ascii="Times New Roman" w:hAnsi="Times New Roman"/>
          <w:b w:val="0"/>
          <w:sz w:val="24"/>
          <w:szCs w:val="24"/>
        </w:rPr>
        <w:t xml:space="preserve"> breach of a prudential standard is </w:t>
      </w:r>
      <w:r w:rsidRPr="002E1F21">
        <w:rPr>
          <w:rFonts w:ascii="Times New Roman" w:hAnsi="Times New Roman"/>
          <w:b w:val="0"/>
          <w:sz w:val="24"/>
          <w:szCs w:val="24"/>
        </w:rPr>
        <w:t xml:space="preserve">also </w:t>
      </w:r>
      <w:r w:rsidR="00D14060" w:rsidRPr="002E1F21">
        <w:rPr>
          <w:rFonts w:ascii="Times New Roman" w:hAnsi="Times New Roman"/>
          <w:b w:val="0"/>
          <w:sz w:val="24"/>
          <w:szCs w:val="24"/>
        </w:rPr>
        <w:t xml:space="preserve">a breach of the </w:t>
      </w:r>
      <w:r w:rsidRPr="002E1F21">
        <w:rPr>
          <w:rFonts w:ascii="Times New Roman" w:hAnsi="Times New Roman"/>
          <w:b w:val="0"/>
          <w:sz w:val="24"/>
          <w:szCs w:val="24"/>
        </w:rPr>
        <w:t>Act</w:t>
      </w:r>
      <w:r w:rsidR="00D14060" w:rsidRPr="002E1F21">
        <w:rPr>
          <w:rFonts w:ascii="Times New Roman" w:hAnsi="Times New Roman"/>
          <w:b w:val="0"/>
          <w:sz w:val="24"/>
          <w:szCs w:val="24"/>
        </w:rPr>
        <w:t xml:space="preserve">, as </w:t>
      </w:r>
      <w:r w:rsidRPr="002E1F21">
        <w:rPr>
          <w:rFonts w:ascii="Times New Roman" w:hAnsi="Times New Roman"/>
          <w:b w:val="0"/>
          <w:sz w:val="24"/>
          <w:szCs w:val="24"/>
        </w:rPr>
        <w:t xml:space="preserve">the </w:t>
      </w:r>
      <w:r w:rsidR="00D14060" w:rsidRPr="002E1F21">
        <w:rPr>
          <w:rFonts w:ascii="Times New Roman" w:hAnsi="Times New Roman"/>
          <w:b w:val="0"/>
          <w:sz w:val="24"/>
          <w:szCs w:val="24"/>
        </w:rPr>
        <w:t>Act provides that regulated entities must comply with the standard. However</w:t>
      </w:r>
      <w:r w:rsidR="001B6449" w:rsidRPr="002E1F21">
        <w:rPr>
          <w:rFonts w:ascii="Times New Roman" w:hAnsi="Times New Roman"/>
          <w:b w:val="0"/>
          <w:sz w:val="24"/>
          <w:szCs w:val="24"/>
        </w:rPr>
        <w:t>,</w:t>
      </w:r>
      <w:r w:rsidR="00D14060" w:rsidRPr="002E1F21">
        <w:rPr>
          <w:rFonts w:ascii="Times New Roman" w:hAnsi="Times New Roman"/>
          <w:b w:val="0"/>
          <w:sz w:val="24"/>
          <w:szCs w:val="24"/>
        </w:rPr>
        <w:t xml:space="preserve"> there are no penalties prescribed for </w:t>
      </w:r>
      <w:r w:rsidRPr="002E1F21">
        <w:rPr>
          <w:rFonts w:ascii="Times New Roman" w:hAnsi="Times New Roman"/>
          <w:b w:val="0"/>
          <w:sz w:val="24"/>
          <w:szCs w:val="24"/>
        </w:rPr>
        <w:t xml:space="preserve">such </w:t>
      </w:r>
      <w:r w:rsidR="00D14060" w:rsidRPr="002E1F21">
        <w:rPr>
          <w:rFonts w:ascii="Times New Roman" w:hAnsi="Times New Roman"/>
          <w:b w:val="0"/>
          <w:sz w:val="24"/>
          <w:szCs w:val="24"/>
        </w:rPr>
        <w:t>breach</w:t>
      </w:r>
      <w:r w:rsidRPr="002E1F21">
        <w:rPr>
          <w:rFonts w:ascii="Times New Roman" w:hAnsi="Times New Roman"/>
          <w:b w:val="0"/>
          <w:sz w:val="24"/>
          <w:szCs w:val="24"/>
        </w:rPr>
        <w:t>es</w:t>
      </w:r>
      <w:r w:rsidR="00A67708" w:rsidRPr="002E1F21">
        <w:rPr>
          <w:rFonts w:ascii="Times New Roman" w:hAnsi="Times New Roman"/>
          <w:b w:val="0"/>
          <w:sz w:val="24"/>
          <w:szCs w:val="24"/>
        </w:rPr>
        <w:t>.</w:t>
      </w:r>
      <w:r w:rsidR="00D14060" w:rsidRPr="002E1F21">
        <w:rPr>
          <w:rFonts w:ascii="Times New Roman" w:hAnsi="Times New Roman"/>
          <w:sz w:val="24"/>
          <w:szCs w:val="24"/>
        </w:rPr>
        <w:t xml:space="preserve"> </w:t>
      </w:r>
      <w:r w:rsidR="00A67708" w:rsidRPr="002E1F21">
        <w:rPr>
          <w:rFonts w:ascii="Times New Roman" w:hAnsi="Times New Roman"/>
          <w:b w:val="0"/>
          <w:sz w:val="24"/>
          <w:szCs w:val="24"/>
        </w:rPr>
        <w:t xml:space="preserve">Instead, </w:t>
      </w:r>
      <w:r w:rsidRPr="002E1F21">
        <w:rPr>
          <w:rFonts w:ascii="Times New Roman" w:hAnsi="Times New Roman"/>
          <w:b w:val="0"/>
          <w:sz w:val="24"/>
          <w:szCs w:val="24"/>
        </w:rPr>
        <w:t xml:space="preserve">an ADI’s </w:t>
      </w:r>
      <w:r w:rsidR="00A67708" w:rsidRPr="002E1F21">
        <w:rPr>
          <w:rFonts w:ascii="Times New Roman" w:hAnsi="Times New Roman"/>
          <w:b w:val="0"/>
          <w:sz w:val="24"/>
          <w:szCs w:val="24"/>
        </w:rPr>
        <w:t xml:space="preserve">breach of a provision in the Act is grounds for APRA to make further, substantive decisions under the Act in relation to the ADI. Those decisions are: </w:t>
      </w:r>
    </w:p>
    <w:p w14:paraId="3F0BBD86" w14:textId="77777777" w:rsidR="00A67708" w:rsidRPr="002E1F21" w:rsidRDefault="00A67708" w:rsidP="00900C71">
      <w:pPr>
        <w:pStyle w:val="Heading"/>
        <w:numPr>
          <w:ilvl w:val="0"/>
          <w:numId w:val="8"/>
        </w:numPr>
        <w:spacing w:after="240"/>
        <w:ind w:left="567" w:hanging="567"/>
        <w:rPr>
          <w:rFonts w:ascii="Times New Roman" w:hAnsi="Times New Roman"/>
          <w:b w:val="0"/>
          <w:sz w:val="24"/>
          <w:szCs w:val="24"/>
        </w:rPr>
      </w:pPr>
      <w:r w:rsidRPr="002E1F21">
        <w:rPr>
          <w:rFonts w:ascii="Times New Roman" w:hAnsi="Times New Roman"/>
          <w:b w:val="0"/>
          <w:sz w:val="24"/>
          <w:szCs w:val="24"/>
        </w:rPr>
        <w:t>to revoke an authority to carry on banking business (section 9A of the Act); and</w:t>
      </w:r>
    </w:p>
    <w:p w14:paraId="40729652" w14:textId="77777777" w:rsidR="00A67708" w:rsidRPr="002E1F21" w:rsidRDefault="00A67708" w:rsidP="00900C71">
      <w:pPr>
        <w:pStyle w:val="Heading"/>
        <w:numPr>
          <w:ilvl w:val="0"/>
          <w:numId w:val="8"/>
        </w:numPr>
        <w:spacing w:after="240"/>
        <w:ind w:left="567" w:hanging="567"/>
        <w:rPr>
          <w:rFonts w:ascii="Times New Roman" w:hAnsi="Times New Roman"/>
          <w:b w:val="0"/>
          <w:sz w:val="24"/>
          <w:szCs w:val="24"/>
        </w:rPr>
      </w:pPr>
      <w:r w:rsidRPr="002E1F21">
        <w:rPr>
          <w:rFonts w:ascii="Times New Roman" w:hAnsi="Times New Roman"/>
          <w:b w:val="0"/>
          <w:sz w:val="24"/>
          <w:szCs w:val="24"/>
        </w:rPr>
        <w:t>to issue a direction to the ADI, including a direction to comply with the whole or part of a prudential standard (section 11CA of the Act).</w:t>
      </w:r>
    </w:p>
    <w:p w14:paraId="5B2E2B2F" w14:textId="212DE8BF" w:rsidR="00A67708" w:rsidRPr="002E1F21" w:rsidRDefault="00A67708" w:rsidP="002E1F21">
      <w:pPr>
        <w:spacing w:after="240"/>
        <w:jc w:val="both"/>
        <w:rPr>
          <w:rFonts w:ascii="Times New Roman" w:hAnsi="Times New Roman"/>
          <w:sz w:val="24"/>
          <w:szCs w:val="24"/>
        </w:rPr>
      </w:pPr>
      <w:r w:rsidRPr="002E1F21">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sidRPr="002E1F21">
        <w:rPr>
          <w:rStyle w:val="FootnoteReference"/>
          <w:rFonts w:ascii="Times New Roman" w:hAnsi="Times New Roman"/>
          <w:sz w:val="24"/>
          <w:szCs w:val="24"/>
        </w:rPr>
        <w:footnoteReference w:id="3"/>
      </w:r>
      <w:r w:rsidRPr="002E1F21">
        <w:rPr>
          <w:rFonts w:ascii="Times New Roman" w:hAnsi="Times New Roman"/>
          <w:sz w:val="24"/>
          <w:szCs w:val="24"/>
        </w:rPr>
        <w:t xml:space="preserve"> the decision is preceded by a full consultation with the ADI to raise any concerns it may have in relation to the decision.</w:t>
      </w:r>
    </w:p>
    <w:p w14:paraId="5B011D00" w14:textId="77777777" w:rsidR="00ED3FAE" w:rsidRPr="002E1F21" w:rsidRDefault="00ED3FAE" w:rsidP="002E1F21">
      <w:pPr>
        <w:spacing w:after="240"/>
        <w:jc w:val="both"/>
        <w:rPr>
          <w:rFonts w:ascii="Times New Roman" w:hAnsi="Times New Roman"/>
          <w:sz w:val="24"/>
          <w:szCs w:val="24"/>
        </w:rPr>
      </w:pPr>
      <w:r w:rsidRPr="002E1F21">
        <w:rPr>
          <w:rFonts w:ascii="Times New Roman" w:hAnsi="Times New Roman"/>
          <w:sz w:val="24"/>
          <w:szCs w:val="24"/>
        </w:rPr>
        <w:t>A decision of APRA to impose a direction is subject to merits review under section 11CA of the Act, which is appropriately available at the point where an ADI could be exposed to a penalty.</w:t>
      </w:r>
    </w:p>
    <w:p w14:paraId="54C26DED" w14:textId="7234C796" w:rsidR="00ED3FAE" w:rsidRPr="002E1F21" w:rsidRDefault="00ED3FAE" w:rsidP="002E1F21">
      <w:pPr>
        <w:spacing w:after="240"/>
        <w:jc w:val="both"/>
        <w:rPr>
          <w:rFonts w:ascii="Times New Roman" w:hAnsi="Times New Roman"/>
          <w:sz w:val="24"/>
          <w:szCs w:val="24"/>
        </w:rPr>
      </w:pPr>
      <w:r w:rsidRPr="002E1F21">
        <w:rPr>
          <w:rFonts w:ascii="Times New Roman" w:hAnsi="Times New Roman"/>
          <w:sz w:val="24"/>
          <w:szCs w:val="24"/>
        </w:rPr>
        <w:t xml:space="preserve">A decision </w:t>
      </w:r>
      <w:r w:rsidR="00F23B23" w:rsidRPr="002E1F21">
        <w:rPr>
          <w:rFonts w:ascii="Times New Roman" w:hAnsi="Times New Roman"/>
          <w:sz w:val="24"/>
          <w:szCs w:val="24"/>
        </w:rPr>
        <w:t xml:space="preserve">of APRA </w:t>
      </w:r>
      <w:r w:rsidRPr="002E1F21">
        <w:rPr>
          <w:rFonts w:ascii="Times New Roman" w:hAnsi="Times New Roman"/>
          <w:sz w:val="24"/>
          <w:szCs w:val="24"/>
        </w:rPr>
        <w:t>to revoke an authority under the Act is subject to merits review, unless either:</w:t>
      </w:r>
    </w:p>
    <w:p w14:paraId="420010A3" w14:textId="77777777" w:rsidR="00ED3FAE" w:rsidRPr="002E1F21" w:rsidRDefault="00ED3FAE" w:rsidP="00E85A26">
      <w:pPr>
        <w:pStyle w:val="ListParagraph"/>
        <w:numPr>
          <w:ilvl w:val="0"/>
          <w:numId w:val="20"/>
        </w:numPr>
        <w:spacing w:after="240"/>
        <w:ind w:left="567" w:hanging="567"/>
        <w:jc w:val="both"/>
        <w:rPr>
          <w:rFonts w:ascii="Times New Roman" w:hAnsi="Times New Roman"/>
          <w:sz w:val="24"/>
          <w:szCs w:val="24"/>
        </w:rPr>
      </w:pPr>
      <w:r w:rsidRPr="002E1F21">
        <w:rPr>
          <w:rFonts w:ascii="Times New Roman" w:hAnsi="Times New Roman"/>
          <w:sz w:val="24"/>
          <w:szCs w:val="24"/>
        </w:rPr>
        <w:lastRenderedPageBreak/>
        <w:t>APRA has determined that access to natural justice and merits review is contrary to the national interest or contrary to the interests of depositors with the ADI; or</w:t>
      </w:r>
    </w:p>
    <w:p w14:paraId="3D8A7EE8" w14:textId="516D7ED8" w:rsidR="002403F6" w:rsidRPr="00393900" w:rsidRDefault="00ED3FAE" w:rsidP="002403F6">
      <w:pPr>
        <w:pStyle w:val="ListParagraph"/>
        <w:numPr>
          <w:ilvl w:val="0"/>
          <w:numId w:val="20"/>
        </w:numPr>
        <w:spacing w:after="240"/>
        <w:ind w:left="567" w:hanging="567"/>
        <w:jc w:val="both"/>
        <w:rPr>
          <w:rFonts w:ascii="Times New Roman" w:hAnsi="Times New Roman"/>
          <w:sz w:val="24"/>
          <w:szCs w:val="24"/>
        </w:rPr>
      </w:pPr>
      <w:r w:rsidRPr="002E1F21">
        <w:rPr>
          <w:rFonts w:ascii="Times New Roman" w:hAnsi="Times New Roman"/>
          <w:sz w:val="24"/>
          <w:szCs w:val="24"/>
        </w:rPr>
        <w:t>the authority is an authority that is to cease to have effect on a day specified in the authority (section 9</w:t>
      </w:r>
      <w:proofErr w:type="gramStart"/>
      <w:r w:rsidRPr="002E1F21">
        <w:rPr>
          <w:rFonts w:ascii="Times New Roman" w:hAnsi="Times New Roman"/>
          <w:sz w:val="24"/>
          <w:szCs w:val="24"/>
        </w:rPr>
        <w:t>A(</w:t>
      </w:r>
      <w:proofErr w:type="gramEnd"/>
      <w:r w:rsidRPr="002E1F21">
        <w:rPr>
          <w:rFonts w:ascii="Times New Roman" w:hAnsi="Times New Roman"/>
          <w:sz w:val="24"/>
          <w:szCs w:val="24"/>
        </w:rPr>
        <w:t>8) of the Act).</w:t>
      </w:r>
    </w:p>
    <w:p w14:paraId="48684079" w14:textId="77777777" w:rsidR="002403F6" w:rsidRDefault="002403F6" w:rsidP="002403F6">
      <w:pPr>
        <w:pStyle w:val="NormalWeb"/>
        <w:keepNext/>
        <w:rPr>
          <w:b/>
          <w:i/>
        </w:rPr>
      </w:pPr>
      <w:bookmarkStart w:id="4" w:name="bkPurpose"/>
      <w:bookmarkStart w:id="5" w:name="bkoperation"/>
      <w:bookmarkStart w:id="6" w:name="bkConsultationNo"/>
      <w:bookmarkEnd w:id="4"/>
      <w:bookmarkEnd w:id="5"/>
      <w:bookmarkEnd w:id="6"/>
      <w:r>
        <w:rPr>
          <w:b/>
          <w:i/>
        </w:rPr>
        <w:t xml:space="preserve">Adjust and exclude </w:t>
      </w:r>
      <w:proofErr w:type="gramStart"/>
      <w:r>
        <w:rPr>
          <w:b/>
          <w:i/>
        </w:rPr>
        <w:t>powers</w:t>
      </w:r>
      <w:proofErr w:type="gramEnd"/>
    </w:p>
    <w:p w14:paraId="360246C3" w14:textId="010D4A7B" w:rsidR="002403F6" w:rsidRDefault="002403F6" w:rsidP="00393900">
      <w:pPr>
        <w:spacing w:after="240"/>
        <w:jc w:val="both"/>
        <w:rPr>
          <w:rFonts w:ascii="Times New Roman" w:hAnsi="Times New Roman"/>
          <w:sz w:val="24"/>
          <w:szCs w:val="24"/>
        </w:rPr>
      </w:pPr>
      <w:r w:rsidRPr="00F97101">
        <w:rPr>
          <w:rFonts w:ascii="Times New Roman" w:hAnsi="Times New Roman"/>
          <w:sz w:val="24"/>
          <w:szCs w:val="24"/>
        </w:rPr>
        <w:t xml:space="preserve">APS 120 gives APRA the discretion to adjust or exclude a provision of the prudential standard (paragraph </w:t>
      </w:r>
      <w:r w:rsidR="00565319" w:rsidRPr="001E419F">
        <w:rPr>
          <w:rFonts w:ascii="Times New Roman" w:hAnsi="Times New Roman"/>
          <w:sz w:val="24"/>
          <w:szCs w:val="24"/>
        </w:rPr>
        <w:t>83</w:t>
      </w:r>
      <w:r w:rsidRPr="00F97101">
        <w:rPr>
          <w:rFonts w:ascii="Times New Roman" w:hAnsi="Times New Roman"/>
          <w:sz w:val="24"/>
          <w:szCs w:val="24"/>
        </w:rPr>
        <w:t>). The power to create such a discretion is provided for under subsection 11</w:t>
      </w:r>
      <w:proofErr w:type="gramStart"/>
      <w:r w:rsidRPr="00F97101">
        <w:rPr>
          <w:rFonts w:ascii="Times New Roman" w:hAnsi="Times New Roman"/>
          <w:sz w:val="24"/>
          <w:szCs w:val="24"/>
        </w:rPr>
        <w:t>AF(</w:t>
      </w:r>
      <w:proofErr w:type="gramEnd"/>
      <w:r w:rsidRPr="00F97101">
        <w:rPr>
          <w:rFonts w:ascii="Times New Roman" w:hAnsi="Times New Roman"/>
          <w:sz w:val="24"/>
          <w:szCs w:val="24"/>
        </w:rPr>
        <w:t>2) of the Act.</w:t>
      </w:r>
    </w:p>
    <w:p w14:paraId="3CD79B49" w14:textId="3E21E95C" w:rsidR="002403F6" w:rsidRDefault="002403F6" w:rsidP="002403F6">
      <w:pPr>
        <w:numPr>
          <w:ilvl w:val="0"/>
          <w:numId w:val="33"/>
        </w:numPr>
        <w:spacing w:after="240"/>
        <w:jc w:val="both"/>
        <w:rPr>
          <w:rFonts w:ascii="Times New Roman" w:hAnsi="Times New Roman"/>
          <w:sz w:val="24"/>
          <w:szCs w:val="24"/>
        </w:rPr>
      </w:pPr>
      <w:r>
        <w:rPr>
          <w:rFonts w:ascii="Times New Roman" w:hAnsi="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w:t>
      </w:r>
      <w:r w:rsidRPr="00393900">
        <w:rPr>
          <w:rFonts w:ascii="Times New Roman" w:hAnsi="Times New Roman"/>
          <w:sz w:val="24"/>
          <w:szCs w:val="24"/>
        </w:rPr>
        <w:t>entity</w:t>
      </w:r>
      <w:r>
        <w:rPr>
          <w:rFonts w:ascii="Times New Roman" w:hAnsi="Times New Roman"/>
          <w:sz w:val="24"/>
          <w:szCs w:val="24"/>
        </w:rPr>
        <w:t xml:space="preserve">. A tailored approach would give APRA comfort that the prudential requirements apply appropriately to protect the interests of depositors, </w:t>
      </w:r>
      <w:proofErr w:type="gramStart"/>
      <w:r>
        <w:rPr>
          <w:rFonts w:ascii="Times New Roman" w:hAnsi="Times New Roman"/>
          <w:sz w:val="24"/>
          <w:szCs w:val="24"/>
        </w:rPr>
        <w:t>policyholders</w:t>
      </w:r>
      <w:proofErr w:type="gramEnd"/>
      <w:r>
        <w:rPr>
          <w:rFonts w:ascii="Times New Roman" w:hAnsi="Times New Roman"/>
          <w:sz w:val="24"/>
          <w:szCs w:val="24"/>
        </w:rPr>
        <w:t xml:space="preserve"> and fund members. APRA will also </w:t>
      </w:r>
      <w:proofErr w:type="gramStart"/>
      <w:r>
        <w:rPr>
          <w:rFonts w:ascii="Times New Roman" w:hAnsi="Times New Roman"/>
          <w:sz w:val="24"/>
          <w:szCs w:val="24"/>
        </w:rPr>
        <w:t>take into account</w:t>
      </w:r>
      <w:proofErr w:type="gramEnd"/>
      <w:r>
        <w:rPr>
          <w:rFonts w:ascii="Times New Roman" w:hAnsi="Times New Roman"/>
          <w:sz w:val="24"/>
          <w:szCs w:val="24"/>
        </w:rPr>
        <w:t xml:space="preserve"> other considerations, such as efficiency, competition, contestability, competitive neutrality and regulatory burden, including comparisons with an </w:t>
      </w:r>
      <w:r w:rsidRPr="00393900">
        <w:rPr>
          <w:rFonts w:ascii="Times New Roman" w:hAnsi="Times New Roman"/>
          <w:sz w:val="24"/>
          <w:szCs w:val="24"/>
        </w:rPr>
        <w:t>entity’s</w:t>
      </w:r>
      <w:r>
        <w:rPr>
          <w:rFonts w:ascii="Times New Roman" w:hAnsi="Times New Roman"/>
          <w:sz w:val="24"/>
          <w:szCs w:val="24"/>
        </w:rPr>
        <w:t xml:space="preserve"> peer group.</w:t>
      </w:r>
    </w:p>
    <w:p w14:paraId="7D6DC6A3" w14:textId="37D39F16" w:rsidR="002403F6" w:rsidRDefault="002403F6" w:rsidP="002403F6">
      <w:pPr>
        <w:spacing w:after="240"/>
        <w:jc w:val="both"/>
        <w:rPr>
          <w:rFonts w:ascii="Times New Roman" w:hAnsi="Times New Roman"/>
          <w:sz w:val="24"/>
          <w:szCs w:val="24"/>
        </w:rPr>
      </w:pPr>
      <w:r w:rsidRPr="00A838D7">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45DCAF04" w14:textId="77777777" w:rsidR="00B337B3" w:rsidRPr="00244FDE" w:rsidRDefault="00B337B3" w:rsidP="00B337B3">
      <w:pPr>
        <w:pStyle w:val="Heading"/>
        <w:spacing w:after="240"/>
        <w:rPr>
          <w:rFonts w:ascii="Times New Roman" w:hAnsi="Times New Roman"/>
          <w:i/>
          <w:sz w:val="24"/>
          <w:szCs w:val="24"/>
        </w:rPr>
      </w:pPr>
      <w:r>
        <w:rPr>
          <w:rFonts w:ascii="Times New Roman" w:hAnsi="Times New Roman"/>
          <w:i/>
          <w:sz w:val="24"/>
          <w:szCs w:val="24"/>
        </w:rPr>
        <w:t>Documents incorporated</w:t>
      </w:r>
      <w:r w:rsidRPr="00244FDE">
        <w:rPr>
          <w:rFonts w:ascii="Times New Roman" w:hAnsi="Times New Roman"/>
          <w:i/>
          <w:sz w:val="24"/>
          <w:szCs w:val="24"/>
        </w:rPr>
        <w:t xml:space="preserve"> by </w:t>
      </w:r>
      <w:proofErr w:type="gramStart"/>
      <w:r w:rsidRPr="00244FDE">
        <w:rPr>
          <w:rFonts w:ascii="Times New Roman" w:hAnsi="Times New Roman"/>
          <w:i/>
          <w:sz w:val="24"/>
          <w:szCs w:val="24"/>
        </w:rPr>
        <w:t>reference</w:t>
      </w:r>
      <w:proofErr w:type="gramEnd"/>
    </w:p>
    <w:p w14:paraId="3E331919" w14:textId="4ED6BA00" w:rsidR="00B337B3" w:rsidRDefault="00B337B3" w:rsidP="00B337B3">
      <w:pPr>
        <w:rPr>
          <w:rFonts w:ascii="Times New Roman" w:hAnsi="Times New Roman"/>
          <w:sz w:val="24"/>
          <w:szCs w:val="24"/>
        </w:rPr>
      </w:pPr>
      <w:r w:rsidRPr="00E30C24">
        <w:rPr>
          <w:rFonts w:ascii="Times New Roman" w:hAnsi="Times New Roman"/>
          <w:sz w:val="24"/>
          <w:szCs w:val="24"/>
        </w:rPr>
        <w:t xml:space="preserve">Under </w:t>
      </w:r>
      <w:r>
        <w:rPr>
          <w:rFonts w:ascii="Times New Roman" w:hAnsi="Times New Roman"/>
          <w:sz w:val="24"/>
          <w:szCs w:val="24"/>
        </w:rPr>
        <w:t>paragraph</w:t>
      </w:r>
      <w:r w:rsidRPr="00E30C24">
        <w:rPr>
          <w:rFonts w:ascii="Times New Roman" w:hAnsi="Times New Roman"/>
          <w:sz w:val="24"/>
          <w:szCs w:val="24"/>
        </w:rPr>
        <w:t xml:space="preserve"> 14(1)(a) of the </w:t>
      </w:r>
      <w:r w:rsidRPr="00E30C24">
        <w:rPr>
          <w:rFonts w:ascii="Times New Roman" w:hAnsi="Times New Roman"/>
          <w:i/>
          <w:sz w:val="24"/>
          <w:szCs w:val="24"/>
        </w:rPr>
        <w:t>Legislation Act 2003</w:t>
      </w:r>
      <w:r w:rsidRPr="00E30C24">
        <w:rPr>
          <w:rFonts w:ascii="Times New Roman" w:hAnsi="Times New Roman"/>
          <w:sz w:val="24"/>
          <w:szCs w:val="24"/>
        </w:rPr>
        <w:t xml:space="preserve">, </w:t>
      </w:r>
      <w:r w:rsidR="00AB5029">
        <w:rPr>
          <w:rFonts w:ascii="Times New Roman" w:hAnsi="Times New Roman"/>
          <w:sz w:val="24"/>
          <w:szCs w:val="24"/>
        </w:rPr>
        <w:t>APS 120</w:t>
      </w:r>
      <w:r>
        <w:rPr>
          <w:rFonts w:ascii="Times New Roman" w:hAnsi="Times New Roman"/>
          <w:sz w:val="24"/>
          <w:szCs w:val="24"/>
        </w:rPr>
        <w:t xml:space="preserve"> </w:t>
      </w:r>
      <w:r w:rsidRPr="00E30C24">
        <w:rPr>
          <w:rFonts w:ascii="Times New Roman" w:hAnsi="Times New Roman"/>
          <w:sz w:val="24"/>
          <w:szCs w:val="24"/>
        </w:rPr>
        <w:t>incorporates by reference the following documents as in force from time to time:</w:t>
      </w:r>
    </w:p>
    <w:p w14:paraId="4956BC75" w14:textId="77777777" w:rsidR="00B337B3" w:rsidRPr="00E30C24" w:rsidRDefault="00B337B3" w:rsidP="00B337B3">
      <w:pPr>
        <w:rPr>
          <w:rFonts w:ascii="Times New Roman" w:hAnsi="Times New Roman"/>
          <w:sz w:val="24"/>
          <w:szCs w:val="24"/>
        </w:rPr>
      </w:pPr>
    </w:p>
    <w:p w14:paraId="1F88AF52" w14:textId="77777777" w:rsidR="00B337B3" w:rsidRDefault="00B337B3" w:rsidP="00B337B3">
      <w:pPr>
        <w:pStyle w:val="ListParagraph"/>
        <w:numPr>
          <w:ilvl w:val="0"/>
          <w:numId w:val="35"/>
        </w:numPr>
        <w:spacing w:after="240"/>
        <w:ind w:left="426" w:hanging="426"/>
        <w:contextualSpacing/>
        <w:jc w:val="both"/>
        <w:rPr>
          <w:rFonts w:ascii="Times New Roman" w:hAnsi="Times New Roman"/>
          <w:sz w:val="24"/>
          <w:szCs w:val="24"/>
        </w:rPr>
      </w:pPr>
      <w:r w:rsidRPr="00E30C24">
        <w:rPr>
          <w:rFonts w:ascii="Times New Roman" w:hAnsi="Times New Roman"/>
          <w:sz w:val="24"/>
          <w:szCs w:val="24"/>
        </w:rPr>
        <w:t xml:space="preserve">Acts of Parliament and associated delegated </w:t>
      </w:r>
      <w:proofErr w:type="gramStart"/>
      <w:r w:rsidRPr="00E30C24">
        <w:rPr>
          <w:rFonts w:ascii="Times New Roman" w:hAnsi="Times New Roman"/>
          <w:sz w:val="24"/>
          <w:szCs w:val="24"/>
        </w:rPr>
        <w:t>laws;</w:t>
      </w:r>
      <w:proofErr w:type="gramEnd"/>
      <w:r>
        <w:rPr>
          <w:rFonts w:ascii="Times New Roman" w:hAnsi="Times New Roman"/>
          <w:sz w:val="24"/>
          <w:szCs w:val="24"/>
        </w:rPr>
        <w:t xml:space="preserve"> </w:t>
      </w:r>
    </w:p>
    <w:p w14:paraId="59BA95F5" w14:textId="77777777" w:rsidR="00B337B3" w:rsidRPr="00E30C24" w:rsidRDefault="00B337B3" w:rsidP="00B337B3">
      <w:pPr>
        <w:pStyle w:val="ListParagraph"/>
        <w:numPr>
          <w:ilvl w:val="0"/>
          <w:numId w:val="35"/>
        </w:numPr>
        <w:spacing w:after="240"/>
        <w:ind w:left="426" w:hanging="426"/>
        <w:contextualSpacing/>
        <w:jc w:val="both"/>
        <w:rPr>
          <w:rFonts w:ascii="Times New Roman" w:hAnsi="Times New Roman"/>
          <w:sz w:val="24"/>
          <w:szCs w:val="24"/>
        </w:rPr>
      </w:pPr>
      <w:r w:rsidRPr="00E85782">
        <w:rPr>
          <w:rFonts w:ascii="Times New Roman" w:hAnsi="Times New Roman"/>
          <w:sz w:val="24"/>
          <w:szCs w:val="24"/>
        </w:rPr>
        <w:t>Australian Accounting Standard</w:t>
      </w:r>
      <w:r>
        <w:rPr>
          <w:rFonts w:ascii="Times New Roman" w:hAnsi="Times New Roman"/>
          <w:sz w:val="24"/>
          <w:szCs w:val="24"/>
        </w:rPr>
        <w:t>s;</w:t>
      </w:r>
      <w:r w:rsidRPr="7E36AAFC">
        <w:rPr>
          <w:rFonts w:ascii="Times New Roman" w:hAnsi="Times New Roman"/>
          <w:sz w:val="24"/>
          <w:szCs w:val="24"/>
        </w:rPr>
        <w:t xml:space="preserve"> and</w:t>
      </w:r>
    </w:p>
    <w:p w14:paraId="419950D9" w14:textId="6438B043" w:rsidR="00B337B3" w:rsidRPr="00E30C24" w:rsidRDefault="00B337B3" w:rsidP="00393900">
      <w:pPr>
        <w:pStyle w:val="ListParagraph"/>
        <w:numPr>
          <w:ilvl w:val="0"/>
          <w:numId w:val="35"/>
        </w:numPr>
        <w:spacing w:after="240"/>
        <w:ind w:left="426" w:hanging="426"/>
        <w:contextualSpacing/>
        <w:jc w:val="both"/>
        <w:rPr>
          <w:rFonts w:ascii="Times New Roman" w:hAnsi="Times New Roman"/>
          <w:sz w:val="24"/>
          <w:szCs w:val="24"/>
        </w:rPr>
      </w:pPr>
      <w:r w:rsidRPr="00E30C24">
        <w:rPr>
          <w:rFonts w:ascii="Times New Roman" w:hAnsi="Times New Roman"/>
          <w:sz w:val="24"/>
          <w:szCs w:val="24"/>
        </w:rPr>
        <w:t>Prudential Standards determined by APRA under</w:t>
      </w:r>
      <w:r>
        <w:rPr>
          <w:rFonts w:ascii="Times New Roman" w:hAnsi="Times New Roman"/>
          <w:sz w:val="24"/>
          <w:szCs w:val="24"/>
        </w:rPr>
        <w:t xml:space="preserve"> </w:t>
      </w:r>
      <w:r w:rsidRPr="00393900">
        <w:rPr>
          <w:rFonts w:ascii="Times New Roman" w:hAnsi="Times New Roman"/>
          <w:sz w:val="24"/>
          <w:szCs w:val="24"/>
        </w:rPr>
        <w:t>subsection 11</w:t>
      </w:r>
      <w:proofErr w:type="gramStart"/>
      <w:r w:rsidRPr="00393900">
        <w:rPr>
          <w:rFonts w:ascii="Times New Roman" w:hAnsi="Times New Roman"/>
          <w:sz w:val="24"/>
          <w:szCs w:val="24"/>
        </w:rPr>
        <w:t>AF(</w:t>
      </w:r>
      <w:proofErr w:type="gramEnd"/>
      <w:r w:rsidRPr="00393900">
        <w:rPr>
          <w:rFonts w:ascii="Times New Roman" w:hAnsi="Times New Roman"/>
          <w:sz w:val="24"/>
          <w:szCs w:val="24"/>
        </w:rPr>
        <w:t>1) of the Act</w:t>
      </w:r>
      <w:r w:rsidRPr="00E30C24">
        <w:rPr>
          <w:rFonts w:ascii="Times New Roman" w:hAnsi="Times New Roman"/>
          <w:sz w:val="24"/>
          <w:szCs w:val="24"/>
        </w:rPr>
        <w:t>.</w:t>
      </w:r>
    </w:p>
    <w:p w14:paraId="780245BC" w14:textId="274CEF0C" w:rsidR="00B337B3" w:rsidRPr="002403F6" w:rsidRDefault="00B337B3" w:rsidP="00393900">
      <w:pPr>
        <w:pStyle w:val="Heading"/>
        <w:spacing w:after="240"/>
        <w:rPr>
          <w:rFonts w:ascii="Times New Roman" w:hAnsi="Times New Roman"/>
          <w:b w:val="0"/>
          <w:sz w:val="24"/>
          <w:szCs w:val="24"/>
        </w:rPr>
      </w:pPr>
      <w:r w:rsidRPr="00E85782">
        <w:rPr>
          <w:rFonts w:ascii="Times New Roman" w:hAnsi="Times New Roman"/>
          <w:b w:val="0"/>
          <w:sz w:val="24"/>
          <w:szCs w:val="24"/>
        </w:rPr>
        <w:t xml:space="preserve">All documents incorporated by reference in this standard are available on the Federal Register of Legislation at </w:t>
      </w:r>
      <w:hyperlink r:id="rId11" w:history="1">
        <w:r w:rsidRPr="001968EC">
          <w:rPr>
            <w:rStyle w:val="Hyperlink"/>
            <w:rFonts w:ascii="Times New Roman" w:hAnsi="Times New Roman"/>
            <w:b w:val="0"/>
            <w:sz w:val="24"/>
            <w:szCs w:val="24"/>
          </w:rPr>
          <w:t>www.legislation.gov.au</w:t>
        </w:r>
      </w:hyperlink>
      <w:r w:rsidRPr="00E85782">
        <w:rPr>
          <w:rFonts w:ascii="Times New Roman" w:hAnsi="Times New Roman"/>
          <w:b w:val="0"/>
          <w:sz w:val="24"/>
          <w:szCs w:val="24"/>
        </w:rPr>
        <w:t>.</w:t>
      </w:r>
    </w:p>
    <w:p w14:paraId="1E4E8066" w14:textId="0A731EB5" w:rsidR="007F56FB" w:rsidRDefault="007F56FB" w:rsidP="008A2E76">
      <w:pPr>
        <w:pStyle w:val="Heading"/>
        <w:keepNext/>
        <w:keepLines/>
        <w:numPr>
          <w:ilvl w:val="0"/>
          <w:numId w:val="2"/>
        </w:numPr>
        <w:spacing w:after="240"/>
        <w:rPr>
          <w:rFonts w:ascii="Times New Roman" w:hAnsi="Times New Roman"/>
          <w:sz w:val="24"/>
          <w:szCs w:val="24"/>
        </w:rPr>
      </w:pPr>
      <w:r>
        <w:rPr>
          <w:rFonts w:ascii="Times New Roman" w:hAnsi="Times New Roman"/>
          <w:sz w:val="24"/>
          <w:szCs w:val="24"/>
        </w:rPr>
        <w:t>Consultation</w:t>
      </w:r>
    </w:p>
    <w:p w14:paraId="397B3473" w14:textId="7FA31929" w:rsidR="00A67708" w:rsidRPr="00900C71" w:rsidRDefault="008E42AB" w:rsidP="00900C71">
      <w:pPr>
        <w:spacing w:after="240"/>
        <w:jc w:val="both"/>
        <w:rPr>
          <w:rFonts w:ascii="Times New Roman" w:hAnsi="Times New Roman"/>
          <w:b/>
          <w:sz w:val="24"/>
          <w:szCs w:val="24"/>
        </w:rPr>
      </w:pPr>
      <w:r w:rsidRPr="00900C71">
        <w:rPr>
          <w:rFonts w:ascii="Times New Roman" w:hAnsi="Times New Roman"/>
          <w:sz w:val="24"/>
          <w:szCs w:val="24"/>
        </w:rPr>
        <w:t>APRA consulted on the minor updates to APS 120 in June 2023. Five submissions were received on the proposed minor updates</w:t>
      </w:r>
      <w:r w:rsidR="00241A37" w:rsidRPr="00900C71">
        <w:rPr>
          <w:rFonts w:ascii="Times New Roman" w:hAnsi="Times New Roman"/>
          <w:sz w:val="24"/>
          <w:szCs w:val="24"/>
        </w:rPr>
        <w:t xml:space="preserve"> and submissions did not object to these.</w:t>
      </w:r>
    </w:p>
    <w:p w14:paraId="7214CE46" w14:textId="05B787F4" w:rsidR="002436BD" w:rsidRDefault="002436BD" w:rsidP="00393900">
      <w:pPr>
        <w:pStyle w:val="Heading"/>
        <w:keepNext/>
        <w:keepLines/>
        <w:numPr>
          <w:ilvl w:val="0"/>
          <w:numId w:val="2"/>
        </w:numPr>
        <w:spacing w:after="240"/>
        <w:rPr>
          <w:rFonts w:ascii="Times New Roman" w:hAnsi="Times New Roman"/>
          <w:sz w:val="24"/>
          <w:szCs w:val="24"/>
        </w:rPr>
      </w:pPr>
      <w:bookmarkStart w:id="7" w:name="bkConsultation"/>
      <w:bookmarkStart w:id="8" w:name="bkRISNO"/>
      <w:bookmarkStart w:id="9" w:name="bkRIS"/>
      <w:bookmarkEnd w:id="7"/>
      <w:bookmarkEnd w:id="8"/>
      <w:r w:rsidRPr="00D30A06">
        <w:rPr>
          <w:rFonts w:ascii="Times New Roman" w:hAnsi="Times New Roman"/>
          <w:sz w:val="24"/>
          <w:szCs w:val="24"/>
        </w:rPr>
        <w:t>Regulation</w:t>
      </w:r>
      <w:r>
        <w:rPr>
          <w:rFonts w:ascii="Times New Roman" w:hAnsi="Times New Roman"/>
          <w:sz w:val="24"/>
          <w:szCs w:val="24"/>
        </w:rPr>
        <w:t xml:space="preserve"> </w:t>
      </w:r>
      <w:r w:rsidRPr="002C6D26">
        <w:rPr>
          <w:rFonts w:ascii="Times New Roman" w:hAnsi="Times New Roman"/>
          <w:sz w:val="24"/>
          <w:szCs w:val="24"/>
        </w:rPr>
        <w:t>I</w:t>
      </w:r>
      <w:r>
        <w:rPr>
          <w:rFonts w:ascii="Times New Roman" w:hAnsi="Times New Roman"/>
          <w:sz w:val="24"/>
          <w:szCs w:val="24"/>
        </w:rPr>
        <w:t xml:space="preserve">mpact </w:t>
      </w:r>
      <w:r w:rsidRPr="002C6D26">
        <w:rPr>
          <w:rFonts w:ascii="Times New Roman" w:hAnsi="Times New Roman"/>
          <w:sz w:val="24"/>
          <w:szCs w:val="24"/>
        </w:rPr>
        <w:t>S</w:t>
      </w:r>
      <w:r>
        <w:rPr>
          <w:rFonts w:ascii="Times New Roman" w:hAnsi="Times New Roman"/>
          <w:sz w:val="24"/>
          <w:szCs w:val="24"/>
        </w:rPr>
        <w:t>tatement</w:t>
      </w:r>
    </w:p>
    <w:bookmarkEnd w:id="9"/>
    <w:p w14:paraId="233A3A3C" w14:textId="5829A542" w:rsidR="002436BD" w:rsidRDefault="008E42AB" w:rsidP="00DF7DA0">
      <w:pPr>
        <w:pStyle w:val="Heading"/>
        <w:spacing w:after="240"/>
        <w:rPr>
          <w:rFonts w:ascii="Times New Roman" w:hAnsi="Times New Roman"/>
          <w:b w:val="0"/>
          <w:sz w:val="24"/>
          <w:szCs w:val="24"/>
        </w:rPr>
      </w:pPr>
      <w:r w:rsidRPr="008E42AB">
        <w:rPr>
          <w:rFonts w:ascii="Times New Roman" w:hAnsi="Times New Roman"/>
          <w:b w:val="0"/>
          <w:sz w:val="24"/>
          <w:szCs w:val="24"/>
        </w:rPr>
        <w:t xml:space="preserve">The </w:t>
      </w:r>
      <w:r>
        <w:rPr>
          <w:rFonts w:ascii="Times New Roman" w:hAnsi="Times New Roman"/>
          <w:b w:val="0"/>
          <w:sz w:val="24"/>
          <w:szCs w:val="24"/>
        </w:rPr>
        <w:t xml:space="preserve">Office of Impact </w:t>
      </w:r>
      <w:r w:rsidR="00AA14E5">
        <w:rPr>
          <w:rFonts w:ascii="Times New Roman" w:hAnsi="Times New Roman"/>
          <w:b w:val="0"/>
          <w:sz w:val="24"/>
          <w:szCs w:val="24"/>
        </w:rPr>
        <w:t xml:space="preserve">Analysis </w:t>
      </w:r>
      <w:r w:rsidR="007877B7" w:rsidRPr="007877B7">
        <w:rPr>
          <w:rFonts w:ascii="Times New Roman" w:hAnsi="Times New Roman"/>
          <w:b w:val="0"/>
          <w:sz w:val="24"/>
          <w:szCs w:val="24"/>
        </w:rPr>
        <w:t>advised that no Regulation Impact Statement was required as the changes to the standards are minor and machinery.</w:t>
      </w:r>
    </w:p>
    <w:p w14:paraId="401F3907" w14:textId="151F190A" w:rsidR="002436BD" w:rsidRPr="00B3165F" w:rsidRDefault="002436BD" w:rsidP="00393900">
      <w:pPr>
        <w:pStyle w:val="Heading"/>
        <w:numPr>
          <w:ilvl w:val="0"/>
          <w:numId w:val="2"/>
        </w:numPr>
        <w:spacing w:after="240"/>
        <w:rPr>
          <w:rFonts w:ascii="Times New Roman" w:hAnsi="Times New Roman"/>
          <w:sz w:val="24"/>
          <w:szCs w:val="24"/>
        </w:rPr>
      </w:pPr>
      <w:r w:rsidRPr="00B3165F">
        <w:rPr>
          <w:rFonts w:ascii="Times New Roman" w:hAnsi="Times New Roman"/>
          <w:sz w:val="24"/>
          <w:szCs w:val="24"/>
        </w:rPr>
        <w:lastRenderedPageBreak/>
        <w:t xml:space="preserve">Statement of compatibility prepared in accordance with Part 3 of the </w:t>
      </w:r>
      <w:r w:rsidRPr="008427A8">
        <w:rPr>
          <w:rFonts w:ascii="Times New Roman" w:hAnsi="Times New Roman"/>
          <w:i/>
          <w:sz w:val="24"/>
          <w:szCs w:val="24"/>
        </w:rPr>
        <w:t>Human Rights (Parliamentary Scrutiny) Act 2011</w:t>
      </w:r>
    </w:p>
    <w:p w14:paraId="08DB91DF" w14:textId="35E5297C"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w:t>
      </w:r>
      <w:r w:rsidR="003B3F59">
        <w:rPr>
          <w:rFonts w:ascii="Times New Roman" w:hAnsi="Times New Roman"/>
          <w:b w:val="0"/>
          <w:sz w:val="24"/>
          <w:szCs w:val="24"/>
        </w:rPr>
        <w:t>A</w:t>
      </w:r>
      <w:r w:rsidRPr="0030506B">
        <w:rPr>
          <w:rFonts w:ascii="Times New Roman" w:hAnsi="Times New Roman"/>
          <w:b w:val="0"/>
          <w:sz w:val="24"/>
          <w:szCs w:val="24"/>
        </w:rPr>
        <w:t xml:space="preserve"> to this Explanatory Statement.</w:t>
      </w:r>
    </w:p>
    <w:p w14:paraId="100791F3" w14:textId="5C7A67D4" w:rsidR="00E85A26" w:rsidRDefault="001D2931">
      <w:pPr>
        <w:rPr>
          <w:rFonts w:ascii="Times New Roman" w:hAnsi="Times New Roman"/>
          <w:b/>
          <w:sz w:val="24"/>
          <w:szCs w:val="24"/>
        </w:rPr>
      </w:pPr>
      <w:r>
        <w:rPr>
          <w:rFonts w:ascii="Times New Roman" w:hAnsi="Times New Roman"/>
          <w:b/>
          <w:sz w:val="24"/>
          <w:szCs w:val="24"/>
        </w:rPr>
        <w:br w:type="page"/>
      </w:r>
    </w:p>
    <w:p w14:paraId="0CB42133" w14:textId="3C1188F6" w:rsidR="00C96F89" w:rsidRDefault="00C96F89" w:rsidP="00E85A26">
      <w:pPr>
        <w:rPr>
          <w:rFonts w:ascii="Times New Roman" w:hAnsi="Times New Roman"/>
          <w:sz w:val="24"/>
          <w:szCs w:val="24"/>
          <w:u w:val="single"/>
        </w:rPr>
      </w:pPr>
      <w:r>
        <w:rPr>
          <w:rFonts w:ascii="Times New Roman" w:hAnsi="Times New Roman"/>
          <w:sz w:val="24"/>
          <w:szCs w:val="24"/>
          <w:u w:val="single"/>
        </w:rPr>
        <w:lastRenderedPageBreak/>
        <w:t xml:space="preserve">ATTACHMENT </w:t>
      </w:r>
      <w:r w:rsidR="00826D94">
        <w:rPr>
          <w:rFonts w:ascii="Times New Roman" w:hAnsi="Times New Roman"/>
          <w:sz w:val="24"/>
          <w:szCs w:val="24"/>
          <w:u w:val="single"/>
        </w:rPr>
        <w:t>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1DA8AF7C"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r w:rsidR="00DF2781">
        <w:rPr>
          <w:rFonts w:ascii="Times New Roman" w:hAnsi="Times New Roman"/>
          <w:i/>
          <w:iCs/>
          <w:sz w:val="24"/>
          <w:szCs w:val="24"/>
        </w:rPr>
        <w:t>.</w:t>
      </w:r>
    </w:p>
    <w:p w14:paraId="34B4D0E1" w14:textId="17044735" w:rsidR="006F1530" w:rsidRPr="00393900" w:rsidRDefault="006F1530" w:rsidP="006F1530">
      <w:pPr>
        <w:pStyle w:val="Heading"/>
        <w:spacing w:after="240"/>
        <w:jc w:val="center"/>
        <w:rPr>
          <w:rFonts w:ascii="Times New Roman" w:hAnsi="Times New Roman"/>
          <w:i/>
          <w:sz w:val="24"/>
          <w:szCs w:val="24"/>
        </w:rPr>
      </w:pPr>
      <w:r w:rsidRPr="00393900">
        <w:rPr>
          <w:rFonts w:ascii="Times New Roman" w:hAnsi="Times New Roman"/>
          <w:i/>
          <w:sz w:val="24"/>
          <w:szCs w:val="24"/>
        </w:rPr>
        <w:t xml:space="preserve">Banking (prudential standard) determination No. </w:t>
      </w:r>
      <w:r w:rsidR="1E792A77" w:rsidRPr="004BBD03">
        <w:rPr>
          <w:rFonts w:ascii="Times New Roman" w:hAnsi="Times New Roman"/>
          <w:i/>
          <w:iCs/>
          <w:sz w:val="24"/>
          <w:szCs w:val="24"/>
        </w:rPr>
        <w:t>6</w:t>
      </w:r>
      <w:r w:rsidRPr="00393900">
        <w:rPr>
          <w:rFonts w:ascii="Times New Roman" w:hAnsi="Times New Roman"/>
          <w:i/>
          <w:sz w:val="24"/>
          <w:szCs w:val="24"/>
        </w:rPr>
        <w:t xml:space="preserve"> of 202</w:t>
      </w:r>
      <w:r w:rsidR="00B775E9" w:rsidRPr="00393900">
        <w:rPr>
          <w:rFonts w:ascii="Times New Roman" w:hAnsi="Times New Roman"/>
          <w:i/>
          <w:sz w:val="24"/>
          <w:szCs w:val="24"/>
        </w:rPr>
        <w:t>3</w:t>
      </w:r>
    </w:p>
    <w:p w14:paraId="35BD42C7" w14:textId="5D0989E9"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Th</w:t>
      </w:r>
      <w:r w:rsidR="0087709C">
        <w:rPr>
          <w:rFonts w:ascii="Times New Roman" w:hAnsi="Times New Roman"/>
          <w:sz w:val="24"/>
          <w:szCs w:val="24"/>
        </w:rPr>
        <w:t>is</w:t>
      </w:r>
      <w:r>
        <w:rPr>
          <w:rFonts w:ascii="Times New Roman" w:hAnsi="Times New Roman"/>
          <w:sz w:val="24"/>
          <w:szCs w:val="24"/>
        </w:rPr>
        <w:t xml:space="preserve"> </w:t>
      </w:r>
      <w:r w:rsidR="002B4618">
        <w:rPr>
          <w:rFonts w:ascii="Times New Roman" w:hAnsi="Times New Roman"/>
          <w:sz w:val="24"/>
          <w:szCs w:val="24"/>
        </w:rPr>
        <w:t>l</w:t>
      </w:r>
      <w:r>
        <w:rPr>
          <w:rFonts w:ascii="Times New Roman" w:hAnsi="Times New Roman"/>
          <w:sz w:val="24"/>
          <w:szCs w:val="24"/>
        </w:rPr>
        <w:t xml:space="preserve">egislative </w:t>
      </w:r>
      <w:r w:rsidR="002B4618">
        <w:rPr>
          <w:rFonts w:ascii="Times New Roman" w:hAnsi="Times New Roman"/>
          <w:sz w:val="24"/>
          <w:szCs w:val="24"/>
        </w:rPr>
        <w:t>i</w:t>
      </w:r>
      <w:r>
        <w:rPr>
          <w:rFonts w:ascii="Times New Roman" w:hAnsi="Times New Roman"/>
          <w:sz w:val="24"/>
          <w:szCs w:val="24"/>
        </w:rPr>
        <w:t xml:space="preserve">nstrument </w:t>
      </w:r>
      <w:r w:rsidR="0087709C">
        <w:rPr>
          <w:rFonts w:ascii="Times New Roman" w:hAnsi="Times New Roman"/>
          <w:sz w:val="24"/>
          <w:szCs w:val="24"/>
        </w:rPr>
        <w:t xml:space="preserve">is </w:t>
      </w:r>
      <w:r>
        <w:rPr>
          <w:rFonts w:ascii="Times New Roman" w:hAnsi="Times New Roman"/>
          <w:sz w:val="24"/>
          <w:szCs w:val="24"/>
        </w:rPr>
        <w:t xml:space="preserve">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1B7DAE55"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2D2700C5" w14:textId="230EA2E7" w:rsidR="00CE0F37" w:rsidRDefault="003F5A8B" w:rsidP="00294300">
      <w:pPr>
        <w:spacing w:after="240"/>
        <w:jc w:val="both"/>
        <w:rPr>
          <w:rFonts w:ascii="Times New Roman" w:hAnsi="Times New Roman"/>
          <w:sz w:val="24"/>
          <w:szCs w:val="24"/>
        </w:rPr>
      </w:pPr>
      <w:r>
        <w:rPr>
          <w:rFonts w:ascii="Times New Roman" w:hAnsi="Times New Roman"/>
          <w:sz w:val="24"/>
          <w:szCs w:val="24"/>
        </w:rPr>
        <w:t xml:space="preserve">The purpose of </w:t>
      </w:r>
      <w:r w:rsidR="0062665C">
        <w:rPr>
          <w:rFonts w:ascii="Times New Roman" w:hAnsi="Times New Roman"/>
          <w:sz w:val="24"/>
          <w:szCs w:val="24"/>
        </w:rPr>
        <w:t xml:space="preserve">the </w:t>
      </w:r>
      <w:r w:rsidR="00F839D7">
        <w:rPr>
          <w:rFonts w:ascii="Times New Roman" w:hAnsi="Times New Roman"/>
          <w:sz w:val="24"/>
          <w:szCs w:val="24"/>
        </w:rPr>
        <w:t xml:space="preserve">legislative </w:t>
      </w:r>
      <w:r w:rsidR="0062665C">
        <w:rPr>
          <w:rFonts w:ascii="Times New Roman" w:hAnsi="Times New Roman"/>
          <w:sz w:val="24"/>
          <w:szCs w:val="24"/>
        </w:rPr>
        <w:t xml:space="preserve">instrument is </w:t>
      </w:r>
      <w:r w:rsidR="001F43C9">
        <w:rPr>
          <w:rFonts w:ascii="Times New Roman" w:hAnsi="Times New Roman"/>
          <w:sz w:val="24"/>
          <w:szCs w:val="24"/>
        </w:rPr>
        <w:t xml:space="preserve">to revoke </w:t>
      </w:r>
      <w:r w:rsidR="001F43C9" w:rsidRPr="001A0522">
        <w:rPr>
          <w:rFonts w:ascii="Times New Roman" w:hAnsi="Times New Roman"/>
          <w:i/>
          <w:sz w:val="24"/>
          <w:szCs w:val="24"/>
        </w:rPr>
        <w:t xml:space="preserve">Prudential Standard </w:t>
      </w:r>
      <w:r w:rsidR="001F43C9" w:rsidRPr="00A762CF">
        <w:rPr>
          <w:rFonts w:ascii="Times New Roman" w:hAnsi="Times New Roman"/>
          <w:i/>
          <w:sz w:val="24"/>
          <w:szCs w:val="24"/>
        </w:rPr>
        <w:t>APS 120 Securitisation</w:t>
      </w:r>
      <w:r w:rsidR="001F43C9">
        <w:rPr>
          <w:rFonts w:ascii="Times New Roman" w:hAnsi="Times New Roman"/>
          <w:i/>
          <w:sz w:val="24"/>
          <w:szCs w:val="24"/>
        </w:rPr>
        <w:t xml:space="preserve"> </w:t>
      </w:r>
      <w:r w:rsidR="005173CE">
        <w:rPr>
          <w:rFonts w:ascii="Times New Roman" w:hAnsi="Times New Roman"/>
          <w:sz w:val="24"/>
          <w:szCs w:val="24"/>
        </w:rPr>
        <w:t xml:space="preserve">(APS 120) </w:t>
      </w:r>
      <w:r w:rsidR="00F96F4A">
        <w:rPr>
          <w:rFonts w:ascii="Times New Roman" w:hAnsi="Times New Roman"/>
          <w:sz w:val="24"/>
          <w:szCs w:val="24"/>
        </w:rPr>
        <w:t xml:space="preserve">and replace </w:t>
      </w:r>
      <w:r w:rsidR="001C6614">
        <w:rPr>
          <w:rFonts w:ascii="Times New Roman" w:hAnsi="Times New Roman"/>
          <w:sz w:val="24"/>
          <w:szCs w:val="24"/>
        </w:rPr>
        <w:t>it</w:t>
      </w:r>
      <w:r w:rsidR="00F96F4A">
        <w:rPr>
          <w:rFonts w:ascii="Times New Roman" w:hAnsi="Times New Roman"/>
          <w:sz w:val="24"/>
          <w:szCs w:val="24"/>
        </w:rPr>
        <w:t xml:space="preserve"> with </w:t>
      </w:r>
      <w:r w:rsidR="001C6614">
        <w:rPr>
          <w:rFonts w:ascii="Times New Roman" w:hAnsi="Times New Roman"/>
          <w:sz w:val="24"/>
          <w:szCs w:val="24"/>
        </w:rPr>
        <w:t xml:space="preserve">a </w:t>
      </w:r>
      <w:r w:rsidR="00736948">
        <w:rPr>
          <w:rFonts w:ascii="Times New Roman" w:hAnsi="Times New Roman"/>
          <w:sz w:val="24"/>
          <w:szCs w:val="24"/>
        </w:rPr>
        <w:t>new version of the prudential standard</w:t>
      </w:r>
      <w:r w:rsidR="00D34EB6">
        <w:rPr>
          <w:rFonts w:ascii="Times New Roman" w:hAnsi="Times New Roman"/>
          <w:sz w:val="24"/>
          <w:szCs w:val="24"/>
        </w:rPr>
        <w:t>.</w:t>
      </w:r>
      <w:r w:rsidR="00294300">
        <w:rPr>
          <w:rFonts w:ascii="Times New Roman" w:hAnsi="Times New Roman"/>
          <w:sz w:val="24"/>
          <w:szCs w:val="24"/>
        </w:rPr>
        <w:t xml:space="preserve"> </w:t>
      </w:r>
    </w:p>
    <w:p w14:paraId="72032EAB" w14:textId="737A1290" w:rsidR="00736948" w:rsidRDefault="00407913" w:rsidP="00294300">
      <w:pPr>
        <w:spacing w:after="240"/>
        <w:jc w:val="both"/>
        <w:rPr>
          <w:rFonts w:ascii="Times New Roman" w:hAnsi="Times New Roman"/>
          <w:sz w:val="24"/>
          <w:szCs w:val="24"/>
        </w:rPr>
      </w:pPr>
      <w:r>
        <w:rPr>
          <w:rFonts w:ascii="Times New Roman" w:hAnsi="Times New Roman"/>
          <w:sz w:val="24"/>
          <w:szCs w:val="24"/>
        </w:rPr>
        <w:t xml:space="preserve">APS 120 sets out prudential requirements that apply to authorised deposit-taking institutions (ADIs). ADIs are bodies corporate that have been granted the authority, under the </w:t>
      </w:r>
      <w:r w:rsidRPr="00550B0A">
        <w:rPr>
          <w:rFonts w:ascii="Times New Roman" w:hAnsi="Times New Roman"/>
          <w:i/>
          <w:sz w:val="24"/>
          <w:szCs w:val="24"/>
        </w:rPr>
        <w:t>Banking Act 1959</w:t>
      </w:r>
      <w:r>
        <w:rPr>
          <w:rFonts w:ascii="Times New Roman" w:hAnsi="Times New Roman"/>
          <w:sz w:val="24"/>
          <w:szCs w:val="24"/>
        </w:rPr>
        <w:t>, to carry on banking business in Australia.</w:t>
      </w:r>
    </w:p>
    <w:p w14:paraId="185385E4" w14:textId="5329C08F" w:rsidR="00C96F89" w:rsidRPr="00550B0A" w:rsidRDefault="00C96F89" w:rsidP="004262B9">
      <w:pPr>
        <w:keepNext/>
        <w:shd w:val="clear" w:color="auto" w:fill="FFFFFF"/>
        <w:spacing w:before="100" w:beforeAutospacing="1" w:after="240"/>
        <w:jc w:val="both"/>
        <w:rPr>
          <w:rFonts w:ascii="Times New Roman" w:hAnsi="Times New Roman"/>
          <w:b/>
          <w:sz w:val="24"/>
          <w:szCs w:val="24"/>
          <w:lang w:val="en-US"/>
        </w:rPr>
      </w:pPr>
      <w:r>
        <w:rPr>
          <w:rFonts w:ascii="Times New Roman" w:hAnsi="Times New Roman"/>
          <w:b/>
          <w:bCs/>
          <w:sz w:val="24"/>
          <w:szCs w:val="24"/>
        </w:rPr>
        <w:t>Human rights implications</w:t>
      </w:r>
    </w:p>
    <w:p w14:paraId="15EF2C39" w14:textId="232BF7E2"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APRA has assessed the</w:t>
      </w:r>
      <w:r w:rsidR="00F839D7">
        <w:rPr>
          <w:rFonts w:ascii="Times New Roman" w:hAnsi="Times New Roman"/>
          <w:sz w:val="24"/>
          <w:szCs w:val="24"/>
        </w:rPr>
        <w:t xml:space="preserve"> legislative</w:t>
      </w:r>
      <w:r>
        <w:rPr>
          <w:rFonts w:ascii="Times New Roman" w:hAnsi="Times New Roman"/>
          <w:sz w:val="24"/>
          <w:szCs w:val="24"/>
        </w:rPr>
        <w:t xml:space="preserve"> instrument and is of the view that </w:t>
      </w:r>
      <w:r w:rsidR="00407913">
        <w:rPr>
          <w:rFonts w:ascii="Times New Roman" w:hAnsi="Times New Roman"/>
          <w:sz w:val="24"/>
          <w:szCs w:val="24"/>
        </w:rPr>
        <w:t xml:space="preserve">it </w:t>
      </w:r>
      <w:r w:rsidR="005C087B">
        <w:rPr>
          <w:rFonts w:ascii="Times New Roman" w:hAnsi="Times New Roman"/>
          <w:sz w:val="24"/>
          <w:szCs w:val="24"/>
        </w:rPr>
        <w:t>do</w:t>
      </w:r>
      <w:r w:rsidR="00407913">
        <w:rPr>
          <w:rFonts w:ascii="Times New Roman" w:hAnsi="Times New Roman"/>
          <w:sz w:val="24"/>
          <w:szCs w:val="24"/>
        </w:rPr>
        <w:t>es</w:t>
      </w:r>
      <w:r w:rsidR="005C087B">
        <w:rPr>
          <w:rFonts w:ascii="Times New Roman" w:hAnsi="Times New Roman"/>
          <w:sz w:val="24"/>
          <w:szCs w:val="24"/>
        </w:rPr>
        <w:t xml:space="preserve"> </w:t>
      </w:r>
      <w:r>
        <w:rPr>
          <w:rFonts w:ascii="Times New Roman" w:hAnsi="Times New Roman"/>
          <w:sz w:val="24"/>
          <w:szCs w:val="24"/>
        </w:rPr>
        <w:t>not engage any of the applicable rights or freedoms recognised or declared in the international instruments listed in section 3 of the HRPS Act. Accordingly, in APRA’s assessment, the</w:t>
      </w:r>
      <w:r w:rsidR="007F2CBC">
        <w:rPr>
          <w:rFonts w:ascii="Times New Roman" w:hAnsi="Times New Roman"/>
          <w:sz w:val="24"/>
          <w:szCs w:val="24"/>
        </w:rPr>
        <w:t xml:space="preserve"> legislative</w:t>
      </w:r>
      <w:r>
        <w:rPr>
          <w:rFonts w:ascii="Times New Roman" w:hAnsi="Times New Roman"/>
          <w:sz w:val="24"/>
          <w:szCs w:val="24"/>
        </w:rPr>
        <w:t xml:space="preserve"> instrument </w:t>
      </w:r>
      <w:r w:rsidR="00407913">
        <w:rPr>
          <w:rFonts w:ascii="Times New Roman" w:hAnsi="Times New Roman"/>
          <w:sz w:val="24"/>
          <w:szCs w:val="24"/>
        </w:rPr>
        <w:t xml:space="preserve">is </w:t>
      </w:r>
      <w:r>
        <w:rPr>
          <w:rFonts w:ascii="Times New Roman" w:hAnsi="Times New Roman"/>
          <w:sz w:val="24"/>
          <w:szCs w:val="24"/>
        </w:rPr>
        <w:t>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47BE2B56" w:rsidR="00C96F89" w:rsidRDefault="005C087B" w:rsidP="00C96F89">
      <w:pPr>
        <w:spacing w:after="240"/>
        <w:jc w:val="both"/>
        <w:rPr>
          <w:rFonts w:ascii="Times New Roman" w:hAnsi="Times New Roman"/>
          <w:sz w:val="24"/>
          <w:szCs w:val="24"/>
        </w:rPr>
      </w:pPr>
      <w:r>
        <w:rPr>
          <w:rFonts w:ascii="Times New Roman" w:hAnsi="Times New Roman"/>
          <w:sz w:val="24"/>
          <w:szCs w:val="24"/>
        </w:rPr>
        <w:t>Th</w:t>
      </w:r>
      <w:r w:rsidR="00407913">
        <w:rPr>
          <w:rFonts w:ascii="Times New Roman" w:hAnsi="Times New Roman"/>
          <w:sz w:val="24"/>
          <w:szCs w:val="24"/>
        </w:rPr>
        <w:t>is legislative</w:t>
      </w:r>
      <w:r w:rsidR="00C96F89">
        <w:rPr>
          <w:rFonts w:ascii="Times New Roman" w:hAnsi="Times New Roman"/>
          <w:sz w:val="24"/>
          <w:szCs w:val="24"/>
        </w:rPr>
        <w:t xml:space="preserve"> instrument </w:t>
      </w:r>
      <w:r w:rsidR="00407913">
        <w:rPr>
          <w:rFonts w:ascii="Times New Roman" w:hAnsi="Times New Roman"/>
          <w:sz w:val="24"/>
          <w:szCs w:val="24"/>
        </w:rPr>
        <w:t xml:space="preserve">is </w:t>
      </w:r>
      <w:r w:rsidR="00C96F89">
        <w:rPr>
          <w:rFonts w:ascii="Times New Roman" w:hAnsi="Times New Roman"/>
          <w:sz w:val="24"/>
          <w:szCs w:val="24"/>
        </w:rPr>
        <w:t xml:space="preserve">compatible with human rights as </w:t>
      </w:r>
      <w:r w:rsidR="00407913">
        <w:rPr>
          <w:rFonts w:ascii="Times New Roman" w:hAnsi="Times New Roman"/>
          <w:sz w:val="24"/>
          <w:szCs w:val="24"/>
        </w:rPr>
        <w:t xml:space="preserve">it </w:t>
      </w:r>
      <w:r w:rsidR="00B3708F">
        <w:rPr>
          <w:rFonts w:ascii="Times New Roman" w:hAnsi="Times New Roman"/>
          <w:sz w:val="24"/>
          <w:szCs w:val="24"/>
        </w:rPr>
        <w:t>do</w:t>
      </w:r>
      <w:r w:rsidR="00407913">
        <w:rPr>
          <w:rFonts w:ascii="Times New Roman" w:hAnsi="Times New Roman"/>
          <w:sz w:val="24"/>
          <w:szCs w:val="24"/>
        </w:rPr>
        <w:t>es</w:t>
      </w:r>
      <w:r w:rsidR="00B3708F">
        <w:rPr>
          <w:rFonts w:ascii="Times New Roman" w:hAnsi="Times New Roman"/>
          <w:sz w:val="24"/>
          <w:szCs w:val="24"/>
        </w:rPr>
        <w:t xml:space="preserve"> </w:t>
      </w:r>
      <w:r w:rsidR="00C96F89">
        <w:rPr>
          <w:rFonts w:ascii="Times New Roman" w:hAnsi="Times New Roman"/>
          <w:sz w:val="24"/>
          <w:szCs w:val="24"/>
        </w:rPr>
        <w:t>not raise any human rights issues.</w:t>
      </w:r>
    </w:p>
    <w:sectPr w:rsidR="00C96F89" w:rsidSect="003D5032">
      <w:footerReference w:type="default" r:id="rId1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09FF" w14:textId="77777777" w:rsidR="009A47AA" w:rsidRDefault="009A47AA" w:rsidP="00DF7DA0">
      <w:r>
        <w:separator/>
      </w:r>
    </w:p>
  </w:endnote>
  <w:endnote w:type="continuationSeparator" w:id="0">
    <w:p w14:paraId="26EAD5B1" w14:textId="77777777" w:rsidR="009A47AA" w:rsidRDefault="009A47AA" w:rsidP="00DF7DA0">
      <w:r>
        <w:continuationSeparator/>
      </w:r>
    </w:p>
  </w:endnote>
  <w:endnote w:type="continuationNotice" w:id="1">
    <w:p w14:paraId="26DE0F4C" w14:textId="77777777" w:rsidR="009A47AA" w:rsidRDefault="009A4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57D3" w14:textId="77777777" w:rsidR="009A47AA" w:rsidRDefault="009A47AA" w:rsidP="00DF7DA0">
      <w:r>
        <w:separator/>
      </w:r>
    </w:p>
  </w:footnote>
  <w:footnote w:type="continuationSeparator" w:id="0">
    <w:p w14:paraId="56BD5C62" w14:textId="77777777" w:rsidR="009A47AA" w:rsidRDefault="009A47AA" w:rsidP="00DF7DA0">
      <w:r>
        <w:continuationSeparator/>
      </w:r>
    </w:p>
  </w:footnote>
  <w:footnote w:type="continuationNotice" w:id="1">
    <w:p w14:paraId="1872062E" w14:textId="77777777" w:rsidR="009A47AA" w:rsidRDefault="009A47AA"/>
  </w:footnote>
  <w:footnote w:id="2">
    <w:p w14:paraId="0FBABE12" w14:textId="7C655FA0" w:rsidR="00263B84" w:rsidRPr="00161D5A" w:rsidRDefault="00263B84" w:rsidP="00263B84">
      <w:pPr>
        <w:pStyle w:val="FootnoteText"/>
        <w:rPr>
          <w:rFonts w:ascii="Times New Roman" w:hAnsi="Times New Roman"/>
        </w:rPr>
      </w:pPr>
      <w:r w:rsidRPr="00161D5A">
        <w:rPr>
          <w:rStyle w:val="FootnoteReference"/>
          <w:rFonts w:ascii="Times New Roman" w:hAnsi="Times New Roman"/>
        </w:rPr>
        <w:footnoteRef/>
      </w:r>
      <w:r w:rsidRPr="00161D5A">
        <w:rPr>
          <w:rFonts w:ascii="Times New Roman" w:hAnsi="Times New Roman"/>
        </w:rPr>
        <w:t xml:space="preserve"> </w:t>
      </w:r>
      <w:hyperlink r:id="rId1" w:history="1">
        <w:r w:rsidRPr="00161D5A">
          <w:rPr>
            <w:rFonts w:ascii="Times New Roman" w:hAnsi="Times New Roman"/>
            <w:i/>
            <w:color w:val="0000FF"/>
            <w:u w:val="single"/>
          </w:rPr>
          <w:t>Prudential Framework minor updates</w:t>
        </w:r>
      </w:hyperlink>
      <w:r w:rsidRPr="00161D5A">
        <w:rPr>
          <w:rFonts w:ascii="Times New Roman" w:hAnsi="Times New Roman"/>
        </w:rPr>
        <w:t>, APRA (Letter, June 2023)</w:t>
      </w:r>
      <w:r w:rsidR="00834A28">
        <w:rPr>
          <w:rFonts w:ascii="Times New Roman" w:hAnsi="Times New Roman"/>
        </w:rPr>
        <w:t xml:space="preserve"> and </w:t>
      </w:r>
      <w:hyperlink r:id="rId2" w:history="1">
        <w:r w:rsidR="00834A28" w:rsidRPr="00161D5A">
          <w:rPr>
            <w:rFonts w:ascii="Times New Roman" w:hAnsi="Times New Roman"/>
            <w:i/>
            <w:color w:val="0000FF"/>
            <w:u w:val="single"/>
          </w:rPr>
          <w:t>Modernising the prudential architecture</w:t>
        </w:r>
      </w:hyperlink>
      <w:r w:rsidR="00834A28" w:rsidRPr="00161D5A">
        <w:rPr>
          <w:rFonts w:ascii="Times New Roman" w:hAnsi="Times New Roman"/>
        </w:rPr>
        <w:t>, APRA (Information Paper, September 2022)</w:t>
      </w:r>
      <w:r w:rsidR="00017014">
        <w:rPr>
          <w:rFonts w:ascii="Times New Roman" w:hAnsi="Times New Roman"/>
        </w:rPr>
        <w:t>.</w:t>
      </w:r>
    </w:p>
  </w:footnote>
  <w:footnote w:id="3">
    <w:p w14:paraId="3CDF24D9" w14:textId="77777777" w:rsidR="00A67708" w:rsidRPr="00161D5A" w:rsidRDefault="00A67708" w:rsidP="00A67708">
      <w:pPr>
        <w:pStyle w:val="FootnoteText"/>
        <w:rPr>
          <w:rFonts w:ascii="Times New Roman" w:hAnsi="Times New Roman"/>
        </w:rPr>
      </w:pPr>
      <w:r w:rsidRPr="00161D5A">
        <w:rPr>
          <w:rStyle w:val="FootnoteReference"/>
          <w:rFonts w:ascii="Times New Roman" w:hAnsi="Times New Roman"/>
        </w:rPr>
        <w:footnoteRef/>
      </w:r>
      <w:r w:rsidRPr="00161D5A">
        <w:rPr>
          <w:rFonts w:ascii="Times New Roman" w:hAnsi="Times New Roman"/>
        </w:rPr>
        <w:t xml:space="preserve"> Subsection 9A(4) of the Act specifically provides that APRA does not need to consult where APRA is satisfied that doing so could result in a delay in revocation that would be:</w:t>
      </w:r>
    </w:p>
    <w:p w14:paraId="57957BD0" w14:textId="77777777" w:rsidR="00A67708" w:rsidRPr="00161D5A" w:rsidRDefault="00A67708" w:rsidP="00A67708">
      <w:pPr>
        <w:pStyle w:val="FootnoteText"/>
        <w:numPr>
          <w:ilvl w:val="0"/>
          <w:numId w:val="11"/>
        </w:numPr>
        <w:ind w:left="360"/>
        <w:rPr>
          <w:rFonts w:ascii="Times New Roman" w:hAnsi="Times New Roman"/>
        </w:rPr>
      </w:pPr>
      <w:r w:rsidRPr="00161D5A">
        <w:rPr>
          <w:rFonts w:ascii="Times New Roman" w:hAnsi="Times New Roman"/>
        </w:rPr>
        <w:t>contrary to the national interest; or</w:t>
      </w:r>
    </w:p>
    <w:p w14:paraId="1CBBB262" w14:textId="77777777" w:rsidR="00A67708" w:rsidRPr="00424934" w:rsidRDefault="00A67708" w:rsidP="00A67708">
      <w:pPr>
        <w:pStyle w:val="FootnoteText"/>
        <w:numPr>
          <w:ilvl w:val="0"/>
          <w:numId w:val="11"/>
        </w:numPr>
        <w:ind w:left="360"/>
        <w:rPr>
          <w:rFonts w:ascii="Times New Roman" w:hAnsi="Times New Roman"/>
        </w:rPr>
      </w:pPr>
      <w:r w:rsidRPr="00161D5A">
        <w:rPr>
          <w:rFonts w:ascii="Times New Roman" w:hAnsi="Times New Roman"/>
        </w:rPr>
        <w:t>contrary to the interests of depositors with the ADI.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2A47E1"/>
    <w:multiLevelType w:val="multilevel"/>
    <w:tmpl w:val="8E2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C3100"/>
    <w:multiLevelType w:val="hybridMultilevel"/>
    <w:tmpl w:val="9CF020F0"/>
    <w:lvl w:ilvl="0" w:tplc="A7760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D380D"/>
    <w:multiLevelType w:val="hybridMultilevel"/>
    <w:tmpl w:val="27DC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5E658A"/>
    <w:multiLevelType w:val="hybridMultilevel"/>
    <w:tmpl w:val="6D04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0A5C6E"/>
    <w:multiLevelType w:val="hybridMultilevel"/>
    <w:tmpl w:val="5E382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AF0C40"/>
    <w:multiLevelType w:val="hybridMultilevel"/>
    <w:tmpl w:val="5AE68228"/>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22"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6"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9B17A3F"/>
    <w:multiLevelType w:val="multilevel"/>
    <w:tmpl w:val="8EA00C60"/>
    <w:styleLink w:val="1ai"/>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2B151A"/>
    <w:multiLevelType w:val="hybridMultilevel"/>
    <w:tmpl w:val="B4188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926C1B"/>
    <w:multiLevelType w:val="hybridMultilevel"/>
    <w:tmpl w:val="1486B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4816799">
    <w:abstractNumId w:val="17"/>
  </w:num>
  <w:num w:numId="2" w16cid:durableId="883561583">
    <w:abstractNumId w:val="6"/>
  </w:num>
  <w:num w:numId="3" w16cid:durableId="1097748083">
    <w:abstractNumId w:val="24"/>
  </w:num>
  <w:num w:numId="4" w16cid:durableId="234972105">
    <w:abstractNumId w:val="13"/>
  </w:num>
  <w:num w:numId="5" w16cid:durableId="239602491">
    <w:abstractNumId w:val="16"/>
  </w:num>
  <w:num w:numId="6" w16cid:durableId="1783258093">
    <w:abstractNumId w:val="11"/>
  </w:num>
  <w:num w:numId="7" w16cid:durableId="1879587414">
    <w:abstractNumId w:val="4"/>
  </w:num>
  <w:num w:numId="8" w16cid:durableId="820195475">
    <w:abstractNumId w:val="14"/>
  </w:num>
  <w:num w:numId="9" w16cid:durableId="1558591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496338">
    <w:abstractNumId w:val="14"/>
  </w:num>
  <w:num w:numId="11" w16cid:durableId="124125669">
    <w:abstractNumId w:val="1"/>
  </w:num>
  <w:num w:numId="12" w16cid:durableId="1488860003">
    <w:abstractNumId w:val="18"/>
  </w:num>
  <w:num w:numId="13" w16cid:durableId="110243171">
    <w:abstractNumId w:val="2"/>
  </w:num>
  <w:num w:numId="14" w16cid:durableId="1470706535">
    <w:abstractNumId w:val="19"/>
  </w:num>
  <w:num w:numId="15" w16cid:durableId="1468859023">
    <w:abstractNumId w:val="12"/>
  </w:num>
  <w:num w:numId="16" w16cid:durableId="1117527455">
    <w:abstractNumId w:val="0"/>
  </w:num>
  <w:num w:numId="17" w16cid:durableId="127549867">
    <w:abstractNumId w:val="15"/>
  </w:num>
  <w:num w:numId="18" w16cid:durableId="339088168">
    <w:abstractNumId w:val="7"/>
  </w:num>
  <w:num w:numId="19" w16cid:durableId="1049571550">
    <w:abstractNumId w:val="28"/>
  </w:num>
  <w:num w:numId="20" w16cid:durableId="1865433525">
    <w:abstractNumId w:val="25"/>
  </w:num>
  <w:num w:numId="21" w16cid:durableId="355423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879074">
    <w:abstractNumId w:val="5"/>
  </w:num>
  <w:num w:numId="23" w16cid:durableId="883104758">
    <w:abstractNumId w:val="20"/>
  </w:num>
  <w:num w:numId="24" w16cid:durableId="1338116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912468">
    <w:abstractNumId w:val="3"/>
  </w:num>
  <w:num w:numId="26" w16cid:durableId="1374883818">
    <w:abstractNumId w:val="30"/>
  </w:num>
  <w:num w:numId="27" w16cid:durableId="442845225">
    <w:abstractNumId w:val="8"/>
  </w:num>
  <w:num w:numId="28" w16cid:durableId="1165979487">
    <w:abstractNumId w:val="9"/>
  </w:num>
  <w:num w:numId="29" w16cid:durableId="361519030">
    <w:abstractNumId w:val="29"/>
  </w:num>
  <w:num w:numId="30" w16cid:durableId="484132608">
    <w:abstractNumId w:val="21"/>
  </w:num>
  <w:num w:numId="31" w16cid:durableId="1165707606">
    <w:abstractNumId w:val="10"/>
  </w:num>
  <w:num w:numId="32" w16cid:durableId="683676140">
    <w:abstractNumId w:val="27"/>
  </w:num>
  <w:num w:numId="33" w16cid:durableId="1325161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747019">
    <w:abstractNumId w:val="26"/>
  </w:num>
  <w:num w:numId="35" w16cid:durableId="23293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50A"/>
    <w:rsid w:val="00000D68"/>
    <w:rsid w:val="00003D3A"/>
    <w:rsid w:val="0000431F"/>
    <w:rsid w:val="0000781C"/>
    <w:rsid w:val="000078E2"/>
    <w:rsid w:val="000106F9"/>
    <w:rsid w:val="0001086E"/>
    <w:rsid w:val="00011FB0"/>
    <w:rsid w:val="00013071"/>
    <w:rsid w:val="000158EF"/>
    <w:rsid w:val="000163DA"/>
    <w:rsid w:val="00017014"/>
    <w:rsid w:val="00021289"/>
    <w:rsid w:val="000215DC"/>
    <w:rsid w:val="000233EB"/>
    <w:rsid w:val="00024376"/>
    <w:rsid w:val="000253FE"/>
    <w:rsid w:val="00026FE6"/>
    <w:rsid w:val="00027D60"/>
    <w:rsid w:val="00030D8E"/>
    <w:rsid w:val="00031212"/>
    <w:rsid w:val="00031A33"/>
    <w:rsid w:val="00032054"/>
    <w:rsid w:val="00032954"/>
    <w:rsid w:val="00032D2F"/>
    <w:rsid w:val="00033472"/>
    <w:rsid w:val="00033719"/>
    <w:rsid w:val="00036E1C"/>
    <w:rsid w:val="000401FC"/>
    <w:rsid w:val="000405E8"/>
    <w:rsid w:val="00041D79"/>
    <w:rsid w:val="00046A6F"/>
    <w:rsid w:val="00052CB8"/>
    <w:rsid w:val="000553BA"/>
    <w:rsid w:val="00055F46"/>
    <w:rsid w:val="0005742B"/>
    <w:rsid w:val="000603CD"/>
    <w:rsid w:val="00060D2D"/>
    <w:rsid w:val="00066687"/>
    <w:rsid w:val="000679F7"/>
    <w:rsid w:val="00072E3D"/>
    <w:rsid w:val="000738C9"/>
    <w:rsid w:val="00074405"/>
    <w:rsid w:val="000746A1"/>
    <w:rsid w:val="00076746"/>
    <w:rsid w:val="00081F20"/>
    <w:rsid w:val="00082F34"/>
    <w:rsid w:val="000833C6"/>
    <w:rsid w:val="0008349B"/>
    <w:rsid w:val="0008515E"/>
    <w:rsid w:val="00087300"/>
    <w:rsid w:val="00087331"/>
    <w:rsid w:val="00093092"/>
    <w:rsid w:val="000946AD"/>
    <w:rsid w:val="000948D5"/>
    <w:rsid w:val="000A041A"/>
    <w:rsid w:val="000A1056"/>
    <w:rsid w:val="000A46CE"/>
    <w:rsid w:val="000B1530"/>
    <w:rsid w:val="000B2931"/>
    <w:rsid w:val="000B3ACF"/>
    <w:rsid w:val="000B3D77"/>
    <w:rsid w:val="000B4113"/>
    <w:rsid w:val="000B4487"/>
    <w:rsid w:val="000B54A7"/>
    <w:rsid w:val="000B6A84"/>
    <w:rsid w:val="000B7C60"/>
    <w:rsid w:val="000C463A"/>
    <w:rsid w:val="000C5577"/>
    <w:rsid w:val="000C6F1E"/>
    <w:rsid w:val="000D03BA"/>
    <w:rsid w:val="000D2BE7"/>
    <w:rsid w:val="000D5651"/>
    <w:rsid w:val="000D5862"/>
    <w:rsid w:val="000D67F2"/>
    <w:rsid w:val="000D6E3B"/>
    <w:rsid w:val="000E0D8E"/>
    <w:rsid w:val="000E20E2"/>
    <w:rsid w:val="000E369C"/>
    <w:rsid w:val="000E3FB9"/>
    <w:rsid w:val="000E42B6"/>
    <w:rsid w:val="000E5A37"/>
    <w:rsid w:val="000E5CAD"/>
    <w:rsid w:val="000E6CBC"/>
    <w:rsid w:val="00100E96"/>
    <w:rsid w:val="00100E9E"/>
    <w:rsid w:val="001012A1"/>
    <w:rsid w:val="00101685"/>
    <w:rsid w:val="00102E38"/>
    <w:rsid w:val="001030FE"/>
    <w:rsid w:val="00103519"/>
    <w:rsid w:val="00103911"/>
    <w:rsid w:val="0010509A"/>
    <w:rsid w:val="00106BEA"/>
    <w:rsid w:val="001125C1"/>
    <w:rsid w:val="00112707"/>
    <w:rsid w:val="00113103"/>
    <w:rsid w:val="0011712E"/>
    <w:rsid w:val="001204F5"/>
    <w:rsid w:val="001214C9"/>
    <w:rsid w:val="00123B5A"/>
    <w:rsid w:val="00124EEC"/>
    <w:rsid w:val="00131682"/>
    <w:rsid w:val="001316D4"/>
    <w:rsid w:val="0013417B"/>
    <w:rsid w:val="001405A6"/>
    <w:rsid w:val="00140AB7"/>
    <w:rsid w:val="00140EC3"/>
    <w:rsid w:val="001439B6"/>
    <w:rsid w:val="0014556D"/>
    <w:rsid w:val="001474AE"/>
    <w:rsid w:val="00151572"/>
    <w:rsid w:val="00151FF1"/>
    <w:rsid w:val="00153D98"/>
    <w:rsid w:val="00153F9D"/>
    <w:rsid w:val="0015432B"/>
    <w:rsid w:val="00154C43"/>
    <w:rsid w:val="00155C61"/>
    <w:rsid w:val="00155C7D"/>
    <w:rsid w:val="0016033A"/>
    <w:rsid w:val="001605CF"/>
    <w:rsid w:val="0016121B"/>
    <w:rsid w:val="00161D5A"/>
    <w:rsid w:val="00161F97"/>
    <w:rsid w:val="0016350D"/>
    <w:rsid w:val="00163FA0"/>
    <w:rsid w:val="00167353"/>
    <w:rsid w:val="00173010"/>
    <w:rsid w:val="00175006"/>
    <w:rsid w:val="00175028"/>
    <w:rsid w:val="00176C66"/>
    <w:rsid w:val="00176CAA"/>
    <w:rsid w:val="00181947"/>
    <w:rsid w:val="00181B0B"/>
    <w:rsid w:val="00181F22"/>
    <w:rsid w:val="00182FA1"/>
    <w:rsid w:val="00184824"/>
    <w:rsid w:val="00184C5D"/>
    <w:rsid w:val="0018700E"/>
    <w:rsid w:val="0019411E"/>
    <w:rsid w:val="00194368"/>
    <w:rsid w:val="00195547"/>
    <w:rsid w:val="001A0522"/>
    <w:rsid w:val="001A193A"/>
    <w:rsid w:val="001A211A"/>
    <w:rsid w:val="001A227B"/>
    <w:rsid w:val="001A34FC"/>
    <w:rsid w:val="001A3669"/>
    <w:rsid w:val="001A3909"/>
    <w:rsid w:val="001A4AE0"/>
    <w:rsid w:val="001A5C6E"/>
    <w:rsid w:val="001A65F3"/>
    <w:rsid w:val="001B0824"/>
    <w:rsid w:val="001B1FC6"/>
    <w:rsid w:val="001B2B36"/>
    <w:rsid w:val="001B6449"/>
    <w:rsid w:val="001C1476"/>
    <w:rsid w:val="001C4686"/>
    <w:rsid w:val="001C652F"/>
    <w:rsid w:val="001C6614"/>
    <w:rsid w:val="001C768E"/>
    <w:rsid w:val="001C7ED5"/>
    <w:rsid w:val="001D2931"/>
    <w:rsid w:val="001D450C"/>
    <w:rsid w:val="001D7721"/>
    <w:rsid w:val="001D7B42"/>
    <w:rsid w:val="001D7E4A"/>
    <w:rsid w:val="001E0E90"/>
    <w:rsid w:val="001E1EB7"/>
    <w:rsid w:val="001E2027"/>
    <w:rsid w:val="001E419F"/>
    <w:rsid w:val="001F02B0"/>
    <w:rsid w:val="001F1893"/>
    <w:rsid w:val="001F28D6"/>
    <w:rsid w:val="001F43C9"/>
    <w:rsid w:val="001F48D2"/>
    <w:rsid w:val="001F5C68"/>
    <w:rsid w:val="00200775"/>
    <w:rsid w:val="00201ED3"/>
    <w:rsid w:val="002030D2"/>
    <w:rsid w:val="00203971"/>
    <w:rsid w:val="00205E0A"/>
    <w:rsid w:val="002065D8"/>
    <w:rsid w:val="002074F6"/>
    <w:rsid w:val="00210223"/>
    <w:rsid w:val="00212054"/>
    <w:rsid w:val="00214AC2"/>
    <w:rsid w:val="00217E01"/>
    <w:rsid w:val="00223ADB"/>
    <w:rsid w:val="0022492A"/>
    <w:rsid w:val="002258F0"/>
    <w:rsid w:val="00225B2B"/>
    <w:rsid w:val="00225DA1"/>
    <w:rsid w:val="002260E9"/>
    <w:rsid w:val="00226C41"/>
    <w:rsid w:val="002270C2"/>
    <w:rsid w:val="00230508"/>
    <w:rsid w:val="00230E0F"/>
    <w:rsid w:val="0023462D"/>
    <w:rsid w:val="00236383"/>
    <w:rsid w:val="002363B3"/>
    <w:rsid w:val="0023677A"/>
    <w:rsid w:val="002378D4"/>
    <w:rsid w:val="002403F6"/>
    <w:rsid w:val="0024170E"/>
    <w:rsid w:val="00241A37"/>
    <w:rsid w:val="00242DB4"/>
    <w:rsid w:val="002436BD"/>
    <w:rsid w:val="00244101"/>
    <w:rsid w:val="00246234"/>
    <w:rsid w:val="00246723"/>
    <w:rsid w:val="00246D8E"/>
    <w:rsid w:val="002472E4"/>
    <w:rsid w:val="002510AD"/>
    <w:rsid w:val="00251253"/>
    <w:rsid w:val="0025217D"/>
    <w:rsid w:val="00254901"/>
    <w:rsid w:val="0025526F"/>
    <w:rsid w:val="00255A16"/>
    <w:rsid w:val="00256186"/>
    <w:rsid w:val="00256225"/>
    <w:rsid w:val="00260126"/>
    <w:rsid w:val="00260347"/>
    <w:rsid w:val="00261685"/>
    <w:rsid w:val="00262D5D"/>
    <w:rsid w:val="00263B84"/>
    <w:rsid w:val="00264496"/>
    <w:rsid w:val="002648B3"/>
    <w:rsid w:val="00264A79"/>
    <w:rsid w:val="0026634D"/>
    <w:rsid w:val="00266CA0"/>
    <w:rsid w:val="00270DA0"/>
    <w:rsid w:val="002717A9"/>
    <w:rsid w:val="002718E3"/>
    <w:rsid w:val="00275838"/>
    <w:rsid w:val="00275F41"/>
    <w:rsid w:val="00277866"/>
    <w:rsid w:val="00281CAE"/>
    <w:rsid w:val="00287B1C"/>
    <w:rsid w:val="00287FDE"/>
    <w:rsid w:val="00293739"/>
    <w:rsid w:val="00294300"/>
    <w:rsid w:val="002968BC"/>
    <w:rsid w:val="002968D1"/>
    <w:rsid w:val="00297A92"/>
    <w:rsid w:val="002A1389"/>
    <w:rsid w:val="002A14B8"/>
    <w:rsid w:val="002A3603"/>
    <w:rsid w:val="002A66B3"/>
    <w:rsid w:val="002A7346"/>
    <w:rsid w:val="002A73BD"/>
    <w:rsid w:val="002B0A11"/>
    <w:rsid w:val="002B14C3"/>
    <w:rsid w:val="002B19D6"/>
    <w:rsid w:val="002B22B2"/>
    <w:rsid w:val="002B4366"/>
    <w:rsid w:val="002B4618"/>
    <w:rsid w:val="002B4F91"/>
    <w:rsid w:val="002B6263"/>
    <w:rsid w:val="002B7363"/>
    <w:rsid w:val="002C00AA"/>
    <w:rsid w:val="002C2503"/>
    <w:rsid w:val="002C322D"/>
    <w:rsid w:val="002C4F47"/>
    <w:rsid w:val="002D0CDC"/>
    <w:rsid w:val="002D2EC4"/>
    <w:rsid w:val="002D2F9E"/>
    <w:rsid w:val="002D5FDB"/>
    <w:rsid w:val="002D62A2"/>
    <w:rsid w:val="002D62B3"/>
    <w:rsid w:val="002E0198"/>
    <w:rsid w:val="002E07CD"/>
    <w:rsid w:val="002E1F21"/>
    <w:rsid w:val="002E54B4"/>
    <w:rsid w:val="002E5F51"/>
    <w:rsid w:val="002E6CC0"/>
    <w:rsid w:val="002F4841"/>
    <w:rsid w:val="002F58E2"/>
    <w:rsid w:val="002F659A"/>
    <w:rsid w:val="00302E64"/>
    <w:rsid w:val="0030324A"/>
    <w:rsid w:val="0030341C"/>
    <w:rsid w:val="0030387A"/>
    <w:rsid w:val="0030482B"/>
    <w:rsid w:val="00304DD4"/>
    <w:rsid w:val="0030506B"/>
    <w:rsid w:val="0030509F"/>
    <w:rsid w:val="00305F0C"/>
    <w:rsid w:val="0030681A"/>
    <w:rsid w:val="00306852"/>
    <w:rsid w:val="00306B75"/>
    <w:rsid w:val="00306C0F"/>
    <w:rsid w:val="00307376"/>
    <w:rsid w:val="0031077C"/>
    <w:rsid w:val="003116CA"/>
    <w:rsid w:val="003136B2"/>
    <w:rsid w:val="003159B0"/>
    <w:rsid w:val="00316E4E"/>
    <w:rsid w:val="00317EFB"/>
    <w:rsid w:val="0032304B"/>
    <w:rsid w:val="00326286"/>
    <w:rsid w:val="00331020"/>
    <w:rsid w:val="00331B77"/>
    <w:rsid w:val="00334602"/>
    <w:rsid w:val="00334688"/>
    <w:rsid w:val="00334842"/>
    <w:rsid w:val="00334DD1"/>
    <w:rsid w:val="00335682"/>
    <w:rsid w:val="00335AD4"/>
    <w:rsid w:val="003370CF"/>
    <w:rsid w:val="003400BA"/>
    <w:rsid w:val="003407EF"/>
    <w:rsid w:val="00340D2E"/>
    <w:rsid w:val="00341986"/>
    <w:rsid w:val="00342D9C"/>
    <w:rsid w:val="003449C6"/>
    <w:rsid w:val="00345413"/>
    <w:rsid w:val="00346151"/>
    <w:rsid w:val="00347E36"/>
    <w:rsid w:val="003505B6"/>
    <w:rsid w:val="00350F9E"/>
    <w:rsid w:val="00354CB8"/>
    <w:rsid w:val="00360F60"/>
    <w:rsid w:val="003612CF"/>
    <w:rsid w:val="0037326B"/>
    <w:rsid w:val="003735A5"/>
    <w:rsid w:val="00374FCE"/>
    <w:rsid w:val="003757B5"/>
    <w:rsid w:val="00376215"/>
    <w:rsid w:val="003811BB"/>
    <w:rsid w:val="00381AC2"/>
    <w:rsid w:val="0038380C"/>
    <w:rsid w:val="003863A2"/>
    <w:rsid w:val="003866AD"/>
    <w:rsid w:val="00393900"/>
    <w:rsid w:val="003A0216"/>
    <w:rsid w:val="003A4AD2"/>
    <w:rsid w:val="003A775B"/>
    <w:rsid w:val="003B12B6"/>
    <w:rsid w:val="003B385B"/>
    <w:rsid w:val="003B3CF0"/>
    <w:rsid w:val="003B3F59"/>
    <w:rsid w:val="003B6BAD"/>
    <w:rsid w:val="003C1FD2"/>
    <w:rsid w:val="003C2A63"/>
    <w:rsid w:val="003C3286"/>
    <w:rsid w:val="003C40FB"/>
    <w:rsid w:val="003C5BC0"/>
    <w:rsid w:val="003C600C"/>
    <w:rsid w:val="003D37CC"/>
    <w:rsid w:val="003D5032"/>
    <w:rsid w:val="003D50AB"/>
    <w:rsid w:val="003D77F1"/>
    <w:rsid w:val="003E22BA"/>
    <w:rsid w:val="003E4D3A"/>
    <w:rsid w:val="003E4E67"/>
    <w:rsid w:val="003E66E4"/>
    <w:rsid w:val="003E79D4"/>
    <w:rsid w:val="003F02C4"/>
    <w:rsid w:val="003F0930"/>
    <w:rsid w:val="003F4C50"/>
    <w:rsid w:val="003F5A8B"/>
    <w:rsid w:val="003F6B96"/>
    <w:rsid w:val="003F6F5E"/>
    <w:rsid w:val="0040175E"/>
    <w:rsid w:val="00401C35"/>
    <w:rsid w:val="00402098"/>
    <w:rsid w:val="0040261B"/>
    <w:rsid w:val="00404963"/>
    <w:rsid w:val="00404E58"/>
    <w:rsid w:val="00406A52"/>
    <w:rsid w:val="00406E3D"/>
    <w:rsid w:val="00407913"/>
    <w:rsid w:val="004110B6"/>
    <w:rsid w:val="00411BAE"/>
    <w:rsid w:val="00415792"/>
    <w:rsid w:val="00415E6F"/>
    <w:rsid w:val="00422164"/>
    <w:rsid w:val="004262B9"/>
    <w:rsid w:val="00430342"/>
    <w:rsid w:val="00432F20"/>
    <w:rsid w:val="00435BDE"/>
    <w:rsid w:val="00443A02"/>
    <w:rsid w:val="00444533"/>
    <w:rsid w:val="004474D7"/>
    <w:rsid w:val="00450796"/>
    <w:rsid w:val="00450F39"/>
    <w:rsid w:val="00451BAA"/>
    <w:rsid w:val="00452784"/>
    <w:rsid w:val="004548A8"/>
    <w:rsid w:val="00454AB4"/>
    <w:rsid w:val="004552FD"/>
    <w:rsid w:val="0045565C"/>
    <w:rsid w:val="00457C57"/>
    <w:rsid w:val="004612EE"/>
    <w:rsid w:val="00462C7E"/>
    <w:rsid w:val="004630F3"/>
    <w:rsid w:val="00463439"/>
    <w:rsid w:val="00464220"/>
    <w:rsid w:val="004670AB"/>
    <w:rsid w:val="004700CD"/>
    <w:rsid w:val="00470375"/>
    <w:rsid w:val="00475042"/>
    <w:rsid w:val="00481543"/>
    <w:rsid w:val="00485E4A"/>
    <w:rsid w:val="00487A61"/>
    <w:rsid w:val="00492A3F"/>
    <w:rsid w:val="00495FFB"/>
    <w:rsid w:val="00497EA5"/>
    <w:rsid w:val="004A0256"/>
    <w:rsid w:val="004A058E"/>
    <w:rsid w:val="004A0949"/>
    <w:rsid w:val="004A11D0"/>
    <w:rsid w:val="004A255D"/>
    <w:rsid w:val="004A27A2"/>
    <w:rsid w:val="004A4E1F"/>
    <w:rsid w:val="004B096D"/>
    <w:rsid w:val="004B242D"/>
    <w:rsid w:val="004B28D4"/>
    <w:rsid w:val="004B3565"/>
    <w:rsid w:val="004B3DA7"/>
    <w:rsid w:val="004B4D14"/>
    <w:rsid w:val="004B6E09"/>
    <w:rsid w:val="004B762D"/>
    <w:rsid w:val="004BBD03"/>
    <w:rsid w:val="004C0AA9"/>
    <w:rsid w:val="004C22D4"/>
    <w:rsid w:val="004C2DF7"/>
    <w:rsid w:val="004C3512"/>
    <w:rsid w:val="004C3D07"/>
    <w:rsid w:val="004C446A"/>
    <w:rsid w:val="004C486D"/>
    <w:rsid w:val="004C48D5"/>
    <w:rsid w:val="004C6CCA"/>
    <w:rsid w:val="004D08D0"/>
    <w:rsid w:val="004D1F8C"/>
    <w:rsid w:val="004D4579"/>
    <w:rsid w:val="004D51FA"/>
    <w:rsid w:val="004D55F9"/>
    <w:rsid w:val="004E0023"/>
    <w:rsid w:val="004E2008"/>
    <w:rsid w:val="004E7007"/>
    <w:rsid w:val="004E7528"/>
    <w:rsid w:val="004E7E37"/>
    <w:rsid w:val="004E7E64"/>
    <w:rsid w:val="004F3A36"/>
    <w:rsid w:val="004F461B"/>
    <w:rsid w:val="00504754"/>
    <w:rsid w:val="00506F04"/>
    <w:rsid w:val="0050761F"/>
    <w:rsid w:val="0051061C"/>
    <w:rsid w:val="005173CE"/>
    <w:rsid w:val="005231EC"/>
    <w:rsid w:val="00524867"/>
    <w:rsid w:val="00527BF9"/>
    <w:rsid w:val="00530C96"/>
    <w:rsid w:val="0054247B"/>
    <w:rsid w:val="00550403"/>
    <w:rsid w:val="00550B0A"/>
    <w:rsid w:val="00550E24"/>
    <w:rsid w:val="00551316"/>
    <w:rsid w:val="00552574"/>
    <w:rsid w:val="0055682D"/>
    <w:rsid w:val="00556C43"/>
    <w:rsid w:val="0056141D"/>
    <w:rsid w:val="00561AA4"/>
    <w:rsid w:val="00561DA6"/>
    <w:rsid w:val="00563A93"/>
    <w:rsid w:val="00563DEC"/>
    <w:rsid w:val="005642D3"/>
    <w:rsid w:val="005646CC"/>
    <w:rsid w:val="00564B46"/>
    <w:rsid w:val="00565319"/>
    <w:rsid w:val="005663CF"/>
    <w:rsid w:val="00566464"/>
    <w:rsid w:val="0056779E"/>
    <w:rsid w:val="0057164B"/>
    <w:rsid w:val="00571FE0"/>
    <w:rsid w:val="005739A3"/>
    <w:rsid w:val="0057432D"/>
    <w:rsid w:val="005753C3"/>
    <w:rsid w:val="005771FB"/>
    <w:rsid w:val="005774C2"/>
    <w:rsid w:val="00577BE2"/>
    <w:rsid w:val="0058163B"/>
    <w:rsid w:val="005832F5"/>
    <w:rsid w:val="0058338D"/>
    <w:rsid w:val="005837F8"/>
    <w:rsid w:val="00585AAA"/>
    <w:rsid w:val="005865C9"/>
    <w:rsid w:val="00586A07"/>
    <w:rsid w:val="00590D84"/>
    <w:rsid w:val="00591FD6"/>
    <w:rsid w:val="00593611"/>
    <w:rsid w:val="00593F41"/>
    <w:rsid w:val="00596D2F"/>
    <w:rsid w:val="005A1AED"/>
    <w:rsid w:val="005A2B4D"/>
    <w:rsid w:val="005A446B"/>
    <w:rsid w:val="005A64AF"/>
    <w:rsid w:val="005B2AA2"/>
    <w:rsid w:val="005B56B0"/>
    <w:rsid w:val="005B616F"/>
    <w:rsid w:val="005B6265"/>
    <w:rsid w:val="005C087B"/>
    <w:rsid w:val="005C0A26"/>
    <w:rsid w:val="005C6FF0"/>
    <w:rsid w:val="005D05B1"/>
    <w:rsid w:val="005D57D5"/>
    <w:rsid w:val="005D6A67"/>
    <w:rsid w:val="005E0E92"/>
    <w:rsid w:val="005E1A05"/>
    <w:rsid w:val="005E3EC1"/>
    <w:rsid w:val="005E4984"/>
    <w:rsid w:val="005E5000"/>
    <w:rsid w:val="005E5910"/>
    <w:rsid w:val="005E5C3B"/>
    <w:rsid w:val="005F120C"/>
    <w:rsid w:val="005F13AB"/>
    <w:rsid w:val="005F1C81"/>
    <w:rsid w:val="005F1EA0"/>
    <w:rsid w:val="005F1FCB"/>
    <w:rsid w:val="005F5F48"/>
    <w:rsid w:val="00603E1B"/>
    <w:rsid w:val="006055B2"/>
    <w:rsid w:val="00607931"/>
    <w:rsid w:val="00611BE6"/>
    <w:rsid w:val="00613272"/>
    <w:rsid w:val="00613CBF"/>
    <w:rsid w:val="00616A26"/>
    <w:rsid w:val="00621313"/>
    <w:rsid w:val="00622480"/>
    <w:rsid w:val="00623DEC"/>
    <w:rsid w:val="0062665C"/>
    <w:rsid w:val="006300BD"/>
    <w:rsid w:val="006304DA"/>
    <w:rsid w:val="006315F1"/>
    <w:rsid w:val="00631A18"/>
    <w:rsid w:val="00635CFA"/>
    <w:rsid w:val="0063727D"/>
    <w:rsid w:val="00637871"/>
    <w:rsid w:val="00637C41"/>
    <w:rsid w:val="00637E3B"/>
    <w:rsid w:val="00642E13"/>
    <w:rsid w:val="00645629"/>
    <w:rsid w:val="006456EC"/>
    <w:rsid w:val="00646796"/>
    <w:rsid w:val="00647696"/>
    <w:rsid w:val="00647D58"/>
    <w:rsid w:val="006510B4"/>
    <w:rsid w:val="006519F1"/>
    <w:rsid w:val="00653754"/>
    <w:rsid w:val="006540A3"/>
    <w:rsid w:val="00657678"/>
    <w:rsid w:val="00657991"/>
    <w:rsid w:val="00660970"/>
    <w:rsid w:val="00663606"/>
    <w:rsid w:val="00665036"/>
    <w:rsid w:val="00666C87"/>
    <w:rsid w:val="0066754C"/>
    <w:rsid w:val="00670D51"/>
    <w:rsid w:val="006762F8"/>
    <w:rsid w:val="00677F9B"/>
    <w:rsid w:val="00682504"/>
    <w:rsid w:val="00682865"/>
    <w:rsid w:val="0068499E"/>
    <w:rsid w:val="00684F73"/>
    <w:rsid w:val="00686360"/>
    <w:rsid w:val="00691392"/>
    <w:rsid w:val="00691752"/>
    <w:rsid w:val="00692825"/>
    <w:rsid w:val="00693976"/>
    <w:rsid w:val="00694691"/>
    <w:rsid w:val="00694D09"/>
    <w:rsid w:val="00694FC7"/>
    <w:rsid w:val="0069643C"/>
    <w:rsid w:val="00697007"/>
    <w:rsid w:val="00697DCA"/>
    <w:rsid w:val="006A2052"/>
    <w:rsid w:val="006A2D46"/>
    <w:rsid w:val="006A307C"/>
    <w:rsid w:val="006A31B7"/>
    <w:rsid w:val="006A3972"/>
    <w:rsid w:val="006B0216"/>
    <w:rsid w:val="006B093F"/>
    <w:rsid w:val="006B0AA3"/>
    <w:rsid w:val="006B0C64"/>
    <w:rsid w:val="006B1B0F"/>
    <w:rsid w:val="006B1C10"/>
    <w:rsid w:val="006B3864"/>
    <w:rsid w:val="006B6550"/>
    <w:rsid w:val="006B7141"/>
    <w:rsid w:val="006C051B"/>
    <w:rsid w:val="006C0703"/>
    <w:rsid w:val="006C14B6"/>
    <w:rsid w:val="006C3F28"/>
    <w:rsid w:val="006C49C1"/>
    <w:rsid w:val="006C4CFC"/>
    <w:rsid w:val="006D0EF5"/>
    <w:rsid w:val="006D3918"/>
    <w:rsid w:val="006D412F"/>
    <w:rsid w:val="006D77C1"/>
    <w:rsid w:val="006E1027"/>
    <w:rsid w:val="006E16F5"/>
    <w:rsid w:val="006E1841"/>
    <w:rsid w:val="006E6990"/>
    <w:rsid w:val="006F130A"/>
    <w:rsid w:val="006F1530"/>
    <w:rsid w:val="006F74E9"/>
    <w:rsid w:val="00700EE7"/>
    <w:rsid w:val="00700FA0"/>
    <w:rsid w:val="007019AA"/>
    <w:rsid w:val="00701BB7"/>
    <w:rsid w:val="007023A4"/>
    <w:rsid w:val="007031F4"/>
    <w:rsid w:val="00703930"/>
    <w:rsid w:val="007049CF"/>
    <w:rsid w:val="00707E47"/>
    <w:rsid w:val="00711543"/>
    <w:rsid w:val="00712117"/>
    <w:rsid w:val="007131F6"/>
    <w:rsid w:val="007150BC"/>
    <w:rsid w:val="00715A35"/>
    <w:rsid w:val="007177EC"/>
    <w:rsid w:val="00720FEF"/>
    <w:rsid w:val="00722830"/>
    <w:rsid w:val="00724567"/>
    <w:rsid w:val="00725FBD"/>
    <w:rsid w:val="00727749"/>
    <w:rsid w:val="00734AD9"/>
    <w:rsid w:val="0073684B"/>
    <w:rsid w:val="007368AD"/>
    <w:rsid w:val="00736948"/>
    <w:rsid w:val="00736FE2"/>
    <w:rsid w:val="00740770"/>
    <w:rsid w:val="00741999"/>
    <w:rsid w:val="007428D4"/>
    <w:rsid w:val="007455EA"/>
    <w:rsid w:val="00746477"/>
    <w:rsid w:val="00746F02"/>
    <w:rsid w:val="007470AC"/>
    <w:rsid w:val="00747A74"/>
    <w:rsid w:val="00747AFF"/>
    <w:rsid w:val="00750028"/>
    <w:rsid w:val="00750069"/>
    <w:rsid w:val="007518EF"/>
    <w:rsid w:val="007522BC"/>
    <w:rsid w:val="00753C27"/>
    <w:rsid w:val="0075455C"/>
    <w:rsid w:val="007548D7"/>
    <w:rsid w:val="00755628"/>
    <w:rsid w:val="00756692"/>
    <w:rsid w:val="007566EE"/>
    <w:rsid w:val="007624D6"/>
    <w:rsid w:val="007642B0"/>
    <w:rsid w:val="00765B95"/>
    <w:rsid w:val="007714AB"/>
    <w:rsid w:val="007727A1"/>
    <w:rsid w:val="00774569"/>
    <w:rsid w:val="00774922"/>
    <w:rsid w:val="00775D67"/>
    <w:rsid w:val="00780932"/>
    <w:rsid w:val="00781001"/>
    <w:rsid w:val="00782239"/>
    <w:rsid w:val="007854D5"/>
    <w:rsid w:val="00785CDC"/>
    <w:rsid w:val="007877B7"/>
    <w:rsid w:val="00791ECE"/>
    <w:rsid w:val="007940B8"/>
    <w:rsid w:val="0079493E"/>
    <w:rsid w:val="00795B00"/>
    <w:rsid w:val="00795F4A"/>
    <w:rsid w:val="00796561"/>
    <w:rsid w:val="00797A43"/>
    <w:rsid w:val="00797C33"/>
    <w:rsid w:val="007A12E3"/>
    <w:rsid w:val="007A16FA"/>
    <w:rsid w:val="007A42B9"/>
    <w:rsid w:val="007A4AF8"/>
    <w:rsid w:val="007A5E85"/>
    <w:rsid w:val="007B02A5"/>
    <w:rsid w:val="007B0F0B"/>
    <w:rsid w:val="007C0929"/>
    <w:rsid w:val="007C0F2C"/>
    <w:rsid w:val="007C1467"/>
    <w:rsid w:val="007C65E9"/>
    <w:rsid w:val="007D0C1B"/>
    <w:rsid w:val="007D0D50"/>
    <w:rsid w:val="007D0DC1"/>
    <w:rsid w:val="007D193D"/>
    <w:rsid w:val="007D2BF2"/>
    <w:rsid w:val="007D436D"/>
    <w:rsid w:val="007D4979"/>
    <w:rsid w:val="007D54D3"/>
    <w:rsid w:val="007E260A"/>
    <w:rsid w:val="007E2E7F"/>
    <w:rsid w:val="007E3847"/>
    <w:rsid w:val="007E4B2A"/>
    <w:rsid w:val="007F1549"/>
    <w:rsid w:val="007F2CBC"/>
    <w:rsid w:val="007F352B"/>
    <w:rsid w:val="007F3864"/>
    <w:rsid w:val="007F4C8C"/>
    <w:rsid w:val="007F56FB"/>
    <w:rsid w:val="007F68DB"/>
    <w:rsid w:val="008013BB"/>
    <w:rsid w:val="00802C53"/>
    <w:rsid w:val="00803ADE"/>
    <w:rsid w:val="00810661"/>
    <w:rsid w:val="00812229"/>
    <w:rsid w:val="00814176"/>
    <w:rsid w:val="0081489A"/>
    <w:rsid w:val="00815A3A"/>
    <w:rsid w:val="00817402"/>
    <w:rsid w:val="00817E9C"/>
    <w:rsid w:val="008204C1"/>
    <w:rsid w:val="00823AEE"/>
    <w:rsid w:val="00824626"/>
    <w:rsid w:val="00824A8D"/>
    <w:rsid w:val="00826D94"/>
    <w:rsid w:val="00827579"/>
    <w:rsid w:val="00830F66"/>
    <w:rsid w:val="00830F68"/>
    <w:rsid w:val="008317DC"/>
    <w:rsid w:val="008332F7"/>
    <w:rsid w:val="008338A0"/>
    <w:rsid w:val="008346CE"/>
    <w:rsid w:val="00834A28"/>
    <w:rsid w:val="00836187"/>
    <w:rsid w:val="0083775D"/>
    <w:rsid w:val="00840CAF"/>
    <w:rsid w:val="00841A6F"/>
    <w:rsid w:val="008427A8"/>
    <w:rsid w:val="00843A5A"/>
    <w:rsid w:val="00843E9A"/>
    <w:rsid w:val="0084701F"/>
    <w:rsid w:val="00850D5A"/>
    <w:rsid w:val="00853BA6"/>
    <w:rsid w:val="008617CF"/>
    <w:rsid w:val="00862E50"/>
    <w:rsid w:val="00867F26"/>
    <w:rsid w:val="0087145A"/>
    <w:rsid w:val="008744AE"/>
    <w:rsid w:val="00876AD5"/>
    <w:rsid w:val="00876BA0"/>
    <w:rsid w:val="0087709C"/>
    <w:rsid w:val="00877230"/>
    <w:rsid w:val="00877AA9"/>
    <w:rsid w:val="00877DB9"/>
    <w:rsid w:val="00880781"/>
    <w:rsid w:val="00881873"/>
    <w:rsid w:val="008823F0"/>
    <w:rsid w:val="00885F41"/>
    <w:rsid w:val="00892F2E"/>
    <w:rsid w:val="00893708"/>
    <w:rsid w:val="008958DE"/>
    <w:rsid w:val="00895925"/>
    <w:rsid w:val="00896F90"/>
    <w:rsid w:val="008A16E2"/>
    <w:rsid w:val="008A2E76"/>
    <w:rsid w:val="008A3C0F"/>
    <w:rsid w:val="008A3FAD"/>
    <w:rsid w:val="008A46E0"/>
    <w:rsid w:val="008A492B"/>
    <w:rsid w:val="008A67C8"/>
    <w:rsid w:val="008A6BD9"/>
    <w:rsid w:val="008A709C"/>
    <w:rsid w:val="008B2BEF"/>
    <w:rsid w:val="008B5649"/>
    <w:rsid w:val="008C02E3"/>
    <w:rsid w:val="008C0C2E"/>
    <w:rsid w:val="008C7C30"/>
    <w:rsid w:val="008C7C92"/>
    <w:rsid w:val="008D274D"/>
    <w:rsid w:val="008D367D"/>
    <w:rsid w:val="008D41FF"/>
    <w:rsid w:val="008D553D"/>
    <w:rsid w:val="008D6619"/>
    <w:rsid w:val="008E033E"/>
    <w:rsid w:val="008E03DE"/>
    <w:rsid w:val="008E42AB"/>
    <w:rsid w:val="008E59A6"/>
    <w:rsid w:val="008E767D"/>
    <w:rsid w:val="008F6C77"/>
    <w:rsid w:val="008F738B"/>
    <w:rsid w:val="008F78A6"/>
    <w:rsid w:val="00900C71"/>
    <w:rsid w:val="00901714"/>
    <w:rsid w:val="00904ED7"/>
    <w:rsid w:val="00905954"/>
    <w:rsid w:val="009078A0"/>
    <w:rsid w:val="00910332"/>
    <w:rsid w:val="009120F1"/>
    <w:rsid w:val="00914190"/>
    <w:rsid w:val="00914225"/>
    <w:rsid w:val="009143BA"/>
    <w:rsid w:val="00914714"/>
    <w:rsid w:val="00921D35"/>
    <w:rsid w:val="009229DA"/>
    <w:rsid w:val="00922E78"/>
    <w:rsid w:val="00922E88"/>
    <w:rsid w:val="00923B91"/>
    <w:rsid w:val="009246D4"/>
    <w:rsid w:val="00926493"/>
    <w:rsid w:val="009265F8"/>
    <w:rsid w:val="00927091"/>
    <w:rsid w:val="00927539"/>
    <w:rsid w:val="009278BD"/>
    <w:rsid w:val="00930D02"/>
    <w:rsid w:val="00932A8E"/>
    <w:rsid w:val="00932EFA"/>
    <w:rsid w:val="00935C58"/>
    <w:rsid w:val="0093707D"/>
    <w:rsid w:val="0094006A"/>
    <w:rsid w:val="009405E2"/>
    <w:rsid w:val="00941494"/>
    <w:rsid w:val="009418C9"/>
    <w:rsid w:val="009459C6"/>
    <w:rsid w:val="00946D2A"/>
    <w:rsid w:val="009478D3"/>
    <w:rsid w:val="00947AF1"/>
    <w:rsid w:val="00947D70"/>
    <w:rsid w:val="009560D3"/>
    <w:rsid w:val="009566F2"/>
    <w:rsid w:val="00957291"/>
    <w:rsid w:val="0096075E"/>
    <w:rsid w:val="00965ED7"/>
    <w:rsid w:val="00965FAB"/>
    <w:rsid w:val="009669EA"/>
    <w:rsid w:val="009677B8"/>
    <w:rsid w:val="00967D16"/>
    <w:rsid w:val="00970F2F"/>
    <w:rsid w:val="0097352F"/>
    <w:rsid w:val="00980AA6"/>
    <w:rsid w:val="00984911"/>
    <w:rsid w:val="00984DCB"/>
    <w:rsid w:val="00985082"/>
    <w:rsid w:val="009918FF"/>
    <w:rsid w:val="0099216B"/>
    <w:rsid w:val="009927BF"/>
    <w:rsid w:val="00995B88"/>
    <w:rsid w:val="0099686A"/>
    <w:rsid w:val="0099752A"/>
    <w:rsid w:val="009A1B0F"/>
    <w:rsid w:val="009A1F01"/>
    <w:rsid w:val="009A2803"/>
    <w:rsid w:val="009A2A91"/>
    <w:rsid w:val="009A2C39"/>
    <w:rsid w:val="009A47AA"/>
    <w:rsid w:val="009B35A0"/>
    <w:rsid w:val="009B7666"/>
    <w:rsid w:val="009C0CF5"/>
    <w:rsid w:val="009C1DC7"/>
    <w:rsid w:val="009C2127"/>
    <w:rsid w:val="009C455A"/>
    <w:rsid w:val="009C5368"/>
    <w:rsid w:val="009C5A29"/>
    <w:rsid w:val="009C60CE"/>
    <w:rsid w:val="009D0B02"/>
    <w:rsid w:val="009D0B2C"/>
    <w:rsid w:val="009D1A85"/>
    <w:rsid w:val="009D2E63"/>
    <w:rsid w:val="009D4116"/>
    <w:rsid w:val="009D55CC"/>
    <w:rsid w:val="009D7882"/>
    <w:rsid w:val="009E0B92"/>
    <w:rsid w:val="009E5FC9"/>
    <w:rsid w:val="009F1D8C"/>
    <w:rsid w:val="00A00614"/>
    <w:rsid w:val="00A00884"/>
    <w:rsid w:val="00A11DAA"/>
    <w:rsid w:val="00A127CF"/>
    <w:rsid w:val="00A146D9"/>
    <w:rsid w:val="00A1470D"/>
    <w:rsid w:val="00A14B46"/>
    <w:rsid w:val="00A16420"/>
    <w:rsid w:val="00A16E69"/>
    <w:rsid w:val="00A21711"/>
    <w:rsid w:val="00A23CAE"/>
    <w:rsid w:val="00A24A7A"/>
    <w:rsid w:val="00A25ED5"/>
    <w:rsid w:val="00A2653D"/>
    <w:rsid w:val="00A279AF"/>
    <w:rsid w:val="00A32010"/>
    <w:rsid w:val="00A334AA"/>
    <w:rsid w:val="00A338DC"/>
    <w:rsid w:val="00A341AD"/>
    <w:rsid w:val="00A34EC0"/>
    <w:rsid w:val="00A40BF6"/>
    <w:rsid w:val="00A40DBF"/>
    <w:rsid w:val="00A4133B"/>
    <w:rsid w:val="00A41669"/>
    <w:rsid w:val="00A4426E"/>
    <w:rsid w:val="00A44733"/>
    <w:rsid w:val="00A4534F"/>
    <w:rsid w:val="00A46ADB"/>
    <w:rsid w:val="00A4704C"/>
    <w:rsid w:val="00A52337"/>
    <w:rsid w:val="00A548E3"/>
    <w:rsid w:val="00A573C7"/>
    <w:rsid w:val="00A6296B"/>
    <w:rsid w:val="00A6325C"/>
    <w:rsid w:val="00A63A2B"/>
    <w:rsid w:val="00A67708"/>
    <w:rsid w:val="00A707FD"/>
    <w:rsid w:val="00A70EA7"/>
    <w:rsid w:val="00A712D7"/>
    <w:rsid w:val="00A71EDF"/>
    <w:rsid w:val="00A72C8B"/>
    <w:rsid w:val="00A73027"/>
    <w:rsid w:val="00A762CF"/>
    <w:rsid w:val="00A816E2"/>
    <w:rsid w:val="00A824C6"/>
    <w:rsid w:val="00A8275A"/>
    <w:rsid w:val="00A82FA1"/>
    <w:rsid w:val="00A83F47"/>
    <w:rsid w:val="00A84101"/>
    <w:rsid w:val="00A84AB9"/>
    <w:rsid w:val="00A84C3C"/>
    <w:rsid w:val="00A85E0A"/>
    <w:rsid w:val="00A871FD"/>
    <w:rsid w:val="00A90313"/>
    <w:rsid w:val="00A9040D"/>
    <w:rsid w:val="00A90EFD"/>
    <w:rsid w:val="00A91DB5"/>
    <w:rsid w:val="00A94110"/>
    <w:rsid w:val="00A9679A"/>
    <w:rsid w:val="00A97698"/>
    <w:rsid w:val="00AA0A82"/>
    <w:rsid w:val="00AA0B3F"/>
    <w:rsid w:val="00AA10AB"/>
    <w:rsid w:val="00AA14E5"/>
    <w:rsid w:val="00AA1C32"/>
    <w:rsid w:val="00AA1C82"/>
    <w:rsid w:val="00AA27D4"/>
    <w:rsid w:val="00AA530F"/>
    <w:rsid w:val="00AA5824"/>
    <w:rsid w:val="00AA6ED5"/>
    <w:rsid w:val="00AB1236"/>
    <w:rsid w:val="00AB3496"/>
    <w:rsid w:val="00AB5029"/>
    <w:rsid w:val="00AB5F72"/>
    <w:rsid w:val="00AC07DF"/>
    <w:rsid w:val="00AC1C4C"/>
    <w:rsid w:val="00AC2517"/>
    <w:rsid w:val="00AC4DF1"/>
    <w:rsid w:val="00AC6089"/>
    <w:rsid w:val="00AC61D6"/>
    <w:rsid w:val="00AC7A56"/>
    <w:rsid w:val="00AD272B"/>
    <w:rsid w:val="00AD28EC"/>
    <w:rsid w:val="00AD4286"/>
    <w:rsid w:val="00AD455A"/>
    <w:rsid w:val="00AD596C"/>
    <w:rsid w:val="00AD5AEB"/>
    <w:rsid w:val="00AD6339"/>
    <w:rsid w:val="00AD7789"/>
    <w:rsid w:val="00AE13E9"/>
    <w:rsid w:val="00AE1840"/>
    <w:rsid w:val="00AE20A1"/>
    <w:rsid w:val="00AE491C"/>
    <w:rsid w:val="00AE4B9E"/>
    <w:rsid w:val="00AE5481"/>
    <w:rsid w:val="00AE7400"/>
    <w:rsid w:val="00AE7A2C"/>
    <w:rsid w:val="00AF08A3"/>
    <w:rsid w:val="00AF3524"/>
    <w:rsid w:val="00AF3DC9"/>
    <w:rsid w:val="00AF519F"/>
    <w:rsid w:val="00AF5FB2"/>
    <w:rsid w:val="00AF7398"/>
    <w:rsid w:val="00B00C7D"/>
    <w:rsid w:val="00B00CD0"/>
    <w:rsid w:val="00B0249D"/>
    <w:rsid w:val="00B0328C"/>
    <w:rsid w:val="00B03501"/>
    <w:rsid w:val="00B04B20"/>
    <w:rsid w:val="00B06804"/>
    <w:rsid w:val="00B06CB3"/>
    <w:rsid w:val="00B11ED1"/>
    <w:rsid w:val="00B132E1"/>
    <w:rsid w:val="00B14899"/>
    <w:rsid w:val="00B16685"/>
    <w:rsid w:val="00B16B16"/>
    <w:rsid w:val="00B16DB2"/>
    <w:rsid w:val="00B20206"/>
    <w:rsid w:val="00B20E0D"/>
    <w:rsid w:val="00B219DF"/>
    <w:rsid w:val="00B234C3"/>
    <w:rsid w:val="00B23BC0"/>
    <w:rsid w:val="00B2458C"/>
    <w:rsid w:val="00B24E80"/>
    <w:rsid w:val="00B26D60"/>
    <w:rsid w:val="00B3289E"/>
    <w:rsid w:val="00B337B3"/>
    <w:rsid w:val="00B35955"/>
    <w:rsid w:val="00B3708F"/>
    <w:rsid w:val="00B401EA"/>
    <w:rsid w:val="00B40821"/>
    <w:rsid w:val="00B40AD8"/>
    <w:rsid w:val="00B430E5"/>
    <w:rsid w:val="00B439A5"/>
    <w:rsid w:val="00B46CAC"/>
    <w:rsid w:val="00B509F5"/>
    <w:rsid w:val="00B50C2A"/>
    <w:rsid w:val="00B50C35"/>
    <w:rsid w:val="00B50DEF"/>
    <w:rsid w:val="00B52ACD"/>
    <w:rsid w:val="00B53143"/>
    <w:rsid w:val="00B53BF2"/>
    <w:rsid w:val="00B556CB"/>
    <w:rsid w:val="00B607C6"/>
    <w:rsid w:val="00B62417"/>
    <w:rsid w:val="00B62752"/>
    <w:rsid w:val="00B642BA"/>
    <w:rsid w:val="00B64B2E"/>
    <w:rsid w:val="00B66C55"/>
    <w:rsid w:val="00B7057F"/>
    <w:rsid w:val="00B70F11"/>
    <w:rsid w:val="00B72D6A"/>
    <w:rsid w:val="00B76505"/>
    <w:rsid w:val="00B76C63"/>
    <w:rsid w:val="00B775E9"/>
    <w:rsid w:val="00B81603"/>
    <w:rsid w:val="00B82219"/>
    <w:rsid w:val="00B830B9"/>
    <w:rsid w:val="00B841F1"/>
    <w:rsid w:val="00B85B6E"/>
    <w:rsid w:val="00B902CA"/>
    <w:rsid w:val="00B93FA3"/>
    <w:rsid w:val="00B942D7"/>
    <w:rsid w:val="00B953F9"/>
    <w:rsid w:val="00BA067F"/>
    <w:rsid w:val="00BA068A"/>
    <w:rsid w:val="00BA4DAC"/>
    <w:rsid w:val="00BA6061"/>
    <w:rsid w:val="00BA77D0"/>
    <w:rsid w:val="00BB0754"/>
    <w:rsid w:val="00BB12C3"/>
    <w:rsid w:val="00BB1678"/>
    <w:rsid w:val="00BB37AD"/>
    <w:rsid w:val="00BB50E7"/>
    <w:rsid w:val="00BC016A"/>
    <w:rsid w:val="00BC0CE7"/>
    <w:rsid w:val="00BC2F49"/>
    <w:rsid w:val="00BD0DC8"/>
    <w:rsid w:val="00BD2728"/>
    <w:rsid w:val="00BD5A82"/>
    <w:rsid w:val="00BE03AB"/>
    <w:rsid w:val="00BE0C47"/>
    <w:rsid w:val="00BE1B86"/>
    <w:rsid w:val="00BE25E6"/>
    <w:rsid w:val="00BE32B0"/>
    <w:rsid w:val="00BE4433"/>
    <w:rsid w:val="00BF1B43"/>
    <w:rsid w:val="00BF2953"/>
    <w:rsid w:val="00BF2B1A"/>
    <w:rsid w:val="00BF2B7C"/>
    <w:rsid w:val="00BF2F59"/>
    <w:rsid w:val="00BF4952"/>
    <w:rsid w:val="00BF659A"/>
    <w:rsid w:val="00BF78DF"/>
    <w:rsid w:val="00C021D8"/>
    <w:rsid w:val="00C04468"/>
    <w:rsid w:val="00C107D4"/>
    <w:rsid w:val="00C109AD"/>
    <w:rsid w:val="00C1226A"/>
    <w:rsid w:val="00C148E1"/>
    <w:rsid w:val="00C1665D"/>
    <w:rsid w:val="00C167E9"/>
    <w:rsid w:val="00C16C41"/>
    <w:rsid w:val="00C20342"/>
    <w:rsid w:val="00C20BCA"/>
    <w:rsid w:val="00C20F87"/>
    <w:rsid w:val="00C21FCA"/>
    <w:rsid w:val="00C2445E"/>
    <w:rsid w:val="00C302FA"/>
    <w:rsid w:val="00C30E88"/>
    <w:rsid w:val="00C33447"/>
    <w:rsid w:val="00C40731"/>
    <w:rsid w:val="00C4112C"/>
    <w:rsid w:val="00C47238"/>
    <w:rsid w:val="00C47E0C"/>
    <w:rsid w:val="00C51D50"/>
    <w:rsid w:val="00C5357F"/>
    <w:rsid w:val="00C617BE"/>
    <w:rsid w:val="00C61AFD"/>
    <w:rsid w:val="00C63563"/>
    <w:rsid w:val="00C6412A"/>
    <w:rsid w:val="00C64FC6"/>
    <w:rsid w:val="00C673AF"/>
    <w:rsid w:val="00C675C9"/>
    <w:rsid w:val="00C70E5C"/>
    <w:rsid w:val="00C74545"/>
    <w:rsid w:val="00C76C35"/>
    <w:rsid w:val="00C80ADB"/>
    <w:rsid w:val="00C8253A"/>
    <w:rsid w:val="00C90354"/>
    <w:rsid w:val="00C91041"/>
    <w:rsid w:val="00C91252"/>
    <w:rsid w:val="00C94088"/>
    <w:rsid w:val="00C948AA"/>
    <w:rsid w:val="00C96F89"/>
    <w:rsid w:val="00C97AB3"/>
    <w:rsid w:val="00C97D88"/>
    <w:rsid w:val="00CA53EF"/>
    <w:rsid w:val="00CA59B5"/>
    <w:rsid w:val="00CA6CB3"/>
    <w:rsid w:val="00CA7462"/>
    <w:rsid w:val="00CA7EF1"/>
    <w:rsid w:val="00CB01B9"/>
    <w:rsid w:val="00CB03B5"/>
    <w:rsid w:val="00CB0923"/>
    <w:rsid w:val="00CB384A"/>
    <w:rsid w:val="00CB5538"/>
    <w:rsid w:val="00CB57DD"/>
    <w:rsid w:val="00CB7B07"/>
    <w:rsid w:val="00CB7B9C"/>
    <w:rsid w:val="00CC1062"/>
    <w:rsid w:val="00CC40A3"/>
    <w:rsid w:val="00CC45B3"/>
    <w:rsid w:val="00CC4A3B"/>
    <w:rsid w:val="00CD1947"/>
    <w:rsid w:val="00CD23A6"/>
    <w:rsid w:val="00CD2E0B"/>
    <w:rsid w:val="00CD3863"/>
    <w:rsid w:val="00CD432A"/>
    <w:rsid w:val="00CD54A3"/>
    <w:rsid w:val="00CE0F37"/>
    <w:rsid w:val="00CE1BB4"/>
    <w:rsid w:val="00CE64B2"/>
    <w:rsid w:val="00CF1D43"/>
    <w:rsid w:val="00CF2AB3"/>
    <w:rsid w:val="00CF3016"/>
    <w:rsid w:val="00CF6667"/>
    <w:rsid w:val="00CF7D89"/>
    <w:rsid w:val="00D0032F"/>
    <w:rsid w:val="00D01158"/>
    <w:rsid w:val="00D03A8A"/>
    <w:rsid w:val="00D03AE0"/>
    <w:rsid w:val="00D05F48"/>
    <w:rsid w:val="00D05FA9"/>
    <w:rsid w:val="00D06413"/>
    <w:rsid w:val="00D07C13"/>
    <w:rsid w:val="00D1077E"/>
    <w:rsid w:val="00D10961"/>
    <w:rsid w:val="00D11182"/>
    <w:rsid w:val="00D14060"/>
    <w:rsid w:val="00D146F9"/>
    <w:rsid w:val="00D1513F"/>
    <w:rsid w:val="00D17A1D"/>
    <w:rsid w:val="00D17ABC"/>
    <w:rsid w:val="00D2097F"/>
    <w:rsid w:val="00D23487"/>
    <w:rsid w:val="00D249EB"/>
    <w:rsid w:val="00D25E3E"/>
    <w:rsid w:val="00D262BE"/>
    <w:rsid w:val="00D2697A"/>
    <w:rsid w:val="00D30A06"/>
    <w:rsid w:val="00D312A9"/>
    <w:rsid w:val="00D34AB4"/>
    <w:rsid w:val="00D34EB6"/>
    <w:rsid w:val="00D35771"/>
    <w:rsid w:val="00D369DE"/>
    <w:rsid w:val="00D36E88"/>
    <w:rsid w:val="00D40662"/>
    <w:rsid w:val="00D4103C"/>
    <w:rsid w:val="00D4126D"/>
    <w:rsid w:val="00D413ED"/>
    <w:rsid w:val="00D4174F"/>
    <w:rsid w:val="00D4263D"/>
    <w:rsid w:val="00D4527E"/>
    <w:rsid w:val="00D463AB"/>
    <w:rsid w:val="00D464A6"/>
    <w:rsid w:val="00D473DB"/>
    <w:rsid w:val="00D47FF7"/>
    <w:rsid w:val="00D50759"/>
    <w:rsid w:val="00D51B77"/>
    <w:rsid w:val="00D52500"/>
    <w:rsid w:val="00D53471"/>
    <w:rsid w:val="00D546AF"/>
    <w:rsid w:val="00D54BA2"/>
    <w:rsid w:val="00D55538"/>
    <w:rsid w:val="00D5624A"/>
    <w:rsid w:val="00D5666F"/>
    <w:rsid w:val="00D57590"/>
    <w:rsid w:val="00D5775D"/>
    <w:rsid w:val="00D64102"/>
    <w:rsid w:val="00D64906"/>
    <w:rsid w:val="00D66255"/>
    <w:rsid w:val="00D670CB"/>
    <w:rsid w:val="00D7037D"/>
    <w:rsid w:val="00D705A4"/>
    <w:rsid w:val="00D70DA2"/>
    <w:rsid w:val="00D71388"/>
    <w:rsid w:val="00D723DF"/>
    <w:rsid w:val="00D76DF7"/>
    <w:rsid w:val="00D775C8"/>
    <w:rsid w:val="00D81430"/>
    <w:rsid w:val="00D81CC2"/>
    <w:rsid w:val="00D82FB2"/>
    <w:rsid w:val="00D839A6"/>
    <w:rsid w:val="00D84077"/>
    <w:rsid w:val="00D84C81"/>
    <w:rsid w:val="00D868CB"/>
    <w:rsid w:val="00D87E36"/>
    <w:rsid w:val="00D918F4"/>
    <w:rsid w:val="00D93654"/>
    <w:rsid w:val="00D93D64"/>
    <w:rsid w:val="00D93FF3"/>
    <w:rsid w:val="00D95276"/>
    <w:rsid w:val="00D968EE"/>
    <w:rsid w:val="00D9707F"/>
    <w:rsid w:val="00DA0F98"/>
    <w:rsid w:val="00DA2FD4"/>
    <w:rsid w:val="00DA3888"/>
    <w:rsid w:val="00DA5474"/>
    <w:rsid w:val="00DA54B4"/>
    <w:rsid w:val="00DB20BA"/>
    <w:rsid w:val="00DB3D3B"/>
    <w:rsid w:val="00DB5613"/>
    <w:rsid w:val="00DB6A1F"/>
    <w:rsid w:val="00DD2721"/>
    <w:rsid w:val="00DD73D6"/>
    <w:rsid w:val="00DE1130"/>
    <w:rsid w:val="00DE1169"/>
    <w:rsid w:val="00DE1CB3"/>
    <w:rsid w:val="00DE2CF5"/>
    <w:rsid w:val="00DE6ED3"/>
    <w:rsid w:val="00DF0215"/>
    <w:rsid w:val="00DF1B84"/>
    <w:rsid w:val="00DF2781"/>
    <w:rsid w:val="00DF3453"/>
    <w:rsid w:val="00DF46C1"/>
    <w:rsid w:val="00DF524E"/>
    <w:rsid w:val="00DF6815"/>
    <w:rsid w:val="00DF7DA0"/>
    <w:rsid w:val="00E00489"/>
    <w:rsid w:val="00E00517"/>
    <w:rsid w:val="00E00700"/>
    <w:rsid w:val="00E014C5"/>
    <w:rsid w:val="00E0245E"/>
    <w:rsid w:val="00E02D1F"/>
    <w:rsid w:val="00E04428"/>
    <w:rsid w:val="00E051C6"/>
    <w:rsid w:val="00E0553E"/>
    <w:rsid w:val="00E11241"/>
    <w:rsid w:val="00E1150C"/>
    <w:rsid w:val="00E15267"/>
    <w:rsid w:val="00E15497"/>
    <w:rsid w:val="00E16789"/>
    <w:rsid w:val="00E172E9"/>
    <w:rsid w:val="00E179FF"/>
    <w:rsid w:val="00E201A8"/>
    <w:rsid w:val="00E20FAF"/>
    <w:rsid w:val="00E22458"/>
    <w:rsid w:val="00E231DE"/>
    <w:rsid w:val="00E25080"/>
    <w:rsid w:val="00E26280"/>
    <w:rsid w:val="00E3026E"/>
    <w:rsid w:val="00E30F52"/>
    <w:rsid w:val="00E333F0"/>
    <w:rsid w:val="00E33D44"/>
    <w:rsid w:val="00E36930"/>
    <w:rsid w:val="00E378A0"/>
    <w:rsid w:val="00E4153E"/>
    <w:rsid w:val="00E45D33"/>
    <w:rsid w:val="00E50299"/>
    <w:rsid w:val="00E5191A"/>
    <w:rsid w:val="00E52DFE"/>
    <w:rsid w:val="00E532CF"/>
    <w:rsid w:val="00E54D30"/>
    <w:rsid w:val="00E55E04"/>
    <w:rsid w:val="00E56405"/>
    <w:rsid w:val="00E63AEE"/>
    <w:rsid w:val="00E65A98"/>
    <w:rsid w:val="00E713F0"/>
    <w:rsid w:val="00E7252E"/>
    <w:rsid w:val="00E74E53"/>
    <w:rsid w:val="00E75241"/>
    <w:rsid w:val="00E754E3"/>
    <w:rsid w:val="00E758B5"/>
    <w:rsid w:val="00E81CB3"/>
    <w:rsid w:val="00E82A25"/>
    <w:rsid w:val="00E83CF9"/>
    <w:rsid w:val="00E83E80"/>
    <w:rsid w:val="00E85A26"/>
    <w:rsid w:val="00E86D40"/>
    <w:rsid w:val="00E874F0"/>
    <w:rsid w:val="00E87C23"/>
    <w:rsid w:val="00E90C89"/>
    <w:rsid w:val="00E91CB2"/>
    <w:rsid w:val="00E920C3"/>
    <w:rsid w:val="00E93631"/>
    <w:rsid w:val="00E947D7"/>
    <w:rsid w:val="00E978ED"/>
    <w:rsid w:val="00EA07EF"/>
    <w:rsid w:val="00EA1A7D"/>
    <w:rsid w:val="00EA28E5"/>
    <w:rsid w:val="00EA6DF4"/>
    <w:rsid w:val="00EA7309"/>
    <w:rsid w:val="00EA739F"/>
    <w:rsid w:val="00EA770D"/>
    <w:rsid w:val="00EB0AFA"/>
    <w:rsid w:val="00EB22D4"/>
    <w:rsid w:val="00EB4963"/>
    <w:rsid w:val="00EB4AD8"/>
    <w:rsid w:val="00EB67C0"/>
    <w:rsid w:val="00EC07E3"/>
    <w:rsid w:val="00EC1437"/>
    <w:rsid w:val="00EC2764"/>
    <w:rsid w:val="00EC4D89"/>
    <w:rsid w:val="00EC5653"/>
    <w:rsid w:val="00EC5C25"/>
    <w:rsid w:val="00ED3FAE"/>
    <w:rsid w:val="00ED59AE"/>
    <w:rsid w:val="00ED5DAD"/>
    <w:rsid w:val="00ED6121"/>
    <w:rsid w:val="00ED633D"/>
    <w:rsid w:val="00ED642C"/>
    <w:rsid w:val="00EE1546"/>
    <w:rsid w:val="00EE2730"/>
    <w:rsid w:val="00EE2857"/>
    <w:rsid w:val="00EE2C47"/>
    <w:rsid w:val="00EE4927"/>
    <w:rsid w:val="00EE5196"/>
    <w:rsid w:val="00EE5A25"/>
    <w:rsid w:val="00EE70AD"/>
    <w:rsid w:val="00EF1CBC"/>
    <w:rsid w:val="00EF3B22"/>
    <w:rsid w:val="00EF5E30"/>
    <w:rsid w:val="00EF64CA"/>
    <w:rsid w:val="00EF6933"/>
    <w:rsid w:val="00F02C09"/>
    <w:rsid w:val="00F03281"/>
    <w:rsid w:val="00F0424B"/>
    <w:rsid w:val="00F04E07"/>
    <w:rsid w:val="00F05681"/>
    <w:rsid w:val="00F06826"/>
    <w:rsid w:val="00F0754C"/>
    <w:rsid w:val="00F110B6"/>
    <w:rsid w:val="00F1133B"/>
    <w:rsid w:val="00F17694"/>
    <w:rsid w:val="00F176E4"/>
    <w:rsid w:val="00F20595"/>
    <w:rsid w:val="00F23B23"/>
    <w:rsid w:val="00F26726"/>
    <w:rsid w:val="00F30C81"/>
    <w:rsid w:val="00F311B6"/>
    <w:rsid w:val="00F35D79"/>
    <w:rsid w:val="00F3728F"/>
    <w:rsid w:val="00F37330"/>
    <w:rsid w:val="00F40A86"/>
    <w:rsid w:val="00F40C57"/>
    <w:rsid w:val="00F436BC"/>
    <w:rsid w:val="00F443CD"/>
    <w:rsid w:val="00F44A09"/>
    <w:rsid w:val="00F45F40"/>
    <w:rsid w:val="00F46BBD"/>
    <w:rsid w:val="00F5607A"/>
    <w:rsid w:val="00F56D25"/>
    <w:rsid w:val="00F56E4F"/>
    <w:rsid w:val="00F570B3"/>
    <w:rsid w:val="00F57F8B"/>
    <w:rsid w:val="00F635D3"/>
    <w:rsid w:val="00F64B12"/>
    <w:rsid w:val="00F65F96"/>
    <w:rsid w:val="00F66D66"/>
    <w:rsid w:val="00F67ADD"/>
    <w:rsid w:val="00F71E2F"/>
    <w:rsid w:val="00F72B2F"/>
    <w:rsid w:val="00F73CEF"/>
    <w:rsid w:val="00F73E17"/>
    <w:rsid w:val="00F757CD"/>
    <w:rsid w:val="00F763C8"/>
    <w:rsid w:val="00F7706D"/>
    <w:rsid w:val="00F7760A"/>
    <w:rsid w:val="00F8134A"/>
    <w:rsid w:val="00F839D7"/>
    <w:rsid w:val="00F87C4C"/>
    <w:rsid w:val="00F910C6"/>
    <w:rsid w:val="00F927BA"/>
    <w:rsid w:val="00F92CA3"/>
    <w:rsid w:val="00F9363F"/>
    <w:rsid w:val="00F93BA7"/>
    <w:rsid w:val="00F961CB"/>
    <w:rsid w:val="00F96F4A"/>
    <w:rsid w:val="00F97101"/>
    <w:rsid w:val="00FA0B81"/>
    <w:rsid w:val="00FA37B6"/>
    <w:rsid w:val="00FA5345"/>
    <w:rsid w:val="00FA727D"/>
    <w:rsid w:val="00FA73DD"/>
    <w:rsid w:val="00FB0521"/>
    <w:rsid w:val="00FB199C"/>
    <w:rsid w:val="00FB2F10"/>
    <w:rsid w:val="00FB3F96"/>
    <w:rsid w:val="00FB540F"/>
    <w:rsid w:val="00FB5A43"/>
    <w:rsid w:val="00FB60CD"/>
    <w:rsid w:val="00FB75AE"/>
    <w:rsid w:val="00FC01AB"/>
    <w:rsid w:val="00FC237B"/>
    <w:rsid w:val="00FC45D1"/>
    <w:rsid w:val="00FC653C"/>
    <w:rsid w:val="00FC7220"/>
    <w:rsid w:val="00FC73BF"/>
    <w:rsid w:val="00FC76F2"/>
    <w:rsid w:val="00FD1C5B"/>
    <w:rsid w:val="00FD3475"/>
    <w:rsid w:val="00FD5004"/>
    <w:rsid w:val="00FD5575"/>
    <w:rsid w:val="00FD566F"/>
    <w:rsid w:val="00FD728F"/>
    <w:rsid w:val="00FD7E0E"/>
    <w:rsid w:val="00FE0AD2"/>
    <w:rsid w:val="00FE4001"/>
    <w:rsid w:val="00FE4235"/>
    <w:rsid w:val="00FE53A1"/>
    <w:rsid w:val="00FE6421"/>
    <w:rsid w:val="00FE6E9D"/>
    <w:rsid w:val="00FF26EF"/>
    <w:rsid w:val="00FF321F"/>
    <w:rsid w:val="00FF4990"/>
    <w:rsid w:val="00FF596A"/>
    <w:rsid w:val="00FF6F40"/>
    <w:rsid w:val="00FF75F7"/>
    <w:rsid w:val="010124D7"/>
    <w:rsid w:val="02202D9A"/>
    <w:rsid w:val="030E5231"/>
    <w:rsid w:val="033298DF"/>
    <w:rsid w:val="03E604FE"/>
    <w:rsid w:val="0546B6A5"/>
    <w:rsid w:val="05DA25A0"/>
    <w:rsid w:val="0612C962"/>
    <w:rsid w:val="06172F09"/>
    <w:rsid w:val="074FE8EB"/>
    <w:rsid w:val="078B5EBD"/>
    <w:rsid w:val="07A9E3EF"/>
    <w:rsid w:val="08ED4CE3"/>
    <w:rsid w:val="09B3607B"/>
    <w:rsid w:val="0C14AEED"/>
    <w:rsid w:val="0C4AFABB"/>
    <w:rsid w:val="0CF864FE"/>
    <w:rsid w:val="0CFF556A"/>
    <w:rsid w:val="0DE53785"/>
    <w:rsid w:val="0F2B07F6"/>
    <w:rsid w:val="10171034"/>
    <w:rsid w:val="105645A7"/>
    <w:rsid w:val="10752F80"/>
    <w:rsid w:val="10F5FD99"/>
    <w:rsid w:val="118AA229"/>
    <w:rsid w:val="1272B59A"/>
    <w:rsid w:val="1293330A"/>
    <w:rsid w:val="12B023AA"/>
    <w:rsid w:val="12F51A99"/>
    <w:rsid w:val="136FDE6B"/>
    <w:rsid w:val="144B2ABD"/>
    <w:rsid w:val="182B7065"/>
    <w:rsid w:val="1A0B6D6C"/>
    <w:rsid w:val="1AA1CAF2"/>
    <w:rsid w:val="1B03F5BC"/>
    <w:rsid w:val="1BC00183"/>
    <w:rsid w:val="1C27DD5F"/>
    <w:rsid w:val="1D622AD8"/>
    <w:rsid w:val="1E792A77"/>
    <w:rsid w:val="1EC05A58"/>
    <w:rsid w:val="203D72B6"/>
    <w:rsid w:val="2271839F"/>
    <w:rsid w:val="22B608BC"/>
    <w:rsid w:val="22BCC752"/>
    <w:rsid w:val="242B02B9"/>
    <w:rsid w:val="24F130B2"/>
    <w:rsid w:val="2552B39A"/>
    <w:rsid w:val="2624281D"/>
    <w:rsid w:val="27ED8D78"/>
    <w:rsid w:val="2A7270BF"/>
    <w:rsid w:val="2AA1FEF2"/>
    <w:rsid w:val="2CBE6EE5"/>
    <w:rsid w:val="2D51456D"/>
    <w:rsid w:val="2D677872"/>
    <w:rsid w:val="2E81487B"/>
    <w:rsid w:val="2EB79449"/>
    <w:rsid w:val="3048B49D"/>
    <w:rsid w:val="31374D8C"/>
    <w:rsid w:val="331DA387"/>
    <w:rsid w:val="333C0009"/>
    <w:rsid w:val="3351C446"/>
    <w:rsid w:val="364730A0"/>
    <w:rsid w:val="36B26776"/>
    <w:rsid w:val="38C1BFDF"/>
    <w:rsid w:val="39129F68"/>
    <w:rsid w:val="3A3C7B58"/>
    <w:rsid w:val="3AB492D8"/>
    <w:rsid w:val="3ED3798F"/>
    <w:rsid w:val="3F79F366"/>
    <w:rsid w:val="3F8A64EF"/>
    <w:rsid w:val="3FCEF737"/>
    <w:rsid w:val="403B5C02"/>
    <w:rsid w:val="4212705F"/>
    <w:rsid w:val="42149B10"/>
    <w:rsid w:val="428A8AF3"/>
    <w:rsid w:val="42EF5A8B"/>
    <w:rsid w:val="4320EADE"/>
    <w:rsid w:val="4417E304"/>
    <w:rsid w:val="456E57CF"/>
    <w:rsid w:val="45D7FA13"/>
    <w:rsid w:val="46351C45"/>
    <w:rsid w:val="46ED3695"/>
    <w:rsid w:val="489D0EEC"/>
    <w:rsid w:val="48E26A82"/>
    <w:rsid w:val="494E0E0C"/>
    <w:rsid w:val="49BA38F4"/>
    <w:rsid w:val="4ACAB9B6"/>
    <w:rsid w:val="4B71FDD6"/>
    <w:rsid w:val="4EE11956"/>
    <w:rsid w:val="4F1DBE18"/>
    <w:rsid w:val="4F689EBF"/>
    <w:rsid w:val="4F69A573"/>
    <w:rsid w:val="507336C4"/>
    <w:rsid w:val="51B69FB8"/>
    <w:rsid w:val="525B85F8"/>
    <w:rsid w:val="528B75FA"/>
    <w:rsid w:val="53397A8D"/>
    <w:rsid w:val="535E8A89"/>
    <w:rsid w:val="5362BEBB"/>
    <w:rsid w:val="53AB3C2D"/>
    <w:rsid w:val="5420951A"/>
    <w:rsid w:val="5518CFDF"/>
    <w:rsid w:val="55577E17"/>
    <w:rsid w:val="5573A569"/>
    <w:rsid w:val="5715CEBE"/>
    <w:rsid w:val="575697C8"/>
    <w:rsid w:val="58546ED5"/>
    <w:rsid w:val="587429A2"/>
    <w:rsid w:val="58EC4184"/>
    <w:rsid w:val="5A760C4C"/>
    <w:rsid w:val="5A9F87A0"/>
    <w:rsid w:val="5B79767F"/>
    <w:rsid w:val="5CC7FEBF"/>
    <w:rsid w:val="5CF68FD8"/>
    <w:rsid w:val="5D782B89"/>
    <w:rsid w:val="5D92E5D8"/>
    <w:rsid w:val="5F3ED3F4"/>
    <w:rsid w:val="615E657E"/>
    <w:rsid w:val="619A0E21"/>
    <w:rsid w:val="62DC7AF6"/>
    <w:rsid w:val="6398023D"/>
    <w:rsid w:val="63A86A6B"/>
    <w:rsid w:val="645E71D9"/>
    <w:rsid w:val="666EE105"/>
    <w:rsid w:val="6813683A"/>
    <w:rsid w:val="6840CA63"/>
    <w:rsid w:val="68475628"/>
    <w:rsid w:val="6977BDDD"/>
    <w:rsid w:val="69D641D0"/>
    <w:rsid w:val="6A0900CE"/>
    <w:rsid w:val="6B57236C"/>
    <w:rsid w:val="6C3DCED5"/>
    <w:rsid w:val="6CE2B515"/>
    <w:rsid w:val="6DD21752"/>
    <w:rsid w:val="6E8E5F87"/>
    <w:rsid w:val="6F3FBB41"/>
    <w:rsid w:val="71035F20"/>
    <w:rsid w:val="7104E36F"/>
    <w:rsid w:val="72C3A900"/>
    <w:rsid w:val="72D87A44"/>
    <w:rsid w:val="748596EE"/>
    <w:rsid w:val="74925F6A"/>
    <w:rsid w:val="749C82CA"/>
    <w:rsid w:val="761B35D5"/>
    <w:rsid w:val="7665E825"/>
    <w:rsid w:val="76E62310"/>
    <w:rsid w:val="76FD5234"/>
    <w:rsid w:val="77AE4947"/>
    <w:rsid w:val="78A9941E"/>
    <w:rsid w:val="7903F3C9"/>
    <w:rsid w:val="798C1B3F"/>
    <w:rsid w:val="7A69DDFE"/>
    <w:rsid w:val="7B3EE8EE"/>
    <w:rsid w:val="7BA2C9B6"/>
    <w:rsid w:val="7DC82253"/>
    <w:rsid w:val="7E7BF131"/>
    <w:rsid w:val="7E80D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6E477796-CA6D-49B9-8228-FCDD83C1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17"/>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Char"/>
    <w:basedOn w:val="Normal"/>
    <w:link w:val="FootnoteTextChar"/>
    <w:uiPriority w:val="99"/>
    <w:unhideWhenUsed/>
    <w:rsid w:val="000B6A84"/>
    <w:rPr>
      <w:sz w:val="20"/>
    </w:rPr>
  </w:style>
  <w:style w:type="character" w:customStyle="1" w:styleId="FootnoteTextChar">
    <w:name w:val="Footnote Text Char"/>
    <w:aliases w:val="Char Char, Char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unhideWhenUsed/>
    <w:rsid w:val="00106BEA"/>
    <w:pPr>
      <w:spacing w:before="100" w:beforeAutospacing="1" w:after="100" w:afterAutospacing="1"/>
    </w:pPr>
    <w:rPr>
      <w:rFonts w:ascii="Times New Roman" w:hAnsi="Times New Roman"/>
      <w:sz w:val="24"/>
      <w:szCs w:val="24"/>
    </w:rPr>
  </w:style>
  <w:style w:type="paragraph" w:customStyle="1" w:styleId="paragraph">
    <w:name w:val="paragraph"/>
    <w:basedOn w:val="Normal"/>
    <w:rsid w:val="00E85A2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85A26"/>
  </w:style>
  <w:style w:type="character" w:customStyle="1" w:styleId="eop">
    <w:name w:val="eop"/>
    <w:basedOn w:val="DefaultParagraphFont"/>
    <w:rsid w:val="00E85A26"/>
  </w:style>
  <w:style w:type="numbering" w:styleId="1ai">
    <w:name w:val="Outline List 1"/>
    <w:basedOn w:val="NoList"/>
    <w:uiPriority w:val="99"/>
    <w:semiHidden/>
    <w:unhideWhenUsed/>
    <w:rsid w:val="002403F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683744429">
      <w:bodyDiv w:val="1"/>
      <w:marLeft w:val="0"/>
      <w:marRight w:val="0"/>
      <w:marTop w:val="0"/>
      <w:marBottom w:val="0"/>
      <w:divBdr>
        <w:top w:val="none" w:sz="0" w:space="0" w:color="auto"/>
        <w:left w:val="none" w:sz="0" w:space="0" w:color="auto"/>
        <w:bottom w:val="none" w:sz="0" w:space="0" w:color="auto"/>
        <w:right w:val="none" w:sz="0" w:space="0" w:color="auto"/>
      </w:divBdr>
    </w:div>
    <w:div w:id="726800207">
      <w:bodyDiv w:val="1"/>
      <w:marLeft w:val="0"/>
      <w:marRight w:val="0"/>
      <w:marTop w:val="0"/>
      <w:marBottom w:val="0"/>
      <w:divBdr>
        <w:top w:val="none" w:sz="0" w:space="0" w:color="auto"/>
        <w:left w:val="none" w:sz="0" w:space="0" w:color="auto"/>
        <w:bottom w:val="none" w:sz="0" w:space="0" w:color="auto"/>
        <w:right w:val="none" w:sz="0" w:space="0" w:color="auto"/>
      </w:divBdr>
      <w:divsChild>
        <w:div w:id="489520837">
          <w:marLeft w:val="0"/>
          <w:marRight w:val="0"/>
          <w:marTop w:val="0"/>
          <w:marBottom w:val="0"/>
          <w:divBdr>
            <w:top w:val="none" w:sz="0" w:space="0" w:color="auto"/>
            <w:left w:val="none" w:sz="0" w:space="0" w:color="auto"/>
            <w:bottom w:val="none" w:sz="0" w:space="0" w:color="auto"/>
            <w:right w:val="none" w:sz="0" w:space="0" w:color="auto"/>
          </w:divBdr>
        </w:div>
        <w:div w:id="646086463">
          <w:marLeft w:val="0"/>
          <w:marRight w:val="0"/>
          <w:marTop w:val="0"/>
          <w:marBottom w:val="0"/>
          <w:divBdr>
            <w:top w:val="none" w:sz="0" w:space="0" w:color="auto"/>
            <w:left w:val="none" w:sz="0" w:space="0" w:color="auto"/>
            <w:bottom w:val="none" w:sz="0" w:space="0" w:color="auto"/>
            <w:right w:val="none" w:sz="0" w:space="0" w:color="auto"/>
          </w:divBdr>
        </w:div>
        <w:div w:id="1221550328">
          <w:marLeft w:val="0"/>
          <w:marRight w:val="0"/>
          <w:marTop w:val="0"/>
          <w:marBottom w:val="0"/>
          <w:divBdr>
            <w:top w:val="none" w:sz="0" w:space="0" w:color="auto"/>
            <w:left w:val="none" w:sz="0" w:space="0" w:color="auto"/>
            <w:bottom w:val="none" w:sz="0" w:space="0" w:color="auto"/>
            <w:right w:val="none" w:sz="0" w:space="0" w:color="auto"/>
          </w:divBdr>
        </w:div>
        <w:div w:id="1347947285">
          <w:marLeft w:val="0"/>
          <w:marRight w:val="0"/>
          <w:marTop w:val="0"/>
          <w:marBottom w:val="0"/>
          <w:divBdr>
            <w:top w:val="none" w:sz="0" w:space="0" w:color="auto"/>
            <w:left w:val="none" w:sz="0" w:space="0" w:color="auto"/>
            <w:bottom w:val="none" w:sz="0" w:space="0" w:color="auto"/>
            <w:right w:val="none" w:sz="0" w:space="0" w:color="auto"/>
          </w:divBdr>
        </w:div>
        <w:div w:id="1368020038">
          <w:marLeft w:val="0"/>
          <w:marRight w:val="0"/>
          <w:marTop w:val="0"/>
          <w:marBottom w:val="0"/>
          <w:divBdr>
            <w:top w:val="none" w:sz="0" w:space="0" w:color="auto"/>
            <w:left w:val="none" w:sz="0" w:space="0" w:color="auto"/>
            <w:bottom w:val="none" w:sz="0" w:space="0" w:color="auto"/>
            <w:right w:val="none" w:sz="0" w:space="0" w:color="auto"/>
          </w:divBdr>
        </w:div>
        <w:div w:id="1713308851">
          <w:marLeft w:val="0"/>
          <w:marRight w:val="0"/>
          <w:marTop w:val="0"/>
          <w:marBottom w:val="0"/>
          <w:divBdr>
            <w:top w:val="none" w:sz="0" w:space="0" w:color="auto"/>
            <w:left w:val="none" w:sz="0" w:space="0" w:color="auto"/>
            <w:bottom w:val="none" w:sz="0" w:space="0" w:color="auto"/>
            <w:right w:val="none" w:sz="0" w:space="0" w:color="auto"/>
          </w:divBdr>
        </w:div>
        <w:div w:id="1770931097">
          <w:marLeft w:val="0"/>
          <w:marRight w:val="0"/>
          <w:marTop w:val="0"/>
          <w:marBottom w:val="0"/>
          <w:divBdr>
            <w:top w:val="none" w:sz="0" w:space="0" w:color="auto"/>
            <w:left w:val="none" w:sz="0" w:space="0" w:color="auto"/>
            <w:bottom w:val="none" w:sz="0" w:space="0" w:color="auto"/>
            <w:right w:val="none" w:sz="0" w:space="0" w:color="auto"/>
          </w:divBdr>
        </w:div>
        <w:div w:id="1872303942">
          <w:marLeft w:val="0"/>
          <w:marRight w:val="0"/>
          <w:marTop w:val="0"/>
          <w:marBottom w:val="0"/>
          <w:divBdr>
            <w:top w:val="none" w:sz="0" w:space="0" w:color="auto"/>
            <w:left w:val="none" w:sz="0" w:space="0" w:color="auto"/>
            <w:bottom w:val="none" w:sz="0" w:space="0" w:color="auto"/>
            <w:right w:val="none" w:sz="0" w:space="0" w:color="auto"/>
          </w:divBdr>
        </w:div>
      </w:divsChild>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44394748">
      <w:bodyDiv w:val="1"/>
      <w:marLeft w:val="0"/>
      <w:marRight w:val="0"/>
      <w:marTop w:val="0"/>
      <w:marBottom w:val="0"/>
      <w:divBdr>
        <w:top w:val="none" w:sz="0" w:space="0" w:color="auto"/>
        <w:left w:val="none" w:sz="0" w:space="0" w:color="auto"/>
        <w:bottom w:val="none" w:sz="0" w:space="0" w:color="auto"/>
        <w:right w:val="none" w:sz="0" w:space="0" w:color="auto"/>
      </w:divBdr>
    </w:div>
    <w:div w:id="909074839">
      <w:bodyDiv w:val="1"/>
      <w:marLeft w:val="0"/>
      <w:marRight w:val="0"/>
      <w:marTop w:val="0"/>
      <w:marBottom w:val="0"/>
      <w:divBdr>
        <w:top w:val="none" w:sz="0" w:space="0" w:color="auto"/>
        <w:left w:val="none" w:sz="0" w:space="0" w:color="auto"/>
        <w:bottom w:val="none" w:sz="0" w:space="0" w:color="auto"/>
        <w:right w:val="none" w:sz="0" w:space="0" w:color="auto"/>
      </w:divBdr>
      <w:divsChild>
        <w:div w:id="658079200">
          <w:marLeft w:val="0"/>
          <w:marRight w:val="0"/>
          <w:marTop w:val="0"/>
          <w:marBottom w:val="0"/>
          <w:divBdr>
            <w:top w:val="none" w:sz="0" w:space="0" w:color="auto"/>
            <w:left w:val="none" w:sz="0" w:space="0" w:color="auto"/>
            <w:bottom w:val="none" w:sz="0" w:space="0" w:color="auto"/>
            <w:right w:val="none" w:sz="0" w:space="0" w:color="auto"/>
          </w:divBdr>
        </w:div>
        <w:div w:id="1625037867">
          <w:marLeft w:val="0"/>
          <w:marRight w:val="0"/>
          <w:marTop w:val="0"/>
          <w:marBottom w:val="0"/>
          <w:divBdr>
            <w:top w:val="none" w:sz="0" w:space="0" w:color="auto"/>
            <w:left w:val="none" w:sz="0" w:space="0" w:color="auto"/>
            <w:bottom w:val="none" w:sz="0" w:space="0" w:color="auto"/>
            <w:right w:val="none" w:sz="0" w:space="0" w:color="auto"/>
          </w:divBdr>
        </w:div>
      </w:divsChild>
    </w:div>
    <w:div w:id="1016467824">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76903576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sites/default/files/2022-09/Information%20paper%20-%20Modernising%20the%20prudential%20architecture_0.pdf" TargetMode="External"/><Relationship Id="rId1" Type="http://schemas.openxmlformats.org/officeDocument/2006/relationships/hyperlink" Target="https://www.apra.gov.au/prudential-framework-minor-upd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234</Value>
      <Value>109</Value>
      <Value>10</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2.xml><?xml version="1.0" encoding="utf-8"?>
<ds:datastoreItem xmlns:ds="http://schemas.openxmlformats.org/officeDocument/2006/customXml" ds:itemID="{6AD1B70D-A6A8-4556-B7C1-F94206C4A61B}">
  <ds:schemaRefs>
    <ds:schemaRef ds:uri="http://schemas.microsoft.com/office/2006/documentManagement/types"/>
    <ds:schemaRef ds:uri="http://purl.org/dc/dcmitype/"/>
    <ds:schemaRef ds:uri="http://purl.org/dc/terms/"/>
    <ds:schemaRef ds:uri="http://purl.org/dc/elements/1.1/"/>
    <ds:schemaRef ds:uri="79530295-9eea-494d-b82a-9ff74409eafc"/>
    <ds:schemaRef ds:uri="http://schemas.openxmlformats.org/package/2006/metadata/core-properties"/>
    <ds:schemaRef ds:uri="http://schemas.microsoft.com/office/infopath/2007/PartnerControls"/>
    <ds:schemaRef ds:uri="5664482d-1961-4d38-bfc2-b109b34188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C182703-B729-4380-84F3-3CCA3B16CE45}"/>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6</Pages>
  <Words>1753</Words>
  <Characters>9889</Characters>
  <Application>Microsoft Office Word</Application>
  <DocSecurity>0</DocSecurity>
  <Lines>174</Lines>
  <Paragraphs>66</Paragraphs>
  <ScaleCrop>false</ScaleCrop>
  <HeadingPairs>
    <vt:vector size="2" baseType="variant">
      <vt:variant>
        <vt:lpstr>Title</vt:lpstr>
      </vt:variant>
      <vt:variant>
        <vt:i4>1</vt:i4>
      </vt:variant>
    </vt:vector>
  </HeadingPairs>
  <TitlesOfParts>
    <vt:vector size="1" baseType="lpstr">
      <vt:lpstr>ES - Banking (prudential standard) determination No. 2 of 2023</vt:lpstr>
    </vt:vector>
  </TitlesOfParts>
  <Company>APRA</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2 of 2023</dc:title>
  <dc:subject/>
  <dc:creator>Sullivan, David</dc:creator>
  <cp:keywords>[SEC=OFFICIAL]</cp:keywords>
  <cp:lastModifiedBy>Toni Michalis</cp:lastModifiedBy>
  <cp:revision>3</cp:revision>
  <cp:lastPrinted>2023-02-24T19:11:00Z</cp:lastPrinted>
  <dcterms:created xsi:type="dcterms:W3CDTF">2023-11-28T03:28:00Z</dcterms:created>
  <dcterms:modified xsi:type="dcterms:W3CDTF">2023-11-28T03:28:00Z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2022.1</vt:lpwstr>
  </property>
  <property fmtid="{D5CDD505-2E9C-101B-9397-08002B2CF9AE}" pid="15" name="ContentTypeId">
    <vt:lpwstr>0x01010080D163DB4DEE504FAB457909715FEC45</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277a2acb-c8d9-4367-bb74-d16d59e9bc47</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{277a2acb-c8d9-4367-bb74-d16d59e9bc47}</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_Note">
    <vt:lpwstr/>
  </property>
  <property fmtid="{D5CDD505-2E9C-101B-9397-08002B2CF9AE}" pid="45" name="PM_Markers">
    <vt:lpwstr/>
  </property>
  <property fmtid="{D5CDD505-2E9C-101B-9397-08002B2CF9AE}" pid="46" name="PM_Display">
    <vt:lpwstr>OFFICIAL</vt:lpwstr>
  </property>
  <property fmtid="{D5CDD505-2E9C-101B-9397-08002B2CF9AE}" pid="47" name="PMUuid">
    <vt:lpwstr>v=2022.2;d=gov.au;g=46DD6D7C-8107-577B-BC6E-F348953B2E44</vt:lpwstr>
  </property>
  <property fmtid="{D5CDD505-2E9C-101B-9397-08002B2CF9AE}" pid="48" name="PM_OriginatorDomainName_SHA256">
    <vt:lpwstr>ECBDE2B44A971754412B3FB70606937A119CC0D4B6C1B658A40FBD41C30BE3EC</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2022-12-01T04:12:57Z</vt:lpwstr>
  </property>
  <property fmtid="{D5CDD505-2E9C-101B-9397-08002B2CF9AE}" pid="53" name="MSIP_Label_c0129afb-6481-4f92-bc9f-5a4a6346364d_SetDate">
    <vt:lpwstr>2022-12-01T04:12:57Z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PM_Hash_SHA1">
    <vt:lpwstr>482D70237D59F8EB050D34706BF37DF9F296CA24</vt:lpwstr>
  </property>
  <property fmtid="{D5CDD505-2E9C-101B-9397-08002B2CF9AE}" pid="57" name="PM_Hash_Salt_Prev">
    <vt:lpwstr>550CB022D9BDBEA6EBE22E4C1EBFF6AB</vt:lpwstr>
  </property>
  <property fmtid="{D5CDD505-2E9C-101B-9397-08002B2CF9AE}" pid="58" name="PM_Hash_Salt">
    <vt:lpwstr>10785710BB0EDED1241294F961281CC4</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y fmtid="{D5CDD505-2E9C-101B-9397-08002B2CF9AE}" pid="61" name="PMHMAC">
    <vt:lpwstr>v=2022.1;a=SHA256;h=3DC5566C10EFC481AF87E717FA64A7AAEB071F779A5ED59098CD2A720ED3FC3E</vt:lpwstr>
  </property>
  <property fmtid="{D5CDD505-2E9C-101B-9397-08002B2CF9AE}" pid="62" name="MSIP_Label_c0129afb-6481-4f92-bc9f-5a4a6346364d_ActionId">
    <vt:lpwstr>d8e749e7b48a420299840345d33d3cf0</vt:lpwstr>
  </property>
</Properties>
</file>