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A04C" w14:textId="6C821563" w:rsidR="00043DA2" w:rsidRPr="00ED19D5" w:rsidRDefault="00043DA2" w:rsidP="00043DA2">
      <w:pPr>
        <w:pStyle w:val="Heading"/>
        <w:spacing w:after="240"/>
        <w:jc w:val="center"/>
        <w:rPr>
          <w:rFonts w:ascii="Times New Roman" w:hAnsi="Times New Roman"/>
          <w:i/>
          <w:sz w:val="24"/>
          <w:szCs w:val="24"/>
        </w:rPr>
      </w:pPr>
      <w:r w:rsidRPr="00ED19D5">
        <w:rPr>
          <w:rFonts w:ascii="Times New Roman" w:hAnsi="Times New Roman"/>
          <w:i/>
          <w:sz w:val="24"/>
          <w:szCs w:val="24"/>
        </w:rPr>
        <w:t xml:space="preserve">Banking (prudential standard) determinations No. </w:t>
      </w:r>
      <w:r w:rsidR="0568495C" w:rsidRPr="47356C1E">
        <w:rPr>
          <w:rFonts w:ascii="Times New Roman" w:hAnsi="Times New Roman"/>
          <w:i/>
          <w:iCs/>
          <w:sz w:val="24"/>
          <w:szCs w:val="24"/>
        </w:rPr>
        <w:t>5</w:t>
      </w:r>
      <w:r w:rsidRPr="00ED19D5">
        <w:rPr>
          <w:rFonts w:ascii="Times New Roman" w:hAnsi="Times New Roman"/>
          <w:i/>
          <w:sz w:val="24"/>
          <w:szCs w:val="24"/>
        </w:rPr>
        <w:t xml:space="preserve"> of 2023</w:t>
      </w:r>
    </w:p>
    <w:p w14:paraId="4F78671D" w14:textId="77777777" w:rsidR="00043DA2" w:rsidRPr="00590C51" w:rsidRDefault="00043DA2" w:rsidP="00043DA2">
      <w:pPr>
        <w:pStyle w:val="Heading"/>
        <w:tabs>
          <w:tab w:val="left" w:pos="360"/>
        </w:tabs>
        <w:spacing w:after="240"/>
        <w:jc w:val="center"/>
        <w:rPr>
          <w:rFonts w:ascii="Times New Roman" w:hAnsi="Times New Roman"/>
          <w:sz w:val="24"/>
          <w:szCs w:val="24"/>
          <w:u w:val="single"/>
        </w:rPr>
      </w:pPr>
      <w:bookmarkStart w:id="0" w:name="bkInstrumentSubTitle"/>
      <w:bookmarkEnd w:id="0"/>
      <w:r w:rsidRPr="00590C51">
        <w:rPr>
          <w:rFonts w:ascii="Times New Roman" w:hAnsi="Times New Roman"/>
          <w:sz w:val="24"/>
          <w:szCs w:val="24"/>
          <w:u w:val="single"/>
        </w:rPr>
        <w:t>EXPLANATORY STATEMENT</w:t>
      </w:r>
    </w:p>
    <w:p w14:paraId="5918A5C4" w14:textId="77777777" w:rsidR="00043DA2" w:rsidRPr="00590C51" w:rsidRDefault="00043DA2" w:rsidP="00043DA2">
      <w:pPr>
        <w:pStyle w:val="Heading"/>
        <w:spacing w:after="240"/>
        <w:jc w:val="center"/>
        <w:rPr>
          <w:rFonts w:ascii="Times New Roman" w:hAnsi="Times New Roman"/>
          <w:sz w:val="24"/>
          <w:szCs w:val="24"/>
        </w:rPr>
      </w:pPr>
      <w:r w:rsidRPr="00590C51">
        <w:rPr>
          <w:rFonts w:ascii="Times New Roman" w:hAnsi="Times New Roman"/>
          <w:sz w:val="24"/>
          <w:szCs w:val="24"/>
        </w:rPr>
        <w:t>Prepared by the Australian Prudential Regulation Authority (APRA)</w:t>
      </w:r>
    </w:p>
    <w:p w14:paraId="219C2F11" w14:textId="17E43B48" w:rsidR="00043DA2" w:rsidRPr="00590C51" w:rsidRDefault="00043DA2" w:rsidP="00043DA2">
      <w:pPr>
        <w:pStyle w:val="Heading"/>
        <w:tabs>
          <w:tab w:val="left" w:pos="360"/>
        </w:tabs>
        <w:spacing w:after="240"/>
        <w:jc w:val="center"/>
        <w:rPr>
          <w:rFonts w:ascii="Times New Roman" w:hAnsi="Times New Roman"/>
          <w:b w:val="0"/>
          <w:color w:val="000000"/>
          <w:sz w:val="24"/>
          <w:szCs w:val="24"/>
        </w:rPr>
      </w:pPr>
      <w:r w:rsidRPr="00590C51">
        <w:rPr>
          <w:rFonts w:ascii="Times New Roman" w:hAnsi="Times New Roman"/>
          <w:b w:val="0"/>
          <w:i/>
          <w:sz w:val="24"/>
          <w:szCs w:val="24"/>
        </w:rPr>
        <w:t>Banking Act 1959</w:t>
      </w:r>
      <w:r w:rsidRPr="00590C51">
        <w:rPr>
          <w:rFonts w:ascii="Times New Roman" w:hAnsi="Times New Roman"/>
          <w:b w:val="0"/>
          <w:sz w:val="24"/>
          <w:szCs w:val="24"/>
        </w:rPr>
        <w:t xml:space="preserve">, </w:t>
      </w:r>
      <w:r w:rsidRPr="00590C51">
        <w:rPr>
          <w:rFonts w:ascii="Times New Roman" w:hAnsi="Times New Roman"/>
          <w:b w:val="0"/>
          <w:color w:val="000000"/>
          <w:sz w:val="24"/>
          <w:szCs w:val="24"/>
        </w:rPr>
        <w:t>section 11AF</w:t>
      </w:r>
    </w:p>
    <w:p w14:paraId="7FC65100" w14:textId="214A0F4B" w:rsidR="00043DA2" w:rsidRPr="00590C51" w:rsidRDefault="005D6204" w:rsidP="00043DA2">
      <w:pPr>
        <w:widowControl w:val="0"/>
        <w:spacing w:after="240"/>
        <w:jc w:val="both"/>
        <w:rPr>
          <w:rFonts w:ascii="Times New Roman" w:hAnsi="Times New Roman"/>
          <w:sz w:val="24"/>
          <w:szCs w:val="24"/>
        </w:rPr>
      </w:pPr>
      <w:bookmarkStart w:id="1" w:name="bkAct"/>
      <w:bookmarkStart w:id="2" w:name="bkExplanatory"/>
      <w:bookmarkEnd w:id="1"/>
      <w:bookmarkEnd w:id="2"/>
      <w:r w:rsidRPr="005D6204">
        <w:rPr>
          <w:rFonts w:ascii="Times New Roman" w:hAnsi="Times New Roman"/>
          <w:sz w:val="24"/>
          <w:szCs w:val="24"/>
        </w:rPr>
        <w:t xml:space="preserve">APRA may, in writing, determine, vary or revoke a prudential standard that applies to </w:t>
      </w:r>
      <w:r w:rsidR="00043DA2" w:rsidRPr="00590C51">
        <w:rPr>
          <w:rFonts w:ascii="Times New Roman" w:hAnsi="Times New Roman"/>
          <w:sz w:val="24"/>
          <w:szCs w:val="24"/>
        </w:rPr>
        <w:t>authorised deposit-taking institutions (ADIs) and authorised non-operating holding companies (authorised NOHCs)</w:t>
      </w:r>
      <w:r w:rsidR="00CE2481">
        <w:rPr>
          <w:rFonts w:ascii="Times New Roman" w:hAnsi="Times New Roman"/>
          <w:sz w:val="24"/>
          <w:szCs w:val="24"/>
        </w:rPr>
        <w:t xml:space="preserve"> u</w:t>
      </w:r>
      <w:r w:rsidR="00CE2481" w:rsidRPr="00590C51">
        <w:rPr>
          <w:rFonts w:ascii="Times New Roman" w:hAnsi="Times New Roman"/>
          <w:sz w:val="24"/>
          <w:szCs w:val="24"/>
        </w:rPr>
        <w:t>nder subsection 11</w:t>
      </w:r>
      <w:proofErr w:type="gramStart"/>
      <w:r w:rsidR="00CE2481" w:rsidRPr="00590C51">
        <w:rPr>
          <w:rFonts w:ascii="Times New Roman" w:hAnsi="Times New Roman"/>
          <w:sz w:val="24"/>
          <w:szCs w:val="24"/>
        </w:rPr>
        <w:t>AF(</w:t>
      </w:r>
      <w:proofErr w:type="gramEnd"/>
      <w:r w:rsidR="00CE2481" w:rsidRPr="00590C51">
        <w:rPr>
          <w:rFonts w:ascii="Times New Roman" w:hAnsi="Times New Roman"/>
          <w:sz w:val="24"/>
          <w:szCs w:val="24"/>
        </w:rPr>
        <w:t xml:space="preserve">1) </w:t>
      </w:r>
      <w:r w:rsidR="00CE2481">
        <w:rPr>
          <w:rFonts w:ascii="Times New Roman" w:hAnsi="Times New Roman"/>
          <w:sz w:val="24"/>
          <w:szCs w:val="24"/>
        </w:rPr>
        <w:t xml:space="preserve">and (3) </w:t>
      </w:r>
      <w:r w:rsidR="00CE2481" w:rsidRPr="00590C51">
        <w:rPr>
          <w:rFonts w:ascii="Times New Roman" w:hAnsi="Times New Roman"/>
          <w:sz w:val="24"/>
          <w:szCs w:val="24"/>
        </w:rPr>
        <w:t xml:space="preserve">of the </w:t>
      </w:r>
      <w:r w:rsidR="00CE2481" w:rsidRPr="00590C51">
        <w:rPr>
          <w:rFonts w:ascii="Times New Roman" w:hAnsi="Times New Roman"/>
          <w:i/>
          <w:sz w:val="24"/>
          <w:szCs w:val="24"/>
        </w:rPr>
        <w:t>Banking Act 1959</w:t>
      </w:r>
      <w:r w:rsidR="00CE2481" w:rsidRPr="00590C51">
        <w:rPr>
          <w:rFonts w:ascii="Times New Roman" w:hAnsi="Times New Roman"/>
          <w:sz w:val="24"/>
          <w:szCs w:val="24"/>
        </w:rPr>
        <w:t xml:space="preserve"> (the Act)</w:t>
      </w:r>
      <w:r w:rsidR="00043DA2" w:rsidRPr="00590C51">
        <w:rPr>
          <w:rFonts w:ascii="Times New Roman" w:hAnsi="Times New Roman"/>
          <w:sz w:val="24"/>
          <w:szCs w:val="24"/>
        </w:rPr>
        <w:t xml:space="preserve">. </w:t>
      </w:r>
    </w:p>
    <w:p w14:paraId="3295885A" w14:textId="7967DAF1"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On </w:t>
      </w:r>
      <w:r w:rsidR="00EB11DD" w:rsidRPr="00115333">
        <w:rPr>
          <w:rFonts w:ascii="Times New Roman" w:hAnsi="Times New Roman"/>
          <w:sz w:val="24"/>
          <w:szCs w:val="24"/>
        </w:rPr>
        <w:t>21 Novem</w:t>
      </w:r>
      <w:r w:rsidR="00EB11DD" w:rsidRPr="00EB11DD">
        <w:rPr>
          <w:rFonts w:ascii="Times New Roman" w:hAnsi="Times New Roman"/>
          <w:sz w:val="24"/>
          <w:szCs w:val="24"/>
        </w:rPr>
        <w:t>ber</w:t>
      </w:r>
      <w:r w:rsidRPr="00EB11DD">
        <w:rPr>
          <w:rFonts w:ascii="Times New Roman" w:hAnsi="Times New Roman"/>
          <w:sz w:val="24"/>
          <w:szCs w:val="24"/>
        </w:rPr>
        <w:t xml:space="preserve"> 2023</w:t>
      </w:r>
      <w:r w:rsidRPr="00590C51">
        <w:rPr>
          <w:rFonts w:ascii="Times New Roman" w:hAnsi="Times New Roman"/>
          <w:sz w:val="24"/>
          <w:szCs w:val="24"/>
        </w:rPr>
        <w:t xml:space="preserve">, APRA made </w:t>
      </w:r>
      <w:r w:rsidR="0077263C" w:rsidRPr="00ED19D5">
        <w:rPr>
          <w:rFonts w:ascii="Times New Roman" w:hAnsi="Times New Roman"/>
          <w:i/>
          <w:sz w:val="24"/>
          <w:szCs w:val="24"/>
        </w:rPr>
        <w:t xml:space="preserve">Banking (prudential standard) determination No. </w:t>
      </w:r>
      <w:r w:rsidR="47C40B61" w:rsidRPr="47356C1E">
        <w:rPr>
          <w:rFonts w:ascii="Times New Roman" w:hAnsi="Times New Roman"/>
          <w:i/>
          <w:iCs/>
          <w:sz w:val="24"/>
          <w:szCs w:val="24"/>
        </w:rPr>
        <w:t>5</w:t>
      </w:r>
      <w:r w:rsidR="0077263C" w:rsidRPr="00ED19D5">
        <w:rPr>
          <w:rFonts w:ascii="Times New Roman" w:hAnsi="Times New Roman"/>
          <w:i/>
          <w:sz w:val="24"/>
          <w:szCs w:val="24"/>
        </w:rPr>
        <w:t xml:space="preserve"> of 2023</w:t>
      </w:r>
      <w:r w:rsidR="0077263C" w:rsidRPr="0077263C">
        <w:rPr>
          <w:rFonts w:ascii="Times New Roman" w:hAnsi="Times New Roman"/>
          <w:sz w:val="24"/>
          <w:szCs w:val="24"/>
        </w:rPr>
        <w:t xml:space="preserve"> </w:t>
      </w:r>
      <w:r w:rsidRPr="00590C51">
        <w:rPr>
          <w:rFonts w:ascii="Times New Roman" w:hAnsi="Times New Roman"/>
          <w:sz w:val="24"/>
          <w:szCs w:val="24"/>
        </w:rPr>
        <w:t xml:space="preserve">(the instrument), which revokes </w:t>
      </w:r>
      <w:r w:rsidRPr="00590C51">
        <w:rPr>
          <w:rFonts w:ascii="Times New Roman" w:hAnsi="Times New Roman"/>
          <w:i/>
          <w:iCs/>
          <w:sz w:val="24"/>
          <w:szCs w:val="24"/>
        </w:rPr>
        <w:t>Prudential Standard APS 180 Capital Adequacy: Counterparty Credit Risk</w:t>
      </w:r>
      <w:r w:rsidRPr="00590C51">
        <w:rPr>
          <w:rFonts w:ascii="Times New Roman" w:hAnsi="Times New Roman"/>
          <w:sz w:val="24"/>
          <w:szCs w:val="24"/>
        </w:rPr>
        <w:t xml:space="preserve"> </w:t>
      </w:r>
      <w:r w:rsidR="003A7DC1">
        <w:rPr>
          <w:rFonts w:ascii="Times New Roman" w:hAnsi="Times New Roman"/>
          <w:sz w:val="24"/>
          <w:szCs w:val="24"/>
        </w:rPr>
        <w:t xml:space="preserve">(APS 180) </w:t>
      </w:r>
      <w:r w:rsidRPr="00590C51">
        <w:rPr>
          <w:rFonts w:ascii="Times New Roman" w:hAnsi="Times New Roman"/>
          <w:sz w:val="24"/>
          <w:szCs w:val="24"/>
        </w:rPr>
        <w:t xml:space="preserve">made under </w:t>
      </w:r>
      <w:r w:rsidRPr="00ED19D5">
        <w:rPr>
          <w:rFonts w:ascii="Times New Roman" w:hAnsi="Times New Roman"/>
          <w:i/>
          <w:sz w:val="24"/>
          <w:szCs w:val="24"/>
        </w:rPr>
        <w:t>Banking (prudential standard) determination No. 12 of 2022</w:t>
      </w:r>
      <w:r w:rsidRPr="00590C51">
        <w:rPr>
          <w:rFonts w:ascii="Times New Roman" w:hAnsi="Times New Roman"/>
          <w:sz w:val="24"/>
          <w:szCs w:val="24"/>
        </w:rPr>
        <w:t xml:space="preserve"> and determines a new </w:t>
      </w:r>
      <w:r w:rsidR="008E7679" w:rsidRPr="00590C51">
        <w:rPr>
          <w:rFonts w:ascii="Times New Roman" w:hAnsi="Times New Roman"/>
          <w:sz w:val="24"/>
          <w:szCs w:val="24"/>
        </w:rPr>
        <w:t>APS 180.</w:t>
      </w:r>
    </w:p>
    <w:p w14:paraId="793B17E6" w14:textId="1AFDEFC5"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The instrument commences </w:t>
      </w:r>
      <w:r w:rsidR="00586AE8">
        <w:rPr>
          <w:rFonts w:ascii="Times New Roman" w:hAnsi="Times New Roman"/>
          <w:sz w:val="24"/>
          <w:szCs w:val="24"/>
        </w:rPr>
        <w:t>on 1 January 2024</w:t>
      </w:r>
      <w:r w:rsidRPr="00590C51">
        <w:rPr>
          <w:rFonts w:ascii="Times New Roman" w:hAnsi="Times New Roman"/>
          <w:sz w:val="24"/>
          <w:szCs w:val="24"/>
        </w:rPr>
        <w:t>.</w:t>
      </w:r>
    </w:p>
    <w:p w14:paraId="7B0F57CA"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Background</w:t>
      </w:r>
    </w:p>
    <w:p w14:paraId="199A7108" w14:textId="7C52FD7D"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APRA’s mandate is to ensure the safety and soundness of prudentially regulated financial institutions so that they can meet their financial promises to depositors, </w:t>
      </w:r>
      <w:r w:rsidR="00A10754" w:rsidRPr="00590C51">
        <w:rPr>
          <w:rFonts w:ascii="Times New Roman" w:hAnsi="Times New Roman"/>
          <w:sz w:val="24"/>
          <w:szCs w:val="24"/>
        </w:rPr>
        <w:t>policyholders,</w:t>
      </w:r>
      <w:r w:rsidRPr="00590C51">
        <w:rPr>
          <w:rFonts w:ascii="Times New Roman" w:hAnsi="Times New Roman"/>
          <w:sz w:val="24"/>
          <w:szCs w:val="24"/>
        </w:rPr>
        <w:t xml:space="preserve"> and fund members within a stable, </w:t>
      </w:r>
      <w:r w:rsidR="00A10754" w:rsidRPr="00590C51">
        <w:rPr>
          <w:rFonts w:ascii="Times New Roman" w:hAnsi="Times New Roman"/>
          <w:sz w:val="24"/>
          <w:szCs w:val="24"/>
        </w:rPr>
        <w:t>efficient,</w:t>
      </w:r>
      <w:r w:rsidRPr="00590C51">
        <w:rPr>
          <w:rFonts w:ascii="Times New Roman" w:hAnsi="Times New Roman"/>
          <w:sz w:val="24"/>
          <w:szCs w:val="24"/>
        </w:rPr>
        <w:t xml:space="preserve"> and competitive financial system.</w:t>
      </w:r>
    </w:p>
    <w:p w14:paraId="54EEEC56" w14:textId="58553EF0"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 carries out this mandate through a multi-layered prudential framework that encompasses licensing and supervision of </w:t>
      </w:r>
      <w:r w:rsidRPr="008C398C">
        <w:rPr>
          <w:rFonts w:ascii="Times New Roman" w:hAnsi="Times New Roman"/>
          <w:sz w:val="24"/>
          <w:szCs w:val="24"/>
        </w:rPr>
        <w:t>institutions</w:t>
      </w:r>
      <w:r w:rsidRPr="00590C51">
        <w:rPr>
          <w:rFonts w:ascii="Times New Roman" w:hAnsi="Times New Roman"/>
          <w:sz w:val="24"/>
          <w:szCs w:val="24"/>
        </w:rPr>
        <w:t xml:space="preserve">. In the case of the banking industry, APRA is empowered under the Act to issue legally binding prudential standards that set out specific prudential requirements with which ADIs must comply. </w:t>
      </w:r>
    </w:p>
    <w:p w14:paraId="6CED946D" w14:textId="3481CF6B" w:rsidR="008E7679" w:rsidRPr="00590C51" w:rsidRDefault="008E7679" w:rsidP="008E7679">
      <w:pPr>
        <w:spacing w:after="240"/>
        <w:jc w:val="both"/>
        <w:rPr>
          <w:rFonts w:ascii="Times New Roman" w:eastAsiaTheme="minorEastAsia" w:hAnsi="Times New Roman"/>
          <w:sz w:val="24"/>
          <w:szCs w:val="24"/>
          <w:lang w:eastAsia="en-US"/>
        </w:rPr>
      </w:pPr>
      <w:r w:rsidRPr="00590C51">
        <w:rPr>
          <w:rFonts w:ascii="Times New Roman" w:eastAsiaTheme="minorEastAsia" w:hAnsi="Times New Roman"/>
          <w:sz w:val="24"/>
          <w:szCs w:val="24"/>
          <w:lang w:eastAsia="en-US"/>
        </w:rPr>
        <w:t xml:space="preserve">One of the key components of APRA’s prudential framework is the suite of prudential standards which require ADIs to hold regulatory capital as a buffer against the risks which they undertake (capital standards). These capital standards include APS 180. </w:t>
      </w:r>
    </w:p>
    <w:p w14:paraId="5FE27C78" w14:textId="203A7AA6" w:rsidR="00F374A8" w:rsidRDefault="00F374A8" w:rsidP="00F374A8">
      <w:pPr>
        <w:spacing w:after="240"/>
        <w:jc w:val="both"/>
        <w:rPr>
          <w:rFonts w:ascii="Times New Roman" w:eastAsiaTheme="minorEastAsia" w:hAnsi="Times New Roman"/>
          <w:sz w:val="24"/>
          <w:szCs w:val="24"/>
          <w:lang w:eastAsia="en-US"/>
        </w:rPr>
      </w:pPr>
      <w:bookmarkStart w:id="3" w:name="bkBackground"/>
      <w:bookmarkEnd w:id="3"/>
      <w:r w:rsidRPr="00F374A8">
        <w:rPr>
          <w:rFonts w:ascii="Times New Roman" w:eastAsiaTheme="minorEastAsia" w:hAnsi="Times New Roman"/>
          <w:sz w:val="24"/>
          <w:szCs w:val="24"/>
          <w:lang w:eastAsia="en-US"/>
        </w:rPr>
        <w:t xml:space="preserve">Counterparty credit risk is the risk that an </w:t>
      </w:r>
      <w:r w:rsidR="004F0F3B">
        <w:rPr>
          <w:rFonts w:ascii="Times New Roman" w:eastAsiaTheme="minorEastAsia" w:hAnsi="Times New Roman"/>
          <w:sz w:val="24"/>
          <w:szCs w:val="24"/>
          <w:lang w:eastAsia="en-US"/>
        </w:rPr>
        <w:t>ADI</w:t>
      </w:r>
      <w:r w:rsidRPr="00F374A8">
        <w:rPr>
          <w:rFonts w:ascii="Times New Roman" w:eastAsiaTheme="minorEastAsia" w:hAnsi="Times New Roman"/>
          <w:sz w:val="24"/>
          <w:szCs w:val="24"/>
          <w:lang w:eastAsia="en-US"/>
        </w:rPr>
        <w:t xml:space="preserve"> suffers a loss in the event that a counterparty to a market-related transaction defaults before the final settlement of the transaction's cash flows.</w:t>
      </w:r>
    </w:p>
    <w:p w14:paraId="2DD2F169" w14:textId="33D07E63" w:rsidR="007B40CB" w:rsidRDefault="00967111" w:rsidP="00D3331C">
      <w:pPr>
        <w:spacing w:after="240"/>
        <w:jc w:val="both"/>
        <w:rPr>
          <w:rFonts w:ascii="Times New Roman" w:eastAsiaTheme="minorEastAsia" w:hAnsi="Times New Roman"/>
          <w:sz w:val="24"/>
          <w:szCs w:val="24"/>
          <w:lang w:eastAsia="en-US"/>
        </w:rPr>
      </w:pPr>
      <w:r w:rsidRPr="00426E39">
        <w:rPr>
          <w:rFonts w:ascii="Times New Roman" w:eastAsiaTheme="minorEastAsia" w:hAnsi="Times New Roman"/>
          <w:sz w:val="24"/>
          <w:szCs w:val="24"/>
          <w:lang w:eastAsia="en-US"/>
        </w:rPr>
        <w:t xml:space="preserve">APS 180 sets out requirements for ADIs to adopt risk management practices and hold sufficient regulatory capital for counterparty credit risk exposures arising </w:t>
      </w:r>
      <w:r w:rsidR="007B40CB" w:rsidRPr="007B40CB">
        <w:rPr>
          <w:rFonts w:ascii="Times New Roman" w:eastAsiaTheme="minorEastAsia" w:hAnsi="Times New Roman"/>
          <w:sz w:val="24"/>
          <w:szCs w:val="24"/>
          <w:lang w:eastAsia="en-US"/>
        </w:rPr>
        <w:t>from over-the-counter derivative transactions, exchange-traded derivative transactions, securities financing transactions and long settlement transactions</w:t>
      </w:r>
      <w:r w:rsidR="007B40CB">
        <w:rPr>
          <w:rFonts w:ascii="Times New Roman" w:eastAsiaTheme="minorEastAsia" w:hAnsi="Times New Roman"/>
          <w:sz w:val="24"/>
          <w:szCs w:val="24"/>
          <w:lang w:eastAsia="en-US"/>
        </w:rPr>
        <w:t>.</w:t>
      </w:r>
    </w:p>
    <w:p w14:paraId="7E7FEB06" w14:textId="4EBD2C00" w:rsidR="00967111" w:rsidRPr="00426E39" w:rsidRDefault="00E67C82" w:rsidP="41D5EF62">
      <w:pPr>
        <w:spacing w:after="240"/>
        <w:jc w:val="both"/>
        <w:rPr>
          <w:rFonts w:ascii="Times New Roman" w:eastAsiaTheme="minorEastAsia" w:hAnsi="Times New Roman"/>
          <w:sz w:val="24"/>
          <w:szCs w:val="24"/>
          <w:lang w:eastAsia="en-US"/>
        </w:rPr>
      </w:pPr>
      <w:r w:rsidRPr="41D5EF62">
        <w:rPr>
          <w:rFonts w:ascii="Times New Roman" w:eastAsiaTheme="minorEastAsia" w:hAnsi="Times New Roman"/>
          <w:sz w:val="24"/>
          <w:szCs w:val="24"/>
          <w:lang w:eastAsia="en-US"/>
        </w:rPr>
        <w:t xml:space="preserve">The capital charges for counterparty credit risk </w:t>
      </w:r>
      <w:r w:rsidR="00426E39" w:rsidRPr="41D5EF62">
        <w:rPr>
          <w:rFonts w:ascii="Times New Roman" w:eastAsiaTheme="minorEastAsia" w:hAnsi="Times New Roman"/>
          <w:sz w:val="24"/>
          <w:szCs w:val="24"/>
          <w:lang w:eastAsia="en-US"/>
        </w:rPr>
        <w:t xml:space="preserve">include </w:t>
      </w:r>
      <w:r w:rsidRPr="41D5EF62">
        <w:rPr>
          <w:rFonts w:ascii="Times New Roman" w:eastAsiaTheme="minorEastAsia" w:hAnsi="Times New Roman"/>
          <w:sz w:val="24"/>
          <w:szCs w:val="24"/>
          <w:lang w:eastAsia="en-US"/>
        </w:rPr>
        <w:t>the risk of counterparty default</w:t>
      </w:r>
      <w:r w:rsidR="009A2EF1" w:rsidRPr="41D5EF62">
        <w:rPr>
          <w:rFonts w:ascii="Times New Roman" w:eastAsiaTheme="minorEastAsia" w:hAnsi="Times New Roman"/>
          <w:sz w:val="24"/>
          <w:szCs w:val="24"/>
          <w:lang w:eastAsia="en-US"/>
        </w:rPr>
        <w:t xml:space="preserve"> (</w:t>
      </w:r>
      <w:r w:rsidR="0059727D" w:rsidRPr="41D5EF62">
        <w:rPr>
          <w:rFonts w:ascii="Times New Roman" w:eastAsiaTheme="minorEastAsia" w:hAnsi="Times New Roman"/>
          <w:sz w:val="24"/>
          <w:szCs w:val="24"/>
          <w:lang w:eastAsia="en-US"/>
        </w:rPr>
        <w:t xml:space="preserve">from both </w:t>
      </w:r>
      <w:r w:rsidR="009A2EF1" w:rsidRPr="41D5EF62">
        <w:rPr>
          <w:rFonts w:ascii="Times New Roman" w:eastAsiaTheme="minorEastAsia" w:hAnsi="Times New Roman"/>
          <w:sz w:val="24"/>
          <w:szCs w:val="24"/>
          <w:lang w:eastAsia="en-US"/>
        </w:rPr>
        <w:t>bilateral and central</w:t>
      </w:r>
      <w:r w:rsidR="00FD79C8" w:rsidRPr="41D5EF62">
        <w:rPr>
          <w:rFonts w:ascii="Times New Roman" w:eastAsiaTheme="minorEastAsia" w:hAnsi="Times New Roman"/>
          <w:sz w:val="24"/>
          <w:szCs w:val="24"/>
          <w:lang w:eastAsia="en-US"/>
        </w:rPr>
        <w:t>ly</w:t>
      </w:r>
      <w:r w:rsidR="009A2EF1" w:rsidRPr="41D5EF62">
        <w:rPr>
          <w:rFonts w:ascii="Times New Roman" w:eastAsiaTheme="minorEastAsia" w:hAnsi="Times New Roman"/>
          <w:sz w:val="24"/>
          <w:szCs w:val="24"/>
          <w:lang w:eastAsia="en-US"/>
        </w:rPr>
        <w:t xml:space="preserve"> clear</w:t>
      </w:r>
      <w:r w:rsidR="00FD79C8" w:rsidRPr="41D5EF62">
        <w:rPr>
          <w:rFonts w:ascii="Times New Roman" w:eastAsiaTheme="minorEastAsia" w:hAnsi="Times New Roman"/>
          <w:sz w:val="24"/>
          <w:szCs w:val="24"/>
          <w:lang w:eastAsia="en-US"/>
        </w:rPr>
        <w:t>ing parties</w:t>
      </w:r>
      <w:r w:rsidR="009A2EF1" w:rsidRPr="41D5EF62">
        <w:rPr>
          <w:rFonts w:ascii="Times New Roman" w:eastAsiaTheme="minorEastAsia" w:hAnsi="Times New Roman"/>
          <w:sz w:val="24"/>
          <w:szCs w:val="24"/>
          <w:lang w:eastAsia="en-US"/>
        </w:rPr>
        <w:t>)</w:t>
      </w:r>
      <w:r w:rsidRPr="41D5EF62">
        <w:rPr>
          <w:rFonts w:ascii="Times New Roman" w:eastAsiaTheme="minorEastAsia" w:hAnsi="Times New Roman"/>
          <w:sz w:val="24"/>
          <w:szCs w:val="24"/>
          <w:lang w:eastAsia="en-US"/>
        </w:rPr>
        <w:t xml:space="preserve"> and a credit valuation adjustment (CVA).</w:t>
      </w:r>
      <w:r w:rsidR="00D3331C" w:rsidRPr="41D5EF62">
        <w:rPr>
          <w:rStyle w:val="FootnoteReference"/>
          <w:rFonts w:ascii="Times New Roman" w:eastAsiaTheme="minorEastAsia" w:hAnsi="Times New Roman"/>
          <w:sz w:val="24"/>
          <w:szCs w:val="24"/>
          <w:lang w:eastAsia="en-US"/>
        </w:rPr>
        <w:footnoteReference w:id="2"/>
      </w:r>
      <w:r w:rsidRPr="00426E39">
        <w:rPr>
          <w:rFonts w:ascii="Times New Roman" w:hAnsi="Times New Roman"/>
          <w:sz w:val="24"/>
          <w:szCs w:val="24"/>
        </w:rPr>
        <w:t xml:space="preserve"> </w:t>
      </w:r>
      <w:r w:rsidR="00D3331C" w:rsidRPr="00426E39">
        <w:rPr>
          <w:rFonts w:ascii="Times New Roman" w:hAnsi="Times New Roman"/>
          <w:sz w:val="24"/>
          <w:szCs w:val="24"/>
        </w:rPr>
        <w:t>Material to the calculation of capital charges for default risk and CVA risk is the measurement of the exposure of the underlying transactions in a portfolio</w:t>
      </w:r>
      <w:r w:rsidR="00426E39">
        <w:rPr>
          <w:rFonts w:ascii="Times New Roman" w:hAnsi="Times New Roman"/>
          <w:sz w:val="24"/>
          <w:szCs w:val="24"/>
        </w:rPr>
        <w:t xml:space="preserve">. </w:t>
      </w:r>
      <w:r w:rsidR="007B40CB" w:rsidRPr="007B40CB">
        <w:rPr>
          <w:rFonts w:ascii="Times New Roman" w:hAnsi="Times New Roman"/>
          <w:sz w:val="24"/>
          <w:szCs w:val="24"/>
        </w:rPr>
        <w:t xml:space="preserve">APS 180 </w:t>
      </w:r>
      <w:r w:rsidR="007B40CB" w:rsidRPr="007B40CB">
        <w:rPr>
          <w:rFonts w:ascii="Times New Roman" w:hAnsi="Times New Roman"/>
          <w:sz w:val="24"/>
          <w:szCs w:val="24"/>
        </w:rPr>
        <w:lastRenderedPageBreak/>
        <w:t xml:space="preserve">implements the </w:t>
      </w:r>
      <w:r w:rsidR="007B40CB">
        <w:rPr>
          <w:rFonts w:ascii="Times New Roman" w:hAnsi="Times New Roman"/>
          <w:sz w:val="24"/>
          <w:szCs w:val="24"/>
        </w:rPr>
        <w:t>standardised approach for counterparty credit risk (</w:t>
      </w:r>
      <w:r w:rsidR="007B40CB" w:rsidRPr="007B40CB">
        <w:rPr>
          <w:rFonts w:ascii="Times New Roman" w:hAnsi="Times New Roman"/>
          <w:sz w:val="24"/>
          <w:szCs w:val="24"/>
        </w:rPr>
        <w:t>SA-CCR</w:t>
      </w:r>
      <w:r w:rsidR="007B40CB">
        <w:rPr>
          <w:rFonts w:ascii="Times New Roman" w:hAnsi="Times New Roman"/>
          <w:sz w:val="24"/>
          <w:szCs w:val="24"/>
        </w:rPr>
        <w:t>)</w:t>
      </w:r>
      <w:r w:rsidR="007B40CB" w:rsidRPr="007B40CB">
        <w:rPr>
          <w:rFonts w:ascii="Times New Roman" w:hAnsi="Times New Roman"/>
          <w:sz w:val="24"/>
          <w:szCs w:val="24"/>
        </w:rPr>
        <w:t xml:space="preserve"> which </w:t>
      </w:r>
      <w:r w:rsidR="007B40CB">
        <w:rPr>
          <w:rFonts w:ascii="Times New Roman" w:hAnsi="Times New Roman"/>
          <w:sz w:val="24"/>
          <w:szCs w:val="24"/>
        </w:rPr>
        <w:t xml:space="preserve">applies </w:t>
      </w:r>
      <w:r w:rsidR="007B40CB" w:rsidRPr="007B40CB">
        <w:rPr>
          <w:rFonts w:ascii="Times New Roman" w:hAnsi="Times New Roman"/>
          <w:sz w:val="24"/>
          <w:szCs w:val="24"/>
        </w:rPr>
        <w:t xml:space="preserve">to ADIs who are accredited to use the internal ratings-based approach (IRB) to credit risk </w:t>
      </w:r>
      <w:r w:rsidR="53C1CD1B" w:rsidRPr="007B40CB">
        <w:rPr>
          <w:rFonts w:ascii="Times New Roman" w:hAnsi="Times New Roman"/>
          <w:sz w:val="24"/>
          <w:szCs w:val="24"/>
        </w:rPr>
        <w:t xml:space="preserve">under </w:t>
      </w:r>
      <w:r w:rsidR="53C1CD1B" w:rsidRPr="41D5EF62">
        <w:rPr>
          <w:rFonts w:ascii="Times New Roman" w:hAnsi="Times New Roman"/>
          <w:i/>
          <w:iCs/>
          <w:sz w:val="24"/>
          <w:szCs w:val="24"/>
        </w:rPr>
        <w:t>Prud</w:t>
      </w:r>
      <w:r w:rsidR="12B90691" w:rsidRPr="41D5EF62">
        <w:rPr>
          <w:rFonts w:ascii="Times New Roman" w:hAnsi="Times New Roman"/>
          <w:i/>
          <w:iCs/>
          <w:sz w:val="24"/>
          <w:szCs w:val="24"/>
        </w:rPr>
        <w:t xml:space="preserve">ential </w:t>
      </w:r>
      <w:r w:rsidR="53C1CD1B" w:rsidRPr="41D5EF62">
        <w:rPr>
          <w:rFonts w:ascii="Times New Roman" w:hAnsi="Times New Roman"/>
          <w:i/>
          <w:iCs/>
          <w:sz w:val="24"/>
          <w:szCs w:val="24"/>
        </w:rPr>
        <w:t>Standard AP</w:t>
      </w:r>
      <w:r w:rsidR="1454D6F2" w:rsidRPr="41D5EF62">
        <w:rPr>
          <w:rFonts w:ascii="Times New Roman" w:hAnsi="Times New Roman"/>
          <w:i/>
          <w:iCs/>
          <w:sz w:val="24"/>
          <w:szCs w:val="24"/>
        </w:rPr>
        <w:t>S</w:t>
      </w:r>
      <w:r w:rsidR="53C1CD1B" w:rsidRPr="41D5EF62">
        <w:rPr>
          <w:rFonts w:ascii="Times New Roman" w:hAnsi="Times New Roman"/>
          <w:i/>
          <w:iCs/>
          <w:sz w:val="24"/>
          <w:szCs w:val="24"/>
        </w:rPr>
        <w:t xml:space="preserve"> 113 Capital Adequacy: Internal</w:t>
      </w:r>
      <w:r w:rsidR="2A9706B9" w:rsidRPr="41D5EF62">
        <w:rPr>
          <w:rFonts w:ascii="Times New Roman" w:hAnsi="Times New Roman"/>
          <w:i/>
          <w:iCs/>
          <w:sz w:val="24"/>
          <w:szCs w:val="24"/>
        </w:rPr>
        <w:t xml:space="preserve"> Ratings-based Appr</w:t>
      </w:r>
      <w:r w:rsidR="09E97952" w:rsidRPr="41D5EF62">
        <w:rPr>
          <w:rFonts w:ascii="Times New Roman" w:hAnsi="Times New Roman"/>
          <w:i/>
          <w:iCs/>
          <w:sz w:val="24"/>
          <w:szCs w:val="24"/>
        </w:rPr>
        <w:t>o</w:t>
      </w:r>
      <w:r w:rsidR="2A9706B9" w:rsidRPr="41D5EF62">
        <w:rPr>
          <w:rFonts w:ascii="Times New Roman" w:hAnsi="Times New Roman"/>
          <w:i/>
          <w:iCs/>
          <w:sz w:val="24"/>
          <w:szCs w:val="24"/>
        </w:rPr>
        <w:t xml:space="preserve">ach to Credit Risk </w:t>
      </w:r>
      <w:r w:rsidR="2A9706B9" w:rsidRPr="007B40CB">
        <w:rPr>
          <w:rFonts w:ascii="Times New Roman" w:hAnsi="Times New Roman"/>
          <w:sz w:val="24"/>
          <w:szCs w:val="24"/>
        </w:rPr>
        <w:t>(APS 113)</w:t>
      </w:r>
      <w:r w:rsidR="4AAD0FC6" w:rsidRPr="007B40CB">
        <w:rPr>
          <w:rFonts w:ascii="Times New Roman" w:hAnsi="Times New Roman"/>
          <w:sz w:val="24"/>
          <w:szCs w:val="24"/>
        </w:rPr>
        <w:t xml:space="preserve"> while </w:t>
      </w:r>
      <w:r w:rsidR="007B40CB" w:rsidRPr="007B40CB">
        <w:rPr>
          <w:rFonts w:ascii="Times New Roman" w:hAnsi="Times New Roman"/>
          <w:sz w:val="24"/>
          <w:szCs w:val="24"/>
        </w:rPr>
        <w:t xml:space="preserve">other ADIs </w:t>
      </w:r>
      <w:r w:rsidR="007B40CB">
        <w:rPr>
          <w:rFonts w:ascii="Times New Roman" w:hAnsi="Times New Roman"/>
          <w:sz w:val="24"/>
          <w:szCs w:val="24"/>
        </w:rPr>
        <w:t xml:space="preserve">use </w:t>
      </w:r>
      <w:r w:rsidR="007B40CB" w:rsidRPr="007B40CB">
        <w:rPr>
          <w:rFonts w:ascii="Times New Roman" w:hAnsi="Times New Roman"/>
          <w:sz w:val="24"/>
          <w:szCs w:val="24"/>
        </w:rPr>
        <w:t>a simplified approach – the adjusted current exposure method for measuring counterparty credit risk.</w:t>
      </w:r>
      <w:r w:rsidR="00F40739">
        <w:rPr>
          <w:rFonts w:ascii="Times New Roman" w:hAnsi="Times New Roman"/>
          <w:sz w:val="24"/>
          <w:szCs w:val="24"/>
        </w:rPr>
        <w:t xml:space="preserve"> R</w:t>
      </w:r>
      <w:r w:rsidR="00F40739" w:rsidRPr="00F40739">
        <w:rPr>
          <w:rFonts w:ascii="Times New Roman" w:hAnsi="Times New Roman"/>
          <w:sz w:val="24"/>
          <w:szCs w:val="24"/>
        </w:rPr>
        <w:t>isk weights to counterparty credit risk exposure amounts for regulatory capital purposes</w:t>
      </w:r>
      <w:r w:rsidR="00F40739">
        <w:rPr>
          <w:rFonts w:ascii="Times New Roman" w:hAnsi="Times New Roman"/>
          <w:sz w:val="24"/>
          <w:szCs w:val="24"/>
        </w:rPr>
        <w:t xml:space="preserve"> are then applied</w:t>
      </w:r>
      <w:r w:rsidR="0059727D">
        <w:rPr>
          <w:rFonts w:ascii="Times New Roman" w:hAnsi="Times New Roman"/>
          <w:sz w:val="24"/>
          <w:szCs w:val="24"/>
        </w:rPr>
        <w:t xml:space="preserve"> </w:t>
      </w:r>
      <w:r w:rsidR="1EA2330F">
        <w:rPr>
          <w:rFonts w:ascii="Times New Roman" w:hAnsi="Times New Roman"/>
          <w:sz w:val="24"/>
          <w:szCs w:val="24"/>
        </w:rPr>
        <w:t>as per</w:t>
      </w:r>
      <w:r w:rsidR="0059727D">
        <w:rPr>
          <w:rFonts w:ascii="Times New Roman" w:hAnsi="Times New Roman"/>
          <w:sz w:val="24"/>
          <w:szCs w:val="24"/>
        </w:rPr>
        <w:t xml:space="preserve"> </w:t>
      </w:r>
      <w:r w:rsidR="3A1601E2">
        <w:rPr>
          <w:rFonts w:ascii="Times New Roman" w:hAnsi="Times New Roman"/>
          <w:sz w:val="24"/>
          <w:szCs w:val="24"/>
        </w:rPr>
        <w:t>APS 180</w:t>
      </w:r>
      <w:r w:rsidR="00F40739">
        <w:rPr>
          <w:rFonts w:ascii="Times New Roman" w:hAnsi="Times New Roman"/>
          <w:sz w:val="24"/>
          <w:szCs w:val="24"/>
        </w:rPr>
        <w:t>.</w:t>
      </w:r>
    </w:p>
    <w:p w14:paraId="3DA5572D"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Purpose and operation of the instrument</w:t>
      </w:r>
    </w:p>
    <w:p w14:paraId="1AF8C1A6" w14:textId="4506C153" w:rsidR="008E7679" w:rsidRPr="00590C51" w:rsidRDefault="008E7679" w:rsidP="008E7679">
      <w:pPr>
        <w:spacing w:after="240"/>
        <w:jc w:val="both"/>
        <w:rPr>
          <w:rFonts w:ascii="Times New Roman" w:hAnsi="Times New Roman"/>
          <w:sz w:val="24"/>
          <w:szCs w:val="24"/>
        </w:rPr>
      </w:pPr>
      <w:bookmarkStart w:id="4" w:name="bkPurpose"/>
      <w:bookmarkEnd w:id="4"/>
      <w:r w:rsidRPr="00590C51">
        <w:rPr>
          <w:rFonts w:ascii="Times New Roman" w:hAnsi="Times New Roman"/>
          <w:sz w:val="24"/>
          <w:szCs w:val="24"/>
        </w:rPr>
        <w:t xml:space="preserve">The purpose of the instrument is to revoke APS 180 made under </w:t>
      </w:r>
      <w:r w:rsidRPr="00ED19D5">
        <w:rPr>
          <w:rFonts w:ascii="Times New Roman" w:hAnsi="Times New Roman"/>
          <w:i/>
          <w:sz w:val="24"/>
          <w:szCs w:val="24"/>
        </w:rPr>
        <w:t xml:space="preserve">Banking (prudential standard) determination No. </w:t>
      </w:r>
      <w:r w:rsidR="008423C0" w:rsidRPr="00ED19D5">
        <w:rPr>
          <w:rFonts w:ascii="Times New Roman" w:hAnsi="Times New Roman"/>
          <w:i/>
          <w:sz w:val="24"/>
          <w:szCs w:val="24"/>
        </w:rPr>
        <w:t>12</w:t>
      </w:r>
      <w:r w:rsidRPr="00ED19D5">
        <w:rPr>
          <w:rFonts w:ascii="Times New Roman" w:hAnsi="Times New Roman"/>
          <w:i/>
          <w:sz w:val="24"/>
          <w:szCs w:val="24"/>
        </w:rPr>
        <w:t xml:space="preserve"> of 202</w:t>
      </w:r>
      <w:r w:rsidR="008423C0" w:rsidRPr="00ED19D5">
        <w:rPr>
          <w:rFonts w:ascii="Times New Roman" w:hAnsi="Times New Roman"/>
          <w:i/>
          <w:sz w:val="24"/>
          <w:szCs w:val="24"/>
        </w:rPr>
        <w:t>2</w:t>
      </w:r>
      <w:r w:rsidRPr="00590C51">
        <w:rPr>
          <w:rFonts w:ascii="Times New Roman" w:hAnsi="Times New Roman"/>
          <w:sz w:val="24"/>
          <w:szCs w:val="24"/>
        </w:rPr>
        <w:t xml:space="preserve"> and replace it with a new version of the prudential standard incorporating minor updates.</w:t>
      </w:r>
    </w:p>
    <w:p w14:paraId="3C34E80F" w14:textId="3B45F6F8" w:rsidR="008C04B6" w:rsidRDefault="008E7679" w:rsidP="005E31D1">
      <w:pPr>
        <w:pStyle w:val="Heading"/>
        <w:spacing w:after="240"/>
        <w:rPr>
          <w:rFonts w:ascii="Times New Roman" w:hAnsi="Times New Roman"/>
          <w:b w:val="0"/>
          <w:sz w:val="24"/>
          <w:szCs w:val="24"/>
        </w:rPr>
      </w:pPr>
      <w:r w:rsidRPr="005E31D1">
        <w:rPr>
          <w:rFonts w:ascii="Times New Roman" w:eastAsiaTheme="minorEastAsia" w:hAnsi="Times New Roman"/>
          <w:b w:val="0"/>
          <w:sz w:val="24"/>
          <w:szCs w:val="24"/>
          <w:lang w:eastAsia="en-US"/>
        </w:rPr>
        <w:t>As part of a process to ensure minor updates to APRA’s prudential framework are made in a timely manner, and part of APRA's strategic initiative to modernise the prudential architecture, APRA is making minor amendments to APS 1</w:t>
      </w:r>
      <w:r w:rsidR="009A10E6" w:rsidRPr="005E31D1">
        <w:rPr>
          <w:rFonts w:ascii="Times New Roman" w:eastAsiaTheme="minorEastAsia" w:hAnsi="Times New Roman"/>
          <w:b w:val="0"/>
          <w:sz w:val="24"/>
          <w:szCs w:val="24"/>
          <w:lang w:eastAsia="en-US"/>
        </w:rPr>
        <w:t>8</w:t>
      </w:r>
      <w:r w:rsidRPr="005E31D1">
        <w:rPr>
          <w:rFonts w:ascii="Times New Roman" w:eastAsiaTheme="minorEastAsia" w:hAnsi="Times New Roman"/>
          <w:b w:val="0"/>
          <w:sz w:val="24"/>
          <w:szCs w:val="24"/>
          <w:lang w:eastAsia="en-US"/>
        </w:rPr>
        <w:t>0.</w:t>
      </w:r>
      <w:r w:rsidRPr="005E31D1">
        <w:rPr>
          <w:rStyle w:val="FootnoteReference"/>
          <w:rFonts w:ascii="Times New Roman" w:eastAsiaTheme="minorEastAsia" w:hAnsi="Times New Roman"/>
          <w:b w:val="0"/>
          <w:sz w:val="24"/>
          <w:szCs w:val="24"/>
          <w:lang w:eastAsia="en-US"/>
        </w:rPr>
        <w:footnoteReference w:id="3"/>
      </w:r>
      <w:r w:rsidR="00466683">
        <w:rPr>
          <w:rStyle w:val="CommentReference"/>
          <w:b w:val="0"/>
        </w:rPr>
        <w:t xml:space="preserve"> </w:t>
      </w:r>
      <w:r w:rsidR="005E31D1" w:rsidRPr="005E31D1">
        <w:rPr>
          <w:rFonts w:ascii="Times New Roman" w:eastAsiaTheme="minorEastAsia" w:hAnsi="Times New Roman"/>
          <w:b w:val="0"/>
          <w:sz w:val="24"/>
          <w:szCs w:val="24"/>
          <w:lang w:eastAsia="en-US"/>
        </w:rPr>
        <w:t xml:space="preserve"> </w:t>
      </w:r>
      <w:r w:rsidR="009A10E6" w:rsidRPr="005E31D1">
        <w:rPr>
          <w:rFonts w:ascii="Times New Roman" w:hAnsi="Times New Roman"/>
          <w:b w:val="0"/>
          <w:sz w:val="24"/>
          <w:szCs w:val="24"/>
        </w:rPr>
        <w:t>These include a minor consequential amendment to clarify the scope of the standard to exclude non-significant financial institutions (non-SFIs)</w:t>
      </w:r>
      <w:r w:rsidR="005E31D1">
        <w:rPr>
          <w:rStyle w:val="FootnoteReference"/>
          <w:rFonts w:ascii="Times New Roman" w:hAnsi="Times New Roman"/>
          <w:b w:val="0"/>
          <w:szCs w:val="24"/>
        </w:rPr>
        <w:footnoteReference w:id="4"/>
      </w:r>
      <w:r w:rsidR="009A10E6" w:rsidRPr="005E31D1">
        <w:rPr>
          <w:rFonts w:ascii="Times New Roman" w:hAnsi="Times New Roman"/>
          <w:b w:val="0"/>
          <w:sz w:val="24"/>
          <w:szCs w:val="24"/>
        </w:rPr>
        <w:t xml:space="preserve"> and a minor amendment to the treatment of eligible CVA hedges </w:t>
      </w:r>
      <w:r w:rsidR="005E31D1" w:rsidRPr="005E31D1">
        <w:rPr>
          <w:rFonts w:ascii="Times New Roman" w:hAnsi="Times New Roman"/>
          <w:b w:val="0"/>
          <w:sz w:val="24"/>
          <w:szCs w:val="24"/>
        </w:rPr>
        <w:t xml:space="preserve">(the process through which counterparty credit risk is valued, priced and hedged) </w:t>
      </w:r>
      <w:r w:rsidR="009A10E6" w:rsidRPr="005E31D1">
        <w:rPr>
          <w:rFonts w:ascii="Times New Roman" w:hAnsi="Times New Roman"/>
          <w:b w:val="0"/>
          <w:sz w:val="24"/>
          <w:szCs w:val="24"/>
        </w:rPr>
        <w:t>in the CVA capital charge calculation</w:t>
      </w:r>
      <w:r w:rsidR="005E31D1">
        <w:rPr>
          <w:rFonts w:ascii="Times New Roman" w:hAnsi="Times New Roman"/>
          <w:b w:val="0"/>
          <w:sz w:val="24"/>
          <w:szCs w:val="24"/>
        </w:rPr>
        <w:t>.</w:t>
      </w:r>
      <w:r w:rsidR="003C5E43">
        <w:rPr>
          <w:rFonts w:ascii="Times New Roman" w:hAnsi="Times New Roman"/>
          <w:b w:val="0"/>
          <w:sz w:val="24"/>
          <w:szCs w:val="24"/>
        </w:rPr>
        <w:t xml:space="preserve"> </w:t>
      </w:r>
    </w:p>
    <w:p w14:paraId="041A55B5" w14:textId="77777777" w:rsidR="00B54F1F" w:rsidRDefault="00B54F1F" w:rsidP="00ED19D5">
      <w:pPr>
        <w:spacing w:after="2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The key provisions in </w:t>
      </w:r>
      <w:r w:rsidRPr="00590C51">
        <w:rPr>
          <w:rFonts w:ascii="Times New Roman" w:hAnsi="Times New Roman"/>
          <w:i/>
          <w:iCs/>
          <w:sz w:val="24"/>
          <w:szCs w:val="24"/>
        </w:rPr>
        <w:t>Prudential Standard APS 180 Capital Adequacy: Counterparty Credit Risk</w:t>
      </w:r>
      <w:r w:rsidRPr="00590C51">
        <w:rPr>
          <w:rFonts w:ascii="Times New Roman" w:hAnsi="Times New Roman"/>
          <w:sz w:val="24"/>
          <w:szCs w:val="24"/>
        </w:rPr>
        <w:t xml:space="preserve"> </w:t>
      </w:r>
      <w:r>
        <w:rPr>
          <w:rFonts w:ascii="Times New Roman" w:hAnsi="Times New Roman"/>
          <w:sz w:val="24"/>
          <w:szCs w:val="24"/>
        </w:rPr>
        <w:t>(</w:t>
      </w:r>
      <w:r w:rsidRPr="00EC2764">
        <w:rPr>
          <w:rFonts w:ascii="Times New Roman" w:eastAsia="Calibri" w:hAnsi="Times New Roman"/>
          <w:sz w:val="24"/>
          <w:szCs w:val="24"/>
          <w:lang w:eastAsia="en-US"/>
        </w:rPr>
        <w:t>APS 1</w:t>
      </w:r>
      <w:r>
        <w:rPr>
          <w:rFonts w:ascii="Times New Roman" w:eastAsia="Calibri" w:hAnsi="Times New Roman"/>
          <w:sz w:val="24"/>
          <w:szCs w:val="24"/>
          <w:lang w:eastAsia="en-US"/>
        </w:rPr>
        <w:t>80)</w:t>
      </w:r>
      <w:r w:rsidRPr="00EC276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are: </w:t>
      </w:r>
    </w:p>
    <w:p w14:paraId="0156B043" w14:textId="77777777" w:rsidR="00B54F1F" w:rsidRPr="00F322BC" w:rsidRDefault="00B54F1F" w:rsidP="00B54F1F">
      <w:pPr>
        <w:pStyle w:val="ListParagraph"/>
        <w:numPr>
          <w:ilvl w:val="0"/>
          <w:numId w:val="18"/>
        </w:numPr>
        <w:ind w:left="567" w:hanging="567"/>
        <w:contextualSpacing w:val="0"/>
        <w:rPr>
          <w:rFonts w:ascii="Times New Roman" w:eastAsia="Calibri" w:hAnsi="Times New Roman"/>
          <w:sz w:val="24"/>
          <w:szCs w:val="24"/>
        </w:rPr>
      </w:pPr>
      <w:r w:rsidRPr="00F322BC">
        <w:rPr>
          <w:rFonts w:ascii="Times New Roman" w:eastAsia="Calibri" w:hAnsi="Times New Roman"/>
          <w:sz w:val="24"/>
          <w:szCs w:val="24"/>
        </w:rPr>
        <w:t xml:space="preserve">a requirement to calculate counterparty credit risk exposure amounts according to the standardised approach for measuring counterparty credit risk exposures or the adjusted current exposure method and to apply risk weights to counterparty credit risk exposure amounts for regulatory capital </w:t>
      </w:r>
      <w:proofErr w:type="gramStart"/>
      <w:r w:rsidRPr="00F322BC">
        <w:rPr>
          <w:rFonts w:ascii="Times New Roman" w:eastAsia="Calibri" w:hAnsi="Times New Roman"/>
          <w:sz w:val="24"/>
          <w:szCs w:val="24"/>
        </w:rPr>
        <w:t>purposes;</w:t>
      </w:r>
      <w:proofErr w:type="gramEnd"/>
    </w:p>
    <w:p w14:paraId="75B4B3F5" w14:textId="77777777" w:rsidR="00B54F1F" w:rsidRPr="00F322BC" w:rsidRDefault="00B54F1F" w:rsidP="00B54F1F">
      <w:pPr>
        <w:pStyle w:val="ListParagraph"/>
        <w:numPr>
          <w:ilvl w:val="0"/>
          <w:numId w:val="18"/>
        </w:numPr>
        <w:ind w:left="567" w:hanging="567"/>
        <w:contextualSpacing w:val="0"/>
        <w:rPr>
          <w:rFonts w:ascii="Times New Roman" w:eastAsia="Calibri" w:hAnsi="Times New Roman"/>
          <w:sz w:val="24"/>
          <w:szCs w:val="24"/>
        </w:rPr>
      </w:pPr>
      <w:r w:rsidRPr="00F322BC">
        <w:rPr>
          <w:rFonts w:ascii="Times New Roman" w:eastAsia="Calibri" w:hAnsi="Times New Roman"/>
          <w:sz w:val="24"/>
          <w:szCs w:val="24"/>
        </w:rPr>
        <w:t xml:space="preserve">a requirement to calculate and hold a CVA risk capital </w:t>
      </w:r>
      <w:proofErr w:type="gramStart"/>
      <w:r w:rsidRPr="00F322BC">
        <w:rPr>
          <w:rFonts w:ascii="Times New Roman" w:eastAsia="Calibri" w:hAnsi="Times New Roman"/>
          <w:sz w:val="24"/>
          <w:szCs w:val="24"/>
        </w:rPr>
        <w:t>charge;</w:t>
      </w:r>
      <w:proofErr w:type="gramEnd"/>
      <w:r w:rsidRPr="00F322BC">
        <w:rPr>
          <w:rFonts w:ascii="Times New Roman" w:eastAsia="Calibri" w:hAnsi="Times New Roman"/>
          <w:sz w:val="24"/>
          <w:szCs w:val="24"/>
        </w:rPr>
        <w:t xml:space="preserve"> </w:t>
      </w:r>
    </w:p>
    <w:p w14:paraId="3068B1FF" w14:textId="77777777" w:rsidR="00B54F1F" w:rsidRPr="00F322BC" w:rsidRDefault="00B54F1F" w:rsidP="00B54F1F">
      <w:pPr>
        <w:pStyle w:val="ListParagraph"/>
        <w:numPr>
          <w:ilvl w:val="0"/>
          <w:numId w:val="18"/>
        </w:numPr>
        <w:ind w:left="567" w:hanging="567"/>
        <w:contextualSpacing w:val="0"/>
        <w:rPr>
          <w:rFonts w:ascii="Times New Roman" w:eastAsia="Calibri" w:hAnsi="Times New Roman"/>
          <w:sz w:val="24"/>
          <w:szCs w:val="24"/>
        </w:rPr>
      </w:pPr>
      <w:r w:rsidRPr="00F322BC">
        <w:rPr>
          <w:rFonts w:ascii="Times New Roman" w:eastAsia="Calibri" w:hAnsi="Times New Roman"/>
          <w:sz w:val="24"/>
          <w:szCs w:val="24"/>
        </w:rPr>
        <w:t xml:space="preserve">a requirement to calculate and hold a capital charge for </w:t>
      </w:r>
      <w:proofErr w:type="gramStart"/>
      <w:r w:rsidRPr="00F322BC">
        <w:rPr>
          <w:rFonts w:ascii="Times New Roman" w:eastAsia="Calibri" w:hAnsi="Times New Roman"/>
          <w:sz w:val="24"/>
          <w:szCs w:val="24"/>
        </w:rPr>
        <w:t>centrally-cleared</w:t>
      </w:r>
      <w:proofErr w:type="gramEnd"/>
      <w:r w:rsidRPr="00F322BC">
        <w:rPr>
          <w:rFonts w:ascii="Times New Roman" w:eastAsia="Calibri" w:hAnsi="Times New Roman"/>
          <w:sz w:val="24"/>
          <w:szCs w:val="24"/>
        </w:rPr>
        <w:t xml:space="preserve"> transactions:</w:t>
      </w:r>
    </w:p>
    <w:p w14:paraId="3B81498C" w14:textId="77777777" w:rsidR="00B54F1F" w:rsidRPr="00F322BC" w:rsidRDefault="00B54F1F" w:rsidP="00B54F1F">
      <w:pPr>
        <w:pStyle w:val="ListParagraph"/>
        <w:numPr>
          <w:ilvl w:val="0"/>
          <w:numId w:val="18"/>
        </w:numPr>
        <w:ind w:left="567" w:hanging="567"/>
        <w:contextualSpacing w:val="0"/>
        <w:rPr>
          <w:rFonts w:ascii="Times New Roman" w:eastAsia="Calibri" w:hAnsi="Times New Roman"/>
          <w:sz w:val="24"/>
          <w:szCs w:val="24"/>
        </w:rPr>
      </w:pPr>
      <w:r w:rsidRPr="00F322BC">
        <w:rPr>
          <w:rFonts w:ascii="Times New Roman" w:eastAsia="Calibri" w:hAnsi="Times New Roman"/>
          <w:sz w:val="24"/>
          <w:szCs w:val="24"/>
        </w:rPr>
        <w:t>a requirement to calculate and hold a default fund capital charge for default fund contributions to a qualifying central counterparty</w:t>
      </w:r>
      <w:r w:rsidRPr="00F322BC">
        <w:rPr>
          <w:rStyle w:val="FootnoteReference"/>
          <w:rFonts w:ascii="Times New Roman" w:eastAsia="Calibri" w:hAnsi="Times New Roman" w:cs="Times New Roman"/>
          <w:sz w:val="24"/>
          <w:szCs w:val="24"/>
        </w:rPr>
        <w:footnoteReference w:id="5"/>
      </w:r>
      <w:r w:rsidRPr="00F322BC">
        <w:rPr>
          <w:rFonts w:ascii="Times New Roman" w:eastAsia="Calibri" w:hAnsi="Times New Roman"/>
          <w:sz w:val="24"/>
          <w:szCs w:val="24"/>
        </w:rPr>
        <w:t xml:space="preserve">; and </w:t>
      </w:r>
    </w:p>
    <w:p w14:paraId="69EF4564" w14:textId="77777777" w:rsidR="00B54F1F" w:rsidRPr="00F322BC" w:rsidRDefault="00B54F1F" w:rsidP="00B54F1F">
      <w:pPr>
        <w:pStyle w:val="ListParagraph"/>
        <w:numPr>
          <w:ilvl w:val="0"/>
          <w:numId w:val="18"/>
        </w:numPr>
        <w:ind w:left="567" w:hanging="567"/>
        <w:contextualSpacing w:val="0"/>
        <w:rPr>
          <w:rFonts w:ascii="Times New Roman" w:eastAsia="Calibri" w:hAnsi="Times New Roman"/>
          <w:sz w:val="24"/>
          <w:szCs w:val="24"/>
        </w:rPr>
      </w:pPr>
      <w:r w:rsidRPr="00F322BC">
        <w:rPr>
          <w:rFonts w:ascii="Times New Roman" w:eastAsia="Calibri" w:hAnsi="Times New Roman"/>
          <w:sz w:val="24"/>
          <w:szCs w:val="24"/>
        </w:rPr>
        <w:t>a requirement to adopt risk management practices for bilateral and centrally cleared counterparty credit risk exposures.</w:t>
      </w:r>
    </w:p>
    <w:p w14:paraId="1B45FCC0" w14:textId="77777777" w:rsidR="00B54F1F" w:rsidRDefault="00B54F1F" w:rsidP="00B54F1F">
      <w:pPr>
        <w:spacing w:after="360"/>
        <w:outlineLvl w:val="0"/>
        <w:rPr>
          <w:rFonts w:ascii="Times New Roman" w:hAnsi="Times New Roman"/>
          <w:sz w:val="24"/>
          <w:szCs w:val="24"/>
        </w:rPr>
      </w:pPr>
      <w:r w:rsidRPr="229E7F8C">
        <w:rPr>
          <w:rFonts w:ascii="Times New Roman" w:hAnsi="Times New Roman"/>
          <w:sz w:val="24"/>
          <w:szCs w:val="24"/>
        </w:rPr>
        <w:lastRenderedPageBreak/>
        <w:t xml:space="preserve">APRA may, upon request of an ADI, approve an ADI using the standardised approach to credit risk under </w:t>
      </w:r>
      <w:r w:rsidRPr="229E7F8C">
        <w:rPr>
          <w:rFonts w:ascii="Times New Roman" w:hAnsi="Times New Roman"/>
          <w:i/>
          <w:iCs/>
          <w:sz w:val="24"/>
          <w:szCs w:val="24"/>
        </w:rPr>
        <w:t>Prudential Standard APS 112 Standardised Approach to Credit Risk</w:t>
      </w:r>
      <w:r w:rsidRPr="229E7F8C">
        <w:rPr>
          <w:rFonts w:ascii="Times New Roman" w:hAnsi="Times New Roman"/>
          <w:sz w:val="24"/>
          <w:szCs w:val="24"/>
        </w:rPr>
        <w:t xml:space="preserve"> to use the SA-CCR to calculate its counterparty credit risk exposure amount and may require a standardised ADI to use the SA-CCR to calculate its counterparty credit risk exposure amount.</w:t>
      </w:r>
    </w:p>
    <w:p w14:paraId="66FE090C" w14:textId="77777777" w:rsidR="00B54F1F" w:rsidRPr="00087D5F" w:rsidRDefault="00B54F1F" w:rsidP="00B54F1F">
      <w:pPr>
        <w:spacing w:after="360"/>
        <w:outlineLvl w:val="0"/>
        <w:rPr>
          <w:rFonts w:ascii="Times New Roman" w:hAnsi="Times New Roman"/>
          <w:sz w:val="24"/>
          <w:szCs w:val="24"/>
        </w:rPr>
      </w:pPr>
      <w:r w:rsidRPr="00087D5F">
        <w:rPr>
          <w:rFonts w:ascii="Times New Roman" w:hAnsi="Times New Roman"/>
          <w:sz w:val="24"/>
          <w:szCs w:val="24"/>
        </w:rPr>
        <w:t>APS 180 also requires an ADI to contact APRA if it wishes to place reliance on a previous exemption or other exercise of discretion by APRA under a previous version of APS 1</w:t>
      </w:r>
      <w:r>
        <w:rPr>
          <w:rFonts w:ascii="Times New Roman" w:hAnsi="Times New Roman"/>
          <w:sz w:val="24"/>
          <w:szCs w:val="24"/>
        </w:rPr>
        <w:t>80</w:t>
      </w:r>
      <w:r w:rsidRPr="00087D5F">
        <w:rPr>
          <w:rFonts w:ascii="Times New Roman" w:hAnsi="Times New Roman"/>
          <w:sz w:val="24"/>
          <w:szCs w:val="24"/>
        </w:rPr>
        <w:t>. This is intended to prevent ADIs from relying on indefinite exemptions or approvals that may no longer be appropriate.</w:t>
      </w:r>
    </w:p>
    <w:p w14:paraId="62F5CC4E" w14:textId="1C4349BF" w:rsidR="00C400D9" w:rsidRPr="00ED19D5" w:rsidRDefault="00C400D9" w:rsidP="00ED19D5">
      <w:pPr>
        <w:pStyle w:val="Heading"/>
        <w:spacing w:after="240"/>
        <w:rPr>
          <w:rFonts w:ascii="Times New Roman" w:hAnsi="Times New Roman"/>
          <w:i/>
          <w:sz w:val="24"/>
          <w:szCs w:val="24"/>
        </w:rPr>
      </w:pPr>
      <w:r w:rsidRPr="00AB677C">
        <w:rPr>
          <w:rFonts w:ascii="Times New Roman" w:hAnsi="Times New Roman"/>
          <w:i/>
          <w:sz w:val="24"/>
          <w:szCs w:val="24"/>
        </w:rPr>
        <w:t>Exercise of discretion by APRA</w:t>
      </w:r>
    </w:p>
    <w:p w14:paraId="21DA6DD5" w14:textId="39C7F892" w:rsidR="00504519" w:rsidRPr="00504519" w:rsidRDefault="00590C51" w:rsidP="00504519">
      <w:pPr>
        <w:shd w:val="clear" w:color="auto" w:fill="FFFFFF"/>
        <w:spacing w:after="240"/>
        <w:jc w:val="both"/>
        <w:rPr>
          <w:rFonts w:ascii="Times New Roman" w:hAnsi="Times New Roman"/>
          <w:color w:val="000000"/>
          <w:sz w:val="24"/>
          <w:szCs w:val="24"/>
        </w:rPr>
      </w:pPr>
      <w:r w:rsidRPr="00590C51">
        <w:rPr>
          <w:rFonts w:ascii="Times New Roman" w:hAnsi="Times New Roman"/>
          <w:color w:val="000000"/>
          <w:sz w:val="24"/>
          <w:szCs w:val="24"/>
        </w:rPr>
        <w:t>APS 180</w:t>
      </w:r>
      <w:r w:rsidR="00504519" w:rsidRPr="00504519">
        <w:rPr>
          <w:rFonts w:ascii="Times New Roman" w:hAnsi="Times New Roman"/>
          <w:color w:val="000000"/>
          <w:sz w:val="24"/>
          <w:szCs w:val="24"/>
        </w:rPr>
        <w:t xml:space="preserve"> provide</w:t>
      </w:r>
      <w:r w:rsidRPr="00590C51">
        <w:rPr>
          <w:rFonts w:ascii="Times New Roman" w:hAnsi="Times New Roman"/>
          <w:color w:val="000000"/>
          <w:sz w:val="24"/>
          <w:szCs w:val="24"/>
        </w:rPr>
        <w:t>s</w:t>
      </w:r>
      <w:r w:rsidR="00504519" w:rsidRPr="00504519">
        <w:rPr>
          <w:rFonts w:ascii="Times New Roman" w:hAnsi="Times New Roman"/>
          <w:color w:val="000000"/>
          <w:sz w:val="24"/>
          <w:szCs w:val="24"/>
        </w:rPr>
        <w:t xml:space="preserve">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53B43BAD" w14:textId="77777777" w:rsidR="00504519" w:rsidRPr="00504519" w:rsidRDefault="00504519" w:rsidP="00504519">
      <w:pPr>
        <w:shd w:val="clear" w:color="auto" w:fill="FFFFFF"/>
        <w:spacing w:after="240"/>
        <w:jc w:val="both"/>
        <w:rPr>
          <w:rFonts w:ascii="Times New Roman" w:hAnsi="Times New Roman"/>
          <w:b/>
          <w:bCs/>
          <w:color w:val="000000"/>
          <w:sz w:val="24"/>
          <w:szCs w:val="24"/>
        </w:rPr>
      </w:pPr>
      <w:r w:rsidRPr="00504519">
        <w:rPr>
          <w:rFonts w:ascii="Times New Roman" w:hAnsi="Times New Roman"/>
          <w:color w:val="000000"/>
          <w:sz w:val="24"/>
          <w:szCs w:val="24"/>
        </w:rPr>
        <w:t>A breach of a prudential standard is also a breach of the Act, as the Act provides that regulated entities must comply with the standard. However, there are no penalties prescribed for such breaches.</w:t>
      </w:r>
      <w:r w:rsidRPr="00504519">
        <w:rPr>
          <w:rFonts w:ascii="Times New Roman" w:hAnsi="Times New Roman"/>
          <w:b/>
          <w:bCs/>
          <w:color w:val="000000"/>
          <w:sz w:val="24"/>
          <w:szCs w:val="24"/>
        </w:rPr>
        <w:t> </w:t>
      </w:r>
      <w:r w:rsidRPr="00504519">
        <w:rPr>
          <w:rFonts w:ascii="Times New Roman" w:hAnsi="Times New Roman"/>
          <w:color w:val="000000"/>
          <w:sz w:val="24"/>
          <w:szCs w:val="24"/>
        </w:rPr>
        <w:t>Instead, an ADI’s breach of a provision in the Act is grounds for APRA to make further, substantive decisions under the Act in relation to the ADI. Those decisions are:</w:t>
      </w:r>
    </w:p>
    <w:p w14:paraId="446237A3" w14:textId="77777777" w:rsidR="00504519" w:rsidRPr="00504519" w:rsidRDefault="00504519" w:rsidP="002E41BC">
      <w:pPr>
        <w:shd w:val="clear" w:color="auto" w:fill="FFFFFF"/>
        <w:spacing w:after="240"/>
        <w:ind w:left="567" w:hanging="567"/>
        <w:jc w:val="both"/>
        <w:rPr>
          <w:rFonts w:ascii="Times New Roman" w:hAnsi="Times New Roman"/>
          <w:b/>
          <w:bCs/>
          <w:color w:val="000000"/>
          <w:sz w:val="24"/>
          <w:szCs w:val="24"/>
        </w:rPr>
      </w:pPr>
      <w:r w:rsidRPr="00504519">
        <w:rPr>
          <w:rFonts w:ascii="Times New Roman" w:hAnsi="Times New Roman"/>
          <w:color w:val="000000"/>
          <w:sz w:val="24"/>
          <w:szCs w:val="24"/>
        </w:rPr>
        <w:t>(a)    to revoke an authority to carry on banking business (section 9A of the Act); and</w:t>
      </w:r>
    </w:p>
    <w:p w14:paraId="06FD2F40" w14:textId="77777777" w:rsidR="00504519" w:rsidRPr="00504519" w:rsidRDefault="00504519" w:rsidP="002E41BC">
      <w:pPr>
        <w:shd w:val="clear" w:color="auto" w:fill="FFFFFF"/>
        <w:spacing w:after="240"/>
        <w:ind w:left="567" w:hanging="567"/>
        <w:jc w:val="both"/>
        <w:rPr>
          <w:rFonts w:ascii="Times New Roman" w:hAnsi="Times New Roman"/>
          <w:b/>
          <w:bCs/>
          <w:color w:val="000000"/>
          <w:sz w:val="24"/>
          <w:szCs w:val="24"/>
        </w:rPr>
      </w:pPr>
      <w:r w:rsidRPr="00504519">
        <w:rPr>
          <w:rFonts w:ascii="Times New Roman" w:hAnsi="Times New Roman"/>
          <w:color w:val="000000"/>
          <w:sz w:val="24"/>
          <w:szCs w:val="24"/>
        </w:rPr>
        <w:t>(b)   to issue a direction to the ADI, including a direction to comply with the whole or part of a prudential standard (section 11CA of the Act).</w:t>
      </w:r>
    </w:p>
    <w:p w14:paraId="3A0A6538" w14:textId="1335C843" w:rsidR="00504519" w:rsidRPr="00504519" w:rsidRDefault="00504519" w:rsidP="00504519">
      <w:pPr>
        <w:shd w:val="clear" w:color="auto" w:fill="FFFFFF"/>
        <w:spacing w:after="240"/>
        <w:jc w:val="both"/>
        <w:rPr>
          <w:rFonts w:ascii="Times New Roman" w:hAnsi="Times New Roman"/>
          <w:color w:val="000000"/>
          <w:sz w:val="24"/>
          <w:szCs w:val="24"/>
        </w:rPr>
      </w:pPr>
      <w:r w:rsidRPr="00504519">
        <w:rPr>
          <w:rFonts w:ascii="Times New Roman" w:hAnsi="Times New Roman"/>
          <w:color w:val="000000"/>
          <w:sz w:val="24"/>
          <w:szCs w:val="24"/>
        </w:rPr>
        <w:t>It is only at this stage that an ADI is exposed to a penalty: loss of its authority under section 9A or 50 penalty units if it breaches the direction (section 11CG of the Act). In nearly all cases</w:t>
      </w:r>
      <w:bookmarkStart w:id="5" w:name="_ftnref1"/>
      <w:r w:rsidR="00AF296B">
        <w:rPr>
          <w:rFonts w:ascii="Times New Roman" w:hAnsi="Times New Roman"/>
          <w:color w:val="000000"/>
          <w:sz w:val="24"/>
          <w:szCs w:val="24"/>
        </w:rPr>
        <w:t xml:space="preserve"> </w:t>
      </w:r>
      <w:bookmarkEnd w:id="5"/>
      <w:r w:rsidRPr="00504519">
        <w:rPr>
          <w:rFonts w:ascii="Times New Roman" w:hAnsi="Times New Roman"/>
          <w:color w:val="000000"/>
          <w:sz w:val="24"/>
          <w:szCs w:val="24"/>
        </w:rPr>
        <w:t>the decision is preceded by a full consultation with the ADI to raise any concerns it may have in relation to the decision.</w:t>
      </w:r>
    </w:p>
    <w:p w14:paraId="3BD9ED4F" w14:textId="77777777" w:rsidR="00504519" w:rsidRPr="00504519" w:rsidRDefault="00504519" w:rsidP="00504519">
      <w:pPr>
        <w:shd w:val="clear" w:color="auto" w:fill="FFFFFF"/>
        <w:spacing w:after="240"/>
        <w:jc w:val="both"/>
        <w:rPr>
          <w:rFonts w:ascii="Times New Roman" w:hAnsi="Times New Roman"/>
          <w:color w:val="000000"/>
          <w:sz w:val="24"/>
          <w:szCs w:val="24"/>
        </w:rPr>
      </w:pPr>
      <w:r w:rsidRPr="00504519">
        <w:rPr>
          <w:rFonts w:ascii="Times New Roman" w:hAnsi="Times New Roman"/>
          <w:color w:val="000000"/>
          <w:sz w:val="24"/>
          <w:szCs w:val="24"/>
        </w:rPr>
        <w:t>A decision of APRA to impose a direction is subject to merits review under section 11CA of the Act, which is appropriately available at the point where an ADI could be exposed to a penalty.</w:t>
      </w:r>
    </w:p>
    <w:p w14:paraId="3271D2FB" w14:textId="77777777" w:rsidR="00504519" w:rsidRPr="00504519" w:rsidRDefault="00504519" w:rsidP="00504519">
      <w:pPr>
        <w:shd w:val="clear" w:color="auto" w:fill="FFFFFF"/>
        <w:spacing w:after="240"/>
        <w:jc w:val="both"/>
        <w:rPr>
          <w:rFonts w:ascii="Times New Roman" w:hAnsi="Times New Roman"/>
          <w:color w:val="000000"/>
          <w:sz w:val="24"/>
          <w:szCs w:val="24"/>
        </w:rPr>
      </w:pPr>
      <w:r w:rsidRPr="00504519">
        <w:rPr>
          <w:rFonts w:ascii="Times New Roman" w:hAnsi="Times New Roman"/>
          <w:color w:val="000000"/>
          <w:sz w:val="24"/>
          <w:szCs w:val="24"/>
        </w:rPr>
        <w:t>A decision of APRA to revoke an authority under the Act is subject to merits review, unless either:</w:t>
      </w:r>
    </w:p>
    <w:p w14:paraId="53B7B482" w14:textId="77777777" w:rsidR="00504519" w:rsidRPr="00504519" w:rsidRDefault="00504519" w:rsidP="002E41BC">
      <w:pPr>
        <w:shd w:val="clear" w:color="auto" w:fill="FFFFFF"/>
        <w:spacing w:after="240"/>
        <w:ind w:left="567" w:hanging="567"/>
        <w:jc w:val="both"/>
        <w:rPr>
          <w:rFonts w:ascii="Times New Roman" w:hAnsi="Times New Roman"/>
          <w:color w:val="000000"/>
          <w:sz w:val="24"/>
          <w:szCs w:val="24"/>
        </w:rPr>
      </w:pPr>
      <w:r w:rsidRPr="00504519">
        <w:rPr>
          <w:rFonts w:ascii="Times New Roman" w:hAnsi="Times New Roman"/>
          <w:color w:val="000000"/>
          <w:sz w:val="24"/>
          <w:szCs w:val="24"/>
        </w:rPr>
        <w:t>(a)           APRA has determined that access to natural justice and merits review is contrary to the national interest or contrary to the interests of depositors with the ADI; or</w:t>
      </w:r>
    </w:p>
    <w:p w14:paraId="4994CA73" w14:textId="77777777" w:rsidR="00504519" w:rsidRPr="00504519" w:rsidRDefault="00504519" w:rsidP="002E41BC">
      <w:pPr>
        <w:shd w:val="clear" w:color="auto" w:fill="FFFFFF"/>
        <w:spacing w:after="240"/>
        <w:ind w:left="567" w:hanging="567"/>
        <w:jc w:val="both"/>
        <w:rPr>
          <w:rFonts w:ascii="Times New Roman" w:hAnsi="Times New Roman"/>
          <w:color w:val="000000"/>
          <w:sz w:val="24"/>
          <w:szCs w:val="24"/>
        </w:rPr>
      </w:pPr>
      <w:r w:rsidRPr="00504519">
        <w:rPr>
          <w:rFonts w:ascii="Times New Roman" w:hAnsi="Times New Roman"/>
          <w:color w:val="000000"/>
          <w:sz w:val="24"/>
          <w:szCs w:val="24"/>
        </w:rPr>
        <w:t>(b)          the authority is an authority that is to cease to have effect on a day specified in the authority (section 9</w:t>
      </w:r>
      <w:proofErr w:type="gramStart"/>
      <w:r w:rsidRPr="00504519">
        <w:rPr>
          <w:rFonts w:ascii="Times New Roman" w:hAnsi="Times New Roman"/>
          <w:color w:val="000000"/>
          <w:sz w:val="24"/>
          <w:szCs w:val="24"/>
        </w:rPr>
        <w:t>A(</w:t>
      </w:r>
      <w:proofErr w:type="gramEnd"/>
      <w:r w:rsidRPr="00504519">
        <w:rPr>
          <w:rFonts w:ascii="Times New Roman" w:hAnsi="Times New Roman"/>
          <w:color w:val="000000"/>
          <w:sz w:val="24"/>
          <w:szCs w:val="24"/>
        </w:rPr>
        <w:t>8) of the Act).</w:t>
      </w:r>
    </w:p>
    <w:p w14:paraId="043DAC39" w14:textId="77777777" w:rsidR="00432CB5" w:rsidRPr="00ED19D5" w:rsidRDefault="00432CB5" w:rsidP="00ED19D5">
      <w:pPr>
        <w:pStyle w:val="NormalWeb"/>
        <w:keepNext/>
        <w:spacing w:after="240"/>
        <w:rPr>
          <w:rFonts w:ascii="Times New Roman" w:hAnsi="Times New Roman"/>
          <w:b/>
          <w:i/>
          <w:sz w:val="24"/>
          <w:szCs w:val="22"/>
        </w:rPr>
      </w:pPr>
      <w:bookmarkStart w:id="6" w:name="bkoperation"/>
      <w:bookmarkStart w:id="7" w:name="bkConsultationNo"/>
      <w:bookmarkEnd w:id="6"/>
      <w:bookmarkEnd w:id="7"/>
      <w:r w:rsidRPr="00ED19D5">
        <w:rPr>
          <w:rFonts w:ascii="Times New Roman" w:hAnsi="Times New Roman"/>
          <w:b/>
          <w:i/>
          <w:sz w:val="24"/>
          <w:szCs w:val="22"/>
        </w:rPr>
        <w:lastRenderedPageBreak/>
        <w:t xml:space="preserve">Adjust and exclude </w:t>
      </w:r>
      <w:proofErr w:type="gramStart"/>
      <w:r w:rsidRPr="00ED19D5">
        <w:rPr>
          <w:rFonts w:ascii="Times New Roman" w:hAnsi="Times New Roman"/>
          <w:b/>
          <w:i/>
          <w:sz w:val="24"/>
          <w:szCs w:val="22"/>
        </w:rPr>
        <w:t>powers</w:t>
      </w:r>
      <w:proofErr w:type="gramEnd"/>
    </w:p>
    <w:p w14:paraId="4D04A940" w14:textId="44F7C0E5" w:rsidR="00432CB5" w:rsidRDefault="00432CB5" w:rsidP="00432CB5">
      <w:pPr>
        <w:spacing w:after="240"/>
        <w:jc w:val="both"/>
        <w:rPr>
          <w:rFonts w:ascii="Times New Roman" w:hAnsi="Times New Roman"/>
          <w:sz w:val="24"/>
          <w:szCs w:val="24"/>
        </w:rPr>
      </w:pPr>
      <w:r w:rsidRPr="002403F6">
        <w:rPr>
          <w:rFonts w:ascii="Times New Roman" w:hAnsi="Times New Roman"/>
          <w:sz w:val="24"/>
          <w:szCs w:val="24"/>
        </w:rPr>
        <w:t>APS 1</w:t>
      </w:r>
      <w:r w:rsidR="00B7694A">
        <w:rPr>
          <w:rFonts w:ascii="Times New Roman" w:hAnsi="Times New Roman"/>
          <w:sz w:val="24"/>
          <w:szCs w:val="24"/>
        </w:rPr>
        <w:t>8</w:t>
      </w:r>
      <w:r w:rsidRPr="002403F6">
        <w:rPr>
          <w:rFonts w:ascii="Times New Roman" w:hAnsi="Times New Roman"/>
          <w:sz w:val="24"/>
          <w:szCs w:val="24"/>
        </w:rPr>
        <w:t>0 gives APRA the discretion to adjust or exclude a provision of the prudential sta</w:t>
      </w:r>
      <w:r w:rsidRPr="00CF7BCA">
        <w:rPr>
          <w:rFonts w:ascii="Times New Roman" w:hAnsi="Times New Roman"/>
          <w:sz w:val="24"/>
          <w:szCs w:val="24"/>
        </w:rPr>
        <w:t xml:space="preserve">ndard (paragraph </w:t>
      </w:r>
      <w:r w:rsidR="00671E40" w:rsidRPr="00CF7BCA">
        <w:rPr>
          <w:rFonts w:ascii="Times New Roman" w:hAnsi="Times New Roman"/>
          <w:sz w:val="24"/>
          <w:szCs w:val="24"/>
        </w:rPr>
        <w:t>18</w:t>
      </w:r>
      <w:r w:rsidRPr="00CF7BCA">
        <w:rPr>
          <w:rFonts w:ascii="Times New Roman" w:hAnsi="Times New Roman"/>
          <w:sz w:val="24"/>
          <w:szCs w:val="24"/>
        </w:rPr>
        <w:t>). The power</w:t>
      </w:r>
      <w:r w:rsidRPr="002403F6">
        <w:rPr>
          <w:rFonts w:ascii="Times New Roman" w:hAnsi="Times New Roman"/>
          <w:sz w:val="24"/>
          <w:szCs w:val="24"/>
        </w:rPr>
        <w:t xml:space="preserve"> to create such a discretion is provided for under subsection 11</w:t>
      </w:r>
      <w:proofErr w:type="gramStart"/>
      <w:r w:rsidRPr="002403F6">
        <w:rPr>
          <w:rFonts w:ascii="Times New Roman" w:hAnsi="Times New Roman"/>
          <w:sz w:val="24"/>
          <w:szCs w:val="24"/>
        </w:rPr>
        <w:t>AF(</w:t>
      </w:r>
      <w:proofErr w:type="gramEnd"/>
      <w:r w:rsidRPr="002403F6">
        <w:rPr>
          <w:rFonts w:ascii="Times New Roman" w:hAnsi="Times New Roman"/>
          <w:sz w:val="24"/>
          <w:szCs w:val="24"/>
        </w:rPr>
        <w:t>2) of the Act</w:t>
      </w:r>
      <w:r>
        <w:rPr>
          <w:rFonts w:ascii="Times New Roman" w:hAnsi="Times New Roman"/>
          <w:sz w:val="24"/>
          <w:szCs w:val="24"/>
        </w:rPr>
        <w:t>.</w:t>
      </w:r>
    </w:p>
    <w:p w14:paraId="46DDCBF9" w14:textId="77777777" w:rsidR="00432CB5" w:rsidRDefault="00432CB5" w:rsidP="00432CB5">
      <w:pPr>
        <w:numPr>
          <w:ilvl w:val="0"/>
          <w:numId w:val="19"/>
        </w:numPr>
        <w:spacing w:after="240"/>
        <w:jc w:val="both"/>
        <w:rPr>
          <w:rFonts w:ascii="Times New Roman" w:hAnsi="Times New Roman"/>
          <w:sz w:val="24"/>
          <w:szCs w:val="24"/>
        </w:rPr>
      </w:pPr>
      <w:r>
        <w:rPr>
          <w:rFonts w:ascii="Times New Roman" w:hAnsi="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w:t>
      </w:r>
      <w:r w:rsidRPr="00BE4054">
        <w:rPr>
          <w:rFonts w:ascii="Times New Roman" w:hAnsi="Times New Roman"/>
          <w:sz w:val="24"/>
          <w:szCs w:val="24"/>
        </w:rPr>
        <w:t>entity</w:t>
      </w:r>
      <w:r>
        <w:rPr>
          <w:rFonts w:ascii="Times New Roman" w:hAnsi="Times New Roman"/>
          <w:sz w:val="24"/>
          <w:szCs w:val="24"/>
        </w:rPr>
        <w:t xml:space="preserve">. A tailored approach would give APRA comfort that the prudential requirements apply appropriately to protect the interests of depositors, </w:t>
      </w:r>
      <w:proofErr w:type="gramStart"/>
      <w:r>
        <w:rPr>
          <w:rFonts w:ascii="Times New Roman" w:hAnsi="Times New Roman"/>
          <w:sz w:val="24"/>
          <w:szCs w:val="24"/>
        </w:rPr>
        <w:t>policyholders</w:t>
      </w:r>
      <w:proofErr w:type="gramEnd"/>
      <w:r>
        <w:rPr>
          <w:rFonts w:ascii="Times New Roman" w:hAnsi="Times New Roman"/>
          <w:sz w:val="24"/>
          <w:szCs w:val="24"/>
        </w:rPr>
        <w:t xml:space="preserve"> and fund members. APRA will also </w:t>
      </w:r>
      <w:proofErr w:type="gramStart"/>
      <w:r>
        <w:rPr>
          <w:rFonts w:ascii="Times New Roman" w:hAnsi="Times New Roman"/>
          <w:sz w:val="24"/>
          <w:szCs w:val="24"/>
        </w:rPr>
        <w:t>take into account</w:t>
      </w:r>
      <w:proofErr w:type="gramEnd"/>
      <w:r>
        <w:rPr>
          <w:rFonts w:ascii="Times New Roman" w:hAnsi="Times New Roman"/>
          <w:sz w:val="24"/>
          <w:szCs w:val="24"/>
        </w:rPr>
        <w:t xml:space="preserve"> other considerations, such as efficiency, competition, contestability, competitive neutrality and regulatory burden, including comparisons with an </w:t>
      </w:r>
      <w:r w:rsidRPr="00BE4054">
        <w:rPr>
          <w:rFonts w:ascii="Times New Roman" w:hAnsi="Times New Roman"/>
          <w:sz w:val="24"/>
          <w:szCs w:val="24"/>
        </w:rPr>
        <w:t>entity’s</w:t>
      </w:r>
      <w:r>
        <w:rPr>
          <w:rFonts w:ascii="Times New Roman" w:hAnsi="Times New Roman"/>
          <w:sz w:val="24"/>
          <w:szCs w:val="24"/>
        </w:rPr>
        <w:t xml:space="preserve"> peer group.</w:t>
      </w:r>
    </w:p>
    <w:p w14:paraId="45E6F37C" w14:textId="77777777" w:rsidR="00432CB5" w:rsidRPr="002403F6" w:rsidRDefault="00432CB5" w:rsidP="00432CB5">
      <w:pPr>
        <w:spacing w:after="240"/>
        <w:jc w:val="both"/>
        <w:rPr>
          <w:rFonts w:ascii="Times New Roman" w:hAnsi="Times New Roman"/>
          <w:sz w:val="24"/>
          <w:szCs w:val="24"/>
        </w:rPr>
      </w:pPr>
      <w:r w:rsidRPr="00A838D7">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0566A95C" w14:textId="77777777" w:rsidR="00034E71" w:rsidRPr="00244FDE" w:rsidRDefault="00034E71" w:rsidP="00034E71">
      <w:pPr>
        <w:pStyle w:val="Heading"/>
        <w:spacing w:after="240"/>
        <w:rPr>
          <w:rFonts w:ascii="Times New Roman" w:hAnsi="Times New Roman"/>
          <w:i/>
          <w:sz w:val="24"/>
          <w:szCs w:val="24"/>
        </w:rPr>
      </w:pPr>
      <w:r>
        <w:rPr>
          <w:rFonts w:ascii="Times New Roman" w:hAnsi="Times New Roman"/>
          <w:i/>
          <w:sz w:val="24"/>
          <w:szCs w:val="24"/>
        </w:rPr>
        <w:t>Documents incorporated</w:t>
      </w:r>
      <w:r w:rsidRPr="00244FDE">
        <w:rPr>
          <w:rFonts w:ascii="Times New Roman" w:hAnsi="Times New Roman"/>
          <w:i/>
          <w:sz w:val="24"/>
          <w:szCs w:val="24"/>
        </w:rPr>
        <w:t xml:space="preserve"> by </w:t>
      </w:r>
      <w:proofErr w:type="gramStart"/>
      <w:r w:rsidRPr="00244FDE">
        <w:rPr>
          <w:rFonts w:ascii="Times New Roman" w:hAnsi="Times New Roman"/>
          <w:i/>
          <w:sz w:val="24"/>
          <w:szCs w:val="24"/>
        </w:rPr>
        <w:t>reference</w:t>
      </w:r>
      <w:proofErr w:type="gramEnd"/>
    </w:p>
    <w:p w14:paraId="4E7BF2FB" w14:textId="391F95BD" w:rsidR="00034E71" w:rsidRDefault="00034E71" w:rsidP="00034E71">
      <w:pPr>
        <w:rPr>
          <w:rFonts w:ascii="Times New Roman" w:hAnsi="Times New Roman"/>
          <w:sz w:val="24"/>
          <w:szCs w:val="24"/>
        </w:rPr>
      </w:pPr>
      <w:r w:rsidRPr="00E30C24">
        <w:rPr>
          <w:rFonts w:ascii="Times New Roman" w:hAnsi="Times New Roman"/>
          <w:sz w:val="24"/>
          <w:szCs w:val="24"/>
        </w:rPr>
        <w:t xml:space="preserve">Under </w:t>
      </w:r>
      <w:r>
        <w:rPr>
          <w:rFonts w:ascii="Times New Roman" w:hAnsi="Times New Roman"/>
          <w:sz w:val="24"/>
          <w:szCs w:val="24"/>
        </w:rPr>
        <w:t>paragraph</w:t>
      </w:r>
      <w:r w:rsidRPr="00E30C24">
        <w:rPr>
          <w:rFonts w:ascii="Times New Roman" w:hAnsi="Times New Roman"/>
          <w:sz w:val="24"/>
          <w:szCs w:val="24"/>
        </w:rPr>
        <w:t xml:space="preserve"> 14(1)(a) of the </w:t>
      </w:r>
      <w:r w:rsidRPr="00E30C24">
        <w:rPr>
          <w:rFonts w:ascii="Times New Roman" w:hAnsi="Times New Roman"/>
          <w:i/>
          <w:sz w:val="24"/>
          <w:szCs w:val="24"/>
        </w:rPr>
        <w:t>Legislation Act 2003</w:t>
      </w:r>
      <w:r w:rsidR="001C74A6">
        <w:rPr>
          <w:rFonts w:ascii="Times New Roman" w:hAnsi="Times New Roman"/>
          <w:i/>
          <w:sz w:val="24"/>
          <w:szCs w:val="24"/>
        </w:rPr>
        <w:t xml:space="preserve"> </w:t>
      </w:r>
      <w:r w:rsidR="001C74A6">
        <w:rPr>
          <w:rFonts w:ascii="Times New Roman" w:hAnsi="Times New Roman"/>
          <w:sz w:val="24"/>
          <w:szCs w:val="24"/>
        </w:rPr>
        <w:t>(the Legislation Act)</w:t>
      </w:r>
      <w:r w:rsidRPr="00E30C24">
        <w:rPr>
          <w:rFonts w:ascii="Times New Roman" w:hAnsi="Times New Roman"/>
          <w:sz w:val="24"/>
          <w:szCs w:val="24"/>
        </w:rPr>
        <w:t xml:space="preserve">, </w:t>
      </w:r>
      <w:r>
        <w:rPr>
          <w:rFonts w:ascii="Times New Roman" w:hAnsi="Times New Roman"/>
          <w:sz w:val="24"/>
          <w:szCs w:val="24"/>
        </w:rPr>
        <w:t xml:space="preserve">APS 180 </w:t>
      </w:r>
      <w:r w:rsidRPr="00E30C24">
        <w:rPr>
          <w:rFonts w:ascii="Times New Roman" w:hAnsi="Times New Roman"/>
          <w:sz w:val="24"/>
          <w:szCs w:val="24"/>
        </w:rPr>
        <w:t>incorporates by reference the following documents as in force from time to time:</w:t>
      </w:r>
    </w:p>
    <w:p w14:paraId="042568BF" w14:textId="77777777" w:rsidR="00034E71" w:rsidRPr="00E30C24" w:rsidRDefault="00034E71" w:rsidP="00034E71">
      <w:pPr>
        <w:rPr>
          <w:rFonts w:ascii="Times New Roman" w:hAnsi="Times New Roman"/>
          <w:sz w:val="24"/>
          <w:szCs w:val="24"/>
        </w:rPr>
      </w:pPr>
    </w:p>
    <w:p w14:paraId="2A300788" w14:textId="77777777" w:rsidR="00034E71" w:rsidRDefault="00034E71" w:rsidP="00034E71">
      <w:pPr>
        <w:pStyle w:val="ListParagraph"/>
        <w:numPr>
          <w:ilvl w:val="0"/>
          <w:numId w:val="20"/>
        </w:numPr>
        <w:tabs>
          <w:tab w:val="clear" w:pos="425"/>
          <w:tab w:val="clear" w:pos="851"/>
        </w:tabs>
        <w:ind w:left="426" w:hanging="426"/>
        <w:rPr>
          <w:rFonts w:ascii="Times New Roman" w:hAnsi="Times New Roman"/>
          <w:sz w:val="24"/>
          <w:szCs w:val="24"/>
        </w:rPr>
      </w:pPr>
      <w:r w:rsidRPr="00E30C24">
        <w:rPr>
          <w:rFonts w:ascii="Times New Roman" w:hAnsi="Times New Roman"/>
          <w:sz w:val="24"/>
          <w:szCs w:val="24"/>
        </w:rPr>
        <w:t xml:space="preserve">Acts of Parliament and associated delegated </w:t>
      </w:r>
      <w:proofErr w:type="gramStart"/>
      <w:r w:rsidRPr="00E30C24">
        <w:rPr>
          <w:rFonts w:ascii="Times New Roman" w:hAnsi="Times New Roman"/>
          <w:sz w:val="24"/>
          <w:szCs w:val="24"/>
        </w:rPr>
        <w:t>laws;</w:t>
      </w:r>
      <w:proofErr w:type="gramEnd"/>
      <w:r>
        <w:rPr>
          <w:rFonts w:ascii="Times New Roman" w:hAnsi="Times New Roman"/>
          <w:sz w:val="24"/>
          <w:szCs w:val="24"/>
        </w:rPr>
        <w:t xml:space="preserve"> </w:t>
      </w:r>
    </w:p>
    <w:p w14:paraId="0F9DC354" w14:textId="77777777" w:rsidR="00034E71" w:rsidRPr="00E30C24" w:rsidRDefault="00034E71" w:rsidP="00034E71">
      <w:pPr>
        <w:pStyle w:val="ListParagraph"/>
        <w:numPr>
          <w:ilvl w:val="0"/>
          <w:numId w:val="20"/>
        </w:numPr>
        <w:tabs>
          <w:tab w:val="clear" w:pos="425"/>
          <w:tab w:val="clear" w:pos="851"/>
        </w:tabs>
        <w:ind w:left="426" w:hanging="426"/>
        <w:rPr>
          <w:rFonts w:ascii="Times New Roman" w:hAnsi="Times New Roman"/>
          <w:sz w:val="24"/>
          <w:szCs w:val="24"/>
        </w:rPr>
      </w:pPr>
      <w:r w:rsidRPr="00E85782">
        <w:rPr>
          <w:rFonts w:ascii="Times New Roman" w:hAnsi="Times New Roman"/>
          <w:sz w:val="24"/>
          <w:szCs w:val="24"/>
        </w:rPr>
        <w:t>Australian Accounting Standard</w:t>
      </w:r>
      <w:r>
        <w:rPr>
          <w:rFonts w:ascii="Times New Roman" w:hAnsi="Times New Roman"/>
          <w:sz w:val="24"/>
          <w:szCs w:val="24"/>
        </w:rPr>
        <w:t>s;</w:t>
      </w:r>
      <w:r w:rsidRPr="7E36AAFC">
        <w:rPr>
          <w:rFonts w:ascii="Times New Roman" w:hAnsi="Times New Roman"/>
          <w:sz w:val="24"/>
          <w:szCs w:val="24"/>
        </w:rPr>
        <w:t xml:space="preserve"> and</w:t>
      </w:r>
    </w:p>
    <w:p w14:paraId="325B159A" w14:textId="3F7AE7D2" w:rsidR="00034E71" w:rsidRPr="00E30C24" w:rsidRDefault="00034E71" w:rsidP="00034E71">
      <w:pPr>
        <w:pStyle w:val="ListParagraph"/>
        <w:numPr>
          <w:ilvl w:val="0"/>
          <w:numId w:val="20"/>
        </w:numPr>
        <w:tabs>
          <w:tab w:val="clear" w:pos="425"/>
          <w:tab w:val="clear" w:pos="851"/>
        </w:tabs>
        <w:ind w:left="426" w:hanging="426"/>
        <w:rPr>
          <w:rFonts w:ascii="Times New Roman" w:hAnsi="Times New Roman"/>
          <w:sz w:val="24"/>
          <w:szCs w:val="24"/>
        </w:rPr>
      </w:pPr>
      <w:r w:rsidRPr="00E30C24">
        <w:rPr>
          <w:rFonts w:ascii="Times New Roman" w:hAnsi="Times New Roman"/>
          <w:sz w:val="24"/>
          <w:szCs w:val="24"/>
        </w:rPr>
        <w:t>Prudential Standards determined by APRA under</w:t>
      </w:r>
      <w:r>
        <w:rPr>
          <w:rFonts w:ascii="Times New Roman" w:hAnsi="Times New Roman"/>
          <w:sz w:val="24"/>
          <w:szCs w:val="24"/>
        </w:rPr>
        <w:t xml:space="preserve"> </w:t>
      </w:r>
      <w:r w:rsidRPr="00BE4054">
        <w:rPr>
          <w:rFonts w:ascii="Times New Roman" w:hAnsi="Times New Roman"/>
          <w:sz w:val="24"/>
          <w:szCs w:val="24"/>
        </w:rPr>
        <w:t>subsection 11</w:t>
      </w:r>
      <w:proofErr w:type="gramStart"/>
      <w:r w:rsidRPr="00BE4054">
        <w:rPr>
          <w:rFonts w:ascii="Times New Roman" w:hAnsi="Times New Roman"/>
          <w:sz w:val="24"/>
          <w:szCs w:val="24"/>
        </w:rPr>
        <w:t>AF(</w:t>
      </w:r>
      <w:proofErr w:type="gramEnd"/>
      <w:r w:rsidRPr="00BE4054">
        <w:rPr>
          <w:rFonts w:ascii="Times New Roman" w:hAnsi="Times New Roman"/>
          <w:sz w:val="24"/>
          <w:szCs w:val="24"/>
        </w:rPr>
        <w:t>1) of the Act</w:t>
      </w:r>
      <w:r w:rsidRPr="00E30C24">
        <w:rPr>
          <w:rFonts w:ascii="Times New Roman" w:hAnsi="Times New Roman"/>
          <w:sz w:val="24"/>
          <w:szCs w:val="24"/>
        </w:rPr>
        <w:t>.</w:t>
      </w:r>
    </w:p>
    <w:p w14:paraId="10985CB4" w14:textId="168DFEFB" w:rsidR="00432CB5" w:rsidRDefault="00034E71" w:rsidP="00432CB5">
      <w:pPr>
        <w:pStyle w:val="Heading"/>
        <w:spacing w:after="240"/>
        <w:rPr>
          <w:rFonts w:ascii="Times New Roman" w:hAnsi="Times New Roman"/>
          <w:b w:val="0"/>
          <w:sz w:val="24"/>
          <w:szCs w:val="24"/>
        </w:rPr>
      </w:pPr>
      <w:r w:rsidRPr="00E85782">
        <w:rPr>
          <w:rFonts w:ascii="Times New Roman" w:hAnsi="Times New Roman"/>
          <w:b w:val="0"/>
          <w:sz w:val="24"/>
          <w:szCs w:val="24"/>
        </w:rPr>
        <w:t xml:space="preserve">All documents incorporated by reference in this standard are available on the Federal Register of Legislation at </w:t>
      </w:r>
      <w:hyperlink r:id="rId11" w:history="1">
        <w:r w:rsidRPr="001968EC">
          <w:rPr>
            <w:rStyle w:val="Hyperlink"/>
            <w:rFonts w:ascii="Times New Roman" w:hAnsi="Times New Roman"/>
            <w:b w:val="0"/>
            <w:sz w:val="24"/>
            <w:szCs w:val="24"/>
          </w:rPr>
          <w:t>www.legislation.gov.au</w:t>
        </w:r>
      </w:hyperlink>
      <w:r w:rsidRPr="00E85782">
        <w:rPr>
          <w:rFonts w:ascii="Times New Roman" w:hAnsi="Times New Roman"/>
          <w:b w:val="0"/>
          <w:sz w:val="24"/>
          <w:szCs w:val="24"/>
        </w:rPr>
        <w:t>.</w:t>
      </w:r>
    </w:p>
    <w:p w14:paraId="7FCB747C" w14:textId="1617A746" w:rsidR="007B3C56" w:rsidRPr="00ED19D5" w:rsidRDefault="00D229E2" w:rsidP="00ED19D5">
      <w:pPr>
        <w:pStyle w:val="Heading"/>
        <w:spacing w:after="240"/>
        <w:rPr>
          <w:rFonts w:ascii="Times New Roman" w:hAnsi="Times New Roman"/>
          <w:b w:val="0"/>
          <w:sz w:val="24"/>
          <w:szCs w:val="24"/>
        </w:rPr>
      </w:pPr>
      <w:r w:rsidRPr="00A5243B">
        <w:rPr>
          <w:rFonts w:ascii="Times New Roman" w:hAnsi="Times New Roman"/>
          <w:b w:val="0"/>
          <w:sz w:val="24"/>
          <w:szCs w:val="24"/>
        </w:rPr>
        <w:t xml:space="preserve">Under paragraph 14(1)(a) of the Legislation Act, </w:t>
      </w:r>
      <w:r w:rsidR="00A826C7" w:rsidRPr="008C04B6">
        <w:rPr>
          <w:rFonts w:ascii="Times New Roman" w:hAnsi="Times New Roman"/>
          <w:b w:val="0"/>
          <w:color w:val="000000"/>
          <w:sz w:val="24"/>
          <w:szCs w:val="24"/>
          <w:shd w:val="clear" w:color="auto" w:fill="FFFFFF"/>
        </w:rPr>
        <w:t>APS 180 incorporates by reference the Committee on Payments and Market Infrastructures and International Organization of Securities Commission’s </w:t>
      </w:r>
      <w:r w:rsidR="00A826C7" w:rsidRPr="008C04B6">
        <w:rPr>
          <w:rFonts w:ascii="Times New Roman" w:hAnsi="Times New Roman"/>
          <w:b w:val="0"/>
          <w:i/>
          <w:iCs/>
          <w:color w:val="000000"/>
          <w:sz w:val="24"/>
          <w:szCs w:val="24"/>
          <w:shd w:val="clear" w:color="auto" w:fill="FFFFFF"/>
        </w:rPr>
        <w:t>Principles for Financial Market Infrastructures</w:t>
      </w:r>
      <w:r w:rsidR="00A826C7" w:rsidRPr="008C04B6">
        <w:rPr>
          <w:rFonts w:ascii="Times New Roman" w:hAnsi="Times New Roman"/>
          <w:b w:val="0"/>
          <w:color w:val="000000"/>
          <w:sz w:val="24"/>
          <w:szCs w:val="24"/>
          <w:shd w:val="clear" w:color="auto" w:fill="FFFFFF"/>
        </w:rPr>
        <w:t xml:space="preserve"> (CPMI-IOSCO Principles) as </w:t>
      </w:r>
      <w:r w:rsidR="45EF6660">
        <w:rPr>
          <w:rFonts w:ascii="Times New Roman" w:hAnsi="Times New Roman"/>
          <w:b w:val="0"/>
          <w:color w:val="000000"/>
          <w:sz w:val="24"/>
          <w:szCs w:val="24"/>
          <w:shd w:val="clear" w:color="auto" w:fill="FFFFFF"/>
        </w:rPr>
        <w:t>it exists</w:t>
      </w:r>
      <w:r w:rsidR="00A826C7" w:rsidRPr="008C04B6">
        <w:rPr>
          <w:rFonts w:ascii="Times New Roman" w:hAnsi="Times New Roman"/>
          <w:b w:val="0"/>
          <w:color w:val="000000"/>
          <w:sz w:val="24"/>
          <w:szCs w:val="24"/>
          <w:shd w:val="clear" w:color="auto" w:fill="FFFFFF"/>
        </w:rPr>
        <w:t xml:space="preserve"> from time to time. Under APS 180, the calculation of the capital charge to be applied to exposures to a </w:t>
      </w:r>
      <w:r w:rsidR="00A826C7">
        <w:rPr>
          <w:rFonts w:ascii="Times New Roman" w:hAnsi="Times New Roman"/>
          <w:b w:val="0"/>
          <w:color w:val="000000"/>
          <w:sz w:val="24"/>
          <w:szCs w:val="24"/>
          <w:shd w:val="clear" w:color="auto" w:fill="FFFFFF"/>
        </w:rPr>
        <w:t>central counterparty (</w:t>
      </w:r>
      <w:r w:rsidR="00A826C7" w:rsidRPr="008C04B6">
        <w:rPr>
          <w:rFonts w:ascii="Times New Roman" w:hAnsi="Times New Roman"/>
          <w:b w:val="0"/>
          <w:color w:val="000000"/>
          <w:sz w:val="24"/>
          <w:szCs w:val="24"/>
          <w:shd w:val="clear" w:color="auto" w:fill="FFFFFF"/>
        </w:rPr>
        <w:t>CCP</w:t>
      </w:r>
      <w:r w:rsidR="00A826C7">
        <w:rPr>
          <w:rFonts w:ascii="Times New Roman" w:hAnsi="Times New Roman"/>
          <w:b w:val="0"/>
          <w:color w:val="000000"/>
          <w:sz w:val="24"/>
          <w:szCs w:val="24"/>
          <w:shd w:val="clear" w:color="auto" w:fill="FFFFFF"/>
        </w:rPr>
        <w:t>)</w:t>
      </w:r>
      <w:r w:rsidR="00A826C7" w:rsidRPr="008C04B6">
        <w:rPr>
          <w:rFonts w:ascii="Times New Roman" w:hAnsi="Times New Roman"/>
          <w:b w:val="0"/>
          <w:color w:val="000000"/>
          <w:sz w:val="24"/>
          <w:szCs w:val="24"/>
          <w:shd w:val="clear" w:color="auto" w:fill="FFFFFF"/>
        </w:rPr>
        <w:t xml:space="preserve"> is dependent on whether the CCP is treated as a qualifying CCP or a non-qualifying CCP. Whether a CCP is a qualifying CCP involves a question of fact, which is dependent on whether the CCP is subject to rules and regulations that are consistent with the CPMI-IOSCO Principles, rather than an application of the CPMI-IOSCO Principles. The CPMI-IOSCO Principles are not intended to be incorporated into APS 180 and are freely available at </w:t>
      </w:r>
      <w:hyperlink r:id="rId12" w:history="1">
        <w:r w:rsidR="00A826C7" w:rsidRPr="008C04B6">
          <w:rPr>
            <w:rFonts w:ascii="Times New Roman" w:hAnsi="Times New Roman"/>
            <w:b w:val="0"/>
            <w:color w:val="0F569E"/>
            <w:sz w:val="24"/>
            <w:szCs w:val="24"/>
            <w:u w:val="single"/>
          </w:rPr>
          <w:t>https://www.bis.org/cpmi/info_pfmi.htm</w:t>
        </w:r>
      </w:hyperlink>
      <w:r w:rsidR="00A826C7" w:rsidRPr="008C04B6">
        <w:rPr>
          <w:rFonts w:ascii="Times New Roman" w:hAnsi="Times New Roman"/>
          <w:b w:val="0"/>
          <w:color w:val="000000"/>
          <w:sz w:val="24"/>
          <w:szCs w:val="24"/>
          <w:shd w:val="clear" w:color="auto" w:fill="FFFFFF"/>
        </w:rPr>
        <w:t>.</w:t>
      </w:r>
    </w:p>
    <w:p w14:paraId="77C47878" w14:textId="3223559E" w:rsidR="00043DA2" w:rsidRPr="00532447" w:rsidRDefault="00043DA2" w:rsidP="00532447">
      <w:pPr>
        <w:pStyle w:val="Heading"/>
        <w:keepNext/>
        <w:numPr>
          <w:ilvl w:val="0"/>
          <w:numId w:val="12"/>
        </w:numPr>
        <w:spacing w:after="240"/>
        <w:ind w:left="357" w:hanging="357"/>
        <w:rPr>
          <w:rFonts w:ascii="Times New Roman" w:hAnsi="Times New Roman"/>
          <w:sz w:val="24"/>
          <w:szCs w:val="24"/>
        </w:rPr>
      </w:pPr>
      <w:r w:rsidRPr="00532447">
        <w:rPr>
          <w:rFonts w:ascii="Times New Roman" w:hAnsi="Times New Roman"/>
          <w:sz w:val="24"/>
          <w:szCs w:val="24"/>
        </w:rPr>
        <w:lastRenderedPageBreak/>
        <w:t>Consultation</w:t>
      </w:r>
    </w:p>
    <w:p w14:paraId="77305C02" w14:textId="115068E4" w:rsidR="008E7679" w:rsidRPr="00590C51" w:rsidRDefault="008423C0" w:rsidP="008E7679">
      <w:pPr>
        <w:pStyle w:val="Heading"/>
        <w:spacing w:after="240"/>
        <w:rPr>
          <w:rFonts w:ascii="Times New Roman" w:hAnsi="Times New Roman"/>
          <w:b w:val="0"/>
          <w:sz w:val="24"/>
          <w:szCs w:val="24"/>
        </w:rPr>
      </w:pPr>
      <w:r w:rsidRPr="00590C51">
        <w:rPr>
          <w:rFonts w:ascii="Times New Roman" w:hAnsi="Times New Roman"/>
          <w:b w:val="0"/>
          <w:sz w:val="24"/>
          <w:szCs w:val="24"/>
        </w:rPr>
        <w:t>APRA consulted on the minor updates to APS 1</w:t>
      </w:r>
      <w:r w:rsidR="009A10E6">
        <w:rPr>
          <w:rFonts w:ascii="Times New Roman" w:hAnsi="Times New Roman"/>
          <w:b w:val="0"/>
          <w:sz w:val="24"/>
          <w:szCs w:val="24"/>
        </w:rPr>
        <w:t>80</w:t>
      </w:r>
      <w:r w:rsidRPr="00590C51">
        <w:rPr>
          <w:rFonts w:ascii="Times New Roman" w:hAnsi="Times New Roman"/>
          <w:b w:val="0"/>
          <w:sz w:val="24"/>
          <w:szCs w:val="24"/>
        </w:rPr>
        <w:t xml:space="preserve"> in June 2023. Five submissions were received on the proposed minor updates and submissions did not object to </w:t>
      </w:r>
      <w:r w:rsidR="004F0F3B" w:rsidRPr="00590C51">
        <w:rPr>
          <w:rFonts w:ascii="Times New Roman" w:hAnsi="Times New Roman"/>
          <w:b w:val="0"/>
          <w:sz w:val="24"/>
          <w:szCs w:val="24"/>
        </w:rPr>
        <w:t>the</w:t>
      </w:r>
      <w:r w:rsidR="00DC143D">
        <w:rPr>
          <w:rFonts w:ascii="Times New Roman" w:hAnsi="Times New Roman"/>
          <w:b w:val="0"/>
          <w:sz w:val="24"/>
          <w:szCs w:val="24"/>
        </w:rPr>
        <w:t xml:space="preserve"> APS 180 updates</w:t>
      </w:r>
      <w:r w:rsidR="004F0F3B" w:rsidRPr="00590C51">
        <w:rPr>
          <w:rFonts w:ascii="Times New Roman" w:hAnsi="Times New Roman"/>
          <w:b w:val="0"/>
          <w:sz w:val="24"/>
          <w:szCs w:val="24"/>
        </w:rPr>
        <w:t>.</w:t>
      </w:r>
    </w:p>
    <w:p w14:paraId="474E92F9" w14:textId="3A18B276" w:rsidR="00043DA2" w:rsidRPr="00590C51" w:rsidRDefault="00043DA2" w:rsidP="008423C0">
      <w:pPr>
        <w:pStyle w:val="Heading"/>
        <w:numPr>
          <w:ilvl w:val="0"/>
          <w:numId w:val="12"/>
        </w:numPr>
        <w:spacing w:after="240"/>
        <w:rPr>
          <w:rFonts w:ascii="Times New Roman" w:hAnsi="Times New Roman"/>
          <w:sz w:val="24"/>
          <w:szCs w:val="24"/>
        </w:rPr>
      </w:pPr>
      <w:bookmarkStart w:id="8" w:name="bkConsultation"/>
      <w:bookmarkStart w:id="9" w:name="bkRISNO"/>
      <w:bookmarkStart w:id="10" w:name="bkRIS"/>
      <w:bookmarkEnd w:id="8"/>
      <w:bookmarkEnd w:id="9"/>
      <w:r w:rsidRPr="00590C51">
        <w:rPr>
          <w:rFonts w:ascii="Times New Roman" w:hAnsi="Times New Roman"/>
          <w:sz w:val="24"/>
          <w:szCs w:val="24"/>
        </w:rPr>
        <w:t>Regulation Impact Statement</w:t>
      </w:r>
    </w:p>
    <w:p w14:paraId="2FA3CDBE" w14:textId="4A48D415" w:rsidR="008423C0" w:rsidRPr="00590C51" w:rsidRDefault="008423C0" w:rsidP="008423C0">
      <w:pPr>
        <w:pStyle w:val="Heading"/>
        <w:tabs>
          <w:tab w:val="left" w:pos="360"/>
        </w:tabs>
        <w:spacing w:after="240"/>
        <w:rPr>
          <w:rFonts w:ascii="Times New Roman" w:hAnsi="Times New Roman"/>
          <w:b w:val="0"/>
          <w:sz w:val="24"/>
          <w:szCs w:val="24"/>
        </w:rPr>
      </w:pPr>
      <w:r w:rsidRPr="00590C51">
        <w:rPr>
          <w:rFonts w:ascii="Times New Roman" w:hAnsi="Times New Roman"/>
          <w:b w:val="0"/>
          <w:sz w:val="24"/>
          <w:szCs w:val="24"/>
        </w:rPr>
        <w:t xml:space="preserve">The Office of Impact </w:t>
      </w:r>
      <w:r w:rsidR="00D02729">
        <w:rPr>
          <w:rFonts w:ascii="Times New Roman" w:hAnsi="Times New Roman"/>
          <w:b w:val="0"/>
          <w:sz w:val="24"/>
          <w:szCs w:val="24"/>
        </w:rPr>
        <w:t>Analysis</w:t>
      </w:r>
      <w:r w:rsidR="00D02729" w:rsidRPr="00590C51">
        <w:rPr>
          <w:rFonts w:ascii="Times New Roman" w:hAnsi="Times New Roman"/>
          <w:b w:val="0"/>
          <w:sz w:val="24"/>
          <w:szCs w:val="24"/>
        </w:rPr>
        <w:t xml:space="preserve"> </w:t>
      </w:r>
      <w:r w:rsidR="00947C38" w:rsidRPr="0026634D">
        <w:rPr>
          <w:rFonts w:ascii="Times New Roman" w:hAnsi="Times New Roman"/>
          <w:b w:val="0"/>
          <w:sz w:val="24"/>
          <w:szCs w:val="24"/>
        </w:rPr>
        <w:t>advised that no Regulat</w:t>
      </w:r>
      <w:r w:rsidR="00947C38">
        <w:rPr>
          <w:rFonts w:ascii="Times New Roman" w:hAnsi="Times New Roman"/>
          <w:b w:val="0"/>
          <w:sz w:val="24"/>
          <w:szCs w:val="24"/>
        </w:rPr>
        <w:t>ion</w:t>
      </w:r>
      <w:r w:rsidR="00947C38" w:rsidRPr="0026634D">
        <w:rPr>
          <w:rFonts w:ascii="Times New Roman" w:hAnsi="Times New Roman"/>
          <w:b w:val="0"/>
          <w:sz w:val="24"/>
          <w:szCs w:val="24"/>
        </w:rPr>
        <w:t xml:space="preserve"> Impact </w:t>
      </w:r>
      <w:r w:rsidR="00947C38">
        <w:rPr>
          <w:rFonts w:ascii="Times New Roman" w:hAnsi="Times New Roman"/>
          <w:b w:val="0"/>
          <w:sz w:val="24"/>
          <w:szCs w:val="24"/>
        </w:rPr>
        <w:t>S</w:t>
      </w:r>
      <w:r w:rsidR="00947C38" w:rsidRPr="0026634D">
        <w:rPr>
          <w:rFonts w:ascii="Times New Roman" w:hAnsi="Times New Roman"/>
          <w:b w:val="0"/>
          <w:sz w:val="24"/>
          <w:szCs w:val="24"/>
        </w:rPr>
        <w:t xml:space="preserve">tatement </w:t>
      </w:r>
      <w:r w:rsidR="00947C38">
        <w:rPr>
          <w:rFonts w:ascii="Times New Roman" w:hAnsi="Times New Roman"/>
          <w:b w:val="0"/>
          <w:sz w:val="24"/>
          <w:szCs w:val="24"/>
        </w:rPr>
        <w:t>was</w:t>
      </w:r>
      <w:r w:rsidR="00947C38" w:rsidRPr="0026634D">
        <w:rPr>
          <w:rFonts w:ascii="Times New Roman" w:hAnsi="Times New Roman"/>
          <w:b w:val="0"/>
          <w:sz w:val="24"/>
          <w:szCs w:val="24"/>
        </w:rPr>
        <w:t xml:space="preserve"> required as the changes</w:t>
      </w:r>
      <w:r w:rsidR="00947C38">
        <w:rPr>
          <w:rFonts w:ascii="Times New Roman" w:hAnsi="Times New Roman"/>
          <w:b w:val="0"/>
          <w:sz w:val="24"/>
          <w:szCs w:val="24"/>
        </w:rPr>
        <w:t xml:space="preserve"> to the standards </w:t>
      </w:r>
      <w:r w:rsidR="00947C38" w:rsidRPr="0026634D">
        <w:rPr>
          <w:rFonts w:ascii="Times New Roman" w:hAnsi="Times New Roman"/>
          <w:b w:val="0"/>
          <w:sz w:val="24"/>
          <w:szCs w:val="24"/>
        </w:rPr>
        <w:t>are minor and machinery.</w:t>
      </w:r>
    </w:p>
    <w:bookmarkEnd w:id="10"/>
    <w:p w14:paraId="59D1A73F" w14:textId="75EA295D" w:rsidR="00043DA2" w:rsidRDefault="00043DA2" w:rsidP="008C04B6">
      <w:pPr>
        <w:pStyle w:val="Heading"/>
        <w:numPr>
          <w:ilvl w:val="0"/>
          <w:numId w:val="12"/>
        </w:numPr>
        <w:spacing w:after="240"/>
        <w:rPr>
          <w:rFonts w:ascii="Times New Roman" w:hAnsi="Times New Roman"/>
          <w:sz w:val="24"/>
          <w:szCs w:val="24"/>
        </w:rPr>
      </w:pPr>
      <w:r w:rsidRPr="00590C51">
        <w:rPr>
          <w:rFonts w:ascii="Times New Roman" w:hAnsi="Times New Roman"/>
          <w:sz w:val="24"/>
          <w:szCs w:val="24"/>
        </w:rPr>
        <w:t xml:space="preserve">Statement of compatibility prepared in accordance with Part 3 of the </w:t>
      </w:r>
      <w:r w:rsidRPr="00ED19D5">
        <w:rPr>
          <w:rFonts w:ascii="Times New Roman" w:hAnsi="Times New Roman"/>
          <w:i/>
          <w:sz w:val="24"/>
          <w:szCs w:val="24"/>
        </w:rPr>
        <w:t>Human Rights (Parliamentary Scrutiny) Act 2011</w:t>
      </w:r>
    </w:p>
    <w:p w14:paraId="5B0A0C5A" w14:textId="56386DC7" w:rsidR="00043DA2" w:rsidRPr="00590C51" w:rsidRDefault="00043DA2" w:rsidP="00043DA2">
      <w:pPr>
        <w:pStyle w:val="Heading"/>
        <w:spacing w:after="240"/>
        <w:rPr>
          <w:rFonts w:ascii="Times New Roman" w:hAnsi="Times New Roman"/>
          <w:b w:val="0"/>
          <w:sz w:val="24"/>
          <w:szCs w:val="24"/>
        </w:rPr>
      </w:pPr>
      <w:r w:rsidRPr="00590C51">
        <w:rPr>
          <w:rFonts w:ascii="Times New Roman" w:hAnsi="Times New Roman"/>
          <w:b w:val="0"/>
          <w:sz w:val="24"/>
          <w:szCs w:val="24"/>
        </w:rPr>
        <w:t xml:space="preserve">A Statement of compatibility prepared in accordance with Part 3 of the </w:t>
      </w:r>
      <w:r w:rsidRPr="00590C51">
        <w:rPr>
          <w:rFonts w:ascii="Times New Roman" w:hAnsi="Times New Roman"/>
          <w:b w:val="0"/>
          <w:i/>
          <w:sz w:val="24"/>
          <w:szCs w:val="24"/>
        </w:rPr>
        <w:t>Human Rights (Parliamentary Scrutiny) Act 2011</w:t>
      </w:r>
      <w:r w:rsidRPr="00590C51">
        <w:rPr>
          <w:rFonts w:ascii="Times New Roman" w:hAnsi="Times New Roman"/>
          <w:b w:val="0"/>
          <w:sz w:val="24"/>
          <w:szCs w:val="24"/>
        </w:rPr>
        <w:t xml:space="preserve"> is provided at Attachment </w:t>
      </w:r>
      <w:r w:rsidR="008068B5">
        <w:rPr>
          <w:rFonts w:ascii="Times New Roman" w:hAnsi="Times New Roman"/>
          <w:b w:val="0"/>
          <w:sz w:val="24"/>
          <w:szCs w:val="24"/>
        </w:rPr>
        <w:t>A</w:t>
      </w:r>
      <w:r w:rsidRPr="00590C51">
        <w:rPr>
          <w:rFonts w:ascii="Times New Roman" w:hAnsi="Times New Roman"/>
          <w:b w:val="0"/>
          <w:sz w:val="24"/>
          <w:szCs w:val="24"/>
        </w:rPr>
        <w:t xml:space="preserve"> to this Explanatory Statement.</w:t>
      </w:r>
    </w:p>
    <w:p w14:paraId="2B88CB30" w14:textId="77777777" w:rsidR="00043DA2" w:rsidRPr="00590C51" w:rsidRDefault="00043DA2" w:rsidP="00043DA2">
      <w:pPr>
        <w:spacing w:after="240"/>
        <w:jc w:val="both"/>
        <w:rPr>
          <w:rFonts w:ascii="Times New Roman" w:hAnsi="Times New Roman"/>
          <w:sz w:val="24"/>
          <w:szCs w:val="24"/>
        </w:rPr>
        <w:sectPr w:rsidR="00043DA2" w:rsidRPr="00590C51">
          <w:footerReference w:type="default" r:id="rId13"/>
          <w:pgSz w:w="11906" w:h="16838" w:code="9"/>
          <w:pgMar w:top="1440" w:right="1800" w:bottom="1440" w:left="1800" w:header="709" w:footer="709" w:gutter="0"/>
          <w:cols w:space="708"/>
          <w:docGrid w:linePitch="360"/>
        </w:sectPr>
      </w:pPr>
    </w:p>
    <w:p w14:paraId="39E7B8E5" w14:textId="4E1BF150" w:rsidR="00043DA2" w:rsidRPr="00590C51" w:rsidRDefault="00043DA2" w:rsidP="00043DA2">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834A0F">
        <w:rPr>
          <w:rFonts w:ascii="Times New Roman" w:hAnsi="Times New Roman"/>
          <w:sz w:val="24"/>
          <w:szCs w:val="24"/>
          <w:u w:val="single"/>
        </w:rPr>
        <w:t>A</w:t>
      </w:r>
    </w:p>
    <w:p w14:paraId="09ACF579" w14:textId="77777777" w:rsidR="00043DA2" w:rsidRPr="00590C51" w:rsidRDefault="00043DA2" w:rsidP="00043DA2">
      <w:pPr>
        <w:shd w:val="clear" w:color="auto" w:fill="FFFFFF"/>
        <w:spacing w:before="100" w:beforeAutospacing="1" w:after="240"/>
        <w:jc w:val="center"/>
        <w:rPr>
          <w:rFonts w:ascii="Times New Roman" w:hAnsi="Times New Roman"/>
          <w:sz w:val="24"/>
          <w:szCs w:val="24"/>
          <w:lang w:val="en-US"/>
        </w:rPr>
      </w:pPr>
      <w:r w:rsidRPr="00590C51">
        <w:rPr>
          <w:rFonts w:ascii="Times New Roman" w:hAnsi="Times New Roman"/>
          <w:b/>
          <w:bCs/>
          <w:sz w:val="24"/>
          <w:szCs w:val="24"/>
        </w:rPr>
        <w:t>Statement of Compatibility with Human Rights</w:t>
      </w:r>
    </w:p>
    <w:p w14:paraId="4B51D2FC" w14:textId="310324E8" w:rsidR="00043DA2" w:rsidRPr="00590C51" w:rsidRDefault="00043DA2" w:rsidP="00043DA2">
      <w:pPr>
        <w:shd w:val="clear" w:color="auto" w:fill="FFFFFF"/>
        <w:spacing w:before="100" w:beforeAutospacing="1" w:after="240"/>
        <w:jc w:val="center"/>
        <w:rPr>
          <w:rFonts w:ascii="Times New Roman" w:hAnsi="Times New Roman"/>
          <w:sz w:val="24"/>
          <w:szCs w:val="24"/>
          <w:lang w:val="en-US"/>
        </w:rPr>
      </w:pPr>
      <w:r w:rsidRPr="00590C51">
        <w:rPr>
          <w:rFonts w:ascii="Times New Roman" w:hAnsi="Times New Roman"/>
          <w:sz w:val="24"/>
          <w:szCs w:val="24"/>
        </w:rPr>
        <w:t xml:space="preserve">Prepared in accordance with Part 3 of the </w:t>
      </w:r>
      <w:r w:rsidRPr="00590C51">
        <w:rPr>
          <w:rFonts w:ascii="Times New Roman" w:hAnsi="Times New Roman"/>
          <w:i/>
          <w:iCs/>
          <w:sz w:val="24"/>
          <w:szCs w:val="24"/>
        </w:rPr>
        <w:t>Human Rights (Parliamentary Scrutiny) Act 2011</w:t>
      </w:r>
      <w:r w:rsidR="002D6F96">
        <w:rPr>
          <w:rFonts w:ascii="Times New Roman" w:hAnsi="Times New Roman"/>
          <w:i/>
          <w:iCs/>
          <w:sz w:val="24"/>
          <w:szCs w:val="24"/>
        </w:rPr>
        <w:t>.</w:t>
      </w:r>
    </w:p>
    <w:p w14:paraId="1D17F7F3" w14:textId="3AD7AACC" w:rsidR="00043DA2" w:rsidRPr="00ED19D5" w:rsidRDefault="00043DA2" w:rsidP="00590C51">
      <w:pPr>
        <w:shd w:val="clear" w:color="auto" w:fill="FFFFFF" w:themeFill="background1"/>
        <w:spacing w:before="100" w:beforeAutospacing="1" w:after="240"/>
        <w:jc w:val="center"/>
        <w:rPr>
          <w:rFonts w:ascii="Times New Roman" w:hAnsi="Times New Roman"/>
          <w:b/>
          <w:bCs/>
          <w:i/>
          <w:sz w:val="24"/>
          <w:szCs w:val="24"/>
          <w:lang w:val="en-US"/>
        </w:rPr>
      </w:pPr>
      <w:r w:rsidRPr="00ED19D5">
        <w:rPr>
          <w:rFonts w:ascii="Times New Roman" w:hAnsi="Times New Roman"/>
          <w:b/>
          <w:bCs/>
          <w:i/>
          <w:sz w:val="24"/>
          <w:szCs w:val="24"/>
        </w:rPr>
        <w:t xml:space="preserve">Banking (prudential standard) determinations No. </w:t>
      </w:r>
      <w:r w:rsidR="5CFC6A3D" w:rsidRPr="47356C1E">
        <w:rPr>
          <w:rFonts w:ascii="Times New Roman" w:hAnsi="Times New Roman"/>
          <w:b/>
          <w:bCs/>
          <w:i/>
          <w:iCs/>
          <w:sz w:val="24"/>
          <w:szCs w:val="24"/>
        </w:rPr>
        <w:t>5</w:t>
      </w:r>
      <w:r w:rsidRPr="00ED19D5">
        <w:rPr>
          <w:rFonts w:ascii="Times New Roman" w:hAnsi="Times New Roman"/>
          <w:b/>
          <w:bCs/>
          <w:i/>
          <w:sz w:val="24"/>
          <w:szCs w:val="24"/>
        </w:rPr>
        <w:t xml:space="preserve"> of 2023</w:t>
      </w:r>
    </w:p>
    <w:p w14:paraId="3B8FD60E" w14:textId="630EC176"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Th</w:t>
      </w:r>
      <w:r w:rsidR="00A81C6A">
        <w:rPr>
          <w:rFonts w:ascii="Times New Roman" w:hAnsi="Times New Roman"/>
          <w:sz w:val="24"/>
          <w:szCs w:val="24"/>
        </w:rPr>
        <w:t>is</w:t>
      </w:r>
      <w:r w:rsidRPr="00590C51">
        <w:rPr>
          <w:rFonts w:ascii="Times New Roman" w:hAnsi="Times New Roman"/>
          <w:sz w:val="24"/>
          <w:szCs w:val="24"/>
        </w:rPr>
        <w:t xml:space="preserve"> legislative instrument</w:t>
      </w:r>
      <w:r w:rsidR="00144C53">
        <w:rPr>
          <w:rFonts w:ascii="Times New Roman" w:hAnsi="Times New Roman"/>
          <w:sz w:val="24"/>
          <w:szCs w:val="24"/>
        </w:rPr>
        <w:t xml:space="preserve"> is</w:t>
      </w:r>
      <w:r w:rsidRPr="00590C51">
        <w:rPr>
          <w:rFonts w:ascii="Times New Roman" w:hAnsi="Times New Roman"/>
          <w:sz w:val="24"/>
          <w:szCs w:val="24"/>
        </w:rPr>
        <w:t xml:space="preserve"> compatible with the human rights and freedoms recognised or declared in the international instrument listed in section 3 of the </w:t>
      </w:r>
      <w:r w:rsidRPr="00590C51">
        <w:rPr>
          <w:rFonts w:ascii="Times New Roman" w:hAnsi="Times New Roman"/>
          <w:i/>
          <w:iCs/>
          <w:sz w:val="24"/>
          <w:szCs w:val="24"/>
        </w:rPr>
        <w:t>Human Rights (Parliamentary Scrutiny) Act 2011</w:t>
      </w:r>
      <w:r w:rsidRPr="00590C51">
        <w:rPr>
          <w:rFonts w:ascii="Times New Roman" w:hAnsi="Times New Roman"/>
          <w:sz w:val="24"/>
          <w:szCs w:val="24"/>
        </w:rPr>
        <w:t xml:space="preserve"> (HRPS Act).</w:t>
      </w:r>
    </w:p>
    <w:p w14:paraId="1813BA72" w14:textId="7777777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Overview of the Legislative Instruments</w:t>
      </w:r>
    </w:p>
    <w:p w14:paraId="47E45558" w14:textId="6A675021"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The purpose of the</w:t>
      </w:r>
      <w:r w:rsidR="004E532A">
        <w:rPr>
          <w:rFonts w:ascii="Times New Roman" w:hAnsi="Times New Roman"/>
          <w:sz w:val="24"/>
          <w:szCs w:val="24"/>
        </w:rPr>
        <w:t xml:space="preserve"> legislative</w:t>
      </w:r>
      <w:r w:rsidRPr="00590C51">
        <w:rPr>
          <w:rFonts w:ascii="Times New Roman" w:hAnsi="Times New Roman"/>
          <w:sz w:val="24"/>
          <w:szCs w:val="24"/>
        </w:rPr>
        <w:t xml:space="preserve"> instrument is to revoke </w:t>
      </w:r>
      <w:r w:rsidRPr="00590C51">
        <w:rPr>
          <w:rFonts w:ascii="Times New Roman" w:hAnsi="Times New Roman"/>
          <w:i/>
          <w:iCs/>
          <w:sz w:val="24"/>
          <w:szCs w:val="24"/>
        </w:rPr>
        <w:t xml:space="preserve">Prudential Standard </w:t>
      </w:r>
      <w:r w:rsidR="00302225">
        <w:rPr>
          <w:rFonts w:ascii="Times New Roman" w:hAnsi="Times New Roman"/>
          <w:i/>
          <w:iCs/>
          <w:sz w:val="24"/>
          <w:szCs w:val="24"/>
        </w:rPr>
        <w:t xml:space="preserve">APS 180 </w:t>
      </w:r>
      <w:r w:rsidR="00302225" w:rsidRPr="00302225">
        <w:rPr>
          <w:rFonts w:ascii="Times New Roman" w:hAnsi="Times New Roman"/>
          <w:i/>
          <w:iCs/>
          <w:sz w:val="24"/>
          <w:szCs w:val="24"/>
        </w:rPr>
        <w:t>Capital Adequacy: Counterparty Credit Risk</w:t>
      </w:r>
      <w:r w:rsidR="00302225">
        <w:rPr>
          <w:rFonts w:ascii="Times New Roman" w:hAnsi="Times New Roman"/>
          <w:i/>
          <w:iCs/>
          <w:sz w:val="24"/>
          <w:szCs w:val="24"/>
        </w:rPr>
        <w:t xml:space="preserve"> </w:t>
      </w:r>
      <w:r w:rsidR="008434C7">
        <w:rPr>
          <w:rFonts w:ascii="Times New Roman" w:hAnsi="Times New Roman"/>
          <w:iCs/>
          <w:sz w:val="24"/>
          <w:szCs w:val="24"/>
        </w:rPr>
        <w:t xml:space="preserve">(APS 180) </w:t>
      </w:r>
      <w:r w:rsidRPr="00590C51">
        <w:rPr>
          <w:rFonts w:ascii="Times New Roman" w:hAnsi="Times New Roman"/>
          <w:sz w:val="24"/>
          <w:szCs w:val="24"/>
        </w:rPr>
        <w:t>and</w:t>
      </w:r>
      <w:r w:rsidRPr="00302225">
        <w:rPr>
          <w:rFonts w:ascii="Times New Roman" w:hAnsi="Times New Roman"/>
          <w:sz w:val="24"/>
          <w:szCs w:val="24"/>
        </w:rPr>
        <w:t xml:space="preserve"> replace it with a new</w:t>
      </w:r>
      <w:r w:rsidR="00302225" w:rsidRPr="00302225">
        <w:rPr>
          <w:rFonts w:ascii="Times New Roman" w:hAnsi="Times New Roman"/>
          <w:sz w:val="24"/>
          <w:szCs w:val="24"/>
        </w:rPr>
        <w:t xml:space="preserve"> version of the p</w:t>
      </w:r>
      <w:r w:rsidRPr="00302225">
        <w:rPr>
          <w:rFonts w:ascii="Times New Roman" w:hAnsi="Times New Roman"/>
          <w:iCs/>
          <w:sz w:val="24"/>
          <w:szCs w:val="24"/>
        </w:rPr>
        <w:t xml:space="preserve">rudential </w:t>
      </w:r>
      <w:r w:rsidR="00302225" w:rsidRPr="00302225">
        <w:rPr>
          <w:rFonts w:ascii="Times New Roman" w:hAnsi="Times New Roman"/>
          <w:iCs/>
          <w:sz w:val="24"/>
          <w:szCs w:val="24"/>
        </w:rPr>
        <w:t>s</w:t>
      </w:r>
      <w:r w:rsidRPr="00302225">
        <w:rPr>
          <w:rFonts w:ascii="Times New Roman" w:hAnsi="Times New Roman"/>
          <w:iCs/>
          <w:sz w:val="24"/>
          <w:szCs w:val="24"/>
        </w:rPr>
        <w:t>tandard</w:t>
      </w:r>
      <w:r w:rsidR="00302225" w:rsidRPr="00302225">
        <w:rPr>
          <w:rFonts w:ascii="Times New Roman" w:hAnsi="Times New Roman"/>
          <w:iCs/>
          <w:sz w:val="24"/>
          <w:szCs w:val="24"/>
        </w:rPr>
        <w:t>.</w:t>
      </w:r>
      <w:r w:rsidRPr="00302225">
        <w:rPr>
          <w:rFonts w:ascii="Times New Roman" w:hAnsi="Times New Roman"/>
          <w:iCs/>
          <w:sz w:val="24"/>
          <w:szCs w:val="24"/>
        </w:rPr>
        <w:t xml:space="preserve"> </w:t>
      </w:r>
    </w:p>
    <w:p w14:paraId="1DAAF813" w14:textId="28ACD4FA"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 xml:space="preserve">APS 180 sets out requirements for authorised deposit-taking institutions (ADIs) to adopt risk management practices and hold sufficient regulatory capital for counterparty credit risks exposures arising from certain transactions. ADIs are bodies corporate </w:t>
      </w:r>
      <w:r w:rsidR="00CA2A08">
        <w:rPr>
          <w:rFonts w:ascii="Times New Roman" w:hAnsi="Times New Roman"/>
          <w:sz w:val="24"/>
          <w:szCs w:val="24"/>
        </w:rPr>
        <w:t xml:space="preserve">that have been granted the authority, under the </w:t>
      </w:r>
      <w:r w:rsidR="00CA2A08" w:rsidRPr="00550B0A">
        <w:rPr>
          <w:rFonts w:ascii="Times New Roman" w:hAnsi="Times New Roman"/>
          <w:i/>
          <w:sz w:val="24"/>
          <w:szCs w:val="24"/>
        </w:rPr>
        <w:t>Banking Act 1959</w:t>
      </w:r>
      <w:r w:rsidR="00CA2A08">
        <w:rPr>
          <w:rFonts w:ascii="Times New Roman" w:hAnsi="Times New Roman"/>
          <w:sz w:val="24"/>
          <w:szCs w:val="24"/>
        </w:rPr>
        <w:t xml:space="preserve">, </w:t>
      </w:r>
      <w:r w:rsidRPr="00590C51">
        <w:rPr>
          <w:rFonts w:ascii="Times New Roman" w:hAnsi="Times New Roman"/>
          <w:sz w:val="24"/>
          <w:szCs w:val="24"/>
        </w:rPr>
        <w:t>to carry on banking business in Australia.</w:t>
      </w:r>
    </w:p>
    <w:p w14:paraId="42FBA1FB" w14:textId="77777777" w:rsidR="00043DA2" w:rsidRPr="00590C51" w:rsidRDefault="00043DA2" w:rsidP="00043DA2">
      <w:pPr>
        <w:keepNext/>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Human rights implications</w:t>
      </w:r>
    </w:p>
    <w:p w14:paraId="4A81F30C" w14:textId="09734D9F" w:rsidR="00043DA2" w:rsidRPr="00590C51" w:rsidRDefault="00043DA2" w:rsidP="00043DA2">
      <w:pPr>
        <w:keepNext/>
        <w:shd w:val="clear" w:color="auto" w:fill="FFFFFF"/>
        <w:spacing w:before="100" w:beforeAutospacing="1" w:after="240"/>
        <w:jc w:val="both"/>
        <w:rPr>
          <w:rFonts w:ascii="Times New Roman" w:hAnsi="Times New Roman"/>
          <w:sz w:val="24"/>
          <w:szCs w:val="24"/>
        </w:rPr>
      </w:pPr>
      <w:r w:rsidRPr="00590C51">
        <w:rPr>
          <w:rFonts w:ascii="Times New Roman" w:hAnsi="Times New Roman"/>
          <w:sz w:val="24"/>
          <w:szCs w:val="24"/>
        </w:rPr>
        <w:t xml:space="preserve">APRA has assessed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 xml:space="preserve">instrument and is of the view that </w:t>
      </w:r>
      <w:r w:rsidR="00302225">
        <w:rPr>
          <w:rFonts w:ascii="Times New Roman" w:hAnsi="Times New Roman"/>
          <w:sz w:val="24"/>
          <w:szCs w:val="24"/>
        </w:rPr>
        <w:t>it</w:t>
      </w:r>
      <w:r w:rsidRPr="00590C51">
        <w:rPr>
          <w:rFonts w:ascii="Times New Roman" w:hAnsi="Times New Roman"/>
          <w:sz w:val="24"/>
          <w:szCs w:val="24"/>
        </w:rPr>
        <w:t xml:space="preserve"> do</w:t>
      </w:r>
      <w:r w:rsidR="00302225">
        <w:rPr>
          <w:rFonts w:ascii="Times New Roman" w:hAnsi="Times New Roman"/>
          <w:sz w:val="24"/>
          <w:szCs w:val="24"/>
        </w:rPr>
        <w:t>es</w:t>
      </w:r>
      <w:r w:rsidRPr="00590C51">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instrument</w:t>
      </w:r>
      <w:r w:rsidR="00A82582">
        <w:rPr>
          <w:rFonts w:ascii="Times New Roman" w:hAnsi="Times New Roman"/>
          <w:sz w:val="24"/>
          <w:szCs w:val="24"/>
        </w:rPr>
        <w:t xml:space="preserve"> is</w:t>
      </w:r>
      <w:r w:rsidRPr="00590C51">
        <w:rPr>
          <w:rFonts w:ascii="Times New Roman" w:hAnsi="Times New Roman"/>
          <w:sz w:val="24"/>
          <w:szCs w:val="24"/>
        </w:rPr>
        <w:t xml:space="preserve"> compatible with human rights.</w:t>
      </w:r>
    </w:p>
    <w:p w14:paraId="7655FD88" w14:textId="7777777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Conclusion</w:t>
      </w:r>
    </w:p>
    <w:p w14:paraId="5BEC3301" w14:textId="601EE8D7"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w:t>
      </w:r>
      <w:r w:rsidR="00EB30F2">
        <w:rPr>
          <w:rFonts w:ascii="Times New Roman" w:hAnsi="Times New Roman"/>
          <w:sz w:val="24"/>
          <w:szCs w:val="24"/>
        </w:rPr>
        <w:t>is</w:t>
      </w:r>
      <w:r w:rsidRPr="00590C51">
        <w:rPr>
          <w:rFonts w:ascii="Times New Roman" w:hAnsi="Times New Roman"/>
          <w:sz w:val="24"/>
          <w:szCs w:val="24"/>
        </w:rPr>
        <w:t xml:space="preserve"> </w:t>
      </w:r>
      <w:r w:rsidR="00302225">
        <w:rPr>
          <w:rFonts w:ascii="Times New Roman" w:hAnsi="Times New Roman"/>
          <w:sz w:val="24"/>
          <w:szCs w:val="24"/>
        </w:rPr>
        <w:t xml:space="preserve">legislative </w:t>
      </w:r>
      <w:r w:rsidRPr="00590C51">
        <w:rPr>
          <w:rFonts w:ascii="Times New Roman" w:hAnsi="Times New Roman"/>
          <w:sz w:val="24"/>
          <w:szCs w:val="24"/>
        </w:rPr>
        <w:t>instrument</w:t>
      </w:r>
      <w:r w:rsidR="00302225">
        <w:rPr>
          <w:rFonts w:ascii="Times New Roman" w:hAnsi="Times New Roman"/>
          <w:sz w:val="24"/>
          <w:szCs w:val="24"/>
        </w:rPr>
        <w:t xml:space="preserve"> is</w:t>
      </w:r>
      <w:r w:rsidRPr="00590C51">
        <w:rPr>
          <w:rFonts w:ascii="Times New Roman" w:hAnsi="Times New Roman"/>
          <w:sz w:val="24"/>
          <w:szCs w:val="24"/>
        </w:rPr>
        <w:t xml:space="preserve"> compatible with human rights as </w:t>
      </w:r>
      <w:r w:rsidR="00144C53">
        <w:rPr>
          <w:rFonts w:ascii="Times New Roman" w:hAnsi="Times New Roman"/>
          <w:sz w:val="24"/>
          <w:szCs w:val="24"/>
        </w:rPr>
        <w:t>it</w:t>
      </w:r>
      <w:r w:rsidR="00144C53" w:rsidRPr="00590C51">
        <w:rPr>
          <w:rFonts w:ascii="Times New Roman" w:hAnsi="Times New Roman"/>
          <w:sz w:val="24"/>
          <w:szCs w:val="24"/>
        </w:rPr>
        <w:t xml:space="preserve"> </w:t>
      </w:r>
      <w:r w:rsidRPr="00590C51">
        <w:rPr>
          <w:rFonts w:ascii="Times New Roman" w:hAnsi="Times New Roman"/>
          <w:sz w:val="24"/>
          <w:szCs w:val="24"/>
        </w:rPr>
        <w:t>do</w:t>
      </w:r>
      <w:r w:rsidR="00144C53">
        <w:rPr>
          <w:rFonts w:ascii="Times New Roman" w:hAnsi="Times New Roman"/>
          <w:sz w:val="24"/>
          <w:szCs w:val="24"/>
        </w:rPr>
        <w:t>es</w:t>
      </w:r>
      <w:r w:rsidRPr="00590C51">
        <w:rPr>
          <w:rFonts w:ascii="Times New Roman" w:hAnsi="Times New Roman"/>
          <w:sz w:val="24"/>
          <w:szCs w:val="24"/>
        </w:rPr>
        <w:t xml:space="preserve"> not raise any human rights issues.</w:t>
      </w:r>
    </w:p>
    <w:p w14:paraId="46F713F4" w14:textId="77777777" w:rsidR="00A533A9" w:rsidRPr="00A34ADD" w:rsidRDefault="00A533A9" w:rsidP="00A34ADD"/>
    <w:sectPr w:rsidR="00A533A9" w:rsidRPr="00A34ADD">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D4F4" w14:textId="77777777" w:rsidR="007E0941" w:rsidRPr="000D4EDE" w:rsidRDefault="007E0941" w:rsidP="000D4EDE">
      <w:r>
        <w:separator/>
      </w:r>
    </w:p>
  </w:endnote>
  <w:endnote w:type="continuationSeparator" w:id="0">
    <w:p w14:paraId="6CE5FC5C" w14:textId="77777777" w:rsidR="007E0941" w:rsidRPr="000D4EDE" w:rsidRDefault="007E0941" w:rsidP="000D4EDE">
      <w:r>
        <w:continuationSeparator/>
      </w:r>
    </w:p>
  </w:endnote>
  <w:endnote w:type="continuationNotice" w:id="1">
    <w:p w14:paraId="39DC74E9" w14:textId="77777777" w:rsidR="007E0941" w:rsidRDefault="007E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0F6D9D16" w14:textId="77777777" w:rsidR="00043DA2" w:rsidRPr="00D85E77" w:rsidRDefault="00043DA2">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7B3001CC" w14:textId="77777777" w:rsidR="00043DA2" w:rsidRDefault="0004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2F73" w14:textId="77777777" w:rsidR="007E0941" w:rsidRPr="000D4EDE" w:rsidRDefault="007E0941" w:rsidP="000D4EDE">
      <w:r>
        <w:separator/>
      </w:r>
    </w:p>
  </w:footnote>
  <w:footnote w:type="continuationSeparator" w:id="0">
    <w:p w14:paraId="1A69C3A7" w14:textId="77777777" w:rsidR="007E0941" w:rsidRPr="000D4EDE" w:rsidRDefault="007E0941" w:rsidP="000D4EDE">
      <w:r>
        <w:continuationSeparator/>
      </w:r>
    </w:p>
  </w:footnote>
  <w:footnote w:type="continuationNotice" w:id="1">
    <w:p w14:paraId="649439DF" w14:textId="77777777" w:rsidR="007E0941" w:rsidRDefault="007E0941"/>
  </w:footnote>
  <w:footnote w:id="2">
    <w:p w14:paraId="6EE93BB9" w14:textId="700A18F8" w:rsidR="00D3331C" w:rsidRPr="00D3331C" w:rsidRDefault="00D3331C" w:rsidP="00C432F0">
      <w:pPr>
        <w:pStyle w:val="FootnoteText"/>
        <w:ind w:left="0" w:firstLine="0"/>
        <w:rPr>
          <w:rFonts w:ascii="Times New Roman" w:hAnsi="Times New Roman"/>
        </w:rPr>
      </w:pPr>
      <w:r w:rsidRPr="00D3331C">
        <w:rPr>
          <w:rStyle w:val="FootnoteReference"/>
          <w:rFonts w:ascii="Times New Roman" w:hAnsi="Times New Roman"/>
        </w:rPr>
        <w:footnoteRef/>
      </w:r>
      <w:r w:rsidRPr="00D3331C">
        <w:rPr>
          <w:rFonts w:ascii="Times New Roman" w:hAnsi="Times New Roman"/>
        </w:rPr>
        <w:t xml:space="preserve"> CVA is the risk of loss due to the deterioration in the creditworthiness of the counterparty to a derivatives transaction</w:t>
      </w:r>
      <w:r>
        <w:rPr>
          <w:rFonts w:ascii="Times New Roman" w:hAnsi="Times New Roman"/>
        </w:rPr>
        <w:t xml:space="preserve">. </w:t>
      </w:r>
      <w:r w:rsidRPr="00D3331C">
        <w:rPr>
          <w:rFonts w:ascii="Times New Roman" w:hAnsi="Times New Roman"/>
        </w:rPr>
        <w:t>This potential mark-to-market loss is known as CVA risk.</w:t>
      </w:r>
    </w:p>
  </w:footnote>
  <w:footnote w:id="3">
    <w:p w14:paraId="6101FCB6" w14:textId="0A30AF8E" w:rsidR="008E7679" w:rsidRPr="00161D5A" w:rsidRDefault="008E7679" w:rsidP="008E7679">
      <w:pPr>
        <w:pStyle w:val="FootnoteText"/>
        <w:rPr>
          <w:rFonts w:ascii="Times New Roman" w:hAnsi="Times New Roman"/>
        </w:rPr>
      </w:pPr>
      <w:r w:rsidRPr="00161D5A">
        <w:rPr>
          <w:rStyle w:val="FootnoteReference"/>
          <w:rFonts w:ascii="Times New Roman" w:hAnsi="Times New Roman"/>
        </w:rPr>
        <w:footnoteRef/>
      </w:r>
      <w:r w:rsidRPr="00161D5A">
        <w:rPr>
          <w:rFonts w:ascii="Times New Roman" w:hAnsi="Times New Roman"/>
        </w:rPr>
        <w:t xml:space="preserve"> </w:t>
      </w:r>
      <w:hyperlink r:id="rId1" w:history="1">
        <w:r w:rsidRPr="00161D5A">
          <w:rPr>
            <w:rFonts w:ascii="Times New Roman" w:hAnsi="Times New Roman"/>
            <w:i/>
            <w:color w:val="0000FF"/>
            <w:u w:val="single"/>
          </w:rPr>
          <w:t>Prudential Framework minor updates</w:t>
        </w:r>
      </w:hyperlink>
      <w:r w:rsidRPr="00161D5A">
        <w:rPr>
          <w:rFonts w:ascii="Times New Roman" w:hAnsi="Times New Roman"/>
        </w:rPr>
        <w:t>, APRA (Letter, June 2023)</w:t>
      </w:r>
      <w:r w:rsidR="003842A5">
        <w:rPr>
          <w:rFonts w:ascii="Times New Roman" w:hAnsi="Times New Roman"/>
        </w:rPr>
        <w:t xml:space="preserve"> and </w:t>
      </w:r>
      <w:hyperlink r:id="rId2" w:history="1">
        <w:r w:rsidR="003842A5" w:rsidRPr="00161D5A">
          <w:rPr>
            <w:rFonts w:ascii="Times New Roman" w:hAnsi="Times New Roman"/>
            <w:i/>
            <w:color w:val="0000FF"/>
            <w:u w:val="single"/>
          </w:rPr>
          <w:t>Modernising the prudential architecture</w:t>
        </w:r>
      </w:hyperlink>
      <w:r w:rsidR="003842A5" w:rsidRPr="00161D5A">
        <w:rPr>
          <w:rFonts w:ascii="Times New Roman" w:hAnsi="Times New Roman"/>
        </w:rPr>
        <w:t>, APRA (Information Paper, September 2022)</w:t>
      </w:r>
      <w:r w:rsidR="003842A5">
        <w:rPr>
          <w:rFonts w:ascii="Times New Roman" w:hAnsi="Times New Roman"/>
        </w:rPr>
        <w:t>.</w:t>
      </w:r>
    </w:p>
  </w:footnote>
  <w:footnote w:id="4">
    <w:p w14:paraId="60BB3095" w14:textId="51D9A454" w:rsidR="005E31D1" w:rsidRDefault="005E31D1" w:rsidP="005E31D1">
      <w:pPr>
        <w:pStyle w:val="FootnoteText"/>
        <w:spacing w:after="240"/>
        <w:ind w:left="0" w:firstLine="0"/>
      </w:pPr>
      <w:r>
        <w:rPr>
          <w:rStyle w:val="FootnoteReference"/>
        </w:rPr>
        <w:footnoteRef/>
      </w:r>
      <w:r>
        <w:t xml:space="preserve"> </w:t>
      </w:r>
      <w:r w:rsidRPr="005E31D1">
        <w:rPr>
          <w:rFonts w:ascii="Times New Roman" w:hAnsi="Times New Roman"/>
        </w:rPr>
        <w:t xml:space="preserve">An ADI (that is not a Foreign ADI) or authorised </w:t>
      </w:r>
      <w:r w:rsidR="00FD3198">
        <w:rPr>
          <w:rFonts w:ascii="Times New Roman" w:hAnsi="Times New Roman"/>
        </w:rPr>
        <w:t>NOHC</w:t>
      </w:r>
      <w:r w:rsidRPr="005E31D1">
        <w:rPr>
          <w:rFonts w:ascii="Times New Roman" w:hAnsi="Times New Roman"/>
        </w:rPr>
        <w:t xml:space="preserve"> that has total assets </w:t>
      </w:r>
      <w:r w:rsidR="00586AE8">
        <w:rPr>
          <w:rFonts w:ascii="Times New Roman" w:hAnsi="Times New Roman"/>
        </w:rPr>
        <w:t xml:space="preserve">no </w:t>
      </w:r>
      <w:r w:rsidRPr="005E31D1">
        <w:rPr>
          <w:rFonts w:ascii="Times New Roman" w:hAnsi="Times New Roman"/>
        </w:rPr>
        <w:t>more than AUD 20 billion, or determined as such by APRA, having regard to matters such as the complexity in its operations or its membership of a group.</w:t>
      </w:r>
    </w:p>
  </w:footnote>
  <w:footnote w:id="5">
    <w:p w14:paraId="3AADED26" w14:textId="77777777" w:rsidR="00B54F1F" w:rsidRDefault="00B54F1F" w:rsidP="00B54F1F">
      <w:pPr>
        <w:pStyle w:val="FootnoteText"/>
        <w:ind w:left="0" w:firstLine="0"/>
      </w:pPr>
      <w:r>
        <w:rPr>
          <w:rStyle w:val="FootnoteReference"/>
        </w:rPr>
        <w:footnoteRef/>
      </w:r>
      <w:r>
        <w:t xml:space="preserve"> </w:t>
      </w:r>
      <w:r w:rsidRPr="00F047A9">
        <w:rPr>
          <w:rFonts w:ascii="Times New Roman" w:hAnsi="Times New Roman"/>
        </w:rPr>
        <w:t>Default funds are clearing members’ contributions towards, or underwriting of, a CCP’s</w:t>
      </w:r>
      <w:r>
        <w:rPr>
          <w:rFonts w:ascii="Times New Roman" w:hAnsi="Times New Roman"/>
        </w:rPr>
        <w:t xml:space="preserve"> </w:t>
      </w:r>
      <w:r w:rsidRPr="00F047A9">
        <w:rPr>
          <w:rFonts w:ascii="Times New Roman" w:hAnsi="Times New Roman"/>
        </w:rPr>
        <w:t>mutualised loss-sharing arrangements. CCP is a clearing house that interposes itself between counterparties to contracts traded in one or more financial markets, becoming the buyer to every seller and the seller to every buyer.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884775"/>
    <w:multiLevelType w:val="hybridMultilevel"/>
    <w:tmpl w:val="10C4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236033A"/>
    <w:multiLevelType w:val="hybridMultilevel"/>
    <w:tmpl w:val="E7FA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79447C8"/>
    <w:multiLevelType w:val="hybridMultilevel"/>
    <w:tmpl w:val="F22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50440272">
    <w:abstractNumId w:val="1"/>
  </w:num>
  <w:num w:numId="2" w16cid:durableId="674959600">
    <w:abstractNumId w:val="0"/>
  </w:num>
  <w:num w:numId="3" w16cid:durableId="158271448">
    <w:abstractNumId w:val="6"/>
  </w:num>
  <w:num w:numId="4" w16cid:durableId="1075130201">
    <w:abstractNumId w:val="15"/>
  </w:num>
  <w:num w:numId="5" w16cid:durableId="380981745">
    <w:abstractNumId w:val="17"/>
  </w:num>
  <w:num w:numId="6" w16cid:durableId="23216293">
    <w:abstractNumId w:val="12"/>
  </w:num>
  <w:num w:numId="7" w16cid:durableId="204879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95370">
    <w:abstractNumId w:val="10"/>
  </w:num>
  <w:num w:numId="9" w16cid:durableId="300158696">
    <w:abstractNumId w:val="2"/>
  </w:num>
  <w:num w:numId="10" w16cid:durableId="1477795420">
    <w:abstractNumId w:val="7"/>
  </w:num>
  <w:num w:numId="11" w16cid:durableId="1611547372">
    <w:abstractNumId w:val="4"/>
  </w:num>
  <w:num w:numId="12" w16cid:durableId="149830496">
    <w:abstractNumId w:val="8"/>
  </w:num>
  <w:num w:numId="13" w16cid:durableId="2127851004">
    <w:abstractNumId w:val="5"/>
  </w:num>
  <w:num w:numId="14" w16cid:durableId="432172718">
    <w:abstractNumId w:val="14"/>
  </w:num>
  <w:num w:numId="15" w16cid:durableId="1315598288">
    <w:abstractNumId w:val="3"/>
  </w:num>
  <w:num w:numId="16" w16cid:durableId="1230311589">
    <w:abstractNumId w:val="13"/>
  </w:num>
  <w:num w:numId="17" w16cid:durableId="1606232480">
    <w:abstractNumId w:val="9"/>
  </w:num>
  <w:num w:numId="18" w16cid:durableId="1082406739">
    <w:abstractNumId w:val="11"/>
  </w:num>
  <w:num w:numId="19" w16cid:durableId="1325161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359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A2"/>
    <w:rsid w:val="00004ED1"/>
    <w:rsid w:val="00005D98"/>
    <w:rsid w:val="00005F96"/>
    <w:rsid w:val="00007262"/>
    <w:rsid w:val="00011C96"/>
    <w:rsid w:val="000141B9"/>
    <w:rsid w:val="00034A19"/>
    <w:rsid w:val="00034E71"/>
    <w:rsid w:val="00036F9E"/>
    <w:rsid w:val="000413B3"/>
    <w:rsid w:val="00043DA2"/>
    <w:rsid w:val="000453D9"/>
    <w:rsid w:val="000573E5"/>
    <w:rsid w:val="00057B71"/>
    <w:rsid w:val="0007202C"/>
    <w:rsid w:val="00072B30"/>
    <w:rsid w:val="0007319C"/>
    <w:rsid w:val="000732AA"/>
    <w:rsid w:val="000767DD"/>
    <w:rsid w:val="0008011A"/>
    <w:rsid w:val="000828C7"/>
    <w:rsid w:val="00084F8B"/>
    <w:rsid w:val="000851D0"/>
    <w:rsid w:val="00086D07"/>
    <w:rsid w:val="00086F71"/>
    <w:rsid w:val="00087D5F"/>
    <w:rsid w:val="00092B0E"/>
    <w:rsid w:val="00093915"/>
    <w:rsid w:val="000949AD"/>
    <w:rsid w:val="00095109"/>
    <w:rsid w:val="00096B0F"/>
    <w:rsid w:val="000A490E"/>
    <w:rsid w:val="000A79F2"/>
    <w:rsid w:val="000B04C5"/>
    <w:rsid w:val="000B63CA"/>
    <w:rsid w:val="000B752A"/>
    <w:rsid w:val="000C14D9"/>
    <w:rsid w:val="000C15C7"/>
    <w:rsid w:val="000C21EB"/>
    <w:rsid w:val="000C7956"/>
    <w:rsid w:val="000D4EDE"/>
    <w:rsid w:val="000E2460"/>
    <w:rsid w:val="000E43AC"/>
    <w:rsid w:val="000E4E83"/>
    <w:rsid w:val="000E6E37"/>
    <w:rsid w:val="000F0E6F"/>
    <w:rsid w:val="001018A5"/>
    <w:rsid w:val="0010555A"/>
    <w:rsid w:val="00106F56"/>
    <w:rsid w:val="00113BA6"/>
    <w:rsid w:val="00115333"/>
    <w:rsid w:val="00115A39"/>
    <w:rsid w:val="00117479"/>
    <w:rsid w:val="00123576"/>
    <w:rsid w:val="001241CB"/>
    <w:rsid w:val="00124B21"/>
    <w:rsid w:val="001327B8"/>
    <w:rsid w:val="0013471B"/>
    <w:rsid w:val="001352D4"/>
    <w:rsid w:val="00144C53"/>
    <w:rsid w:val="001505AA"/>
    <w:rsid w:val="00154DDD"/>
    <w:rsid w:val="00155789"/>
    <w:rsid w:val="00157C98"/>
    <w:rsid w:val="001653B6"/>
    <w:rsid w:val="00165BF6"/>
    <w:rsid w:val="00170ED4"/>
    <w:rsid w:val="00174B0F"/>
    <w:rsid w:val="0018235E"/>
    <w:rsid w:val="00184187"/>
    <w:rsid w:val="001A4EA4"/>
    <w:rsid w:val="001A5600"/>
    <w:rsid w:val="001A664F"/>
    <w:rsid w:val="001B2DB7"/>
    <w:rsid w:val="001B3A9F"/>
    <w:rsid w:val="001B3B08"/>
    <w:rsid w:val="001C144A"/>
    <w:rsid w:val="001C74A6"/>
    <w:rsid w:val="001D0C02"/>
    <w:rsid w:val="001D3D43"/>
    <w:rsid w:val="001D5819"/>
    <w:rsid w:val="001E0F51"/>
    <w:rsid w:val="001E55BF"/>
    <w:rsid w:val="001E63AA"/>
    <w:rsid w:val="001E7C63"/>
    <w:rsid w:val="001F6E1A"/>
    <w:rsid w:val="001F780A"/>
    <w:rsid w:val="001F7917"/>
    <w:rsid w:val="00200613"/>
    <w:rsid w:val="00214883"/>
    <w:rsid w:val="002156F6"/>
    <w:rsid w:val="00220550"/>
    <w:rsid w:val="002301A2"/>
    <w:rsid w:val="00236C2D"/>
    <w:rsid w:val="002374B7"/>
    <w:rsid w:val="00240126"/>
    <w:rsid w:val="00241D16"/>
    <w:rsid w:val="00242384"/>
    <w:rsid w:val="0024304D"/>
    <w:rsid w:val="00244826"/>
    <w:rsid w:val="00247ACA"/>
    <w:rsid w:val="00247E53"/>
    <w:rsid w:val="00252E6A"/>
    <w:rsid w:val="00255A20"/>
    <w:rsid w:val="0025782A"/>
    <w:rsid w:val="002602C8"/>
    <w:rsid w:val="00263414"/>
    <w:rsid w:val="002661A6"/>
    <w:rsid w:val="00266C23"/>
    <w:rsid w:val="00277D6C"/>
    <w:rsid w:val="00286EAD"/>
    <w:rsid w:val="00292A60"/>
    <w:rsid w:val="0029389B"/>
    <w:rsid w:val="002A1894"/>
    <w:rsid w:val="002A208A"/>
    <w:rsid w:val="002A2188"/>
    <w:rsid w:val="002A36F2"/>
    <w:rsid w:val="002A7D14"/>
    <w:rsid w:val="002B0913"/>
    <w:rsid w:val="002B28E4"/>
    <w:rsid w:val="002B7504"/>
    <w:rsid w:val="002C0D97"/>
    <w:rsid w:val="002C66D1"/>
    <w:rsid w:val="002C7065"/>
    <w:rsid w:val="002C7F4A"/>
    <w:rsid w:val="002D2804"/>
    <w:rsid w:val="002D4B6C"/>
    <w:rsid w:val="002D5274"/>
    <w:rsid w:val="002D6F96"/>
    <w:rsid w:val="002E1EE3"/>
    <w:rsid w:val="002E41BC"/>
    <w:rsid w:val="002F0135"/>
    <w:rsid w:val="002F0C2C"/>
    <w:rsid w:val="002F17CD"/>
    <w:rsid w:val="00300655"/>
    <w:rsid w:val="00302225"/>
    <w:rsid w:val="00303D18"/>
    <w:rsid w:val="00307ADD"/>
    <w:rsid w:val="00307E55"/>
    <w:rsid w:val="00312A66"/>
    <w:rsid w:val="003130CA"/>
    <w:rsid w:val="00313C86"/>
    <w:rsid w:val="0032180D"/>
    <w:rsid w:val="003306A5"/>
    <w:rsid w:val="00355D40"/>
    <w:rsid w:val="0037089D"/>
    <w:rsid w:val="00371AAC"/>
    <w:rsid w:val="00371F54"/>
    <w:rsid w:val="0037770C"/>
    <w:rsid w:val="00377C8B"/>
    <w:rsid w:val="003800D5"/>
    <w:rsid w:val="00383A95"/>
    <w:rsid w:val="003842A5"/>
    <w:rsid w:val="00385CA0"/>
    <w:rsid w:val="003A2733"/>
    <w:rsid w:val="003A3021"/>
    <w:rsid w:val="003A627E"/>
    <w:rsid w:val="003A79EE"/>
    <w:rsid w:val="003A7DC1"/>
    <w:rsid w:val="003B6E16"/>
    <w:rsid w:val="003C180A"/>
    <w:rsid w:val="003C1E25"/>
    <w:rsid w:val="003C5E43"/>
    <w:rsid w:val="003D27CB"/>
    <w:rsid w:val="003D329D"/>
    <w:rsid w:val="003E6BF6"/>
    <w:rsid w:val="003F0F0D"/>
    <w:rsid w:val="0040173E"/>
    <w:rsid w:val="00424AED"/>
    <w:rsid w:val="00426E39"/>
    <w:rsid w:val="00432CB5"/>
    <w:rsid w:val="00435339"/>
    <w:rsid w:val="004410DC"/>
    <w:rsid w:val="0044447D"/>
    <w:rsid w:val="004502E3"/>
    <w:rsid w:val="00450C67"/>
    <w:rsid w:val="004605B6"/>
    <w:rsid w:val="00460CF7"/>
    <w:rsid w:val="00463FA8"/>
    <w:rsid w:val="00464D17"/>
    <w:rsid w:val="00466648"/>
    <w:rsid w:val="00466683"/>
    <w:rsid w:val="00472CBC"/>
    <w:rsid w:val="004765B3"/>
    <w:rsid w:val="004843CA"/>
    <w:rsid w:val="00493DAA"/>
    <w:rsid w:val="00494335"/>
    <w:rsid w:val="00495A4C"/>
    <w:rsid w:val="004967A1"/>
    <w:rsid w:val="004A239E"/>
    <w:rsid w:val="004B584E"/>
    <w:rsid w:val="004C1106"/>
    <w:rsid w:val="004C6D4B"/>
    <w:rsid w:val="004C766B"/>
    <w:rsid w:val="004D33E3"/>
    <w:rsid w:val="004D3869"/>
    <w:rsid w:val="004D76C1"/>
    <w:rsid w:val="004D7C22"/>
    <w:rsid w:val="004E2269"/>
    <w:rsid w:val="004E451A"/>
    <w:rsid w:val="004E532A"/>
    <w:rsid w:val="004F0F3B"/>
    <w:rsid w:val="004F3339"/>
    <w:rsid w:val="004F72A2"/>
    <w:rsid w:val="004F78E5"/>
    <w:rsid w:val="005026D4"/>
    <w:rsid w:val="00503A51"/>
    <w:rsid w:val="00504519"/>
    <w:rsid w:val="00506774"/>
    <w:rsid w:val="00512309"/>
    <w:rsid w:val="00526B02"/>
    <w:rsid w:val="00532447"/>
    <w:rsid w:val="00541D54"/>
    <w:rsid w:val="00542522"/>
    <w:rsid w:val="00544815"/>
    <w:rsid w:val="0054526E"/>
    <w:rsid w:val="00545CE1"/>
    <w:rsid w:val="005476B5"/>
    <w:rsid w:val="005549D7"/>
    <w:rsid w:val="005602DA"/>
    <w:rsid w:val="005607AE"/>
    <w:rsid w:val="00562087"/>
    <w:rsid w:val="005678FC"/>
    <w:rsid w:val="0057138A"/>
    <w:rsid w:val="00573327"/>
    <w:rsid w:val="00576966"/>
    <w:rsid w:val="00586AE8"/>
    <w:rsid w:val="00590C51"/>
    <w:rsid w:val="00592F64"/>
    <w:rsid w:val="0059727D"/>
    <w:rsid w:val="005A3F63"/>
    <w:rsid w:val="005A59D0"/>
    <w:rsid w:val="005B073E"/>
    <w:rsid w:val="005B227F"/>
    <w:rsid w:val="005B7801"/>
    <w:rsid w:val="005C5891"/>
    <w:rsid w:val="005D04CC"/>
    <w:rsid w:val="005D1BC0"/>
    <w:rsid w:val="005D5FAE"/>
    <w:rsid w:val="005D6204"/>
    <w:rsid w:val="005E31D1"/>
    <w:rsid w:val="005E4BC9"/>
    <w:rsid w:val="005F18A7"/>
    <w:rsid w:val="005F29B7"/>
    <w:rsid w:val="00606EB5"/>
    <w:rsid w:val="00606FC8"/>
    <w:rsid w:val="00612BED"/>
    <w:rsid w:val="00614B75"/>
    <w:rsid w:val="00616C90"/>
    <w:rsid w:val="00617FDA"/>
    <w:rsid w:val="0062116F"/>
    <w:rsid w:val="00623FD7"/>
    <w:rsid w:val="00626087"/>
    <w:rsid w:val="00634E4C"/>
    <w:rsid w:val="00636B8B"/>
    <w:rsid w:val="00641EAA"/>
    <w:rsid w:val="006427FE"/>
    <w:rsid w:val="006506C1"/>
    <w:rsid w:val="006511DE"/>
    <w:rsid w:val="00657459"/>
    <w:rsid w:val="0065747A"/>
    <w:rsid w:val="00661819"/>
    <w:rsid w:val="00662E28"/>
    <w:rsid w:val="0066674D"/>
    <w:rsid w:val="00666A78"/>
    <w:rsid w:val="00671E40"/>
    <w:rsid w:val="00676C12"/>
    <w:rsid w:val="006814CE"/>
    <w:rsid w:val="0069375D"/>
    <w:rsid w:val="0069407C"/>
    <w:rsid w:val="0069574E"/>
    <w:rsid w:val="006969C0"/>
    <w:rsid w:val="006A1921"/>
    <w:rsid w:val="006A2303"/>
    <w:rsid w:val="006A2C82"/>
    <w:rsid w:val="006B1A8D"/>
    <w:rsid w:val="006B21B6"/>
    <w:rsid w:val="006B5352"/>
    <w:rsid w:val="006B7903"/>
    <w:rsid w:val="006D2A45"/>
    <w:rsid w:val="006D315C"/>
    <w:rsid w:val="006D71B8"/>
    <w:rsid w:val="006E4272"/>
    <w:rsid w:val="006F145A"/>
    <w:rsid w:val="006F27CB"/>
    <w:rsid w:val="006F359B"/>
    <w:rsid w:val="006F5865"/>
    <w:rsid w:val="00701EC6"/>
    <w:rsid w:val="00703C9E"/>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263C"/>
    <w:rsid w:val="0077273D"/>
    <w:rsid w:val="00775AA0"/>
    <w:rsid w:val="007770FA"/>
    <w:rsid w:val="00791738"/>
    <w:rsid w:val="00791780"/>
    <w:rsid w:val="0079261A"/>
    <w:rsid w:val="00792D37"/>
    <w:rsid w:val="007A0EB7"/>
    <w:rsid w:val="007B3C56"/>
    <w:rsid w:val="007B40CB"/>
    <w:rsid w:val="007B6871"/>
    <w:rsid w:val="007B704B"/>
    <w:rsid w:val="007B7899"/>
    <w:rsid w:val="007C08B1"/>
    <w:rsid w:val="007C2CC2"/>
    <w:rsid w:val="007C38BD"/>
    <w:rsid w:val="007C79AA"/>
    <w:rsid w:val="007D1900"/>
    <w:rsid w:val="007D31DA"/>
    <w:rsid w:val="007D72C5"/>
    <w:rsid w:val="007E0941"/>
    <w:rsid w:val="007E525D"/>
    <w:rsid w:val="007F0323"/>
    <w:rsid w:val="007F0588"/>
    <w:rsid w:val="007F379E"/>
    <w:rsid w:val="007F471C"/>
    <w:rsid w:val="00800C90"/>
    <w:rsid w:val="008068B5"/>
    <w:rsid w:val="008125F8"/>
    <w:rsid w:val="008208A8"/>
    <w:rsid w:val="00826012"/>
    <w:rsid w:val="00834A0F"/>
    <w:rsid w:val="00834CE0"/>
    <w:rsid w:val="0084110F"/>
    <w:rsid w:val="008423C0"/>
    <w:rsid w:val="008434C7"/>
    <w:rsid w:val="00844B1D"/>
    <w:rsid w:val="00844F5C"/>
    <w:rsid w:val="00845843"/>
    <w:rsid w:val="00846D34"/>
    <w:rsid w:val="008517D0"/>
    <w:rsid w:val="00856DF9"/>
    <w:rsid w:val="0086260D"/>
    <w:rsid w:val="00862892"/>
    <w:rsid w:val="00863020"/>
    <w:rsid w:val="008637EC"/>
    <w:rsid w:val="00865DC3"/>
    <w:rsid w:val="00866B4C"/>
    <w:rsid w:val="00870BC6"/>
    <w:rsid w:val="00871AD6"/>
    <w:rsid w:val="00875DAD"/>
    <w:rsid w:val="00877B84"/>
    <w:rsid w:val="00877E5F"/>
    <w:rsid w:val="0088036D"/>
    <w:rsid w:val="00881155"/>
    <w:rsid w:val="00882892"/>
    <w:rsid w:val="00885A14"/>
    <w:rsid w:val="0088689B"/>
    <w:rsid w:val="00887A8F"/>
    <w:rsid w:val="00890FA0"/>
    <w:rsid w:val="008947BF"/>
    <w:rsid w:val="008A0CBE"/>
    <w:rsid w:val="008A1CA8"/>
    <w:rsid w:val="008A214D"/>
    <w:rsid w:val="008A5201"/>
    <w:rsid w:val="008A623A"/>
    <w:rsid w:val="008A72D2"/>
    <w:rsid w:val="008A74A3"/>
    <w:rsid w:val="008B6868"/>
    <w:rsid w:val="008B6D24"/>
    <w:rsid w:val="008C04B6"/>
    <w:rsid w:val="008C34F7"/>
    <w:rsid w:val="008C398C"/>
    <w:rsid w:val="008C66E1"/>
    <w:rsid w:val="008C6A43"/>
    <w:rsid w:val="008D080C"/>
    <w:rsid w:val="008D1867"/>
    <w:rsid w:val="008D6437"/>
    <w:rsid w:val="008D6EDF"/>
    <w:rsid w:val="008E3EF5"/>
    <w:rsid w:val="008E7679"/>
    <w:rsid w:val="008F33B5"/>
    <w:rsid w:val="00901414"/>
    <w:rsid w:val="00906799"/>
    <w:rsid w:val="00922193"/>
    <w:rsid w:val="00924152"/>
    <w:rsid w:val="0093194D"/>
    <w:rsid w:val="00934C3F"/>
    <w:rsid w:val="009417AE"/>
    <w:rsid w:val="009418E9"/>
    <w:rsid w:val="00945B3F"/>
    <w:rsid w:val="00947C38"/>
    <w:rsid w:val="00950DCB"/>
    <w:rsid w:val="00952D47"/>
    <w:rsid w:val="00952D4C"/>
    <w:rsid w:val="00960246"/>
    <w:rsid w:val="00967111"/>
    <w:rsid w:val="009720E1"/>
    <w:rsid w:val="00974F0E"/>
    <w:rsid w:val="00975CD7"/>
    <w:rsid w:val="00980CA1"/>
    <w:rsid w:val="00985E70"/>
    <w:rsid w:val="0098783B"/>
    <w:rsid w:val="00993C2B"/>
    <w:rsid w:val="009945B2"/>
    <w:rsid w:val="009979F4"/>
    <w:rsid w:val="009A10E6"/>
    <w:rsid w:val="009A13B6"/>
    <w:rsid w:val="009A246D"/>
    <w:rsid w:val="009A2EF1"/>
    <w:rsid w:val="009A45B2"/>
    <w:rsid w:val="009A5585"/>
    <w:rsid w:val="009A59D5"/>
    <w:rsid w:val="009B2CB7"/>
    <w:rsid w:val="009C03FE"/>
    <w:rsid w:val="009C102C"/>
    <w:rsid w:val="009C2198"/>
    <w:rsid w:val="009D2DDD"/>
    <w:rsid w:val="009E0C10"/>
    <w:rsid w:val="009E4116"/>
    <w:rsid w:val="009E529F"/>
    <w:rsid w:val="009E62EE"/>
    <w:rsid w:val="009E6790"/>
    <w:rsid w:val="00A0749B"/>
    <w:rsid w:val="00A10754"/>
    <w:rsid w:val="00A10DA6"/>
    <w:rsid w:val="00A151E9"/>
    <w:rsid w:val="00A15DBB"/>
    <w:rsid w:val="00A259F2"/>
    <w:rsid w:val="00A2758A"/>
    <w:rsid w:val="00A33802"/>
    <w:rsid w:val="00A34ADD"/>
    <w:rsid w:val="00A37162"/>
    <w:rsid w:val="00A37E51"/>
    <w:rsid w:val="00A403E7"/>
    <w:rsid w:val="00A45FE1"/>
    <w:rsid w:val="00A51E2D"/>
    <w:rsid w:val="00A5243B"/>
    <w:rsid w:val="00A5319F"/>
    <w:rsid w:val="00A533A9"/>
    <w:rsid w:val="00A53690"/>
    <w:rsid w:val="00A56423"/>
    <w:rsid w:val="00A62D31"/>
    <w:rsid w:val="00A63380"/>
    <w:rsid w:val="00A8129D"/>
    <w:rsid w:val="00A81C6A"/>
    <w:rsid w:val="00A82188"/>
    <w:rsid w:val="00A82582"/>
    <w:rsid w:val="00A826C7"/>
    <w:rsid w:val="00A865C7"/>
    <w:rsid w:val="00A909CC"/>
    <w:rsid w:val="00A964A5"/>
    <w:rsid w:val="00A97E3B"/>
    <w:rsid w:val="00AA00CB"/>
    <w:rsid w:val="00AA0EEE"/>
    <w:rsid w:val="00AA20A1"/>
    <w:rsid w:val="00AA41F2"/>
    <w:rsid w:val="00AB039E"/>
    <w:rsid w:val="00AB4206"/>
    <w:rsid w:val="00AC7E54"/>
    <w:rsid w:val="00AD7EAF"/>
    <w:rsid w:val="00AE6A4E"/>
    <w:rsid w:val="00AE7B98"/>
    <w:rsid w:val="00AF129F"/>
    <w:rsid w:val="00AF17AA"/>
    <w:rsid w:val="00AF296B"/>
    <w:rsid w:val="00B12DC9"/>
    <w:rsid w:val="00B13F84"/>
    <w:rsid w:val="00B14604"/>
    <w:rsid w:val="00B15ABA"/>
    <w:rsid w:val="00B1723A"/>
    <w:rsid w:val="00B20FA0"/>
    <w:rsid w:val="00B216AD"/>
    <w:rsid w:val="00B21753"/>
    <w:rsid w:val="00B24DD4"/>
    <w:rsid w:val="00B34339"/>
    <w:rsid w:val="00B3574E"/>
    <w:rsid w:val="00B40B7D"/>
    <w:rsid w:val="00B42B2F"/>
    <w:rsid w:val="00B44900"/>
    <w:rsid w:val="00B467F6"/>
    <w:rsid w:val="00B472E1"/>
    <w:rsid w:val="00B52821"/>
    <w:rsid w:val="00B54B85"/>
    <w:rsid w:val="00B54F1F"/>
    <w:rsid w:val="00B56C63"/>
    <w:rsid w:val="00B664C7"/>
    <w:rsid w:val="00B71170"/>
    <w:rsid w:val="00B7694A"/>
    <w:rsid w:val="00B80BCE"/>
    <w:rsid w:val="00B81524"/>
    <w:rsid w:val="00B81740"/>
    <w:rsid w:val="00B83542"/>
    <w:rsid w:val="00B85D7B"/>
    <w:rsid w:val="00B900EA"/>
    <w:rsid w:val="00B91069"/>
    <w:rsid w:val="00B92842"/>
    <w:rsid w:val="00BA2713"/>
    <w:rsid w:val="00BA2941"/>
    <w:rsid w:val="00BA4C61"/>
    <w:rsid w:val="00BA627A"/>
    <w:rsid w:val="00BB22FA"/>
    <w:rsid w:val="00BD12A1"/>
    <w:rsid w:val="00BD1D09"/>
    <w:rsid w:val="00BD7B83"/>
    <w:rsid w:val="00BE0B56"/>
    <w:rsid w:val="00BE7F1B"/>
    <w:rsid w:val="00BF17C6"/>
    <w:rsid w:val="00BF3716"/>
    <w:rsid w:val="00BF6F09"/>
    <w:rsid w:val="00C00FDA"/>
    <w:rsid w:val="00C02EB9"/>
    <w:rsid w:val="00C0373C"/>
    <w:rsid w:val="00C04E4B"/>
    <w:rsid w:val="00C0626D"/>
    <w:rsid w:val="00C11531"/>
    <w:rsid w:val="00C11B56"/>
    <w:rsid w:val="00C126A2"/>
    <w:rsid w:val="00C14C04"/>
    <w:rsid w:val="00C1529E"/>
    <w:rsid w:val="00C16045"/>
    <w:rsid w:val="00C21E27"/>
    <w:rsid w:val="00C2332A"/>
    <w:rsid w:val="00C400D9"/>
    <w:rsid w:val="00C42EA5"/>
    <w:rsid w:val="00C432F0"/>
    <w:rsid w:val="00C53B58"/>
    <w:rsid w:val="00C62BF5"/>
    <w:rsid w:val="00C636DA"/>
    <w:rsid w:val="00C67E22"/>
    <w:rsid w:val="00C72271"/>
    <w:rsid w:val="00C72A17"/>
    <w:rsid w:val="00C81356"/>
    <w:rsid w:val="00C813CD"/>
    <w:rsid w:val="00C823C2"/>
    <w:rsid w:val="00C858D9"/>
    <w:rsid w:val="00C87DA0"/>
    <w:rsid w:val="00C9283F"/>
    <w:rsid w:val="00CA2A08"/>
    <w:rsid w:val="00CA4E4D"/>
    <w:rsid w:val="00CA6FF9"/>
    <w:rsid w:val="00CB4238"/>
    <w:rsid w:val="00CB5938"/>
    <w:rsid w:val="00CB5B27"/>
    <w:rsid w:val="00CC13F5"/>
    <w:rsid w:val="00CC1A64"/>
    <w:rsid w:val="00CC34EB"/>
    <w:rsid w:val="00CC66EA"/>
    <w:rsid w:val="00CD3C17"/>
    <w:rsid w:val="00CE1F9C"/>
    <w:rsid w:val="00CE2481"/>
    <w:rsid w:val="00CE2E48"/>
    <w:rsid w:val="00CE3A9C"/>
    <w:rsid w:val="00CE6370"/>
    <w:rsid w:val="00CF0184"/>
    <w:rsid w:val="00CF55F6"/>
    <w:rsid w:val="00CF59E0"/>
    <w:rsid w:val="00CF6672"/>
    <w:rsid w:val="00CF7BCA"/>
    <w:rsid w:val="00D021F7"/>
    <w:rsid w:val="00D02729"/>
    <w:rsid w:val="00D069C7"/>
    <w:rsid w:val="00D078A2"/>
    <w:rsid w:val="00D107C4"/>
    <w:rsid w:val="00D21123"/>
    <w:rsid w:val="00D229E2"/>
    <w:rsid w:val="00D26BB7"/>
    <w:rsid w:val="00D3331C"/>
    <w:rsid w:val="00D367EB"/>
    <w:rsid w:val="00D36C91"/>
    <w:rsid w:val="00D41871"/>
    <w:rsid w:val="00D45954"/>
    <w:rsid w:val="00D461C2"/>
    <w:rsid w:val="00D610FC"/>
    <w:rsid w:val="00D61AAE"/>
    <w:rsid w:val="00D64CB8"/>
    <w:rsid w:val="00D720AE"/>
    <w:rsid w:val="00D72FD8"/>
    <w:rsid w:val="00D80A53"/>
    <w:rsid w:val="00D81428"/>
    <w:rsid w:val="00D91A70"/>
    <w:rsid w:val="00D92A45"/>
    <w:rsid w:val="00D952F1"/>
    <w:rsid w:val="00D9697A"/>
    <w:rsid w:val="00DA0465"/>
    <w:rsid w:val="00DA3023"/>
    <w:rsid w:val="00DA4C48"/>
    <w:rsid w:val="00DA727D"/>
    <w:rsid w:val="00DB0F18"/>
    <w:rsid w:val="00DB454E"/>
    <w:rsid w:val="00DB53A7"/>
    <w:rsid w:val="00DC143D"/>
    <w:rsid w:val="00DC1F90"/>
    <w:rsid w:val="00DD170F"/>
    <w:rsid w:val="00DE0A8A"/>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2704"/>
    <w:rsid w:val="00E55EE5"/>
    <w:rsid w:val="00E61784"/>
    <w:rsid w:val="00E625B3"/>
    <w:rsid w:val="00E64743"/>
    <w:rsid w:val="00E67C82"/>
    <w:rsid w:val="00E7257D"/>
    <w:rsid w:val="00E728CB"/>
    <w:rsid w:val="00E7336F"/>
    <w:rsid w:val="00E74F3B"/>
    <w:rsid w:val="00E76262"/>
    <w:rsid w:val="00E837AF"/>
    <w:rsid w:val="00E84A6B"/>
    <w:rsid w:val="00E86564"/>
    <w:rsid w:val="00E92385"/>
    <w:rsid w:val="00E92E7C"/>
    <w:rsid w:val="00E93F74"/>
    <w:rsid w:val="00E96DEA"/>
    <w:rsid w:val="00EA11E0"/>
    <w:rsid w:val="00EA1585"/>
    <w:rsid w:val="00EA15CE"/>
    <w:rsid w:val="00EA48AE"/>
    <w:rsid w:val="00EB09E2"/>
    <w:rsid w:val="00EB11DD"/>
    <w:rsid w:val="00EB30F2"/>
    <w:rsid w:val="00EB74A5"/>
    <w:rsid w:val="00EB7BC9"/>
    <w:rsid w:val="00EC4CC2"/>
    <w:rsid w:val="00ED19D5"/>
    <w:rsid w:val="00ED2A49"/>
    <w:rsid w:val="00EE0126"/>
    <w:rsid w:val="00EE0C89"/>
    <w:rsid w:val="00EE47FE"/>
    <w:rsid w:val="00EE50C6"/>
    <w:rsid w:val="00EE5592"/>
    <w:rsid w:val="00EE5D41"/>
    <w:rsid w:val="00EE766D"/>
    <w:rsid w:val="00EE7E17"/>
    <w:rsid w:val="00EF2A15"/>
    <w:rsid w:val="00EF5BFD"/>
    <w:rsid w:val="00EF7B33"/>
    <w:rsid w:val="00F00470"/>
    <w:rsid w:val="00F01C6F"/>
    <w:rsid w:val="00F047A9"/>
    <w:rsid w:val="00F0509B"/>
    <w:rsid w:val="00F06EE2"/>
    <w:rsid w:val="00F074DC"/>
    <w:rsid w:val="00F15632"/>
    <w:rsid w:val="00F17535"/>
    <w:rsid w:val="00F20949"/>
    <w:rsid w:val="00F24F8F"/>
    <w:rsid w:val="00F303B2"/>
    <w:rsid w:val="00F307E0"/>
    <w:rsid w:val="00F322BC"/>
    <w:rsid w:val="00F34D63"/>
    <w:rsid w:val="00F374A8"/>
    <w:rsid w:val="00F40739"/>
    <w:rsid w:val="00F57F7A"/>
    <w:rsid w:val="00F62D33"/>
    <w:rsid w:val="00F64AB3"/>
    <w:rsid w:val="00F6570B"/>
    <w:rsid w:val="00F67615"/>
    <w:rsid w:val="00F70F03"/>
    <w:rsid w:val="00F76C98"/>
    <w:rsid w:val="00F804CD"/>
    <w:rsid w:val="00F80750"/>
    <w:rsid w:val="00F85F59"/>
    <w:rsid w:val="00F86538"/>
    <w:rsid w:val="00F86717"/>
    <w:rsid w:val="00F86DD4"/>
    <w:rsid w:val="00F97C7A"/>
    <w:rsid w:val="00FA2909"/>
    <w:rsid w:val="00FA3CEC"/>
    <w:rsid w:val="00FB4CF2"/>
    <w:rsid w:val="00FC4845"/>
    <w:rsid w:val="00FC6B03"/>
    <w:rsid w:val="00FD06D5"/>
    <w:rsid w:val="00FD28FF"/>
    <w:rsid w:val="00FD3198"/>
    <w:rsid w:val="00FD68A1"/>
    <w:rsid w:val="00FD79C8"/>
    <w:rsid w:val="00FE419E"/>
    <w:rsid w:val="00FF2484"/>
    <w:rsid w:val="00FF4201"/>
    <w:rsid w:val="00FF45DF"/>
    <w:rsid w:val="0568495C"/>
    <w:rsid w:val="082A2ECF"/>
    <w:rsid w:val="09E97952"/>
    <w:rsid w:val="111D3630"/>
    <w:rsid w:val="12B90691"/>
    <w:rsid w:val="13BBB713"/>
    <w:rsid w:val="1454D6F2"/>
    <w:rsid w:val="1EA2330F"/>
    <w:rsid w:val="229E7F8C"/>
    <w:rsid w:val="27CBD4EE"/>
    <w:rsid w:val="2A9706B9"/>
    <w:rsid w:val="37643381"/>
    <w:rsid w:val="39387CE5"/>
    <w:rsid w:val="3A1601E2"/>
    <w:rsid w:val="41D5EF62"/>
    <w:rsid w:val="45EF6660"/>
    <w:rsid w:val="47356C1E"/>
    <w:rsid w:val="47C40B61"/>
    <w:rsid w:val="489C979D"/>
    <w:rsid w:val="4AAD0FC6"/>
    <w:rsid w:val="53C1CD1B"/>
    <w:rsid w:val="5CFC6A3D"/>
    <w:rsid w:val="5D6A82C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BCD5"/>
  <w15:chartTrackingRefBased/>
  <w15:docId w15:val="{3684B698-4AC6-4AAD-AFCC-368E9A1E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043DA2"/>
    <w:pPr>
      <w:spacing w:after="0"/>
      <w:jc w:val="left"/>
    </w:pPr>
    <w:rPr>
      <w:rFonts w:ascii="Trebuchet MS" w:eastAsia="Times New Roman" w:hAnsi="Trebuchet MS" w:cs="Times New Roman"/>
      <w:color w:val="auto"/>
      <w:szCs w:val="20"/>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043DA2"/>
    <w:pPr>
      <w:jc w:val="both"/>
    </w:pPr>
    <w:rPr>
      <w:b/>
      <w:sz w:val="26"/>
      <w:szCs w:val="22"/>
    </w:rPr>
  </w:style>
  <w:style w:type="character" w:styleId="UnresolvedMention">
    <w:name w:val="Unresolved Mention"/>
    <w:basedOn w:val="DefaultParagraphFont"/>
    <w:uiPriority w:val="99"/>
    <w:semiHidden/>
    <w:unhideWhenUsed/>
    <w:locked/>
    <w:rsid w:val="00504519"/>
    <w:rPr>
      <w:color w:val="605E5C"/>
      <w:shd w:val="clear" w:color="auto" w:fill="E1DFDD"/>
    </w:rPr>
  </w:style>
  <w:style w:type="paragraph" w:customStyle="1" w:styleId="paragraph">
    <w:name w:val="paragraph"/>
    <w:basedOn w:val="Normal"/>
    <w:rsid w:val="008423C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423C0"/>
  </w:style>
  <w:style w:type="character" w:customStyle="1" w:styleId="eop">
    <w:name w:val="eop"/>
    <w:basedOn w:val="DefaultParagraphFont"/>
    <w:rsid w:val="008423C0"/>
  </w:style>
  <w:style w:type="paragraph" w:styleId="Revision">
    <w:name w:val="Revision"/>
    <w:hidden/>
    <w:uiPriority w:val="99"/>
    <w:semiHidden/>
    <w:rsid w:val="004A239E"/>
    <w:pPr>
      <w:spacing w:after="0"/>
      <w:jc w:val="left"/>
    </w:pPr>
    <w:rPr>
      <w:rFonts w:ascii="Trebuchet MS" w:eastAsia="Times New Roman" w:hAnsi="Trebuchet MS" w:cs="Times New Roman"/>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595437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s.org/cpmi/info_pfmi.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sites/default/files/2022-09/Information%20paper%20-%20Modernising%20the%20prudential%20architecture_0.pdf" TargetMode="External"/><Relationship Id="rId1" Type="http://schemas.openxmlformats.org/officeDocument/2006/relationships/hyperlink" Target="https://www.apra.gov.au/prudential-framework-minor-update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63ACA-1B32-4DBA-8163-BA74090141A3}"/>
</file>

<file path=customXml/itemProps2.xml><?xml version="1.0" encoding="utf-8"?>
<ds:datastoreItem xmlns:ds="http://schemas.openxmlformats.org/officeDocument/2006/customXml" ds:itemID="{D97B89AB-BA10-444F-8F37-6777D6804FF7}">
  <ds:schemaRefs>
    <ds:schemaRef ds:uri="http://www.w3.org/XML/1998/namespace"/>
    <ds:schemaRef ds:uri="http://purl.org/dc/terms/"/>
    <ds:schemaRef ds:uri="http://purl.org/dc/elements/1.1/"/>
    <ds:schemaRef ds:uri="http://schemas.microsoft.com/office/2006/metadata/properties"/>
    <ds:schemaRef ds:uri="5664482d-1961-4d38-bfc2-b109b3418834"/>
    <ds:schemaRef ds:uri="http://schemas.microsoft.com/office/2006/documentManagement/types"/>
    <ds:schemaRef ds:uri="http://schemas.microsoft.com/office/infopath/2007/PartnerControls"/>
    <ds:schemaRef ds:uri="http://schemas.openxmlformats.org/package/2006/metadata/core-properties"/>
    <ds:schemaRef ds:uri="79530295-9eea-494d-b82a-9ff74409eafc"/>
    <ds:schemaRef ds:uri="http://purl.org/dc/dcmitype/"/>
  </ds:schemaRefs>
</ds:datastoreItem>
</file>

<file path=customXml/itemProps3.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4.xml><?xml version="1.0" encoding="utf-8"?>
<ds:datastoreItem xmlns:ds="http://schemas.openxmlformats.org/officeDocument/2006/customXml" ds:itemID="{F5B016D4-2043-41E1-A30F-E9F0EB27A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10272</Characters>
  <Application>Microsoft Office Word</Application>
  <DocSecurity>0</DocSecurity>
  <Lines>180</Lines>
  <Paragraphs>64</Paragraphs>
  <ScaleCrop>false</ScaleCrop>
  <Company>APRA</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[SEC=UNOFFICIAL]</cp:keywords>
  <dc:description/>
  <cp:lastModifiedBy>Toni Michalis</cp:lastModifiedBy>
  <cp:revision>3</cp:revision>
  <cp:lastPrinted>2014-02-04T02:10:00Z</cp:lastPrinted>
  <dcterms:created xsi:type="dcterms:W3CDTF">2023-11-28T03:26:00Z</dcterms:created>
  <dcterms:modified xsi:type="dcterms:W3CDTF">2023-11-28T03:27:00Z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Personal</vt:lpwstr>
  </property>
  <property fmtid="{D5CDD505-2E9C-101B-9397-08002B2CF9AE}" pid="9" name="PM_OriginationTimeStamp">
    <vt:lpwstr>2023-10-20T05:44:29Z</vt:lpwstr>
  </property>
  <property fmtid="{D5CDD505-2E9C-101B-9397-08002B2CF9AE}" pid="10" name="PM_Markers">
    <vt:lpwstr/>
  </property>
  <property fmtid="{D5CDD505-2E9C-101B-9397-08002B2CF9AE}" pid="11" name="MSIP_Label_bfd5df59-fc4a-42eb-ac4e-d9fda266b5d9_Name">
    <vt:lpwstr>UNOFFICIAL</vt:lpwstr>
  </property>
  <property fmtid="{D5CDD505-2E9C-101B-9397-08002B2CF9AE}" pid="12" name="MSIP_Label_bfd5df59-fc4a-42eb-ac4e-d9fda266b5d9_SiteId">
    <vt:lpwstr>c05e3ffd-b491-4431-9809-e61d4dc78816</vt:lpwstr>
  </property>
  <property fmtid="{D5CDD505-2E9C-101B-9397-08002B2CF9AE}" pid="13" name="MSIP_Label_bfd5df59-fc4a-42eb-ac4e-d9fda266b5d9_ContentBits">
    <vt:lpwstr>0</vt:lpwstr>
  </property>
  <property fmtid="{D5CDD505-2E9C-101B-9397-08002B2CF9AE}" pid="14" name="MSIP_Label_bfd5df59-fc4a-42eb-ac4e-d9fda266b5d9_Enabled">
    <vt:lpwstr>true</vt:lpwstr>
  </property>
  <property fmtid="{D5CDD505-2E9C-101B-9397-08002B2CF9AE}" pid="15" name="MSIP_Label_bfd5df59-fc4a-42eb-ac4e-d9fda266b5d9_SetDate">
    <vt:lpwstr>2023-10-20T05:44:29Z</vt:lpwstr>
  </property>
  <property fmtid="{D5CDD505-2E9C-101B-9397-08002B2CF9AE}" pid="16" name="MSIP_Label_bfd5df59-fc4a-42eb-ac4e-d9fda266b5d9_Method">
    <vt:lpwstr>Privileged</vt:lpwstr>
  </property>
  <property fmtid="{D5CDD505-2E9C-101B-9397-08002B2CF9AE}" pid="17" name="PM_InsertionValue">
    <vt:lpwstr>Personal</vt:lpwstr>
  </property>
  <property fmtid="{D5CDD505-2E9C-101B-9397-08002B2CF9AE}" pid="18" name="PM_DisplayValueSecClassificationWithQualifier">
    <vt:lpwstr>Personal</vt:lpwstr>
  </property>
  <property fmtid="{D5CDD505-2E9C-101B-9397-08002B2CF9AE}" pid="19" name="PM_Originating_FileId">
    <vt:lpwstr>2911774FEB384721AC4DCD70E5D26A03</vt:lpwstr>
  </property>
  <property fmtid="{D5CDD505-2E9C-101B-9397-08002B2CF9AE}" pid="20" name="PM_ProtectiveMarkingValue_Footer">
    <vt:lpwstr>Personal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Personal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PMHMAC">
    <vt:lpwstr>v=2022.1;a=SHA256;h=7BFC7E792BFE94F8AE0D2AC6F6EFCE97B620004FF171C37AAAC6BDA8D81867BE</vt:lpwstr>
  </property>
  <property fmtid="{D5CDD505-2E9C-101B-9397-08002B2CF9AE}" pid="31" name="MSIP_Label_bfd5df59-fc4a-42eb-ac4e-d9fda266b5d9_ActionId">
    <vt:lpwstr>54502f1619a44941adb7330bca215ee1</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PM_Hash_Salt_Prev">
    <vt:lpwstr>55AD368EF114C44817D1BC7A207ADAF2</vt:lpwstr>
  </property>
  <property fmtid="{D5CDD505-2E9C-101B-9397-08002B2CF9AE}" pid="35" name="PM_Hash_Salt">
    <vt:lpwstr>BE9B3A7825014528387691965DD1E502</vt:lpwstr>
  </property>
  <property fmtid="{D5CDD505-2E9C-101B-9397-08002B2CF9AE}" pid="36" name="PM_Hash_SHA1">
    <vt:lpwstr>C1B358581F736256B0008529B36B7B19E6839543</vt:lpwstr>
  </property>
  <property fmtid="{D5CDD505-2E9C-101B-9397-08002B2CF9AE}" pid="37" name="APRAStatus">
    <vt:lpwstr/>
  </property>
  <property fmtid="{D5CDD505-2E9C-101B-9397-08002B2CF9AE}" pid="38" name="APRADocumentType">
    <vt:lpwstr/>
  </property>
  <property fmtid="{D5CDD505-2E9C-101B-9397-08002B2CF9AE}" pid="39" name="APRAActivity">
    <vt:lpwstr/>
  </property>
  <property fmtid="{D5CDD505-2E9C-101B-9397-08002B2CF9AE}" pid="40" name="APRAEntityAdviceSupport">
    <vt:lpwstr/>
  </property>
  <property fmtid="{D5CDD505-2E9C-101B-9397-08002B2CF9AE}" pid="41" name="APRALegislation">
    <vt:lpwstr/>
  </property>
  <property fmtid="{D5CDD505-2E9C-101B-9397-08002B2CF9AE}" pid="42" name="APRAIndustry">
    <vt:lpwstr/>
  </property>
</Properties>
</file>