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2C2C2C61" w:rsidR="00272569" w:rsidRPr="00A516E7" w:rsidRDefault="00272569" w:rsidP="001E7361">
      <w:pPr>
        <w:numPr>
          <w:ilvl w:val="0"/>
          <w:numId w:val="0"/>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w:t>
      </w:r>
      <w:r w:rsidR="093617D0" w:rsidRPr="01C0B8AA">
        <w:rPr>
          <w:rFonts w:ascii="Times New Roman" w:hAnsi="Times New Roman" w:cs="Times New Roman"/>
          <w:b/>
          <w:bCs/>
          <w:sz w:val="24"/>
          <w:szCs w:val="24"/>
        </w:rPr>
        <w:t>14</w:t>
      </w:r>
      <w:r w:rsidRPr="00A516E7">
        <w:rPr>
          <w:rFonts w:ascii="Times New Roman" w:hAnsi="Times New Roman" w:cs="Times New Roman"/>
          <w:b/>
          <w:sz w:val="24"/>
          <w:szCs w:val="24"/>
        </w:rPr>
        <w:t xml:space="preserve"> of 2023</w:t>
      </w:r>
    </w:p>
    <w:p w14:paraId="69BAABC3" w14:textId="77777777" w:rsidR="00272569" w:rsidRPr="00A516E7" w:rsidRDefault="00272569" w:rsidP="001E7361">
      <w:pPr>
        <w:numPr>
          <w:ilvl w:val="0"/>
          <w:numId w:val="0"/>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1E7361">
      <w:pPr>
        <w:numPr>
          <w:ilvl w:val="0"/>
          <w:numId w:val="0"/>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1E7361">
      <w:pPr>
        <w:numPr>
          <w:ilvl w:val="0"/>
          <w:numId w:val="0"/>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22F223C5" w14:textId="193675F5" w:rsidR="000C4197" w:rsidRPr="0018389C" w:rsidRDefault="00272569" w:rsidP="601A02E2">
      <w:pPr>
        <w:shd w:val="clear" w:color="auto" w:fill="FFFFFF" w:themeFill="background1"/>
        <w:spacing w:before="100" w:beforeAutospacing="1" w:after="100" w:afterAutospacing="1"/>
        <w:rPr>
          <w:rFonts w:ascii="Times New Roman" w:hAnsi="Times New Roman" w:cs="Times New Roman"/>
          <w:sz w:val="24"/>
          <w:szCs w:val="24"/>
        </w:rPr>
      </w:pPr>
      <w:r w:rsidRPr="0018389C">
        <w:rPr>
          <w:rFonts w:ascii="Times New Roman" w:hAnsi="Times New Roman" w:cs="Times New Roman"/>
          <w:sz w:val="24"/>
          <w:szCs w:val="24"/>
        </w:rPr>
        <w:t>Under</w:t>
      </w:r>
      <w:bookmarkStart w:id="2" w:name="_Hlk128141819"/>
      <w:bookmarkStart w:id="3" w:name="_Hlk128145224"/>
      <w:r w:rsidRPr="0018389C">
        <w:rPr>
          <w:rFonts w:ascii="Times New Roman" w:hAnsi="Times New Roman" w:cs="Times New Roman"/>
          <w:sz w:val="24"/>
          <w:szCs w:val="24"/>
        </w:rPr>
        <w:t xml:space="preserve"> </w:t>
      </w:r>
      <w:r w:rsidRPr="0018389C">
        <w:rPr>
          <w:rFonts w:ascii="Times New Roman" w:hAnsi="Times New Roman" w:cs="Times New Roman"/>
          <w:sz w:val="24"/>
          <w:szCs w:val="24"/>
          <w:shd w:val="clear" w:color="auto" w:fill="FFFFFF"/>
        </w:rPr>
        <w:t>subsection 230</w:t>
      </w:r>
      <w:proofErr w:type="gramStart"/>
      <w:r w:rsidRPr="0018389C">
        <w:rPr>
          <w:rFonts w:ascii="Times New Roman" w:hAnsi="Times New Roman" w:cs="Times New Roman"/>
          <w:sz w:val="24"/>
          <w:szCs w:val="24"/>
          <w:shd w:val="clear" w:color="auto" w:fill="FFFFFF"/>
        </w:rPr>
        <w:t>A(</w:t>
      </w:r>
      <w:proofErr w:type="gramEnd"/>
      <w:r w:rsidRPr="0018389C">
        <w:rPr>
          <w:rFonts w:ascii="Times New Roman" w:hAnsi="Times New Roman" w:cs="Times New Roman"/>
          <w:sz w:val="24"/>
          <w:szCs w:val="24"/>
          <w:shd w:val="clear" w:color="auto" w:fill="FFFFFF"/>
        </w:rPr>
        <w:t xml:space="preserve">1) </w:t>
      </w:r>
      <w:r w:rsidR="65AE7272" w:rsidRPr="0018389C">
        <w:rPr>
          <w:rFonts w:ascii="Times New Roman" w:hAnsi="Times New Roman" w:cs="Times New Roman"/>
          <w:sz w:val="24"/>
          <w:szCs w:val="24"/>
          <w:shd w:val="clear" w:color="auto" w:fill="FFFFFF"/>
        </w:rPr>
        <w:t xml:space="preserve">and (5) </w:t>
      </w:r>
      <w:r w:rsidRPr="0018389C">
        <w:rPr>
          <w:rFonts w:ascii="Times New Roman" w:hAnsi="Times New Roman" w:cs="Times New Roman"/>
          <w:sz w:val="24"/>
          <w:szCs w:val="24"/>
          <w:shd w:val="clear" w:color="auto" w:fill="FFFFFF"/>
        </w:rPr>
        <w:t xml:space="preserve">of the </w:t>
      </w:r>
      <w:r w:rsidRPr="0018389C">
        <w:rPr>
          <w:rFonts w:ascii="Times New Roman" w:hAnsi="Times New Roman" w:cs="Times New Roman"/>
          <w:i/>
          <w:iCs/>
          <w:sz w:val="24"/>
          <w:szCs w:val="24"/>
          <w:shd w:val="clear" w:color="auto" w:fill="FFFFFF"/>
        </w:rPr>
        <w:t xml:space="preserve">Life Insurance Act 1995 </w:t>
      </w:r>
      <w:r w:rsidRPr="0018389C">
        <w:rPr>
          <w:rFonts w:ascii="Times New Roman" w:hAnsi="Times New Roman" w:cs="Times New Roman"/>
          <w:sz w:val="24"/>
          <w:szCs w:val="24"/>
          <w:shd w:val="clear" w:color="auto" w:fill="FFFFFF"/>
        </w:rPr>
        <w:t xml:space="preserve">(the Act), APRA </w:t>
      </w:r>
      <w:r w:rsidR="6B7742D5" w:rsidRPr="0018389C">
        <w:rPr>
          <w:rFonts w:ascii="Times New Roman" w:hAnsi="Times New Roman" w:cs="Times New Roman"/>
          <w:sz w:val="24"/>
          <w:szCs w:val="24"/>
          <w:shd w:val="clear" w:color="auto" w:fill="FFFFFF"/>
        </w:rPr>
        <w:t>may, in writing</w:t>
      </w:r>
      <w:r w:rsidR="00213A67">
        <w:rPr>
          <w:rFonts w:ascii="Times New Roman" w:hAnsi="Times New Roman" w:cs="Times New Roman"/>
          <w:sz w:val="24"/>
          <w:szCs w:val="24"/>
          <w:shd w:val="clear" w:color="auto" w:fill="FFFFFF"/>
        </w:rPr>
        <w:t xml:space="preserve"> </w:t>
      </w:r>
      <w:r w:rsidRPr="0018389C">
        <w:rPr>
          <w:rFonts w:ascii="Times New Roman" w:hAnsi="Times New Roman" w:cs="Times New Roman"/>
          <w:sz w:val="24"/>
          <w:szCs w:val="24"/>
          <w:shd w:val="clear" w:color="auto" w:fill="FFFFFF"/>
        </w:rPr>
        <w:t>determine</w:t>
      </w:r>
      <w:r w:rsidR="000C0DF8" w:rsidRPr="601A02E2">
        <w:rPr>
          <w:rFonts w:ascii="Times New Roman" w:hAnsi="Times New Roman" w:cs="Times New Roman"/>
          <w:sz w:val="24"/>
          <w:szCs w:val="24"/>
        </w:rPr>
        <w:t>,</w:t>
      </w:r>
      <w:r w:rsidRPr="0018389C">
        <w:rPr>
          <w:rFonts w:ascii="Times New Roman" w:hAnsi="Times New Roman" w:cs="Times New Roman"/>
          <w:sz w:val="24"/>
          <w:szCs w:val="24"/>
          <w:shd w:val="clear" w:color="auto" w:fill="FFFFFF"/>
        </w:rPr>
        <w:t xml:space="preserve"> </w:t>
      </w:r>
      <w:r w:rsidR="503B3265" w:rsidRPr="0018389C">
        <w:rPr>
          <w:rFonts w:ascii="Times New Roman" w:hAnsi="Times New Roman" w:cs="Times New Roman"/>
          <w:sz w:val="24"/>
          <w:szCs w:val="24"/>
          <w:shd w:val="clear" w:color="auto" w:fill="FFFFFF"/>
        </w:rPr>
        <w:t>vary or revoke</w:t>
      </w:r>
      <w:r w:rsidR="2F131E28" w:rsidRPr="0018389C">
        <w:rPr>
          <w:rFonts w:ascii="Times New Roman" w:hAnsi="Times New Roman" w:cs="Times New Roman"/>
          <w:sz w:val="24"/>
          <w:szCs w:val="24"/>
          <w:shd w:val="clear" w:color="auto" w:fill="FFFFFF"/>
        </w:rPr>
        <w:t xml:space="preserve"> </w:t>
      </w:r>
      <w:r w:rsidR="6994A0EC" w:rsidRPr="0018389C">
        <w:rPr>
          <w:rFonts w:ascii="Times New Roman" w:hAnsi="Times New Roman" w:cs="Times New Roman"/>
          <w:sz w:val="24"/>
          <w:szCs w:val="24"/>
          <w:shd w:val="clear" w:color="auto" w:fill="FFFFFF"/>
        </w:rPr>
        <w:t xml:space="preserve">a </w:t>
      </w:r>
      <w:r w:rsidRPr="0018389C">
        <w:rPr>
          <w:rFonts w:ascii="Times New Roman" w:hAnsi="Times New Roman" w:cs="Times New Roman"/>
          <w:sz w:val="24"/>
          <w:szCs w:val="24"/>
          <w:shd w:val="clear" w:color="auto" w:fill="FFFFFF"/>
        </w:rPr>
        <w:t xml:space="preserve">prudential standard </w:t>
      </w:r>
      <w:r w:rsidR="797F28DF" w:rsidRPr="0018389C">
        <w:rPr>
          <w:rFonts w:ascii="Times New Roman" w:hAnsi="Times New Roman" w:cs="Times New Roman"/>
          <w:sz w:val="24"/>
          <w:szCs w:val="24"/>
          <w:shd w:val="clear" w:color="auto" w:fill="FFFFFF"/>
        </w:rPr>
        <w:t>that applies to</w:t>
      </w:r>
      <w:r w:rsidRPr="0018389C">
        <w:rPr>
          <w:rFonts w:ascii="Times New Roman" w:hAnsi="Times New Roman" w:cs="Times New Roman"/>
          <w:sz w:val="24"/>
          <w:szCs w:val="24"/>
          <w:shd w:val="clear" w:color="auto" w:fill="FFFFFF"/>
        </w:rPr>
        <w:t xml:space="preserve"> life companies, including friendly societies, registered non-operating holding companies (registered NOHCs) and subsidiaries of life companies and registered NOHCs.</w:t>
      </w:r>
      <w:bookmarkEnd w:id="2"/>
      <w:bookmarkEnd w:id="3"/>
      <w:r w:rsidRPr="0018389C">
        <w:rPr>
          <w:rFonts w:ascii="Times New Roman" w:hAnsi="Times New Roman" w:cs="Times New Roman"/>
          <w:sz w:val="24"/>
          <w:szCs w:val="24"/>
        </w:rPr>
        <w:t xml:space="preserve"> </w:t>
      </w:r>
    </w:p>
    <w:p w14:paraId="248BB2B6" w14:textId="23F93D62" w:rsidR="002F7D67" w:rsidRPr="0018389C" w:rsidRDefault="002F7D67" w:rsidP="001E7361">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D02B31">
        <w:rPr>
          <w:rFonts w:ascii="Times New Roman" w:hAnsi="Times New Roman" w:cs="Times New Roman"/>
          <w:sz w:val="24"/>
          <w:szCs w:val="24"/>
        </w:rPr>
        <w:t xml:space="preserve">On </w:t>
      </w:r>
      <w:r w:rsidR="00D02B31" w:rsidRPr="00D02B31">
        <w:rPr>
          <w:rFonts w:ascii="Times New Roman" w:hAnsi="Times New Roman" w:cs="Times New Roman"/>
          <w:sz w:val="24"/>
          <w:szCs w:val="24"/>
        </w:rPr>
        <w:t>21</w:t>
      </w:r>
      <w:r w:rsidR="001F6912" w:rsidRPr="00D02B31">
        <w:rPr>
          <w:rFonts w:ascii="Times New Roman" w:hAnsi="Times New Roman" w:cs="Times New Roman"/>
          <w:sz w:val="24"/>
          <w:szCs w:val="24"/>
        </w:rPr>
        <w:t xml:space="preserve"> November 2023</w:t>
      </w:r>
      <w:r w:rsidRPr="00D02B31">
        <w:rPr>
          <w:rFonts w:ascii="Times New Roman" w:hAnsi="Times New Roman" w:cs="Times New Roman"/>
          <w:sz w:val="24"/>
          <w:szCs w:val="24"/>
        </w:rPr>
        <w:t xml:space="preserve">, APRA made </w:t>
      </w:r>
      <w:r w:rsidR="53BA8FBE" w:rsidRPr="00D02B31">
        <w:rPr>
          <w:rFonts w:ascii="Times New Roman" w:hAnsi="Times New Roman" w:cs="Times New Roman"/>
          <w:sz w:val="24"/>
          <w:szCs w:val="24"/>
        </w:rPr>
        <w:t xml:space="preserve">Life </w:t>
      </w:r>
      <w:r w:rsidRPr="00D02B31">
        <w:rPr>
          <w:rFonts w:ascii="Times New Roman" w:hAnsi="Times New Roman" w:cs="Times New Roman"/>
          <w:sz w:val="24"/>
          <w:szCs w:val="24"/>
        </w:rPr>
        <w:t>Insurance</w:t>
      </w:r>
      <w:r w:rsidRPr="0018389C">
        <w:rPr>
          <w:rFonts w:ascii="Times New Roman" w:hAnsi="Times New Roman" w:cs="Times New Roman"/>
          <w:sz w:val="24"/>
          <w:szCs w:val="24"/>
        </w:rPr>
        <w:t xml:space="preserve"> (prudential standard) determination </w:t>
      </w:r>
      <w:r w:rsidR="00585CC4" w:rsidRPr="0018389C">
        <w:rPr>
          <w:rFonts w:ascii="Times New Roman" w:hAnsi="Times New Roman" w:cs="Times New Roman"/>
          <w:sz w:val="24"/>
          <w:szCs w:val="24"/>
        </w:rPr>
        <w:t>N</w:t>
      </w:r>
      <w:r w:rsidRPr="0018389C">
        <w:rPr>
          <w:rFonts w:ascii="Times New Roman" w:hAnsi="Times New Roman" w:cs="Times New Roman"/>
          <w:sz w:val="24"/>
          <w:szCs w:val="24"/>
        </w:rPr>
        <w:t xml:space="preserve">o. </w:t>
      </w:r>
      <w:r w:rsidR="751D24FC" w:rsidRPr="0018389C">
        <w:rPr>
          <w:rFonts w:ascii="Times New Roman" w:hAnsi="Times New Roman" w:cs="Times New Roman"/>
          <w:sz w:val="24"/>
          <w:szCs w:val="24"/>
        </w:rPr>
        <w:t>1</w:t>
      </w:r>
      <w:r w:rsidR="1FE1988C" w:rsidRPr="0018389C">
        <w:rPr>
          <w:rFonts w:ascii="Times New Roman" w:hAnsi="Times New Roman" w:cs="Times New Roman"/>
          <w:sz w:val="24"/>
          <w:szCs w:val="24"/>
        </w:rPr>
        <w:t>4</w:t>
      </w:r>
      <w:r w:rsidRPr="0018389C">
        <w:rPr>
          <w:rFonts w:ascii="Times New Roman" w:hAnsi="Times New Roman" w:cs="Times New Roman"/>
          <w:sz w:val="24"/>
          <w:szCs w:val="24"/>
        </w:rPr>
        <w:t xml:space="preserve"> of 2023 </w:t>
      </w:r>
      <w:r w:rsidR="00B83E32" w:rsidRPr="0018389C">
        <w:rPr>
          <w:rFonts w:ascii="Times New Roman" w:hAnsi="Times New Roman" w:cs="Times New Roman"/>
          <w:sz w:val="24"/>
          <w:szCs w:val="24"/>
        </w:rPr>
        <w:t xml:space="preserve">(the instrument), </w:t>
      </w:r>
      <w:r w:rsidRPr="0018389C">
        <w:rPr>
          <w:rFonts w:ascii="Times New Roman" w:hAnsi="Times New Roman" w:cs="Times New Roman"/>
          <w:sz w:val="24"/>
          <w:szCs w:val="24"/>
        </w:rPr>
        <w:t xml:space="preserve">which revokes </w:t>
      </w:r>
      <w:r w:rsidR="00891CFE" w:rsidRPr="0018389C">
        <w:rPr>
          <w:rFonts w:ascii="Times New Roman" w:hAnsi="Times New Roman" w:cs="Times New Roman"/>
          <w:i/>
          <w:sz w:val="24"/>
          <w:szCs w:val="24"/>
        </w:rPr>
        <w:t>Prudential Standard LPS 310 Audit and Related Matters</w:t>
      </w:r>
      <w:r w:rsidR="0060508C" w:rsidRPr="0018389C">
        <w:rPr>
          <w:rFonts w:ascii="Times New Roman" w:hAnsi="Times New Roman" w:cs="Times New Roman"/>
          <w:i/>
          <w:sz w:val="24"/>
          <w:szCs w:val="24"/>
        </w:rPr>
        <w:t xml:space="preserve"> </w:t>
      </w:r>
      <w:r w:rsidRPr="0018389C">
        <w:rPr>
          <w:rFonts w:ascii="Times New Roman" w:hAnsi="Times New Roman" w:cs="Times New Roman"/>
          <w:sz w:val="24"/>
          <w:szCs w:val="24"/>
        </w:rPr>
        <w:t>made under</w:t>
      </w:r>
      <w:r w:rsidR="000C4197" w:rsidRPr="0018389C">
        <w:rPr>
          <w:rFonts w:ascii="Times New Roman" w:hAnsi="Times New Roman" w:cs="Times New Roman"/>
          <w:sz w:val="24"/>
          <w:szCs w:val="24"/>
        </w:rPr>
        <w:t xml:space="preserve"> Life</w:t>
      </w:r>
      <w:r w:rsidRPr="0018389C">
        <w:rPr>
          <w:rFonts w:ascii="Times New Roman" w:hAnsi="Times New Roman" w:cs="Times New Roman"/>
          <w:sz w:val="24"/>
          <w:szCs w:val="24"/>
        </w:rPr>
        <w:t xml:space="preserve"> Insurance determination No. </w:t>
      </w:r>
      <w:r w:rsidR="350F6AF1" w:rsidRPr="0018389C">
        <w:rPr>
          <w:rFonts w:ascii="Times New Roman" w:hAnsi="Times New Roman" w:cs="Times New Roman"/>
          <w:sz w:val="24"/>
          <w:szCs w:val="24"/>
        </w:rPr>
        <w:t>1</w:t>
      </w:r>
      <w:r w:rsidR="0F7C1B8B" w:rsidRPr="0018389C">
        <w:rPr>
          <w:rFonts w:ascii="Times New Roman" w:hAnsi="Times New Roman" w:cs="Times New Roman"/>
          <w:sz w:val="24"/>
          <w:szCs w:val="24"/>
        </w:rPr>
        <w:t>1</w:t>
      </w:r>
      <w:r w:rsidR="000C4197" w:rsidRPr="0018389C">
        <w:rPr>
          <w:rFonts w:ascii="Times New Roman" w:hAnsi="Times New Roman" w:cs="Times New Roman"/>
          <w:sz w:val="24"/>
          <w:szCs w:val="24"/>
        </w:rPr>
        <w:t xml:space="preserve"> </w:t>
      </w:r>
      <w:r w:rsidRPr="0018389C">
        <w:rPr>
          <w:rFonts w:ascii="Times New Roman" w:hAnsi="Times New Roman" w:cs="Times New Roman"/>
          <w:sz w:val="24"/>
          <w:szCs w:val="24"/>
        </w:rPr>
        <w:t xml:space="preserve">of </w:t>
      </w:r>
      <w:r w:rsidR="4741F7E6" w:rsidRPr="0018389C">
        <w:rPr>
          <w:rFonts w:ascii="Times New Roman" w:hAnsi="Times New Roman" w:cs="Times New Roman"/>
          <w:sz w:val="24"/>
          <w:szCs w:val="24"/>
        </w:rPr>
        <w:t>20</w:t>
      </w:r>
      <w:r w:rsidR="1951ECE2" w:rsidRPr="0018389C">
        <w:rPr>
          <w:rFonts w:ascii="Times New Roman" w:hAnsi="Times New Roman" w:cs="Times New Roman"/>
          <w:sz w:val="24"/>
          <w:szCs w:val="24"/>
        </w:rPr>
        <w:t xml:space="preserve">23 </w:t>
      </w:r>
      <w:r w:rsidRPr="0018389C">
        <w:rPr>
          <w:rFonts w:ascii="Times New Roman" w:hAnsi="Times New Roman" w:cs="Times New Roman"/>
          <w:sz w:val="24"/>
          <w:szCs w:val="24"/>
        </w:rPr>
        <w:t xml:space="preserve">and determines a new </w:t>
      </w:r>
      <w:r w:rsidR="00891CFE" w:rsidRPr="0018389C">
        <w:rPr>
          <w:rFonts w:ascii="Times New Roman" w:hAnsi="Times New Roman" w:cs="Times New Roman"/>
          <w:i/>
          <w:sz w:val="24"/>
          <w:szCs w:val="24"/>
        </w:rPr>
        <w:t>Prudential Standard LPS 310 Audit and Related Matters</w:t>
      </w:r>
      <w:r w:rsidR="0060508C" w:rsidRPr="0018389C">
        <w:rPr>
          <w:rFonts w:ascii="Times New Roman" w:hAnsi="Times New Roman" w:cs="Times New Roman"/>
          <w:i/>
          <w:sz w:val="24"/>
          <w:szCs w:val="24"/>
        </w:rPr>
        <w:t xml:space="preserve"> </w:t>
      </w:r>
      <w:r w:rsidRPr="0018389C">
        <w:rPr>
          <w:rFonts w:ascii="Times New Roman" w:hAnsi="Times New Roman" w:cs="Times New Roman"/>
          <w:sz w:val="24"/>
          <w:szCs w:val="24"/>
        </w:rPr>
        <w:t xml:space="preserve">(LPS </w:t>
      </w:r>
      <w:r w:rsidR="00891CFE" w:rsidRPr="0018389C">
        <w:rPr>
          <w:rFonts w:ascii="Times New Roman" w:hAnsi="Times New Roman" w:cs="Times New Roman"/>
          <w:sz w:val="24"/>
          <w:szCs w:val="24"/>
        </w:rPr>
        <w:t>310</w:t>
      </w:r>
      <w:r w:rsidRPr="0018389C">
        <w:rPr>
          <w:rFonts w:ascii="Times New Roman" w:hAnsi="Times New Roman" w:cs="Times New Roman"/>
          <w:sz w:val="24"/>
          <w:szCs w:val="24"/>
        </w:rPr>
        <w:t>).</w:t>
      </w:r>
    </w:p>
    <w:p w14:paraId="1E53BD4C" w14:textId="585FFC20" w:rsidR="002F7D67" w:rsidRDefault="002F7D67" w:rsidP="001E7361">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w:t>
      </w:r>
      <w:r w:rsidR="001F6912">
        <w:rPr>
          <w:rFonts w:ascii="Times New Roman" w:hAnsi="Times New Roman" w:cs="Times New Roman"/>
          <w:sz w:val="24"/>
          <w:szCs w:val="24"/>
        </w:rPr>
        <w:t>8</w:t>
      </w:r>
      <w:r>
        <w:rPr>
          <w:rFonts w:ascii="Times New Roman" w:hAnsi="Times New Roman" w:cs="Times New Roman"/>
          <w:sz w:val="24"/>
          <w:szCs w:val="24"/>
        </w:rPr>
        <w:t xml:space="preserve"> </w:t>
      </w:r>
      <w:r w:rsidR="001F6912">
        <w:rPr>
          <w:rFonts w:ascii="Times New Roman" w:hAnsi="Times New Roman" w:cs="Times New Roman"/>
          <w:sz w:val="24"/>
          <w:szCs w:val="24"/>
        </w:rPr>
        <w:t>December</w:t>
      </w:r>
      <w:r>
        <w:rPr>
          <w:rFonts w:ascii="Times New Roman" w:hAnsi="Times New Roman" w:cs="Times New Roman"/>
          <w:sz w:val="24"/>
          <w:szCs w:val="24"/>
        </w:rPr>
        <w:t xml:space="preserve"> 2023</w:t>
      </w:r>
      <w:r w:rsidRPr="00A06A6F">
        <w:rPr>
          <w:rFonts w:ascii="Times New Roman" w:hAnsi="Times New Roman" w:cs="Times New Roman"/>
          <w:sz w:val="24"/>
          <w:szCs w:val="24"/>
        </w:rPr>
        <w:t>.</w:t>
      </w:r>
    </w:p>
    <w:p w14:paraId="7D9CBB99" w14:textId="77777777" w:rsidR="00272569" w:rsidRPr="00A516E7" w:rsidRDefault="00272569" w:rsidP="000E0F08">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2DACBB6" w14:textId="7F20286A" w:rsidR="00FB3EC9" w:rsidRPr="00FB3EC9" w:rsidRDefault="00FB3EC9" w:rsidP="001E7361">
      <w:pPr>
        <w:widowControl w:val="0"/>
        <w:numPr>
          <w:ilvl w:val="0"/>
          <w:numId w:val="0"/>
        </w:numPr>
        <w:rPr>
          <w:rFonts w:ascii="Times New Roman" w:hAnsi="Times New Roman"/>
          <w:sz w:val="24"/>
          <w:szCs w:val="24"/>
        </w:rPr>
      </w:pPr>
      <w:r w:rsidRPr="00045CBE">
        <w:rPr>
          <w:rFonts w:ascii="Times New Roman" w:hAnsi="Times New Roman"/>
          <w:sz w:val="24"/>
          <w:szCs w:val="24"/>
        </w:rPr>
        <w:t xml:space="preserve">APRA’s mandate is to ensure the safety and soundness of prudentially regulated financial institutions so that they can meet their financial promises to depositors, </w:t>
      </w:r>
      <w:proofErr w:type="gramStart"/>
      <w:r w:rsidRPr="00045CBE">
        <w:rPr>
          <w:rFonts w:ascii="Times New Roman" w:hAnsi="Times New Roman"/>
          <w:sz w:val="24"/>
          <w:szCs w:val="24"/>
        </w:rPr>
        <w:t>policyholders</w:t>
      </w:r>
      <w:proofErr w:type="gramEnd"/>
      <w:r w:rsidRPr="00045CBE">
        <w:rPr>
          <w:rFonts w:ascii="Times New Roman" w:hAnsi="Times New Roman"/>
          <w:sz w:val="24"/>
          <w:szCs w:val="24"/>
        </w:rPr>
        <w:t xml:space="preserve"> and fund members within a stable, efficient and competitive financial system. </w:t>
      </w:r>
    </w:p>
    <w:p w14:paraId="7BA7A4E6" w14:textId="034083D7" w:rsidR="00FB3EC9" w:rsidRPr="00FB3EC9" w:rsidRDefault="00FB3EC9" w:rsidP="001E7361">
      <w:pPr>
        <w:numPr>
          <w:ilvl w:val="0"/>
          <w:numId w:val="0"/>
        </w:numPr>
        <w:rPr>
          <w:rFonts w:ascii="Times New Roman" w:hAnsi="Times New Roman"/>
          <w:sz w:val="24"/>
          <w:szCs w:val="24"/>
        </w:rPr>
      </w:pPr>
      <w:r w:rsidRPr="00045CBE">
        <w:rPr>
          <w:rFonts w:ascii="Times New Roman" w:hAnsi="Times New Roman"/>
          <w:sz w:val="24"/>
          <w:szCs w:val="24"/>
        </w:rPr>
        <w:t xml:space="preserve">APRA carries out this mandate through a multi-layered prudential framework that encompasses licensing and supervision of institutions. APRA is empowered under the Banking Act, the Insurance Act, the Life Insurance </w:t>
      </w:r>
      <w:proofErr w:type="gramStart"/>
      <w:r w:rsidRPr="00045CBE">
        <w:rPr>
          <w:rFonts w:ascii="Times New Roman" w:hAnsi="Times New Roman"/>
          <w:sz w:val="24"/>
          <w:szCs w:val="24"/>
        </w:rPr>
        <w:t>Act</w:t>
      </w:r>
      <w:proofErr w:type="gramEnd"/>
      <w:r w:rsidRPr="00045CBE">
        <w:rPr>
          <w:rFonts w:ascii="Times New Roman" w:hAnsi="Times New Roman"/>
          <w:sz w:val="24"/>
          <w:szCs w:val="24"/>
        </w:rPr>
        <w:t xml:space="preserve"> and the PHI Act to issue legally binding prudential standards that set out specific prudential requirements with which APRA-regulated institutions in each industry must comply. These standards are supported by prudential practice guides which clarify APRA’s expectations </w:t>
      </w:r>
      <w:proofErr w:type="gramStart"/>
      <w:r w:rsidRPr="00045CBE">
        <w:rPr>
          <w:rFonts w:ascii="Times New Roman" w:hAnsi="Times New Roman"/>
          <w:sz w:val="24"/>
          <w:szCs w:val="24"/>
        </w:rPr>
        <w:t>with regard to</w:t>
      </w:r>
      <w:proofErr w:type="gramEnd"/>
      <w:r w:rsidRPr="00045CBE">
        <w:rPr>
          <w:rFonts w:ascii="Times New Roman" w:hAnsi="Times New Roman"/>
          <w:sz w:val="24"/>
          <w:szCs w:val="24"/>
        </w:rPr>
        <w:t xml:space="preserve"> prudential requirements.</w:t>
      </w:r>
    </w:p>
    <w:p w14:paraId="696E16EB" w14:textId="2B9AD2C6" w:rsidR="00FB3EC9" w:rsidRPr="00045CBE" w:rsidRDefault="00FB3EC9" w:rsidP="001E7361">
      <w:pPr>
        <w:numPr>
          <w:ilvl w:val="0"/>
          <w:numId w:val="0"/>
        </w:numPr>
        <w:rPr>
          <w:rFonts w:ascii="Times New Roman" w:hAnsi="Times New Roman"/>
          <w:sz w:val="24"/>
          <w:szCs w:val="24"/>
        </w:rPr>
      </w:pPr>
      <w:r w:rsidRPr="00045CBE">
        <w:rPr>
          <w:rFonts w:ascii="Times New Roman" w:hAnsi="Times New Roman"/>
          <w:sz w:val="24"/>
          <w:szCs w:val="24"/>
        </w:rPr>
        <w:t xml:space="preserve">APRA regularly reviews its regulatory regime and amends its prudential requirements </w:t>
      </w:r>
      <w:proofErr w:type="gramStart"/>
      <w:r w:rsidRPr="00045CBE">
        <w:rPr>
          <w:rFonts w:ascii="Times New Roman" w:hAnsi="Times New Roman"/>
          <w:sz w:val="24"/>
          <w:szCs w:val="24"/>
        </w:rPr>
        <w:t>as a result of</w:t>
      </w:r>
      <w:proofErr w:type="gramEnd"/>
      <w:r w:rsidRPr="00045CBE">
        <w:rPr>
          <w:rFonts w:ascii="Times New Roman" w:hAnsi="Times New Roman"/>
          <w:sz w:val="24"/>
          <w:szCs w:val="24"/>
        </w:rPr>
        <w:t xml:space="preserve"> a number of factors including:</w:t>
      </w:r>
    </w:p>
    <w:p w14:paraId="3F722FE1" w14:textId="77777777" w:rsidR="00FB3EC9" w:rsidRPr="00045CBE" w:rsidRDefault="00FB3EC9" w:rsidP="000E0F08">
      <w:pPr>
        <w:numPr>
          <w:ilvl w:val="0"/>
          <w:numId w:val="19"/>
        </w:numPr>
        <w:ind w:left="284" w:hanging="284"/>
        <w:rPr>
          <w:rFonts w:ascii="Times New Roman" w:hAnsi="Times New Roman"/>
          <w:sz w:val="24"/>
          <w:szCs w:val="24"/>
        </w:rPr>
      </w:pPr>
      <w:r w:rsidRPr="00045CBE">
        <w:rPr>
          <w:rFonts w:ascii="Times New Roman" w:hAnsi="Times New Roman"/>
          <w:sz w:val="24"/>
          <w:szCs w:val="24"/>
        </w:rPr>
        <w:t xml:space="preserve">international </w:t>
      </w:r>
      <w:proofErr w:type="gramStart"/>
      <w:r w:rsidRPr="00045CBE">
        <w:rPr>
          <w:rFonts w:ascii="Times New Roman" w:hAnsi="Times New Roman"/>
          <w:sz w:val="24"/>
          <w:szCs w:val="24"/>
        </w:rPr>
        <w:t>developments;</w:t>
      </w:r>
      <w:proofErr w:type="gramEnd"/>
    </w:p>
    <w:p w14:paraId="1AA3A3E8" w14:textId="77777777" w:rsidR="00FB3EC9" w:rsidRPr="00045CBE" w:rsidRDefault="00FB3EC9" w:rsidP="000E0F08">
      <w:pPr>
        <w:numPr>
          <w:ilvl w:val="0"/>
          <w:numId w:val="19"/>
        </w:numPr>
        <w:ind w:left="284" w:hanging="284"/>
        <w:rPr>
          <w:rFonts w:ascii="Times New Roman" w:hAnsi="Times New Roman"/>
          <w:sz w:val="24"/>
          <w:szCs w:val="24"/>
        </w:rPr>
      </w:pPr>
      <w:r w:rsidRPr="00045CBE">
        <w:rPr>
          <w:rFonts w:ascii="Times New Roman" w:hAnsi="Times New Roman"/>
          <w:sz w:val="24"/>
          <w:szCs w:val="24"/>
        </w:rPr>
        <w:t xml:space="preserve">changes in financial market </w:t>
      </w:r>
      <w:proofErr w:type="gramStart"/>
      <w:r w:rsidRPr="00045CBE">
        <w:rPr>
          <w:rFonts w:ascii="Times New Roman" w:hAnsi="Times New Roman"/>
          <w:sz w:val="24"/>
          <w:szCs w:val="24"/>
        </w:rPr>
        <w:t>conditions;</w:t>
      </w:r>
      <w:proofErr w:type="gramEnd"/>
    </w:p>
    <w:p w14:paraId="12D3B49B" w14:textId="77777777" w:rsidR="00FB3EC9" w:rsidRPr="00045CBE" w:rsidRDefault="00FB3EC9" w:rsidP="000E0F08">
      <w:pPr>
        <w:numPr>
          <w:ilvl w:val="0"/>
          <w:numId w:val="19"/>
        </w:numPr>
        <w:ind w:left="284" w:hanging="284"/>
        <w:rPr>
          <w:rFonts w:ascii="Times New Roman" w:hAnsi="Times New Roman"/>
          <w:sz w:val="24"/>
          <w:szCs w:val="24"/>
        </w:rPr>
      </w:pPr>
      <w:r w:rsidRPr="00045CBE">
        <w:rPr>
          <w:rFonts w:ascii="Times New Roman" w:hAnsi="Times New Roman"/>
          <w:sz w:val="24"/>
          <w:szCs w:val="24"/>
        </w:rPr>
        <w:t>changes in risk management practices, in response to identified weaknesses in the prudential framework; and</w:t>
      </w:r>
    </w:p>
    <w:p w14:paraId="7C552CFB" w14:textId="25283571" w:rsidR="00FB3EC9" w:rsidRDefault="00FB3EC9" w:rsidP="000E0F08">
      <w:pPr>
        <w:numPr>
          <w:ilvl w:val="0"/>
          <w:numId w:val="19"/>
        </w:numPr>
        <w:ind w:left="284" w:hanging="284"/>
        <w:rPr>
          <w:rFonts w:ascii="Times New Roman" w:hAnsi="Times New Roman"/>
          <w:sz w:val="24"/>
          <w:szCs w:val="24"/>
        </w:rPr>
      </w:pPr>
      <w:r w:rsidRPr="00045CBE">
        <w:rPr>
          <w:rFonts w:ascii="Times New Roman" w:hAnsi="Times New Roman"/>
          <w:sz w:val="24"/>
          <w:szCs w:val="24"/>
        </w:rPr>
        <w:t>to reduce potential negative impacts of emerging industry issues.</w:t>
      </w:r>
    </w:p>
    <w:p w14:paraId="7DE65557" w14:textId="0328EF35" w:rsidR="00324A05" w:rsidRDefault="00324A05" w:rsidP="000E0F08">
      <w:pPr>
        <w:numPr>
          <w:ilvl w:val="0"/>
          <w:numId w:val="0"/>
        </w:numPr>
        <w:rPr>
          <w:rFonts w:ascii="Times New Roman" w:hAnsi="Times New Roman"/>
          <w:sz w:val="24"/>
          <w:szCs w:val="24"/>
        </w:rPr>
      </w:pPr>
      <w:bookmarkStart w:id="4" w:name="_Hlk151112391"/>
      <w:r>
        <w:rPr>
          <w:rFonts w:ascii="Times New Roman" w:hAnsi="Times New Roman"/>
          <w:sz w:val="24"/>
          <w:szCs w:val="24"/>
        </w:rPr>
        <w:t>When amending its prudential requirements</w:t>
      </w:r>
      <w:r w:rsidRPr="00324A05">
        <w:rPr>
          <w:rFonts w:ascii="Times New Roman" w:hAnsi="Times New Roman"/>
          <w:sz w:val="24"/>
          <w:szCs w:val="24"/>
        </w:rPr>
        <w:t xml:space="preserve"> APRA has regard to, amongst others, the impact on industry in terms of both industry burden and matters of proportionality</w:t>
      </w:r>
      <w:r>
        <w:rPr>
          <w:rFonts w:ascii="Times New Roman" w:hAnsi="Times New Roman"/>
          <w:sz w:val="24"/>
          <w:szCs w:val="24"/>
        </w:rPr>
        <w:t>.</w:t>
      </w:r>
    </w:p>
    <w:bookmarkEnd w:id="4"/>
    <w:p w14:paraId="2119611F" w14:textId="7F8DCC5F" w:rsidR="00DA07A4" w:rsidRPr="00FB3EC9" w:rsidRDefault="00DA07A4" w:rsidP="000E0F08">
      <w:pPr>
        <w:numPr>
          <w:ilvl w:val="0"/>
          <w:numId w:val="0"/>
        </w:numPr>
        <w:rPr>
          <w:rFonts w:ascii="Times New Roman" w:hAnsi="Times New Roman"/>
          <w:sz w:val="24"/>
          <w:szCs w:val="24"/>
        </w:rPr>
      </w:pPr>
      <w:r>
        <w:rPr>
          <w:rFonts w:ascii="Times New Roman" w:hAnsi="Times New Roman"/>
          <w:sz w:val="24"/>
          <w:szCs w:val="24"/>
        </w:rPr>
        <w:t>LPS 310</w:t>
      </w:r>
      <w:r w:rsidR="00062A2C">
        <w:rPr>
          <w:rFonts w:ascii="Times New Roman" w:hAnsi="Times New Roman"/>
          <w:sz w:val="24"/>
          <w:szCs w:val="24"/>
        </w:rPr>
        <w:t xml:space="preserve"> </w:t>
      </w:r>
      <w:r>
        <w:rPr>
          <w:rFonts w:ascii="Times New Roman" w:hAnsi="Times New Roman"/>
          <w:sz w:val="24"/>
          <w:szCs w:val="24"/>
        </w:rPr>
        <w:t xml:space="preserve">forms part of the prudential framework set out by APRA for life companies. </w:t>
      </w:r>
      <w:r w:rsidR="00811D18">
        <w:rPr>
          <w:rFonts w:ascii="Times New Roman" w:hAnsi="Times New Roman"/>
          <w:sz w:val="24"/>
          <w:szCs w:val="24"/>
        </w:rPr>
        <w:t>LPS 310</w:t>
      </w:r>
      <w:r>
        <w:rPr>
          <w:rFonts w:ascii="Times New Roman" w:hAnsi="Times New Roman"/>
          <w:sz w:val="24"/>
          <w:szCs w:val="24"/>
        </w:rPr>
        <w:t xml:space="preserve"> </w:t>
      </w:r>
      <w:r w:rsidR="00062A2C">
        <w:rPr>
          <w:rFonts w:ascii="Times New Roman" w:hAnsi="Times New Roman"/>
          <w:sz w:val="24"/>
          <w:szCs w:val="24"/>
        </w:rPr>
        <w:t xml:space="preserve">sets out the roles and responsibilities of a life company’s Auditor. It also sets out the obligations of a life company to </w:t>
      </w:r>
      <w:proofErr w:type="gramStart"/>
      <w:r w:rsidR="00062A2C">
        <w:rPr>
          <w:rFonts w:ascii="Times New Roman" w:hAnsi="Times New Roman"/>
          <w:sz w:val="24"/>
          <w:szCs w:val="24"/>
        </w:rPr>
        <w:t>make arrangements</w:t>
      </w:r>
      <w:proofErr w:type="gramEnd"/>
      <w:r w:rsidR="00062A2C">
        <w:rPr>
          <w:rFonts w:ascii="Times New Roman" w:hAnsi="Times New Roman"/>
          <w:sz w:val="24"/>
          <w:szCs w:val="24"/>
        </w:rPr>
        <w:t xml:space="preserve"> to enable its Auditor to fulfil his or her responsibilities. </w:t>
      </w:r>
    </w:p>
    <w:p w14:paraId="055F8914" w14:textId="49EEC5A7" w:rsidR="00272569" w:rsidRPr="00A516E7" w:rsidRDefault="00272569" w:rsidP="0018389C">
      <w:pPr>
        <w:keepNext/>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lastRenderedPageBreak/>
        <w:t>2.</w:t>
      </w:r>
      <w:r w:rsidRPr="00A516E7">
        <w:rPr>
          <w:rFonts w:ascii="Times New Roman" w:hAnsi="Times New Roman" w:cs="Times New Roman"/>
          <w:b/>
          <w:sz w:val="24"/>
          <w:szCs w:val="24"/>
        </w:rPr>
        <w:tab/>
        <w:t xml:space="preserve">Purpose and operation of the instrument </w:t>
      </w:r>
    </w:p>
    <w:p w14:paraId="5E594CD6" w14:textId="1AE00331" w:rsidR="004F4400" w:rsidRDefault="004F4400" w:rsidP="01C0B8AA">
      <w:pPr>
        <w:pStyle w:val="heading0"/>
        <w:shd w:val="clear" w:color="auto" w:fill="FFFFFF" w:themeFill="background1"/>
        <w:spacing w:before="0" w:beforeAutospacing="0" w:after="240" w:afterAutospacing="0"/>
        <w:jc w:val="both"/>
        <w:rPr>
          <w:color w:val="000000"/>
        </w:rPr>
      </w:pPr>
      <w:bookmarkStart w:id="5" w:name="_Hlk112080807"/>
      <w:r w:rsidRPr="01C0B8AA">
        <w:rPr>
          <w:color w:val="000000" w:themeColor="text1"/>
        </w:rPr>
        <w:t xml:space="preserve">The purpose of this instrument is to revoke LPS </w:t>
      </w:r>
      <w:r w:rsidR="00891CFE" w:rsidRPr="01C0B8AA">
        <w:rPr>
          <w:color w:val="000000" w:themeColor="text1"/>
        </w:rPr>
        <w:t>310</w:t>
      </w:r>
      <w:r w:rsidRPr="01C0B8AA">
        <w:rPr>
          <w:color w:val="000000" w:themeColor="text1"/>
        </w:rPr>
        <w:t xml:space="preserve"> and replace it with the corresponding new version of the prudential standard incorporating </w:t>
      </w:r>
      <w:r w:rsidR="00062A2C" w:rsidRPr="01C0B8AA">
        <w:rPr>
          <w:color w:val="000000" w:themeColor="text1"/>
        </w:rPr>
        <w:t>minor corrections</w:t>
      </w:r>
      <w:r w:rsidRPr="01C0B8AA">
        <w:rPr>
          <w:color w:val="000000" w:themeColor="text1"/>
        </w:rPr>
        <w:t>.</w:t>
      </w:r>
      <w:r w:rsidR="007549C3" w:rsidRPr="007549C3">
        <w:t xml:space="preserve"> </w:t>
      </w:r>
      <w:r w:rsidR="007549C3">
        <w:t>T</w:t>
      </w:r>
      <w:r w:rsidR="007549C3" w:rsidRPr="00334B5E">
        <w:t xml:space="preserve">he fundamental components </w:t>
      </w:r>
      <w:r w:rsidR="007549C3">
        <w:t>and purpose the</w:t>
      </w:r>
      <w:r w:rsidR="007549C3" w:rsidRPr="00334B5E">
        <w:t xml:space="preserve"> standard has not changed.</w:t>
      </w:r>
    </w:p>
    <w:bookmarkEnd w:id="5"/>
    <w:p w14:paraId="1B3D0DA4" w14:textId="750A2DC1" w:rsidR="00891CFE" w:rsidRDefault="00891CFE" w:rsidP="000E0F08">
      <w:pPr>
        <w:pStyle w:val="heading0"/>
        <w:shd w:val="clear" w:color="auto" w:fill="FFFFFF"/>
        <w:spacing w:before="0" w:beforeAutospacing="0" w:after="240" w:afterAutospacing="0"/>
        <w:jc w:val="both"/>
        <w:rPr>
          <w:rFonts w:eastAsiaTheme="minorHAnsi"/>
          <w:color w:val="000000"/>
          <w:lang w:eastAsia="en-US"/>
        </w:rPr>
      </w:pPr>
      <w:r w:rsidRPr="00891CFE">
        <w:rPr>
          <w:rFonts w:eastAsiaTheme="minorHAnsi"/>
          <w:color w:val="000000"/>
          <w:lang w:eastAsia="en-US"/>
        </w:rPr>
        <w:t xml:space="preserve">LPS 310 sets out the roles and responsibilities of a life company’s Auditor, and the obligations of a life company to </w:t>
      </w:r>
      <w:proofErr w:type="gramStart"/>
      <w:r w:rsidRPr="00891CFE">
        <w:rPr>
          <w:rFonts w:eastAsiaTheme="minorHAnsi"/>
          <w:color w:val="000000"/>
          <w:lang w:eastAsia="en-US"/>
        </w:rPr>
        <w:t>make arrangements</w:t>
      </w:r>
      <w:proofErr w:type="gramEnd"/>
      <w:r w:rsidRPr="00891CFE">
        <w:rPr>
          <w:rFonts w:eastAsiaTheme="minorHAnsi"/>
          <w:color w:val="000000"/>
          <w:lang w:eastAsia="en-US"/>
        </w:rPr>
        <w:t xml:space="preserve"> to enable its Auditor to fulfil his or her responsibilities.</w:t>
      </w:r>
    </w:p>
    <w:p w14:paraId="331A1752" w14:textId="5206955A" w:rsidR="007549C3" w:rsidRPr="00311C5D" w:rsidRDefault="007549C3" w:rsidP="000E0F08">
      <w:pPr>
        <w:pStyle w:val="heading0"/>
        <w:shd w:val="clear" w:color="auto" w:fill="FFFFFF"/>
        <w:spacing w:before="0" w:beforeAutospacing="0" w:after="240" w:afterAutospacing="0"/>
        <w:jc w:val="both"/>
        <w:rPr>
          <w:rFonts w:eastAsiaTheme="minorHAnsi"/>
          <w:color w:val="000000"/>
          <w:lang w:eastAsia="en-US"/>
        </w:rPr>
      </w:pPr>
      <w:r w:rsidRPr="00311C5D">
        <w:rPr>
          <w:rFonts w:eastAsiaTheme="minorHAnsi"/>
          <w:color w:val="000000"/>
          <w:lang w:eastAsia="en-US"/>
        </w:rPr>
        <w:t>The key requirements of LPS 310 are set out below</w:t>
      </w:r>
      <w:r w:rsidR="007C20F5">
        <w:rPr>
          <w:rFonts w:eastAsiaTheme="minorHAnsi"/>
          <w:color w:val="000000"/>
          <w:lang w:eastAsia="en-US"/>
        </w:rPr>
        <w:t>:</w:t>
      </w:r>
      <w:r w:rsidRPr="00311C5D">
        <w:rPr>
          <w:rFonts w:eastAsiaTheme="minorHAnsi"/>
          <w:color w:val="000000"/>
          <w:lang w:eastAsia="en-US"/>
        </w:rPr>
        <w:t xml:space="preserve"> </w:t>
      </w:r>
    </w:p>
    <w:p w14:paraId="2C35EE6E" w14:textId="77777777" w:rsidR="0015002F" w:rsidRPr="00311C5D" w:rsidRDefault="0015002F" w:rsidP="000E0F08">
      <w:pPr>
        <w:pStyle w:val="BoxBullet"/>
        <w:jc w:val="both"/>
      </w:pPr>
      <w:bookmarkStart w:id="6" w:name="_Hlk149216078"/>
      <w:r w:rsidRPr="00311C5D">
        <w:rPr>
          <w:szCs w:val="24"/>
        </w:rPr>
        <w:t xml:space="preserve">the life company must make arrangements to enable the Auditor to undertake his or her role and </w:t>
      </w:r>
      <w:proofErr w:type="gramStart"/>
      <w:r w:rsidRPr="00311C5D">
        <w:rPr>
          <w:szCs w:val="24"/>
        </w:rPr>
        <w:t>responsibilities;</w:t>
      </w:r>
      <w:proofErr w:type="gramEnd"/>
    </w:p>
    <w:p w14:paraId="2C08C6B5" w14:textId="77777777" w:rsidR="0015002F" w:rsidRPr="00311C5D" w:rsidRDefault="0015002F" w:rsidP="000E0F08">
      <w:pPr>
        <w:pStyle w:val="BoxBullet"/>
        <w:jc w:val="both"/>
      </w:pPr>
      <w:r w:rsidRPr="00311C5D">
        <w:rPr>
          <w:szCs w:val="24"/>
        </w:rPr>
        <w:t xml:space="preserve">the Auditor must prepare the reports required in accordance with the requirements of and timeframes specified in this Prudential </w:t>
      </w:r>
      <w:proofErr w:type="gramStart"/>
      <w:r w:rsidRPr="00311C5D">
        <w:rPr>
          <w:szCs w:val="24"/>
        </w:rPr>
        <w:t>Standard;</w:t>
      </w:r>
      <w:proofErr w:type="gramEnd"/>
    </w:p>
    <w:p w14:paraId="67BBD1F0" w14:textId="77777777" w:rsidR="0015002F" w:rsidRPr="00311C5D" w:rsidRDefault="0015002F" w:rsidP="000E0F08">
      <w:pPr>
        <w:pStyle w:val="BoxBullet"/>
        <w:jc w:val="both"/>
      </w:pPr>
      <w:r w:rsidRPr="00311C5D">
        <w:rPr>
          <w:szCs w:val="24"/>
        </w:rPr>
        <w:t xml:space="preserve">the life company must submit to APRA all reports to be prepared by the </w:t>
      </w:r>
      <w:proofErr w:type="gramStart"/>
      <w:r w:rsidRPr="00311C5D">
        <w:rPr>
          <w:szCs w:val="24"/>
        </w:rPr>
        <w:t>Auditor;</w:t>
      </w:r>
      <w:proofErr w:type="gramEnd"/>
    </w:p>
    <w:p w14:paraId="3918CD8F" w14:textId="77777777" w:rsidR="0015002F" w:rsidRPr="00311C5D" w:rsidRDefault="0015002F" w:rsidP="000E0F08">
      <w:pPr>
        <w:pStyle w:val="BoxBullet"/>
        <w:jc w:val="both"/>
      </w:pPr>
      <w:r w:rsidRPr="00311C5D">
        <w:rPr>
          <w:szCs w:val="24"/>
        </w:rPr>
        <w:t xml:space="preserve">the Auditor must audit </w:t>
      </w:r>
      <w:bookmarkStart w:id="7" w:name="OLE_LINK1"/>
      <w:r w:rsidRPr="00311C5D">
        <w:rPr>
          <w:szCs w:val="24"/>
        </w:rPr>
        <w:t xml:space="preserve">certain </w:t>
      </w:r>
      <w:bookmarkEnd w:id="7"/>
      <w:r w:rsidRPr="00311C5D">
        <w:rPr>
          <w:szCs w:val="24"/>
        </w:rPr>
        <w:t>returns of the life company to APRA and provide a report to the Board of the life company; and</w:t>
      </w:r>
    </w:p>
    <w:p w14:paraId="1285A5CA" w14:textId="3090068C" w:rsidR="0015002F" w:rsidRPr="00311C5D" w:rsidRDefault="0015002F" w:rsidP="000E0F08">
      <w:pPr>
        <w:pStyle w:val="BoxBullet"/>
        <w:jc w:val="both"/>
      </w:pPr>
      <w:r>
        <w:t>the Auditor must review other aspects of the life company’s operations on an annual basis and provide a report to the Board of the life company</w:t>
      </w:r>
      <w:r w:rsidR="0D48D8CE">
        <w:t>.</w:t>
      </w:r>
    </w:p>
    <w:p w14:paraId="34973FE7" w14:textId="00797843"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b/>
          <w:bCs/>
          <w:i/>
          <w:iCs/>
          <w:sz w:val="24"/>
          <w:szCs w:val="24"/>
        </w:rPr>
        <w:t>Exercise of discretion by APRA</w:t>
      </w:r>
    </w:p>
    <w:p w14:paraId="250921A6" w14:textId="08EEC827"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LPS 310 provides for APRA to exercise various discretions. Decisions made by APRA in exercising those discretions are not subject to merits review. This is because these decisions are preliminary decisions that may facilitate or lead to substantive decisions which are subject to merits review.</w:t>
      </w:r>
    </w:p>
    <w:p w14:paraId="1B4EC915" w14:textId="541F7F36"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Under the Act, a breach of a prudential standard is a breach of the enabling legislation, as the enabling Act provides that regulated entities must comply with the standard. However, there are no penalties prescribed for breach of the prudential standards under the Act. Instead, an entity’s breach of the enabling legislation is grounds for APRA to make further, substantive decisions under the relevant enabling legislation in relation to the entity. Those decisions may include the decision:</w:t>
      </w:r>
    </w:p>
    <w:p w14:paraId="76FA8150" w14:textId="26B9DFA4" w:rsidR="0D48D8CE" w:rsidRDefault="0D48D8CE" w:rsidP="0018389C">
      <w:pPr>
        <w:pStyle w:val="ListParagraph"/>
        <w:numPr>
          <w:ilvl w:val="0"/>
          <w:numId w:val="25"/>
        </w:numPr>
        <w:spacing w:after="0" w:line="276" w:lineRule="auto"/>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 xml:space="preserve">to issue a direction to the regulated entity, including: a direction to comply with the whole or part of a prudential standard </w:t>
      </w:r>
      <w:r w:rsidR="419F3159" w:rsidRPr="01C0B8AA">
        <w:rPr>
          <w:rFonts w:ascii="Times New Roman" w:eastAsia="Times New Roman" w:hAnsi="Times New Roman" w:cs="Times New Roman"/>
          <w:sz w:val="24"/>
          <w:szCs w:val="24"/>
        </w:rPr>
        <w:t>(</w:t>
      </w:r>
      <w:r w:rsidRPr="01C0B8AA">
        <w:rPr>
          <w:rFonts w:ascii="Times New Roman" w:eastAsia="Times New Roman" w:hAnsi="Times New Roman" w:cs="Times New Roman"/>
          <w:sz w:val="24"/>
          <w:szCs w:val="24"/>
        </w:rPr>
        <w:t>section 230B of the Act); or</w:t>
      </w:r>
    </w:p>
    <w:p w14:paraId="30E311AF" w14:textId="62B1DBF6" w:rsidR="0D48D8CE" w:rsidRDefault="0D48D8CE" w:rsidP="0018389C">
      <w:pPr>
        <w:pStyle w:val="ListParagraph"/>
        <w:numPr>
          <w:ilvl w:val="0"/>
          <w:numId w:val="25"/>
        </w:numPr>
        <w:spacing w:after="0" w:line="276" w:lineRule="auto"/>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 xml:space="preserve">to revoke registration of life insurance business (section 26 of the Act) or a life NOHC authorisation (section 28C of the Act). </w:t>
      </w:r>
    </w:p>
    <w:p w14:paraId="009BD1B8" w14:textId="657FADB8" w:rsidR="01C0B8AA" w:rsidRDefault="01C0B8AA" w:rsidP="001E7361">
      <w:pPr>
        <w:numPr>
          <w:ilvl w:val="0"/>
          <w:numId w:val="0"/>
        </w:numPr>
        <w:spacing w:after="0" w:line="276" w:lineRule="auto"/>
        <w:rPr>
          <w:rFonts w:ascii="Times New Roman" w:eastAsia="Times New Roman" w:hAnsi="Times New Roman" w:cs="Times New Roman"/>
          <w:sz w:val="24"/>
          <w:szCs w:val="24"/>
        </w:rPr>
      </w:pPr>
    </w:p>
    <w:p w14:paraId="2DC87C66" w14:textId="4C4A741A"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It is only at this stage that an entity is exposed to a penalty, loss of licence or imposition of a penalty if it breaches the direction (50 penalty units each day under section 230F of the Act</w:t>
      </w:r>
      <w:r w:rsidR="7EBFAEB6" w:rsidRPr="01C0B8AA">
        <w:rPr>
          <w:rFonts w:ascii="Times New Roman" w:eastAsia="Times New Roman" w:hAnsi="Times New Roman" w:cs="Times New Roman"/>
          <w:sz w:val="24"/>
          <w:szCs w:val="24"/>
        </w:rPr>
        <w:t>)</w:t>
      </w:r>
      <w:r w:rsidRPr="01C0B8AA">
        <w:rPr>
          <w:rFonts w:ascii="Times New Roman" w:eastAsia="Times New Roman" w:hAnsi="Times New Roman" w:cs="Times New Roman"/>
          <w:sz w:val="24"/>
          <w:szCs w:val="24"/>
        </w:rPr>
        <w:t xml:space="preserve">. </w:t>
      </w:r>
      <w:r w:rsidRPr="01C0B8AA">
        <w:rPr>
          <w:rFonts w:ascii="Times New Roman" w:eastAsia="Times New Roman" w:hAnsi="Times New Roman" w:cs="Times New Roman"/>
          <w:sz w:val="24"/>
          <w:szCs w:val="24"/>
        </w:rPr>
        <w:lastRenderedPageBreak/>
        <w:t>In nearly all cases,</w:t>
      </w:r>
      <w:r w:rsidRPr="01C0B8AA">
        <w:rPr>
          <w:rStyle w:val="FootnoteReference"/>
          <w:rFonts w:ascii="Times New Roman" w:eastAsia="Times New Roman" w:hAnsi="Times New Roman" w:cs="Times New Roman"/>
          <w:sz w:val="24"/>
          <w:szCs w:val="24"/>
        </w:rPr>
        <w:footnoteReference w:id="2"/>
      </w:r>
      <w:r w:rsidR="2AA50EA4" w:rsidRPr="01C0B8AA">
        <w:rPr>
          <w:rStyle w:val="FootnoteReference"/>
          <w:rFonts w:ascii="Times New Roman" w:eastAsia="Times New Roman" w:hAnsi="Times New Roman" w:cs="Times New Roman"/>
          <w:sz w:val="24"/>
          <w:szCs w:val="24"/>
        </w:rPr>
        <w:t xml:space="preserve"> </w:t>
      </w:r>
      <w:r w:rsidRPr="01C0B8AA">
        <w:rPr>
          <w:rFonts w:ascii="Times New Roman" w:eastAsia="Times New Roman" w:hAnsi="Times New Roman" w:cs="Times New Roman"/>
          <w:sz w:val="24"/>
          <w:szCs w:val="24"/>
        </w:rPr>
        <w:t>the decisions are preceded by a full consultation with the regulated entity to raise any concerns they may have in relation to the decision.</w:t>
      </w:r>
    </w:p>
    <w:p w14:paraId="3828D611" w14:textId="3EE9154B"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The decisions of APRA to impose a direction are subject to merits review (section 236 of the Act), which is appropriately available at the point where an entity could be exposed to a penalty.</w:t>
      </w:r>
    </w:p>
    <w:p w14:paraId="4E2A0008" w14:textId="5BAC7716"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 xml:space="preserve">All decisions to revoke authorisations/registrations under the Act are subject to merits review, unless specifically excluded by the enabling legislation. </w:t>
      </w:r>
    </w:p>
    <w:p w14:paraId="132CB4CF" w14:textId="23D30246" w:rsidR="0D48D8CE" w:rsidRDefault="0D48D8CE" w:rsidP="001E7361">
      <w:pPr>
        <w:numPr>
          <w:ilvl w:val="0"/>
          <w:numId w:val="0"/>
        </w:numPr>
        <w:rPr>
          <w:rFonts w:ascii="Times New Roman" w:eastAsia="Times New Roman" w:hAnsi="Times New Roman" w:cs="Times New Roman"/>
          <w:sz w:val="24"/>
          <w:szCs w:val="24"/>
        </w:rPr>
      </w:pPr>
      <w:r w:rsidRPr="01C0B8AA">
        <w:rPr>
          <w:rFonts w:ascii="Times New Roman" w:eastAsia="Times New Roman" w:hAnsi="Times New Roman" w:cs="Times New Roman"/>
          <w:sz w:val="24"/>
          <w:szCs w:val="24"/>
        </w:rPr>
        <w:t xml:space="preserve">Revocation of registration as a life insurance company or a life NOHC authorisation is subject to merits review (section 236 of the Act). </w:t>
      </w:r>
    </w:p>
    <w:bookmarkEnd w:id="6"/>
    <w:p w14:paraId="56852D30" w14:textId="77777777" w:rsidR="00062A2C" w:rsidRPr="00062A2C" w:rsidRDefault="00062A2C" w:rsidP="000E0F08">
      <w:pPr>
        <w:numPr>
          <w:ilvl w:val="0"/>
          <w:numId w:val="0"/>
        </w:numPr>
        <w:autoSpaceDE w:val="0"/>
        <w:autoSpaceDN w:val="0"/>
        <w:adjustRightInd w:val="0"/>
        <w:spacing w:after="0"/>
        <w:rPr>
          <w:rFonts w:ascii="Times New Roman" w:hAnsi="Times New Roman" w:cs="Times New Roman"/>
          <w:sz w:val="24"/>
          <w:szCs w:val="24"/>
        </w:rPr>
      </w:pPr>
    </w:p>
    <w:p w14:paraId="55B9F315" w14:textId="736791DB" w:rsidR="007549C3" w:rsidRPr="00CE5227" w:rsidRDefault="007549C3" w:rsidP="00A01A7E">
      <w:pPr>
        <w:numPr>
          <w:ilvl w:val="0"/>
          <w:numId w:val="0"/>
        </w:numPr>
        <w:rPr>
          <w:rFonts w:ascii="Times New Roman" w:hAnsi="Times New Roman" w:cs="Times New Roman"/>
          <w:b/>
          <w:i/>
          <w:sz w:val="24"/>
          <w:szCs w:val="24"/>
        </w:rPr>
      </w:pPr>
      <w:r w:rsidRPr="00CE5227">
        <w:rPr>
          <w:rFonts w:ascii="Times New Roman" w:hAnsi="Times New Roman" w:cs="Times New Roman"/>
          <w:b/>
          <w:i/>
          <w:sz w:val="24"/>
          <w:szCs w:val="24"/>
        </w:rPr>
        <w:t xml:space="preserve">Adjust and exclude </w:t>
      </w:r>
      <w:proofErr w:type="gramStart"/>
      <w:r w:rsidR="13105F7A" w:rsidRPr="01C0B8AA">
        <w:rPr>
          <w:rFonts w:ascii="Times New Roman" w:hAnsi="Times New Roman" w:cs="Times New Roman"/>
          <w:b/>
          <w:bCs/>
          <w:i/>
          <w:iCs/>
          <w:sz w:val="24"/>
          <w:szCs w:val="24"/>
        </w:rPr>
        <w:t>power</w:t>
      </w:r>
      <w:proofErr w:type="gramEnd"/>
      <w:r w:rsidR="13105F7A" w:rsidRPr="01C0B8AA">
        <w:rPr>
          <w:rFonts w:ascii="Times New Roman" w:hAnsi="Times New Roman" w:cs="Times New Roman"/>
          <w:b/>
          <w:bCs/>
          <w:i/>
          <w:iCs/>
          <w:sz w:val="24"/>
          <w:szCs w:val="24"/>
        </w:rPr>
        <w:t xml:space="preserve"> </w:t>
      </w:r>
    </w:p>
    <w:p w14:paraId="59AF4737" w14:textId="3370C521" w:rsidR="007549C3" w:rsidRPr="00DD3423" w:rsidRDefault="2C5E1A63" w:rsidP="001E7361">
      <w:pPr>
        <w:numPr>
          <w:ilvl w:val="0"/>
          <w:numId w:val="0"/>
        </w:numPr>
        <w:rPr>
          <w:rFonts w:ascii="Times New Roman" w:hAnsi="Times New Roman" w:cs="Times New Roman"/>
          <w:i/>
          <w:sz w:val="24"/>
          <w:szCs w:val="24"/>
          <w:highlight w:val="yellow"/>
        </w:rPr>
      </w:pPr>
      <w:r w:rsidRPr="01C0B8AA">
        <w:rPr>
          <w:rFonts w:ascii="Times New Roman" w:hAnsi="Times New Roman" w:cs="Times New Roman"/>
          <w:sz w:val="24"/>
          <w:szCs w:val="24"/>
        </w:rPr>
        <w:t xml:space="preserve">LPS 310 </w:t>
      </w:r>
      <w:r w:rsidR="007549C3" w:rsidRPr="00B65FAD">
        <w:rPr>
          <w:rFonts w:ascii="Times New Roman" w:hAnsi="Times New Roman" w:cs="Times New Roman"/>
          <w:sz w:val="24"/>
          <w:szCs w:val="24"/>
        </w:rPr>
        <w:t>gives APRA the discretion to adjust or exclude a provision of the prudential standard (</w:t>
      </w:r>
      <w:r w:rsidR="007549C3" w:rsidRPr="001E7361">
        <w:rPr>
          <w:rFonts w:ascii="Times New Roman" w:hAnsi="Times New Roman" w:cs="Times New Roman"/>
          <w:sz w:val="24"/>
          <w:szCs w:val="24"/>
        </w:rPr>
        <w:t xml:space="preserve">paragraph </w:t>
      </w:r>
      <w:r w:rsidR="32E30FFA" w:rsidRPr="001E7361">
        <w:rPr>
          <w:rFonts w:ascii="Times New Roman" w:hAnsi="Times New Roman" w:cs="Times New Roman"/>
          <w:sz w:val="24"/>
          <w:szCs w:val="24"/>
        </w:rPr>
        <w:t>34</w:t>
      </w:r>
      <w:r w:rsidR="007549C3" w:rsidRPr="001E7361">
        <w:rPr>
          <w:rFonts w:ascii="Times New Roman" w:hAnsi="Times New Roman" w:cs="Times New Roman"/>
          <w:sz w:val="24"/>
          <w:szCs w:val="24"/>
        </w:rPr>
        <w:t xml:space="preserve">). The power to create such a </w:t>
      </w:r>
      <w:r w:rsidR="007549C3" w:rsidRPr="001E7361" w:rsidDel="0046007D">
        <w:rPr>
          <w:rFonts w:ascii="Times New Roman" w:hAnsi="Times New Roman" w:cs="Times New Roman"/>
          <w:sz w:val="24"/>
          <w:szCs w:val="24"/>
        </w:rPr>
        <w:t>discretion</w:t>
      </w:r>
      <w:r w:rsidR="007549C3" w:rsidRPr="001E7361">
        <w:rPr>
          <w:rFonts w:ascii="Times New Roman" w:hAnsi="Times New Roman" w:cs="Times New Roman"/>
          <w:sz w:val="24"/>
          <w:szCs w:val="24"/>
        </w:rPr>
        <w:t xml:space="preserve"> is provided for under subsection </w:t>
      </w:r>
      <w:r w:rsidR="1D81D4E1" w:rsidRPr="001E7361">
        <w:rPr>
          <w:rFonts w:ascii="Times New Roman" w:hAnsi="Times New Roman" w:cs="Times New Roman"/>
          <w:sz w:val="24"/>
          <w:szCs w:val="24"/>
        </w:rPr>
        <w:t>2</w:t>
      </w:r>
      <w:r w:rsidR="3B092E9B" w:rsidRPr="001E7361">
        <w:rPr>
          <w:rFonts w:ascii="Times New Roman" w:hAnsi="Times New Roman" w:cs="Times New Roman"/>
          <w:sz w:val="24"/>
          <w:szCs w:val="24"/>
        </w:rPr>
        <w:t>3</w:t>
      </w:r>
      <w:r w:rsidR="1D81D4E1" w:rsidRPr="001E7361">
        <w:rPr>
          <w:rFonts w:ascii="Times New Roman" w:hAnsi="Times New Roman" w:cs="Times New Roman"/>
          <w:sz w:val="24"/>
          <w:szCs w:val="24"/>
        </w:rPr>
        <w:t>0(A)</w:t>
      </w:r>
      <w:r w:rsidR="007549C3" w:rsidRPr="001E7361">
        <w:rPr>
          <w:rFonts w:ascii="Times New Roman" w:hAnsi="Times New Roman" w:cs="Times New Roman"/>
          <w:sz w:val="24"/>
          <w:szCs w:val="24"/>
        </w:rPr>
        <w:t xml:space="preserve"> of the Act.</w:t>
      </w:r>
      <w:r w:rsidR="007549C3" w:rsidRPr="00B65FAD">
        <w:rPr>
          <w:rFonts w:ascii="Times New Roman" w:hAnsi="Times New Roman" w:cs="Times New Roman"/>
          <w:sz w:val="24"/>
          <w:szCs w:val="24"/>
        </w:rPr>
        <w:t xml:space="preserve"> </w:t>
      </w:r>
    </w:p>
    <w:p w14:paraId="344BF9F9" w14:textId="77777777" w:rsidR="007549C3" w:rsidRPr="0018608E" w:rsidRDefault="007549C3" w:rsidP="001E7361">
      <w:pPr>
        <w:numPr>
          <w:ilvl w:val="0"/>
          <w:numId w:val="0"/>
        </w:numPr>
        <w:rPr>
          <w:rFonts w:ascii="Times New Roman" w:hAnsi="Times New Roman" w:cs="Times New Roman"/>
          <w:sz w:val="24"/>
          <w:szCs w:val="24"/>
        </w:rPr>
      </w:pPr>
      <w:r w:rsidRPr="0018608E">
        <w:rPr>
          <w:rFonts w:ascii="Times New Roman" w:hAnsi="Times New Roman" w:cs="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w:t>
      </w:r>
      <w:r>
        <w:rPr>
          <w:rFonts w:ascii="Times New Roman" w:hAnsi="Times New Roman" w:cs="Times New Roman"/>
          <w:sz w:val="24"/>
          <w:szCs w:val="24"/>
        </w:rPr>
        <w:t>depositors</w:t>
      </w:r>
      <w:r w:rsidRPr="0018608E">
        <w:rPr>
          <w:rFonts w:ascii="Times New Roman" w:hAnsi="Times New Roman" w:cs="Times New Roman"/>
          <w:sz w:val="24"/>
          <w:szCs w:val="24"/>
        </w:rPr>
        <w:t xml:space="preserve">. APRA will also </w:t>
      </w:r>
      <w:proofErr w:type="gramStart"/>
      <w:r w:rsidRPr="0018608E">
        <w:rPr>
          <w:rFonts w:ascii="Times New Roman" w:hAnsi="Times New Roman" w:cs="Times New Roman"/>
          <w:sz w:val="24"/>
          <w:szCs w:val="24"/>
        </w:rPr>
        <w:t>take into account</w:t>
      </w:r>
      <w:proofErr w:type="gramEnd"/>
      <w:r w:rsidRPr="0018608E">
        <w:rPr>
          <w:rFonts w:ascii="Times New Roman" w:hAnsi="Times New Roman" w:cs="Times New Roman"/>
          <w:sz w:val="24"/>
          <w:szCs w:val="24"/>
        </w:rPr>
        <w:t xml:space="preserve"> other considerations, such as efficiency, competition, contestability, competitive neutrality and regulatory burden, including comparisons with the entity’s peer group.</w:t>
      </w:r>
    </w:p>
    <w:p w14:paraId="61C19BFF" w14:textId="77777777" w:rsidR="007549C3" w:rsidRPr="0018608E" w:rsidRDefault="007549C3" w:rsidP="001E7361">
      <w:pPr>
        <w:numPr>
          <w:ilvl w:val="0"/>
          <w:numId w:val="0"/>
        </w:numPr>
        <w:rPr>
          <w:rFonts w:ascii="Times New Roman" w:hAnsi="Times New Roman" w:cs="Times New Roman"/>
          <w:sz w:val="24"/>
          <w:szCs w:val="24"/>
        </w:rPr>
      </w:pPr>
      <w:r w:rsidRPr="0018608E">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62508C28" w14:textId="77777777" w:rsidR="008D2E4D" w:rsidRPr="004B3BA2" w:rsidRDefault="008D2E4D" w:rsidP="000E0F08">
      <w:pPr>
        <w:pStyle w:val="Heading5"/>
        <w:rPr>
          <w:rFonts w:ascii="Times New Roman" w:hAnsi="Times New Roman" w:cs="Times New Roman"/>
          <w:i/>
          <w:sz w:val="24"/>
          <w:szCs w:val="24"/>
        </w:rPr>
      </w:pPr>
      <w:bookmarkStart w:id="8" w:name="_Hlk135213529"/>
      <w:r w:rsidRPr="004B3BA2">
        <w:rPr>
          <w:rFonts w:ascii="Times New Roman" w:hAnsi="Times New Roman" w:cs="Times New Roman"/>
          <w:i/>
          <w:sz w:val="24"/>
          <w:szCs w:val="24"/>
        </w:rPr>
        <w:t xml:space="preserve">Documents incorporated by </w:t>
      </w:r>
      <w:proofErr w:type="gramStart"/>
      <w:r w:rsidRPr="004B3BA2">
        <w:rPr>
          <w:rFonts w:ascii="Times New Roman" w:hAnsi="Times New Roman" w:cs="Times New Roman"/>
          <w:i/>
          <w:sz w:val="24"/>
          <w:szCs w:val="24"/>
        </w:rPr>
        <w:t>reference</w:t>
      </w:r>
      <w:proofErr w:type="gramEnd"/>
    </w:p>
    <w:p w14:paraId="471DB305" w14:textId="77777777" w:rsidR="008D2E4D" w:rsidRPr="00B929E5" w:rsidRDefault="008D2E4D" w:rsidP="001E7361">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5969B483" w14:textId="08475497" w:rsidR="008D2E4D" w:rsidRPr="00B929E5" w:rsidRDefault="008D2E4D" w:rsidP="000E0F08">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4D72550B" w:rsidRPr="01C0B8AA">
        <w:rPr>
          <w:rFonts w:ascii="Times New Roman" w:hAnsi="Times New Roman" w:cs="Times New Roman"/>
          <w:sz w:val="24"/>
          <w:szCs w:val="24"/>
        </w:rPr>
        <w:t>l</w:t>
      </w:r>
      <w:r w:rsidR="7368FDC7" w:rsidRPr="01C0B8AA">
        <w:rPr>
          <w:rFonts w:ascii="Times New Roman" w:hAnsi="Times New Roman" w:cs="Times New Roman"/>
          <w:sz w:val="24"/>
          <w:szCs w:val="24"/>
        </w:rPr>
        <w:t>aws</w:t>
      </w:r>
      <w:r w:rsidRPr="00B929E5">
        <w:rPr>
          <w:rFonts w:ascii="Times New Roman" w:hAnsi="Times New Roman" w:cs="Times New Roman"/>
          <w:sz w:val="24"/>
          <w:szCs w:val="24"/>
        </w:rPr>
        <w:t>;</w:t>
      </w:r>
      <w:proofErr w:type="gramEnd"/>
    </w:p>
    <w:p w14:paraId="473EDC6E" w14:textId="77777777" w:rsidR="008D2E4D" w:rsidRPr="00B929E5" w:rsidRDefault="008D2E4D" w:rsidP="000E0F08">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519B55CE" w14:textId="77777777" w:rsidR="008D2E4D" w:rsidRPr="00B929E5" w:rsidRDefault="008D2E4D" w:rsidP="000E0F08">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4F37A49D" w14:textId="77777777" w:rsidR="008D2E4D" w:rsidRPr="00B929E5" w:rsidRDefault="008D2E4D" w:rsidP="000E0F08">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lastRenderedPageBreak/>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4B300A4" w14:textId="77777777" w:rsidR="008D2E4D" w:rsidRPr="00B929E5" w:rsidRDefault="008D2E4D" w:rsidP="000E0F08">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022C52BF" w14:textId="77777777" w:rsidR="008D2E4D" w:rsidRPr="00B929E5" w:rsidRDefault="008D2E4D" w:rsidP="000E0F08">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796F2194" w14:textId="4295943B" w:rsidR="008D2E4D" w:rsidRPr="00B929E5" w:rsidRDefault="008D2E4D" w:rsidP="000E0F08">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r w:rsidR="5E329858" w:rsidRPr="001E7361">
        <w:rPr>
          <w:rFonts w:ascii="Times New Roman" w:hAnsi="Times New Roman" w:cs="Times New Roman"/>
          <w:i/>
          <w:iCs/>
          <w:sz w:val="24"/>
          <w:szCs w:val="24"/>
        </w:rPr>
        <w:t xml:space="preserve">Financial Sector (Collection of Data) Act </w:t>
      </w:r>
      <w:proofErr w:type="gramStart"/>
      <w:r w:rsidR="5E329858" w:rsidRPr="001E7361">
        <w:rPr>
          <w:rFonts w:ascii="Times New Roman" w:hAnsi="Times New Roman" w:cs="Times New Roman"/>
          <w:i/>
          <w:iCs/>
          <w:sz w:val="24"/>
          <w:szCs w:val="24"/>
        </w:rPr>
        <w:t>2001</w:t>
      </w:r>
      <w:r w:rsidRPr="00B929E5">
        <w:rPr>
          <w:rFonts w:ascii="Times New Roman" w:hAnsi="Times New Roman" w:cs="Times New Roman"/>
          <w:iCs/>
          <w:sz w:val="24"/>
          <w:szCs w:val="24"/>
          <w:lang w:val="en-US"/>
        </w:rPr>
        <w:t>;</w:t>
      </w:r>
      <w:proofErr w:type="gramEnd"/>
    </w:p>
    <w:p w14:paraId="376833D0" w14:textId="77777777" w:rsidR="008D2E4D" w:rsidRPr="00B929E5" w:rsidRDefault="008D2E4D" w:rsidP="000E0F08">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3988582" w14:textId="77777777" w:rsidR="008D2E4D" w:rsidRPr="00B929E5" w:rsidRDefault="008D2E4D" w:rsidP="000E0F08">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7D46A8FC" w14:textId="77777777" w:rsidR="008D2E4D" w:rsidRPr="00B929E5" w:rsidRDefault="008D2E4D" w:rsidP="000E0F08">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bookmarkEnd w:id="8"/>
    <w:p w14:paraId="43EC9D44" w14:textId="77777777" w:rsidR="00272569" w:rsidRPr="00A516E7" w:rsidRDefault="00272569" w:rsidP="000E0F08">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34358AAF" w14:textId="60D8147D" w:rsidR="00062A2C" w:rsidRDefault="00DA07A4" w:rsidP="001E7361">
      <w:pPr>
        <w:numPr>
          <w:ilvl w:val="0"/>
          <w:numId w:val="0"/>
        </w:numPr>
        <w:autoSpaceDE w:val="0"/>
        <w:autoSpaceDN w:val="0"/>
        <w:adjustRightInd w:val="0"/>
        <w:spacing w:after="0"/>
        <w:rPr>
          <w:rFonts w:ascii="Times New Roman" w:hAnsi="Times New Roman" w:cs="Times New Roman"/>
          <w:sz w:val="24"/>
          <w:szCs w:val="24"/>
        </w:rPr>
      </w:pPr>
      <w:r w:rsidRPr="00F80E70">
        <w:rPr>
          <w:rFonts w:ascii="Times New Roman" w:hAnsi="Times New Roman" w:cs="Times New Roman"/>
          <w:sz w:val="24"/>
          <w:szCs w:val="24"/>
        </w:rPr>
        <w:t xml:space="preserve">This instrument revokes the previous LPS 310 </w:t>
      </w:r>
      <w:r w:rsidR="15CBDF46" w:rsidRPr="01C0B8AA">
        <w:rPr>
          <w:rFonts w:ascii="Times New Roman" w:hAnsi="Times New Roman" w:cs="Times New Roman"/>
          <w:sz w:val="24"/>
          <w:szCs w:val="24"/>
        </w:rPr>
        <w:t>which came into effect on 1 July 2023</w:t>
      </w:r>
      <w:r w:rsidR="17CF8118" w:rsidRPr="01C0B8AA">
        <w:rPr>
          <w:rFonts w:ascii="Times New Roman" w:hAnsi="Times New Roman" w:cs="Times New Roman"/>
          <w:sz w:val="24"/>
          <w:szCs w:val="24"/>
        </w:rPr>
        <w:t xml:space="preserve"> (previous LPS 310)</w:t>
      </w:r>
      <w:r w:rsidR="75B037EF" w:rsidRPr="01C0B8AA">
        <w:rPr>
          <w:rFonts w:ascii="Times New Roman" w:hAnsi="Times New Roman" w:cs="Times New Roman"/>
          <w:sz w:val="24"/>
          <w:szCs w:val="24"/>
        </w:rPr>
        <w:t xml:space="preserve"> </w:t>
      </w:r>
      <w:r w:rsidRPr="00F80E70">
        <w:rPr>
          <w:rFonts w:ascii="Times New Roman" w:hAnsi="Times New Roman" w:cs="Times New Roman"/>
          <w:sz w:val="24"/>
          <w:szCs w:val="24"/>
        </w:rPr>
        <w:t xml:space="preserve">and replaces it with a new version. </w:t>
      </w:r>
      <w:r w:rsidR="00F80E70" w:rsidRPr="00F80E70">
        <w:rPr>
          <w:rFonts w:ascii="Times New Roman" w:hAnsi="Times New Roman" w:cs="Times New Roman"/>
          <w:sz w:val="24"/>
          <w:szCs w:val="24"/>
        </w:rPr>
        <w:t xml:space="preserve">The new version </w:t>
      </w:r>
      <w:r w:rsidR="7BE53679" w:rsidRPr="01C0B8AA">
        <w:rPr>
          <w:rFonts w:ascii="Times New Roman" w:hAnsi="Times New Roman" w:cs="Times New Roman"/>
          <w:sz w:val="24"/>
          <w:szCs w:val="24"/>
        </w:rPr>
        <w:t>i</w:t>
      </w:r>
      <w:r w:rsidR="2222FEAA" w:rsidRPr="01C0B8AA">
        <w:rPr>
          <w:rFonts w:ascii="Times New Roman" w:hAnsi="Times New Roman" w:cs="Times New Roman"/>
          <w:sz w:val="24"/>
          <w:szCs w:val="24"/>
        </w:rPr>
        <w:t xml:space="preserve">s </w:t>
      </w:r>
      <w:r w:rsidR="00F80E70" w:rsidRPr="00F80E70">
        <w:rPr>
          <w:rFonts w:ascii="Times New Roman" w:hAnsi="Times New Roman" w:cs="Times New Roman"/>
          <w:sz w:val="24"/>
          <w:szCs w:val="24"/>
        </w:rPr>
        <w:t>largely the same as the previous LPS 310 but incorporates two corrections</w:t>
      </w:r>
      <w:r w:rsidR="00A01A7E">
        <w:rPr>
          <w:rFonts w:ascii="Times New Roman" w:hAnsi="Times New Roman" w:cs="Times New Roman"/>
          <w:sz w:val="24"/>
          <w:szCs w:val="24"/>
        </w:rPr>
        <w:t xml:space="preserve"> relating to the level of assurance required for specific reporting standard</w:t>
      </w:r>
      <w:r w:rsidR="00D934DE">
        <w:rPr>
          <w:rFonts w:ascii="Times New Roman" w:hAnsi="Times New Roman" w:cs="Times New Roman"/>
          <w:sz w:val="24"/>
          <w:szCs w:val="24"/>
        </w:rPr>
        <w:t>s</w:t>
      </w:r>
      <w:r w:rsidR="00F80E70" w:rsidRPr="00F80E70">
        <w:rPr>
          <w:rFonts w:ascii="Times New Roman" w:hAnsi="Times New Roman" w:cs="Times New Roman"/>
          <w:sz w:val="24"/>
          <w:szCs w:val="24"/>
        </w:rPr>
        <w:t>.</w:t>
      </w:r>
      <w:r w:rsidR="00F80E70">
        <w:rPr>
          <w:rFonts w:ascii="Times New Roman" w:hAnsi="Times New Roman" w:cs="Times New Roman"/>
          <w:sz w:val="24"/>
          <w:szCs w:val="24"/>
        </w:rPr>
        <w:t xml:space="preserve"> </w:t>
      </w:r>
      <w:r w:rsidR="004B3BA2">
        <w:rPr>
          <w:rFonts w:ascii="Times New Roman" w:hAnsi="Times New Roman" w:cs="Times New Roman"/>
          <w:sz w:val="24"/>
          <w:szCs w:val="24"/>
        </w:rPr>
        <w:t>The purpose of remaking LPS 310 is to correct t</w:t>
      </w:r>
      <w:r w:rsidR="00525D99">
        <w:rPr>
          <w:rFonts w:ascii="Times New Roman" w:hAnsi="Times New Roman" w:cs="Times New Roman"/>
          <w:sz w:val="24"/>
          <w:szCs w:val="24"/>
        </w:rPr>
        <w:t>w</w:t>
      </w:r>
      <w:r w:rsidR="004B3BA2">
        <w:rPr>
          <w:rFonts w:ascii="Times New Roman" w:hAnsi="Times New Roman" w:cs="Times New Roman"/>
          <w:sz w:val="24"/>
          <w:szCs w:val="24"/>
        </w:rPr>
        <w:t>o issues</w:t>
      </w:r>
      <w:r w:rsidR="00525D99">
        <w:rPr>
          <w:rFonts w:ascii="Times New Roman" w:hAnsi="Times New Roman" w:cs="Times New Roman"/>
          <w:sz w:val="24"/>
          <w:szCs w:val="24"/>
        </w:rPr>
        <w:t xml:space="preserve"> in the </w:t>
      </w:r>
      <w:r w:rsidR="6326CD31" w:rsidRPr="01C0B8AA">
        <w:rPr>
          <w:rFonts w:ascii="Times New Roman" w:hAnsi="Times New Roman" w:cs="Times New Roman"/>
          <w:sz w:val="24"/>
          <w:szCs w:val="24"/>
        </w:rPr>
        <w:t>previous LPS 310</w:t>
      </w:r>
      <w:r w:rsidR="494D9FF5" w:rsidRPr="01C0B8AA">
        <w:rPr>
          <w:rFonts w:ascii="Times New Roman" w:hAnsi="Times New Roman" w:cs="Times New Roman"/>
          <w:sz w:val="24"/>
          <w:szCs w:val="24"/>
        </w:rPr>
        <w:t xml:space="preserve"> </w:t>
      </w:r>
      <w:r w:rsidR="004B3BA2">
        <w:rPr>
          <w:rFonts w:ascii="Times New Roman" w:hAnsi="Times New Roman" w:cs="Times New Roman"/>
          <w:sz w:val="24"/>
          <w:szCs w:val="24"/>
        </w:rPr>
        <w:t xml:space="preserve">to ensure </w:t>
      </w:r>
      <w:r w:rsidR="1A7459BB" w:rsidRPr="01C0B8AA">
        <w:rPr>
          <w:rFonts w:ascii="Times New Roman" w:hAnsi="Times New Roman" w:cs="Times New Roman"/>
          <w:sz w:val="24"/>
          <w:szCs w:val="24"/>
        </w:rPr>
        <w:t>align</w:t>
      </w:r>
      <w:r w:rsidR="5F23C4E0" w:rsidRPr="01C0B8AA">
        <w:rPr>
          <w:rFonts w:ascii="Times New Roman" w:hAnsi="Times New Roman" w:cs="Times New Roman"/>
          <w:sz w:val="24"/>
          <w:szCs w:val="24"/>
        </w:rPr>
        <w:t xml:space="preserve">ment </w:t>
      </w:r>
      <w:r w:rsidR="004B3BA2">
        <w:rPr>
          <w:rFonts w:ascii="Times New Roman" w:hAnsi="Times New Roman" w:cs="Times New Roman"/>
          <w:sz w:val="24"/>
          <w:szCs w:val="24"/>
        </w:rPr>
        <w:t xml:space="preserve">with the version </w:t>
      </w:r>
      <w:r w:rsidR="2A7FDD2C" w:rsidRPr="01C0B8AA">
        <w:rPr>
          <w:rFonts w:ascii="Times New Roman" w:hAnsi="Times New Roman" w:cs="Times New Roman"/>
          <w:sz w:val="24"/>
          <w:szCs w:val="24"/>
        </w:rPr>
        <w:t xml:space="preserve">settled </w:t>
      </w:r>
      <w:r w:rsidR="004B3BA2">
        <w:rPr>
          <w:rFonts w:ascii="Times New Roman" w:hAnsi="Times New Roman" w:cs="Times New Roman"/>
          <w:sz w:val="24"/>
          <w:szCs w:val="24"/>
        </w:rPr>
        <w:t>through consultation between 201</w:t>
      </w:r>
      <w:r w:rsidR="00525D99">
        <w:rPr>
          <w:rFonts w:ascii="Times New Roman" w:hAnsi="Times New Roman" w:cs="Times New Roman"/>
          <w:sz w:val="24"/>
          <w:szCs w:val="24"/>
        </w:rPr>
        <w:t>7</w:t>
      </w:r>
      <w:r w:rsidR="004B3BA2">
        <w:rPr>
          <w:rFonts w:ascii="Times New Roman" w:hAnsi="Times New Roman" w:cs="Times New Roman"/>
          <w:sz w:val="24"/>
          <w:szCs w:val="24"/>
        </w:rPr>
        <w:t xml:space="preserve"> and 2022. </w:t>
      </w:r>
    </w:p>
    <w:p w14:paraId="0CBEF7FE" w14:textId="153C8259" w:rsidR="004B3BA2" w:rsidRDefault="004B3BA2" w:rsidP="000E0F08">
      <w:pPr>
        <w:numPr>
          <w:ilvl w:val="0"/>
          <w:numId w:val="0"/>
        </w:numPr>
        <w:autoSpaceDE w:val="0"/>
        <w:autoSpaceDN w:val="0"/>
        <w:adjustRightInd w:val="0"/>
        <w:spacing w:after="0"/>
        <w:rPr>
          <w:rFonts w:ascii="Times New Roman" w:hAnsi="Times New Roman" w:cs="Times New Roman"/>
          <w:sz w:val="24"/>
          <w:szCs w:val="24"/>
        </w:rPr>
      </w:pPr>
    </w:p>
    <w:p w14:paraId="4D615737" w14:textId="257D56DE" w:rsidR="004B3BA2" w:rsidRDefault="004B3BA2" w:rsidP="001E7361">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previous LPS 310 was consulted on as part of APRA’s project to update </w:t>
      </w:r>
      <w:r w:rsidRPr="00525D99">
        <w:rPr>
          <w:rFonts w:ascii="Times New Roman" w:hAnsi="Times New Roman" w:cs="Times New Roman"/>
          <w:sz w:val="24"/>
          <w:szCs w:val="24"/>
        </w:rPr>
        <w:t>general insurance and life insurance prudential standards with amendments that relate to the new accounting standard Australian Accounting Standards Board 17 Insurance Contracts (AASB 17)</w:t>
      </w:r>
      <w:r w:rsidR="00525D99">
        <w:rPr>
          <w:rFonts w:ascii="Times New Roman" w:hAnsi="Times New Roman" w:cs="Times New Roman"/>
          <w:sz w:val="24"/>
          <w:szCs w:val="24"/>
        </w:rPr>
        <w:t>.</w:t>
      </w:r>
    </w:p>
    <w:p w14:paraId="3F458749" w14:textId="77777777" w:rsidR="00F80E70" w:rsidRDefault="00F80E70" w:rsidP="000E0F08">
      <w:pPr>
        <w:numPr>
          <w:ilvl w:val="0"/>
          <w:numId w:val="0"/>
        </w:numPr>
        <w:autoSpaceDE w:val="0"/>
        <w:autoSpaceDN w:val="0"/>
        <w:adjustRightInd w:val="0"/>
        <w:spacing w:after="0"/>
        <w:rPr>
          <w:rFonts w:ascii="Times New Roman" w:hAnsi="Times New Roman" w:cs="Times New Roman"/>
          <w:sz w:val="24"/>
          <w:szCs w:val="24"/>
        </w:rPr>
      </w:pPr>
    </w:p>
    <w:p w14:paraId="14A28B37" w14:textId="320443AF" w:rsidR="00D21053" w:rsidRPr="00334B5E" w:rsidRDefault="00D21053" w:rsidP="000E0F08">
      <w:pPr>
        <w:numPr>
          <w:ilvl w:val="0"/>
          <w:numId w:val="0"/>
        </w:numPr>
        <w:autoSpaceDE w:val="0"/>
        <w:autoSpaceDN w:val="0"/>
        <w:adjustRightInd w:val="0"/>
        <w:spacing w:after="0"/>
        <w:rPr>
          <w:rFonts w:ascii="Times New Roman" w:hAnsi="Times New Roman" w:cs="Times New Roman"/>
          <w:sz w:val="24"/>
          <w:szCs w:val="24"/>
        </w:rPr>
      </w:pPr>
      <w:r w:rsidRPr="00334B5E">
        <w:rPr>
          <w:rFonts w:ascii="Times New Roman" w:hAnsi="Times New Roman" w:cs="Times New Roman"/>
          <w:sz w:val="24"/>
          <w:szCs w:val="24"/>
        </w:rPr>
        <w:t xml:space="preserve">APRA began its engagement with industry on AASB 17 </w:t>
      </w:r>
      <w:r w:rsidR="00525D99">
        <w:rPr>
          <w:rFonts w:ascii="Times New Roman" w:hAnsi="Times New Roman" w:cs="Times New Roman"/>
          <w:sz w:val="24"/>
          <w:szCs w:val="24"/>
        </w:rPr>
        <w:t xml:space="preserve">driven changes to the prudential framework </w:t>
      </w:r>
      <w:r w:rsidRPr="00334B5E">
        <w:rPr>
          <w:rFonts w:ascii="Times New Roman" w:hAnsi="Times New Roman" w:cs="Times New Roman"/>
          <w:sz w:val="24"/>
          <w:szCs w:val="24"/>
        </w:rPr>
        <w:t>in 2017, subsequent engagement has taken a range of forms including letters to industry, information requests, quantitative impact studies, and four rounds of consultation:</w:t>
      </w:r>
    </w:p>
    <w:p w14:paraId="4B3EC1F4" w14:textId="77777777" w:rsidR="00272569" w:rsidRPr="00A516E7" w:rsidRDefault="00272569" w:rsidP="000E0F08">
      <w:pPr>
        <w:numPr>
          <w:ilvl w:val="0"/>
          <w:numId w:val="0"/>
        </w:numPr>
        <w:autoSpaceDE w:val="0"/>
        <w:autoSpaceDN w:val="0"/>
        <w:adjustRightInd w:val="0"/>
        <w:spacing w:after="0"/>
        <w:rPr>
          <w:rFonts w:ascii="Times New Roman" w:hAnsi="Times New Roman" w:cs="Times New Roman"/>
          <w:sz w:val="24"/>
          <w:szCs w:val="24"/>
        </w:rPr>
      </w:pPr>
    </w:p>
    <w:p w14:paraId="41A39DA9" w14:textId="35987B1D" w:rsidR="00272569" w:rsidRPr="00A516E7" w:rsidRDefault="00272569" w:rsidP="000E0F08">
      <w:pPr>
        <w:pStyle w:val="ListParagraph"/>
        <w:numPr>
          <w:ilvl w:val="0"/>
          <w:numId w:val="15"/>
        </w:numPr>
        <w:autoSpaceDE w:val="0"/>
        <w:autoSpaceDN w:val="0"/>
        <w:adjustRightInd w:val="0"/>
        <w:spacing w:after="0"/>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553F65">
        <w:rPr>
          <w:rFonts w:ascii="Times New Roman" w:hAnsi="Times New Roman" w:cs="Times New Roman"/>
          <w:sz w:val="24"/>
          <w:szCs w:val="24"/>
        </w:rPr>
        <w:t>Letter issued</w:t>
      </w:r>
      <w:r w:rsidRPr="00A516E7">
        <w:rPr>
          <w:rFonts w:ascii="Times New Roman" w:hAnsi="Times New Roman" w:cs="Times New Roman"/>
          <w:sz w:val="24"/>
          <w:szCs w:val="24"/>
        </w:rPr>
        <w:t xml:space="preserve">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0E0F08">
      <w:pPr>
        <w:pStyle w:val="ListParagraph"/>
        <w:numPr>
          <w:ilvl w:val="0"/>
          <w:numId w:val="15"/>
        </w:numPr>
        <w:autoSpaceDE w:val="0"/>
        <w:autoSpaceDN w:val="0"/>
        <w:adjustRightInd w:val="0"/>
        <w:spacing w:after="0"/>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0E0F08">
      <w:pPr>
        <w:pStyle w:val="ListParagraph"/>
        <w:numPr>
          <w:ilvl w:val="0"/>
          <w:numId w:val="15"/>
        </w:numPr>
        <w:autoSpaceDE w:val="0"/>
        <w:autoSpaceDN w:val="0"/>
        <w:adjustRightInd w:val="0"/>
        <w:spacing w:after="0"/>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0E0F08">
      <w:pPr>
        <w:pStyle w:val="ListParagraph"/>
        <w:numPr>
          <w:ilvl w:val="0"/>
          <w:numId w:val="15"/>
        </w:numPr>
        <w:autoSpaceDE w:val="0"/>
        <w:autoSpaceDN w:val="0"/>
        <w:adjustRightInd w:val="0"/>
        <w:spacing w:after="0"/>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53413AE0" w14:textId="77777777" w:rsidR="000A3C69" w:rsidRPr="00A516E7" w:rsidRDefault="000A3C69" w:rsidP="000E0F08">
      <w:pPr>
        <w:numPr>
          <w:ilvl w:val="0"/>
          <w:numId w:val="0"/>
        </w:numPr>
        <w:autoSpaceDE w:val="0"/>
        <w:autoSpaceDN w:val="0"/>
        <w:adjustRightInd w:val="0"/>
        <w:spacing w:after="0"/>
        <w:rPr>
          <w:rFonts w:ascii="Times New Roman" w:hAnsi="Times New Roman" w:cs="Times New Roman"/>
          <w:sz w:val="24"/>
          <w:szCs w:val="24"/>
        </w:rPr>
      </w:pPr>
    </w:p>
    <w:p w14:paraId="5CE81AC5" w14:textId="087C859C" w:rsidR="000A3C69" w:rsidRPr="00A516E7" w:rsidRDefault="000A3C69" w:rsidP="000E0F08">
      <w:pPr>
        <w:numPr>
          <w:ilvl w:val="0"/>
          <w:numId w:val="0"/>
        </w:numPr>
        <w:autoSpaceDE w:val="0"/>
        <w:autoSpaceDN w:val="0"/>
        <w:adjustRightInd w:val="0"/>
        <w:spacing w:after="0"/>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E0F08">
      <w:pPr>
        <w:numPr>
          <w:ilvl w:val="0"/>
          <w:numId w:val="0"/>
        </w:numPr>
        <w:autoSpaceDE w:val="0"/>
        <w:autoSpaceDN w:val="0"/>
        <w:adjustRightInd w:val="0"/>
        <w:spacing w:after="0"/>
        <w:rPr>
          <w:rFonts w:ascii="Times New Roman" w:hAnsi="Times New Roman" w:cs="Times New Roman"/>
          <w:sz w:val="24"/>
          <w:szCs w:val="24"/>
        </w:rPr>
      </w:pPr>
    </w:p>
    <w:p w14:paraId="6DC930BB" w14:textId="77777777" w:rsidR="00272569" w:rsidRPr="00A516E7" w:rsidRDefault="00272569" w:rsidP="00A01A7E">
      <w:pPr>
        <w:keepNext/>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lastRenderedPageBreak/>
        <w:t>4.</w:t>
      </w:r>
      <w:r w:rsidRPr="00A516E7">
        <w:rPr>
          <w:rFonts w:ascii="Times New Roman" w:hAnsi="Times New Roman" w:cs="Times New Roman"/>
          <w:b/>
          <w:sz w:val="24"/>
          <w:szCs w:val="24"/>
        </w:rPr>
        <w:tab/>
      </w:r>
      <w:bookmarkStart w:id="9" w:name="_Hlk127283454"/>
      <w:r w:rsidRPr="00A516E7">
        <w:rPr>
          <w:rFonts w:ascii="Times New Roman" w:hAnsi="Times New Roman" w:cs="Times New Roman"/>
          <w:b/>
          <w:sz w:val="24"/>
          <w:szCs w:val="24"/>
        </w:rPr>
        <w:t xml:space="preserve">Impact </w:t>
      </w:r>
      <w:r w:rsidRPr="00A01A7E">
        <w:rPr>
          <w:rFonts w:ascii="Times New Roman" w:hAnsi="Times New Roman" w:cs="Times New Roman"/>
          <w:b/>
          <w:sz w:val="24"/>
          <w:szCs w:val="24"/>
        </w:rPr>
        <w:t>Analysis (IA)</w:t>
      </w:r>
      <w:bookmarkEnd w:id="9"/>
    </w:p>
    <w:p w14:paraId="5A5F74F0" w14:textId="047C732A" w:rsidR="00272569" w:rsidRPr="00A516E7" w:rsidRDefault="00272569" w:rsidP="000E0F08">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The Office of Impact Analysis advised that </w:t>
      </w:r>
      <w:r w:rsidR="00525D99">
        <w:rPr>
          <w:rFonts w:ascii="Times New Roman" w:hAnsi="Times New Roman" w:cs="Times New Roman"/>
          <w:sz w:val="24"/>
          <w:szCs w:val="24"/>
        </w:rPr>
        <w:t>IA</w:t>
      </w:r>
      <w:r w:rsidRPr="00A516E7">
        <w:rPr>
          <w:rFonts w:ascii="Times New Roman" w:hAnsi="Times New Roman" w:cs="Times New Roman"/>
          <w:sz w:val="24"/>
          <w:szCs w:val="24"/>
        </w:rPr>
        <w:t xml:space="preserve"> was</w:t>
      </w:r>
      <w:r w:rsidR="00525D99">
        <w:rPr>
          <w:rFonts w:ascii="Times New Roman" w:hAnsi="Times New Roman" w:cs="Times New Roman"/>
          <w:sz w:val="24"/>
          <w:szCs w:val="24"/>
        </w:rPr>
        <w:t xml:space="preserve"> not</w:t>
      </w:r>
      <w:r w:rsidRPr="00A516E7">
        <w:rPr>
          <w:rFonts w:ascii="Times New Roman" w:hAnsi="Times New Roman" w:cs="Times New Roman"/>
          <w:sz w:val="24"/>
          <w:szCs w:val="24"/>
        </w:rPr>
        <w:t xml:space="preserve"> required </w:t>
      </w:r>
      <w:r w:rsidR="00525D99">
        <w:rPr>
          <w:rFonts w:ascii="Times New Roman" w:hAnsi="Times New Roman" w:cs="Times New Roman"/>
          <w:sz w:val="24"/>
          <w:szCs w:val="24"/>
        </w:rPr>
        <w:t xml:space="preserve">as the remaking of CPS 310 is unlikely to have more than a minor regulatory impact.  </w:t>
      </w:r>
    </w:p>
    <w:p w14:paraId="1B15F089" w14:textId="77777777" w:rsidR="00272569" w:rsidRPr="00A516E7" w:rsidRDefault="00272569" w:rsidP="000E0F08">
      <w:pPr>
        <w:pStyle w:val="Heading"/>
        <w:spacing w:before="0" w:after="240"/>
        <w:jc w:val="both"/>
        <w:rPr>
          <w:rFonts w:cs="Times New Roman"/>
          <w:i/>
          <w:sz w:val="24"/>
          <w:szCs w:val="24"/>
        </w:rPr>
      </w:pPr>
      <w:r w:rsidRPr="00A516E7">
        <w:rPr>
          <w:rFonts w:cs="Times New Roman"/>
          <w:sz w:val="24"/>
          <w:szCs w:val="24"/>
        </w:rPr>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0E0F08">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0E0F08">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0E0F08">
      <w:pPr>
        <w:pStyle w:val="Heading"/>
        <w:keepNext w:val="0"/>
        <w:spacing w:before="0" w:after="240"/>
        <w:jc w:val="both"/>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811D18">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811D18">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0D66FBB4" w:rsidR="00272569" w:rsidRPr="00A516E7" w:rsidRDefault="00272569" w:rsidP="001E7361">
      <w:pPr>
        <w:numPr>
          <w:ilvl w:val="0"/>
          <w:numId w:val="0"/>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Life Insurance (prudential standard) determina</w:t>
      </w:r>
      <w:r w:rsidRPr="0018389C">
        <w:rPr>
          <w:rFonts w:ascii="Times New Roman" w:eastAsia="Times New Roman" w:hAnsi="Times New Roman" w:cs="Times New Roman"/>
          <w:b/>
          <w:sz w:val="24"/>
          <w:szCs w:val="24"/>
          <w:lang w:eastAsia="en-AU"/>
        </w:rPr>
        <w:t xml:space="preserve">tion </w:t>
      </w:r>
      <w:r w:rsidR="4D33A06E" w:rsidRPr="0018389C">
        <w:rPr>
          <w:rFonts w:ascii="Times New Roman" w:eastAsia="Times New Roman" w:hAnsi="Times New Roman" w:cs="Times New Roman"/>
          <w:b/>
          <w:bCs/>
          <w:sz w:val="24"/>
          <w:szCs w:val="24"/>
          <w:lang w:eastAsia="en-AU"/>
        </w:rPr>
        <w:t>14</w:t>
      </w:r>
      <w:r w:rsidRPr="00611D55">
        <w:rPr>
          <w:rFonts w:ascii="Times New Roman" w:eastAsia="Times New Roman" w:hAnsi="Times New Roman" w:cs="Times New Roman"/>
          <w:b/>
          <w:sz w:val="24"/>
          <w:szCs w:val="24"/>
          <w:lang w:eastAsia="en-AU"/>
        </w:rPr>
        <w:t xml:space="preserve"> of 2023</w:t>
      </w:r>
    </w:p>
    <w:p w14:paraId="642DE898" w14:textId="31DE9C11" w:rsidR="00272569" w:rsidRPr="00A516E7" w:rsidRDefault="00272569" w:rsidP="001E7361">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This </w:t>
      </w:r>
      <w:r w:rsidR="1DA2981D" w:rsidRPr="01C0B8AA">
        <w:rPr>
          <w:rFonts w:ascii="Times New Roman" w:hAnsi="Times New Roman" w:cs="Times New Roman"/>
          <w:sz w:val="24"/>
          <w:szCs w:val="24"/>
        </w:rPr>
        <w:t>l</w:t>
      </w:r>
      <w:r w:rsidR="2F131E28" w:rsidRPr="01C0B8AA">
        <w:rPr>
          <w:rFonts w:ascii="Times New Roman" w:hAnsi="Times New Roman" w:cs="Times New Roman"/>
          <w:sz w:val="24"/>
          <w:szCs w:val="24"/>
        </w:rPr>
        <w:t xml:space="preserve">egislative </w:t>
      </w:r>
      <w:r w:rsidR="0BC4849C" w:rsidRPr="01C0B8AA">
        <w:rPr>
          <w:rFonts w:ascii="Times New Roman" w:hAnsi="Times New Roman" w:cs="Times New Roman"/>
          <w:sz w:val="24"/>
          <w:szCs w:val="24"/>
        </w:rPr>
        <w:t>i</w:t>
      </w:r>
      <w:r w:rsidRPr="00A516E7">
        <w:rPr>
          <w:rFonts w:ascii="Times New Roman" w:hAnsi="Times New Roman" w:cs="Times New Roman"/>
          <w:sz w:val="24"/>
          <w:szCs w:val="24"/>
        </w:rPr>
        <w:t xml:space="preserve">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1E7361">
      <w:pPr>
        <w:numPr>
          <w:ilvl w:val="0"/>
          <w:numId w:val="0"/>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547A4B1A" w:rsidR="00694F59" w:rsidRPr="001C6A11" w:rsidRDefault="2F131E28" w:rsidP="001E7361">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1C0B8AA">
        <w:rPr>
          <w:rFonts w:ascii="Times New Roman" w:hAnsi="Times New Roman" w:cs="Times New Roman"/>
          <w:sz w:val="24"/>
          <w:szCs w:val="24"/>
        </w:rPr>
        <w:t xml:space="preserve">The purpose of </w:t>
      </w:r>
      <w:r w:rsidR="25BB92FD" w:rsidRPr="001E7361">
        <w:rPr>
          <w:rFonts w:ascii="Times New Roman" w:hAnsi="Times New Roman" w:cs="Times New Roman"/>
          <w:i/>
          <w:iCs/>
          <w:sz w:val="24"/>
          <w:szCs w:val="24"/>
        </w:rPr>
        <w:t xml:space="preserve">Life Insurance (prudential standard) determination </w:t>
      </w:r>
      <w:r w:rsidR="77881946" w:rsidRPr="001E7361">
        <w:rPr>
          <w:rFonts w:ascii="Times New Roman" w:hAnsi="Times New Roman" w:cs="Times New Roman"/>
          <w:i/>
          <w:iCs/>
          <w:sz w:val="24"/>
          <w:szCs w:val="24"/>
        </w:rPr>
        <w:t xml:space="preserve">14 </w:t>
      </w:r>
      <w:r w:rsidR="25BB92FD" w:rsidRPr="001E7361">
        <w:rPr>
          <w:rFonts w:ascii="Times New Roman" w:hAnsi="Times New Roman" w:cs="Times New Roman"/>
          <w:i/>
          <w:iCs/>
          <w:sz w:val="24"/>
          <w:szCs w:val="24"/>
        </w:rPr>
        <w:t>of 2023</w:t>
      </w:r>
      <w:r w:rsidR="00272569" w:rsidRPr="001C6A11">
        <w:rPr>
          <w:rFonts w:ascii="Times New Roman" w:hAnsi="Times New Roman" w:cs="Times New Roman"/>
          <w:sz w:val="24"/>
          <w:szCs w:val="24"/>
        </w:rPr>
        <w:t xml:space="preserve"> is</w:t>
      </w:r>
      <w:r w:rsidR="006A77D9" w:rsidRPr="001C6A11">
        <w:rPr>
          <w:rFonts w:ascii="Times New Roman" w:hAnsi="Times New Roman" w:cs="Times New Roman"/>
          <w:sz w:val="24"/>
          <w:szCs w:val="24"/>
        </w:rPr>
        <w:t xml:space="preserve"> to</w:t>
      </w:r>
      <w:r w:rsidR="00272569"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44292A" w:rsidRPr="0044292A">
        <w:rPr>
          <w:rFonts w:ascii="Times New Roman" w:hAnsi="Times New Roman" w:cs="Times New Roman"/>
          <w:i/>
          <w:sz w:val="24"/>
          <w:szCs w:val="24"/>
        </w:rPr>
        <w:t>Prudential Standard LPS 310 Audit and Related Matters</w:t>
      </w:r>
      <w:r w:rsidR="00B3001E">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 xml:space="preserve">new version of the corresponding prudential standard with </w:t>
      </w:r>
      <w:r w:rsidR="001F6912">
        <w:rPr>
          <w:rFonts w:ascii="Times New Roman" w:hAnsi="Times New Roman" w:cs="Times New Roman"/>
          <w:sz w:val="24"/>
          <w:szCs w:val="24"/>
        </w:rPr>
        <w:t>minor</w:t>
      </w:r>
      <w:r w:rsidR="00D6030A" w:rsidRPr="001C6A11">
        <w:rPr>
          <w:rFonts w:ascii="Times New Roman" w:hAnsi="Times New Roman" w:cs="Times New Roman"/>
          <w:sz w:val="24"/>
          <w:szCs w:val="24"/>
        </w:rPr>
        <w:t xml:space="preserve"> amendments.</w:t>
      </w:r>
      <w:r w:rsidR="00694F59" w:rsidRPr="001C6A11">
        <w:rPr>
          <w:rFonts w:ascii="Times New Roman" w:hAnsi="Times New Roman" w:cs="Times New Roman"/>
          <w:i/>
          <w:sz w:val="24"/>
          <w:szCs w:val="24"/>
        </w:rPr>
        <w:t xml:space="preserve"> </w:t>
      </w:r>
    </w:p>
    <w:p w14:paraId="596AA5FE" w14:textId="1A0148E0" w:rsidR="001F6912" w:rsidRPr="001F6912" w:rsidRDefault="001F6912" w:rsidP="000E0F08">
      <w:pPr>
        <w:pStyle w:val="heading0"/>
        <w:shd w:val="clear" w:color="auto" w:fill="FFFFFF"/>
        <w:spacing w:before="0" w:beforeAutospacing="0" w:after="240" w:afterAutospacing="0"/>
        <w:jc w:val="both"/>
        <w:rPr>
          <w:rFonts w:eastAsiaTheme="minorHAnsi"/>
          <w:color w:val="000000"/>
          <w:lang w:eastAsia="en-US"/>
        </w:rPr>
      </w:pPr>
      <w:r>
        <w:t>LPS 310</w:t>
      </w:r>
      <w:r w:rsidR="00D6030A" w:rsidRPr="00A516E7">
        <w:t xml:space="preserve"> </w:t>
      </w:r>
      <w:r w:rsidRPr="00891CFE">
        <w:rPr>
          <w:rFonts w:eastAsiaTheme="minorHAnsi"/>
          <w:color w:val="000000"/>
          <w:lang w:eastAsia="en-US"/>
        </w:rPr>
        <w:t xml:space="preserve">sets out the roles and responsibilities of a life company’s Auditor, and the obligations of a life company to </w:t>
      </w:r>
      <w:proofErr w:type="gramStart"/>
      <w:r w:rsidRPr="00891CFE">
        <w:rPr>
          <w:rFonts w:eastAsiaTheme="minorHAnsi"/>
          <w:color w:val="000000"/>
          <w:lang w:eastAsia="en-US"/>
        </w:rPr>
        <w:t>make arrangements</w:t>
      </w:r>
      <w:proofErr w:type="gramEnd"/>
      <w:r w:rsidRPr="00891CFE">
        <w:rPr>
          <w:rFonts w:eastAsiaTheme="minorHAnsi"/>
          <w:color w:val="000000"/>
          <w:lang w:eastAsia="en-US"/>
        </w:rPr>
        <w:t xml:space="preserve"> to enable its Auditor to fulfil his or her responsibilities.</w:t>
      </w:r>
    </w:p>
    <w:p w14:paraId="10764354" w14:textId="77777777" w:rsidR="00272569" w:rsidRPr="00A516E7" w:rsidRDefault="00272569" w:rsidP="001E7361">
      <w:pPr>
        <w:numPr>
          <w:ilvl w:val="0"/>
          <w:numId w:val="0"/>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06405234" w:rsidR="00272569" w:rsidRPr="00A516E7" w:rsidRDefault="00272569" w:rsidP="001E7361">
      <w:pPr>
        <w:numPr>
          <w:ilvl w:val="0"/>
          <w:numId w:val="0"/>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w:t>
      </w:r>
      <w:r w:rsidR="0BE47A44" w:rsidRPr="01C0B8AA">
        <w:rPr>
          <w:rFonts w:ascii="Times New Roman" w:eastAsia="Times New Roman" w:hAnsi="Times New Roman" w:cs="Times New Roman"/>
          <w:sz w:val="24"/>
          <w:szCs w:val="24"/>
          <w:lang w:eastAsia="en-AU"/>
        </w:rPr>
        <w:t>l</w:t>
      </w:r>
      <w:r w:rsidR="2F131E28" w:rsidRPr="01C0B8AA">
        <w:rPr>
          <w:rFonts w:ascii="Times New Roman" w:eastAsia="Times New Roman" w:hAnsi="Times New Roman" w:cs="Times New Roman"/>
          <w:sz w:val="24"/>
          <w:szCs w:val="24"/>
          <w:lang w:eastAsia="en-AU"/>
        </w:rPr>
        <w:t xml:space="preserve">egislative </w:t>
      </w:r>
      <w:r w:rsidR="58A5DC8D" w:rsidRPr="01C0B8AA">
        <w:rPr>
          <w:rFonts w:ascii="Times New Roman" w:eastAsia="Times New Roman" w:hAnsi="Times New Roman" w:cs="Times New Roman"/>
          <w:sz w:val="24"/>
          <w:szCs w:val="24"/>
          <w:lang w:eastAsia="en-AU"/>
        </w:rPr>
        <w:t>i</w:t>
      </w:r>
      <w:r w:rsidRPr="00A516E7">
        <w:rPr>
          <w:rFonts w:ascii="Times New Roman" w:eastAsia="Times New Roman" w:hAnsi="Times New Roman" w:cs="Times New Roman"/>
          <w:iCs/>
          <w:sz w:val="24"/>
          <w:szCs w:val="24"/>
          <w:lang w:eastAsia="en-AU"/>
        </w:rPr>
        <w:t xml:space="preserve">nstrument and is of the view that it does not engage any of the applicable rights or freedoms recognised or declared in the international instruments listed in section 3 of the HRPS Act. Accordingly, in APRA's assessment, the </w:t>
      </w:r>
      <w:r w:rsidR="586599A4" w:rsidRPr="01C0B8AA">
        <w:rPr>
          <w:rFonts w:ascii="Times New Roman" w:eastAsia="Times New Roman" w:hAnsi="Times New Roman" w:cs="Times New Roman"/>
          <w:sz w:val="24"/>
          <w:szCs w:val="24"/>
          <w:lang w:eastAsia="en-AU"/>
        </w:rPr>
        <w:t>legislative i</w:t>
      </w:r>
      <w:r w:rsidRPr="00A516E7">
        <w:rPr>
          <w:rFonts w:ascii="Times New Roman" w:eastAsia="Times New Roman" w:hAnsi="Times New Roman" w:cs="Times New Roman"/>
          <w:iCs/>
          <w:sz w:val="24"/>
          <w:szCs w:val="24"/>
          <w:lang w:eastAsia="en-AU"/>
        </w:rPr>
        <w:t xml:space="preserve">nstrument is compatible with human rights. </w:t>
      </w:r>
    </w:p>
    <w:p w14:paraId="7097DEC4" w14:textId="77777777" w:rsidR="00272569" w:rsidRPr="00A516E7" w:rsidRDefault="00272569" w:rsidP="001E7361">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0F8D2CD9" w:rsidR="00272569" w:rsidRPr="00A516E7" w:rsidRDefault="00272569" w:rsidP="001E7361">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This </w:t>
      </w:r>
      <w:r w:rsidR="29D8117C" w:rsidRPr="01C0B8AA">
        <w:rPr>
          <w:rFonts w:ascii="Times New Roman" w:hAnsi="Times New Roman" w:cs="Times New Roman"/>
          <w:sz w:val="24"/>
          <w:szCs w:val="24"/>
        </w:rPr>
        <w:t>l</w:t>
      </w:r>
      <w:r w:rsidR="2F131E28" w:rsidRPr="01C0B8AA">
        <w:rPr>
          <w:rFonts w:ascii="Times New Roman" w:hAnsi="Times New Roman" w:cs="Times New Roman"/>
          <w:sz w:val="24"/>
          <w:szCs w:val="24"/>
        </w:rPr>
        <w:t xml:space="preserve">egislative </w:t>
      </w:r>
      <w:r w:rsidR="517B83AE" w:rsidRPr="01C0B8AA">
        <w:rPr>
          <w:rFonts w:ascii="Times New Roman" w:hAnsi="Times New Roman" w:cs="Times New Roman"/>
          <w:sz w:val="24"/>
          <w:szCs w:val="24"/>
        </w:rPr>
        <w:t>i</w:t>
      </w:r>
      <w:r w:rsidRPr="00A516E7">
        <w:rPr>
          <w:rFonts w:ascii="Times New Roman" w:hAnsi="Times New Roman" w:cs="Times New Roman"/>
          <w:sz w:val="24"/>
          <w:szCs w:val="24"/>
        </w:rPr>
        <w:t>nstrument is compatible with human rights as it does not raise any human rights issues.</w:t>
      </w:r>
    </w:p>
    <w:p w14:paraId="5DD40F35" w14:textId="77777777" w:rsidR="00A533A9" w:rsidRPr="00A34ADD" w:rsidRDefault="00A533A9" w:rsidP="001E7361">
      <w:pPr>
        <w:numPr>
          <w:ilvl w:val="0"/>
          <w:numId w:val="0"/>
        </w:numPr>
      </w:pPr>
    </w:p>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6ECE" w14:textId="77777777" w:rsidR="00272569" w:rsidRPr="000D4EDE" w:rsidRDefault="00272569" w:rsidP="000D4EDE">
      <w:r>
        <w:separator/>
      </w:r>
    </w:p>
  </w:endnote>
  <w:endnote w:type="continuationSeparator" w:id="0">
    <w:p w14:paraId="7727F7C0" w14:textId="77777777" w:rsidR="00272569" w:rsidRPr="000D4EDE" w:rsidRDefault="00272569" w:rsidP="000D4EDE">
      <w:r>
        <w:continuationSeparator/>
      </w:r>
    </w:p>
  </w:endnote>
  <w:endnote w:type="continuationNotice" w:id="1">
    <w:p w14:paraId="0269A438" w14:textId="77777777" w:rsidR="00A21314" w:rsidRDefault="00A21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6A51" w14:textId="77777777" w:rsidR="00272569" w:rsidRPr="000D4EDE" w:rsidRDefault="00272569" w:rsidP="000D4EDE">
      <w:r>
        <w:separator/>
      </w:r>
    </w:p>
  </w:footnote>
  <w:footnote w:type="continuationSeparator" w:id="0">
    <w:p w14:paraId="12C62BC6" w14:textId="77777777" w:rsidR="00272569" w:rsidRPr="000D4EDE" w:rsidRDefault="00272569" w:rsidP="000D4EDE">
      <w:r>
        <w:continuationSeparator/>
      </w:r>
    </w:p>
  </w:footnote>
  <w:footnote w:type="continuationNotice" w:id="1">
    <w:p w14:paraId="6572DC1F" w14:textId="77777777" w:rsidR="00A21314" w:rsidRDefault="00A21314">
      <w:pPr>
        <w:spacing w:after="0"/>
      </w:pPr>
    </w:p>
  </w:footnote>
  <w:footnote w:id="2">
    <w:p w14:paraId="0884128F" w14:textId="0CF72278" w:rsidR="01C0B8AA" w:rsidRDefault="01C0B8AA" w:rsidP="00F126F8">
      <w:pPr>
        <w:numPr>
          <w:ilvl w:val="0"/>
          <w:numId w:val="0"/>
        </w:numPr>
        <w:rPr>
          <w:rFonts w:ascii="Times New Roman" w:eastAsia="Times New Roman" w:hAnsi="Times New Roman" w:cs="Times New Roman"/>
          <w:sz w:val="24"/>
          <w:szCs w:val="24"/>
        </w:rPr>
      </w:pPr>
      <w:r w:rsidRPr="01C0B8AA">
        <w:rPr>
          <w:rStyle w:val="FootnoteReference"/>
        </w:rPr>
        <w:footnoteRef/>
      </w:r>
      <w:r>
        <w:t xml:space="preserve"> </w:t>
      </w:r>
      <w:r w:rsidRPr="01C0B8AA">
        <w:rPr>
          <w:rFonts w:ascii="Times New Roman" w:eastAsia="Times New Roman" w:hAnsi="Times New Roman" w:cs="Times New Roman"/>
          <w:sz w:val="24"/>
          <w:szCs w:val="24"/>
        </w:rPr>
        <w:t>The Act specifically provides that APRA does not need to consult where APRA is satisfied that doing so could result in a delay in revocation that would be contrary to the public interest (subsection 26(5)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E813DA3"/>
    <w:multiLevelType w:val="hybridMultilevel"/>
    <w:tmpl w:val="9A44BD9E"/>
    <w:lvl w:ilvl="0" w:tplc="0C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DD3019F"/>
    <w:multiLevelType w:val="hybridMultilevel"/>
    <w:tmpl w:val="9998EA0E"/>
    <w:lvl w:ilvl="0" w:tplc="6E86A16A">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B160516"/>
    <w:multiLevelType w:val="hybridMultilevel"/>
    <w:tmpl w:val="03F89D5A"/>
    <w:lvl w:ilvl="0" w:tplc="EB2E02D0">
      <w:start w:val="1"/>
      <w:numFmt w:val="decimal"/>
      <w:lvlText w:val="%1."/>
      <w:lvlJc w:val="left"/>
      <w:pPr>
        <w:ind w:left="720" w:hanging="360"/>
      </w:pPr>
    </w:lvl>
    <w:lvl w:ilvl="1" w:tplc="22209838">
      <w:start w:val="1"/>
      <w:numFmt w:val="lowerLetter"/>
      <w:lvlText w:val="%2."/>
      <w:lvlJc w:val="left"/>
      <w:pPr>
        <w:ind w:left="1440" w:hanging="360"/>
      </w:pPr>
    </w:lvl>
    <w:lvl w:ilvl="2" w:tplc="3A4E4A1C">
      <w:start w:val="1"/>
      <w:numFmt w:val="lowerRoman"/>
      <w:lvlText w:val="%3."/>
      <w:lvlJc w:val="right"/>
      <w:pPr>
        <w:ind w:left="2160" w:hanging="180"/>
      </w:pPr>
    </w:lvl>
    <w:lvl w:ilvl="3" w:tplc="93A6B968">
      <w:start w:val="1"/>
      <w:numFmt w:val="decimal"/>
      <w:lvlText w:val="%4."/>
      <w:lvlJc w:val="left"/>
      <w:pPr>
        <w:ind w:left="2880" w:hanging="360"/>
      </w:pPr>
    </w:lvl>
    <w:lvl w:ilvl="4" w:tplc="5E18414E">
      <w:start w:val="1"/>
      <w:numFmt w:val="lowerLetter"/>
      <w:lvlText w:val="%5."/>
      <w:lvlJc w:val="left"/>
      <w:pPr>
        <w:ind w:left="3600" w:hanging="360"/>
      </w:pPr>
    </w:lvl>
    <w:lvl w:ilvl="5" w:tplc="99D89BD8">
      <w:start w:val="1"/>
      <w:numFmt w:val="lowerRoman"/>
      <w:lvlText w:val="%6."/>
      <w:lvlJc w:val="right"/>
      <w:pPr>
        <w:ind w:left="4320" w:hanging="180"/>
      </w:pPr>
    </w:lvl>
    <w:lvl w:ilvl="6" w:tplc="27AA06C8">
      <w:start w:val="1"/>
      <w:numFmt w:val="decimal"/>
      <w:lvlText w:val="%7."/>
      <w:lvlJc w:val="left"/>
      <w:pPr>
        <w:ind w:left="5040" w:hanging="360"/>
      </w:pPr>
    </w:lvl>
    <w:lvl w:ilvl="7" w:tplc="8AC089D4">
      <w:start w:val="1"/>
      <w:numFmt w:val="lowerLetter"/>
      <w:lvlText w:val="%8."/>
      <w:lvlJc w:val="left"/>
      <w:pPr>
        <w:ind w:left="5760" w:hanging="360"/>
      </w:pPr>
    </w:lvl>
    <w:lvl w:ilvl="8" w:tplc="F99A2F50">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C4D12A4"/>
    <w:multiLevelType w:val="hybridMultilevel"/>
    <w:tmpl w:val="DE005B4A"/>
    <w:lvl w:ilvl="0" w:tplc="9106F69C">
      <w:start w:val="1"/>
      <w:numFmt w:val="decimal"/>
      <w:lvlText w:val="%1."/>
      <w:lvlJc w:val="left"/>
      <w:pPr>
        <w:ind w:left="720" w:hanging="360"/>
      </w:pPr>
    </w:lvl>
    <w:lvl w:ilvl="1" w:tplc="5956CE4A">
      <w:start w:val="1"/>
      <w:numFmt w:val="lowerLetter"/>
      <w:lvlText w:val="%2."/>
      <w:lvlJc w:val="left"/>
      <w:pPr>
        <w:ind w:left="1440" w:hanging="360"/>
      </w:pPr>
    </w:lvl>
    <w:lvl w:ilvl="2" w:tplc="A4DC348A">
      <w:start w:val="1"/>
      <w:numFmt w:val="lowerRoman"/>
      <w:lvlText w:val="%3."/>
      <w:lvlJc w:val="right"/>
      <w:pPr>
        <w:ind w:left="2160" w:hanging="180"/>
      </w:pPr>
    </w:lvl>
    <w:lvl w:ilvl="3" w:tplc="EBF25922">
      <w:start w:val="1"/>
      <w:numFmt w:val="decimal"/>
      <w:lvlText w:val="%4."/>
      <w:lvlJc w:val="left"/>
      <w:pPr>
        <w:ind w:left="2880" w:hanging="360"/>
      </w:pPr>
    </w:lvl>
    <w:lvl w:ilvl="4" w:tplc="0992A674">
      <w:start w:val="1"/>
      <w:numFmt w:val="lowerLetter"/>
      <w:lvlText w:val="%5."/>
      <w:lvlJc w:val="left"/>
      <w:pPr>
        <w:ind w:left="3600" w:hanging="360"/>
      </w:pPr>
    </w:lvl>
    <w:lvl w:ilvl="5" w:tplc="42C887C8">
      <w:start w:val="1"/>
      <w:numFmt w:val="lowerRoman"/>
      <w:lvlText w:val="%6."/>
      <w:lvlJc w:val="right"/>
      <w:pPr>
        <w:ind w:left="4320" w:hanging="180"/>
      </w:pPr>
    </w:lvl>
    <w:lvl w:ilvl="6" w:tplc="64C65B8E">
      <w:start w:val="1"/>
      <w:numFmt w:val="decimal"/>
      <w:lvlText w:val="%7."/>
      <w:lvlJc w:val="left"/>
      <w:pPr>
        <w:ind w:left="5040" w:hanging="360"/>
      </w:pPr>
    </w:lvl>
    <w:lvl w:ilvl="7" w:tplc="C180E8B8">
      <w:start w:val="1"/>
      <w:numFmt w:val="lowerLetter"/>
      <w:lvlText w:val="%8."/>
      <w:lvlJc w:val="left"/>
      <w:pPr>
        <w:ind w:left="5760" w:hanging="360"/>
      </w:pPr>
    </w:lvl>
    <w:lvl w:ilvl="8" w:tplc="88FCB7F8">
      <w:start w:val="1"/>
      <w:numFmt w:val="lowerRoman"/>
      <w:lvlText w:val="%9."/>
      <w:lvlJc w:val="right"/>
      <w:pPr>
        <w:ind w:left="6480" w:hanging="180"/>
      </w:pPr>
    </w:lvl>
  </w:abstractNum>
  <w:abstractNum w:abstractNumId="22"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8957249">
    <w:abstractNumId w:val="1"/>
  </w:num>
  <w:num w:numId="2" w16cid:durableId="1441536378">
    <w:abstractNumId w:val="0"/>
  </w:num>
  <w:num w:numId="3" w16cid:durableId="611211567">
    <w:abstractNumId w:val="4"/>
  </w:num>
  <w:num w:numId="4" w16cid:durableId="677731202">
    <w:abstractNumId w:val="19"/>
  </w:num>
  <w:num w:numId="5" w16cid:durableId="529803188">
    <w:abstractNumId w:val="20"/>
  </w:num>
  <w:num w:numId="6" w16cid:durableId="1084692522">
    <w:abstractNumId w:val="15"/>
  </w:num>
  <w:num w:numId="7" w16cid:durableId="721709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11"/>
  </w:num>
  <w:num w:numId="9" w16cid:durableId="1564442098">
    <w:abstractNumId w:val="2"/>
  </w:num>
  <w:num w:numId="10" w16cid:durableId="1381827123">
    <w:abstractNumId w:val="5"/>
  </w:num>
  <w:num w:numId="11" w16cid:durableId="1375690552">
    <w:abstractNumId w:val="3"/>
  </w:num>
  <w:num w:numId="12" w16cid:durableId="1761372901">
    <w:abstractNumId w:val="20"/>
  </w:num>
  <w:num w:numId="13" w16cid:durableId="1805200088">
    <w:abstractNumId w:val="12"/>
  </w:num>
  <w:num w:numId="14" w16cid:durableId="1467428109">
    <w:abstractNumId w:val="6"/>
  </w:num>
  <w:num w:numId="15" w16cid:durableId="106462308">
    <w:abstractNumId w:val="18"/>
  </w:num>
  <w:num w:numId="16" w16cid:durableId="1088767594">
    <w:abstractNumId w:val="7"/>
  </w:num>
  <w:num w:numId="17" w16cid:durableId="383991480">
    <w:abstractNumId w:val="13"/>
  </w:num>
  <w:num w:numId="18" w16cid:durableId="1206599">
    <w:abstractNumId w:val="8"/>
  </w:num>
  <w:num w:numId="19" w16cid:durableId="66651368">
    <w:abstractNumId w:val="9"/>
  </w:num>
  <w:num w:numId="20" w16cid:durableId="177938436">
    <w:abstractNumId w:val="22"/>
  </w:num>
  <w:num w:numId="21" w16cid:durableId="1958561428">
    <w:abstractNumId w:val="16"/>
  </w:num>
  <w:num w:numId="22" w16cid:durableId="1252274573">
    <w:abstractNumId w:val="17"/>
  </w:num>
  <w:num w:numId="23" w16cid:durableId="647593016">
    <w:abstractNumId w:val="21"/>
  </w:num>
  <w:num w:numId="24" w16cid:durableId="1600870766">
    <w:abstractNumId w:val="10"/>
  </w:num>
  <w:num w:numId="25" w16cid:durableId="133530576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27D8F"/>
    <w:rsid w:val="00034A19"/>
    <w:rsid w:val="00036F9E"/>
    <w:rsid w:val="000413B3"/>
    <w:rsid w:val="00041A91"/>
    <w:rsid w:val="000453D9"/>
    <w:rsid w:val="000558D0"/>
    <w:rsid w:val="000573E5"/>
    <w:rsid w:val="00057B71"/>
    <w:rsid w:val="00062A2C"/>
    <w:rsid w:val="0007202C"/>
    <w:rsid w:val="00072B30"/>
    <w:rsid w:val="0007319C"/>
    <w:rsid w:val="000732AA"/>
    <w:rsid w:val="000748DE"/>
    <w:rsid w:val="000767DD"/>
    <w:rsid w:val="0008011A"/>
    <w:rsid w:val="00084F8B"/>
    <w:rsid w:val="000851D0"/>
    <w:rsid w:val="00085F6C"/>
    <w:rsid w:val="00086D07"/>
    <w:rsid w:val="00086F71"/>
    <w:rsid w:val="00093915"/>
    <w:rsid w:val="000949AD"/>
    <w:rsid w:val="00095109"/>
    <w:rsid w:val="000955B1"/>
    <w:rsid w:val="00096B0F"/>
    <w:rsid w:val="000A3C69"/>
    <w:rsid w:val="000A490E"/>
    <w:rsid w:val="000B04C5"/>
    <w:rsid w:val="000B63CA"/>
    <w:rsid w:val="000B752A"/>
    <w:rsid w:val="000C0DF8"/>
    <w:rsid w:val="000C14D9"/>
    <w:rsid w:val="000C15C7"/>
    <w:rsid w:val="000C4197"/>
    <w:rsid w:val="000D388A"/>
    <w:rsid w:val="000D4EDE"/>
    <w:rsid w:val="000D5F47"/>
    <w:rsid w:val="000E0F08"/>
    <w:rsid w:val="000E2460"/>
    <w:rsid w:val="000E43AC"/>
    <w:rsid w:val="000E6E37"/>
    <w:rsid w:val="000F0E6F"/>
    <w:rsid w:val="001018A5"/>
    <w:rsid w:val="00106F56"/>
    <w:rsid w:val="00111B90"/>
    <w:rsid w:val="00115A39"/>
    <w:rsid w:val="00117479"/>
    <w:rsid w:val="00123576"/>
    <w:rsid w:val="001241CB"/>
    <w:rsid w:val="00124B21"/>
    <w:rsid w:val="001327B8"/>
    <w:rsid w:val="0013471B"/>
    <w:rsid w:val="001352D4"/>
    <w:rsid w:val="0014033B"/>
    <w:rsid w:val="0015002F"/>
    <w:rsid w:val="00155789"/>
    <w:rsid w:val="00157C98"/>
    <w:rsid w:val="001653B6"/>
    <w:rsid w:val="00165BF6"/>
    <w:rsid w:val="00174B0F"/>
    <w:rsid w:val="0018235E"/>
    <w:rsid w:val="001823E2"/>
    <w:rsid w:val="0018389C"/>
    <w:rsid w:val="00184187"/>
    <w:rsid w:val="00192213"/>
    <w:rsid w:val="001A4EA4"/>
    <w:rsid w:val="001A664F"/>
    <w:rsid w:val="001B2DB7"/>
    <w:rsid w:val="001B3A9F"/>
    <w:rsid w:val="001C6A11"/>
    <w:rsid w:val="001D0C02"/>
    <w:rsid w:val="001D3D43"/>
    <w:rsid w:val="001E0F51"/>
    <w:rsid w:val="001E4181"/>
    <w:rsid w:val="001E55BF"/>
    <w:rsid w:val="001E7361"/>
    <w:rsid w:val="001F6912"/>
    <w:rsid w:val="001F6E1A"/>
    <w:rsid w:val="001F780A"/>
    <w:rsid w:val="001F7917"/>
    <w:rsid w:val="00200613"/>
    <w:rsid w:val="00210208"/>
    <w:rsid w:val="002123E8"/>
    <w:rsid w:val="002124BB"/>
    <w:rsid w:val="00212582"/>
    <w:rsid w:val="00213A67"/>
    <w:rsid w:val="00214883"/>
    <w:rsid w:val="002156F6"/>
    <w:rsid w:val="00220550"/>
    <w:rsid w:val="002301A2"/>
    <w:rsid w:val="00231A01"/>
    <w:rsid w:val="00236C2D"/>
    <w:rsid w:val="002374B7"/>
    <w:rsid w:val="00240126"/>
    <w:rsid w:val="00241D16"/>
    <w:rsid w:val="00242384"/>
    <w:rsid w:val="0024304D"/>
    <w:rsid w:val="00244826"/>
    <w:rsid w:val="0024616A"/>
    <w:rsid w:val="00247ACA"/>
    <w:rsid w:val="00251E68"/>
    <w:rsid w:val="00252E6A"/>
    <w:rsid w:val="00254193"/>
    <w:rsid w:val="00255A20"/>
    <w:rsid w:val="0025782A"/>
    <w:rsid w:val="00263414"/>
    <w:rsid w:val="002661A6"/>
    <w:rsid w:val="00266C23"/>
    <w:rsid w:val="00272569"/>
    <w:rsid w:val="00274A9C"/>
    <w:rsid w:val="00277D6C"/>
    <w:rsid w:val="002836E1"/>
    <w:rsid w:val="00286EAD"/>
    <w:rsid w:val="0029166C"/>
    <w:rsid w:val="00292A60"/>
    <w:rsid w:val="0029389B"/>
    <w:rsid w:val="002A1894"/>
    <w:rsid w:val="002A19F4"/>
    <w:rsid w:val="002A2188"/>
    <w:rsid w:val="002A36F2"/>
    <w:rsid w:val="002A7D14"/>
    <w:rsid w:val="002B0913"/>
    <w:rsid w:val="002B28E4"/>
    <w:rsid w:val="002B48D9"/>
    <w:rsid w:val="002B7504"/>
    <w:rsid w:val="002C0D97"/>
    <w:rsid w:val="002C5053"/>
    <w:rsid w:val="002C66D1"/>
    <w:rsid w:val="002C7065"/>
    <w:rsid w:val="002C7F4A"/>
    <w:rsid w:val="002D2804"/>
    <w:rsid w:val="002D4B6C"/>
    <w:rsid w:val="002D5274"/>
    <w:rsid w:val="002E1EE3"/>
    <w:rsid w:val="002F0135"/>
    <w:rsid w:val="002F0C2C"/>
    <w:rsid w:val="002F0F7C"/>
    <w:rsid w:val="002F2798"/>
    <w:rsid w:val="002F7D67"/>
    <w:rsid w:val="00300655"/>
    <w:rsid w:val="00303D18"/>
    <w:rsid w:val="00307ADD"/>
    <w:rsid w:val="00307E55"/>
    <w:rsid w:val="00311C5D"/>
    <w:rsid w:val="00312A66"/>
    <w:rsid w:val="003130CA"/>
    <w:rsid w:val="0032180D"/>
    <w:rsid w:val="00324A05"/>
    <w:rsid w:val="003306A5"/>
    <w:rsid w:val="00350341"/>
    <w:rsid w:val="00355D40"/>
    <w:rsid w:val="00371AAC"/>
    <w:rsid w:val="00371F54"/>
    <w:rsid w:val="0037233F"/>
    <w:rsid w:val="0037770C"/>
    <w:rsid w:val="00377C8B"/>
    <w:rsid w:val="00383A95"/>
    <w:rsid w:val="00385CA0"/>
    <w:rsid w:val="00386018"/>
    <w:rsid w:val="00392928"/>
    <w:rsid w:val="003A2733"/>
    <w:rsid w:val="003A3021"/>
    <w:rsid w:val="003A627E"/>
    <w:rsid w:val="003A79EE"/>
    <w:rsid w:val="003B6E16"/>
    <w:rsid w:val="003C180A"/>
    <w:rsid w:val="003C1E25"/>
    <w:rsid w:val="003D27CB"/>
    <w:rsid w:val="003D329D"/>
    <w:rsid w:val="003E6BF6"/>
    <w:rsid w:val="003F0F0D"/>
    <w:rsid w:val="003F7CCF"/>
    <w:rsid w:val="0040173E"/>
    <w:rsid w:val="00424CB8"/>
    <w:rsid w:val="00435339"/>
    <w:rsid w:val="004410DC"/>
    <w:rsid w:val="0044292A"/>
    <w:rsid w:val="0044447D"/>
    <w:rsid w:val="00450C67"/>
    <w:rsid w:val="00460CF7"/>
    <w:rsid w:val="004623B6"/>
    <w:rsid w:val="00463FA8"/>
    <w:rsid w:val="00466648"/>
    <w:rsid w:val="00472CBC"/>
    <w:rsid w:val="004765B3"/>
    <w:rsid w:val="004843CA"/>
    <w:rsid w:val="00493DAA"/>
    <w:rsid w:val="00494335"/>
    <w:rsid w:val="00495A4C"/>
    <w:rsid w:val="004967A1"/>
    <w:rsid w:val="004B3BA2"/>
    <w:rsid w:val="004B584E"/>
    <w:rsid w:val="004C1106"/>
    <w:rsid w:val="004C2A20"/>
    <w:rsid w:val="004C6D4B"/>
    <w:rsid w:val="004C766B"/>
    <w:rsid w:val="004D33E3"/>
    <w:rsid w:val="004D69F4"/>
    <w:rsid w:val="004D76C1"/>
    <w:rsid w:val="004D7C22"/>
    <w:rsid w:val="004E2269"/>
    <w:rsid w:val="004E3938"/>
    <w:rsid w:val="004E451A"/>
    <w:rsid w:val="004F3339"/>
    <w:rsid w:val="004F4400"/>
    <w:rsid w:val="004F72A2"/>
    <w:rsid w:val="004F78E5"/>
    <w:rsid w:val="005026D4"/>
    <w:rsid w:val="00503A51"/>
    <w:rsid w:val="00506774"/>
    <w:rsid w:val="00512309"/>
    <w:rsid w:val="0051639C"/>
    <w:rsid w:val="00525D99"/>
    <w:rsid w:val="00541D54"/>
    <w:rsid w:val="00542522"/>
    <w:rsid w:val="0054526E"/>
    <w:rsid w:val="00545CE1"/>
    <w:rsid w:val="005476B5"/>
    <w:rsid w:val="00553F65"/>
    <w:rsid w:val="005549D7"/>
    <w:rsid w:val="005602DA"/>
    <w:rsid w:val="00560B48"/>
    <w:rsid w:val="00562087"/>
    <w:rsid w:val="005678FC"/>
    <w:rsid w:val="0057138A"/>
    <w:rsid w:val="00573327"/>
    <w:rsid w:val="00573D88"/>
    <w:rsid w:val="00585CC4"/>
    <w:rsid w:val="00592F64"/>
    <w:rsid w:val="005A3F63"/>
    <w:rsid w:val="005A404F"/>
    <w:rsid w:val="005A59D0"/>
    <w:rsid w:val="005B073E"/>
    <w:rsid w:val="005B227F"/>
    <w:rsid w:val="005B7801"/>
    <w:rsid w:val="005C205B"/>
    <w:rsid w:val="005C5891"/>
    <w:rsid w:val="005D04CC"/>
    <w:rsid w:val="005D5FAE"/>
    <w:rsid w:val="005E4BC9"/>
    <w:rsid w:val="005E748D"/>
    <w:rsid w:val="005F29B7"/>
    <w:rsid w:val="005F34EC"/>
    <w:rsid w:val="0060508C"/>
    <w:rsid w:val="00606EB5"/>
    <w:rsid w:val="00606FC8"/>
    <w:rsid w:val="00610067"/>
    <w:rsid w:val="00611D55"/>
    <w:rsid w:val="006120D3"/>
    <w:rsid w:val="00616C90"/>
    <w:rsid w:val="00617FDA"/>
    <w:rsid w:val="006208E8"/>
    <w:rsid w:val="0062116F"/>
    <w:rsid w:val="00623FD7"/>
    <w:rsid w:val="00626087"/>
    <w:rsid w:val="00634E4C"/>
    <w:rsid w:val="00636B8B"/>
    <w:rsid w:val="00641177"/>
    <w:rsid w:val="00641EAA"/>
    <w:rsid w:val="006427FE"/>
    <w:rsid w:val="006506C1"/>
    <w:rsid w:val="00657459"/>
    <w:rsid w:val="0065747A"/>
    <w:rsid w:val="00657E93"/>
    <w:rsid w:val="00662E28"/>
    <w:rsid w:val="0066674D"/>
    <w:rsid w:val="00666A78"/>
    <w:rsid w:val="00673600"/>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0EEE"/>
    <w:rsid w:val="006F145A"/>
    <w:rsid w:val="006F16A8"/>
    <w:rsid w:val="006F1B22"/>
    <w:rsid w:val="006F27CB"/>
    <w:rsid w:val="006F359B"/>
    <w:rsid w:val="006F5865"/>
    <w:rsid w:val="00701EC6"/>
    <w:rsid w:val="00706179"/>
    <w:rsid w:val="00714F78"/>
    <w:rsid w:val="007152B0"/>
    <w:rsid w:val="007170F7"/>
    <w:rsid w:val="00717589"/>
    <w:rsid w:val="00722F9F"/>
    <w:rsid w:val="007253B8"/>
    <w:rsid w:val="00736E7D"/>
    <w:rsid w:val="007504BD"/>
    <w:rsid w:val="007509A6"/>
    <w:rsid w:val="00753F83"/>
    <w:rsid w:val="007541B0"/>
    <w:rsid w:val="0075469B"/>
    <w:rsid w:val="007549C3"/>
    <w:rsid w:val="00755163"/>
    <w:rsid w:val="00756AAB"/>
    <w:rsid w:val="00757F63"/>
    <w:rsid w:val="007645AE"/>
    <w:rsid w:val="00764992"/>
    <w:rsid w:val="00765749"/>
    <w:rsid w:val="00775AA0"/>
    <w:rsid w:val="007770FA"/>
    <w:rsid w:val="00791738"/>
    <w:rsid w:val="00791780"/>
    <w:rsid w:val="00792D37"/>
    <w:rsid w:val="007A0E83"/>
    <w:rsid w:val="007A0EB7"/>
    <w:rsid w:val="007A636F"/>
    <w:rsid w:val="007B6871"/>
    <w:rsid w:val="007B7899"/>
    <w:rsid w:val="007C08B1"/>
    <w:rsid w:val="007C20F5"/>
    <w:rsid w:val="007C2CC2"/>
    <w:rsid w:val="007C38BD"/>
    <w:rsid w:val="007C79AA"/>
    <w:rsid w:val="007D31DA"/>
    <w:rsid w:val="007D72C5"/>
    <w:rsid w:val="007E1B41"/>
    <w:rsid w:val="007E525D"/>
    <w:rsid w:val="007F0323"/>
    <w:rsid w:val="007F379E"/>
    <w:rsid w:val="007F471C"/>
    <w:rsid w:val="00800C90"/>
    <w:rsid w:val="00811D18"/>
    <w:rsid w:val="008125F8"/>
    <w:rsid w:val="008208A8"/>
    <w:rsid w:val="00826012"/>
    <w:rsid w:val="00826C1B"/>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1CFE"/>
    <w:rsid w:val="008947BF"/>
    <w:rsid w:val="008A0CBE"/>
    <w:rsid w:val="008A1CA8"/>
    <w:rsid w:val="008A214D"/>
    <w:rsid w:val="008A63B1"/>
    <w:rsid w:val="008A72D2"/>
    <w:rsid w:val="008A74A3"/>
    <w:rsid w:val="008B6868"/>
    <w:rsid w:val="008B6D24"/>
    <w:rsid w:val="008C21F0"/>
    <w:rsid w:val="008C34F7"/>
    <w:rsid w:val="008C6A43"/>
    <w:rsid w:val="008D080C"/>
    <w:rsid w:val="008D1867"/>
    <w:rsid w:val="008D2E4D"/>
    <w:rsid w:val="008D6437"/>
    <w:rsid w:val="008D6EDF"/>
    <w:rsid w:val="008E3EF5"/>
    <w:rsid w:val="008E7F1D"/>
    <w:rsid w:val="008F33B5"/>
    <w:rsid w:val="00901414"/>
    <w:rsid w:val="00906799"/>
    <w:rsid w:val="009074DD"/>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4F4"/>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4CF6"/>
    <w:rsid w:val="009E529F"/>
    <w:rsid w:val="009F221F"/>
    <w:rsid w:val="009F3CF2"/>
    <w:rsid w:val="00A01A7E"/>
    <w:rsid w:val="00A10DA6"/>
    <w:rsid w:val="00A151E9"/>
    <w:rsid w:val="00A15DBB"/>
    <w:rsid w:val="00A21314"/>
    <w:rsid w:val="00A259F2"/>
    <w:rsid w:val="00A2758A"/>
    <w:rsid w:val="00A33802"/>
    <w:rsid w:val="00A34ADD"/>
    <w:rsid w:val="00A37162"/>
    <w:rsid w:val="00A37E51"/>
    <w:rsid w:val="00A516E7"/>
    <w:rsid w:val="00A51E2D"/>
    <w:rsid w:val="00A5319F"/>
    <w:rsid w:val="00A533A9"/>
    <w:rsid w:val="00A53690"/>
    <w:rsid w:val="00A62D31"/>
    <w:rsid w:val="00A63380"/>
    <w:rsid w:val="00A65C77"/>
    <w:rsid w:val="00A8129D"/>
    <w:rsid w:val="00A82188"/>
    <w:rsid w:val="00A865C7"/>
    <w:rsid w:val="00A909CC"/>
    <w:rsid w:val="00A91EA9"/>
    <w:rsid w:val="00A94D77"/>
    <w:rsid w:val="00A964A5"/>
    <w:rsid w:val="00A97E3B"/>
    <w:rsid w:val="00AA00CB"/>
    <w:rsid w:val="00AA20A1"/>
    <w:rsid w:val="00AA3524"/>
    <w:rsid w:val="00AA41F2"/>
    <w:rsid w:val="00AB039E"/>
    <w:rsid w:val="00AB4206"/>
    <w:rsid w:val="00AB4372"/>
    <w:rsid w:val="00AC67D3"/>
    <w:rsid w:val="00AC7E54"/>
    <w:rsid w:val="00AD3961"/>
    <w:rsid w:val="00AE6A4E"/>
    <w:rsid w:val="00AE7B98"/>
    <w:rsid w:val="00AF129F"/>
    <w:rsid w:val="00B12DC9"/>
    <w:rsid w:val="00B13F84"/>
    <w:rsid w:val="00B14604"/>
    <w:rsid w:val="00B15ABA"/>
    <w:rsid w:val="00B20FA0"/>
    <w:rsid w:val="00B24DD4"/>
    <w:rsid w:val="00B3001E"/>
    <w:rsid w:val="00B34339"/>
    <w:rsid w:val="00B40B7D"/>
    <w:rsid w:val="00B42B2F"/>
    <w:rsid w:val="00B44900"/>
    <w:rsid w:val="00B467F6"/>
    <w:rsid w:val="00B472E1"/>
    <w:rsid w:val="00B52821"/>
    <w:rsid w:val="00B56C63"/>
    <w:rsid w:val="00B65B27"/>
    <w:rsid w:val="00B664C7"/>
    <w:rsid w:val="00B71170"/>
    <w:rsid w:val="00B80BCE"/>
    <w:rsid w:val="00B81524"/>
    <w:rsid w:val="00B81740"/>
    <w:rsid w:val="00B83542"/>
    <w:rsid w:val="00B83E32"/>
    <w:rsid w:val="00B85D7B"/>
    <w:rsid w:val="00B900EA"/>
    <w:rsid w:val="00B91069"/>
    <w:rsid w:val="00B92842"/>
    <w:rsid w:val="00BA1128"/>
    <w:rsid w:val="00BA2713"/>
    <w:rsid w:val="00BA2941"/>
    <w:rsid w:val="00BA4C61"/>
    <w:rsid w:val="00BA627A"/>
    <w:rsid w:val="00BA760F"/>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4443E"/>
    <w:rsid w:val="00C52B08"/>
    <w:rsid w:val="00C5EB1E"/>
    <w:rsid w:val="00C62BF5"/>
    <w:rsid w:val="00C635AD"/>
    <w:rsid w:val="00C636DA"/>
    <w:rsid w:val="00C67E22"/>
    <w:rsid w:val="00C72271"/>
    <w:rsid w:val="00C72A17"/>
    <w:rsid w:val="00C75539"/>
    <w:rsid w:val="00C81356"/>
    <w:rsid w:val="00C813CD"/>
    <w:rsid w:val="00C858D9"/>
    <w:rsid w:val="00C87DA0"/>
    <w:rsid w:val="00CA4E4D"/>
    <w:rsid w:val="00CA6F31"/>
    <w:rsid w:val="00CA6FF9"/>
    <w:rsid w:val="00CB4238"/>
    <w:rsid w:val="00CB5938"/>
    <w:rsid w:val="00CB5B27"/>
    <w:rsid w:val="00CC13F5"/>
    <w:rsid w:val="00CC1A64"/>
    <w:rsid w:val="00CC3495"/>
    <w:rsid w:val="00CC34EB"/>
    <w:rsid w:val="00CC66EA"/>
    <w:rsid w:val="00CD3C17"/>
    <w:rsid w:val="00CE1F9C"/>
    <w:rsid w:val="00CE2E48"/>
    <w:rsid w:val="00CE3C4A"/>
    <w:rsid w:val="00CF0184"/>
    <w:rsid w:val="00CF1346"/>
    <w:rsid w:val="00CF55F6"/>
    <w:rsid w:val="00CF59E0"/>
    <w:rsid w:val="00CF6672"/>
    <w:rsid w:val="00D021F7"/>
    <w:rsid w:val="00D02B31"/>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665A4"/>
    <w:rsid w:val="00D720AE"/>
    <w:rsid w:val="00D72FD8"/>
    <w:rsid w:val="00D83084"/>
    <w:rsid w:val="00D833FB"/>
    <w:rsid w:val="00D92A45"/>
    <w:rsid w:val="00D934DE"/>
    <w:rsid w:val="00D9697A"/>
    <w:rsid w:val="00DA07A4"/>
    <w:rsid w:val="00DA3023"/>
    <w:rsid w:val="00DA4C48"/>
    <w:rsid w:val="00DA727D"/>
    <w:rsid w:val="00DB53A7"/>
    <w:rsid w:val="00DD170F"/>
    <w:rsid w:val="00DD24F8"/>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42EBA"/>
    <w:rsid w:val="00E44889"/>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26F8"/>
    <w:rsid w:val="00F15632"/>
    <w:rsid w:val="00F17535"/>
    <w:rsid w:val="00F20949"/>
    <w:rsid w:val="00F24F8F"/>
    <w:rsid w:val="00F303B2"/>
    <w:rsid w:val="00F307E0"/>
    <w:rsid w:val="00F34D63"/>
    <w:rsid w:val="00F44326"/>
    <w:rsid w:val="00F57F7A"/>
    <w:rsid w:val="00F62D33"/>
    <w:rsid w:val="00F64AB3"/>
    <w:rsid w:val="00F6570B"/>
    <w:rsid w:val="00F67615"/>
    <w:rsid w:val="00F76C98"/>
    <w:rsid w:val="00F804CD"/>
    <w:rsid w:val="00F80750"/>
    <w:rsid w:val="00F80E70"/>
    <w:rsid w:val="00F85F59"/>
    <w:rsid w:val="00F86538"/>
    <w:rsid w:val="00F86717"/>
    <w:rsid w:val="00F86DD4"/>
    <w:rsid w:val="00F97C7A"/>
    <w:rsid w:val="00FA03E3"/>
    <w:rsid w:val="00FA2909"/>
    <w:rsid w:val="00FA3778"/>
    <w:rsid w:val="00FA3CEC"/>
    <w:rsid w:val="00FB3EC9"/>
    <w:rsid w:val="00FB4CF2"/>
    <w:rsid w:val="00FC4845"/>
    <w:rsid w:val="00FC4E24"/>
    <w:rsid w:val="00FC6B03"/>
    <w:rsid w:val="00FD06D5"/>
    <w:rsid w:val="00FD28FF"/>
    <w:rsid w:val="00FD68A1"/>
    <w:rsid w:val="00FE419E"/>
    <w:rsid w:val="00FF2484"/>
    <w:rsid w:val="00FF4201"/>
    <w:rsid w:val="01C0B8AA"/>
    <w:rsid w:val="0417AE96"/>
    <w:rsid w:val="05F81BD7"/>
    <w:rsid w:val="08F99809"/>
    <w:rsid w:val="0916943C"/>
    <w:rsid w:val="093617D0"/>
    <w:rsid w:val="0AB2649D"/>
    <w:rsid w:val="0BC4849C"/>
    <w:rsid w:val="0BE47A44"/>
    <w:rsid w:val="0C4E34FE"/>
    <w:rsid w:val="0C675D5B"/>
    <w:rsid w:val="0D48D8CE"/>
    <w:rsid w:val="0E75AC5D"/>
    <w:rsid w:val="0F7C1B8B"/>
    <w:rsid w:val="10CE5B81"/>
    <w:rsid w:val="10D3891F"/>
    <w:rsid w:val="13105F7A"/>
    <w:rsid w:val="15CBDF46"/>
    <w:rsid w:val="179270A4"/>
    <w:rsid w:val="17CF8118"/>
    <w:rsid w:val="1951ECE2"/>
    <w:rsid w:val="19DBDE19"/>
    <w:rsid w:val="1A7459BB"/>
    <w:rsid w:val="1C765DE8"/>
    <w:rsid w:val="1D81D4E1"/>
    <w:rsid w:val="1DA2981D"/>
    <w:rsid w:val="1DE3B753"/>
    <w:rsid w:val="1E10F4C1"/>
    <w:rsid w:val="1FE1988C"/>
    <w:rsid w:val="2222FEAA"/>
    <w:rsid w:val="25BB92FD"/>
    <w:rsid w:val="293D6630"/>
    <w:rsid w:val="29D8117C"/>
    <w:rsid w:val="2A7FDD2C"/>
    <w:rsid w:val="2AA50EA4"/>
    <w:rsid w:val="2C5E1A63"/>
    <w:rsid w:val="2E7C9633"/>
    <w:rsid w:val="2EB4382F"/>
    <w:rsid w:val="2F131E28"/>
    <w:rsid w:val="30186694"/>
    <w:rsid w:val="30ADCDCD"/>
    <w:rsid w:val="3288DAD6"/>
    <w:rsid w:val="32E30FFA"/>
    <w:rsid w:val="350F6AF1"/>
    <w:rsid w:val="354B1A60"/>
    <w:rsid w:val="35681693"/>
    <w:rsid w:val="35CFCFCF"/>
    <w:rsid w:val="3619CC5C"/>
    <w:rsid w:val="38A9CEEF"/>
    <w:rsid w:val="3947ECFC"/>
    <w:rsid w:val="394BE077"/>
    <w:rsid w:val="3B092E9B"/>
    <w:rsid w:val="3B893B15"/>
    <w:rsid w:val="3D732878"/>
    <w:rsid w:val="3F4F2878"/>
    <w:rsid w:val="3FBC2480"/>
    <w:rsid w:val="4159EF4D"/>
    <w:rsid w:val="419F3159"/>
    <w:rsid w:val="422F6F75"/>
    <w:rsid w:val="42725A1D"/>
    <w:rsid w:val="4349C578"/>
    <w:rsid w:val="43E269FC"/>
    <w:rsid w:val="4741F7E6"/>
    <w:rsid w:val="48B5DB1F"/>
    <w:rsid w:val="4915910F"/>
    <w:rsid w:val="494BD8D5"/>
    <w:rsid w:val="494D9FF5"/>
    <w:rsid w:val="4A4350AD"/>
    <w:rsid w:val="4AE7A936"/>
    <w:rsid w:val="4B863682"/>
    <w:rsid w:val="4D33A06E"/>
    <w:rsid w:val="4D72550B"/>
    <w:rsid w:val="4E0D1302"/>
    <w:rsid w:val="4E1F49F8"/>
    <w:rsid w:val="4F3721C3"/>
    <w:rsid w:val="503B3265"/>
    <w:rsid w:val="517B83AE"/>
    <w:rsid w:val="5230C69A"/>
    <w:rsid w:val="53BA8FBE"/>
    <w:rsid w:val="5823F17B"/>
    <w:rsid w:val="586599A4"/>
    <w:rsid w:val="58A5DC8D"/>
    <w:rsid w:val="5ADF57CE"/>
    <w:rsid w:val="5E329858"/>
    <w:rsid w:val="5F23C4E0"/>
    <w:rsid w:val="601A02E2"/>
    <w:rsid w:val="6326CD31"/>
    <w:rsid w:val="6412E250"/>
    <w:rsid w:val="64AC9CCC"/>
    <w:rsid w:val="64CFCD7A"/>
    <w:rsid w:val="64E94C26"/>
    <w:rsid w:val="658678AC"/>
    <w:rsid w:val="65AE7272"/>
    <w:rsid w:val="67C7614D"/>
    <w:rsid w:val="6820ECE8"/>
    <w:rsid w:val="693DD987"/>
    <w:rsid w:val="69800DEF"/>
    <w:rsid w:val="6994A0EC"/>
    <w:rsid w:val="6B7742D5"/>
    <w:rsid w:val="6E20650A"/>
    <w:rsid w:val="6E981BF2"/>
    <w:rsid w:val="6F7CF09E"/>
    <w:rsid w:val="7033EC53"/>
    <w:rsid w:val="71CC8BA7"/>
    <w:rsid w:val="71D8034E"/>
    <w:rsid w:val="72D2FB57"/>
    <w:rsid w:val="7368FDC7"/>
    <w:rsid w:val="75075D76"/>
    <w:rsid w:val="751D24FC"/>
    <w:rsid w:val="75B037EF"/>
    <w:rsid w:val="763BE878"/>
    <w:rsid w:val="77881946"/>
    <w:rsid w:val="797F28DF"/>
    <w:rsid w:val="7A013590"/>
    <w:rsid w:val="7B769EFA"/>
    <w:rsid w:val="7BE53679"/>
    <w:rsid w:val="7D519D8B"/>
    <w:rsid w:val="7D6A0225"/>
    <w:rsid w:val="7EBFAEB6"/>
    <w:rsid w:val="7F443D7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4"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4"/>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4"/>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customStyle="1" w:styleId="BoxBullet">
    <w:name w:val="Box Bullet"/>
    <w:basedOn w:val="Normal"/>
    <w:uiPriority w:val="1"/>
    <w:qFormat/>
    <w:rsid w:val="0015002F"/>
    <w:pPr>
      <w:numPr>
        <w:numId w:val="21"/>
      </w:numPr>
      <w:jc w:val="left"/>
    </w:pPr>
    <w:rPr>
      <w:rFonts w:ascii="Times New Roman" w:eastAsia="Times New Roman" w:hAnsi="Times New Roman" w:cs="Times New Roman"/>
      <w:color w:val="auto"/>
      <w:sz w:val="24"/>
      <w:szCs w:val="26"/>
      <w:lang w:eastAsia="en-AU"/>
    </w:rPr>
  </w:style>
  <w:style w:type="paragraph" w:styleId="Revision">
    <w:name w:val="Revision"/>
    <w:hidden/>
    <w:uiPriority w:val="99"/>
    <w:semiHidden/>
    <w:rsid w:val="001E7361"/>
    <w:pPr>
      <w:spacing w:after="0"/>
      <w:jc w:val="left"/>
    </w:pPr>
  </w:style>
  <w:style w:type="character" w:styleId="Mention">
    <w:name w:val="Mention"/>
    <w:basedOn w:val="DefaultParagraphFont"/>
    <w:uiPriority w:val="99"/>
    <w:unhideWhenUsed/>
    <w:locked/>
    <w:rsid w:val="00324A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Michael Fermor</DisplayName>
        <AccountId>68</AccountId>
        <AccountType/>
      </UserInfo>
      <UserInfo>
        <DisplayName>Toni Michalis</DisplayName>
        <AccountId>310</AccountId>
        <AccountType/>
      </UserInfo>
      <UserInfo>
        <DisplayName>Gideon Holland</DisplayName>
        <AccountId>45</AccountId>
        <AccountType/>
      </UserInfo>
      <UserInfo>
        <DisplayName>Vasili Pirozek</DisplayName>
        <AccountId>338</AccountId>
        <AccountType/>
      </UserInfo>
      <UserInfo>
        <DisplayName>Kara Hooper</DisplayName>
        <AccountId>23</AccountId>
        <AccountType/>
      </UserInfo>
    </SharedWithUsers>
    <TaxCatchAll xmlns="92a8a7e8-49a1-4017-acf0-0edc7cce208b" xsi:nil="true"/>
    <k4bcc0d734474fea9fb713d9c415b4b0 xmlns="92a8a7e8-49a1-4017-acf0-0edc7cce208b">
      <Terms xmlns="http://schemas.microsoft.com/office/infopath/2007/PartnerControls"/>
    </k4bcc0d734474fea9fb713d9c415b4b0>
    <APRASecurityClassification xmlns="92a8a7e8-49a1-4017-acf0-0edc7cce208b" xsi:nil="true"/>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C1AF4091-9972-4EB8-B897-22C8BB8D4BF2}"/>
</file>

<file path=customXml/itemProps2.xml><?xml version="1.0" encoding="utf-8"?>
<ds:datastoreItem xmlns:ds="http://schemas.openxmlformats.org/officeDocument/2006/customXml" ds:itemID="{1CE1ACEC-5663-458D-B86B-266ABEDF6B09}">
  <ds:schemaRefs>
    <ds:schemaRef ds:uri="http://schemas.microsoft.com/sharepoint/v3/contenttype/forms"/>
  </ds:schemaRefs>
</ds:datastoreItem>
</file>

<file path=customXml/itemProps3.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4.xml><?xml version="1.0" encoding="utf-8"?>
<ds:datastoreItem xmlns:ds="http://schemas.openxmlformats.org/officeDocument/2006/customXml" ds:itemID="{AC01F831-6B11-4773-B7CD-3DD10957DFAE}">
  <ds:schemaRefs>
    <ds:schemaRef ds:uri="http://schemas.microsoft.com/office/2006/metadata/properties"/>
    <ds:schemaRef ds:uri="http://schemas.microsoft.com/office/2006/documentManagement/types"/>
    <ds:schemaRef ds:uri="79530295-9eea-494d-b82a-9ff74409eafc"/>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5664482d-1961-4d38-bfc2-b109b34188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1781</Words>
  <Characters>9998</Characters>
  <Application>Microsoft Office Word</Application>
  <DocSecurity>0</DocSecurity>
  <Lines>174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2014-02-02T12:10:00Z</cp:lastPrinted>
  <dcterms:created xsi:type="dcterms:W3CDTF">2023-11-28T03:39:00Z</dcterms:created>
  <dcterms:modified xsi:type="dcterms:W3CDTF">2023-11-28T03:39:00Z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v=2022.1;a=SHA256;h=1F06B098524B2F03D2287CC39F8E6853642243FF893E769C3AD1B2CC5C3E03CF</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2493E9F30A7A0E947D43DD632D2DA601</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3dc86ceada7c483fb9ea883cf1636a1b</vt:lpwstr>
  </property>
  <property fmtid="{D5CDD505-2E9C-101B-9397-08002B2CF9AE}" pid="20" name="PM_InsertionValue">
    <vt:lpwstr>OFFICIAL</vt:lpwstr>
  </property>
  <property fmtid="{D5CDD505-2E9C-101B-9397-08002B2CF9AE}" pid="21" name="PM_DisplayValueSecClassificationWithQualifier">
    <vt:lpwstr>OFFICIAL</vt:lpwstr>
  </property>
  <property fmtid="{D5CDD505-2E9C-101B-9397-08002B2CF9AE}" pid="22" name="PM_Originating_FileId">
    <vt:lpwstr>69E1C110D6A340808CE6217F1E8F5E82</vt:lpwstr>
  </property>
  <property fmtid="{D5CDD505-2E9C-101B-9397-08002B2CF9AE}" pid="23" name="PM_ProtectiveMarkingValue_Footer">
    <vt:lpwstr>OFFICIAL</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DomainName_SHA256">
    <vt:lpwstr>ECBDE2B44A971754412B3FB70606937A119CC0D4B6C1B658A40FBD41C30BE3EC</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
    <vt:lpwstr>4BFB54F00CF02289ACA82EF7A6801C3B</vt:lpwstr>
  </property>
  <property fmtid="{D5CDD505-2E9C-101B-9397-08002B2CF9AE}" pid="31" name="PM_Hash_SHA1">
    <vt:lpwstr>DB218372935CF36AEEBC22892729E31AB847D026</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ContentTypeId">
    <vt:lpwstr>0x01010080D163DB4DEE504FAB457909715FEC45</vt:lpwstr>
  </property>
  <property fmtid="{D5CDD505-2E9C-101B-9397-08002B2CF9AE}" pid="35" name="MediaServiceImageTags">
    <vt:lpwstr/>
  </property>
  <property fmtid="{D5CDD505-2E9C-101B-9397-08002B2CF9AE}" pid="36" name="Order">
    <vt:r8>661900</vt:r8>
  </property>
  <property fmtid="{D5CDD505-2E9C-101B-9397-08002B2CF9AE}" pid="37" name="APRASecurityClassification">
    <vt:lpwstr/>
  </property>
  <property fmtid="{D5CDD505-2E9C-101B-9397-08002B2CF9AE}" pid="38" name="DocumentSetDescription">
    <vt:lpwstr/>
  </property>
  <property fmtid="{D5CDD505-2E9C-101B-9397-08002B2CF9AE}" pid="39" name="xd_ProgID">
    <vt:lpwstr/>
  </property>
  <property fmtid="{D5CDD505-2E9C-101B-9397-08002B2CF9AE}" pid="40" name="ComplianceAssetId">
    <vt:lpwstr/>
  </property>
  <property fmtid="{D5CDD505-2E9C-101B-9397-08002B2CF9AE}" pid="41" name="TemplateUrl">
    <vt:lpwstr/>
  </property>
  <property fmtid="{D5CDD505-2E9C-101B-9397-08002B2CF9AE}" pid="42" name="APRAStatus">
    <vt:lpwstr/>
  </property>
  <property fmtid="{D5CDD505-2E9C-101B-9397-08002B2CF9AE}" pid="43" name="APRADocumentType">
    <vt:lpwstr/>
  </property>
  <property fmtid="{D5CDD505-2E9C-101B-9397-08002B2CF9AE}" pid="44" name="_ExtendedDescription">
    <vt:lpwstr/>
  </property>
  <property fmtid="{D5CDD505-2E9C-101B-9397-08002B2CF9AE}" pid="45" name="APRAActivity">
    <vt:lpwstr/>
  </property>
  <property fmtid="{D5CDD505-2E9C-101B-9397-08002B2CF9AE}" pid="46" name="TriggerFlowInfo">
    <vt:lpwstr/>
  </property>
  <property fmtid="{D5CDD505-2E9C-101B-9397-08002B2CF9AE}" pid="47" name="URL">
    <vt:lpwstr/>
  </property>
  <property fmtid="{D5CDD505-2E9C-101B-9397-08002B2CF9AE}" pid="48" name="xd_Signature">
    <vt:bool>false</vt:bool>
  </property>
  <property fmtid="{D5CDD505-2E9C-101B-9397-08002B2CF9AE}" pid="49" name="PM_Originator_Hash_SHA1">
    <vt:lpwstr>C3AD57350F36D8E1BD75F8F67CB06D435C9C43CA</vt:lpwstr>
  </property>
  <property fmtid="{D5CDD505-2E9C-101B-9397-08002B2CF9AE}" pid="50" name="PM_OriginatorUserAccountName_SHA256">
    <vt:lpwstr>6E3018F28A186D2E5FF5207C041E7A82E907C3008E071057026A53705873B72E</vt:lpwstr>
  </property>
  <property fmtid="{D5CDD505-2E9C-101B-9397-08002B2CF9AE}" pid="51" name="APRALegislation">
    <vt:lpwstr/>
  </property>
  <property fmtid="{D5CDD505-2E9C-101B-9397-08002B2CF9AE}" pid="52" name="APRAEntityAdviceSupport">
    <vt:lpwstr/>
  </property>
  <property fmtid="{D5CDD505-2E9C-101B-9397-08002B2CF9AE}" pid="53" name="APRAIndustry">
    <vt:lpwstr/>
  </property>
</Properties>
</file>