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8A558" w14:textId="4481E8E6" w:rsidR="00854C33" w:rsidRPr="00EB6A4A" w:rsidRDefault="288B49EA" w:rsidP="00854C33">
      <w:pPr>
        <w:pStyle w:val="Heading"/>
        <w:spacing w:after="240"/>
        <w:jc w:val="center"/>
        <w:rPr>
          <w:sz w:val="24"/>
          <w:szCs w:val="24"/>
        </w:rPr>
      </w:pPr>
      <w:r w:rsidRPr="34D4842D">
        <w:rPr>
          <w:sz w:val="24"/>
          <w:szCs w:val="24"/>
        </w:rPr>
        <w:t xml:space="preserve"> </w:t>
      </w:r>
      <w:r w:rsidR="00854C33" w:rsidRPr="00EB6A4A">
        <w:rPr>
          <w:sz w:val="24"/>
          <w:szCs w:val="24"/>
        </w:rPr>
        <w:t xml:space="preserve">Financial Sector (Collection of Data) (reporting standard) determination No. </w:t>
      </w:r>
      <w:r w:rsidR="00160266">
        <w:rPr>
          <w:sz w:val="24"/>
          <w:szCs w:val="24"/>
        </w:rPr>
        <w:t>133</w:t>
      </w:r>
      <w:r w:rsidR="00EA1C16" w:rsidRPr="00EB6A4A">
        <w:rPr>
          <w:sz w:val="24"/>
          <w:szCs w:val="24"/>
        </w:rPr>
        <w:t xml:space="preserve"> </w:t>
      </w:r>
      <w:r w:rsidR="00854C33" w:rsidRPr="00EB6A4A">
        <w:rPr>
          <w:sz w:val="24"/>
          <w:szCs w:val="24"/>
        </w:rPr>
        <w:t xml:space="preserve">of </w:t>
      </w:r>
      <w:r w:rsidR="00EA1C16" w:rsidRPr="00EB6A4A">
        <w:rPr>
          <w:sz w:val="24"/>
          <w:szCs w:val="24"/>
        </w:rPr>
        <w:t>202</w:t>
      </w:r>
      <w:r w:rsidR="00EA1C16">
        <w:rPr>
          <w:sz w:val="24"/>
          <w:szCs w:val="24"/>
        </w:rPr>
        <w:t>3</w:t>
      </w:r>
    </w:p>
    <w:p w14:paraId="121BFB7C" w14:textId="77777777" w:rsidR="00854C33" w:rsidRPr="00EB6A4A" w:rsidRDefault="00854C33" w:rsidP="00854C33">
      <w:pPr>
        <w:pStyle w:val="Heading"/>
        <w:tabs>
          <w:tab w:val="left" w:pos="360"/>
        </w:tabs>
        <w:spacing w:after="240"/>
        <w:jc w:val="center"/>
        <w:rPr>
          <w:sz w:val="24"/>
          <w:szCs w:val="24"/>
          <w:u w:val="single"/>
        </w:rPr>
      </w:pPr>
      <w:bookmarkStart w:id="0" w:name="bkInstrumentSubTitle"/>
      <w:bookmarkEnd w:id="0"/>
      <w:r w:rsidRPr="00EB6A4A">
        <w:rPr>
          <w:sz w:val="24"/>
          <w:szCs w:val="24"/>
          <w:u w:val="single"/>
        </w:rPr>
        <w:t>EXPLANATORY STATEMENT</w:t>
      </w:r>
    </w:p>
    <w:p w14:paraId="568B87B5" w14:textId="77777777" w:rsidR="00854C33" w:rsidRPr="00EB6A4A" w:rsidRDefault="00854C33" w:rsidP="00854C33">
      <w:pPr>
        <w:pStyle w:val="Heading"/>
        <w:spacing w:after="240"/>
        <w:jc w:val="center"/>
        <w:rPr>
          <w:sz w:val="24"/>
          <w:szCs w:val="24"/>
        </w:rPr>
      </w:pPr>
      <w:r w:rsidRPr="00EB6A4A">
        <w:rPr>
          <w:sz w:val="24"/>
          <w:szCs w:val="24"/>
        </w:rPr>
        <w:t>Prepared by the Australian Prudential Regulation Authority (APRA)</w:t>
      </w:r>
    </w:p>
    <w:p w14:paraId="41E2056B" w14:textId="77777777" w:rsidR="00854C33" w:rsidRPr="00EB6A4A" w:rsidRDefault="00854C33" w:rsidP="00854C33">
      <w:pPr>
        <w:pStyle w:val="heading0"/>
        <w:spacing w:before="0" w:beforeAutospacing="0" w:after="240" w:afterAutospacing="0"/>
        <w:jc w:val="center"/>
      </w:pPr>
      <w:bookmarkStart w:id="1" w:name="_Hlk144987450"/>
      <w:r w:rsidRPr="00EB6A4A">
        <w:rPr>
          <w:i/>
          <w:iCs/>
        </w:rPr>
        <w:t>Financial Sector (Collection of Data) Act 2001</w:t>
      </w:r>
      <w:bookmarkEnd w:id="1"/>
      <w:r w:rsidRPr="00EB6A4A">
        <w:t>, sections 13 and 15</w:t>
      </w:r>
    </w:p>
    <w:p w14:paraId="16F6AB79" w14:textId="77777777" w:rsidR="00854C33" w:rsidRPr="00EB6A4A" w:rsidRDefault="00854C33" w:rsidP="00854C33">
      <w:pPr>
        <w:pStyle w:val="heading0"/>
        <w:spacing w:before="0" w:beforeAutospacing="0" w:after="240" w:afterAutospacing="0"/>
        <w:jc w:val="center"/>
      </w:pPr>
      <w:r w:rsidRPr="00EB6A4A">
        <w:rPr>
          <w:i/>
        </w:rPr>
        <w:t>Acts Interpretation Act 1901</w:t>
      </w:r>
      <w:r w:rsidRPr="00EB6A4A">
        <w:t xml:space="preserve">, section </w:t>
      </w:r>
      <w:proofErr w:type="gramStart"/>
      <w:r w:rsidRPr="00EB6A4A">
        <w:t>33</w:t>
      </w:r>
      <w:proofErr w:type="gramEnd"/>
    </w:p>
    <w:p w14:paraId="101CED05" w14:textId="77777777" w:rsidR="00854C33" w:rsidRPr="00EB6A4A" w:rsidRDefault="00854C33" w:rsidP="00854C33">
      <w:pPr>
        <w:widowControl w:val="0"/>
        <w:rPr>
          <w:rFonts w:ascii="Times New Roman" w:hAnsi="Times New Roman"/>
          <w:sz w:val="24"/>
          <w:szCs w:val="24"/>
        </w:rPr>
      </w:pPr>
      <w:bookmarkStart w:id="2" w:name="bkAct"/>
      <w:bookmarkStart w:id="3" w:name="bkExplanatory"/>
      <w:bookmarkEnd w:id="2"/>
      <w:bookmarkEnd w:id="3"/>
      <w:r w:rsidRPr="00EB6A4A">
        <w:rPr>
          <w:rFonts w:ascii="Times New Roman" w:hAnsi="Times New Roman"/>
          <w:sz w:val="24"/>
          <w:szCs w:val="24"/>
        </w:rPr>
        <w:t xml:space="preserve">Under subsection 13(1) of the </w:t>
      </w:r>
      <w:r w:rsidRPr="00EB6A4A">
        <w:rPr>
          <w:rFonts w:ascii="Times New Roman" w:hAnsi="Times New Roman"/>
          <w:i/>
          <w:sz w:val="24"/>
          <w:szCs w:val="24"/>
        </w:rPr>
        <w:t>Financial Sector (Collection of Data) Act 2001</w:t>
      </w:r>
      <w:r w:rsidRPr="00EB6A4A">
        <w:rPr>
          <w:rFonts w:ascii="Times New Roman" w:hAnsi="Times New Roman"/>
          <w:sz w:val="24"/>
          <w:szCs w:val="24"/>
        </w:rPr>
        <w:t xml:space="preserve"> (the Act), APRA has the power to determine reporting standards, in writing, with which financial sector entities must comply. Such standards relate to reporting financial or accounting data and other information regarding the business or activities of the entities. Subsection 33(3) of the </w:t>
      </w:r>
      <w:r w:rsidRPr="00EB6A4A">
        <w:rPr>
          <w:rFonts w:ascii="Times New Roman" w:hAnsi="Times New Roman"/>
          <w:i/>
          <w:sz w:val="24"/>
          <w:szCs w:val="24"/>
        </w:rPr>
        <w:t>Acts Interpretation Act 1901</w:t>
      </w:r>
      <w:r w:rsidRPr="00EB6A4A">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(if any) to revoke any such instrument.</w:t>
      </w:r>
    </w:p>
    <w:p w14:paraId="4F25E816" w14:textId="509C6AA1" w:rsidR="00B066C9" w:rsidRDefault="00211AFD" w:rsidP="00B20F6D">
      <w:pPr>
        <w:rPr>
          <w:rFonts w:ascii="Times New Roman" w:hAnsi="Times New Roman"/>
          <w:sz w:val="24"/>
          <w:szCs w:val="24"/>
        </w:rPr>
      </w:pPr>
      <w:r w:rsidRPr="00EB6A4A">
        <w:rPr>
          <w:rFonts w:ascii="Times New Roman" w:hAnsi="Times New Roman" w:cs="Times New Roman"/>
          <w:sz w:val="24"/>
          <w:szCs w:val="24"/>
        </w:rPr>
        <w:t>On</w:t>
      </w:r>
      <w:r w:rsidR="00E77613">
        <w:rPr>
          <w:rFonts w:ascii="Times New Roman" w:hAnsi="Times New Roman" w:cs="Times New Roman"/>
          <w:sz w:val="24"/>
          <w:szCs w:val="24"/>
        </w:rPr>
        <w:t xml:space="preserve"> </w:t>
      </w:r>
      <w:r w:rsidR="004F0AE7">
        <w:rPr>
          <w:rFonts w:ascii="Times New Roman" w:hAnsi="Times New Roman" w:cs="Times New Roman"/>
          <w:sz w:val="24"/>
          <w:szCs w:val="24"/>
        </w:rPr>
        <w:t>29 November</w:t>
      </w:r>
      <w:r w:rsidR="00E77613">
        <w:rPr>
          <w:rFonts w:ascii="Times New Roman" w:hAnsi="Times New Roman" w:cs="Times New Roman"/>
          <w:sz w:val="24"/>
          <w:szCs w:val="24"/>
        </w:rPr>
        <w:t xml:space="preserve"> </w:t>
      </w:r>
      <w:r w:rsidR="00E77613" w:rsidRPr="00EB6A4A">
        <w:rPr>
          <w:rFonts w:ascii="Times New Roman" w:hAnsi="Times New Roman" w:cs="Times New Roman"/>
          <w:sz w:val="24"/>
          <w:szCs w:val="24"/>
        </w:rPr>
        <w:t>202</w:t>
      </w:r>
      <w:r w:rsidR="00E77613">
        <w:rPr>
          <w:rFonts w:ascii="Times New Roman" w:hAnsi="Times New Roman" w:cs="Times New Roman"/>
          <w:sz w:val="24"/>
          <w:szCs w:val="24"/>
        </w:rPr>
        <w:t>3</w:t>
      </w:r>
      <w:r w:rsidRPr="00EB6A4A">
        <w:rPr>
          <w:rFonts w:ascii="Times New Roman" w:hAnsi="Times New Roman" w:cs="Times New Roman"/>
          <w:sz w:val="24"/>
          <w:szCs w:val="24"/>
        </w:rPr>
        <w:t xml:space="preserve">, APRA made the </w:t>
      </w:r>
      <w:r w:rsidR="00014E49" w:rsidRPr="00EB6A4A">
        <w:rPr>
          <w:rFonts w:ascii="Times New Roman" w:hAnsi="Times New Roman"/>
          <w:sz w:val="24"/>
          <w:szCs w:val="24"/>
        </w:rPr>
        <w:t>Financial Sector (Collection of Data) (</w:t>
      </w:r>
      <w:r w:rsidR="00C36BD6">
        <w:rPr>
          <w:rFonts w:ascii="Times New Roman" w:hAnsi="Times New Roman"/>
          <w:sz w:val="24"/>
          <w:szCs w:val="24"/>
        </w:rPr>
        <w:t>revocation</w:t>
      </w:r>
      <w:r w:rsidR="00014E49" w:rsidRPr="00EB6A4A">
        <w:rPr>
          <w:rFonts w:ascii="Times New Roman" w:hAnsi="Times New Roman"/>
          <w:sz w:val="24"/>
          <w:szCs w:val="24"/>
        </w:rPr>
        <w:t xml:space="preserve">) determination No. </w:t>
      </w:r>
      <w:r w:rsidR="00087871">
        <w:rPr>
          <w:rFonts w:ascii="Times New Roman" w:hAnsi="Times New Roman"/>
          <w:sz w:val="24"/>
          <w:szCs w:val="24"/>
        </w:rPr>
        <w:t>133</w:t>
      </w:r>
      <w:r w:rsidR="00E77613" w:rsidRPr="00EB6A4A">
        <w:rPr>
          <w:rFonts w:ascii="Times New Roman" w:hAnsi="Times New Roman"/>
          <w:sz w:val="24"/>
          <w:szCs w:val="24"/>
        </w:rPr>
        <w:t xml:space="preserve"> </w:t>
      </w:r>
      <w:r w:rsidR="00014E49" w:rsidRPr="00EB6A4A">
        <w:rPr>
          <w:rFonts w:ascii="Times New Roman" w:hAnsi="Times New Roman"/>
          <w:sz w:val="24"/>
          <w:szCs w:val="24"/>
        </w:rPr>
        <w:t xml:space="preserve">of </w:t>
      </w:r>
      <w:r w:rsidR="00E77613" w:rsidRPr="00EB6A4A">
        <w:rPr>
          <w:rFonts w:ascii="Times New Roman" w:hAnsi="Times New Roman"/>
          <w:sz w:val="24"/>
          <w:szCs w:val="24"/>
        </w:rPr>
        <w:t>202</w:t>
      </w:r>
      <w:r w:rsidR="00E77613">
        <w:rPr>
          <w:rFonts w:ascii="Times New Roman" w:hAnsi="Times New Roman"/>
          <w:sz w:val="24"/>
          <w:szCs w:val="24"/>
        </w:rPr>
        <w:t>3</w:t>
      </w:r>
      <w:r w:rsidR="00E77613" w:rsidRPr="00EB6A4A">
        <w:rPr>
          <w:rFonts w:ascii="Times New Roman" w:hAnsi="Times New Roman"/>
          <w:sz w:val="24"/>
          <w:szCs w:val="24"/>
        </w:rPr>
        <w:t xml:space="preserve"> </w:t>
      </w:r>
      <w:r w:rsidR="00014E49" w:rsidRPr="00EB6A4A">
        <w:rPr>
          <w:rFonts w:ascii="Times New Roman" w:hAnsi="Times New Roman"/>
          <w:sz w:val="24"/>
          <w:szCs w:val="24"/>
        </w:rPr>
        <w:t>which</w:t>
      </w:r>
      <w:r w:rsidR="00721C17" w:rsidRPr="00EB6A4A">
        <w:rPr>
          <w:rFonts w:ascii="Times New Roman" w:hAnsi="Times New Roman"/>
          <w:sz w:val="24"/>
          <w:szCs w:val="24"/>
        </w:rPr>
        <w:t xml:space="preserve"> </w:t>
      </w:r>
      <w:r w:rsidR="00014E49" w:rsidRPr="00EB6A4A">
        <w:rPr>
          <w:rFonts w:ascii="Times New Roman" w:hAnsi="Times New Roman"/>
          <w:sz w:val="24"/>
          <w:szCs w:val="24"/>
        </w:rPr>
        <w:t xml:space="preserve">revokes </w:t>
      </w:r>
      <w:r w:rsidR="00014E49" w:rsidRPr="006A2E5B">
        <w:rPr>
          <w:rFonts w:ascii="Times New Roman" w:hAnsi="Times New Roman"/>
          <w:iCs/>
          <w:sz w:val="24"/>
          <w:szCs w:val="24"/>
        </w:rPr>
        <w:t>Reporting Standard</w:t>
      </w:r>
      <w:r w:rsidR="00014E49" w:rsidRPr="0C622024">
        <w:rPr>
          <w:rFonts w:ascii="Times New Roman" w:hAnsi="Times New Roman"/>
          <w:i/>
          <w:iCs/>
          <w:sz w:val="24"/>
          <w:szCs w:val="24"/>
        </w:rPr>
        <w:t xml:space="preserve"> </w:t>
      </w:r>
      <w:r w:rsidR="00465ADB" w:rsidRPr="0C622024">
        <w:rPr>
          <w:rFonts w:ascii="Times New Roman" w:hAnsi="Times New Roman"/>
          <w:i/>
          <w:iCs/>
          <w:sz w:val="24"/>
          <w:szCs w:val="24"/>
        </w:rPr>
        <w:t xml:space="preserve">SRS </w:t>
      </w:r>
      <w:r w:rsidR="006D125C" w:rsidRPr="006D125C">
        <w:rPr>
          <w:rFonts w:ascii="Times New Roman" w:hAnsi="Times New Roman"/>
          <w:i/>
          <w:iCs/>
          <w:sz w:val="24"/>
          <w:szCs w:val="24"/>
        </w:rPr>
        <w:t>702.0 Investment Performance</w:t>
      </w:r>
      <w:r w:rsidR="00E77613" w:rsidRPr="0C622024">
        <w:rPr>
          <w:rFonts w:ascii="Times New Roman" w:hAnsi="Times New Roman"/>
          <w:i/>
          <w:iCs/>
          <w:sz w:val="24"/>
          <w:szCs w:val="24"/>
        </w:rPr>
        <w:t xml:space="preserve"> </w:t>
      </w:r>
      <w:r w:rsidR="00014E49" w:rsidRPr="00EB6A4A">
        <w:rPr>
          <w:rFonts w:ascii="Times New Roman" w:hAnsi="Times New Roman"/>
          <w:sz w:val="24"/>
          <w:szCs w:val="24"/>
        </w:rPr>
        <w:t>(</w:t>
      </w:r>
      <w:r w:rsidR="00721C17" w:rsidRPr="00EB6A4A">
        <w:rPr>
          <w:rFonts w:ascii="Times New Roman" w:hAnsi="Times New Roman"/>
          <w:sz w:val="24"/>
          <w:szCs w:val="24"/>
        </w:rPr>
        <w:t>S</w:t>
      </w:r>
      <w:r w:rsidR="00014E49" w:rsidRPr="00EB6A4A">
        <w:rPr>
          <w:rFonts w:ascii="Times New Roman" w:hAnsi="Times New Roman"/>
          <w:sz w:val="24"/>
          <w:szCs w:val="24"/>
        </w:rPr>
        <w:t xml:space="preserve">RS </w:t>
      </w:r>
      <w:r w:rsidR="006A2E5B">
        <w:rPr>
          <w:rFonts w:ascii="Times New Roman" w:hAnsi="Times New Roman"/>
          <w:sz w:val="24"/>
          <w:szCs w:val="24"/>
        </w:rPr>
        <w:t>702</w:t>
      </w:r>
      <w:r w:rsidR="00014E49" w:rsidRPr="00EB6A4A">
        <w:rPr>
          <w:rFonts w:ascii="Times New Roman" w:hAnsi="Times New Roman"/>
          <w:sz w:val="24"/>
          <w:szCs w:val="24"/>
        </w:rPr>
        <w:t>.</w:t>
      </w:r>
      <w:r w:rsidR="00465ADB" w:rsidRPr="00EB6A4A">
        <w:rPr>
          <w:rFonts w:ascii="Times New Roman" w:hAnsi="Times New Roman"/>
          <w:sz w:val="24"/>
          <w:szCs w:val="24"/>
        </w:rPr>
        <w:t>0</w:t>
      </w:r>
      <w:r w:rsidR="00014E49" w:rsidRPr="00EB6A4A">
        <w:rPr>
          <w:rFonts w:ascii="Times New Roman" w:hAnsi="Times New Roman"/>
          <w:sz w:val="24"/>
          <w:szCs w:val="24"/>
        </w:rPr>
        <w:t xml:space="preserve">) made under Financial Sector (Collection of Data) (reporting standard) determination </w:t>
      </w:r>
      <w:r w:rsidR="00465ADB" w:rsidRPr="00EB6A4A">
        <w:rPr>
          <w:rFonts w:ascii="Times New Roman" w:hAnsi="Times New Roman"/>
          <w:sz w:val="24"/>
          <w:szCs w:val="24"/>
        </w:rPr>
        <w:t xml:space="preserve">No. </w:t>
      </w:r>
      <w:r w:rsidR="006A2E5B">
        <w:rPr>
          <w:rFonts w:ascii="Times New Roman" w:hAnsi="Times New Roman"/>
          <w:sz w:val="24"/>
          <w:szCs w:val="24"/>
        </w:rPr>
        <w:t>40</w:t>
      </w:r>
      <w:r w:rsidR="009A2245" w:rsidRPr="00EB6A4A">
        <w:rPr>
          <w:rFonts w:ascii="Times New Roman" w:hAnsi="Times New Roman"/>
          <w:sz w:val="24"/>
          <w:szCs w:val="24"/>
        </w:rPr>
        <w:t xml:space="preserve"> </w:t>
      </w:r>
      <w:r w:rsidR="00465ADB" w:rsidRPr="00EB6A4A">
        <w:rPr>
          <w:rFonts w:ascii="Times New Roman" w:hAnsi="Times New Roman"/>
          <w:sz w:val="24"/>
          <w:szCs w:val="24"/>
        </w:rPr>
        <w:t>of 2015</w:t>
      </w:r>
      <w:r w:rsidR="00B066C9">
        <w:rPr>
          <w:rFonts w:ascii="Times New Roman" w:hAnsi="Times New Roman"/>
          <w:sz w:val="24"/>
          <w:szCs w:val="24"/>
        </w:rPr>
        <w:t xml:space="preserve"> (</w:t>
      </w:r>
      <w:r w:rsidR="00A47CAF">
        <w:rPr>
          <w:rFonts w:ascii="Times New Roman" w:hAnsi="Times New Roman"/>
          <w:sz w:val="24"/>
          <w:szCs w:val="24"/>
        </w:rPr>
        <w:t xml:space="preserve">the </w:t>
      </w:r>
      <w:r w:rsidR="00C36BD6">
        <w:rPr>
          <w:rFonts w:ascii="Times New Roman" w:hAnsi="Times New Roman"/>
          <w:sz w:val="24"/>
          <w:szCs w:val="24"/>
        </w:rPr>
        <w:t>old</w:t>
      </w:r>
      <w:r w:rsidR="00A47CAF">
        <w:rPr>
          <w:rFonts w:ascii="Times New Roman" w:hAnsi="Times New Roman"/>
          <w:sz w:val="24"/>
          <w:szCs w:val="24"/>
        </w:rPr>
        <w:t xml:space="preserve"> reporting standard</w:t>
      </w:r>
      <w:r w:rsidR="00B066C9">
        <w:rPr>
          <w:rFonts w:ascii="Times New Roman" w:hAnsi="Times New Roman"/>
          <w:sz w:val="24"/>
          <w:szCs w:val="24"/>
        </w:rPr>
        <w:t>)</w:t>
      </w:r>
      <w:r w:rsidR="001848B7">
        <w:rPr>
          <w:rFonts w:ascii="Times New Roman" w:hAnsi="Times New Roman"/>
          <w:sz w:val="24"/>
          <w:szCs w:val="24"/>
        </w:rPr>
        <w:t>.</w:t>
      </w:r>
      <w:r w:rsidR="00C31C58">
        <w:rPr>
          <w:rFonts w:ascii="Times New Roman" w:hAnsi="Times New Roman"/>
          <w:sz w:val="24"/>
          <w:szCs w:val="24"/>
        </w:rPr>
        <w:t xml:space="preserve"> </w:t>
      </w:r>
    </w:p>
    <w:p w14:paraId="20C71CDB" w14:textId="485E198C" w:rsidR="00023CE3" w:rsidRPr="00EB6A4A" w:rsidRDefault="00023CE3" w:rsidP="00023CE3">
      <w:pPr>
        <w:widowControl w:val="0"/>
        <w:rPr>
          <w:rFonts w:ascii="Times New Roman" w:hAnsi="Times New Roman"/>
          <w:sz w:val="24"/>
          <w:szCs w:val="24"/>
        </w:rPr>
      </w:pPr>
      <w:r w:rsidRPr="00EB6A4A">
        <w:rPr>
          <w:rFonts w:ascii="Times New Roman" w:hAnsi="Times New Roman"/>
          <w:sz w:val="24"/>
          <w:szCs w:val="24"/>
        </w:rPr>
        <w:t>The instrument commence</w:t>
      </w:r>
      <w:r w:rsidR="00B066C9">
        <w:rPr>
          <w:rFonts w:ascii="Times New Roman" w:hAnsi="Times New Roman"/>
          <w:sz w:val="24"/>
          <w:szCs w:val="24"/>
        </w:rPr>
        <w:t>s</w:t>
      </w:r>
      <w:r w:rsidRPr="00EB6A4A">
        <w:rPr>
          <w:rFonts w:ascii="Times New Roman" w:hAnsi="Times New Roman"/>
          <w:sz w:val="24"/>
          <w:szCs w:val="24"/>
        </w:rPr>
        <w:t xml:space="preserve"> </w:t>
      </w:r>
      <w:bookmarkStart w:id="4" w:name="_Hlk145001146"/>
      <w:bookmarkStart w:id="5" w:name="_Hlk145000743"/>
      <w:bookmarkStart w:id="6" w:name="_Hlk145001733"/>
      <w:r w:rsidR="00B0481C">
        <w:rPr>
          <w:rFonts w:ascii="Times New Roman" w:hAnsi="Times New Roman"/>
          <w:sz w:val="24"/>
          <w:szCs w:val="24"/>
        </w:rPr>
        <w:t xml:space="preserve">at the start of the day </w:t>
      </w:r>
      <w:r w:rsidR="00213894">
        <w:rPr>
          <w:rFonts w:ascii="Times New Roman" w:hAnsi="Times New Roman"/>
          <w:sz w:val="24"/>
          <w:szCs w:val="24"/>
        </w:rPr>
        <w:t xml:space="preserve">after it is registered </w:t>
      </w:r>
      <w:r w:rsidR="008909F6">
        <w:rPr>
          <w:rFonts w:ascii="Times New Roman" w:hAnsi="Times New Roman"/>
          <w:sz w:val="24"/>
          <w:szCs w:val="24"/>
        </w:rPr>
        <w:t>on the</w:t>
      </w:r>
      <w:bookmarkEnd w:id="4"/>
      <w:r w:rsidR="008909F6">
        <w:rPr>
          <w:rFonts w:ascii="Times New Roman" w:hAnsi="Times New Roman"/>
          <w:sz w:val="24"/>
          <w:szCs w:val="24"/>
        </w:rPr>
        <w:t xml:space="preserve"> Federal Register of </w:t>
      </w:r>
      <w:bookmarkEnd w:id="5"/>
      <w:r w:rsidR="003168B5">
        <w:rPr>
          <w:rFonts w:ascii="Times New Roman" w:hAnsi="Times New Roman"/>
          <w:sz w:val="24"/>
          <w:szCs w:val="24"/>
        </w:rPr>
        <w:t>Legislation</w:t>
      </w:r>
      <w:bookmarkEnd w:id="6"/>
      <w:r w:rsidRPr="00EB6A4A">
        <w:rPr>
          <w:rFonts w:ascii="Times New Roman" w:hAnsi="Times New Roman"/>
          <w:sz w:val="24"/>
          <w:szCs w:val="24"/>
        </w:rPr>
        <w:t xml:space="preserve">. </w:t>
      </w:r>
    </w:p>
    <w:p w14:paraId="44D216EA" w14:textId="77777777" w:rsidR="00B670E9" w:rsidRPr="00EB6A4A" w:rsidRDefault="00B670E9" w:rsidP="00211AFD">
      <w:pPr>
        <w:numPr>
          <w:ilvl w:val="0"/>
          <w:numId w:val="0"/>
        </w:numPr>
        <w:rPr>
          <w:rFonts w:ascii="Times New Roman" w:hAnsi="Times New Roman" w:cs="Times New Roman"/>
          <w:b/>
          <w:sz w:val="24"/>
          <w:szCs w:val="24"/>
        </w:rPr>
      </w:pPr>
      <w:r w:rsidRPr="00EB6A4A">
        <w:rPr>
          <w:rFonts w:ascii="Times New Roman" w:hAnsi="Times New Roman" w:cs="Times New Roman"/>
          <w:b/>
          <w:sz w:val="24"/>
          <w:szCs w:val="24"/>
        </w:rPr>
        <w:t>1.</w:t>
      </w:r>
      <w:r w:rsidRPr="00EB6A4A">
        <w:rPr>
          <w:rFonts w:ascii="Times New Roman" w:hAnsi="Times New Roman" w:cs="Times New Roman"/>
          <w:b/>
          <w:sz w:val="24"/>
          <w:szCs w:val="24"/>
        </w:rPr>
        <w:tab/>
      </w:r>
      <w:r w:rsidR="00211AFD" w:rsidRPr="00EB6A4A">
        <w:rPr>
          <w:rFonts w:ascii="Times New Roman" w:hAnsi="Times New Roman" w:cs="Times New Roman"/>
          <w:b/>
          <w:sz w:val="24"/>
          <w:szCs w:val="24"/>
        </w:rPr>
        <w:t>Background</w:t>
      </w:r>
    </w:p>
    <w:p w14:paraId="59E0E204" w14:textId="77777777" w:rsidR="00B60633" w:rsidRDefault="00B60633" w:rsidP="00B60633">
      <w:pPr>
        <w:shd w:val="clear" w:color="auto" w:fill="FFFFFF"/>
        <w:spacing w:before="100" w:beforeAutospacing="1" w:after="100" w:afterAutospacing="1"/>
        <w:rPr>
          <w:rFonts w:ascii="Times New Roman" w:eastAsia="Times New Roman" w:hAnsi="Times New Roman" w:cs="Times New Roman"/>
          <w:sz w:val="24"/>
          <w:szCs w:val="24"/>
          <w:lang w:eastAsia="en-AU"/>
        </w:rPr>
      </w:pPr>
      <w:r w:rsidRPr="00F3769C">
        <w:rPr>
          <w:rFonts w:ascii="Times New Roman" w:eastAsia="Times New Roman" w:hAnsi="Times New Roman" w:cs="Times New Roman"/>
          <w:sz w:val="24"/>
          <w:szCs w:val="24"/>
          <w:lang w:eastAsia="en-AU"/>
        </w:rPr>
        <w:t xml:space="preserve">APRA’s mandate is to ensure the safety and soundness of prudentially regulated financial institutions so that they can meet their financial promises to depositors, policyholders and fund members within a stable, efficient and competitive financial system. </w:t>
      </w:r>
    </w:p>
    <w:p w14:paraId="234B8F2B" w14:textId="77777777" w:rsidR="00B60633" w:rsidRDefault="00B60633" w:rsidP="00B60633">
      <w:pPr>
        <w:shd w:val="clear" w:color="auto" w:fill="FFFFFF"/>
        <w:spacing w:before="100" w:beforeAutospacing="1" w:after="100" w:afterAutospacing="1"/>
        <w:rPr>
          <w:rFonts w:ascii="Times New Roman" w:eastAsia="Times New Roman" w:hAnsi="Times New Roman" w:cs="Times New Roman"/>
          <w:sz w:val="24"/>
          <w:szCs w:val="24"/>
          <w:lang w:eastAsia="en-AU"/>
        </w:rPr>
      </w:pPr>
    </w:p>
    <w:p w14:paraId="66CF46DF" w14:textId="290BEDEF" w:rsidR="00B60633" w:rsidRPr="004639B5" w:rsidRDefault="00B60633" w:rsidP="004639B5">
      <w:pPr>
        <w:shd w:val="clear" w:color="auto" w:fill="FFFFFF"/>
        <w:spacing w:before="100" w:beforeAutospacing="1" w:after="100" w:afterAutospacing="1"/>
        <w:rPr>
          <w:rFonts w:cs="Times New Roman"/>
          <w:b/>
          <w:sz w:val="24"/>
          <w:szCs w:val="24"/>
          <w:lang w:eastAsia="en-AU"/>
        </w:rPr>
      </w:pPr>
      <w:r w:rsidRPr="00F3769C">
        <w:rPr>
          <w:rFonts w:ascii="Times New Roman" w:eastAsia="Times New Roman" w:hAnsi="Times New Roman" w:cs="Times New Roman"/>
          <w:sz w:val="24"/>
          <w:szCs w:val="24"/>
          <w:lang w:eastAsia="en-AU"/>
        </w:rPr>
        <w:t xml:space="preserve">APRA carries out this mandate through a multi-layered prudential framework that encompasses licensing and supervision of institutions. APRA is empowered under the </w:t>
      </w:r>
      <w:r>
        <w:rPr>
          <w:rFonts w:ascii="Times New Roman" w:eastAsia="Times New Roman" w:hAnsi="Times New Roman" w:cs="Times New Roman"/>
          <w:sz w:val="24"/>
          <w:szCs w:val="24"/>
          <w:lang w:eastAsia="en-AU"/>
        </w:rPr>
        <w:t>Act</w:t>
      </w:r>
      <w:r w:rsidRPr="00F3769C">
        <w:rPr>
          <w:rFonts w:ascii="Times New Roman" w:eastAsia="Times New Roman" w:hAnsi="Times New Roman" w:cs="Times New Roman"/>
          <w:sz w:val="24"/>
          <w:szCs w:val="24"/>
          <w:lang w:eastAsia="en-AU"/>
        </w:rPr>
        <w:t xml:space="preserve"> to issue legally binding prudential standards that set out specific prudential requirements with which APRA-regulated institutions in </w:t>
      </w:r>
      <w:r>
        <w:rPr>
          <w:rFonts w:ascii="Times New Roman" w:eastAsia="Times New Roman" w:hAnsi="Times New Roman" w:cs="Times New Roman"/>
          <w:sz w:val="24"/>
          <w:szCs w:val="24"/>
          <w:lang w:eastAsia="en-AU"/>
        </w:rPr>
        <w:t>the superannuation</w:t>
      </w:r>
      <w:r w:rsidRPr="00F3769C">
        <w:rPr>
          <w:rFonts w:ascii="Times New Roman" w:eastAsia="Times New Roman" w:hAnsi="Times New Roman" w:cs="Times New Roman"/>
          <w:sz w:val="24"/>
          <w:szCs w:val="24"/>
          <w:lang w:eastAsia="en-AU"/>
        </w:rPr>
        <w:t xml:space="preserve"> industry must comply. These standards are supported by prudential practice guides which clarify APRA’s expectations with regard to prudential requirements.</w:t>
      </w:r>
    </w:p>
    <w:p w14:paraId="56BC41BA" w14:textId="74C5E42B" w:rsidR="00955F0A" w:rsidRPr="00EB6A4A" w:rsidRDefault="00FA22D7" w:rsidP="00132018">
      <w:pPr>
        <w:pStyle w:val="Heading"/>
        <w:keepNext w:val="0"/>
        <w:spacing w:after="240"/>
        <w:jc w:val="both"/>
        <w:rPr>
          <w:b w:val="0"/>
          <w:sz w:val="24"/>
          <w:szCs w:val="24"/>
        </w:rPr>
      </w:pPr>
      <w:r>
        <w:rPr>
          <w:b w:val="0"/>
          <w:sz w:val="24"/>
          <w:szCs w:val="24"/>
        </w:rPr>
        <w:t xml:space="preserve">The old reporting standard </w:t>
      </w:r>
      <w:r w:rsidR="003C5307" w:rsidRPr="00EB6A4A">
        <w:rPr>
          <w:b w:val="0"/>
          <w:sz w:val="24"/>
          <w:szCs w:val="24"/>
        </w:rPr>
        <w:t xml:space="preserve">required registrable superannuation entities (RSEs) to </w:t>
      </w:r>
      <w:r w:rsidR="00955F0A" w:rsidRPr="00EB6A4A">
        <w:rPr>
          <w:b w:val="0"/>
          <w:sz w:val="24"/>
          <w:szCs w:val="24"/>
        </w:rPr>
        <w:t xml:space="preserve">provide information to APRA relating to </w:t>
      </w:r>
      <w:r w:rsidR="00393413">
        <w:rPr>
          <w:b w:val="0"/>
          <w:sz w:val="24"/>
          <w:szCs w:val="24"/>
        </w:rPr>
        <w:t xml:space="preserve">the asset allocation and investments of </w:t>
      </w:r>
      <w:r w:rsidR="00955F0A" w:rsidRPr="00EB6A4A">
        <w:rPr>
          <w:b w:val="0"/>
          <w:sz w:val="24"/>
          <w:szCs w:val="24"/>
        </w:rPr>
        <w:t>a registrable superannuation entity.</w:t>
      </w:r>
    </w:p>
    <w:p w14:paraId="2F25927D" w14:textId="36C21BF9" w:rsidR="00551557" w:rsidRPr="00EB6A4A" w:rsidRDefault="00027E20" w:rsidP="00132018">
      <w:pPr>
        <w:pStyle w:val="Heading"/>
        <w:keepNext w:val="0"/>
        <w:spacing w:after="240"/>
        <w:jc w:val="both"/>
        <w:rPr>
          <w:b w:val="0"/>
          <w:sz w:val="24"/>
          <w:szCs w:val="24"/>
        </w:rPr>
      </w:pPr>
      <w:r w:rsidRPr="00EB6A4A">
        <w:rPr>
          <w:b w:val="0"/>
          <w:sz w:val="24"/>
          <w:szCs w:val="24"/>
        </w:rPr>
        <w:t xml:space="preserve">In September 2021, APRA determined </w:t>
      </w:r>
      <w:r w:rsidR="00C251B5" w:rsidRPr="00EB6A4A">
        <w:rPr>
          <w:b w:val="0"/>
          <w:sz w:val="24"/>
          <w:szCs w:val="24"/>
        </w:rPr>
        <w:t>ten</w:t>
      </w:r>
      <w:r w:rsidRPr="00EB6A4A">
        <w:rPr>
          <w:b w:val="0"/>
          <w:sz w:val="24"/>
          <w:szCs w:val="24"/>
        </w:rPr>
        <w:t xml:space="preserve"> new reporting standards as a part of APRA’s Superannuation Data Transformation (SDT) project</w:t>
      </w:r>
      <w:r w:rsidR="00C251B5" w:rsidRPr="00EB6A4A">
        <w:rPr>
          <w:b w:val="0"/>
          <w:sz w:val="24"/>
          <w:szCs w:val="24"/>
        </w:rPr>
        <w:t>,</w:t>
      </w:r>
      <w:r w:rsidR="00F25719" w:rsidRPr="00EB6A4A">
        <w:rPr>
          <w:b w:val="0"/>
          <w:sz w:val="24"/>
          <w:szCs w:val="24"/>
        </w:rPr>
        <w:t xml:space="preserve"> which aims to collect accurate and comparable data on the superannuation industry to enable appropriate regulatory oversight, transparency and accountability for RSE licensees</w:t>
      </w:r>
      <w:r w:rsidRPr="00EB6A4A">
        <w:rPr>
          <w:b w:val="0"/>
          <w:sz w:val="24"/>
          <w:szCs w:val="24"/>
        </w:rPr>
        <w:t xml:space="preserve">. </w:t>
      </w:r>
      <w:r w:rsidR="00597F83">
        <w:rPr>
          <w:b w:val="0"/>
          <w:sz w:val="24"/>
          <w:szCs w:val="24"/>
        </w:rPr>
        <w:t>One</w:t>
      </w:r>
      <w:r w:rsidR="00597F83" w:rsidRPr="00EB6A4A">
        <w:rPr>
          <w:b w:val="0"/>
          <w:sz w:val="24"/>
          <w:szCs w:val="24"/>
        </w:rPr>
        <w:t xml:space="preserve"> </w:t>
      </w:r>
      <w:r w:rsidRPr="00EB6A4A">
        <w:rPr>
          <w:b w:val="0"/>
          <w:sz w:val="24"/>
          <w:szCs w:val="24"/>
        </w:rPr>
        <w:t>of those reporting standards</w:t>
      </w:r>
      <w:r w:rsidR="00964F65">
        <w:rPr>
          <w:b w:val="0"/>
          <w:sz w:val="24"/>
          <w:szCs w:val="24"/>
        </w:rPr>
        <w:t>,</w:t>
      </w:r>
      <w:r w:rsidR="000E7E1E" w:rsidRPr="00EB6A4A">
        <w:rPr>
          <w:b w:val="0"/>
          <w:sz w:val="24"/>
          <w:szCs w:val="24"/>
        </w:rPr>
        <w:t xml:space="preserve"> </w:t>
      </w:r>
      <w:r w:rsidR="00C251B5" w:rsidRPr="00EB6A4A">
        <w:rPr>
          <w:b w:val="0"/>
          <w:i/>
          <w:sz w:val="24"/>
          <w:szCs w:val="24"/>
        </w:rPr>
        <w:t xml:space="preserve">Reporting Standard SRS </w:t>
      </w:r>
      <w:r w:rsidR="00D46152">
        <w:rPr>
          <w:b w:val="0"/>
          <w:i/>
          <w:sz w:val="24"/>
          <w:szCs w:val="24"/>
        </w:rPr>
        <w:t>705</w:t>
      </w:r>
      <w:r w:rsidR="00C251B5" w:rsidRPr="00EB6A4A">
        <w:rPr>
          <w:b w:val="0"/>
          <w:i/>
          <w:sz w:val="24"/>
          <w:szCs w:val="24"/>
        </w:rPr>
        <w:t xml:space="preserve">.0 </w:t>
      </w:r>
      <w:r w:rsidR="00D46152">
        <w:rPr>
          <w:b w:val="0"/>
          <w:i/>
          <w:sz w:val="24"/>
          <w:szCs w:val="24"/>
        </w:rPr>
        <w:t xml:space="preserve">Components of </w:t>
      </w:r>
      <w:r w:rsidR="003605F9">
        <w:rPr>
          <w:b w:val="0"/>
          <w:i/>
          <w:sz w:val="24"/>
          <w:szCs w:val="24"/>
        </w:rPr>
        <w:t>net return</w:t>
      </w:r>
      <w:r w:rsidR="00C251B5" w:rsidRPr="00EB6A4A">
        <w:rPr>
          <w:b w:val="0"/>
          <w:sz w:val="24"/>
          <w:szCs w:val="24"/>
        </w:rPr>
        <w:t xml:space="preserve"> (the </w:t>
      </w:r>
      <w:r w:rsidR="00597F83">
        <w:rPr>
          <w:b w:val="0"/>
          <w:sz w:val="24"/>
          <w:szCs w:val="24"/>
        </w:rPr>
        <w:t>n</w:t>
      </w:r>
      <w:r w:rsidR="00C251B5" w:rsidRPr="00EB6A4A">
        <w:rPr>
          <w:b w:val="0"/>
          <w:sz w:val="24"/>
          <w:szCs w:val="24"/>
        </w:rPr>
        <w:t>ew Reporting Standard)</w:t>
      </w:r>
      <w:r w:rsidRPr="00EB6A4A">
        <w:rPr>
          <w:b w:val="0"/>
          <w:sz w:val="24"/>
          <w:szCs w:val="24"/>
        </w:rPr>
        <w:t xml:space="preserve"> collect</w:t>
      </w:r>
      <w:r w:rsidR="000A5938">
        <w:rPr>
          <w:b w:val="0"/>
          <w:sz w:val="24"/>
          <w:szCs w:val="24"/>
        </w:rPr>
        <w:t>s</w:t>
      </w:r>
      <w:r w:rsidR="00F25719" w:rsidRPr="00EB6A4A">
        <w:rPr>
          <w:b w:val="0"/>
          <w:sz w:val="24"/>
          <w:szCs w:val="24"/>
        </w:rPr>
        <w:t xml:space="preserve"> information which overlaps with </w:t>
      </w:r>
      <w:r w:rsidR="00072B8C">
        <w:rPr>
          <w:b w:val="0"/>
          <w:sz w:val="24"/>
          <w:szCs w:val="24"/>
        </w:rPr>
        <w:t xml:space="preserve">SRS </w:t>
      </w:r>
      <w:r w:rsidR="003605F9">
        <w:rPr>
          <w:b w:val="0"/>
          <w:sz w:val="24"/>
          <w:szCs w:val="24"/>
        </w:rPr>
        <w:t>705</w:t>
      </w:r>
      <w:r w:rsidR="00072B8C">
        <w:rPr>
          <w:b w:val="0"/>
          <w:sz w:val="24"/>
          <w:szCs w:val="24"/>
        </w:rPr>
        <w:t>.0</w:t>
      </w:r>
      <w:r w:rsidR="00F25719" w:rsidRPr="00EB6A4A">
        <w:rPr>
          <w:b w:val="0"/>
          <w:sz w:val="24"/>
          <w:szCs w:val="24"/>
        </w:rPr>
        <w:t xml:space="preserve">. </w:t>
      </w:r>
      <w:bookmarkStart w:id="7" w:name="_Hlk116328374"/>
      <w:r w:rsidR="00F25719" w:rsidRPr="00EB6A4A">
        <w:rPr>
          <w:b w:val="0"/>
          <w:sz w:val="24"/>
          <w:szCs w:val="24"/>
        </w:rPr>
        <w:t xml:space="preserve">After a period of parallel reporting to ensure the </w:t>
      </w:r>
      <w:r w:rsidR="00F25719" w:rsidRPr="00EB6A4A">
        <w:rPr>
          <w:b w:val="0"/>
          <w:sz w:val="24"/>
          <w:szCs w:val="24"/>
        </w:rPr>
        <w:lastRenderedPageBreak/>
        <w:t xml:space="preserve">quality of the data submitted under the </w:t>
      </w:r>
      <w:r w:rsidR="00AB6CCB">
        <w:rPr>
          <w:b w:val="0"/>
          <w:sz w:val="24"/>
          <w:szCs w:val="24"/>
        </w:rPr>
        <w:t>n</w:t>
      </w:r>
      <w:r w:rsidR="00F25719" w:rsidRPr="00EB6A4A">
        <w:rPr>
          <w:b w:val="0"/>
          <w:sz w:val="24"/>
          <w:szCs w:val="24"/>
        </w:rPr>
        <w:t xml:space="preserve">ew </w:t>
      </w:r>
      <w:r w:rsidR="00C251B5" w:rsidRPr="00EB6A4A">
        <w:rPr>
          <w:b w:val="0"/>
          <w:sz w:val="24"/>
          <w:szCs w:val="24"/>
        </w:rPr>
        <w:t>R</w:t>
      </w:r>
      <w:r w:rsidR="00F25719" w:rsidRPr="00EB6A4A">
        <w:rPr>
          <w:b w:val="0"/>
          <w:sz w:val="24"/>
          <w:szCs w:val="24"/>
        </w:rPr>
        <w:t xml:space="preserve">eporting </w:t>
      </w:r>
      <w:r w:rsidR="00C251B5" w:rsidRPr="00EB6A4A">
        <w:rPr>
          <w:b w:val="0"/>
          <w:sz w:val="24"/>
          <w:szCs w:val="24"/>
        </w:rPr>
        <w:t>S</w:t>
      </w:r>
      <w:r w:rsidR="00F25719" w:rsidRPr="00EB6A4A">
        <w:rPr>
          <w:b w:val="0"/>
          <w:sz w:val="24"/>
          <w:szCs w:val="24"/>
        </w:rPr>
        <w:t>tandard</w:t>
      </w:r>
      <w:r w:rsidR="000E7E1E" w:rsidRPr="00EB6A4A">
        <w:rPr>
          <w:b w:val="0"/>
          <w:sz w:val="24"/>
          <w:szCs w:val="24"/>
        </w:rPr>
        <w:t xml:space="preserve"> is sufficient</w:t>
      </w:r>
      <w:r w:rsidR="00F25719" w:rsidRPr="00EB6A4A">
        <w:rPr>
          <w:b w:val="0"/>
          <w:sz w:val="24"/>
          <w:szCs w:val="24"/>
        </w:rPr>
        <w:t xml:space="preserve">, </w:t>
      </w:r>
      <w:r w:rsidR="000E7E1E" w:rsidRPr="00EB6A4A">
        <w:rPr>
          <w:b w:val="0"/>
          <w:sz w:val="24"/>
          <w:szCs w:val="24"/>
        </w:rPr>
        <w:t xml:space="preserve">APRA has determined that collection of information under </w:t>
      </w:r>
      <w:r w:rsidR="00964F65">
        <w:rPr>
          <w:b w:val="0"/>
          <w:sz w:val="24"/>
          <w:szCs w:val="24"/>
        </w:rPr>
        <w:t xml:space="preserve">the old reporting standard </w:t>
      </w:r>
      <w:r w:rsidR="000E7E1E" w:rsidRPr="00EB6A4A">
        <w:rPr>
          <w:b w:val="0"/>
          <w:sz w:val="24"/>
          <w:szCs w:val="24"/>
        </w:rPr>
        <w:t>is no longer required</w:t>
      </w:r>
      <w:bookmarkEnd w:id="7"/>
      <w:r w:rsidR="000E7E1E" w:rsidRPr="00EB6A4A">
        <w:rPr>
          <w:b w:val="0"/>
          <w:sz w:val="24"/>
          <w:szCs w:val="24"/>
        </w:rPr>
        <w:t xml:space="preserve">. </w:t>
      </w:r>
    </w:p>
    <w:p w14:paraId="349A167C" w14:textId="4E8BB1F2" w:rsidR="00211AFD" w:rsidRPr="001E0CBF" w:rsidRDefault="00B670E9" w:rsidP="241F821D">
      <w:pPr>
        <w:rPr>
          <w:rFonts w:ascii="Times New Roman" w:hAnsi="Times New Roman" w:cs="Times New Roman"/>
          <w:b/>
          <w:sz w:val="24"/>
          <w:szCs w:val="24"/>
        </w:rPr>
      </w:pPr>
      <w:r w:rsidRPr="001E0CBF">
        <w:rPr>
          <w:rFonts w:ascii="Times New Roman" w:hAnsi="Times New Roman" w:cs="Times New Roman"/>
          <w:b/>
          <w:sz w:val="24"/>
          <w:szCs w:val="24"/>
        </w:rPr>
        <w:t>2.</w:t>
      </w:r>
      <w:r>
        <w:tab/>
      </w:r>
      <w:r w:rsidR="00211AFD" w:rsidRPr="001E0CBF">
        <w:rPr>
          <w:rFonts w:ascii="Times New Roman" w:hAnsi="Times New Roman" w:cs="Times New Roman"/>
          <w:b/>
          <w:sz w:val="24"/>
          <w:szCs w:val="24"/>
        </w:rPr>
        <w:t xml:space="preserve">Purpose and operation of the </w:t>
      </w:r>
      <w:r w:rsidR="00287F47" w:rsidRPr="001E0CBF">
        <w:rPr>
          <w:rFonts w:ascii="Times New Roman" w:hAnsi="Times New Roman" w:cs="Times New Roman"/>
          <w:b/>
          <w:sz w:val="24"/>
          <w:szCs w:val="24"/>
        </w:rPr>
        <w:t>Legislative I</w:t>
      </w:r>
      <w:r w:rsidR="00211AFD" w:rsidRPr="001E0CBF">
        <w:rPr>
          <w:rFonts w:ascii="Times New Roman" w:hAnsi="Times New Roman" w:cs="Times New Roman"/>
          <w:b/>
          <w:sz w:val="24"/>
          <w:szCs w:val="24"/>
        </w:rPr>
        <w:t xml:space="preserve">nstrument </w:t>
      </w:r>
    </w:p>
    <w:p w14:paraId="4D966990" w14:textId="02789E18" w:rsidR="00C672BA" w:rsidRDefault="00C672BA" w:rsidP="00211AFD">
      <w:pPr>
        <w:numPr>
          <w:ilvl w:val="0"/>
          <w:numId w:val="0"/>
        </w:numPr>
        <w:rPr>
          <w:rFonts w:ascii="Times New Roman" w:hAnsi="Times New Roman" w:cs="Times New Roman"/>
          <w:sz w:val="24"/>
          <w:szCs w:val="24"/>
        </w:rPr>
      </w:pPr>
      <w:bookmarkStart w:id="8" w:name="_Hlk152056012"/>
      <w:r w:rsidRPr="00EB6A4A">
        <w:rPr>
          <w:rFonts w:ascii="Times New Roman" w:hAnsi="Times New Roman"/>
          <w:sz w:val="24"/>
          <w:szCs w:val="24"/>
        </w:rPr>
        <w:t xml:space="preserve">The purpose of the </w:t>
      </w:r>
      <w:r w:rsidR="00287F47" w:rsidRPr="00EB6A4A">
        <w:rPr>
          <w:rFonts w:ascii="Times New Roman" w:hAnsi="Times New Roman"/>
          <w:sz w:val="24"/>
          <w:szCs w:val="24"/>
        </w:rPr>
        <w:t>Legislative I</w:t>
      </w:r>
      <w:r w:rsidRPr="00EB6A4A">
        <w:rPr>
          <w:rFonts w:ascii="Times New Roman" w:hAnsi="Times New Roman"/>
          <w:sz w:val="24"/>
          <w:szCs w:val="24"/>
        </w:rPr>
        <w:t xml:space="preserve">nstrument is to revoke </w:t>
      </w:r>
      <w:r w:rsidR="00E56926">
        <w:rPr>
          <w:rFonts w:ascii="Times New Roman" w:hAnsi="Times New Roman"/>
          <w:sz w:val="24"/>
          <w:szCs w:val="24"/>
        </w:rPr>
        <w:t>the old reporting st</w:t>
      </w:r>
      <w:r w:rsidR="008F4750">
        <w:rPr>
          <w:rFonts w:ascii="Times New Roman" w:hAnsi="Times New Roman"/>
          <w:sz w:val="24"/>
          <w:szCs w:val="24"/>
        </w:rPr>
        <w:t>andard</w:t>
      </w:r>
      <w:r w:rsidR="00D17740">
        <w:rPr>
          <w:rFonts w:ascii="Times New Roman" w:hAnsi="Times New Roman"/>
          <w:sz w:val="24"/>
          <w:szCs w:val="24"/>
        </w:rPr>
        <w:t>.</w:t>
      </w:r>
      <w:r w:rsidRPr="00EB6A4A">
        <w:rPr>
          <w:rFonts w:ascii="Times New Roman" w:hAnsi="Times New Roman"/>
          <w:sz w:val="24"/>
          <w:szCs w:val="24"/>
        </w:rPr>
        <w:t xml:space="preserve"> </w:t>
      </w:r>
      <w:r w:rsidR="00A207FF">
        <w:rPr>
          <w:rFonts w:ascii="Times New Roman" w:hAnsi="Times New Roman"/>
          <w:sz w:val="24"/>
          <w:szCs w:val="24"/>
        </w:rPr>
        <w:t>I</w:t>
      </w:r>
      <w:r w:rsidRPr="00EB6A4A">
        <w:rPr>
          <w:rFonts w:ascii="Times New Roman" w:hAnsi="Times New Roman"/>
          <w:sz w:val="24"/>
          <w:szCs w:val="24"/>
        </w:rPr>
        <w:t xml:space="preserve">nformation collected under </w:t>
      </w:r>
      <w:r w:rsidR="00A47CAF">
        <w:rPr>
          <w:rFonts w:ascii="Times New Roman" w:hAnsi="Times New Roman"/>
          <w:sz w:val="24"/>
          <w:szCs w:val="24"/>
        </w:rPr>
        <w:t xml:space="preserve">the </w:t>
      </w:r>
      <w:r w:rsidR="00C36BD6">
        <w:rPr>
          <w:rFonts w:ascii="Times New Roman" w:hAnsi="Times New Roman"/>
          <w:sz w:val="24"/>
          <w:szCs w:val="24"/>
        </w:rPr>
        <w:t>old</w:t>
      </w:r>
      <w:r w:rsidRPr="00EB6A4A">
        <w:rPr>
          <w:rFonts w:ascii="Times New Roman" w:hAnsi="Times New Roman"/>
          <w:sz w:val="24"/>
          <w:szCs w:val="24"/>
        </w:rPr>
        <w:t xml:space="preserve"> reporting standard</w:t>
      </w:r>
      <w:r w:rsidR="00A47CAF">
        <w:rPr>
          <w:rFonts w:ascii="Times New Roman" w:hAnsi="Times New Roman"/>
          <w:sz w:val="24"/>
          <w:szCs w:val="24"/>
        </w:rPr>
        <w:t xml:space="preserve"> </w:t>
      </w:r>
      <w:r w:rsidR="00507F34">
        <w:rPr>
          <w:rFonts w:ascii="Times New Roman" w:hAnsi="Times New Roman"/>
          <w:sz w:val="24"/>
          <w:szCs w:val="24"/>
        </w:rPr>
        <w:t>overlaps</w:t>
      </w:r>
      <w:r w:rsidR="00301ADC">
        <w:rPr>
          <w:rFonts w:ascii="Times New Roman" w:hAnsi="Times New Roman"/>
          <w:sz w:val="24"/>
          <w:szCs w:val="24"/>
        </w:rPr>
        <w:t xml:space="preserve"> with </w:t>
      </w:r>
      <w:proofErr w:type="spellStart"/>
      <w:r w:rsidR="00011391">
        <w:rPr>
          <w:rFonts w:ascii="Times New Roman" w:hAnsi="Times New Roman"/>
          <w:sz w:val="24"/>
          <w:szCs w:val="24"/>
        </w:rPr>
        <w:t>MySuper</w:t>
      </w:r>
      <w:proofErr w:type="spellEnd"/>
      <w:r w:rsidR="00011391">
        <w:rPr>
          <w:rFonts w:ascii="Times New Roman" w:hAnsi="Times New Roman"/>
          <w:sz w:val="24"/>
          <w:szCs w:val="24"/>
        </w:rPr>
        <w:t xml:space="preserve"> product </w:t>
      </w:r>
      <w:r w:rsidR="008751A9">
        <w:rPr>
          <w:rFonts w:ascii="Times New Roman" w:hAnsi="Times New Roman"/>
          <w:sz w:val="24"/>
          <w:szCs w:val="24"/>
        </w:rPr>
        <w:t xml:space="preserve">performance </w:t>
      </w:r>
      <w:r w:rsidR="00301ADC">
        <w:rPr>
          <w:rFonts w:ascii="Times New Roman" w:hAnsi="Times New Roman"/>
          <w:sz w:val="24"/>
          <w:szCs w:val="24"/>
        </w:rPr>
        <w:t>information</w:t>
      </w:r>
      <w:r w:rsidRPr="00EB6A4A">
        <w:rPr>
          <w:rFonts w:ascii="Times New Roman" w:hAnsi="Times New Roman"/>
          <w:sz w:val="24"/>
          <w:szCs w:val="24"/>
        </w:rPr>
        <w:t xml:space="preserve"> now collected under</w:t>
      </w:r>
      <w:r w:rsidR="00287F47" w:rsidRPr="00EB6A4A">
        <w:rPr>
          <w:rFonts w:ascii="Times New Roman" w:hAnsi="Times New Roman"/>
          <w:sz w:val="24"/>
          <w:szCs w:val="24"/>
        </w:rPr>
        <w:t xml:space="preserve"> </w:t>
      </w:r>
      <w:r w:rsidR="001A785B">
        <w:rPr>
          <w:rFonts w:ascii="Times New Roman" w:hAnsi="Times New Roman"/>
          <w:sz w:val="24"/>
          <w:szCs w:val="24"/>
        </w:rPr>
        <w:t>the n</w:t>
      </w:r>
      <w:r w:rsidR="00287F47" w:rsidRPr="00EB6A4A">
        <w:rPr>
          <w:rFonts w:ascii="Times New Roman" w:hAnsi="Times New Roman"/>
          <w:sz w:val="24"/>
          <w:szCs w:val="24"/>
        </w:rPr>
        <w:t>ew R</w:t>
      </w:r>
      <w:r w:rsidRPr="00EB6A4A">
        <w:rPr>
          <w:rFonts w:ascii="Times New Roman" w:hAnsi="Times New Roman"/>
          <w:sz w:val="24"/>
          <w:szCs w:val="24"/>
        </w:rPr>
        <w:t xml:space="preserve">eporting </w:t>
      </w:r>
      <w:r w:rsidR="00287F47" w:rsidRPr="00EB6A4A">
        <w:rPr>
          <w:rFonts w:ascii="Times New Roman" w:hAnsi="Times New Roman"/>
          <w:sz w:val="24"/>
          <w:szCs w:val="24"/>
        </w:rPr>
        <w:t>S</w:t>
      </w:r>
      <w:r w:rsidRPr="00EB6A4A">
        <w:rPr>
          <w:rFonts w:ascii="Times New Roman" w:hAnsi="Times New Roman"/>
          <w:sz w:val="24"/>
          <w:szCs w:val="24"/>
        </w:rPr>
        <w:t>tandard</w:t>
      </w:r>
      <w:r w:rsidRPr="00EB6A4A">
        <w:rPr>
          <w:rFonts w:ascii="Times New Roman" w:hAnsi="Times New Roman" w:cs="Times New Roman"/>
          <w:sz w:val="24"/>
          <w:szCs w:val="24"/>
        </w:rPr>
        <w:t>.</w:t>
      </w:r>
      <w:r w:rsidR="001A785B">
        <w:rPr>
          <w:rFonts w:ascii="Times New Roman" w:hAnsi="Times New Roman" w:cs="Times New Roman"/>
          <w:sz w:val="24"/>
          <w:szCs w:val="24"/>
        </w:rPr>
        <w:t xml:space="preserve"> This will reduce duplication of reporting for RSEs.</w:t>
      </w:r>
    </w:p>
    <w:p w14:paraId="4921F19E" w14:textId="77777777" w:rsidR="003669CB" w:rsidRDefault="003669CB" w:rsidP="003669CB">
      <w:pPr>
        <w:pStyle w:val="paragraph"/>
        <w:spacing w:before="0" w:beforeAutospacing="0" w:after="0" w:afterAutospacing="0"/>
        <w:jc w:val="both"/>
        <w:textAlignment w:val="baseline"/>
        <w:rPr>
          <w:rStyle w:val="eop"/>
          <w:color w:val="000000"/>
        </w:rPr>
      </w:pPr>
      <w:bookmarkStart w:id="9" w:name="_Hlk144988143"/>
      <w:bookmarkEnd w:id="8"/>
      <w:r>
        <w:rPr>
          <w:rStyle w:val="normaltextrun"/>
          <w:i/>
          <w:iCs/>
          <w:color w:val="000000"/>
        </w:rPr>
        <w:t>Operation of the instrument </w:t>
      </w:r>
      <w:r>
        <w:rPr>
          <w:rStyle w:val="eop"/>
          <w:color w:val="000000"/>
        </w:rPr>
        <w:t> </w:t>
      </w:r>
    </w:p>
    <w:p w14:paraId="46AC083C" w14:textId="77777777" w:rsidR="0045066A" w:rsidRDefault="0045066A" w:rsidP="003669CB">
      <w:pPr>
        <w:pStyle w:val="paragraph"/>
        <w:spacing w:before="0" w:beforeAutospacing="0" w:after="0" w:afterAutospacing="0"/>
        <w:jc w:val="both"/>
        <w:textAlignment w:val="baseline"/>
        <w:rPr>
          <w:rFonts w:ascii="Segoe UI" w:hAnsi="Segoe UI" w:cs="Segoe UI"/>
          <w:color w:val="000000"/>
          <w:sz w:val="18"/>
          <w:szCs w:val="18"/>
        </w:rPr>
      </w:pPr>
    </w:p>
    <w:p w14:paraId="363F1609" w14:textId="77777777" w:rsidR="003669CB" w:rsidRDefault="003669CB" w:rsidP="003669CB">
      <w:pPr>
        <w:pStyle w:val="paragraph"/>
        <w:spacing w:before="0" w:beforeAutospacing="0" w:after="0" w:afterAutospacing="0"/>
        <w:jc w:val="both"/>
        <w:textAlignment w:val="baseline"/>
        <w:rPr>
          <w:rStyle w:val="eop"/>
          <w:color w:val="000000"/>
        </w:rPr>
      </w:pPr>
      <w:r>
        <w:rPr>
          <w:rStyle w:val="normaltextrun"/>
          <w:color w:val="000000"/>
        </w:rPr>
        <w:t>The first paragraph of the instrument identifies the source of the power that is being exercised by the delegate and is the operative paragraph that revokes the old reporting standard. </w:t>
      </w:r>
      <w:r>
        <w:rPr>
          <w:rStyle w:val="eop"/>
          <w:color w:val="000000"/>
        </w:rPr>
        <w:t> </w:t>
      </w:r>
    </w:p>
    <w:p w14:paraId="69941902" w14:textId="77777777" w:rsidR="00DA602A" w:rsidRDefault="00DA602A" w:rsidP="003669CB">
      <w:pPr>
        <w:pStyle w:val="paragraph"/>
        <w:spacing w:before="0" w:beforeAutospacing="0" w:after="0" w:afterAutospacing="0"/>
        <w:jc w:val="both"/>
        <w:textAlignment w:val="baseline"/>
        <w:rPr>
          <w:rFonts w:ascii="Segoe UI" w:hAnsi="Segoe UI" w:cs="Segoe UI"/>
          <w:color w:val="000000"/>
          <w:sz w:val="18"/>
          <w:szCs w:val="18"/>
        </w:rPr>
      </w:pPr>
    </w:p>
    <w:p w14:paraId="2D3D36BB" w14:textId="62827A35" w:rsidR="003669CB" w:rsidRDefault="003669CB" w:rsidP="003669CB">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 xml:space="preserve">The second paragraph </w:t>
      </w:r>
      <w:r>
        <w:rPr>
          <w:rStyle w:val="normaltextrun"/>
          <w:color w:val="000000"/>
          <w:shd w:val="clear" w:color="auto" w:fill="FFFFFF"/>
        </w:rPr>
        <w:t>provides for the instrument to commence on the day after it is registered on the Federal Register of Legislative Instruments. This is the day that would apply under subsection 12(1) of the Legislation Act 2003 (</w:t>
      </w:r>
      <w:proofErr w:type="spellStart"/>
      <w:r>
        <w:rPr>
          <w:rStyle w:val="normaltextrun"/>
          <w:color w:val="000000"/>
          <w:shd w:val="clear" w:color="auto" w:fill="FFFFFF"/>
        </w:rPr>
        <w:t>Cth</w:t>
      </w:r>
      <w:proofErr w:type="spellEnd"/>
      <w:r>
        <w:rPr>
          <w:rStyle w:val="normaltextrun"/>
          <w:color w:val="000000"/>
          <w:shd w:val="clear" w:color="auto" w:fill="FFFFFF"/>
        </w:rPr>
        <w:t>),</w:t>
      </w:r>
      <w:r w:rsidR="004639B5">
        <w:rPr>
          <w:rStyle w:val="normaltextrun"/>
          <w:color w:val="000000"/>
          <w:shd w:val="clear" w:color="auto" w:fill="FFFFFF"/>
        </w:rPr>
        <w:t xml:space="preserve">  </w:t>
      </w:r>
      <w:r>
        <w:rPr>
          <w:rStyle w:val="normaltextrun"/>
          <w:color w:val="000000"/>
          <w:shd w:val="clear" w:color="auto" w:fill="FFFFFF"/>
        </w:rPr>
        <w:t>if no commencement provision were made.</w:t>
      </w:r>
      <w:r>
        <w:rPr>
          <w:rStyle w:val="eop"/>
          <w:color w:val="000000"/>
        </w:rPr>
        <w:t> </w:t>
      </w:r>
    </w:p>
    <w:p w14:paraId="6DBBC2DA" w14:textId="77777777" w:rsidR="002020AE" w:rsidRDefault="002020AE" w:rsidP="00B65DE8">
      <w:pPr>
        <w:numPr>
          <w:ilvl w:val="0"/>
          <w:numId w:val="0"/>
        </w:numPr>
        <w:rPr>
          <w:rFonts w:ascii="Times New Roman" w:hAnsi="Times New Roman" w:cs="Times New Roman"/>
          <w:sz w:val="24"/>
          <w:szCs w:val="24"/>
        </w:rPr>
      </w:pPr>
    </w:p>
    <w:bookmarkEnd w:id="9"/>
    <w:p w14:paraId="0BC2A37F" w14:textId="5185B665" w:rsidR="001E0CBF" w:rsidRDefault="001E0CBF" w:rsidP="004D7FD7">
      <w:pPr>
        <w:numPr>
          <w:ilvl w:val="0"/>
          <w:numId w:val="0"/>
        </w:numPr>
        <w:rPr>
          <w:rFonts w:ascii="Trebuchet MS" w:hAnsi="Trebuchet MS"/>
          <w:sz w:val="32"/>
          <w:szCs w:val="32"/>
        </w:rPr>
      </w:pPr>
      <w:r w:rsidRPr="00EB6A4A">
        <w:rPr>
          <w:rFonts w:ascii="Times New Roman" w:hAnsi="Times New Roman" w:cs="Times New Roman"/>
          <w:b/>
          <w:sz w:val="24"/>
          <w:szCs w:val="24"/>
        </w:rPr>
        <w:t>3.</w:t>
      </w:r>
      <w:r w:rsidRPr="00EB6A4A">
        <w:rPr>
          <w:rFonts w:ascii="Times New Roman" w:hAnsi="Times New Roman" w:cs="Times New Roman"/>
          <w:b/>
          <w:sz w:val="24"/>
          <w:szCs w:val="24"/>
        </w:rPr>
        <w:tab/>
      </w:r>
      <w:r w:rsidRPr="004D7FD7">
        <w:rPr>
          <w:rFonts w:ascii="Times New Roman" w:hAnsi="Times New Roman" w:cs="Times New Roman"/>
          <w:b/>
          <w:sz w:val="24"/>
          <w:szCs w:val="24"/>
        </w:rPr>
        <w:t>Documents incorporated by reference</w:t>
      </w:r>
    </w:p>
    <w:p w14:paraId="61486785" w14:textId="3DF2744C" w:rsidR="002F3829" w:rsidRPr="00132018" w:rsidRDefault="001E0CBF" w:rsidP="008909F6">
      <w:pPr>
        <w:numPr>
          <w:ilvl w:val="0"/>
          <w:numId w:val="0"/>
        </w:numPr>
        <w:rPr>
          <w:rFonts w:ascii="Times New Roman" w:hAnsi="Times New Roman" w:cs="Times New Roman"/>
          <w:color w:val="auto"/>
          <w:sz w:val="24"/>
          <w:szCs w:val="24"/>
        </w:rPr>
      </w:pPr>
      <w:r w:rsidRPr="004639B5">
        <w:rPr>
          <w:rFonts w:ascii="Times New Roman" w:hAnsi="Times New Roman"/>
          <w:sz w:val="24"/>
          <w:szCs w:val="24"/>
        </w:rPr>
        <w:t>Under paragraph 14(1)(a) of the </w:t>
      </w:r>
      <w:r w:rsidRPr="004639B5">
        <w:rPr>
          <w:rFonts w:ascii="Times New Roman" w:hAnsi="Times New Roman"/>
          <w:i/>
          <w:sz w:val="24"/>
          <w:szCs w:val="24"/>
        </w:rPr>
        <w:t>Legislation Act 2003</w:t>
      </w:r>
      <w:r w:rsidRPr="004639B5">
        <w:rPr>
          <w:rFonts w:ascii="Times New Roman" w:hAnsi="Times New Roman"/>
          <w:sz w:val="24"/>
          <w:szCs w:val="24"/>
        </w:rPr>
        <w:t xml:space="preserve">, the reporting standard </w:t>
      </w:r>
      <w:r w:rsidR="00C36BD6" w:rsidRPr="004639B5">
        <w:rPr>
          <w:rFonts w:ascii="Times New Roman" w:hAnsi="Times New Roman"/>
          <w:sz w:val="24"/>
          <w:szCs w:val="24"/>
        </w:rPr>
        <w:t xml:space="preserve">revocation determination </w:t>
      </w:r>
      <w:r w:rsidRPr="004639B5">
        <w:rPr>
          <w:rFonts w:ascii="Times New Roman" w:hAnsi="Times New Roman"/>
          <w:sz w:val="24"/>
          <w:szCs w:val="24"/>
        </w:rPr>
        <w:t>incorporate</w:t>
      </w:r>
      <w:r w:rsidR="00502C98" w:rsidRPr="004639B5">
        <w:rPr>
          <w:rFonts w:ascii="Times New Roman" w:hAnsi="Times New Roman"/>
          <w:sz w:val="24"/>
          <w:szCs w:val="24"/>
        </w:rPr>
        <w:t>s</w:t>
      </w:r>
      <w:r w:rsidRPr="004639B5">
        <w:rPr>
          <w:rFonts w:ascii="Times New Roman" w:hAnsi="Times New Roman"/>
          <w:sz w:val="24"/>
          <w:szCs w:val="24"/>
        </w:rPr>
        <w:t xml:space="preserve"> </w:t>
      </w:r>
      <w:r w:rsidR="00A378F7" w:rsidRPr="004639B5">
        <w:rPr>
          <w:rFonts w:ascii="Times New Roman" w:hAnsi="Times New Roman"/>
          <w:sz w:val="24"/>
          <w:szCs w:val="24"/>
        </w:rPr>
        <w:t>parts of the</w:t>
      </w:r>
      <w:r w:rsidR="001D5F02" w:rsidRPr="004639B5">
        <w:rPr>
          <w:rFonts w:ascii="Times New Roman" w:hAnsi="Times New Roman"/>
          <w:sz w:val="24"/>
          <w:szCs w:val="24"/>
        </w:rPr>
        <w:t xml:space="preserve"> </w:t>
      </w:r>
      <w:r w:rsidR="001D5F02" w:rsidRPr="004639B5">
        <w:rPr>
          <w:rFonts w:ascii="Times New Roman" w:hAnsi="Times New Roman" w:cs="Times New Roman"/>
          <w:i/>
          <w:sz w:val="24"/>
          <w:szCs w:val="24"/>
        </w:rPr>
        <w:t>Legislation Act 2003 (</w:t>
      </w:r>
      <w:proofErr w:type="spellStart"/>
      <w:r w:rsidR="001D5F02" w:rsidRPr="004639B5">
        <w:rPr>
          <w:rFonts w:ascii="Times New Roman" w:hAnsi="Times New Roman" w:cs="Times New Roman"/>
          <w:sz w:val="24"/>
          <w:szCs w:val="24"/>
        </w:rPr>
        <w:t>Cth</w:t>
      </w:r>
      <w:proofErr w:type="spellEnd"/>
      <w:r w:rsidR="001D5F02" w:rsidRPr="004639B5">
        <w:rPr>
          <w:rFonts w:ascii="Times New Roman" w:hAnsi="Times New Roman" w:cs="Times New Roman"/>
          <w:sz w:val="24"/>
          <w:szCs w:val="24"/>
        </w:rPr>
        <w:t>)</w:t>
      </w:r>
      <w:r w:rsidRPr="004639B5">
        <w:rPr>
          <w:rFonts w:ascii="Times New Roman" w:hAnsi="Times New Roman"/>
          <w:sz w:val="24"/>
          <w:szCs w:val="24"/>
        </w:rPr>
        <w:t>by reference as in force from time to time</w:t>
      </w:r>
      <w:r w:rsidR="00E14574">
        <w:rPr>
          <w:rFonts w:ascii="Times New Roman" w:hAnsi="Times New Roman"/>
          <w:sz w:val="24"/>
          <w:szCs w:val="24"/>
        </w:rPr>
        <w:t xml:space="preserve">.  </w:t>
      </w:r>
      <w:r w:rsidRPr="004D7FD7">
        <w:rPr>
          <w:rFonts w:ascii="Times New Roman" w:hAnsi="Times New Roman" w:cs="Times New Roman"/>
          <w:sz w:val="24"/>
          <w:szCs w:val="24"/>
          <w:shd w:val="clear" w:color="auto" w:fill="FFFFFF"/>
        </w:rPr>
        <w:t>Th</w:t>
      </w:r>
      <w:r w:rsidR="00F361EB">
        <w:rPr>
          <w:rFonts w:ascii="Times New Roman" w:hAnsi="Times New Roman" w:cs="Times New Roman"/>
          <w:sz w:val="24"/>
          <w:szCs w:val="24"/>
          <w:shd w:val="clear" w:color="auto" w:fill="FFFFFF"/>
        </w:rPr>
        <w:t>is</w:t>
      </w:r>
      <w:r w:rsidRPr="004D7FD7">
        <w:rPr>
          <w:rFonts w:ascii="Times New Roman" w:hAnsi="Times New Roman" w:cs="Times New Roman"/>
          <w:sz w:val="24"/>
          <w:szCs w:val="24"/>
          <w:shd w:val="clear" w:color="auto" w:fill="FFFFFF"/>
        </w:rPr>
        <w:t xml:space="preserve"> document</w:t>
      </w:r>
      <w:r w:rsidR="00980864">
        <w:rPr>
          <w:rFonts w:ascii="Times New Roman" w:hAnsi="Times New Roman" w:cs="Times New Roman"/>
          <w:sz w:val="24"/>
          <w:szCs w:val="24"/>
          <w:shd w:val="clear" w:color="auto" w:fill="FFFFFF"/>
        </w:rPr>
        <w:t xml:space="preserve"> can</w:t>
      </w:r>
      <w:r w:rsidRPr="004D7FD7">
        <w:rPr>
          <w:rFonts w:ascii="Times New Roman" w:hAnsi="Times New Roman" w:cs="Times New Roman"/>
          <w:sz w:val="24"/>
          <w:szCs w:val="24"/>
          <w:shd w:val="clear" w:color="auto" w:fill="FFFFFF"/>
        </w:rPr>
        <w:t xml:space="preserve"> be freely obtained at </w:t>
      </w:r>
      <w:hyperlink r:id="rId11" w:history="1">
        <w:r w:rsidRPr="004D7FD7">
          <w:rPr>
            <w:rStyle w:val="Hyperlink"/>
            <w:rFonts w:ascii="Times New Roman" w:hAnsi="Times New Roman" w:cs="Times New Roman"/>
            <w:color w:val="0F569E"/>
            <w:sz w:val="24"/>
            <w:szCs w:val="24"/>
          </w:rPr>
          <w:t>www.legislation.gov.au</w:t>
        </w:r>
      </w:hyperlink>
      <w:r w:rsidRPr="004D7FD7">
        <w:rPr>
          <w:rFonts w:ascii="Times New Roman" w:hAnsi="Times New Roman" w:cs="Times New Roman"/>
          <w:sz w:val="24"/>
          <w:szCs w:val="24"/>
          <w:shd w:val="clear" w:color="auto" w:fill="FFFFFF"/>
        </w:rPr>
        <w:t>.</w:t>
      </w:r>
    </w:p>
    <w:p w14:paraId="3F2697B4" w14:textId="4884DFE6" w:rsidR="00211AFD" w:rsidRPr="00EB6A4A" w:rsidRDefault="001E0CBF" w:rsidP="00211AFD">
      <w:pPr>
        <w:numPr>
          <w:ilvl w:val="0"/>
          <w:numId w:val="0"/>
        </w:numPr>
        <w:rPr>
          <w:rFonts w:ascii="Times New Roman" w:hAnsi="Times New Roman" w:cs="Times New Roman"/>
          <w:b/>
          <w:sz w:val="24"/>
          <w:szCs w:val="24"/>
        </w:rPr>
      </w:pPr>
      <w:r>
        <w:rPr>
          <w:rFonts w:ascii="Times New Roman" w:hAnsi="Times New Roman" w:cs="Times New Roman"/>
          <w:b/>
          <w:sz w:val="24"/>
          <w:szCs w:val="24"/>
        </w:rPr>
        <w:t>4</w:t>
      </w:r>
      <w:r w:rsidR="00B670E9" w:rsidRPr="00EB6A4A">
        <w:rPr>
          <w:rFonts w:ascii="Times New Roman" w:hAnsi="Times New Roman" w:cs="Times New Roman"/>
          <w:b/>
          <w:sz w:val="24"/>
          <w:szCs w:val="24"/>
        </w:rPr>
        <w:t>.</w:t>
      </w:r>
      <w:r w:rsidR="00B670E9" w:rsidRPr="00EB6A4A">
        <w:rPr>
          <w:rFonts w:ascii="Times New Roman" w:hAnsi="Times New Roman" w:cs="Times New Roman"/>
          <w:b/>
          <w:sz w:val="24"/>
          <w:szCs w:val="24"/>
        </w:rPr>
        <w:tab/>
      </w:r>
      <w:r w:rsidR="00211AFD" w:rsidRPr="00EB6A4A">
        <w:rPr>
          <w:rFonts w:ascii="Times New Roman" w:hAnsi="Times New Roman" w:cs="Times New Roman"/>
          <w:b/>
          <w:sz w:val="24"/>
          <w:szCs w:val="24"/>
        </w:rPr>
        <w:t>Consultation</w:t>
      </w:r>
    </w:p>
    <w:p w14:paraId="3F7A95D7" w14:textId="14687A36" w:rsidR="00B670E9" w:rsidRPr="00EB6A4A" w:rsidRDefault="003C5307" w:rsidP="00132018">
      <w:pPr>
        <w:pStyle w:val="Heading"/>
        <w:keepNext w:val="0"/>
        <w:tabs>
          <w:tab w:val="left" w:pos="360"/>
        </w:tabs>
        <w:spacing w:after="240"/>
        <w:jc w:val="both"/>
        <w:rPr>
          <w:b w:val="0"/>
          <w:sz w:val="24"/>
          <w:szCs w:val="24"/>
        </w:rPr>
      </w:pPr>
      <w:r w:rsidRPr="00EB6A4A">
        <w:rPr>
          <w:b w:val="0"/>
          <w:sz w:val="24"/>
          <w:szCs w:val="24"/>
        </w:rPr>
        <w:t xml:space="preserve">APRA undertook public consultation on the proposed cessation of the </w:t>
      </w:r>
      <w:r w:rsidR="00D2159D">
        <w:rPr>
          <w:b w:val="0"/>
          <w:sz w:val="24"/>
          <w:szCs w:val="24"/>
        </w:rPr>
        <w:t xml:space="preserve">old </w:t>
      </w:r>
      <w:r w:rsidRPr="00EB6A4A">
        <w:rPr>
          <w:b w:val="0"/>
          <w:sz w:val="24"/>
          <w:szCs w:val="24"/>
        </w:rPr>
        <w:t xml:space="preserve">reporting standard from </w:t>
      </w:r>
      <w:r w:rsidR="00B516AF" w:rsidRPr="00EB6A4A">
        <w:rPr>
          <w:b w:val="0"/>
          <w:sz w:val="24"/>
          <w:szCs w:val="24"/>
        </w:rPr>
        <w:t>April</w:t>
      </w:r>
      <w:r w:rsidR="00AA2EBB" w:rsidRPr="00EB6A4A">
        <w:rPr>
          <w:b w:val="0"/>
          <w:sz w:val="24"/>
          <w:szCs w:val="24"/>
        </w:rPr>
        <w:t xml:space="preserve"> 202</w:t>
      </w:r>
      <w:r w:rsidR="00B516AF" w:rsidRPr="00EB6A4A">
        <w:rPr>
          <w:b w:val="0"/>
          <w:sz w:val="24"/>
          <w:szCs w:val="24"/>
        </w:rPr>
        <w:t>2</w:t>
      </w:r>
      <w:r w:rsidR="00AA2EBB" w:rsidRPr="00EB6A4A">
        <w:rPr>
          <w:b w:val="0"/>
          <w:sz w:val="24"/>
          <w:szCs w:val="24"/>
        </w:rPr>
        <w:t xml:space="preserve"> to </w:t>
      </w:r>
      <w:r w:rsidR="00B516AF" w:rsidRPr="00EB6A4A">
        <w:rPr>
          <w:b w:val="0"/>
          <w:sz w:val="24"/>
          <w:szCs w:val="24"/>
        </w:rPr>
        <w:t>May</w:t>
      </w:r>
      <w:r w:rsidR="00AA2EBB" w:rsidRPr="00EB6A4A">
        <w:rPr>
          <w:b w:val="0"/>
          <w:sz w:val="24"/>
          <w:szCs w:val="24"/>
        </w:rPr>
        <w:t xml:space="preserve"> 202</w:t>
      </w:r>
      <w:r w:rsidR="00B516AF" w:rsidRPr="00EB6A4A">
        <w:rPr>
          <w:b w:val="0"/>
          <w:sz w:val="24"/>
          <w:szCs w:val="24"/>
        </w:rPr>
        <w:t>2</w:t>
      </w:r>
      <w:r w:rsidRPr="00EB6A4A">
        <w:rPr>
          <w:b w:val="0"/>
          <w:sz w:val="24"/>
          <w:szCs w:val="24"/>
        </w:rPr>
        <w:t xml:space="preserve"> as part of the </w:t>
      </w:r>
      <w:r w:rsidR="00AA2EBB" w:rsidRPr="00EB6A4A">
        <w:rPr>
          <w:b w:val="0"/>
          <w:sz w:val="24"/>
          <w:szCs w:val="24"/>
        </w:rPr>
        <w:t>Superannuation Data Transformation</w:t>
      </w:r>
      <w:r w:rsidRPr="00EB6A4A">
        <w:rPr>
          <w:b w:val="0"/>
          <w:sz w:val="24"/>
          <w:szCs w:val="24"/>
        </w:rPr>
        <w:t xml:space="preserve"> </w:t>
      </w:r>
      <w:r w:rsidR="00670A53" w:rsidRPr="00EB6A4A">
        <w:rPr>
          <w:b w:val="0"/>
          <w:sz w:val="24"/>
          <w:szCs w:val="24"/>
        </w:rPr>
        <w:t xml:space="preserve">Project Phase 2 </w:t>
      </w:r>
      <w:r w:rsidRPr="00EB6A4A">
        <w:rPr>
          <w:b w:val="0"/>
          <w:sz w:val="24"/>
          <w:szCs w:val="24"/>
        </w:rPr>
        <w:t xml:space="preserve">consultation. </w:t>
      </w:r>
      <w:r w:rsidR="00C06B75">
        <w:rPr>
          <w:b w:val="0"/>
          <w:sz w:val="24"/>
          <w:szCs w:val="24"/>
        </w:rPr>
        <w:t xml:space="preserve">To support </w:t>
      </w:r>
      <w:r w:rsidR="0016721D">
        <w:rPr>
          <w:b w:val="0"/>
          <w:sz w:val="24"/>
          <w:szCs w:val="24"/>
        </w:rPr>
        <w:t>the consultation process</w:t>
      </w:r>
      <w:r w:rsidR="0026024D">
        <w:rPr>
          <w:b w:val="0"/>
          <w:sz w:val="24"/>
          <w:szCs w:val="24"/>
        </w:rPr>
        <w:t>,</w:t>
      </w:r>
      <w:r w:rsidR="0016721D">
        <w:rPr>
          <w:b w:val="0"/>
          <w:sz w:val="24"/>
          <w:szCs w:val="24"/>
        </w:rPr>
        <w:t xml:space="preserve"> roundtable discussions were held with industry participants. S</w:t>
      </w:r>
      <w:r w:rsidRPr="00EB6A4A">
        <w:rPr>
          <w:b w:val="0"/>
          <w:sz w:val="24"/>
          <w:szCs w:val="24"/>
        </w:rPr>
        <w:t xml:space="preserve">ubmissions were received from both reporting entities and industry bodies, with no objections raised in response to the proposed revocation of the reporting standards. APRA confirmed its intention to revoke the reporting standard </w:t>
      </w:r>
      <w:r w:rsidR="007D3665">
        <w:rPr>
          <w:b w:val="0"/>
          <w:sz w:val="24"/>
          <w:szCs w:val="24"/>
        </w:rPr>
        <w:t>in i</w:t>
      </w:r>
      <w:r w:rsidR="00DA4CD8">
        <w:rPr>
          <w:b w:val="0"/>
          <w:sz w:val="24"/>
          <w:szCs w:val="24"/>
        </w:rPr>
        <w:t xml:space="preserve">ts </w:t>
      </w:r>
      <w:r w:rsidR="00670A53" w:rsidRPr="00EB6A4A">
        <w:rPr>
          <w:b w:val="0"/>
          <w:sz w:val="24"/>
          <w:szCs w:val="24"/>
        </w:rPr>
        <w:t>August</w:t>
      </w:r>
      <w:r w:rsidR="00AA2EBB" w:rsidRPr="00EB6A4A">
        <w:rPr>
          <w:b w:val="0"/>
          <w:sz w:val="24"/>
          <w:szCs w:val="24"/>
        </w:rPr>
        <w:t xml:space="preserve"> </w:t>
      </w:r>
      <w:r w:rsidR="00670A53" w:rsidRPr="00EB6A4A">
        <w:rPr>
          <w:b w:val="0"/>
          <w:sz w:val="24"/>
          <w:szCs w:val="24"/>
        </w:rPr>
        <w:t>2022</w:t>
      </w:r>
      <w:r w:rsidRPr="00EB6A4A">
        <w:rPr>
          <w:b w:val="0"/>
          <w:sz w:val="24"/>
          <w:szCs w:val="24"/>
        </w:rPr>
        <w:t xml:space="preserve"> </w:t>
      </w:r>
      <w:r w:rsidR="00EC2614">
        <w:rPr>
          <w:b w:val="0"/>
          <w:sz w:val="24"/>
          <w:szCs w:val="24"/>
        </w:rPr>
        <w:t xml:space="preserve">response paper </w:t>
      </w:r>
      <w:r w:rsidR="00D85669" w:rsidRPr="00EB6A4A">
        <w:rPr>
          <w:b w:val="0"/>
          <w:sz w:val="24"/>
          <w:szCs w:val="24"/>
        </w:rPr>
        <w:t>‘</w:t>
      </w:r>
      <w:r w:rsidR="00BC0D0D" w:rsidRPr="00EB6A4A">
        <w:rPr>
          <w:i/>
          <w:sz w:val="24"/>
          <w:szCs w:val="24"/>
        </w:rPr>
        <w:t>Superannuation Data Transformation Project Phase 2</w:t>
      </w:r>
      <w:r w:rsidR="00E2298D">
        <w:rPr>
          <w:rStyle w:val="FootnoteReference"/>
          <w:i/>
          <w:szCs w:val="24"/>
        </w:rPr>
        <w:footnoteReference w:id="2"/>
      </w:r>
      <w:r w:rsidR="00D85669" w:rsidRPr="00EB6A4A">
        <w:rPr>
          <w:sz w:val="24"/>
          <w:szCs w:val="24"/>
        </w:rPr>
        <w:t>’</w:t>
      </w:r>
      <w:r w:rsidR="00AA2EBB" w:rsidRPr="00EB6A4A">
        <w:rPr>
          <w:b w:val="0"/>
          <w:sz w:val="24"/>
          <w:szCs w:val="24"/>
        </w:rPr>
        <w:t>.</w:t>
      </w:r>
    </w:p>
    <w:p w14:paraId="1D2864CC" w14:textId="07252C9B" w:rsidR="00211AFD" w:rsidRPr="00EB6A4A" w:rsidRDefault="001E0CBF" w:rsidP="00211AFD">
      <w:pPr>
        <w:numPr>
          <w:ilvl w:val="0"/>
          <w:numId w:val="0"/>
        </w:numPr>
        <w:rPr>
          <w:rFonts w:ascii="Times New Roman" w:hAnsi="Times New Roman" w:cs="Times New Roman"/>
          <w:b/>
          <w:sz w:val="24"/>
          <w:szCs w:val="24"/>
        </w:rPr>
      </w:pPr>
      <w:r>
        <w:rPr>
          <w:rFonts w:ascii="Times New Roman" w:hAnsi="Times New Roman" w:cs="Times New Roman"/>
          <w:b/>
          <w:sz w:val="24"/>
          <w:szCs w:val="24"/>
        </w:rPr>
        <w:t>5</w:t>
      </w:r>
      <w:r w:rsidR="00B670E9" w:rsidRPr="00EB6A4A">
        <w:rPr>
          <w:rFonts w:ascii="Times New Roman" w:hAnsi="Times New Roman" w:cs="Times New Roman"/>
          <w:b/>
          <w:sz w:val="24"/>
          <w:szCs w:val="24"/>
        </w:rPr>
        <w:t>.</w:t>
      </w:r>
      <w:r w:rsidR="00B670E9" w:rsidRPr="00EB6A4A">
        <w:rPr>
          <w:rFonts w:ascii="Times New Roman" w:hAnsi="Times New Roman" w:cs="Times New Roman"/>
          <w:b/>
          <w:sz w:val="24"/>
          <w:szCs w:val="24"/>
        </w:rPr>
        <w:tab/>
      </w:r>
      <w:r w:rsidR="00211AFD" w:rsidRPr="00EB6A4A">
        <w:rPr>
          <w:rFonts w:ascii="Times New Roman" w:hAnsi="Times New Roman" w:cs="Times New Roman"/>
          <w:b/>
          <w:sz w:val="24"/>
          <w:szCs w:val="24"/>
        </w:rPr>
        <w:t>Regulation Impact Statement</w:t>
      </w:r>
    </w:p>
    <w:p w14:paraId="31AFB503" w14:textId="2F63DCAD" w:rsidR="00211AFD" w:rsidRPr="00EB6A4A" w:rsidRDefault="0000172A" w:rsidP="00211AFD">
      <w:pPr>
        <w:numPr>
          <w:ilvl w:val="0"/>
          <w:numId w:val="0"/>
        </w:numPr>
        <w:rPr>
          <w:rFonts w:ascii="Times New Roman" w:hAnsi="Times New Roman" w:cs="Times New Roman"/>
          <w:sz w:val="24"/>
          <w:szCs w:val="24"/>
        </w:rPr>
      </w:pPr>
      <w:r w:rsidRPr="00EB6A4A">
        <w:rPr>
          <w:rFonts w:ascii="Times New Roman" w:hAnsi="Times New Roman" w:cs="Times New Roman"/>
          <w:sz w:val="24"/>
          <w:szCs w:val="24"/>
        </w:rPr>
        <w:t>A</w:t>
      </w:r>
      <w:r w:rsidR="00AA2EBB" w:rsidRPr="00EB6A4A">
        <w:rPr>
          <w:rFonts w:ascii="Times New Roman" w:hAnsi="Times New Roman" w:cs="Times New Roman"/>
          <w:sz w:val="24"/>
          <w:szCs w:val="24"/>
        </w:rPr>
        <w:t xml:space="preserve"> </w:t>
      </w:r>
      <w:r w:rsidR="00911DBD" w:rsidRPr="004107E9">
        <w:rPr>
          <w:rFonts w:ascii="Times New Roman" w:hAnsi="Times New Roman" w:cs="Times New Roman"/>
          <w:sz w:val="24"/>
          <w:szCs w:val="24"/>
        </w:rPr>
        <w:t>Regulation Impact Statement</w:t>
      </w:r>
      <w:r w:rsidR="00AA2EBB" w:rsidRPr="00EB6A4A">
        <w:rPr>
          <w:rFonts w:ascii="Times New Roman" w:hAnsi="Times New Roman" w:cs="Times New Roman"/>
          <w:sz w:val="24"/>
          <w:szCs w:val="24"/>
        </w:rPr>
        <w:t xml:space="preserve"> </w:t>
      </w:r>
      <w:r w:rsidRPr="00EB6A4A">
        <w:rPr>
          <w:rFonts w:ascii="Times New Roman" w:hAnsi="Times New Roman" w:cs="Times New Roman"/>
          <w:sz w:val="24"/>
          <w:szCs w:val="24"/>
        </w:rPr>
        <w:t xml:space="preserve">was prepared and lodged in connection with </w:t>
      </w:r>
      <w:r w:rsidR="00AA2EBB" w:rsidRPr="00EB6A4A">
        <w:rPr>
          <w:rFonts w:ascii="Times New Roman" w:hAnsi="Times New Roman" w:cs="Times New Roman"/>
          <w:sz w:val="24"/>
          <w:szCs w:val="24"/>
        </w:rPr>
        <w:t>the wider Superannuation Data Transformation project</w:t>
      </w:r>
      <w:r w:rsidRPr="00EB6A4A">
        <w:rPr>
          <w:rFonts w:ascii="Times New Roman" w:hAnsi="Times New Roman" w:cs="Times New Roman"/>
          <w:sz w:val="24"/>
          <w:szCs w:val="24"/>
        </w:rPr>
        <w:t xml:space="preserve"> which contemplates the revocation of </w:t>
      </w:r>
      <w:r w:rsidR="00B407D8">
        <w:rPr>
          <w:rFonts w:ascii="Times New Roman" w:hAnsi="Times New Roman" w:cs="Times New Roman"/>
          <w:sz w:val="24"/>
          <w:szCs w:val="24"/>
        </w:rPr>
        <w:t xml:space="preserve">the old reporting standard. </w:t>
      </w:r>
    </w:p>
    <w:p w14:paraId="476EB71B" w14:textId="25159DDC" w:rsidR="00B670E9" w:rsidRPr="00EB6A4A" w:rsidRDefault="002F3829" w:rsidP="003163CB">
      <w:pPr>
        <w:pStyle w:val="Heading"/>
        <w:spacing w:before="0" w:after="240"/>
        <w:jc w:val="both"/>
        <w:rPr>
          <w:rFonts w:cs="Times New Roman"/>
          <w:i/>
          <w:sz w:val="24"/>
          <w:szCs w:val="24"/>
        </w:rPr>
      </w:pPr>
      <w:r>
        <w:rPr>
          <w:rFonts w:cs="Times New Roman"/>
          <w:sz w:val="24"/>
          <w:szCs w:val="24"/>
        </w:rPr>
        <w:t>6</w:t>
      </w:r>
      <w:r w:rsidR="00B670E9" w:rsidRPr="00EB6A4A">
        <w:rPr>
          <w:rFonts w:cs="Times New Roman"/>
          <w:sz w:val="24"/>
          <w:szCs w:val="24"/>
        </w:rPr>
        <w:t>.</w:t>
      </w:r>
      <w:r w:rsidR="00B670E9" w:rsidRPr="00EB6A4A">
        <w:rPr>
          <w:rFonts w:cs="Times New Roman"/>
          <w:sz w:val="24"/>
          <w:szCs w:val="24"/>
        </w:rPr>
        <w:tab/>
        <w:t xml:space="preserve">Statement of compatibility prepared in accordance with </w:t>
      </w:r>
      <w:r w:rsidR="00B670E9" w:rsidRPr="00B4222D">
        <w:rPr>
          <w:rFonts w:cs="Times New Roman"/>
          <w:sz w:val="24"/>
          <w:szCs w:val="24"/>
        </w:rPr>
        <w:t>Part</w:t>
      </w:r>
      <w:r w:rsidR="00B670E9" w:rsidRPr="00EB6A4A">
        <w:rPr>
          <w:rFonts w:cs="Times New Roman"/>
          <w:sz w:val="24"/>
          <w:szCs w:val="24"/>
        </w:rPr>
        <w:t xml:space="preserve"> 3 of the </w:t>
      </w:r>
      <w:r w:rsidR="00B670E9" w:rsidRPr="00EB6A4A">
        <w:rPr>
          <w:rFonts w:cs="Times New Roman"/>
          <w:i/>
          <w:sz w:val="24"/>
          <w:szCs w:val="24"/>
        </w:rPr>
        <w:t>Human Rights (Parliamentary Scrutiny) Act 2011</w:t>
      </w:r>
    </w:p>
    <w:p w14:paraId="7D7364B1" w14:textId="77777777" w:rsidR="00B670E9" w:rsidRPr="00EB6A4A" w:rsidRDefault="00B670E9" w:rsidP="00132018">
      <w:pPr>
        <w:pStyle w:val="Heading"/>
        <w:keepNext w:val="0"/>
        <w:spacing w:after="240"/>
        <w:jc w:val="both"/>
        <w:rPr>
          <w:rFonts w:cs="Times New Roman"/>
          <w:b w:val="0"/>
          <w:kern w:val="0"/>
          <w:sz w:val="24"/>
          <w:szCs w:val="24"/>
          <w:lang w:val="en-GB"/>
        </w:rPr>
      </w:pPr>
      <w:r w:rsidRPr="00EB6A4A">
        <w:rPr>
          <w:rFonts w:cs="Times New Roman"/>
          <w:b w:val="0"/>
          <w:kern w:val="0"/>
          <w:sz w:val="24"/>
          <w:szCs w:val="24"/>
          <w:lang w:val="en-GB"/>
        </w:rPr>
        <w:t xml:space="preserve">A Statement of compatibility prepared in accordance with Part 3 of the </w:t>
      </w:r>
      <w:r w:rsidRPr="00EB6A4A">
        <w:rPr>
          <w:rFonts w:cs="Times New Roman"/>
          <w:b w:val="0"/>
          <w:i/>
          <w:sz w:val="24"/>
          <w:szCs w:val="24"/>
          <w:lang w:val="en-GB"/>
        </w:rPr>
        <w:t>Human Rights (Parliamentary Scrutiny) Act 2011</w:t>
      </w:r>
      <w:r w:rsidRPr="00EB6A4A">
        <w:rPr>
          <w:rFonts w:cs="Times New Roman"/>
          <w:b w:val="0"/>
          <w:kern w:val="0"/>
          <w:sz w:val="24"/>
          <w:szCs w:val="24"/>
          <w:lang w:val="en-GB"/>
        </w:rPr>
        <w:t xml:space="preserve"> is provided at Attachment A to this Explanatory Statement.</w:t>
      </w:r>
    </w:p>
    <w:p w14:paraId="78C4676C" w14:textId="79A2CB74" w:rsidR="00C8103B" w:rsidRPr="00BB0B88" w:rsidRDefault="002F3829" w:rsidP="00C8103B">
      <w:pPr>
        <w:pStyle w:val="Heading"/>
        <w:spacing w:before="0" w:after="240"/>
        <w:jc w:val="both"/>
        <w:rPr>
          <w:rFonts w:cs="Times New Roman"/>
          <w:sz w:val="24"/>
          <w:szCs w:val="24"/>
        </w:rPr>
      </w:pPr>
      <w:r>
        <w:rPr>
          <w:rFonts w:cs="Times New Roman"/>
          <w:sz w:val="24"/>
          <w:szCs w:val="24"/>
        </w:rPr>
        <w:lastRenderedPageBreak/>
        <w:t>7</w:t>
      </w:r>
      <w:r w:rsidR="00C8103B" w:rsidRPr="00BB0B88">
        <w:rPr>
          <w:rFonts w:cs="Times New Roman"/>
          <w:sz w:val="24"/>
          <w:szCs w:val="24"/>
        </w:rPr>
        <w:t>.</w:t>
      </w:r>
      <w:r w:rsidR="00CE7983" w:rsidRPr="00EB6A4A">
        <w:rPr>
          <w:rFonts w:cs="Times New Roman"/>
          <w:sz w:val="24"/>
          <w:szCs w:val="24"/>
        </w:rPr>
        <w:tab/>
      </w:r>
      <w:r w:rsidR="00C8103B" w:rsidRPr="00BB0B88">
        <w:rPr>
          <w:rFonts w:cs="Times New Roman"/>
          <w:sz w:val="24"/>
          <w:szCs w:val="24"/>
        </w:rPr>
        <w:t>Legislative instrument – disallowance and sunsetting</w:t>
      </w:r>
    </w:p>
    <w:p w14:paraId="21C0A17B" w14:textId="6DCB6FF6" w:rsidR="00C8103B" w:rsidRDefault="00C8103B" w:rsidP="00C8103B">
      <w:pPr>
        <w:pStyle w:val="heading0"/>
        <w:shd w:val="clear" w:color="auto" w:fill="FFFFFF"/>
        <w:spacing w:before="0" w:beforeAutospacing="0" w:after="240" w:afterAutospacing="0"/>
        <w:jc w:val="both"/>
        <w:rPr>
          <w:b/>
          <w:bCs/>
          <w:color w:val="000000"/>
          <w:sz w:val="26"/>
          <w:szCs w:val="26"/>
        </w:rPr>
      </w:pPr>
      <w:r>
        <w:rPr>
          <w:color w:val="000000"/>
        </w:rPr>
        <w:t>The instrument is a legislative instrument for the purposes of the </w:t>
      </w:r>
      <w:r>
        <w:rPr>
          <w:i/>
          <w:iCs/>
          <w:color w:val="000000"/>
        </w:rPr>
        <w:t>Legislation Act 2003</w:t>
      </w:r>
      <w:r>
        <w:rPr>
          <w:color w:val="000000"/>
        </w:rPr>
        <w:t> (Legislation Act). In accordance with section 44 of the Legislation Act and item 3 in paragraphs 9 and item 6 in paragraph 11 of the </w:t>
      </w:r>
      <w:bookmarkStart w:id="10" w:name="_Hlk103856226"/>
      <w:r>
        <w:rPr>
          <w:i/>
          <w:iCs/>
          <w:color w:val="000000"/>
        </w:rPr>
        <w:t>Legislation (Exemptions and Other Matters) Regulation 2015 </w:t>
      </w:r>
      <w:bookmarkEnd w:id="10"/>
      <w:r>
        <w:rPr>
          <w:color w:val="000000"/>
        </w:rPr>
        <w:t>(Legislation Regulation), the instrument is not subject to disallowance or sunsetting under the Legislation Act on the grounds that the instrument relates to superannuation. The instrument is a determination which revokes a reporting standard. The Explanatory Statement to the Legislation Regulation states:</w:t>
      </w:r>
    </w:p>
    <w:p w14:paraId="75FFC046" w14:textId="77777777" w:rsidR="00C8103B" w:rsidRDefault="00C8103B" w:rsidP="00C8103B">
      <w:pPr>
        <w:pStyle w:val="heading0"/>
        <w:shd w:val="clear" w:color="auto" w:fill="FFFFFF"/>
        <w:spacing w:before="0" w:beforeAutospacing="0" w:after="240" w:afterAutospacing="0"/>
        <w:ind w:left="425"/>
        <w:jc w:val="both"/>
        <w:rPr>
          <w:b/>
          <w:bCs/>
          <w:color w:val="000000"/>
          <w:sz w:val="26"/>
          <w:szCs w:val="26"/>
        </w:rPr>
      </w:pPr>
      <w:r>
        <w:rPr>
          <w:i/>
          <w:iCs/>
          <w:color w:val="000000"/>
        </w:rPr>
        <w:t>“Item 3 is an instrument (other than regulations) relating to superannuation. This item preserves the exemption in item 39 of the table in subsection 44(2) of the Legislative Instruments Act. This exemption exists because exposure of superannuation instruments to disallowance would cause commercial uncertainty, as well as uncertainty for superannuation fund members and providers. These instruments are intended to have enduring operation and are not suitable for the disallowance process.”</w:t>
      </w:r>
    </w:p>
    <w:p w14:paraId="6F804067" w14:textId="77777777" w:rsidR="00C8103B" w:rsidRDefault="00C8103B" w:rsidP="00C8103B">
      <w:pPr>
        <w:pStyle w:val="heading0"/>
        <w:shd w:val="clear" w:color="auto" w:fill="FFFFFF"/>
        <w:spacing w:before="0" w:beforeAutospacing="0" w:after="240" w:afterAutospacing="0"/>
        <w:ind w:left="425"/>
        <w:jc w:val="both"/>
        <w:rPr>
          <w:b/>
          <w:bCs/>
          <w:color w:val="000000"/>
          <w:sz w:val="26"/>
          <w:szCs w:val="26"/>
        </w:rPr>
      </w:pPr>
      <w:r>
        <w:rPr>
          <w:i/>
          <w:iCs/>
          <w:color w:val="000000"/>
        </w:rPr>
        <w:t>“Item 6 is an instrument (other than a regulation) relating to superannuation. This item preserves the exemption in item 42 of the table in subsection 54(2) of the Legislative Instruments Act. Sunsetting of instruments relating to superannuation could cause commercial uncertainty, as well as uncertainty for superannuation fund members and providers. These instruments are intended to have enduring operation and it would not be appropriate to subject them to sunsetting.”</w:t>
      </w:r>
    </w:p>
    <w:p w14:paraId="26339CBE" w14:textId="77777777" w:rsidR="00C8103B" w:rsidRDefault="00C8103B" w:rsidP="00C8103B">
      <w:pPr>
        <w:pStyle w:val="heading0"/>
        <w:shd w:val="clear" w:color="auto" w:fill="FFFFFF"/>
        <w:spacing w:before="0" w:beforeAutospacing="0" w:after="240" w:afterAutospacing="0"/>
        <w:jc w:val="both"/>
        <w:rPr>
          <w:b/>
          <w:bCs/>
          <w:color w:val="000000"/>
          <w:sz w:val="26"/>
          <w:szCs w:val="26"/>
        </w:rPr>
      </w:pPr>
      <w:r>
        <w:rPr>
          <w:color w:val="000000"/>
        </w:rPr>
        <w:t>As detailed above, extensive consultation with industry stakeholders occurred prior to the finalisation of the instrument. APRA conducts regular reviews on its reporting standards, which range from post-implementation reviews to targeted reviews of specific standards or aspects of standards. </w:t>
      </w:r>
    </w:p>
    <w:p w14:paraId="06190B02" w14:textId="34819669" w:rsidR="00B670E9" w:rsidRPr="00EB6A4A" w:rsidRDefault="00B670E9" w:rsidP="00A34ADD">
      <w:pPr>
        <w:rPr>
          <w:rFonts w:ascii="Times New Roman" w:hAnsi="Times New Roman" w:cs="Times New Roman"/>
          <w:sz w:val="24"/>
          <w:szCs w:val="24"/>
        </w:rPr>
      </w:pPr>
      <w:r w:rsidRPr="00EB6A4A">
        <w:rPr>
          <w:rFonts w:ascii="Times New Roman" w:hAnsi="Times New Roman" w:cs="Times New Roman"/>
          <w:sz w:val="24"/>
          <w:szCs w:val="24"/>
        </w:rPr>
        <w:br w:type="page"/>
      </w:r>
    </w:p>
    <w:p w14:paraId="00B6ED2A" w14:textId="77777777" w:rsidR="00B670E9" w:rsidRPr="00EB6A4A" w:rsidRDefault="00B670E9" w:rsidP="00B670E9">
      <w:pPr>
        <w:pStyle w:val="Heading"/>
        <w:keepNext w:val="0"/>
        <w:spacing w:before="0" w:after="240"/>
        <w:jc w:val="center"/>
        <w:rPr>
          <w:rFonts w:cs="Times New Roman"/>
          <w:sz w:val="24"/>
          <w:szCs w:val="24"/>
        </w:rPr>
      </w:pPr>
      <w:r w:rsidRPr="00EB6A4A">
        <w:rPr>
          <w:rFonts w:cs="Times New Roman"/>
          <w:sz w:val="24"/>
          <w:szCs w:val="24"/>
          <w:lang w:val="en-GB"/>
        </w:rPr>
        <w:lastRenderedPageBreak/>
        <w:t>ATTACHMENT A</w:t>
      </w:r>
    </w:p>
    <w:p w14:paraId="04B51A0F" w14:textId="77777777" w:rsidR="00B670E9" w:rsidRPr="00EB6A4A" w:rsidRDefault="00B670E9" w:rsidP="00B670E9">
      <w:pPr>
        <w:pStyle w:val="Heading"/>
        <w:keepNext w:val="0"/>
        <w:spacing w:before="0" w:after="240"/>
        <w:jc w:val="center"/>
        <w:rPr>
          <w:rFonts w:cs="Times New Roman"/>
          <w:sz w:val="24"/>
          <w:szCs w:val="24"/>
        </w:rPr>
      </w:pPr>
      <w:r w:rsidRPr="00EB6A4A">
        <w:rPr>
          <w:rFonts w:cs="Times New Roman"/>
          <w:sz w:val="24"/>
          <w:szCs w:val="24"/>
        </w:rPr>
        <w:t>Statement of Compatibility with Human Rights</w:t>
      </w:r>
    </w:p>
    <w:p w14:paraId="32B574F6" w14:textId="77777777" w:rsidR="00B670E9" w:rsidRPr="00EB6A4A" w:rsidRDefault="00B670E9" w:rsidP="00B670E9">
      <w:pPr>
        <w:pStyle w:val="Heading1"/>
        <w:jc w:val="center"/>
        <w:rPr>
          <w:rFonts w:ascii="Times New Roman" w:hAnsi="Times New Roman" w:cs="Times New Roman"/>
          <w:b w:val="0"/>
          <w:i/>
          <w:sz w:val="24"/>
          <w:szCs w:val="24"/>
        </w:rPr>
      </w:pPr>
      <w:r w:rsidRPr="00EB6A4A">
        <w:rPr>
          <w:rFonts w:ascii="Times New Roman" w:hAnsi="Times New Roman" w:cs="Times New Roman"/>
          <w:b w:val="0"/>
          <w:sz w:val="24"/>
          <w:szCs w:val="24"/>
        </w:rPr>
        <w:t xml:space="preserve">Prepared in accordance with Part 3 of the </w:t>
      </w:r>
      <w:r w:rsidRPr="00EB6A4A">
        <w:rPr>
          <w:rFonts w:ascii="Times New Roman" w:hAnsi="Times New Roman" w:cs="Times New Roman"/>
          <w:b w:val="0"/>
          <w:i/>
          <w:sz w:val="24"/>
          <w:szCs w:val="24"/>
        </w:rPr>
        <w:t>Human Rights (Parliamentary Scrutiny) Act 2011</w:t>
      </w:r>
    </w:p>
    <w:p w14:paraId="083CA20E" w14:textId="02BB98D6" w:rsidR="00D0248E" w:rsidRPr="00EB6A4A" w:rsidRDefault="00D0248E" w:rsidP="00D0248E">
      <w:pPr>
        <w:jc w:val="center"/>
        <w:rPr>
          <w:rFonts w:ascii="Times New Roman" w:hAnsi="Times New Roman" w:cs="Times New Roman"/>
          <w:sz w:val="24"/>
          <w:szCs w:val="24"/>
        </w:rPr>
      </w:pPr>
      <w:r w:rsidRPr="00EB6A4A">
        <w:rPr>
          <w:rFonts w:ascii="Times New Roman" w:eastAsia="Times New Roman" w:hAnsi="Times New Roman" w:cs="Times New Roman"/>
          <w:b/>
          <w:sz w:val="24"/>
          <w:szCs w:val="24"/>
          <w:lang w:eastAsia="en-AU"/>
        </w:rPr>
        <w:t>Financial Sector (Collection of Data) (reporting standard) determination No</w:t>
      </w:r>
      <w:r w:rsidRPr="004B703C">
        <w:rPr>
          <w:rFonts w:ascii="Times New Roman" w:eastAsia="Times New Roman" w:hAnsi="Times New Roman" w:cs="Times New Roman"/>
          <w:b/>
          <w:sz w:val="24"/>
          <w:szCs w:val="24"/>
          <w:lang w:eastAsia="en-AU"/>
        </w:rPr>
        <w:t xml:space="preserve">. </w:t>
      </w:r>
      <w:r w:rsidR="004B703C" w:rsidRPr="004639B5">
        <w:rPr>
          <w:rFonts w:ascii="Times New Roman" w:eastAsia="Times New Roman" w:hAnsi="Times New Roman" w:cs="Times New Roman"/>
          <w:b/>
          <w:sz w:val="24"/>
          <w:szCs w:val="24"/>
          <w:lang w:eastAsia="en-AU"/>
        </w:rPr>
        <w:t xml:space="preserve">133 </w:t>
      </w:r>
      <w:r w:rsidRPr="004B703C">
        <w:rPr>
          <w:rFonts w:ascii="Times New Roman" w:eastAsia="Times New Roman" w:hAnsi="Times New Roman" w:cs="Times New Roman"/>
          <w:b/>
          <w:sz w:val="24"/>
          <w:szCs w:val="24"/>
          <w:lang w:eastAsia="en-AU"/>
        </w:rPr>
        <w:t xml:space="preserve">of </w:t>
      </w:r>
      <w:r w:rsidR="0082050E" w:rsidRPr="004B703C">
        <w:rPr>
          <w:rFonts w:ascii="Times New Roman" w:eastAsia="Times New Roman" w:hAnsi="Times New Roman" w:cs="Times New Roman"/>
          <w:b/>
          <w:sz w:val="24"/>
          <w:szCs w:val="24"/>
          <w:lang w:eastAsia="en-AU"/>
        </w:rPr>
        <w:t>2023</w:t>
      </w:r>
    </w:p>
    <w:p w14:paraId="06CCC3E0" w14:textId="341C65A2" w:rsidR="00B670E9" w:rsidRPr="00EB6A4A" w:rsidRDefault="00573C66" w:rsidP="00B670E9">
      <w:pPr>
        <w:rPr>
          <w:rFonts w:ascii="Times New Roman" w:hAnsi="Times New Roman" w:cs="Times New Roman"/>
          <w:sz w:val="24"/>
          <w:szCs w:val="24"/>
        </w:rPr>
      </w:pPr>
      <w:r w:rsidRPr="00EB6A4A">
        <w:rPr>
          <w:rFonts w:ascii="Times New Roman" w:hAnsi="Times New Roman" w:cs="Times New Roman"/>
          <w:sz w:val="24"/>
          <w:szCs w:val="24"/>
        </w:rPr>
        <w:t>Th</w:t>
      </w:r>
      <w:r>
        <w:rPr>
          <w:rFonts w:ascii="Times New Roman" w:hAnsi="Times New Roman" w:cs="Times New Roman"/>
          <w:sz w:val="24"/>
          <w:szCs w:val="24"/>
        </w:rPr>
        <w:t>is</w:t>
      </w:r>
      <w:r w:rsidRPr="00EB6A4A">
        <w:rPr>
          <w:rFonts w:ascii="Times New Roman" w:hAnsi="Times New Roman" w:cs="Times New Roman"/>
          <w:sz w:val="24"/>
          <w:szCs w:val="24"/>
        </w:rPr>
        <w:t xml:space="preserve"> </w:t>
      </w:r>
      <w:r w:rsidR="00B670E9" w:rsidRPr="00EB6A4A">
        <w:rPr>
          <w:rFonts w:ascii="Times New Roman" w:hAnsi="Times New Roman" w:cs="Times New Roman"/>
          <w:sz w:val="24"/>
          <w:szCs w:val="24"/>
        </w:rPr>
        <w:t xml:space="preserve">Legislative Instrument </w:t>
      </w:r>
      <w:r>
        <w:rPr>
          <w:rFonts w:ascii="Times New Roman" w:hAnsi="Times New Roman" w:cs="Times New Roman"/>
          <w:sz w:val="24"/>
          <w:szCs w:val="24"/>
        </w:rPr>
        <w:t>is</w:t>
      </w:r>
      <w:r w:rsidRPr="00EB6A4A">
        <w:rPr>
          <w:rFonts w:ascii="Times New Roman" w:hAnsi="Times New Roman" w:cs="Times New Roman"/>
          <w:sz w:val="24"/>
          <w:szCs w:val="24"/>
        </w:rPr>
        <w:t xml:space="preserve"> </w:t>
      </w:r>
      <w:r w:rsidR="00B670E9" w:rsidRPr="00EB6A4A">
        <w:rPr>
          <w:rFonts w:ascii="Times New Roman" w:hAnsi="Times New Roman" w:cs="Times New Roman"/>
          <w:sz w:val="24"/>
          <w:szCs w:val="24"/>
        </w:rPr>
        <w:t xml:space="preserve">compatible with the human rights and freedoms recognised or declared in the international instrument listed in section 3 of the </w:t>
      </w:r>
      <w:r w:rsidR="00B670E9" w:rsidRPr="00EB6A4A">
        <w:rPr>
          <w:rFonts w:ascii="Times New Roman" w:hAnsi="Times New Roman" w:cs="Times New Roman"/>
          <w:i/>
          <w:sz w:val="24"/>
          <w:szCs w:val="24"/>
        </w:rPr>
        <w:t>Human Rights (Parliamentary Scrutiny) Act 2011</w:t>
      </w:r>
      <w:r w:rsidR="00B670E9" w:rsidRPr="00EB6A4A">
        <w:rPr>
          <w:rFonts w:ascii="Times New Roman" w:hAnsi="Times New Roman" w:cs="Times New Roman"/>
          <w:sz w:val="24"/>
          <w:szCs w:val="24"/>
        </w:rPr>
        <w:t xml:space="preserve"> (HRPS Act).</w:t>
      </w:r>
    </w:p>
    <w:p w14:paraId="78831E52" w14:textId="4073C088" w:rsidR="00B670E9" w:rsidRPr="00EB6A4A" w:rsidRDefault="00B670E9" w:rsidP="00B670E9">
      <w:pPr>
        <w:rPr>
          <w:rFonts w:ascii="Times New Roman" w:hAnsi="Times New Roman" w:cs="Times New Roman"/>
          <w:sz w:val="24"/>
          <w:szCs w:val="24"/>
        </w:rPr>
      </w:pPr>
      <w:r w:rsidRPr="00EB6A4A">
        <w:rPr>
          <w:rFonts w:ascii="Times New Roman" w:hAnsi="Times New Roman" w:cs="Times New Roman"/>
          <w:b/>
          <w:sz w:val="24"/>
          <w:szCs w:val="24"/>
        </w:rPr>
        <w:t>Overview of the Legislative Instrument</w:t>
      </w:r>
    </w:p>
    <w:p w14:paraId="4198A2F8" w14:textId="33AE0297" w:rsidR="003C5307" w:rsidRPr="00EB6A4A" w:rsidRDefault="00CD1253">
      <w:pPr>
        <w:rPr>
          <w:rFonts w:ascii="Times New Roman" w:hAnsi="Times New Roman" w:cs="Times New Roman"/>
          <w:sz w:val="24"/>
          <w:szCs w:val="24"/>
        </w:rPr>
      </w:pPr>
      <w:r w:rsidRPr="00EB6A4A">
        <w:rPr>
          <w:rFonts w:ascii="Times New Roman" w:hAnsi="Times New Roman" w:cs="Times New Roman"/>
          <w:sz w:val="24"/>
          <w:szCs w:val="24"/>
        </w:rPr>
        <w:t>The</w:t>
      </w:r>
      <w:r w:rsidR="00142132" w:rsidRPr="00EB6A4A">
        <w:rPr>
          <w:rFonts w:ascii="Times New Roman" w:hAnsi="Times New Roman" w:cs="Times New Roman"/>
          <w:sz w:val="24"/>
          <w:szCs w:val="24"/>
        </w:rPr>
        <w:t xml:space="preserve"> </w:t>
      </w:r>
      <w:r w:rsidRPr="00EB6A4A">
        <w:rPr>
          <w:rFonts w:ascii="Times New Roman" w:hAnsi="Times New Roman" w:cs="Times New Roman"/>
          <w:sz w:val="24"/>
          <w:szCs w:val="24"/>
        </w:rPr>
        <w:t xml:space="preserve">purpose </w:t>
      </w:r>
      <w:r w:rsidR="009136D0" w:rsidRPr="00EB6A4A">
        <w:rPr>
          <w:rFonts w:ascii="Times New Roman" w:hAnsi="Times New Roman" w:cs="Times New Roman"/>
          <w:sz w:val="24"/>
          <w:szCs w:val="24"/>
        </w:rPr>
        <w:t xml:space="preserve">of the Legislative Instrument </w:t>
      </w:r>
      <w:r w:rsidRPr="00EB6A4A">
        <w:rPr>
          <w:rFonts w:ascii="Times New Roman" w:hAnsi="Times New Roman" w:cs="Times New Roman"/>
          <w:sz w:val="24"/>
          <w:szCs w:val="24"/>
        </w:rPr>
        <w:t xml:space="preserve">is to </w:t>
      </w:r>
      <w:r w:rsidR="003C5307" w:rsidRPr="00EB6A4A">
        <w:rPr>
          <w:rFonts w:ascii="Times New Roman" w:eastAsia="Calibri" w:hAnsi="Times New Roman"/>
          <w:sz w:val="24"/>
          <w:szCs w:val="24"/>
        </w:rPr>
        <w:t>revoke the following instrument:</w:t>
      </w:r>
    </w:p>
    <w:p w14:paraId="37540324" w14:textId="7315CA70" w:rsidR="00563F3A" w:rsidRPr="00226AE0" w:rsidRDefault="00563F3A" w:rsidP="00226AE0">
      <w:pPr>
        <w:pStyle w:val="ListParagraph"/>
        <w:numPr>
          <w:ilvl w:val="0"/>
          <w:numId w:val="23"/>
        </w:numPr>
        <w:tabs>
          <w:tab w:val="clear" w:pos="425"/>
          <w:tab w:val="clear" w:pos="851"/>
        </w:tabs>
        <w:ind w:left="567" w:hanging="567"/>
        <w:contextualSpacing w:val="0"/>
        <w:rPr>
          <w:rFonts w:ascii="Times New Roman" w:hAnsi="Times New Roman"/>
          <w:i/>
          <w:sz w:val="24"/>
          <w:szCs w:val="24"/>
        </w:rPr>
      </w:pPr>
      <w:r w:rsidRPr="00226AE0">
        <w:rPr>
          <w:rFonts w:ascii="Times New Roman" w:hAnsi="Times New Roman"/>
          <w:i/>
          <w:sz w:val="24"/>
          <w:szCs w:val="24"/>
        </w:rPr>
        <w:t xml:space="preserve">Reporting Standard </w:t>
      </w:r>
      <w:r w:rsidR="003605F9" w:rsidRPr="003605F9">
        <w:rPr>
          <w:rFonts w:ascii="Times New Roman" w:hAnsi="Times New Roman"/>
          <w:i/>
          <w:sz w:val="24"/>
          <w:szCs w:val="24"/>
        </w:rPr>
        <w:t xml:space="preserve">SRS 702.0 Investment Performance </w:t>
      </w:r>
      <w:r w:rsidRPr="00132018">
        <w:rPr>
          <w:rFonts w:ascii="Times New Roman" w:hAnsi="Times New Roman"/>
          <w:sz w:val="24"/>
          <w:szCs w:val="24"/>
        </w:rPr>
        <w:t>made under</w:t>
      </w:r>
      <w:r w:rsidRPr="00226AE0">
        <w:rPr>
          <w:rFonts w:ascii="Times New Roman" w:hAnsi="Times New Roman"/>
          <w:i/>
          <w:sz w:val="24"/>
          <w:szCs w:val="24"/>
        </w:rPr>
        <w:t xml:space="preserve"> Financial Sector (Collection of Data) (reporting standard) determination No. </w:t>
      </w:r>
      <w:r w:rsidR="00086476">
        <w:rPr>
          <w:rFonts w:ascii="Times New Roman" w:hAnsi="Times New Roman"/>
          <w:i/>
          <w:sz w:val="24"/>
          <w:szCs w:val="24"/>
        </w:rPr>
        <w:t>40 of</w:t>
      </w:r>
      <w:r w:rsidRPr="00226AE0">
        <w:rPr>
          <w:rFonts w:ascii="Times New Roman" w:hAnsi="Times New Roman"/>
          <w:i/>
          <w:sz w:val="24"/>
          <w:szCs w:val="24"/>
        </w:rPr>
        <w:t xml:space="preserve"> 2015</w:t>
      </w:r>
    </w:p>
    <w:p w14:paraId="010F0382" w14:textId="77777777" w:rsidR="00B670E9" w:rsidRPr="00EB6A4A" w:rsidRDefault="00B670E9" w:rsidP="00B670E9">
      <w:pPr>
        <w:rPr>
          <w:rFonts w:ascii="Times New Roman" w:hAnsi="Times New Roman" w:cs="Times New Roman"/>
          <w:sz w:val="24"/>
          <w:szCs w:val="24"/>
        </w:rPr>
      </w:pPr>
      <w:r w:rsidRPr="00EB6A4A">
        <w:rPr>
          <w:rFonts w:ascii="Times New Roman" w:hAnsi="Times New Roman" w:cs="Times New Roman"/>
          <w:b/>
          <w:sz w:val="24"/>
          <w:szCs w:val="24"/>
        </w:rPr>
        <w:t>Human rights implications</w:t>
      </w:r>
    </w:p>
    <w:p w14:paraId="23D2FE0E" w14:textId="74E76F28" w:rsidR="009136D0" w:rsidRPr="00EB6A4A" w:rsidRDefault="009136D0" w:rsidP="00B670E9">
      <w:pPr>
        <w:rPr>
          <w:rFonts w:ascii="Times New Roman" w:eastAsia="Times New Roman" w:hAnsi="Times New Roman" w:cs="Times New Roman"/>
          <w:iCs/>
          <w:sz w:val="24"/>
          <w:szCs w:val="24"/>
          <w:lang w:eastAsia="en-AU"/>
        </w:rPr>
      </w:pPr>
      <w:r w:rsidRPr="00EB6A4A">
        <w:rPr>
          <w:rFonts w:ascii="Times New Roman" w:eastAsia="Times New Roman" w:hAnsi="Times New Roman" w:cs="Times New Roman"/>
          <w:iCs/>
          <w:sz w:val="24"/>
          <w:szCs w:val="24"/>
          <w:lang w:eastAsia="en-AU"/>
        </w:rPr>
        <w:t xml:space="preserve">APRA has assessed the Legislative Instrument and is of the view that </w:t>
      </w:r>
      <w:r w:rsidR="00050E05">
        <w:rPr>
          <w:rFonts w:ascii="Times New Roman" w:eastAsia="Times New Roman" w:hAnsi="Times New Roman" w:cs="Times New Roman"/>
          <w:iCs/>
          <w:sz w:val="24"/>
          <w:szCs w:val="24"/>
          <w:lang w:eastAsia="en-AU"/>
        </w:rPr>
        <w:t xml:space="preserve">it </w:t>
      </w:r>
      <w:r w:rsidRPr="00EB6A4A">
        <w:rPr>
          <w:rFonts w:ascii="Times New Roman" w:eastAsia="Times New Roman" w:hAnsi="Times New Roman" w:cs="Times New Roman"/>
          <w:iCs/>
          <w:sz w:val="24"/>
          <w:szCs w:val="24"/>
          <w:lang w:eastAsia="en-AU"/>
        </w:rPr>
        <w:t>do</w:t>
      </w:r>
      <w:r w:rsidR="00050E05">
        <w:rPr>
          <w:rFonts w:ascii="Times New Roman" w:eastAsia="Times New Roman" w:hAnsi="Times New Roman" w:cs="Times New Roman"/>
          <w:iCs/>
          <w:sz w:val="24"/>
          <w:szCs w:val="24"/>
          <w:lang w:eastAsia="en-AU"/>
        </w:rPr>
        <w:t>es</w:t>
      </w:r>
      <w:r w:rsidRPr="00EB6A4A">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w:t>
      </w:r>
      <w:r w:rsidR="00B12983" w:rsidRPr="00EB6A4A">
        <w:rPr>
          <w:rFonts w:ascii="Times New Roman" w:eastAsia="Times New Roman" w:hAnsi="Times New Roman" w:cs="Times New Roman"/>
          <w:iCs/>
          <w:sz w:val="24"/>
          <w:szCs w:val="24"/>
          <w:lang w:eastAsia="en-AU"/>
        </w:rPr>
        <w:t xml:space="preserve">Legislative </w:t>
      </w:r>
      <w:r w:rsidRPr="00EB6A4A">
        <w:rPr>
          <w:rFonts w:ascii="Times New Roman" w:eastAsia="Times New Roman" w:hAnsi="Times New Roman" w:cs="Times New Roman"/>
          <w:iCs/>
          <w:sz w:val="24"/>
          <w:szCs w:val="24"/>
          <w:lang w:eastAsia="en-AU"/>
        </w:rPr>
        <w:t xml:space="preserve">Instrument </w:t>
      </w:r>
      <w:r w:rsidR="00CA1F10">
        <w:rPr>
          <w:rFonts w:ascii="Times New Roman" w:eastAsia="Times New Roman" w:hAnsi="Times New Roman" w:cs="Times New Roman"/>
          <w:iCs/>
          <w:sz w:val="24"/>
          <w:szCs w:val="24"/>
          <w:lang w:eastAsia="en-AU"/>
        </w:rPr>
        <w:t>is</w:t>
      </w:r>
      <w:r w:rsidR="00CA1F10" w:rsidRPr="00EB6A4A">
        <w:rPr>
          <w:rFonts w:ascii="Times New Roman" w:eastAsia="Times New Roman" w:hAnsi="Times New Roman" w:cs="Times New Roman"/>
          <w:iCs/>
          <w:sz w:val="24"/>
          <w:szCs w:val="24"/>
          <w:lang w:eastAsia="en-AU"/>
        </w:rPr>
        <w:t xml:space="preserve"> </w:t>
      </w:r>
      <w:r w:rsidRPr="00EB6A4A">
        <w:rPr>
          <w:rFonts w:ascii="Times New Roman" w:eastAsia="Times New Roman" w:hAnsi="Times New Roman" w:cs="Times New Roman"/>
          <w:iCs/>
          <w:sz w:val="24"/>
          <w:szCs w:val="24"/>
          <w:lang w:eastAsia="en-AU"/>
        </w:rPr>
        <w:t xml:space="preserve">compatible with human rights. </w:t>
      </w:r>
    </w:p>
    <w:p w14:paraId="64D4EEBE" w14:textId="77777777" w:rsidR="00B670E9" w:rsidRPr="00EB6A4A" w:rsidRDefault="00B670E9" w:rsidP="00B670E9">
      <w:pPr>
        <w:rPr>
          <w:rFonts w:ascii="Times New Roman" w:hAnsi="Times New Roman" w:cs="Times New Roman"/>
          <w:b/>
          <w:sz w:val="24"/>
          <w:szCs w:val="24"/>
        </w:rPr>
      </w:pPr>
      <w:r w:rsidRPr="00EB6A4A">
        <w:rPr>
          <w:rFonts w:ascii="Times New Roman" w:hAnsi="Times New Roman" w:cs="Times New Roman"/>
          <w:b/>
          <w:sz w:val="24"/>
          <w:szCs w:val="24"/>
        </w:rPr>
        <w:t>Conclusion</w:t>
      </w:r>
    </w:p>
    <w:p w14:paraId="6A740A2A" w14:textId="21A1FACB" w:rsidR="00211AFD" w:rsidRPr="00EB6A4A" w:rsidRDefault="00CA1F10" w:rsidP="00A34ADD">
      <w:pPr>
        <w:rPr>
          <w:rFonts w:ascii="Times New Roman" w:hAnsi="Times New Roman" w:cs="Times New Roman"/>
        </w:rPr>
      </w:pPr>
      <w:r w:rsidRPr="00EB6A4A">
        <w:rPr>
          <w:rFonts w:ascii="Times New Roman" w:hAnsi="Times New Roman" w:cs="Times New Roman"/>
          <w:sz w:val="24"/>
          <w:szCs w:val="24"/>
        </w:rPr>
        <w:t>Th</w:t>
      </w:r>
      <w:r>
        <w:rPr>
          <w:rFonts w:ascii="Times New Roman" w:hAnsi="Times New Roman" w:cs="Times New Roman"/>
          <w:sz w:val="24"/>
          <w:szCs w:val="24"/>
        </w:rPr>
        <w:t>is</w:t>
      </w:r>
      <w:r w:rsidRPr="00EB6A4A">
        <w:rPr>
          <w:rFonts w:ascii="Times New Roman" w:hAnsi="Times New Roman" w:cs="Times New Roman"/>
          <w:sz w:val="24"/>
          <w:szCs w:val="24"/>
        </w:rPr>
        <w:t xml:space="preserve"> </w:t>
      </w:r>
      <w:r w:rsidR="00B670E9" w:rsidRPr="00EB6A4A">
        <w:rPr>
          <w:rFonts w:ascii="Times New Roman" w:hAnsi="Times New Roman" w:cs="Times New Roman"/>
          <w:sz w:val="24"/>
          <w:szCs w:val="24"/>
        </w:rPr>
        <w:t xml:space="preserve">Legislative Instrument </w:t>
      </w:r>
      <w:r>
        <w:rPr>
          <w:rFonts w:ascii="Times New Roman" w:hAnsi="Times New Roman" w:cs="Times New Roman"/>
          <w:sz w:val="24"/>
          <w:szCs w:val="24"/>
        </w:rPr>
        <w:t>is</w:t>
      </w:r>
      <w:r w:rsidRPr="00EB6A4A">
        <w:rPr>
          <w:rFonts w:ascii="Times New Roman" w:hAnsi="Times New Roman" w:cs="Times New Roman"/>
          <w:sz w:val="24"/>
          <w:szCs w:val="24"/>
        </w:rPr>
        <w:t xml:space="preserve"> </w:t>
      </w:r>
      <w:r w:rsidR="00B670E9" w:rsidRPr="00EB6A4A">
        <w:rPr>
          <w:rFonts w:ascii="Times New Roman" w:hAnsi="Times New Roman" w:cs="Times New Roman"/>
          <w:sz w:val="24"/>
          <w:szCs w:val="24"/>
        </w:rPr>
        <w:t xml:space="preserve">compatible with human rights as </w:t>
      </w:r>
      <w:r>
        <w:rPr>
          <w:rFonts w:ascii="Times New Roman" w:hAnsi="Times New Roman" w:cs="Times New Roman"/>
          <w:sz w:val="24"/>
          <w:szCs w:val="24"/>
        </w:rPr>
        <w:t>it</w:t>
      </w:r>
      <w:r w:rsidRPr="00EB6A4A">
        <w:rPr>
          <w:rFonts w:ascii="Times New Roman" w:hAnsi="Times New Roman" w:cs="Times New Roman"/>
          <w:sz w:val="24"/>
          <w:szCs w:val="24"/>
        </w:rPr>
        <w:t xml:space="preserve"> </w:t>
      </w:r>
      <w:r w:rsidR="00B670E9" w:rsidRPr="00EB6A4A">
        <w:rPr>
          <w:rFonts w:ascii="Times New Roman" w:hAnsi="Times New Roman" w:cs="Times New Roman"/>
          <w:sz w:val="24"/>
          <w:szCs w:val="24"/>
        </w:rPr>
        <w:t>do</w:t>
      </w:r>
      <w:r>
        <w:rPr>
          <w:rFonts w:ascii="Times New Roman" w:hAnsi="Times New Roman" w:cs="Times New Roman"/>
          <w:sz w:val="24"/>
          <w:szCs w:val="24"/>
        </w:rPr>
        <w:t>es</w:t>
      </w:r>
      <w:r w:rsidR="00B670E9" w:rsidRPr="00EB6A4A">
        <w:rPr>
          <w:rFonts w:ascii="Times New Roman" w:hAnsi="Times New Roman" w:cs="Times New Roman"/>
          <w:sz w:val="24"/>
          <w:szCs w:val="24"/>
        </w:rPr>
        <w:t xml:space="preserve"> not raise any human rights issues.</w:t>
      </w:r>
    </w:p>
    <w:sectPr w:rsidR="00211AFD" w:rsidRPr="00EB6A4A" w:rsidSect="00B06E21">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6A79F" w14:textId="77777777" w:rsidR="00951164" w:rsidRPr="000D4EDE" w:rsidRDefault="00951164" w:rsidP="000D4EDE">
      <w:r>
        <w:separator/>
      </w:r>
    </w:p>
  </w:endnote>
  <w:endnote w:type="continuationSeparator" w:id="0">
    <w:p w14:paraId="40AE7C54" w14:textId="77777777" w:rsidR="00951164" w:rsidRPr="000D4EDE" w:rsidRDefault="00951164" w:rsidP="000D4EDE">
      <w:r>
        <w:continuationSeparator/>
      </w:r>
    </w:p>
  </w:endnote>
  <w:endnote w:type="continuationNotice" w:id="1">
    <w:p w14:paraId="556184D0" w14:textId="77777777" w:rsidR="00951164" w:rsidRDefault="009511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92270" w14:textId="77777777" w:rsidR="00951164" w:rsidRPr="000D4EDE" w:rsidRDefault="00951164" w:rsidP="000D4EDE">
      <w:r>
        <w:separator/>
      </w:r>
    </w:p>
  </w:footnote>
  <w:footnote w:type="continuationSeparator" w:id="0">
    <w:p w14:paraId="528A0FEB" w14:textId="77777777" w:rsidR="00951164" w:rsidRPr="000D4EDE" w:rsidRDefault="00951164" w:rsidP="000D4EDE">
      <w:r>
        <w:continuationSeparator/>
      </w:r>
    </w:p>
  </w:footnote>
  <w:footnote w:type="continuationNotice" w:id="1">
    <w:p w14:paraId="0E77F007" w14:textId="77777777" w:rsidR="00951164" w:rsidRDefault="00951164">
      <w:pPr>
        <w:spacing w:after="0"/>
      </w:pPr>
    </w:p>
  </w:footnote>
  <w:footnote w:id="2">
    <w:p w14:paraId="0C8C0FDE" w14:textId="2046FA07" w:rsidR="00E2298D" w:rsidRDefault="00E2298D">
      <w:pPr>
        <w:pStyle w:val="FootnoteText"/>
      </w:pPr>
      <w:r>
        <w:rPr>
          <w:rStyle w:val="FootnoteReference"/>
        </w:rPr>
        <w:footnoteRef/>
      </w:r>
      <w:r>
        <w:t xml:space="preserve"> </w:t>
      </w:r>
      <w:hyperlink r:id="rId1" w:history="1">
        <w:r>
          <w:rPr>
            <w:rStyle w:val="Hyperlink"/>
            <w:rFonts w:ascii="Times New Roman" w:hAnsi="Times New Roman" w:cs="Times New Roman"/>
          </w:rPr>
          <w:t>Consultation on Superannuation Data Transformation Phase 2 Scope and Approach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9063A61"/>
    <w:multiLevelType w:val="hybridMultilevel"/>
    <w:tmpl w:val="695C4B78"/>
    <w:lvl w:ilvl="0" w:tplc="FFFFFFFF">
      <w:start w:val="1"/>
      <w:numFmt w:val="decimal"/>
      <w:lvlText w:val="(%1)"/>
      <w:lvlJc w:val="left"/>
      <w:pPr>
        <w:ind w:left="720" w:hanging="360"/>
      </w:pPr>
      <w:rPr>
        <w:rFonts w:hint="default"/>
      </w:rPr>
    </w:lvl>
    <w:lvl w:ilvl="1" w:tplc="FFFFFFFF">
      <w:start w:val="1"/>
      <w:numFmt w:val="lowerRoman"/>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427E279B"/>
    <w:multiLevelType w:val="hybridMultilevel"/>
    <w:tmpl w:val="64FEF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ED3520"/>
    <w:multiLevelType w:val="hybridMultilevel"/>
    <w:tmpl w:val="920AEF76"/>
    <w:lvl w:ilvl="0" w:tplc="313C331C">
      <w:start w:val="1"/>
      <w:numFmt w:val="decimal"/>
      <w:lvlText w:val="(%1)"/>
      <w:lvlJc w:val="left"/>
      <w:pPr>
        <w:ind w:left="720" w:hanging="360"/>
      </w:pPr>
      <w:rPr>
        <w:rFonts w:hint="default"/>
        <w:i w:val="0"/>
      </w:rPr>
    </w:lvl>
    <w:lvl w:ilvl="1" w:tplc="FFFFFFFF">
      <w:start w:val="1"/>
      <w:numFmt w:val="lowerRoman"/>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0E4F37"/>
    <w:multiLevelType w:val="hybridMultilevel"/>
    <w:tmpl w:val="281C0C7A"/>
    <w:lvl w:ilvl="0" w:tplc="4AB68A46">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E967B17"/>
    <w:multiLevelType w:val="hybridMultilevel"/>
    <w:tmpl w:val="EE6AF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166742894">
    <w:abstractNumId w:val="1"/>
  </w:num>
  <w:num w:numId="2" w16cid:durableId="1748070948">
    <w:abstractNumId w:val="0"/>
  </w:num>
  <w:num w:numId="3" w16cid:durableId="1743720770">
    <w:abstractNumId w:val="5"/>
  </w:num>
  <w:num w:numId="4" w16cid:durableId="2059889214">
    <w:abstractNumId w:val="17"/>
  </w:num>
  <w:num w:numId="5" w16cid:durableId="342125038">
    <w:abstractNumId w:val="21"/>
  </w:num>
  <w:num w:numId="6" w16cid:durableId="1591232179">
    <w:abstractNumId w:val="12"/>
  </w:num>
  <w:num w:numId="7" w16cid:durableId="5380506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6627128">
    <w:abstractNumId w:val="9"/>
  </w:num>
  <w:num w:numId="9" w16cid:durableId="741414294">
    <w:abstractNumId w:val="2"/>
  </w:num>
  <w:num w:numId="10" w16cid:durableId="443304929">
    <w:abstractNumId w:val="6"/>
  </w:num>
  <w:num w:numId="11" w16cid:durableId="65541204">
    <w:abstractNumId w:val="4"/>
  </w:num>
  <w:num w:numId="12" w16cid:durableId="1246569396">
    <w:abstractNumId w:val="3"/>
  </w:num>
  <w:num w:numId="13" w16cid:durableId="1031537219">
    <w:abstractNumId w:val="22"/>
  </w:num>
  <w:num w:numId="14" w16cid:durableId="1472677934">
    <w:abstractNumId w:val="11"/>
  </w:num>
  <w:num w:numId="15" w16cid:durableId="197933437">
    <w:abstractNumId w:val="8"/>
  </w:num>
  <w:num w:numId="16" w16cid:durableId="4015116">
    <w:abstractNumId w:val="10"/>
  </w:num>
  <w:num w:numId="17" w16cid:durableId="1425422388">
    <w:abstractNumId w:val="18"/>
  </w:num>
  <w:num w:numId="18" w16cid:durableId="1400329552">
    <w:abstractNumId w:val="20"/>
  </w:num>
  <w:num w:numId="19" w16cid:durableId="1664240642">
    <w:abstractNumId w:val="15"/>
  </w:num>
  <w:num w:numId="20" w16cid:durableId="1328052458">
    <w:abstractNumId w:val="19"/>
  </w:num>
  <w:num w:numId="21" w16cid:durableId="1640647289">
    <w:abstractNumId w:val="7"/>
  </w:num>
  <w:num w:numId="22" w16cid:durableId="2113237403">
    <w:abstractNumId w:val="16"/>
  </w:num>
  <w:num w:numId="23" w16cid:durableId="1012222341">
    <w:abstractNumId w:val="14"/>
  </w:num>
  <w:num w:numId="24" w16cid:durableId="2146896661">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172A"/>
    <w:rsid w:val="00004ED1"/>
    <w:rsid w:val="00005D98"/>
    <w:rsid w:val="00005F96"/>
    <w:rsid w:val="00007262"/>
    <w:rsid w:val="00010789"/>
    <w:rsid w:val="00011391"/>
    <w:rsid w:val="00011C96"/>
    <w:rsid w:val="000141B9"/>
    <w:rsid w:val="00014E49"/>
    <w:rsid w:val="00020E4C"/>
    <w:rsid w:val="00023CE3"/>
    <w:rsid w:val="00027E20"/>
    <w:rsid w:val="000314B2"/>
    <w:rsid w:val="00031F27"/>
    <w:rsid w:val="00034A19"/>
    <w:rsid w:val="00036F9E"/>
    <w:rsid w:val="000413B3"/>
    <w:rsid w:val="0004532F"/>
    <w:rsid w:val="000453D9"/>
    <w:rsid w:val="00045D7D"/>
    <w:rsid w:val="00050E05"/>
    <w:rsid w:val="000573E5"/>
    <w:rsid w:val="00057B71"/>
    <w:rsid w:val="00063A1F"/>
    <w:rsid w:val="0006638F"/>
    <w:rsid w:val="0007202C"/>
    <w:rsid w:val="0007288B"/>
    <w:rsid w:val="00072B30"/>
    <w:rsid w:val="00072B8C"/>
    <w:rsid w:val="0007319C"/>
    <w:rsid w:val="000732AA"/>
    <w:rsid w:val="00073F77"/>
    <w:rsid w:val="00075EB2"/>
    <w:rsid w:val="000767DD"/>
    <w:rsid w:val="0008011A"/>
    <w:rsid w:val="00080C07"/>
    <w:rsid w:val="00084F8B"/>
    <w:rsid w:val="000851D0"/>
    <w:rsid w:val="00086476"/>
    <w:rsid w:val="00086D07"/>
    <w:rsid w:val="00086F71"/>
    <w:rsid w:val="00087871"/>
    <w:rsid w:val="00093915"/>
    <w:rsid w:val="000949AD"/>
    <w:rsid w:val="00095109"/>
    <w:rsid w:val="00096B0F"/>
    <w:rsid w:val="000A1A15"/>
    <w:rsid w:val="000A490E"/>
    <w:rsid w:val="000A5938"/>
    <w:rsid w:val="000A7CAB"/>
    <w:rsid w:val="000B04C5"/>
    <w:rsid w:val="000B2082"/>
    <w:rsid w:val="000B63CA"/>
    <w:rsid w:val="000B752A"/>
    <w:rsid w:val="000C14D9"/>
    <w:rsid w:val="000C15C7"/>
    <w:rsid w:val="000D0A22"/>
    <w:rsid w:val="000D27B8"/>
    <w:rsid w:val="000D4EDE"/>
    <w:rsid w:val="000E2460"/>
    <w:rsid w:val="000E43AC"/>
    <w:rsid w:val="000E6E37"/>
    <w:rsid w:val="000E71FC"/>
    <w:rsid w:val="000E7E1E"/>
    <w:rsid w:val="000F0E6F"/>
    <w:rsid w:val="000F456C"/>
    <w:rsid w:val="001018A5"/>
    <w:rsid w:val="00106F56"/>
    <w:rsid w:val="00115A39"/>
    <w:rsid w:val="00116AEF"/>
    <w:rsid w:val="00117479"/>
    <w:rsid w:val="00123576"/>
    <w:rsid w:val="00123F01"/>
    <w:rsid w:val="001241CB"/>
    <w:rsid w:val="00124B21"/>
    <w:rsid w:val="0012658E"/>
    <w:rsid w:val="00132018"/>
    <w:rsid w:val="001327B8"/>
    <w:rsid w:val="0013471B"/>
    <w:rsid w:val="00134B76"/>
    <w:rsid w:val="001352D4"/>
    <w:rsid w:val="00142132"/>
    <w:rsid w:val="00153D2E"/>
    <w:rsid w:val="00153DDC"/>
    <w:rsid w:val="00155789"/>
    <w:rsid w:val="00157C98"/>
    <w:rsid w:val="00160266"/>
    <w:rsid w:val="00164A0D"/>
    <w:rsid w:val="001653B6"/>
    <w:rsid w:val="00165BF6"/>
    <w:rsid w:val="0016721D"/>
    <w:rsid w:val="001714C2"/>
    <w:rsid w:val="001719BA"/>
    <w:rsid w:val="00174039"/>
    <w:rsid w:val="00174B0F"/>
    <w:rsid w:val="00174D06"/>
    <w:rsid w:val="0018235E"/>
    <w:rsid w:val="00184187"/>
    <w:rsid w:val="001848B7"/>
    <w:rsid w:val="00192CB6"/>
    <w:rsid w:val="00195C4A"/>
    <w:rsid w:val="001A4EA4"/>
    <w:rsid w:val="001A664F"/>
    <w:rsid w:val="001A785B"/>
    <w:rsid w:val="001B2DB7"/>
    <w:rsid w:val="001B3A9F"/>
    <w:rsid w:val="001B5247"/>
    <w:rsid w:val="001C4E2B"/>
    <w:rsid w:val="001C5D34"/>
    <w:rsid w:val="001D0C02"/>
    <w:rsid w:val="001D3D43"/>
    <w:rsid w:val="001D5F02"/>
    <w:rsid w:val="001D6604"/>
    <w:rsid w:val="001E0CBF"/>
    <w:rsid w:val="001E0F51"/>
    <w:rsid w:val="001E55BF"/>
    <w:rsid w:val="001E6BCB"/>
    <w:rsid w:val="001F44B5"/>
    <w:rsid w:val="001F6E1A"/>
    <w:rsid w:val="001F780A"/>
    <w:rsid w:val="001F7917"/>
    <w:rsid w:val="00200613"/>
    <w:rsid w:val="002020AE"/>
    <w:rsid w:val="002031FA"/>
    <w:rsid w:val="0020568F"/>
    <w:rsid w:val="00211AFD"/>
    <w:rsid w:val="00213894"/>
    <w:rsid w:val="00213909"/>
    <w:rsid w:val="00214883"/>
    <w:rsid w:val="00214B64"/>
    <w:rsid w:val="0021553E"/>
    <w:rsid w:val="002156F6"/>
    <w:rsid w:val="00220550"/>
    <w:rsid w:val="00222497"/>
    <w:rsid w:val="00226AE0"/>
    <w:rsid w:val="002301A2"/>
    <w:rsid w:val="00236C2D"/>
    <w:rsid w:val="00237201"/>
    <w:rsid w:val="002374B7"/>
    <w:rsid w:val="00240126"/>
    <w:rsid w:val="00241D16"/>
    <w:rsid w:val="00242384"/>
    <w:rsid w:val="0024304D"/>
    <w:rsid w:val="00243F15"/>
    <w:rsid w:val="00244826"/>
    <w:rsid w:val="00245E1B"/>
    <w:rsid w:val="00246839"/>
    <w:rsid w:val="00247ACA"/>
    <w:rsid w:val="002511F8"/>
    <w:rsid w:val="0025287F"/>
    <w:rsid w:val="00252E6A"/>
    <w:rsid w:val="00255A20"/>
    <w:rsid w:val="0025782A"/>
    <w:rsid w:val="0026024D"/>
    <w:rsid w:val="00263414"/>
    <w:rsid w:val="002640B8"/>
    <w:rsid w:val="002658A2"/>
    <w:rsid w:val="002661A6"/>
    <w:rsid w:val="00266C23"/>
    <w:rsid w:val="00274E81"/>
    <w:rsid w:val="00277D6C"/>
    <w:rsid w:val="00286EAD"/>
    <w:rsid w:val="00287F47"/>
    <w:rsid w:val="00292A60"/>
    <w:rsid w:val="0029389B"/>
    <w:rsid w:val="002A144F"/>
    <w:rsid w:val="002A1894"/>
    <w:rsid w:val="002A2188"/>
    <w:rsid w:val="002A36F2"/>
    <w:rsid w:val="002A3F88"/>
    <w:rsid w:val="002A5205"/>
    <w:rsid w:val="002A7D14"/>
    <w:rsid w:val="002B0913"/>
    <w:rsid w:val="002B28E4"/>
    <w:rsid w:val="002B49A3"/>
    <w:rsid w:val="002B7504"/>
    <w:rsid w:val="002C0D97"/>
    <w:rsid w:val="002C5B3B"/>
    <w:rsid w:val="002C66D1"/>
    <w:rsid w:val="002C7065"/>
    <w:rsid w:val="002C7D73"/>
    <w:rsid w:val="002C7F4A"/>
    <w:rsid w:val="002D2804"/>
    <w:rsid w:val="002D4B6C"/>
    <w:rsid w:val="002D5274"/>
    <w:rsid w:val="002E1EE3"/>
    <w:rsid w:val="002E5AC9"/>
    <w:rsid w:val="002E7454"/>
    <w:rsid w:val="002F0135"/>
    <w:rsid w:val="002F0C2C"/>
    <w:rsid w:val="002F3829"/>
    <w:rsid w:val="00300655"/>
    <w:rsid w:val="00301ADC"/>
    <w:rsid w:val="00301BB1"/>
    <w:rsid w:val="00301E4F"/>
    <w:rsid w:val="00303D18"/>
    <w:rsid w:val="00307ADD"/>
    <w:rsid w:val="00307E55"/>
    <w:rsid w:val="00312A66"/>
    <w:rsid w:val="003130CA"/>
    <w:rsid w:val="003163CB"/>
    <w:rsid w:val="003168B5"/>
    <w:rsid w:val="00316B8A"/>
    <w:rsid w:val="00321180"/>
    <w:rsid w:val="0032180D"/>
    <w:rsid w:val="003240C0"/>
    <w:rsid w:val="003306A5"/>
    <w:rsid w:val="00336DA1"/>
    <w:rsid w:val="00344BEE"/>
    <w:rsid w:val="00355D40"/>
    <w:rsid w:val="003605F9"/>
    <w:rsid w:val="00360C32"/>
    <w:rsid w:val="003669CB"/>
    <w:rsid w:val="00371106"/>
    <w:rsid w:val="00371AAC"/>
    <w:rsid w:val="00371F54"/>
    <w:rsid w:val="003723C0"/>
    <w:rsid w:val="0037770C"/>
    <w:rsid w:val="00377C8B"/>
    <w:rsid w:val="00382341"/>
    <w:rsid w:val="00383A95"/>
    <w:rsid w:val="00383BC0"/>
    <w:rsid w:val="00384574"/>
    <w:rsid w:val="00385CA0"/>
    <w:rsid w:val="00393413"/>
    <w:rsid w:val="0039585F"/>
    <w:rsid w:val="003A2733"/>
    <w:rsid w:val="003A3021"/>
    <w:rsid w:val="003A438F"/>
    <w:rsid w:val="003A4483"/>
    <w:rsid w:val="003A4D41"/>
    <w:rsid w:val="003A627E"/>
    <w:rsid w:val="003A79EE"/>
    <w:rsid w:val="003B6A65"/>
    <w:rsid w:val="003B6E16"/>
    <w:rsid w:val="003C180A"/>
    <w:rsid w:val="003C1E25"/>
    <w:rsid w:val="003C5307"/>
    <w:rsid w:val="003C76D4"/>
    <w:rsid w:val="003D27CB"/>
    <w:rsid w:val="003D292C"/>
    <w:rsid w:val="003D329D"/>
    <w:rsid w:val="003E6797"/>
    <w:rsid w:val="003E6BF6"/>
    <w:rsid w:val="003F0F0D"/>
    <w:rsid w:val="003F76D0"/>
    <w:rsid w:val="0040173E"/>
    <w:rsid w:val="00402048"/>
    <w:rsid w:val="0041012D"/>
    <w:rsid w:val="004107E9"/>
    <w:rsid w:val="00435339"/>
    <w:rsid w:val="004410DC"/>
    <w:rsid w:val="0044447D"/>
    <w:rsid w:val="0044482D"/>
    <w:rsid w:val="0045066A"/>
    <w:rsid w:val="00450C67"/>
    <w:rsid w:val="0045404C"/>
    <w:rsid w:val="00457EE7"/>
    <w:rsid w:val="0046020A"/>
    <w:rsid w:val="00460CF7"/>
    <w:rsid w:val="004639B5"/>
    <w:rsid w:val="00463FA8"/>
    <w:rsid w:val="00464196"/>
    <w:rsid w:val="00465ADB"/>
    <w:rsid w:val="00466648"/>
    <w:rsid w:val="0047128C"/>
    <w:rsid w:val="00472CBC"/>
    <w:rsid w:val="004765B3"/>
    <w:rsid w:val="004843CA"/>
    <w:rsid w:val="00490946"/>
    <w:rsid w:val="00493DAA"/>
    <w:rsid w:val="00494335"/>
    <w:rsid w:val="00495A4C"/>
    <w:rsid w:val="004967A1"/>
    <w:rsid w:val="004A0FE7"/>
    <w:rsid w:val="004A1AB5"/>
    <w:rsid w:val="004A704C"/>
    <w:rsid w:val="004B584E"/>
    <w:rsid w:val="004B5BEE"/>
    <w:rsid w:val="004B703C"/>
    <w:rsid w:val="004C036B"/>
    <w:rsid w:val="004C1106"/>
    <w:rsid w:val="004C6D4B"/>
    <w:rsid w:val="004C6EB8"/>
    <w:rsid w:val="004C766B"/>
    <w:rsid w:val="004D33E3"/>
    <w:rsid w:val="004D76C1"/>
    <w:rsid w:val="004D7C22"/>
    <w:rsid w:val="004D7FD7"/>
    <w:rsid w:val="004E2269"/>
    <w:rsid w:val="004E451A"/>
    <w:rsid w:val="004F0AE7"/>
    <w:rsid w:val="004F0E3E"/>
    <w:rsid w:val="004F3339"/>
    <w:rsid w:val="004F526B"/>
    <w:rsid w:val="004F72A2"/>
    <w:rsid w:val="004F78E5"/>
    <w:rsid w:val="005020B3"/>
    <w:rsid w:val="005026D4"/>
    <w:rsid w:val="00502C98"/>
    <w:rsid w:val="00503A51"/>
    <w:rsid w:val="00506774"/>
    <w:rsid w:val="00507F34"/>
    <w:rsid w:val="0051183A"/>
    <w:rsid w:val="00512309"/>
    <w:rsid w:val="00523AC8"/>
    <w:rsid w:val="00540E36"/>
    <w:rsid w:val="00541D54"/>
    <w:rsid w:val="00542522"/>
    <w:rsid w:val="00543472"/>
    <w:rsid w:val="0054526E"/>
    <w:rsid w:val="00545CE1"/>
    <w:rsid w:val="00546297"/>
    <w:rsid w:val="005474A6"/>
    <w:rsid w:val="00547553"/>
    <w:rsid w:val="005476B5"/>
    <w:rsid w:val="00551557"/>
    <w:rsid w:val="005549D7"/>
    <w:rsid w:val="005602DA"/>
    <w:rsid w:val="00562087"/>
    <w:rsid w:val="00563F3A"/>
    <w:rsid w:val="005651E9"/>
    <w:rsid w:val="00565E0A"/>
    <w:rsid w:val="005678FC"/>
    <w:rsid w:val="0057138A"/>
    <w:rsid w:val="00573327"/>
    <w:rsid w:val="00573C66"/>
    <w:rsid w:val="00574557"/>
    <w:rsid w:val="00577D9B"/>
    <w:rsid w:val="005813A9"/>
    <w:rsid w:val="005921A3"/>
    <w:rsid w:val="00592F64"/>
    <w:rsid w:val="00597F83"/>
    <w:rsid w:val="005A3F63"/>
    <w:rsid w:val="005A59D0"/>
    <w:rsid w:val="005B073E"/>
    <w:rsid w:val="005B227F"/>
    <w:rsid w:val="005B24A9"/>
    <w:rsid w:val="005B7801"/>
    <w:rsid w:val="005C5891"/>
    <w:rsid w:val="005C641B"/>
    <w:rsid w:val="005D04CC"/>
    <w:rsid w:val="005D5FAE"/>
    <w:rsid w:val="005E4BC9"/>
    <w:rsid w:val="005F29B7"/>
    <w:rsid w:val="005F33EA"/>
    <w:rsid w:val="006024F5"/>
    <w:rsid w:val="00606EB5"/>
    <w:rsid w:val="00606FC8"/>
    <w:rsid w:val="00616C90"/>
    <w:rsid w:val="00617FDA"/>
    <w:rsid w:val="0062116F"/>
    <w:rsid w:val="00623FD7"/>
    <w:rsid w:val="00626087"/>
    <w:rsid w:val="00630163"/>
    <w:rsid w:val="00634E4C"/>
    <w:rsid w:val="00636B8B"/>
    <w:rsid w:val="00641EAA"/>
    <w:rsid w:val="006427FE"/>
    <w:rsid w:val="00642E4C"/>
    <w:rsid w:val="006506C1"/>
    <w:rsid w:val="00657459"/>
    <w:rsid w:val="0065747A"/>
    <w:rsid w:val="00662E28"/>
    <w:rsid w:val="00663820"/>
    <w:rsid w:val="0066674D"/>
    <w:rsid w:val="00666A78"/>
    <w:rsid w:val="00670A53"/>
    <w:rsid w:val="00670B59"/>
    <w:rsid w:val="00676C12"/>
    <w:rsid w:val="0069375D"/>
    <w:rsid w:val="0069407C"/>
    <w:rsid w:val="0069574E"/>
    <w:rsid w:val="006969C0"/>
    <w:rsid w:val="006A1921"/>
    <w:rsid w:val="006A1B8B"/>
    <w:rsid w:val="006A2303"/>
    <w:rsid w:val="006A2C82"/>
    <w:rsid w:val="006A2E5B"/>
    <w:rsid w:val="006A7209"/>
    <w:rsid w:val="006B108C"/>
    <w:rsid w:val="006B7FC5"/>
    <w:rsid w:val="006C1876"/>
    <w:rsid w:val="006D125C"/>
    <w:rsid w:val="006D2A45"/>
    <w:rsid w:val="006D315C"/>
    <w:rsid w:val="006D71B8"/>
    <w:rsid w:val="006E4272"/>
    <w:rsid w:val="006F145A"/>
    <w:rsid w:val="006F27CB"/>
    <w:rsid w:val="006F359B"/>
    <w:rsid w:val="006F4962"/>
    <w:rsid w:val="006F5865"/>
    <w:rsid w:val="00701EC6"/>
    <w:rsid w:val="00706179"/>
    <w:rsid w:val="007114BE"/>
    <w:rsid w:val="00714F78"/>
    <w:rsid w:val="007152B0"/>
    <w:rsid w:val="007170F7"/>
    <w:rsid w:val="00717589"/>
    <w:rsid w:val="00721C17"/>
    <w:rsid w:val="00722F9F"/>
    <w:rsid w:val="007253B8"/>
    <w:rsid w:val="007357FD"/>
    <w:rsid w:val="00736E7D"/>
    <w:rsid w:val="00741EDB"/>
    <w:rsid w:val="007509A6"/>
    <w:rsid w:val="00753F83"/>
    <w:rsid w:val="007541B0"/>
    <w:rsid w:val="0075469B"/>
    <w:rsid w:val="00755163"/>
    <w:rsid w:val="00756AAB"/>
    <w:rsid w:val="00757F63"/>
    <w:rsid w:val="007605EB"/>
    <w:rsid w:val="007645AE"/>
    <w:rsid w:val="00764992"/>
    <w:rsid w:val="00765749"/>
    <w:rsid w:val="00771075"/>
    <w:rsid w:val="0077507F"/>
    <w:rsid w:val="00775AA0"/>
    <w:rsid w:val="007770FA"/>
    <w:rsid w:val="00791738"/>
    <w:rsid w:val="00791780"/>
    <w:rsid w:val="007924B2"/>
    <w:rsid w:val="00792D37"/>
    <w:rsid w:val="00794AFA"/>
    <w:rsid w:val="00796469"/>
    <w:rsid w:val="007A0EB7"/>
    <w:rsid w:val="007B1CC2"/>
    <w:rsid w:val="007B2C90"/>
    <w:rsid w:val="007B6871"/>
    <w:rsid w:val="007B7899"/>
    <w:rsid w:val="007C08B1"/>
    <w:rsid w:val="007C2CC2"/>
    <w:rsid w:val="007C38BD"/>
    <w:rsid w:val="007C4F5A"/>
    <w:rsid w:val="007C79AA"/>
    <w:rsid w:val="007D31DA"/>
    <w:rsid w:val="007D3665"/>
    <w:rsid w:val="007D6911"/>
    <w:rsid w:val="007D72C5"/>
    <w:rsid w:val="007E1D1C"/>
    <w:rsid w:val="007E525D"/>
    <w:rsid w:val="007E5A0D"/>
    <w:rsid w:val="007F0323"/>
    <w:rsid w:val="007F379E"/>
    <w:rsid w:val="007F471C"/>
    <w:rsid w:val="00800C90"/>
    <w:rsid w:val="00804EE4"/>
    <w:rsid w:val="008125F8"/>
    <w:rsid w:val="0082050E"/>
    <w:rsid w:val="008208A8"/>
    <w:rsid w:val="008234D8"/>
    <w:rsid w:val="00823B49"/>
    <w:rsid w:val="00826012"/>
    <w:rsid w:val="00834CE0"/>
    <w:rsid w:val="0084110F"/>
    <w:rsid w:val="00844B1D"/>
    <w:rsid w:val="00844F5C"/>
    <w:rsid w:val="00845843"/>
    <w:rsid w:val="00846D34"/>
    <w:rsid w:val="00854C33"/>
    <w:rsid w:val="008567D0"/>
    <w:rsid w:val="008628CD"/>
    <w:rsid w:val="00863020"/>
    <w:rsid w:val="008637EC"/>
    <w:rsid w:val="00870BC6"/>
    <w:rsid w:val="00873384"/>
    <w:rsid w:val="008751A9"/>
    <w:rsid w:val="00875B66"/>
    <w:rsid w:val="00875DAD"/>
    <w:rsid w:val="00877B84"/>
    <w:rsid w:val="00877E5F"/>
    <w:rsid w:val="0088036D"/>
    <w:rsid w:val="00881155"/>
    <w:rsid w:val="00882892"/>
    <w:rsid w:val="008849E6"/>
    <w:rsid w:val="00885A14"/>
    <w:rsid w:val="0088689B"/>
    <w:rsid w:val="008909F6"/>
    <w:rsid w:val="00890FA0"/>
    <w:rsid w:val="008947BF"/>
    <w:rsid w:val="008A0CBE"/>
    <w:rsid w:val="008A1CA8"/>
    <w:rsid w:val="008A214D"/>
    <w:rsid w:val="008A2F99"/>
    <w:rsid w:val="008A6F4A"/>
    <w:rsid w:val="008A72D2"/>
    <w:rsid w:val="008A74A3"/>
    <w:rsid w:val="008B6868"/>
    <w:rsid w:val="008B6D24"/>
    <w:rsid w:val="008C34F7"/>
    <w:rsid w:val="008C6A43"/>
    <w:rsid w:val="008D080C"/>
    <w:rsid w:val="008D1867"/>
    <w:rsid w:val="008D6437"/>
    <w:rsid w:val="008D6EDF"/>
    <w:rsid w:val="008E3EF5"/>
    <w:rsid w:val="008E712A"/>
    <w:rsid w:val="008E7F32"/>
    <w:rsid w:val="008F33B5"/>
    <w:rsid w:val="008F4750"/>
    <w:rsid w:val="00901414"/>
    <w:rsid w:val="00906799"/>
    <w:rsid w:val="00911DBD"/>
    <w:rsid w:val="00913189"/>
    <w:rsid w:val="009136D0"/>
    <w:rsid w:val="009153E5"/>
    <w:rsid w:val="00921181"/>
    <w:rsid w:val="00921516"/>
    <w:rsid w:val="00922193"/>
    <w:rsid w:val="00922C7C"/>
    <w:rsid w:val="00924152"/>
    <w:rsid w:val="00926AE2"/>
    <w:rsid w:val="0093194D"/>
    <w:rsid w:val="00934C3F"/>
    <w:rsid w:val="009417AE"/>
    <w:rsid w:val="00945B3F"/>
    <w:rsid w:val="00950DCB"/>
    <w:rsid w:val="00951164"/>
    <w:rsid w:val="00951704"/>
    <w:rsid w:val="00952D47"/>
    <w:rsid w:val="00952D4C"/>
    <w:rsid w:val="00955257"/>
    <w:rsid w:val="00955F0A"/>
    <w:rsid w:val="00960246"/>
    <w:rsid w:val="00964F65"/>
    <w:rsid w:val="009720E1"/>
    <w:rsid w:val="00974F0E"/>
    <w:rsid w:val="00975CD7"/>
    <w:rsid w:val="00975F07"/>
    <w:rsid w:val="00980864"/>
    <w:rsid w:val="00980CA1"/>
    <w:rsid w:val="009820D0"/>
    <w:rsid w:val="00983345"/>
    <w:rsid w:val="00985E70"/>
    <w:rsid w:val="0098783B"/>
    <w:rsid w:val="00987C2A"/>
    <w:rsid w:val="00991A37"/>
    <w:rsid w:val="00993C2B"/>
    <w:rsid w:val="00996086"/>
    <w:rsid w:val="0099798A"/>
    <w:rsid w:val="009979F4"/>
    <w:rsid w:val="009A2245"/>
    <w:rsid w:val="009A246D"/>
    <w:rsid w:val="009A2682"/>
    <w:rsid w:val="009A45B2"/>
    <w:rsid w:val="009A5585"/>
    <w:rsid w:val="009A59D5"/>
    <w:rsid w:val="009B110E"/>
    <w:rsid w:val="009B161B"/>
    <w:rsid w:val="009B2CB7"/>
    <w:rsid w:val="009B4935"/>
    <w:rsid w:val="009B5357"/>
    <w:rsid w:val="009C2198"/>
    <w:rsid w:val="009C6E03"/>
    <w:rsid w:val="009D2DDD"/>
    <w:rsid w:val="009D2F27"/>
    <w:rsid w:val="009E0C10"/>
    <w:rsid w:val="009E4116"/>
    <w:rsid w:val="009E529F"/>
    <w:rsid w:val="00A009BE"/>
    <w:rsid w:val="00A078BC"/>
    <w:rsid w:val="00A10DA6"/>
    <w:rsid w:val="00A151E9"/>
    <w:rsid w:val="00A15DBB"/>
    <w:rsid w:val="00A207FF"/>
    <w:rsid w:val="00A259F2"/>
    <w:rsid w:val="00A26C51"/>
    <w:rsid w:val="00A2758A"/>
    <w:rsid w:val="00A33802"/>
    <w:rsid w:val="00A34ADD"/>
    <w:rsid w:val="00A37162"/>
    <w:rsid w:val="00A378F7"/>
    <w:rsid w:val="00A37E51"/>
    <w:rsid w:val="00A47CAF"/>
    <w:rsid w:val="00A50B51"/>
    <w:rsid w:val="00A51E2D"/>
    <w:rsid w:val="00A5319F"/>
    <w:rsid w:val="00A533A9"/>
    <w:rsid w:val="00A53690"/>
    <w:rsid w:val="00A62D31"/>
    <w:rsid w:val="00A63380"/>
    <w:rsid w:val="00A7558E"/>
    <w:rsid w:val="00A75F33"/>
    <w:rsid w:val="00A8129D"/>
    <w:rsid w:val="00A82188"/>
    <w:rsid w:val="00A865C7"/>
    <w:rsid w:val="00A909CC"/>
    <w:rsid w:val="00A942CA"/>
    <w:rsid w:val="00A94DC2"/>
    <w:rsid w:val="00A953FC"/>
    <w:rsid w:val="00A964A5"/>
    <w:rsid w:val="00A97E3B"/>
    <w:rsid w:val="00AA00CB"/>
    <w:rsid w:val="00AA20A1"/>
    <w:rsid w:val="00AA2EBB"/>
    <w:rsid w:val="00AA41F2"/>
    <w:rsid w:val="00AA555F"/>
    <w:rsid w:val="00AB039E"/>
    <w:rsid w:val="00AB1362"/>
    <w:rsid w:val="00AB4206"/>
    <w:rsid w:val="00AB556C"/>
    <w:rsid w:val="00AB6CCB"/>
    <w:rsid w:val="00AB791F"/>
    <w:rsid w:val="00AC2180"/>
    <w:rsid w:val="00AC4DF5"/>
    <w:rsid w:val="00AC6B54"/>
    <w:rsid w:val="00AC7E54"/>
    <w:rsid w:val="00AD1EF2"/>
    <w:rsid w:val="00AD508E"/>
    <w:rsid w:val="00AD72D9"/>
    <w:rsid w:val="00AE2689"/>
    <w:rsid w:val="00AE6A4E"/>
    <w:rsid w:val="00AE7B98"/>
    <w:rsid w:val="00AF129F"/>
    <w:rsid w:val="00AF67D4"/>
    <w:rsid w:val="00B0481C"/>
    <w:rsid w:val="00B04CD1"/>
    <w:rsid w:val="00B066C9"/>
    <w:rsid w:val="00B06E21"/>
    <w:rsid w:val="00B12983"/>
    <w:rsid w:val="00B12DC9"/>
    <w:rsid w:val="00B13F84"/>
    <w:rsid w:val="00B14604"/>
    <w:rsid w:val="00B15ABA"/>
    <w:rsid w:val="00B20F6D"/>
    <w:rsid w:val="00B20FA0"/>
    <w:rsid w:val="00B24DD4"/>
    <w:rsid w:val="00B2564F"/>
    <w:rsid w:val="00B33A8A"/>
    <w:rsid w:val="00B34339"/>
    <w:rsid w:val="00B407D8"/>
    <w:rsid w:val="00B40B7D"/>
    <w:rsid w:val="00B4222D"/>
    <w:rsid w:val="00B42B2F"/>
    <w:rsid w:val="00B445FE"/>
    <w:rsid w:val="00B44900"/>
    <w:rsid w:val="00B467F6"/>
    <w:rsid w:val="00B472E1"/>
    <w:rsid w:val="00B516AF"/>
    <w:rsid w:val="00B522DE"/>
    <w:rsid w:val="00B52821"/>
    <w:rsid w:val="00B56C63"/>
    <w:rsid w:val="00B60633"/>
    <w:rsid w:val="00B65DE8"/>
    <w:rsid w:val="00B664C7"/>
    <w:rsid w:val="00B670E9"/>
    <w:rsid w:val="00B67527"/>
    <w:rsid w:val="00B71170"/>
    <w:rsid w:val="00B80097"/>
    <w:rsid w:val="00B80BCE"/>
    <w:rsid w:val="00B81524"/>
    <w:rsid w:val="00B81740"/>
    <w:rsid w:val="00B83542"/>
    <w:rsid w:val="00B85437"/>
    <w:rsid w:val="00B85D7B"/>
    <w:rsid w:val="00B900EA"/>
    <w:rsid w:val="00B91069"/>
    <w:rsid w:val="00B92842"/>
    <w:rsid w:val="00B95FD3"/>
    <w:rsid w:val="00BA2713"/>
    <w:rsid w:val="00BA2941"/>
    <w:rsid w:val="00BA4693"/>
    <w:rsid w:val="00BA4C61"/>
    <w:rsid w:val="00BA627A"/>
    <w:rsid w:val="00BA665A"/>
    <w:rsid w:val="00BA7CAD"/>
    <w:rsid w:val="00BB22FA"/>
    <w:rsid w:val="00BC0D0D"/>
    <w:rsid w:val="00BC1147"/>
    <w:rsid w:val="00BC1E70"/>
    <w:rsid w:val="00BD12A1"/>
    <w:rsid w:val="00BD1D09"/>
    <w:rsid w:val="00BD30EE"/>
    <w:rsid w:val="00BD7B83"/>
    <w:rsid w:val="00BE53F0"/>
    <w:rsid w:val="00BE625B"/>
    <w:rsid w:val="00BF17C6"/>
    <w:rsid w:val="00BF5DAC"/>
    <w:rsid w:val="00BF6F09"/>
    <w:rsid w:val="00C00FDA"/>
    <w:rsid w:val="00C02EB9"/>
    <w:rsid w:val="00C0373C"/>
    <w:rsid w:val="00C04E4B"/>
    <w:rsid w:val="00C05AE1"/>
    <w:rsid w:val="00C06B75"/>
    <w:rsid w:val="00C11531"/>
    <w:rsid w:val="00C11B56"/>
    <w:rsid w:val="00C14C04"/>
    <w:rsid w:val="00C1529E"/>
    <w:rsid w:val="00C16045"/>
    <w:rsid w:val="00C175CC"/>
    <w:rsid w:val="00C21E27"/>
    <w:rsid w:val="00C2332A"/>
    <w:rsid w:val="00C251B5"/>
    <w:rsid w:val="00C27D70"/>
    <w:rsid w:val="00C31C58"/>
    <w:rsid w:val="00C35581"/>
    <w:rsid w:val="00C36BD6"/>
    <w:rsid w:val="00C42EA5"/>
    <w:rsid w:val="00C478B8"/>
    <w:rsid w:val="00C62BF5"/>
    <w:rsid w:val="00C636DA"/>
    <w:rsid w:val="00C672BA"/>
    <w:rsid w:val="00C67E22"/>
    <w:rsid w:val="00C72271"/>
    <w:rsid w:val="00C72A17"/>
    <w:rsid w:val="00C77F16"/>
    <w:rsid w:val="00C8103B"/>
    <w:rsid w:val="00C81356"/>
    <w:rsid w:val="00C813CD"/>
    <w:rsid w:val="00C858D9"/>
    <w:rsid w:val="00C86A64"/>
    <w:rsid w:val="00C87DA0"/>
    <w:rsid w:val="00C94CFE"/>
    <w:rsid w:val="00CA0ABC"/>
    <w:rsid w:val="00CA1F10"/>
    <w:rsid w:val="00CA3C79"/>
    <w:rsid w:val="00CA4E4D"/>
    <w:rsid w:val="00CA67D8"/>
    <w:rsid w:val="00CA6FF9"/>
    <w:rsid w:val="00CA73DA"/>
    <w:rsid w:val="00CB0B12"/>
    <w:rsid w:val="00CB2E3D"/>
    <w:rsid w:val="00CB4238"/>
    <w:rsid w:val="00CB5938"/>
    <w:rsid w:val="00CB5B27"/>
    <w:rsid w:val="00CC13F5"/>
    <w:rsid w:val="00CC1A64"/>
    <w:rsid w:val="00CC30A1"/>
    <w:rsid w:val="00CC34EB"/>
    <w:rsid w:val="00CC4C58"/>
    <w:rsid w:val="00CC66EA"/>
    <w:rsid w:val="00CD1253"/>
    <w:rsid w:val="00CD3C17"/>
    <w:rsid w:val="00CD6971"/>
    <w:rsid w:val="00CE1E39"/>
    <w:rsid w:val="00CE1F9C"/>
    <w:rsid w:val="00CE2E48"/>
    <w:rsid w:val="00CE6C9E"/>
    <w:rsid w:val="00CE7983"/>
    <w:rsid w:val="00CF0184"/>
    <w:rsid w:val="00CF34C7"/>
    <w:rsid w:val="00CF55F6"/>
    <w:rsid w:val="00CF59E0"/>
    <w:rsid w:val="00CF6672"/>
    <w:rsid w:val="00CF79C0"/>
    <w:rsid w:val="00D021F7"/>
    <w:rsid w:val="00D0248E"/>
    <w:rsid w:val="00D069C7"/>
    <w:rsid w:val="00D078A2"/>
    <w:rsid w:val="00D17740"/>
    <w:rsid w:val="00D21123"/>
    <w:rsid w:val="00D21142"/>
    <w:rsid w:val="00D2159D"/>
    <w:rsid w:val="00D26BB7"/>
    <w:rsid w:val="00D26F45"/>
    <w:rsid w:val="00D27BC6"/>
    <w:rsid w:val="00D27EDB"/>
    <w:rsid w:val="00D3090B"/>
    <w:rsid w:val="00D32F4E"/>
    <w:rsid w:val="00D35D6C"/>
    <w:rsid w:val="00D367EB"/>
    <w:rsid w:val="00D36C91"/>
    <w:rsid w:val="00D41871"/>
    <w:rsid w:val="00D45954"/>
    <w:rsid w:val="00D46152"/>
    <w:rsid w:val="00D461C2"/>
    <w:rsid w:val="00D5162F"/>
    <w:rsid w:val="00D575EC"/>
    <w:rsid w:val="00D615C7"/>
    <w:rsid w:val="00D61AAE"/>
    <w:rsid w:val="00D64CB8"/>
    <w:rsid w:val="00D66016"/>
    <w:rsid w:val="00D720AE"/>
    <w:rsid w:val="00D72FD8"/>
    <w:rsid w:val="00D75510"/>
    <w:rsid w:val="00D759EF"/>
    <w:rsid w:val="00D85669"/>
    <w:rsid w:val="00D92A45"/>
    <w:rsid w:val="00D9697A"/>
    <w:rsid w:val="00DA2B14"/>
    <w:rsid w:val="00DA3023"/>
    <w:rsid w:val="00DA4C48"/>
    <w:rsid w:val="00DA4CD8"/>
    <w:rsid w:val="00DA602A"/>
    <w:rsid w:val="00DA727D"/>
    <w:rsid w:val="00DB53A7"/>
    <w:rsid w:val="00DB6A96"/>
    <w:rsid w:val="00DC71CF"/>
    <w:rsid w:val="00DD170F"/>
    <w:rsid w:val="00DD58AF"/>
    <w:rsid w:val="00DD5D5B"/>
    <w:rsid w:val="00DD7256"/>
    <w:rsid w:val="00DD7F67"/>
    <w:rsid w:val="00DE0A8A"/>
    <w:rsid w:val="00DE1106"/>
    <w:rsid w:val="00DE1750"/>
    <w:rsid w:val="00DF2F8B"/>
    <w:rsid w:val="00DF6837"/>
    <w:rsid w:val="00DF68E4"/>
    <w:rsid w:val="00DF6E54"/>
    <w:rsid w:val="00E04228"/>
    <w:rsid w:val="00E04457"/>
    <w:rsid w:val="00E04BBC"/>
    <w:rsid w:val="00E10450"/>
    <w:rsid w:val="00E14574"/>
    <w:rsid w:val="00E1478E"/>
    <w:rsid w:val="00E159D7"/>
    <w:rsid w:val="00E15F37"/>
    <w:rsid w:val="00E213AB"/>
    <w:rsid w:val="00E21653"/>
    <w:rsid w:val="00E21C9B"/>
    <w:rsid w:val="00E2298D"/>
    <w:rsid w:val="00E22FD8"/>
    <w:rsid w:val="00E2414E"/>
    <w:rsid w:val="00E25E14"/>
    <w:rsid w:val="00E26830"/>
    <w:rsid w:val="00E26FAF"/>
    <w:rsid w:val="00E33444"/>
    <w:rsid w:val="00E40B36"/>
    <w:rsid w:val="00E4225A"/>
    <w:rsid w:val="00E42AC0"/>
    <w:rsid w:val="00E51672"/>
    <w:rsid w:val="00E51C2C"/>
    <w:rsid w:val="00E51F13"/>
    <w:rsid w:val="00E522FC"/>
    <w:rsid w:val="00E54E9D"/>
    <w:rsid w:val="00E55B27"/>
    <w:rsid w:val="00E55EE5"/>
    <w:rsid w:val="00E56926"/>
    <w:rsid w:val="00E61784"/>
    <w:rsid w:val="00E625B3"/>
    <w:rsid w:val="00E64743"/>
    <w:rsid w:val="00E66C87"/>
    <w:rsid w:val="00E7257D"/>
    <w:rsid w:val="00E728CB"/>
    <w:rsid w:val="00E7336F"/>
    <w:rsid w:val="00E74F3B"/>
    <w:rsid w:val="00E76262"/>
    <w:rsid w:val="00E77613"/>
    <w:rsid w:val="00E82E2A"/>
    <w:rsid w:val="00E84A6B"/>
    <w:rsid w:val="00E92385"/>
    <w:rsid w:val="00E93F74"/>
    <w:rsid w:val="00E96DEA"/>
    <w:rsid w:val="00EA1585"/>
    <w:rsid w:val="00EA1C16"/>
    <w:rsid w:val="00EA332C"/>
    <w:rsid w:val="00EA48AE"/>
    <w:rsid w:val="00EA5E95"/>
    <w:rsid w:val="00EB09E2"/>
    <w:rsid w:val="00EB15A6"/>
    <w:rsid w:val="00EB6A4A"/>
    <w:rsid w:val="00EB74A5"/>
    <w:rsid w:val="00EC2614"/>
    <w:rsid w:val="00EC2904"/>
    <w:rsid w:val="00EC67E3"/>
    <w:rsid w:val="00ED4C82"/>
    <w:rsid w:val="00EE0126"/>
    <w:rsid w:val="00EE0C89"/>
    <w:rsid w:val="00EE4204"/>
    <w:rsid w:val="00EE47FE"/>
    <w:rsid w:val="00EE4C83"/>
    <w:rsid w:val="00EE50C6"/>
    <w:rsid w:val="00EE5D41"/>
    <w:rsid w:val="00EE766D"/>
    <w:rsid w:val="00EF2A15"/>
    <w:rsid w:val="00EF4C47"/>
    <w:rsid w:val="00EF5BFD"/>
    <w:rsid w:val="00EF7B33"/>
    <w:rsid w:val="00F00470"/>
    <w:rsid w:val="00F01C6F"/>
    <w:rsid w:val="00F0417E"/>
    <w:rsid w:val="00F0509B"/>
    <w:rsid w:val="00F06EE2"/>
    <w:rsid w:val="00F074DC"/>
    <w:rsid w:val="00F11D3C"/>
    <w:rsid w:val="00F15632"/>
    <w:rsid w:val="00F17535"/>
    <w:rsid w:val="00F20949"/>
    <w:rsid w:val="00F243F6"/>
    <w:rsid w:val="00F24F8F"/>
    <w:rsid w:val="00F25719"/>
    <w:rsid w:val="00F300DA"/>
    <w:rsid w:val="00F303B2"/>
    <w:rsid w:val="00F307E0"/>
    <w:rsid w:val="00F32AC7"/>
    <w:rsid w:val="00F3358D"/>
    <w:rsid w:val="00F34D63"/>
    <w:rsid w:val="00F361EB"/>
    <w:rsid w:val="00F41BD7"/>
    <w:rsid w:val="00F47197"/>
    <w:rsid w:val="00F57F7A"/>
    <w:rsid w:val="00F62D33"/>
    <w:rsid w:val="00F64AB3"/>
    <w:rsid w:val="00F655AA"/>
    <w:rsid w:val="00F6570B"/>
    <w:rsid w:val="00F66681"/>
    <w:rsid w:val="00F67615"/>
    <w:rsid w:val="00F76C98"/>
    <w:rsid w:val="00F7707E"/>
    <w:rsid w:val="00F804CD"/>
    <w:rsid w:val="00F80750"/>
    <w:rsid w:val="00F826F6"/>
    <w:rsid w:val="00F85F59"/>
    <w:rsid w:val="00F86538"/>
    <w:rsid w:val="00F86717"/>
    <w:rsid w:val="00F86DD4"/>
    <w:rsid w:val="00F90252"/>
    <w:rsid w:val="00F94E68"/>
    <w:rsid w:val="00F97C7A"/>
    <w:rsid w:val="00FA04F2"/>
    <w:rsid w:val="00FA22D7"/>
    <w:rsid w:val="00FA2909"/>
    <w:rsid w:val="00FA2931"/>
    <w:rsid w:val="00FA3CEC"/>
    <w:rsid w:val="00FB226A"/>
    <w:rsid w:val="00FB4CF2"/>
    <w:rsid w:val="00FC071B"/>
    <w:rsid w:val="00FC4845"/>
    <w:rsid w:val="00FC6B03"/>
    <w:rsid w:val="00FD06D5"/>
    <w:rsid w:val="00FD28FF"/>
    <w:rsid w:val="00FD68A1"/>
    <w:rsid w:val="00FD68A7"/>
    <w:rsid w:val="00FE0985"/>
    <w:rsid w:val="00FE419E"/>
    <w:rsid w:val="00FF2484"/>
    <w:rsid w:val="00FF4201"/>
    <w:rsid w:val="074A4F8A"/>
    <w:rsid w:val="0C622024"/>
    <w:rsid w:val="187B6D38"/>
    <w:rsid w:val="241F821D"/>
    <w:rsid w:val="288B49EA"/>
    <w:rsid w:val="34D4842D"/>
    <w:rsid w:val="39E4B6AE"/>
    <w:rsid w:val="5A924415"/>
    <w:rsid w:val="72FFB56B"/>
    <w:rsid w:val="749B85CC"/>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8DD4A"/>
  <w15:chartTrackingRefBased/>
  <w15:docId w15:val="{BB810C95-46CE-43A5-900F-FA887D3BF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character" w:styleId="UnresolvedMention">
    <w:name w:val="Unresolved Mention"/>
    <w:basedOn w:val="DefaultParagraphFont"/>
    <w:uiPriority w:val="99"/>
    <w:semiHidden/>
    <w:unhideWhenUsed/>
    <w:locked/>
    <w:rsid w:val="00670A53"/>
    <w:rPr>
      <w:color w:val="605E5C"/>
      <w:shd w:val="clear" w:color="auto" w:fill="E1DFDD"/>
    </w:rPr>
  </w:style>
  <w:style w:type="paragraph" w:styleId="Revision">
    <w:name w:val="Revision"/>
    <w:hidden/>
    <w:uiPriority w:val="99"/>
    <w:semiHidden/>
    <w:rsid w:val="00E77613"/>
    <w:pPr>
      <w:spacing w:after="0"/>
      <w:jc w:val="left"/>
    </w:pPr>
  </w:style>
  <w:style w:type="paragraph" w:customStyle="1" w:styleId="paragraph">
    <w:name w:val="paragraph"/>
    <w:basedOn w:val="Normal"/>
    <w:rsid w:val="002E5AC9"/>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2E5AC9"/>
  </w:style>
  <w:style w:type="character" w:customStyle="1" w:styleId="eop">
    <w:name w:val="eop"/>
    <w:basedOn w:val="DefaultParagraphFont"/>
    <w:rsid w:val="002E5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928121802">
      <w:bodyDiv w:val="1"/>
      <w:marLeft w:val="0"/>
      <w:marRight w:val="0"/>
      <w:marTop w:val="0"/>
      <w:marBottom w:val="0"/>
      <w:divBdr>
        <w:top w:val="none" w:sz="0" w:space="0" w:color="auto"/>
        <w:left w:val="none" w:sz="0" w:space="0" w:color="auto"/>
        <w:bottom w:val="none" w:sz="0" w:space="0" w:color="auto"/>
        <w:right w:val="none" w:sz="0" w:space="0" w:color="auto"/>
      </w:divBdr>
      <w:divsChild>
        <w:div w:id="572860624">
          <w:marLeft w:val="0"/>
          <w:marRight w:val="0"/>
          <w:marTop w:val="0"/>
          <w:marBottom w:val="0"/>
          <w:divBdr>
            <w:top w:val="none" w:sz="0" w:space="0" w:color="auto"/>
            <w:left w:val="none" w:sz="0" w:space="0" w:color="auto"/>
            <w:bottom w:val="none" w:sz="0" w:space="0" w:color="auto"/>
            <w:right w:val="none" w:sz="0" w:space="0" w:color="auto"/>
          </w:divBdr>
        </w:div>
        <w:div w:id="1256940664">
          <w:marLeft w:val="0"/>
          <w:marRight w:val="0"/>
          <w:marTop w:val="0"/>
          <w:marBottom w:val="0"/>
          <w:divBdr>
            <w:top w:val="none" w:sz="0" w:space="0" w:color="auto"/>
            <w:left w:val="none" w:sz="0" w:space="0" w:color="auto"/>
            <w:bottom w:val="none" w:sz="0" w:space="0" w:color="auto"/>
            <w:right w:val="none" w:sz="0" w:space="0" w:color="auto"/>
          </w:divBdr>
        </w:div>
        <w:div w:id="1963488869">
          <w:marLeft w:val="0"/>
          <w:marRight w:val="0"/>
          <w:marTop w:val="0"/>
          <w:marBottom w:val="0"/>
          <w:divBdr>
            <w:top w:val="none" w:sz="0" w:space="0" w:color="auto"/>
            <w:left w:val="none" w:sz="0" w:space="0" w:color="auto"/>
            <w:bottom w:val="none" w:sz="0" w:space="0" w:color="auto"/>
            <w:right w:val="none" w:sz="0" w:space="0" w:color="auto"/>
          </w:divBdr>
        </w:div>
      </w:divsChild>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369524968">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phase-2-depth"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2a8a7e8-49a1-4017-acf0-0edc7cce208b">
      <Value>11</Value>
    </TaxCatchAll>
    <SharedWithUsers xmlns="92a8a7e8-49a1-4017-acf0-0edc7cce208b">
      <UserInfo>
        <DisplayName>Sharon Kim</DisplayName>
        <AccountId>586</AccountId>
        <AccountType/>
      </UserInfo>
      <UserInfo>
        <DisplayName>Emily Doube</DisplayName>
        <AccountId>242</AccountId>
        <AccountType/>
      </UserInfo>
      <UserInfo>
        <DisplayName>Julia Horrocks</DisplayName>
        <AccountId>272</AccountId>
        <AccountType/>
      </UserInfo>
      <UserInfo>
        <DisplayName>Christopher Donovan</DisplayName>
        <AccountId>287</AccountId>
        <AccountType/>
      </UserInfo>
      <UserInfo>
        <DisplayName>Michele Owen</DisplayName>
        <AccountId>874</AccountId>
        <AccountType/>
      </UserInfo>
      <UserInfo>
        <DisplayName>WeeMing Ng</DisplayName>
        <AccountId>222</AccountId>
        <AccountType/>
      </UserInfo>
      <UserInfo>
        <DisplayName>Sam Knowles</DisplayName>
        <AccountId>149</AccountId>
        <AccountType/>
      </UserInfo>
      <UserInfo>
        <DisplayName>John Nalsson</DisplayName>
        <AccountId>290</AccountId>
        <AccountType/>
      </UserInfo>
      <UserInfo>
        <DisplayName>Tiffany Say</DisplayName>
        <AccountId>179</AccountId>
        <AccountType/>
      </UserInfo>
      <UserInfo>
        <DisplayName>Toni Michalis</DisplayName>
        <AccountId>479</AccountId>
        <AccountType/>
      </UserInfo>
      <UserInfo>
        <DisplayName>Padma Srivatsan</DisplayName>
        <AccountId>109</AccountId>
        <AccountType/>
      </UserInfo>
      <UserInfo>
        <DisplayName>Jocelyn Parker</DisplayName>
        <AccountId>23</AccountId>
        <AccountType/>
      </UserInfo>
      <UserInfo>
        <DisplayName>Alex Rusten</DisplayName>
        <AccountId>474</AccountId>
        <AccountType/>
      </UserInfo>
      <UserInfo>
        <DisplayName>Michael Murphy</DisplayName>
        <AccountId>85</AccountId>
        <AccountType/>
      </UserInfo>
      <UserInfo>
        <DisplayName>Greg Matsin</DisplayName>
        <AccountId>97</AccountId>
        <AccountType/>
      </UserInfo>
      <UserInfo>
        <DisplayName>Gurveen Singh</DisplayName>
        <AccountId>189</AccountId>
        <AccountType/>
      </UserInfo>
      <UserInfo>
        <DisplayName>Tim Sutton</DisplayName>
        <AccountId>475</AccountId>
        <AccountType/>
      </UserInfo>
    </SharedWithUsers>
    <APRASecurityClassification xmlns="92a8a7e8-49a1-4017-acf0-0edc7cce208b">OFFICIAL</APRASecurityClassification>
    <k4bcc0d734474fea9fb713d9c415b4b0 xmlns="92a8a7e8-49a1-4017-acf0-0edc7cce208b">
      <Terms xmlns="http://schemas.microsoft.com/office/infopath/2007/PartnerControls"/>
    </k4bcc0d734474fea9fb713d9c415b4b0>
    <i05115a133414b4dabee2531e4b46b67 xmlns="92a8a7e8-49a1-4017-acf0-0edc7cce208b">
      <Terms xmlns="http://schemas.microsoft.com/office/infopath/2007/PartnerControls"/>
    </i05115a133414b4dabee2531e4b46b67>
    <h67caa35a4114acd8e15fe89b3f29f9e xmlns="92a8a7e8-49a1-4017-acf0-0edc7cce208b">
      <Terms xmlns="http://schemas.microsoft.com/office/infopath/2007/PartnerControls"/>
    </h67caa35a4114acd8e15fe89b3f29f9e>
    <l003ee8eff60461aa1bd0027aba92ea4 xmlns="92a8a7e8-49a1-4017-acf0-0edc7cce208b">
      <Terms xmlns="http://schemas.microsoft.com/office/infopath/2007/PartnerControls">
        <TermInfo xmlns="http://schemas.microsoft.com/office/infopath/2007/PartnerControls">
          <TermName xmlns="http://schemas.microsoft.com/office/infopath/2007/PartnerControls">SUPER</TermName>
          <TermId xmlns="http://schemas.microsoft.com/office/infopath/2007/PartnerControls">622d8f75-8851-e311-9e2e-005056b54f10</TermId>
        </TermInfo>
      </Terms>
    </l003ee8eff60461aa1bd0027aba92ea4>
    <_ExtendedDescription xmlns="http://schemas.microsoft.com/sharepoint/v3">Explanatory Statement (ES) for Insurance (prudential standard) determinations No. 1-4 of 2022</_ExtendedDescription>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7" ma:contentTypeDescription="Create a new document." ma:contentTypeScope="" ma:versionID="2331766db4130645ec45f560b66a01a7">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c7b84690dd511863869f0c959d2cd8df"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2.xml><?xml version="1.0" encoding="utf-8"?>
<ds:datastoreItem xmlns:ds="http://schemas.openxmlformats.org/officeDocument/2006/customXml" ds:itemID="{EF8A39F2-5068-45BF-85CC-A816CCABDD3E}">
  <ds:schemaRef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1d7c3fb7-129d-404f-b43b-5fca561c442d"/>
    <ds:schemaRef ds:uri="http://purl.org/dc/elements/1.1/"/>
    <ds:schemaRef ds:uri="http://purl.org/dc/terms/"/>
    <ds:schemaRef ds:uri="http://schemas.microsoft.com/office/infopath/2007/PartnerControls"/>
    <ds:schemaRef ds:uri="07aa3df2-460d-49e8-907f-3d8dc3a26e76"/>
    <ds:schemaRef ds:uri="http://www.w3.org/XML/1998/namespace"/>
  </ds:schemaRefs>
</ds:datastoreItem>
</file>

<file path=customXml/itemProps3.xml><?xml version="1.0" encoding="utf-8"?>
<ds:datastoreItem xmlns:ds="http://schemas.openxmlformats.org/officeDocument/2006/customXml" ds:itemID="{91289977-4FCC-4144-9CCA-69B0FA195444}"/>
</file>

<file path=customXml/itemProps4.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1219</Words>
  <Characters>7202</Characters>
  <Application>Microsoft Office Word</Application>
  <DocSecurity>0</DocSecurity>
  <Lines>122</Lines>
  <Paragraphs>43</Paragraphs>
  <ScaleCrop>false</ScaleCrop>
  <HeadingPairs>
    <vt:vector size="2" baseType="variant">
      <vt:variant>
        <vt:lpstr>Title</vt:lpstr>
      </vt:variant>
      <vt:variant>
        <vt:i4>1</vt:i4>
      </vt:variant>
    </vt:vector>
  </HeadingPairs>
  <TitlesOfParts>
    <vt:vector size="1" baseType="lpstr">
      <vt:lpstr>ES - Insurance (prudential standard) determinations No. 1-4 of 2022</vt:lpstr>
    </vt:vector>
  </TitlesOfParts>
  <Company/>
  <LinksUpToDate>false</LinksUpToDate>
  <CharactersWithSpaces>8394</CharactersWithSpaces>
  <SharedDoc>false</SharedDoc>
  <HLinks>
    <vt:vector size="12" baseType="variant">
      <vt:variant>
        <vt:i4>6946865</vt:i4>
      </vt:variant>
      <vt:variant>
        <vt:i4>0</vt:i4>
      </vt:variant>
      <vt:variant>
        <vt:i4>0</vt:i4>
      </vt:variant>
      <vt:variant>
        <vt:i4>5</vt:i4>
      </vt:variant>
      <vt:variant>
        <vt:lpwstr>http://www.legislation.gov.au/</vt:lpwstr>
      </vt:variant>
      <vt:variant>
        <vt:lpwstr/>
      </vt:variant>
      <vt:variant>
        <vt:i4>786459</vt:i4>
      </vt:variant>
      <vt:variant>
        <vt:i4>0</vt:i4>
      </vt:variant>
      <vt:variant>
        <vt:i4>0</vt:i4>
      </vt:variant>
      <vt:variant>
        <vt:i4>5</vt:i4>
      </vt:variant>
      <vt:variant>
        <vt:lpwstr>https://www.apra.gov.au/phase-2-depth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Insurance (prudential standard) determinations No. 1-4 of 2022</dc:title>
  <dc:subject/>
  <dc:creator>Eleanor Earl</dc:creator>
  <cp:keywords>[SEC=OFFICIAL]</cp:keywords>
  <dc:description/>
  <cp:lastModifiedBy>Toni Michalis</cp:lastModifiedBy>
  <cp:revision>3</cp:revision>
  <cp:lastPrinted>2014-02-02T12:10:00Z</cp:lastPrinted>
  <dcterms:created xsi:type="dcterms:W3CDTF">2023-11-30T08:47:00Z</dcterms:created>
  <dcterms:modified xsi:type="dcterms:W3CDTF">2023-11-30T08:47:00Z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0x01010080D163DB4DEE504FAB457909715FEC45</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11;#SUPER|622d8f75-8851-e311-9e2e-005056b54f10</vt:lpwstr>
  </property>
  <property fmtid="{D5CDD505-2E9C-101B-9397-08002B2CF9AE}" pid="25" name="_dlc_DocIdItemGuid">
    <vt:lpwstr>33a7d03e-e905-47ce-84e3-db67c725ac11</vt:lpwstr>
  </property>
  <property fmtid="{D5CDD505-2E9C-101B-9397-08002B2CF9AE}" pid="26" name="APRACostCentre">
    <vt:lpwstr/>
  </property>
  <property fmtid="{D5CDD505-2E9C-101B-9397-08002B2CF9AE}" pid="27" name="IT system type">
    <vt:lpwstr/>
  </property>
  <property fmtid="{D5CDD505-2E9C-101B-9397-08002B2CF9AE}" pid="28" name="APRACategory">
    <vt:lpwstr/>
  </property>
  <property fmtid="{D5CDD505-2E9C-101B-9397-08002B2CF9AE}" pid="29" name="APRADocumentType">
    <vt:lpwstr>Explanatory statement</vt:lpwstr>
  </property>
  <property fmtid="{D5CDD505-2E9C-101B-9397-08002B2CF9AE}" pid="30" name="APRAStatus">
    <vt:lpwstr>Final</vt:lpwstr>
  </property>
  <property fmtid="{D5CDD505-2E9C-101B-9397-08002B2CF9AE}" pid="31" name="APRAActivity">
    <vt:lpwstr>Data collection; Development</vt:lpwstr>
  </property>
  <property fmtid="{D5CDD505-2E9C-101B-9397-08002B2CF9AE}" pid="32" name="APRAEntityAdviceSupport">
    <vt:lpwstr/>
  </property>
  <property fmtid="{D5CDD505-2E9C-101B-9397-08002B2CF9AE}" pid="33" name="APRALegislation">
    <vt:lpwstr/>
  </property>
  <property fmtid="{D5CDD505-2E9C-101B-9397-08002B2CF9AE}" pid="34" name="APRAExternalOrganisation">
    <vt:lpwstr/>
  </property>
  <property fmtid="{D5CDD505-2E9C-101B-9397-08002B2CF9AE}" pid="35" name="APRAIRTR">
    <vt:lpwstr/>
  </property>
  <property fmtid="{D5CDD505-2E9C-101B-9397-08002B2CF9AE}" pid="36" name="RecordPoint_WorkflowType">
    <vt:lpwstr>ActiveSubmitStub</vt:lpwstr>
  </property>
  <property fmtid="{D5CDD505-2E9C-101B-9397-08002B2CF9AE}" pid="37" name="RecordPoint_ActiveItemSiteId">
    <vt:lpwstr>{99f7d170-f886-4b78-8389-87e4657e4bc8}</vt:lpwstr>
  </property>
  <property fmtid="{D5CDD505-2E9C-101B-9397-08002B2CF9AE}" pid="38" name="RecordPoint_ActiveItemListId">
    <vt:lpwstr>{61fbfb6e-bac9-459c-9569-360598f35847}</vt:lpwstr>
  </property>
  <property fmtid="{D5CDD505-2E9C-101B-9397-08002B2CF9AE}" pid="39" name="RecordPoint_ActiveItemUniqueId">
    <vt:lpwstr>{33a7d03e-e905-47ce-84e3-db67c725ac11}</vt:lpwstr>
  </property>
  <property fmtid="{D5CDD505-2E9C-101B-9397-08002B2CF9AE}" pid="40" name="RecordPoint_ActiveItemWebId">
    <vt:lpwstr>{ad6dddf9-383b-42a4-9cb2-33e024a97839}</vt:lpwstr>
  </property>
  <property fmtid="{D5CDD505-2E9C-101B-9397-08002B2CF9AE}" pid="41" name="RecordPoint_RecordNumberSubmitted">
    <vt:lpwstr>R0001714446</vt:lpwstr>
  </property>
  <property fmtid="{D5CDD505-2E9C-101B-9397-08002B2CF9AE}" pid="42" name="PM_SecurityClassification_Prev">
    <vt:lpwstr>OFFICIAL</vt:lpwstr>
  </property>
  <property fmtid="{D5CDD505-2E9C-101B-9397-08002B2CF9AE}" pid="43" name="PM_Qualifier_Prev">
    <vt:lpwstr/>
  </property>
  <property fmtid="{D5CDD505-2E9C-101B-9397-08002B2CF9AE}" pid="44" name="RecordPoint_SubmissionDate">
    <vt:lpwstr/>
  </property>
  <property fmtid="{D5CDD505-2E9C-101B-9397-08002B2CF9AE}" pid="45" name="RecordPoint_ActiveItemMoved">
    <vt:lpwstr/>
  </property>
  <property fmtid="{D5CDD505-2E9C-101B-9397-08002B2CF9AE}" pid="46" name="RecordPoint_RecordFormat">
    <vt:lpwstr/>
  </property>
  <property fmtid="{D5CDD505-2E9C-101B-9397-08002B2CF9AE}" pid="47" name="MSIP_Label_c0129afb-6481-4f92-bc9f-5a4a6346364d_Name">
    <vt:lpwstr>OFFICIAL</vt:lpwstr>
  </property>
  <property fmtid="{D5CDD505-2E9C-101B-9397-08002B2CF9AE}" pid="48" name="MSIP_Label_c0129afb-6481-4f92-bc9f-5a4a6346364d_SiteId">
    <vt:lpwstr>c05e3ffd-b491-4431-9809-e61d4dc78816</vt:lpwstr>
  </property>
  <property fmtid="{D5CDD505-2E9C-101B-9397-08002B2CF9AE}" pid="49" name="MSIP_Label_c0129afb-6481-4f92-bc9f-5a4a6346364d_Enabled">
    <vt:lpwstr>true</vt:lpwstr>
  </property>
  <property fmtid="{D5CDD505-2E9C-101B-9397-08002B2CF9AE}" pid="50" name="PM_OriginationTimeStamp">
    <vt:lpwstr>2022-11-11T03:49:16Z</vt:lpwstr>
  </property>
  <property fmtid="{D5CDD505-2E9C-101B-9397-08002B2CF9AE}" pid="51" name="MSIP_Label_c0129afb-6481-4f92-bc9f-5a4a6346364d_SetDate">
    <vt:lpwstr>2022-11-11T03:49:16Z</vt:lpwstr>
  </property>
  <property fmtid="{D5CDD505-2E9C-101B-9397-08002B2CF9AE}" pid="52" name="IsLocked">
    <vt:lpwstr>Yes</vt:lpwstr>
  </property>
  <property fmtid="{D5CDD505-2E9C-101B-9397-08002B2CF9AE}" pid="53" name="RecordPoint_SubmissionCompleted">
    <vt:lpwstr>2022-12-07T17:16:32.7553891+11:00</vt:lpwstr>
  </property>
  <property fmtid="{D5CDD505-2E9C-101B-9397-08002B2CF9AE}" pid="54" name="Order">
    <vt:r8>11031400</vt:r8>
  </property>
  <property fmtid="{D5CDD505-2E9C-101B-9397-08002B2CF9AE}" pid="55" name="APRASecurityClassification">
    <vt:lpwstr>OFFICIAL</vt:lpwstr>
  </property>
  <property fmtid="{D5CDD505-2E9C-101B-9397-08002B2CF9AE}" pid="56" name="DocumentSetDescription">
    <vt:lpwstr>Explanatory Statement (ES) for Insurance (prudential standard) determinations No. 1-4 of 2022</vt:lpwstr>
  </property>
  <property fmtid="{D5CDD505-2E9C-101B-9397-08002B2CF9AE}" pid="57" name="_ExtendedDescription">
    <vt:lpwstr>Explanatory Statement (ES) for Insurance (prudential standard) determinations No. 1-4 of 2022</vt:lpwstr>
  </property>
  <property fmtid="{D5CDD505-2E9C-101B-9397-08002B2CF9AE}" pid="58" name="URL">
    <vt:lpwstr/>
  </property>
  <property fmtid="{D5CDD505-2E9C-101B-9397-08002B2CF9AE}" pid="59" name="MediaServiceImageTags">
    <vt:lpwstr/>
  </property>
  <property fmtid="{D5CDD505-2E9C-101B-9397-08002B2CF9AE}" pid="60" name="MSIP_Label_c0129afb-6481-4f92-bc9f-5a4a6346364d_Method">
    <vt:lpwstr>Privileged</vt:lpwstr>
  </property>
  <property fmtid="{D5CDD505-2E9C-101B-9397-08002B2CF9AE}" pid="61" name="MSIP_Label_c0129afb-6481-4f92-bc9f-5a4a6346364d_ContentBits">
    <vt:lpwstr>0</vt:lpwstr>
  </property>
  <property fmtid="{D5CDD505-2E9C-101B-9397-08002B2CF9AE}" pid="62" name="PM_Originator_Hash_SHA1">
    <vt:lpwstr>C3AD57350F36D8E1BD75F8F67CB06D435C9C43CA</vt:lpwstr>
  </property>
  <property fmtid="{D5CDD505-2E9C-101B-9397-08002B2CF9AE}" pid="63" name="PM_OriginatorUserAccountName_SHA256">
    <vt:lpwstr>6E3018F28A186D2E5FF5207C041E7A82E907C3008E071057026A53705873B72E</vt:lpwstr>
  </property>
  <property fmtid="{D5CDD505-2E9C-101B-9397-08002B2CF9AE}" pid="64" name="PM_Hash_Salt_Prev">
    <vt:lpwstr>9D0203B01ECF8BB46F63A9C07804AAE7</vt:lpwstr>
  </property>
  <property fmtid="{D5CDD505-2E9C-101B-9397-08002B2CF9AE}" pid="65" name="PM_Hash_Salt">
    <vt:lpwstr>CA194ACE8FE2145CAE225F8C729793A7</vt:lpwstr>
  </property>
  <property fmtid="{D5CDD505-2E9C-101B-9397-08002B2CF9AE}" pid="66" name="PM_Hash_SHA1">
    <vt:lpwstr>7246D296D50BDDBBF6218BB38992778477F86EAE</vt:lpwstr>
  </property>
  <property fmtid="{D5CDD505-2E9C-101B-9397-08002B2CF9AE}" pid="67" name="PMHMAC">
    <vt:lpwstr>v=2022.1;a=SHA256;h=40E62BC2356D00CFCDEFFD93F1303941F17DADC636A45E52819F9492B8C8B0E7</vt:lpwstr>
  </property>
  <property fmtid="{D5CDD505-2E9C-101B-9397-08002B2CF9AE}" pid="68" name="MSIP_Label_c0129afb-6481-4f92-bc9f-5a4a6346364d_ActionId">
    <vt:lpwstr>10436778d92a48859715f6e27fa85479</vt:lpwstr>
  </property>
</Properties>
</file>