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B6C8" w14:textId="323268FC" w:rsidR="00A019DA" w:rsidRPr="00C61C9E" w:rsidRDefault="007816F0" w:rsidP="01DD7B6A">
      <w:pPr>
        <w:spacing w:after="240"/>
        <w:jc w:val="center"/>
        <w:rPr>
          <w:rFonts w:ascii="Times New Roman" w:eastAsia="Times New Roman" w:hAnsi="Times New Roman"/>
          <w:b/>
          <w:bCs/>
          <w:i/>
          <w:sz w:val="24"/>
          <w:szCs w:val="24"/>
          <w:lang w:eastAsia="en-AU"/>
        </w:rPr>
      </w:pPr>
      <w:r w:rsidRPr="00C61C9E">
        <w:rPr>
          <w:rFonts w:ascii="Times New Roman" w:eastAsia="Times New Roman" w:hAnsi="Times New Roman"/>
          <w:b/>
          <w:bCs/>
          <w:i/>
          <w:sz w:val="24"/>
          <w:szCs w:val="24"/>
          <w:lang w:eastAsia="en-AU"/>
        </w:rPr>
        <w:t xml:space="preserve">Insurance, Life Insurance and </w:t>
      </w:r>
      <w:r w:rsidR="004F51B6" w:rsidRPr="00C61C9E">
        <w:rPr>
          <w:rFonts w:ascii="Times New Roman" w:eastAsia="Times New Roman" w:hAnsi="Times New Roman"/>
          <w:b/>
          <w:bCs/>
          <w:i/>
          <w:sz w:val="24"/>
          <w:szCs w:val="24"/>
          <w:lang w:eastAsia="en-AU"/>
        </w:rPr>
        <w:t xml:space="preserve">Health Insurance </w:t>
      </w:r>
      <w:r w:rsidR="00A019DA" w:rsidRPr="00C61C9E">
        <w:rPr>
          <w:rFonts w:ascii="Times New Roman" w:eastAsia="Times New Roman" w:hAnsi="Times New Roman"/>
          <w:b/>
          <w:bCs/>
          <w:i/>
          <w:sz w:val="24"/>
          <w:szCs w:val="24"/>
          <w:lang w:eastAsia="en-AU"/>
        </w:rPr>
        <w:t>(prudential standard</w:t>
      </w:r>
      <w:r w:rsidR="007A57EC" w:rsidRPr="00C61C9E">
        <w:rPr>
          <w:rFonts w:ascii="Times New Roman" w:eastAsia="Times New Roman" w:hAnsi="Times New Roman"/>
          <w:b/>
          <w:bCs/>
          <w:i/>
          <w:sz w:val="24"/>
          <w:szCs w:val="24"/>
          <w:lang w:eastAsia="en-AU"/>
        </w:rPr>
        <w:t>s</w:t>
      </w:r>
      <w:r w:rsidR="00A019DA" w:rsidRPr="00C61C9E">
        <w:rPr>
          <w:rFonts w:ascii="Times New Roman" w:eastAsia="Times New Roman" w:hAnsi="Times New Roman"/>
          <w:b/>
          <w:bCs/>
          <w:i/>
          <w:sz w:val="24"/>
          <w:szCs w:val="24"/>
          <w:lang w:eastAsia="en-AU"/>
        </w:rPr>
        <w:t xml:space="preserve">) </w:t>
      </w:r>
      <w:r w:rsidR="00A019DA" w:rsidRPr="00E268B5">
        <w:rPr>
          <w:rFonts w:ascii="Times New Roman" w:eastAsia="Times New Roman" w:hAnsi="Times New Roman"/>
          <w:b/>
          <w:bCs/>
          <w:i/>
          <w:sz w:val="24"/>
          <w:szCs w:val="24"/>
          <w:lang w:eastAsia="en-AU"/>
        </w:rPr>
        <w:t xml:space="preserve">determination </w:t>
      </w:r>
      <w:r w:rsidR="00587378" w:rsidRPr="00E268B5">
        <w:rPr>
          <w:rFonts w:ascii="Times New Roman" w:eastAsia="Times New Roman" w:hAnsi="Times New Roman"/>
          <w:b/>
          <w:bCs/>
          <w:i/>
          <w:sz w:val="24"/>
          <w:szCs w:val="24"/>
          <w:lang w:eastAsia="en-AU"/>
        </w:rPr>
        <w:t>1</w:t>
      </w:r>
      <w:r w:rsidR="004F51B6" w:rsidRPr="00E268B5">
        <w:rPr>
          <w:rFonts w:ascii="Times New Roman" w:eastAsia="Times New Roman" w:hAnsi="Times New Roman"/>
          <w:b/>
          <w:bCs/>
          <w:i/>
          <w:sz w:val="24"/>
          <w:szCs w:val="24"/>
          <w:lang w:eastAsia="en-AU"/>
        </w:rPr>
        <w:t xml:space="preserve"> of 20</w:t>
      </w:r>
      <w:r w:rsidR="00B93873" w:rsidRPr="00E268B5">
        <w:rPr>
          <w:rFonts w:ascii="Times New Roman" w:eastAsia="Times New Roman" w:hAnsi="Times New Roman"/>
          <w:b/>
          <w:bCs/>
          <w:i/>
          <w:sz w:val="24"/>
          <w:szCs w:val="24"/>
          <w:lang w:eastAsia="en-AU"/>
        </w:rPr>
        <w:t>23</w:t>
      </w:r>
    </w:p>
    <w:p w14:paraId="2FC7FA2A" w14:textId="2E536677" w:rsidR="00A019DA" w:rsidRPr="00CD2B30" w:rsidRDefault="00A019DA" w:rsidP="00B321B0">
      <w:pPr>
        <w:spacing w:after="240"/>
        <w:jc w:val="center"/>
        <w:rPr>
          <w:rFonts w:ascii="Times New Roman" w:eastAsia="Times New Roman" w:hAnsi="Times New Roman"/>
          <w:b/>
          <w:sz w:val="24"/>
          <w:szCs w:val="24"/>
          <w:lang w:eastAsia="en-AU"/>
        </w:rPr>
      </w:pPr>
      <w:bookmarkStart w:id="0" w:name="bkStart"/>
      <w:bookmarkStart w:id="1" w:name="bkInstrumentSubTitle"/>
      <w:bookmarkEnd w:id="0"/>
      <w:bookmarkEnd w:id="1"/>
      <w:r w:rsidRPr="00CD2B30">
        <w:rPr>
          <w:rFonts w:ascii="Times New Roman" w:eastAsia="Times New Roman" w:hAnsi="Times New Roman"/>
          <w:b/>
          <w:sz w:val="24"/>
          <w:szCs w:val="24"/>
          <w:u w:val="single"/>
          <w:lang w:eastAsia="en-AU"/>
        </w:rPr>
        <w:t>EXPLANATORY STATEMENT</w:t>
      </w:r>
    </w:p>
    <w:p w14:paraId="25D4D921" w14:textId="77777777" w:rsidR="00A019DA" w:rsidRPr="00CD2B30" w:rsidRDefault="00A019DA" w:rsidP="00B321B0">
      <w:pPr>
        <w:spacing w:after="240"/>
        <w:jc w:val="center"/>
        <w:rPr>
          <w:rFonts w:ascii="Times New Roman" w:eastAsia="Times New Roman" w:hAnsi="Times New Roman"/>
          <w:b/>
          <w:sz w:val="24"/>
          <w:szCs w:val="24"/>
          <w:lang w:eastAsia="en-AU"/>
        </w:rPr>
      </w:pPr>
      <w:r w:rsidRPr="00CD2B30">
        <w:rPr>
          <w:rFonts w:ascii="Times New Roman" w:eastAsia="Times New Roman" w:hAnsi="Times New Roman"/>
          <w:b/>
          <w:sz w:val="24"/>
          <w:szCs w:val="24"/>
          <w:lang w:eastAsia="en-AU"/>
        </w:rPr>
        <w:t>Prepared by the Australian Prudential Regulation Authority (</w:t>
      </w:r>
      <w:r w:rsidRPr="00CD2B30">
        <w:rPr>
          <w:rFonts w:ascii="Times New Roman" w:eastAsia="Times New Roman" w:hAnsi="Times New Roman"/>
          <w:b/>
          <w:iCs/>
          <w:sz w:val="24"/>
          <w:szCs w:val="24"/>
          <w:lang w:eastAsia="en-AU"/>
        </w:rPr>
        <w:t>APRA</w:t>
      </w:r>
      <w:r w:rsidRPr="00CD2B30">
        <w:rPr>
          <w:rFonts w:ascii="Times New Roman" w:eastAsia="Times New Roman" w:hAnsi="Times New Roman"/>
          <w:b/>
          <w:sz w:val="24"/>
          <w:szCs w:val="24"/>
          <w:lang w:eastAsia="en-AU"/>
        </w:rPr>
        <w:t>)</w:t>
      </w:r>
    </w:p>
    <w:p w14:paraId="47CE3B19" w14:textId="77777777" w:rsidR="007816F0" w:rsidRPr="00CD2B30" w:rsidRDefault="007816F0" w:rsidP="4669D386">
      <w:pPr>
        <w:shd w:val="clear" w:color="auto" w:fill="FFFFFF" w:themeFill="background1"/>
        <w:spacing w:after="240"/>
        <w:jc w:val="center"/>
        <w:rPr>
          <w:rFonts w:ascii="Times New Roman" w:hAnsi="Times New Roman"/>
          <w:sz w:val="24"/>
          <w:szCs w:val="24"/>
          <w:lang w:val="en-US"/>
        </w:rPr>
      </w:pPr>
      <w:bookmarkStart w:id="2" w:name="bkExplanatory"/>
      <w:bookmarkStart w:id="3" w:name="bkAct"/>
      <w:bookmarkEnd w:id="2"/>
      <w:bookmarkEnd w:id="3"/>
      <w:r w:rsidRPr="00CD2B30">
        <w:rPr>
          <w:rFonts w:ascii="Times New Roman" w:hAnsi="Times New Roman"/>
          <w:i/>
          <w:iCs/>
          <w:color w:val="000000" w:themeColor="text1"/>
          <w:sz w:val="24"/>
          <w:szCs w:val="24"/>
        </w:rPr>
        <w:t>Insurance Act 1973</w:t>
      </w:r>
      <w:r w:rsidRPr="00CD2B30">
        <w:rPr>
          <w:rFonts w:ascii="Times New Roman" w:hAnsi="Times New Roman"/>
          <w:color w:val="000000" w:themeColor="text1"/>
          <w:sz w:val="24"/>
          <w:szCs w:val="24"/>
        </w:rPr>
        <w:t>, section 32</w:t>
      </w:r>
    </w:p>
    <w:p w14:paraId="4DBDF75D" w14:textId="77777777" w:rsidR="007816F0" w:rsidRPr="00CD2B30" w:rsidRDefault="007816F0" w:rsidP="4669D386">
      <w:pPr>
        <w:shd w:val="clear" w:color="auto" w:fill="FFFFFF" w:themeFill="background1"/>
        <w:spacing w:after="240"/>
        <w:jc w:val="center"/>
        <w:rPr>
          <w:rFonts w:ascii="Times New Roman" w:hAnsi="Times New Roman"/>
          <w:color w:val="000000"/>
          <w:sz w:val="24"/>
          <w:szCs w:val="24"/>
        </w:rPr>
      </w:pPr>
      <w:r w:rsidRPr="00CD2B30">
        <w:rPr>
          <w:rFonts w:ascii="Times New Roman" w:hAnsi="Times New Roman"/>
          <w:i/>
          <w:iCs/>
          <w:color w:val="000000" w:themeColor="text1"/>
          <w:sz w:val="24"/>
          <w:szCs w:val="24"/>
        </w:rPr>
        <w:t>Life Insurance Act 1995</w:t>
      </w:r>
      <w:r w:rsidRPr="00CD2B30">
        <w:rPr>
          <w:rFonts w:ascii="Times New Roman" w:hAnsi="Times New Roman"/>
          <w:color w:val="000000" w:themeColor="text1"/>
          <w:sz w:val="24"/>
          <w:szCs w:val="24"/>
        </w:rPr>
        <w:t>, section 230A</w:t>
      </w:r>
    </w:p>
    <w:p w14:paraId="0BC776FE" w14:textId="77777777" w:rsidR="007816F0" w:rsidRPr="00CD2B30" w:rsidRDefault="007816F0" w:rsidP="007816F0">
      <w:pPr>
        <w:shd w:val="clear" w:color="auto" w:fill="FFFFFF" w:themeFill="background1"/>
        <w:jc w:val="center"/>
        <w:rPr>
          <w:rFonts w:ascii="Times New Roman" w:hAnsi="Times New Roman"/>
          <w:sz w:val="24"/>
          <w:szCs w:val="24"/>
          <w:lang w:val="en-US"/>
        </w:rPr>
      </w:pPr>
      <w:r w:rsidRPr="00CD2B30">
        <w:rPr>
          <w:rFonts w:ascii="Times New Roman" w:hAnsi="Times New Roman"/>
          <w:i/>
          <w:iCs/>
          <w:sz w:val="24"/>
          <w:szCs w:val="24"/>
          <w:shd w:val="clear" w:color="auto" w:fill="FFFFFF" w:themeFill="background1"/>
          <w:lang w:val="en-US"/>
        </w:rPr>
        <w:t>Private Health Insurance (Prudential Supervision) Act 2015</w:t>
      </w:r>
      <w:r w:rsidRPr="00CD2B30">
        <w:rPr>
          <w:rFonts w:ascii="Times New Roman" w:hAnsi="Times New Roman"/>
          <w:sz w:val="24"/>
          <w:szCs w:val="24"/>
          <w:shd w:val="clear" w:color="auto" w:fill="FFFFFF" w:themeFill="background1"/>
          <w:lang w:val="en-US"/>
        </w:rPr>
        <w:t>, section 92</w:t>
      </w:r>
    </w:p>
    <w:p w14:paraId="54F9522C" w14:textId="26822518" w:rsidR="01DD7B6A" w:rsidRPr="00CD2B30" w:rsidRDefault="01DD7B6A" w:rsidP="4669D386">
      <w:pPr>
        <w:shd w:val="clear" w:color="auto" w:fill="FFFFFF" w:themeFill="background1"/>
        <w:jc w:val="center"/>
        <w:rPr>
          <w:rFonts w:ascii="Times New Roman" w:hAnsi="Times New Roman"/>
          <w:sz w:val="24"/>
          <w:szCs w:val="24"/>
          <w:lang w:val="en-US"/>
        </w:rPr>
      </w:pPr>
    </w:p>
    <w:p w14:paraId="7E2C9755" w14:textId="5CFD285F" w:rsidR="007816F0" w:rsidRPr="00CD2B30" w:rsidRDefault="007816F0" w:rsidP="4669D386">
      <w:pPr>
        <w:shd w:val="clear" w:color="auto" w:fill="FFFFFF" w:themeFill="background1"/>
        <w:spacing w:before="100" w:beforeAutospacing="1" w:after="100" w:afterAutospacing="1"/>
        <w:jc w:val="both"/>
        <w:rPr>
          <w:rFonts w:ascii="Times New Roman" w:hAnsi="Times New Roman"/>
          <w:sz w:val="24"/>
          <w:szCs w:val="24"/>
          <w:lang w:val="en-US"/>
        </w:rPr>
      </w:pPr>
      <w:r w:rsidRPr="00CD2B30">
        <w:rPr>
          <w:rFonts w:ascii="Times New Roman" w:hAnsi="Times New Roman"/>
          <w:sz w:val="24"/>
          <w:szCs w:val="24"/>
        </w:rPr>
        <w:t xml:space="preserve">APRA may, in writing, determine </w:t>
      </w:r>
      <w:r w:rsidR="00CD2B30" w:rsidRPr="00CD2B30">
        <w:rPr>
          <w:rFonts w:ascii="Times New Roman" w:hAnsi="Times New Roman"/>
          <w:sz w:val="24"/>
          <w:szCs w:val="24"/>
        </w:rPr>
        <w:t xml:space="preserve">vary or revoke </w:t>
      </w:r>
      <w:r w:rsidRPr="00CD2B30">
        <w:rPr>
          <w:rFonts w:ascii="Times New Roman" w:hAnsi="Times New Roman"/>
          <w:sz w:val="24"/>
          <w:szCs w:val="24"/>
        </w:rPr>
        <w:t xml:space="preserve">a prudential standard that applies to an </w:t>
      </w:r>
      <w:r w:rsidR="007A57EC" w:rsidRPr="00CD2B30">
        <w:rPr>
          <w:rFonts w:ascii="Times New Roman" w:hAnsi="Times New Roman"/>
          <w:sz w:val="24"/>
          <w:szCs w:val="24"/>
        </w:rPr>
        <w:t xml:space="preserve">APRA-regulated </w:t>
      </w:r>
      <w:r w:rsidRPr="00CD2B30">
        <w:rPr>
          <w:rFonts w:ascii="Times New Roman" w:hAnsi="Times New Roman"/>
          <w:sz w:val="24"/>
          <w:szCs w:val="24"/>
        </w:rPr>
        <w:t>institution under:</w:t>
      </w:r>
    </w:p>
    <w:p w14:paraId="684ECDE5" w14:textId="0E3D559F" w:rsidR="007816F0" w:rsidRPr="00CD2B30" w:rsidRDefault="007816F0" w:rsidP="4669D386">
      <w:pPr>
        <w:shd w:val="clear" w:color="auto" w:fill="FFFFFF" w:themeFill="background1"/>
        <w:spacing w:before="100" w:beforeAutospacing="1" w:after="100" w:afterAutospacing="1"/>
        <w:ind w:left="567" w:hanging="567"/>
        <w:jc w:val="both"/>
        <w:rPr>
          <w:rFonts w:ascii="Times New Roman" w:hAnsi="Times New Roman"/>
          <w:sz w:val="24"/>
          <w:szCs w:val="24"/>
          <w:lang w:val="en-US"/>
        </w:rPr>
      </w:pPr>
      <w:r w:rsidRPr="00CD2B30">
        <w:rPr>
          <w:rFonts w:ascii="Times New Roman" w:hAnsi="Times New Roman"/>
          <w:sz w:val="24"/>
          <w:szCs w:val="24"/>
        </w:rPr>
        <w:t xml:space="preserve"> (1)</w:t>
      </w:r>
      <w:r w:rsidRPr="00CD2B30">
        <w:tab/>
      </w:r>
      <w:r w:rsidRPr="00CD2B30">
        <w:rPr>
          <w:rFonts w:ascii="Times New Roman" w:hAnsi="Times New Roman"/>
          <w:sz w:val="24"/>
          <w:szCs w:val="24"/>
        </w:rPr>
        <w:t>subsection</w:t>
      </w:r>
      <w:r w:rsidR="00CD2B30">
        <w:rPr>
          <w:rFonts w:ascii="Times New Roman" w:hAnsi="Times New Roman"/>
          <w:sz w:val="24"/>
          <w:szCs w:val="24"/>
        </w:rPr>
        <w:t>s</w:t>
      </w:r>
      <w:r w:rsidRPr="00CD2B30">
        <w:rPr>
          <w:rFonts w:ascii="Times New Roman" w:hAnsi="Times New Roman"/>
          <w:sz w:val="24"/>
          <w:szCs w:val="24"/>
        </w:rPr>
        <w:t xml:space="preserve"> 32(1) </w:t>
      </w:r>
      <w:r w:rsidR="00CD2B30">
        <w:rPr>
          <w:rFonts w:ascii="Times New Roman" w:hAnsi="Times New Roman"/>
          <w:sz w:val="24"/>
          <w:szCs w:val="24"/>
        </w:rPr>
        <w:t xml:space="preserve">and (4) </w:t>
      </w:r>
      <w:r w:rsidRPr="00CD2B30">
        <w:rPr>
          <w:rFonts w:ascii="Times New Roman" w:hAnsi="Times New Roman"/>
          <w:sz w:val="24"/>
          <w:szCs w:val="24"/>
        </w:rPr>
        <w:t xml:space="preserve">of the </w:t>
      </w:r>
      <w:r w:rsidRPr="00CD2B30">
        <w:rPr>
          <w:rFonts w:ascii="Times New Roman" w:hAnsi="Times New Roman"/>
          <w:i/>
          <w:iCs/>
          <w:sz w:val="24"/>
          <w:szCs w:val="24"/>
        </w:rPr>
        <w:t>Insurance Act 1973</w:t>
      </w:r>
      <w:r w:rsidRPr="00CD2B30">
        <w:rPr>
          <w:rFonts w:ascii="Times New Roman" w:hAnsi="Times New Roman"/>
          <w:sz w:val="24"/>
          <w:szCs w:val="24"/>
        </w:rPr>
        <w:t xml:space="preserve"> (Insurance Act), in relation to general insurers, authorised non-operating holding companies (authorised insurance NOHCs), and subsidiaries of general insurers and authorised insurance </w:t>
      </w:r>
      <w:proofErr w:type="gramStart"/>
      <w:r w:rsidRPr="00CD2B30">
        <w:rPr>
          <w:rFonts w:ascii="Times New Roman" w:hAnsi="Times New Roman"/>
          <w:sz w:val="24"/>
          <w:szCs w:val="24"/>
        </w:rPr>
        <w:t>NOHCs;</w:t>
      </w:r>
      <w:proofErr w:type="gramEnd"/>
      <w:r w:rsidRPr="00CD2B30">
        <w:rPr>
          <w:rFonts w:ascii="Times New Roman" w:hAnsi="Times New Roman"/>
          <w:sz w:val="24"/>
          <w:szCs w:val="24"/>
        </w:rPr>
        <w:t xml:space="preserve"> </w:t>
      </w:r>
    </w:p>
    <w:p w14:paraId="323DB80A" w14:textId="44229FC6" w:rsidR="007816F0" w:rsidRPr="00CD2B30" w:rsidRDefault="007816F0" w:rsidP="4669D386">
      <w:pPr>
        <w:shd w:val="clear" w:color="auto" w:fill="FFFFFF" w:themeFill="background1"/>
        <w:spacing w:before="100" w:beforeAutospacing="1" w:after="100" w:afterAutospacing="1"/>
        <w:ind w:left="567" w:hanging="567"/>
        <w:jc w:val="both"/>
        <w:rPr>
          <w:rFonts w:ascii="Times New Roman" w:hAnsi="Times New Roman"/>
          <w:sz w:val="24"/>
          <w:szCs w:val="24"/>
        </w:rPr>
      </w:pPr>
      <w:r w:rsidRPr="00CD2B30">
        <w:rPr>
          <w:rFonts w:ascii="Times New Roman" w:hAnsi="Times New Roman"/>
          <w:sz w:val="24"/>
          <w:szCs w:val="24"/>
        </w:rPr>
        <w:t>(2)</w:t>
      </w:r>
      <w:r w:rsidRPr="00CD2B30">
        <w:tab/>
      </w:r>
      <w:r w:rsidRPr="00CD2B30">
        <w:rPr>
          <w:rFonts w:ascii="Times New Roman" w:hAnsi="Times New Roman"/>
          <w:sz w:val="24"/>
          <w:szCs w:val="24"/>
        </w:rPr>
        <w:t>subsection</w:t>
      </w:r>
      <w:r w:rsidR="00640875">
        <w:rPr>
          <w:rFonts w:ascii="Times New Roman" w:hAnsi="Times New Roman"/>
          <w:sz w:val="24"/>
          <w:szCs w:val="24"/>
        </w:rPr>
        <w:t>s</w:t>
      </w:r>
      <w:r w:rsidRPr="00CD2B30">
        <w:rPr>
          <w:rFonts w:ascii="Times New Roman" w:hAnsi="Times New Roman"/>
          <w:sz w:val="24"/>
          <w:szCs w:val="24"/>
        </w:rPr>
        <w:t xml:space="preserve"> 230</w:t>
      </w:r>
      <w:proofErr w:type="gramStart"/>
      <w:r w:rsidRPr="00CD2B30">
        <w:rPr>
          <w:rFonts w:ascii="Times New Roman" w:hAnsi="Times New Roman"/>
          <w:sz w:val="24"/>
          <w:szCs w:val="24"/>
        </w:rPr>
        <w:t>A(</w:t>
      </w:r>
      <w:proofErr w:type="gramEnd"/>
      <w:r w:rsidRPr="00CD2B30">
        <w:rPr>
          <w:rFonts w:ascii="Times New Roman" w:hAnsi="Times New Roman"/>
          <w:sz w:val="24"/>
          <w:szCs w:val="24"/>
        </w:rPr>
        <w:t>1)</w:t>
      </w:r>
      <w:r w:rsidR="00640875">
        <w:rPr>
          <w:rFonts w:ascii="Times New Roman" w:hAnsi="Times New Roman"/>
          <w:sz w:val="24"/>
          <w:szCs w:val="24"/>
        </w:rPr>
        <w:t xml:space="preserve"> and (5)</w:t>
      </w:r>
      <w:r w:rsidRPr="00CD2B30">
        <w:rPr>
          <w:rFonts w:ascii="Times New Roman" w:hAnsi="Times New Roman"/>
          <w:sz w:val="24"/>
          <w:szCs w:val="24"/>
        </w:rPr>
        <w:t xml:space="preserve"> of the </w:t>
      </w:r>
      <w:r w:rsidRPr="00CD2B30">
        <w:rPr>
          <w:rFonts w:ascii="Times New Roman" w:hAnsi="Times New Roman"/>
          <w:i/>
          <w:iCs/>
          <w:sz w:val="24"/>
          <w:szCs w:val="24"/>
        </w:rPr>
        <w:t>Life Insurance Act 1995</w:t>
      </w:r>
      <w:r w:rsidRPr="00CD2B30">
        <w:rPr>
          <w:rFonts w:ascii="Times New Roman" w:hAnsi="Times New Roman"/>
          <w:sz w:val="24"/>
          <w:szCs w:val="24"/>
        </w:rPr>
        <w:t xml:space="preserve"> (Life Insurance Act), in relation to life companies</w:t>
      </w:r>
      <w:r w:rsidR="00E40A94" w:rsidRPr="00CD2B30">
        <w:rPr>
          <w:rFonts w:ascii="Times New Roman" w:hAnsi="Times New Roman"/>
          <w:sz w:val="24"/>
          <w:szCs w:val="24"/>
        </w:rPr>
        <w:t xml:space="preserve"> </w:t>
      </w:r>
      <w:r w:rsidR="00722F0D" w:rsidRPr="00CD2B30">
        <w:rPr>
          <w:rFonts w:ascii="Times New Roman" w:hAnsi="Times New Roman"/>
          <w:sz w:val="24"/>
          <w:szCs w:val="24"/>
        </w:rPr>
        <w:t>(including friendly societies),</w:t>
      </w:r>
      <w:r w:rsidR="179EC5FC" w:rsidRPr="00CD2B30">
        <w:rPr>
          <w:rFonts w:ascii="Times New Roman" w:hAnsi="Times New Roman"/>
          <w:sz w:val="24"/>
          <w:szCs w:val="24"/>
        </w:rPr>
        <w:t xml:space="preserve"> </w:t>
      </w:r>
      <w:r w:rsidRPr="00CD2B30">
        <w:rPr>
          <w:rFonts w:ascii="Times New Roman" w:hAnsi="Times New Roman"/>
          <w:sz w:val="24"/>
          <w:szCs w:val="24"/>
        </w:rPr>
        <w:t>registered non-operating holding companies (registered life NOHCs), and subsidiaries of life companies and registered life NOHCs; and</w:t>
      </w:r>
    </w:p>
    <w:p w14:paraId="04CA160D" w14:textId="25612956" w:rsidR="007816F0" w:rsidRPr="00CD2B30" w:rsidRDefault="007816F0" w:rsidP="4669D386">
      <w:pPr>
        <w:shd w:val="clear" w:color="auto" w:fill="FFFFFF" w:themeFill="background1"/>
        <w:spacing w:before="100" w:beforeAutospacing="1" w:after="100" w:afterAutospacing="1"/>
        <w:ind w:left="567" w:hanging="567"/>
        <w:jc w:val="both"/>
        <w:rPr>
          <w:rFonts w:ascii="Times New Roman" w:hAnsi="Times New Roman"/>
          <w:sz w:val="24"/>
          <w:szCs w:val="24"/>
          <w:lang w:val="en-US"/>
        </w:rPr>
      </w:pPr>
      <w:r w:rsidRPr="00CD2B30">
        <w:rPr>
          <w:rFonts w:ascii="Times New Roman" w:hAnsi="Times New Roman"/>
          <w:sz w:val="24"/>
          <w:szCs w:val="24"/>
          <w:shd w:val="clear" w:color="auto" w:fill="FFFFFF" w:themeFill="background1"/>
        </w:rPr>
        <w:t xml:space="preserve">(3) </w:t>
      </w:r>
      <w:r w:rsidRPr="00C61C9E">
        <w:rPr>
          <w:rFonts w:ascii="Times New Roman" w:hAnsi="Times New Roman"/>
          <w:sz w:val="24"/>
          <w:szCs w:val="24"/>
          <w:shd w:val="clear" w:color="auto" w:fill="FFFFFF" w:themeFill="background1"/>
        </w:rPr>
        <w:tab/>
      </w:r>
      <w:r w:rsidRPr="00CD2B30">
        <w:rPr>
          <w:rFonts w:ascii="Times New Roman" w:hAnsi="Times New Roman"/>
          <w:sz w:val="24"/>
          <w:szCs w:val="24"/>
          <w:shd w:val="clear" w:color="auto" w:fill="FFFFFF" w:themeFill="background1"/>
        </w:rPr>
        <w:t>subsection</w:t>
      </w:r>
      <w:r w:rsidR="00640875">
        <w:rPr>
          <w:rFonts w:ascii="Times New Roman" w:hAnsi="Times New Roman"/>
          <w:sz w:val="24"/>
          <w:szCs w:val="24"/>
          <w:shd w:val="clear" w:color="auto" w:fill="FFFFFF" w:themeFill="background1"/>
        </w:rPr>
        <w:t>s</w:t>
      </w:r>
      <w:r w:rsidRPr="00CD2B30">
        <w:rPr>
          <w:rFonts w:ascii="Times New Roman" w:hAnsi="Times New Roman"/>
          <w:sz w:val="24"/>
          <w:szCs w:val="24"/>
          <w:shd w:val="clear" w:color="auto" w:fill="FFFFFF" w:themeFill="background1"/>
        </w:rPr>
        <w:t xml:space="preserve"> 92(1) </w:t>
      </w:r>
      <w:r w:rsidR="00640875">
        <w:rPr>
          <w:rFonts w:ascii="Times New Roman" w:hAnsi="Times New Roman"/>
          <w:sz w:val="24"/>
          <w:szCs w:val="24"/>
          <w:shd w:val="clear" w:color="auto" w:fill="FFFFFF" w:themeFill="background1"/>
        </w:rPr>
        <w:t xml:space="preserve">and (5) </w:t>
      </w:r>
      <w:r w:rsidRPr="00CD2B30">
        <w:rPr>
          <w:rFonts w:ascii="Times New Roman" w:hAnsi="Times New Roman"/>
          <w:sz w:val="24"/>
          <w:szCs w:val="24"/>
          <w:shd w:val="clear" w:color="auto" w:fill="FFFFFF" w:themeFill="background1"/>
        </w:rPr>
        <w:t xml:space="preserve">of the </w:t>
      </w:r>
      <w:r w:rsidRPr="00CD2B30">
        <w:rPr>
          <w:rFonts w:ascii="Times New Roman" w:hAnsi="Times New Roman"/>
          <w:i/>
          <w:iCs/>
          <w:sz w:val="24"/>
          <w:szCs w:val="24"/>
          <w:shd w:val="clear" w:color="auto" w:fill="FFFFFF" w:themeFill="background1"/>
        </w:rPr>
        <w:t>Private Health Insurance (Prudential Supervision) Act 2015</w:t>
      </w:r>
      <w:r w:rsidRPr="00CD2B30">
        <w:rPr>
          <w:rFonts w:ascii="Times New Roman" w:hAnsi="Times New Roman"/>
          <w:sz w:val="24"/>
          <w:szCs w:val="24"/>
          <w:shd w:val="clear" w:color="auto" w:fill="FFFFFF" w:themeFill="background1"/>
        </w:rPr>
        <w:t xml:space="preserve"> (PHI</w:t>
      </w:r>
      <w:r w:rsidR="00EB602F">
        <w:rPr>
          <w:rFonts w:ascii="Times New Roman" w:hAnsi="Times New Roman"/>
          <w:sz w:val="24"/>
          <w:szCs w:val="24"/>
          <w:shd w:val="clear" w:color="auto" w:fill="FFFFFF" w:themeFill="background1"/>
        </w:rPr>
        <w:t>PS</w:t>
      </w:r>
      <w:r w:rsidRPr="00CD2B30">
        <w:rPr>
          <w:rFonts w:ascii="Times New Roman" w:hAnsi="Times New Roman"/>
          <w:sz w:val="24"/>
          <w:szCs w:val="24"/>
          <w:shd w:val="clear" w:color="auto" w:fill="FFFFFF" w:themeFill="background1"/>
        </w:rPr>
        <w:t xml:space="preserve"> Act), in relation to registered private health insurers</w:t>
      </w:r>
      <w:r w:rsidR="0037376A" w:rsidRPr="00CD2B30">
        <w:rPr>
          <w:rFonts w:ascii="Times New Roman" w:hAnsi="Times New Roman"/>
          <w:sz w:val="24"/>
          <w:szCs w:val="24"/>
        </w:rPr>
        <w:t xml:space="preserve">. </w:t>
      </w:r>
    </w:p>
    <w:p w14:paraId="0A62317E" w14:textId="601E9869" w:rsidR="00CC0ED5" w:rsidRPr="00CD2B30" w:rsidRDefault="007816F0" w:rsidP="00C61C9E">
      <w:pPr>
        <w:shd w:val="clear" w:color="auto" w:fill="FFFFFF" w:themeFill="background1"/>
        <w:spacing w:before="100" w:beforeAutospacing="1" w:after="100" w:afterAutospacing="1"/>
        <w:jc w:val="both"/>
        <w:rPr>
          <w:rFonts w:ascii="Times New Roman" w:hAnsi="Times New Roman"/>
          <w:sz w:val="24"/>
          <w:szCs w:val="24"/>
        </w:rPr>
      </w:pPr>
      <w:r w:rsidRPr="00227CE2">
        <w:rPr>
          <w:rFonts w:ascii="Times New Roman" w:hAnsi="Times New Roman"/>
          <w:sz w:val="24"/>
          <w:szCs w:val="24"/>
        </w:rPr>
        <w:t xml:space="preserve">On </w:t>
      </w:r>
      <w:r w:rsidR="00227CE2" w:rsidRPr="00227CE2">
        <w:rPr>
          <w:rFonts w:ascii="Times New Roman" w:hAnsi="Times New Roman"/>
          <w:sz w:val="24"/>
          <w:szCs w:val="24"/>
        </w:rPr>
        <w:t>2</w:t>
      </w:r>
      <w:r w:rsidR="000E544C">
        <w:rPr>
          <w:rFonts w:ascii="Times New Roman" w:hAnsi="Times New Roman"/>
          <w:sz w:val="24"/>
          <w:szCs w:val="24"/>
        </w:rPr>
        <w:t>1</w:t>
      </w:r>
      <w:r w:rsidR="009E4A3F" w:rsidRPr="00227CE2">
        <w:rPr>
          <w:rFonts w:ascii="Times New Roman" w:hAnsi="Times New Roman"/>
          <w:sz w:val="24"/>
          <w:szCs w:val="24"/>
        </w:rPr>
        <w:t xml:space="preserve"> November </w:t>
      </w:r>
      <w:r w:rsidR="7249772D" w:rsidRPr="00227CE2">
        <w:rPr>
          <w:rFonts w:ascii="Times New Roman" w:hAnsi="Times New Roman"/>
          <w:sz w:val="24"/>
          <w:szCs w:val="24"/>
        </w:rPr>
        <w:t>202</w:t>
      </w:r>
      <w:r w:rsidR="009E4A3F" w:rsidRPr="00227CE2">
        <w:rPr>
          <w:rFonts w:ascii="Times New Roman" w:hAnsi="Times New Roman"/>
          <w:sz w:val="24"/>
          <w:szCs w:val="24"/>
        </w:rPr>
        <w:t>3</w:t>
      </w:r>
      <w:r w:rsidRPr="00227CE2">
        <w:rPr>
          <w:rFonts w:ascii="Times New Roman" w:hAnsi="Times New Roman"/>
          <w:sz w:val="24"/>
          <w:szCs w:val="24"/>
        </w:rPr>
        <w:t>,</w:t>
      </w:r>
      <w:r w:rsidRPr="00433BB2">
        <w:rPr>
          <w:rFonts w:ascii="Times New Roman" w:hAnsi="Times New Roman"/>
          <w:sz w:val="24"/>
          <w:szCs w:val="24"/>
        </w:rPr>
        <w:t xml:space="preserve"> APRA</w:t>
      </w:r>
      <w:r w:rsidRPr="00CD2B30">
        <w:rPr>
          <w:rFonts w:ascii="Times New Roman" w:hAnsi="Times New Roman"/>
          <w:sz w:val="24"/>
          <w:szCs w:val="24"/>
        </w:rPr>
        <w:t xml:space="preserve"> made </w:t>
      </w:r>
      <w:r w:rsidRPr="00C61C9E">
        <w:rPr>
          <w:rFonts w:ascii="Times New Roman" w:hAnsi="Times New Roman"/>
          <w:i/>
          <w:sz w:val="24"/>
          <w:szCs w:val="24"/>
          <w:lang w:val="en-US"/>
        </w:rPr>
        <w:t xml:space="preserve">Insurance, Life Insurance and Health Insurance (prudential standards) determination </w:t>
      </w:r>
      <w:r w:rsidRPr="00E268B5">
        <w:rPr>
          <w:rFonts w:ascii="Times New Roman" w:hAnsi="Times New Roman"/>
          <w:i/>
          <w:sz w:val="24"/>
          <w:szCs w:val="24"/>
          <w:lang w:val="en-US"/>
        </w:rPr>
        <w:t xml:space="preserve">No. </w:t>
      </w:r>
      <w:r w:rsidR="00587378" w:rsidRPr="00E268B5">
        <w:rPr>
          <w:rFonts w:ascii="Times New Roman" w:hAnsi="Times New Roman"/>
          <w:i/>
          <w:sz w:val="24"/>
          <w:szCs w:val="24"/>
          <w:lang w:val="en-US"/>
        </w:rPr>
        <w:t>1</w:t>
      </w:r>
      <w:r w:rsidRPr="00E268B5">
        <w:rPr>
          <w:rFonts w:ascii="Times New Roman" w:hAnsi="Times New Roman"/>
          <w:i/>
          <w:sz w:val="24"/>
          <w:szCs w:val="24"/>
          <w:lang w:val="en-US"/>
        </w:rPr>
        <w:t xml:space="preserve"> of 20</w:t>
      </w:r>
      <w:r w:rsidR="046EA122" w:rsidRPr="00E268B5">
        <w:rPr>
          <w:rFonts w:ascii="Times New Roman" w:hAnsi="Times New Roman"/>
          <w:i/>
          <w:sz w:val="24"/>
          <w:szCs w:val="24"/>
          <w:lang w:val="en-US"/>
        </w:rPr>
        <w:t>23</w:t>
      </w:r>
      <w:r w:rsidR="006C6379" w:rsidRPr="00E268B5">
        <w:rPr>
          <w:rFonts w:ascii="Times New Roman" w:hAnsi="Times New Roman"/>
          <w:i/>
          <w:sz w:val="24"/>
          <w:szCs w:val="24"/>
          <w:lang w:val="en-US"/>
        </w:rPr>
        <w:t xml:space="preserve"> </w:t>
      </w:r>
      <w:r w:rsidR="006C6379" w:rsidRPr="00E268B5">
        <w:rPr>
          <w:rFonts w:ascii="Times New Roman" w:hAnsi="Times New Roman"/>
          <w:sz w:val="24"/>
          <w:szCs w:val="24"/>
          <w:lang w:val="en-US"/>
        </w:rPr>
        <w:t>(the</w:t>
      </w:r>
      <w:r w:rsidR="006C6379">
        <w:rPr>
          <w:rFonts w:ascii="Times New Roman" w:hAnsi="Times New Roman"/>
          <w:sz w:val="24"/>
          <w:szCs w:val="24"/>
          <w:lang w:val="en-US"/>
        </w:rPr>
        <w:t xml:space="preserve"> instrument)</w:t>
      </w:r>
      <w:r w:rsidRPr="00CD2B30">
        <w:rPr>
          <w:rFonts w:ascii="Times New Roman" w:hAnsi="Times New Roman"/>
          <w:sz w:val="24"/>
          <w:szCs w:val="24"/>
          <w:lang w:val="en-US"/>
        </w:rPr>
        <w:t xml:space="preserve">, which </w:t>
      </w:r>
      <w:r w:rsidRPr="00CD2B30">
        <w:rPr>
          <w:rFonts w:ascii="Times New Roman" w:hAnsi="Times New Roman"/>
          <w:sz w:val="24"/>
          <w:szCs w:val="24"/>
          <w:shd w:val="clear" w:color="auto" w:fill="FFFFFF" w:themeFill="background1"/>
        </w:rPr>
        <w:t>revokes</w:t>
      </w:r>
      <w:r w:rsidRPr="00CD2B30">
        <w:rPr>
          <w:rFonts w:ascii="Times New Roman" w:hAnsi="Times New Roman"/>
          <w:sz w:val="24"/>
          <w:szCs w:val="24"/>
        </w:rPr>
        <w:t xml:space="preserve"> </w:t>
      </w:r>
      <w:r w:rsidRPr="00CD2B30">
        <w:rPr>
          <w:rFonts w:ascii="Times New Roman" w:hAnsi="Times New Roman"/>
          <w:i/>
          <w:iCs/>
          <w:sz w:val="24"/>
          <w:szCs w:val="24"/>
        </w:rPr>
        <w:t>Prudential Standard</w:t>
      </w:r>
      <w:r w:rsidRPr="00CD2B30">
        <w:rPr>
          <w:rFonts w:ascii="Times New Roman" w:hAnsi="Times New Roman"/>
          <w:sz w:val="24"/>
          <w:szCs w:val="24"/>
        </w:rPr>
        <w:t xml:space="preserve"> </w:t>
      </w:r>
      <w:r w:rsidR="3EFF4D43" w:rsidRPr="00C61C9E">
        <w:rPr>
          <w:rFonts w:ascii="Times New Roman" w:hAnsi="Times New Roman"/>
          <w:i/>
          <w:iCs/>
          <w:sz w:val="24"/>
          <w:szCs w:val="24"/>
        </w:rPr>
        <w:t>C</w:t>
      </w:r>
      <w:r w:rsidR="009D6BEB" w:rsidRPr="00CD2B30">
        <w:rPr>
          <w:rFonts w:ascii="Times New Roman" w:hAnsi="Times New Roman"/>
          <w:i/>
          <w:iCs/>
          <w:sz w:val="24"/>
          <w:szCs w:val="24"/>
          <w:lang w:val="en-US"/>
        </w:rPr>
        <w:t>PS 320 Actuarial and Related Matters</w:t>
      </w:r>
      <w:r w:rsidRPr="00CD2B30">
        <w:rPr>
          <w:rFonts w:ascii="Times New Roman" w:hAnsi="Times New Roman"/>
          <w:i/>
          <w:iCs/>
          <w:sz w:val="24"/>
          <w:szCs w:val="24"/>
          <w:lang w:val="en-US"/>
        </w:rPr>
        <w:t xml:space="preserve"> </w:t>
      </w:r>
      <w:r w:rsidR="009D6BEB" w:rsidRPr="00CD2B30">
        <w:rPr>
          <w:rFonts w:ascii="Times New Roman" w:hAnsi="Times New Roman"/>
          <w:sz w:val="24"/>
          <w:szCs w:val="24"/>
          <w:lang w:val="en-US"/>
        </w:rPr>
        <w:t>(</w:t>
      </w:r>
      <w:r w:rsidR="093BC040" w:rsidRPr="00CD2B30">
        <w:rPr>
          <w:rFonts w:ascii="Times New Roman" w:hAnsi="Times New Roman"/>
          <w:sz w:val="24"/>
          <w:szCs w:val="24"/>
          <w:lang w:val="en-US"/>
        </w:rPr>
        <w:t>C</w:t>
      </w:r>
      <w:r w:rsidR="009D6BEB" w:rsidRPr="00CD2B30">
        <w:rPr>
          <w:rFonts w:ascii="Times New Roman" w:hAnsi="Times New Roman"/>
          <w:sz w:val="24"/>
          <w:szCs w:val="24"/>
          <w:lang w:val="en-US"/>
        </w:rPr>
        <w:t>PS 3</w:t>
      </w:r>
      <w:r w:rsidRPr="00CD2B30">
        <w:rPr>
          <w:rFonts w:ascii="Times New Roman" w:hAnsi="Times New Roman"/>
          <w:sz w:val="24"/>
          <w:szCs w:val="24"/>
          <w:lang w:val="en-US"/>
        </w:rPr>
        <w:t xml:space="preserve">20) </w:t>
      </w:r>
      <w:r w:rsidRPr="00CD2B30">
        <w:rPr>
          <w:rFonts w:ascii="Times New Roman" w:hAnsi="Times New Roman"/>
          <w:sz w:val="24"/>
          <w:szCs w:val="24"/>
        </w:rPr>
        <w:t xml:space="preserve">made under </w:t>
      </w:r>
      <w:r w:rsidRPr="00C92C59">
        <w:rPr>
          <w:rFonts w:ascii="Times New Roman" w:hAnsi="Times New Roman"/>
          <w:i/>
          <w:sz w:val="24"/>
          <w:szCs w:val="24"/>
          <w:lang w:val="en-US"/>
        </w:rPr>
        <w:t>Insurance</w:t>
      </w:r>
      <w:r w:rsidR="00601B18" w:rsidRPr="00C92C59">
        <w:rPr>
          <w:rFonts w:ascii="Times New Roman" w:hAnsi="Times New Roman"/>
          <w:i/>
          <w:iCs/>
          <w:sz w:val="24"/>
          <w:szCs w:val="24"/>
          <w:lang w:val="en-US"/>
        </w:rPr>
        <w:t>, Life Insurance and Health Insurance (prudential standard)</w:t>
      </w:r>
      <w:r w:rsidRPr="00C92C59">
        <w:rPr>
          <w:rFonts w:ascii="Times New Roman" w:hAnsi="Times New Roman"/>
          <w:i/>
          <w:sz w:val="24"/>
          <w:szCs w:val="24"/>
          <w:lang w:val="en-US"/>
        </w:rPr>
        <w:t xml:space="preserve"> determination No. </w:t>
      </w:r>
      <w:r w:rsidR="00333FD4" w:rsidRPr="00C92C59">
        <w:rPr>
          <w:rFonts w:ascii="Times New Roman" w:hAnsi="Times New Roman"/>
          <w:i/>
          <w:sz w:val="24"/>
          <w:szCs w:val="24"/>
          <w:lang w:val="en-US"/>
        </w:rPr>
        <w:t>1</w:t>
      </w:r>
      <w:r w:rsidRPr="00C92C59">
        <w:rPr>
          <w:rFonts w:ascii="Times New Roman" w:hAnsi="Times New Roman"/>
          <w:i/>
          <w:sz w:val="24"/>
          <w:szCs w:val="24"/>
          <w:lang w:val="en-US"/>
        </w:rPr>
        <w:t xml:space="preserve"> of </w:t>
      </w:r>
      <w:proofErr w:type="gramStart"/>
      <w:r w:rsidRPr="00C92C59">
        <w:rPr>
          <w:rFonts w:ascii="Times New Roman" w:hAnsi="Times New Roman"/>
          <w:i/>
          <w:sz w:val="24"/>
          <w:szCs w:val="24"/>
          <w:lang w:val="en-US"/>
        </w:rPr>
        <w:t>201</w:t>
      </w:r>
      <w:r w:rsidR="5D32C465" w:rsidRPr="00C92C59">
        <w:rPr>
          <w:rFonts w:ascii="Times New Roman" w:hAnsi="Times New Roman"/>
          <w:i/>
          <w:sz w:val="24"/>
          <w:szCs w:val="24"/>
          <w:lang w:val="en-US"/>
        </w:rPr>
        <w:t>8</w:t>
      </w:r>
      <w:r w:rsidR="00601B18" w:rsidRPr="00C92C59">
        <w:rPr>
          <w:rFonts w:ascii="Times New Roman" w:hAnsi="Times New Roman"/>
          <w:i/>
          <w:iCs/>
          <w:sz w:val="24"/>
          <w:szCs w:val="24"/>
          <w:lang w:val="en-US"/>
        </w:rPr>
        <w:t xml:space="preserve"> </w:t>
      </w:r>
      <w:r w:rsidR="00A03A90" w:rsidRPr="00C92C59">
        <w:rPr>
          <w:rFonts w:ascii="Times New Roman" w:hAnsi="Times New Roman"/>
          <w:i/>
          <w:sz w:val="24"/>
          <w:szCs w:val="24"/>
          <w:lang w:val="en-US"/>
        </w:rPr>
        <w:t>.</w:t>
      </w:r>
      <w:proofErr w:type="gramEnd"/>
      <w:r w:rsidR="009D6BEB" w:rsidRPr="00CD2B30">
        <w:rPr>
          <w:rFonts w:ascii="Times New Roman" w:hAnsi="Times New Roman"/>
          <w:sz w:val="24"/>
          <w:szCs w:val="24"/>
        </w:rPr>
        <w:t xml:space="preserve"> </w:t>
      </w:r>
    </w:p>
    <w:p w14:paraId="52A611A2" w14:textId="21C7CCE7" w:rsidR="01DD7B6A" w:rsidRDefault="007816F0" w:rsidP="01DD7B6A">
      <w:pPr>
        <w:shd w:val="clear" w:color="auto" w:fill="FFFFFF" w:themeFill="background1"/>
        <w:spacing w:beforeAutospacing="1" w:afterAutospacing="1"/>
        <w:jc w:val="both"/>
        <w:rPr>
          <w:rFonts w:ascii="Times New Roman" w:hAnsi="Times New Roman"/>
          <w:sz w:val="24"/>
          <w:szCs w:val="24"/>
        </w:rPr>
      </w:pPr>
      <w:r w:rsidRPr="00CD2B30">
        <w:rPr>
          <w:rFonts w:ascii="Times New Roman" w:hAnsi="Times New Roman"/>
          <w:sz w:val="24"/>
          <w:szCs w:val="24"/>
        </w:rPr>
        <w:t>The instrument</w:t>
      </w:r>
      <w:r w:rsidR="0099534C" w:rsidRPr="00CD2B30">
        <w:rPr>
          <w:rFonts w:ascii="Times New Roman" w:hAnsi="Times New Roman"/>
          <w:sz w:val="24"/>
          <w:szCs w:val="24"/>
        </w:rPr>
        <w:t>s</w:t>
      </w:r>
      <w:r w:rsidRPr="00CD2B30">
        <w:rPr>
          <w:rFonts w:ascii="Times New Roman" w:hAnsi="Times New Roman"/>
          <w:sz w:val="24"/>
          <w:szCs w:val="24"/>
        </w:rPr>
        <w:t xml:space="preserve"> commence on </w:t>
      </w:r>
      <w:r w:rsidR="00C61C9E">
        <w:rPr>
          <w:rFonts w:ascii="Times New Roman" w:hAnsi="Times New Roman"/>
          <w:sz w:val="24"/>
          <w:szCs w:val="24"/>
        </w:rPr>
        <w:t>1 January 202</w:t>
      </w:r>
      <w:r w:rsidR="0076642A">
        <w:rPr>
          <w:rFonts w:ascii="Times New Roman" w:hAnsi="Times New Roman"/>
          <w:sz w:val="24"/>
          <w:szCs w:val="24"/>
        </w:rPr>
        <w:t>4</w:t>
      </w:r>
      <w:r w:rsidR="00C61C9E">
        <w:rPr>
          <w:rFonts w:ascii="Times New Roman" w:hAnsi="Times New Roman"/>
          <w:sz w:val="24"/>
          <w:szCs w:val="24"/>
        </w:rPr>
        <w:t>.</w:t>
      </w:r>
    </w:p>
    <w:p w14:paraId="65408C1B" w14:textId="77777777" w:rsidR="00A019DA" w:rsidRPr="00045CBE" w:rsidRDefault="00A019DA" w:rsidP="009D7325">
      <w:pPr>
        <w:numPr>
          <w:ilvl w:val="0"/>
          <w:numId w:val="13"/>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Background</w:t>
      </w:r>
    </w:p>
    <w:p w14:paraId="4F9F6437" w14:textId="77777777" w:rsidR="009D6BEB" w:rsidRPr="00045CBE" w:rsidRDefault="009D6BEB" w:rsidP="009D7325">
      <w:pPr>
        <w:widowControl w:val="0"/>
        <w:jc w:val="both"/>
        <w:rPr>
          <w:rFonts w:ascii="Times New Roman" w:hAnsi="Times New Roman"/>
          <w:sz w:val="24"/>
          <w:szCs w:val="24"/>
        </w:rPr>
      </w:pPr>
      <w:r w:rsidRPr="00045CBE">
        <w:rPr>
          <w:rFonts w:ascii="Times New Roman" w:hAnsi="Times New Roman"/>
          <w:sz w:val="24"/>
          <w:szCs w:val="24"/>
        </w:rPr>
        <w:t xml:space="preserve">APRA’s mandate is to ensure the safety and soundness of prudentially regulated financial institutions so that they can meet their financial promises to depositors, </w:t>
      </w:r>
      <w:proofErr w:type="gramStart"/>
      <w:r w:rsidRPr="00045CBE">
        <w:rPr>
          <w:rFonts w:ascii="Times New Roman" w:hAnsi="Times New Roman"/>
          <w:sz w:val="24"/>
          <w:szCs w:val="24"/>
        </w:rPr>
        <w:t>policyholders</w:t>
      </w:r>
      <w:proofErr w:type="gramEnd"/>
      <w:r w:rsidRPr="00045CBE">
        <w:rPr>
          <w:rFonts w:ascii="Times New Roman" w:hAnsi="Times New Roman"/>
          <w:sz w:val="24"/>
          <w:szCs w:val="24"/>
        </w:rPr>
        <w:t xml:space="preserve"> and fund members within a stable, efficient and competitive financial system. </w:t>
      </w:r>
    </w:p>
    <w:p w14:paraId="5BF59993" w14:textId="77777777" w:rsidR="009D6BEB" w:rsidRPr="00045CBE" w:rsidRDefault="009D6BEB" w:rsidP="009D7325">
      <w:pPr>
        <w:jc w:val="both"/>
        <w:rPr>
          <w:rFonts w:ascii="Times New Roman" w:hAnsi="Times New Roman"/>
          <w:sz w:val="24"/>
          <w:szCs w:val="24"/>
        </w:rPr>
      </w:pPr>
    </w:p>
    <w:p w14:paraId="30D46706" w14:textId="4DA3915F" w:rsidR="009D6BEB" w:rsidRPr="00045CBE" w:rsidRDefault="009D6BEB" w:rsidP="009D7325">
      <w:pPr>
        <w:jc w:val="both"/>
        <w:rPr>
          <w:rFonts w:ascii="Times New Roman" w:hAnsi="Times New Roman"/>
          <w:sz w:val="24"/>
          <w:szCs w:val="24"/>
        </w:rPr>
      </w:pPr>
      <w:r w:rsidRPr="00045CBE">
        <w:rPr>
          <w:rFonts w:ascii="Times New Roman" w:hAnsi="Times New Roman"/>
          <w:sz w:val="24"/>
          <w:szCs w:val="24"/>
        </w:rPr>
        <w:t xml:space="preserve">APRA carries out this mandate through a multi-layered prudential framework that encompasses licensing and supervision of institutions. APRA is empowered under the Insurance Act, Life Insurance Act and PHI Act to issue legally binding prudential standards that set out specific prudential requirements with which APRA-regulated institutions in each industry must comply. These standards are supported by prudential </w:t>
      </w:r>
      <w:r w:rsidRPr="00045CBE">
        <w:rPr>
          <w:rFonts w:ascii="Times New Roman" w:hAnsi="Times New Roman"/>
          <w:sz w:val="24"/>
          <w:szCs w:val="24"/>
        </w:rPr>
        <w:lastRenderedPageBreak/>
        <w:t xml:space="preserve">practice guides which clarify APRA’s expectations </w:t>
      </w:r>
      <w:proofErr w:type="gramStart"/>
      <w:r w:rsidRPr="00045CBE">
        <w:rPr>
          <w:rFonts w:ascii="Times New Roman" w:hAnsi="Times New Roman"/>
          <w:sz w:val="24"/>
          <w:szCs w:val="24"/>
        </w:rPr>
        <w:t>with regard to</w:t>
      </w:r>
      <w:proofErr w:type="gramEnd"/>
      <w:r w:rsidRPr="00045CBE">
        <w:rPr>
          <w:rFonts w:ascii="Times New Roman" w:hAnsi="Times New Roman"/>
          <w:sz w:val="24"/>
          <w:szCs w:val="24"/>
        </w:rPr>
        <w:t xml:space="preserve"> prudential requirements.</w:t>
      </w:r>
    </w:p>
    <w:p w14:paraId="78118A78" w14:textId="77777777" w:rsidR="009D6BEB" w:rsidRPr="00045CBE" w:rsidRDefault="009D6BEB" w:rsidP="009D7325">
      <w:pPr>
        <w:jc w:val="both"/>
        <w:rPr>
          <w:rFonts w:ascii="Times New Roman" w:hAnsi="Times New Roman"/>
          <w:sz w:val="24"/>
          <w:szCs w:val="24"/>
        </w:rPr>
      </w:pPr>
    </w:p>
    <w:p w14:paraId="5F81313C" w14:textId="1681DD74" w:rsidR="009D6BEB" w:rsidRPr="00045CBE" w:rsidRDefault="009D6BEB" w:rsidP="00CA2857">
      <w:pPr>
        <w:spacing w:after="240"/>
        <w:jc w:val="both"/>
        <w:rPr>
          <w:rFonts w:ascii="Times New Roman" w:hAnsi="Times New Roman"/>
          <w:sz w:val="24"/>
          <w:szCs w:val="24"/>
        </w:rPr>
      </w:pPr>
      <w:r w:rsidRPr="00045CBE">
        <w:rPr>
          <w:rFonts w:ascii="Times New Roman" w:hAnsi="Times New Roman"/>
          <w:sz w:val="24"/>
          <w:szCs w:val="24"/>
        </w:rPr>
        <w:t xml:space="preserve">APRA regularly reviews its regulatory regime and amends its prudential requirements </w:t>
      </w:r>
      <w:proofErr w:type="gramStart"/>
      <w:r w:rsidRPr="00045CBE">
        <w:rPr>
          <w:rFonts w:ascii="Times New Roman" w:hAnsi="Times New Roman"/>
          <w:sz w:val="24"/>
          <w:szCs w:val="24"/>
        </w:rPr>
        <w:t>as a result of</w:t>
      </w:r>
      <w:proofErr w:type="gramEnd"/>
      <w:r w:rsidRPr="00045CBE">
        <w:rPr>
          <w:rFonts w:ascii="Times New Roman" w:hAnsi="Times New Roman"/>
          <w:sz w:val="24"/>
          <w:szCs w:val="24"/>
        </w:rPr>
        <w:t xml:space="preserve"> a number of factors </w:t>
      </w:r>
      <w:r w:rsidR="46ACC58E" w:rsidRPr="78A3CD71">
        <w:rPr>
          <w:rFonts w:ascii="Times New Roman" w:hAnsi="Times New Roman"/>
          <w:sz w:val="24"/>
          <w:szCs w:val="24"/>
        </w:rPr>
        <w:t>including</w:t>
      </w:r>
      <w:r w:rsidRPr="00045CBE">
        <w:rPr>
          <w:rFonts w:ascii="Times New Roman" w:hAnsi="Times New Roman"/>
          <w:sz w:val="24"/>
          <w:szCs w:val="24"/>
        </w:rPr>
        <w:t>:</w:t>
      </w:r>
    </w:p>
    <w:p w14:paraId="7A4AC5C0" w14:textId="77777777" w:rsidR="009D6BEB" w:rsidRPr="00045CBE" w:rsidRDefault="009D6BEB" w:rsidP="00CA2857">
      <w:pPr>
        <w:numPr>
          <w:ilvl w:val="0"/>
          <w:numId w:val="17"/>
        </w:numPr>
        <w:spacing w:after="240"/>
        <w:ind w:left="284" w:hanging="284"/>
        <w:jc w:val="both"/>
        <w:rPr>
          <w:rFonts w:ascii="Times New Roman" w:hAnsi="Times New Roman"/>
          <w:sz w:val="24"/>
          <w:szCs w:val="24"/>
        </w:rPr>
      </w:pPr>
      <w:r w:rsidRPr="00045CBE">
        <w:rPr>
          <w:rFonts w:ascii="Times New Roman" w:hAnsi="Times New Roman"/>
          <w:sz w:val="24"/>
          <w:szCs w:val="24"/>
        </w:rPr>
        <w:t xml:space="preserve">international </w:t>
      </w:r>
      <w:proofErr w:type="gramStart"/>
      <w:r w:rsidRPr="00045CBE">
        <w:rPr>
          <w:rFonts w:ascii="Times New Roman" w:hAnsi="Times New Roman"/>
          <w:sz w:val="24"/>
          <w:szCs w:val="24"/>
        </w:rPr>
        <w:t>developments;</w:t>
      </w:r>
      <w:proofErr w:type="gramEnd"/>
    </w:p>
    <w:p w14:paraId="219159BA" w14:textId="77777777" w:rsidR="009D6BEB" w:rsidRPr="00045CBE" w:rsidRDefault="009D6BEB" w:rsidP="00CA2857">
      <w:pPr>
        <w:numPr>
          <w:ilvl w:val="0"/>
          <w:numId w:val="17"/>
        </w:numPr>
        <w:spacing w:after="240"/>
        <w:ind w:left="284" w:hanging="284"/>
        <w:jc w:val="both"/>
        <w:rPr>
          <w:rFonts w:ascii="Times New Roman" w:hAnsi="Times New Roman"/>
          <w:sz w:val="24"/>
          <w:szCs w:val="24"/>
        </w:rPr>
      </w:pPr>
      <w:r w:rsidRPr="00045CBE">
        <w:rPr>
          <w:rFonts w:ascii="Times New Roman" w:hAnsi="Times New Roman"/>
          <w:sz w:val="24"/>
          <w:szCs w:val="24"/>
        </w:rPr>
        <w:t xml:space="preserve">changes in financial market </w:t>
      </w:r>
      <w:proofErr w:type="gramStart"/>
      <w:r w:rsidRPr="00045CBE">
        <w:rPr>
          <w:rFonts w:ascii="Times New Roman" w:hAnsi="Times New Roman"/>
          <w:sz w:val="24"/>
          <w:szCs w:val="24"/>
        </w:rPr>
        <w:t>conditions;</w:t>
      </w:r>
      <w:proofErr w:type="gramEnd"/>
    </w:p>
    <w:p w14:paraId="602BFB87" w14:textId="77777777" w:rsidR="009D6BEB" w:rsidRPr="00045CBE" w:rsidRDefault="009D6BEB" w:rsidP="00CA2857">
      <w:pPr>
        <w:numPr>
          <w:ilvl w:val="0"/>
          <w:numId w:val="17"/>
        </w:numPr>
        <w:spacing w:after="240"/>
        <w:ind w:left="284" w:hanging="284"/>
        <w:jc w:val="both"/>
        <w:rPr>
          <w:rFonts w:ascii="Times New Roman" w:hAnsi="Times New Roman"/>
          <w:sz w:val="24"/>
          <w:szCs w:val="24"/>
        </w:rPr>
      </w:pPr>
      <w:r w:rsidRPr="00045CBE">
        <w:rPr>
          <w:rFonts w:ascii="Times New Roman" w:hAnsi="Times New Roman"/>
          <w:sz w:val="24"/>
          <w:szCs w:val="24"/>
        </w:rPr>
        <w:t>changes in risk management practices, in response to identified weaknesses in the prudential framework; and</w:t>
      </w:r>
    </w:p>
    <w:p w14:paraId="4DEF1F64" w14:textId="452CD364" w:rsidR="00E437FF" w:rsidRPr="00E437FF" w:rsidRDefault="009D6BEB" w:rsidP="00E437FF">
      <w:pPr>
        <w:numPr>
          <w:ilvl w:val="0"/>
          <w:numId w:val="17"/>
        </w:numPr>
        <w:spacing w:after="240"/>
        <w:ind w:left="284" w:hanging="284"/>
        <w:jc w:val="both"/>
        <w:rPr>
          <w:rFonts w:ascii="Times New Roman" w:hAnsi="Times New Roman"/>
          <w:sz w:val="24"/>
          <w:szCs w:val="24"/>
        </w:rPr>
      </w:pPr>
      <w:r w:rsidRPr="00045CBE">
        <w:rPr>
          <w:rFonts w:ascii="Times New Roman" w:hAnsi="Times New Roman"/>
          <w:sz w:val="24"/>
          <w:szCs w:val="24"/>
        </w:rPr>
        <w:t>to reduce potential negative impacts of emerging industry issues.</w:t>
      </w:r>
    </w:p>
    <w:p w14:paraId="709A8CEE" w14:textId="3F998B23" w:rsidR="00E437FF" w:rsidRDefault="00E437FF" w:rsidP="009D7325">
      <w:pPr>
        <w:spacing w:after="240"/>
        <w:contextualSpacing/>
        <w:jc w:val="both"/>
        <w:rPr>
          <w:rFonts w:ascii="Times New Roman" w:hAnsi="Times New Roman"/>
          <w:sz w:val="24"/>
          <w:szCs w:val="24"/>
        </w:rPr>
      </w:pPr>
      <w:r w:rsidRPr="00E437FF">
        <w:rPr>
          <w:rFonts w:ascii="Times New Roman" w:hAnsi="Times New Roman"/>
          <w:sz w:val="24"/>
          <w:szCs w:val="24"/>
        </w:rPr>
        <w:t>When amending its prudential requirements APRA has regard to, amongst others, the impact on industry in terms of both industry burden and matters of proportionality.</w:t>
      </w:r>
    </w:p>
    <w:p w14:paraId="2E2DB4C3" w14:textId="77777777" w:rsidR="00E437FF" w:rsidRDefault="00E437FF" w:rsidP="009D7325">
      <w:pPr>
        <w:spacing w:after="240"/>
        <w:contextualSpacing/>
        <w:jc w:val="both"/>
        <w:rPr>
          <w:rFonts w:ascii="Times New Roman" w:hAnsi="Times New Roman"/>
          <w:sz w:val="24"/>
          <w:szCs w:val="24"/>
        </w:rPr>
      </w:pPr>
    </w:p>
    <w:p w14:paraId="430C3F97" w14:textId="1F3FE0AA" w:rsidR="00D47A85" w:rsidRDefault="00331358" w:rsidP="009D7325">
      <w:pPr>
        <w:spacing w:after="240"/>
        <w:contextualSpacing/>
        <w:jc w:val="both"/>
        <w:rPr>
          <w:rFonts w:ascii="Times New Roman" w:hAnsi="Times New Roman"/>
          <w:color w:val="000000"/>
          <w:sz w:val="24"/>
          <w:szCs w:val="24"/>
        </w:rPr>
      </w:pPr>
      <w:r>
        <w:rPr>
          <w:rFonts w:ascii="Times New Roman" w:hAnsi="Times New Roman"/>
          <w:sz w:val="24"/>
          <w:szCs w:val="24"/>
        </w:rPr>
        <w:t>Between</w:t>
      </w:r>
      <w:r w:rsidR="00D47A85" w:rsidRPr="00045CBE">
        <w:rPr>
          <w:rFonts w:ascii="Times New Roman" w:hAnsi="Times New Roman"/>
          <w:sz w:val="24"/>
          <w:szCs w:val="24"/>
        </w:rPr>
        <w:t xml:space="preserve"> 2016</w:t>
      </w:r>
      <w:r w:rsidR="00A73A88">
        <w:rPr>
          <w:rFonts w:ascii="Times New Roman" w:hAnsi="Times New Roman"/>
          <w:sz w:val="24"/>
          <w:szCs w:val="24"/>
        </w:rPr>
        <w:t xml:space="preserve"> and 2018</w:t>
      </w:r>
      <w:r w:rsidR="00D47A85" w:rsidRPr="00045CBE">
        <w:rPr>
          <w:rFonts w:ascii="Times New Roman" w:hAnsi="Times New Roman"/>
          <w:sz w:val="24"/>
          <w:szCs w:val="24"/>
        </w:rPr>
        <w:t xml:space="preserve">, APRA consulted with the general insurance, life insurance and </w:t>
      </w:r>
      <w:r w:rsidR="009D6BEB" w:rsidRPr="00045CBE">
        <w:rPr>
          <w:rFonts w:ascii="Times New Roman" w:hAnsi="Times New Roman"/>
          <w:sz w:val="24"/>
          <w:szCs w:val="24"/>
        </w:rPr>
        <w:t>p</w:t>
      </w:r>
      <w:r w:rsidR="00D47A85" w:rsidRPr="00045CBE">
        <w:rPr>
          <w:rFonts w:ascii="Times New Roman" w:hAnsi="Times New Roman"/>
          <w:sz w:val="24"/>
          <w:szCs w:val="24"/>
        </w:rPr>
        <w:t xml:space="preserve">rivate health insurance industries to review and reform the prudential requirements relating to the role of the Appointed Actuary. </w:t>
      </w:r>
      <w:r w:rsidR="007A7AB3">
        <w:rPr>
          <w:rFonts w:ascii="Times New Roman" w:hAnsi="Times New Roman"/>
          <w:sz w:val="24"/>
          <w:szCs w:val="24"/>
        </w:rPr>
        <w:t>In 2018</w:t>
      </w:r>
      <w:r w:rsidR="006C6379">
        <w:rPr>
          <w:rFonts w:ascii="Times New Roman" w:hAnsi="Times New Roman"/>
          <w:sz w:val="24"/>
          <w:szCs w:val="24"/>
        </w:rPr>
        <w:t>,</w:t>
      </w:r>
      <w:r w:rsidR="007A7AB3">
        <w:rPr>
          <w:rFonts w:ascii="Times New Roman" w:hAnsi="Times New Roman"/>
          <w:sz w:val="24"/>
          <w:szCs w:val="24"/>
        </w:rPr>
        <w:t xml:space="preserve"> </w:t>
      </w:r>
      <w:r w:rsidR="00D47A85" w:rsidRPr="00045CBE">
        <w:rPr>
          <w:rStyle w:val="APRANORMALChar"/>
          <w:rFonts w:ascii="Times New Roman" w:hAnsi="Times New Roman"/>
          <w:sz w:val="24"/>
          <w:szCs w:val="24"/>
          <w:shd w:val="clear" w:color="auto" w:fill="FFFFFF"/>
        </w:rPr>
        <w:t>CPS 32</w:t>
      </w:r>
      <w:r w:rsidR="00D10079" w:rsidRPr="00045CBE">
        <w:rPr>
          <w:rStyle w:val="APRANORMALChar"/>
          <w:rFonts w:ascii="Times New Roman" w:hAnsi="Times New Roman"/>
          <w:sz w:val="24"/>
          <w:szCs w:val="24"/>
          <w:shd w:val="clear" w:color="auto" w:fill="FFFFFF"/>
        </w:rPr>
        <w:t xml:space="preserve">0 </w:t>
      </w:r>
      <w:r w:rsidR="00AF7618">
        <w:rPr>
          <w:rStyle w:val="APRANORMALChar"/>
          <w:rFonts w:ascii="Times New Roman" w:hAnsi="Times New Roman"/>
          <w:sz w:val="24"/>
          <w:szCs w:val="24"/>
          <w:shd w:val="clear" w:color="auto" w:fill="FFFFFF"/>
        </w:rPr>
        <w:t xml:space="preserve">was introduced </w:t>
      </w:r>
      <w:r w:rsidR="00D10079" w:rsidRPr="00045CBE">
        <w:rPr>
          <w:rFonts w:ascii="Times New Roman" w:hAnsi="Times New Roman"/>
          <w:color w:val="000000"/>
          <w:sz w:val="24"/>
          <w:szCs w:val="24"/>
        </w:rPr>
        <w:t xml:space="preserve">for </w:t>
      </w:r>
      <w:r w:rsidR="00D47A85" w:rsidRPr="00045CBE">
        <w:rPr>
          <w:rFonts w:ascii="Times New Roman" w:hAnsi="Times New Roman"/>
          <w:color w:val="000000"/>
          <w:sz w:val="24"/>
          <w:szCs w:val="24"/>
        </w:rPr>
        <w:t xml:space="preserve">general insurers, life insurers and </w:t>
      </w:r>
      <w:r w:rsidR="00D10079" w:rsidRPr="00045CBE">
        <w:rPr>
          <w:rFonts w:ascii="Times New Roman" w:hAnsi="Times New Roman"/>
          <w:color w:val="000000"/>
          <w:sz w:val="24"/>
          <w:szCs w:val="24"/>
        </w:rPr>
        <w:t>private health insurers</w:t>
      </w:r>
      <w:r w:rsidR="00D47A85" w:rsidRPr="00045CBE">
        <w:rPr>
          <w:rFonts w:ascii="Times New Roman" w:hAnsi="Times New Roman"/>
          <w:color w:val="000000"/>
          <w:sz w:val="24"/>
          <w:szCs w:val="24"/>
        </w:rPr>
        <w:t xml:space="preserve"> to establish appropriate frameworks to allow the </w:t>
      </w:r>
      <w:r w:rsidR="009D378C" w:rsidRPr="00045CBE">
        <w:rPr>
          <w:rFonts w:ascii="Times New Roman" w:hAnsi="Times New Roman"/>
          <w:color w:val="000000"/>
          <w:sz w:val="24"/>
          <w:szCs w:val="24"/>
        </w:rPr>
        <w:t xml:space="preserve">Appointed Actuary </w:t>
      </w:r>
      <w:r w:rsidR="00D47A85" w:rsidRPr="00045CBE">
        <w:rPr>
          <w:rFonts w:ascii="Times New Roman" w:hAnsi="Times New Roman"/>
          <w:color w:val="000000"/>
          <w:sz w:val="24"/>
          <w:szCs w:val="24"/>
        </w:rPr>
        <w:t xml:space="preserve">to focus on the matters most material to the sound and prudent operation of </w:t>
      </w:r>
      <w:r w:rsidR="009D378C" w:rsidRPr="00045CBE">
        <w:rPr>
          <w:rFonts w:ascii="Times New Roman" w:hAnsi="Times New Roman"/>
          <w:color w:val="000000"/>
          <w:sz w:val="24"/>
          <w:szCs w:val="24"/>
        </w:rPr>
        <w:t xml:space="preserve">the insurer’s </w:t>
      </w:r>
      <w:r w:rsidR="00D47A85" w:rsidRPr="00045CBE">
        <w:rPr>
          <w:rFonts w:ascii="Times New Roman" w:hAnsi="Times New Roman"/>
          <w:color w:val="000000"/>
          <w:sz w:val="24"/>
          <w:szCs w:val="24"/>
        </w:rPr>
        <w:t>business</w:t>
      </w:r>
      <w:r w:rsidR="00D10079" w:rsidRPr="00045CBE">
        <w:rPr>
          <w:rFonts w:ascii="Times New Roman" w:hAnsi="Times New Roman"/>
          <w:color w:val="000000"/>
          <w:sz w:val="24"/>
          <w:szCs w:val="24"/>
        </w:rPr>
        <w:t xml:space="preserve">. </w:t>
      </w:r>
    </w:p>
    <w:p w14:paraId="1831E71B" w14:textId="77777777" w:rsidR="002C123D" w:rsidRDefault="002C123D" w:rsidP="009D7325">
      <w:pPr>
        <w:spacing w:after="240"/>
        <w:contextualSpacing/>
        <w:jc w:val="both"/>
        <w:rPr>
          <w:rFonts w:ascii="Times New Roman" w:hAnsi="Times New Roman"/>
          <w:color w:val="000000"/>
          <w:sz w:val="24"/>
          <w:szCs w:val="24"/>
        </w:rPr>
      </w:pPr>
    </w:p>
    <w:p w14:paraId="1F87DE6E" w14:textId="5F43F0FC" w:rsidR="002C123D" w:rsidRPr="00045CBE" w:rsidRDefault="0077296D" w:rsidP="009D7325">
      <w:pPr>
        <w:spacing w:after="240"/>
        <w:contextualSpacing/>
        <w:jc w:val="both"/>
        <w:rPr>
          <w:rFonts w:ascii="Times New Roman" w:hAnsi="Times New Roman"/>
          <w:color w:val="000000"/>
          <w:sz w:val="24"/>
          <w:szCs w:val="24"/>
        </w:rPr>
      </w:pPr>
      <w:r>
        <w:rPr>
          <w:rFonts w:ascii="Times New Roman" w:hAnsi="Times New Roman"/>
          <w:color w:val="000000"/>
          <w:sz w:val="24"/>
          <w:szCs w:val="24"/>
        </w:rPr>
        <w:t>CPS 320 remakes the previous version of the prudential standard which cam</w:t>
      </w:r>
      <w:r w:rsidR="000071DD">
        <w:rPr>
          <w:rFonts w:ascii="Times New Roman" w:hAnsi="Times New Roman"/>
          <w:color w:val="000000"/>
          <w:sz w:val="24"/>
          <w:szCs w:val="24"/>
        </w:rPr>
        <w:t>e</w:t>
      </w:r>
      <w:r>
        <w:rPr>
          <w:rFonts w:ascii="Times New Roman" w:hAnsi="Times New Roman"/>
          <w:color w:val="000000"/>
          <w:sz w:val="24"/>
          <w:szCs w:val="24"/>
        </w:rPr>
        <w:t xml:space="preserve"> into effect on </w:t>
      </w:r>
      <w:r w:rsidR="00DB104D">
        <w:rPr>
          <w:rFonts w:ascii="Times New Roman" w:hAnsi="Times New Roman"/>
          <w:color w:val="000000"/>
          <w:sz w:val="24"/>
          <w:szCs w:val="24"/>
        </w:rPr>
        <w:t>1 July 2019</w:t>
      </w:r>
      <w:r w:rsidR="000071DD">
        <w:rPr>
          <w:rFonts w:ascii="Times New Roman" w:hAnsi="Times New Roman"/>
          <w:color w:val="000000"/>
          <w:sz w:val="24"/>
          <w:szCs w:val="24"/>
        </w:rPr>
        <w:t xml:space="preserve">, with minor </w:t>
      </w:r>
      <w:r w:rsidR="006D63DA">
        <w:rPr>
          <w:rFonts w:ascii="Times New Roman" w:hAnsi="Times New Roman"/>
          <w:color w:val="000000"/>
          <w:sz w:val="24"/>
          <w:szCs w:val="24"/>
        </w:rPr>
        <w:t>revisions</w:t>
      </w:r>
      <w:r w:rsidR="00EB3B67">
        <w:rPr>
          <w:rFonts w:ascii="Times New Roman" w:hAnsi="Times New Roman"/>
          <w:color w:val="000000"/>
          <w:sz w:val="24"/>
          <w:szCs w:val="24"/>
        </w:rPr>
        <w:t xml:space="preserve"> to</w:t>
      </w:r>
      <w:r w:rsidR="006D63DA">
        <w:rPr>
          <w:rFonts w:ascii="Times New Roman" w:hAnsi="Times New Roman"/>
          <w:color w:val="000000"/>
          <w:sz w:val="24"/>
          <w:szCs w:val="24"/>
        </w:rPr>
        <w:t xml:space="preserve"> terminology </w:t>
      </w:r>
      <w:r w:rsidR="008B0BBB">
        <w:rPr>
          <w:rFonts w:ascii="Times New Roman" w:hAnsi="Times New Roman"/>
          <w:color w:val="000000"/>
          <w:sz w:val="24"/>
          <w:szCs w:val="24"/>
        </w:rPr>
        <w:t xml:space="preserve">to accommodate </w:t>
      </w:r>
      <w:r w:rsidR="00EB3DE0">
        <w:rPr>
          <w:rFonts w:ascii="Times New Roman" w:hAnsi="Times New Roman"/>
          <w:color w:val="000000"/>
          <w:sz w:val="24"/>
          <w:szCs w:val="24"/>
        </w:rPr>
        <w:t xml:space="preserve">the revised private health insurance capital framework which took effect on 1 July 2023. </w:t>
      </w:r>
    </w:p>
    <w:p w14:paraId="34C9DBCC" w14:textId="77777777" w:rsidR="00CA2857" w:rsidRPr="00045CBE" w:rsidRDefault="00CA2857" w:rsidP="009D7325">
      <w:pPr>
        <w:spacing w:after="240"/>
        <w:contextualSpacing/>
        <w:jc w:val="both"/>
        <w:rPr>
          <w:rFonts w:ascii="Times New Roman" w:eastAsia="Times New Roman" w:hAnsi="Times New Roman"/>
          <w:b/>
          <w:sz w:val="24"/>
          <w:szCs w:val="24"/>
          <w:lang w:eastAsia="en-AU"/>
        </w:rPr>
      </w:pPr>
    </w:p>
    <w:p w14:paraId="2835F98F" w14:textId="3564C6BE" w:rsidR="00812CFD" w:rsidRPr="00DB104D" w:rsidRDefault="00A019DA" w:rsidP="00DB104D">
      <w:pPr>
        <w:pStyle w:val="ListParagraph"/>
        <w:keepNext/>
        <w:numPr>
          <w:ilvl w:val="0"/>
          <w:numId w:val="13"/>
        </w:numPr>
        <w:spacing w:before="240" w:after="240"/>
        <w:contextualSpacing/>
        <w:jc w:val="both"/>
        <w:rPr>
          <w:rFonts w:ascii="Times New Roman" w:eastAsia="Times New Roman" w:hAnsi="Times New Roman"/>
          <w:b/>
          <w:sz w:val="24"/>
          <w:szCs w:val="24"/>
          <w:lang w:eastAsia="en-AU"/>
        </w:rPr>
      </w:pPr>
      <w:r w:rsidRPr="00DB104D">
        <w:rPr>
          <w:rFonts w:ascii="Times New Roman" w:eastAsia="Times New Roman" w:hAnsi="Times New Roman"/>
          <w:b/>
          <w:sz w:val="24"/>
          <w:szCs w:val="24"/>
          <w:lang w:eastAsia="en-AU"/>
        </w:rPr>
        <w:t xml:space="preserve">Purpose </w:t>
      </w:r>
      <w:r w:rsidR="00E17C03" w:rsidRPr="00DB104D">
        <w:rPr>
          <w:rFonts w:ascii="Times New Roman" w:eastAsia="Times New Roman" w:hAnsi="Times New Roman"/>
          <w:b/>
          <w:sz w:val="24"/>
          <w:szCs w:val="24"/>
          <w:lang w:eastAsia="en-AU"/>
        </w:rPr>
        <w:t xml:space="preserve">and operation </w:t>
      </w:r>
      <w:r w:rsidRPr="00DB104D">
        <w:rPr>
          <w:rFonts w:ascii="Times New Roman" w:eastAsia="Times New Roman" w:hAnsi="Times New Roman"/>
          <w:b/>
          <w:sz w:val="24"/>
          <w:szCs w:val="24"/>
          <w:lang w:eastAsia="en-AU"/>
        </w:rPr>
        <w:t>of the instrument</w:t>
      </w:r>
      <w:r w:rsidR="0055440B" w:rsidRPr="00DB104D">
        <w:rPr>
          <w:rFonts w:ascii="Times New Roman" w:eastAsia="Times New Roman" w:hAnsi="Times New Roman"/>
          <w:b/>
          <w:sz w:val="24"/>
          <w:szCs w:val="24"/>
          <w:lang w:eastAsia="en-AU"/>
        </w:rPr>
        <w:t>s</w:t>
      </w:r>
    </w:p>
    <w:p w14:paraId="08233B35" w14:textId="1954F801" w:rsidR="00E17C03" w:rsidRDefault="00E17C03" w:rsidP="00E17C03">
      <w:pPr>
        <w:rPr>
          <w:rFonts w:ascii="Times New Roman" w:hAnsi="Times New Roman"/>
          <w:sz w:val="24"/>
          <w:szCs w:val="24"/>
        </w:rPr>
      </w:pPr>
      <w:r w:rsidRPr="00BC1E70">
        <w:rPr>
          <w:rFonts w:ascii="Times New Roman" w:hAnsi="Times New Roman"/>
          <w:sz w:val="24"/>
          <w:szCs w:val="24"/>
        </w:rPr>
        <w:t>The purpose of</w:t>
      </w:r>
      <w:r>
        <w:rPr>
          <w:rFonts w:ascii="Times New Roman" w:hAnsi="Times New Roman"/>
          <w:sz w:val="24"/>
          <w:szCs w:val="24"/>
        </w:rPr>
        <w:t xml:space="preserve"> this instrument </w:t>
      </w:r>
      <w:r w:rsidRPr="00BC1E70">
        <w:rPr>
          <w:rFonts w:ascii="Times New Roman" w:hAnsi="Times New Roman"/>
          <w:sz w:val="24"/>
          <w:szCs w:val="24"/>
        </w:rPr>
        <w:t xml:space="preserve">is to revoke </w:t>
      </w:r>
      <w:r>
        <w:rPr>
          <w:rFonts w:ascii="Times New Roman" w:hAnsi="Times New Roman"/>
          <w:sz w:val="24"/>
          <w:szCs w:val="24"/>
        </w:rPr>
        <w:t xml:space="preserve">the previous </w:t>
      </w:r>
      <w:r w:rsidR="00B94A7C">
        <w:rPr>
          <w:rFonts w:ascii="Times New Roman" w:hAnsi="Times New Roman"/>
          <w:sz w:val="24"/>
          <w:szCs w:val="24"/>
        </w:rPr>
        <w:t>CPS 320</w:t>
      </w:r>
      <w:r>
        <w:rPr>
          <w:rFonts w:ascii="Times New Roman" w:hAnsi="Times New Roman"/>
          <w:sz w:val="24"/>
          <w:szCs w:val="24"/>
        </w:rPr>
        <w:t xml:space="preserve"> and to replace it with a new version</w:t>
      </w:r>
      <w:r w:rsidR="00B94A7C">
        <w:rPr>
          <w:rFonts w:ascii="Times New Roman" w:hAnsi="Times New Roman"/>
          <w:sz w:val="24"/>
          <w:szCs w:val="24"/>
        </w:rPr>
        <w:t xml:space="preserve">, incorporating minor updates. </w:t>
      </w:r>
    </w:p>
    <w:p w14:paraId="1122E2BD" w14:textId="77777777" w:rsidR="00E17C03" w:rsidRPr="00E17C03" w:rsidRDefault="00E17C03" w:rsidP="00E17C03">
      <w:pPr>
        <w:rPr>
          <w:rFonts w:ascii="Times New Roman" w:hAnsi="Times New Roman"/>
          <w:sz w:val="24"/>
          <w:szCs w:val="24"/>
        </w:rPr>
      </w:pPr>
    </w:p>
    <w:p w14:paraId="6C19D047" w14:textId="66E8B2E0" w:rsidR="0008222D" w:rsidRDefault="00E17C03" w:rsidP="0008222D">
      <w:pPr>
        <w:spacing w:after="240"/>
        <w:jc w:val="both"/>
        <w:rPr>
          <w:rFonts w:ascii="Times New Roman" w:hAnsi="Times New Roman"/>
          <w:sz w:val="24"/>
          <w:szCs w:val="24"/>
          <w:lang w:val="en-US"/>
        </w:rPr>
      </w:pPr>
      <w:r>
        <w:rPr>
          <w:rFonts w:ascii="Times New Roman" w:eastAsia="Times New Roman" w:hAnsi="Times New Roman"/>
          <w:sz w:val="24"/>
          <w:szCs w:val="24"/>
          <w:lang w:eastAsia="en-AU"/>
        </w:rPr>
        <w:t>CPS 320</w:t>
      </w:r>
      <w:r w:rsidR="0055440B" w:rsidRPr="00045CBE">
        <w:rPr>
          <w:rFonts w:ascii="Times New Roman" w:eastAsia="Times New Roman" w:hAnsi="Times New Roman"/>
          <w:sz w:val="24"/>
          <w:szCs w:val="24"/>
          <w:lang w:eastAsia="en-AU"/>
        </w:rPr>
        <w:t xml:space="preserve"> set</w:t>
      </w:r>
      <w:r w:rsidR="00A019DA" w:rsidRPr="00045CBE">
        <w:rPr>
          <w:rFonts w:ascii="Times New Roman" w:eastAsia="Times New Roman" w:hAnsi="Times New Roman"/>
          <w:sz w:val="24"/>
          <w:szCs w:val="24"/>
          <w:lang w:eastAsia="en-AU"/>
        </w:rPr>
        <w:t xml:space="preserve"> ou</w:t>
      </w:r>
      <w:r w:rsidR="001000B5" w:rsidRPr="00045CBE">
        <w:rPr>
          <w:rFonts w:ascii="Times New Roman" w:eastAsia="Times New Roman" w:hAnsi="Times New Roman"/>
          <w:sz w:val="24"/>
          <w:szCs w:val="24"/>
          <w:lang w:eastAsia="en-AU"/>
        </w:rPr>
        <w:t>t prudential requirements for</w:t>
      </w:r>
      <w:r w:rsidR="00A019DA" w:rsidRPr="00045CBE">
        <w:rPr>
          <w:rFonts w:ascii="Times New Roman" w:eastAsia="Times New Roman" w:hAnsi="Times New Roman"/>
          <w:sz w:val="24"/>
          <w:szCs w:val="24"/>
          <w:lang w:eastAsia="en-AU"/>
        </w:rPr>
        <w:t xml:space="preserve"> </w:t>
      </w:r>
      <w:r w:rsidR="004A4890" w:rsidRPr="00045CBE">
        <w:rPr>
          <w:rFonts w:ascii="Times New Roman" w:eastAsia="Times New Roman" w:hAnsi="Times New Roman"/>
          <w:sz w:val="24"/>
          <w:szCs w:val="24"/>
          <w:lang w:eastAsia="en-AU"/>
        </w:rPr>
        <w:t xml:space="preserve">general insurers, life insurers and </w:t>
      </w:r>
      <w:r w:rsidR="008B1B78" w:rsidRPr="00045CBE">
        <w:rPr>
          <w:rFonts w:ascii="Times New Roman" w:eastAsia="Times New Roman" w:hAnsi="Times New Roman"/>
          <w:sz w:val="24"/>
          <w:szCs w:val="24"/>
          <w:lang w:eastAsia="en-AU"/>
        </w:rPr>
        <w:t>p</w:t>
      </w:r>
      <w:r w:rsidR="006D7CB9" w:rsidRPr="00045CBE">
        <w:rPr>
          <w:rFonts w:ascii="Times New Roman" w:eastAsia="Times New Roman" w:hAnsi="Times New Roman"/>
          <w:sz w:val="24"/>
          <w:szCs w:val="24"/>
          <w:lang w:eastAsia="en-AU"/>
        </w:rPr>
        <w:t>rivate health insurer</w:t>
      </w:r>
      <w:r w:rsidR="008B1B78" w:rsidRPr="00045CBE">
        <w:rPr>
          <w:rFonts w:ascii="Times New Roman" w:eastAsia="Times New Roman" w:hAnsi="Times New Roman"/>
          <w:sz w:val="24"/>
          <w:szCs w:val="24"/>
          <w:lang w:eastAsia="en-AU"/>
        </w:rPr>
        <w:t xml:space="preserve">s </w:t>
      </w:r>
      <w:r w:rsidR="00A019DA" w:rsidRPr="00045CBE">
        <w:rPr>
          <w:rFonts w:ascii="Times New Roman" w:eastAsia="Times New Roman" w:hAnsi="Times New Roman"/>
          <w:sz w:val="24"/>
          <w:szCs w:val="24"/>
          <w:lang w:eastAsia="en-AU"/>
        </w:rPr>
        <w:t xml:space="preserve">to maintain </w:t>
      </w:r>
      <w:r w:rsidR="004A4890" w:rsidRPr="00045CBE">
        <w:rPr>
          <w:rFonts w:ascii="Times New Roman" w:hAnsi="Times New Roman"/>
          <w:sz w:val="24"/>
          <w:szCs w:val="24"/>
        </w:rPr>
        <w:t>appropriate actuarial advice</w:t>
      </w:r>
      <w:r w:rsidR="007E5EB7" w:rsidRPr="00045CBE">
        <w:rPr>
          <w:rFonts w:ascii="Times New Roman" w:hAnsi="Times New Roman"/>
          <w:sz w:val="24"/>
          <w:szCs w:val="24"/>
        </w:rPr>
        <w:t>. This ad</w:t>
      </w:r>
      <w:r w:rsidR="0084435E" w:rsidRPr="00045CBE">
        <w:rPr>
          <w:rFonts w:ascii="Times New Roman" w:hAnsi="Times New Roman"/>
          <w:sz w:val="24"/>
          <w:szCs w:val="24"/>
        </w:rPr>
        <w:t>vice is designed to assist the b</w:t>
      </w:r>
      <w:r w:rsidR="007E5EB7" w:rsidRPr="00045CBE">
        <w:rPr>
          <w:rFonts w:ascii="Times New Roman" w:hAnsi="Times New Roman"/>
          <w:sz w:val="24"/>
          <w:szCs w:val="24"/>
        </w:rPr>
        <w:t xml:space="preserve">oard and senior management in carrying out their responsibilities for the sound and prudent management of the </w:t>
      </w:r>
      <w:r w:rsidR="004A4890" w:rsidRPr="00045CBE">
        <w:rPr>
          <w:rFonts w:ascii="Times New Roman" w:hAnsi="Times New Roman"/>
          <w:sz w:val="24"/>
          <w:szCs w:val="24"/>
        </w:rPr>
        <w:t>insurer</w:t>
      </w:r>
      <w:r w:rsidR="007E5EB7" w:rsidRPr="00045CBE">
        <w:rPr>
          <w:rFonts w:ascii="Times New Roman" w:hAnsi="Times New Roman"/>
          <w:sz w:val="24"/>
          <w:szCs w:val="24"/>
        </w:rPr>
        <w:t>.</w:t>
      </w:r>
      <w:r w:rsidR="00A019DA" w:rsidRPr="00045CBE">
        <w:rPr>
          <w:rFonts w:ascii="Times New Roman" w:eastAsia="Times New Roman" w:hAnsi="Times New Roman"/>
          <w:sz w:val="24"/>
          <w:szCs w:val="24"/>
          <w:lang w:eastAsia="en-AU"/>
        </w:rPr>
        <w:t xml:space="preserve"> </w:t>
      </w:r>
    </w:p>
    <w:p w14:paraId="231DBD80" w14:textId="77777777" w:rsidR="00A6661A" w:rsidRPr="00C61C9E" w:rsidRDefault="004A4890" w:rsidP="009D7325">
      <w:pPr>
        <w:spacing w:after="240"/>
        <w:jc w:val="both"/>
        <w:rPr>
          <w:rFonts w:ascii="Times New Roman" w:eastAsia="Times New Roman" w:hAnsi="Times New Roman"/>
          <w:sz w:val="24"/>
          <w:szCs w:val="24"/>
          <w:lang w:eastAsia="en-AU"/>
        </w:rPr>
      </w:pPr>
      <w:r w:rsidRPr="00C61C9E">
        <w:rPr>
          <w:rFonts w:ascii="Times New Roman" w:eastAsia="Times New Roman" w:hAnsi="Times New Roman"/>
          <w:sz w:val="24"/>
          <w:szCs w:val="24"/>
          <w:lang w:eastAsia="en-AU"/>
        </w:rPr>
        <w:t>The key requirements of C</w:t>
      </w:r>
      <w:r w:rsidR="00427B85" w:rsidRPr="00C61C9E">
        <w:rPr>
          <w:rFonts w:ascii="Times New Roman" w:eastAsia="Times New Roman" w:hAnsi="Times New Roman"/>
          <w:sz w:val="24"/>
          <w:szCs w:val="24"/>
          <w:lang w:eastAsia="en-AU"/>
        </w:rPr>
        <w:t>PS 32</w:t>
      </w:r>
      <w:r w:rsidR="007E5EB7" w:rsidRPr="00C61C9E">
        <w:rPr>
          <w:rFonts w:ascii="Times New Roman" w:eastAsia="Times New Roman" w:hAnsi="Times New Roman"/>
          <w:sz w:val="24"/>
          <w:szCs w:val="24"/>
          <w:lang w:eastAsia="en-AU"/>
        </w:rPr>
        <w:t>0</w:t>
      </w:r>
      <w:r w:rsidR="00A019DA" w:rsidRPr="00C61C9E">
        <w:rPr>
          <w:rFonts w:ascii="Times New Roman" w:eastAsia="Times New Roman" w:hAnsi="Times New Roman"/>
          <w:sz w:val="24"/>
          <w:szCs w:val="24"/>
          <w:lang w:eastAsia="en-AU"/>
        </w:rPr>
        <w:t xml:space="preserve"> are</w:t>
      </w:r>
      <w:r w:rsidR="00A6661A" w:rsidRPr="00C61C9E">
        <w:rPr>
          <w:rFonts w:ascii="Times New Roman" w:eastAsia="Times New Roman" w:hAnsi="Times New Roman"/>
          <w:sz w:val="24"/>
          <w:szCs w:val="24"/>
          <w:lang w:eastAsia="en-AU"/>
        </w:rPr>
        <w:t>:</w:t>
      </w:r>
    </w:p>
    <w:p w14:paraId="0B4CEDB9" w14:textId="15DEA7DA" w:rsidR="008B1B78" w:rsidRPr="00C61C9E" w:rsidRDefault="00A6661A" w:rsidP="009D7325">
      <w:pPr>
        <w:pStyle w:val="ListParagraph"/>
        <w:numPr>
          <w:ilvl w:val="0"/>
          <w:numId w:val="12"/>
        </w:numPr>
        <w:spacing w:after="240"/>
        <w:jc w:val="both"/>
        <w:rPr>
          <w:rFonts w:ascii="Times New Roman" w:eastAsia="Times New Roman" w:hAnsi="Times New Roman"/>
          <w:sz w:val="24"/>
          <w:szCs w:val="24"/>
          <w:lang w:eastAsia="en-AU"/>
        </w:rPr>
      </w:pPr>
      <w:r w:rsidRPr="00C61C9E">
        <w:rPr>
          <w:rFonts w:ascii="Times New Roman" w:eastAsia="Times New Roman" w:hAnsi="Times New Roman"/>
          <w:sz w:val="24"/>
          <w:szCs w:val="24"/>
          <w:lang w:eastAsia="en-AU"/>
        </w:rPr>
        <w:t>an insurer must</w:t>
      </w:r>
      <w:r w:rsidR="00A019DA" w:rsidRPr="00C61C9E">
        <w:rPr>
          <w:rFonts w:ascii="Times New Roman" w:eastAsia="Times New Roman" w:hAnsi="Times New Roman"/>
          <w:sz w:val="24"/>
          <w:szCs w:val="24"/>
          <w:lang w:eastAsia="en-AU"/>
        </w:rPr>
        <w:t xml:space="preserve"> </w:t>
      </w:r>
      <w:r w:rsidRPr="00C61C9E">
        <w:rPr>
          <w:rFonts w:ascii="Times New Roman" w:hAnsi="Times New Roman"/>
          <w:sz w:val="24"/>
          <w:szCs w:val="24"/>
        </w:rPr>
        <w:t xml:space="preserve">establish an actuarial advice </w:t>
      </w:r>
      <w:proofErr w:type="gramStart"/>
      <w:r w:rsidRPr="00C61C9E">
        <w:rPr>
          <w:rFonts w:ascii="Times New Roman" w:hAnsi="Times New Roman"/>
          <w:sz w:val="24"/>
          <w:szCs w:val="24"/>
        </w:rPr>
        <w:t>framework;</w:t>
      </w:r>
      <w:proofErr w:type="gramEnd"/>
    </w:p>
    <w:p w14:paraId="00335428" w14:textId="14AC6F62" w:rsidR="00A6661A" w:rsidRPr="00C61C9E" w:rsidRDefault="00A6661A" w:rsidP="009D7325">
      <w:pPr>
        <w:pStyle w:val="ListParagraph"/>
        <w:numPr>
          <w:ilvl w:val="0"/>
          <w:numId w:val="12"/>
        </w:numPr>
        <w:spacing w:after="240"/>
        <w:jc w:val="both"/>
        <w:rPr>
          <w:rFonts w:ascii="Times New Roman" w:eastAsia="Times New Roman" w:hAnsi="Times New Roman"/>
          <w:sz w:val="24"/>
          <w:szCs w:val="24"/>
          <w:lang w:eastAsia="en-AU"/>
        </w:rPr>
      </w:pPr>
      <w:r w:rsidRPr="00C61C9E">
        <w:rPr>
          <w:rFonts w:ascii="Times New Roman" w:hAnsi="Times New Roman"/>
          <w:sz w:val="24"/>
          <w:szCs w:val="24"/>
        </w:rPr>
        <w:t xml:space="preserve">an insurer must provide the Appointed Actuary with sufficient information, and access to the board and senior management, to allow the Appointed Actuary to fulfil specified roles and </w:t>
      </w:r>
      <w:proofErr w:type="gramStart"/>
      <w:r w:rsidRPr="00C61C9E">
        <w:rPr>
          <w:rFonts w:ascii="Times New Roman" w:hAnsi="Times New Roman"/>
          <w:sz w:val="24"/>
          <w:szCs w:val="24"/>
        </w:rPr>
        <w:t>functions;</w:t>
      </w:r>
      <w:proofErr w:type="gramEnd"/>
      <w:r w:rsidRPr="00C61C9E">
        <w:rPr>
          <w:rFonts w:ascii="Times New Roman" w:hAnsi="Times New Roman"/>
          <w:sz w:val="24"/>
          <w:szCs w:val="24"/>
        </w:rPr>
        <w:t xml:space="preserve"> </w:t>
      </w:r>
    </w:p>
    <w:p w14:paraId="759080DF" w14:textId="51647E40" w:rsidR="00A6661A" w:rsidRPr="00C61C9E" w:rsidRDefault="00A6661A" w:rsidP="009D7325">
      <w:pPr>
        <w:pStyle w:val="Default"/>
        <w:numPr>
          <w:ilvl w:val="0"/>
          <w:numId w:val="12"/>
        </w:numPr>
        <w:spacing w:after="240"/>
        <w:jc w:val="both"/>
      </w:pPr>
      <w:r w:rsidRPr="00C61C9E">
        <w:t xml:space="preserve">the Appointed Actuary must provide advice to the insurer on the valuation of the insurance liabilities, the insurer’s financial condition, and matters specified under </w:t>
      </w:r>
      <w:r w:rsidRPr="00C61C9E">
        <w:lastRenderedPageBreak/>
        <w:t xml:space="preserve">the insurer’s actuarial advice framework, consistent with the insurer’s materiality </w:t>
      </w:r>
      <w:proofErr w:type="gramStart"/>
      <w:r w:rsidRPr="00C61C9E">
        <w:t>policy;</w:t>
      </w:r>
      <w:proofErr w:type="gramEnd"/>
    </w:p>
    <w:p w14:paraId="221F5B57" w14:textId="5E3F8F7F" w:rsidR="00A6661A" w:rsidRPr="00C61C9E" w:rsidRDefault="00A6661A" w:rsidP="009D7325">
      <w:pPr>
        <w:pStyle w:val="Default"/>
        <w:numPr>
          <w:ilvl w:val="0"/>
          <w:numId w:val="12"/>
        </w:numPr>
        <w:spacing w:after="240"/>
        <w:jc w:val="both"/>
      </w:pPr>
      <w:r w:rsidRPr="00C61C9E">
        <w:t xml:space="preserve">the Appointed Actuary must assess the insurer’s financial condition and prepare a Financial Condition </w:t>
      </w:r>
      <w:proofErr w:type="gramStart"/>
      <w:r w:rsidRPr="00C61C9E">
        <w:t>Report;</w:t>
      </w:r>
      <w:proofErr w:type="gramEnd"/>
    </w:p>
    <w:p w14:paraId="1E82587B" w14:textId="0C95C053" w:rsidR="00A6661A" w:rsidRPr="00C61C9E" w:rsidRDefault="00A6661A" w:rsidP="009D7325">
      <w:pPr>
        <w:pStyle w:val="Default"/>
        <w:numPr>
          <w:ilvl w:val="0"/>
          <w:numId w:val="12"/>
        </w:numPr>
        <w:spacing w:after="240"/>
        <w:jc w:val="both"/>
      </w:pPr>
      <w:r w:rsidRPr="00C61C9E">
        <w:t xml:space="preserve">an insurer must submit a copy of the Financial Condition Report to </w:t>
      </w:r>
      <w:proofErr w:type="gramStart"/>
      <w:r w:rsidRPr="00C61C9E">
        <w:t>APRA;</w:t>
      </w:r>
      <w:proofErr w:type="gramEnd"/>
    </w:p>
    <w:p w14:paraId="25C1119F" w14:textId="6D8AFBD6" w:rsidR="00A6661A" w:rsidRPr="00C61C9E" w:rsidRDefault="00A6661A" w:rsidP="009D7325">
      <w:pPr>
        <w:pStyle w:val="Default"/>
        <w:numPr>
          <w:ilvl w:val="0"/>
          <w:numId w:val="12"/>
        </w:numPr>
        <w:spacing w:after="240"/>
        <w:jc w:val="both"/>
      </w:pPr>
      <w:r w:rsidRPr="00C61C9E">
        <w:t>the Appointed Actuary must provide advice on the valuation of insurance liabilities, and Appointed Actuaries of general insurers and life companies must prepare an Actuarial Valuation Report; and</w:t>
      </w:r>
    </w:p>
    <w:p w14:paraId="00E1C5DE" w14:textId="6786F3E7" w:rsidR="00A6661A" w:rsidRPr="00C61C9E" w:rsidRDefault="00A6661A" w:rsidP="009D7325">
      <w:pPr>
        <w:pStyle w:val="Default"/>
        <w:numPr>
          <w:ilvl w:val="0"/>
          <w:numId w:val="12"/>
        </w:numPr>
        <w:spacing w:after="240"/>
        <w:jc w:val="both"/>
      </w:pPr>
      <w:r w:rsidRPr="00C61C9E">
        <w:t>a general insurer or life company must submit a copy of the Actuarial Valuation Report to APRA.</w:t>
      </w:r>
    </w:p>
    <w:p w14:paraId="20637C24" w14:textId="77777777" w:rsidR="006C6379" w:rsidRPr="00AE14EC" w:rsidRDefault="006C6379" w:rsidP="006C6379">
      <w:pPr>
        <w:jc w:val="both"/>
        <w:rPr>
          <w:rFonts w:ascii="Times New Roman" w:eastAsia="Times New Roman" w:hAnsi="Times New Roman"/>
          <w:b/>
          <w:sz w:val="24"/>
          <w:szCs w:val="24"/>
        </w:rPr>
      </w:pPr>
      <w:r w:rsidRPr="00EC0BAA">
        <w:rPr>
          <w:rFonts w:ascii="Times New Roman" w:hAnsi="Times New Roman"/>
          <w:b/>
          <w:i/>
          <w:sz w:val="24"/>
          <w:szCs w:val="24"/>
        </w:rPr>
        <w:t>Exercise of discretion by APRA</w:t>
      </w:r>
    </w:p>
    <w:p w14:paraId="3CBE970E" w14:textId="77777777" w:rsidR="006C6379" w:rsidRDefault="006C6379" w:rsidP="006C6379">
      <w:pPr>
        <w:jc w:val="both"/>
        <w:rPr>
          <w:rFonts w:ascii="Times New Roman" w:hAnsi="Times New Roman"/>
          <w:sz w:val="24"/>
          <w:szCs w:val="24"/>
        </w:rPr>
      </w:pPr>
    </w:p>
    <w:p w14:paraId="239E2DB2" w14:textId="472C56B0" w:rsidR="006C6379" w:rsidRPr="00D9085C" w:rsidRDefault="006C6379" w:rsidP="006C6379">
      <w:pPr>
        <w:jc w:val="both"/>
        <w:rPr>
          <w:rFonts w:ascii="Times New Roman" w:hAnsi="Times New Roman"/>
          <w:sz w:val="24"/>
          <w:szCs w:val="24"/>
        </w:rPr>
      </w:pPr>
      <w:r w:rsidRPr="00D9085C">
        <w:rPr>
          <w:rFonts w:ascii="Times New Roman" w:hAnsi="Times New Roman"/>
          <w:sz w:val="24"/>
          <w:szCs w:val="24"/>
        </w:rPr>
        <w:t xml:space="preserve">CPS </w:t>
      </w:r>
      <w:r>
        <w:rPr>
          <w:rFonts w:ascii="Times New Roman" w:hAnsi="Times New Roman"/>
          <w:sz w:val="24"/>
          <w:szCs w:val="24"/>
        </w:rPr>
        <w:t>320</w:t>
      </w:r>
      <w:r w:rsidRPr="00D9085C">
        <w:rPr>
          <w:rFonts w:ascii="Times New Roman" w:hAnsi="Times New Roman"/>
          <w:sz w:val="24"/>
          <w:szCs w:val="24"/>
        </w:rPr>
        <w:t xml:space="preserve"> provides for APRA to exercise various discretions. Decisions made by APRA in exercising those discretions are not subject to merits review. This is because these decisions are preliminary decisions that may facilitate or lead to substantive decisions which are subject to merits review.</w:t>
      </w:r>
    </w:p>
    <w:p w14:paraId="5B61E3EA" w14:textId="77777777" w:rsidR="006C6379" w:rsidRDefault="006C6379" w:rsidP="006C6379">
      <w:pPr>
        <w:jc w:val="both"/>
        <w:rPr>
          <w:rFonts w:ascii="Times New Roman" w:hAnsi="Times New Roman"/>
          <w:sz w:val="24"/>
          <w:szCs w:val="24"/>
        </w:rPr>
      </w:pPr>
    </w:p>
    <w:p w14:paraId="064BDD7C" w14:textId="7F44C4E9" w:rsidR="006C6379" w:rsidRDefault="006C6379" w:rsidP="006C6379">
      <w:pPr>
        <w:jc w:val="both"/>
        <w:rPr>
          <w:rFonts w:ascii="Times New Roman" w:hAnsi="Times New Roman"/>
          <w:sz w:val="24"/>
          <w:szCs w:val="24"/>
        </w:rPr>
      </w:pPr>
      <w:r w:rsidRPr="00D9085C">
        <w:rPr>
          <w:rFonts w:ascii="Times New Roman" w:hAnsi="Times New Roman"/>
          <w:sz w:val="24"/>
          <w:szCs w:val="24"/>
        </w:rPr>
        <w:t>Under the Insurance Act, Life Insurance Act and PHIPS Act, a breach of a prudential standard is a breach of the enabling legislation, as each enabling Act provides that regulated entities must comply with the standard. However, there are no penalties prescribed for breach of the prudential standards under any of these Acts. Instead, an entity’s breach of the enabling legislation is grounds for APRA to make further, substantive decisions under the relevant enabling legislation in relation to the entity. Those decisions may include the decision:</w:t>
      </w:r>
    </w:p>
    <w:p w14:paraId="0C43091F" w14:textId="77777777" w:rsidR="006C6379" w:rsidRPr="00D9085C" w:rsidRDefault="006C6379" w:rsidP="006C6379">
      <w:pPr>
        <w:jc w:val="both"/>
        <w:rPr>
          <w:rFonts w:ascii="Times New Roman" w:hAnsi="Times New Roman"/>
          <w:sz w:val="24"/>
          <w:szCs w:val="24"/>
        </w:rPr>
      </w:pPr>
    </w:p>
    <w:p w14:paraId="277C8D07" w14:textId="73E932BC" w:rsidR="006C6379" w:rsidRPr="00D9085C" w:rsidRDefault="006C6379" w:rsidP="006C6379">
      <w:pPr>
        <w:pStyle w:val="ListParagraph"/>
        <w:numPr>
          <w:ilvl w:val="0"/>
          <w:numId w:val="23"/>
        </w:numPr>
        <w:spacing w:after="200" w:line="276" w:lineRule="auto"/>
        <w:ind w:left="714" w:hanging="357"/>
        <w:jc w:val="both"/>
        <w:rPr>
          <w:rFonts w:ascii="Times New Roman" w:hAnsi="Times New Roman"/>
          <w:sz w:val="24"/>
          <w:szCs w:val="24"/>
        </w:rPr>
      </w:pPr>
      <w:r w:rsidRPr="00D9085C">
        <w:rPr>
          <w:rFonts w:ascii="Times New Roman" w:hAnsi="Times New Roman"/>
          <w:sz w:val="24"/>
          <w:szCs w:val="24"/>
        </w:rPr>
        <w:t>to issue a direction to the regulated entity, including: a direction to comply with the whole or part of a prudential standard (s</w:t>
      </w:r>
      <w:r>
        <w:rPr>
          <w:rFonts w:ascii="Times New Roman" w:hAnsi="Times New Roman"/>
          <w:sz w:val="24"/>
          <w:szCs w:val="24"/>
        </w:rPr>
        <w:t xml:space="preserve">ection </w:t>
      </w:r>
      <w:r w:rsidRPr="00D9085C">
        <w:rPr>
          <w:rFonts w:ascii="Times New Roman" w:hAnsi="Times New Roman"/>
          <w:sz w:val="24"/>
          <w:szCs w:val="24"/>
        </w:rPr>
        <w:t>104 of the Insurance Act, section 230B of the Life Insurance Act); and a direction to comply with all, or specified obligations, which includes prudential standards (section 96 of the PHIPS Act); or</w:t>
      </w:r>
    </w:p>
    <w:p w14:paraId="703B1B1C" w14:textId="3FA4344D" w:rsidR="006C6379" w:rsidRPr="00D9085C" w:rsidRDefault="006C6379" w:rsidP="006C6379">
      <w:pPr>
        <w:pStyle w:val="ListParagraph"/>
        <w:numPr>
          <w:ilvl w:val="0"/>
          <w:numId w:val="23"/>
        </w:numPr>
        <w:spacing w:after="200" w:line="276" w:lineRule="auto"/>
        <w:contextualSpacing/>
        <w:jc w:val="both"/>
        <w:rPr>
          <w:rFonts w:ascii="Times New Roman" w:hAnsi="Times New Roman"/>
          <w:sz w:val="24"/>
          <w:szCs w:val="24"/>
        </w:rPr>
      </w:pPr>
      <w:r w:rsidRPr="00D9085C">
        <w:rPr>
          <w:rFonts w:ascii="Times New Roman" w:hAnsi="Times New Roman"/>
          <w:sz w:val="24"/>
          <w:szCs w:val="24"/>
        </w:rPr>
        <w:t>to revoke</w:t>
      </w:r>
      <w:r w:rsidR="00BA5FF4">
        <w:rPr>
          <w:rFonts w:ascii="Times New Roman" w:hAnsi="Times New Roman"/>
          <w:sz w:val="24"/>
          <w:szCs w:val="24"/>
        </w:rPr>
        <w:t xml:space="preserve"> </w:t>
      </w:r>
      <w:r w:rsidRPr="00D9085C">
        <w:rPr>
          <w:rFonts w:ascii="Times New Roman" w:hAnsi="Times New Roman"/>
          <w:sz w:val="24"/>
          <w:szCs w:val="24"/>
        </w:rPr>
        <w:t xml:space="preserve">an authority to carry on insurance business (section 15 of the Insurance Act); an insurance NOHC authorisation (section 21 of the Insurance Act); registration of life insurance business (section 26 of the Life Insurance Act); </w:t>
      </w:r>
      <w:r w:rsidR="00BA5FF4">
        <w:rPr>
          <w:rFonts w:ascii="Times New Roman" w:hAnsi="Times New Roman"/>
          <w:sz w:val="24"/>
          <w:szCs w:val="24"/>
        </w:rPr>
        <w:t xml:space="preserve">or </w:t>
      </w:r>
      <w:r w:rsidRPr="00D9085C">
        <w:rPr>
          <w:rFonts w:ascii="Times New Roman" w:hAnsi="Times New Roman"/>
          <w:sz w:val="24"/>
          <w:szCs w:val="24"/>
        </w:rPr>
        <w:t xml:space="preserve">a life NOHC authorisation (section 28C of the Life Insurance Act). </w:t>
      </w:r>
    </w:p>
    <w:p w14:paraId="268BEBA6" w14:textId="6EC30B75" w:rsidR="006C6379" w:rsidRPr="00D9085C" w:rsidRDefault="006C6379" w:rsidP="006C6379">
      <w:pPr>
        <w:jc w:val="both"/>
        <w:rPr>
          <w:rFonts w:ascii="Times New Roman" w:hAnsi="Times New Roman"/>
          <w:sz w:val="24"/>
          <w:szCs w:val="24"/>
        </w:rPr>
      </w:pPr>
      <w:r w:rsidRPr="00D9085C">
        <w:rPr>
          <w:rFonts w:ascii="Times New Roman" w:hAnsi="Times New Roman"/>
          <w:sz w:val="24"/>
          <w:szCs w:val="24"/>
        </w:rPr>
        <w:t xml:space="preserve">It is only at this stage that an entity is exposed to a penalty, loss of licence or imposition of a penalty if it breaches the direction (50 penalty units each day under section 108 of the Insurance Act, and section 230F of the Life Insurance Act; </w:t>
      </w:r>
      <w:r w:rsidR="00BA5FF4">
        <w:rPr>
          <w:rFonts w:ascii="Times New Roman" w:hAnsi="Times New Roman"/>
          <w:sz w:val="24"/>
          <w:szCs w:val="24"/>
        </w:rPr>
        <w:t xml:space="preserve">and </w:t>
      </w:r>
      <w:r w:rsidRPr="00D9085C">
        <w:rPr>
          <w:rFonts w:ascii="Times New Roman" w:hAnsi="Times New Roman"/>
          <w:sz w:val="24"/>
          <w:szCs w:val="24"/>
        </w:rPr>
        <w:t>30 penalty units each day under section 104 of the PHIPS Act). In nearly all cases,</w:t>
      </w:r>
      <w:r w:rsidRPr="00DB244B">
        <w:rPr>
          <w:rStyle w:val="FootnoteReference"/>
          <w:rFonts w:ascii="Times New Roman" w:hAnsi="Times New Roman"/>
          <w:sz w:val="24"/>
          <w:szCs w:val="24"/>
          <w:vertAlign w:val="superscript"/>
        </w:rPr>
        <w:footnoteReference w:id="2"/>
      </w:r>
      <w:r w:rsidRPr="00D9085C">
        <w:rPr>
          <w:rFonts w:ascii="Times New Roman" w:hAnsi="Times New Roman"/>
          <w:sz w:val="24"/>
          <w:szCs w:val="24"/>
        </w:rPr>
        <w:t xml:space="preserve"> the decisions are </w:t>
      </w:r>
      <w:r w:rsidRPr="00D9085C">
        <w:rPr>
          <w:rFonts w:ascii="Times New Roman" w:hAnsi="Times New Roman"/>
          <w:sz w:val="24"/>
          <w:szCs w:val="24"/>
        </w:rPr>
        <w:lastRenderedPageBreak/>
        <w:t>preceded by a full consultation with the regulated entity to raise any concerns they may have in relation to the decision.</w:t>
      </w:r>
    </w:p>
    <w:p w14:paraId="2CE68689" w14:textId="77777777" w:rsidR="00BA5FF4" w:rsidRDefault="00BA5FF4" w:rsidP="006C6379">
      <w:pPr>
        <w:jc w:val="both"/>
        <w:rPr>
          <w:rFonts w:ascii="Times New Roman" w:hAnsi="Times New Roman"/>
          <w:sz w:val="24"/>
          <w:szCs w:val="24"/>
        </w:rPr>
      </w:pPr>
    </w:p>
    <w:p w14:paraId="60DBF720" w14:textId="20B790BB" w:rsidR="006C6379" w:rsidRPr="00D9085C" w:rsidRDefault="006C6379" w:rsidP="006C6379">
      <w:pPr>
        <w:jc w:val="both"/>
        <w:rPr>
          <w:rFonts w:ascii="Times New Roman" w:hAnsi="Times New Roman"/>
          <w:sz w:val="24"/>
          <w:szCs w:val="24"/>
        </w:rPr>
      </w:pPr>
      <w:r w:rsidRPr="00D9085C">
        <w:rPr>
          <w:rFonts w:ascii="Times New Roman" w:hAnsi="Times New Roman"/>
          <w:sz w:val="24"/>
          <w:szCs w:val="24"/>
        </w:rPr>
        <w:t xml:space="preserve">The decisions of APRA to impose a direction are subject to merits review (section 104 of the Insurance Act, section 236 of the Life Insurance Act, </w:t>
      </w:r>
      <w:r w:rsidR="00BA5FF4" w:rsidRPr="00E30C24">
        <w:rPr>
          <w:rFonts w:ascii="Times New Roman" w:hAnsi="Times New Roman"/>
          <w:sz w:val="24"/>
          <w:szCs w:val="24"/>
        </w:rPr>
        <w:t xml:space="preserve">and </w:t>
      </w:r>
      <w:r w:rsidRPr="00D9085C">
        <w:rPr>
          <w:rFonts w:ascii="Times New Roman" w:hAnsi="Times New Roman"/>
          <w:sz w:val="24"/>
          <w:szCs w:val="24"/>
        </w:rPr>
        <w:t>section 168 of the PHIPS Act), which is appropriately available at the point where an entity could be exposed to a penalty.</w:t>
      </w:r>
    </w:p>
    <w:p w14:paraId="3D2310B7" w14:textId="77777777" w:rsidR="00BA5FF4" w:rsidRDefault="00BA5FF4" w:rsidP="006C6379">
      <w:pPr>
        <w:jc w:val="both"/>
        <w:rPr>
          <w:rFonts w:ascii="Times New Roman" w:hAnsi="Times New Roman"/>
          <w:sz w:val="24"/>
          <w:szCs w:val="24"/>
        </w:rPr>
      </w:pPr>
    </w:p>
    <w:p w14:paraId="71A46CD3" w14:textId="52A2082D" w:rsidR="006C6379" w:rsidRPr="00D9085C" w:rsidRDefault="006C6379" w:rsidP="006C6379">
      <w:pPr>
        <w:jc w:val="both"/>
        <w:rPr>
          <w:rFonts w:ascii="Times New Roman" w:hAnsi="Times New Roman"/>
          <w:sz w:val="24"/>
          <w:szCs w:val="24"/>
        </w:rPr>
      </w:pPr>
      <w:r w:rsidRPr="00D9085C">
        <w:rPr>
          <w:rFonts w:ascii="Times New Roman" w:hAnsi="Times New Roman"/>
          <w:sz w:val="24"/>
          <w:szCs w:val="24"/>
        </w:rPr>
        <w:t>All decisions to revoke authorisations/registrations under the Insurance Act</w:t>
      </w:r>
      <w:r w:rsidR="00BA5FF4" w:rsidRPr="00BA5FF4">
        <w:rPr>
          <w:rFonts w:ascii="Times New Roman" w:hAnsi="Times New Roman"/>
          <w:sz w:val="24"/>
          <w:szCs w:val="24"/>
        </w:rPr>
        <w:t xml:space="preserve"> </w:t>
      </w:r>
      <w:r w:rsidR="00BA5FF4">
        <w:rPr>
          <w:rFonts w:ascii="Times New Roman" w:hAnsi="Times New Roman"/>
          <w:sz w:val="24"/>
          <w:szCs w:val="24"/>
        </w:rPr>
        <w:t>and</w:t>
      </w:r>
      <w:r w:rsidRPr="00D9085C">
        <w:rPr>
          <w:rFonts w:ascii="Times New Roman" w:hAnsi="Times New Roman"/>
          <w:sz w:val="24"/>
          <w:szCs w:val="24"/>
        </w:rPr>
        <w:t xml:space="preserve"> Life Insurance Act are subject to merits review, unless specifically excluded by the enabling legislation.</w:t>
      </w:r>
    </w:p>
    <w:p w14:paraId="4A93537B" w14:textId="77777777" w:rsidR="00BA5FF4" w:rsidRDefault="00BA5FF4" w:rsidP="006C6379">
      <w:pPr>
        <w:jc w:val="both"/>
        <w:rPr>
          <w:rFonts w:ascii="Times New Roman" w:hAnsi="Times New Roman"/>
          <w:sz w:val="24"/>
          <w:szCs w:val="24"/>
        </w:rPr>
      </w:pPr>
    </w:p>
    <w:p w14:paraId="30A82AA0" w14:textId="4FD76695" w:rsidR="006C6379" w:rsidRPr="00D9085C" w:rsidRDefault="006C6379" w:rsidP="006C6379">
      <w:pPr>
        <w:jc w:val="both"/>
        <w:rPr>
          <w:rFonts w:ascii="Times New Roman" w:hAnsi="Times New Roman"/>
          <w:sz w:val="24"/>
          <w:szCs w:val="24"/>
        </w:rPr>
      </w:pPr>
      <w:r w:rsidRPr="00D9085C">
        <w:rPr>
          <w:rFonts w:ascii="Times New Roman" w:hAnsi="Times New Roman"/>
          <w:sz w:val="24"/>
          <w:szCs w:val="24"/>
        </w:rPr>
        <w:t>Revocation of an authorisation to carry on insurance business or an insurance NOHC authorisation is subject to merits review (s</w:t>
      </w:r>
      <w:r>
        <w:rPr>
          <w:rFonts w:ascii="Times New Roman" w:hAnsi="Times New Roman"/>
          <w:sz w:val="24"/>
          <w:szCs w:val="24"/>
        </w:rPr>
        <w:t>ection</w:t>
      </w:r>
      <w:r w:rsidRPr="00D9085C">
        <w:rPr>
          <w:rFonts w:ascii="Times New Roman" w:hAnsi="Times New Roman"/>
          <w:sz w:val="24"/>
          <w:szCs w:val="24"/>
        </w:rPr>
        <w:t>s 15 and 21 of the Insurance Act).</w:t>
      </w:r>
    </w:p>
    <w:p w14:paraId="6965787B" w14:textId="77777777" w:rsidR="00BA5FF4" w:rsidRDefault="00BA5FF4" w:rsidP="006C6379">
      <w:pPr>
        <w:jc w:val="both"/>
        <w:rPr>
          <w:rFonts w:ascii="Times New Roman" w:hAnsi="Times New Roman"/>
          <w:sz w:val="24"/>
          <w:szCs w:val="24"/>
        </w:rPr>
      </w:pPr>
    </w:p>
    <w:p w14:paraId="21C9C9DD" w14:textId="77777777" w:rsidR="00BA5FF4" w:rsidRDefault="006C6379" w:rsidP="006C6379">
      <w:pPr>
        <w:jc w:val="both"/>
        <w:rPr>
          <w:rFonts w:ascii="Times New Roman" w:hAnsi="Times New Roman"/>
          <w:sz w:val="24"/>
          <w:szCs w:val="24"/>
        </w:rPr>
      </w:pPr>
      <w:r w:rsidRPr="00D9085C">
        <w:rPr>
          <w:rFonts w:ascii="Times New Roman" w:hAnsi="Times New Roman"/>
          <w:sz w:val="24"/>
          <w:szCs w:val="24"/>
        </w:rPr>
        <w:t xml:space="preserve">Revocation of registration as a life insurance company or a life NOHC authorisation is subject to merits review (section 236 of the Life Insurance Act). </w:t>
      </w:r>
    </w:p>
    <w:p w14:paraId="45D77E85" w14:textId="77777777" w:rsidR="00BA5FF4" w:rsidRDefault="00BA5FF4" w:rsidP="006C6379">
      <w:pPr>
        <w:jc w:val="both"/>
        <w:rPr>
          <w:rFonts w:ascii="Times New Roman" w:hAnsi="Times New Roman"/>
          <w:sz w:val="24"/>
          <w:szCs w:val="24"/>
        </w:rPr>
      </w:pPr>
    </w:p>
    <w:p w14:paraId="3E7816F0" w14:textId="3A93740A" w:rsidR="006C6379" w:rsidRDefault="006C6379" w:rsidP="006C6379">
      <w:pPr>
        <w:jc w:val="both"/>
        <w:rPr>
          <w:rFonts w:ascii="Times New Roman" w:hAnsi="Times New Roman"/>
          <w:sz w:val="24"/>
          <w:szCs w:val="24"/>
        </w:rPr>
      </w:pPr>
      <w:r w:rsidRPr="00D9085C">
        <w:rPr>
          <w:rFonts w:ascii="Times New Roman" w:hAnsi="Times New Roman"/>
          <w:sz w:val="24"/>
          <w:szCs w:val="24"/>
        </w:rPr>
        <w:t xml:space="preserve">The situation in relation to cancellation of registration under the PHIPS Act is different to the other enabling legislation. </w:t>
      </w:r>
    </w:p>
    <w:p w14:paraId="105D4226" w14:textId="77777777" w:rsidR="006C6379" w:rsidRDefault="006C6379" w:rsidP="00B94A7C">
      <w:pPr>
        <w:pStyle w:val="Default"/>
        <w:spacing w:after="240"/>
        <w:jc w:val="both"/>
        <w:rPr>
          <w:b/>
          <w:i/>
        </w:rPr>
      </w:pPr>
    </w:p>
    <w:p w14:paraId="6AF081F3" w14:textId="15874B7B" w:rsidR="00B94A7C" w:rsidRPr="00B94A7C" w:rsidRDefault="00B94A7C" w:rsidP="00B94A7C">
      <w:pPr>
        <w:pStyle w:val="Default"/>
        <w:spacing w:after="240"/>
        <w:jc w:val="both"/>
        <w:rPr>
          <w:b/>
          <w:i/>
        </w:rPr>
      </w:pPr>
      <w:r w:rsidRPr="00B94A7C">
        <w:rPr>
          <w:b/>
          <w:i/>
        </w:rPr>
        <w:t xml:space="preserve">Adjust and exclude </w:t>
      </w:r>
      <w:proofErr w:type="gramStart"/>
      <w:r w:rsidR="006C6379">
        <w:rPr>
          <w:b/>
          <w:i/>
        </w:rPr>
        <w:t>powers</w:t>
      </w:r>
      <w:proofErr w:type="gramEnd"/>
      <w:r w:rsidR="006C6379" w:rsidRPr="00B94A7C">
        <w:rPr>
          <w:b/>
          <w:i/>
        </w:rPr>
        <w:t xml:space="preserve"> </w:t>
      </w:r>
    </w:p>
    <w:p w14:paraId="76DA7852" w14:textId="02677000" w:rsidR="00B94A7C" w:rsidRPr="00B94A7C" w:rsidRDefault="00B94A7C" w:rsidP="00B94A7C">
      <w:pPr>
        <w:spacing w:after="240"/>
        <w:jc w:val="both"/>
        <w:rPr>
          <w:rFonts w:ascii="Times New Roman" w:hAnsi="Times New Roman"/>
          <w:sz w:val="24"/>
          <w:szCs w:val="24"/>
        </w:rPr>
      </w:pPr>
      <w:r w:rsidRPr="4669D386">
        <w:rPr>
          <w:rFonts w:ascii="Times New Roman" w:hAnsi="Times New Roman"/>
          <w:sz w:val="24"/>
          <w:szCs w:val="24"/>
        </w:rPr>
        <w:t xml:space="preserve">CPS 320 gives APRA the discretion to adjust or exclude a provision of the prudential standard (paragraph 41). The power to create such a discretion is provided for under </w:t>
      </w:r>
      <w:r w:rsidR="0014253F">
        <w:rPr>
          <w:rFonts w:ascii="Times New Roman" w:hAnsi="Times New Roman"/>
          <w:sz w:val="24"/>
          <w:szCs w:val="24"/>
        </w:rPr>
        <w:t>sub</w:t>
      </w:r>
      <w:r w:rsidR="4538A8EE" w:rsidRPr="4669D386">
        <w:rPr>
          <w:rFonts w:ascii="Times New Roman" w:hAnsi="Times New Roman"/>
          <w:sz w:val="24"/>
          <w:szCs w:val="24"/>
        </w:rPr>
        <w:t>sections 32(3D) of the Insurance Act, 230</w:t>
      </w:r>
      <w:proofErr w:type="gramStart"/>
      <w:r w:rsidR="4538A8EE" w:rsidRPr="4669D386">
        <w:rPr>
          <w:rFonts w:ascii="Times New Roman" w:hAnsi="Times New Roman"/>
          <w:sz w:val="24"/>
          <w:szCs w:val="24"/>
        </w:rPr>
        <w:t>A(</w:t>
      </w:r>
      <w:proofErr w:type="gramEnd"/>
      <w:r w:rsidR="4538A8EE" w:rsidRPr="4669D386">
        <w:rPr>
          <w:rFonts w:ascii="Times New Roman" w:hAnsi="Times New Roman"/>
          <w:sz w:val="24"/>
          <w:szCs w:val="24"/>
        </w:rPr>
        <w:t>4) of the Life Insurance Act and 92(4) of the PHI</w:t>
      </w:r>
      <w:r w:rsidR="0014253F">
        <w:rPr>
          <w:rFonts w:ascii="Times New Roman" w:hAnsi="Times New Roman"/>
          <w:sz w:val="24"/>
          <w:szCs w:val="24"/>
        </w:rPr>
        <w:t>PS</w:t>
      </w:r>
      <w:r w:rsidR="4538A8EE" w:rsidRPr="4669D386">
        <w:rPr>
          <w:rFonts w:ascii="Times New Roman" w:hAnsi="Times New Roman"/>
          <w:sz w:val="24"/>
          <w:szCs w:val="24"/>
        </w:rPr>
        <w:t xml:space="preserve"> Act</w:t>
      </w:r>
      <w:r w:rsidRPr="4669D386">
        <w:rPr>
          <w:rFonts w:ascii="Times New Roman" w:hAnsi="Times New Roman"/>
          <w:sz w:val="24"/>
          <w:szCs w:val="24"/>
        </w:rPr>
        <w:t xml:space="preserve">. </w:t>
      </w:r>
    </w:p>
    <w:p w14:paraId="3646CA9D" w14:textId="4F8529AF" w:rsidR="00B94A7C" w:rsidRPr="0018608E" w:rsidRDefault="00B94A7C" w:rsidP="00B94A7C">
      <w:pPr>
        <w:spacing w:after="240"/>
        <w:jc w:val="both"/>
        <w:rPr>
          <w:rFonts w:ascii="Times New Roman" w:hAnsi="Times New Roman"/>
          <w:sz w:val="24"/>
          <w:szCs w:val="24"/>
        </w:rPr>
      </w:pPr>
      <w:r w:rsidRPr="0018608E">
        <w:rPr>
          <w:rFonts w:ascii="Times New Roman" w:hAnsi="Times New Roman"/>
          <w:sz w:val="24"/>
          <w:szCs w:val="24"/>
        </w:rP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would give APRA comfort that the prudential requirements apply appropriately to protect the interests of </w:t>
      </w:r>
      <w:r>
        <w:rPr>
          <w:rFonts w:ascii="Times New Roman" w:hAnsi="Times New Roman"/>
          <w:sz w:val="24"/>
          <w:szCs w:val="24"/>
        </w:rPr>
        <w:t>depositors</w:t>
      </w:r>
      <w:r w:rsidR="00E30E39">
        <w:rPr>
          <w:rFonts w:ascii="Times New Roman" w:hAnsi="Times New Roman"/>
          <w:sz w:val="24"/>
          <w:szCs w:val="24"/>
        </w:rPr>
        <w:t xml:space="preserve">, </w:t>
      </w:r>
      <w:proofErr w:type="gramStart"/>
      <w:r w:rsidR="00E30E39">
        <w:rPr>
          <w:rFonts w:ascii="Times New Roman" w:hAnsi="Times New Roman"/>
          <w:sz w:val="24"/>
          <w:szCs w:val="24"/>
        </w:rPr>
        <w:t>policyholders</w:t>
      </w:r>
      <w:proofErr w:type="gramEnd"/>
      <w:r w:rsidR="00E30E39">
        <w:rPr>
          <w:rFonts w:ascii="Times New Roman" w:hAnsi="Times New Roman"/>
          <w:sz w:val="24"/>
          <w:szCs w:val="24"/>
        </w:rPr>
        <w:t xml:space="preserve"> and fund members</w:t>
      </w:r>
      <w:r w:rsidRPr="0018608E">
        <w:rPr>
          <w:rFonts w:ascii="Times New Roman" w:hAnsi="Times New Roman"/>
          <w:sz w:val="24"/>
          <w:szCs w:val="24"/>
        </w:rPr>
        <w:t xml:space="preserve">. APRA will also </w:t>
      </w:r>
      <w:proofErr w:type="gramStart"/>
      <w:r w:rsidRPr="0018608E">
        <w:rPr>
          <w:rFonts w:ascii="Times New Roman" w:hAnsi="Times New Roman"/>
          <w:sz w:val="24"/>
          <w:szCs w:val="24"/>
        </w:rPr>
        <w:t>take into account</w:t>
      </w:r>
      <w:proofErr w:type="gramEnd"/>
      <w:r w:rsidRPr="0018608E">
        <w:rPr>
          <w:rFonts w:ascii="Times New Roman" w:hAnsi="Times New Roman"/>
          <w:sz w:val="24"/>
          <w:szCs w:val="24"/>
        </w:rPr>
        <w:t xml:space="preserve"> other considerations, such as efficiency, competition, contestability, competitive neutrality and regulatory burden, including comparisons with the entity’s peer group.</w:t>
      </w:r>
    </w:p>
    <w:p w14:paraId="26259D2D" w14:textId="1886B6CF" w:rsidR="00B94A7C" w:rsidRDefault="00B94A7C" w:rsidP="00281987">
      <w:pPr>
        <w:spacing w:after="240"/>
        <w:jc w:val="both"/>
        <w:rPr>
          <w:rFonts w:ascii="Times New Roman" w:hAnsi="Times New Roman"/>
          <w:sz w:val="24"/>
          <w:szCs w:val="24"/>
        </w:rPr>
      </w:pPr>
      <w:r w:rsidRPr="0018608E">
        <w:rPr>
          <w:rFonts w:ascii="Times New Roman" w:hAnsi="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031FDAE0" w14:textId="51952F15" w:rsidR="00281987" w:rsidRPr="00281987" w:rsidRDefault="00281987" w:rsidP="4669D386">
      <w:pPr>
        <w:spacing w:after="240"/>
        <w:rPr>
          <w:rFonts w:ascii="Times New Roman" w:hAnsi="Times New Roman"/>
          <w:b/>
          <w:bCs/>
          <w:i/>
          <w:iCs/>
          <w:sz w:val="24"/>
          <w:szCs w:val="24"/>
        </w:rPr>
      </w:pPr>
      <w:r w:rsidRPr="4669D386">
        <w:rPr>
          <w:rFonts w:ascii="Times New Roman" w:hAnsi="Times New Roman"/>
          <w:b/>
          <w:bCs/>
          <w:i/>
          <w:iCs/>
          <w:sz w:val="24"/>
          <w:szCs w:val="24"/>
        </w:rPr>
        <w:t>Incorporation by reference</w:t>
      </w:r>
    </w:p>
    <w:p w14:paraId="271454CC" w14:textId="77777777" w:rsidR="002C4F9A" w:rsidRPr="00B929E5" w:rsidRDefault="002C4F9A" w:rsidP="002C4F9A">
      <w:pPr>
        <w:spacing w:after="240"/>
        <w:jc w:val="both"/>
        <w:rPr>
          <w:rFonts w:ascii="Times New Roman" w:hAnsi="Times New Roman"/>
          <w:sz w:val="24"/>
          <w:szCs w:val="24"/>
        </w:rPr>
      </w:pPr>
      <w:r w:rsidRPr="00B929E5">
        <w:rPr>
          <w:rFonts w:ascii="Times New Roman" w:hAnsi="Times New Roman"/>
          <w:sz w:val="24"/>
          <w:szCs w:val="24"/>
        </w:rPr>
        <w:t xml:space="preserve">Under paragraph 14(1)(a) of the </w:t>
      </w:r>
      <w:r w:rsidRPr="00B929E5">
        <w:rPr>
          <w:rFonts w:ascii="Times New Roman" w:hAnsi="Times New Roman"/>
          <w:i/>
          <w:sz w:val="24"/>
          <w:szCs w:val="24"/>
        </w:rPr>
        <w:t>Legislation Act 2003</w:t>
      </w:r>
      <w:r w:rsidRPr="00B929E5">
        <w:rPr>
          <w:rFonts w:ascii="Times New Roman" w:hAnsi="Times New Roman"/>
          <w:sz w:val="24"/>
          <w:szCs w:val="24"/>
        </w:rPr>
        <w:t xml:space="preserve">, the prudential standard incorporates by reference as in force from time to time: </w:t>
      </w:r>
    </w:p>
    <w:p w14:paraId="5205CAEF" w14:textId="60E72617" w:rsidR="002C4F9A" w:rsidRPr="00B929E5" w:rsidRDefault="002C4F9A" w:rsidP="00C61C9E">
      <w:pPr>
        <w:numPr>
          <w:ilvl w:val="0"/>
          <w:numId w:val="22"/>
        </w:numPr>
        <w:ind w:hanging="357"/>
        <w:jc w:val="both"/>
        <w:rPr>
          <w:rFonts w:ascii="Times New Roman" w:hAnsi="Times New Roman"/>
          <w:sz w:val="24"/>
          <w:szCs w:val="24"/>
        </w:rPr>
      </w:pPr>
      <w:r w:rsidRPr="00B929E5">
        <w:rPr>
          <w:rFonts w:ascii="Times New Roman" w:hAnsi="Times New Roman"/>
          <w:sz w:val="24"/>
          <w:szCs w:val="24"/>
        </w:rPr>
        <w:lastRenderedPageBreak/>
        <w:t xml:space="preserve">Acts of Parliament and associated delegated </w:t>
      </w:r>
      <w:proofErr w:type="gramStart"/>
      <w:r w:rsidR="0014253F">
        <w:rPr>
          <w:rFonts w:ascii="Times New Roman" w:hAnsi="Times New Roman"/>
          <w:sz w:val="24"/>
          <w:szCs w:val="24"/>
        </w:rPr>
        <w:t>laws</w:t>
      </w:r>
      <w:r w:rsidRPr="00B929E5">
        <w:rPr>
          <w:rFonts w:ascii="Times New Roman" w:hAnsi="Times New Roman"/>
          <w:sz w:val="24"/>
          <w:szCs w:val="24"/>
        </w:rPr>
        <w:t>;</w:t>
      </w:r>
      <w:proofErr w:type="gramEnd"/>
    </w:p>
    <w:p w14:paraId="43470ED6" w14:textId="77777777" w:rsidR="002C4F9A" w:rsidRPr="00B929E5" w:rsidRDefault="002C4F9A" w:rsidP="00C61C9E">
      <w:pPr>
        <w:numPr>
          <w:ilvl w:val="0"/>
          <w:numId w:val="22"/>
        </w:numPr>
        <w:ind w:hanging="357"/>
        <w:jc w:val="both"/>
        <w:rPr>
          <w:rFonts w:ascii="Times New Roman" w:hAnsi="Times New Roman"/>
          <w:sz w:val="24"/>
          <w:szCs w:val="24"/>
        </w:rPr>
      </w:pPr>
      <w:r w:rsidRPr="00B929E5">
        <w:rPr>
          <w:rFonts w:ascii="Times New Roman" w:hAnsi="Times New Roman"/>
          <w:sz w:val="24"/>
          <w:szCs w:val="24"/>
        </w:rPr>
        <w:t xml:space="preserve">Prudential Standards determined by APRA under: </w:t>
      </w:r>
    </w:p>
    <w:p w14:paraId="5FC6FF2E" w14:textId="77777777" w:rsidR="002C4F9A" w:rsidRPr="00B929E5" w:rsidRDefault="002C4F9A" w:rsidP="00C61C9E">
      <w:pPr>
        <w:numPr>
          <w:ilvl w:val="1"/>
          <w:numId w:val="22"/>
        </w:numPr>
        <w:ind w:hanging="357"/>
        <w:jc w:val="both"/>
        <w:rPr>
          <w:rFonts w:ascii="Times New Roman" w:hAnsi="Times New Roman"/>
          <w:sz w:val="24"/>
          <w:szCs w:val="24"/>
        </w:rPr>
      </w:pPr>
      <w:r w:rsidRPr="00B929E5">
        <w:rPr>
          <w:rFonts w:ascii="Times New Roman" w:hAnsi="Times New Roman"/>
          <w:sz w:val="24"/>
          <w:szCs w:val="24"/>
        </w:rPr>
        <w:t>subsection 32(1) of the </w:t>
      </w:r>
      <w:r w:rsidRPr="00B929E5">
        <w:rPr>
          <w:rFonts w:ascii="Times New Roman" w:hAnsi="Times New Roman"/>
          <w:i/>
          <w:iCs/>
          <w:sz w:val="24"/>
          <w:szCs w:val="24"/>
        </w:rPr>
        <w:t xml:space="preserve">Insurance Act </w:t>
      </w:r>
      <w:proofErr w:type="gramStart"/>
      <w:r w:rsidRPr="00B929E5">
        <w:rPr>
          <w:rFonts w:ascii="Times New Roman" w:hAnsi="Times New Roman"/>
          <w:i/>
          <w:iCs/>
          <w:sz w:val="24"/>
          <w:szCs w:val="24"/>
        </w:rPr>
        <w:t>1973</w:t>
      </w:r>
      <w:r w:rsidRPr="00B929E5">
        <w:rPr>
          <w:rFonts w:ascii="Times New Roman" w:hAnsi="Times New Roman"/>
          <w:sz w:val="24"/>
          <w:szCs w:val="24"/>
        </w:rPr>
        <w:t>;</w:t>
      </w:r>
      <w:proofErr w:type="gramEnd"/>
    </w:p>
    <w:p w14:paraId="703860CC" w14:textId="046F63D1" w:rsidR="002C4F9A" w:rsidRPr="00B929E5" w:rsidRDefault="002C4F9A" w:rsidP="00C61C9E">
      <w:pPr>
        <w:numPr>
          <w:ilvl w:val="1"/>
          <w:numId w:val="22"/>
        </w:numPr>
        <w:ind w:hanging="357"/>
        <w:jc w:val="both"/>
        <w:rPr>
          <w:rFonts w:ascii="Times New Roman" w:hAnsi="Times New Roman"/>
          <w:sz w:val="24"/>
          <w:szCs w:val="24"/>
        </w:rPr>
      </w:pPr>
      <w:r w:rsidRPr="00B929E5">
        <w:rPr>
          <w:rFonts w:ascii="Times New Roman" w:hAnsi="Times New Roman"/>
          <w:sz w:val="24"/>
          <w:szCs w:val="24"/>
        </w:rPr>
        <w:t>subsection 230</w:t>
      </w:r>
      <w:proofErr w:type="gramStart"/>
      <w:r w:rsidRPr="00B929E5">
        <w:rPr>
          <w:rFonts w:ascii="Times New Roman" w:hAnsi="Times New Roman"/>
          <w:sz w:val="24"/>
          <w:szCs w:val="24"/>
        </w:rPr>
        <w:t>A(</w:t>
      </w:r>
      <w:proofErr w:type="gramEnd"/>
      <w:r w:rsidRPr="00B929E5">
        <w:rPr>
          <w:rFonts w:ascii="Times New Roman" w:hAnsi="Times New Roman"/>
          <w:sz w:val="24"/>
          <w:szCs w:val="24"/>
        </w:rPr>
        <w:t>1) of the</w:t>
      </w:r>
      <w:r w:rsidR="0014253F">
        <w:rPr>
          <w:rFonts w:ascii="Times New Roman" w:hAnsi="Times New Roman"/>
          <w:sz w:val="24"/>
          <w:szCs w:val="24"/>
        </w:rPr>
        <w:t xml:space="preserve"> </w:t>
      </w:r>
      <w:r w:rsidRPr="00B929E5">
        <w:rPr>
          <w:rFonts w:ascii="Times New Roman" w:hAnsi="Times New Roman"/>
          <w:i/>
          <w:iCs/>
          <w:sz w:val="24"/>
          <w:szCs w:val="24"/>
        </w:rPr>
        <w:t>Life Insurance Act 1995</w:t>
      </w:r>
      <w:r w:rsidRPr="00B929E5">
        <w:rPr>
          <w:rFonts w:ascii="Times New Roman" w:hAnsi="Times New Roman"/>
          <w:iCs/>
          <w:sz w:val="24"/>
          <w:szCs w:val="24"/>
        </w:rPr>
        <w:t>; and</w:t>
      </w:r>
    </w:p>
    <w:p w14:paraId="3DE67130" w14:textId="18E21BE4" w:rsidR="002C4F9A" w:rsidRPr="00B929E5" w:rsidRDefault="002C4F9A" w:rsidP="00C61C9E">
      <w:pPr>
        <w:numPr>
          <w:ilvl w:val="1"/>
          <w:numId w:val="22"/>
        </w:numPr>
        <w:ind w:hanging="357"/>
        <w:jc w:val="both"/>
        <w:rPr>
          <w:rFonts w:ascii="Times New Roman" w:hAnsi="Times New Roman"/>
          <w:sz w:val="24"/>
          <w:szCs w:val="24"/>
        </w:rPr>
      </w:pPr>
      <w:r w:rsidRPr="00B929E5">
        <w:rPr>
          <w:rFonts w:ascii="Times New Roman" w:hAnsi="Times New Roman"/>
          <w:sz w:val="24"/>
          <w:szCs w:val="24"/>
        </w:rPr>
        <w:t>subsection 92(1) of the</w:t>
      </w:r>
      <w:r w:rsidR="0014253F">
        <w:rPr>
          <w:rFonts w:ascii="Times New Roman" w:hAnsi="Times New Roman"/>
          <w:sz w:val="24"/>
          <w:szCs w:val="24"/>
        </w:rPr>
        <w:t xml:space="preserve"> </w:t>
      </w:r>
      <w:r w:rsidRPr="00B929E5">
        <w:rPr>
          <w:rFonts w:ascii="Times New Roman" w:hAnsi="Times New Roman"/>
          <w:i/>
          <w:iCs/>
          <w:sz w:val="24"/>
          <w:szCs w:val="24"/>
        </w:rPr>
        <w:t>Private Health Insurance (Prudential Supervision) Act 2015</w:t>
      </w:r>
      <w:r w:rsidRPr="00B929E5">
        <w:rPr>
          <w:rFonts w:ascii="Times New Roman" w:hAnsi="Times New Roman"/>
          <w:iCs/>
          <w:sz w:val="24"/>
          <w:szCs w:val="24"/>
        </w:rPr>
        <w:t>; and</w:t>
      </w:r>
    </w:p>
    <w:p w14:paraId="4C911AAC" w14:textId="3554C834" w:rsidR="002C4F9A" w:rsidRPr="00B929E5" w:rsidRDefault="002C4F9A" w:rsidP="00C61C9E">
      <w:pPr>
        <w:numPr>
          <w:ilvl w:val="0"/>
          <w:numId w:val="22"/>
        </w:numPr>
        <w:jc w:val="both"/>
        <w:rPr>
          <w:rFonts w:ascii="Times New Roman" w:hAnsi="Times New Roman"/>
          <w:sz w:val="24"/>
          <w:szCs w:val="24"/>
        </w:rPr>
      </w:pPr>
      <w:r w:rsidRPr="00B929E5">
        <w:rPr>
          <w:rFonts w:ascii="Times New Roman" w:hAnsi="Times New Roman"/>
          <w:sz w:val="24"/>
          <w:szCs w:val="24"/>
        </w:rPr>
        <w:t xml:space="preserve">Reporting Standards determined by APRA under subsection 13(1) of the </w:t>
      </w:r>
      <w:r w:rsidR="0014253F" w:rsidRPr="00C61C9E">
        <w:rPr>
          <w:rFonts w:ascii="Times New Roman" w:hAnsi="Times New Roman"/>
          <w:i/>
          <w:sz w:val="24"/>
          <w:szCs w:val="24"/>
        </w:rPr>
        <w:t xml:space="preserve">Financial Sector (Collection of Data) Act </w:t>
      </w:r>
      <w:proofErr w:type="gramStart"/>
      <w:r w:rsidR="0014253F" w:rsidRPr="00C61C9E">
        <w:rPr>
          <w:rFonts w:ascii="Times New Roman" w:hAnsi="Times New Roman"/>
          <w:i/>
          <w:sz w:val="24"/>
          <w:szCs w:val="24"/>
        </w:rPr>
        <w:t>2001</w:t>
      </w:r>
      <w:r w:rsidRPr="00B929E5">
        <w:rPr>
          <w:rFonts w:ascii="Times New Roman" w:hAnsi="Times New Roman"/>
          <w:iCs/>
          <w:sz w:val="24"/>
          <w:szCs w:val="24"/>
          <w:lang w:val="en-US"/>
        </w:rPr>
        <w:t>;</w:t>
      </w:r>
      <w:proofErr w:type="gramEnd"/>
    </w:p>
    <w:p w14:paraId="75B92953" w14:textId="77777777" w:rsidR="002C4F9A" w:rsidRPr="00B929E5" w:rsidRDefault="002C4F9A" w:rsidP="00C61C9E">
      <w:pPr>
        <w:numPr>
          <w:ilvl w:val="0"/>
          <w:numId w:val="22"/>
        </w:numPr>
        <w:jc w:val="both"/>
        <w:rPr>
          <w:rFonts w:ascii="Times New Roman" w:hAnsi="Times New Roman"/>
          <w:i/>
          <w:iCs/>
          <w:sz w:val="24"/>
          <w:szCs w:val="24"/>
        </w:rPr>
      </w:pPr>
      <w:r w:rsidRPr="00B929E5">
        <w:rPr>
          <w:rFonts w:ascii="Times New Roman" w:hAnsi="Times New Roman"/>
          <w:sz w:val="24"/>
          <w:szCs w:val="24"/>
        </w:rPr>
        <w:t xml:space="preserve">the Australian Accounting Standards determined by the Australian Accounting Standards Board under section 334 of the </w:t>
      </w:r>
      <w:r w:rsidRPr="00B929E5">
        <w:rPr>
          <w:rFonts w:ascii="Times New Roman" w:hAnsi="Times New Roman"/>
          <w:i/>
          <w:iCs/>
          <w:sz w:val="24"/>
          <w:szCs w:val="24"/>
        </w:rPr>
        <w:t xml:space="preserve">Corporations Act 2001 </w:t>
      </w:r>
      <w:r w:rsidRPr="00B929E5">
        <w:rPr>
          <w:rFonts w:ascii="Times New Roman" w:hAnsi="Times New Roman"/>
          <w:sz w:val="24"/>
          <w:szCs w:val="24"/>
        </w:rPr>
        <w:t>(</w:t>
      </w:r>
      <w:proofErr w:type="spellStart"/>
      <w:r w:rsidRPr="00B929E5">
        <w:rPr>
          <w:rFonts w:ascii="Times New Roman" w:hAnsi="Times New Roman"/>
          <w:sz w:val="24"/>
          <w:szCs w:val="24"/>
        </w:rPr>
        <w:t>Cth</w:t>
      </w:r>
      <w:proofErr w:type="spellEnd"/>
      <w:r w:rsidRPr="00B929E5">
        <w:rPr>
          <w:rFonts w:ascii="Times New Roman" w:hAnsi="Times New Roman"/>
          <w:sz w:val="24"/>
          <w:szCs w:val="24"/>
        </w:rPr>
        <w:t>); and</w:t>
      </w:r>
    </w:p>
    <w:p w14:paraId="5B73441F" w14:textId="77777777" w:rsidR="002C4F9A" w:rsidRPr="00B929E5" w:rsidRDefault="002C4F9A" w:rsidP="00C61C9E">
      <w:pPr>
        <w:numPr>
          <w:ilvl w:val="0"/>
          <w:numId w:val="22"/>
        </w:numPr>
        <w:jc w:val="both"/>
        <w:rPr>
          <w:rFonts w:ascii="Times New Roman" w:hAnsi="Times New Roman"/>
          <w:i/>
          <w:iCs/>
          <w:sz w:val="24"/>
          <w:szCs w:val="24"/>
        </w:rPr>
      </w:pPr>
      <w:r w:rsidRPr="00B929E5">
        <w:rPr>
          <w:rFonts w:ascii="Times New Roman" w:hAnsi="Times New Roman"/>
          <w:sz w:val="24"/>
          <w:szCs w:val="24"/>
        </w:rPr>
        <w:t xml:space="preserve">the Australian Auditing Standards determined by the Auditing and Assurance Standards Board under section 336 of the </w:t>
      </w:r>
      <w:r w:rsidRPr="00B929E5">
        <w:rPr>
          <w:rFonts w:ascii="Times New Roman" w:hAnsi="Times New Roman"/>
          <w:i/>
          <w:sz w:val="24"/>
          <w:szCs w:val="24"/>
        </w:rPr>
        <w:t>Corporations Act 2001</w:t>
      </w:r>
      <w:r w:rsidRPr="00B929E5">
        <w:rPr>
          <w:rFonts w:ascii="Times New Roman" w:hAnsi="Times New Roman"/>
          <w:sz w:val="24"/>
          <w:szCs w:val="24"/>
        </w:rPr>
        <w:t xml:space="preserve"> (</w:t>
      </w:r>
      <w:proofErr w:type="spellStart"/>
      <w:r w:rsidRPr="00B929E5">
        <w:rPr>
          <w:rFonts w:ascii="Times New Roman" w:hAnsi="Times New Roman"/>
          <w:sz w:val="24"/>
          <w:szCs w:val="24"/>
        </w:rPr>
        <w:t>Cth</w:t>
      </w:r>
      <w:proofErr w:type="spellEnd"/>
      <w:r w:rsidRPr="00B929E5">
        <w:rPr>
          <w:rFonts w:ascii="Times New Roman" w:hAnsi="Times New Roman"/>
          <w:sz w:val="24"/>
          <w:szCs w:val="24"/>
        </w:rPr>
        <w:t>).</w:t>
      </w:r>
    </w:p>
    <w:p w14:paraId="7FFFD20F" w14:textId="77777777" w:rsidR="0014253F" w:rsidRDefault="0014253F" w:rsidP="002C4F9A">
      <w:pPr>
        <w:rPr>
          <w:rFonts w:ascii="Times New Roman" w:hAnsi="Times New Roman"/>
          <w:sz w:val="24"/>
          <w:szCs w:val="24"/>
        </w:rPr>
      </w:pPr>
    </w:p>
    <w:p w14:paraId="7009338C" w14:textId="04B71DD3" w:rsidR="002C4F9A" w:rsidRPr="00B929E5" w:rsidRDefault="002C4F9A" w:rsidP="002C4F9A">
      <w:pPr>
        <w:rPr>
          <w:rFonts w:ascii="Times New Roman" w:hAnsi="Times New Roman"/>
          <w:sz w:val="24"/>
          <w:szCs w:val="24"/>
        </w:rPr>
      </w:pPr>
      <w:r w:rsidRPr="00B929E5">
        <w:rPr>
          <w:rFonts w:ascii="Times New Roman" w:hAnsi="Times New Roman"/>
          <w:sz w:val="24"/>
          <w:szCs w:val="24"/>
        </w:rPr>
        <w:t xml:space="preserve">These documents may be freely obtained at </w:t>
      </w:r>
      <w:hyperlink r:id="rId12" w:history="1">
        <w:r w:rsidRPr="00B929E5">
          <w:rPr>
            <w:rStyle w:val="Hyperlink"/>
            <w:rFonts w:ascii="Times New Roman" w:hAnsi="Times New Roman"/>
            <w:sz w:val="24"/>
            <w:szCs w:val="24"/>
          </w:rPr>
          <w:t>www.legislation.gov.au</w:t>
        </w:r>
      </w:hyperlink>
      <w:r w:rsidRPr="00B929E5">
        <w:rPr>
          <w:rFonts w:ascii="Times New Roman" w:hAnsi="Times New Roman"/>
          <w:sz w:val="24"/>
          <w:szCs w:val="24"/>
        </w:rPr>
        <w:t xml:space="preserve"> (all documents listed above except for Australian Accounting and Auditing Standards), </w:t>
      </w:r>
      <w:hyperlink r:id="rId13" w:history="1">
        <w:r w:rsidRPr="00B929E5">
          <w:rPr>
            <w:rStyle w:val="Hyperlink"/>
            <w:rFonts w:ascii="Times New Roman" w:hAnsi="Times New Roman"/>
            <w:sz w:val="24"/>
            <w:szCs w:val="24"/>
          </w:rPr>
          <w:t>https://www.aasb.gov.au/pronouncements/accounting-standards/</w:t>
        </w:r>
      </w:hyperlink>
      <w:r w:rsidRPr="00B929E5">
        <w:rPr>
          <w:rFonts w:ascii="Times New Roman" w:hAnsi="Times New Roman"/>
          <w:sz w:val="24"/>
          <w:szCs w:val="24"/>
        </w:rPr>
        <w:t xml:space="preserve"> (Australian Accounting Standards) and </w:t>
      </w:r>
      <w:hyperlink r:id="rId14" w:history="1">
        <w:r w:rsidRPr="00B929E5">
          <w:rPr>
            <w:rStyle w:val="Hyperlink"/>
            <w:rFonts w:ascii="Times New Roman" w:hAnsi="Times New Roman"/>
            <w:sz w:val="24"/>
            <w:szCs w:val="24"/>
          </w:rPr>
          <w:t>https://auasb.gov.au/standards-guidance/auasb-standards/auditing-standards/</w:t>
        </w:r>
      </w:hyperlink>
      <w:r w:rsidRPr="00B929E5">
        <w:rPr>
          <w:rFonts w:ascii="Times New Roman" w:hAnsi="Times New Roman"/>
          <w:sz w:val="24"/>
          <w:szCs w:val="24"/>
        </w:rPr>
        <w:t xml:space="preserve"> (Australian Auditing Standards).</w:t>
      </w:r>
    </w:p>
    <w:p w14:paraId="47A9A399" w14:textId="77777777" w:rsidR="00281987" w:rsidRPr="00045CBE" w:rsidRDefault="00281987" w:rsidP="001D24A0">
      <w:pPr>
        <w:pStyle w:val="Default"/>
        <w:jc w:val="both"/>
      </w:pPr>
    </w:p>
    <w:p w14:paraId="081A576F" w14:textId="77777777" w:rsidR="00A019DA" w:rsidRPr="00045CBE" w:rsidRDefault="00A019DA" w:rsidP="009D7325">
      <w:pPr>
        <w:numPr>
          <w:ilvl w:val="0"/>
          <w:numId w:val="13"/>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Consultation</w:t>
      </w:r>
    </w:p>
    <w:p w14:paraId="42199C3E" w14:textId="611C12FD" w:rsidR="000B4066" w:rsidRPr="00045CBE" w:rsidRDefault="000B4066" w:rsidP="009D7325">
      <w:pPr>
        <w:spacing w:after="240"/>
        <w:jc w:val="both"/>
        <w:rPr>
          <w:rFonts w:ascii="Times New Roman" w:eastAsia="Times New Roman" w:hAnsi="Times New Roman"/>
          <w:sz w:val="24"/>
          <w:szCs w:val="24"/>
          <w:lang w:eastAsia="en-AU"/>
        </w:rPr>
      </w:pPr>
      <w:bookmarkStart w:id="4" w:name="bkConsultation"/>
      <w:bookmarkEnd w:id="4"/>
      <w:r w:rsidRPr="00045CBE">
        <w:rPr>
          <w:rFonts w:ascii="Times New Roman" w:hAnsi="Times New Roman"/>
          <w:sz w:val="24"/>
          <w:szCs w:val="24"/>
        </w:rPr>
        <w:t xml:space="preserve">APRA undertook consultations on its </w:t>
      </w:r>
      <w:r w:rsidR="003277AD" w:rsidRPr="00045CBE">
        <w:rPr>
          <w:rFonts w:ascii="Times New Roman" w:hAnsi="Times New Roman"/>
          <w:sz w:val="24"/>
          <w:szCs w:val="24"/>
        </w:rPr>
        <w:t>review of the role of the Appointed Actuary</w:t>
      </w:r>
      <w:r w:rsidRPr="00045CBE">
        <w:rPr>
          <w:rFonts w:ascii="Times New Roman" w:hAnsi="Times New Roman"/>
          <w:sz w:val="24"/>
          <w:szCs w:val="24"/>
        </w:rPr>
        <w:t xml:space="preserve"> between </w:t>
      </w:r>
      <w:r w:rsidR="003277AD" w:rsidRPr="00045CBE">
        <w:rPr>
          <w:rFonts w:ascii="Times New Roman" w:hAnsi="Times New Roman"/>
          <w:sz w:val="24"/>
          <w:szCs w:val="24"/>
        </w:rPr>
        <w:t>June 2016</w:t>
      </w:r>
      <w:r w:rsidR="007B22D9" w:rsidRPr="00045CBE">
        <w:rPr>
          <w:rFonts w:ascii="Times New Roman" w:hAnsi="Times New Roman"/>
          <w:sz w:val="24"/>
          <w:szCs w:val="24"/>
        </w:rPr>
        <w:t xml:space="preserve"> and</w:t>
      </w:r>
      <w:r w:rsidR="003277AD" w:rsidRPr="00045CBE">
        <w:rPr>
          <w:rFonts w:ascii="Times New Roman" w:hAnsi="Times New Roman"/>
          <w:sz w:val="24"/>
          <w:szCs w:val="24"/>
        </w:rPr>
        <w:t xml:space="preserve"> December 2017</w:t>
      </w:r>
      <w:r w:rsidRPr="00045CBE">
        <w:rPr>
          <w:rFonts w:ascii="Times New Roman" w:hAnsi="Times New Roman"/>
          <w:sz w:val="24"/>
          <w:szCs w:val="24"/>
        </w:rPr>
        <w:t>. Submissions were received from, and discussions held with, numerous insurers, industry bodies, and</w:t>
      </w:r>
      <w:r w:rsidR="00092E8C" w:rsidRPr="00045CBE">
        <w:rPr>
          <w:rFonts w:ascii="Times New Roman" w:hAnsi="Times New Roman"/>
          <w:sz w:val="24"/>
          <w:szCs w:val="24"/>
        </w:rPr>
        <w:t xml:space="preserve"> the profession</w:t>
      </w:r>
      <w:r w:rsidR="003277AD" w:rsidRPr="00045CBE">
        <w:rPr>
          <w:rFonts w:ascii="Times New Roman" w:hAnsi="Times New Roman"/>
          <w:sz w:val="24"/>
          <w:szCs w:val="24"/>
        </w:rPr>
        <w:t>al body</w:t>
      </w:r>
      <w:r w:rsidRPr="00045CBE">
        <w:rPr>
          <w:rFonts w:ascii="Times New Roman" w:hAnsi="Times New Roman"/>
          <w:sz w:val="24"/>
          <w:szCs w:val="24"/>
        </w:rPr>
        <w:t>.</w:t>
      </w:r>
    </w:p>
    <w:p w14:paraId="16330E86" w14:textId="587950D0" w:rsidR="00A6661A" w:rsidRPr="00045CBE" w:rsidRDefault="00A019DA" w:rsidP="009D7325">
      <w:p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t xml:space="preserve">In </w:t>
      </w:r>
      <w:r w:rsidR="00A6661A" w:rsidRPr="00045CBE">
        <w:rPr>
          <w:rFonts w:ascii="Times New Roman" w:eastAsia="Times New Roman" w:hAnsi="Times New Roman"/>
          <w:sz w:val="24"/>
          <w:szCs w:val="24"/>
          <w:lang w:eastAsia="en-AU"/>
        </w:rPr>
        <w:t>June 2016</w:t>
      </w:r>
      <w:r w:rsidRPr="00045CBE">
        <w:rPr>
          <w:rFonts w:ascii="Times New Roman" w:eastAsia="Times New Roman" w:hAnsi="Times New Roman"/>
          <w:sz w:val="24"/>
          <w:szCs w:val="24"/>
          <w:lang w:eastAsia="en-AU"/>
        </w:rPr>
        <w:t xml:space="preserve">, APRA released for public consultation a discussion paper, </w:t>
      </w:r>
      <w:r w:rsidR="00A6661A" w:rsidRPr="00045CBE">
        <w:rPr>
          <w:rFonts w:ascii="Times New Roman" w:eastAsia="Times New Roman" w:hAnsi="Times New Roman"/>
          <w:i/>
          <w:sz w:val="24"/>
          <w:szCs w:val="24"/>
          <w:lang w:eastAsia="en-AU"/>
        </w:rPr>
        <w:t>The role of the Appointed Actuary and actuarial advice within insurers.</w:t>
      </w:r>
      <w:r w:rsidR="003F43BA" w:rsidRPr="00045CBE">
        <w:rPr>
          <w:rFonts w:ascii="Times New Roman" w:eastAsia="Times New Roman" w:hAnsi="Times New Roman"/>
          <w:sz w:val="24"/>
          <w:szCs w:val="24"/>
          <w:lang w:eastAsia="en-AU"/>
        </w:rPr>
        <w:t xml:space="preserve"> </w:t>
      </w:r>
      <w:r w:rsidR="00A6661A" w:rsidRPr="00045CBE">
        <w:rPr>
          <w:rFonts w:ascii="Times New Roman" w:eastAsia="Times New Roman" w:hAnsi="Times New Roman"/>
          <w:sz w:val="24"/>
          <w:szCs w:val="24"/>
          <w:lang w:eastAsia="en-AU"/>
        </w:rPr>
        <w:t xml:space="preserve">APRA received 26 written submissions in response to the discussion paper and presented the proposed reforms via a wide range of industry forums. </w:t>
      </w:r>
    </w:p>
    <w:p w14:paraId="655C510F" w14:textId="691E2B4B" w:rsidR="00A019DA" w:rsidRPr="00045CBE" w:rsidRDefault="00A6661A" w:rsidP="009D7325">
      <w:pPr>
        <w:spacing w:after="240"/>
        <w:jc w:val="both"/>
        <w:rPr>
          <w:rFonts w:ascii="Times New Roman" w:hAnsi="Times New Roman"/>
          <w:sz w:val="24"/>
          <w:szCs w:val="24"/>
        </w:rPr>
      </w:pPr>
      <w:r w:rsidRPr="00045CBE">
        <w:rPr>
          <w:rFonts w:ascii="Times New Roman" w:eastAsia="Times New Roman" w:hAnsi="Times New Roman"/>
          <w:sz w:val="24"/>
          <w:szCs w:val="24"/>
          <w:lang w:eastAsia="en-AU"/>
        </w:rPr>
        <w:t xml:space="preserve">In September 2017, APRA released for public consultation a response to submissions paper </w:t>
      </w:r>
      <w:r w:rsidR="00B71298" w:rsidRPr="00045CBE">
        <w:rPr>
          <w:rFonts w:ascii="Times New Roman" w:eastAsia="Times New Roman" w:hAnsi="Times New Roman"/>
          <w:iCs/>
          <w:sz w:val="24"/>
          <w:szCs w:val="24"/>
          <w:lang w:eastAsia="en-AU"/>
        </w:rPr>
        <w:t>w</w:t>
      </w:r>
      <w:r w:rsidR="00A019DA" w:rsidRPr="00045CBE">
        <w:rPr>
          <w:rFonts w:ascii="Times New Roman" w:eastAsia="Times New Roman" w:hAnsi="Times New Roman"/>
          <w:iCs/>
          <w:sz w:val="24"/>
          <w:szCs w:val="24"/>
          <w:lang w:eastAsia="en-AU"/>
        </w:rPr>
        <w:t xml:space="preserve">hich </w:t>
      </w:r>
      <w:r w:rsidR="00045EB8" w:rsidRPr="00045CBE">
        <w:rPr>
          <w:rFonts w:ascii="Times New Roman" w:eastAsia="Times New Roman" w:hAnsi="Times New Roman"/>
          <w:iCs/>
          <w:sz w:val="24"/>
          <w:szCs w:val="24"/>
          <w:lang w:eastAsia="en-AU"/>
        </w:rPr>
        <w:t xml:space="preserve">included </w:t>
      </w:r>
      <w:r w:rsidR="00045EB8" w:rsidRPr="00045CBE">
        <w:rPr>
          <w:rFonts w:ascii="Times New Roman" w:hAnsi="Times New Roman"/>
          <w:sz w:val="24"/>
          <w:szCs w:val="24"/>
        </w:rPr>
        <w:t>two</w:t>
      </w:r>
      <w:r w:rsidR="00661A1C" w:rsidRPr="00045CBE">
        <w:rPr>
          <w:rFonts w:ascii="Times New Roman" w:hAnsi="Times New Roman"/>
          <w:sz w:val="24"/>
          <w:szCs w:val="24"/>
        </w:rPr>
        <w:t xml:space="preserve"> new </w:t>
      </w:r>
      <w:r w:rsidRPr="00045CBE">
        <w:rPr>
          <w:rFonts w:ascii="Times New Roman" w:hAnsi="Times New Roman"/>
          <w:sz w:val="24"/>
          <w:szCs w:val="24"/>
        </w:rPr>
        <w:t xml:space="preserve">draft </w:t>
      </w:r>
      <w:r w:rsidR="00661A1C" w:rsidRPr="00045CBE">
        <w:rPr>
          <w:rFonts w:ascii="Times New Roman" w:hAnsi="Times New Roman"/>
          <w:sz w:val="24"/>
          <w:szCs w:val="24"/>
        </w:rPr>
        <w:t>prudential s</w:t>
      </w:r>
      <w:r w:rsidR="00B71298" w:rsidRPr="00045CBE">
        <w:rPr>
          <w:rFonts w:ascii="Times New Roman" w:hAnsi="Times New Roman"/>
          <w:sz w:val="24"/>
          <w:szCs w:val="24"/>
        </w:rPr>
        <w:t>tandard</w:t>
      </w:r>
      <w:r w:rsidR="00045EB8" w:rsidRPr="00045CBE">
        <w:rPr>
          <w:rFonts w:ascii="Times New Roman" w:hAnsi="Times New Roman"/>
          <w:sz w:val="24"/>
          <w:szCs w:val="24"/>
        </w:rPr>
        <w:t xml:space="preserve">s </w:t>
      </w:r>
      <w:r w:rsidRPr="00045CBE">
        <w:rPr>
          <w:rFonts w:ascii="Times New Roman" w:hAnsi="Times New Roman"/>
          <w:sz w:val="24"/>
          <w:szCs w:val="24"/>
        </w:rPr>
        <w:t>and a draft prudential practice guide.</w:t>
      </w:r>
      <w:r w:rsidR="000565C4" w:rsidRPr="00045CBE">
        <w:rPr>
          <w:rFonts w:ascii="Times New Roman" w:hAnsi="Times New Roman"/>
          <w:sz w:val="24"/>
          <w:szCs w:val="24"/>
        </w:rPr>
        <w:t xml:space="preserve"> </w:t>
      </w:r>
      <w:r w:rsidR="00A019DA" w:rsidRPr="00045CBE">
        <w:rPr>
          <w:rFonts w:ascii="Times New Roman" w:eastAsia="Times New Roman" w:hAnsi="Times New Roman"/>
          <w:sz w:val="24"/>
          <w:szCs w:val="24"/>
          <w:lang w:eastAsia="en-AU"/>
        </w:rPr>
        <w:t xml:space="preserve">In the response, APRA outlined the significant issues raised in the submissions </w:t>
      </w:r>
      <w:r w:rsidRPr="00045CBE">
        <w:rPr>
          <w:rFonts w:ascii="Times New Roman" w:eastAsia="Times New Roman" w:hAnsi="Times New Roman"/>
          <w:sz w:val="24"/>
          <w:szCs w:val="24"/>
          <w:lang w:eastAsia="en-AU"/>
        </w:rPr>
        <w:t>and APRA’s</w:t>
      </w:r>
      <w:r w:rsidR="00A019DA" w:rsidRPr="00045CBE">
        <w:rPr>
          <w:rFonts w:ascii="Times New Roman" w:eastAsia="Times New Roman" w:hAnsi="Times New Roman"/>
          <w:sz w:val="24"/>
          <w:szCs w:val="24"/>
          <w:lang w:eastAsia="en-AU"/>
        </w:rPr>
        <w:t xml:space="preserve"> response to them. </w:t>
      </w:r>
      <w:r w:rsidR="000C2EEB" w:rsidRPr="00045CBE">
        <w:rPr>
          <w:rFonts w:ascii="Times New Roman" w:eastAsia="Times New Roman" w:hAnsi="Times New Roman"/>
          <w:sz w:val="24"/>
          <w:szCs w:val="24"/>
          <w:lang w:eastAsia="en-AU"/>
        </w:rPr>
        <w:t xml:space="preserve">APRA </w:t>
      </w:r>
      <w:r w:rsidR="0084435E" w:rsidRPr="00045CBE">
        <w:rPr>
          <w:rFonts w:ascii="Times New Roman" w:eastAsia="Times New Roman" w:hAnsi="Times New Roman"/>
          <w:sz w:val="24"/>
          <w:szCs w:val="24"/>
          <w:lang w:eastAsia="en-AU"/>
        </w:rPr>
        <w:t>received</w:t>
      </w:r>
      <w:r w:rsidR="000C2EEB" w:rsidRPr="00045CBE">
        <w:rPr>
          <w:rFonts w:ascii="Times New Roman" w:eastAsia="Times New Roman" w:hAnsi="Times New Roman"/>
          <w:sz w:val="24"/>
          <w:szCs w:val="24"/>
          <w:lang w:eastAsia="en-AU"/>
        </w:rPr>
        <w:t xml:space="preserve"> 10 submissions in relation to the response paper</w:t>
      </w:r>
      <w:r w:rsidR="0084435E" w:rsidRPr="00045CBE">
        <w:rPr>
          <w:rFonts w:ascii="Times New Roman" w:eastAsia="Times New Roman" w:hAnsi="Times New Roman"/>
          <w:sz w:val="24"/>
          <w:szCs w:val="24"/>
          <w:lang w:eastAsia="en-AU"/>
        </w:rPr>
        <w:t>.</w:t>
      </w:r>
    </w:p>
    <w:p w14:paraId="219E87B7" w14:textId="7BC4B22F" w:rsidR="00C33347" w:rsidRDefault="00A6661A" w:rsidP="009D7325">
      <w:pPr>
        <w:pStyle w:val="apranormal"/>
        <w:shd w:val="clear" w:color="auto" w:fill="FFFFFF"/>
        <w:jc w:val="both"/>
      </w:pPr>
      <w:r w:rsidRPr="00045CBE">
        <w:t xml:space="preserve">All submissions </w:t>
      </w:r>
      <w:r w:rsidR="000C2EEB" w:rsidRPr="00045CBE">
        <w:t xml:space="preserve">to the response paper </w:t>
      </w:r>
      <w:r w:rsidRPr="00045CBE">
        <w:t>were generally supportive of the proposed changes and mainly sought minor clarification</w:t>
      </w:r>
      <w:r w:rsidR="000565C4" w:rsidRPr="00045CBE">
        <w:t>s to the draft CPS 320. The key</w:t>
      </w:r>
      <w:r w:rsidRPr="00045CBE">
        <w:t xml:space="preserve"> issue of concern related to the date of implementation with some stakeholders noting that given other concurrent regulatory changes, a later implementation date would be preferred.</w:t>
      </w:r>
    </w:p>
    <w:p w14:paraId="67BC2A1F" w14:textId="4075FEF5" w:rsidR="007003FE" w:rsidRPr="00045CBE" w:rsidRDefault="007003FE" w:rsidP="009D7325">
      <w:pPr>
        <w:pStyle w:val="apranormal"/>
        <w:shd w:val="clear" w:color="auto" w:fill="FFFFFF"/>
        <w:jc w:val="both"/>
        <w:rPr>
          <w:lang w:val="en-US"/>
        </w:rPr>
      </w:pPr>
      <w:r w:rsidRPr="00323E47">
        <w:t>In June 2023, APRA release</w:t>
      </w:r>
      <w:r w:rsidR="00CF6C6E">
        <w:t>d</w:t>
      </w:r>
      <w:r w:rsidRPr="00323E47">
        <w:t xml:space="preserve"> for public consultation minor</w:t>
      </w:r>
      <w:r w:rsidR="000A0553">
        <w:t xml:space="preserve"> prudential framework</w:t>
      </w:r>
      <w:r w:rsidR="00F12DFE" w:rsidRPr="00323E47">
        <w:t xml:space="preserve"> </w:t>
      </w:r>
      <w:r w:rsidR="00323E47" w:rsidRPr="00323E47">
        <w:t>updates</w:t>
      </w:r>
      <w:r w:rsidR="000A0553">
        <w:t xml:space="preserve"> to</w:t>
      </w:r>
      <w:r w:rsidR="00323E47" w:rsidRPr="00323E47">
        <w:t xml:space="preserve"> </w:t>
      </w:r>
      <w:r w:rsidR="000A0553">
        <w:t>several</w:t>
      </w:r>
      <w:r w:rsidR="00323E47">
        <w:t xml:space="preserve"> prudential standards</w:t>
      </w:r>
      <w:r w:rsidR="000A0553">
        <w:t xml:space="preserve"> and guidance documents</w:t>
      </w:r>
      <w:r w:rsidR="00323E47">
        <w:t xml:space="preserve">. For CPS 320, APRA consulted on replacing the stress test amount references relating to private health insurance </w:t>
      </w:r>
      <w:r w:rsidR="00323E47" w:rsidRPr="00323E47">
        <w:t xml:space="preserve">as this is no longer applicable after the revised private health insurance capital framework </w:t>
      </w:r>
      <w:r w:rsidR="003A7E39">
        <w:t>took</w:t>
      </w:r>
      <w:r w:rsidR="003A7E39" w:rsidRPr="00323E47">
        <w:t xml:space="preserve"> </w:t>
      </w:r>
      <w:r w:rsidR="00323E47" w:rsidRPr="00323E47">
        <w:t>effect on 1 July 2023. APRA also propose</w:t>
      </w:r>
      <w:r w:rsidR="00323E47">
        <w:t>d</w:t>
      </w:r>
      <w:r w:rsidR="00323E47" w:rsidRPr="00323E47">
        <w:t xml:space="preserve"> some other minor corrections to references.</w:t>
      </w:r>
      <w:r w:rsidR="00323E47">
        <w:t xml:space="preserve"> </w:t>
      </w:r>
      <w:r w:rsidR="000A0553">
        <w:rPr>
          <w:rFonts w:cs="Arial"/>
        </w:rPr>
        <w:t xml:space="preserve">Five submissions were received on the proposed minor amendments. Submissions did not raise any objections to the proposed updates to CPS 320.  </w:t>
      </w:r>
    </w:p>
    <w:p w14:paraId="16E07AE7" w14:textId="06C4FD14" w:rsidR="00A019DA" w:rsidRPr="00045CBE" w:rsidRDefault="00E17C03" w:rsidP="00DB244B">
      <w:pPr>
        <w:pStyle w:val="ListParagraph"/>
        <w:keepNext/>
        <w:numPr>
          <w:ilvl w:val="0"/>
          <w:numId w:val="13"/>
        </w:numPr>
        <w:spacing w:after="240"/>
        <w:jc w:val="both"/>
        <w:rPr>
          <w:rFonts w:ascii="Times New Roman" w:eastAsia="Times New Roman" w:hAnsi="Times New Roman"/>
          <w:b/>
          <w:sz w:val="24"/>
          <w:szCs w:val="24"/>
          <w:lang w:eastAsia="en-AU"/>
        </w:rPr>
      </w:pPr>
      <w:r>
        <w:rPr>
          <w:rFonts w:ascii="Times New Roman" w:eastAsia="Times New Roman" w:hAnsi="Times New Roman"/>
          <w:b/>
          <w:sz w:val="24"/>
          <w:szCs w:val="24"/>
          <w:lang w:eastAsia="en-AU"/>
        </w:rPr>
        <w:lastRenderedPageBreak/>
        <w:t>Impact Analysis (IA)</w:t>
      </w:r>
    </w:p>
    <w:p w14:paraId="7A292E9F" w14:textId="7E46ABF3" w:rsidR="00E17C03" w:rsidRDefault="00E17C03" w:rsidP="00E17C03">
      <w:pPr>
        <w:rPr>
          <w:rFonts w:ascii="Times New Roman" w:hAnsi="Times New Roman"/>
          <w:sz w:val="24"/>
          <w:szCs w:val="24"/>
        </w:rPr>
      </w:pPr>
      <w:r>
        <w:rPr>
          <w:rFonts w:ascii="Times New Roman" w:hAnsi="Times New Roman"/>
          <w:sz w:val="24"/>
          <w:szCs w:val="24"/>
        </w:rPr>
        <w:t xml:space="preserve">The Office of Impact Analysis has confirmed that IA is not required as the remaking of CPS 320 is unlikely to have more than a minor regulatory impact.  </w:t>
      </w:r>
    </w:p>
    <w:p w14:paraId="6C280637" w14:textId="77777777" w:rsidR="00E17C03" w:rsidRPr="00A50B51" w:rsidRDefault="00E17C03" w:rsidP="00E17C03">
      <w:pPr>
        <w:rPr>
          <w:rFonts w:ascii="Times New Roman" w:hAnsi="Times New Roman"/>
          <w:sz w:val="24"/>
          <w:szCs w:val="24"/>
        </w:rPr>
      </w:pPr>
    </w:p>
    <w:p w14:paraId="36F7B320" w14:textId="77777777" w:rsidR="00A92F79" w:rsidRPr="00045CBE" w:rsidRDefault="00A92F79" w:rsidP="009D7325">
      <w:pPr>
        <w:pStyle w:val="Heading"/>
        <w:numPr>
          <w:ilvl w:val="0"/>
          <w:numId w:val="13"/>
        </w:numPr>
        <w:spacing w:before="0" w:after="240"/>
        <w:jc w:val="both"/>
        <w:rPr>
          <w:rFonts w:cs="Times New Roman"/>
          <w:i/>
          <w:sz w:val="24"/>
          <w:szCs w:val="24"/>
        </w:rPr>
      </w:pPr>
      <w:r w:rsidRPr="00045CBE">
        <w:rPr>
          <w:rFonts w:cs="Times New Roman"/>
          <w:sz w:val="24"/>
          <w:szCs w:val="24"/>
        </w:rPr>
        <w:t xml:space="preserve">Statement of compatibility prepared in accordance with Part 3 of the </w:t>
      </w:r>
      <w:r w:rsidRPr="00045CBE">
        <w:rPr>
          <w:rFonts w:cs="Times New Roman"/>
          <w:i/>
          <w:sz w:val="24"/>
          <w:szCs w:val="24"/>
        </w:rPr>
        <w:t>Human Rights (Parliamentary Scrutiny) Act 2011</w:t>
      </w:r>
    </w:p>
    <w:p w14:paraId="579F96BC" w14:textId="77777777" w:rsidR="00A92F79" w:rsidRPr="00045CBE" w:rsidRDefault="00A92F79" w:rsidP="009D7325">
      <w:pPr>
        <w:pStyle w:val="Heading"/>
        <w:spacing w:before="0" w:after="240"/>
        <w:jc w:val="both"/>
        <w:rPr>
          <w:rFonts w:cs="Times New Roman"/>
          <w:b w:val="0"/>
          <w:kern w:val="0"/>
          <w:sz w:val="24"/>
          <w:szCs w:val="24"/>
          <w:lang w:val="en-GB"/>
        </w:rPr>
      </w:pPr>
      <w:r w:rsidRPr="00045CBE">
        <w:rPr>
          <w:rFonts w:cs="Times New Roman"/>
          <w:b w:val="0"/>
          <w:kern w:val="0"/>
          <w:sz w:val="24"/>
          <w:szCs w:val="24"/>
          <w:lang w:val="en-GB"/>
        </w:rPr>
        <w:t xml:space="preserve">A Statement of compatibility prepared in accordance with Part 3 of the </w:t>
      </w:r>
      <w:r w:rsidRPr="00045CBE">
        <w:rPr>
          <w:rFonts w:cs="Times New Roman"/>
          <w:b w:val="0"/>
          <w:i/>
          <w:sz w:val="24"/>
          <w:szCs w:val="24"/>
          <w:lang w:val="en-GB"/>
        </w:rPr>
        <w:t>Human Rights (Parliamentary Scrutiny) Act 2011</w:t>
      </w:r>
      <w:r w:rsidRPr="00045CBE">
        <w:rPr>
          <w:rFonts w:cs="Times New Roman"/>
          <w:b w:val="0"/>
          <w:kern w:val="0"/>
          <w:sz w:val="24"/>
          <w:szCs w:val="24"/>
          <w:lang w:val="en-GB"/>
        </w:rPr>
        <w:t xml:space="preserve"> is provided at Attachment A to this Explanatory Statement.</w:t>
      </w:r>
    </w:p>
    <w:p w14:paraId="20668869" w14:textId="77777777" w:rsidR="00C7033B" w:rsidRPr="00045CBE" w:rsidRDefault="00C7033B" w:rsidP="00740ABA">
      <w:pPr>
        <w:pStyle w:val="Heading"/>
        <w:spacing w:before="0" w:after="240"/>
        <w:jc w:val="both"/>
        <w:rPr>
          <w:rFonts w:cs="Times New Roman"/>
          <w:b w:val="0"/>
          <w:kern w:val="0"/>
          <w:sz w:val="24"/>
          <w:szCs w:val="24"/>
          <w:lang w:val="en-GB"/>
        </w:rPr>
      </w:pPr>
    </w:p>
    <w:p w14:paraId="188BDD05" w14:textId="77777777" w:rsidR="00C67094" w:rsidRPr="00045CBE" w:rsidRDefault="008B2660" w:rsidP="00B321B0">
      <w:p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br w:type="page"/>
      </w:r>
    </w:p>
    <w:p w14:paraId="48AAB71F" w14:textId="77777777" w:rsidR="00A92F79" w:rsidRPr="00045CBE" w:rsidRDefault="00A92F79" w:rsidP="00041B8A">
      <w:pPr>
        <w:pStyle w:val="Heading"/>
        <w:keepNext w:val="0"/>
        <w:spacing w:before="0" w:after="240"/>
        <w:jc w:val="center"/>
        <w:rPr>
          <w:rFonts w:cs="Times New Roman"/>
          <w:sz w:val="24"/>
          <w:szCs w:val="24"/>
        </w:rPr>
      </w:pPr>
      <w:r w:rsidRPr="00045CBE">
        <w:rPr>
          <w:rFonts w:cs="Times New Roman"/>
          <w:sz w:val="24"/>
          <w:szCs w:val="24"/>
          <w:lang w:val="en-GB"/>
        </w:rPr>
        <w:lastRenderedPageBreak/>
        <w:t>ATTACHMENT A</w:t>
      </w:r>
    </w:p>
    <w:p w14:paraId="584003D7" w14:textId="77777777" w:rsidR="00A92F79" w:rsidRPr="00045CBE" w:rsidRDefault="00A92F79" w:rsidP="00B321B0">
      <w:pPr>
        <w:pStyle w:val="Heading"/>
        <w:keepNext w:val="0"/>
        <w:spacing w:before="0" w:after="240"/>
        <w:jc w:val="center"/>
        <w:rPr>
          <w:rFonts w:cs="Times New Roman"/>
          <w:sz w:val="24"/>
          <w:szCs w:val="24"/>
        </w:rPr>
      </w:pPr>
      <w:r w:rsidRPr="00045CBE">
        <w:rPr>
          <w:rFonts w:cs="Times New Roman"/>
          <w:sz w:val="24"/>
          <w:szCs w:val="24"/>
        </w:rPr>
        <w:t>Statement of Compatibility with Human Rights</w:t>
      </w:r>
    </w:p>
    <w:p w14:paraId="2AE0384E" w14:textId="77777777" w:rsidR="00A92F79" w:rsidRPr="00045CBE" w:rsidRDefault="00A92F79" w:rsidP="00740ABA">
      <w:pPr>
        <w:pStyle w:val="Heading1"/>
        <w:spacing w:after="240"/>
        <w:jc w:val="center"/>
        <w:rPr>
          <w:rFonts w:ascii="Times New Roman" w:hAnsi="Times New Roman"/>
          <w:b w:val="0"/>
          <w:i/>
          <w:sz w:val="24"/>
          <w:szCs w:val="24"/>
        </w:rPr>
      </w:pPr>
      <w:r w:rsidRPr="00045CBE">
        <w:rPr>
          <w:rFonts w:ascii="Times New Roman" w:hAnsi="Times New Roman"/>
          <w:b w:val="0"/>
          <w:sz w:val="24"/>
          <w:szCs w:val="24"/>
        </w:rPr>
        <w:t xml:space="preserve">Prepared in accordance with Part 3 of the </w:t>
      </w:r>
      <w:r w:rsidRPr="00045CBE">
        <w:rPr>
          <w:rFonts w:ascii="Times New Roman" w:hAnsi="Times New Roman"/>
          <w:b w:val="0"/>
          <w:i/>
          <w:sz w:val="24"/>
          <w:szCs w:val="24"/>
        </w:rPr>
        <w:t>Human Rights (Parliamentary Scrutiny) Act 2011</w:t>
      </w:r>
    </w:p>
    <w:p w14:paraId="76DCE312" w14:textId="09C2C3AA" w:rsidR="00C33347" w:rsidRPr="00C61C9E" w:rsidRDefault="0084435E" w:rsidP="00041B8A">
      <w:pPr>
        <w:spacing w:after="240"/>
        <w:jc w:val="center"/>
        <w:rPr>
          <w:rFonts w:ascii="Times New Roman" w:eastAsia="Times New Roman" w:hAnsi="Times New Roman"/>
          <w:b/>
          <w:i/>
          <w:sz w:val="24"/>
          <w:szCs w:val="24"/>
          <w:lang w:eastAsia="en-AU"/>
        </w:rPr>
      </w:pPr>
      <w:r w:rsidRPr="00C61C9E">
        <w:rPr>
          <w:rFonts w:ascii="Times New Roman" w:eastAsia="Times New Roman" w:hAnsi="Times New Roman"/>
          <w:b/>
          <w:i/>
          <w:sz w:val="24"/>
          <w:szCs w:val="24"/>
          <w:lang w:eastAsia="en-AU"/>
        </w:rPr>
        <w:t>Insurance, Life Insurance and Health</w:t>
      </w:r>
      <w:r w:rsidR="00C33347" w:rsidRPr="00C61C9E">
        <w:rPr>
          <w:rFonts w:ascii="Times New Roman" w:eastAsia="Times New Roman" w:hAnsi="Times New Roman"/>
          <w:b/>
          <w:i/>
          <w:sz w:val="24"/>
          <w:szCs w:val="24"/>
          <w:lang w:eastAsia="en-AU"/>
        </w:rPr>
        <w:t xml:space="preserve"> Insurance (prudential standard) determination </w:t>
      </w:r>
      <w:r w:rsidR="00E30E39">
        <w:rPr>
          <w:rFonts w:ascii="Times New Roman" w:eastAsia="Times New Roman" w:hAnsi="Times New Roman"/>
          <w:b/>
          <w:i/>
          <w:sz w:val="24"/>
          <w:szCs w:val="24"/>
          <w:lang w:eastAsia="en-AU"/>
        </w:rPr>
        <w:t>1</w:t>
      </w:r>
      <w:r w:rsidR="00F12DFE" w:rsidRPr="00C61C9E">
        <w:rPr>
          <w:rFonts w:ascii="Times New Roman" w:eastAsia="Times New Roman" w:hAnsi="Times New Roman"/>
          <w:b/>
          <w:i/>
          <w:sz w:val="24"/>
          <w:szCs w:val="24"/>
          <w:lang w:eastAsia="en-AU"/>
        </w:rPr>
        <w:t xml:space="preserve"> of 2023</w:t>
      </w:r>
    </w:p>
    <w:p w14:paraId="13002878" w14:textId="04FEE2BB" w:rsidR="00A92F79" w:rsidRPr="00045CBE" w:rsidRDefault="000565C4" w:rsidP="00740ABA">
      <w:pPr>
        <w:spacing w:after="240"/>
        <w:jc w:val="both"/>
        <w:rPr>
          <w:rFonts w:ascii="Times New Roman" w:hAnsi="Times New Roman"/>
          <w:sz w:val="24"/>
          <w:szCs w:val="24"/>
        </w:rPr>
      </w:pPr>
      <w:r w:rsidRPr="00045CBE">
        <w:rPr>
          <w:rFonts w:ascii="Times New Roman" w:hAnsi="Times New Roman"/>
          <w:sz w:val="24"/>
          <w:szCs w:val="24"/>
        </w:rPr>
        <w:t>Th</w:t>
      </w:r>
      <w:r w:rsidR="00E17C03">
        <w:rPr>
          <w:rFonts w:ascii="Times New Roman" w:hAnsi="Times New Roman"/>
          <w:sz w:val="24"/>
          <w:szCs w:val="24"/>
        </w:rPr>
        <w:t>is</w:t>
      </w:r>
      <w:r w:rsidR="00A92F79" w:rsidRPr="00045CBE">
        <w:rPr>
          <w:rFonts w:ascii="Times New Roman" w:hAnsi="Times New Roman"/>
          <w:sz w:val="24"/>
          <w:szCs w:val="24"/>
        </w:rPr>
        <w:t xml:space="preserve"> </w:t>
      </w:r>
      <w:r w:rsidR="00501117">
        <w:rPr>
          <w:rFonts w:ascii="Times New Roman" w:hAnsi="Times New Roman"/>
          <w:sz w:val="24"/>
          <w:szCs w:val="24"/>
        </w:rPr>
        <w:t>l</w:t>
      </w:r>
      <w:r w:rsidR="00A92F79" w:rsidRPr="00045CBE">
        <w:rPr>
          <w:rFonts w:ascii="Times New Roman" w:hAnsi="Times New Roman"/>
          <w:sz w:val="24"/>
          <w:szCs w:val="24"/>
        </w:rPr>
        <w:t xml:space="preserve">egislative </w:t>
      </w:r>
      <w:r w:rsidR="00501117">
        <w:rPr>
          <w:rFonts w:ascii="Times New Roman" w:hAnsi="Times New Roman"/>
          <w:sz w:val="24"/>
          <w:szCs w:val="24"/>
        </w:rPr>
        <w:t>i</w:t>
      </w:r>
      <w:r w:rsidR="00A92F79" w:rsidRPr="00045CBE">
        <w:rPr>
          <w:rFonts w:ascii="Times New Roman" w:hAnsi="Times New Roman"/>
          <w:sz w:val="24"/>
          <w:szCs w:val="24"/>
        </w:rPr>
        <w:t>nstrument</w:t>
      </w:r>
      <w:r w:rsidRPr="00045CBE">
        <w:rPr>
          <w:rFonts w:ascii="Times New Roman" w:hAnsi="Times New Roman"/>
          <w:sz w:val="24"/>
          <w:szCs w:val="24"/>
        </w:rPr>
        <w:t xml:space="preserve"> </w:t>
      </w:r>
      <w:r w:rsidR="00E17C03">
        <w:rPr>
          <w:rFonts w:ascii="Times New Roman" w:hAnsi="Times New Roman"/>
          <w:sz w:val="24"/>
          <w:szCs w:val="24"/>
        </w:rPr>
        <w:t>is</w:t>
      </w:r>
      <w:r w:rsidR="00A92F79" w:rsidRPr="00045CBE">
        <w:rPr>
          <w:rFonts w:ascii="Times New Roman" w:hAnsi="Times New Roman"/>
          <w:sz w:val="24"/>
          <w:szCs w:val="24"/>
        </w:rPr>
        <w:t xml:space="preserve"> compatible with the human rights and freedoms recognised or declared in the international instrument listed in section 3 of the </w:t>
      </w:r>
      <w:r w:rsidR="00A92F79" w:rsidRPr="00045CBE">
        <w:rPr>
          <w:rFonts w:ascii="Times New Roman" w:hAnsi="Times New Roman"/>
          <w:i/>
          <w:sz w:val="24"/>
          <w:szCs w:val="24"/>
        </w:rPr>
        <w:t>Human Rights (Parliamentary Scrutiny) Act 2011</w:t>
      </w:r>
      <w:r w:rsidR="00A92F79" w:rsidRPr="00045CBE">
        <w:rPr>
          <w:rFonts w:ascii="Times New Roman" w:hAnsi="Times New Roman"/>
          <w:sz w:val="24"/>
          <w:szCs w:val="24"/>
        </w:rPr>
        <w:t xml:space="preserve"> (HRPS Act)</w:t>
      </w:r>
      <w:r w:rsidR="00B60C5A" w:rsidRPr="00045CBE">
        <w:rPr>
          <w:rFonts w:ascii="Times New Roman" w:hAnsi="Times New Roman"/>
          <w:sz w:val="24"/>
          <w:szCs w:val="24"/>
        </w:rPr>
        <w:t>.</w:t>
      </w:r>
    </w:p>
    <w:p w14:paraId="081D520C" w14:textId="6AE198B4" w:rsidR="00A92F79" w:rsidRPr="00045CBE" w:rsidRDefault="00A92F79" w:rsidP="00740ABA">
      <w:pPr>
        <w:spacing w:after="240"/>
        <w:jc w:val="both"/>
        <w:rPr>
          <w:rFonts w:ascii="Times New Roman" w:hAnsi="Times New Roman"/>
          <w:sz w:val="24"/>
          <w:szCs w:val="24"/>
        </w:rPr>
      </w:pPr>
      <w:r w:rsidRPr="00045CBE">
        <w:rPr>
          <w:rFonts w:ascii="Times New Roman" w:hAnsi="Times New Roman"/>
          <w:b/>
          <w:sz w:val="24"/>
          <w:szCs w:val="24"/>
        </w:rPr>
        <w:t>Overview of the Legislative Instrument</w:t>
      </w:r>
      <w:r w:rsidR="00FE04DC" w:rsidRPr="00045CBE">
        <w:rPr>
          <w:rFonts w:ascii="Times New Roman" w:hAnsi="Times New Roman"/>
          <w:b/>
          <w:sz w:val="24"/>
          <w:szCs w:val="24"/>
        </w:rPr>
        <w:t>s</w:t>
      </w:r>
    </w:p>
    <w:p w14:paraId="5B160DCF" w14:textId="3EDDA58A" w:rsidR="000565C4" w:rsidRPr="00045CBE" w:rsidRDefault="000565C4" w:rsidP="000565C4">
      <w:pPr>
        <w:spacing w:after="240"/>
        <w:jc w:val="both"/>
        <w:rPr>
          <w:rFonts w:ascii="Times New Roman" w:hAnsi="Times New Roman"/>
          <w:sz w:val="24"/>
          <w:szCs w:val="24"/>
        </w:rPr>
      </w:pPr>
      <w:r w:rsidRPr="00045CBE">
        <w:rPr>
          <w:rFonts w:ascii="Times New Roman" w:eastAsia="Times New Roman" w:hAnsi="Times New Roman"/>
          <w:sz w:val="24"/>
          <w:szCs w:val="24"/>
          <w:lang w:eastAsia="en-AU"/>
        </w:rPr>
        <w:t xml:space="preserve">The purpose of </w:t>
      </w:r>
      <w:r w:rsidR="00501117" w:rsidRPr="00C61C9E">
        <w:rPr>
          <w:rFonts w:ascii="Times New Roman" w:eastAsia="Times New Roman" w:hAnsi="Times New Roman"/>
          <w:i/>
          <w:sz w:val="24"/>
          <w:szCs w:val="24"/>
          <w:lang w:eastAsia="en-AU"/>
        </w:rPr>
        <w:t xml:space="preserve">Insurance, Life Insurance and Health Insurance (prudential standard) determination </w:t>
      </w:r>
      <w:r w:rsidR="00E30E39">
        <w:rPr>
          <w:rFonts w:ascii="Times New Roman" w:eastAsia="Times New Roman" w:hAnsi="Times New Roman"/>
          <w:i/>
          <w:sz w:val="24"/>
          <w:szCs w:val="24"/>
          <w:lang w:eastAsia="en-AU"/>
        </w:rPr>
        <w:t>1</w:t>
      </w:r>
      <w:r w:rsidR="00501117" w:rsidRPr="00C61C9E">
        <w:rPr>
          <w:rFonts w:ascii="Times New Roman" w:eastAsia="Times New Roman" w:hAnsi="Times New Roman"/>
          <w:i/>
          <w:sz w:val="24"/>
          <w:szCs w:val="24"/>
          <w:lang w:eastAsia="en-AU"/>
        </w:rPr>
        <w:t xml:space="preserve"> of 2023</w:t>
      </w:r>
      <w:r w:rsidR="00501117">
        <w:rPr>
          <w:rFonts w:ascii="Times New Roman" w:eastAsia="Times New Roman" w:hAnsi="Times New Roman"/>
          <w:sz w:val="24"/>
          <w:szCs w:val="24"/>
          <w:lang w:eastAsia="en-AU"/>
        </w:rPr>
        <w:t xml:space="preserve"> </w:t>
      </w:r>
      <w:r w:rsidRPr="00045CBE">
        <w:rPr>
          <w:rFonts w:ascii="Times New Roman" w:eastAsia="Times New Roman" w:hAnsi="Times New Roman"/>
          <w:sz w:val="24"/>
          <w:szCs w:val="24"/>
          <w:lang w:eastAsia="en-AU"/>
        </w:rPr>
        <w:t xml:space="preserve">is to </w:t>
      </w:r>
      <w:r w:rsidR="00501117">
        <w:rPr>
          <w:rFonts w:ascii="Times New Roman" w:eastAsia="Times New Roman" w:hAnsi="Times New Roman"/>
          <w:sz w:val="24"/>
          <w:szCs w:val="24"/>
          <w:lang w:eastAsia="en-AU"/>
        </w:rPr>
        <w:t xml:space="preserve">revoke </w:t>
      </w:r>
      <w:r w:rsidR="00075556">
        <w:rPr>
          <w:rFonts w:ascii="Times New Roman" w:eastAsia="Times New Roman" w:hAnsi="Times New Roman"/>
          <w:sz w:val="24"/>
          <w:szCs w:val="24"/>
          <w:lang w:eastAsia="en-AU"/>
        </w:rPr>
        <w:t xml:space="preserve">the existing requirements under </w:t>
      </w:r>
      <w:r w:rsidR="00075556" w:rsidRPr="00CD2B30">
        <w:rPr>
          <w:rFonts w:ascii="Times New Roman" w:hAnsi="Times New Roman"/>
          <w:i/>
          <w:iCs/>
          <w:sz w:val="24"/>
          <w:szCs w:val="24"/>
        </w:rPr>
        <w:t>Prudential Standard</w:t>
      </w:r>
      <w:r w:rsidR="00075556" w:rsidRPr="00CD2B30">
        <w:rPr>
          <w:rFonts w:ascii="Times New Roman" w:hAnsi="Times New Roman"/>
          <w:sz w:val="24"/>
          <w:szCs w:val="24"/>
        </w:rPr>
        <w:t xml:space="preserve"> </w:t>
      </w:r>
      <w:r w:rsidR="00075556" w:rsidRPr="00EA0FC4">
        <w:rPr>
          <w:rFonts w:ascii="Times New Roman" w:hAnsi="Times New Roman"/>
          <w:i/>
          <w:iCs/>
          <w:sz w:val="24"/>
          <w:szCs w:val="24"/>
        </w:rPr>
        <w:t>C</w:t>
      </w:r>
      <w:r w:rsidR="00075556" w:rsidRPr="00CD2B30">
        <w:rPr>
          <w:rFonts w:ascii="Times New Roman" w:hAnsi="Times New Roman"/>
          <w:i/>
          <w:iCs/>
          <w:sz w:val="24"/>
          <w:szCs w:val="24"/>
          <w:lang w:val="en-US"/>
        </w:rPr>
        <w:t xml:space="preserve">PS 320 Actuarial and Related Matters </w:t>
      </w:r>
      <w:r w:rsidR="00075556" w:rsidRPr="00CD2B30">
        <w:rPr>
          <w:rFonts w:ascii="Times New Roman" w:hAnsi="Times New Roman"/>
          <w:sz w:val="24"/>
          <w:szCs w:val="24"/>
          <w:lang w:val="en-US"/>
        </w:rPr>
        <w:t xml:space="preserve">(CPS 320) </w:t>
      </w:r>
      <w:r w:rsidR="00075556" w:rsidRPr="00045CBE">
        <w:rPr>
          <w:rFonts w:ascii="Times New Roman" w:eastAsia="Times New Roman" w:hAnsi="Times New Roman"/>
          <w:sz w:val="24"/>
          <w:szCs w:val="24"/>
          <w:lang w:eastAsia="en-AU"/>
        </w:rPr>
        <w:t xml:space="preserve">for general insurers, life insurers and private health insurers </w:t>
      </w:r>
      <w:r w:rsidR="00075556">
        <w:rPr>
          <w:rFonts w:ascii="Times New Roman" w:eastAsia="Times New Roman" w:hAnsi="Times New Roman"/>
          <w:sz w:val="24"/>
          <w:szCs w:val="24"/>
          <w:lang w:eastAsia="en-AU"/>
        </w:rPr>
        <w:t xml:space="preserve">and replace it with the new CPS 320 which </w:t>
      </w:r>
      <w:r w:rsidRPr="00045CBE">
        <w:rPr>
          <w:rFonts w:ascii="Times New Roman" w:eastAsia="Times New Roman" w:hAnsi="Times New Roman"/>
          <w:sz w:val="24"/>
          <w:szCs w:val="24"/>
          <w:lang w:eastAsia="en-AU"/>
        </w:rPr>
        <w:t>set</w:t>
      </w:r>
      <w:r w:rsidR="00941FA7">
        <w:rPr>
          <w:rFonts w:ascii="Times New Roman" w:eastAsia="Times New Roman" w:hAnsi="Times New Roman"/>
          <w:sz w:val="24"/>
          <w:szCs w:val="24"/>
          <w:lang w:eastAsia="en-AU"/>
        </w:rPr>
        <w:t>s</w:t>
      </w:r>
      <w:r w:rsidRPr="00045CBE">
        <w:rPr>
          <w:rFonts w:ascii="Times New Roman" w:eastAsia="Times New Roman" w:hAnsi="Times New Roman"/>
          <w:sz w:val="24"/>
          <w:szCs w:val="24"/>
          <w:lang w:eastAsia="en-AU"/>
        </w:rPr>
        <w:t xml:space="preserve"> out prudential requirements for general insurers, life insurers and private health insurers to maintain </w:t>
      </w:r>
      <w:r w:rsidRPr="00045CBE">
        <w:rPr>
          <w:rFonts w:ascii="Times New Roman" w:hAnsi="Times New Roman"/>
          <w:sz w:val="24"/>
          <w:szCs w:val="24"/>
        </w:rPr>
        <w:t>appropriate actuarial advice. This advice is designed to assist the board and senior management in carrying out their responsibilities for the sound and prudent management of the insurer.</w:t>
      </w:r>
      <w:r w:rsidR="007A697A" w:rsidRPr="00045CBE">
        <w:rPr>
          <w:rFonts w:ascii="Times New Roman" w:hAnsi="Times New Roman"/>
          <w:sz w:val="24"/>
          <w:szCs w:val="24"/>
        </w:rPr>
        <w:t xml:space="preserve"> </w:t>
      </w:r>
    </w:p>
    <w:p w14:paraId="49DFFCA5" w14:textId="7CF2C0AC" w:rsidR="00265061" w:rsidRPr="00045CBE" w:rsidRDefault="000565C4" w:rsidP="00265061">
      <w:pPr>
        <w:spacing w:after="240"/>
        <w:jc w:val="both"/>
        <w:rPr>
          <w:rFonts w:ascii="Times New Roman" w:hAnsi="Times New Roman"/>
          <w:sz w:val="24"/>
          <w:szCs w:val="24"/>
        </w:rPr>
      </w:pPr>
      <w:r w:rsidRPr="00045CBE">
        <w:rPr>
          <w:rFonts w:ascii="Times New Roman" w:hAnsi="Times New Roman"/>
          <w:sz w:val="24"/>
          <w:szCs w:val="24"/>
        </w:rPr>
        <w:t xml:space="preserve">CPS 320 </w:t>
      </w:r>
      <w:r w:rsidR="00241AB0">
        <w:rPr>
          <w:rFonts w:ascii="Times New Roman" w:hAnsi="Times New Roman"/>
          <w:sz w:val="24"/>
          <w:szCs w:val="24"/>
        </w:rPr>
        <w:t>is</w:t>
      </w:r>
      <w:r w:rsidR="00265061" w:rsidRPr="00045CBE">
        <w:rPr>
          <w:rFonts w:ascii="Times New Roman" w:hAnsi="Times New Roman"/>
          <w:sz w:val="24"/>
          <w:szCs w:val="24"/>
        </w:rPr>
        <w:t xml:space="preserve"> designed </w:t>
      </w:r>
      <w:r w:rsidR="000A5431" w:rsidRPr="00045CBE">
        <w:rPr>
          <w:rFonts w:ascii="Times New Roman" w:hAnsi="Times New Roman"/>
          <w:sz w:val="24"/>
          <w:szCs w:val="24"/>
        </w:rPr>
        <w:t xml:space="preserve">to protect </w:t>
      </w:r>
      <w:r w:rsidR="00265061" w:rsidRPr="00045CBE">
        <w:rPr>
          <w:rFonts w:ascii="Times New Roman" w:hAnsi="Times New Roman"/>
          <w:sz w:val="24"/>
          <w:szCs w:val="24"/>
        </w:rPr>
        <w:t xml:space="preserve">policyholder interests and ensure sound prudential outcomes </w:t>
      </w:r>
      <w:r w:rsidR="00280BE5" w:rsidRPr="00045CBE">
        <w:rPr>
          <w:rFonts w:ascii="Times New Roman" w:hAnsi="Times New Roman"/>
          <w:sz w:val="24"/>
          <w:szCs w:val="24"/>
        </w:rPr>
        <w:t>by improving the functioning of the Appointed Actuary role.</w:t>
      </w:r>
      <w:r w:rsidR="00265061" w:rsidRPr="00045CBE">
        <w:rPr>
          <w:rFonts w:ascii="Times New Roman" w:hAnsi="Times New Roman"/>
          <w:sz w:val="24"/>
          <w:szCs w:val="24"/>
        </w:rPr>
        <w:t xml:space="preserve"> </w:t>
      </w:r>
    </w:p>
    <w:p w14:paraId="30EC27F3" w14:textId="77777777" w:rsidR="00A92F79" w:rsidRPr="00045CBE" w:rsidRDefault="00A92F79" w:rsidP="00740ABA">
      <w:pPr>
        <w:spacing w:after="240"/>
        <w:jc w:val="both"/>
        <w:rPr>
          <w:rFonts w:ascii="Times New Roman" w:hAnsi="Times New Roman"/>
          <w:sz w:val="24"/>
          <w:szCs w:val="24"/>
        </w:rPr>
      </w:pPr>
      <w:r w:rsidRPr="00045CBE">
        <w:rPr>
          <w:rFonts w:ascii="Times New Roman" w:hAnsi="Times New Roman"/>
          <w:b/>
          <w:sz w:val="24"/>
          <w:szCs w:val="24"/>
        </w:rPr>
        <w:t>Human rights implications</w:t>
      </w:r>
    </w:p>
    <w:p w14:paraId="04F14DDA" w14:textId="2F172230" w:rsidR="00651287" w:rsidRPr="00651287" w:rsidRDefault="00651287" w:rsidP="00F83148">
      <w:pPr>
        <w:spacing w:after="240"/>
        <w:jc w:val="both"/>
        <w:rPr>
          <w:rFonts w:ascii="Times New Roman" w:eastAsia="Times New Roman" w:hAnsi="Times New Roman"/>
          <w:iCs/>
          <w:color w:val="000000"/>
          <w:sz w:val="24"/>
          <w:szCs w:val="24"/>
          <w:lang w:eastAsia="en-AU"/>
        </w:rPr>
      </w:pPr>
      <w:r w:rsidRPr="00651287">
        <w:rPr>
          <w:rFonts w:ascii="Times New Roman" w:eastAsia="Times New Roman" w:hAnsi="Times New Roman"/>
          <w:iCs/>
          <w:color w:val="000000"/>
          <w:sz w:val="24"/>
          <w:szCs w:val="24"/>
          <w:lang w:eastAsia="en-AU"/>
        </w:rPr>
        <w:t xml:space="preserve">APRA has assessed the </w:t>
      </w:r>
      <w:r w:rsidR="00075556">
        <w:rPr>
          <w:rFonts w:ascii="Times New Roman" w:eastAsia="Times New Roman" w:hAnsi="Times New Roman"/>
          <w:iCs/>
          <w:color w:val="000000"/>
          <w:sz w:val="24"/>
          <w:szCs w:val="24"/>
          <w:lang w:eastAsia="en-AU"/>
        </w:rPr>
        <w:t>l</w:t>
      </w:r>
      <w:r w:rsidRPr="00651287">
        <w:rPr>
          <w:rFonts w:ascii="Times New Roman" w:eastAsia="Times New Roman" w:hAnsi="Times New Roman"/>
          <w:iCs/>
          <w:color w:val="000000"/>
          <w:sz w:val="24"/>
          <w:szCs w:val="24"/>
          <w:lang w:eastAsia="en-AU"/>
        </w:rPr>
        <w:t xml:space="preserve">egislative </w:t>
      </w:r>
      <w:r w:rsidR="00075556">
        <w:rPr>
          <w:rFonts w:ascii="Times New Roman" w:eastAsia="Times New Roman" w:hAnsi="Times New Roman"/>
          <w:iCs/>
          <w:color w:val="000000"/>
          <w:sz w:val="24"/>
          <w:szCs w:val="24"/>
          <w:lang w:eastAsia="en-AU"/>
        </w:rPr>
        <w:t>i</w:t>
      </w:r>
      <w:r w:rsidRPr="00651287">
        <w:rPr>
          <w:rFonts w:ascii="Times New Roman" w:eastAsia="Times New Roman" w:hAnsi="Times New Roman"/>
          <w:iCs/>
          <w:color w:val="000000"/>
          <w:sz w:val="24"/>
          <w:szCs w:val="24"/>
          <w:lang w:eastAsia="en-AU"/>
        </w:rPr>
        <w:t xml:space="preserve">nstrument and is of the view that it does not engage any of the applicable rights or freedoms recognised or declared in the international instruments listed in section 3 of the HRPS Act. Accordingly, in APRA's assessment, the </w:t>
      </w:r>
      <w:r w:rsidR="00095501">
        <w:rPr>
          <w:rFonts w:ascii="Times New Roman" w:eastAsia="Times New Roman" w:hAnsi="Times New Roman"/>
          <w:iCs/>
          <w:color w:val="000000"/>
          <w:sz w:val="24"/>
          <w:szCs w:val="24"/>
          <w:lang w:eastAsia="en-AU"/>
        </w:rPr>
        <w:t>legislative i</w:t>
      </w:r>
      <w:r w:rsidRPr="00651287">
        <w:rPr>
          <w:rFonts w:ascii="Times New Roman" w:eastAsia="Times New Roman" w:hAnsi="Times New Roman"/>
          <w:iCs/>
          <w:color w:val="000000"/>
          <w:sz w:val="24"/>
          <w:szCs w:val="24"/>
          <w:lang w:eastAsia="en-AU"/>
        </w:rPr>
        <w:t xml:space="preserve">nstrument is compatible with human rights. </w:t>
      </w:r>
    </w:p>
    <w:p w14:paraId="24E33EFD" w14:textId="22C544E8" w:rsidR="00A92F79" w:rsidRPr="00045CBE" w:rsidRDefault="00A92F79" w:rsidP="00F83148">
      <w:pPr>
        <w:spacing w:after="240"/>
        <w:jc w:val="both"/>
        <w:rPr>
          <w:rFonts w:ascii="Times New Roman" w:hAnsi="Times New Roman"/>
          <w:b/>
          <w:sz w:val="24"/>
          <w:szCs w:val="24"/>
        </w:rPr>
      </w:pPr>
      <w:r w:rsidRPr="00045CBE">
        <w:rPr>
          <w:rFonts w:ascii="Times New Roman" w:hAnsi="Times New Roman"/>
          <w:b/>
          <w:sz w:val="24"/>
          <w:szCs w:val="24"/>
        </w:rPr>
        <w:t>Conclusion</w:t>
      </w:r>
    </w:p>
    <w:p w14:paraId="3CF440C2" w14:textId="09A3C208" w:rsidR="00A92F79" w:rsidRPr="00045CBE" w:rsidRDefault="00095501" w:rsidP="00451286">
      <w:pPr>
        <w:spacing w:after="240"/>
        <w:jc w:val="both"/>
        <w:rPr>
          <w:rFonts w:ascii="Times New Roman" w:hAnsi="Times New Roman"/>
          <w:sz w:val="24"/>
          <w:szCs w:val="24"/>
        </w:rPr>
      </w:pPr>
      <w:proofErr w:type="gramStart"/>
      <w:r w:rsidRPr="00045CBE">
        <w:rPr>
          <w:rFonts w:ascii="Times New Roman" w:hAnsi="Times New Roman"/>
          <w:sz w:val="24"/>
          <w:szCs w:val="24"/>
        </w:rPr>
        <w:t>Th</w:t>
      </w:r>
      <w:r>
        <w:rPr>
          <w:rFonts w:ascii="Times New Roman" w:hAnsi="Times New Roman"/>
          <w:sz w:val="24"/>
          <w:szCs w:val="24"/>
        </w:rPr>
        <w:t>is</w:t>
      </w:r>
      <w:r w:rsidRPr="00045CBE">
        <w:rPr>
          <w:rFonts w:ascii="Times New Roman" w:hAnsi="Times New Roman"/>
          <w:sz w:val="24"/>
          <w:szCs w:val="24"/>
        </w:rPr>
        <w:t xml:space="preserve"> </w:t>
      </w:r>
      <w:r>
        <w:rPr>
          <w:rFonts w:ascii="Times New Roman" w:hAnsi="Times New Roman"/>
          <w:sz w:val="24"/>
          <w:szCs w:val="24"/>
        </w:rPr>
        <w:t>l</w:t>
      </w:r>
      <w:r w:rsidR="00B60C5A" w:rsidRPr="00045CBE">
        <w:rPr>
          <w:rFonts w:ascii="Times New Roman" w:hAnsi="Times New Roman"/>
          <w:sz w:val="24"/>
          <w:szCs w:val="24"/>
        </w:rPr>
        <w:t xml:space="preserve">egislative </w:t>
      </w:r>
      <w:r>
        <w:rPr>
          <w:rFonts w:ascii="Times New Roman" w:hAnsi="Times New Roman"/>
          <w:sz w:val="24"/>
          <w:szCs w:val="24"/>
        </w:rPr>
        <w:t>i</w:t>
      </w:r>
      <w:r w:rsidR="00B60C5A" w:rsidRPr="00045CBE">
        <w:rPr>
          <w:rFonts w:ascii="Times New Roman" w:hAnsi="Times New Roman"/>
          <w:sz w:val="24"/>
          <w:szCs w:val="24"/>
        </w:rPr>
        <w:t>nstrument</w:t>
      </w:r>
      <w:r w:rsidR="00FE04DC" w:rsidRPr="00045CBE">
        <w:rPr>
          <w:rFonts w:ascii="Times New Roman" w:hAnsi="Times New Roman"/>
          <w:sz w:val="24"/>
          <w:szCs w:val="24"/>
        </w:rPr>
        <w:t>s</w:t>
      </w:r>
      <w:proofErr w:type="gramEnd"/>
      <w:r w:rsidR="00A92F79" w:rsidRPr="00045CBE">
        <w:rPr>
          <w:rFonts w:ascii="Times New Roman" w:hAnsi="Times New Roman"/>
          <w:sz w:val="24"/>
          <w:szCs w:val="24"/>
        </w:rPr>
        <w:t xml:space="preserve"> </w:t>
      </w:r>
      <w:r>
        <w:rPr>
          <w:rFonts w:ascii="Times New Roman" w:hAnsi="Times New Roman"/>
          <w:sz w:val="24"/>
          <w:szCs w:val="24"/>
        </w:rPr>
        <w:t>is</w:t>
      </w:r>
      <w:r w:rsidRPr="00045CBE">
        <w:rPr>
          <w:rFonts w:ascii="Times New Roman" w:hAnsi="Times New Roman"/>
          <w:sz w:val="24"/>
          <w:szCs w:val="24"/>
        </w:rPr>
        <w:t xml:space="preserve"> </w:t>
      </w:r>
      <w:r w:rsidR="00A92F79" w:rsidRPr="00045CBE">
        <w:rPr>
          <w:rFonts w:ascii="Times New Roman" w:hAnsi="Times New Roman"/>
          <w:sz w:val="24"/>
          <w:szCs w:val="24"/>
        </w:rPr>
        <w:t xml:space="preserve">compatible with human rights </w:t>
      </w:r>
      <w:r w:rsidR="00B60C5A" w:rsidRPr="00045CBE">
        <w:rPr>
          <w:rFonts w:ascii="Times New Roman" w:hAnsi="Times New Roman"/>
          <w:sz w:val="24"/>
          <w:szCs w:val="24"/>
        </w:rPr>
        <w:t>as</w:t>
      </w:r>
      <w:r w:rsidR="00A92F79" w:rsidRPr="00045CBE">
        <w:rPr>
          <w:rFonts w:ascii="Times New Roman" w:hAnsi="Times New Roman"/>
          <w:sz w:val="24"/>
          <w:szCs w:val="24"/>
        </w:rPr>
        <w:t xml:space="preserve"> </w:t>
      </w:r>
      <w:r>
        <w:rPr>
          <w:rFonts w:ascii="Times New Roman" w:hAnsi="Times New Roman"/>
          <w:sz w:val="24"/>
          <w:szCs w:val="24"/>
        </w:rPr>
        <w:t>it</w:t>
      </w:r>
      <w:r w:rsidRPr="00045CBE">
        <w:rPr>
          <w:rFonts w:ascii="Times New Roman" w:hAnsi="Times New Roman"/>
          <w:sz w:val="24"/>
          <w:szCs w:val="24"/>
        </w:rPr>
        <w:t xml:space="preserve"> </w:t>
      </w:r>
      <w:r w:rsidR="00E454F2" w:rsidRPr="00045CBE">
        <w:rPr>
          <w:rFonts w:ascii="Times New Roman" w:hAnsi="Times New Roman"/>
          <w:sz w:val="24"/>
          <w:szCs w:val="24"/>
        </w:rPr>
        <w:t>do</w:t>
      </w:r>
      <w:r>
        <w:rPr>
          <w:rFonts w:ascii="Times New Roman" w:hAnsi="Times New Roman"/>
          <w:sz w:val="24"/>
          <w:szCs w:val="24"/>
        </w:rPr>
        <w:t>es</w:t>
      </w:r>
      <w:r w:rsidR="00E454F2" w:rsidRPr="00045CBE">
        <w:rPr>
          <w:rFonts w:ascii="Times New Roman" w:hAnsi="Times New Roman"/>
          <w:sz w:val="24"/>
          <w:szCs w:val="24"/>
        </w:rPr>
        <w:t xml:space="preserve"> not </w:t>
      </w:r>
      <w:r w:rsidR="00B60C5A" w:rsidRPr="00045CBE">
        <w:rPr>
          <w:rFonts w:ascii="Times New Roman" w:hAnsi="Times New Roman"/>
          <w:sz w:val="24"/>
          <w:szCs w:val="24"/>
        </w:rPr>
        <w:t>raise any</w:t>
      </w:r>
      <w:r w:rsidR="00A92F79" w:rsidRPr="00045CBE">
        <w:rPr>
          <w:rFonts w:ascii="Times New Roman" w:hAnsi="Times New Roman"/>
          <w:sz w:val="24"/>
          <w:szCs w:val="24"/>
        </w:rPr>
        <w:t xml:space="preserve"> human rights</w:t>
      </w:r>
      <w:r w:rsidR="00E454F2" w:rsidRPr="00045CBE">
        <w:rPr>
          <w:rFonts w:ascii="Times New Roman" w:hAnsi="Times New Roman"/>
          <w:sz w:val="24"/>
          <w:szCs w:val="24"/>
        </w:rPr>
        <w:t xml:space="preserve"> </w:t>
      </w:r>
      <w:r w:rsidR="00B60C5A" w:rsidRPr="00045CBE">
        <w:rPr>
          <w:rFonts w:ascii="Times New Roman" w:hAnsi="Times New Roman"/>
          <w:sz w:val="24"/>
          <w:szCs w:val="24"/>
        </w:rPr>
        <w:t>issues</w:t>
      </w:r>
      <w:r w:rsidR="00E454F2" w:rsidRPr="00045CBE">
        <w:rPr>
          <w:rFonts w:ascii="Times New Roman" w:hAnsi="Times New Roman"/>
          <w:sz w:val="24"/>
          <w:szCs w:val="24"/>
        </w:rPr>
        <w:t>.</w:t>
      </w:r>
    </w:p>
    <w:p w14:paraId="01652BF2" w14:textId="77777777" w:rsidR="00A019DA" w:rsidRPr="00045CBE" w:rsidRDefault="00A019DA" w:rsidP="00B321B0">
      <w:p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t> </w:t>
      </w:r>
    </w:p>
    <w:p w14:paraId="215391BF" w14:textId="77777777" w:rsidR="00A019DA" w:rsidRPr="00045CBE" w:rsidRDefault="00A019DA" w:rsidP="00B321B0">
      <w:pPr>
        <w:spacing w:after="240"/>
        <w:jc w:val="both"/>
        <w:rPr>
          <w:rFonts w:ascii="Times New Roman" w:hAnsi="Times New Roman"/>
          <w:sz w:val="24"/>
          <w:szCs w:val="24"/>
        </w:rPr>
      </w:pPr>
    </w:p>
    <w:p w14:paraId="1E0B1406" w14:textId="77777777" w:rsidR="00B04B20" w:rsidRPr="00045CBE" w:rsidRDefault="00B04B20" w:rsidP="00B321B0">
      <w:pPr>
        <w:spacing w:after="240"/>
        <w:rPr>
          <w:rFonts w:ascii="Times New Roman" w:hAnsi="Times New Roman"/>
          <w:sz w:val="24"/>
          <w:szCs w:val="24"/>
        </w:rPr>
      </w:pPr>
    </w:p>
    <w:sectPr w:rsidR="00B04B20" w:rsidRPr="00045CBE" w:rsidSect="003D5032">
      <w:footerReference w:type="default" r:id="rId15"/>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CD74" w14:textId="77777777" w:rsidR="00E54A06" w:rsidRDefault="00E54A06" w:rsidP="00A019DA">
      <w:r>
        <w:separator/>
      </w:r>
    </w:p>
  </w:endnote>
  <w:endnote w:type="continuationSeparator" w:id="0">
    <w:p w14:paraId="568F7083" w14:textId="77777777" w:rsidR="00E54A06" w:rsidRDefault="00E54A06" w:rsidP="00A019DA">
      <w:r>
        <w:continuationSeparator/>
      </w:r>
    </w:p>
  </w:endnote>
  <w:endnote w:type="continuationNotice" w:id="1">
    <w:p w14:paraId="33CE7465" w14:textId="77777777" w:rsidR="00E54A06" w:rsidRDefault="00E54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OT Medium">
    <w:panose1 w:val="020B06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2D5A" w14:textId="77777777" w:rsidR="003147ED" w:rsidRPr="00B321B0" w:rsidRDefault="003147ED">
    <w:pPr>
      <w:pStyle w:val="Footer"/>
      <w:jc w:val="center"/>
      <w:rPr>
        <w:rFonts w:ascii="Times New Roman" w:hAnsi="Times New Roman"/>
        <w:sz w:val="24"/>
        <w:szCs w:val="24"/>
      </w:rPr>
    </w:pPr>
    <w:r w:rsidRPr="00B321B0">
      <w:rPr>
        <w:rFonts w:ascii="Times New Roman" w:hAnsi="Times New Roman"/>
        <w:sz w:val="24"/>
        <w:szCs w:val="24"/>
      </w:rPr>
      <w:fldChar w:fldCharType="begin"/>
    </w:r>
    <w:r w:rsidRPr="00B321B0">
      <w:rPr>
        <w:rFonts w:ascii="Times New Roman" w:hAnsi="Times New Roman"/>
        <w:sz w:val="24"/>
        <w:szCs w:val="24"/>
      </w:rPr>
      <w:instrText xml:space="preserve"> PAGE   \* MERGEFORMAT </w:instrText>
    </w:r>
    <w:r w:rsidRPr="00B321B0">
      <w:rPr>
        <w:rFonts w:ascii="Times New Roman" w:hAnsi="Times New Roman"/>
        <w:sz w:val="24"/>
        <w:szCs w:val="24"/>
      </w:rPr>
      <w:fldChar w:fldCharType="separate"/>
    </w:r>
    <w:r w:rsidR="00C8696F">
      <w:rPr>
        <w:rFonts w:ascii="Times New Roman" w:hAnsi="Times New Roman"/>
        <w:noProof/>
        <w:sz w:val="24"/>
        <w:szCs w:val="24"/>
      </w:rPr>
      <w:t>5</w:t>
    </w:r>
    <w:r w:rsidRPr="00B321B0">
      <w:rPr>
        <w:rFonts w:ascii="Times New Roman" w:hAnsi="Times New Roman"/>
        <w:sz w:val="24"/>
        <w:szCs w:val="24"/>
      </w:rPr>
      <w:fldChar w:fldCharType="end"/>
    </w:r>
  </w:p>
  <w:p w14:paraId="0BF6DD05" w14:textId="77777777" w:rsidR="003147ED" w:rsidRDefault="0031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415C" w14:textId="77777777" w:rsidR="00E54A06" w:rsidRDefault="00E54A06" w:rsidP="00A019DA">
      <w:r>
        <w:separator/>
      </w:r>
    </w:p>
  </w:footnote>
  <w:footnote w:type="continuationSeparator" w:id="0">
    <w:p w14:paraId="0B1ED9A2" w14:textId="77777777" w:rsidR="00E54A06" w:rsidRDefault="00E54A06" w:rsidP="00A019DA">
      <w:r>
        <w:continuationSeparator/>
      </w:r>
    </w:p>
  </w:footnote>
  <w:footnote w:type="continuationNotice" w:id="1">
    <w:p w14:paraId="5AB31679" w14:textId="77777777" w:rsidR="00E54A06" w:rsidRDefault="00E54A06"/>
  </w:footnote>
  <w:footnote w:id="2">
    <w:p w14:paraId="5A318763" w14:textId="6AE96B40" w:rsidR="006C6379" w:rsidRDefault="006C6379" w:rsidP="006C6379">
      <w:pPr>
        <w:pStyle w:val="FootnoteText"/>
        <w:jc w:val="both"/>
        <w:rPr>
          <w:rFonts w:ascii="Trebuchet MS" w:hAnsi="Trebuchet MS"/>
        </w:rPr>
      </w:pPr>
      <w:r w:rsidRPr="00DB244B">
        <w:rPr>
          <w:rStyle w:val="FootnoteReference"/>
          <w:sz w:val="18"/>
          <w:szCs w:val="18"/>
          <w:vertAlign w:val="superscript"/>
        </w:rPr>
        <w:footnoteRef/>
      </w:r>
      <w:r w:rsidRPr="00DB244B">
        <w:rPr>
          <w:vertAlign w:val="superscript"/>
        </w:rPr>
        <w:t xml:space="preserve"> </w:t>
      </w:r>
      <w:r w:rsidRPr="00DB244B">
        <w:rPr>
          <w:rStyle w:val="FootnoteReference"/>
          <w:sz w:val="18"/>
          <w:szCs w:val="18"/>
        </w:rPr>
        <w:t>The Insurance Act and Life Insurance Act specifically provide that APRA does not need to consult where APRA is satisfied that doing so could result in a delay in revocation that would be contrary to the national interest (subsection 15(4) of the Insurance Act), or contrary to the public interest (subsection 26(5) of the Life Insurance Act), respectively.</w:t>
      </w:r>
      <w:r w:rsidRPr="000B49D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8876"/>
    <w:multiLevelType w:val="hybridMultilevel"/>
    <w:tmpl w:val="80F00814"/>
    <w:lvl w:ilvl="0" w:tplc="5AD646A4">
      <w:start w:val="2"/>
      <w:numFmt w:val="lowerLetter"/>
      <w:lvlText w:val="(%1)"/>
      <w:lvlJc w:val="left"/>
      <w:pPr>
        <w:ind w:left="720" w:hanging="360"/>
      </w:pPr>
    </w:lvl>
    <w:lvl w:ilvl="1" w:tplc="8E4C6012">
      <w:start w:val="1"/>
      <w:numFmt w:val="lowerLetter"/>
      <w:lvlText w:val="%2."/>
      <w:lvlJc w:val="left"/>
      <w:pPr>
        <w:ind w:left="1440" w:hanging="360"/>
      </w:pPr>
    </w:lvl>
    <w:lvl w:ilvl="2" w:tplc="F20E8772">
      <w:start w:val="1"/>
      <w:numFmt w:val="lowerRoman"/>
      <w:lvlText w:val="%3."/>
      <w:lvlJc w:val="right"/>
      <w:pPr>
        <w:ind w:left="2160" w:hanging="180"/>
      </w:pPr>
    </w:lvl>
    <w:lvl w:ilvl="3" w:tplc="B4942414">
      <w:start w:val="1"/>
      <w:numFmt w:val="decimal"/>
      <w:lvlText w:val="%4."/>
      <w:lvlJc w:val="left"/>
      <w:pPr>
        <w:ind w:left="2880" w:hanging="360"/>
      </w:pPr>
    </w:lvl>
    <w:lvl w:ilvl="4" w:tplc="9A4A8B4A">
      <w:start w:val="1"/>
      <w:numFmt w:val="lowerLetter"/>
      <w:lvlText w:val="%5."/>
      <w:lvlJc w:val="left"/>
      <w:pPr>
        <w:ind w:left="3600" w:hanging="360"/>
      </w:pPr>
    </w:lvl>
    <w:lvl w:ilvl="5" w:tplc="2EB4099E">
      <w:start w:val="1"/>
      <w:numFmt w:val="lowerRoman"/>
      <w:lvlText w:val="%6."/>
      <w:lvlJc w:val="right"/>
      <w:pPr>
        <w:ind w:left="4320" w:hanging="180"/>
      </w:pPr>
    </w:lvl>
    <w:lvl w:ilvl="6" w:tplc="31F62EEC">
      <w:start w:val="1"/>
      <w:numFmt w:val="decimal"/>
      <w:lvlText w:val="%7."/>
      <w:lvlJc w:val="left"/>
      <w:pPr>
        <w:ind w:left="5040" w:hanging="360"/>
      </w:pPr>
    </w:lvl>
    <w:lvl w:ilvl="7" w:tplc="69E02B8C">
      <w:start w:val="1"/>
      <w:numFmt w:val="lowerLetter"/>
      <w:lvlText w:val="%8."/>
      <w:lvlJc w:val="left"/>
      <w:pPr>
        <w:ind w:left="5760" w:hanging="360"/>
      </w:pPr>
    </w:lvl>
    <w:lvl w:ilvl="8" w:tplc="EDAA1DF8">
      <w:start w:val="1"/>
      <w:numFmt w:val="lowerRoman"/>
      <w:lvlText w:val="%9."/>
      <w:lvlJc w:val="right"/>
      <w:pPr>
        <w:ind w:left="6480" w:hanging="180"/>
      </w:pPr>
    </w:lvl>
  </w:abstractNum>
  <w:abstractNum w:abstractNumId="1" w15:restartNumberingAfterBreak="0">
    <w:nsid w:val="029653A9"/>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FF26E2"/>
    <w:multiLevelType w:val="hybridMultilevel"/>
    <w:tmpl w:val="0A6E95DE"/>
    <w:lvl w:ilvl="0" w:tplc="640477D0">
      <w:start w:val="1"/>
      <w:numFmt w:val="bullet"/>
      <w:lvlText w:val=""/>
      <w:lvlJc w:val="left"/>
      <w:pPr>
        <w:tabs>
          <w:tab w:val="num" w:pos="567"/>
        </w:tabs>
        <w:ind w:left="567" w:hanging="567"/>
      </w:pPr>
      <w:rPr>
        <w:rFonts w:ascii="Symbol" w:hAnsi="Symbol" w:hint="default"/>
      </w:rPr>
    </w:lvl>
    <w:lvl w:ilvl="1" w:tplc="DA1AAF7A">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E5DBB"/>
    <w:multiLevelType w:val="hybridMultilevel"/>
    <w:tmpl w:val="1BBC3D8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34BA69F4"/>
    <w:multiLevelType w:val="hybridMultilevel"/>
    <w:tmpl w:val="CF487CF8"/>
    <w:lvl w:ilvl="0" w:tplc="A3880FE2">
      <w:start w:val="1"/>
      <w:numFmt w:val="lowerLetter"/>
      <w:lvlText w:val="(%1)"/>
      <w:lvlJc w:val="left"/>
      <w:pPr>
        <w:ind w:left="720" w:hanging="360"/>
      </w:pPr>
    </w:lvl>
    <w:lvl w:ilvl="1" w:tplc="C3FC2650">
      <w:start w:val="1"/>
      <w:numFmt w:val="lowerLetter"/>
      <w:lvlText w:val="%2."/>
      <w:lvlJc w:val="left"/>
      <w:pPr>
        <w:ind w:left="1440" w:hanging="360"/>
      </w:pPr>
    </w:lvl>
    <w:lvl w:ilvl="2" w:tplc="5308DB60">
      <w:start w:val="1"/>
      <w:numFmt w:val="lowerRoman"/>
      <w:lvlText w:val="%3."/>
      <w:lvlJc w:val="right"/>
      <w:pPr>
        <w:ind w:left="2160" w:hanging="180"/>
      </w:pPr>
    </w:lvl>
    <w:lvl w:ilvl="3" w:tplc="A1C2FB00">
      <w:start w:val="1"/>
      <w:numFmt w:val="decimal"/>
      <w:lvlText w:val="%4."/>
      <w:lvlJc w:val="left"/>
      <w:pPr>
        <w:ind w:left="2880" w:hanging="360"/>
      </w:pPr>
    </w:lvl>
    <w:lvl w:ilvl="4" w:tplc="E92CD5BA">
      <w:start w:val="1"/>
      <w:numFmt w:val="lowerLetter"/>
      <w:lvlText w:val="%5."/>
      <w:lvlJc w:val="left"/>
      <w:pPr>
        <w:ind w:left="3600" w:hanging="360"/>
      </w:pPr>
    </w:lvl>
    <w:lvl w:ilvl="5" w:tplc="C8A6FFC6">
      <w:start w:val="1"/>
      <w:numFmt w:val="lowerRoman"/>
      <w:lvlText w:val="%6."/>
      <w:lvlJc w:val="right"/>
      <w:pPr>
        <w:ind w:left="4320" w:hanging="180"/>
      </w:pPr>
    </w:lvl>
    <w:lvl w:ilvl="6" w:tplc="E6BEB11C">
      <w:start w:val="1"/>
      <w:numFmt w:val="decimal"/>
      <w:lvlText w:val="%7."/>
      <w:lvlJc w:val="left"/>
      <w:pPr>
        <w:ind w:left="5040" w:hanging="360"/>
      </w:pPr>
    </w:lvl>
    <w:lvl w:ilvl="7" w:tplc="0A1C36A2">
      <w:start w:val="1"/>
      <w:numFmt w:val="lowerLetter"/>
      <w:lvlText w:val="%8."/>
      <w:lvlJc w:val="left"/>
      <w:pPr>
        <w:ind w:left="5760" w:hanging="360"/>
      </w:pPr>
    </w:lvl>
    <w:lvl w:ilvl="8" w:tplc="43C08250">
      <w:start w:val="1"/>
      <w:numFmt w:val="lowerRoman"/>
      <w:lvlText w:val="%9."/>
      <w:lvlJc w:val="right"/>
      <w:pPr>
        <w:ind w:left="6480" w:hanging="180"/>
      </w:pPr>
    </w:lvl>
  </w:abstractNum>
  <w:abstractNum w:abstractNumId="6"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C6B5E8E"/>
    <w:multiLevelType w:val="hybridMultilevel"/>
    <w:tmpl w:val="4906DFA6"/>
    <w:lvl w:ilvl="0" w:tplc="7414C8CA">
      <w:start w:val="1"/>
      <w:numFmt w:val="lowerLetter"/>
      <w:lvlText w:val="(%1)"/>
      <w:lvlJc w:val="left"/>
      <w:pPr>
        <w:ind w:left="720" w:hanging="360"/>
      </w:pPr>
    </w:lvl>
    <w:lvl w:ilvl="1" w:tplc="8988B66A">
      <w:start w:val="1"/>
      <w:numFmt w:val="lowerLetter"/>
      <w:lvlText w:val="%2."/>
      <w:lvlJc w:val="left"/>
      <w:pPr>
        <w:ind w:left="1440" w:hanging="360"/>
      </w:pPr>
    </w:lvl>
    <w:lvl w:ilvl="2" w:tplc="979CDF36">
      <w:start w:val="1"/>
      <w:numFmt w:val="lowerRoman"/>
      <w:lvlText w:val="%3."/>
      <w:lvlJc w:val="right"/>
      <w:pPr>
        <w:ind w:left="2160" w:hanging="180"/>
      </w:pPr>
    </w:lvl>
    <w:lvl w:ilvl="3" w:tplc="C9020784">
      <w:start w:val="1"/>
      <w:numFmt w:val="decimal"/>
      <w:lvlText w:val="%4."/>
      <w:lvlJc w:val="left"/>
      <w:pPr>
        <w:ind w:left="2880" w:hanging="360"/>
      </w:pPr>
    </w:lvl>
    <w:lvl w:ilvl="4" w:tplc="BFFCDFCC">
      <w:start w:val="1"/>
      <w:numFmt w:val="lowerLetter"/>
      <w:lvlText w:val="%5."/>
      <w:lvlJc w:val="left"/>
      <w:pPr>
        <w:ind w:left="3600" w:hanging="360"/>
      </w:pPr>
    </w:lvl>
    <w:lvl w:ilvl="5" w:tplc="5668529E">
      <w:start w:val="1"/>
      <w:numFmt w:val="lowerRoman"/>
      <w:lvlText w:val="%6."/>
      <w:lvlJc w:val="right"/>
      <w:pPr>
        <w:ind w:left="4320" w:hanging="180"/>
      </w:pPr>
    </w:lvl>
    <w:lvl w:ilvl="6" w:tplc="10B2F51E">
      <w:start w:val="1"/>
      <w:numFmt w:val="decimal"/>
      <w:lvlText w:val="%7."/>
      <w:lvlJc w:val="left"/>
      <w:pPr>
        <w:ind w:left="5040" w:hanging="360"/>
      </w:pPr>
    </w:lvl>
    <w:lvl w:ilvl="7" w:tplc="1866724E">
      <w:start w:val="1"/>
      <w:numFmt w:val="lowerLetter"/>
      <w:lvlText w:val="%8."/>
      <w:lvlJc w:val="left"/>
      <w:pPr>
        <w:ind w:left="5760" w:hanging="360"/>
      </w:pPr>
    </w:lvl>
    <w:lvl w:ilvl="8" w:tplc="B00AEEBC">
      <w:start w:val="1"/>
      <w:numFmt w:val="lowerRoman"/>
      <w:lvlText w:val="%9."/>
      <w:lvlJc w:val="right"/>
      <w:pPr>
        <w:ind w:left="6480" w:hanging="180"/>
      </w:pPr>
    </w:lvl>
  </w:abstractNum>
  <w:abstractNum w:abstractNumId="8" w15:restartNumberingAfterBreak="0">
    <w:nsid w:val="4417795C"/>
    <w:multiLevelType w:val="hybridMultilevel"/>
    <w:tmpl w:val="398AEA52"/>
    <w:lvl w:ilvl="0" w:tplc="F3165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6127BD"/>
    <w:multiLevelType w:val="hybridMultilevel"/>
    <w:tmpl w:val="28CEC74E"/>
    <w:lvl w:ilvl="0" w:tplc="80246968">
      <w:start w:val="1"/>
      <w:numFmt w:val="lowerLetter"/>
      <w:lvlText w:val="(%1)"/>
      <w:lvlJc w:val="left"/>
      <w:pPr>
        <w:ind w:left="720" w:hanging="360"/>
      </w:pPr>
    </w:lvl>
    <w:lvl w:ilvl="1" w:tplc="418853C4">
      <w:start w:val="1"/>
      <w:numFmt w:val="lowerLetter"/>
      <w:lvlText w:val="%2."/>
      <w:lvlJc w:val="left"/>
      <w:pPr>
        <w:ind w:left="1440" w:hanging="360"/>
      </w:pPr>
    </w:lvl>
    <w:lvl w:ilvl="2" w:tplc="0F8A9350">
      <w:start w:val="1"/>
      <w:numFmt w:val="lowerRoman"/>
      <w:lvlText w:val="%3."/>
      <w:lvlJc w:val="right"/>
      <w:pPr>
        <w:ind w:left="2160" w:hanging="180"/>
      </w:pPr>
    </w:lvl>
    <w:lvl w:ilvl="3" w:tplc="DDD6123A">
      <w:start w:val="1"/>
      <w:numFmt w:val="decimal"/>
      <w:lvlText w:val="%4."/>
      <w:lvlJc w:val="left"/>
      <w:pPr>
        <w:ind w:left="2880" w:hanging="360"/>
      </w:pPr>
    </w:lvl>
    <w:lvl w:ilvl="4" w:tplc="84CC1948">
      <w:start w:val="1"/>
      <w:numFmt w:val="lowerLetter"/>
      <w:lvlText w:val="%5."/>
      <w:lvlJc w:val="left"/>
      <w:pPr>
        <w:ind w:left="3600" w:hanging="360"/>
      </w:pPr>
    </w:lvl>
    <w:lvl w:ilvl="5" w:tplc="40E64B8C">
      <w:start w:val="1"/>
      <w:numFmt w:val="lowerRoman"/>
      <w:lvlText w:val="%6."/>
      <w:lvlJc w:val="right"/>
      <w:pPr>
        <w:ind w:left="4320" w:hanging="180"/>
      </w:pPr>
    </w:lvl>
    <w:lvl w:ilvl="6" w:tplc="9D4A8C2C">
      <w:start w:val="1"/>
      <w:numFmt w:val="decimal"/>
      <w:lvlText w:val="%7."/>
      <w:lvlJc w:val="left"/>
      <w:pPr>
        <w:ind w:left="5040" w:hanging="360"/>
      </w:pPr>
    </w:lvl>
    <w:lvl w:ilvl="7" w:tplc="16F2A118">
      <w:start w:val="1"/>
      <w:numFmt w:val="lowerLetter"/>
      <w:lvlText w:val="%8."/>
      <w:lvlJc w:val="left"/>
      <w:pPr>
        <w:ind w:left="5760" w:hanging="360"/>
      </w:pPr>
    </w:lvl>
    <w:lvl w:ilvl="8" w:tplc="7F38FAAC">
      <w:start w:val="1"/>
      <w:numFmt w:val="lowerRoman"/>
      <w:lvlText w:val="%9."/>
      <w:lvlJc w:val="right"/>
      <w:pPr>
        <w:ind w:left="6480" w:hanging="180"/>
      </w:pPr>
    </w:lvl>
  </w:abstractNum>
  <w:abstractNum w:abstractNumId="10" w15:restartNumberingAfterBreak="0">
    <w:nsid w:val="4CD55274"/>
    <w:multiLevelType w:val="hybridMultilevel"/>
    <w:tmpl w:val="34C84F8E"/>
    <w:lvl w:ilvl="0" w:tplc="7F30B9D0">
      <w:start w:val="1"/>
      <w:numFmt w:val="lowerLetter"/>
      <w:lvlText w:val="(%1)"/>
      <w:lvlJc w:val="left"/>
      <w:pPr>
        <w:ind w:left="720" w:hanging="360"/>
      </w:pPr>
    </w:lvl>
    <w:lvl w:ilvl="1" w:tplc="D9AAED08">
      <w:start w:val="1"/>
      <w:numFmt w:val="lowerLetter"/>
      <w:lvlText w:val="%2."/>
      <w:lvlJc w:val="left"/>
      <w:pPr>
        <w:ind w:left="1440" w:hanging="360"/>
      </w:pPr>
    </w:lvl>
    <w:lvl w:ilvl="2" w:tplc="CF603B4C">
      <w:start w:val="1"/>
      <w:numFmt w:val="lowerRoman"/>
      <w:lvlText w:val="%3."/>
      <w:lvlJc w:val="right"/>
      <w:pPr>
        <w:ind w:left="2160" w:hanging="180"/>
      </w:pPr>
    </w:lvl>
    <w:lvl w:ilvl="3" w:tplc="5B5A1214">
      <w:start w:val="1"/>
      <w:numFmt w:val="decimal"/>
      <w:lvlText w:val="%4."/>
      <w:lvlJc w:val="left"/>
      <w:pPr>
        <w:ind w:left="2880" w:hanging="360"/>
      </w:pPr>
    </w:lvl>
    <w:lvl w:ilvl="4" w:tplc="00D672F8">
      <w:start w:val="1"/>
      <w:numFmt w:val="lowerLetter"/>
      <w:lvlText w:val="%5."/>
      <w:lvlJc w:val="left"/>
      <w:pPr>
        <w:ind w:left="3600" w:hanging="360"/>
      </w:pPr>
    </w:lvl>
    <w:lvl w:ilvl="5" w:tplc="247C0C3A">
      <w:start w:val="1"/>
      <w:numFmt w:val="lowerRoman"/>
      <w:lvlText w:val="%6."/>
      <w:lvlJc w:val="right"/>
      <w:pPr>
        <w:ind w:left="4320" w:hanging="180"/>
      </w:pPr>
    </w:lvl>
    <w:lvl w:ilvl="6" w:tplc="64FA4C70">
      <w:start w:val="1"/>
      <w:numFmt w:val="decimal"/>
      <w:lvlText w:val="%7."/>
      <w:lvlJc w:val="left"/>
      <w:pPr>
        <w:ind w:left="5040" w:hanging="360"/>
      </w:pPr>
    </w:lvl>
    <w:lvl w:ilvl="7" w:tplc="D6CC061C">
      <w:start w:val="1"/>
      <w:numFmt w:val="lowerLetter"/>
      <w:lvlText w:val="%8."/>
      <w:lvlJc w:val="left"/>
      <w:pPr>
        <w:ind w:left="5760" w:hanging="360"/>
      </w:pPr>
    </w:lvl>
    <w:lvl w:ilvl="8" w:tplc="B252908A">
      <w:start w:val="1"/>
      <w:numFmt w:val="lowerRoman"/>
      <w:lvlText w:val="%9."/>
      <w:lvlJc w:val="right"/>
      <w:pPr>
        <w:ind w:left="6480" w:hanging="180"/>
      </w:pPr>
    </w:lvl>
  </w:abstractNum>
  <w:abstractNum w:abstractNumId="11" w15:restartNumberingAfterBreak="0">
    <w:nsid w:val="4FB97624"/>
    <w:multiLevelType w:val="hybridMultilevel"/>
    <w:tmpl w:val="3E802188"/>
    <w:lvl w:ilvl="0" w:tplc="E3FCEB88">
      <w:start w:val="1"/>
      <w:numFmt w:val="lowerLetter"/>
      <w:lvlText w:val="(%1)"/>
      <w:lvlJc w:val="left"/>
      <w:pPr>
        <w:ind w:left="720" w:hanging="360"/>
      </w:pPr>
    </w:lvl>
    <w:lvl w:ilvl="1" w:tplc="5082E0A4">
      <w:start w:val="1"/>
      <w:numFmt w:val="lowerLetter"/>
      <w:lvlText w:val="%2."/>
      <w:lvlJc w:val="left"/>
      <w:pPr>
        <w:ind w:left="1440" w:hanging="360"/>
      </w:pPr>
    </w:lvl>
    <w:lvl w:ilvl="2" w:tplc="71FEAF30">
      <w:start w:val="1"/>
      <w:numFmt w:val="lowerRoman"/>
      <w:lvlText w:val="%3."/>
      <w:lvlJc w:val="right"/>
      <w:pPr>
        <w:ind w:left="2160" w:hanging="180"/>
      </w:pPr>
    </w:lvl>
    <w:lvl w:ilvl="3" w:tplc="62E68A42">
      <w:start w:val="1"/>
      <w:numFmt w:val="decimal"/>
      <w:lvlText w:val="%4."/>
      <w:lvlJc w:val="left"/>
      <w:pPr>
        <w:ind w:left="2880" w:hanging="360"/>
      </w:pPr>
    </w:lvl>
    <w:lvl w:ilvl="4" w:tplc="A7062E9C">
      <w:start w:val="1"/>
      <w:numFmt w:val="lowerLetter"/>
      <w:lvlText w:val="%5."/>
      <w:lvlJc w:val="left"/>
      <w:pPr>
        <w:ind w:left="3600" w:hanging="360"/>
      </w:pPr>
    </w:lvl>
    <w:lvl w:ilvl="5" w:tplc="9A867DF8">
      <w:start w:val="1"/>
      <w:numFmt w:val="lowerRoman"/>
      <w:lvlText w:val="%6."/>
      <w:lvlJc w:val="right"/>
      <w:pPr>
        <w:ind w:left="4320" w:hanging="180"/>
      </w:pPr>
    </w:lvl>
    <w:lvl w:ilvl="6" w:tplc="FC480000">
      <w:start w:val="1"/>
      <w:numFmt w:val="decimal"/>
      <w:lvlText w:val="%7."/>
      <w:lvlJc w:val="left"/>
      <w:pPr>
        <w:ind w:left="5040" w:hanging="360"/>
      </w:pPr>
    </w:lvl>
    <w:lvl w:ilvl="7" w:tplc="3DD68946">
      <w:start w:val="1"/>
      <w:numFmt w:val="lowerLetter"/>
      <w:lvlText w:val="%8."/>
      <w:lvlJc w:val="left"/>
      <w:pPr>
        <w:ind w:left="5760" w:hanging="360"/>
      </w:pPr>
    </w:lvl>
    <w:lvl w:ilvl="8" w:tplc="DE646382">
      <w:start w:val="1"/>
      <w:numFmt w:val="lowerRoman"/>
      <w:lvlText w:val="%9."/>
      <w:lvlJc w:val="right"/>
      <w:pPr>
        <w:ind w:left="6480" w:hanging="180"/>
      </w:pPr>
    </w:lvl>
  </w:abstractNum>
  <w:abstractNum w:abstractNumId="12" w15:restartNumberingAfterBreak="0">
    <w:nsid w:val="5208C381"/>
    <w:multiLevelType w:val="hybridMultilevel"/>
    <w:tmpl w:val="49909B9A"/>
    <w:lvl w:ilvl="0" w:tplc="FC5E2C6C">
      <w:start w:val="4"/>
      <w:numFmt w:val="lowerLetter"/>
      <w:lvlText w:val="(%1)"/>
      <w:lvlJc w:val="left"/>
      <w:pPr>
        <w:ind w:left="720" w:hanging="360"/>
      </w:pPr>
    </w:lvl>
    <w:lvl w:ilvl="1" w:tplc="A5AC6690">
      <w:start w:val="1"/>
      <w:numFmt w:val="lowerLetter"/>
      <w:lvlText w:val="%2."/>
      <w:lvlJc w:val="left"/>
      <w:pPr>
        <w:ind w:left="1440" w:hanging="360"/>
      </w:pPr>
    </w:lvl>
    <w:lvl w:ilvl="2" w:tplc="2D98927A">
      <w:start w:val="1"/>
      <w:numFmt w:val="lowerRoman"/>
      <w:lvlText w:val="%3."/>
      <w:lvlJc w:val="right"/>
      <w:pPr>
        <w:ind w:left="2160" w:hanging="180"/>
      </w:pPr>
    </w:lvl>
    <w:lvl w:ilvl="3" w:tplc="D3CCEC1E">
      <w:start w:val="1"/>
      <w:numFmt w:val="decimal"/>
      <w:lvlText w:val="%4."/>
      <w:lvlJc w:val="left"/>
      <w:pPr>
        <w:ind w:left="2880" w:hanging="360"/>
      </w:pPr>
    </w:lvl>
    <w:lvl w:ilvl="4" w:tplc="DC683348">
      <w:start w:val="1"/>
      <w:numFmt w:val="lowerLetter"/>
      <w:lvlText w:val="%5."/>
      <w:lvlJc w:val="left"/>
      <w:pPr>
        <w:ind w:left="3600" w:hanging="360"/>
      </w:pPr>
    </w:lvl>
    <w:lvl w:ilvl="5" w:tplc="B590C310">
      <w:start w:val="1"/>
      <w:numFmt w:val="lowerRoman"/>
      <w:lvlText w:val="%6."/>
      <w:lvlJc w:val="right"/>
      <w:pPr>
        <w:ind w:left="4320" w:hanging="180"/>
      </w:pPr>
    </w:lvl>
    <w:lvl w:ilvl="6" w:tplc="CA1C516A">
      <w:start w:val="1"/>
      <w:numFmt w:val="decimal"/>
      <w:lvlText w:val="%7."/>
      <w:lvlJc w:val="left"/>
      <w:pPr>
        <w:ind w:left="5040" w:hanging="360"/>
      </w:pPr>
    </w:lvl>
    <w:lvl w:ilvl="7" w:tplc="E4A89D5E">
      <w:start w:val="1"/>
      <w:numFmt w:val="lowerLetter"/>
      <w:lvlText w:val="%8."/>
      <w:lvlJc w:val="left"/>
      <w:pPr>
        <w:ind w:left="5760" w:hanging="360"/>
      </w:pPr>
    </w:lvl>
    <w:lvl w:ilvl="8" w:tplc="A9F0EEF4">
      <w:start w:val="1"/>
      <w:numFmt w:val="lowerRoman"/>
      <w:lvlText w:val="%9."/>
      <w:lvlJc w:val="right"/>
      <w:pPr>
        <w:ind w:left="6480" w:hanging="180"/>
      </w:pPr>
    </w:lvl>
  </w:abstractNum>
  <w:abstractNum w:abstractNumId="13" w15:restartNumberingAfterBreak="0">
    <w:nsid w:val="5CBC58C9"/>
    <w:multiLevelType w:val="hybridMultilevel"/>
    <w:tmpl w:val="B608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F4124F"/>
    <w:multiLevelType w:val="hybridMultilevel"/>
    <w:tmpl w:val="253CB0BC"/>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5B1B25"/>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D99B56"/>
    <w:multiLevelType w:val="hybridMultilevel"/>
    <w:tmpl w:val="AC723322"/>
    <w:lvl w:ilvl="0" w:tplc="E55CB098">
      <w:start w:val="3"/>
      <w:numFmt w:val="lowerLetter"/>
      <w:lvlText w:val="(%1)"/>
      <w:lvlJc w:val="left"/>
      <w:pPr>
        <w:ind w:left="720" w:hanging="360"/>
      </w:pPr>
    </w:lvl>
    <w:lvl w:ilvl="1" w:tplc="4BB4BB1A">
      <w:start w:val="1"/>
      <w:numFmt w:val="lowerLetter"/>
      <w:lvlText w:val="%2."/>
      <w:lvlJc w:val="left"/>
      <w:pPr>
        <w:ind w:left="1440" w:hanging="360"/>
      </w:pPr>
    </w:lvl>
    <w:lvl w:ilvl="2" w:tplc="752EE6E8">
      <w:start w:val="1"/>
      <w:numFmt w:val="lowerRoman"/>
      <w:lvlText w:val="%3."/>
      <w:lvlJc w:val="right"/>
      <w:pPr>
        <w:ind w:left="2160" w:hanging="180"/>
      </w:pPr>
    </w:lvl>
    <w:lvl w:ilvl="3" w:tplc="13808C24">
      <w:start w:val="1"/>
      <w:numFmt w:val="decimal"/>
      <w:lvlText w:val="%4."/>
      <w:lvlJc w:val="left"/>
      <w:pPr>
        <w:ind w:left="2880" w:hanging="360"/>
      </w:pPr>
    </w:lvl>
    <w:lvl w:ilvl="4" w:tplc="CC88263C">
      <w:start w:val="1"/>
      <w:numFmt w:val="lowerLetter"/>
      <w:lvlText w:val="%5."/>
      <w:lvlJc w:val="left"/>
      <w:pPr>
        <w:ind w:left="3600" w:hanging="360"/>
      </w:pPr>
    </w:lvl>
    <w:lvl w:ilvl="5" w:tplc="21367DE6">
      <w:start w:val="1"/>
      <w:numFmt w:val="lowerRoman"/>
      <w:lvlText w:val="%6."/>
      <w:lvlJc w:val="right"/>
      <w:pPr>
        <w:ind w:left="4320" w:hanging="180"/>
      </w:pPr>
    </w:lvl>
    <w:lvl w:ilvl="6" w:tplc="7A2C76AE">
      <w:start w:val="1"/>
      <w:numFmt w:val="decimal"/>
      <w:lvlText w:val="%7."/>
      <w:lvlJc w:val="left"/>
      <w:pPr>
        <w:ind w:left="5040" w:hanging="360"/>
      </w:pPr>
    </w:lvl>
    <w:lvl w:ilvl="7" w:tplc="8BEC5938">
      <w:start w:val="1"/>
      <w:numFmt w:val="lowerLetter"/>
      <w:lvlText w:val="%8."/>
      <w:lvlJc w:val="left"/>
      <w:pPr>
        <w:ind w:left="5760" w:hanging="360"/>
      </w:pPr>
    </w:lvl>
    <w:lvl w:ilvl="8" w:tplc="2BCE01AA">
      <w:start w:val="1"/>
      <w:numFmt w:val="lowerRoman"/>
      <w:lvlText w:val="%9."/>
      <w:lvlJc w:val="right"/>
      <w:pPr>
        <w:ind w:left="6480" w:hanging="180"/>
      </w:pPr>
    </w:lvl>
  </w:abstractNum>
  <w:abstractNum w:abstractNumId="17" w15:restartNumberingAfterBreak="0">
    <w:nsid w:val="6F3F175C"/>
    <w:multiLevelType w:val="hybridMultilevel"/>
    <w:tmpl w:val="B19639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1F5EA5"/>
    <w:multiLevelType w:val="hybridMultilevel"/>
    <w:tmpl w:val="6C9C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297203"/>
    <w:multiLevelType w:val="hybridMultilevel"/>
    <w:tmpl w:val="264A2C36"/>
    <w:lvl w:ilvl="0" w:tplc="5E7640CA">
      <w:start w:val="1"/>
      <w:numFmt w:val="lowerLetter"/>
      <w:lvlText w:val="(%1)"/>
      <w:lvlJc w:val="left"/>
      <w:pPr>
        <w:ind w:left="720" w:hanging="360"/>
      </w:pPr>
    </w:lvl>
    <w:lvl w:ilvl="1" w:tplc="D8FAA6C4">
      <w:start w:val="1"/>
      <w:numFmt w:val="lowerLetter"/>
      <w:lvlText w:val="%2."/>
      <w:lvlJc w:val="left"/>
      <w:pPr>
        <w:ind w:left="1440" w:hanging="360"/>
      </w:pPr>
    </w:lvl>
    <w:lvl w:ilvl="2" w:tplc="47C4BB44">
      <w:start w:val="1"/>
      <w:numFmt w:val="lowerRoman"/>
      <w:lvlText w:val="%3."/>
      <w:lvlJc w:val="right"/>
      <w:pPr>
        <w:ind w:left="2160" w:hanging="180"/>
      </w:pPr>
    </w:lvl>
    <w:lvl w:ilvl="3" w:tplc="A1F81794">
      <w:start w:val="1"/>
      <w:numFmt w:val="decimal"/>
      <w:lvlText w:val="%4."/>
      <w:lvlJc w:val="left"/>
      <w:pPr>
        <w:ind w:left="2880" w:hanging="360"/>
      </w:pPr>
    </w:lvl>
    <w:lvl w:ilvl="4" w:tplc="D780D1BC">
      <w:start w:val="1"/>
      <w:numFmt w:val="lowerLetter"/>
      <w:lvlText w:val="%5."/>
      <w:lvlJc w:val="left"/>
      <w:pPr>
        <w:ind w:left="3600" w:hanging="360"/>
      </w:pPr>
    </w:lvl>
    <w:lvl w:ilvl="5" w:tplc="AB9ACAE4">
      <w:start w:val="1"/>
      <w:numFmt w:val="lowerRoman"/>
      <w:lvlText w:val="%6."/>
      <w:lvlJc w:val="right"/>
      <w:pPr>
        <w:ind w:left="4320" w:hanging="180"/>
      </w:pPr>
    </w:lvl>
    <w:lvl w:ilvl="6" w:tplc="202476AE">
      <w:start w:val="1"/>
      <w:numFmt w:val="decimal"/>
      <w:lvlText w:val="%7."/>
      <w:lvlJc w:val="left"/>
      <w:pPr>
        <w:ind w:left="5040" w:hanging="360"/>
      </w:pPr>
    </w:lvl>
    <w:lvl w:ilvl="7" w:tplc="81644B5A">
      <w:start w:val="1"/>
      <w:numFmt w:val="lowerLetter"/>
      <w:lvlText w:val="%8."/>
      <w:lvlJc w:val="left"/>
      <w:pPr>
        <w:ind w:left="5760" w:hanging="360"/>
      </w:pPr>
    </w:lvl>
    <w:lvl w:ilvl="8" w:tplc="417EDFE8">
      <w:start w:val="1"/>
      <w:numFmt w:val="lowerRoman"/>
      <w:lvlText w:val="%9."/>
      <w:lvlJc w:val="right"/>
      <w:pPr>
        <w:ind w:left="6480" w:hanging="180"/>
      </w:pPr>
    </w:lvl>
  </w:abstractNum>
  <w:abstractNum w:abstractNumId="21" w15:restartNumberingAfterBreak="0">
    <w:nsid w:val="77E5624C"/>
    <w:multiLevelType w:val="hybridMultilevel"/>
    <w:tmpl w:val="089E07A2"/>
    <w:lvl w:ilvl="0" w:tplc="3E8878E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235599"/>
    <w:multiLevelType w:val="hybridMultilevel"/>
    <w:tmpl w:val="4204F2EA"/>
    <w:lvl w:ilvl="0" w:tplc="870E9E18">
      <w:start w:val="6"/>
      <w:numFmt w:val="lowerLetter"/>
      <w:lvlText w:val="(%1)"/>
      <w:lvlJc w:val="left"/>
      <w:pPr>
        <w:ind w:left="720" w:hanging="360"/>
      </w:pPr>
    </w:lvl>
    <w:lvl w:ilvl="1" w:tplc="8DE2C0E2">
      <w:start w:val="1"/>
      <w:numFmt w:val="lowerLetter"/>
      <w:lvlText w:val="%2."/>
      <w:lvlJc w:val="left"/>
      <w:pPr>
        <w:ind w:left="1440" w:hanging="360"/>
      </w:pPr>
    </w:lvl>
    <w:lvl w:ilvl="2" w:tplc="4A4253E0">
      <w:start w:val="1"/>
      <w:numFmt w:val="lowerRoman"/>
      <w:lvlText w:val="%3."/>
      <w:lvlJc w:val="right"/>
      <w:pPr>
        <w:ind w:left="2160" w:hanging="180"/>
      </w:pPr>
    </w:lvl>
    <w:lvl w:ilvl="3" w:tplc="27D43FFE">
      <w:start w:val="1"/>
      <w:numFmt w:val="decimal"/>
      <w:lvlText w:val="%4."/>
      <w:lvlJc w:val="left"/>
      <w:pPr>
        <w:ind w:left="2880" w:hanging="360"/>
      </w:pPr>
    </w:lvl>
    <w:lvl w:ilvl="4" w:tplc="6C6E430E">
      <w:start w:val="1"/>
      <w:numFmt w:val="lowerLetter"/>
      <w:lvlText w:val="%5."/>
      <w:lvlJc w:val="left"/>
      <w:pPr>
        <w:ind w:left="3600" w:hanging="360"/>
      </w:pPr>
    </w:lvl>
    <w:lvl w:ilvl="5" w:tplc="D4D48256">
      <w:start w:val="1"/>
      <w:numFmt w:val="lowerRoman"/>
      <w:lvlText w:val="%6."/>
      <w:lvlJc w:val="right"/>
      <w:pPr>
        <w:ind w:left="4320" w:hanging="180"/>
      </w:pPr>
    </w:lvl>
    <w:lvl w:ilvl="6" w:tplc="BA70020C">
      <w:start w:val="1"/>
      <w:numFmt w:val="decimal"/>
      <w:lvlText w:val="%7."/>
      <w:lvlJc w:val="left"/>
      <w:pPr>
        <w:ind w:left="5040" w:hanging="360"/>
      </w:pPr>
    </w:lvl>
    <w:lvl w:ilvl="7" w:tplc="DF6CF420">
      <w:start w:val="1"/>
      <w:numFmt w:val="lowerLetter"/>
      <w:lvlText w:val="%8."/>
      <w:lvlJc w:val="left"/>
      <w:pPr>
        <w:ind w:left="5760" w:hanging="360"/>
      </w:pPr>
    </w:lvl>
    <w:lvl w:ilvl="8" w:tplc="F386EBD4">
      <w:start w:val="1"/>
      <w:numFmt w:val="lowerRoman"/>
      <w:lvlText w:val="%9."/>
      <w:lvlJc w:val="right"/>
      <w:pPr>
        <w:ind w:left="6480" w:hanging="180"/>
      </w:pPr>
    </w:lvl>
  </w:abstractNum>
  <w:abstractNum w:abstractNumId="23" w15:restartNumberingAfterBreak="0">
    <w:nsid w:val="7F1B22AC"/>
    <w:multiLevelType w:val="hybridMultilevel"/>
    <w:tmpl w:val="CEF661C4"/>
    <w:lvl w:ilvl="0" w:tplc="1BB41842">
      <w:start w:val="5"/>
      <w:numFmt w:val="lowerLetter"/>
      <w:lvlText w:val="(%1)"/>
      <w:lvlJc w:val="left"/>
      <w:pPr>
        <w:ind w:left="720" w:hanging="360"/>
      </w:pPr>
    </w:lvl>
    <w:lvl w:ilvl="1" w:tplc="E00EF946">
      <w:start w:val="1"/>
      <w:numFmt w:val="lowerLetter"/>
      <w:lvlText w:val="%2."/>
      <w:lvlJc w:val="left"/>
      <w:pPr>
        <w:ind w:left="1440" w:hanging="360"/>
      </w:pPr>
    </w:lvl>
    <w:lvl w:ilvl="2" w:tplc="AFFA75D2">
      <w:start w:val="1"/>
      <w:numFmt w:val="lowerRoman"/>
      <w:lvlText w:val="%3."/>
      <w:lvlJc w:val="right"/>
      <w:pPr>
        <w:ind w:left="2160" w:hanging="180"/>
      </w:pPr>
    </w:lvl>
    <w:lvl w:ilvl="3" w:tplc="81760516">
      <w:start w:val="1"/>
      <w:numFmt w:val="decimal"/>
      <w:lvlText w:val="%4."/>
      <w:lvlJc w:val="left"/>
      <w:pPr>
        <w:ind w:left="2880" w:hanging="360"/>
      </w:pPr>
    </w:lvl>
    <w:lvl w:ilvl="4" w:tplc="97EA982A">
      <w:start w:val="1"/>
      <w:numFmt w:val="lowerLetter"/>
      <w:lvlText w:val="%5."/>
      <w:lvlJc w:val="left"/>
      <w:pPr>
        <w:ind w:left="3600" w:hanging="360"/>
      </w:pPr>
    </w:lvl>
    <w:lvl w:ilvl="5" w:tplc="F5EA9A98">
      <w:start w:val="1"/>
      <w:numFmt w:val="lowerRoman"/>
      <w:lvlText w:val="%6."/>
      <w:lvlJc w:val="right"/>
      <w:pPr>
        <w:ind w:left="4320" w:hanging="180"/>
      </w:pPr>
    </w:lvl>
    <w:lvl w:ilvl="6" w:tplc="413877B2">
      <w:start w:val="1"/>
      <w:numFmt w:val="decimal"/>
      <w:lvlText w:val="%7."/>
      <w:lvlJc w:val="left"/>
      <w:pPr>
        <w:ind w:left="5040" w:hanging="360"/>
      </w:pPr>
    </w:lvl>
    <w:lvl w:ilvl="7" w:tplc="489E404E">
      <w:start w:val="1"/>
      <w:numFmt w:val="lowerLetter"/>
      <w:lvlText w:val="%8."/>
      <w:lvlJc w:val="left"/>
      <w:pPr>
        <w:ind w:left="5760" w:hanging="360"/>
      </w:pPr>
    </w:lvl>
    <w:lvl w:ilvl="8" w:tplc="7A1AC230">
      <w:start w:val="1"/>
      <w:numFmt w:val="lowerRoman"/>
      <w:lvlText w:val="%9."/>
      <w:lvlJc w:val="right"/>
      <w:pPr>
        <w:ind w:left="6480" w:hanging="180"/>
      </w:pPr>
    </w:lvl>
  </w:abstractNum>
  <w:num w:numId="1" w16cid:durableId="1767270205">
    <w:abstractNumId w:val="9"/>
  </w:num>
  <w:num w:numId="2" w16cid:durableId="229198297">
    <w:abstractNumId w:val="7"/>
  </w:num>
  <w:num w:numId="3" w16cid:durableId="666707706">
    <w:abstractNumId w:val="5"/>
  </w:num>
  <w:num w:numId="4" w16cid:durableId="1303005861">
    <w:abstractNumId w:val="20"/>
  </w:num>
  <w:num w:numId="5" w16cid:durableId="994796895">
    <w:abstractNumId w:val="11"/>
  </w:num>
  <w:num w:numId="6" w16cid:durableId="685986120">
    <w:abstractNumId w:val="22"/>
  </w:num>
  <w:num w:numId="7" w16cid:durableId="1550648189">
    <w:abstractNumId w:val="23"/>
  </w:num>
  <w:num w:numId="8" w16cid:durableId="877397087">
    <w:abstractNumId w:val="12"/>
  </w:num>
  <w:num w:numId="9" w16cid:durableId="1619220635">
    <w:abstractNumId w:val="16"/>
  </w:num>
  <w:num w:numId="10" w16cid:durableId="744453400">
    <w:abstractNumId w:val="0"/>
  </w:num>
  <w:num w:numId="11" w16cid:durableId="554973414">
    <w:abstractNumId w:val="10"/>
  </w:num>
  <w:num w:numId="12" w16cid:durableId="465665450">
    <w:abstractNumId w:val="3"/>
  </w:num>
  <w:num w:numId="13" w16cid:durableId="1210453374">
    <w:abstractNumId w:val="14"/>
  </w:num>
  <w:num w:numId="14" w16cid:durableId="644236493">
    <w:abstractNumId w:val="18"/>
  </w:num>
  <w:num w:numId="15" w16cid:durableId="1019968660">
    <w:abstractNumId w:val="13"/>
  </w:num>
  <w:num w:numId="16" w16cid:durableId="1379740116">
    <w:abstractNumId w:val="2"/>
  </w:num>
  <w:num w:numId="17" w16cid:durableId="2070958500">
    <w:abstractNumId w:val="4"/>
  </w:num>
  <w:num w:numId="18" w16cid:durableId="1980262388">
    <w:abstractNumId w:val="8"/>
  </w:num>
  <w:num w:numId="19" w16cid:durableId="1004747555">
    <w:abstractNumId w:val="21"/>
  </w:num>
  <w:num w:numId="20" w16cid:durableId="1857227942">
    <w:abstractNumId w:val="19"/>
  </w:num>
  <w:num w:numId="21" w16cid:durableId="289669739">
    <w:abstractNumId w:val="17"/>
  </w:num>
  <w:num w:numId="22" w16cid:durableId="1371417598">
    <w:abstractNumId w:val="6"/>
  </w:num>
  <w:num w:numId="23" w16cid:durableId="506143173">
    <w:abstractNumId w:val="1"/>
  </w:num>
  <w:num w:numId="24" w16cid:durableId="820542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DA"/>
    <w:rsid w:val="00001B24"/>
    <w:rsid w:val="000071DD"/>
    <w:rsid w:val="00017600"/>
    <w:rsid w:val="000267F3"/>
    <w:rsid w:val="0003694A"/>
    <w:rsid w:val="00041B8A"/>
    <w:rsid w:val="00045CBE"/>
    <w:rsid w:val="00045EB8"/>
    <w:rsid w:val="00050CDC"/>
    <w:rsid w:val="000565C4"/>
    <w:rsid w:val="00056DF9"/>
    <w:rsid w:val="0007382B"/>
    <w:rsid w:val="00075556"/>
    <w:rsid w:val="0008222D"/>
    <w:rsid w:val="00092E8C"/>
    <w:rsid w:val="00095501"/>
    <w:rsid w:val="000A0553"/>
    <w:rsid w:val="000A5431"/>
    <w:rsid w:val="000B4066"/>
    <w:rsid w:val="000C0282"/>
    <w:rsid w:val="000C2EEB"/>
    <w:rsid w:val="000D7C0E"/>
    <w:rsid w:val="000E2AEC"/>
    <w:rsid w:val="000E544C"/>
    <w:rsid w:val="000F47C6"/>
    <w:rsid w:val="001000B5"/>
    <w:rsid w:val="00113E2E"/>
    <w:rsid w:val="00135653"/>
    <w:rsid w:val="001360AC"/>
    <w:rsid w:val="0014253F"/>
    <w:rsid w:val="00144428"/>
    <w:rsid w:val="00147B11"/>
    <w:rsid w:val="001567A8"/>
    <w:rsid w:val="0017163B"/>
    <w:rsid w:val="00175902"/>
    <w:rsid w:val="00182FA1"/>
    <w:rsid w:val="00193258"/>
    <w:rsid w:val="001974EA"/>
    <w:rsid w:val="001B794D"/>
    <w:rsid w:val="001D24A0"/>
    <w:rsid w:val="001D7B63"/>
    <w:rsid w:val="001E2B48"/>
    <w:rsid w:val="001E70F0"/>
    <w:rsid w:val="0020616E"/>
    <w:rsid w:val="00210A20"/>
    <w:rsid w:val="00217CED"/>
    <w:rsid w:val="002249BD"/>
    <w:rsid w:val="00227CE2"/>
    <w:rsid w:val="002307C7"/>
    <w:rsid w:val="00241AB0"/>
    <w:rsid w:val="00252A14"/>
    <w:rsid w:val="00260530"/>
    <w:rsid w:val="00263BBC"/>
    <w:rsid w:val="00265061"/>
    <w:rsid w:val="00274606"/>
    <w:rsid w:val="00276B9C"/>
    <w:rsid w:val="00280BE5"/>
    <w:rsid w:val="00281987"/>
    <w:rsid w:val="002904FB"/>
    <w:rsid w:val="00291AB4"/>
    <w:rsid w:val="002B7ED8"/>
    <w:rsid w:val="002C123D"/>
    <w:rsid w:val="002C4F9A"/>
    <w:rsid w:val="002D270D"/>
    <w:rsid w:val="002D6F8D"/>
    <w:rsid w:val="002E6666"/>
    <w:rsid w:val="002F59C3"/>
    <w:rsid w:val="0030211C"/>
    <w:rsid w:val="00302BA3"/>
    <w:rsid w:val="003147ED"/>
    <w:rsid w:val="00316109"/>
    <w:rsid w:val="00323E47"/>
    <w:rsid w:val="003277AD"/>
    <w:rsid w:val="00331358"/>
    <w:rsid w:val="00333FD4"/>
    <w:rsid w:val="003576CB"/>
    <w:rsid w:val="0037376A"/>
    <w:rsid w:val="00397CC5"/>
    <w:rsid w:val="003A1FDF"/>
    <w:rsid w:val="003A399A"/>
    <w:rsid w:val="003A7E39"/>
    <w:rsid w:val="003C007E"/>
    <w:rsid w:val="003C0448"/>
    <w:rsid w:val="003D5032"/>
    <w:rsid w:val="003F43BA"/>
    <w:rsid w:val="00403D7C"/>
    <w:rsid w:val="00403FF5"/>
    <w:rsid w:val="00425E95"/>
    <w:rsid w:val="004265BD"/>
    <w:rsid w:val="00427B85"/>
    <w:rsid w:val="00433BB2"/>
    <w:rsid w:val="0045030A"/>
    <w:rsid w:val="00451286"/>
    <w:rsid w:val="00455E40"/>
    <w:rsid w:val="00472E3B"/>
    <w:rsid w:val="004812D5"/>
    <w:rsid w:val="004933F3"/>
    <w:rsid w:val="004A4890"/>
    <w:rsid w:val="004C3D07"/>
    <w:rsid w:val="004D043F"/>
    <w:rsid w:val="004D4955"/>
    <w:rsid w:val="004F51B6"/>
    <w:rsid w:val="00501117"/>
    <w:rsid w:val="00502C3C"/>
    <w:rsid w:val="00511B96"/>
    <w:rsid w:val="0052378D"/>
    <w:rsid w:val="00523CAD"/>
    <w:rsid w:val="00536661"/>
    <w:rsid w:val="00536927"/>
    <w:rsid w:val="0055440B"/>
    <w:rsid w:val="00557C34"/>
    <w:rsid w:val="00583677"/>
    <w:rsid w:val="00583875"/>
    <w:rsid w:val="00587378"/>
    <w:rsid w:val="00587D5F"/>
    <w:rsid w:val="0059125E"/>
    <w:rsid w:val="005D0589"/>
    <w:rsid w:val="005E5910"/>
    <w:rsid w:val="00601B18"/>
    <w:rsid w:val="006142DC"/>
    <w:rsid w:val="00622480"/>
    <w:rsid w:val="00630FE1"/>
    <w:rsid w:val="00640875"/>
    <w:rsid w:val="00643F6F"/>
    <w:rsid w:val="00647D58"/>
    <w:rsid w:val="00651287"/>
    <w:rsid w:val="00661A1C"/>
    <w:rsid w:val="006636F2"/>
    <w:rsid w:val="0067037F"/>
    <w:rsid w:val="006815AD"/>
    <w:rsid w:val="00684F73"/>
    <w:rsid w:val="00686C7E"/>
    <w:rsid w:val="006940D4"/>
    <w:rsid w:val="006A4437"/>
    <w:rsid w:val="006A50BA"/>
    <w:rsid w:val="006B7C3E"/>
    <w:rsid w:val="006C6379"/>
    <w:rsid w:val="006C7F37"/>
    <w:rsid w:val="006D1E34"/>
    <w:rsid w:val="006D63DA"/>
    <w:rsid w:val="006D7CB9"/>
    <w:rsid w:val="006E10B7"/>
    <w:rsid w:val="006E16D2"/>
    <w:rsid w:val="006E31AB"/>
    <w:rsid w:val="006F020D"/>
    <w:rsid w:val="006F7458"/>
    <w:rsid w:val="007003FE"/>
    <w:rsid w:val="007031F4"/>
    <w:rsid w:val="0071014F"/>
    <w:rsid w:val="00713105"/>
    <w:rsid w:val="00716488"/>
    <w:rsid w:val="00722F0D"/>
    <w:rsid w:val="00731313"/>
    <w:rsid w:val="00732E17"/>
    <w:rsid w:val="00733BF6"/>
    <w:rsid w:val="00733F50"/>
    <w:rsid w:val="00736F45"/>
    <w:rsid w:val="00740ABA"/>
    <w:rsid w:val="007635DA"/>
    <w:rsid w:val="00763FA9"/>
    <w:rsid w:val="0076642A"/>
    <w:rsid w:val="0077296D"/>
    <w:rsid w:val="00776BFA"/>
    <w:rsid w:val="007816F0"/>
    <w:rsid w:val="00795E43"/>
    <w:rsid w:val="00797839"/>
    <w:rsid w:val="007A57EC"/>
    <w:rsid w:val="007A697A"/>
    <w:rsid w:val="007A7AB3"/>
    <w:rsid w:val="007B0912"/>
    <w:rsid w:val="007B22D9"/>
    <w:rsid w:val="007B7095"/>
    <w:rsid w:val="007C2031"/>
    <w:rsid w:val="007E2120"/>
    <w:rsid w:val="007E5EB7"/>
    <w:rsid w:val="007F7E05"/>
    <w:rsid w:val="00810EAA"/>
    <w:rsid w:val="00812CFD"/>
    <w:rsid w:val="00833AFB"/>
    <w:rsid w:val="00842C9B"/>
    <w:rsid w:val="0084435E"/>
    <w:rsid w:val="00862198"/>
    <w:rsid w:val="00862553"/>
    <w:rsid w:val="00862AA7"/>
    <w:rsid w:val="0088577B"/>
    <w:rsid w:val="008A162E"/>
    <w:rsid w:val="008B0BBB"/>
    <w:rsid w:val="008B1B78"/>
    <w:rsid w:val="008B2660"/>
    <w:rsid w:val="008C68DF"/>
    <w:rsid w:val="008D3E84"/>
    <w:rsid w:val="008E0B46"/>
    <w:rsid w:val="008E2822"/>
    <w:rsid w:val="008E2F6B"/>
    <w:rsid w:val="008E3F6A"/>
    <w:rsid w:val="00900FCC"/>
    <w:rsid w:val="0090513C"/>
    <w:rsid w:val="0090635F"/>
    <w:rsid w:val="009159B4"/>
    <w:rsid w:val="00935437"/>
    <w:rsid w:val="00941FA7"/>
    <w:rsid w:val="00953CD2"/>
    <w:rsid w:val="00991B4D"/>
    <w:rsid w:val="00992294"/>
    <w:rsid w:val="00995165"/>
    <w:rsid w:val="0099534C"/>
    <w:rsid w:val="0099555C"/>
    <w:rsid w:val="009A253D"/>
    <w:rsid w:val="009C5368"/>
    <w:rsid w:val="009D1F74"/>
    <w:rsid w:val="009D378C"/>
    <w:rsid w:val="009D6BEB"/>
    <w:rsid w:val="009D7325"/>
    <w:rsid w:val="009E4A3F"/>
    <w:rsid w:val="00A019DA"/>
    <w:rsid w:val="00A035E0"/>
    <w:rsid w:val="00A03A90"/>
    <w:rsid w:val="00A13FCA"/>
    <w:rsid w:val="00A462DF"/>
    <w:rsid w:val="00A626AB"/>
    <w:rsid w:val="00A62DB5"/>
    <w:rsid w:val="00A63A2B"/>
    <w:rsid w:val="00A6661A"/>
    <w:rsid w:val="00A70867"/>
    <w:rsid w:val="00A73A88"/>
    <w:rsid w:val="00A8122B"/>
    <w:rsid w:val="00A9060E"/>
    <w:rsid w:val="00A92F79"/>
    <w:rsid w:val="00AA1DBC"/>
    <w:rsid w:val="00AC2517"/>
    <w:rsid w:val="00AE03E1"/>
    <w:rsid w:val="00AE0E98"/>
    <w:rsid w:val="00AF2D37"/>
    <w:rsid w:val="00AF35D4"/>
    <w:rsid w:val="00AF3DC8"/>
    <w:rsid w:val="00AF664C"/>
    <w:rsid w:val="00AF6E07"/>
    <w:rsid w:val="00AF7618"/>
    <w:rsid w:val="00B000AA"/>
    <w:rsid w:val="00B04B20"/>
    <w:rsid w:val="00B067E1"/>
    <w:rsid w:val="00B16F16"/>
    <w:rsid w:val="00B23B70"/>
    <w:rsid w:val="00B25B93"/>
    <w:rsid w:val="00B321B0"/>
    <w:rsid w:val="00B37323"/>
    <w:rsid w:val="00B5019C"/>
    <w:rsid w:val="00B5546D"/>
    <w:rsid w:val="00B6090A"/>
    <w:rsid w:val="00B60C5A"/>
    <w:rsid w:val="00B71298"/>
    <w:rsid w:val="00B80137"/>
    <w:rsid w:val="00B93873"/>
    <w:rsid w:val="00B94A7C"/>
    <w:rsid w:val="00B96868"/>
    <w:rsid w:val="00BA1754"/>
    <w:rsid w:val="00BA5FF4"/>
    <w:rsid w:val="00BC1595"/>
    <w:rsid w:val="00BC4AE7"/>
    <w:rsid w:val="00BC650B"/>
    <w:rsid w:val="00C03CC3"/>
    <w:rsid w:val="00C1720C"/>
    <w:rsid w:val="00C22A3C"/>
    <w:rsid w:val="00C302FA"/>
    <w:rsid w:val="00C33347"/>
    <w:rsid w:val="00C61C9E"/>
    <w:rsid w:val="00C635C9"/>
    <w:rsid w:val="00C67094"/>
    <w:rsid w:val="00C7033B"/>
    <w:rsid w:val="00C74D16"/>
    <w:rsid w:val="00C84A47"/>
    <w:rsid w:val="00C8696F"/>
    <w:rsid w:val="00C8718D"/>
    <w:rsid w:val="00C92C59"/>
    <w:rsid w:val="00C979B8"/>
    <w:rsid w:val="00CA2857"/>
    <w:rsid w:val="00CA6CB3"/>
    <w:rsid w:val="00CB6D0F"/>
    <w:rsid w:val="00CC0ED5"/>
    <w:rsid w:val="00CD2B30"/>
    <w:rsid w:val="00CD5BBD"/>
    <w:rsid w:val="00CF6C6E"/>
    <w:rsid w:val="00D032FC"/>
    <w:rsid w:val="00D039F0"/>
    <w:rsid w:val="00D10079"/>
    <w:rsid w:val="00D14FE8"/>
    <w:rsid w:val="00D266E5"/>
    <w:rsid w:val="00D33934"/>
    <w:rsid w:val="00D400CE"/>
    <w:rsid w:val="00D47A85"/>
    <w:rsid w:val="00D50BBD"/>
    <w:rsid w:val="00D57D2D"/>
    <w:rsid w:val="00D604C3"/>
    <w:rsid w:val="00D64906"/>
    <w:rsid w:val="00D714F9"/>
    <w:rsid w:val="00D74FAC"/>
    <w:rsid w:val="00D81D32"/>
    <w:rsid w:val="00DA0571"/>
    <w:rsid w:val="00DA1A5F"/>
    <w:rsid w:val="00DA3504"/>
    <w:rsid w:val="00DB104D"/>
    <w:rsid w:val="00DB142D"/>
    <w:rsid w:val="00DB244B"/>
    <w:rsid w:val="00DC028C"/>
    <w:rsid w:val="00DD014B"/>
    <w:rsid w:val="00DD2B61"/>
    <w:rsid w:val="00DD7206"/>
    <w:rsid w:val="00DE565D"/>
    <w:rsid w:val="00DF10FB"/>
    <w:rsid w:val="00DF11D9"/>
    <w:rsid w:val="00E015B7"/>
    <w:rsid w:val="00E01DFC"/>
    <w:rsid w:val="00E12AAF"/>
    <w:rsid w:val="00E15497"/>
    <w:rsid w:val="00E17C03"/>
    <w:rsid w:val="00E201A8"/>
    <w:rsid w:val="00E204A3"/>
    <w:rsid w:val="00E2673A"/>
    <w:rsid w:val="00E268B5"/>
    <w:rsid w:val="00E30E39"/>
    <w:rsid w:val="00E40A94"/>
    <w:rsid w:val="00E437FF"/>
    <w:rsid w:val="00E454F2"/>
    <w:rsid w:val="00E54A06"/>
    <w:rsid w:val="00E637B6"/>
    <w:rsid w:val="00E676B0"/>
    <w:rsid w:val="00E7297F"/>
    <w:rsid w:val="00E90905"/>
    <w:rsid w:val="00E90C89"/>
    <w:rsid w:val="00E93986"/>
    <w:rsid w:val="00E93FE5"/>
    <w:rsid w:val="00EB3653"/>
    <w:rsid w:val="00EB3B67"/>
    <w:rsid w:val="00EB3DE0"/>
    <w:rsid w:val="00EB602F"/>
    <w:rsid w:val="00EC5653"/>
    <w:rsid w:val="00EC5B18"/>
    <w:rsid w:val="00ED1CEF"/>
    <w:rsid w:val="00EE3A52"/>
    <w:rsid w:val="00F12DFE"/>
    <w:rsid w:val="00F1311D"/>
    <w:rsid w:val="00F16720"/>
    <w:rsid w:val="00F17B54"/>
    <w:rsid w:val="00F259BE"/>
    <w:rsid w:val="00F31D48"/>
    <w:rsid w:val="00F704D8"/>
    <w:rsid w:val="00F716B8"/>
    <w:rsid w:val="00F748BB"/>
    <w:rsid w:val="00F74ED1"/>
    <w:rsid w:val="00F7706D"/>
    <w:rsid w:val="00F802E2"/>
    <w:rsid w:val="00F83148"/>
    <w:rsid w:val="00FA5345"/>
    <w:rsid w:val="00FB4BFE"/>
    <w:rsid w:val="00FB7B30"/>
    <w:rsid w:val="00FE04DC"/>
    <w:rsid w:val="00FE0B86"/>
    <w:rsid w:val="00FE24F8"/>
    <w:rsid w:val="00FF4D61"/>
    <w:rsid w:val="01DD7B6A"/>
    <w:rsid w:val="046EA122"/>
    <w:rsid w:val="05CF9DF9"/>
    <w:rsid w:val="0668CE70"/>
    <w:rsid w:val="093BC040"/>
    <w:rsid w:val="1156189F"/>
    <w:rsid w:val="179EC5FC"/>
    <w:rsid w:val="1A12DB76"/>
    <w:rsid w:val="1A18512F"/>
    <w:rsid w:val="1BAB3B04"/>
    <w:rsid w:val="2DB81BBA"/>
    <w:rsid w:val="348516E8"/>
    <w:rsid w:val="3558C112"/>
    <w:rsid w:val="36F49173"/>
    <w:rsid w:val="3E22E62D"/>
    <w:rsid w:val="3EFF4D43"/>
    <w:rsid w:val="4538A8EE"/>
    <w:rsid w:val="4669D386"/>
    <w:rsid w:val="46ACC58E"/>
    <w:rsid w:val="50678128"/>
    <w:rsid w:val="55582054"/>
    <w:rsid w:val="5A174C18"/>
    <w:rsid w:val="5D32C465"/>
    <w:rsid w:val="5ED9ABBA"/>
    <w:rsid w:val="67DF8FF0"/>
    <w:rsid w:val="7249772D"/>
    <w:rsid w:val="78A3CD71"/>
    <w:rsid w:val="79654E0E"/>
    <w:rsid w:val="7A614E95"/>
    <w:rsid w:val="7BFD1EF6"/>
    <w:rsid w:val="7D98E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0601"/>
  <w15:chartTrackingRefBased/>
  <w15:docId w15:val="{D6C1947E-CAF4-413F-BE8E-F1FCD3A0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9"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9DA"/>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9"/>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9"/>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character" w:styleId="FootnoteReference">
    <w:name w:val="footnote reference"/>
    <w:basedOn w:val="DefaultParagraphFont"/>
    <w:uiPriority w:val="99"/>
    <w:unhideWhenUsed/>
    <w:qFormat/>
    <w:rsid w:val="00A019DA"/>
  </w:style>
  <w:style w:type="paragraph" w:styleId="FootnoteText">
    <w:name w:val="footnote text"/>
    <w:aliases w:val="Char, Char"/>
    <w:basedOn w:val="Normal"/>
    <w:link w:val="FootnoteTextChar"/>
    <w:uiPriority w:val="99"/>
    <w:unhideWhenUsed/>
    <w:rsid w:val="00A019DA"/>
    <w:pPr>
      <w:spacing w:before="100" w:beforeAutospacing="1" w:after="100" w:afterAutospacing="1"/>
    </w:pPr>
    <w:rPr>
      <w:rFonts w:ascii="Times New Roman" w:eastAsia="Times New Roman" w:hAnsi="Times New Roman"/>
      <w:sz w:val="24"/>
      <w:szCs w:val="24"/>
      <w:lang w:eastAsia="en-AU"/>
    </w:rPr>
  </w:style>
  <w:style w:type="character" w:customStyle="1" w:styleId="FootnoteTextChar">
    <w:name w:val="Footnote Text Char"/>
    <w:aliases w:val="Char Char, Char Char"/>
    <w:link w:val="FootnoteText"/>
    <w:uiPriority w:val="99"/>
    <w:rsid w:val="00A019DA"/>
    <w:rPr>
      <w:rFonts w:ascii="Times New Roman" w:eastAsia="Times New Roman" w:hAnsi="Times New Roman" w:cs="Times New Roman"/>
      <w:sz w:val="24"/>
      <w:szCs w:val="24"/>
      <w:lang w:eastAsia="en-AU"/>
    </w:rPr>
  </w:style>
  <w:style w:type="paragraph" w:styleId="ListParagraph">
    <w:name w:val="List Paragraph"/>
    <w:basedOn w:val="Normal"/>
    <w:uiPriority w:val="17"/>
    <w:qFormat/>
    <w:rsid w:val="00A019DA"/>
    <w:pPr>
      <w:ind w:left="720"/>
    </w:pPr>
  </w:style>
  <w:style w:type="paragraph" w:styleId="Footer">
    <w:name w:val="footer"/>
    <w:basedOn w:val="Normal"/>
    <w:link w:val="FooterChar"/>
    <w:uiPriority w:val="99"/>
    <w:unhideWhenUsed/>
    <w:rsid w:val="00A019DA"/>
    <w:pPr>
      <w:tabs>
        <w:tab w:val="center" w:pos="4513"/>
        <w:tab w:val="right" w:pos="9026"/>
      </w:tabs>
    </w:pPr>
  </w:style>
  <w:style w:type="character" w:customStyle="1" w:styleId="FooterChar">
    <w:name w:val="Footer Char"/>
    <w:link w:val="Footer"/>
    <w:uiPriority w:val="99"/>
    <w:rsid w:val="00A019DA"/>
    <w:rPr>
      <w:rFonts w:ascii="Trebuchet MS" w:eastAsia="Calibri" w:hAnsi="Trebuchet MS" w:cs="Times New Roman"/>
    </w:rPr>
  </w:style>
  <w:style w:type="paragraph" w:customStyle="1" w:styleId="Heading">
    <w:name w:val="Heading"/>
    <w:basedOn w:val="Normal"/>
    <w:rsid w:val="00A92F79"/>
    <w:pPr>
      <w:keepNext/>
      <w:spacing w:before="240" w:after="60"/>
      <w:outlineLvl w:val="0"/>
    </w:pPr>
    <w:rPr>
      <w:rFonts w:ascii="Times New Roman" w:eastAsia="Times New Roman" w:hAnsi="Times New Roman" w:cs="Arial"/>
      <w:b/>
      <w:kern w:val="32"/>
      <w:sz w:val="26"/>
      <w:szCs w:val="32"/>
    </w:rPr>
  </w:style>
  <w:style w:type="character" w:styleId="CommentReference">
    <w:name w:val="annotation reference"/>
    <w:uiPriority w:val="99"/>
    <w:semiHidden/>
    <w:unhideWhenUsed/>
    <w:rsid w:val="00B60C5A"/>
    <w:rPr>
      <w:sz w:val="16"/>
      <w:szCs w:val="16"/>
    </w:rPr>
  </w:style>
  <w:style w:type="paragraph" w:styleId="CommentText">
    <w:name w:val="annotation text"/>
    <w:basedOn w:val="Normal"/>
    <w:link w:val="CommentTextChar"/>
    <w:uiPriority w:val="99"/>
    <w:unhideWhenUsed/>
    <w:rsid w:val="00B60C5A"/>
    <w:rPr>
      <w:sz w:val="20"/>
      <w:szCs w:val="20"/>
    </w:rPr>
  </w:style>
  <w:style w:type="character" w:customStyle="1" w:styleId="CommentTextChar">
    <w:name w:val="Comment Text Char"/>
    <w:link w:val="CommentText"/>
    <w:uiPriority w:val="99"/>
    <w:rsid w:val="00B60C5A"/>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B60C5A"/>
    <w:rPr>
      <w:b/>
      <w:bCs/>
    </w:rPr>
  </w:style>
  <w:style w:type="character" w:customStyle="1" w:styleId="CommentSubjectChar">
    <w:name w:val="Comment Subject Char"/>
    <w:link w:val="CommentSubject"/>
    <w:uiPriority w:val="99"/>
    <w:semiHidden/>
    <w:rsid w:val="00B60C5A"/>
    <w:rPr>
      <w:rFonts w:ascii="Trebuchet MS" w:hAnsi="Trebuchet MS"/>
      <w:b/>
      <w:bCs/>
      <w:lang w:eastAsia="en-US"/>
    </w:rPr>
  </w:style>
  <w:style w:type="paragraph" w:styleId="Header">
    <w:name w:val="header"/>
    <w:basedOn w:val="Normal"/>
    <w:link w:val="HeaderChar"/>
    <w:uiPriority w:val="99"/>
    <w:unhideWhenUsed/>
    <w:rsid w:val="00740ABA"/>
    <w:pPr>
      <w:tabs>
        <w:tab w:val="center" w:pos="4513"/>
        <w:tab w:val="right" w:pos="9026"/>
      </w:tabs>
    </w:pPr>
  </w:style>
  <w:style w:type="character" w:customStyle="1" w:styleId="HeaderChar">
    <w:name w:val="Header Char"/>
    <w:link w:val="Header"/>
    <w:uiPriority w:val="99"/>
    <w:rsid w:val="00740ABA"/>
    <w:rPr>
      <w:rFonts w:ascii="Trebuchet MS" w:hAnsi="Trebuchet MS"/>
      <w:sz w:val="22"/>
      <w:szCs w:val="22"/>
      <w:lang w:eastAsia="en-US"/>
    </w:rPr>
  </w:style>
  <w:style w:type="paragraph" w:customStyle="1" w:styleId="apranormal">
    <w:name w:val="apranormal"/>
    <w:basedOn w:val="Normal"/>
    <w:rsid w:val="00C33347"/>
    <w:pPr>
      <w:spacing w:before="100" w:beforeAutospacing="1" w:after="100" w:afterAutospacing="1"/>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E676B0"/>
    <w:rPr>
      <w:sz w:val="20"/>
      <w:szCs w:val="20"/>
    </w:rPr>
  </w:style>
  <w:style w:type="character" w:customStyle="1" w:styleId="EndnoteTextChar">
    <w:name w:val="Endnote Text Char"/>
    <w:link w:val="EndnoteText"/>
    <w:uiPriority w:val="99"/>
    <w:semiHidden/>
    <w:rsid w:val="00E676B0"/>
    <w:rPr>
      <w:rFonts w:ascii="Trebuchet MS" w:hAnsi="Trebuchet MS"/>
      <w:lang w:eastAsia="en-US"/>
    </w:rPr>
  </w:style>
  <w:style w:type="character" w:styleId="EndnoteReference">
    <w:name w:val="endnote reference"/>
    <w:uiPriority w:val="99"/>
    <w:semiHidden/>
    <w:unhideWhenUsed/>
    <w:rsid w:val="00E676B0"/>
    <w:rPr>
      <w:vertAlign w:val="superscript"/>
    </w:rPr>
  </w:style>
  <w:style w:type="character" w:styleId="Hyperlink">
    <w:name w:val="Hyperlink"/>
    <w:uiPriority w:val="99"/>
    <w:rsid w:val="00E676B0"/>
    <w:rPr>
      <w:rFonts w:ascii="DIN OT Medium" w:hAnsi="DIN OT Medium"/>
      <w:color w:val="00B0F0"/>
      <w:sz w:val="22"/>
      <w:u w:val="single"/>
    </w:rPr>
  </w:style>
  <w:style w:type="paragraph" w:customStyle="1" w:styleId="APRANORMAL0">
    <w:name w:val="APRA NORMAL"/>
    <w:basedOn w:val="Normal"/>
    <w:link w:val="APRANORMALChar"/>
    <w:qFormat/>
    <w:rsid w:val="00A462DF"/>
    <w:pPr>
      <w:spacing w:after="240"/>
    </w:pPr>
    <w:rPr>
      <w:rFonts w:ascii="DIN OT Light" w:eastAsia="Trebuchet MS" w:hAnsi="DIN OT Light"/>
      <w:lang w:val="en-GB"/>
    </w:rPr>
  </w:style>
  <w:style w:type="character" w:customStyle="1" w:styleId="APRANORMALChar">
    <w:name w:val="APRA NORMAL Char"/>
    <w:link w:val="APRANORMAL0"/>
    <w:rsid w:val="00A462DF"/>
    <w:rPr>
      <w:rFonts w:ascii="DIN OT Light" w:eastAsia="Trebuchet MS" w:hAnsi="DIN OT Light"/>
      <w:sz w:val="22"/>
      <w:szCs w:val="22"/>
      <w:lang w:val="en-GB" w:eastAsia="en-US"/>
    </w:rPr>
  </w:style>
  <w:style w:type="paragraph" w:customStyle="1" w:styleId="Default">
    <w:name w:val="Default"/>
    <w:rsid w:val="00A6661A"/>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CD2B30"/>
    <w:rPr>
      <w:rFonts w:ascii="Trebuchet MS" w:hAnsi="Trebuchet MS"/>
      <w:sz w:val="22"/>
      <w:szCs w:val="22"/>
      <w:lang w:eastAsia="en-US"/>
    </w:rPr>
  </w:style>
  <w:style w:type="character" w:styleId="Mention">
    <w:name w:val="Mention"/>
    <w:basedOn w:val="DefaultParagraphFont"/>
    <w:uiPriority w:val="99"/>
    <w:unhideWhenUsed/>
    <w:rsid w:val="00E437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5661">
      <w:bodyDiv w:val="1"/>
      <w:marLeft w:val="0"/>
      <w:marRight w:val="0"/>
      <w:marTop w:val="0"/>
      <w:marBottom w:val="0"/>
      <w:divBdr>
        <w:top w:val="none" w:sz="0" w:space="0" w:color="auto"/>
        <w:left w:val="none" w:sz="0" w:space="0" w:color="auto"/>
        <w:bottom w:val="none" w:sz="0" w:space="0" w:color="auto"/>
        <w:right w:val="none" w:sz="0" w:space="0" w:color="auto"/>
      </w:divBdr>
      <w:divsChild>
        <w:div w:id="1086145326">
          <w:marLeft w:val="0"/>
          <w:marRight w:val="0"/>
          <w:marTop w:val="0"/>
          <w:marBottom w:val="0"/>
          <w:divBdr>
            <w:top w:val="none" w:sz="0" w:space="0" w:color="auto"/>
            <w:left w:val="none" w:sz="0" w:space="0" w:color="auto"/>
            <w:bottom w:val="none" w:sz="0" w:space="0" w:color="auto"/>
            <w:right w:val="none" w:sz="0" w:space="0" w:color="auto"/>
          </w:divBdr>
          <w:divsChild>
            <w:div w:id="1565801331">
              <w:marLeft w:val="0"/>
              <w:marRight w:val="0"/>
              <w:marTop w:val="0"/>
              <w:marBottom w:val="0"/>
              <w:divBdr>
                <w:top w:val="none" w:sz="0" w:space="0" w:color="auto"/>
                <w:left w:val="none" w:sz="0" w:space="0" w:color="auto"/>
                <w:bottom w:val="none" w:sz="0" w:space="0" w:color="auto"/>
                <w:right w:val="none" w:sz="0" w:space="0" w:color="auto"/>
              </w:divBdr>
              <w:divsChild>
                <w:div w:id="1584952691">
                  <w:marLeft w:val="0"/>
                  <w:marRight w:val="0"/>
                  <w:marTop w:val="0"/>
                  <w:marBottom w:val="0"/>
                  <w:divBdr>
                    <w:top w:val="none" w:sz="0" w:space="0" w:color="auto"/>
                    <w:left w:val="none" w:sz="0" w:space="0" w:color="auto"/>
                    <w:bottom w:val="none" w:sz="0" w:space="0" w:color="auto"/>
                    <w:right w:val="none" w:sz="0" w:space="0" w:color="auto"/>
                  </w:divBdr>
                  <w:divsChild>
                    <w:div w:id="386956856">
                      <w:marLeft w:val="0"/>
                      <w:marRight w:val="0"/>
                      <w:marTop w:val="0"/>
                      <w:marBottom w:val="0"/>
                      <w:divBdr>
                        <w:top w:val="none" w:sz="0" w:space="0" w:color="auto"/>
                        <w:left w:val="none" w:sz="0" w:space="0" w:color="auto"/>
                        <w:bottom w:val="none" w:sz="0" w:space="0" w:color="auto"/>
                        <w:right w:val="none" w:sz="0" w:space="0" w:color="auto"/>
                      </w:divBdr>
                      <w:divsChild>
                        <w:div w:id="151531814">
                          <w:marLeft w:val="0"/>
                          <w:marRight w:val="0"/>
                          <w:marTop w:val="0"/>
                          <w:marBottom w:val="0"/>
                          <w:divBdr>
                            <w:top w:val="none" w:sz="0" w:space="0" w:color="auto"/>
                            <w:left w:val="none" w:sz="0" w:space="0" w:color="auto"/>
                            <w:bottom w:val="none" w:sz="0" w:space="0" w:color="auto"/>
                            <w:right w:val="none" w:sz="0" w:space="0" w:color="auto"/>
                          </w:divBdr>
                          <w:divsChild>
                            <w:div w:id="161892554">
                              <w:marLeft w:val="0"/>
                              <w:marRight w:val="0"/>
                              <w:marTop w:val="0"/>
                              <w:marBottom w:val="0"/>
                              <w:divBdr>
                                <w:top w:val="none" w:sz="0" w:space="0" w:color="auto"/>
                                <w:left w:val="none" w:sz="0" w:space="0" w:color="auto"/>
                                <w:bottom w:val="none" w:sz="0" w:space="0" w:color="auto"/>
                                <w:right w:val="none" w:sz="0" w:space="0" w:color="auto"/>
                              </w:divBdr>
                              <w:divsChild>
                                <w:div w:id="2123304708">
                                  <w:marLeft w:val="0"/>
                                  <w:marRight w:val="0"/>
                                  <w:marTop w:val="0"/>
                                  <w:marBottom w:val="0"/>
                                  <w:divBdr>
                                    <w:top w:val="none" w:sz="0" w:space="0" w:color="auto"/>
                                    <w:left w:val="none" w:sz="0" w:space="0" w:color="auto"/>
                                    <w:bottom w:val="none" w:sz="0" w:space="0" w:color="auto"/>
                                    <w:right w:val="none" w:sz="0" w:space="0" w:color="auto"/>
                                  </w:divBdr>
                                  <w:divsChild>
                                    <w:div w:id="669525742">
                                      <w:marLeft w:val="0"/>
                                      <w:marRight w:val="0"/>
                                      <w:marTop w:val="0"/>
                                      <w:marBottom w:val="0"/>
                                      <w:divBdr>
                                        <w:top w:val="none" w:sz="0" w:space="0" w:color="auto"/>
                                        <w:left w:val="none" w:sz="0" w:space="0" w:color="auto"/>
                                        <w:bottom w:val="none" w:sz="0" w:space="0" w:color="auto"/>
                                        <w:right w:val="none" w:sz="0" w:space="0" w:color="auto"/>
                                      </w:divBdr>
                                      <w:divsChild>
                                        <w:div w:id="1964654597">
                                          <w:marLeft w:val="0"/>
                                          <w:marRight w:val="0"/>
                                          <w:marTop w:val="0"/>
                                          <w:marBottom w:val="0"/>
                                          <w:divBdr>
                                            <w:top w:val="none" w:sz="0" w:space="0" w:color="auto"/>
                                            <w:left w:val="none" w:sz="0" w:space="0" w:color="auto"/>
                                            <w:bottom w:val="none" w:sz="0" w:space="0" w:color="auto"/>
                                            <w:right w:val="none" w:sz="0" w:space="0" w:color="auto"/>
                                          </w:divBdr>
                                          <w:divsChild>
                                            <w:div w:id="896356134">
                                              <w:marLeft w:val="0"/>
                                              <w:marRight w:val="0"/>
                                              <w:marTop w:val="0"/>
                                              <w:marBottom w:val="0"/>
                                              <w:divBdr>
                                                <w:top w:val="none" w:sz="0" w:space="0" w:color="auto"/>
                                                <w:left w:val="none" w:sz="0" w:space="0" w:color="auto"/>
                                                <w:bottom w:val="none" w:sz="0" w:space="0" w:color="auto"/>
                                                <w:right w:val="none" w:sz="0" w:space="0" w:color="auto"/>
                                              </w:divBdr>
                                              <w:divsChild>
                                                <w:div w:id="1154222462">
                                                  <w:marLeft w:val="0"/>
                                                  <w:marRight w:val="0"/>
                                                  <w:marTop w:val="0"/>
                                                  <w:marBottom w:val="0"/>
                                                  <w:divBdr>
                                                    <w:top w:val="none" w:sz="0" w:space="0" w:color="auto"/>
                                                    <w:left w:val="none" w:sz="0" w:space="0" w:color="auto"/>
                                                    <w:bottom w:val="none" w:sz="0" w:space="0" w:color="auto"/>
                                                    <w:right w:val="none" w:sz="0" w:space="0" w:color="auto"/>
                                                  </w:divBdr>
                                                  <w:divsChild>
                                                    <w:div w:id="892040555">
                                                      <w:marLeft w:val="0"/>
                                                      <w:marRight w:val="0"/>
                                                      <w:marTop w:val="0"/>
                                                      <w:marBottom w:val="0"/>
                                                      <w:divBdr>
                                                        <w:top w:val="none" w:sz="0" w:space="0" w:color="auto"/>
                                                        <w:left w:val="none" w:sz="0" w:space="0" w:color="auto"/>
                                                        <w:bottom w:val="none" w:sz="0" w:space="0" w:color="auto"/>
                                                        <w:right w:val="none" w:sz="0" w:space="0" w:color="auto"/>
                                                      </w:divBdr>
                                                      <w:divsChild>
                                                        <w:div w:id="8738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740479">
      <w:bodyDiv w:val="1"/>
      <w:marLeft w:val="0"/>
      <w:marRight w:val="0"/>
      <w:marTop w:val="0"/>
      <w:marBottom w:val="0"/>
      <w:divBdr>
        <w:top w:val="none" w:sz="0" w:space="0" w:color="auto"/>
        <w:left w:val="none" w:sz="0" w:space="0" w:color="auto"/>
        <w:bottom w:val="none" w:sz="0" w:space="0" w:color="auto"/>
        <w:right w:val="none" w:sz="0" w:space="0" w:color="auto"/>
      </w:divBdr>
      <w:divsChild>
        <w:div w:id="92938712">
          <w:marLeft w:val="0"/>
          <w:marRight w:val="0"/>
          <w:marTop w:val="0"/>
          <w:marBottom w:val="0"/>
          <w:divBdr>
            <w:top w:val="none" w:sz="0" w:space="0" w:color="auto"/>
            <w:left w:val="none" w:sz="0" w:space="0" w:color="auto"/>
            <w:bottom w:val="none" w:sz="0" w:space="0" w:color="auto"/>
            <w:right w:val="none" w:sz="0" w:space="0" w:color="auto"/>
          </w:divBdr>
          <w:divsChild>
            <w:div w:id="518811109">
              <w:marLeft w:val="0"/>
              <w:marRight w:val="0"/>
              <w:marTop w:val="0"/>
              <w:marBottom w:val="0"/>
              <w:divBdr>
                <w:top w:val="none" w:sz="0" w:space="0" w:color="auto"/>
                <w:left w:val="none" w:sz="0" w:space="0" w:color="auto"/>
                <w:bottom w:val="none" w:sz="0" w:space="0" w:color="auto"/>
                <w:right w:val="none" w:sz="0" w:space="0" w:color="auto"/>
              </w:divBdr>
              <w:divsChild>
                <w:div w:id="620042045">
                  <w:marLeft w:val="0"/>
                  <w:marRight w:val="0"/>
                  <w:marTop w:val="0"/>
                  <w:marBottom w:val="0"/>
                  <w:divBdr>
                    <w:top w:val="none" w:sz="0" w:space="0" w:color="auto"/>
                    <w:left w:val="none" w:sz="0" w:space="0" w:color="auto"/>
                    <w:bottom w:val="none" w:sz="0" w:space="0" w:color="auto"/>
                    <w:right w:val="none" w:sz="0" w:space="0" w:color="auto"/>
                  </w:divBdr>
                  <w:divsChild>
                    <w:div w:id="318537424">
                      <w:marLeft w:val="0"/>
                      <w:marRight w:val="0"/>
                      <w:marTop w:val="0"/>
                      <w:marBottom w:val="0"/>
                      <w:divBdr>
                        <w:top w:val="none" w:sz="0" w:space="0" w:color="auto"/>
                        <w:left w:val="none" w:sz="0" w:space="0" w:color="auto"/>
                        <w:bottom w:val="none" w:sz="0" w:space="0" w:color="auto"/>
                        <w:right w:val="none" w:sz="0" w:space="0" w:color="auto"/>
                      </w:divBdr>
                      <w:divsChild>
                        <w:div w:id="176234929">
                          <w:marLeft w:val="0"/>
                          <w:marRight w:val="0"/>
                          <w:marTop w:val="0"/>
                          <w:marBottom w:val="0"/>
                          <w:divBdr>
                            <w:top w:val="none" w:sz="0" w:space="0" w:color="auto"/>
                            <w:left w:val="none" w:sz="0" w:space="0" w:color="auto"/>
                            <w:bottom w:val="none" w:sz="0" w:space="0" w:color="auto"/>
                            <w:right w:val="none" w:sz="0" w:space="0" w:color="auto"/>
                          </w:divBdr>
                          <w:divsChild>
                            <w:div w:id="1134446851">
                              <w:marLeft w:val="0"/>
                              <w:marRight w:val="0"/>
                              <w:marTop w:val="0"/>
                              <w:marBottom w:val="0"/>
                              <w:divBdr>
                                <w:top w:val="none" w:sz="0" w:space="0" w:color="auto"/>
                                <w:left w:val="none" w:sz="0" w:space="0" w:color="auto"/>
                                <w:bottom w:val="none" w:sz="0" w:space="0" w:color="auto"/>
                                <w:right w:val="none" w:sz="0" w:space="0" w:color="auto"/>
                              </w:divBdr>
                              <w:divsChild>
                                <w:div w:id="303707608">
                                  <w:marLeft w:val="0"/>
                                  <w:marRight w:val="0"/>
                                  <w:marTop w:val="0"/>
                                  <w:marBottom w:val="0"/>
                                  <w:divBdr>
                                    <w:top w:val="none" w:sz="0" w:space="0" w:color="auto"/>
                                    <w:left w:val="none" w:sz="0" w:space="0" w:color="auto"/>
                                    <w:bottom w:val="none" w:sz="0" w:space="0" w:color="auto"/>
                                    <w:right w:val="none" w:sz="0" w:space="0" w:color="auto"/>
                                  </w:divBdr>
                                  <w:divsChild>
                                    <w:div w:id="1152409934">
                                      <w:marLeft w:val="0"/>
                                      <w:marRight w:val="0"/>
                                      <w:marTop w:val="0"/>
                                      <w:marBottom w:val="0"/>
                                      <w:divBdr>
                                        <w:top w:val="none" w:sz="0" w:space="0" w:color="auto"/>
                                        <w:left w:val="none" w:sz="0" w:space="0" w:color="auto"/>
                                        <w:bottom w:val="none" w:sz="0" w:space="0" w:color="auto"/>
                                        <w:right w:val="none" w:sz="0" w:space="0" w:color="auto"/>
                                      </w:divBdr>
                                      <w:divsChild>
                                        <w:div w:id="229000912">
                                          <w:marLeft w:val="0"/>
                                          <w:marRight w:val="0"/>
                                          <w:marTop w:val="0"/>
                                          <w:marBottom w:val="0"/>
                                          <w:divBdr>
                                            <w:top w:val="none" w:sz="0" w:space="0" w:color="auto"/>
                                            <w:left w:val="none" w:sz="0" w:space="0" w:color="auto"/>
                                            <w:bottom w:val="none" w:sz="0" w:space="0" w:color="auto"/>
                                            <w:right w:val="none" w:sz="0" w:space="0" w:color="auto"/>
                                          </w:divBdr>
                                          <w:divsChild>
                                            <w:div w:id="678504888">
                                              <w:marLeft w:val="0"/>
                                              <w:marRight w:val="0"/>
                                              <w:marTop w:val="0"/>
                                              <w:marBottom w:val="0"/>
                                              <w:divBdr>
                                                <w:top w:val="none" w:sz="0" w:space="0" w:color="auto"/>
                                                <w:left w:val="none" w:sz="0" w:space="0" w:color="auto"/>
                                                <w:bottom w:val="none" w:sz="0" w:space="0" w:color="auto"/>
                                                <w:right w:val="none" w:sz="0" w:space="0" w:color="auto"/>
                                              </w:divBdr>
                                              <w:divsChild>
                                                <w:div w:id="520900177">
                                                  <w:marLeft w:val="0"/>
                                                  <w:marRight w:val="0"/>
                                                  <w:marTop w:val="0"/>
                                                  <w:marBottom w:val="0"/>
                                                  <w:divBdr>
                                                    <w:top w:val="none" w:sz="0" w:space="0" w:color="auto"/>
                                                    <w:left w:val="none" w:sz="0" w:space="0" w:color="auto"/>
                                                    <w:bottom w:val="none" w:sz="0" w:space="0" w:color="auto"/>
                                                    <w:right w:val="none" w:sz="0" w:space="0" w:color="auto"/>
                                                  </w:divBdr>
                                                  <w:divsChild>
                                                    <w:div w:id="1131897006">
                                                      <w:marLeft w:val="0"/>
                                                      <w:marRight w:val="0"/>
                                                      <w:marTop w:val="0"/>
                                                      <w:marBottom w:val="0"/>
                                                      <w:divBdr>
                                                        <w:top w:val="none" w:sz="0" w:space="0" w:color="auto"/>
                                                        <w:left w:val="none" w:sz="0" w:space="0" w:color="auto"/>
                                                        <w:bottom w:val="none" w:sz="0" w:space="0" w:color="auto"/>
                                                        <w:right w:val="none" w:sz="0" w:space="0" w:color="auto"/>
                                                      </w:divBdr>
                                                      <w:divsChild>
                                                        <w:div w:id="18699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48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asb.gov.au/pronouncements/accounting-standard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asb.gov.au/standards-guidance/auasb-standards/auditin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Rebecca Trajkovski</DisplayName>
        <AccountId>438</AccountId>
        <AccountType/>
      </UserInfo>
      <UserInfo>
        <DisplayName>Eisha Farrukh</DisplayName>
        <AccountId>144</AccountId>
        <AccountType/>
      </UserInfo>
      <UserInfo>
        <DisplayName>Vicky Kim</DisplayName>
        <AccountId>332</AccountId>
        <AccountType/>
      </UserInfo>
      <UserInfo>
        <DisplayName>Emma Thompson</DisplayName>
        <AccountId>168</AccountId>
        <AccountType/>
      </UserInfo>
      <UserInfo>
        <DisplayName>Kara Hooper</DisplayName>
        <AccountId>35</AccountId>
        <AccountType/>
      </UserInfo>
      <UserInfo>
        <DisplayName>Toni Michalis</DisplayName>
        <AccountId>342</AccountId>
        <AccountType/>
      </UserInfo>
      <UserInfo>
        <DisplayName>Gideon Holland</DisplayName>
        <AccountId>23</AccountId>
        <AccountType/>
      </UserInfo>
      <UserInfo>
        <DisplayName>Vasili Pirozek</DisplayName>
        <AccountId>211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6" ma:contentTypeDescription="Create a new document." ma:contentTypeScope="" ma:versionID="b459cff694b6e48f43ce596885955411">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af7d1e1e0ae66791b8b46845a97f5ff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33;#Explanatory statement|b22f2e2f-3f73-411b-9a7c-34264d26fa25;#185;#Analysis on specific operational risks|616caadd-4803-499f-ae93-4950ad67a3ce;#14;#PHI|10657f9d-7e9a-e511-8d41-005056b54f10;#15;#Private Health Insurance (Prudential Supervision) Act 2015|01905406-79f0-428d-bcfd-886429f0c7a1;#1;#Draft|0e1556d2-3fe8-443a-ada7-3620563b46b3;#186;#Operational risk management framework|7c91d256-6852-4256-8552-4352700b7990;#154;#Prudential standard implementation|88b001fd-622d-45b4-9784-bf6a334327eb]]></LongProp>
</LongProperties>
</file>

<file path=customXml/itemProps1.xml><?xml version="1.0" encoding="utf-8"?>
<ds:datastoreItem xmlns:ds="http://schemas.openxmlformats.org/officeDocument/2006/customXml" ds:itemID="{19997CF3-C486-462A-8E0D-DE01D4C6F8E0}">
  <ds:schemaRefs>
    <ds:schemaRef ds:uri="79530295-9eea-494d-b82a-9ff74409eafc"/>
    <ds:schemaRef ds:uri="http://schemas.microsoft.com/office/2006/metadata/properties"/>
    <ds:schemaRef ds:uri="http://purl.org/dc/dcmitype/"/>
    <ds:schemaRef ds:uri="http://purl.org/dc/terms/"/>
    <ds:schemaRef ds:uri="http://schemas.microsoft.com/office/2006/documentManagement/types"/>
    <ds:schemaRef ds:uri="5664482d-1961-4d38-bfc2-b109b3418834"/>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D88B584-D83C-43DD-AAD1-44369943548A}">
  <ds:schemaRefs>
    <ds:schemaRef ds:uri="http://schemas.openxmlformats.org/officeDocument/2006/bibliography"/>
  </ds:schemaRefs>
</ds:datastoreItem>
</file>

<file path=customXml/itemProps3.xml><?xml version="1.0" encoding="utf-8"?>
<ds:datastoreItem xmlns:ds="http://schemas.openxmlformats.org/officeDocument/2006/customXml" ds:itemID="{9FA7527B-5CB4-4728-BBDB-1B4162A6F85F}">
  <ds:schemaRefs>
    <ds:schemaRef ds:uri="http://schemas.microsoft.com/sharepoint/v3/contenttype/forms"/>
  </ds:schemaRefs>
</ds:datastoreItem>
</file>

<file path=customXml/itemProps4.xml><?xml version="1.0" encoding="utf-8"?>
<ds:datastoreItem xmlns:ds="http://schemas.openxmlformats.org/officeDocument/2006/customXml" ds:itemID="{148C716B-23BD-42A7-9CEC-B209D1EEC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99396A-3C22-4D97-95FC-AA1D765040FC}">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12705</Characters>
  <Application>Microsoft Office Word</Application>
  <DocSecurity>0</DocSecurity>
  <Lines>249</Lines>
  <Paragraphs>97</Paragraphs>
  <ScaleCrop>false</ScaleCrop>
  <HeadingPairs>
    <vt:vector size="2" baseType="variant">
      <vt:variant>
        <vt:lpstr>Title</vt:lpstr>
      </vt:variant>
      <vt:variant>
        <vt:i4>1</vt:i4>
      </vt:variant>
    </vt:vector>
  </HeadingPairs>
  <TitlesOfParts>
    <vt:vector size="1" baseType="lpstr">
      <vt:lpstr>ES - Insurance Package July 2019</vt:lpstr>
    </vt:vector>
  </TitlesOfParts>
  <Company>APRA</Company>
  <LinksUpToDate>false</LinksUpToDate>
  <CharactersWithSpaces>14836</CharactersWithSpaces>
  <SharedDoc>false</SharedDoc>
  <HLinks>
    <vt:vector size="18" baseType="variant">
      <vt:variant>
        <vt:i4>2556013</vt:i4>
      </vt:variant>
      <vt:variant>
        <vt:i4>6</vt:i4>
      </vt:variant>
      <vt:variant>
        <vt:i4>0</vt:i4>
      </vt:variant>
      <vt:variant>
        <vt:i4>5</vt:i4>
      </vt:variant>
      <vt:variant>
        <vt:lpwstr>https://auasb.gov.au/standards-guidance/auasb-standards/auditing-standards/</vt:lpwstr>
      </vt:variant>
      <vt:variant>
        <vt:lpwstr/>
      </vt:variant>
      <vt:variant>
        <vt:i4>1966102</vt:i4>
      </vt:variant>
      <vt:variant>
        <vt:i4>3</vt:i4>
      </vt:variant>
      <vt:variant>
        <vt:i4>0</vt:i4>
      </vt:variant>
      <vt:variant>
        <vt:i4>5</vt:i4>
      </vt:variant>
      <vt:variant>
        <vt:lpwstr>https://www.aasb.gov.au/pronouncements/accounting-standards/</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Insurance Package July 2019</dc:title>
  <dc:subject/>
  <dc:creator>Fiona.Bowden</dc:creator>
  <cp:keywords>[SEC=OFFICIAL]</cp:keywords>
  <dc:description/>
  <cp:lastModifiedBy>Toni Michalis</cp:lastModifiedBy>
  <cp:revision>2</cp:revision>
  <cp:lastPrinted>2023-11-08T02:59:00Z</cp:lastPrinted>
  <dcterms:created xsi:type="dcterms:W3CDTF">2023-12-01T00:09:00Z</dcterms:created>
  <dcterms:modified xsi:type="dcterms:W3CDTF">2023-12-01T00:09:00Z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3BBB0966FF6849128F98E09B77575632</vt:lpwstr>
  </property>
  <property fmtid="{D5CDD505-2E9C-101B-9397-08002B2CF9AE}" pid="14" name="PM_OriginationTimeStamp">
    <vt:lpwstr>2023-10-25T23:08:18Z</vt:lpwstr>
  </property>
  <property fmtid="{D5CDD505-2E9C-101B-9397-08002B2CF9AE}" pid="15" name="PM_Hash_Version">
    <vt:lpwstr>2022.1</vt:lpwstr>
  </property>
  <property fmtid="{D5CDD505-2E9C-101B-9397-08002B2CF9AE}" pid="16" name="PM_SecurityClassification_Prev">
    <vt:lpwstr>OFFICIAL</vt:lpwstr>
  </property>
  <property fmtid="{D5CDD505-2E9C-101B-9397-08002B2CF9AE}" pid="17" name="PM_Qualifier_Prev">
    <vt:lpwstr/>
  </property>
  <property fmtid="{D5CDD505-2E9C-101B-9397-08002B2CF9AE}" pid="18" name="_dlc_DocId">
    <vt:lpwstr>WP5AJ56JFQTV-44125397-565</vt:lpwstr>
  </property>
  <property fmtid="{D5CDD505-2E9C-101B-9397-08002B2CF9AE}" pid="19" name="_dlc_DocIdItemGuid">
    <vt:lpwstr>025cea4a-e3e6-4403-8d3a-a5c0f8e65a07</vt:lpwstr>
  </property>
  <property fmtid="{D5CDD505-2E9C-101B-9397-08002B2CF9AE}" pid="20" name="_dlc_DocIdUrl">
    <vt:lpwstr>https://im/teams/POLICYINS/_layouts/15/DocIdRedir.aspx?ID=WP5AJ56JFQTV-44125397-565, WP5AJ56JFQTV-44125397-565</vt:lpwstr>
  </property>
  <property fmtid="{D5CDD505-2E9C-101B-9397-08002B2CF9AE}" pid="21" name="IsLocked">
    <vt:lpwstr>False</vt:lpwstr>
  </property>
  <property fmtid="{D5CDD505-2E9C-101B-9397-08002B2CF9AE}" pid="22" name="APRAExternalOrganisation">
    <vt:lpwstr/>
  </property>
  <property fmtid="{D5CDD505-2E9C-101B-9397-08002B2CF9AE}" pid="23" name="APRAIRTR">
    <vt:lpwstr/>
  </property>
  <property fmtid="{D5CDD505-2E9C-101B-9397-08002B2CF9AE}" pid="24" name="APRACategory">
    <vt:lpwstr/>
  </property>
  <property fmtid="{D5CDD505-2E9C-101B-9397-08002B2CF9AE}" pid="25" name="display_urn:schemas-microsoft-com:office:office#APRAOwner">
    <vt:lpwstr>Bowden, Fiona</vt:lpwstr>
  </property>
  <property fmtid="{D5CDD505-2E9C-101B-9397-08002B2CF9AE}" pid="26" name="APRAPeriod">
    <vt:lpwstr/>
  </property>
  <property fmtid="{D5CDD505-2E9C-101B-9397-08002B2CF9AE}" pid="27" name="APRADocumentType">
    <vt:lpwstr>234;#Explanatory statement|b22f2e2f-3f73-411b-9a7c-34264d26fa25</vt:lpwstr>
  </property>
  <property fmtid="{D5CDD505-2E9C-101B-9397-08002B2CF9AE}" pid="28" name="APRAStatus">
    <vt:lpwstr>19;#Final|84d6b2d0-8498-4d62-bf46-bab38babbe9e</vt:lpwstr>
  </property>
  <property fmtid="{D5CDD505-2E9C-101B-9397-08002B2CF9AE}" pid="29" name="APRAPRSG">
    <vt:lpwstr/>
  </property>
  <property fmtid="{D5CDD505-2E9C-101B-9397-08002B2CF9AE}" pid="30"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31" name="APRAActivity">
    <vt:lpwstr>10;#Registration|390476ce-d76d-4e8d-905f-28e32d2df127;#109;#Statutory instrument|fe68928c-5a9c-4caf-bc8c-6c18cedcb17f</vt:lpwstr>
  </property>
  <property fmtid="{D5CDD505-2E9C-101B-9397-08002B2CF9AE}" pid="32" name="APRAEntityAdviceSupport">
    <vt:lpwstr/>
  </property>
  <property fmtid="{D5CDD505-2E9C-101B-9397-08002B2CF9AE}" pid="33" name="APRAYear">
    <vt:lpwstr>171;#2018|337d548e-be9a-4363-bbb3-ec2b7c3daa90</vt:lpwstr>
  </property>
  <property fmtid="{D5CDD505-2E9C-101B-9397-08002B2CF9AE}" pid="34" name="APRAIndustry">
    <vt:lpwstr/>
  </property>
  <property fmtid="{D5CDD505-2E9C-101B-9397-08002B2CF9AE}" pid="35" name="APRALegislation">
    <vt:lpwstr/>
  </property>
  <property fmtid="{D5CDD505-2E9C-101B-9397-08002B2CF9AE}" pid="36" name="RecordPoint_WorkflowType">
    <vt:lpwstr>ActiveSubmitStub</vt:lpwstr>
  </property>
  <property fmtid="{D5CDD505-2E9C-101B-9397-08002B2CF9AE}" pid="37" name="RecordPoint_ActiveItemSiteId">
    <vt:lpwstr>{88691c01-5bbb-4215-adc0-66cb7065b0af}</vt:lpwstr>
  </property>
  <property fmtid="{D5CDD505-2E9C-101B-9397-08002B2CF9AE}" pid="38" name="RecordPoint_ActiveItemListId">
    <vt:lpwstr>{0e59e171-09d8-4401-800a-327154450cb3}</vt:lpwstr>
  </property>
  <property fmtid="{D5CDD505-2E9C-101B-9397-08002B2CF9AE}" pid="39" name="RecordPoint_ActiveItemUniqueId">
    <vt:lpwstr>{025cea4a-e3e6-4403-8d3a-a5c0f8e65a07}</vt:lpwstr>
  </property>
  <property fmtid="{D5CDD505-2E9C-101B-9397-08002B2CF9AE}" pid="40" name="RecordPoint_ActiveItemWebId">
    <vt:lpwstr>{75a71c27-8d66-4282-ae60-1bfc22a83be1}</vt:lpwstr>
  </property>
  <property fmtid="{D5CDD505-2E9C-101B-9397-08002B2CF9AE}" pid="41" name="RecordPoint_RecordNumberSubmitted">
    <vt:lpwstr/>
  </property>
  <property fmtid="{D5CDD505-2E9C-101B-9397-08002B2CF9AE}" pid="42" name="IT system type">
    <vt:lpwstr/>
  </property>
  <property fmtid="{D5CDD505-2E9C-101B-9397-08002B2CF9AE}" pid="43" name="ContentTypeId">
    <vt:lpwstr>0x010100E5E831F15EEA47429C4A0837D916ED91</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RecordPoint_SubmissionCompleted">
    <vt:lpwstr/>
  </property>
  <property fmtid="{D5CDD505-2E9C-101B-9397-08002B2CF9AE}" pid="48" name="MSIP_Label_c0129afb-6481-4f92-bc9f-5a4a6346364d_Method">
    <vt:lpwstr>Privileged</vt:lpwstr>
  </property>
  <property fmtid="{D5CDD505-2E9C-101B-9397-08002B2CF9AE}" pid="49" name="MSIP_Label_c0129afb-6481-4f92-bc9f-5a4a6346364d_SetDate">
    <vt:lpwstr>2023-10-25T23:08:18Z</vt:lpwstr>
  </property>
  <property fmtid="{D5CDD505-2E9C-101B-9397-08002B2CF9AE}" pid="50" name="PM_Note">
    <vt:lpwstr/>
  </property>
  <property fmtid="{D5CDD505-2E9C-101B-9397-08002B2CF9AE}" pid="51" name="PM_Markers">
    <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ContentBits">
    <vt:lpwstr>0</vt:lpwstr>
  </property>
  <property fmtid="{D5CDD505-2E9C-101B-9397-08002B2CF9AE}" pid="55" name="MSIP_Label_c0129afb-6481-4f92-bc9f-5a4a6346364d_Enabled">
    <vt:lpwstr>true</vt:lpwstr>
  </property>
  <property fmtid="{D5CDD505-2E9C-101B-9397-08002B2CF9AE}" pid="56" name="PM_Display">
    <vt:lpwstr>OFFICIAL</vt:lpwstr>
  </property>
  <property fmtid="{D5CDD505-2E9C-101B-9397-08002B2CF9AE}" pid="57" name="PM_OriginatorDomainName_SHA256">
    <vt:lpwstr>ECBDE2B44A971754412B3FB70606937A119CC0D4B6C1B658A40FBD41C30BE3EC</vt:lpwstr>
  </property>
  <property fmtid="{D5CDD505-2E9C-101B-9397-08002B2CF9AE}" pid="58" name="PMUuid">
    <vt:lpwstr>v=2022.2;d=gov.au;g=46DD6D7C-8107-577B-BC6E-F348953B2E44</vt:lpwstr>
  </property>
  <property fmtid="{D5CDD505-2E9C-101B-9397-08002B2CF9AE}" pid="59" name="PM_Originator_Hash_SHA1">
    <vt:lpwstr>2CBCB4AD3B7FB4FD5099F12BB02129F49D9A583F</vt:lpwstr>
  </property>
  <property fmtid="{D5CDD505-2E9C-101B-9397-08002B2CF9AE}" pid="60" name="PM_OriginatorUserAccountName_SHA256">
    <vt:lpwstr>39842B6CBDF7E011F4EE41652891E4F5264F812484841ED99866508E9E04668D</vt:lpwstr>
  </property>
  <property fmtid="{D5CDD505-2E9C-101B-9397-08002B2CF9AE}" pid="61" name="PM_Hash_SHA1">
    <vt:lpwstr>8F8D2AABF94A3E703B82A32136FB45300DDD919C</vt:lpwstr>
  </property>
  <property fmtid="{D5CDD505-2E9C-101B-9397-08002B2CF9AE}" pid="62" name="PM_Hash_Salt_Prev">
    <vt:lpwstr>BB957D7552CD298EACDFB5B31ADB5283</vt:lpwstr>
  </property>
  <property fmtid="{D5CDD505-2E9C-101B-9397-08002B2CF9AE}" pid="63" name="PM_Hash_Salt">
    <vt:lpwstr>146595100A452F58C566045A47ED7629</vt:lpwstr>
  </property>
  <property fmtid="{D5CDD505-2E9C-101B-9397-08002B2CF9AE}" pid="64" name="PMHMAC">
    <vt:lpwstr>v=2022.1;a=SHA256;h=4763328F8F8C0D8CAB7240FB384A453D831F26D561EECEFE32AFA15711AFC93E</vt:lpwstr>
  </property>
  <property fmtid="{D5CDD505-2E9C-101B-9397-08002B2CF9AE}" pid="65" name="MSIP_Label_c0129afb-6481-4f92-bc9f-5a4a6346364d_ActionId">
    <vt:lpwstr>370f35037113467ca1885830f1834c55</vt:lpwstr>
  </property>
</Properties>
</file>