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2D05" w14:textId="77777777" w:rsidR="002F1E01" w:rsidRPr="00CB437C" w:rsidRDefault="002F1E01" w:rsidP="002F1E01">
      <w:pPr>
        <w:pStyle w:val="Default"/>
        <w:jc w:val="both"/>
        <w:rPr>
          <w:b/>
          <w:bCs/>
          <w:sz w:val="22"/>
          <w:szCs w:val="22"/>
        </w:rPr>
      </w:pPr>
      <w:r w:rsidRPr="00CB437C">
        <w:rPr>
          <w:b/>
          <w:bCs/>
          <w:sz w:val="22"/>
          <w:szCs w:val="22"/>
        </w:rPr>
        <w:t>EXPLANATORY STATEMENT</w:t>
      </w:r>
    </w:p>
    <w:p w14:paraId="2209EBC4" w14:textId="77777777" w:rsidR="002F1E01" w:rsidRPr="00CB437C" w:rsidRDefault="002F1E01" w:rsidP="002F1E01">
      <w:pPr>
        <w:pStyle w:val="Default"/>
        <w:jc w:val="both"/>
        <w:rPr>
          <w:sz w:val="22"/>
          <w:szCs w:val="22"/>
        </w:rPr>
      </w:pPr>
    </w:p>
    <w:p w14:paraId="71A67499" w14:textId="77777777" w:rsidR="002F1E01" w:rsidRPr="00CB437C" w:rsidRDefault="002F1E01" w:rsidP="002F1E01">
      <w:pPr>
        <w:pStyle w:val="Default"/>
        <w:jc w:val="both"/>
        <w:rPr>
          <w:b/>
          <w:bCs/>
          <w:i/>
          <w:iCs/>
          <w:sz w:val="22"/>
          <w:szCs w:val="22"/>
        </w:rPr>
      </w:pPr>
      <w:r w:rsidRPr="00CB437C">
        <w:rPr>
          <w:b/>
          <w:bCs/>
          <w:i/>
          <w:iCs/>
          <w:sz w:val="22"/>
          <w:szCs w:val="22"/>
        </w:rPr>
        <w:t>Mutual Recognition Act 1992</w:t>
      </w:r>
    </w:p>
    <w:p w14:paraId="19D40CD7" w14:textId="77777777" w:rsidR="002F1E01" w:rsidRPr="00CB437C" w:rsidRDefault="002F1E01" w:rsidP="002F1E01">
      <w:pPr>
        <w:pStyle w:val="Default"/>
        <w:jc w:val="both"/>
        <w:rPr>
          <w:sz w:val="22"/>
          <w:szCs w:val="22"/>
        </w:rPr>
      </w:pPr>
    </w:p>
    <w:p w14:paraId="76FD664C" w14:textId="77777777" w:rsidR="002F1E01" w:rsidRPr="00CB437C" w:rsidRDefault="002F1E01" w:rsidP="002F1E01">
      <w:pPr>
        <w:pStyle w:val="Default"/>
        <w:jc w:val="both"/>
        <w:rPr>
          <w:b/>
          <w:bCs/>
          <w:sz w:val="22"/>
          <w:szCs w:val="22"/>
        </w:rPr>
      </w:pPr>
      <w:r w:rsidRPr="00CB437C">
        <w:rPr>
          <w:b/>
          <w:bCs/>
          <w:sz w:val="22"/>
          <w:szCs w:val="22"/>
        </w:rPr>
        <w:t>Automatic Mutual Recognition (Victoria) (Notification Requirement</w:t>
      </w:r>
      <w:bookmarkStart w:id="0" w:name="_Hlk141103837"/>
      <w:r w:rsidRPr="00CB437C">
        <w:rPr>
          <w:b/>
          <w:bCs/>
          <w:sz w:val="22"/>
          <w:szCs w:val="22"/>
        </w:rPr>
        <w:t>—</w:t>
      </w:r>
      <w:bookmarkEnd w:id="0"/>
      <w:r w:rsidRPr="00CB437C">
        <w:rPr>
          <w:b/>
          <w:bCs/>
          <w:sz w:val="22"/>
          <w:szCs w:val="22"/>
        </w:rPr>
        <w:t xml:space="preserve">Building, Plumbing, Architecture and Land Surveying </w:t>
      </w:r>
      <w:r>
        <w:rPr>
          <w:b/>
          <w:bCs/>
          <w:sz w:val="22"/>
          <w:szCs w:val="22"/>
        </w:rPr>
        <w:t>I</w:t>
      </w:r>
      <w:r w:rsidRPr="00CB437C">
        <w:rPr>
          <w:b/>
          <w:bCs/>
          <w:sz w:val="22"/>
          <w:szCs w:val="22"/>
        </w:rPr>
        <w:t>ndustries) Amendment Determination 2023</w:t>
      </w:r>
    </w:p>
    <w:p w14:paraId="724A7BC6" w14:textId="77777777" w:rsidR="002F1E01" w:rsidRPr="00CB437C" w:rsidRDefault="002F1E01" w:rsidP="002F1E01">
      <w:pPr>
        <w:pStyle w:val="Default"/>
        <w:jc w:val="both"/>
        <w:rPr>
          <w:sz w:val="22"/>
          <w:szCs w:val="22"/>
        </w:rPr>
      </w:pPr>
    </w:p>
    <w:p w14:paraId="2E7B5909" w14:textId="77777777" w:rsidR="002F1E01" w:rsidRPr="00FD5E72" w:rsidRDefault="002F1E01" w:rsidP="002F1E01">
      <w:pPr>
        <w:pStyle w:val="Default"/>
        <w:jc w:val="both"/>
        <w:rPr>
          <w:sz w:val="22"/>
          <w:szCs w:val="22"/>
        </w:rPr>
      </w:pPr>
      <w:r w:rsidRPr="00FD5E72">
        <w:rPr>
          <w:sz w:val="22"/>
          <w:szCs w:val="22"/>
        </w:rPr>
        <w:t>This explanatory statement provides notes on the operation of the Automatic Mutual Recognition (Victoria) (Notification Requirement</w:t>
      </w:r>
      <w:r w:rsidRPr="00CB437C">
        <w:rPr>
          <w:sz w:val="22"/>
          <w:szCs w:val="22"/>
        </w:rPr>
        <w:t>—</w:t>
      </w:r>
      <w:r w:rsidRPr="00FD5E72">
        <w:rPr>
          <w:sz w:val="22"/>
          <w:szCs w:val="22"/>
        </w:rPr>
        <w:t xml:space="preserve">Building, Plumbing, Architecture and Land Surveying </w:t>
      </w:r>
      <w:r>
        <w:rPr>
          <w:sz w:val="22"/>
          <w:szCs w:val="22"/>
        </w:rPr>
        <w:t>I</w:t>
      </w:r>
      <w:r w:rsidRPr="00FD5E72">
        <w:rPr>
          <w:sz w:val="22"/>
          <w:szCs w:val="22"/>
        </w:rPr>
        <w:t>ndustries) Amendment Determination 2023 (the ‘Amend</w:t>
      </w:r>
      <w:r>
        <w:rPr>
          <w:sz w:val="22"/>
          <w:szCs w:val="22"/>
        </w:rPr>
        <w:t>ing</w:t>
      </w:r>
      <w:r w:rsidRPr="00FD5E72">
        <w:rPr>
          <w:sz w:val="22"/>
          <w:szCs w:val="22"/>
        </w:rPr>
        <w:t xml:space="preserve"> Determination’). This Determination amends the Automatic Mutual Recognition (Victoria) (Notification Requirement</w:t>
      </w:r>
      <w:r w:rsidRPr="00CB437C">
        <w:rPr>
          <w:sz w:val="22"/>
          <w:szCs w:val="22"/>
        </w:rPr>
        <w:t>—</w:t>
      </w:r>
      <w:r w:rsidRPr="00FD5E72">
        <w:rPr>
          <w:sz w:val="22"/>
          <w:szCs w:val="22"/>
        </w:rPr>
        <w:t xml:space="preserve">Building, Plumbing, Architecture and Land Surveying </w:t>
      </w:r>
      <w:r>
        <w:rPr>
          <w:sz w:val="22"/>
          <w:szCs w:val="22"/>
        </w:rPr>
        <w:t>I</w:t>
      </w:r>
      <w:r w:rsidRPr="000730BB">
        <w:rPr>
          <w:sz w:val="22"/>
          <w:szCs w:val="22"/>
        </w:rPr>
        <w:t xml:space="preserve">ndustries) Determination 2021 (the ‘Principal Determination’), as amended by </w:t>
      </w:r>
      <w:r>
        <w:rPr>
          <w:sz w:val="22"/>
          <w:szCs w:val="22"/>
        </w:rPr>
        <w:t xml:space="preserve">the </w:t>
      </w:r>
      <w:r w:rsidRPr="000730BB">
        <w:rPr>
          <w:sz w:val="22"/>
          <w:szCs w:val="22"/>
        </w:rPr>
        <w:t xml:space="preserve">Automatic Mutual Recognition (Victoria) (Notification Requirement—Building, Plumbing, Architecture and Land Surveying </w:t>
      </w:r>
      <w:r>
        <w:rPr>
          <w:sz w:val="22"/>
          <w:szCs w:val="22"/>
        </w:rPr>
        <w:t>I</w:t>
      </w:r>
      <w:r w:rsidRPr="000730BB">
        <w:rPr>
          <w:sz w:val="22"/>
          <w:szCs w:val="22"/>
        </w:rPr>
        <w:t>ndustries) Amendment Determination 2022.</w:t>
      </w:r>
    </w:p>
    <w:p w14:paraId="4D137CB8" w14:textId="77777777" w:rsidR="002F1E01" w:rsidRPr="00FD5E72" w:rsidRDefault="002F1E01" w:rsidP="002F1E01">
      <w:pPr>
        <w:pStyle w:val="Default"/>
        <w:jc w:val="both"/>
        <w:rPr>
          <w:sz w:val="22"/>
          <w:szCs w:val="22"/>
        </w:rPr>
      </w:pPr>
    </w:p>
    <w:p w14:paraId="7FA47F7F" w14:textId="77777777" w:rsidR="002F1E01" w:rsidRPr="00FD5E72" w:rsidRDefault="002F1E01" w:rsidP="002F1E01">
      <w:pPr>
        <w:pStyle w:val="Default"/>
        <w:jc w:val="both"/>
        <w:rPr>
          <w:sz w:val="22"/>
          <w:szCs w:val="22"/>
        </w:rPr>
      </w:pPr>
      <w:r w:rsidRPr="00FD5E72">
        <w:rPr>
          <w:sz w:val="22"/>
          <w:szCs w:val="22"/>
        </w:rPr>
        <w:t>The specific provisions in the Amend</w:t>
      </w:r>
      <w:r>
        <w:rPr>
          <w:sz w:val="22"/>
          <w:szCs w:val="22"/>
        </w:rPr>
        <w:t>ing</w:t>
      </w:r>
      <w:r w:rsidRPr="00FD5E72">
        <w:rPr>
          <w:sz w:val="22"/>
          <w:szCs w:val="22"/>
        </w:rPr>
        <w:t xml:space="preserve"> Determination are outlined in Attachment A. The information in the explanatory statement is an aid to understanding the Amend</w:t>
      </w:r>
      <w:r>
        <w:rPr>
          <w:sz w:val="22"/>
          <w:szCs w:val="22"/>
        </w:rPr>
        <w:t>ing</w:t>
      </w:r>
      <w:r w:rsidRPr="00FD5E72">
        <w:rPr>
          <w:sz w:val="22"/>
          <w:szCs w:val="22"/>
        </w:rPr>
        <w:t xml:space="preserve"> Determination and should not be substituted for the Amend</w:t>
      </w:r>
      <w:r>
        <w:rPr>
          <w:sz w:val="22"/>
          <w:szCs w:val="22"/>
        </w:rPr>
        <w:t>ing</w:t>
      </w:r>
      <w:r w:rsidRPr="00FD5E72">
        <w:rPr>
          <w:sz w:val="22"/>
          <w:szCs w:val="22"/>
        </w:rPr>
        <w:t xml:space="preserve"> Determination.</w:t>
      </w:r>
    </w:p>
    <w:p w14:paraId="64BC377A" w14:textId="77777777" w:rsidR="002F1E01" w:rsidRPr="00FD5E72" w:rsidRDefault="002F1E01" w:rsidP="002F1E01">
      <w:pPr>
        <w:pStyle w:val="Default"/>
        <w:jc w:val="both"/>
        <w:rPr>
          <w:sz w:val="22"/>
          <w:szCs w:val="22"/>
        </w:rPr>
      </w:pPr>
    </w:p>
    <w:p w14:paraId="23A92567" w14:textId="77777777" w:rsidR="002F1E01" w:rsidRPr="00FD5E72" w:rsidRDefault="002F1E01" w:rsidP="002F1E01">
      <w:pPr>
        <w:pStyle w:val="Default"/>
        <w:jc w:val="both"/>
        <w:rPr>
          <w:sz w:val="22"/>
          <w:szCs w:val="22"/>
        </w:rPr>
      </w:pPr>
      <w:r w:rsidRPr="00FD5E72">
        <w:rPr>
          <w:b/>
          <w:bCs/>
          <w:sz w:val="22"/>
          <w:szCs w:val="22"/>
        </w:rPr>
        <w:t>Context and purpose</w:t>
      </w:r>
    </w:p>
    <w:p w14:paraId="2B0CB158" w14:textId="77777777" w:rsidR="002F1E01" w:rsidRPr="00FD5E72" w:rsidRDefault="002F1E01" w:rsidP="002F1E01">
      <w:pPr>
        <w:pStyle w:val="Default"/>
        <w:jc w:val="both"/>
        <w:rPr>
          <w:sz w:val="22"/>
          <w:szCs w:val="22"/>
        </w:rPr>
      </w:pPr>
    </w:p>
    <w:p w14:paraId="20FC370A" w14:textId="77777777" w:rsidR="002F1E01" w:rsidRPr="00CB437C" w:rsidRDefault="002F1E01" w:rsidP="002F1E01">
      <w:pPr>
        <w:pStyle w:val="Default"/>
        <w:jc w:val="both"/>
        <w:rPr>
          <w:sz w:val="22"/>
          <w:szCs w:val="22"/>
        </w:rPr>
      </w:pPr>
      <w:r w:rsidRPr="00FD5E72">
        <w:rPr>
          <w:sz w:val="22"/>
          <w:szCs w:val="22"/>
        </w:rPr>
        <w:t xml:space="preserve">Part 3A of the </w:t>
      </w:r>
      <w:r w:rsidRPr="00FD5E72">
        <w:rPr>
          <w:i/>
          <w:iCs/>
          <w:sz w:val="22"/>
          <w:szCs w:val="22"/>
        </w:rPr>
        <w:t xml:space="preserve">Mutual Recognition Act 1992 </w:t>
      </w:r>
      <w:r w:rsidRPr="00FD5E72">
        <w:rPr>
          <w:sz w:val="22"/>
          <w:szCs w:val="22"/>
        </w:rPr>
        <w:t>of the Commonwealth (</w:t>
      </w:r>
      <w:r>
        <w:rPr>
          <w:sz w:val="22"/>
          <w:szCs w:val="22"/>
        </w:rPr>
        <w:t>‘</w:t>
      </w:r>
      <w:r w:rsidRPr="00FD5E72">
        <w:rPr>
          <w:sz w:val="22"/>
          <w:szCs w:val="22"/>
        </w:rPr>
        <w:t>the MRA</w:t>
      </w:r>
      <w:r>
        <w:rPr>
          <w:sz w:val="22"/>
          <w:szCs w:val="22"/>
        </w:rPr>
        <w:t>’</w:t>
      </w:r>
      <w:r w:rsidRPr="00FD5E72">
        <w:rPr>
          <w:sz w:val="22"/>
          <w:szCs w:val="22"/>
        </w:rPr>
        <w:t>) provides for the automatic mutual recognition (</w:t>
      </w:r>
      <w:r>
        <w:rPr>
          <w:sz w:val="22"/>
          <w:szCs w:val="22"/>
        </w:rPr>
        <w:t>‘</w:t>
      </w:r>
      <w:r w:rsidRPr="00FD5E72">
        <w:rPr>
          <w:sz w:val="22"/>
          <w:szCs w:val="22"/>
        </w:rPr>
        <w:t>AMR</w:t>
      </w:r>
      <w:r>
        <w:rPr>
          <w:sz w:val="22"/>
          <w:szCs w:val="22"/>
        </w:rPr>
        <w:t>’</w:t>
      </w:r>
      <w:r w:rsidRPr="00FD5E72">
        <w:rPr>
          <w:sz w:val="22"/>
          <w:szCs w:val="22"/>
        </w:rPr>
        <w:t>)</w:t>
      </w:r>
      <w:r>
        <w:rPr>
          <w:sz w:val="22"/>
          <w:szCs w:val="22"/>
        </w:rPr>
        <w:t xml:space="preserve"> </w:t>
      </w:r>
      <w:r w:rsidRPr="00FD5E72">
        <w:rPr>
          <w:sz w:val="22"/>
          <w:szCs w:val="22"/>
        </w:rPr>
        <w:t xml:space="preserve">of occupational registrations. </w:t>
      </w:r>
      <w:r w:rsidRPr="00CB437C">
        <w:rPr>
          <w:sz w:val="22"/>
          <w:szCs w:val="22"/>
        </w:rPr>
        <w:t xml:space="preserve">AMR </w:t>
      </w:r>
      <w:r w:rsidRPr="00FD5E72">
        <w:rPr>
          <w:sz w:val="22"/>
          <w:szCs w:val="22"/>
        </w:rPr>
        <w:t>provide</w:t>
      </w:r>
      <w:r>
        <w:rPr>
          <w:sz w:val="22"/>
          <w:szCs w:val="22"/>
        </w:rPr>
        <w:t>s</w:t>
      </w:r>
      <w:r w:rsidRPr="00FD5E72">
        <w:rPr>
          <w:sz w:val="22"/>
          <w:szCs w:val="22"/>
        </w:rPr>
        <w:t xml:space="preserve"> an entitlement for </w:t>
      </w:r>
      <w:r w:rsidRPr="00CB437C">
        <w:rPr>
          <w:sz w:val="22"/>
          <w:szCs w:val="22"/>
        </w:rPr>
        <w:t xml:space="preserve">an individual to carry on an activity in a second State, under the registration covering the activity in their home State through </w:t>
      </w:r>
      <w:r>
        <w:rPr>
          <w:sz w:val="22"/>
          <w:szCs w:val="22"/>
        </w:rPr>
        <w:t>a</w:t>
      </w:r>
      <w:r w:rsidRPr="00CB437C">
        <w:rPr>
          <w:sz w:val="22"/>
          <w:szCs w:val="22"/>
        </w:rPr>
        <w:t xml:space="preserve">utomatic </w:t>
      </w:r>
      <w:r>
        <w:rPr>
          <w:sz w:val="22"/>
          <w:szCs w:val="22"/>
        </w:rPr>
        <w:t>d</w:t>
      </w:r>
      <w:r w:rsidRPr="00CB437C">
        <w:rPr>
          <w:sz w:val="22"/>
          <w:szCs w:val="22"/>
        </w:rPr>
        <w:t xml:space="preserve">eemed </w:t>
      </w:r>
      <w:r>
        <w:rPr>
          <w:sz w:val="22"/>
          <w:szCs w:val="22"/>
        </w:rPr>
        <w:t>r</w:t>
      </w:r>
      <w:r w:rsidRPr="00CB437C">
        <w:rPr>
          <w:sz w:val="22"/>
          <w:szCs w:val="22"/>
        </w:rPr>
        <w:t>egistration (</w:t>
      </w:r>
      <w:r>
        <w:rPr>
          <w:sz w:val="22"/>
          <w:szCs w:val="22"/>
        </w:rPr>
        <w:t>‘</w:t>
      </w:r>
      <w:r w:rsidRPr="00CB437C">
        <w:rPr>
          <w:sz w:val="22"/>
          <w:szCs w:val="22"/>
        </w:rPr>
        <w:t>ADR</w:t>
      </w:r>
      <w:r>
        <w:rPr>
          <w:sz w:val="22"/>
          <w:szCs w:val="22"/>
        </w:rPr>
        <w:t>’</w:t>
      </w:r>
      <w:r w:rsidRPr="00CB437C">
        <w:rPr>
          <w:sz w:val="22"/>
          <w:szCs w:val="22"/>
        </w:rPr>
        <w:t>).</w:t>
      </w:r>
    </w:p>
    <w:p w14:paraId="06D84BB6" w14:textId="77777777" w:rsidR="002F1E01" w:rsidRPr="00CB437C" w:rsidRDefault="002F1E01" w:rsidP="002F1E01">
      <w:pPr>
        <w:pStyle w:val="Default"/>
        <w:jc w:val="both"/>
        <w:rPr>
          <w:sz w:val="22"/>
          <w:szCs w:val="22"/>
        </w:rPr>
      </w:pPr>
    </w:p>
    <w:p w14:paraId="32DD26C3" w14:textId="77777777" w:rsidR="002F1E01" w:rsidRPr="00FD5E72" w:rsidRDefault="002F1E01" w:rsidP="002F1E01">
      <w:pPr>
        <w:pStyle w:val="Default"/>
        <w:jc w:val="both"/>
        <w:rPr>
          <w:sz w:val="22"/>
          <w:szCs w:val="22"/>
        </w:rPr>
      </w:pPr>
      <w:r w:rsidRPr="00FD5E72">
        <w:rPr>
          <w:sz w:val="22"/>
          <w:szCs w:val="22"/>
        </w:rPr>
        <w:t>Part 3A of the MRA provides for the making of a determination that requires a person who intends to carry on an activity in reliance o</w:t>
      </w:r>
      <w:r>
        <w:rPr>
          <w:sz w:val="22"/>
          <w:szCs w:val="22"/>
        </w:rPr>
        <w:t>n</w:t>
      </w:r>
      <w:r w:rsidRPr="00FD5E72">
        <w:rPr>
          <w:sz w:val="22"/>
          <w:szCs w:val="22"/>
        </w:rPr>
        <w:t xml:space="preserve"> ADR to notify the local registration authority for the occupation before the person begins to carry on the activity. The </w:t>
      </w:r>
      <w:r w:rsidRPr="00FD5E72">
        <w:rPr>
          <w:i/>
          <w:iCs/>
          <w:sz w:val="22"/>
          <w:szCs w:val="22"/>
        </w:rPr>
        <w:t xml:space="preserve">Legislation Act 2003 </w:t>
      </w:r>
      <w:r w:rsidRPr="00FD5E72">
        <w:rPr>
          <w:sz w:val="22"/>
          <w:szCs w:val="22"/>
        </w:rPr>
        <w:t>of the Commonwealth provides for the making of legislative instruments.</w:t>
      </w:r>
    </w:p>
    <w:p w14:paraId="6924CFAB" w14:textId="77777777" w:rsidR="002F1E01" w:rsidRPr="00FD5E72" w:rsidRDefault="002F1E01" w:rsidP="002F1E01">
      <w:pPr>
        <w:pStyle w:val="Default"/>
        <w:jc w:val="both"/>
        <w:rPr>
          <w:b/>
          <w:bCs/>
          <w:sz w:val="22"/>
          <w:szCs w:val="22"/>
        </w:rPr>
      </w:pPr>
    </w:p>
    <w:p w14:paraId="443FC23D" w14:textId="77777777" w:rsidR="002F1E01" w:rsidRPr="00FD5E72" w:rsidRDefault="002F1E01" w:rsidP="002F1E01">
      <w:pPr>
        <w:pStyle w:val="Default"/>
        <w:jc w:val="both"/>
        <w:rPr>
          <w:b/>
          <w:bCs/>
          <w:sz w:val="22"/>
          <w:szCs w:val="22"/>
        </w:rPr>
      </w:pPr>
      <w:r w:rsidRPr="00FD5E72">
        <w:rPr>
          <w:b/>
          <w:bCs/>
          <w:sz w:val="22"/>
          <w:szCs w:val="22"/>
        </w:rPr>
        <w:t>Summary</w:t>
      </w:r>
    </w:p>
    <w:p w14:paraId="5D0B864F" w14:textId="77777777" w:rsidR="002F1E01" w:rsidRPr="00FD5E72" w:rsidRDefault="002F1E01" w:rsidP="002F1E01">
      <w:pPr>
        <w:pStyle w:val="Default"/>
        <w:jc w:val="both"/>
        <w:rPr>
          <w:sz w:val="22"/>
          <w:szCs w:val="22"/>
        </w:rPr>
      </w:pPr>
    </w:p>
    <w:p w14:paraId="1E2C70F9" w14:textId="77777777" w:rsidR="002F1E01" w:rsidRPr="00FD5E72" w:rsidRDefault="002F1E01" w:rsidP="002F1E01">
      <w:pPr>
        <w:pStyle w:val="Default"/>
        <w:jc w:val="both"/>
        <w:rPr>
          <w:sz w:val="22"/>
          <w:szCs w:val="22"/>
        </w:rPr>
      </w:pPr>
      <w:r w:rsidRPr="00FD5E72">
        <w:rPr>
          <w:sz w:val="22"/>
          <w:szCs w:val="22"/>
        </w:rPr>
        <w:t>The Amend</w:t>
      </w:r>
      <w:r>
        <w:rPr>
          <w:sz w:val="22"/>
          <w:szCs w:val="22"/>
        </w:rPr>
        <w:t>ing</w:t>
      </w:r>
      <w:r w:rsidRPr="00FD5E72">
        <w:rPr>
          <w:sz w:val="22"/>
          <w:szCs w:val="22"/>
        </w:rPr>
        <w:t xml:space="preserve"> Determination amends the Principal Determination to reflect changes in the commencement dates for notification requirements in relation to certain occupations</w:t>
      </w:r>
      <w:r>
        <w:rPr>
          <w:sz w:val="22"/>
          <w:szCs w:val="22"/>
        </w:rPr>
        <w:t xml:space="preserve"> before work can be undertaken by people registered to perform that work in other jurisdictions</w:t>
      </w:r>
      <w:r w:rsidRPr="00FD5E72">
        <w:rPr>
          <w:sz w:val="22"/>
          <w:szCs w:val="22"/>
        </w:rPr>
        <w:t>. The Amend</w:t>
      </w:r>
      <w:r>
        <w:rPr>
          <w:sz w:val="22"/>
          <w:szCs w:val="22"/>
        </w:rPr>
        <w:t>ing</w:t>
      </w:r>
      <w:r w:rsidRPr="00FD5E72">
        <w:rPr>
          <w:sz w:val="22"/>
          <w:szCs w:val="22"/>
        </w:rPr>
        <w:t xml:space="preserve"> Determination is necessary owing to a decision of the Victorian government to</w:t>
      </w:r>
      <w:r>
        <w:rPr>
          <w:sz w:val="22"/>
          <w:szCs w:val="22"/>
        </w:rPr>
        <w:t xml:space="preserve"> continue to</w:t>
      </w:r>
      <w:r w:rsidRPr="00FD5E72">
        <w:rPr>
          <w:sz w:val="22"/>
          <w:szCs w:val="22"/>
        </w:rPr>
        <w:t xml:space="preserve"> </w:t>
      </w:r>
      <w:r>
        <w:rPr>
          <w:sz w:val="22"/>
          <w:szCs w:val="22"/>
        </w:rPr>
        <w:t>exclude</w:t>
      </w:r>
      <w:r w:rsidRPr="00FD5E72">
        <w:rPr>
          <w:sz w:val="22"/>
          <w:szCs w:val="22"/>
        </w:rPr>
        <w:t xml:space="preserve"> certain </w:t>
      </w:r>
      <w:r>
        <w:rPr>
          <w:sz w:val="22"/>
          <w:szCs w:val="22"/>
        </w:rPr>
        <w:t>occupations</w:t>
      </w:r>
      <w:r w:rsidRPr="00FD5E72">
        <w:rPr>
          <w:sz w:val="22"/>
          <w:szCs w:val="22"/>
        </w:rPr>
        <w:t xml:space="preserve"> from the operation of ADR under section 42S of the MRA because of significant risk to consumer protection and the health or safety of the public. The Amend</w:t>
      </w:r>
      <w:r>
        <w:rPr>
          <w:sz w:val="22"/>
          <w:szCs w:val="22"/>
        </w:rPr>
        <w:t>ing</w:t>
      </w:r>
      <w:r w:rsidRPr="00FD5E72">
        <w:rPr>
          <w:sz w:val="22"/>
          <w:szCs w:val="22"/>
        </w:rPr>
        <w:t xml:space="preserve"> Determination makes the following changes:</w:t>
      </w:r>
    </w:p>
    <w:p w14:paraId="29F6C5FE" w14:textId="77777777" w:rsidR="002F1E01" w:rsidRPr="00FD5E72" w:rsidRDefault="002F1E01" w:rsidP="002F1E01">
      <w:pPr>
        <w:pStyle w:val="Default"/>
        <w:numPr>
          <w:ilvl w:val="0"/>
          <w:numId w:val="5"/>
        </w:numPr>
        <w:jc w:val="both"/>
        <w:rPr>
          <w:sz w:val="22"/>
          <w:szCs w:val="22"/>
        </w:rPr>
      </w:pPr>
      <w:r w:rsidRPr="00FD5E72">
        <w:rPr>
          <w:sz w:val="22"/>
          <w:szCs w:val="22"/>
        </w:rPr>
        <w:t xml:space="preserve">That building </w:t>
      </w:r>
      <w:r>
        <w:rPr>
          <w:sz w:val="22"/>
          <w:szCs w:val="22"/>
        </w:rPr>
        <w:t xml:space="preserve">practitioners registered under Part 11 of the </w:t>
      </w:r>
      <w:r>
        <w:rPr>
          <w:i/>
          <w:iCs/>
          <w:sz w:val="22"/>
          <w:szCs w:val="22"/>
        </w:rPr>
        <w:t>Building Act 1993</w:t>
      </w:r>
      <w:r w:rsidRPr="00FD5E72">
        <w:rPr>
          <w:sz w:val="22"/>
          <w:szCs w:val="22"/>
        </w:rPr>
        <w:t xml:space="preserve">, </w:t>
      </w:r>
      <w:proofErr w:type="gramStart"/>
      <w:r w:rsidRPr="00FD5E72">
        <w:rPr>
          <w:sz w:val="22"/>
          <w:szCs w:val="22"/>
        </w:rPr>
        <w:t>with the exception of</w:t>
      </w:r>
      <w:proofErr w:type="gramEnd"/>
      <w:r w:rsidRPr="00FD5E72">
        <w:rPr>
          <w:sz w:val="22"/>
          <w:szCs w:val="22"/>
        </w:rPr>
        <w:t xml:space="preserve"> building surveyors, must provide the relevant regulator with a notification prior to commencing work </w:t>
      </w:r>
      <w:r>
        <w:rPr>
          <w:sz w:val="22"/>
          <w:szCs w:val="22"/>
        </w:rPr>
        <w:t>in Victoria</w:t>
      </w:r>
      <w:r w:rsidRPr="00FD5E72">
        <w:rPr>
          <w:sz w:val="22"/>
          <w:szCs w:val="22"/>
        </w:rPr>
        <w:t xml:space="preserve">. Building surveyors are excluded from the operation of ADR in Victoria by </w:t>
      </w:r>
      <w:r>
        <w:rPr>
          <w:sz w:val="22"/>
          <w:szCs w:val="22"/>
        </w:rPr>
        <w:t xml:space="preserve">the </w:t>
      </w:r>
      <w:r w:rsidRPr="006436B7">
        <w:rPr>
          <w:sz w:val="22"/>
          <w:szCs w:val="22"/>
        </w:rPr>
        <w:t>Mutual Recognition (Victoria) (Exemptions—Building Surveyor and Plumbing Occupations) Declaration 2022</w:t>
      </w:r>
      <w:r>
        <w:rPr>
          <w:sz w:val="22"/>
          <w:szCs w:val="22"/>
        </w:rPr>
        <w:t xml:space="preserve"> made under </w:t>
      </w:r>
      <w:r w:rsidRPr="00FD5E72">
        <w:rPr>
          <w:sz w:val="22"/>
          <w:szCs w:val="22"/>
        </w:rPr>
        <w:t>section 42S</w:t>
      </w:r>
      <w:r>
        <w:rPr>
          <w:sz w:val="22"/>
          <w:szCs w:val="22"/>
        </w:rPr>
        <w:t xml:space="preserve"> of the MRA</w:t>
      </w:r>
      <w:r w:rsidRPr="00FD5E72">
        <w:rPr>
          <w:sz w:val="22"/>
          <w:szCs w:val="22"/>
        </w:rPr>
        <w:t>.</w:t>
      </w:r>
    </w:p>
    <w:p w14:paraId="7B166A53" w14:textId="77777777" w:rsidR="002F1E01" w:rsidRPr="00FD5E72" w:rsidRDefault="002F1E01" w:rsidP="002F1E01">
      <w:pPr>
        <w:pStyle w:val="Default"/>
        <w:numPr>
          <w:ilvl w:val="0"/>
          <w:numId w:val="5"/>
        </w:numPr>
        <w:jc w:val="both"/>
        <w:rPr>
          <w:sz w:val="22"/>
          <w:szCs w:val="22"/>
        </w:rPr>
      </w:pPr>
      <w:r w:rsidRPr="00FD5E72">
        <w:rPr>
          <w:sz w:val="22"/>
          <w:szCs w:val="22"/>
        </w:rPr>
        <w:t xml:space="preserve">That all registered plumbers, </w:t>
      </w:r>
      <w:proofErr w:type="gramStart"/>
      <w:r w:rsidRPr="00FD5E72">
        <w:rPr>
          <w:sz w:val="22"/>
          <w:szCs w:val="22"/>
        </w:rPr>
        <w:t>with the exception of</w:t>
      </w:r>
      <w:proofErr w:type="gramEnd"/>
      <w:r w:rsidRPr="00FD5E72">
        <w:rPr>
          <w:sz w:val="22"/>
          <w:szCs w:val="22"/>
        </w:rPr>
        <w:t xml:space="preserve"> plumbers registered in certain classes</w:t>
      </w:r>
      <w:r>
        <w:rPr>
          <w:sz w:val="22"/>
          <w:szCs w:val="22"/>
        </w:rPr>
        <w:t xml:space="preserve"> that are specified in the Amending Determination</w:t>
      </w:r>
      <w:r w:rsidRPr="00FD5E72">
        <w:rPr>
          <w:sz w:val="22"/>
          <w:szCs w:val="22"/>
        </w:rPr>
        <w:t xml:space="preserve">, must provide the relevant regulator with a notification prior to commencing work under ADR. The registered plumbers specified in the </w:t>
      </w:r>
      <w:r>
        <w:rPr>
          <w:sz w:val="22"/>
          <w:szCs w:val="22"/>
        </w:rPr>
        <w:t xml:space="preserve">Amending </w:t>
      </w:r>
      <w:r w:rsidRPr="00FD5E72">
        <w:rPr>
          <w:sz w:val="22"/>
          <w:szCs w:val="22"/>
        </w:rPr>
        <w:t xml:space="preserve">Determination, as well as licensed plumbers, are excluded from the operation of ADR in Victoria by </w:t>
      </w:r>
      <w:r>
        <w:rPr>
          <w:sz w:val="22"/>
          <w:szCs w:val="22"/>
        </w:rPr>
        <w:t xml:space="preserve">the </w:t>
      </w:r>
      <w:r w:rsidRPr="00FD5E72">
        <w:rPr>
          <w:sz w:val="22"/>
          <w:szCs w:val="22"/>
        </w:rPr>
        <w:t>Ministerial Declaration</w:t>
      </w:r>
      <w:r>
        <w:rPr>
          <w:sz w:val="22"/>
          <w:szCs w:val="22"/>
        </w:rPr>
        <w:t xml:space="preserve"> referred to above</w:t>
      </w:r>
      <w:r w:rsidRPr="00FD5E72">
        <w:rPr>
          <w:sz w:val="22"/>
          <w:szCs w:val="22"/>
        </w:rPr>
        <w:t>.</w:t>
      </w:r>
    </w:p>
    <w:p w14:paraId="25F9F62E" w14:textId="77777777" w:rsidR="002F1E01" w:rsidRPr="00FD5E72" w:rsidRDefault="002F1E01" w:rsidP="002F1E01">
      <w:pPr>
        <w:pStyle w:val="Default"/>
        <w:jc w:val="both"/>
        <w:rPr>
          <w:sz w:val="22"/>
          <w:szCs w:val="22"/>
        </w:rPr>
      </w:pPr>
    </w:p>
    <w:p w14:paraId="0165F84A" w14:textId="77777777" w:rsidR="002F1E01" w:rsidRPr="00FD5E72" w:rsidRDefault="002F1E01" w:rsidP="002F1E01">
      <w:pPr>
        <w:pStyle w:val="Default"/>
        <w:jc w:val="both"/>
        <w:rPr>
          <w:sz w:val="22"/>
          <w:szCs w:val="22"/>
        </w:rPr>
      </w:pPr>
      <w:r w:rsidRPr="00FD5E72">
        <w:rPr>
          <w:sz w:val="22"/>
          <w:szCs w:val="22"/>
        </w:rPr>
        <w:t>Through the Principal Determination, as amended by the Amend</w:t>
      </w:r>
      <w:r>
        <w:rPr>
          <w:sz w:val="22"/>
          <w:szCs w:val="22"/>
        </w:rPr>
        <w:t>ing</w:t>
      </w:r>
      <w:r w:rsidRPr="00FD5E72">
        <w:rPr>
          <w:sz w:val="22"/>
          <w:szCs w:val="22"/>
        </w:rPr>
        <w:t xml:space="preserve"> Determination, the Minister for Planning, Victoria requires a person to notify the relevant local registration authority before the person commences to carry on an activity in reliance on </w:t>
      </w:r>
      <w:r>
        <w:rPr>
          <w:sz w:val="22"/>
          <w:szCs w:val="22"/>
        </w:rPr>
        <w:t>ADR</w:t>
      </w:r>
      <w:r w:rsidRPr="00FD5E72">
        <w:rPr>
          <w:sz w:val="22"/>
          <w:szCs w:val="22"/>
        </w:rPr>
        <w:t xml:space="preserve"> in Victoria.</w:t>
      </w:r>
    </w:p>
    <w:p w14:paraId="3FF2DD7D" w14:textId="77777777" w:rsidR="002F1E01" w:rsidRPr="00FD5E72" w:rsidRDefault="002F1E01" w:rsidP="002F1E01">
      <w:pPr>
        <w:pStyle w:val="Default"/>
        <w:jc w:val="both"/>
        <w:rPr>
          <w:b/>
          <w:bCs/>
          <w:sz w:val="22"/>
          <w:szCs w:val="22"/>
        </w:rPr>
      </w:pPr>
    </w:p>
    <w:p w14:paraId="6327DD80" w14:textId="77777777" w:rsidR="002F1E01" w:rsidRPr="00FD5E72" w:rsidRDefault="002F1E01" w:rsidP="002F1E01">
      <w:pPr>
        <w:pStyle w:val="Default"/>
        <w:keepNext/>
        <w:jc w:val="both"/>
        <w:rPr>
          <w:sz w:val="22"/>
          <w:szCs w:val="22"/>
        </w:rPr>
      </w:pPr>
      <w:r w:rsidRPr="00FD5E72">
        <w:rPr>
          <w:b/>
          <w:bCs/>
          <w:sz w:val="22"/>
          <w:szCs w:val="22"/>
        </w:rPr>
        <w:lastRenderedPageBreak/>
        <w:t>Consultation</w:t>
      </w:r>
    </w:p>
    <w:p w14:paraId="0B695BAF" w14:textId="77777777" w:rsidR="002F1E01" w:rsidRPr="00FD5E72" w:rsidRDefault="002F1E01" w:rsidP="002F1E01">
      <w:pPr>
        <w:spacing w:before="240"/>
        <w:jc w:val="both"/>
        <w:rPr>
          <w:rFonts w:ascii="Times New Roman" w:hAnsi="Times New Roman" w:cs="Times New Roman"/>
        </w:rPr>
      </w:pPr>
      <w:r w:rsidRPr="00FD5E72">
        <w:rPr>
          <w:rFonts w:ascii="Times New Roman" w:hAnsi="Times New Roman" w:cs="Times New Roman"/>
          <w:color w:val="000000" w:themeColor="text1"/>
        </w:rPr>
        <w:t xml:space="preserve">Relevant regulators and industry stakeholders </w:t>
      </w:r>
      <w:r w:rsidRPr="00FD5E72">
        <w:rPr>
          <w:rFonts w:ascii="Times New Roman" w:hAnsi="Times New Roman" w:cs="Times New Roman"/>
        </w:rPr>
        <w:t>support the adoption of a notification requirement for building practitioners and plumbing practitioners to ensure Victorian regulators have appropriate visibility of persons working in Victoria under automatic deemed registration.</w:t>
      </w:r>
    </w:p>
    <w:p w14:paraId="63EEF66E" w14:textId="77777777" w:rsidR="002F1E01" w:rsidRPr="00FD5E72" w:rsidRDefault="002F1E01" w:rsidP="002F1E01">
      <w:pPr>
        <w:jc w:val="both"/>
        <w:rPr>
          <w:rFonts w:ascii="Times New Roman" w:hAnsi="Times New Roman" w:cs="Times New Roman"/>
        </w:rPr>
      </w:pPr>
      <w:r w:rsidRPr="00FD5E72">
        <w:rPr>
          <w:rFonts w:ascii="Times New Roman" w:hAnsi="Times New Roman" w:cs="Times New Roman"/>
        </w:rPr>
        <w:t>The Minister for Planning, Victoria is satisfied that the consultation undertaken is appropriate and practical for the purposes of making the Amend</w:t>
      </w:r>
      <w:r>
        <w:rPr>
          <w:rFonts w:ascii="Times New Roman" w:hAnsi="Times New Roman" w:cs="Times New Roman"/>
        </w:rPr>
        <w:t>ing</w:t>
      </w:r>
      <w:r w:rsidRPr="00FD5E72">
        <w:rPr>
          <w:rFonts w:ascii="Times New Roman" w:hAnsi="Times New Roman" w:cs="Times New Roman"/>
        </w:rPr>
        <w:t xml:space="preserve"> Determination.</w:t>
      </w:r>
    </w:p>
    <w:p w14:paraId="6170BA18" w14:textId="77777777" w:rsidR="002F1E01" w:rsidRPr="00FD5E72" w:rsidRDefault="002F1E01" w:rsidP="002F1E01">
      <w:pPr>
        <w:rPr>
          <w:rFonts w:ascii="Times New Roman" w:hAnsi="Times New Roman" w:cs="Times New Roman"/>
          <w:b/>
          <w:bCs/>
          <w:color w:val="000000"/>
        </w:rPr>
      </w:pPr>
      <w:r w:rsidRPr="00FD5E72">
        <w:rPr>
          <w:rFonts w:ascii="Times New Roman" w:hAnsi="Times New Roman" w:cs="Times New Roman"/>
          <w:b/>
          <w:bCs/>
          <w:color w:val="000000"/>
        </w:rPr>
        <w:br w:type="page"/>
      </w:r>
    </w:p>
    <w:p w14:paraId="3CA00648"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b/>
          <w:bCs/>
          <w:color w:val="000000"/>
        </w:rPr>
        <w:lastRenderedPageBreak/>
        <w:t>Attachment A</w:t>
      </w:r>
    </w:p>
    <w:p w14:paraId="621DD0A5"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b/>
          <w:bCs/>
          <w:color w:val="000000"/>
        </w:rPr>
      </w:pPr>
    </w:p>
    <w:p w14:paraId="2CDA37A3"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b/>
          <w:bCs/>
          <w:color w:val="000000"/>
        </w:rPr>
        <w:t>Details of the Mutual Recognition (Victoria) (</w:t>
      </w:r>
      <w:r w:rsidRPr="00CB437C">
        <w:rPr>
          <w:rFonts w:ascii="Times New Roman" w:hAnsi="Times New Roman" w:cs="Times New Roman"/>
          <w:b/>
          <w:bCs/>
          <w:color w:val="000000"/>
        </w:rPr>
        <w:t>Notification Requirement—Building, Plumbing, Architecture and Land Surveying industries</w:t>
      </w:r>
      <w:r w:rsidRPr="00FD5E72">
        <w:rPr>
          <w:rFonts w:ascii="Times New Roman" w:hAnsi="Times New Roman" w:cs="Times New Roman"/>
          <w:b/>
          <w:bCs/>
          <w:color w:val="000000"/>
        </w:rPr>
        <w:t>) Amendment Determination 2023</w:t>
      </w:r>
    </w:p>
    <w:p w14:paraId="4A953F0E"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b/>
          <w:bCs/>
          <w:color w:val="000000"/>
        </w:rPr>
      </w:pPr>
    </w:p>
    <w:p w14:paraId="5AA0E9EE"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b/>
          <w:bCs/>
          <w:color w:val="000000"/>
        </w:rPr>
        <w:t>Section 1 – Name</w:t>
      </w:r>
    </w:p>
    <w:p w14:paraId="6A3B343D"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p>
    <w:p w14:paraId="7C4FEDC2"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color w:val="000000"/>
        </w:rPr>
        <w:t xml:space="preserve">This section provides that this Determination is to be cited as the Mutual Recognition (Victoria) (Notification Requirement—Building, Plumbing, Architecture and Land Surveying </w:t>
      </w:r>
      <w:r>
        <w:rPr>
          <w:rFonts w:ascii="Times New Roman" w:hAnsi="Times New Roman" w:cs="Times New Roman"/>
          <w:color w:val="000000"/>
        </w:rPr>
        <w:t>I</w:t>
      </w:r>
      <w:r w:rsidRPr="00FD5E72">
        <w:rPr>
          <w:rFonts w:ascii="Times New Roman" w:hAnsi="Times New Roman" w:cs="Times New Roman"/>
          <w:color w:val="000000"/>
        </w:rPr>
        <w:t>ndustries) Amendment Determination 2023.</w:t>
      </w:r>
    </w:p>
    <w:p w14:paraId="2161375F"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b/>
          <w:bCs/>
          <w:color w:val="000000"/>
        </w:rPr>
      </w:pPr>
    </w:p>
    <w:p w14:paraId="2995EFC9"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b/>
          <w:bCs/>
          <w:color w:val="000000"/>
        </w:rPr>
        <w:t>Section 2 – Commencement</w:t>
      </w:r>
    </w:p>
    <w:p w14:paraId="781CB54D"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p>
    <w:p w14:paraId="00644F86"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color w:val="000000"/>
        </w:rPr>
        <w:t>This section provides the date on which the Amend</w:t>
      </w:r>
      <w:r>
        <w:rPr>
          <w:rFonts w:ascii="Times New Roman" w:hAnsi="Times New Roman" w:cs="Times New Roman"/>
          <w:color w:val="000000"/>
        </w:rPr>
        <w:t>ing</w:t>
      </w:r>
      <w:r w:rsidRPr="00FD5E72">
        <w:rPr>
          <w:rFonts w:ascii="Times New Roman" w:hAnsi="Times New Roman" w:cs="Times New Roman"/>
          <w:color w:val="000000"/>
        </w:rPr>
        <w:t xml:space="preserve"> Determination comes into operation</w:t>
      </w:r>
      <w:r>
        <w:rPr>
          <w:rFonts w:ascii="Times New Roman" w:hAnsi="Times New Roman" w:cs="Times New Roman"/>
          <w:color w:val="000000"/>
        </w:rPr>
        <w:t>, which is</w:t>
      </w:r>
      <w:r w:rsidRPr="00FD5E72">
        <w:rPr>
          <w:rFonts w:ascii="Times New Roman" w:hAnsi="Times New Roman" w:cs="Times New Roman"/>
          <w:color w:val="000000"/>
        </w:rPr>
        <w:t xml:space="preserve"> the day after the instrument is registered.</w:t>
      </w:r>
    </w:p>
    <w:p w14:paraId="234B8798"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p>
    <w:p w14:paraId="239DA9BD"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b/>
          <w:bCs/>
          <w:color w:val="000000"/>
        </w:rPr>
        <w:t>Section 3 – Authority</w:t>
      </w:r>
    </w:p>
    <w:p w14:paraId="72857F83"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p>
    <w:p w14:paraId="0679CC37"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color w:val="000000"/>
        </w:rPr>
        <w:t>This section outlines the authority through which the Amend</w:t>
      </w:r>
      <w:r>
        <w:rPr>
          <w:rFonts w:ascii="Times New Roman" w:hAnsi="Times New Roman" w:cs="Times New Roman"/>
          <w:color w:val="000000"/>
        </w:rPr>
        <w:t>ing</w:t>
      </w:r>
      <w:r w:rsidRPr="00FD5E72">
        <w:rPr>
          <w:rFonts w:ascii="Times New Roman" w:hAnsi="Times New Roman" w:cs="Times New Roman"/>
          <w:color w:val="000000"/>
        </w:rPr>
        <w:t xml:space="preserve"> Determination is made</w:t>
      </w:r>
      <w:r>
        <w:rPr>
          <w:rFonts w:ascii="Times New Roman" w:hAnsi="Times New Roman" w:cs="Times New Roman"/>
          <w:color w:val="000000"/>
        </w:rPr>
        <w:t>, which is</w:t>
      </w:r>
      <w:r w:rsidRPr="00FD5E72">
        <w:rPr>
          <w:rFonts w:ascii="Times New Roman" w:hAnsi="Times New Roman" w:cs="Times New Roman"/>
          <w:color w:val="000000"/>
        </w:rPr>
        <w:t xml:space="preserve"> section 42J of the </w:t>
      </w:r>
      <w:r w:rsidRPr="00FD5E72">
        <w:rPr>
          <w:rFonts w:ascii="Times New Roman" w:hAnsi="Times New Roman" w:cs="Times New Roman"/>
          <w:i/>
          <w:iCs/>
          <w:color w:val="000000"/>
        </w:rPr>
        <w:t xml:space="preserve">Mutual Recognition Act 1992 </w:t>
      </w:r>
      <w:r>
        <w:rPr>
          <w:rFonts w:ascii="Times New Roman" w:hAnsi="Times New Roman" w:cs="Times New Roman"/>
          <w:color w:val="000000"/>
        </w:rPr>
        <w:t xml:space="preserve">of the </w:t>
      </w:r>
      <w:r w:rsidRPr="00FD5E72">
        <w:rPr>
          <w:rFonts w:ascii="Times New Roman" w:hAnsi="Times New Roman" w:cs="Times New Roman"/>
          <w:color w:val="000000"/>
        </w:rPr>
        <w:t>Commonwealth.</w:t>
      </w:r>
    </w:p>
    <w:p w14:paraId="099C04C5"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b/>
          <w:bCs/>
          <w:color w:val="000000"/>
        </w:rPr>
      </w:pPr>
    </w:p>
    <w:p w14:paraId="416FA22E"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b/>
          <w:bCs/>
          <w:color w:val="000000"/>
        </w:rPr>
        <w:t>Section 4 – Schedules</w:t>
      </w:r>
    </w:p>
    <w:p w14:paraId="72AD836B"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p>
    <w:p w14:paraId="05978F5E"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i/>
          <w:iCs/>
          <w:color w:val="000000"/>
        </w:rPr>
      </w:pPr>
      <w:r w:rsidRPr="00FD5E72">
        <w:rPr>
          <w:rFonts w:ascii="Times New Roman" w:hAnsi="Times New Roman" w:cs="Times New Roman"/>
          <w:color w:val="000000" w:themeColor="text1"/>
        </w:rPr>
        <w:t>This section explains that each instrument that is specified in a Schedule is amended or repealed as set out in the applicable items in the Schedule concerned. Any other item in a Schedule to the Amend</w:t>
      </w:r>
      <w:r>
        <w:rPr>
          <w:rFonts w:ascii="Times New Roman" w:hAnsi="Times New Roman" w:cs="Times New Roman"/>
          <w:color w:val="000000" w:themeColor="text1"/>
        </w:rPr>
        <w:t>ing</w:t>
      </w:r>
      <w:r w:rsidRPr="00FD5E72">
        <w:rPr>
          <w:rFonts w:ascii="Times New Roman" w:hAnsi="Times New Roman" w:cs="Times New Roman"/>
          <w:color w:val="000000" w:themeColor="text1"/>
        </w:rPr>
        <w:t xml:space="preserve"> Determination has effect according to its terms.</w:t>
      </w:r>
    </w:p>
    <w:p w14:paraId="2263C76A"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b/>
          <w:bCs/>
          <w:color w:val="000000"/>
        </w:rPr>
      </w:pPr>
    </w:p>
    <w:p w14:paraId="68E6052C" w14:textId="77777777" w:rsidR="002F1E01" w:rsidRDefault="002F1E01" w:rsidP="002F1E0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Schedule 1, Clause 1 – Title</w:t>
      </w:r>
    </w:p>
    <w:p w14:paraId="5B6156C1" w14:textId="77777777" w:rsidR="002F1E01" w:rsidRDefault="002F1E01" w:rsidP="002F1E01">
      <w:pPr>
        <w:autoSpaceDE w:val="0"/>
        <w:autoSpaceDN w:val="0"/>
        <w:adjustRightInd w:val="0"/>
        <w:spacing w:after="0" w:line="240" w:lineRule="auto"/>
        <w:jc w:val="both"/>
        <w:rPr>
          <w:rFonts w:ascii="Times New Roman" w:hAnsi="Times New Roman" w:cs="Times New Roman"/>
          <w:color w:val="000000"/>
        </w:rPr>
      </w:pPr>
    </w:p>
    <w:p w14:paraId="404A07EC" w14:textId="77777777" w:rsidR="002F1E01" w:rsidRPr="006563C9" w:rsidRDefault="002F1E01" w:rsidP="002F1E0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This clause corrects a typographical error in the title of the Principal Determination.</w:t>
      </w:r>
    </w:p>
    <w:p w14:paraId="731ED275" w14:textId="77777777" w:rsidR="002F1E01" w:rsidRDefault="002F1E01" w:rsidP="002F1E01">
      <w:pPr>
        <w:autoSpaceDE w:val="0"/>
        <w:autoSpaceDN w:val="0"/>
        <w:adjustRightInd w:val="0"/>
        <w:spacing w:after="0" w:line="240" w:lineRule="auto"/>
        <w:jc w:val="both"/>
        <w:rPr>
          <w:rFonts w:ascii="Times New Roman" w:hAnsi="Times New Roman" w:cs="Times New Roman"/>
          <w:b/>
          <w:bCs/>
          <w:color w:val="000000"/>
        </w:rPr>
      </w:pPr>
    </w:p>
    <w:p w14:paraId="007CB7A9"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b/>
          <w:bCs/>
          <w:color w:val="000000"/>
        </w:rPr>
        <w:t xml:space="preserve">Schedule 1, Clause </w:t>
      </w:r>
      <w:r>
        <w:rPr>
          <w:rFonts w:ascii="Times New Roman" w:hAnsi="Times New Roman" w:cs="Times New Roman"/>
          <w:b/>
          <w:bCs/>
          <w:color w:val="000000"/>
        </w:rPr>
        <w:t>2</w:t>
      </w:r>
      <w:r w:rsidRPr="00FD5E72">
        <w:rPr>
          <w:rFonts w:ascii="Times New Roman" w:hAnsi="Times New Roman" w:cs="Times New Roman"/>
          <w:b/>
          <w:bCs/>
          <w:color w:val="000000"/>
        </w:rPr>
        <w:t xml:space="preserve"> – </w:t>
      </w:r>
      <w:r w:rsidRPr="00CA0555">
        <w:rPr>
          <w:rFonts w:ascii="Times New Roman" w:hAnsi="Times New Roman" w:cs="Times New Roman"/>
          <w:b/>
          <w:bCs/>
          <w:color w:val="000000"/>
        </w:rPr>
        <w:t>Clause 6 Notification Requirement</w:t>
      </w:r>
    </w:p>
    <w:p w14:paraId="4B9E8A43"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p>
    <w:p w14:paraId="1C2B0B34"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 xml:space="preserve">This clause </w:t>
      </w:r>
      <w:r>
        <w:rPr>
          <w:rFonts w:ascii="Times New Roman" w:hAnsi="Times New Roman" w:cs="Times New Roman"/>
          <w:color w:val="000000" w:themeColor="text1"/>
        </w:rPr>
        <w:t>substitutes</w:t>
      </w:r>
      <w:r w:rsidRPr="00FD5E72">
        <w:rPr>
          <w:rFonts w:ascii="Times New Roman" w:hAnsi="Times New Roman" w:cs="Times New Roman"/>
          <w:color w:val="000000" w:themeColor="text1"/>
        </w:rPr>
        <w:t xml:space="preserve"> clause 6 of the Principal Determination </w:t>
      </w:r>
      <w:r>
        <w:rPr>
          <w:rFonts w:ascii="Times New Roman" w:hAnsi="Times New Roman" w:cs="Times New Roman"/>
          <w:color w:val="000000" w:themeColor="text1"/>
        </w:rPr>
        <w:t>with</w:t>
      </w:r>
      <w:r w:rsidRPr="00FD5E7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 new </w:t>
      </w:r>
      <w:r w:rsidRPr="00FD5E72">
        <w:rPr>
          <w:rFonts w:ascii="Times New Roman" w:hAnsi="Times New Roman" w:cs="Times New Roman"/>
          <w:color w:val="000000" w:themeColor="text1"/>
        </w:rPr>
        <w:t xml:space="preserve">clause 6. The purpose of the </w:t>
      </w:r>
      <w:r>
        <w:rPr>
          <w:rFonts w:ascii="Times New Roman" w:hAnsi="Times New Roman" w:cs="Times New Roman"/>
          <w:color w:val="000000" w:themeColor="text1"/>
        </w:rPr>
        <w:t xml:space="preserve">new </w:t>
      </w:r>
      <w:r w:rsidRPr="00FD5E72">
        <w:rPr>
          <w:rFonts w:ascii="Times New Roman" w:hAnsi="Times New Roman" w:cs="Times New Roman"/>
          <w:color w:val="000000" w:themeColor="text1"/>
        </w:rPr>
        <w:t xml:space="preserve">clause </w:t>
      </w:r>
      <w:r>
        <w:rPr>
          <w:rFonts w:ascii="Times New Roman" w:hAnsi="Times New Roman" w:cs="Times New Roman"/>
          <w:color w:val="000000" w:themeColor="text1"/>
        </w:rPr>
        <w:t xml:space="preserve">6 </w:t>
      </w:r>
      <w:r w:rsidRPr="00FD5E72">
        <w:rPr>
          <w:rFonts w:ascii="Times New Roman" w:hAnsi="Times New Roman" w:cs="Times New Roman"/>
          <w:color w:val="000000" w:themeColor="text1"/>
        </w:rPr>
        <w:t xml:space="preserve">is to provide that registered architects, </w:t>
      </w:r>
      <w:r>
        <w:rPr>
          <w:rFonts w:ascii="Times New Roman" w:hAnsi="Times New Roman" w:cs="Times New Roman"/>
          <w:color w:val="000000" w:themeColor="text1"/>
        </w:rPr>
        <w:t xml:space="preserve">certain </w:t>
      </w:r>
      <w:r w:rsidRPr="00FD5E72">
        <w:rPr>
          <w:rFonts w:ascii="Times New Roman" w:hAnsi="Times New Roman" w:cs="Times New Roman"/>
          <w:color w:val="000000" w:themeColor="text1"/>
        </w:rPr>
        <w:t xml:space="preserve">building practitioners, </w:t>
      </w:r>
      <w:r>
        <w:rPr>
          <w:rFonts w:ascii="Times New Roman" w:hAnsi="Times New Roman" w:cs="Times New Roman"/>
          <w:color w:val="000000" w:themeColor="text1"/>
        </w:rPr>
        <w:t xml:space="preserve">certain </w:t>
      </w:r>
      <w:r w:rsidRPr="00FD5E72">
        <w:rPr>
          <w:rFonts w:ascii="Times New Roman" w:hAnsi="Times New Roman" w:cs="Times New Roman"/>
          <w:color w:val="000000" w:themeColor="text1"/>
        </w:rPr>
        <w:t>registered plumbers and licensed land surveyors must provide the relevant regulator with a notification under section 42J of the MRA prior to commencing work in Victoria under ADR.</w:t>
      </w:r>
    </w:p>
    <w:p w14:paraId="3A59872F"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themeColor="text1"/>
        </w:rPr>
      </w:pPr>
    </w:p>
    <w:p w14:paraId="17A3DFE2"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 xml:space="preserve">The clause excludes certain occupations from </w:t>
      </w:r>
      <w:r>
        <w:rPr>
          <w:rFonts w:ascii="Times New Roman" w:hAnsi="Times New Roman" w:cs="Times New Roman"/>
          <w:color w:val="000000" w:themeColor="text1"/>
        </w:rPr>
        <w:t xml:space="preserve">this </w:t>
      </w:r>
      <w:r w:rsidRPr="00FD5E72">
        <w:rPr>
          <w:rFonts w:ascii="Times New Roman" w:hAnsi="Times New Roman" w:cs="Times New Roman"/>
          <w:color w:val="000000" w:themeColor="text1"/>
        </w:rPr>
        <w:t xml:space="preserve">notification requirement. These occupations are excluded from </w:t>
      </w:r>
      <w:r>
        <w:rPr>
          <w:rFonts w:ascii="Times New Roman" w:hAnsi="Times New Roman" w:cs="Times New Roman"/>
          <w:color w:val="000000" w:themeColor="text1"/>
        </w:rPr>
        <w:t xml:space="preserve">the </w:t>
      </w:r>
      <w:r w:rsidRPr="00FD5E72">
        <w:rPr>
          <w:rFonts w:ascii="Times New Roman" w:hAnsi="Times New Roman" w:cs="Times New Roman"/>
          <w:color w:val="000000" w:themeColor="text1"/>
        </w:rPr>
        <w:t xml:space="preserve">notification requirement </w:t>
      </w:r>
      <w:r>
        <w:rPr>
          <w:rFonts w:ascii="Times New Roman" w:hAnsi="Times New Roman" w:cs="Times New Roman"/>
          <w:color w:val="000000" w:themeColor="text1"/>
        </w:rPr>
        <w:t xml:space="preserve">before commencing work in Victoria under ADR </w:t>
      </w:r>
      <w:r w:rsidRPr="00FD5E72">
        <w:rPr>
          <w:rFonts w:ascii="Times New Roman" w:hAnsi="Times New Roman" w:cs="Times New Roman"/>
          <w:color w:val="000000" w:themeColor="text1"/>
        </w:rPr>
        <w:t xml:space="preserve">because they </w:t>
      </w:r>
      <w:r>
        <w:rPr>
          <w:rFonts w:ascii="Times New Roman" w:hAnsi="Times New Roman" w:cs="Times New Roman"/>
          <w:color w:val="000000" w:themeColor="text1"/>
        </w:rPr>
        <w:t xml:space="preserve">are </w:t>
      </w:r>
      <w:r w:rsidRPr="00FD5E72">
        <w:rPr>
          <w:rFonts w:ascii="Times New Roman" w:hAnsi="Times New Roman" w:cs="Times New Roman"/>
          <w:color w:val="000000" w:themeColor="text1"/>
        </w:rPr>
        <w:t xml:space="preserve">not entitled to automatic deemed registration by reason of </w:t>
      </w:r>
      <w:r>
        <w:rPr>
          <w:rFonts w:ascii="Times New Roman" w:hAnsi="Times New Roman" w:cs="Times New Roman"/>
          <w:color w:val="000000" w:themeColor="text1"/>
        </w:rPr>
        <w:t xml:space="preserve">a </w:t>
      </w:r>
      <w:r w:rsidRPr="00FD5E72">
        <w:rPr>
          <w:rFonts w:ascii="Times New Roman" w:hAnsi="Times New Roman" w:cs="Times New Roman"/>
          <w:color w:val="000000" w:themeColor="text1"/>
        </w:rPr>
        <w:t>Ministerial Declaration</w:t>
      </w:r>
      <w:r>
        <w:rPr>
          <w:rFonts w:ascii="Times New Roman" w:hAnsi="Times New Roman" w:cs="Times New Roman"/>
          <w:color w:val="000000" w:themeColor="text1"/>
        </w:rPr>
        <w:t xml:space="preserve"> made under section 42S of the </w:t>
      </w:r>
      <w:r w:rsidRPr="00FD5E72">
        <w:rPr>
          <w:rFonts w:ascii="Times New Roman" w:hAnsi="Times New Roman" w:cs="Times New Roman"/>
          <w:i/>
          <w:iCs/>
          <w:color w:val="000000"/>
        </w:rPr>
        <w:t xml:space="preserve">Mutual Recognition Act 1992 </w:t>
      </w:r>
      <w:r>
        <w:rPr>
          <w:rFonts w:ascii="Times New Roman" w:hAnsi="Times New Roman" w:cs="Times New Roman"/>
          <w:color w:val="000000"/>
        </w:rPr>
        <w:t xml:space="preserve">of the </w:t>
      </w:r>
      <w:r w:rsidRPr="00FD5E72">
        <w:rPr>
          <w:rFonts w:ascii="Times New Roman" w:hAnsi="Times New Roman" w:cs="Times New Roman"/>
          <w:color w:val="000000"/>
        </w:rPr>
        <w:t>Commonwealth</w:t>
      </w:r>
      <w:r w:rsidRPr="00FD5E72">
        <w:rPr>
          <w:rFonts w:ascii="Times New Roman" w:hAnsi="Times New Roman" w:cs="Times New Roman"/>
          <w:color w:val="000000" w:themeColor="text1"/>
        </w:rPr>
        <w:t xml:space="preserve">. The occupations specified in the clause </w:t>
      </w:r>
      <w:r>
        <w:rPr>
          <w:rFonts w:ascii="Times New Roman" w:hAnsi="Times New Roman" w:cs="Times New Roman"/>
          <w:color w:val="000000" w:themeColor="text1"/>
        </w:rPr>
        <w:t>as being exempt from the notification requirement are</w:t>
      </w:r>
      <w:r w:rsidRPr="00FD5E72">
        <w:rPr>
          <w:rFonts w:ascii="Times New Roman" w:hAnsi="Times New Roman" w:cs="Times New Roman"/>
          <w:color w:val="000000" w:themeColor="text1"/>
        </w:rPr>
        <w:t>:</w:t>
      </w:r>
    </w:p>
    <w:p w14:paraId="04D0915C" w14:textId="77777777" w:rsidR="002F1E01" w:rsidRPr="00FD5E72" w:rsidRDefault="002F1E01" w:rsidP="002F1E0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 xml:space="preserve">All </w:t>
      </w:r>
      <w:r>
        <w:rPr>
          <w:rFonts w:ascii="Times New Roman" w:hAnsi="Times New Roman" w:cs="Times New Roman"/>
          <w:color w:val="000000" w:themeColor="text1"/>
        </w:rPr>
        <w:t>building practitioners who are registered as a</w:t>
      </w:r>
      <w:r w:rsidRPr="00FD5E72">
        <w:rPr>
          <w:rFonts w:ascii="Times New Roman" w:hAnsi="Times New Roman" w:cs="Times New Roman"/>
          <w:color w:val="000000" w:themeColor="text1"/>
        </w:rPr>
        <w:t xml:space="preserve"> building surveyor</w:t>
      </w:r>
      <w:r>
        <w:rPr>
          <w:rFonts w:ascii="Times New Roman" w:hAnsi="Times New Roman" w:cs="Times New Roman"/>
          <w:color w:val="000000" w:themeColor="text1"/>
        </w:rPr>
        <w:t>; and</w:t>
      </w:r>
    </w:p>
    <w:p w14:paraId="506528FF" w14:textId="77777777" w:rsidR="002F1E01" w:rsidRPr="00FD5E72" w:rsidRDefault="002F1E01" w:rsidP="002F1E01">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 xml:space="preserve">All plumbers </w:t>
      </w:r>
      <w:r w:rsidRPr="00DB2B28">
        <w:rPr>
          <w:rFonts w:ascii="Times New Roman" w:hAnsi="Times New Roman" w:cs="Times New Roman"/>
          <w:color w:val="000000" w:themeColor="text1"/>
        </w:rPr>
        <w:t xml:space="preserve">who </w:t>
      </w:r>
      <w:r>
        <w:rPr>
          <w:rFonts w:ascii="Times New Roman" w:hAnsi="Times New Roman" w:cs="Times New Roman"/>
          <w:color w:val="000000" w:themeColor="text1"/>
        </w:rPr>
        <w:t>are</w:t>
      </w:r>
      <w:r w:rsidRPr="00DB2B28">
        <w:rPr>
          <w:rFonts w:ascii="Times New Roman" w:hAnsi="Times New Roman" w:cs="Times New Roman"/>
          <w:color w:val="000000" w:themeColor="text1"/>
        </w:rPr>
        <w:t xml:space="preserve"> registered in any of the following classes of plumbing work</w:t>
      </w:r>
      <w:r w:rsidRPr="00FD5E72">
        <w:rPr>
          <w:rFonts w:ascii="Times New Roman" w:hAnsi="Times New Roman" w:cs="Times New Roman"/>
          <w:color w:val="000000" w:themeColor="text1"/>
        </w:rPr>
        <w:t>:</w:t>
      </w:r>
    </w:p>
    <w:p w14:paraId="53E2AFC7" w14:textId="77777777" w:rsidR="002F1E01" w:rsidRPr="00FD5E72" w:rsidRDefault="002F1E01" w:rsidP="002F1E01">
      <w:pPr>
        <w:pStyle w:val="ListParagraph"/>
        <w:numPr>
          <w:ilvl w:val="1"/>
          <w:numId w:val="7"/>
        </w:numPr>
        <w:autoSpaceDE w:val="0"/>
        <w:autoSpaceDN w:val="0"/>
        <w:adjustRightInd w:val="0"/>
        <w:spacing w:after="0" w:line="240" w:lineRule="auto"/>
        <w:jc w:val="both"/>
        <w:rPr>
          <w:rFonts w:ascii="Times New Roman" w:hAnsi="Times New Roman" w:cs="Times New Roman"/>
          <w:color w:val="000000" w:themeColor="text1"/>
        </w:rPr>
      </w:pPr>
      <w:proofErr w:type="spellStart"/>
      <w:r w:rsidRPr="00FD5E72">
        <w:rPr>
          <w:rFonts w:ascii="Times New Roman" w:hAnsi="Times New Roman" w:cs="Times New Roman"/>
          <w:color w:val="000000" w:themeColor="text1"/>
        </w:rPr>
        <w:t>gasfitting</w:t>
      </w:r>
      <w:proofErr w:type="spellEnd"/>
    </w:p>
    <w:p w14:paraId="3A7E49C6" w14:textId="77777777" w:rsidR="002F1E01" w:rsidRPr="00FD5E72" w:rsidRDefault="002F1E01" w:rsidP="002F1E01">
      <w:pPr>
        <w:pStyle w:val="ListParagraph"/>
        <w:numPr>
          <w:ilvl w:val="1"/>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Type A appliance conversion</w:t>
      </w:r>
    </w:p>
    <w:p w14:paraId="19E0FAA9" w14:textId="77777777" w:rsidR="002F1E01" w:rsidRPr="00FD5E72" w:rsidRDefault="002F1E01" w:rsidP="002F1E01">
      <w:pPr>
        <w:pStyle w:val="ListParagraph"/>
        <w:numPr>
          <w:ilvl w:val="1"/>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Type A appliance servicing</w:t>
      </w:r>
    </w:p>
    <w:p w14:paraId="66FCF50B" w14:textId="77777777" w:rsidR="002F1E01" w:rsidRPr="00FD5E72" w:rsidRDefault="002F1E01" w:rsidP="002F1E01">
      <w:pPr>
        <w:pStyle w:val="ListParagraph"/>
        <w:numPr>
          <w:ilvl w:val="1"/>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 xml:space="preserve">Type B </w:t>
      </w:r>
      <w:proofErr w:type="spellStart"/>
      <w:r w:rsidRPr="00FD5E72">
        <w:rPr>
          <w:rFonts w:ascii="Times New Roman" w:hAnsi="Times New Roman" w:cs="Times New Roman"/>
          <w:color w:val="000000" w:themeColor="text1"/>
        </w:rPr>
        <w:t>gasfitting</w:t>
      </w:r>
      <w:proofErr w:type="spellEnd"/>
    </w:p>
    <w:p w14:paraId="1151840F" w14:textId="77777777" w:rsidR="002F1E01" w:rsidRPr="00FD5E72" w:rsidRDefault="002F1E01" w:rsidP="002F1E01">
      <w:pPr>
        <w:pStyle w:val="ListParagraph"/>
        <w:numPr>
          <w:ilvl w:val="1"/>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 xml:space="preserve">Type B </w:t>
      </w:r>
      <w:proofErr w:type="spellStart"/>
      <w:r w:rsidRPr="00FD5E72">
        <w:rPr>
          <w:rFonts w:ascii="Times New Roman" w:hAnsi="Times New Roman" w:cs="Times New Roman"/>
          <w:color w:val="000000" w:themeColor="text1"/>
        </w:rPr>
        <w:t>gasfitting</w:t>
      </w:r>
      <w:proofErr w:type="spellEnd"/>
      <w:r w:rsidRPr="00FD5E72">
        <w:rPr>
          <w:rFonts w:ascii="Times New Roman" w:hAnsi="Times New Roman" w:cs="Times New Roman"/>
          <w:color w:val="000000" w:themeColor="text1"/>
        </w:rPr>
        <w:t xml:space="preserve"> advanced</w:t>
      </w:r>
    </w:p>
    <w:p w14:paraId="7F43FDD9" w14:textId="77777777" w:rsidR="002F1E01" w:rsidRPr="00FD5E72" w:rsidRDefault="002F1E01" w:rsidP="002F1E01">
      <w:pPr>
        <w:pStyle w:val="ListParagraph"/>
        <w:numPr>
          <w:ilvl w:val="1"/>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Fire protection</w:t>
      </w:r>
    </w:p>
    <w:p w14:paraId="6E6E7C31" w14:textId="77777777" w:rsidR="002F1E01" w:rsidRPr="00FD5E72" w:rsidRDefault="002F1E01" w:rsidP="002F1E01">
      <w:pPr>
        <w:pStyle w:val="ListParagraph"/>
        <w:numPr>
          <w:ilvl w:val="1"/>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Roofing (stormwater)</w:t>
      </w:r>
    </w:p>
    <w:p w14:paraId="1F9F6880" w14:textId="77777777" w:rsidR="002F1E01" w:rsidRPr="00FD5E72" w:rsidRDefault="002F1E01" w:rsidP="002F1E01">
      <w:pPr>
        <w:pStyle w:val="ListParagraph"/>
        <w:numPr>
          <w:ilvl w:val="1"/>
          <w:numId w:val="7"/>
        </w:num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Mechanical services.</w:t>
      </w:r>
    </w:p>
    <w:p w14:paraId="4178C45A"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p>
    <w:p w14:paraId="51117FF8"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color w:val="000000"/>
        </w:rPr>
        <w:lastRenderedPageBreak/>
        <w:t>The Amend</w:t>
      </w:r>
      <w:r>
        <w:rPr>
          <w:rFonts w:ascii="Times New Roman" w:hAnsi="Times New Roman" w:cs="Times New Roman"/>
          <w:color w:val="000000"/>
        </w:rPr>
        <w:t>ing</w:t>
      </w:r>
      <w:r w:rsidRPr="00FD5E72">
        <w:rPr>
          <w:rFonts w:ascii="Times New Roman" w:hAnsi="Times New Roman" w:cs="Times New Roman"/>
          <w:color w:val="000000"/>
        </w:rPr>
        <w:t xml:space="preserve"> Determination is made in accordance with paragraph 42</w:t>
      </w:r>
      <w:proofErr w:type="gramStart"/>
      <w:r w:rsidRPr="00FD5E72">
        <w:rPr>
          <w:rFonts w:ascii="Times New Roman" w:hAnsi="Times New Roman" w:cs="Times New Roman"/>
          <w:color w:val="000000"/>
        </w:rPr>
        <w:t>J(</w:t>
      </w:r>
      <w:proofErr w:type="gramEnd"/>
      <w:r w:rsidRPr="00FD5E72">
        <w:rPr>
          <w:rFonts w:ascii="Times New Roman" w:hAnsi="Times New Roman" w:cs="Times New Roman"/>
          <w:color w:val="000000"/>
        </w:rPr>
        <w:t xml:space="preserve">4) of the </w:t>
      </w:r>
      <w:r w:rsidRPr="00FD5E72">
        <w:rPr>
          <w:rFonts w:ascii="Times New Roman" w:hAnsi="Times New Roman" w:cs="Times New Roman"/>
          <w:i/>
          <w:iCs/>
          <w:color w:val="000000"/>
        </w:rPr>
        <w:t xml:space="preserve">Mutual Recognition Act 1992 </w:t>
      </w:r>
      <w:r>
        <w:rPr>
          <w:rFonts w:ascii="Times New Roman" w:hAnsi="Times New Roman" w:cs="Times New Roman"/>
          <w:color w:val="000000"/>
        </w:rPr>
        <w:t xml:space="preserve">of the </w:t>
      </w:r>
      <w:r w:rsidRPr="00FD5E72">
        <w:rPr>
          <w:rFonts w:ascii="Times New Roman" w:hAnsi="Times New Roman" w:cs="Times New Roman"/>
          <w:color w:val="000000"/>
        </w:rPr>
        <w:t xml:space="preserve">Commonwealth. A person intending to carry on at least one of the activities covered by the registrations listed in reliance on </w:t>
      </w:r>
      <w:r>
        <w:rPr>
          <w:rFonts w:ascii="Times New Roman" w:hAnsi="Times New Roman" w:cs="Times New Roman"/>
          <w:color w:val="000000"/>
        </w:rPr>
        <w:t>automatic deemed recognition</w:t>
      </w:r>
      <w:r w:rsidRPr="00FD5E72">
        <w:rPr>
          <w:rFonts w:ascii="Times New Roman" w:hAnsi="Times New Roman" w:cs="Times New Roman"/>
          <w:color w:val="000000"/>
        </w:rPr>
        <w:t xml:space="preserve"> must notify the local registration authority. This means that an individual cannot carry on the activity in Victoria without first providing notification. An individual may obtain the notification requirements through the local registration authority for the activity.</w:t>
      </w:r>
    </w:p>
    <w:p w14:paraId="27672DAE" w14:textId="77777777" w:rsidR="002F1E01" w:rsidRPr="00FD5E72" w:rsidRDefault="002F1E01" w:rsidP="002F1E01">
      <w:pPr>
        <w:jc w:val="both"/>
        <w:rPr>
          <w:rFonts w:ascii="Times New Roman" w:hAnsi="Times New Roman" w:cs="Times New Roman"/>
          <w:b/>
          <w:bCs/>
          <w:color w:val="000000"/>
        </w:rPr>
      </w:pPr>
    </w:p>
    <w:p w14:paraId="3C5024DB"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b/>
          <w:bCs/>
          <w:color w:val="000000"/>
        </w:rPr>
      </w:pPr>
      <w:r w:rsidRPr="00FD5E72">
        <w:rPr>
          <w:rFonts w:ascii="Times New Roman" w:hAnsi="Times New Roman" w:cs="Times New Roman"/>
          <w:b/>
          <w:bCs/>
          <w:color w:val="000000"/>
        </w:rPr>
        <w:t>Schedule 2, Clause 1—Clause 7 Notification Requirement</w:t>
      </w:r>
    </w:p>
    <w:p w14:paraId="69A2CBAF" w14:textId="77777777" w:rsidR="002F1E01" w:rsidRDefault="002F1E01" w:rsidP="002F1E01">
      <w:pPr>
        <w:autoSpaceDE w:val="0"/>
        <w:autoSpaceDN w:val="0"/>
        <w:adjustRightInd w:val="0"/>
        <w:spacing w:after="0" w:line="240" w:lineRule="auto"/>
        <w:jc w:val="both"/>
        <w:rPr>
          <w:rFonts w:ascii="Times New Roman" w:hAnsi="Times New Roman" w:cs="Times New Roman"/>
          <w:color w:val="000000" w:themeColor="text1"/>
        </w:rPr>
      </w:pPr>
    </w:p>
    <w:p w14:paraId="256CE885"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themeColor="text1"/>
        </w:rPr>
      </w:pPr>
      <w:r w:rsidRPr="00FD5E72">
        <w:rPr>
          <w:rFonts w:ascii="Times New Roman" w:hAnsi="Times New Roman" w:cs="Times New Roman"/>
          <w:color w:val="000000" w:themeColor="text1"/>
        </w:rPr>
        <w:t xml:space="preserve">This clause repeals clause 7 of the Principal Determination. The repeal of clause 7, in tandem with </w:t>
      </w:r>
      <w:r>
        <w:rPr>
          <w:rFonts w:ascii="Times New Roman" w:hAnsi="Times New Roman" w:cs="Times New Roman"/>
          <w:color w:val="000000" w:themeColor="text1"/>
        </w:rPr>
        <w:t xml:space="preserve">the substitution of </w:t>
      </w:r>
      <w:r w:rsidRPr="00FD5E72">
        <w:rPr>
          <w:rFonts w:ascii="Times New Roman" w:hAnsi="Times New Roman" w:cs="Times New Roman"/>
          <w:color w:val="000000" w:themeColor="text1"/>
        </w:rPr>
        <w:t xml:space="preserve">clause 6, ensure notification arrangements specified in the Principal Determination are consistent with occupations excluded from the operation of automatic deemed registration by way of </w:t>
      </w:r>
      <w:r>
        <w:rPr>
          <w:rFonts w:ascii="Times New Roman" w:hAnsi="Times New Roman" w:cs="Times New Roman"/>
          <w:color w:val="000000" w:themeColor="text1"/>
        </w:rPr>
        <w:t xml:space="preserve">a </w:t>
      </w:r>
      <w:r w:rsidRPr="00FD5E72">
        <w:rPr>
          <w:rFonts w:ascii="Times New Roman" w:hAnsi="Times New Roman" w:cs="Times New Roman"/>
          <w:color w:val="000000" w:themeColor="text1"/>
        </w:rPr>
        <w:t>Ministerial Declaration</w:t>
      </w:r>
      <w:r>
        <w:rPr>
          <w:rFonts w:ascii="Times New Roman" w:hAnsi="Times New Roman" w:cs="Times New Roman"/>
          <w:color w:val="000000" w:themeColor="text1"/>
        </w:rPr>
        <w:t xml:space="preserve"> made under section 42S of the </w:t>
      </w:r>
      <w:r w:rsidRPr="00FD5E72">
        <w:rPr>
          <w:rFonts w:ascii="Times New Roman" w:hAnsi="Times New Roman" w:cs="Times New Roman"/>
          <w:i/>
          <w:iCs/>
          <w:color w:val="000000"/>
        </w:rPr>
        <w:t xml:space="preserve">Mutual Recognition Act 1992 </w:t>
      </w:r>
      <w:r>
        <w:rPr>
          <w:rFonts w:ascii="Times New Roman" w:hAnsi="Times New Roman" w:cs="Times New Roman"/>
          <w:color w:val="000000"/>
        </w:rPr>
        <w:t xml:space="preserve">of the </w:t>
      </w:r>
      <w:r w:rsidRPr="00FD5E72">
        <w:rPr>
          <w:rFonts w:ascii="Times New Roman" w:hAnsi="Times New Roman" w:cs="Times New Roman"/>
          <w:color w:val="000000"/>
        </w:rPr>
        <w:t>Commonwealth</w:t>
      </w:r>
      <w:r w:rsidRPr="00FD5E72">
        <w:rPr>
          <w:rFonts w:ascii="Times New Roman" w:hAnsi="Times New Roman" w:cs="Times New Roman"/>
          <w:color w:val="000000" w:themeColor="text1"/>
        </w:rPr>
        <w:t>.</w:t>
      </w:r>
    </w:p>
    <w:p w14:paraId="5E20F807"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themeColor="text1"/>
        </w:rPr>
      </w:pPr>
    </w:p>
    <w:p w14:paraId="31D809D9"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r w:rsidRPr="00FD5E72">
        <w:rPr>
          <w:rFonts w:ascii="Times New Roman" w:hAnsi="Times New Roman" w:cs="Times New Roman"/>
          <w:color w:val="000000" w:themeColor="text1"/>
        </w:rPr>
        <w:t>It is intended that these changes clarify that only certain occupations are entitled to participate in automatic deemed registration and that notification arrangements can only apply to participating occupations.</w:t>
      </w:r>
    </w:p>
    <w:p w14:paraId="47FE937D" w14:textId="77777777" w:rsidR="002F1E01" w:rsidRPr="00FD5E72" w:rsidRDefault="002F1E01" w:rsidP="002F1E01">
      <w:pPr>
        <w:autoSpaceDE w:val="0"/>
        <w:autoSpaceDN w:val="0"/>
        <w:adjustRightInd w:val="0"/>
        <w:spacing w:after="0" w:line="240" w:lineRule="auto"/>
        <w:jc w:val="both"/>
        <w:rPr>
          <w:rFonts w:ascii="Times New Roman" w:hAnsi="Times New Roman" w:cs="Times New Roman"/>
          <w:color w:val="000000"/>
        </w:rPr>
      </w:pPr>
    </w:p>
    <w:p w14:paraId="0C6CEB18" w14:textId="77777777" w:rsidR="002F1E01" w:rsidRPr="00FD5E72" w:rsidRDefault="002F1E01" w:rsidP="002F1E01">
      <w:pPr>
        <w:autoSpaceDE w:val="0"/>
        <w:autoSpaceDN w:val="0"/>
        <w:adjustRightInd w:val="0"/>
        <w:spacing w:after="0" w:line="240" w:lineRule="auto"/>
        <w:rPr>
          <w:rFonts w:ascii="Times New Roman" w:hAnsi="Times New Roman" w:cs="Times New Roman"/>
          <w:color w:val="000000"/>
        </w:rPr>
      </w:pPr>
    </w:p>
    <w:p w14:paraId="4983B28A" w14:textId="77777777" w:rsidR="002F1E01" w:rsidRPr="00FD5E72" w:rsidRDefault="002F1E01" w:rsidP="002F1E01">
      <w:pPr>
        <w:autoSpaceDE w:val="0"/>
        <w:autoSpaceDN w:val="0"/>
        <w:adjustRightInd w:val="0"/>
        <w:spacing w:after="0" w:line="240" w:lineRule="auto"/>
        <w:rPr>
          <w:rFonts w:ascii="Times New Roman" w:hAnsi="Times New Roman" w:cs="Times New Roman"/>
          <w:color w:val="000000"/>
        </w:rPr>
      </w:pPr>
    </w:p>
    <w:p w14:paraId="5C652229" w14:textId="77777777" w:rsidR="002F1E01" w:rsidRPr="00FD5E72" w:rsidRDefault="002F1E01" w:rsidP="002F1E01">
      <w:pPr>
        <w:autoSpaceDE w:val="0"/>
        <w:autoSpaceDN w:val="0"/>
        <w:adjustRightInd w:val="0"/>
        <w:spacing w:after="0" w:line="240" w:lineRule="auto"/>
        <w:rPr>
          <w:rFonts w:ascii="Times New Roman" w:hAnsi="Times New Roman" w:cs="Times New Roman"/>
          <w:color w:val="000000"/>
        </w:rPr>
      </w:pPr>
    </w:p>
    <w:p w14:paraId="2EDC6A6B" w14:textId="77777777" w:rsidR="002F1E01" w:rsidRPr="00FD5E72" w:rsidRDefault="002F1E01" w:rsidP="002F1E01">
      <w:pPr>
        <w:autoSpaceDE w:val="0"/>
        <w:autoSpaceDN w:val="0"/>
        <w:adjustRightInd w:val="0"/>
        <w:spacing w:after="0" w:line="240" w:lineRule="auto"/>
        <w:rPr>
          <w:rFonts w:ascii="Times New Roman" w:hAnsi="Times New Roman" w:cs="Times New Roman"/>
          <w:color w:val="000000"/>
        </w:rPr>
      </w:pPr>
      <w:r w:rsidRPr="00FD5E72">
        <w:rPr>
          <w:rFonts w:ascii="Times New Roman" w:hAnsi="Times New Roman" w:cs="Times New Roman"/>
          <w:color w:val="000000"/>
        </w:rPr>
        <w:t>Sonya Kilkenny</w:t>
      </w:r>
    </w:p>
    <w:p w14:paraId="58EB5772" w14:textId="77777777" w:rsidR="002F1E01" w:rsidRPr="00FD5E72" w:rsidRDefault="002F1E01" w:rsidP="002F1E01">
      <w:pPr>
        <w:jc w:val="both"/>
        <w:rPr>
          <w:rFonts w:ascii="Times New Roman" w:hAnsi="Times New Roman" w:cs="Times New Roman"/>
        </w:rPr>
      </w:pPr>
      <w:r w:rsidRPr="00FD5E72">
        <w:rPr>
          <w:rFonts w:ascii="Times New Roman" w:hAnsi="Times New Roman" w:cs="Times New Roman"/>
          <w:color w:val="000000"/>
        </w:rPr>
        <w:t>Minister for Planning</w:t>
      </w:r>
      <w:r w:rsidRPr="0043412A">
        <w:rPr>
          <w:rFonts w:ascii="Times New Roman" w:hAnsi="Times New Roman" w:cs="Times New Roman"/>
          <w:color w:val="000000"/>
        </w:rPr>
        <w:t>, Victoria</w:t>
      </w:r>
    </w:p>
    <w:p w14:paraId="0F422026" w14:textId="4C3250E5" w:rsidR="00D673C9" w:rsidRPr="002F1E01" w:rsidRDefault="00D673C9" w:rsidP="002F1E01"/>
    <w:sectPr w:rsidR="00D673C9" w:rsidRPr="002F1E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2559" w14:textId="77777777" w:rsidR="003B3081" w:rsidRDefault="003B3081" w:rsidP="00D673C9">
      <w:pPr>
        <w:spacing w:after="0" w:line="240" w:lineRule="auto"/>
      </w:pPr>
      <w:r>
        <w:separator/>
      </w:r>
    </w:p>
  </w:endnote>
  <w:endnote w:type="continuationSeparator" w:id="0">
    <w:p w14:paraId="2D113A76" w14:textId="77777777" w:rsidR="003B3081" w:rsidRDefault="003B3081" w:rsidP="00D673C9">
      <w:pPr>
        <w:spacing w:after="0" w:line="240" w:lineRule="auto"/>
      </w:pPr>
      <w:r>
        <w:continuationSeparator/>
      </w:r>
    </w:p>
  </w:endnote>
  <w:endnote w:type="continuationNotice" w:id="1">
    <w:p w14:paraId="5B77BE11" w14:textId="77777777" w:rsidR="003B3081" w:rsidRDefault="003B3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7D11" w14:textId="77777777" w:rsidR="003B3081" w:rsidRDefault="003B3081" w:rsidP="00D673C9">
      <w:pPr>
        <w:spacing w:after="0" w:line="240" w:lineRule="auto"/>
      </w:pPr>
      <w:r>
        <w:separator/>
      </w:r>
    </w:p>
  </w:footnote>
  <w:footnote w:type="continuationSeparator" w:id="0">
    <w:p w14:paraId="5B009A31" w14:textId="77777777" w:rsidR="003B3081" w:rsidRDefault="003B3081" w:rsidP="00D673C9">
      <w:pPr>
        <w:spacing w:after="0" w:line="240" w:lineRule="auto"/>
      </w:pPr>
      <w:r>
        <w:continuationSeparator/>
      </w:r>
    </w:p>
  </w:footnote>
  <w:footnote w:type="continuationNotice" w:id="1">
    <w:p w14:paraId="3E1CA308" w14:textId="77777777" w:rsidR="003B3081" w:rsidRDefault="003B30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9B218"/>
    <w:multiLevelType w:val="hybridMultilevel"/>
    <w:tmpl w:val="9769E6FB"/>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266EE"/>
    <w:multiLevelType w:val="hybridMultilevel"/>
    <w:tmpl w:val="FB66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BA2E8A"/>
    <w:multiLevelType w:val="hybridMultilevel"/>
    <w:tmpl w:val="D3445AFA"/>
    <w:lvl w:ilvl="0" w:tplc="F2BEEE3E">
      <w:start w:val="1"/>
      <w:numFmt w:val="lowerLetter"/>
      <w:lvlText w:val="(%1)"/>
      <w:lvlJc w:val="left"/>
      <w:pPr>
        <w:ind w:left="1778" w:hanging="360"/>
      </w:pPr>
      <w:rPr>
        <w:rFonts w:hint="default"/>
      </w:rPr>
    </w:lvl>
    <w:lvl w:ilvl="1" w:tplc="0C09001B">
      <w:start w:val="1"/>
      <w:numFmt w:val="lowerRoman"/>
      <w:lvlText w:val="%2."/>
      <w:lvlJc w:val="right"/>
      <w:pPr>
        <w:ind w:left="2376" w:hanging="360"/>
      </w:pPr>
    </w:lvl>
    <w:lvl w:ilvl="2" w:tplc="0C09001B">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3" w15:restartNumberingAfterBreak="0">
    <w:nsid w:val="28DD5EA1"/>
    <w:multiLevelType w:val="hybridMultilevel"/>
    <w:tmpl w:val="34E6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26C57"/>
    <w:multiLevelType w:val="hybridMultilevel"/>
    <w:tmpl w:val="5A1AF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804CD3"/>
    <w:multiLevelType w:val="hybridMultilevel"/>
    <w:tmpl w:val="F84C03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3D2B12"/>
    <w:multiLevelType w:val="hybridMultilevel"/>
    <w:tmpl w:val="1AA0D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8B67E1"/>
    <w:multiLevelType w:val="hybridMultilevel"/>
    <w:tmpl w:val="FC82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8991647">
    <w:abstractNumId w:val="0"/>
  </w:num>
  <w:num w:numId="2" w16cid:durableId="434637553">
    <w:abstractNumId w:val="1"/>
  </w:num>
  <w:num w:numId="3" w16cid:durableId="92871581">
    <w:abstractNumId w:val="4"/>
  </w:num>
  <w:num w:numId="4" w16cid:durableId="712116634">
    <w:abstractNumId w:val="5"/>
  </w:num>
  <w:num w:numId="5" w16cid:durableId="189219656">
    <w:abstractNumId w:val="3"/>
  </w:num>
  <w:num w:numId="6" w16cid:durableId="843593809">
    <w:abstractNumId w:val="7"/>
  </w:num>
  <w:num w:numId="7" w16cid:durableId="1259367265">
    <w:abstractNumId w:val="6"/>
  </w:num>
  <w:num w:numId="8" w16cid:durableId="1918319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C9"/>
    <w:rsid w:val="00003D47"/>
    <w:rsid w:val="000154F9"/>
    <w:rsid w:val="00024103"/>
    <w:rsid w:val="0002781D"/>
    <w:rsid w:val="00030F18"/>
    <w:rsid w:val="000334B4"/>
    <w:rsid w:val="000429A4"/>
    <w:rsid w:val="000675F6"/>
    <w:rsid w:val="000730BB"/>
    <w:rsid w:val="00074D12"/>
    <w:rsid w:val="000759D2"/>
    <w:rsid w:val="00085071"/>
    <w:rsid w:val="000872C7"/>
    <w:rsid w:val="0009415C"/>
    <w:rsid w:val="00094D25"/>
    <w:rsid w:val="00096D10"/>
    <w:rsid w:val="00097641"/>
    <w:rsid w:val="000A0DA9"/>
    <w:rsid w:val="000B5382"/>
    <w:rsid w:val="000B5588"/>
    <w:rsid w:val="000B73E1"/>
    <w:rsid w:val="000B77CA"/>
    <w:rsid w:val="000B7EC0"/>
    <w:rsid w:val="000D4DA7"/>
    <w:rsid w:val="000D64AC"/>
    <w:rsid w:val="000E6C94"/>
    <w:rsid w:val="00100B0E"/>
    <w:rsid w:val="00103F43"/>
    <w:rsid w:val="00121E64"/>
    <w:rsid w:val="001223E1"/>
    <w:rsid w:val="00127E42"/>
    <w:rsid w:val="00150DAA"/>
    <w:rsid w:val="00151084"/>
    <w:rsid w:val="001527A8"/>
    <w:rsid w:val="0015322F"/>
    <w:rsid w:val="00155227"/>
    <w:rsid w:val="00155F83"/>
    <w:rsid w:val="001666BC"/>
    <w:rsid w:val="00167EED"/>
    <w:rsid w:val="00174E5E"/>
    <w:rsid w:val="00175D1D"/>
    <w:rsid w:val="00183252"/>
    <w:rsid w:val="0018436D"/>
    <w:rsid w:val="0019759E"/>
    <w:rsid w:val="001A6196"/>
    <w:rsid w:val="001A7E67"/>
    <w:rsid w:val="001C235D"/>
    <w:rsid w:val="001C38E7"/>
    <w:rsid w:val="001D2156"/>
    <w:rsid w:val="001D3E07"/>
    <w:rsid w:val="001E1968"/>
    <w:rsid w:val="001E4FBF"/>
    <w:rsid w:val="001F75AB"/>
    <w:rsid w:val="00202AD8"/>
    <w:rsid w:val="00202BF1"/>
    <w:rsid w:val="0020369E"/>
    <w:rsid w:val="002124F0"/>
    <w:rsid w:val="00213B0E"/>
    <w:rsid w:val="00215EEF"/>
    <w:rsid w:val="00221377"/>
    <w:rsid w:val="002621E7"/>
    <w:rsid w:val="00264172"/>
    <w:rsid w:val="002760FE"/>
    <w:rsid w:val="00290EBF"/>
    <w:rsid w:val="0029153C"/>
    <w:rsid w:val="002922BB"/>
    <w:rsid w:val="002926FD"/>
    <w:rsid w:val="00296F71"/>
    <w:rsid w:val="002A2277"/>
    <w:rsid w:val="002B13D8"/>
    <w:rsid w:val="002B48F8"/>
    <w:rsid w:val="002B6772"/>
    <w:rsid w:val="002C4A8E"/>
    <w:rsid w:val="002C7831"/>
    <w:rsid w:val="002D22F5"/>
    <w:rsid w:val="002D5A03"/>
    <w:rsid w:val="002D7233"/>
    <w:rsid w:val="002E0FFD"/>
    <w:rsid w:val="002E1725"/>
    <w:rsid w:val="002F1E01"/>
    <w:rsid w:val="003042D6"/>
    <w:rsid w:val="003129D4"/>
    <w:rsid w:val="0031771F"/>
    <w:rsid w:val="003300EA"/>
    <w:rsid w:val="00333A2B"/>
    <w:rsid w:val="00346214"/>
    <w:rsid w:val="0034632F"/>
    <w:rsid w:val="003546D6"/>
    <w:rsid w:val="00364201"/>
    <w:rsid w:val="00386B35"/>
    <w:rsid w:val="00391A42"/>
    <w:rsid w:val="00395704"/>
    <w:rsid w:val="003B22CF"/>
    <w:rsid w:val="003B3081"/>
    <w:rsid w:val="003B7876"/>
    <w:rsid w:val="003C3D73"/>
    <w:rsid w:val="003C449D"/>
    <w:rsid w:val="003D2446"/>
    <w:rsid w:val="003E0D78"/>
    <w:rsid w:val="003E1B7D"/>
    <w:rsid w:val="003F5A4B"/>
    <w:rsid w:val="00417C60"/>
    <w:rsid w:val="00421378"/>
    <w:rsid w:val="00427351"/>
    <w:rsid w:val="0043412A"/>
    <w:rsid w:val="00434C0E"/>
    <w:rsid w:val="0043504A"/>
    <w:rsid w:val="004378AE"/>
    <w:rsid w:val="00453DEB"/>
    <w:rsid w:val="004571C5"/>
    <w:rsid w:val="00461D9B"/>
    <w:rsid w:val="00465F7F"/>
    <w:rsid w:val="0047698B"/>
    <w:rsid w:val="004A620B"/>
    <w:rsid w:val="004D5FEA"/>
    <w:rsid w:val="004E7AF0"/>
    <w:rsid w:val="004F5124"/>
    <w:rsid w:val="004F52CE"/>
    <w:rsid w:val="004F57E4"/>
    <w:rsid w:val="004F5B2B"/>
    <w:rsid w:val="005009C3"/>
    <w:rsid w:val="005045B8"/>
    <w:rsid w:val="0050505E"/>
    <w:rsid w:val="0052712A"/>
    <w:rsid w:val="005420FC"/>
    <w:rsid w:val="005515DB"/>
    <w:rsid w:val="00556076"/>
    <w:rsid w:val="00557195"/>
    <w:rsid w:val="00571158"/>
    <w:rsid w:val="005A5685"/>
    <w:rsid w:val="005A72A2"/>
    <w:rsid w:val="005B4BAC"/>
    <w:rsid w:val="005B778A"/>
    <w:rsid w:val="005C08CC"/>
    <w:rsid w:val="005D228F"/>
    <w:rsid w:val="005E16D3"/>
    <w:rsid w:val="005E1B55"/>
    <w:rsid w:val="005E3238"/>
    <w:rsid w:val="005E51BB"/>
    <w:rsid w:val="005F0028"/>
    <w:rsid w:val="005F5F6D"/>
    <w:rsid w:val="0061465F"/>
    <w:rsid w:val="00615BC1"/>
    <w:rsid w:val="00624E4F"/>
    <w:rsid w:val="00631999"/>
    <w:rsid w:val="00634361"/>
    <w:rsid w:val="00640258"/>
    <w:rsid w:val="006522A4"/>
    <w:rsid w:val="00654ECD"/>
    <w:rsid w:val="00655814"/>
    <w:rsid w:val="00655EC2"/>
    <w:rsid w:val="006563C9"/>
    <w:rsid w:val="00656E7A"/>
    <w:rsid w:val="00657932"/>
    <w:rsid w:val="00662587"/>
    <w:rsid w:val="00662637"/>
    <w:rsid w:val="006800D3"/>
    <w:rsid w:val="006808D6"/>
    <w:rsid w:val="006A17DB"/>
    <w:rsid w:val="006A56C2"/>
    <w:rsid w:val="006B6BCE"/>
    <w:rsid w:val="006C0585"/>
    <w:rsid w:val="006C3FCA"/>
    <w:rsid w:val="006D26DC"/>
    <w:rsid w:val="006E5EBF"/>
    <w:rsid w:val="006F0436"/>
    <w:rsid w:val="006F4734"/>
    <w:rsid w:val="006F4F48"/>
    <w:rsid w:val="006F62C4"/>
    <w:rsid w:val="00712379"/>
    <w:rsid w:val="0071570B"/>
    <w:rsid w:val="00724AE3"/>
    <w:rsid w:val="0073206D"/>
    <w:rsid w:val="0073581C"/>
    <w:rsid w:val="00735E48"/>
    <w:rsid w:val="00744682"/>
    <w:rsid w:val="007518E5"/>
    <w:rsid w:val="00754C39"/>
    <w:rsid w:val="007656B7"/>
    <w:rsid w:val="00777F4B"/>
    <w:rsid w:val="00781CFA"/>
    <w:rsid w:val="00790FDC"/>
    <w:rsid w:val="0079521F"/>
    <w:rsid w:val="007B03C8"/>
    <w:rsid w:val="007B16BA"/>
    <w:rsid w:val="007B6B91"/>
    <w:rsid w:val="007B7738"/>
    <w:rsid w:val="007C306F"/>
    <w:rsid w:val="007C4306"/>
    <w:rsid w:val="007E6761"/>
    <w:rsid w:val="007E6ED5"/>
    <w:rsid w:val="007F14EC"/>
    <w:rsid w:val="007F6963"/>
    <w:rsid w:val="00805FAC"/>
    <w:rsid w:val="00826072"/>
    <w:rsid w:val="00832407"/>
    <w:rsid w:val="008421B2"/>
    <w:rsid w:val="00842F71"/>
    <w:rsid w:val="00847185"/>
    <w:rsid w:val="008537F0"/>
    <w:rsid w:val="00856740"/>
    <w:rsid w:val="00860478"/>
    <w:rsid w:val="00867E72"/>
    <w:rsid w:val="008760D9"/>
    <w:rsid w:val="008847B0"/>
    <w:rsid w:val="008943D6"/>
    <w:rsid w:val="00896A86"/>
    <w:rsid w:val="008970B9"/>
    <w:rsid w:val="008A0E0A"/>
    <w:rsid w:val="008A45B3"/>
    <w:rsid w:val="008A491A"/>
    <w:rsid w:val="008A76ED"/>
    <w:rsid w:val="008B17FF"/>
    <w:rsid w:val="008C1C17"/>
    <w:rsid w:val="008C475A"/>
    <w:rsid w:val="008C5ED5"/>
    <w:rsid w:val="008D038F"/>
    <w:rsid w:val="008D5AEC"/>
    <w:rsid w:val="008E1AE9"/>
    <w:rsid w:val="008E7816"/>
    <w:rsid w:val="008F121D"/>
    <w:rsid w:val="008F3EA5"/>
    <w:rsid w:val="008F6181"/>
    <w:rsid w:val="00910BCB"/>
    <w:rsid w:val="009263BE"/>
    <w:rsid w:val="009265BD"/>
    <w:rsid w:val="009552DC"/>
    <w:rsid w:val="00963A0E"/>
    <w:rsid w:val="0097048A"/>
    <w:rsid w:val="0097220C"/>
    <w:rsid w:val="009774F0"/>
    <w:rsid w:val="00977EB4"/>
    <w:rsid w:val="009840AE"/>
    <w:rsid w:val="009A409E"/>
    <w:rsid w:val="009C2214"/>
    <w:rsid w:val="009C2767"/>
    <w:rsid w:val="009D1A35"/>
    <w:rsid w:val="009D5CEE"/>
    <w:rsid w:val="009D7251"/>
    <w:rsid w:val="009E0E14"/>
    <w:rsid w:val="009E14C7"/>
    <w:rsid w:val="009F1439"/>
    <w:rsid w:val="00A030A4"/>
    <w:rsid w:val="00A1021E"/>
    <w:rsid w:val="00A144B9"/>
    <w:rsid w:val="00A150BE"/>
    <w:rsid w:val="00A1679D"/>
    <w:rsid w:val="00A16BA2"/>
    <w:rsid w:val="00A21CC2"/>
    <w:rsid w:val="00A309AE"/>
    <w:rsid w:val="00A37B23"/>
    <w:rsid w:val="00A46979"/>
    <w:rsid w:val="00A5678B"/>
    <w:rsid w:val="00A60061"/>
    <w:rsid w:val="00A60E12"/>
    <w:rsid w:val="00A66471"/>
    <w:rsid w:val="00A70922"/>
    <w:rsid w:val="00A777DA"/>
    <w:rsid w:val="00A84FAD"/>
    <w:rsid w:val="00AA0353"/>
    <w:rsid w:val="00AA0459"/>
    <w:rsid w:val="00AA18A1"/>
    <w:rsid w:val="00AA33BE"/>
    <w:rsid w:val="00AA3D62"/>
    <w:rsid w:val="00AB023E"/>
    <w:rsid w:val="00AC5095"/>
    <w:rsid w:val="00AC7A2E"/>
    <w:rsid w:val="00AD2F89"/>
    <w:rsid w:val="00AD7530"/>
    <w:rsid w:val="00AF7077"/>
    <w:rsid w:val="00B00B93"/>
    <w:rsid w:val="00B00D3D"/>
    <w:rsid w:val="00B13912"/>
    <w:rsid w:val="00B17978"/>
    <w:rsid w:val="00B357EB"/>
    <w:rsid w:val="00B40606"/>
    <w:rsid w:val="00B4206B"/>
    <w:rsid w:val="00B45753"/>
    <w:rsid w:val="00B46609"/>
    <w:rsid w:val="00B51D1E"/>
    <w:rsid w:val="00B63AF4"/>
    <w:rsid w:val="00B64A21"/>
    <w:rsid w:val="00B66C92"/>
    <w:rsid w:val="00B94DF5"/>
    <w:rsid w:val="00B97C1F"/>
    <w:rsid w:val="00BA581C"/>
    <w:rsid w:val="00BA61C4"/>
    <w:rsid w:val="00BC1FE3"/>
    <w:rsid w:val="00BD79C8"/>
    <w:rsid w:val="00BE2D8F"/>
    <w:rsid w:val="00BF35DF"/>
    <w:rsid w:val="00C111EB"/>
    <w:rsid w:val="00C16F8E"/>
    <w:rsid w:val="00C214CB"/>
    <w:rsid w:val="00C2275C"/>
    <w:rsid w:val="00C22DA7"/>
    <w:rsid w:val="00C27613"/>
    <w:rsid w:val="00C460ED"/>
    <w:rsid w:val="00C5404B"/>
    <w:rsid w:val="00C573EA"/>
    <w:rsid w:val="00C60083"/>
    <w:rsid w:val="00C62B0C"/>
    <w:rsid w:val="00C63FEC"/>
    <w:rsid w:val="00C648CD"/>
    <w:rsid w:val="00C64F5A"/>
    <w:rsid w:val="00C66272"/>
    <w:rsid w:val="00C710FE"/>
    <w:rsid w:val="00C8705A"/>
    <w:rsid w:val="00C90577"/>
    <w:rsid w:val="00C93279"/>
    <w:rsid w:val="00CA0555"/>
    <w:rsid w:val="00CB16C3"/>
    <w:rsid w:val="00CB437C"/>
    <w:rsid w:val="00CB59A8"/>
    <w:rsid w:val="00CC3615"/>
    <w:rsid w:val="00CC6EE5"/>
    <w:rsid w:val="00CD0A08"/>
    <w:rsid w:val="00CD133F"/>
    <w:rsid w:val="00CD2309"/>
    <w:rsid w:val="00CE4E67"/>
    <w:rsid w:val="00D04D3A"/>
    <w:rsid w:val="00D0623F"/>
    <w:rsid w:val="00D06F32"/>
    <w:rsid w:val="00D24166"/>
    <w:rsid w:val="00D317D9"/>
    <w:rsid w:val="00D332C1"/>
    <w:rsid w:val="00D41242"/>
    <w:rsid w:val="00D412F8"/>
    <w:rsid w:val="00D537A2"/>
    <w:rsid w:val="00D54889"/>
    <w:rsid w:val="00D61769"/>
    <w:rsid w:val="00D6213A"/>
    <w:rsid w:val="00D6224E"/>
    <w:rsid w:val="00D62D9A"/>
    <w:rsid w:val="00D673C9"/>
    <w:rsid w:val="00D94CE6"/>
    <w:rsid w:val="00DA76D4"/>
    <w:rsid w:val="00DB04E2"/>
    <w:rsid w:val="00DB0C67"/>
    <w:rsid w:val="00DB1AE8"/>
    <w:rsid w:val="00DB2B28"/>
    <w:rsid w:val="00DC07D4"/>
    <w:rsid w:val="00DC4D58"/>
    <w:rsid w:val="00DD0144"/>
    <w:rsid w:val="00DD0930"/>
    <w:rsid w:val="00DD656C"/>
    <w:rsid w:val="00DE04BD"/>
    <w:rsid w:val="00DE2973"/>
    <w:rsid w:val="00E1495D"/>
    <w:rsid w:val="00E14BA1"/>
    <w:rsid w:val="00E20AAF"/>
    <w:rsid w:val="00E21EE7"/>
    <w:rsid w:val="00E25870"/>
    <w:rsid w:val="00E31596"/>
    <w:rsid w:val="00E31E28"/>
    <w:rsid w:val="00E32219"/>
    <w:rsid w:val="00E344F4"/>
    <w:rsid w:val="00E41352"/>
    <w:rsid w:val="00E4233F"/>
    <w:rsid w:val="00E67199"/>
    <w:rsid w:val="00E73597"/>
    <w:rsid w:val="00E73F9A"/>
    <w:rsid w:val="00E7585F"/>
    <w:rsid w:val="00EB5C9C"/>
    <w:rsid w:val="00EB7277"/>
    <w:rsid w:val="00EC561A"/>
    <w:rsid w:val="00ED1688"/>
    <w:rsid w:val="00EE17DB"/>
    <w:rsid w:val="00EE75D9"/>
    <w:rsid w:val="00EF0682"/>
    <w:rsid w:val="00F06072"/>
    <w:rsid w:val="00F32839"/>
    <w:rsid w:val="00F346F5"/>
    <w:rsid w:val="00F3497C"/>
    <w:rsid w:val="00F45E91"/>
    <w:rsid w:val="00F472EF"/>
    <w:rsid w:val="00F5036A"/>
    <w:rsid w:val="00F5110B"/>
    <w:rsid w:val="00F54802"/>
    <w:rsid w:val="00F54BEF"/>
    <w:rsid w:val="00F56B0C"/>
    <w:rsid w:val="00F61808"/>
    <w:rsid w:val="00F65C8B"/>
    <w:rsid w:val="00F67AC6"/>
    <w:rsid w:val="00F734F9"/>
    <w:rsid w:val="00F738DF"/>
    <w:rsid w:val="00F8728B"/>
    <w:rsid w:val="00F914A3"/>
    <w:rsid w:val="00F91592"/>
    <w:rsid w:val="00F93E4D"/>
    <w:rsid w:val="00FB042F"/>
    <w:rsid w:val="00FB7CEC"/>
    <w:rsid w:val="00FC2625"/>
    <w:rsid w:val="00FD5E72"/>
    <w:rsid w:val="00FD6C3C"/>
    <w:rsid w:val="00FD791E"/>
    <w:rsid w:val="00FE3549"/>
    <w:rsid w:val="00FE5CFA"/>
    <w:rsid w:val="00FE7B20"/>
    <w:rsid w:val="00FF2FD9"/>
    <w:rsid w:val="00FF4BBF"/>
    <w:rsid w:val="05B1B1E2"/>
    <w:rsid w:val="092DDF13"/>
    <w:rsid w:val="0DCCF9C5"/>
    <w:rsid w:val="0E399442"/>
    <w:rsid w:val="149F877A"/>
    <w:rsid w:val="15201CC1"/>
    <w:rsid w:val="185816F8"/>
    <w:rsid w:val="18768D91"/>
    <w:rsid w:val="1B9BAC34"/>
    <w:rsid w:val="1D221D76"/>
    <w:rsid w:val="1F3733F6"/>
    <w:rsid w:val="218F4654"/>
    <w:rsid w:val="2295C843"/>
    <w:rsid w:val="2AC26DC1"/>
    <w:rsid w:val="2BB1431E"/>
    <w:rsid w:val="2DF6B484"/>
    <w:rsid w:val="33EC9AEA"/>
    <w:rsid w:val="345DBB76"/>
    <w:rsid w:val="36334CDA"/>
    <w:rsid w:val="3EA0F740"/>
    <w:rsid w:val="3F76CEA4"/>
    <w:rsid w:val="4105B886"/>
    <w:rsid w:val="4279DD6F"/>
    <w:rsid w:val="43E08C76"/>
    <w:rsid w:val="4418D082"/>
    <w:rsid w:val="457C5CD7"/>
    <w:rsid w:val="476C4EEA"/>
    <w:rsid w:val="4945312C"/>
    <w:rsid w:val="49E33D12"/>
    <w:rsid w:val="4B6170BA"/>
    <w:rsid w:val="4C6B6499"/>
    <w:rsid w:val="55F3076A"/>
    <w:rsid w:val="5C09AFAB"/>
    <w:rsid w:val="5D394D17"/>
    <w:rsid w:val="62BBEEE5"/>
    <w:rsid w:val="660CFE2A"/>
    <w:rsid w:val="66F62941"/>
    <w:rsid w:val="67BBBE41"/>
    <w:rsid w:val="685DDD92"/>
    <w:rsid w:val="69F15E62"/>
    <w:rsid w:val="6C12891A"/>
    <w:rsid w:val="6E963E6C"/>
    <w:rsid w:val="706F7B3D"/>
    <w:rsid w:val="75A56E02"/>
    <w:rsid w:val="7BD2484D"/>
    <w:rsid w:val="7E70EB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AD741"/>
  <w15:chartTrackingRefBased/>
  <w15:docId w15:val="{805926A3-9543-4FAE-8AF6-36E00B05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3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73C9"/>
    <w:pPr>
      <w:ind w:left="720"/>
      <w:contextualSpacing/>
    </w:pPr>
  </w:style>
  <w:style w:type="paragraph" w:styleId="Header">
    <w:name w:val="header"/>
    <w:basedOn w:val="Normal"/>
    <w:link w:val="HeaderChar"/>
    <w:uiPriority w:val="99"/>
    <w:unhideWhenUsed/>
    <w:rsid w:val="00D67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C9"/>
  </w:style>
  <w:style w:type="paragraph" w:styleId="Footer">
    <w:name w:val="footer"/>
    <w:basedOn w:val="Normal"/>
    <w:link w:val="FooterChar"/>
    <w:uiPriority w:val="99"/>
    <w:unhideWhenUsed/>
    <w:rsid w:val="00D67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C9"/>
  </w:style>
  <w:style w:type="character" w:styleId="CommentReference">
    <w:name w:val="annotation reference"/>
    <w:basedOn w:val="DefaultParagraphFont"/>
    <w:uiPriority w:val="99"/>
    <w:semiHidden/>
    <w:unhideWhenUsed/>
    <w:rsid w:val="00AA33BE"/>
    <w:rPr>
      <w:sz w:val="16"/>
      <w:szCs w:val="16"/>
    </w:rPr>
  </w:style>
  <w:style w:type="paragraph" w:styleId="CommentText">
    <w:name w:val="annotation text"/>
    <w:basedOn w:val="Normal"/>
    <w:link w:val="CommentTextChar"/>
    <w:uiPriority w:val="99"/>
    <w:semiHidden/>
    <w:unhideWhenUsed/>
    <w:rsid w:val="00AA33BE"/>
    <w:pPr>
      <w:spacing w:line="240" w:lineRule="auto"/>
    </w:pPr>
    <w:rPr>
      <w:sz w:val="20"/>
      <w:szCs w:val="20"/>
    </w:rPr>
  </w:style>
  <w:style w:type="character" w:customStyle="1" w:styleId="CommentTextChar">
    <w:name w:val="Comment Text Char"/>
    <w:basedOn w:val="DefaultParagraphFont"/>
    <w:link w:val="CommentText"/>
    <w:uiPriority w:val="99"/>
    <w:semiHidden/>
    <w:rsid w:val="00AA33BE"/>
    <w:rPr>
      <w:sz w:val="20"/>
      <w:szCs w:val="20"/>
    </w:rPr>
  </w:style>
  <w:style w:type="paragraph" w:styleId="CommentSubject">
    <w:name w:val="annotation subject"/>
    <w:basedOn w:val="CommentText"/>
    <w:next w:val="CommentText"/>
    <w:link w:val="CommentSubjectChar"/>
    <w:uiPriority w:val="99"/>
    <w:semiHidden/>
    <w:unhideWhenUsed/>
    <w:rsid w:val="00AA33BE"/>
    <w:rPr>
      <w:b/>
      <w:bCs/>
    </w:rPr>
  </w:style>
  <w:style w:type="character" w:customStyle="1" w:styleId="CommentSubjectChar">
    <w:name w:val="Comment Subject Char"/>
    <w:basedOn w:val="CommentTextChar"/>
    <w:link w:val="CommentSubject"/>
    <w:uiPriority w:val="99"/>
    <w:semiHidden/>
    <w:rsid w:val="00AA33BE"/>
    <w:rPr>
      <w:b/>
      <w:bCs/>
      <w:sz w:val="20"/>
      <w:szCs w:val="20"/>
    </w:rPr>
  </w:style>
  <w:style w:type="paragraph" w:customStyle="1" w:styleId="Tabletext">
    <w:name w:val="Tabletext"/>
    <w:aliases w:val="tt"/>
    <w:basedOn w:val="Normal"/>
    <w:rsid w:val="00FB042F"/>
    <w:pPr>
      <w:spacing w:before="60" w:after="0" w:line="240" w:lineRule="atLeast"/>
    </w:pPr>
    <w:rPr>
      <w:rFonts w:ascii="Times New Roman" w:eastAsia="Times New Roman" w:hAnsi="Times New Roman" w:cs="Times New Roman"/>
      <w:sz w:val="20"/>
      <w:szCs w:val="20"/>
      <w:lang w:eastAsia="en-AU"/>
    </w:rPr>
  </w:style>
  <w:style w:type="paragraph" w:styleId="FootnoteText">
    <w:name w:val="footnote text"/>
    <w:basedOn w:val="Normal"/>
    <w:link w:val="FootnoteTextChar"/>
    <w:uiPriority w:val="99"/>
    <w:semiHidden/>
    <w:unhideWhenUsed/>
    <w:rsid w:val="00100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B0E"/>
    <w:rPr>
      <w:sz w:val="20"/>
      <w:szCs w:val="20"/>
    </w:rPr>
  </w:style>
  <w:style w:type="character" w:styleId="FootnoteReference">
    <w:name w:val="footnote reference"/>
    <w:basedOn w:val="DefaultParagraphFont"/>
    <w:uiPriority w:val="99"/>
    <w:semiHidden/>
    <w:unhideWhenUsed/>
    <w:rsid w:val="00100B0E"/>
    <w:rPr>
      <w:vertAlign w:val="superscript"/>
    </w:rPr>
  </w:style>
  <w:style w:type="paragraph" w:customStyle="1" w:styleId="ActHead5">
    <w:name w:val="ActHead 5"/>
    <w:aliases w:val="s"/>
    <w:basedOn w:val="Normal"/>
    <w:next w:val="subsection"/>
    <w:link w:val="ActHead5Char"/>
    <w:qFormat/>
    <w:rsid w:val="00A7092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A7092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A7092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70922"/>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70922"/>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A030A4"/>
    <w:pPr>
      <w:spacing w:after="0" w:line="240" w:lineRule="auto"/>
    </w:pPr>
  </w:style>
  <w:style w:type="character" w:styleId="UnresolvedMention">
    <w:name w:val="Unresolved Mention"/>
    <w:basedOn w:val="DefaultParagraphFont"/>
    <w:uiPriority w:val="99"/>
    <w:unhideWhenUsed/>
    <w:rsid w:val="00A030A4"/>
    <w:rPr>
      <w:color w:val="605E5C"/>
      <w:shd w:val="clear" w:color="auto" w:fill="E1DFDD"/>
    </w:rPr>
  </w:style>
  <w:style w:type="character" w:styleId="Mention">
    <w:name w:val="Mention"/>
    <w:basedOn w:val="DefaultParagraphFont"/>
    <w:uiPriority w:val="99"/>
    <w:unhideWhenUsed/>
    <w:rsid w:val="00A030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5E82C3650D69084D9992F9272554754A" ma:contentTypeVersion="79" ma:contentTypeDescription="" ma:contentTypeScope="" ma:versionID="0af70858b89c5dd5e99442f8092e9dcd">
  <xsd:schema xmlns:xsd="http://www.w3.org/2001/XMLSchema" xmlns:xs="http://www.w3.org/2001/XMLSchema" xmlns:p="http://schemas.microsoft.com/office/2006/metadata/properties" xmlns:ns2="41b882ea-5471-4acc-9be7-964bad9c5681" xmlns:ns3="b6966acc-b579-4888-b68b-5ee1cc28672a" targetNamespace="http://schemas.microsoft.com/office/2006/metadata/properties" ma:root="true" ma:fieldsID="ee1808548361b827fbf767a72c464f55" ns2:_="" ns3:_="">
    <xsd:import namespace="41b882ea-5471-4acc-9be7-964bad9c5681"/>
    <xsd:import namespace="b6966acc-b579-4888-b68b-5ee1cc28672a"/>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2:RecordSubtype" minOccurs="0"/>
                <xsd:element ref="ns2:OrganisationLevel1" minOccurs="0"/>
                <xsd:element ref="ns2:OrganisationLevel2" minOccurs="0"/>
                <xsd:element ref="ns2:OrganisationLevel3"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2:DecisionMaker4fullname" minOccurs="0"/>
                <xsd:element ref="ns2:DecisionMaker4jobtitle" minOccurs="0"/>
                <xsd:element ref="ns2:DecisionMaker4workphone" minOccurs="0"/>
                <xsd:element ref="ns2:DecisionMaker4date" minOccurs="0"/>
                <xsd:element ref="ns3:MediaServiceMetadata" minOccurs="0"/>
                <xsd:element ref="ns3:MediaServiceFastMetadata" minOccurs="0"/>
                <xsd:element ref="ns3:MediaServiceObjectDetectorVersions" minOccurs="0"/>
                <xsd:element ref="ns2:DecisionMaker5fullname" minOccurs="0"/>
                <xsd:element ref="ns2:DecisionMaker5jobtitle" minOccurs="0"/>
                <xsd:element ref="ns2:DecisionMaker5workphone" minOccurs="0"/>
                <xsd:element ref="ns2:DecisionMaker5date" minOccurs="0"/>
                <xsd:element ref="ns2:DecisionMaker4decision" minOccurs="0"/>
                <xsd:element ref="ns2:DecisionMaker5dec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RecordSubtype" ma:index="74" nillable="true" ma:displayName="Record sub-type" ma:internalName="RecordSubtype" ma:readOnly="false">
      <xsd:simpleType>
        <xsd:restriction base="dms:Text">
          <xsd:maxLength value="255"/>
        </xsd:restriction>
      </xsd:simpleType>
    </xsd:element>
    <xsd:element name="OrganisationLevel1" ma:index="75" nillable="true" ma:displayName="Organisation level 1" ma:internalName="OrganisationLevel1" ma:readOnly="false">
      <xsd:simpleType>
        <xsd:restriction base="dms:Note">
          <xsd:maxLength value="255"/>
        </xsd:restriction>
      </xsd:simpleType>
    </xsd:element>
    <xsd:element name="OrganisationLevel2" ma:index="76" nillable="true" ma:displayName="Organisation level 2" ma:internalName="OrganisationLevel2" ma:readOnly="false">
      <xsd:simpleType>
        <xsd:restriction base="dms:Note">
          <xsd:maxLength value="255"/>
        </xsd:restriction>
      </xsd:simpleType>
    </xsd:element>
    <xsd:element name="OrganisationLevel3" ma:index="77" nillable="true" ma:displayName="Organisation level 3" ma:internalName="OrganisationLevel3" ma:readOnly="false">
      <xsd:simpleType>
        <xsd:restriction base="dms:Note">
          <xsd:maxLength value="255"/>
        </xsd:restriction>
      </xsd:simpleType>
    </xsd:element>
    <xsd:element name="DecisionMaker4fullname" ma:index="142" nillable="true" ma:displayName="Decision Maker4 Full name" ma:internalName="DecisionMaker4fullname">
      <xsd:simpleType>
        <xsd:restriction base="dms:Text">
          <xsd:maxLength value="255"/>
        </xsd:restriction>
      </xsd:simpleType>
    </xsd:element>
    <xsd:element name="DecisionMaker4jobtitle" ma:index="143" nillable="true" ma:displayName="Decision Maker4 Job title" ma:internalName="DecisionMaker4jobtitle">
      <xsd:simpleType>
        <xsd:restriction base="dms:Text">
          <xsd:maxLength value="255"/>
        </xsd:restriction>
      </xsd:simpleType>
    </xsd:element>
    <xsd:element name="DecisionMaker4workphone" ma:index="144" nillable="true" ma:displayName="Decision Maker4 Work phone" ma:internalName="DecisionMaker4workphone">
      <xsd:simpleType>
        <xsd:restriction base="dms:Text">
          <xsd:maxLength value="255"/>
        </xsd:restriction>
      </xsd:simpleType>
    </xsd:element>
    <xsd:element name="DecisionMaker4date" ma:index="145" nillable="true" ma:displayName="Decision Maker4 Date" ma:internalName="DecisionMaker4date">
      <xsd:simpleType>
        <xsd:restriction base="dms:Text">
          <xsd:maxLength value="255"/>
        </xsd:restriction>
      </xsd:simpleType>
    </xsd:element>
    <xsd:element name="DecisionMaker5fullname" ma:index="149" nillable="true" ma:displayName="Decision Maker5 Full name" ma:internalName="DecisionMaker5fullname">
      <xsd:simpleType>
        <xsd:restriction base="dms:Text">
          <xsd:maxLength value="255"/>
        </xsd:restriction>
      </xsd:simpleType>
    </xsd:element>
    <xsd:element name="DecisionMaker5jobtitle" ma:index="150" nillable="true" ma:displayName="Decision Maker5 Job title" ma:internalName="DecisionMaker5jobtitle">
      <xsd:simpleType>
        <xsd:restriction base="dms:Text">
          <xsd:maxLength value="255"/>
        </xsd:restriction>
      </xsd:simpleType>
    </xsd:element>
    <xsd:element name="DecisionMaker5workphone" ma:index="151" nillable="true" ma:displayName="Decision Maker5 Work phone" ma:internalName="DecisionMaker5workphone">
      <xsd:simpleType>
        <xsd:restriction base="dms:Text">
          <xsd:maxLength value="255"/>
        </xsd:restriction>
      </xsd:simpleType>
    </xsd:element>
    <xsd:element name="DecisionMaker5date" ma:index="152" nillable="true" ma:displayName="Decision Maker5 Date" ma:internalName="DecisionMaker5date">
      <xsd:simpleType>
        <xsd:restriction base="dms:Text">
          <xsd:maxLength value="255"/>
        </xsd:restriction>
      </xsd:simpleType>
    </xsd:element>
    <xsd:element name="DecisionMaker4decision" ma:index="153" nillable="true" ma:displayName="Decision Maker4 Decision" ma:internalName="DecisionMaker4decision">
      <xsd:simpleType>
        <xsd:restriction base="dms:Text">
          <xsd:maxLength value="255"/>
        </xsd:restriction>
      </xsd:simpleType>
    </xsd:element>
    <xsd:element name="DecisionMaker5decision" ma:index="154" nillable="true" ma:displayName="Decision Maker5 Decision" ma:internalName="DecisionMaker5dec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66acc-b579-4888-b68b-5ee1cc28672a" elementFormDefault="qualified">
    <xsd:import namespace="http://schemas.microsoft.com/office/2006/documentManagement/types"/>
    <xsd:import namespace="http://schemas.microsoft.com/office/infopath/2007/PartnerControls"/>
    <xsd:element name="Reviewer1fullname" ma:index="82" nillable="true" ma:displayName="Reviewer1 Full name" ma:default="" ma:internalName="Reviewer1fullname" ma:readOnly="false">
      <xsd:simpleType>
        <xsd:restriction base="dms:Text"/>
      </xsd:simpleType>
    </xsd:element>
    <xsd:element name="Reviewer1workphone" ma:index="83" nillable="true" ma:displayName="Reviewer1 Work phone" ma:default="" ma:internalName="Reviewer1workphone" ma:readOnly="false">
      <xsd:simpleType>
        <xsd:restriction base="dms:Text"/>
      </xsd:simpleType>
    </xsd:element>
    <xsd:element name="Reviewer1jobtitle" ma:index="84" nillable="true" ma:displayName="Reviewer1 Job title" ma:default="" ma:internalName="Reviewer1jobtitle" ma:readOnly="false">
      <xsd:simpleType>
        <xsd:restriction base="dms:Text"/>
      </xsd:simpleType>
    </xsd:element>
    <xsd:element name="Reviewer2fullname" ma:index="85" nillable="true" ma:displayName="Reviewer2 Full name" ma:default="" ma:internalName="Reviewer2fullname" ma:readOnly="false">
      <xsd:simpleType>
        <xsd:restriction base="dms:Text"/>
      </xsd:simpleType>
    </xsd:element>
    <xsd:element name="Reviewer2workphone" ma:index="86" nillable="true" ma:displayName="Reviewer2 Work phone" ma:default="" ma:internalName="Reviewer2workphone" ma:readOnly="false">
      <xsd:simpleType>
        <xsd:restriction base="dms:Text"/>
      </xsd:simpleType>
    </xsd:element>
    <xsd:element name="Reviewer2jobtitle" ma:index="87" nillable="true" ma:displayName="Reviewer2 Job title" ma:default="" ma:internalName="Reviewer2jobtitle" ma:readOnly="false">
      <xsd:simpleType>
        <xsd:restriction base="dms:Text"/>
      </xsd:simpleType>
    </xsd:element>
    <xsd:element name="Reviewer3fullname" ma:index="88" nillable="true" ma:displayName="Reviewer3 Full name" ma:default="" ma:internalName="Reviewer3fullname" ma:readOnly="false">
      <xsd:simpleType>
        <xsd:restriction base="dms:Text"/>
      </xsd:simpleType>
    </xsd:element>
    <xsd:element name="Reviewer3workphone" ma:index="89" nillable="true" ma:displayName="Reviewer3 Work phone" ma:default="" ma:internalName="Reviewer3workphone" ma:readOnly="false">
      <xsd:simpleType>
        <xsd:restriction base="dms:Text"/>
      </xsd:simpleType>
    </xsd:element>
    <xsd:element name="Reviewer3jobtitle" ma:index="90" nillable="true" ma:displayName="Reviewer3 Job title" ma:default="" ma:internalName="Reviewer3jobtitle" ma:readOnly="false">
      <xsd:simpleType>
        <xsd:restriction base="dms:Text"/>
      </xsd:simpleType>
    </xsd:element>
    <xsd:element name="Reviewer4fullname" ma:index="91" nillable="true" ma:displayName="Reviewer4 Full name" ma:default="" ma:internalName="Reviewer4fullname" ma:readOnly="false">
      <xsd:simpleType>
        <xsd:restriction base="dms:Text"/>
      </xsd:simpleType>
    </xsd:element>
    <xsd:element name="Reviewer4workphone" ma:index="92" nillable="true" ma:displayName="Reviewer4 Work phone" ma:default="" ma:internalName="Reviewer4workphone" ma:readOnly="false">
      <xsd:simpleType>
        <xsd:restriction base="dms:Text"/>
      </xsd:simpleType>
    </xsd:element>
    <xsd:element name="Reviewer4jobtitle" ma:index="93" nillable="true" ma:displayName="Reviewer4 Job title" ma:default="" ma:internalName="Reviewer4jobtitle" ma:readOnly="false">
      <xsd:simpleType>
        <xsd:restriction base="dms:Text"/>
      </xsd:simpleType>
    </xsd:element>
    <xsd:element name="Reviewer5fullname" ma:index="94" nillable="true" ma:displayName="Reviewer5 Full name" ma:default="" ma:internalName="Reviewer5fullname" ma:readOnly="false">
      <xsd:simpleType>
        <xsd:restriction base="dms:Text"/>
      </xsd:simpleType>
    </xsd:element>
    <xsd:element name="Reviewer5workphone" ma:index="95" nillable="true" ma:displayName="Reviewer5 Work phone" ma:default="" ma:internalName="Reviewer5workphone" ma:readOnly="false">
      <xsd:simpleType>
        <xsd:restriction base="dms:Text"/>
      </xsd:simpleType>
    </xsd:element>
    <xsd:element name="Reviewer5jobtitle" ma:index="96" nillable="true" ma:displayName="Reviewer5 Job title" ma:default="" ma:internalName="Reviewer5jobtitle" ma:readOnly="false">
      <xsd:simpleType>
        <xsd:restriction base="dms:Text"/>
      </xsd:simpleType>
    </xsd:element>
    <xsd:element name="Reviewer6fullname" ma:index="97" nillable="true" ma:displayName="Reviewer6 Full name" ma:default="" ma:internalName="Reviewer6fullname" ma:readOnly="false">
      <xsd:simpleType>
        <xsd:restriction base="dms:Text"/>
      </xsd:simpleType>
    </xsd:element>
    <xsd:element name="Reviewer6workphone" ma:index="98" nillable="true" ma:displayName="Reviewer6 Work phone" ma:default="" ma:internalName="Reviewer6workphone" ma:readOnly="false">
      <xsd:simpleType>
        <xsd:restriction base="dms:Text"/>
      </xsd:simpleType>
    </xsd:element>
    <xsd:element name="Reviewer6jobtitle" ma:index="99" nillable="true" ma:displayName="Reviewer6 Job title" ma:default="" ma:internalName="Reviewer6jobtitle" ma:readOnly="false">
      <xsd:simpleType>
        <xsd:restriction base="dms:Text"/>
      </xsd:simpleType>
    </xsd:element>
    <xsd:element name="Reviewer7fullname" ma:index="100" nillable="true" ma:displayName="Reviewer7 Full name" ma:default="" ma:internalName="Reviewer7fullname" ma:readOnly="false">
      <xsd:simpleType>
        <xsd:restriction base="dms:Text"/>
      </xsd:simpleType>
    </xsd:element>
    <xsd:element name="Reviewer7workphone" ma:index="101" nillable="true" ma:displayName="Reviewer7 Work phone" ma:default="" ma:internalName="Reviewer7workphone" ma:readOnly="false">
      <xsd:simpleType>
        <xsd:restriction base="dms:Text"/>
      </xsd:simpleType>
    </xsd:element>
    <xsd:element name="Reviewer7jobtitle" ma:index="102" nillable="true" ma:displayName="Reviewer7 Job title" ma:default="" ma:internalName="Reviewer7jobtitle" ma:readOnly="false">
      <xsd:simpleType>
        <xsd:restriction base="dms:Text"/>
      </xsd:simpleType>
    </xsd:element>
    <xsd:element name="Reviewer8fullname" ma:index="103" nillable="true" ma:displayName="Reviewer8 Full name" ma:default="" ma:internalName="Reviewer8fullname" ma:readOnly="false">
      <xsd:simpleType>
        <xsd:restriction base="dms:Text"/>
      </xsd:simpleType>
    </xsd:element>
    <xsd:element name="Reviewer8workphone" ma:index="104" nillable="true" ma:displayName="Reviewer8 Work phone" ma:default="" ma:internalName="Reviewer8workphone" ma:readOnly="false">
      <xsd:simpleType>
        <xsd:restriction base="dms:Text"/>
      </xsd:simpleType>
    </xsd:element>
    <xsd:element name="Reviewer8jobtitle" ma:index="105" nillable="true" ma:displayName="Reviewer8 Job title" ma:default="" ma:internalName="Reviewer8jobtitle" ma:readOnly="false">
      <xsd:simpleType>
        <xsd:restriction base="dms:Text"/>
      </xsd:simpleType>
    </xsd:element>
    <xsd:element name="Reviewer9fullname" ma:index="106" nillable="true" ma:displayName="Reviewer9 Full name" ma:default="" ma:internalName="Reviewer9fullname" ma:readOnly="false">
      <xsd:simpleType>
        <xsd:restriction base="dms:Text"/>
      </xsd:simpleType>
    </xsd:element>
    <xsd:element name="Reviewer9workphone" ma:index="107" nillable="true" ma:displayName="Reviewer9 Work phone" ma:default="" ma:internalName="Reviewer9workphone" ma:readOnly="false">
      <xsd:simpleType>
        <xsd:restriction base="dms:Text"/>
      </xsd:simpleType>
    </xsd:element>
    <xsd:element name="Reviewer9jobtitle" ma:index="108" nillable="true" ma:displayName="Reviewer9 Job title" ma:default="" ma:internalName="Reviewer9jobtitle" ma:readOnly="false">
      <xsd:simpleType>
        <xsd:restriction base="dms:Text"/>
      </xsd:simpleType>
    </xsd:element>
    <xsd:element name="Reviewer10fullname" ma:index="109" nillable="true" ma:displayName="Reviewer10 Full name" ma:default="" ma:internalName="Reviewer10fullname" ma:readOnly="false">
      <xsd:simpleType>
        <xsd:restriction base="dms:Text"/>
      </xsd:simpleType>
    </xsd:element>
    <xsd:element name="Reviewer10workphone" ma:index="110" nillable="true" ma:displayName="Reviewer10 Work phone" ma:default="" ma:internalName="Reviewer10workphone" ma:readOnly="false">
      <xsd:simpleType>
        <xsd:restriction base="dms:Text"/>
      </xsd:simpleType>
    </xsd:element>
    <xsd:element name="Reviewer10jobtitle" ma:index="111" nillable="true" ma:displayName="Reviewer10 Job title" ma:default="" ma:internalName="Reviewer10jobtitle" ma:readOnly="false">
      <xsd:simpleType>
        <xsd:restriction base="dms:Text"/>
      </xsd:simpleType>
    </xsd:element>
    <xsd:element name="Reviewer11fullname" ma:index="112" nillable="true" ma:displayName="Reviewer11 Full name" ma:default="" ma:internalName="Reviewer11fullname" ma:readOnly="false">
      <xsd:simpleType>
        <xsd:restriction base="dms:Text"/>
      </xsd:simpleType>
    </xsd:element>
    <xsd:element name="Reviewer11workphone" ma:index="113" nillable="true" ma:displayName="Reviewer11 Work phone" ma:default="" ma:internalName="Reviewer11workphone" ma:readOnly="false">
      <xsd:simpleType>
        <xsd:restriction base="dms:Text"/>
      </xsd:simpleType>
    </xsd:element>
    <xsd:element name="Reviewer11jobtitle" ma:index="114" nillable="true" ma:displayName="Reviewer11 Job title" ma:default="" ma:internalName="Reviewer11jobtitle" ma:readOnly="false">
      <xsd:simpleType>
        <xsd:restriction base="dms:Text"/>
      </xsd:simpleType>
    </xsd:element>
    <xsd:element name="Reviewer12fullname" ma:index="115" nillable="true" ma:displayName="Reviewer12 Full name" ma:default="" ma:internalName="Reviewer12fullname" ma:readOnly="false">
      <xsd:simpleType>
        <xsd:restriction base="dms:Text"/>
      </xsd:simpleType>
    </xsd:element>
    <xsd:element name="Reviewer12workphone" ma:index="116" nillable="true" ma:displayName="Reviewer12 Work phone" ma:default="" ma:internalName="Reviewer12workphone" ma:readOnly="false">
      <xsd:simpleType>
        <xsd:restriction base="dms:Text"/>
      </xsd:simpleType>
    </xsd:element>
    <xsd:element name="Reviewer12jobtitle" ma:index="117" nillable="true" ma:displayName="Reviewer12 Job title" ma:default="" ma:internalName="Reviewer12jobtitle" ma:readOnly="false">
      <xsd:simpleType>
        <xsd:restriction base="dms:Text"/>
      </xsd:simpleType>
    </xsd:element>
    <xsd:element name="Reviewer13fullname" ma:index="118" nillable="true" ma:displayName="Reviewer13 Full name" ma:default="" ma:internalName="Reviewer13fullname" ma:readOnly="false">
      <xsd:simpleType>
        <xsd:restriction base="dms:Text"/>
      </xsd:simpleType>
    </xsd:element>
    <xsd:element name="Reviewer13workphone" ma:index="119" nillable="true" ma:displayName="Reviewer13 Work phone" ma:default="" ma:internalName="Reviewer13workphone" ma:readOnly="false">
      <xsd:simpleType>
        <xsd:restriction base="dms:Text"/>
      </xsd:simpleType>
    </xsd:element>
    <xsd:element name="Reviewer13jobtitle" ma:index="120" nillable="true" ma:displayName="Reviewer13 Job title" ma:default="" ma:internalName="Reviewer13jobtitle" ma:readOnly="false">
      <xsd:simpleType>
        <xsd:restriction base="dms:Text"/>
      </xsd:simpleType>
    </xsd:element>
    <xsd:element name="Reviewer14fullname" ma:index="121" nillable="true" ma:displayName="Reviewer14 Full name" ma:default="" ma:internalName="Reviewer14fullname" ma:readOnly="false">
      <xsd:simpleType>
        <xsd:restriction base="dms:Text"/>
      </xsd:simpleType>
    </xsd:element>
    <xsd:element name="Reviewer14workphone" ma:index="122" nillable="true" ma:displayName="Reviewer14 Work phone" ma:default="" ma:internalName="Reviewer14workphone" ma:readOnly="false">
      <xsd:simpleType>
        <xsd:restriction base="dms:Text"/>
      </xsd:simpleType>
    </xsd:element>
    <xsd:element name="Reviewer14jobtitle" ma:index="123" nillable="true" ma:displayName="Reviewer14 Job title" ma:default="" ma:internalName="Reviewer14jobtitle" ma:readOnly="false">
      <xsd:simpleType>
        <xsd:restriction base="dms:Text"/>
      </xsd:simpleType>
    </xsd:element>
    <xsd:element name="Reviewer15fullname" ma:index="124" nillable="true" ma:displayName="Reviewer15 Full name" ma:default="" ma:internalName="Reviewer15fullname" ma:readOnly="false">
      <xsd:simpleType>
        <xsd:restriction base="dms:Text"/>
      </xsd:simpleType>
    </xsd:element>
    <xsd:element name="Reviewer15workphone" ma:index="125" nillable="true" ma:displayName="Reviewer15 Work phone" ma:default="" ma:internalName="Reviewer15workphone" ma:readOnly="false">
      <xsd:simpleType>
        <xsd:restriction base="dms:Text"/>
      </xsd:simpleType>
    </xsd:element>
    <xsd:element name="Reviewer15jobtitle" ma:index="126" nillable="true" ma:displayName="Reviewer15 Job title" ma:default="" ma:internalName="Reviewer15jobtitle" ma:readOnly="false">
      <xsd:simpleType>
        <xsd:restriction base="dms:Text"/>
      </xsd:simpleType>
    </xsd:element>
    <xsd:element name="Reviewer1date" ma:index="127" nillable="true" ma:displayName="Reviewer1 Date" ma:default="" ma:internalName="Reviewer1date" ma:readOnly="false">
      <xsd:simpleType>
        <xsd:restriction base="dms:Text"/>
      </xsd:simpleType>
    </xsd:element>
    <xsd:element name="Reviewer2date" ma:index="128" nillable="true" ma:displayName="Reviewer2 Date" ma:default="" ma:internalName="Reviewer2date" ma:readOnly="false">
      <xsd:simpleType>
        <xsd:restriction base="dms:Text"/>
      </xsd:simpleType>
    </xsd:element>
    <xsd:element name="Reviewer3date" ma:index="129" nillable="true" ma:displayName="Reviewer3 Date" ma:default="" ma:internalName="Reviewer3date" ma:readOnly="false">
      <xsd:simpleType>
        <xsd:restriction base="dms:Text"/>
      </xsd:simpleType>
    </xsd:element>
    <xsd:element name="Reviewer4date" ma:index="130" nillable="true" ma:displayName="Reviewer4 Date" ma:default="" ma:internalName="Reviewer4date" ma:readOnly="false">
      <xsd:simpleType>
        <xsd:restriction base="dms:Text"/>
      </xsd:simpleType>
    </xsd:element>
    <xsd:element name="Reviewer5date" ma:index="131" nillable="true" ma:displayName="Reviewer5 Date" ma:default="" ma:internalName="Reviewer5date" ma:readOnly="false">
      <xsd:simpleType>
        <xsd:restriction base="dms:Text"/>
      </xsd:simpleType>
    </xsd:element>
    <xsd:element name="Reviewer6date" ma:index="132" nillable="true" ma:displayName="Reviewer6 Date" ma:default="" ma:internalName="Reviewer6date" ma:readOnly="false">
      <xsd:simpleType>
        <xsd:restriction base="dms:Text"/>
      </xsd:simpleType>
    </xsd:element>
    <xsd:element name="Reviewer7date" ma:index="133" nillable="true" ma:displayName="Reviewer7 Date" ma:default="" ma:internalName="Reviewer7date" ma:readOnly="false">
      <xsd:simpleType>
        <xsd:restriction base="dms:Text"/>
      </xsd:simpleType>
    </xsd:element>
    <xsd:element name="Reviewer8date" ma:index="134" nillable="true" ma:displayName="Reviewer8 Date" ma:default="" ma:internalName="Reviewer8date" ma:readOnly="false">
      <xsd:simpleType>
        <xsd:restriction base="dms:Text"/>
      </xsd:simpleType>
    </xsd:element>
    <xsd:element name="Reviewer9date" ma:index="135" nillable="true" ma:displayName="Reviewer9 Date" ma:default="" ma:internalName="Reviewer9date" ma:readOnly="false">
      <xsd:simpleType>
        <xsd:restriction base="dms:Text"/>
      </xsd:simpleType>
    </xsd:element>
    <xsd:element name="Reviewer10date" ma:index="136" nillable="true" ma:displayName="Reviewer10 Date" ma:default="" ma:internalName="Reviewer10date" ma:readOnly="false">
      <xsd:simpleType>
        <xsd:restriction base="dms:Text"/>
      </xsd:simpleType>
    </xsd:element>
    <xsd:element name="Reviewer11date" ma:index="137" nillable="true" ma:displayName="Reviewer11 Date" ma:default="" ma:internalName="Reviewer11date" ma:readOnly="false">
      <xsd:simpleType>
        <xsd:restriction base="dms:Text"/>
      </xsd:simpleType>
    </xsd:element>
    <xsd:element name="Reviewer12date" ma:index="138" nillable="true" ma:displayName="Reviewer12 Date" ma:default="" ma:internalName="Reviewer12date" ma:readOnly="false">
      <xsd:simpleType>
        <xsd:restriction base="dms:Text"/>
      </xsd:simpleType>
    </xsd:element>
    <xsd:element name="Reviewer13date" ma:index="139" nillable="true" ma:displayName="Reviewer13 Date" ma:default="" ma:internalName="Reviewer13date" ma:readOnly="false">
      <xsd:simpleType>
        <xsd:restriction base="dms:Text"/>
      </xsd:simpleType>
    </xsd:element>
    <xsd:element name="Reviewer14date" ma:index="140" nillable="true" ma:displayName="Reviewer14 Date" ma:default="" ma:internalName="Reviewer14date" ma:readOnly="false">
      <xsd:simpleType>
        <xsd:restriction base="dms:Text"/>
      </xsd:simpleType>
    </xsd:element>
    <xsd:element name="Reviewer15date" ma:index="141" nillable="true" ma:displayName="Reviewer15 Date" ma:default="" ma:internalName="Reviewer15date" ma:readOnly="false">
      <xsd:simpleType>
        <xsd:restriction base="dms:Text"/>
      </xsd:simpleType>
    </xsd:element>
    <xsd:element name="MediaServiceMetadata" ma:index="146" nillable="true" ma:displayName="MediaServiceMetadata" ma:hidden="true" ma:internalName="MediaServiceMetadata" ma:readOnly="true">
      <xsd:simpleType>
        <xsd:restriction base="dms:Note"/>
      </xsd:simpleType>
    </xsd:element>
    <xsd:element name="MediaServiceFastMetadata" ma:index="147" nillable="true" ma:displayName="MediaServiceFastMetadata" ma:hidden="true" ma:internalName="MediaServiceFastMetadata" ma:readOnly="true">
      <xsd:simpleType>
        <xsd:restriction base="dms:Note"/>
      </xsd:simpleType>
    </xsd:element>
    <xsd:element name="MediaServiceObjectDetectorVersions" ma:index="14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commender2jobtitle xmlns="41b882ea-5471-4acc-9be7-964bad9c5681">Deputy Secretary Strategy and Precincts</Recommender2jobtitle>
    <Recommender3fullname xmlns="41b882ea-5471-4acc-9be7-964bad9c5681">Rob Pearce (DTP)</Recommender3fullname>
    <Recommender7jobtitle xmlns="41b882ea-5471-4acc-9be7-964bad9c5681" xsi:nil="true"/>
    <Recommender8fullname xmlns="41b882ea-5471-4acc-9be7-964bad9c5681" xsi:nil="true"/>
    <Recommender8jobtitle xmlns="41b882ea-5471-4acc-9be7-964bad9c5681" xsi:nil="true"/>
    <DecisionMaker2fullname xmlns="41b882ea-5471-4acc-9be7-964bad9c5681" xsi:nil="true"/>
    <RecommenderDueDate xmlns="41b882ea-5471-4acc-9be7-964bad9c5681">2023-10-17T13:00:00+00:00</RecommenderDueDate>
    <Notifydecisionfullname xmlns="41b882ea-5471-4acc-9be7-964bad9c5681" xsi:nil="true"/>
    <Recommender2date xmlns="41b882ea-5471-4acc-9be7-964bad9c5681">25/10/2023 03:18 PM</Recommender2date>
    <Recommender8date xmlns="41b882ea-5471-4acc-9be7-964bad9c5681" xsi:nil="true"/>
    <DecisionMaker3date xmlns="41b882ea-5471-4acc-9be7-964bad9c5681" xsi:nil="true"/>
    <Notifyrecommendationfullname xmlns="41b882ea-5471-4acc-9be7-964bad9c5681" xsi:nil="true"/>
    <DecisionMaker4date xmlns="41b882ea-5471-4acc-9be7-964bad9c5681" xsi:nil="true"/>
    <Recommender2workphone xmlns="41b882ea-5471-4acc-9be7-964bad9c5681">Australia</Recommender2workphone>
    <Recommender7workphone xmlns="41b882ea-5471-4acc-9be7-964bad9c5681" xsi:nil="true"/>
    <DecisionMaker2workphone xmlns="41b882ea-5471-4acc-9be7-964bad9c5681" xsi:nil="true"/>
    <EventDate xmlns="41b882ea-5471-4acc-9be7-964bad9c5681" xsi:nil="true"/>
    <TemplateID xmlns="41b882ea-5471-4acc-9be7-964bad9c5681" xsi:nil="true"/>
    <DecisionMaker3decision xmlns="41b882ea-5471-4acc-9be7-964bad9c5681" xsi:nil="true"/>
    <OrganisationLevel3 xmlns="41b882ea-5471-4acc-9be7-964bad9c5681">Planning and Building Reform</OrganisationLevel3>
    <AccountableOfficerworkphone xmlns="41b882ea-5471-4acc-9be7-964bad9c5681" xsi:nil="true"/>
    <RequestFrom xmlns="41b882ea-5471-4acc-9be7-964bad9c5681">Organisation</RequestFrom>
    <Recommender1jobtitle xmlns="41b882ea-5471-4acc-9be7-964bad9c5681">Deputy Secretary, Planning and Land Services</Recommender1jobtitle>
    <Recommender4fullname xmlns="41b882ea-5471-4acc-9be7-964bad9c5681">Paul Younis (DTP)</Recommender4fullname>
    <Recommender6jobtitle xmlns="41b882ea-5471-4acc-9be7-964bad9c5681" xsi:nil="true"/>
    <DecisionMaker1fullname xmlns="41b882ea-5471-4acc-9be7-964bad9c5681">Hon Sonya Kilkenny MP</DecisionMaker1fullname>
    <DecisionMaker4fullname xmlns="41b882ea-5471-4acc-9be7-964bad9c5681" xsi:nil="true"/>
    <Leadauthordate xmlns="41b882ea-5471-4acc-9be7-964bad9c5681">18/09/2023 09:39 AM</Leadauthordate>
    <Recommender5date xmlns="41b882ea-5471-4acc-9be7-964bad9c5681" xsi:nil="true"/>
    <Recommender1workphone xmlns="41b882ea-5471-4acc-9be7-964bad9c5681" xsi:nil="true"/>
    <Recommender6workphone xmlns="41b882ea-5471-4acc-9be7-964bad9c5681" xsi:nil="true"/>
    <DecisionMaker3workphone xmlns="41b882ea-5471-4acc-9be7-964bad9c5681" xsi:nil="true"/>
    <DecisionMaker2decision xmlns="41b882ea-5471-4acc-9be7-964bad9c5681" xsi:nil="true"/>
    <OrganisationLevel2 xmlns="41b882ea-5471-4acc-9be7-964bad9c5681">Planning &amp; Building Reform</OrganisationLevel2>
    <Organisation xmlns="41b882ea-5471-4acc-9be7-964bad9c5681">Department of Transport and Planning</Organisation>
    <AccountableOfficerdate xmlns="41b882ea-5471-4acc-9be7-964bad9c5681">16/10/2023 05:46 PM</AccountableOfficerdate>
    <Leadauthorjobtitle xmlns="41b882ea-5471-4acc-9be7-964bad9c5681">Senior Policy Officer </Leadauthorjobtitle>
    <Recommender5fullname xmlns="41b882ea-5471-4acc-9be7-964bad9c5681" xsi:nil="true"/>
    <Recommender5jobtitle xmlns="41b882ea-5471-4acc-9be7-964bad9c5681" xsi:nil="true"/>
    <DecisionMaker1jobtitle xmlns="41b882ea-5471-4acc-9be7-964bad9c5681">Minister Kilkenny's Office</DecisionMaker1jobtitle>
    <DecisionMakerDueDate xmlns="41b882ea-5471-4acc-9be7-964bad9c5681">2023-11-15T13:00:00+00:00</DecisionMakerDueDate>
    <RecordSubtype xmlns="41b882ea-5471-4acc-9be7-964bad9c5681">Ministerial Briefing</RecordSubtype>
    <DecisionMaker4jobtitle xmlns="41b882ea-5471-4acc-9be7-964bad9c5681" xsi:nil="true"/>
    <Recommender1date xmlns="41b882ea-5471-4acc-9be7-964bad9c5681">20/10/2023 05:51 PM</Recommender1date>
    <Recommender4date xmlns="41b882ea-5471-4acc-9be7-964bad9c5681">26/10/2023 04:42 PM</Recommender4date>
    <DecisionMaker1date xmlns="41b882ea-5471-4acc-9be7-964bad9c5681">13/11/2023 12:03 PM</DecisionMaker1date>
    <Recommender5workphone xmlns="41b882ea-5471-4acc-9be7-964bad9c5681" xsi:nil="true"/>
    <Decisioncategory xmlns="41b882ea-5471-4acc-9be7-964bad9c5681">Minister for Planning</Decisioncategory>
    <Recommender1fullname xmlns="41b882ea-5471-4acc-9be7-964bad9c5681">Andrew X McKeegan (DEECA)</Recommender1fullname>
    <Recommender4jobtitle xmlns="41b882ea-5471-4acc-9be7-964bad9c5681">Department Secretary</Recommender4jobtitle>
    <Recommender6fullname xmlns="41b882ea-5471-4acc-9be7-964bad9c5681" xsi:nil="true"/>
    <DecisionMaker2jobtitle xmlns="41b882ea-5471-4acc-9be7-964bad9c5681" xsi:nil="true"/>
    <AccountableOfficerjobtitle xmlns="41b882ea-5471-4acc-9be7-964bad9c5681">Acting Executive Director, Planning and Building Reform </AccountableOfficerjobtitle>
    <Recommender7date xmlns="41b882ea-5471-4acc-9be7-964bad9c5681" xsi:nil="true"/>
    <RecordSubject xmlns="41b882ea-5471-4acc-9be7-964bad9c5681">Continuation of exclusions from automatic mutual recognition</RecordSubject>
    <Leadauthorworkphone xmlns="41b882ea-5471-4acc-9be7-964bad9c5681" xsi:nil="true"/>
    <Recommender4workphone xmlns="41b882ea-5471-4acc-9be7-964bad9c5681">0383927000</Recommender4workphone>
    <DecisionRequired xmlns="41b882ea-5471-4acc-9be7-964bad9c5681" xsi:nil="true"/>
    <EventTime xmlns="41b882ea-5471-4acc-9be7-964bad9c5681" xsi:nil="true"/>
    <DecisionMaker1decision xmlns="41b882ea-5471-4acc-9be7-964bad9c5681" xsi:nil="true"/>
    <OrganisationLevel1 xmlns="41b882ea-5471-4acc-9be7-964bad9c5681">Planning</OrganisationLevel1>
    <RegistrationNumber xmlns="41b882ea-5471-4acc-9be7-964bad9c5681">BMIN-1-23-3609</RegistrationNumber>
    <Leadauthorfullname xmlns="41b882ea-5471-4acc-9be7-964bad9c5681">Raymond D Ryczkowski (DELWP)</Leadauthorfullname>
    <Recommender2fullname xmlns="41b882ea-5471-4acc-9be7-964bad9c5681">Natalie Reiter (DTP)</Recommender2fullname>
    <Recommender3jobtitle xmlns="41b882ea-5471-4acc-9be7-964bad9c5681">General Counsel</Recommender3jobtitle>
    <Recommender7fullname xmlns="41b882ea-5471-4acc-9be7-964bad9c5681" xsi:nil="true"/>
    <DecisionMaker3fullname xmlns="41b882ea-5471-4acc-9be7-964bad9c5681" xsi:nil="true"/>
    <DecisionMaker3jobtitle xmlns="41b882ea-5471-4acc-9be7-964bad9c5681" xsi:nil="true"/>
    <VersionNumber xmlns="41b882ea-5471-4acc-9be7-964bad9c5681" xsi:nil="true"/>
    <AccountableOfficerfullname xmlns="41b882ea-5471-4acc-9be7-964bad9c5681">Phil Burn (DELWP)</AccountableOfficerfullname>
    <Recommender3date xmlns="41b882ea-5471-4acc-9be7-964bad9c5681">26/10/2023 02:10 PM</Recommender3date>
    <Recommender6date xmlns="41b882ea-5471-4acc-9be7-964bad9c5681" xsi:nil="true"/>
    <DecisionMaker2date xmlns="41b882ea-5471-4acc-9be7-964bad9c5681" xsi:nil="true"/>
    <Recommender3workphone xmlns="41b882ea-5471-4acc-9be7-964bad9c5681">0383926486</Recommender3workphone>
    <Recommender8workphone xmlns="41b882ea-5471-4acc-9be7-964bad9c5681" xsi:nil="true"/>
    <DecisionMaker1workphone xmlns="41b882ea-5471-4acc-9be7-964bad9c5681" xsi:nil="true"/>
    <DocumentType xmlns="41b882ea-5471-4acc-9be7-964bad9c5681">Attachment</DocumentType>
    <DecisionMaker4workphone xmlns="41b882ea-5471-4acc-9be7-964bad9c5681" xsi:nil="true"/>
    <DecisionMaker5fullname xmlns="41b882ea-5471-4acc-9be7-964bad9c5681" xsi:nil="true"/>
    <DecisionMaker5workphone xmlns="41b882ea-5471-4acc-9be7-964bad9c5681" xsi:nil="true"/>
    <DecisionMaker4decision xmlns="41b882ea-5471-4acc-9be7-964bad9c5681" xsi:nil="true"/>
    <DecisionMaker5date xmlns="41b882ea-5471-4acc-9be7-964bad9c5681" xsi:nil="true"/>
    <DecisionMaker5jobtitle xmlns="41b882ea-5471-4acc-9be7-964bad9c5681" xsi:nil="true"/>
    <DecisionMaker5decision xmlns="41b882ea-5471-4acc-9be7-964bad9c5681" xsi:nil="true"/>
    <Reviewer11workphone xmlns="b6966acc-b579-4888-b68b-5ee1cc28672a" xsi:nil="true"/>
    <Reviewer1workphone xmlns="b6966acc-b579-4888-b68b-5ee1cc28672a" xsi:nil="true"/>
    <Reviewer2workphone xmlns="b6966acc-b579-4888-b68b-5ee1cc28672a" xsi:nil="true"/>
    <Reviewer9fullname xmlns="b6966acc-b579-4888-b68b-5ee1cc28672a" xsi:nil="true"/>
    <Reviewer13fullname xmlns="b6966acc-b579-4888-b68b-5ee1cc28672a" xsi:nil="true"/>
    <Reviewer13jobtitle xmlns="b6966acc-b579-4888-b68b-5ee1cc28672a" xsi:nil="true"/>
    <Reviewer14fullname xmlns="b6966acc-b579-4888-b68b-5ee1cc28672a" xsi:nil="true"/>
    <Reviewer14jobtitle xmlns="b6966acc-b579-4888-b68b-5ee1cc28672a" xsi:nil="true"/>
    <Reviewer8date xmlns="b6966acc-b579-4888-b68b-5ee1cc28672a" xsi:nil="true"/>
    <Reviewer3workphone xmlns="b6966acc-b579-4888-b68b-5ee1cc28672a" xsi:nil="true"/>
    <Reviewer8fullname xmlns="b6966acc-b579-4888-b68b-5ee1cc28672a" xsi:nil="true"/>
    <Reviewer9date xmlns="b6966acc-b579-4888-b68b-5ee1cc28672a" xsi:nil="true"/>
    <Reviewer10date xmlns="b6966acc-b579-4888-b68b-5ee1cc28672a" xsi:nil="true"/>
    <Reviewer4jobtitle xmlns="b6966acc-b579-4888-b68b-5ee1cc28672a" xsi:nil="true"/>
    <Reviewer5jobtitle xmlns="b6966acc-b579-4888-b68b-5ee1cc28672a" xsi:nil="true"/>
    <Reviewer6jobtitle xmlns="b6966acc-b579-4888-b68b-5ee1cc28672a" xsi:nil="true"/>
    <Reviewer10jobtitle xmlns="b6966acc-b579-4888-b68b-5ee1cc28672a" xsi:nil="true"/>
    <Reviewer12fullname xmlns="b6966acc-b579-4888-b68b-5ee1cc28672a" xsi:nil="true"/>
    <Reviewer15jobtitle xmlns="b6966acc-b579-4888-b68b-5ee1cc28672a" xsi:nil="true"/>
    <Reviewer7jobtitle xmlns="b6966acc-b579-4888-b68b-5ee1cc28672a" xsi:nil="true"/>
    <Reviewer11date xmlns="b6966acc-b579-4888-b68b-5ee1cc28672a" xsi:nil="true"/>
    <Reviewer14date xmlns="b6966acc-b579-4888-b68b-5ee1cc28672a" xsi:nil="true"/>
    <Reviewer12workphone xmlns="b6966acc-b579-4888-b68b-5ee1cc28672a" xsi:nil="true"/>
    <Reviewer2date xmlns="b6966acc-b579-4888-b68b-5ee1cc28672a" xsi:nil="true"/>
    <Reviewer1jobtitle xmlns="b6966acc-b579-4888-b68b-5ee1cc28672a" xsi:nil="true"/>
    <Reviewer3date xmlns="b6966acc-b579-4888-b68b-5ee1cc28672a" xsi:nil="true"/>
    <Reviewer2jobtitle xmlns="b6966acc-b579-4888-b68b-5ee1cc28672a" xsi:nil="true"/>
    <Reviewer11jobtitle xmlns="b6966acc-b579-4888-b68b-5ee1cc28672a" xsi:nil="true"/>
    <Reviewer3jobtitle xmlns="b6966acc-b579-4888-b68b-5ee1cc28672a" xsi:nil="true"/>
    <Reviewer1date xmlns="b6966acc-b579-4888-b68b-5ee1cc28672a" xsi:nil="true"/>
    <Reviewer12date xmlns="b6966acc-b579-4888-b68b-5ee1cc28672a" xsi:nil="true"/>
    <Reviewer15date xmlns="b6966acc-b579-4888-b68b-5ee1cc28672a" xsi:nil="true"/>
    <Reviewer3fullname xmlns="b6966acc-b579-4888-b68b-5ee1cc28672a" xsi:nil="true"/>
    <Reviewer8workphone xmlns="b6966acc-b579-4888-b68b-5ee1cc28672a" xsi:nil="true"/>
    <Reviewer13workphone xmlns="b6966acc-b579-4888-b68b-5ee1cc28672a" xsi:nil="true"/>
    <Reviewer14workphone xmlns="b6966acc-b579-4888-b68b-5ee1cc28672a" xsi:nil="true"/>
    <Reviewer6date xmlns="b6966acc-b579-4888-b68b-5ee1cc28672a" xsi:nil="true"/>
    <Reviewer2fullname xmlns="b6966acc-b579-4888-b68b-5ee1cc28672a" xsi:nil="true"/>
    <Reviewer9workphone xmlns="b6966acc-b579-4888-b68b-5ee1cc28672a" xsi:nil="true"/>
    <Reviewer7date xmlns="b6966acc-b579-4888-b68b-5ee1cc28672a" xsi:nil="true"/>
    <Reviewer1fullname xmlns="b6966acc-b579-4888-b68b-5ee1cc28672a" xsi:nil="true"/>
    <Reviewer11fullname xmlns="b6966acc-b579-4888-b68b-5ee1cc28672a" xsi:nil="true"/>
    <Reviewer4date xmlns="b6966acc-b579-4888-b68b-5ee1cc28672a" xsi:nil="true"/>
    <Reviewer5date xmlns="b6966acc-b579-4888-b68b-5ee1cc28672a" xsi:nil="true"/>
    <Reviewer13date xmlns="b6966acc-b579-4888-b68b-5ee1cc28672a" xsi:nil="true"/>
    <Reviewer4workphone xmlns="b6966acc-b579-4888-b68b-5ee1cc28672a" xsi:nil="true"/>
    <Reviewer7fullname xmlns="b6966acc-b579-4888-b68b-5ee1cc28672a" xsi:nil="true"/>
    <Reviewer8jobtitle xmlns="b6966acc-b579-4888-b68b-5ee1cc28672a" xsi:nil="true"/>
    <Reviewer10workphone xmlns="b6966acc-b579-4888-b68b-5ee1cc28672a" xsi:nil="true"/>
    <Reviewer15workphone xmlns="b6966acc-b579-4888-b68b-5ee1cc28672a" xsi:nil="true"/>
    <Reviewer5workphone xmlns="b6966acc-b579-4888-b68b-5ee1cc28672a" xsi:nil="true"/>
    <Reviewer6fullname xmlns="b6966acc-b579-4888-b68b-5ee1cc28672a" xsi:nil="true"/>
    <Reviewer9jobtitle xmlns="b6966acc-b579-4888-b68b-5ee1cc28672a" xsi:nil="true"/>
    <Reviewer5fullname xmlns="b6966acc-b579-4888-b68b-5ee1cc28672a" xsi:nil="true"/>
    <Reviewer6workphone xmlns="b6966acc-b579-4888-b68b-5ee1cc28672a" xsi:nil="true"/>
    <Reviewer10fullname xmlns="b6966acc-b579-4888-b68b-5ee1cc28672a" xsi:nil="true"/>
    <Reviewer12jobtitle xmlns="b6966acc-b579-4888-b68b-5ee1cc28672a" xsi:nil="true"/>
    <Reviewer15fullname xmlns="b6966acc-b579-4888-b68b-5ee1cc28672a" xsi:nil="true"/>
    <Reviewer4fullname xmlns="b6966acc-b579-4888-b68b-5ee1cc28672a" xsi:nil="true"/>
    <Reviewer7workphone xmlns="b6966acc-b579-4888-b68b-5ee1cc28672a" xsi:nil="true"/>
  </documentManagement>
</p:properties>
</file>

<file path=customXml/itemProps1.xml><?xml version="1.0" encoding="utf-8"?>
<ds:datastoreItem xmlns:ds="http://schemas.openxmlformats.org/officeDocument/2006/customXml" ds:itemID="{C169321F-5FFE-4E5B-A24E-28C17B046637}">
  <ds:schemaRefs>
    <ds:schemaRef ds:uri="http://schemas.microsoft.com/sharepoint/v3/contenttype/forms"/>
  </ds:schemaRefs>
</ds:datastoreItem>
</file>

<file path=customXml/itemProps2.xml><?xml version="1.0" encoding="utf-8"?>
<ds:datastoreItem xmlns:ds="http://schemas.openxmlformats.org/officeDocument/2006/customXml" ds:itemID="{CFA3FFAD-599F-4EE7-A446-4389B853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82ea-5471-4acc-9be7-964bad9c5681"/>
    <ds:schemaRef ds:uri="b6966acc-b579-4888-b68b-5ee1cc28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E0B7D-6771-450E-8E7E-187C71337E31}">
  <ds:schemaRefs>
    <ds:schemaRef ds:uri="http://schemas.openxmlformats.org/officeDocument/2006/bibliography"/>
  </ds:schemaRefs>
</ds:datastoreItem>
</file>

<file path=customXml/itemProps4.xml><?xml version="1.0" encoding="utf-8"?>
<ds:datastoreItem xmlns:ds="http://schemas.openxmlformats.org/officeDocument/2006/customXml" ds:itemID="{A8C33ACE-55CC-4AB6-81D9-7B311A166BBC}">
  <ds:schemaRefs>
    <ds:schemaRef ds:uri="http://schemas.microsoft.com/office/2006/documentManagement/types"/>
    <ds:schemaRef ds:uri="http://schemas.microsoft.com/sharepoint/v3"/>
    <ds:schemaRef ds:uri="a5f32de4-e402-4188-b034-e71ca7d22e54"/>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c316012f-73ee-4473-8465-3fe5bdde8b5d"/>
    <ds:schemaRef ds:uri="http://www.w3.org/XML/1998/namespace"/>
    <ds:schemaRef ds:uri="9fd47c19-1c4a-4d7d-b342-c10cef269344"/>
    <ds:schemaRef ds:uri="http://purl.org/dc/dcmitype/"/>
    <ds:schemaRef ds:uri="http://purl.org/dc/terms/"/>
    <ds:schemaRef ds:uri="41b882ea-5471-4acc-9be7-964bad9c5681"/>
    <ds:schemaRef ds:uri="b6966acc-b579-4888-b68b-5ee1cc28672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Vukic (DELWP)</dc:creator>
  <cp:keywords/>
  <dc:description/>
  <cp:lastModifiedBy>Fawn Goodall</cp:lastModifiedBy>
  <cp:revision>5</cp:revision>
  <dcterms:created xsi:type="dcterms:W3CDTF">2023-09-11T03:21:00Z</dcterms:created>
  <dcterms:modified xsi:type="dcterms:W3CDTF">2023-11-28T03:27:00Z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0x010100AE34E566B10E3A4ABB0D226C26EF6D0A02005E82C3650D69084D9992F9272554754A</vt:lpwstr>
  </property>
  <property fmtid="{D5CDD505-2E9C-101B-9397-08002B2CF9AE}" pid="3" name="Section">
    <vt:lpwstr>8;#All|8270565e-a836-42c0-aa61-1ac7b0ff14aa</vt:lpwstr>
  </property>
  <property fmtid="{D5CDD505-2E9C-101B-9397-08002B2CF9AE}" pid="4" name="Project">
    <vt:lpwstr>12</vt:lpwstr>
  </property>
  <property fmtid="{D5CDD505-2E9C-101B-9397-08002B2CF9AE}" pid="5" name="Agency">
    <vt:lpwstr>1;#Department of Environment, Land, Water and Planning|607a3f87-1228-4cd9-82a5-076aa8776274</vt:lpwstr>
  </property>
  <property fmtid="{D5CDD505-2E9C-101B-9397-08002B2CF9AE}" pid="6" name="Branch">
    <vt:lpwstr>221;#Building Policy|e3e3f3b5-5516-45b8-b2f2-287e2aae5979</vt:lpwstr>
  </property>
  <property fmtid="{D5CDD505-2E9C-101B-9397-08002B2CF9AE}" pid="7" name="Planning Branch">
    <vt:lpwstr>;#Building Policy;#</vt:lpwstr>
  </property>
  <property fmtid="{D5CDD505-2E9C-101B-9397-08002B2CF9AE}" pid="8" name="Financial Year">
    <vt:lpwstr>2020-21</vt:lpwstr>
  </property>
  <property fmtid="{D5CDD505-2E9C-101B-9397-08002B2CF9AE}" pid="9" name="Division">
    <vt:lpwstr>25;#Building|68e23cc3-49e2-4028-a235-fac9faf71ce8</vt:lpwstr>
  </property>
  <property fmtid="{D5CDD505-2E9C-101B-9397-08002B2CF9AE}" pid="10" name="Group1">
    <vt:lpwstr>4;#Planning|a27341dd-7be7-4882-a552-a667d667e276</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Project_x0020_Topic">
    <vt:lpwstr/>
  </property>
  <property fmtid="{D5CDD505-2E9C-101B-9397-08002B2CF9AE}" pid="14" name="Sub-Section">
    <vt:lpwstr/>
  </property>
  <property fmtid="{D5CDD505-2E9C-101B-9397-08002B2CF9AE}" pid="15" name="ob4d89e39ff8463ba289f41058eed88c">
    <vt:lpwstr/>
  </property>
  <property fmtid="{D5CDD505-2E9C-101B-9397-08002B2CF9AE}" pid="16" name="o85941e134754762b9719660a258a6e6">
    <vt:lpwstr/>
  </property>
  <property fmtid="{D5CDD505-2E9C-101B-9397-08002B2CF9AE}" pid="17" name="Reference_x0020_Type">
    <vt:lpwstr/>
  </property>
  <property fmtid="{D5CDD505-2E9C-101B-9397-08002B2CF9AE}" pid="18" name="Copyright_x0020_Licence_x0020_Name">
    <vt:lpwstr/>
  </property>
  <property fmtid="{D5CDD505-2E9C-101B-9397-08002B2CF9AE}" pid="19" name="df723ab3fe1c4eb7a0b151674e7ac40d">
    <vt:lpwstr/>
  </property>
  <property fmtid="{D5CDD505-2E9C-101B-9397-08002B2CF9AE}" pid="20" name="Copyright_x0020_License_x0020_Type">
    <vt:lpwstr/>
  </property>
  <property fmtid="{D5CDD505-2E9C-101B-9397-08002B2CF9AE}" pid="21" name="ld508a88e6264ce89693af80a72862cb">
    <vt:lpwstr/>
  </property>
  <property fmtid="{D5CDD505-2E9C-101B-9397-08002B2CF9AE}" pid="22" name="Reference Type">
    <vt:lpwstr/>
  </property>
  <property fmtid="{D5CDD505-2E9C-101B-9397-08002B2CF9AE}" pid="23" name="Copyright Licence Name">
    <vt:lpwstr/>
  </property>
  <property fmtid="{D5CDD505-2E9C-101B-9397-08002B2CF9AE}" pid="24" name="Copyright License Type">
    <vt:lpwstr/>
  </property>
  <property fmtid="{D5CDD505-2E9C-101B-9397-08002B2CF9AE}" pid="25" name="Project Topic">
    <vt:lpwstr/>
  </property>
  <property fmtid="{D5CDD505-2E9C-101B-9397-08002B2CF9AE}" pid="26" name="_dlc_DocIdItemGuid">
    <vt:lpwstr>81476af9-972f-4a7f-b34e-ac567dfc1f61</vt:lpwstr>
  </property>
  <property fmtid="{D5CDD505-2E9C-101B-9397-08002B2CF9AE}" pid="27" name="SharedWithUsers">
    <vt:lpwstr>4706;#Nicholas A Oats (DEECA);#2250;#Robert Bozinovski (DEECA)</vt:lpwstr>
  </property>
  <property fmtid="{D5CDD505-2E9C-101B-9397-08002B2CF9AE}" pid="28" name="MediaServiceImageTags">
    <vt:lpwstr/>
  </property>
  <property fmtid="{D5CDD505-2E9C-101B-9397-08002B2CF9AE}" pid="29" name="Replytype">
    <vt:lpwstr/>
  </property>
  <property fmtid="{D5CDD505-2E9C-101B-9397-08002B2CF9AE}" pid="30" name="_docset_NoMedatataSyncRequired">
    <vt:lpwstr>False</vt:lpwstr>
  </property>
  <property fmtid="{D5CDD505-2E9C-101B-9397-08002B2CF9AE}" pid="31" name="MSIP_Label_4257e2ab-f512-40e2-9c9a-c64247360765_Enabled">
    <vt:lpwstr>true</vt:lpwstr>
  </property>
  <property fmtid="{D5CDD505-2E9C-101B-9397-08002B2CF9AE}" pid="32" name="MSIP_Label_4257e2ab-f512-40e2-9c9a-c64247360765_SetDate">
    <vt:lpwstr>2023-09-03T23:40:56Z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4419e811-9d88-4f98-8c40-e94e31b76d80</vt:lpwstr>
  </property>
  <property fmtid="{D5CDD505-2E9C-101B-9397-08002B2CF9AE}" pid="37" name="MSIP_Label_4257e2ab-f512-40e2-9c9a-c64247360765_ContentBits">
    <vt:lpwstr>2</vt:lpwstr>
  </property>
  <property fmtid="{D5CDD505-2E9C-101B-9397-08002B2CF9AE}" pid="38" name="DocumentSetDescription">
    <vt:lpwstr/>
  </property>
  <property fmtid="{D5CDD505-2E9C-101B-9397-08002B2CF9AE}" pid="39" name="ComplianceAssetId">
    <vt:lpwstr/>
  </property>
  <property fmtid="{D5CDD505-2E9C-101B-9397-08002B2CF9AE}" pid="40" name="xd_Signature">
    <vt:bool>false</vt:bool>
  </property>
  <property fmtid="{D5CDD505-2E9C-101B-9397-08002B2CF9AE}" pid="41" name="RecordType">
    <vt:lpwstr/>
  </property>
  <property fmtid="{D5CDD505-2E9C-101B-9397-08002B2CF9AE}" pid="42" name="TriggerFlowInfo">
    <vt:lpwstr/>
  </property>
  <property fmtid="{D5CDD505-2E9C-101B-9397-08002B2CF9AE}" pid="43" name="Order">
    <vt:r8>55791500</vt:r8>
  </property>
  <property fmtid="{D5CDD505-2E9C-101B-9397-08002B2CF9AE}" pid="44" name="xd_ProgID">
    <vt:lpwstr/>
  </property>
  <property fmtid="{D5CDD505-2E9C-101B-9397-08002B2CF9AE}" pid="45" name="TemplateUrl">
    <vt:lpwstr/>
  </property>
  <property fmtid="{D5CDD505-2E9C-101B-9397-08002B2CF9AE}" pid="46" name="_ExtendedDescription">
    <vt:lpwstr/>
  </property>
</Properties>
</file>