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E70F" w14:textId="77777777" w:rsidR="00E56E3E" w:rsidRPr="00E56E3E" w:rsidRDefault="00E56E3E" w:rsidP="00E56E3E">
      <w:pPr>
        <w:jc w:val="center"/>
        <w:textAlignment w:val="baseline"/>
        <w:rPr>
          <w:rFonts w:eastAsia="Times New Roman" w:cs="Arial"/>
          <w:sz w:val="18"/>
          <w:szCs w:val="18"/>
          <w:lang w:val="en-NZ" w:eastAsia="en-NZ"/>
        </w:rPr>
      </w:pPr>
      <w:r w:rsidRPr="00E56E3E">
        <w:rPr>
          <w:rFonts w:eastAsia="Times New Roman" w:cs="Arial"/>
          <w:b/>
          <w:bCs/>
          <w:caps/>
          <w:sz w:val="24"/>
          <w:szCs w:val="24"/>
          <w:u w:val="single"/>
          <w:lang w:eastAsia="en-NZ"/>
        </w:rPr>
        <w:t>EXPLANATORY STATEMENT</w:t>
      </w:r>
      <w:r w:rsidRPr="00E56E3E">
        <w:rPr>
          <w:rFonts w:eastAsia="Times New Roman" w:cs="Arial"/>
          <w:sz w:val="24"/>
          <w:szCs w:val="24"/>
          <w:lang w:val="en-NZ" w:eastAsia="en-NZ"/>
        </w:rPr>
        <w:t> </w:t>
      </w:r>
    </w:p>
    <w:p w14:paraId="62741C30" w14:textId="77777777" w:rsidR="00E56E3E" w:rsidRPr="00E56E3E" w:rsidRDefault="00E56E3E" w:rsidP="00E56E3E">
      <w:pPr>
        <w:textAlignment w:val="baseline"/>
        <w:rPr>
          <w:rFonts w:ascii="Segoe UI" w:eastAsia="Times New Roman" w:hAnsi="Segoe UI" w:cs="Segoe UI"/>
          <w:sz w:val="18"/>
          <w:szCs w:val="18"/>
          <w:lang w:val="en-NZ" w:eastAsia="en-NZ"/>
        </w:rPr>
      </w:pPr>
      <w:r w:rsidRPr="00E56E3E">
        <w:rPr>
          <w:rFonts w:ascii="Times New Roman" w:eastAsia="Times New Roman" w:hAnsi="Times New Roman" w:cs="Arial"/>
          <w:sz w:val="24"/>
          <w:szCs w:val="24"/>
          <w:lang w:val="en-NZ" w:eastAsia="en-NZ"/>
        </w:rPr>
        <w:t> </w:t>
      </w:r>
    </w:p>
    <w:p w14:paraId="1B6A5374" w14:textId="77777777" w:rsidR="00E56E3E" w:rsidRPr="00E56E3E" w:rsidRDefault="00E56E3E" w:rsidP="00E56E3E">
      <w:pPr>
        <w:shd w:val="clear" w:color="auto" w:fill="FFFFFF"/>
        <w:jc w:val="center"/>
        <w:textAlignment w:val="baseline"/>
        <w:rPr>
          <w:rFonts w:eastAsia="Times New Roman" w:cs="Arial"/>
          <w:sz w:val="18"/>
          <w:szCs w:val="18"/>
          <w:lang w:val="en-NZ" w:eastAsia="en-NZ"/>
        </w:rPr>
      </w:pPr>
      <w:r w:rsidRPr="00E56E3E">
        <w:rPr>
          <w:rFonts w:eastAsia="Times New Roman" w:cs="Arial"/>
          <w:i/>
          <w:iCs/>
          <w:color w:val="000000"/>
          <w:sz w:val="24"/>
          <w:szCs w:val="24"/>
          <w:lang w:val="en-AU" w:eastAsia="en-NZ"/>
        </w:rPr>
        <w:t>Food Standards Australia New Zealand Act 1991</w:t>
      </w:r>
      <w:r w:rsidRPr="00E56E3E">
        <w:rPr>
          <w:rFonts w:eastAsia="Times New Roman" w:cs="Arial"/>
          <w:color w:val="000000"/>
          <w:sz w:val="24"/>
          <w:szCs w:val="24"/>
          <w:lang w:val="en-NZ" w:eastAsia="en-NZ"/>
        </w:rPr>
        <w:t> </w:t>
      </w:r>
    </w:p>
    <w:p w14:paraId="59103FD6" w14:textId="77777777" w:rsidR="00E56E3E" w:rsidRPr="00E56E3E" w:rsidRDefault="00E56E3E" w:rsidP="00E56E3E">
      <w:pPr>
        <w:rPr>
          <w:rFonts w:eastAsia="Times New Roman" w:cs="Times New Roman"/>
          <w:szCs w:val="24"/>
        </w:rPr>
      </w:pPr>
    </w:p>
    <w:p w14:paraId="5F6DE582" w14:textId="77777777" w:rsidR="00E56E3E" w:rsidRPr="00E56E3E" w:rsidRDefault="00E56E3E" w:rsidP="00E56E3E">
      <w:pPr>
        <w:jc w:val="center"/>
        <w:textAlignment w:val="baseline"/>
        <w:rPr>
          <w:rFonts w:eastAsia="Times New Roman" w:cs="Arial"/>
          <w:sz w:val="18"/>
          <w:szCs w:val="18"/>
          <w:lang w:val="en-NZ" w:eastAsia="en-NZ"/>
        </w:rPr>
      </w:pPr>
      <w:r w:rsidRPr="00E56E3E">
        <w:rPr>
          <w:rFonts w:eastAsia="Times New Roman" w:cs="Arial"/>
          <w:b/>
          <w:bCs/>
          <w:i/>
          <w:iCs/>
          <w:sz w:val="24"/>
          <w:szCs w:val="24"/>
          <w:lang w:eastAsia="en-NZ"/>
        </w:rPr>
        <w:t>Food Standards (</w:t>
      </w:r>
      <w:r w:rsidRPr="00E56E3E">
        <w:rPr>
          <w:rFonts w:eastAsia="Times New Roman" w:cs="Arial"/>
          <w:b/>
          <w:i/>
          <w:sz w:val="24"/>
          <w:szCs w:val="24"/>
          <w:lang w:eastAsia="en-NZ"/>
        </w:rPr>
        <w:t xml:space="preserve">Proposal P1062 – </w:t>
      </w:r>
      <w:r w:rsidRPr="00E56E3E">
        <w:rPr>
          <w:rFonts w:eastAsia="Times New Roman" w:cs="Arial"/>
          <w:b/>
          <w:bCs/>
          <w:i/>
          <w:iCs/>
          <w:sz w:val="24"/>
          <w:szCs w:val="24"/>
          <w:lang w:eastAsia="en-NZ"/>
        </w:rPr>
        <w:t>Defining added sugars for claims) Variation</w:t>
      </w:r>
      <w:r w:rsidRPr="00E56E3E">
        <w:rPr>
          <w:rFonts w:eastAsia="Times New Roman" w:cs="Arial"/>
          <w:b/>
          <w:bCs/>
          <w:i/>
          <w:iCs/>
          <w:sz w:val="20"/>
          <w:szCs w:val="20"/>
          <w:lang w:eastAsia="en-NZ"/>
        </w:rPr>
        <w:t xml:space="preserve"> </w:t>
      </w:r>
      <w:r w:rsidRPr="00E56E3E">
        <w:rPr>
          <w:rFonts w:eastAsia="Times New Roman" w:cs="Arial"/>
          <w:sz w:val="20"/>
          <w:szCs w:val="20"/>
          <w:lang w:val="en-NZ" w:eastAsia="en-NZ"/>
        </w:rPr>
        <w:t> </w:t>
      </w:r>
    </w:p>
    <w:p w14:paraId="160A943B" w14:textId="77777777" w:rsidR="00E56E3E" w:rsidRPr="00E56E3E" w:rsidRDefault="00E56E3E" w:rsidP="00E56E3E">
      <w:pPr>
        <w:textAlignment w:val="baseline"/>
        <w:rPr>
          <w:rFonts w:ascii="Segoe UI" w:eastAsia="Times New Roman" w:hAnsi="Segoe UI" w:cs="Segoe UI"/>
          <w:sz w:val="18"/>
          <w:szCs w:val="18"/>
          <w:lang w:val="en-NZ" w:eastAsia="en-NZ"/>
        </w:rPr>
      </w:pPr>
      <w:r w:rsidRPr="00E56E3E">
        <w:rPr>
          <w:rFonts w:ascii="Times New Roman" w:eastAsia="Times New Roman" w:hAnsi="Times New Roman" w:cs="Arial"/>
          <w:sz w:val="24"/>
          <w:szCs w:val="24"/>
          <w:lang w:val="en-NZ" w:eastAsia="en-NZ"/>
        </w:rPr>
        <w:t> </w:t>
      </w:r>
    </w:p>
    <w:p w14:paraId="2EE55368" w14:textId="77777777" w:rsidR="00E56E3E" w:rsidRPr="00E56E3E" w:rsidRDefault="00E56E3E" w:rsidP="00E56E3E">
      <w:pPr>
        <w:rPr>
          <w:rFonts w:eastAsia="Times New Roman" w:cs="Times New Roman"/>
          <w:b/>
          <w:szCs w:val="24"/>
          <w:lang w:val="en-AU" w:eastAsia="en-GB"/>
        </w:rPr>
      </w:pPr>
      <w:r w:rsidRPr="00E56E3E">
        <w:rPr>
          <w:rFonts w:eastAsia="Times New Roman" w:cs="Times New Roman"/>
          <w:b/>
          <w:szCs w:val="24"/>
          <w:lang w:val="en-AU" w:eastAsia="en-GB"/>
        </w:rPr>
        <w:t>1.</w:t>
      </w:r>
      <w:r w:rsidRPr="00E56E3E">
        <w:rPr>
          <w:rFonts w:eastAsia="Times New Roman" w:cs="Times New Roman"/>
          <w:b/>
          <w:szCs w:val="24"/>
          <w:lang w:val="en-AU" w:eastAsia="en-GB"/>
        </w:rPr>
        <w:tab/>
        <w:t>Authority</w:t>
      </w:r>
    </w:p>
    <w:p w14:paraId="2EBD8A8F" w14:textId="77777777" w:rsidR="00E56E3E" w:rsidRPr="00E56E3E" w:rsidRDefault="00E56E3E" w:rsidP="00E56E3E">
      <w:pPr>
        <w:rPr>
          <w:rFonts w:eastAsia="Times New Roman" w:cs="Times New Roman"/>
          <w:szCs w:val="24"/>
          <w:lang w:val="en-AU" w:eastAsia="en-GB"/>
        </w:rPr>
      </w:pPr>
    </w:p>
    <w:p w14:paraId="38795841" w14:textId="77777777" w:rsidR="00E56E3E" w:rsidRPr="00E56E3E" w:rsidRDefault="00E56E3E" w:rsidP="00E56E3E">
      <w:pPr>
        <w:autoSpaceDE w:val="0"/>
        <w:autoSpaceDN w:val="0"/>
        <w:adjustRightInd w:val="0"/>
        <w:rPr>
          <w:rFonts w:eastAsia="Times New Roman" w:cs="Arial"/>
          <w:bCs/>
          <w:lang w:val="en-AU"/>
        </w:rPr>
      </w:pPr>
      <w:r w:rsidRPr="00E56E3E">
        <w:rPr>
          <w:rFonts w:eastAsia="Times New Roman" w:cs="Arial"/>
          <w:bCs/>
          <w:lang w:val="en-AU"/>
        </w:rPr>
        <w:t xml:space="preserve">Section 13 of the </w:t>
      </w:r>
      <w:r w:rsidRPr="00E56E3E">
        <w:rPr>
          <w:rFonts w:eastAsia="Times New Roman" w:cs="Arial"/>
          <w:bCs/>
          <w:i/>
          <w:lang w:val="en-AU"/>
        </w:rPr>
        <w:t>Food Standards Australia New Zealand Act 1991</w:t>
      </w:r>
      <w:r w:rsidRPr="00E56E3E">
        <w:rPr>
          <w:rFonts w:eastAsia="Times New Roman" w:cs="Arial"/>
          <w:bCs/>
          <w:lang w:val="en-AU"/>
        </w:rPr>
        <w:t xml:space="preserve"> (the FSANZ Act) provides that the functions of Food Standards Australia New Zealand (the Authority) include the development of standards and variations of standards for inclusion in the </w:t>
      </w:r>
      <w:r w:rsidRPr="00E56E3E">
        <w:rPr>
          <w:rFonts w:eastAsia="Times New Roman" w:cs="Arial"/>
          <w:bCs/>
          <w:i/>
          <w:lang w:val="en-AU"/>
        </w:rPr>
        <w:t>Australia New Zealand Food Standards Code</w:t>
      </w:r>
      <w:r w:rsidRPr="00E56E3E">
        <w:rPr>
          <w:rFonts w:eastAsia="Times New Roman" w:cs="Arial"/>
          <w:bCs/>
          <w:lang w:val="en-AU"/>
        </w:rPr>
        <w:t xml:space="preserve"> (the Code).</w:t>
      </w:r>
    </w:p>
    <w:p w14:paraId="223B9A52" w14:textId="77777777" w:rsidR="00E56E3E" w:rsidRPr="00E56E3E" w:rsidRDefault="00E56E3E" w:rsidP="00E56E3E">
      <w:pPr>
        <w:autoSpaceDE w:val="0"/>
        <w:autoSpaceDN w:val="0"/>
        <w:adjustRightInd w:val="0"/>
        <w:rPr>
          <w:rFonts w:eastAsia="Times New Roman" w:cs="Arial"/>
          <w:bCs/>
          <w:lang w:val="en-AU"/>
        </w:rPr>
      </w:pPr>
    </w:p>
    <w:p w14:paraId="639BF40F" w14:textId="77777777" w:rsidR="00E56E3E" w:rsidRPr="00E56E3E" w:rsidRDefault="00E56E3E" w:rsidP="00E56E3E">
      <w:pPr>
        <w:autoSpaceDE w:val="0"/>
        <w:autoSpaceDN w:val="0"/>
        <w:adjustRightInd w:val="0"/>
        <w:rPr>
          <w:rFonts w:eastAsia="Times New Roman" w:cs="Arial"/>
          <w:lang w:val="en-AU"/>
        </w:rPr>
      </w:pPr>
      <w:r w:rsidRPr="00E56E3E">
        <w:rPr>
          <w:rFonts w:eastAsia="Times New Roman" w:cs="Arial"/>
          <w:lang w:val="en-AU"/>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70EECD18" w14:textId="77777777" w:rsidR="00E56E3E" w:rsidRPr="00E56E3E" w:rsidRDefault="00E56E3E" w:rsidP="00E56E3E">
      <w:pPr>
        <w:autoSpaceDE w:val="0"/>
        <w:autoSpaceDN w:val="0"/>
        <w:adjustRightInd w:val="0"/>
        <w:rPr>
          <w:rFonts w:eastAsia="Times New Roman" w:cs="Arial"/>
          <w:bCs/>
          <w:lang w:val="en-AU"/>
        </w:rPr>
      </w:pPr>
    </w:p>
    <w:p w14:paraId="143F1645" w14:textId="77777777" w:rsidR="00E56E3E" w:rsidRPr="006561DB" w:rsidRDefault="00E56E3E" w:rsidP="00E56E3E">
      <w:pPr>
        <w:autoSpaceDE w:val="0"/>
        <w:autoSpaceDN w:val="0"/>
        <w:adjustRightInd w:val="0"/>
        <w:rPr>
          <w:rFonts w:eastAsia="Times New Roman" w:cs="Arial"/>
          <w:bCs/>
          <w:lang w:val="en-AU"/>
        </w:rPr>
      </w:pPr>
      <w:r w:rsidRPr="00E56E3E">
        <w:rPr>
          <w:rFonts w:eastAsia="Times New Roman" w:cs="Arial"/>
          <w:lang w:val="en-AU"/>
        </w:rPr>
        <w:t xml:space="preserve">The Authority prepared </w:t>
      </w:r>
      <w:r w:rsidRPr="00E56E3E">
        <w:rPr>
          <w:rFonts w:eastAsia="Times New Roman" w:cs="Arial"/>
          <w:bCs/>
          <w:lang w:val="en-AU"/>
        </w:rPr>
        <w:t>Proposal P1062</w:t>
      </w:r>
      <w:r w:rsidRPr="00E56E3E">
        <w:rPr>
          <w:rFonts w:eastAsia="Times New Roman" w:cs="Arial"/>
          <w:lang w:val="en-AU"/>
        </w:rPr>
        <w:t xml:space="preserve"> to </w:t>
      </w:r>
      <w:r w:rsidRPr="00E56E3E">
        <w:rPr>
          <w:rFonts w:eastAsia="Times New Roman" w:cs="Times New Roman"/>
          <w:szCs w:val="24"/>
        </w:rPr>
        <w:t>consider amending the Code to define and clarify added sugars for the purposes of making claims</w:t>
      </w:r>
      <w:r w:rsidRPr="00E56E3E">
        <w:rPr>
          <w:rFonts w:eastAsia="Times New Roman" w:cs="Arial"/>
          <w:bCs/>
          <w:lang w:val="en-AU"/>
        </w:rPr>
        <w:t>.</w:t>
      </w:r>
      <w:r w:rsidRPr="00E56E3E">
        <w:rPr>
          <w:rFonts w:eastAsia="Times New Roman" w:cs="Arial"/>
          <w:lang w:val="en-AU"/>
        </w:rPr>
        <w:t xml:space="preserve"> The Authority considered the Proposal in accordance with Division 2 of Part 3 and has </w:t>
      </w:r>
      <w:r w:rsidRPr="00E56E3E">
        <w:rPr>
          <w:rFonts w:eastAsia="Times New Roman" w:cs="Arial"/>
          <w:bCs/>
          <w:lang w:val="en-AU"/>
        </w:rPr>
        <w:t>prepared</w:t>
      </w:r>
      <w:r w:rsidRPr="00E56E3E">
        <w:rPr>
          <w:rFonts w:eastAsia="Times New Roman" w:cs="Arial"/>
          <w:lang w:val="en-AU"/>
        </w:rPr>
        <w:t xml:space="preserve"> a draft </w:t>
      </w:r>
      <w:r w:rsidRPr="00E56E3E">
        <w:rPr>
          <w:rFonts w:eastAsia="Times New Roman" w:cs="Arial"/>
          <w:bCs/>
          <w:lang w:val="en-AU"/>
        </w:rPr>
        <w:t>variation</w:t>
      </w:r>
      <w:r w:rsidRPr="00E56E3E">
        <w:rPr>
          <w:rFonts w:eastAsia="Times New Roman" w:cs="Arial"/>
          <w:lang w:val="en-AU"/>
        </w:rPr>
        <w:t xml:space="preserve"> - the </w:t>
      </w:r>
      <w:r w:rsidRPr="00E56E3E">
        <w:rPr>
          <w:rFonts w:eastAsia="Times New Roman" w:cs="Times New Roman"/>
          <w:i/>
          <w:szCs w:val="24"/>
        </w:rPr>
        <w:t xml:space="preserve">Food Standards (Proposal </w:t>
      </w:r>
      <w:r w:rsidRPr="00E56E3E">
        <w:rPr>
          <w:rFonts w:eastAsia="Times New Roman" w:cs="Times New Roman"/>
          <w:i/>
          <w:iCs/>
          <w:szCs w:val="24"/>
        </w:rPr>
        <w:t>P1062 – Defining added sugars for claims) Variation</w:t>
      </w:r>
      <w:r w:rsidRPr="00E56E3E">
        <w:rPr>
          <w:rFonts w:eastAsia="Times New Roman" w:cs="Arial"/>
          <w:bCs/>
          <w:lang w:val="en-AU"/>
        </w:rPr>
        <w:t>.</w:t>
      </w:r>
    </w:p>
    <w:p w14:paraId="534614FB" w14:textId="77777777" w:rsidR="00E56E3E" w:rsidRPr="00E56E3E" w:rsidRDefault="00E56E3E" w:rsidP="00E56E3E">
      <w:pPr>
        <w:autoSpaceDE w:val="0"/>
        <w:autoSpaceDN w:val="0"/>
        <w:adjustRightInd w:val="0"/>
        <w:rPr>
          <w:rFonts w:eastAsia="Times New Roman" w:cs="Arial"/>
          <w:bCs/>
          <w:lang w:val="en-AU"/>
        </w:rPr>
      </w:pPr>
    </w:p>
    <w:p w14:paraId="429FB8B3" w14:textId="77777777" w:rsidR="00E56E3E" w:rsidRPr="00E56E3E" w:rsidRDefault="00E56E3E" w:rsidP="00E56E3E">
      <w:pPr>
        <w:autoSpaceDE w:val="0"/>
        <w:autoSpaceDN w:val="0"/>
        <w:adjustRightInd w:val="0"/>
        <w:rPr>
          <w:rFonts w:eastAsia="Times New Roman" w:cs="Arial"/>
          <w:bCs/>
          <w:lang w:val="en-AU"/>
        </w:rPr>
      </w:pPr>
      <w:r w:rsidRPr="00E56E3E">
        <w:rPr>
          <w:rFonts w:eastAsia="Times New Roman" w:cs="Arial"/>
          <w:bCs/>
          <w:lang w:val="en-AU"/>
        </w:rPr>
        <w:t xml:space="preserve">Following consideration by the </w:t>
      </w:r>
      <w:r w:rsidRPr="00E56E3E">
        <w:rPr>
          <w:rFonts w:eastAsia="Times New Roman" w:cs="Helvetica"/>
          <w:szCs w:val="24"/>
          <w:lang w:val="en-AU"/>
        </w:rPr>
        <w:t>Food Ministers’ Meeting (FMM)</w:t>
      </w:r>
      <w:r w:rsidRPr="00E56E3E">
        <w:rPr>
          <w:rFonts w:eastAsia="Times New Roman" w:cs="Arial"/>
          <w:bCs/>
          <w:lang w:val="en-AU"/>
        </w:rPr>
        <w:t xml:space="preserve">, section 92 of the FSANZ Act stipulates that the Authority must publish a notice about the draft </w:t>
      </w:r>
      <w:r w:rsidRPr="00E56E3E">
        <w:rPr>
          <w:rFonts w:eastAsia="Times New Roman" w:cs="Arial"/>
          <w:lang w:val="en-AU"/>
        </w:rPr>
        <w:t>variation</w:t>
      </w:r>
      <w:r w:rsidRPr="00E56E3E">
        <w:rPr>
          <w:rFonts w:eastAsia="Times New Roman" w:cs="Arial"/>
          <w:bCs/>
          <w:lang w:val="en-AU"/>
        </w:rPr>
        <w:t xml:space="preserve">. </w:t>
      </w:r>
    </w:p>
    <w:p w14:paraId="047D8ADD" w14:textId="77777777" w:rsidR="00E56E3E" w:rsidRPr="00E56E3E" w:rsidRDefault="00E56E3E" w:rsidP="00E56E3E">
      <w:pPr>
        <w:rPr>
          <w:rFonts w:eastAsia="Times New Roman" w:cs="Times New Roman"/>
          <w:szCs w:val="24"/>
          <w:lang w:val="en-AU" w:eastAsia="en-GB"/>
        </w:rPr>
      </w:pPr>
    </w:p>
    <w:p w14:paraId="5F44FFF9" w14:textId="77777777" w:rsidR="00E56E3E" w:rsidRPr="00E56E3E" w:rsidRDefault="00E56E3E" w:rsidP="00E56E3E">
      <w:pPr>
        <w:rPr>
          <w:rFonts w:eastAsia="Times New Roman" w:cs="Times New Roman"/>
          <w:b/>
          <w:szCs w:val="24"/>
          <w:lang w:val="en-AU" w:eastAsia="en-GB"/>
        </w:rPr>
      </w:pPr>
      <w:r w:rsidRPr="00E56E3E">
        <w:rPr>
          <w:rFonts w:eastAsia="Times New Roman" w:cs="Times New Roman"/>
          <w:b/>
          <w:szCs w:val="24"/>
          <w:lang w:val="en-AU" w:eastAsia="en-GB"/>
        </w:rPr>
        <w:t>2.</w:t>
      </w:r>
      <w:r w:rsidRPr="00E56E3E">
        <w:rPr>
          <w:rFonts w:eastAsia="Times New Roman" w:cs="Times New Roman"/>
          <w:b/>
          <w:szCs w:val="24"/>
          <w:lang w:val="en-AU" w:eastAsia="en-GB"/>
        </w:rPr>
        <w:tab/>
        <w:t>Variation is a legislative instrument</w:t>
      </w:r>
    </w:p>
    <w:p w14:paraId="751CDC6E" w14:textId="77777777" w:rsidR="00E56E3E" w:rsidRPr="00E56E3E" w:rsidRDefault="00E56E3E" w:rsidP="00E56E3E">
      <w:pPr>
        <w:rPr>
          <w:rFonts w:eastAsia="Times New Roman" w:cs="Times New Roman"/>
          <w:b/>
          <w:szCs w:val="24"/>
          <w:lang w:val="en-AU" w:eastAsia="en-GB"/>
        </w:rPr>
      </w:pPr>
    </w:p>
    <w:p w14:paraId="6F415428" w14:textId="77777777" w:rsidR="00E56E3E" w:rsidRPr="00E56E3E" w:rsidRDefault="00E56E3E" w:rsidP="00E56E3E">
      <w:pPr>
        <w:rPr>
          <w:rFonts w:eastAsia="Times New Roman" w:cs="Arial"/>
        </w:rPr>
      </w:pPr>
      <w:r w:rsidRPr="00E56E3E">
        <w:rPr>
          <w:rFonts w:eastAsia="Times New Roman" w:cs="Arial"/>
          <w:szCs w:val="24"/>
        </w:rPr>
        <w:t xml:space="preserve">The approved draft variation is a legislative instrument for the purposes of the </w:t>
      </w:r>
      <w:r w:rsidRPr="00E56E3E">
        <w:rPr>
          <w:rFonts w:eastAsia="Times New Roman" w:cs="Arial"/>
          <w:i/>
          <w:iCs/>
          <w:szCs w:val="24"/>
        </w:rPr>
        <w:t>Legislation Act 2003</w:t>
      </w:r>
      <w:r w:rsidRPr="00E56E3E">
        <w:rPr>
          <w:rFonts w:eastAsia="Times New Roman" w:cs="Arial"/>
          <w:szCs w:val="24"/>
        </w:rPr>
        <w:t xml:space="preserve"> (see section 94 of the FSANZ Act) and is publicly available on the Federal Register of Legislation (</w:t>
      </w:r>
      <w:hyperlink r:id="rId12" w:history="1">
        <w:r w:rsidRPr="00E56E3E">
          <w:rPr>
            <w:rFonts w:eastAsia="Times New Roman" w:cs="Arial"/>
            <w:color w:val="3333FF"/>
            <w:szCs w:val="24"/>
            <w:u w:val="single"/>
          </w:rPr>
          <w:t>www.legislation.gov.au</w:t>
        </w:r>
      </w:hyperlink>
      <w:r w:rsidRPr="00E56E3E">
        <w:rPr>
          <w:rFonts w:eastAsia="Times New Roman" w:cs="Arial"/>
          <w:szCs w:val="24"/>
        </w:rPr>
        <w:t>).</w:t>
      </w:r>
    </w:p>
    <w:p w14:paraId="38466776" w14:textId="77777777" w:rsidR="00E56E3E" w:rsidRPr="00E56E3E" w:rsidRDefault="00E56E3E" w:rsidP="00E56E3E">
      <w:pPr>
        <w:rPr>
          <w:rFonts w:eastAsia="Times New Roman" w:cs="Arial"/>
          <w:szCs w:val="24"/>
        </w:rPr>
      </w:pPr>
    </w:p>
    <w:p w14:paraId="7FFBE71D" w14:textId="77777777" w:rsidR="00E56E3E" w:rsidRPr="00E56E3E" w:rsidRDefault="00E56E3E" w:rsidP="00E56E3E">
      <w:pPr>
        <w:rPr>
          <w:rFonts w:eastAsia="Times New Roman" w:cs="Arial"/>
          <w:szCs w:val="24"/>
        </w:rPr>
      </w:pPr>
      <w:r w:rsidRPr="00E56E3E">
        <w:rPr>
          <w:rFonts w:eastAsia="Times New Roman" w:cs="Arial"/>
          <w:szCs w:val="24"/>
        </w:rPr>
        <w:t xml:space="preserve">This instrument is not subject to the disallowance or sunsetting provisions of the </w:t>
      </w:r>
      <w:r w:rsidRPr="00E56E3E">
        <w:rPr>
          <w:rFonts w:eastAsia="Times New Roman" w:cs="Arial"/>
          <w:i/>
          <w:iCs/>
          <w:szCs w:val="24"/>
        </w:rPr>
        <w:t xml:space="preserve">Legislation Act 2003. </w:t>
      </w:r>
      <w:r w:rsidRPr="00E56E3E">
        <w:rPr>
          <w:rFonts w:eastAsia="Times New Roman" w:cs="Arial"/>
          <w:szCs w:val="24"/>
        </w:rPr>
        <w:t>Subsections</w:t>
      </w:r>
      <w:r w:rsidRPr="00E56E3E">
        <w:rPr>
          <w:rFonts w:eastAsia="Times New Roman" w:cs="Arial"/>
          <w:i/>
          <w:iCs/>
          <w:szCs w:val="24"/>
        </w:rPr>
        <w:t xml:space="preserve"> </w:t>
      </w:r>
      <w:r w:rsidRPr="00E56E3E">
        <w:rPr>
          <w:rFonts w:eastAsia="Times New Roman" w:cs="Arial"/>
          <w:szCs w:val="24"/>
        </w:rPr>
        <w:t>44(1) and 54(1) of that Act</w:t>
      </w:r>
      <w:r w:rsidRPr="00E56E3E">
        <w:rPr>
          <w:rFonts w:eastAsia="Times New Roman" w:cs="Arial"/>
          <w:i/>
          <w:iCs/>
          <w:szCs w:val="24"/>
        </w:rPr>
        <w:t xml:space="preserve"> </w:t>
      </w:r>
      <w:r w:rsidRPr="00E56E3E">
        <w:rPr>
          <w:rFonts w:eastAsia="Times New Roman" w:cs="Arial"/>
          <w:szCs w:val="24"/>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E56E3E">
        <w:rPr>
          <w:rFonts w:eastAsia="Times New Roman" w:cs="Arial"/>
          <w:i/>
          <w:iCs/>
          <w:szCs w:val="24"/>
        </w:rPr>
        <w:t>Legislation (Exemptions and other Matters) Regulation 2015</w:t>
      </w:r>
      <w:r w:rsidRPr="00E56E3E">
        <w:rPr>
          <w:rFonts w:eastAsia="Times New Roman" w:cs="Arial"/>
          <w:szCs w:val="24"/>
        </w:rPr>
        <w:t xml:space="preserve"> </w:t>
      </w:r>
      <w:r w:rsidRPr="00E56E3E">
        <w:rPr>
          <w:rFonts w:eastAsia="Times New Roman" w:cs="Arial"/>
          <w:szCs w:val="24"/>
          <w:lang w:val="en"/>
        </w:rPr>
        <w:t xml:space="preserve">also exempts from sunsetting legislative instruments </w:t>
      </w:r>
      <w:r w:rsidRPr="00E56E3E">
        <w:rPr>
          <w:rFonts w:eastAsia="Times New Roman" w:cs="Arial"/>
          <w:szCs w:val="24"/>
          <w:shd w:val="clear" w:color="auto" w:fill="FFFFFF"/>
        </w:rPr>
        <w:t xml:space="preserve">a primary purpose of which is to </w:t>
      </w:r>
      <w:r w:rsidRPr="00E56E3E">
        <w:rPr>
          <w:rFonts w:eastAsia="Times New Roman" w:cs="Arial"/>
          <w:szCs w:val="24"/>
        </w:rPr>
        <w:t>give effect to an international obligation of Australia.</w:t>
      </w:r>
    </w:p>
    <w:p w14:paraId="7DDE4E26" w14:textId="77777777" w:rsidR="00E56E3E" w:rsidRPr="00F93B07" w:rsidRDefault="00E56E3E" w:rsidP="00E56E3E">
      <w:pPr>
        <w:rPr>
          <w:rFonts w:eastAsia="Times New Roman" w:cs="Arial"/>
          <w:szCs w:val="24"/>
        </w:rPr>
      </w:pPr>
    </w:p>
    <w:p w14:paraId="54690981" w14:textId="77777777" w:rsidR="00E56E3E" w:rsidRPr="00E56E3E" w:rsidRDefault="00E56E3E" w:rsidP="00E56E3E">
      <w:pPr>
        <w:rPr>
          <w:rFonts w:eastAsia="Times New Roman" w:cs="Times New Roman"/>
          <w:b/>
          <w:szCs w:val="24"/>
          <w:lang w:val="en-AU" w:eastAsia="en-GB"/>
        </w:rPr>
      </w:pPr>
      <w:r w:rsidRPr="00E56E3E">
        <w:rPr>
          <w:rFonts w:eastAsia="Times New Roman" w:cs="Arial"/>
          <w:szCs w:val="24"/>
        </w:rPr>
        <w:t xml:space="preserve">The </w:t>
      </w:r>
      <w:r w:rsidRPr="00E56E3E">
        <w:rPr>
          <w:rFonts w:eastAsia="Times New Roman" w:cs="Arial"/>
          <w:szCs w:val="24"/>
          <w:lang w:val="en-AU"/>
        </w:rPr>
        <w:t>FSANZ Act</w:t>
      </w:r>
      <w:r w:rsidRPr="00E56E3E">
        <w:rPr>
          <w:rFonts w:eastAsia="Times New Roman" w:cs="Arial"/>
          <w:i/>
          <w:iCs/>
          <w:szCs w:val="24"/>
          <w:lang w:val="en-AU"/>
        </w:rPr>
        <w:t xml:space="preserve"> </w:t>
      </w:r>
      <w:r w:rsidRPr="00E56E3E">
        <w:rPr>
          <w:rFonts w:eastAsia="Times New Roman" w:cs="Arial"/>
          <w:szCs w:val="24"/>
          <w:lang w:val="en-AU"/>
        </w:rPr>
        <w:t xml:space="preserve">gives effect to </w:t>
      </w:r>
      <w:r w:rsidRPr="00E56E3E">
        <w:rPr>
          <w:rFonts w:eastAsia="Times New Roman" w:cs="Arial"/>
          <w:szCs w:val="24"/>
        </w:rPr>
        <w:t xml:space="preserve">an intergovernmental agreement (the Food Regulation Agreement) and facilitates the establishment or operation of an intergovernmental scheme (national uniform food regulation). </w:t>
      </w:r>
      <w:r w:rsidRPr="00E56E3E">
        <w:rPr>
          <w:rFonts w:eastAsia="Times New Roman" w:cs="Arial"/>
          <w:szCs w:val="24"/>
          <w:lang w:val="en-AU"/>
        </w:rPr>
        <w:t>That Act also</w:t>
      </w:r>
      <w:r w:rsidRPr="00E56E3E">
        <w:rPr>
          <w:rFonts w:eastAsia="Times New Roman" w:cs="Arial"/>
          <w:i/>
          <w:iCs/>
          <w:szCs w:val="24"/>
          <w:lang w:val="en-AU"/>
        </w:rPr>
        <w:t xml:space="preserve"> </w:t>
      </w:r>
      <w:r w:rsidRPr="00E56E3E">
        <w:rPr>
          <w:rFonts w:eastAsia="Times New Roman" w:cs="Arial"/>
          <w:szCs w:val="24"/>
          <w:lang w:val="en-AU"/>
        </w:rPr>
        <w:t xml:space="preserve">gives effect to Australia’s obligations under an international agreement between Australia and New Zealand. For these purposes, the Act </w:t>
      </w:r>
      <w:r w:rsidRPr="00E56E3E">
        <w:rPr>
          <w:rFonts w:eastAsia="Times New Roman" w:cs="Arial"/>
          <w:szCs w:val="24"/>
        </w:rPr>
        <w:t xml:space="preserve">establishes the Authority to </w:t>
      </w:r>
      <w:r w:rsidRPr="00E56E3E">
        <w:rPr>
          <w:rFonts w:eastAsia="Times New Roman" w:cs="Arial"/>
          <w:szCs w:val="24"/>
          <w:lang w:val="en-AU"/>
        </w:rPr>
        <w:t xml:space="preserve">develop food standards </w:t>
      </w:r>
      <w:r w:rsidRPr="00E56E3E">
        <w:rPr>
          <w:rFonts w:eastAsia="Times New Roman" w:cs="Arial"/>
          <w:szCs w:val="24"/>
        </w:rPr>
        <w:t xml:space="preserve">for consideration and endorsement by the FMM. The FMM is established under the Food Regulation Agreement and the </w:t>
      </w:r>
      <w:r w:rsidRPr="00E56E3E">
        <w:rPr>
          <w:rFonts w:eastAsia="Times New Roman" w:cs="Arial"/>
          <w:szCs w:val="24"/>
          <w:lang w:val="en-AU"/>
        </w:rPr>
        <w:t>international agreement between Australia and New Zealand</w:t>
      </w:r>
      <w:r w:rsidRPr="00E56E3E">
        <w:rPr>
          <w:rFonts w:eastAsia="Times New Roman" w:cs="Arial"/>
          <w:szCs w:val="24"/>
        </w:rPr>
        <w:t xml:space="preserve">, and consists of New Zealand, Commonwealth and State/Territory members. If endorsed by the FMM, </w:t>
      </w:r>
      <w:r w:rsidRPr="00E56E3E">
        <w:rPr>
          <w:rFonts w:eastAsia="Times New Roman" w:cs="Arial"/>
          <w:szCs w:val="24"/>
          <w:lang w:val="en-AU"/>
        </w:rPr>
        <w:t xml:space="preserve">the food standards on gazettal and registration are incorporated into and become part of Commonwealth, State and Territory and </w:t>
      </w:r>
      <w:r w:rsidRPr="00E56E3E">
        <w:rPr>
          <w:rFonts w:eastAsia="Times New Roman" w:cs="Arial"/>
          <w:szCs w:val="24"/>
          <w:lang w:val="en-AU"/>
        </w:rPr>
        <w:lastRenderedPageBreak/>
        <w:t>New Zealand food laws. These standards or instruments are then administered, applied and enforced by these jurisdictions’ regulators as part of those food laws.</w:t>
      </w:r>
    </w:p>
    <w:p w14:paraId="5C9E83E3" w14:textId="77777777" w:rsidR="00E56E3E" w:rsidRPr="00E56E3E" w:rsidRDefault="00E56E3E" w:rsidP="00E56E3E">
      <w:pPr>
        <w:rPr>
          <w:rFonts w:eastAsia="Times New Roman" w:cs="Times New Roman"/>
          <w:b/>
          <w:szCs w:val="24"/>
          <w:lang w:val="en-AU" w:eastAsia="en-GB"/>
        </w:rPr>
      </w:pPr>
    </w:p>
    <w:p w14:paraId="48367621" w14:textId="77777777" w:rsidR="00E56E3E" w:rsidRPr="00E56E3E" w:rsidRDefault="00E56E3E" w:rsidP="00E56E3E">
      <w:pPr>
        <w:rPr>
          <w:rFonts w:eastAsia="Times New Roman" w:cs="Times New Roman"/>
          <w:b/>
          <w:szCs w:val="24"/>
          <w:lang w:val="en-AU" w:eastAsia="en-GB"/>
        </w:rPr>
      </w:pPr>
      <w:r w:rsidRPr="00E56E3E">
        <w:rPr>
          <w:rFonts w:eastAsia="Times New Roman" w:cs="Times New Roman"/>
          <w:b/>
          <w:szCs w:val="24"/>
          <w:lang w:val="en-AU" w:eastAsia="en-GB"/>
        </w:rPr>
        <w:t>3.</w:t>
      </w:r>
      <w:r w:rsidRPr="00E56E3E">
        <w:rPr>
          <w:rFonts w:eastAsia="Times New Roman" w:cs="Times New Roman"/>
          <w:b/>
          <w:szCs w:val="24"/>
          <w:lang w:val="en-AU" w:eastAsia="en-GB"/>
        </w:rPr>
        <w:tab/>
        <w:t xml:space="preserve">Purpose </w:t>
      </w:r>
    </w:p>
    <w:p w14:paraId="6C5EA195" w14:textId="77777777" w:rsidR="00E56E3E" w:rsidRPr="00E56E3E" w:rsidRDefault="00E56E3E" w:rsidP="00E56E3E">
      <w:pPr>
        <w:rPr>
          <w:rFonts w:eastAsia="Times New Roman" w:cs="Times New Roman"/>
          <w:szCs w:val="24"/>
          <w:lang w:val="en-AU" w:eastAsia="en-GB"/>
        </w:rPr>
      </w:pPr>
    </w:p>
    <w:p w14:paraId="0569C9EB" w14:textId="77777777" w:rsidR="00E56E3E" w:rsidRPr="00E56E3E" w:rsidRDefault="00E56E3E" w:rsidP="00E56E3E">
      <w:pPr>
        <w:rPr>
          <w:rFonts w:eastAsia="Times New Roman" w:cs="Times New Roman"/>
          <w:szCs w:val="24"/>
          <w:lang w:val="en-AU" w:eastAsia="en-GB"/>
        </w:rPr>
      </w:pPr>
      <w:r w:rsidRPr="00E56E3E">
        <w:rPr>
          <w:rFonts w:eastAsia="Times New Roman" w:cs="Times New Roman"/>
          <w:szCs w:val="24"/>
          <w:lang w:val="en-AU" w:eastAsia="en-GB"/>
        </w:rPr>
        <w:t>The Authority has approved a draft variation to amend Schedule 4 of the Code</w:t>
      </w:r>
      <w:r w:rsidRPr="00E56E3E">
        <w:rPr>
          <w:rFonts w:eastAsia="Times New Roman" w:cs="Times New Roman"/>
          <w:szCs w:val="24"/>
        </w:rPr>
        <w:t xml:space="preserve"> to define and clarify what constitutes added sugars for the purposes of making voluntary nutrition content claims about added sugars.</w:t>
      </w:r>
    </w:p>
    <w:p w14:paraId="4673E85B" w14:textId="77777777" w:rsidR="00E56E3E" w:rsidRPr="00E56E3E" w:rsidRDefault="00E56E3E" w:rsidP="00E56E3E">
      <w:pPr>
        <w:rPr>
          <w:rFonts w:eastAsia="Times New Roman" w:cs="Times New Roman"/>
          <w:szCs w:val="24"/>
          <w:lang w:val="en-AU" w:eastAsia="en-GB"/>
        </w:rPr>
      </w:pPr>
    </w:p>
    <w:p w14:paraId="67A5B66F" w14:textId="77777777" w:rsidR="00E56E3E" w:rsidRPr="00E56E3E" w:rsidRDefault="00E56E3E" w:rsidP="00E56E3E">
      <w:pPr>
        <w:rPr>
          <w:rFonts w:eastAsia="Times New Roman" w:cs="Times New Roman"/>
          <w:b/>
          <w:szCs w:val="24"/>
          <w:lang w:val="en-AU" w:eastAsia="en-GB"/>
        </w:rPr>
      </w:pPr>
      <w:r w:rsidRPr="00E56E3E">
        <w:rPr>
          <w:rFonts w:eastAsia="Times New Roman" w:cs="Times New Roman"/>
          <w:b/>
          <w:szCs w:val="24"/>
          <w:lang w:val="en-AU" w:eastAsia="en-GB"/>
        </w:rPr>
        <w:t>4.</w:t>
      </w:r>
      <w:r w:rsidRPr="00E56E3E">
        <w:rPr>
          <w:rFonts w:eastAsia="Times New Roman" w:cs="Times New Roman"/>
          <w:b/>
          <w:szCs w:val="24"/>
          <w:lang w:val="en-AU" w:eastAsia="en-GB"/>
        </w:rPr>
        <w:tab/>
        <w:t>Documents incorporated by reference</w:t>
      </w:r>
    </w:p>
    <w:p w14:paraId="5B54B62F" w14:textId="77777777" w:rsidR="00E56E3E" w:rsidRPr="00E56E3E" w:rsidRDefault="00E56E3E" w:rsidP="00E56E3E">
      <w:pPr>
        <w:rPr>
          <w:rFonts w:eastAsia="Times New Roman" w:cs="Times New Roman"/>
          <w:szCs w:val="24"/>
          <w:lang w:val="en-AU" w:eastAsia="en-GB"/>
        </w:rPr>
      </w:pPr>
    </w:p>
    <w:p w14:paraId="5BDE1E8F" w14:textId="77777777" w:rsidR="00E56E3E" w:rsidRPr="00E56E3E" w:rsidRDefault="00E56E3E" w:rsidP="00E56E3E">
      <w:pPr>
        <w:autoSpaceDE w:val="0"/>
        <w:autoSpaceDN w:val="0"/>
        <w:adjustRightInd w:val="0"/>
        <w:rPr>
          <w:rFonts w:eastAsia="Times New Roman" w:cs="Arial"/>
          <w:bCs/>
          <w:lang w:val="en-AU"/>
        </w:rPr>
      </w:pPr>
      <w:r w:rsidRPr="00E56E3E">
        <w:rPr>
          <w:rFonts w:eastAsia="Times New Roman" w:cs="Arial"/>
          <w:bCs/>
          <w:lang w:val="en-AU"/>
        </w:rPr>
        <w:t>The approved draft variation does not incorporate any documents by reference.</w:t>
      </w:r>
    </w:p>
    <w:p w14:paraId="73474CF5" w14:textId="77777777" w:rsidR="00E56E3E" w:rsidRPr="00E56E3E" w:rsidRDefault="00E56E3E" w:rsidP="00E56E3E">
      <w:pPr>
        <w:rPr>
          <w:rFonts w:eastAsia="Times New Roman" w:cs="Times New Roman"/>
          <w:szCs w:val="24"/>
          <w:lang w:val="en-AU" w:eastAsia="en-GB"/>
        </w:rPr>
      </w:pPr>
    </w:p>
    <w:p w14:paraId="11603A42" w14:textId="77777777" w:rsidR="00E56E3E" w:rsidRPr="00E56E3E" w:rsidRDefault="00E56E3E" w:rsidP="00E56E3E">
      <w:pPr>
        <w:rPr>
          <w:rFonts w:eastAsia="Times New Roman" w:cs="Times New Roman"/>
          <w:b/>
          <w:szCs w:val="24"/>
          <w:lang w:val="en-AU" w:eastAsia="en-GB"/>
        </w:rPr>
      </w:pPr>
      <w:r w:rsidRPr="00E56E3E">
        <w:rPr>
          <w:rFonts w:eastAsia="Times New Roman" w:cs="Times New Roman"/>
          <w:b/>
          <w:szCs w:val="24"/>
          <w:lang w:val="en-AU" w:eastAsia="en-GB"/>
        </w:rPr>
        <w:t>5.</w:t>
      </w:r>
      <w:r w:rsidRPr="00E56E3E">
        <w:rPr>
          <w:rFonts w:eastAsia="Times New Roman" w:cs="Times New Roman"/>
          <w:b/>
          <w:szCs w:val="24"/>
          <w:lang w:val="en-AU" w:eastAsia="en-GB"/>
        </w:rPr>
        <w:tab/>
        <w:t>Consultation</w:t>
      </w:r>
    </w:p>
    <w:p w14:paraId="33A7B524" w14:textId="77777777" w:rsidR="00E56E3E" w:rsidRPr="00E56E3E" w:rsidRDefault="00E56E3E" w:rsidP="00E56E3E">
      <w:pPr>
        <w:rPr>
          <w:rFonts w:eastAsia="Times New Roman" w:cs="Times New Roman"/>
          <w:szCs w:val="24"/>
          <w:lang w:val="en-AU" w:eastAsia="en-GB"/>
        </w:rPr>
      </w:pPr>
    </w:p>
    <w:p w14:paraId="43DD04A3" w14:textId="77777777" w:rsidR="00E56E3E" w:rsidRPr="00E56E3E" w:rsidRDefault="00E56E3E" w:rsidP="00E56E3E">
      <w:pPr>
        <w:rPr>
          <w:rFonts w:eastAsia="Times New Roman" w:cs="Times New Roman"/>
          <w:szCs w:val="24"/>
          <w:lang w:val="en-AU"/>
        </w:rPr>
      </w:pPr>
      <w:r w:rsidRPr="00E56E3E">
        <w:rPr>
          <w:rFonts w:eastAsia="Times New Roman" w:cs="Times New Roman"/>
        </w:rPr>
        <w:t xml:space="preserve">In accordance with the procedure in Division 2 of Part 3 of the FSANZ Act, </w:t>
      </w:r>
      <w:r w:rsidRPr="00E56E3E">
        <w:rPr>
          <w:rFonts w:eastAsia="Times New Roman" w:cs="Arial"/>
          <w:bCs/>
          <w:lang w:val="en-AU"/>
        </w:rPr>
        <w:t>the Authority</w:t>
      </w:r>
      <w:r w:rsidRPr="00E56E3E">
        <w:rPr>
          <w:rFonts w:eastAsia="Times New Roman" w:cs="Times New Roman"/>
        </w:rPr>
        <w:t xml:space="preserve">’s consideration of Proposal P1062 included one round of public consultation following an assessment and the preparation of a draft Standard and associated report. Submissions were called for on 11 September 2023 for a 4-week consultation period. </w:t>
      </w:r>
    </w:p>
    <w:p w14:paraId="1107C3E6" w14:textId="77777777" w:rsidR="00E56E3E" w:rsidRPr="00E56E3E" w:rsidRDefault="00E56E3E" w:rsidP="00E56E3E">
      <w:pPr>
        <w:autoSpaceDE w:val="0"/>
        <w:autoSpaceDN w:val="0"/>
        <w:adjustRightInd w:val="0"/>
        <w:rPr>
          <w:rFonts w:eastAsia="Times New Roman" w:cs="Times New Roman"/>
          <w:szCs w:val="24"/>
        </w:rPr>
      </w:pPr>
    </w:p>
    <w:p w14:paraId="71F30A7F" w14:textId="77777777" w:rsidR="00E56E3E" w:rsidRPr="00E56E3E" w:rsidRDefault="00E56E3E" w:rsidP="00E56E3E">
      <w:pPr>
        <w:rPr>
          <w:rFonts w:eastAsia="Times New Roman" w:cs="Times New Roman"/>
          <w:szCs w:val="24"/>
        </w:rPr>
      </w:pPr>
      <w:r w:rsidRPr="00E56E3E">
        <w:rPr>
          <w:rFonts w:eastAsia="Times New Roman" w:cs="Times New Roman"/>
          <w:szCs w:val="24"/>
        </w:rPr>
        <w:t>Impact analysis requirements applying to FSANZ were changed in April 2023</w:t>
      </w:r>
      <w:r w:rsidRPr="00E56E3E">
        <w:rPr>
          <w:rFonts w:eastAsia="Times New Roman" w:cs="Times New Roman"/>
          <w:szCs w:val="24"/>
          <w:vertAlign w:val="superscript"/>
        </w:rPr>
        <w:footnoteReference w:id="1"/>
      </w:r>
      <w:r w:rsidRPr="00E56E3E">
        <w:rPr>
          <w:rFonts w:eastAsia="Times New Roman" w:cs="Times New Roman"/>
          <w:szCs w:val="24"/>
        </w:rPr>
        <w:t>. As a result, undertaking a Regulation Impact Statement (RIS) in addition to the assessment required under the FSANZ Act is no longer mandated. FSANZ has undertaken assessment in accordance with the FSANZ Act to consider the regulatory impacts and costs and benefits in line with RIS guidance.</w:t>
      </w:r>
    </w:p>
    <w:p w14:paraId="13E68FF8" w14:textId="77777777" w:rsidR="00E56E3E" w:rsidRPr="00E56E3E" w:rsidRDefault="00E56E3E" w:rsidP="00E56E3E">
      <w:pPr>
        <w:rPr>
          <w:rFonts w:eastAsia="Times New Roman" w:cs="Times New Roman"/>
          <w:szCs w:val="24"/>
          <w:lang w:val="en-AU" w:eastAsia="en-GB"/>
        </w:rPr>
      </w:pPr>
    </w:p>
    <w:p w14:paraId="0F2DCAE1" w14:textId="77777777" w:rsidR="00E56E3E" w:rsidRPr="00E56E3E" w:rsidRDefault="00E56E3E" w:rsidP="00E56E3E">
      <w:pPr>
        <w:rPr>
          <w:rFonts w:eastAsia="Times New Roman" w:cs="Arial"/>
          <w:b/>
          <w:bCs/>
          <w:lang w:val="en-AU"/>
        </w:rPr>
      </w:pPr>
      <w:r w:rsidRPr="00E56E3E">
        <w:rPr>
          <w:rFonts w:eastAsia="Times New Roman" w:cs="Arial"/>
          <w:b/>
          <w:bCs/>
          <w:lang w:val="en-AU"/>
        </w:rPr>
        <w:t>6.</w:t>
      </w:r>
      <w:r w:rsidRPr="00E56E3E">
        <w:rPr>
          <w:rFonts w:eastAsia="Times New Roman" w:cs="Arial"/>
          <w:b/>
          <w:bCs/>
          <w:lang w:val="en-AU"/>
        </w:rPr>
        <w:tab/>
        <w:t>Statement of compatibility with human rights</w:t>
      </w:r>
    </w:p>
    <w:p w14:paraId="6ACCCC8A" w14:textId="77777777" w:rsidR="00E56E3E" w:rsidRPr="00E56E3E" w:rsidRDefault="00E56E3E" w:rsidP="00E56E3E">
      <w:pPr>
        <w:rPr>
          <w:rFonts w:eastAsia="Times New Roman" w:cs="Times New Roman"/>
          <w:szCs w:val="24"/>
          <w:lang w:val="en-AU"/>
        </w:rPr>
      </w:pPr>
    </w:p>
    <w:p w14:paraId="4DCFA9D1" w14:textId="77777777" w:rsidR="00E56E3E" w:rsidRPr="00E56E3E" w:rsidRDefault="00E56E3E" w:rsidP="00E56E3E">
      <w:pPr>
        <w:rPr>
          <w:rFonts w:eastAsia="Times New Roman" w:cs="Times New Roman"/>
          <w:szCs w:val="24"/>
          <w:lang w:val="en-AU"/>
        </w:rPr>
      </w:pPr>
      <w:r w:rsidRPr="00E56E3E">
        <w:rPr>
          <w:rFonts w:eastAsia="Times New Roman" w:cs="Times New Roman"/>
          <w:szCs w:val="24"/>
          <w:lang w:val="en-AU"/>
        </w:rPr>
        <w:t xml:space="preserve">This instrument is exempt from the requirements for a statement of compatibility with human rights as it is a non-disallowable instrument under section 44 of the </w:t>
      </w:r>
      <w:r w:rsidRPr="00E56E3E">
        <w:rPr>
          <w:rFonts w:eastAsia="Times New Roman" w:cs="Times New Roman"/>
          <w:i/>
          <w:szCs w:val="24"/>
          <w:lang w:val="en-AU"/>
        </w:rPr>
        <w:t>Legislation Act 2003</w:t>
      </w:r>
      <w:r w:rsidRPr="00E56E3E">
        <w:rPr>
          <w:rFonts w:eastAsia="Times New Roman" w:cs="Times New Roman"/>
          <w:szCs w:val="24"/>
          <w:lang w:val="en-AU"/>
        </w:rPr>
        <w:t>.</w:t>
      </w:r>
    </w:p>
    <w:p w14:paraId="32B28F1E" w14:textId="77777777" w:rsidR="00E56E3E" w:rsidRPr="00E56E3E" w:rsidRDefault="00E56E3E" w:rsidP="00E56E3E">
      <w:pPr>
        <w:rPr>
          <w:rFonts w:eastAsia="Times New Roman" w:cs="Times New Roman"/>
          <w:szCs w:val="24"/>
          <w:lang w:val="en-AU"/>
        </w:rPr>
      </w:pPr>
    </w:p>
    <w:p w14:paraId="072943B9" w14:textId="77777777" w:rsidR="00E56E3E" w:rsidRPr="00E56E3E" w:rsidRDefault="00E56E3E" w:rsidP="00E56E3E">
      <w:pPr>
        <w:rPr>
          <w:rFonts w:eastAsia="Times New Roman" w:cs="Times New Roman"/>
          <w:b/>
          <w:szCs w:val="24"/>
          <w:lang w:val="en-AU" w:eastAsia="en-GB"/>
        </w:rPr>
      </w:pPr>
      <w:r w:rsidRPr="00E56E3E">
        <w:rPr>
          <w:rFonts w:eastAsia="Times New Roman" w:cs="Times New Roman"/>
          <w:b/>
          <w:szCs w:val="24"/>
        </w:rPr>
        <w:t>7.</w:t>
      </w:r>
      <w:r w:rsidRPr="00E56E3E">
        <w:rPr>
          <w:rFonts w:eastAsia="Times New Roman" w:cs="Times New Roman"/>
          <w:b/>
          <w:szCs w:val="24"/>
        </w:rPr>
        <w:tab/>
      </w:r>
      <w:r w:rsidRPr="00E56E3E">
        <w:rPr>
          <w:rFonts w:eastAsia="Times New Roman" w:cs="Times New Roman"/>
          <w:b/>
          <w:szCs w:val="24"/>
          <w:lang w:val="en-AU" w:eastAsia="en-GB"/>
        </w:rPr>
        <w:t>Variation</w:t>
      </w:r>
    </w:p>
    <w:p w14:paraId="5517D12B" w14:textId="77777777" w:rsidR="00E56E3E" w:rsidRPr="00E56E3E" w:rsidRDefault="00E56E3E" w:rsidP="00E56E3E">
      <w:pPr>
        <w:rPr>
          <w:rFonts w:eastAsia="Times New Roman" w:cs="Times New Roman"/>
          <w:b/>
          <w:szCs w:val="24"/>
        </w:rPr>
      </w:pPr>
    </w:p>
    <w:p w14:paraId="0DC04AF9" w14:textId="77777777" w:rsidR="00E56E3E" w:rsidRPr="00E56E3E" w:rsidRDefault="00E56E3E" w:rsidP="00E56E3E">
      <w:pPr>
        <w:rPr>
          <w:rFonts w:eastAsia="Times New Roman" w:cs="Arial"/>
          <w:i/>
          <w:iCs/>
          <w:szCs w:val="24"/>
        </w:rPr>
      </w:pPr>
      <w:r w:rsidRPr="00E56E3E">
        <w:rPr>
          <w:rFonts w:eastAsia="Times New Roman" w:cs="Arial"/>
          <w:szCs w:val="24"/>
        </w:rPr>
        <w:t xml:space="preserve">Clause 1 provides that the name of the approved draft variation is the </w:t>
      </w:r>
      <w:r w:rsidRPr="00E56E3E">
        <w:rPr>
          <w:rFonts w:eastAsia="Times New Roman" w:cs="Times New Roman"/>
          <w:i/>
          <w:iCs/>
          <w:szCs w:val="24"/>
        </w:rPr>
        <w:t>Food Standards (Proposal P1062 – Defining added sugars for claims) Variation</w:t>
      </w:r>
      <w:r w:rsidRPr="00E56E3E">
        <w:rPr>
          <w:rFonts w:eastAsia="Times New Roman" w:cs="Arial"/>
          <w:i/>
          <w:iCs/>
          <w:szCs w:val="24"/>
        </w:rPr>
        <w:t xml:space="preserve">. </w:t>
      </w:r>
    </w:p>
    <w:p w14:paraId="2508D899" w14:textId="77777777" w:rsidR="00E56E3E" w:rsidRPr="00E56E3E" w:rsidRDefault="00E56E3E" w:rsidP="00E56E3E">
      <w:pPr>
        <w:rPr>
          <w:rFonts w:eastAsia="Times New Roman" w:cs="Arial"/>
          <w:szCs w:val="24"/>
        </w:rPr>
      </w:pPr>
    </w:p>
    <w:p w14:paraId="5F6A2A84" w14:textId="77777777" w:rsidR="00E56E3E" w:rsidRPr="00E56E3E" w:rsidRDefault="00E56E3E" w:rsidP="00E56E3E">
      <w:pPr>
        <w:rPr>
          <w:rFonts w:eastAsia="Times New Roman" w:cs="Arial"/>
          <w:szCs w:val="24"/>
        </w:rPr>
      </w:pPr>
      <w:r w:rsidRPr="00E56E3E">
        <w:rPr>
          <w:rFonts w:eastAsia="Times New Roman" w:cs="Arial"/>
          <w:szCs w:val="24"/>
        </w:rPr>
        <w:t>Clause 2 provides that the Code is amended by the Schedule to the approved draft variation.</w:t>
      </w:r>
    </w:p>
    <w:p w14:paraId="06EDE7FE" w14:textId="77777777" w:rsidR="00E56E3E" w:rsidRPr="00E56E3E" w:rsidRDefault="00E56E3E" w:rsidP="00E56E3E">
      <w:pPr>
        <w:rPr>
          <w:rFonts w:eastAsia="Times New Roman" w:cs="Arial"/>
          <w:i/>
          <w:iCs/>
          <w:szCs w:val="24"/>
        </w:rPr>
      </w:pPr>
    </w:p>
    <w:p w14:paraId="6FE9AD2C" w14:textId="77777777" w:rsidR="00E56E3E" w:rsidRPr="00E56E3E" w:rsidRDefault="00E56E3E" w:rsidP="00E56E3E">
      <w:pPr>
        <w:rPr>
          <w:rFonts w:eastAsia="Times New Roman" w:cs="Arial"/>
          <w:szCs w:val="24"/>
        </w:rPr>
      </w:pPr>
      <w:r w:rsidRPr="00E56E3E">
        <w:rPr>
          <w:rFonts w:eastAsia="Times New Roman" w:cs="Arial"/>
          <w:szCs w:val="24"/>
        </w:rPr>
        <w:t>Clause 3 provides that the approved draft variation will commence on the date of gazettal of the instrument.</w:t>
      </w:r>
    </w:p>
    <w:p w14:paraId="72A57023" w14:textId="77777777" w:rsidR="00E56E3E" w:rsidRPr="00E56E3E" w:rsidRDefault="00E56E3E" w:rsidP="00E56E3E">
      <w:pPr>
        <w:rPr>
          <w:rFonts w:eastAsia="Times New Roman" w:cs="Arial"/>
          <w:szCs w:val="24"/>
        </w:rPr>
      </w:pPr>
    </w:p>
    <w:p w14:paraId="4FCBD1FF" w14:textId="77777777" w:rsidR="00E56E3E" w:rsidRPr="00E56E3E" w:rsidRDefault="00E56E3E" w:rsidP="00E56E3E">
      <w:pPr>
        <w:rPr>
          <w:rFonts w:eastAsia="Times New Roman" w:cs="Arial"/>
          <w:szCs w:val="24"/>
        </w:rPr>
      </w:pPr>
      <w:r w:rsidRPr="00E56E3E">
        <w:rPr>
          <w:rFonts w:eastAsia="Times New Roman" w:cs="Arial"/>
          <w:szCs w:val="24"/>
        </w:rPr>
        <w:t xml:space="preserve">Clause 4 provides a transitional arrangement. </w:t>
      </w:r>
    </w:p>
    <w:p w14:paraId="5943F109" w14:textId="77777777" w:rsidR="00E56E3E" w:rsidRPr="00E56E3E" w:rsidRDefault="00E56E3E" w:rsidP="00E56E3E">
      <w:pPr>
        <w:rPr>
          <w:rFonts w:eastAsia="Times New Roman" w:cs="Arial"/>
          <w:szCs w:val="24"/>
        </w:rPr>
      </w:pPr>
    </w:p>
    <w:p w14:paraId="1E82D876" w14:textId="77777777" w:rsidR="00E56E3E" w:rsidRPr="00E56E3E" w:rsidRDefault="00E56E3E" w:rsidP="00E56E3E">
      <w:pPr>
        <w:rPr>
          <w:rFonts w:eastAsia="Times New Roman" w:cs="Arial"/>
          <w:szCs w:val="24"/>
        </w:rPr>
      </w:pPr>
      <w:r w:rsidRPr="00E56E3E">
        <w:rPr>
          <w:rFonts w:eastAsia="Times New Roman" w:cs="Arial"/>
          <w:szCs w:val="24"/>
        </w:rPr>
        <w:t xml:space="preserve">Subclause 4(1) provides that the </w:t>
      </w:r>
      <w:r w:rsidRPr="00E56E3E">
        <w:rPr>
          <w:rFonts w:eastAsia="Times New Roman" w:cs="Arial"/>
          <w:color w:val="2E3037"/>
          <w:szCs w:val="24"/>
          <w:lang w:val="en-AU" w:eastAsia="en-GB"/>
        </w:rPr>
        <w:t>stock-in-trade exemption provided by section 1.1.1—9 of Standard 1.1.1 will not apply to any of the amendments made by the approved draft variation.</w:t>
      </w:r>
    </w:p>
    <w:p w14:paraId="1CB6F9D1" w14:textId="77777777" w:rsidR="00E56E3E" w:rsidRPr="00E56E3E" w:rsidRDefault="00E56E3E" w:rsidP="00E56E3E">
      <w:pPr>
        <w:rPr>
          <w:rFonts w:eastAsia="Times New Roman" w:cs="Arial"/>
          <w:szCs w:val="24"/>
        </w:rPr>
      </w:pPr>
    </w:p>
    <w:p w14:paraId="329A7D53" w14:textId="77777777" w:rsidR="00E56E3E" w:rsidRPr="00E56E3E" w:rsidRDefault="00E56E3E" w:rsidP="00E56E3E">
      <w:pPr>
        <w:rPr>
          <w:rFonts w:eastAsia="Times New Roman" w:cs="Arial"/>
          <w:color w:val="2E3037"/>
          <w:szCs w:val="24"/>
          <w:lang w:val="en-AU" w:eastAsia="en-GB"/>
        </w:rPr>
      </w:pPr>
      <w:r w:rsidRPr="00E56E3E">
        <w:rPr>
          <w:rFonts w:eastAsia="Times New Roman" w:cs="Arial"/>
          <w:szCs w:val="24"/>
        </w:rPr>
        <w:t xml:space="preserve">Subclause 4(2) and paragraph 4(4)(a) provide </w:t>
      </w:r>
      <w:r w:rsidRPr="00E56E3E">
        <w:rPr>
          <w:rFonts w:eastAsia="Times New Roman" w:cs="Arial"/>
          <w:color w:val="2E3037"/>
          <w:szCs w:val="24"/>
          <w:lang w:val="en-AU" w:eastAsia="en-GB"/>
        </w:rPr>
        <w:t xml:space="preserve">an initial transitional arrangement where during a four year transition period commencing on the instrument’s date of gazettal, a food product may </w:t>
      </w:r>
      <w:r w:rsidRPr="00E56E3E">
        <w:rPr>
          <w:rFonts w:eastAsia="Times New Roman" w:cs="Arial"/>
          <w:color w:val="2E3037"/>
          <w:szCs w:val="24"/>
          <w:lang w:val="en-AU" w:eastAsia="en-GB"/>
        </w:rPr>
        <w:lastRenderedPageBreak/>
        <w:t xml:space="preserve">be sold if the food product complies with either the Code as in force without the amendments made by the instrument; or the Code as amended by the instrument. </w:t>
      </w:r>
    </w:p>
    <w:p w14:paraId="6BC6AE0B" w14:textId="77777777" w:rsidR="00E56E3E" w:rsidRPr="00E56E3E" w:rsidRDefault="00E56E3E" w:rsidP="00E56E3E">
      <w:pPr>
        <w:rPr>
          <w:rFonts w:eastAsia="Times New Roman" w:cs="Arial"/>
          <w:color w:val="2E3037"/>
          <w:szCs w:val="24"/>
          <w:lang w:val="en-AU" w:eastAsia="en-GB"/>
        </w:rPr>
      </w:pPr>
    </w:p>
    <w:p w14:paraId="400FD47B" w14:textId="77777777" w:rsidR="00E56E3E" w:rsidRPr="00E56E3E" w:rsidRDefault="00E56E3E" w:rsidP="00E56E3E">
      <w:pPr>
        <w:rPr>
          <w:rFonts w:eastAsia="Times New Roman" w:cs="Arial"/>
          <w:color w:val="2E3037"/>
          <w:szCs w:val="24"/>
          <w:lang w:val="en-AU" w:eastAsia="en-GB"/>
        </w:rPr>
      </w:pPr>
      <w:r w:rsidRPr="00E56E3E">
        <w:rPr>
          <w:rFonts w:eastAsia="Times New Roman" w:cs="Arial"/>
          <w:szCs w:val="24"/>
        </w:rPr>
        <w:t xml:space="preserve">Subclause 4(2) and paragraph 4(4)(b) </w:t>
      </w:r>
      <w:r w:rsidRPr="00E56E3E">
        <w:rPr>
          <w:rFonts w:eastAsia="Times New Roman" w:cs="Arial"/>
          <w:color w:val="2E3037"/>
          <w:szCs w:val="24"/>
          <w:lang w:val="en-AU" w:eastAsia="en-GB"/>
        </w:rPr>
        <w:t xml:space="preserve">provide a subsequent transitional arrangement where during a post-transition two year period commencing on the day after the initial transition period ends, a food product that was packaged and labelled before the end of initial four year transition period, may be sold if the product complies with either the Code as in force without the amendments made by the instrument; or the Code as amended by the instrument. </w:t>
      </w:r>
    </w:p>
    <w:p w14:paraId="3A574F85" w14:textId="77777777" w:rsidR="00E56E3E" w:rsidRPr="00E56E3E" w:rsidRDefault="00E56E3E" w:rsidP="00E56E3E">
      <w:pPr>
        <w:rPr>
          <w:rFonts w:eastAsia="Times New Roman" w:cs="Arial"/>
          <w:szCs w:val="24"/>
          <w:lang w:val="en-AU" w:eastAsia="en-GB"/>
        </w:rPr>
      </w:pPr>
    </w:p>
    <w:p w14:paraId="42927D2E" w14:textId="77777777" w:rsidR="00E56E3E" w:rsidRPr="00E56E3E" w:rsidRDefault="00E56E3E" w:rsidP="00E56E3E">
      <w:pPr>
        <w:rPr>
          <w:rFonts w:eastAsia="Times New Roman" w:cs="Times New Roman"/>
          <w:b/>
          <w:bCs/>
          <w:iCs/>
          <w:szCs w:val="24"/>
        </w:rPr>
      </w:pPr>
      <w:r w:rsidRPr="00E56E3E">
        <w:rPr>
          <w:rFonts w:eastAsia="Times New Roman" w:cs="Times New Roman"/>
          <w:b/>
          <w:bCs/>
          <w:iCs/>
          <w:szCs w:val="24"/>
        </w:rPr>
        <w:t xml:space="preserve">8. </w:t>
      </w:r>
      <w:r w:rsidRPr="00E56E3E">
        <w:rPr>
          <w:rFonts w:eastAsia="Times New Roman" w:cs="Times New Roman"/>
          <w:b/>
          <w:bCs/>
          <w:iCs/>
          <w:szCs w:val="24"/>
        </w:rPr>
        <w:tab/>
        <w:t>Schedule</w:t>
      </w:r>
    </w:p>
    <w:p w14:paraId="08D91BB7" w14:textId="77777777" w:rsidR="00E56E3E" w:rsidRPr="00E56E3E" w:rsidRDefault="00E56E3E" w:rsidP="00E56E3E">
      <w:pPr>
        <w:rPr>
          <w:rFonts w:eastAsia="Times New Roman" w:cs="Times New Roman"/>
          <w:iCs/>
          <w:szCs w:val="24"/>
        </w:rPr>
      </w:pPr>
    </w:p>
    <w:p w14:paraId="0C08F255" w14:textId="77777777" w:rsidR="00E56E3E" w:rsidRPr="00E56E3E" w:rsidRDefault="00E56E3E" w:rsidP="00E56E3E">
      <w:pPr>
        <w:rPr>
          <w:rFonts w:eastAsia="Times New Roman" w:cs="Times New Roman"/>
          <w:iCs/>
          <w:szCs w:val="24"/>
        </w:rPr>
      </w:pPr>
      <w:r w:rsidRPr="00E56E3E">
        <w:rPr>
          <w:rFonts w:eastAsia="Times New Roman" w:cs="Times New Roman"/>
          <w:iCs/>
          <w:szCs w:val="24"/>
        </w:rPr>
        <w:t xml:space="preserve">The Schedule of the approved draft variation amends Schedule 4 of the Code. </w:t>
      </w:r>
    </w:p>
    <w:p w14:paraId="4E4558DB" w14:textId="77777777" w:rsidR="00E56E3E" w:rsidRPr="00E56E3E" w:rsidRDefault="00E56E3E" w:rsidP="00E56E3E">
      <w:pPr>
        <w:rPr>
          <w:rFonts w:eastAsia="Times New Roman" w:cs="Times New Roman"/>
          <w:iCs/>
          <w:szCs w:val="24"/>
        </w:rPr>
      </w:pPr>
    </w:p>
    <w:p w14:paraId="556EA951" w14:textId="77777777" w:rsidR="00E56E3E" w:rsidRPr="00E56E3E" w:rsidRDefault="00E56E3E" w:rsidP="00E56E3E">
      <w:pPr>
        <w:rPr>
          <w:rFonts w:eastAsia="Times New Roman" w:cs="Arial"/>
          <w:iCs/>
          <w:szCs w:val="24"/>
        </w:rPr>
      </w:pPr>
      <w:r w:rsidRPr="00E56E3E">
        <w:rPr>
          <w:rFonts w:eastAsia="Times New Roman" w:cs="Arial"/>
          <w:b/>
          <w:bCs/>
          <w:iCs/>
          <w:szCs w:val="24"/>
        </w:rPr>
        <w:t>Item [1]</w:t>
      </w:r>
      <w:r w:rsidRPr="00E56E3E">
        <w:rPr>
          <w:rFonts w:eastAsia="Times New Roman" w:cs="Arial"/>
          <w:iCs/>
          <w:szCs w:val="24"/>
        </w:rPr>
        <w:t xml:space="preserve"> of the Schedule amends the table to section S4—3 of Schedule 4 of the Code. It replaces the </w:t>
      </w:r>
      <w:r w:rsidRPr="00E56E3E">
        <w:rPr>
          <w:rFonts w:eastAsia="Times New Roman" w:cs="Arial"/>
          <w:szCs w:val="24"/>
        </w:rPr>
        <w:t xml:space="preserve">entry in that table dealing with the </w:t>
      </w:r>
      <w:r w:rsidRPr="00E56E3E">
        <w:rPr>
          <w:rFonts w:eastAsia="Times New Roman" w:cs="Arial"/>
        </w:rPr>
        <w:t xml:space="preserve">property of food </w:t>
      </w:r>
      <w:r w:rsidRPr="00E56E3E">
        <w:rPr>
          <w:rFonts w:eastAsia="Times New Roman" w:cs="Arial"/>
          <w:szCs w:val="24"/>
        </w:rPr>
        <w:t>“Sugar or sugars” with a new entry as follows.</w:t>
      </w:r>
      <w:r w:rsidRPr="00E56E3E">
        <w:rPr>
          <w:rFonts w:eastAsia="Times New Roman" w:cs="Arial"/>
          <w:szCs w:val="24"/>
          <w:lang w:eastAsia="en-AU"/>
        </w:rPr>
        <w:t xml:space="preserve"> </w:t>
      </w:r>
    </w:p>
    <w:p w14:paraId="11626783" w14:textId="77777777" w:rsidR="00E56E3E" w:rsidRPr="00E56E3E" w:rsidRDefault="00E56E3E" w:rsidP="00E56E3E">
      <w:pPr>
        <w:rPr>
          <w:rFonts w:eastAsia="Times New Roman" w:cs="Arial"/>
          <w:iCs/>
          <w:szCs w:val="24"/>
        </w:rPr>
      </w:pPr>
    </w:p>
    <w:p w14:paraId="0729D353" w14:textId="77777777" w:rsidR="00E56E3E" w:rsidRPr="00E56E3E" w:rsidRDefault="00E56E3E" w:rsidP="00E56E3E">
      <w:pPr>
        <w:autoSpaceDE w:val="0"/>
        <w:autoSpaceDN w:val="0"/>
        <w:adjustRightInd w:val="0"/>
        <w:rPr>
          <w:rFonts w:eastAsia="Times New Roman" w:cs="Arial"/>
          <w:color w:val="000000"/>
          <w:lang w:val="en-AU" w:eastAsia="en-GB"/>
        </w:rPr>
      </w:pPr>
      <w:r w:rsidRPr="00E56E3E">
        <w:rPr>
          <w:rFonts w:eastAsia="Times New Roman" w:cs="Arial"/>
          <w:color w:val="000000"/>
          <w:lang w:val="en-AU" w:eastAsia="en-AU"/>
        </w:rPr>
        <w:t>The new entry restates the current entries in column 3 of the table for the specific descriptors ‘</w:t>
      </w:r>
      <w:r w:rsidRPr="00E56E3E">
        <w:rPr>
          <w:rFonts w:eastAsia="Times New Roman" w:cs="Arial"/>
          <w:color w:val="000000"/>
          <w:lang w:val="en-AU" w:eastAsia="en-GB"/>
        </w:rPr>
        <w:t>% Free’, ‘Low’ and “Reduced or Light/Lite’, and the current conditions listed in column 4 for the use of each of those descriptors.</w:t>
      </w:r>
    </w:p>
    <w:p w14:paraId="6A9CDC9C" w14:textId="77777777" w:rsidR="00E56E3E" w:rsidRPr="00E56E3E" w:rsidRDefault="00E56E3E" w:rsidP="00E56E3E">
      <w:pPr>
        <w:rPr>
          <w:rFonts w:eastAsia="Times New Roman" w:cs="Times New Roman"/>
        </w:rPr>
      </w:pPr>
    </w:p>
    <w:p w14:paraId="1EC83520" w14:textId="77777777" w:rsidR="00E56E3E" w:rsidRPr="00E56E3E" w:rsidRDefault="00E56E3E" w:rsidP="00E56E3E">
      <w:pPr>
        <w:rPr>
          <w:rFonts w:eastAsia="Times New Roman" w:cs="Times New Roman"/>
          <w:b/>
          <w:bCs/>
          <w:i/>
          <w:iCs/>
        </w:rPr>
      </w:pPr>
      <w:r w:rsidRPr="00E56E3E">
        <w:rPr>
          <w:rFonts w:eastAsia="Times New Roman" w:cs="Times New Roman"/>
          <w:b/>
          <w:bCs/>
          <w:i/>
          <w:iCs/>
        </w:rPr>
        <w:t>‘No added sugar or sugars’</w:t>
      </w:r>
    </w:p>
    <w:p w14:paraId="01AAC80C" w14:textId="77777777" w:rsidR="00E56E3E" w:rsidRPr="00E56E3E" w:rsidRDefault="00E56E3E" w:rsidP="00E56E3E">
      <w:pPr>
        <w:rPr>
          <w:rFonts w:eastAsia="Times New Roman" w:cs="Times New Roman"/>
        </w:rPr>
      </w:pPr>
    </w:p>
    <w:p w14:paraId="0FC92969" w14:textId="77777777" w:rsidR="00E56E3E" w:rsidRPr="00E56E3E" w:rsidRDefault="00E56E3E" w:rsidP="00E56E3E">
      <w:pPr>
        <w:rPr>
          <w:rFonts w:eastAsia="Times New Roman" w:cs="Times New Roman"/>
          <w:iCs/>
        </w:rPr>
      </w:pPr>
      <w:r w:rsidRPr="00E56E3E">
        <w:rPr>
          <w:rFonts w:eastAsia="Times New Roman" w:cs="Times New Roman"/>
        </w:rPr>
        <w:t xml:space="preserve">The new entry sets new conditions in </w:t>
      </w:r>
      <w:r w:rsidRPr="00E56E3E">
        <w:rPr>
          <w:rFonts w:eastAsia="Times New Roman" w:cs="Times New Roman"/>
          <w:iCs/>
          <w:szCs w:val="24"/>
        </w:rPr>
        <w:t>column 4 of</w:t>
      </w:r>
      <w:r w:rsidRPr="00E56E3E">
        <w:rPr>
          <w:rFonts w:eastAsia="Times New Roman" w:cs="Times New Roman"/>
        </w:rPr>
        <w:t xml:space="preserve"> the table for the use of the specific descriptor ‘No added’. The new conditions are as follows.</w:t>
      </w:r>
    </w:p>
    <w:p w14:paraId="33466BB4" w14:textId="77777777" w:rsidR="00E56E3E" w:rsidRPr="00E56E3E" w:rsidRDefault="00E56E3E" w:rsidP="00E56E3E">
      <w:pPr>
        <w:rPr>
          <w:rFonts w:eastAsia="Times New Roman" w:cs="Times New Roman"/>
          <w:iCs/>
          <w:szCs w:val="24"/>
        </w:rPr>
      </w:pPr>
    </w:p>
    <w:p w14:paraId="2F9E989B" w14:textId="77777777" w:rsidR="00E56E3E" w:rsidRPr="00E56E3E" w:rsidRDefault="00E56E3E" w:rsidP="00E56E3E">
      <w:pPr>
        <w:rPr>
          <w:rFonts w:eastAsia="Times New Roman" w:cs="Arial"/>
          <w:b/>
          <w:bCs/>
          <w:i/>
        </w:rPr>
      </w:pPr>
      <w:r w:rsidRPr="00E56E3E">
        <w:rPr>
          <w:rFonts w:eastAsia="Times New Roman" w:cs="Arial"/>
          <w:i/>
        </w:rPr>
        <w:t>Condition (a)</w:t>
      </w:r>
      <w:r w:rsidRPr="00E56E3E">
        <w:rPr>
          <w:rFonts w:eastAsia="Times New Roman" w:cs="Arial"/>
          <w:b/>
          <w:bCs/>
          <w:i/>
        </w:rPr>
        <w:t xml:space="preserve"> </w:t>
      </w:r>
    </w:p>
    <w:p w14:paraId="72513F55" w14:textId="77777777" w:rsidR="00E56E3E" w:rsidRPr="00E56E3E" w:rsidRDefault="00E56E3E" w:rsidP="00E56E3E">
      <w:pPr>
        <w:rPr>
          <w:rFonts w:eastAsia="Times New Roman" w:cs="Arial"/>
          <w:b/>
          <w:bCs/>
          <w:iCs/>
        </w:rPr>
      </w:pPr>
    </w:p>
    <w:p w14:paraId="31F79598" w14:textId="77777777" w:rsidR="00E56E3E" w:rsidRPr="00E56E3E" w:rsidRDefault="00E56E3E" w:rsidP="00E56E3E">
      <w:pPr>
        <w:rPr>
          <w:rFonts w:eastAsia="Times New Roman" w:cs="Times New Roman"/>
          <w:iCs/>
          <w:szCs w:val="24"/>
        </w:rPr>
      </w:pPr>
      <w:r w:rsidRPr="00E56E3E">
        <w:rPr>
          <w:rFonts w:eastAsia="Times New Roman" w:cs="Arial"/>
          <w:szCs w:val="24"/>
        </w:rPr>
        <w:t>Condition (a)</w:t>
      </w:r>
      <w:r w:rsidRPr="00E56E3E">
        <w:rPr>
          <w:rFonts w:eastAsia="Times New Roman" w:cs="Arial"/>
          <w:b/>
          <w:szCs w:val="24"/>
        </w:rPr>
        <w:t xml:space="preserve"> </w:t>
      </w:r>
      <w:r w:rsidRPr="00E56E3E">
        <w:rPr>
          <w:rFonts w:eastAsia="Times New Roman" w:cs="Arial"/>
          <w:szCs w:val="24"/>
        </w:rPr>
        <w:t>is that the food for sale is not an added sugar. Condition (e) defines what is an added sugar for the purposes of conditions (a) and (b).</w:t>
      </w:r>
    </w:p>
    <w:p w14:paraId="0232A97C" w14:textId="77777777" w:rsidR="00E56E3E" w:rsidRPr="00E56E3E" w:rsidRDefault="00E56E3E" w:rsidP="00E56E3E">
      <w:pPr>
        <w:rPr>
          <w:rFonts w:eastAsia="Times New Roman" w:cs="Times New Roman"/>
          <w:iCs/>
          <w:szCs w:val="24"/>
        </w:rPr>
      </w:pPr>
      <w:r w:rsidRPr="00E56E3E">
        <w:rPr>
          <w:rFonts w:eastAsia="Times New Roman" w:cs="Times New Roman"/>
          <w:iCs/>
          <w:szCs w:val="24"/>
        </w:rPr>
        <w:t xml:space="preserve"> </w:t>
      </w:r>
    </w:p>
    <w:p w14:paraId="6C9CB58A" w14:textId="77777777" w:rsidR="00E56E3E" w:rsidRPr="00E56E3E" w:rsidRDefault="00E56E3E" w:rsidP="00E56E3E">
      <w:pPr>
        <w:rPr>
          <w:rFonts w:eastAsia="Times New Roman" w:cs="Times New Roman"/>
          <w:i/>
          <w:szCs w:val="24"/>
        </w:rPr>
      </w:pPr>
      <w:r w:rsidRPr="00E56E3E">
        <w:rPr>
          <w:rFonts w:eastAsia="Times New Roman" w:cs="Times New Roman"/>
          <w:i/>
          <w:szCs w:val="24"/>
        </w:rPr>
        <w:t xml:space="preserve">Condition (b) </w:t>
      </w:r>
    </w:p>
    <w:p w14:paraId="52ED5184" w14:textId="77777777" w:rsidR="00E56E3E" w:rsidRPr="00E56E3E" w:rsidRDefault="00E56E3E" w:rsidP="00E56E3E">
      <w:pPr>
        <w:keepLines/>
        <w:spacing w:before="60" w:after="60"/>
        <w:rPr>
          <w:rFonts w:eastAsia="Times New Roman" w:cs="Arial"/>
          <w:lang w:eastAsia="en-AU"/>
        </w:rPr>
      </w:pPr>
    </w:p>
    <w:p w14:paraId="755D1263" w14:textId="77777777" w:rsidR="00E56E3E" w:rsidRPr="00E56E3E" w:rsidRDefault="00E56E3E" w:rsidP="00E56E3E">
      <w:pPr>
        <w:keepLines/>
        <w:spacing w:before="60" w:after="60"/>
        <w:rPr>
          <w:rFonts w:eastAsia="Times New Roman" w:cs="Arial"/>
          <w:lang w:eastAsia="en-AU"/>
        </w:rPr>
      </w:pPr>
      <w:r w:rsidRPr="00E56E3E">
        <w:rPr>
          <w:rFonts w:eastAsia="Times New Roman" w:cs="Arial"/>
          <w:lang w:eastAsia="en-AU"/>
        </w:rPr>
        <w:t>Condition (b)</w:t>
      </w:r>
      <w:r w:rsidRPr="00E56E3E">
        <w:rPr>
          <w:rFonts w:eastAsia="Times New Roman" w:cs="Arial"/>
          <w:b/>
          <w:lang w:eastAsia="en-AU"/>
        </w:rPr>
        <w:t xml:space="preserve"> </w:t>
      </w:r>
      <w:r w:rsidRPr="00E56E3E">
        <w:rPr>
          <w:rFonts w:eastAsia="Times New Roman" w:cs="Arial"/>
          <w:lang w:eastAsia="en-AU"/>
        </w:rPr>
        <w:t>provides that a ‘no added sugar(s)’ claim is not permitted to be displayed on a food for sale that contains an added sugar (as defined in condition (e)) as an added ingredient and that contains more sugars than 10 g/100 g for solid food or 7.5 g/100 mL for liquid food.</w:t>
      </w:r>
    </w:p>
    <w:p w14:paraId="0E974D37" w14:textId="77777777" w:rsidR="00E56E3E" w:rsidRPr="00E56E3E" w:rsidRDefault="00E56E3E" w:rsidP="00E56E3E">
      <w:pPr>
        <w:rPr>
          <w:rFonts w:eastAsia="Times New Roman" w:cs="Times New Roman"/>
          <w:iCs/>
          <w:szCs w:val="24"/>
        </w:rPr>
      </w:pPr>
    </w:p>
    <w:p w14:paraId="5D79E429" w14:textId="77777777" w:rsidR="00E56E3E" w:rsidRPr="00E56E3E" w:rsidRDefault="00E56E3E" w:rsidP="00E56E3E">
      <w:pPr>
        <w:rPr>
          <w:rFonts w:eastAsia="Times New Roman" w:cs="Times New Roman"/>
          <w:i/>
          <w:szCs w:val="24"/>
        </w:rPr>
      </w:pPr>
      <w:r w:rsidRPr="00E56E3E">
        <w:rPr>
          <w:rFonts w:eastAsia="Times New Roman" w:cs="Times New Roman"/>
          <w:i/>
          <w:szCs w:val="24"/>
        </w:rPr>
        <w:t>Condition (c)</w:t>
      </w:r>
    </w:p>
    <w:p w14:paraId="2832E70A" w14:textId="77777777" w:rsidR="00E56E3E" w:rsidRPr="00E56E3E" w:rsidRDefault="00E56E3E" w:rsidP="00E56E3E">
      <w:pPr>
        <w:rPr>
          <w:rFonts w:eastAsia="Times New Roman" w:cs="Times New Roman"/>
          <w:i/>
          <w:szCs w:val="24"/>
        </w:rPr>
      </w:pPr>
    </w:p>
    <w:p w14:paraId="43D644EC" w14:textId="77777777" w:rsidR="00E56E3E" w:rsidRPr="00E56E3E" w:rsidRDefault="00E56E3E" w:rsidP="00E56E3E">
      <w:pPr>
        <w:rPr>
          <w:rFonts w:eastAsia="Times New Roman" w:cs="Times New Roman"/>
          <w:szCs w:val="24"/>
        </w:rPr>
      </w:pPr>
      <w:r w:rsidRPr="00E56E3E">
        <w:rPr>
          <w:rFonts w:eastAsia="Times New Roman" w:cs="Times New Roman"/>
          <w:iCs/>
          <w:szCs w:val="24"/>
        </w:rPr>
        <w:t>Condition (c)</w:t>
      </w:r>
      <w:r w:rsidRPr="00E56E3E">
        <w:rPr>
          <w:rFonts w:eastAsia="Times New Roman" w:cs="Times New Roman"/>
          <w:b/>
          <w:bCs/>
          <w:iCs/>
          <w:szCs w:val="24"/>
        </w:rPr>
        <w:t xml:space="preserve"> </w:t>
      </w:r>
      <w:r w:rsidRPr="00E56E3E">
        <w:rPr>
          <w:rFonts w:eastAsia="Times New Roman" w:cs="Times New Roman"/>
          <w:iCs/>
          <w:szCs w:val="24"/>
        </w:rPr>
        <w:t xml:space="preserve">provides that a ‘no added sugar(s)’ claim is not permitted to be displayed on a food for sale in which the concentration of hexose monosaccharides and disaccharides has been increased by hydrolysis of carbohydrates during food production. </w:t>
      </w:r>
    </w:p>
    <w:p w14:paraId="0E1EE6DB" w14:textId="77777777" w:rsidR="00E56E3E" w:rsidRPr="00E56E3E" w:rsidRDefault="00E56E3E" w:rsidP="00E56E3E">
      <w:pPr>
        <w:rPr>
          <w:rFonts w:eastAsia="Times New Roman" w:cs="Times New Roman"/>
          <w:iCs/>
          <w:szCs w:val="24"/>
        </w:rPr>
      </w:pPr>
    </w:p>
    <w:p w14:paraId="528B2039" w14:textId="77777777" w:rsidR="00E56E3E" w:rsidRPr="00E56E3E" w:rsidRDefault="00E56E3E" w:rsidP="00E56E3E">
      <w:pPr>
        <w:rPr>
          <w:rFonts w:eastAsia="Times New Roman" w:cs="Times New Roman"/>
          <w:i/>
          <w:szCs w:val="24"/>
        </w:rPr>
      </w:pPr>
      <w:r w:rsidRPr="00E56E3E">
        <w:rPr>
          <w:rFonts w:eastAsia="Times New Roman" w:cs="Times New Roman"/>
          <w:i/>
          <w:szCs w:val="24"/>
        </w:rPr>
        <w:t>Condition (d)</w:t>
      </w:r>
    </w:p>
    <w:p w14:paraId="3E5FFB2E" w14:textId="77777777" w:rsidR="00E56E3E" w:rsidRPr="00E56E3E" w:rsidRDefault="00E56E3E" w:rsidP="00E56E3E">
      <w:pPr>
        <w:rPr>
          <w:rFonts w:eastAsia="Times New Roman" w:cs="Times New Roman"/>
          <w:b/>
          <w:bCs/>
          <w:iCs/>
          <w:szCs w:val="24"/>
        </w:rPr>
      </w:pPr>
    </w:p>
    <w:p w14:paraId="0333F0B3" w14:textId="77777777" w:rsidR="00E56E3E" w:rsidRPr="00E56E3E" w:rsidRDefault="00E56E3E" w:rsidP="00E56E3E">
      <w:pPr>
        <w:rPr>
          <w:rFonts w:eastAsia="Times New Roman" w:cs="Times New Roman"/>
          <w:iCs/>
          <w:szCs w:val="24"/>
        </w:rPr>
      </w:pPr>
      <w:r w:rsidRPr="00E56E3E">
        <w:rPr>
          <w:rFonts w:eastAsia="Times New Roman" w:cs="Times New Roman"/>
          <w:iCs/>
          <w:szCs w:val="24"/>
        </w:rPr>
        <w:t xml:space="preserve">Condition (d) provides an exemption to condition (c). It provides that condition (c) does not apply to a food for sale in which: the concentration of hexose monosaccharides and disaccharides was increased by hydrolysis of carbohydrates during that food’s production; and the concentration of hexose monosaccharides and disaccharides in that food is not &gt; 1.5%. The </w:t>
      </w:r>
      <w:r w:rsidRPr="00E56E3E">
        <w:rPr>
          <w:rFonts w:eastAsia="Times New Roman" w:cs="Times New Roman"/>
          <w:iCs/>
          <w:szCs w:val="24"/>
        </w:rPr>
        <w:lastRenderedPageBreak/>
        <w:t>exemption means that condition (c) does not prevent a ‘no added sugar(s)’ claim from being displayed on that food for sale.</w:t>
      </w:r>
    </w:p>
    <w:p w14:paraId="7AA5C676" w14:textId="77777777" w:rsidR="00E56E3E" w:rsidRPr="00E56E3E" w:rsidRDefault="00E56E3E" w:rsidP="00E56E3E">
      <w:pPr>
        <w:rPr>
          <w:rFonts w:eastAsia="Times New Roman" w:cs="Times New Roman"/>
          <w:b/>
          <w:bCs/>
          <w:iCs/>
          <w:szCs w:val="24"/>
        </w:rPr>
      </w:pPr>
    </w:p>
    <w:p w14:paraId="44BB88FE" w14:textId="77777777" w:rsidR="00E56E3E" w:rsidRPr="00E56E3E" w:rsidRDefault="00E56E3E" w:rsidP="00E56E3E">
      <w:pPr>
        <w:keepNext/>
        <w:rPr>
          <w:rFonts w:eastAsia="Times New Roman" w:cs="Times New Roman"/>
          <w:i/>
          <w:szCs w:val="24"/>
        </w:rPr>
      </w:pPr>
      <w:r w:rsidRPr="00E56E3E">
        <w:rPr>
          <w:rFonts w:eastAsia="Times New Roman" w:cs="Times New Roman"/>
          <w:i/>
          <w:szCs w:val="24"/>
        </w:rPr>
        <w:t>Condition (e)</w:t>
      </w:r>
    </w:p>
    <w:p w14:paraId="698346DF" w14:textId="77777777" w:rsidR="00E56E3E" w:rsidRPr="00E56E3E" w:rsidRDefault="00E56E3E" w:rsidP="00E56E3E">
      <w:pPr>
        <w:keepNext/>
        <w:rPr>
          <w:rFonts w:eastAsia="Times New Roman" w:cs="Times New Roman"/>
          <w:i/>
          <w:szCs w:val="24"/>
        </w:rPr>
      </w:pPr>
    </w:p>
    <w:p w14:paraId="6C42C79A" w14:textId="77777777" w:rsidR="00E56E3E" w:rsidRPr="00F93B07" w:rsidRDefault="00E56E3E" w:rsidP="00E56E3E">
      <w:pPr>
        <w:keepNext/>
        <w:spacing w:after="120"/>
        <w:rPr>
          <w:rFonts w:eastAsia="Times New Roman" w:cs="Arial"/>
          <w:szCs w:val="24"/>
        </w:rPr>
      </w:pPr>
      <w:r w:rsidRPr="00F93B07">
        <w:rPr>
          <w:rFonts w:eastAsia="Times New Roman" w:cs="Arial"/>
          <w:szCs w:val="24"/>
        </w:rPr>
        <w:t xml:space="preserve">Condition (e) states that, for the purposes of conditions (a) and (b), the term </w:t>
      </w:r>
      <w:r w:rsidRPr="00F93B07">
        <w:rPr>
          <w:rFonts w:eastAsia="Times New Roman" w:cs="Arial"/>
          <w:i/>
          <w:szCs w:val="24"/>
        </w:rPr>
        <w:t>added sugar</w:t>
      </w:r>
      <w:r w:rsidRPr="00F93B07">
        <w:rPr>
          <w:rFonts w:eastAsia="Times New Roman" w:cs="Arial"/>
          <w:b/>
          <w:i/>
          <w:szCs w:val="24"/>
        </w:rPr>
        <w:t xml:space="preserve"> </w:t>
      </w:r>
      <w:r w:rsidRPr="00F93B07">
        <w:rPr>
          <w:rFonts w:eastAsia="Times New Roman" w:cs="Arial"/>
          <w:szCs w:val="24"/>
        </w:rPr>
        <w:t>means any of the products listed below, derived from any source:</w:t>
      </w:r>
    </w:p>
    <w:p w14:paraId="58F0630B" w14:textId="77777777" w:rsidR="00E56E3E" w:rsidRPr="00F93B07" w:rsidRDefault="00E56E3E" w:rsidP="00E56E3E">
      <w:pPr>
        <w:keepLines/>
        <w:spacing w:before="60" w:after="60"/>
        <w:rPr>
          <w:rFonts w:eastAsia="Times New Roman" w:cs="Arial"/>
          <w:lang w:eastAsia="en-AU"/>
        </w:rPr>
      </w:pPr>
      <w:r w:rsidRPr="00F93B07">
        <w:rPr>
          <w:rFonts w:eastAsia="Times New Roman" w:cs="Arial"/>
          <w:lang w:eastAsia="en-AU"/>
        </w:rPr>
        <w:t>(</w:t>
      </w:r>
      <w:proofErr w:type="spellStart"/>
      <w:r w:rsidRPr="00F93B07">
        <w:rPr>
          <w:rFonts w:eastAsia="Times New Roman" w:cs="Arial"/>
          <w:lang w:eastAsia="en-AU"/>
        </w:rPr>
        <w:t>i</w:t>
      </w:r>
      <w:proofErr w:type="spellEnd"/>
      <w:r w:rsidRPr="00F93B07">
        <w:rPr>
          <w:rFonts w:eastAsia="Times New Roman" w:cs="Arial"/>
          <w:lang w:eastAsia="en-AU"/>
        </w:rPr>
        <w:t>)</w:t>
      </w:r>
      <w:r w:rsidRPr="00F93B07">
        <w:rPr>
          <w:rFonts w:eastAsia="Times New Roman" w:cs="Arial"/>
          <w:lang w:eastAsia="en-AU"/>
        </w:rPr>
        <w:tab/>
      </w:r>
      <w:r w:rsidRPr="00F93B07">
        <w:rPr>
          <w:rFonts w:eastAsia="Times New Roman" w:cs="Arial"/>
          <w:szCs w:val="18"/>
          <w:lang w:eastAsia="en-AU"/>
        </w:rPr>
        <w:t xml:space="preserve">hexose monosaccharides and disaccharides (for example, dextrose, fructose, sucrose, </w:t>
      </w:r>
      <w:r w:rsidRPr="00F93B07">
        <w:rPr>
          <w:rFonts w:eastAsia="Times New Roman" w:cs="Arial"/>
          <w:szCs w:val="18"/>
          <w:lang w:eastAsia="en-AU"/>
        </w:rPr>
        <w:tab/>
        <w:t>lactose, glucose, galactose, maltose, trehalose);</w:t>
      </w:r>
    </w:p>
    <w:p w14:paraId="19147FD4" w14:textId="77777777" w:rsidR="00E56E3E" w:rsidRPr="00F93B07" w:rsidRDefault="00E56E3E" w:rsidP="00E56E3E">
      <w:pPr>
        <w:keepLines/>
        <w:spacing w:before="60" w:after="60"/>
        <w:ind w:left="567" w:hanging="567"/>
        <w:rPr>
          <w:rFonts w:eastAsia="Times New Roman" w:cs="Arial"/>
          <w:szCs w:val="18"/>
          <w:lang w:eastAsia="en-AU"/>
        </w:rPr>
      </w:pPr>
      <w:r w:rsidRPr="00F93B07">
        <w:rPr>
          <w:rFonts w:eastAsia="Times New Roman" w:cs="Arial"/>
          <w:lang w:eastAsia="en-AU"/>
        </w:rPr>
        <w:t>(ii)</w:t>
      </w:r>
      <w:r w:rsidRPr="00F93B07">
        <w:rPr>
          <w:rFonts w:eastAsia="Times New Roman" w:cs="Arial"/>
          <w:sz w:val="18"/>
          <w:lang w:eastAsia="en-AU"/>
        </w:rPr>
        <w:tab/>
      </w:r>
      <w:r w:rsidRPr="00F93B07">
        <w:rPr>
          <w:rFonts w:eastAsia="Times New Roman" w:cs="Arial"/>
          <w:lang w:eastAsia="en-AU"/>
        </w:rPr>
        <w:t>low energy hexose monosaccharide D-tagatose</w:t>
      </w:r>
      <w:r w:rsidRPr="00F93B07">
        <w:rPr>
          <w:rFonts w:eastAsia="Times New Roman" w:cs="Arial"/>
          <w:szCs w:val="18"/>
          <w:lang w:eastAsia="en-AU"/>
        </w:rPr>
        <w:t>;</w:t>
      </w:r>
    </w:p>
    <w:p w14:paraId="4278B1E5" w14:textId="77777777" w:rsidR="00E56E3E" w:rsidRPr="00F93B07" w:rsidRDefault="00E56E3E" w:rsidP="00E56E3E">
      <w:pPr>
        <w:keepLines/>
        <w:spacing w:before="60" w:after="60"/>
        <w:ind w:left="567" w:hanging="567"/>
        <w:rPr>
          <w:rFonts w:eastAsia="Times New Roman" w:cs="Arial"/>
          <w:szCs w:val="18"/>
          <w:lang w:eastAsia="en-AU"/>
        </w:rPr>
      </w:pPr>
      <w:r w:rsidRPr="00F93B07">
        <w:rPr>
          <w:rFonts w:eastAsia="Times New Roman" w:cs="Arial"/>
          <w:szCs w:val="18"/>
          <w:lang w:eastAsia="en-AU"/>
        </w:rPr>
        <w:t>(iii)</w:t>
      </w:r>
      <w:r w:rsidRPr="00F93B07">
        <w:rPr>
          <w:rFonts w:eastAsia="Times New Roman" w:cs="Arial"/>
          <w:lang w:eastAsia="en-AU"/>
        </w:rPr>
        <w:tab/>
      </w:r>
      <w:r w:rsidRPr="00F93B07">
        <w:rPr>
          <w:rFonts w:eastAsia="Times New Roman" w:cs="Arial"/>
          <w:szCs w:val="18"/>
          <w:lang w:eastAsia="en-AU"/>
        </w:rPr>
        <w:t>starch hydrolysate;</w:t>
      </w:r>
    </w:p>
    <w:p w14:paraId="2B4D7BC7" w14:textId="77777777" w:rsidR="00E56E3E" w:rsidRPr="00F93B07" w:rsidRDefault="00E56E3E" w:rsidP="00E56E3E">
      <w:pPr>
        <w:keepLines/>
        <w:spacing w:before="60" w:after="60"/>
        <w:ind w:left="567" w:hanging="567"/>
        <w:rPr>
          <w:rFonts w:eastAsia="Times New Roman" w:cs="Arial"/>
          <w:szCs w:val="18"/>
          <w:lang w:eastAsia="en-AU"/>
        </w:rPr>
      </w:pPr>
      <w:r w:rsidRPr="00F93B07">
        <w:rPr>
          <w:rFonts w:eastAsia="Times New Roman" w:cs="Arial"/>
          <w:szCs w:val="18"/>
          <w:lang w:eastAsia="en-AU"/>
        </w:rPr>
        <w:t>(iv)</w:t>
      </w:r>
      <w:r w:rsidRPr="00F93B07">
        <w:rPr>
          <w:rFonts w:eastAsia="Times New Roman" w:cs="Arial"/>
          <w:lang w:eastAsia="en-AU"/>
        </w:rPr>
        <w:tab/>
      </w:r>
      <w:r w:rsidRPr="00F93B07">
        <w:rPr>
          <w:rFonts w:eastAsia="Times New Roman" w:cs="Arial"/>
          <w:szCs w:val="18"/>
          <w:lang w:eastAsia="en-AU"/>
        </w:rPr>
        <w:t>glucose syrup;</w:t>
      </w:r>
    </w:p>
    <w:p w14:paraId="5692561C" w14:textId="77777777" w:rsidR="00E56E3E" w:rsidRPr="00F93B07" w:rsidRDefault="00E56E3E" w:rsidP="00E56E3E">
      <w:pPr>
        <w:keepLines/>
        <w:spacing w:before="60" w:after="60"/>
        <w:ind w:left="567" w:hanging="567"/>
        <w:rPr>
          <w:rFonts w:eastAsia="Times New Roman" w:cs="Arial"/>
          <w:szCs w:val="18"/>
          <w:lang w:eastAsia="en-AU"/>
        </w:rPr>
      </w:pPr>
      <w:r w:rsidRPr="00F93B07">
        <w:rPr>
          <w:rFonts w:eastAsia="Times New Roman" w:cs="Arial"/>
          <w:szCs w:val="18"/>
          <w:lang w:eastAsia="en-AU"/>
        </w:rPr>
        <w:t>(v)</w:t>
      </w:r>
      <w:r w:rsidRPr="00F93B07">
        <w:rPr>
          <w:rFonts w:eastAsia="Times New Roman" w:cs="Arial"/>
          <w:lang w:eastAsia="en-AU"/>
        </w:rPr>
        <w:t xml:space="preserve"> </w:t>
      </w:r>
      <w:r w:rsidRPr="00F93B07">
        <w:rPr>
          <w:rFonts w:eastAsia="Times New Roman" w:cs="Arial"/>
          <w:lang w:eastAsia="en-AU"/>
        </w:rPr>
        <w:tab/>
      </w:r>
      <w:r w:rsidRPr="00F93B07">
        <w:rPr>
          <w:rFonts w:eastAsia="Times New Roman" w:cs="Arial"/>
          <w:szCs w:val="18"/>
          <w:lang w:eastAsia="en-AU"/>
        </w:rPr>
        <w:t xml:space="preserve">maltodextrin and similar products (for example, </w:t>
      </w:r>
      <w:proofErr w:type="spellStart"/>
      <w:r w:rsidRPr="00F93B07">
        <w:rPr>
          <w:rFonts w:eastAsia="Times New Roman" w:cs="Arial"/>
          <w:szCs w:val="18"/>
          <w:lang w:eastAsia="en-AU"/>
        </w:rPr>
        <w:t>dextrins</w:t>
      </w:r>
      <w:proofErr w:type="spellEnd"/>
      <w:r w:rsidRPr="00F93B07">
        <w:rPr>
          <w:rFonts w:eastAsia="Times New Roman" w:cs="Arial"/>
          <w:szCs w:val="18"/>
          <w:lang w:eastAsia="en-AU"/>
        </w:rPr>
        <w:t>);</w:t>
      </w:r>
    </w:p>
    <w:p w14:paraId="46FE61B0" w14:textId="77777777" w:rsidR="00E56E3E" w:rsidRPr="00F93B07" w:rsidRDefault="00E56E3E" w:rsidP="00E56E3E">
      <w:pPr>
        <w:keepLines/>
        <w:spacing w:before="60" w:after="60"/>
        <w:ind w:left="567" w:hanging="567"/>
        <w:rPr>
          <w:rFonts w:eastAsia="Times New Roman" w:cs="Arial"/>
          <w:lang w:eastAsia="en-AU"/>
        </w:rPr>
      </w:pPr>
      <w:r w:rsidRPr="00F93B07">
        <w:rPr>
          <w:rFonts w:eastAsia="Times New Roman" w:cs="Arial"/>
          <w:szCs w:val="18"/>
          <w:lang w:eastAsia="en-AU"/>
        </w:rPr>
        <w:t>(vi)</w:t>
      </w:r>
      <w:r w:rsidRPr="00F93B07">
        <w:rPr>
          <w:rFonts w:eastAsia="Times New Roman" w:cs="Arial"/>
          <w:sz w:val="18"/>
          <w:lang w:eastAsia="en-AU"/>
        </w:rPr>
        <w:tab/>
      </w:r>
      <w:r w:rsidRPr="00F93B07">
        <w:rPr>
          <w:rFonts w:eastAsia="Times New Roman" w:cs="Arial"/>
          <w:lang w:eastAsia="en-AU"/>
        </w:rPr>
        <w:t xml:space="preserve">a </w:t>
      </w:r>
      <w:r w:rsidRPr="00F93B07">
        <w:rPr>
          <w:rFonts w:eastAsia="Times New Roman" w:cs="Arial"/>
          <w:szCs w:val="18"/>
          <w:lang w:eastAsia="en-AU"/>
        </w:rPr>
        <w:t>product derived at a sugar refinery (including brown sugar, molasses, raw sugar, golden syrup, treacle) (other examples of a product derived at a sugar refinery are cane sugar, beet sugar, white sugar, granulated sugar)</w:t>
      </w:r>
      <w:r w:rsidRPr="00F93B07">
        <w:rPr>
          <w:rFonts w:eastAsia="Times New Roman" w:cs="Arial"/>
          <w:lang w:eastAsia="en-AU"/>
        </w:rPr>
        <w:t>;</w:t>
      </w:r>
    </w:p>
    <w:p w14:paraId="27F67DE6" w14:textId="77777777" w:rsidR="00E56E3E" w:rsidRPr="00F93B07" w:rsidRDefault="00E56E3E" w:rsidP="00E56E3E">
      <w:pPr>
        <w:keepLines/>
        <w:spacing w:before="60" w:after="60"/>
        <w:ind w:left="567" w:hanging="567"/>
        <w:rPr>
          <w:rFonts w:eastAsia="Times New Roman" w:cs="Arial"/>
          <w:lang w:eastAsia="en-AU"/>
        </w:rPr>
      </w:pPr>
      <w:r w:rsidRPr="00F93B07">
        <w:rPr>
          <w:rFonts w:eastAsia="Times New Roman" w:cs="Arial"/>
          <w:lang w:eastAsia="en-AU"/>
        </w:rPr>
        <w:t>(vii)</w:t>
      </w:r>
      <w:r w:rsidRPr="00F93B07">
        <w:rPr>
          <w:rFonts w:eastAsia="Times New Roman" w:cs="Arial"/>
          <w:lang w:eastAsia="en-AU"/>
        </w:rPr>
        <w:tab/>
        <w:t>icing sugar;</w:t>
      </w:r>
    </w:p>
    <w:p w14:paraId="364895AE" w14:textId="77777777" w:rsidR="00E56E3E" w:rsidRPr="00F93B07" w:rsidRDefault="00E56E3E" w:rsidP="00E56E3E">
      <w:pPr>
        <w:keepLines/>
        <w:spacing w:before="60" w:after="60"/>
        <w:ind w:left="567" w:hanging="567"/>
        <w:rPr>
          <w:rFonts w:eastAsia="Times New Roman" w:cs="Arial"/>
          <w:lang w:eastAsia="en-AU"/>
        </w:rPr>
      </w:pPr>
      <w:r w:rsidRPr="00F93B07">
        <w:rPr>
          <w:rFonts w:eastAsia="Times New Roman" w:cs="Arial"/>
          <w:lang w:eastAsia="en-AU"/>
        </w:rPr>
        <w:t>(viii)</w:t>
      </w:r>
      <w:r w:rsidRPr="00F93B07">
        <w:rPr>
          <w:rFonts w:eastAsia="Times New Roman" w:cs="Arial"/>
          <w:lang w:eastAsia="en-AU"/>
        </w:rPr>
        <w:tab/>
        <w:t>invert sugar;</w:t>
      </w:r>
    </w:p>
    <w:p w14:paraId="19A305BC" w14:textId="77777777" w:rsidR="00E56E3E" w:rsidRPr="00F93B07" w:rsidRDefault="00E56E3E" w:rsidP="00E56E3E">
      <w:pPr>
        <w:keepLines/>
        <w:spacing w:before="60" w:after="60"/>
        <w:rPr>
          <w:rFonts w:eastAsia="Times New Roman" w:cs="Arial"/>
          <w:lang w:eastAsia="en-AU"/>
        </w:rPr>
      </w:pPr>
      <w:r w:rsidRPr="00F93B07">
        <w:rPr>
          <w:rFonts w:eastAsia="Times New Roman" w:cs="Arial"/>
          <w:lang w:eastAsia="en-AU"/>
        </w:rPr>
        <w:t>(ix)</w:t>
      </w:r>
      <w:r w:rsidRPr="00F93B07">
        <w:rPr>
          <w:rFonts w:eastAsia="Times New Roman" w:cs="Arial"/>
          <w:sz w:val="18"/>
          <w:lang w:eastAsia="en-AU"/>
        </w:rPr>
        <w:tab/>
      </w:r>
      <w:r w:rsidRPr="00F93B07">
        <w:rPr>
          <w:rFonts w:eastAsia="Times New Roman" w:cs="Arial"/>
          <w:szCs w:val="18"/>
          <w:lang w:eastAsia="en-AU"/>
        </w:rPr>
        <w:t xml:space="preserve">sugar and sugar syrup derived from plants </w:t>
      </w:r>
      <w:r w:rsidRPr="00F93B07">
        <w:rPr>
          <w:rFonts w:eastAsia="Times New Roman" w:cs="Arial"/>
          <w:iCs/>
          <w:lang w:eastAsia="en-AU"/>
        </w:rPr>
        <w:t xml:space="preserve">(for example, high fructose corn syrup, </w:t>
      </w:r>
      <w:r w:rsidRPr="00F93B07">
        <w:rPr>
          <w:rFonts w:eastAsia="Times New Roman" w:cs="Arial"/>
          <w:sz w:val="18"/>
          <w:lang w:eastAsia="en-AU"/>
        </w:rPr>
        <w:tab/>
      </w:r>
      <w:r w:rsidRPr="00F93B07">
        <w:rPr>
          <w:rFonts w:eastAsia="Times New Roman" w:cs="Arial"/>
          <w:iCs/>
          <w:lang w:eastAsia="en-AU"/>
        </w:rPr>
        <w:t>tapioca syrup, maple syrup, rice syrup, rice malt syrup, sorghum</w:t>
      </w:r>
      <w:r w:rsidRPr="00F93B07">
        <w:rPr>
          <w:rFonts w:eastAsia="Times New Roman" w:cs="Arial"/>
          <w:lang w:eastAsia="en-AU"/>
        </w:rPr>
        <w:t xml:space="preserve"> syrup</w:t>
      </w:r>
      <w:r w:rsidRPr="00F93B07">
        <w:rPr>
          <w:rFonts w:eastAsia="Times New Roman" w:cs="Arial"/>
          <w:iCs/>
          <w:lang w:eastAsia="en-AU"/>
        </w:rPr>
        <w:t>,</w:t>
      </w:r>
      <w:r w:rsidRPr="00F93B07">
        <w:rPr>
          <w:rFonts w:eastAsia="Times New Roman" w:cs="Arial"/>
          <w:iCs/>
          <w:szCs w:val="18"/>
          <w:lang w:eastAsia="en-AU"/>
        </w:rPr>
        <w:t xml:space="preserve"> </w:t>
      </w:r>
      <w:r w:rsidRPr="00F93B07">
        <w:rPr>
          <w:rFonts w:eastAsia="Times New Roman" w:cs="Arial"/>
          <w:szCs w:val="18"/>
          <w:lang w:eastAsia="en-AU"/>
        </w:rPr>
        <w:t xml:space="preserve">coconut sugar </w:t>
      </w:r>
      <w:r w:rsidRPr="00F93B07">
        <w:rPr>
          <w:rFonts w:eastAsia="Times New Roman" w:cs="Arial"/>
          <w:sz w:val="18"/>
          <w:lang w:eastAsia="en-AU"/>
        </w:rPr>
        <w:tab/>
      </w:r>
      <w:r w:rsidRPr="00F93B07">
        <w:rPr>
          <w:rFonts w:eastAsia="Times New Roman" w:cs="Arial"/>
          <w:szCs w:val="18"/>
          <w:lang w:eastAsia="en-AU"/>
        </w:rPr>
        <w:t xml:space="preserve">or syrup, palm sugar or syrup, agave syrup); </w:t>
      </w:r>
    </w:p>
    <w:p w14:paraId="1E1FC8C1" w14:textId="77777777" w:rsidR="00E56E3E" w:rsidRPr="00E56E3E" w:rsidRDefault="00E56E3E" w:rsidP="00E56E3E">
      <w:pPr>
        <w:keepLines/>
        <w:spacing w:before="60" w:after="60"/>
        <w:ind w:left="567" w:hanging="567"/>
        <w:rPr>
          <w:rFonts w:eastAsia="Times New Roman" w:cs="Arial"/>
          <w:lang w:eastAsia="en-AU"/>
        </w:rPr>
      </w:pPr>
      <w:r w:rsidRPr="00E56E3E">
        <w:rPr>
          <w:rFonts w:eastAsia="Times New Roman" w:cs="Arial"/>
          <w:lang w:eastAsia="en-AU"/>
        </w:rPr>
        <w:t>(x)</w:t>
      </w:r>
      <w:r w:rsidRPr="00E56E3E">
        <w:rPr>
          <w:rFonts w:eastAsia="Times New Roman" w:cs="Arial"/>
          <w:lang w:eastAsia="en-AU"/>
        </w:rPr>
        <w:tab/>
        <w:t>honey;</w:t>
      </w:r>
    </w:p>
    <w:p w14:paraId="44654438" w14:textId="77777777" w:rsidR="00E56E3E" w:rsidRPr="00E56E3E" w:rsidRDefault="00E56E3E" w:rsidP="00E56E3E">
      <w:pPr>
        <w:keepLines/>
        <w:spacing w:before="60" w:after="60"/>
        <w:ind w:left="567" w:hanging="567"/>
        <w:rPr>
          <w:rFonts w:eastAsia="Times New Roman" w:cs="Arial"/>
          <w:lang w:eastAsia="en-AU"/>
        </w:rPr>
      </w:pPr>
      <w:r w:rsidRPr="00E56E3E">
        <w:rPr>
          <w:rFonts w:eastAsia="Times New Roman" w:cs="Arial"/>
          <w:lang w:eastAsia="en-AU"/>
        </w:rPr>
        <w:t>(xi)</w:t>
      </w:r>
      <w:r w:rsidRPr="00E56E3E">
        <w:rPr>
          <w:rFonts w:eastAsia="Times New Roman" w:cs="Arial"/>
          <w:lang w:eastAsia="en-AU"/>
        </w:rPr>
        <w:tab/>
        <w:t>malt;</w:t>
      </w:r>
    </w:p>
    <w:p w14:paraId="7BF6E358" w14:textId="77777777" w:rsidR="00E56E3E" w:rsidRPr="00E56E3E" w:rsidRDefault="00E56E3E" w:rsidP="00E56E3E">
      <w:pPr>
        <w:keepLines/>
        <w:spacing w:before="60" w:after="60"/>
        <w:ind w:left="567" w:hanging="567"/>
        <w:rPr>
          <w:rFonts w:eastAsia="Times New Roman" w:cs="Arial"/>
          <w:lang w:eastAsia="en-AU"/>
        </w:rPr>
      </w:pPr>
      <w:r w:rsidRPr="00E56E3E">
        <w:rPr>
          <w:rFonts w:eastAsia="Times New Roman" w:cs="Arial"/>
          <w:lang w:eastAsia="en-AU"/>
        </w:rPr>
        <w:t>(xii)</w:t>
      </w:r>
      <w:r w:rsidRPr="00E56E3E">
        <w:rPr>
          <w:rFonts w:eastAsia="Times New Roman" w:cs="Arial"/>
          <w:lang w:eastAsia="en-AU"/>
        </w:rPr>
        <w:tab/>
        <w:t>malt extracts;</w:t>
      </w:r>
    </w:p>
    <w:p w14:paraId="497CA05A" w14:textId="77777777" w:rsidR="00E56E3E" w:rsidRPr="00E56E3E" w:rsidRDefault="00E56E3E" w:rsidP="00E56E3E">
      <w:pPr>
        <w:keepLines/>
        <w:spacing w:before="60" w:after="60"/>
        <w:ind w:left="567" w:hanging="567"/>
        <w:rPr>
          <w:rFonts w:eastAsia="Times New Roman" w:cs="Arial"/>
          <w:lang w:eastAsia="en-AU"/>
        </w:rPr>
      </w:pPr>
      <w:r w:rsidRPr="00E56E3E">
        <w:rPr>
          <w:rFonts w:eastAsia="Times New Roman" w:cs="Arial"/>
          <w:lang w:eastAsia="en-AU"/>
        </w:rPr>
        <w:t xml:space="preserve">(xiii)   any of the following unless the food for sale is a </w:t>
      </w:r>
      <w:r w:rsidRPr="00E56E3E">
        <w:rPr>
          <w:rFonts w:eastAsia="Times New Roman" w:cs="Arial"/>
          <w:i/>
          <w:lang w:eastAsia="en-AU"/>
        </w:rPr>
        <w:t>prescribed beverage</w:t>
      </w:r>
      <w:r w:rsidRPr="00E56E3E">
        <w:rPr>
          <w:rFonts w:eastAsia="Times New Roman" w:cs="Arial"/>
          <w:lang w:eastAsia="en-AU"/>
        </w:rPr>
        <w:t xml:space="preserve"> (as defined in condition (g)): concentrated fruit juice; concentrated vegetable juice; deionised fruit juice; and deionised vegetable juice.</w:t>
      </w:r>
    </w:p>
    <w:p w14:paraId="4D20806D" w14:textId="77777777" w:rsidR="00E56E3E" w:rsidRPr="00E56E3E" w:rsidRDefault="00E56E3E" w:rsidP="00E56E3E">
      <w:pPr>
        <w:rPr>
          <w:rFonts w:eastAsia="Times New Roman" w:cs="Times New Roman"/>
          <w:iCs/>
          <w:szCs w:val="24"/>
        </w:rPr>
      </w:pPr>
    </w:p>
    <w:p w14:paraId="72EBA65E" w14:textId="77777777" w:rsidR="00E56E3E" w:rsidRPr="00E56E3E" w:rsidRDefault="00E56E3E" w:rsidP="00E56E3E">
      <w:pPr>
        <w:rPr>
          <w:rFonts w:eastAsia="Times New Roman" w:cs="Times New Roman"/>
          <w:szCs w:val="24"/>
        </w:rPr>
      </w:pPr>
      <w:r w:rsidRPr="00E56E3E">
        <w:rPr>
          <w:rFonts w:eastAsia="Times New Roman" w:cs="Times New Roman"/>
          <w:szCs w:val="24"/>
        </w:rPr>
        <w:t>Condition (e)(xiii)</w:t>
      </w:r>
      <w:r w:rsidRPr="00E56E3E">
        <w:rPr>
          <w:rFonts w:eastAsia="Times New Roman" w:cs="Times New Roman"/>
          <w:b/>
          <w:szCs w:val="24"/>
        </w:rPr>
        <w:t xml:space="preserve"> </w:t>
      </w:r>
      <w:r w:rsidRPr="00E56E3E">
        <w:rPr>
          <w:rFonts w:eastAsia="Times New Roman" w:cs="Times New Roman"/>
          <w:szCs w:val="24"/>
        </w:rPr>
        <w:t>provides that, if the food for sale is a prescribed beverage (as defined in condition (g)) and contains concentrated fruit juice, concentrated vegetable juice, deionised fruit juice or deionised vegetable juice, then that concentrated fruit juice, concentrated vegetable juice, deionised fruit juice or deionised vegetable juice will not be an ‘added sugar’ for the purposes of making a ‘no added sugar(s)’ claim. This will mean that, if that food for sale does not contain an added sugar listed in conditions (e)(</w:t>
      </w:r>
      <w:proofErr w:type="spellStart"/>
      <w:r w:rsidRPr="00E56E3E">
        <w:rPr>
          <w:rFonts w:eastAsia="Times New Roman" w:cs="Times New Roman"/>
          <w:szCs w:val="24"/>
        </w:rPr>
        <w:t>i</w:t>
      </w:r>
      <w:proofErr w:type="spellEnd"/>
      <w:r w:rsidRPr="00E56E3E">
        <w:rPr>
          <w:rFonts w:eastAsia="Times New Roman" w:cs="Times New Roman"/>
          <w:szCs w:val="24"/>
        </w:rPr>
        <w:t>) to (xii), it will be a food that does not contain an ‘added sugar’ for the purposes of condition (b)(</w:t>
      </w:r>
      <w:proofErr w:type="spellStart"/>
      <w:r w:rsidRPr="00E56E3E">
        <w:rPr>
          <w:rFonts w:eastAsia="Times New Roman" w:cs="Times New Roman"/>
          <w:szCs w:val="24"/>
        </w:rPr>
        <w:t>i</w:t>
      </w:r>
      <w:proofErr w:type="spellEnd"/>
      <w:r w:rsidRPr="00E56E3E">
        <w:rPr>
          <w:rFonts w:eastAsia="Times New Roman" w:cs="Times New Roman"/>
          <w:szCs w:val="24"/>
        </w:rPr>
        <w:t>). As such, that food for sale will be permitted to display a ‘no added sugar(s)’ claim provided that it complies with the maximum sugars content requirement set by condition (b)(ii).</w:t>
      </w:r>
    </w:p>
    <w:p w14:paraId="555A5D02" w14:textId="77777777" w:rsidR="00E56E3E" w:rsidRPr="00E56E3E" w:rsidRDefault="00E56E3E" w:rsidP="00E56E3E">
      <w:pPr>
        <w:rPr>
          <w:rFonts w:eastAsia="Times New Roman" w:cs="Times New Roman"/>
          <w:iCs/>
          <w:szCs w:val="24"/>
        </w:rPr>
      </w:pPr>
    </w:p>
    <w:p w14:paraId="06AEEF1F" w14:textId="77777777" w:rsidR="00E56E3E" w:rsidRPr="00E56E3E" w:rsidRDefault="00E56E3E" w:rsidP="00E56E3E">
      <w:pPr>
        <w:rPr>
          <w:rFonts w:eastAsia="Times New Roman" w:cs="Times New Roman"/>
          <w:i/>
          <w:szCs w:val="24"/>
        </w:rPr>
      </w:pPr>
      <w:r w:rsidRPr="00E56E3E">
        <w:rPr>
          <w:rFonts w:eastAsia="Times New Roman" w:cs="Times New Roman"/>
          <w:i/>
          <w:szCs w:val="24"/>
        </w:rPr>
        <w:t>Condition (f)</w:t>
      </w:r>
    </w:p>
    <w:p w14:paraId="00182021" w14:textId="77777777" w:rsidR="00E56E3E" w:rsidRPr="00E56E3E" w:rsidRDefault="00E56E3E" w:rsidP="00E56E3E">
      <w:pPr>
        <w:rPr>
          <w:rFonts w:eastAsia="Times New Roman" w:cs="Times New Roman"/>
          <w:b/>
          <w:bCs/>
          <w:iCs/>
          <w:szCs w:val="24"/>
        </w:rPr>
      </w:pPr>
    </w:p>
    <w:p w14:paraId="38953761" w14:textId="77777777" w:rsidR="00E56E3E" w:rsidRPr="00E56E3E" w:rsidRDefault="00E56E3E" w:rsidP="00E56E3E">
      <w:pPr>
        <w:rPr>
          <w:rFonts w:eastAsia="Times New Roman" w:cs="Times New Roman"/>
          <w:szCs w:val="24"/>
        </w:rPr>
      </w:pPr>
      <w:r w:rsidRPr="00E56E3E">
        <w:rPr>
          <w:rFonts w:eastAsia="Times New Roman" w:cs="Times New Roman"/>
          <w:szCs w:val="24"/>
        </w:rPr>
        <w:t>Condition (f)</w:t>
      </w:r>
      <w:r w:rsidRPr="00E56E3E">
        <w:rPr>
          <w:rFonts w:eastAsia="Times New Roman" w:cs="Times New Roman"/>
          <w:b/>
          <w:szCs w:val="24"/>
        </w:rPr>
        <w:t xml:space="preserve"> </w:t>
      </w:r>
      <w:r w:rsidRPr="00E56E3E">
        <w:rPr>
          <w:rFonts w:eastAsia="Times New Roman" w:cs="Times New Roman"/>
          <w:szCs w:val="24"/>
        </w:rPr>
        <w:t xml:space="preserve">provides that the reference in condition (b) to an ingredient includes an ingredient of a compound ingredient. Subsection </w:t>
      </w:r>
      <w:r w:rsidRPr="00E56E3E">
        <w:rPr>
          <w:rFonts w:eastAsia="Times New Roman" w:cs="Arial"/>
          <w:szCs w:val="24"/>
        </w:rPr>
        <w:t>1.1.2—</w:t>
      </w:r>
      <w:r w:rsidRPr="00E56E3E">
        <w:rPr>
          <w:rFonts w:eastAsia="Times New Roman" w:cs="Arial"/>
        </w:rPr>
        <w:t>2(</w:t>
      </w:r>
      <w:r w:rsidRPr="00E56E3E">
        <w:rPr>
          <w:rFonts w:eastAsia="Times New Roman" w:cs="Arial"/>
          <w:szCs w:val="24"/>
        </w:rPr>
        <w:t>3</w:t>
      </w:r>
      <w:r w:rsidRPr="00E56E3E">
        <w:rPr>
          <w:rFonts w:eastAsia="Times New Roman" w:cs="Arial"/>
        </w:rPr>
        <w:t>)</w:t>
      </w:r>
      <w:r w:rsidRPr="00E56E3E">
        <w:rPr>
          <w:rFonts w:eastAsia="Times New Roman" w:cs="Times New Roman"/>
          <w:szCs w:val="24"/>
        </w:rPr>
        <w:t xml:space="preserve"> of the Code provides that </w:t>
      </w:r>
      <w:r w:rsidRPr="00E56E3E">
        <w:rPr>
          <w:rFonts w:eastAsia="Times New Roman" w:cs="Arial"/>
          <w:shd w:val="clear" w:color="auto" w:fill="FFFFFF"/>
        </w:rPr>
        <w:t>an ingredient of a food is a compound ingredient</w:t>
      </w:r>
      <w:r w:rsidRPr="00E56E3E">
        <w:rPr>
          <w:rFonts w:eastAsia="Times New Roman" w:cs="Arial"/>
          <w:b/>
          <w:i/>
          <w:shd w:val="clear" w:color="auto" w:fill="FFFFFF"/>
        </w:rPr>
        <w:t> </w:t>
      </w:r>
      <w:r w:rsidRPr="00E56E3E">
        <w:rPr>
          <w:rFonts w:eastAsia="Times New Roman" w:cs="Arial"/>
          <w:shd w:val="clear" w:color="auto" w:fill="FFFFFF"/>
        </w:rPr>
        <w:t>if that ingredient is itself made from two or more ingredients.</w:t>
      </w:r>
      <w:r w:rsidRPr="00E56E3E">
        <w:rPr>
          <w:rFonts w:eastAsia="Times New Roman" w:cs="Times New Roman"/>
          <w:szCs w:val="24"/>
        </w:rPr>
        <w:t xml:space="preserve"> </w:t>
      </w:r>
    </w:p>
    <w:p w14:paraId="4F7A5037" w14:textId="77777777" w:rsidR="00E56E3E" w:rsidRPr="00E56E3E" w:rsidRDefault="00E56E3E" w:rsidP="00E56E3E">
      <w:pPr>
        <w:rPr>
          <w:rFonts w:eastAsia="Times New Roman" w:cs="Times New Roman"/>
          <w:szCs w:val="24"/>
        </w:rPr>
      </w:pPr>
    </w:p>
    <w:p w14:paraId="22643C80" w14:textId="77777777" w:rsidR="00E56E3E" w:rsidRPr="00E56E3E" w:rsidRDefault="00E56E3E" w:rsidP="00E56E3E">
      <w:pPr>
        <w:rPr>
          <w:rFonts w:eastAsia="Times New Roman" w:cs="Times New Roman"/>
          <w:szCs w:val="24"/>
        </w:rPr>
      </w:pPr>
      <w:r w:rsidRPr="00E56E3E">
        <w:rPr>
          <w:rFonts w:eastAsia="Times New Roman" w:cs="Times New Roman"/>
          <w:szCs w:val="24"/>
        </w:rPr>
        <w:t xml:space="preserve">Condition (f) will mean that, if a food for sale contains an added sugar (as defined by condition (e)) as an ingredient of an added compound ingredient in that food, that food for sale is not permitted to display a ‘no added sugar(s)’ claim. For example, a food for sale that contains jam </w:t>
      </w:r>
      <w:r w:rsidRPr="00E56E3E">
        <w:rPr>
          <w:rFonts w:eastAsia="Times New Roman" w:cs="Times New Roman"/>
          <w:szCs w:val="24"/>
        </w:rPr>
        <w:lastRenderedPageBreak/>
        <w:t>(which contains added sugar as an ingredient) as an added compound ingredient will not be permitted to display a ‘no added sugar(s)’ claim.</w:t>
      </w:r>
    </w:p>
    <w:p w14:paraId="7A71D144" w14:textId="77777777" w:rsidR="00E56E3E" w:rsidRPr="00E56E3E" w:rsidRDefault="00E56E3E" w:rsidP="00E56E3E">
      <w:pPr>
        <w:rPr>
          <w:rFonts w:eastAsia="Times New Roman" w:cs="Times New Roman"/>
          <w:iCs/>
          <w:szCs w:val="24"/>
        </w:rPr>
      </w:pPr>
    </w:p>
    <w:p w14:paraId="7B760494" w14:textId="77777777" w:rsidR="00E56E3E" w:rsidRPr="00E56E3E" w:rsidRDefault="00E56E3E" w:rsidP="00E56E3E">
      <w:pPr>
        <w:keepNext/>
        <w:rPr>
          <w:rFonts w:eastAsia="Times New Roman" w:cs="Times New Roman"/>
          <w:i/>
          <w:szCs w:val="24"/>
        </w:rPr>
      </w:pPr>
      <w:r w:rsidRPr="00E56E3E">
        <w:rPr>
          <w:rFonts w:eastAsia="Times New Roman" w:cs="Times New Roman"/>
          <w:i/>
          <w:szCs w:val="24"/>
        </w:rPr>
        <w:t xml:space="preserve">Condition (g) </w:t>
      </w:r>
    </w:p>
    <w:p w14:paraId="799A8ABD" w14:textId="77777777" w:rsidR="00E56E3E" w:rsidRPr="00E56E3E" w:rsidRDefault="00E56E3E" w:rsidP="00E56E3E">
      <w:pPr>
        <w:keepNext/>
        <w:rPr>
          <w:rFonts w:eastAsia="Times New Roman" w:cs="Times New Roman"/>
          <w:b/>
          <w:bCs/>
          <w:iCs/>
          <w:szCs w:val="24"/>
        </w:rPr>
      </w:pPr>
    </w:p>
    <w:p w14:paraId="38C960EF" w14:textId="77777777" w:rsidR="00E56E3E" w:rsidRPr="00E56E3E" w:rsidRDefault="00E56E3E" w:rsidP="00E56E3E">
      <w:pPr>
        <w:rPr>
          <w:rFonts w:eastAsia="Times New Roman" w:cs="Arial"/>
          <w:szCs w:val="24"/>
        </w:rPr>
      </w:pPr>
      <w:r w:rsidRPr="00E56E3E">
        <w:rPr>
          <w:rFonts w:eastAsia="Times New Roman" w:cs="Times New Roman"/>
          <w:szCs w:val="24"/>
        </w:rPr>
        <w:t xml:space="preserve">Condition (g) </w:t>
      </w:r>
      <w:r w:rsidRPr="00E56E3E">
        <w:rPr>
          <w:rFonts w:eastAsia="Times New Roman" w:cs="Arial"/>
          <w:szCs w:val="24"/>
        </w:rPr>
        <w:t xml:space="preserve">states that, for the purpose of conditions (e)(xiii), the term </w:t>
      </w:r>
      <w:r w:rsidRPr="00E56E3E">
        <w:rPr>
          <w:rFonts w:eastAsia="Times New Roman" w:cs="Arial"/>
          <w:i/>
          <w:szCs w:val="24"/>
        </w:rPr>
        <w:t xml:space="preserve">prescribed beverage </w:t>
      </w:r>
      <w:r w:rsidRPr="00E56E3E">
        <w:rPr>
          <w:rFonts w:eastAsia="Times New Roman" w:cs="Arial"/>
          <w:szCs w:val="24"/>
        </w:rPr>
        <w:t>means any of the following products:</w:t>
      </w:r>
    </w:p>
    <w:p w14:paraId="2098766F" w14:textId="77777777" w:rsidR="00E56E3E" w:rsidRPr="00E56E3E" w:rsidRDefault="00E56E3E" w:rsidP="00E56E3E">
      <w:pPr>
        <w:keepLines/>
        <w:spacing w:before="60" w:after="60"/>
        <w:ind w:left="567" w:hanging="567"/>
        <w:rPr>
          <w:rFonts w:eastAsia="Times New Roman" w:cs="Arial"/>
          <w:lang w:eastAsia="en-AU"/>
        </w:rPr>
      </w:pPr>
      <w:r w:rsidRPr="00E56E3E">
        <w:rPr>
          <w:rFonts w:eastAsia="Times New Roman" w:cs="Arial"/>
          <w:lang w:eastAsia="en-AU"/>
        </w:rPr>
        <w:t>(</w:t>
      </w:r>
      <w:proofErr w:type="spellStart"/>
      <w:r w:rsidRPr="00E56E3E">
        <w:rPr>
          <w:rFonts w:eastAsia="Times New Roman" w:cs="Arial"/>
          <w:lang w:eastAsia="en-AU"/>
        </w:rPr>
        <w:t>i</w:t>
      </w:r>
      <w:proofErr w:type="spellEnd"/>
      <w:r w:rsidRPr="00E56E3E">
        <w:rPr>
          <w:rFonts w:eastAsia="Times New Roman" w:cs="Arial"/>
          <w:lang w:eastAsia="en-AU"/>
        </w:rPr>
        <w:t>)</w:t>
      </w:r>
      <w:r w:rsidRPr="00E56E3E">
        <w:rPr>
          <w:rFonts w:eastAsia="Times New Roman" w:cs="Arial"/>
          <w:lang w:eastAsia="en-AU"/>
        </w:rPr>
        <w:tab/>
      </w:r>
      <w:r w:rsidRPr="00A17863">
        <w:rPr>
          <w:rFonts w:eastAsia="Times New Roman" w:cs="Arial"/>
          <w:lang w:eastAsia="en-AU"/>
        </w:rPr>
        <w:t xml:space="preserve">a </w:t>
      </w:r>
      <w:r w:rsidRPr="00B36184">
        <w:rPr>
          <w:rFonts w:eastAsia="Times New Roman" w:cs="Arial"/>
          <w:szCs w:val="18"/>
          <w:lang w:eastAsia="en-AU"/>
        </w:rPr>
        <w:t>brewed soft drink;</w:t>
      </w:r>
      <w:r w:rsidRPr="00E56E3E">
        <w:rPr>
          <w:rFonts w:ascii="Segoe UI" w:eastAsia="Times New Roman" w:hAnsi="Segoe UI" w:cs="Segoe UI"/>
          <w:szCs w:val="18"/>
          <w:lang w:eastAsia="en-AU"/>
        </w:rPr>
        <w:t xml:space="preserve"> </w:t>
      </w:r>
    </w:p>
    <w:p w14:paraId="1404505A" w14:textId="77777777" w:rsidR="00E56E3E" w:rsidRPr="00E56E3E" w:rsidRDefault="00E56E3E" w:rsidP="00E56E3E">
      <w:pPr>
        <w:keepLines/>
        <w:spacing w:before="60" w:after="60"/>
        <w:ind w:left="567" w:hanging="567"/>
        <w:rPr>
          <w:rFonts w:ascii="Segoe UI" w:eastAsia="Times New Roman" w:hAnsi="Segoe UI" w:cs="Segoe UI"/>
          <w:szCs w:val="18"/>
          <w:lang w:eastAsia="en-AU"/>
        </w:rPr>
      </w:pPr>
      <w:r w:rsidRPr="00E56E3E">
        <w:rPr>
          <w:rFonts w:eastAsia="Times New Roman" w:cs="Arial"/>
          <w:lang w:eastAsia="en-AU"/>
        </w:rPr>
        <w:t>(ii)</w:t>
      </w:r>
      <w:r w:rsidRPr="00E56E3E">
        <w:rPr>
          <w:rFonts w:eastAsia="Times New Roman" w:cs="Arial"/>
          <w:lang w:eastAsia="en-AU"/>
        </w:rPr>
        <w:tab/>
        <w:t>a formulated beverage</w:t>
      </w:r>
      <w:r w:rsidRPr="00E56E3E">
        <w:rPr>
          <w:rFonts w:ascii="Segoe UI" w:eastAsia="Times New Roman" w:hAnsi="Segoe UI" w:cs="Segoe UI"/>
          <w:szCs w:val="18"/>
          <w:lang w:eastAsia="en-AU"/>
        </w:rPr>
        <w:t>;</w:t>
      </w:r>
    </w:p>
    <w:p w14:paraId="048B3FE0" w14:textId="77777777" w:rsidR="00E56E3E" w:rsidRPr="00E56E3E" w:rsidRDefault="00E56E3E" w:rsidP="00E56E3E">
      <w:pPr>
        <w:keepLines/>
        <w:spacing w:before="60" w:after="60"/>
        <w:ind w:left="567" w:hanging="567"/>
        <w:rPr>
          <w:rFonts w:eastAsia="Times New Roman" w:cs="Arial"/>
          <w:lang w:eastAsia="en-AU"/>
        </w:rPr>
      </w:pPr>
      <w:r w:rsidRPr="00E56E3E">
        <w:rPr>
          <w:rFonts w:ascii="Segoe UI" w:eastAsia="Times New Roman" w:hAnsi="Segoe UI" w:cs="Segoe UI"/>
          <w:szCs w:val="18"/>
          <w:lang w:eastAsia="en-AU"/>
        </w:rPr>
        <w:t>(iii)</w:t>
      </w:r>
      <w:r w:rsidRPr="00E56E3E">
        <w:rPr>
          <w:rFonts w:eastAsia="Times New Roman" w:cs="Arial"/>
          <w:lang w:eastAsia="en-AU"/>
        </w:rPr>
        <w:t xml:space="preserve"> </w:t>
      </w:r>
      <w:r w:rsidRPr="00E56E3E">
        <w:rPr>
          <w:rFonts w:eastAsia="Times New Roman" w:cs="Arial"/>
          <w:lang w:eastAsia="en-AU"/>
        </w:rPr>
        <w:tab/>
        <w:t>a juice blend;</w:t>
      </w:r>
    </w:p>
    <w:p w14:paraId="6D1E2A2C" w14:textId="77777777" w:rsidR="00E56E3E" w:rsidRPr="00E56E3E" w:rsidRDefault="00E56E3E" w:rsidP="00E56E3E">
      <w:pPr>
        <w:keepLines/>
        <w:spacing w:before="60" w:after="60"/>
        <w:ind w:left="567" w:hanging="567"/>
        <w:rPr>
          <w:rFonts w:eastAsia="Times New Roman" w:cs="Arial"/>
          <w:lang w:eastAsia="en-AU"/>
        </w:rPr>
      </w:pPr>
      <w:r w:rsidRPr="00E56E3E">
        <w:rPr>
          <w:rFonts w:eastAsia="Times New Roman" w:cs="Arial"/>
          <w:lang w:eastAsia="en-AU"/>
        </w:rPr>
        <w:t xml:space="preserve">(iv) </w:t>
      </w:r>
      <w:r w:rsidRPr="00E56E3E">
        <w:rPr>
          <w:rFonts w:eastAsia="Times New Roman" w:cs="Arial"/>
          <w:lang w:eastAsia="en-AU"/>
        </w:rPr>
        <w:tab/>
        <w:t>a fruit drink;</w:t>
      </w:r>
    </w:p>
    <w:p w14:paraId="3944C3DC" w14:textId="77777777" w:rsidR="00E56E3E" w:rsidRPr="00E56E3E" w:rsidRDefault="00E56E3E" w:rsidP="00E56E3E">
      <w:pPr>
        <w:keepLines/>
        <w:spacing w:before="60" w:after="60"/>
        <w:ind w:left="567" w:hanging="567"/>
        <w:rPr>
          <w:rFonts w:eastAsia="Times New Roman" w:cs="Arial"/>
          <w:lang w:eastAsia="en-AU"/>
        </w:rPr>
      </w:pPr>
      <w:r w:rsidRPr="00E56E3E">
        <w:rPr>
          <w:rFonts w:eastAsia="Times New Roman" w:cs="Arial"/>
          <w:lang w:eastAsia="en-AU"/>
        </w:rPr>
        <w:t xml:space="preserve">(v) </w:t>
      </w:r>
      <w:r w:rsidRPr="00E56E3E">
        <w:rPr>
          <w:rFonts w:eastAsia="Times New Roman" w:cs="Arial"/>
          <w:lang w:eastAsia="en-AU"/>
        </w:rPr>
        <w:tab/>
        <w:t>a fruit juice;</w:t>
      </w:r>
    </w:p>
    <w:p w14:paraId="1E1A9BBA" w14:textId="77777777" w:rsidR="00E56E3E" w:rsidRPr="00E56E3E" w:rsidRDefault="00E56E3E" w:rsidP="00E56E3E">
      <w:pPr>
        <w:keepLines/>
        <w:spacing w:before="60" w:after="60"/>
        <w:ind w:left="567" w:hanging="567"/>
        <w:rPr>
          <w:rFonts w:eastAsia="Times New Roman" w:cs="Arial"/>
          <w:lang w:eastAsia="en-AU"/>
        </w:rPr>
      </w:pPr>
      <w:r w:rsidRPr="00E56E3E">
        <w:rPr>
          <w:rFonts w:eastAsia="Times New Roman" w:cs="Arial"/>
          <w:lang w:eastAsia="en-AU"/>
        </w:rPr>
        <w:t xml:space="preserve">(vi) </w:t>
      </w:r>
      <w:r w:rsidRPr="00E56E3E">
        <w:rPr>
          <w:rFonts w:eastAsia="Times New Roman" w:cs="Arial"/>
          <w:lang w:eastAsia="en-AU"/>
        </w:rPr>
        <w:tab/>
        <w:t>a vegetable juice;</w:t>
      </w:r>
    </w:p>
    <w:p w14:paraId="7DD4E903" w14:textId="77777777" w:rsidR="00E56E3E" w:rsidRPr="00E56E3E" w:rsidRDefault="00E56E3E" w:rsidP="00E56E3E">
      <w:pPr>
        <w:ind w:left="567" w:hanging="567"/>
        <w:rPr>
          <w:rFonts w:eastAsia="Times New Roman" w:cs="Arial"/>
          <w:b/>
        </w:rPr>
      </w:pPr>
      <w:r w:rsidRPr="00E56E3E">
        <w:rPr>
          <w:rFonts w:eastAsia="Times New Roman" w:cs="Arial"/>
        </w:rPr>
        <w:t xml:space="preserve">(vii) </w:t>
      </w:r>
      <w:r w:rsidRPr="00E56E3E">
        <w:rPr>
          <w:rFonts w:eastAsia="Times New Roman" w:cs="Arial"/>
        </w:rPr>
        <w:tab/>
        <w:t>a water-based beverage</w:t>
      </w:r>
      <w:r w:rsidRPr="00E56E3E">
        <w:rPr>
          <w:rFonts w:eastAsia="Times New Roman" w:cs="Arial"/>
          <w:b/>
        </w:rPr>
        <w:t>.</w:t>
      </w:r>
    </w:p>
    <w:p w14:paraId="6BFC0C00" w14:textId="77777777" w:rsidR="00E56E3E" w:rsidRPr="00E56E3E" w:rsidRDefault="00E56E3E" w:rsidP="00E56E3E">
      <w:pPr>
        <w:ind w:left="567" w:hanging="567"/>
        <w:rPr>
          <w:rFonts w:eastAsia="Times New Roman" w:cs="Arial"/>
          <w:b/>
        </w:rPr>
      </w:pPr>
    </w:p>
    <w:p w14:paraId="3F655C34" w14:textId="77777777" w:rsidR="00E56E3E" w:rsidRPr="00EE6992" w:rsidRDefault="00E56E3E" w:rsidP="00E56E3E">
      <w:pPr>
        <w:rPr>
          <w:rFonts w:eastAsia="Times New Roman" w:cs="Arial"/>
        </w:rPr>
      </w:pPr>
      <w:r w:rsidRPr="00E56E3E">
        <w:rPr>
          <w:rFonts w:eastAsia="Times New Roman" w:cs="Times New Roman"/>
          <w:szCs w:val="24"/>
        </w:rPr>
        <w:t xml:space="preserve">Section </w:t>
      </w:r>
      <w:bookmarkStart w:id="0" w:name="_Toc400031905"/>
      <w:r w:rsidRPr="00E56E3E">
        <w:rPr>
          <w:rFonts w:eastAsia="Times New Roman" w:cs="Times New Roman"/>
          <w:szCs w:val="24"/>
          <w:shd w:val="clear" w:color="auto" w:fill="FFFFFF"/>
        </w:rPr>
        <w:t>1.1.2—3 </w:t>
      </w:r>
      <w:bookmarkEnd w:id="0"/>
      <w:r w:rsidRPr="00E56E3E">
        <w:rPr>
          <w:rFonts w:eastAsia="Times New Roman" w:cs="Times New Roman"/>
          <w:szCs w:val="24"/>
        </w:rPr>
        <w:t>of the Code provides a definition for the following terms: brewed soft drink; formulated beverage; juice blend; fruit drink; fruit juice; and vegetable juice.</w:t>
      </w:r>
      <w:r w:rsidRPr="00E56E3E">
        <w:rPr>
          <w:rFonts w:eastAsia="Times New Roman" w:cs="Arial"/>
        </w:rPr>
        <w:t xml:space="preserve"> A </w:t>
      </w:r>
      <w:r w:rsidRPr="00EE6992">
        <w:rPr>
          <w:rFonts w:eastAsia="Times New Roman" w:cs="Arial"/>
        </w:rPr>
        <w:t>water-based beverage is referred to as a non-alcoholic beverage in Standard 2.6.2 of the Code.</w:t>
      </w:r>
    </w:p>
    <w:p w14:paraId="2E8F08A4" w14:textId="77777777" w:rsidR="00E56E3E" w:rsidRPr="00EE6992" w:rsidRDefault="00E56E3E" w:rsidP="00E56E3E">
      <w:pPr>
        <w:rPr>
          <w:rFonts w:eastAsia="Times New Roman" w:cs="Arial"/>
          <w:b/>
          <w:i/>
          <w:iCs/>
        </w:rPr>
      </w:pPr>
    </w:p>
    <w:p w14:paraId="404B3593" w14:textId="77777777" w:rsidR="00E56E3E" w:rsidRPr="00E56E3E" w:rsidRDefault="00E56E3E" w:rsidP="00E56E3E">
      <w:pPr>
        <w:rPr>
          <w:rFonts w:eastAsia="Times New Roman" w:cs="Times New Roman"/>
          <w:b/>
          <w:i/>
          <w:iCs/>
          <w:szCs w:val="24"/>
        </w:rPr>
      </w:pPr>
      <w:r w:rsidRPr="00E56E3E">
        <w:rPr>
          <w:rFonts w:eastAsia="Times New Roman" w:cs="Times New Roman"/>
          <w:b/>
          <w:i/>
          <w:iCs/>
          <w:szCs w:val="24"/>
        </w:rPr>
        <w:t>‘Unsweetened’</w:t>
      </w:r>
    </w:p>
    <w:p w14:paraId="20531282" w14:textId="77777777" w:rsidR="00E56E3E" w:rsidRPr="00E56E3E" w:rsidRDefault="00E56E3E" w:rsidP="00E56E3E">
      <w:pPr>
        <w:rPr>
          <w:rFonts w:eastAsia="Times New Roman" w:cs="Times New Roman"/>
          <w:lang w:eastAsia="en-AU"/>
        </w:rPr>
      </w:pPr>
    </w:p>
    <w:p w14:paraId="2DF9D15B" w14:textId="77777777" w:rsidR="00E56E3E" w:rsidRPr="00E56E3E" w:rsidRDefault="00E56E3E" w:rsidP="00E56E3E">
      <w:pPr>
        <w:rPr>
          <w:rFonts w:eastAsia="Times New Roman" w:cs="Times New Roman"/>
        </w:rPr>
      </w:pPr>
      <w:r w:rsidRPr="00E56E3E">
        <w:rPr>
          <w:rFonts w:eastAsia="Times New Roman" w:cs="Times New Roman"/>
          <w:lang w:eastAsia="en-AU"/>
        </w:rPr>
        <w:t>The new entry restates the entry in column 3 of the table for the specific descriptor ‘Unsweetened’</w:t>
      </w:r>
      <w:r w:rsidRPr="00E56E3E">
        <w:rPr>
          <w:rFonts w:eastAsia="Times New Roman" w:cs="Times New Roman"/>
        </w:rPr>
        <w:t xml:space="preserve">, and the current condition (a) listed in column 4 for the use of that descriptor.  </w:t>
      </w:r>
    </w:p>
    <w:p w14:paraId="63E15883" w14:textId="77777777" w:rsidR="00E56E3E" w:rsidRPr="00E56E3E" w:rsidRDefault="00E56E3E" w:rsidP="00E56E3E">
      <w:pPr>
        <w:rPr>
          <w:rFonts w:eastAsia="Times New Roman" w:cs="Times New Roman"/>
        </w:rPr>
      </w:pPr>
    </w:p>
    <w:p w14:paraId="570D8C3B" w14:textId="77777777" w:rsidR="00E56E3E" w:rsidRPr="00E56E3E" w:rsidRDefault="00E56E3E" w:rsidP="00E56E3E">
      <w:pPr>
        <w:rPr>
          <w:rFonts w:eastAsia="Times New Roman" w:cs="Times New Roman"/>
        </w:rPr>
      </w:pPr>
      <w:r w:rsidRPr="00E56E3E">
        <w:rPr>
          <w:rFonts w:eastAsia="Times New Roman" w:cs="Times New Roman"/>
        </w:rPr>
        <w:t xml:space="preserve">The new entry in effect amends condition (b) and adds a new condition (c) in column 4 of the table for the making of </w:t>
      </w:r>
      <w:r w:rsidRPr="00E56E3E">
        <w:rPr>
          <w:rFonts w:eastAsia="Times New Roman" w:cs="Times New Roman"/>
          <w:lang w:eastAsia="en-AU"/>
        </w:rPr>
        <w:t>‘Unsweetened’ claims.</w:t>
      </w:r>
    </w:p>
    <w:p w14:paraId="3DC989D4" w14:textId="77777777" w:rsidR="00E56E3E" w:rsidRPr="00E56E3E" w:rsidRDefault="00E56E3E" w:rsidP="00E56E3E">
      <w:pPr>
        <w:rPr>
          <w:rFonts w:eastAsia="Times New Roman" w:cs="Times New Roman"/>
        </w:rPr>
      </w:pPr>
    </w:p>
    <w:p w14:paraId="77B94E0C" w14:textId="77777777" w:rsidR="00E56E3E" w:rsidRPr="00E56E3E" w:rsidRDefault="00E56E3E" w:rsidP="00E56E3E">
      <w:pPr>
        <w:rPr>
          <w:rFonts w:eastAsia="Times New Roman" w:cs="Times New Roman"/>
          <w:i/>
          <w:iCs/>
        </w:rPr>
      </w:pPr>
      <w:r w:rsidRPr="00E56E3E">
        <w:rPr>
          <w:rFonts w:eastAsia="Times New Roman" w:cs="Times New Roman"/>
          <w:i/>
          <w:iCs/>
        </w:rPr>
        <w:t>Condition (b)</w:t>
      </w:r>
    </w:p>
    <w:p w14:paraId="1AF41FDE" w14:textId="77777777" w:rsidR="00E56E3E" w:rsidRPr="00E56E3E" w:rsidRDefault="00E56E3E" w:rsidP="00E56E3E">
      <w:pPr>
        <w:rPr>
          <w:rFonts w:eastAsia="Times New Roman" w:cs="Times New Roman"/>
          <w:i/>
        </w:rPr>
      </w:pPr>
    </w:p>
    <w:p w14:paraId="227744B8" w14:textId="77777777" w:rsidR="00E56E3E" w:rsidRPr="00E56E3E" w:rsidRDefault="00E56E3E" w:rsidP="00E56E3E">
      <w:pPr>
        <w:rPr>
          <w:rFonts w:eastAsia="Times New Roman" w:cs="Times New Roman"/>
          <w:i/>
          <w:szCs w:val="24"/>
        </w:rPr>
      </w:pPr>
      <w:r w:rsidRPr="00E56E3E">
        <w:rPr>
          <w:rFonts w:eastAsia="Times New Roman" w:cs="Times New Roman"/>
          <w:szCs w:val="24"/>
        </w:rPr>
        <w:t>The new entry amends condition (b) to provide</w:t>
      </w:r>
      <w:r w:rsidRPr="00E56E3E">
        <w:rPr>
          <w:rFonts w:eastAsia="Times New Roman" w:cs="Times New Roman"/>
          <w:i/>
          <w:szCs w:val="24"/>
        </w:rPr>
        <w:t xml:space="preserve"> </w:t>
      </w:r>
      <w:r w:rsidRPr="00E56E3E">
        <w:rPr>
          <w:rFonts w:eastAsia="Times New Roman" w:cs="Times New Roman"/>
          <w:szCs w:val="24"/>
        </w:rPr>
        <w:t>that</w:t>
      </w:r>
      <w:r w:rsidRPr="00E56E3E">
        <w:rPr>
          <w:rFonts w:eastAsia="Times New Roman" w:cs="Times New Roman"/>
          <w:i/>
          <w:szCs w:val="24"/>
        </w:rPr>
        <w:t xml:space="preserve"> </w:t>
      </w:r>
      <w:r w:rsidRPr="00E56E3E">
        <w:rPr>
          <w:rFonts w:eastAsia="Times New Roman" w:cs="Times New Roman"/>
          <w:szCs w:val="24"/>
        </w:rPr>
        <w:t xml:space="preserve">an ‘unsweetened’ claim is not permitted to be displayed on a food for sale that contains erythritol. The amended condition provides that an ‘unsweetened’ claim is not permitted to be displayed on a food that contains: intense sweeteners; sorbitol; mannitol; glycerol; xylitol; </w:t>
      </w:r>
      <w:proofErr w:type="spellStart"/>
      <w:r w:rsidRPr="00E56E3E">
        <w:rPr>
          <w:rFonts w:eastAsia="Times New Roman" w:cs="Times New Roman"/>
          <w:szCs w:val="24"/>
        </w:rPr>
        <w:t>isomalt</w:t>
      </w:r>
      <w:proofErr w:type="spellEnd"/>
      <w:r w:rsidRPr="00E56E3E">
        <w:rPr>
          <w:rFonts w:eastAsia="Times New Roman" w:cs="Times New Roman"/>
          <w:szCs w:val="24"/>
        </w:rPr>
        <w:t xml:space="preserve">; maltitol; maltitol syrup; erythritol; or lactitol. </w:t>
      </w:r>
    </w:p>
    <w:p w14:paraId="5493FBBE" w14:textId="77777777" w:rsidR="00E56E3E" w:rsidRPr="00E56E3E" w:rsidRDefault="00E56E3E" w:rsidP="00E56E3E">
      <w:pPr>
        <w:rPr>
          <w:rFonts w:eastAsia="Times New Roman" w:cs="Times New Roman"/>
        </w:rPr>
      </w:pPr>
    </w:p>
    <w:p w14:paraId="4C2D8B01" w14:textId="77777777" w:rsidR="00E56E3E" w:rsidRPr="00E56E3E" w:rsidRDefault="00E56E3E" w:rsidP="00E56E3E">
      <w:pPr>
        <w:rPr>
          <w:rFonts w:eastAsia="Times New Roman" w:cs="Times New Roman"/>
          <w:i/>
        </w:rPr>
      </w:pPr>
      <w:r w:rsidRPr="00E56E3E">
        <w:rPr>
          <w:rFonts w:eastAsia="Times New Roman" w:cs="Times New Roman"/>
          <w:i/>
        </w:rPr>
        <w:t>Condition (c)</w:t>
      </w:r>
    </w:p>
    <w:p w14:paraId="0A3A7D2F" w14:textId="77777777" w:rsidR="00E56E3E" w:rsidRPr="00E56E3E" w:rsidRDefault="00E56E3E" w:rsidP="00E56E3E">
      <w:pPr>
        <w:rPr>
          <w:rFonts w:eastAsia="Times New Roman" w:cs="Times New Roman"/>
        </w:rPr>
      </w:pPr>
    </w:p>
    <w:p w14:paraId="00E1230F" w14:textId="77777777" w:rsidR="00E56E3E" w:rsidRPr="00E56E3E" w:rsidRDefault="00E56E3E" w:rsidP="00E56E3E">
      <w:pPr>
        <w:rPr>
          <w:rFonts w:eastAsia="Times New Roman" w:cs="Times New Roman"/>
          <w:lang w:eastAsia="en-AU"/>
        </w:rPr>
      </w:pPr>
      <w:r w:rsidRPr="00E56E3E">
        <w:rPr>
          <w:rFonts w:eastAsia="Times New Roman" w:cs="Times New Roman"/>
        </w:rPr>
        <w:t xml:space="preserve">The new entry imposes new condition (c) for the use of the </w:t>
      </w:r>
      <w:r w:rsidRPr="00E56E3E">
        <w:rPr>
          <w:rFonts w:eastAsia="Times New Roman" w:cs="Times New Roman"/>
          <w:lang w:eastAsia="en-AU"/>
        </w:rPr>
        <w:t xml:space="preserve">specific descriptor ‘Unsweetened’ in relation to the property of food ‘Sugar or sugars’. </w:t>
      </w:r>
    </w:p>
    <w:p w14:paraId="580AA5A7" w14:textId="77777777" w:rsidR="00E56E3E" w:rsidRPr="00E56E3E" w:rsidRDefault="00E56E3E" w:rsidP="00E56E3E">
      <w:pPr>
        <w:rPr>
          <w:rFonts w:eastAsia="Times New Roman" w:cs="Times New Roman"/>
          <w:lang w:eastAsia="en-AU"/>
        </w:rPr>
      </w:pPr>
    </w:p>
    <w:p w14:paraId="2B81E225" w14:textId="77777777" w:rsidR="00E56E3E" w:rsidRPr="00E56E3E" w:rsidRDefault="00E56E3E" w:rsidP="00E56E3E">
      <w:pPr>
        <w:rPr>
          <w:rFonts w:eastAsia="Times New Roman" w:cs="Times New Roman"/>
          <w:szCs w:val="24"/>
        </w:rPr>
      </w:pPr>
      <w:r w:rsidRPr="00E56E3E">
        <w:rPr>
          <w:rFonts w:eastAsia="Times New Roman" w:cs="Times New Roman"/>
          <w:lang w:eastAsia="en-AU"/>
        </w:rPr>
        <w:t xml:space="preserve">New condition (c) provides </w:t>
      </w:r>
      <w:r w:rsidRPr="00E56E3E">
        <w:rPr>
          <w:rFonts w:eastAsia="Times New Roman" w:cs="Times New Roman"/>
          <w:szCs w:val="24"/>
        </w:rPr>
        <w:t xml:space="preserve">that an ‘unsweetened’ claim cannot be made in relation to a food for sale that contains, as an ingredient or as an ingredient of a compound ingredient, a monosaccharide or disaccharide listed in the table to subsection S11—2(3) of the Code. </w:t>
      </w:r>
    </w:p>
    <w:p w14:paraId="30CD68A7" w14:textId="77777777" w:rsidR="00E56E3E" w:rsidRPr="00E56E3E" w:rsidRDefault="00E56E3E" w:rsidP="00E56E3E">
      <w:pPr>
        <w:rPr>
          <w:rFonts w:eastAsia="Times New Roman" w:cs="Times New Roman"/>
          <w:szCs w:val="24"/>
        </w:rPr>
      </w:pPr>
    </w:p>
    <w:p w14:paraId="5334A5E2" w14:textId="77777777" w:rsidR="00E56E3E" w:rsidRPr="00E56E3E" w:rsidRDefault="00E56E3E" w:rsidP="00E56E3E">
      <w:pPr>
        <w:rPr>
          <w:rFonts w:eastAsia="Times New Roman" w:cs="Times New Roman"/>
          <w:szCs w:val="24"/>
        </w:rPr>
      </w:pPr>
      <w:r w:rsidRPr="00E56E3E">
        <w:rPr>
          <w:rFonts w:eastAsia="Times New Roman" w:cs="Times New Roman"/>
          <w:szCs w:val="24"/>
        </w:rPr>
        <w:t xml:space="preserve">Subsection </w:t>
      </w:r>
      <w:r w:rsidRPr="00E56E3E">
        <w:rPr>
          <w:rFonts w:eastAsia="Times New Roman" w:cs="Arial"/>
          <w:szCs w:val="24"/>
        </w:rPr>
        <w:t>1.1.2—</w:t>
      </w:r>
      <w:r w:rsidRPr="00E56E3E">
        <w:rPr>
          <w:rFonts w:eastAsia="Times New Roman" w:cs="Arial"/>
        </w:rPr>
        <w:t>2(</w:t>
      </w:r>
      <w:r w:rsidRPr="00E56E3E">
        <w:rPr>
          <w:rFonts w:eastAsia="Times New Roman" w:cs="Arial"/>
          <w:szCs w:val="24"/>
        </w:rPr>
        <w:t>3</w:t>
      </w:r>
      <w:r w:rsidRPr="00E56E3E">
        <w:rPr>
          <w:rFonts w:eastAsia="Times New Roman" w:cs="Arial"/>
        </w:rPr>
        <w:t>)</w:t>
      </w:r>
      <w:r w:rsidRPr="00E56E3E">
        <w:rPr>
          <w:rFonts w:eastAsia="Times New Roman" w:cs="Times New Roman"/>
          <w:szCs w:val="24"/>
        </w:rPr>
        <w:t xml:space="preserve"> of the Code provides that </w:t>
      </w:r>
      <w:r w:rsidRPr="00E56E3E">
        <w:rPr>
          <w:rFonts w:eastAsia="Times New Roman" w:cs="Arial"/>
          <w:shd w:val="clear" w:color="auto" w:fill="FFFFFF"/>
        </w:rPr>
        <w:t>an ingredient of a food is a compound ingredient</w:t>
      </w:r>
      <w:r w:rsidRPr="00E56E3E">
        <w:rPr>
          <w:rFonts w:eastAsia="Times New Roman" w:cs="Arial"/>
          <w:b/>
          <w:i/>
          <w:shd w:val="clear" w:color="auto" w:fill="FFFFFF"/>
        </w:rPr>
        <w:t> </w:t>
      </w:r>
      <w:r w:rsidRPr="00E56E3E">
        <w:rPr>
          <w:rFonts w:eastAsia="Times New Roman" w:cs="Arial"/>
          <w:shd w:val="clear" w:color="auto" w:fill="FFFFFF"/>
        </w:rPr>
        <w:t>if that ingredient is itself made from two or more ingredients.</w:t>
      </w:r>
      <w:r w:rsidRPr="00E56E3E">
        <w:rPr>
          <w:rFonts w:eastAsia="Times New Roman" w:cs="Times New Roman"/>
          <w:szCs w:val="24"/>
        </w:rPr>
        <w:t xml:space="preserve"> </w:t>
      </w:r>
    </w:p>
    <w:p w14:paraId="25CCB96D" w14:textId="77777777" w:rsidR="00E56E3E" w:rsidRPr="00E56E3E" w:rsidRDefault="00E56E3E" w:rsidP="00E56E3E">
      <w:pPr>
        <w:rPr>
          <w:rFonts w:eastAsia="Times New Roman" w:cs="Times New Roman"/>
          <w:szCs w:val="24"/>
        </w:rPr>
      </w:pPr>
    </w:p>
    <w:p w14:paraId="39F25AC6" w14:textId="77777777" w:rsidR="00E56E3E" w:rsidRPr="00E56E3E" w:rsidRDefault="00E56E3E" w:rsidP="00E56E3E">
      <w:pPr>
        <w:rPr>
          <w:rFonts w:eastAsia="Times New Roman" w:cs="Times New Roman"/>
          <w:szCs w:val="24"/>
        </w:rPr>
      </w:pPr>
      <w:r w:rsidRPr="00E56E3E">
        <w:rPr>
          <w:rFonts w:eastAsia="Times New Roman" w:cs="Times New Roman"/>
          <w:szCs w:val="24"/>
        </w:rPr>
        <w:t xml:space="preserve">The table to subsection S11—2(3) of the Code lists certain substances and their energy factors for the purposes of Standard 1.2.8. New condition (c) will mean in effect that a food for sale </w:t>
      </w:r>
      <w:r w:rsidRPr="00E56E3E">
        <w:rPr>
          <w:rFonts w:eastAsia="Times New Roman" w:cs="Times New Roman"/>
          <w:szCs w:val="24"/>
        </w:rPr>
        <w:lastRenderedPageBreak/>
        <w:t>containing low energy sugars (monosaccharides or disaccharides) which are listed in the table to S11—2(3) will not be permitted to make an ‘unsweetened claim’. At present, D-tagatose is the only low-energy sugar listed in that table.</w:t>
      </w:r>
    </w:p>
    <w:p w14:paraId="7763E112" w14:textId="77777777" w:rsidR="00D5526B" w:rsidRPr="003A01FB" w:rsidRDefault="00D5526B" w:rsidP="003A01FB"/>
    <w:sectPr w:rsidR="00D5526B" w:rsidRPr="003A01FB" w:rsidSect="0007136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188B" w14:textId="77777777" w:rsidR="00D24A6F" w:rsidRDefault="00D24A6F" w:rsidP="00E56E3E">
      <w:r>
        <w:separator/>
      </w:r>
    </w:p>
  </w:endnote>
  <w:endnote w:type="continuationSeparator" w:id="0">
    <w:p w14:paraId="38C36BF4" w14:textId="77777777" w:rsidR="00D24A6F" w:rsidRDefault="00D24A6F" w:rsidP="00E5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CEE13" w14:textId="77777777" w:rsidR="00D24A6F" w:rsidRDefault="00D24A6F" w:rsidP="00E56E3E">
      <w:r>
        <w:separator/>
      </w:r>
    </w:p>
  </w:footnote>
  <w:footnote w:type="continuationSeparator" w:id="0">
    <w:p w14:paraId="4FFA27B4" w14:textId="77777777" w:rsidR="00D24A6F" w:rsidRDefault="00D24A6F" w:rsidP="00E56E3E">
      <w:r>
        <w:continuationSeparator/>
      </w:r>
    </w:p>
  </w:footnote>
  <w:footnote w:id="1">
    <w:p w14:paraId="353C47A2" w14:textId="77777777" w:rsidR="00E56E3E" w:rsidRDefault="00E56E3E" w:rsidP="00E56E3E">
      <w:pPr>
        <w:pStyle w:val="FootnoteText"/>
      </w:pPr>
      <w:r w:rsidRPr="00987B9C">
        <w:rPr>
          <w:rStyle w:val="FootnoteReference"/>
          <w:szCs w:val="18"/>
        </w:rPr>
        <w:footnoteRef/>
      </w:r>
      <w:r w:rsidRPr="00987B9C">
        <w:rPr>
          <w:szCs w:val="18"/>
        </w:rPr>
        <w:t xml:space="preserve"> </w:t>
      </w:r>
      <w:r w:rsidRPr="00987B9C">
        <w:rPr>
          <w:szCs w:val="18"/>
          <w:lang w:val="en-US"/>
        </w:rPr>
        <w:t>For more information, refer to the Regulatory Impact Analysis Guide for Ministers’ Meetings and National Standard Setting Bodies (June 2023)</w:t>
      </w:r>
      <w:r>
        <w:rPr>
          <w:szCs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991865973">
    <w:abstractNumId w:val="0"/>
  </w:num>
  <w:num w:numId="2" w16cid:durableId="1217819483">
    <w:abstractNumId w:val="0"/>
  </w:num>
  <w:num w:numId="3" w16cid:durableId="1658414848">
    <w:abstractNumId w:val="0"/>
  </w:num>
  <w:num w:numId="4" w16cid:durableId="428626489">
    <w:abstractNumId w:val="0"/>
  </w:num>
  <w:num w:numId="5" w16cid:durableId="2015494465">
    <w:abstractNumId w:val="0"/>
  </w:num>
  <w:num w:numId="6" w16cid:durableId="994381546">
    <w:abstractNumId w:val="0"/>
  </w:num>
  <w:num w:numId="7" w16cid:durableId="1718777337">
    <w:abstractNumId w:val="0"/>
  </w:num>
  <w:num w:numId="8" w16cid:durableId="881869812">
    <w:abstractNumId w:val="3"/>
  </w:num>
  <w:num w:numId="9" w16cid:durableId="1578636523">
    <w:abstractNumId w:val="1"/>
  </w:num>
  <w:num w:numId="10" w16cid:durableId="2004813181">
    <w:abstractNumId w:val="2"/>
  </w:num>
  <w:num w:numId="11" w16cid:durableId="1725180338">
    <w:abstractNumId w:val="3"/>
  </w:num>
  <w:num w:numId="12" w16cid:durableId="2143690845">
    <w:abstractNumId w:val="1"/>
  </w:num>
  <w:num w:numId="13" w16cid:durableId="1356808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19"/>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B578D"/>
    <w:rsid w:val="005C1996"/>
    <w:rsid w:val="006561DB"/>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17863"/>
    <w:rsid w:val="00A25B29"/>
    <w:rsid w:val="00A26F82"/>
    <w:rsid w:val="00A808E9"/>
    <w:rsid w:val="00B36184"/>
    <w:rsid w:val="00B53154"/>
    <w:rsid w:val="00B72074"/>
    <w:rsid w:val="00BC2133"/>
    <w:rsid w:val="00BE4F3A"/>
    <w:rsid w:val="00C019A6"/>
    <w:rsid w:val="00C30E19"/>
    <w:rsid w:val="00C572A2"/>
    <w:rsid w:val="00D24A6F"/>
    <w:rsid w:val="00D5526B"/>
    <w:rsid w:val="00D66962"/>
    <w:rsid w:val="00D87D9C"/>
    <w:rsid w:val="00D92B3B"/>
    <w:rsid w:val="00DA7DED"/>
    <w:rsid w:val="00DF4A30"/>
    <w:rsid w:val="00E0050C"/>
    <w:rsid w:val="00E2450C"/>
    <w:rsid w:val="00E340B5"/>
    <w:rsid w:val="00E4001E"/>
    <w:rsid w:val="00E53ACA"/>
    <w:rsid w:val="00E56E3E"/>
    <w:rsid w:val="00E9409E"/>
    <w:rsid w:val="00EC65E9"/>
    <w:rsid w:val="00EE6992"/>
    <w:rsid w:val="00F4105E"/>
    <w:rsid w:val="00F616DA"/>
    <w:rsid w:val="00F76F95"/>
    <w:rsid w:val="00F93B07"/>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4C42F"/>
  <w15:chartTrackingRefBased/>
  <w15:docId w15:val="{29995AD4-2D49-4FB7-B272-9F0399FA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5"/>
    <w:rsid w:val="00E56E3E"/>
    <w:rPr>
      <w:rFonts w:cs="Times New Roman"/>
      <w:vertAlign w:val="superscript"/>
    </w:rPr>
  </w:style>
  <w:style w:type="paragraph" w:styleId="Revision">
    <w:name w:val="Revision"/>
    <w:hidden/>
    <w:uiPriority w:val="99"/>
    <w:semiHidden/>
    <w:rsid w:val="00A17863"/>
    <w:rPr>
      <w:rFonts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D1FD65540778064E8071EC7105C190BC" ma:contentTypeVersion="4" ma:contentTypeDescription="Files created by FSANZ including letters, draft documents and ideas for FSANZ business." ma:contentTypeScope="" ma:versionID="b982cb91b41b2213203c64ad5e0c0bb1">
  <xsd:schema xmlns:xsd="http://www.w3.org/2001/XMLSchema" xmlns:xs="http://www.w3.org/2001/XMLSchema" xmlns:p="http://schemas.microsoft.com/office/2006/metadata/properties" xmlns:ns2="0e0bee33-077a-46d4-80d5-abd1b3a3b85b" targetNamespace="http://schemas.microsoft.com/office/2006/metadata/properties" ma:root="true" ma:fieldsID="199b3d2e548d4ca1d04624b3ed9463d3"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4fc2563-04ab-4d7c-a6a2-9c96f2eb2ff6}" ma:internalName="TaxCatchAll" ma:showField="CatchAllData"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4fc2563-04ab-4d7c-a6a2-9c96f2eb2ff6}" ma:internalName="TaxCatchAllLabel" ma:readOnly="true" ma:showField="CatchAllDataLabel" ma:web="7381dfea-c3d9-4bb9-9bda-67ec2929bedb">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3;#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35</Value>
      <Value>3</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Props1.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2.xml><?xml version="1.0" encoding="utf-8"?>
<ds:datastoreItem xmlns:ds="http://schemas.openxmlformats.org/officeDocument/2006/customXml" ds:itemID="{19189EDA-2388-45E6-9F88-3F20CB0D7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A2792-5389-4319-95ED-01B262DBFB26}">
  <ds:schemaRefs>
    <ds:schemaRef ds:uri="http://schemas.microsoft.com/office/2006/metadata/properties"/>
    <ds:schemaRef ds:uri="http://schemas.microsoft.com/office/infopath/2007/PartnerControls"/>
    <ds:schemaRef ds:uri="0e0bee33-077a-46d4-80d5-abd1b3a3b85b"/>
  </ds:schemaRefs>
</ds:datastoreItem>
</file>

<file path=customXml/itemProps4.xml><?xml version="1.0" encoding="utf-8"?>
<ds:datastoreItem xmlns:ds="http://schemas.openxmlformats.org/officeDocument/2006/customXml" ds:itemID="{2792BAD2-84B5-4CD8-BBC2-1D0A76409B8C}">
  <ds:schemaRefs>
    <ds:schemaRef ds:uri="http://schemas.microsoft.com/sharepoint/v3/contenttype/forms"/>
  </ds:schemaRefs>
</ds:datastoreItem>
</file>

<file path=customXml/itemProps5.xml><?xml version="1.0" encoding="utf-8"?>
<ds:datastoreItem xmlns:ds="http://schemas.openxmlformats.org/officeDocument/2006/customXml" ds:itemID="{AA6DCDBE-105B-43E5-8000-5194FF0E9B1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1956</Words>
  <Characters>11151</Characters>
  <Application>Microsoft Office Word</Application>
  <DocSecurity>0</DocSecurity>
  <Lines>92</Lines>
  <Paragraphs>26</Paragraphs>
  <ScaleCrop>false</ScaleCrop>
  <Company>Food Standards Australia New Zealand</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7</cp:revision>
  <dcterms:created xsi:type="dcterms:W3CDTF">2023-12-03T22:17:00Z</dcterms:created>
  <dcterms:modified xsi:type="dcterms:W3CDTF">2023-12-05T21:05:00Z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v=2022.1;a=SHA256;h=3483454B26743C4778AFCAF6A32F66F4CEFA9F58555AB3D932FF62FE0176C98E</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2023-12-03T22:45:43Z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14527E738F164EECA393F70A3AF7F15C</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844B6186084C44E67E4521ED5562EBD8</vt:lpwstr>
  </property>
  <property fmtid="{D5CDD505-2E9C-101B-9397-08002B2CF9AE}" pid="25" name="PM_Hash_Salt">
    <vt:lpwstr>42A291261EF64ADC5869032621B127A3</vt:lpwstr>
  </property>
  <property fmtid="{D5CDD505-2E9C-101B-9397-08002B2CF9AE}" pid="26" name="PM_Hash_SHA1">
    <vt:lpwstr>D62B4461D2D4E9E5C1585C812BDC4482F0EEAFC8</vt:lpwstr>
  </property>
  <property fmtid="{D5CDD505-2E9C-101B-9397-08002B2CF9AE}" pid="27" name="ContentTypeId">
    <vt:lpwstr>0x010100F5F252698E4843DFA3EBBF7EC57E522A00D1FD65540778064E8071EC7105C190BC</vt:lpwstr>
  </property>
  <property fmtid="{D5CDD505-2E9C-101B-9397-08002B2CF9AE}" pid="28" name="Classification">
    <vt:lpwstr>3;#OFFICIAL|3776503d-ed4e-4d70-8dfd-8e17b238523b</vt:lpwstr>
  </property>
  <property fmtid="{D5CDD505-2E9C-101B-9397-08002B2CF9AE}" pid="29" name="pd3a3559ef84480a8025c4c7bb6e6dee">
    <vt:lpwstr/>
  </property>
  <property fmtid="{D5CDD505-2E9C-101B-9397-08002B2CF9AE}" pid="30" name="h46016694f704d158a57d0b5238c000e">
    <vt:lpwstr/>
  </property>
  <property fmtid="{D5CDD505-2E9C-101B-9397-08002B2CF9AE}" pid="31" name="Data_x0020_Privacy">
    <vt:lpwstr/>
  </property>
  <property fmtid="{D5CDD505-2E9C-101B-9397-08002B2CF9AE}" pid="32" name="MediaServiceImageTags">
    <vt:lpwstr/>
  </property>
  <property fmtid="{D5CDD505-2E9C-101B-9397-08002B2CF9AE}" pid="33" name="Access">
    <vt:lpwstr/>
  </property>
  <property fmtid="{D5CDD505-2E9C-101B-9397-08002B2CF9AE}" pid="34" name="Data_x0020_Category">
    <vt:lpwstr/>
  </property>
  <property fmtid="{D5CDD505-2E9C-101B-9397-08002B2CF9AE}" pid="35" name="Data_x0020_Accessibility">
    <vt:lpwstr/>
  </property>
  <property fmtid="{D5CDD505-2E9C-101B-9397-08002B2CF9AE}" pid="36" name="o2e94e0b7bb742308b3aec7384781dc0">
    <vt:lpwstr/>
  </property>
  <property fmtid="{D5CDD505-2E9C-101B-9397-08002B2CF9AE}" pid="37" name="lcf76f155ced4ddcb4097134ff3c332f">
    <vt:lpwstr/>
  </property>
  <property fmtid="{D5CDD505-2E9C-101B-9397-08002B2CF9AE}" pid="38" name="BCS">
    <vt:lpwstr>35;#Instruments|4a8ff5e5-1f0e-4751-ab44-bc0d33b46a80</vt:lpwstr>
  </property>
  <property fmtid="{D5CDD505-2E9C-101B-9397-08002B2CF9AE}" pid="39" name="Data Privacy">
    <vt:lpwstr/>
  </property>
  <property fmtid="{D5CDD505-2E9C-101B-9397-08002B2CF9AE}" pid="40" name="Data Accessibility">
    <vt:lpwstr/>
  </property>
  <property fmtid="{D5CDD505-2E9C-101B-9397-08002B2CF9AE}" pid="41" name="Data Category">
    <vt:lpwstr/>
  </property>
</Properties>
</file>