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65FB" w14:textId="3BAB755A" w:rsidR="00FF6E5C" w:rsidRPr="00A5648A" w:rsidRDefault="00FF6E5C" w:rsidP="00301975">
      <w:pPr>
        <w:pStyle w:val="Title"/>
        <w:rPr>
          <w:sz w:val="24"/>
          <w:szCs w:val="24"/>
          <w:u w:val="none"/>
        </w:rPr>
      </w:pPr>
      <w:r w:rsidRPr="00A5648A">
        <w:rPr>
          <w:sz w:val="24"/>
          <w:szCs w:val="24"/>
          <w:u w:val="none"/>
        </w:rPr>
        <w:t>EXPLANATORY STATEMENT</w:t>
      </w:r>
    </w:p>
    <w:p w14:paraId="495C3596" w14:textId="29408E8D" w:rsidR="004964E2" w:rsidRPr="00A5648A" w:rsidRDefault="00D858C2" w:rsidP="00301975">
      <w:pPr>
        <w:pStyle w:val="Title"/>
        <w:spacing w:before="240"/>
        <w:rPr>
          <w:sz w:val="24"/>
          <w:szCs w:val="24"/>
          <w:u w:val="none"/>
        </w:rPr>
      </w:pPr>
      <w:r w:rsidRPr="00A5648A">
        <w:rPr>
          <w:sz w:val="24"/>
          <w:szCs w:val="24"/>
          <w:u w:val="none"/>
        </w:rPr>
        <w:t xml:space="preserve">Approved </w:t>
      </w:r>
      <w:r w:rsidR="004964E2" w:rsidRPr="00A5648A">
        <w:rPr>
          <w:sz w:val="24"/>
          <w:szCs w:val="24"/>
          <w:u w:val="none"/>
        </w:rPr>
        <w:t>by the Australian Communications and Media Authority</w:t>
      </w:r>
    </w:p>
    <w:p w14:paraId="1A082D66" w14:textId="77777777" w:rsidR="00D858C2" w:rsidRPr="00A5648A" w:rsidRDefault="00D858C2" w:rsidP="00301975">
      <w:pPr>
        <w:tabs>
          <w:tab w:val="center" w:pos="4111"/>
        </w:tabs>
        <w:jc w:val="center"/>
        <w:rPr>
          <w:b/>
          <w:i/>
          <w:sz w:val="24"/>
          <w:szCs w:val="24"/>
        </w:rPr>
      </w:pPr>
    </w:p>
    <w:p w14:paraId="6AB76E1D" w14:textId="77777777" w:rsidR="00D858C2" w:rsidRPr="00A5648A" w:rsidRDefault="00D858C2" w:rsidP="00301975">
      <w:pPr>
        <w:tabs>
          <w:tab w:val="center" w:pos="4111"/>
        </w:tabs>
        <w:jc w:val="center"/>
        <w:rPr>
          <w:bCs/>
          <w:i/>
          <w:sz w:val="24"/>
          <w:szCs w:val="24"/>
        </w:rPr>
      </w:pPr>
      <w:r w:rsidRPr="00A5648A">
        <w:rPr>
          <w:bCs/>
          <w:i/>
          <w:sz w:val="24"/>
          <w:szCs w:val="24"/>
        </w:rPr>
        <w:t>Telecommunications (Carrier Licence Charges) Act 1997</w:t>
      </w:r>
    </w:p>
    <w:p w14:paraId="71808871" w14:textId="77777777" w:rsidR="00FF6E5C" w:rsidRPr="00A5648A" w:rsidRDefault="00FF6E5C" w:rsidP="00733590">
      <w:pPr>
        <w:jc w:val="center"/>
        <w:rPr>
          <w:sz w:val="24"/>
          <w:szCs w:val="24"/>
        </w:rPr>
      </w:pPr>
    </w:p>
    <w:p w14:paraId="5E256891" w14:textId="2CD05EE2" w:rsidR="00FF6E5C" w:rsidRPr="00A5648A" w:rsidRDefault="00FF6E5C" w:rsidP="00301975">
      <w:pPr>
        <w:jc w:val="center"/>
        <w:rPr>
          <w:sz w:val="24"/>
          <w:szCs w:val="24"/>
        </w:rPr>
      </w:pPr>
      <w:r w:rsidRPr="00A5648A">
        <w:rPr>
          <w:b/>
          <w:i/>
          <w:sz w:val="24"/>
          <w:szCs w:val="24"/>
        </w:rPr>
        <w:t>Telecommunications</w:t>
      </w:r>
      <w:r w:rsidR="00A228F9" w:rsidRPr="00A5648A">
        <w:rPr>
          <w:b/>
          <w:i/>
          <w:sz w:val="24"/>
          <w:szCs w:val="24"/>
        </w:rPr>
        <w:t xml:space="preserve"> Carrier Licence Charges</w:t>
      </w:r>
      <w:r w:rsidRPr="00A5648A">
        <w:rPr>
          <w:b/>
          <w:i/>
          <w:sz w:val="24"/>
          <w:szCs w:val="24"/>
        </w:rPr>
        <w:t xml:space="preserve"> (</w:t>
      </w:r>
      <w:r w:rsidR="002F32C8" w:rsidRPr="00A5648A">
        <w:rPr>
          <w:b/>
          <w:i/>
          <w:sz w:val="24"/>
          <w:szCs w:val="24"/>
        </w:rPr>
        <w:t xml:space="preserve">Specification of Costs by </w:t>
      </w:r>
      <w:r w:rsidR="00987A02" w:rsidRPr="00A5648A">
        <w:rPr>
          <w:b/>
          <w:i/>
          <w:sz w:val="24"/>
          <w:szCs w:val="24"/>
        </w:rPr>
        <w:t xml:space="preserve">the </w:t>
      </w:r>
      <w:r w:rsidR="002F32C8" w:rsidRPr="00A5648A">
        <w:rPr>
          <w:b/>
          <w:i/>
          <w:sz w:val="24"/>
          <w:szCs w:val="24"/>
        </w:rPr>
        <w:t>ACMA</w:t>
      </w:r>
      <w:r w:rsidRPr="00A5648A">
        <w:rPr>
          <w:b/>
          <w:i/>
          <w:sz w:val="24"/>
          <w:szCs w:val="24"/>
        </w:rPr>
        <w:t xml:space="preserve">) Determination </w:t>
      </w:r>
      <w:r w:rsidR="008D51E9" w:rsidRPr="00A5648A">
        <w:rPr>
          <w:b/>
          <w:i/>
          <w:sz w:val="24"/>
          <w:szCs w:val="24"/>
        </w:rPr>
        <w:t>(</w:t>
      </w:r>
      <w:r w:rsidR="00A228F9" w:rsidRPr="00A5648A">
        <w:rPr>
          <w:b/>
          <w:i/>
          <w:sz w:val="24"/>
          <w:szCs w:val="24"/>
        </w:rPr>
        <w:t xml:space="preserve">No. </w:t>
      </w:r>
      <w:r w:rsidR="00D85144">
        <w:rPr>
          <w:b/>
          <w:i/>
          <w:sz w:val="24"/>
          <w:szCs w:val="24"/>
        </w:rPr>
        <w:t>2</w:t>
      </w:r>
      <w:r w:rsidR="00A228F9" w:rsidRPr="00A5648A">
        <w:rPr>
          <w:b/>
          <w:i/>
          <w:sz w:val="24"/>
          <w:szCs w:val="24"/>
        </w:rPr>
        <w:t xml:space="preserve">) </w:t>
      </w:r>
      <w:r w:rsidRPr="00A5648A">
        <w:rPr>
          <w:b/>
          <w:i/>
          <w:sz w:val="24"/>
          <w:szCs w:val="24"/>
        </w:rPr>
        <w:t>20</w:t>
      </w:r>
      <w:r w:rsidR="00A228F9" w:rsidRPr="00A5648A">
        <w:rPr>
          <w:b/>
          <w:i/>
          <w:sz w:val="24"/>
          <w:szCs w:val="24"/>
        </w:rPr>
        <w:t>2</w:t>
      </w:r>
      <w:r w:rsidR="006C7DD0">
        <w:rPr>
          <w:b/>
          <w:i/>
          <w:sz w:val="24"/>
          <w:szCs w:val="24"/>
        </w:rPr>
        <w:t>3</w:t>
      </w:r>
    </w:p>
    <w:p w14:paraId="3C026C47" w14:textId="77777777" w:rsidR="00722911" w:rsidRPr="00A5648A" w:rsidRDefault="00722911" w:rsidP="00733590">
      <w:pPr>
        <w:tabs>
          <w:tab w:val="center" w:pos="4111"/>
        </w:tabs>
        <w:rPr>
          <w:sz w:val="24"/>
          <w:szCs w:val="24"/>
        </w:rPr>
      </w:pPr>
    </w:p>
    <w:p w14:paraId="129A4311" w14:textId="64898AD4" w:rsidR="00D858C2" w:rsidRPr="00A5648A" w:rsidRDefault="00D858C2" w:rsidP="00733590">
      <w:pPr>
        <w:rPr>
          <w:b/>
          <w:sz w:val="24"/>
        </w:rPr>
      </w:pPr>
      <w:r w:rsidRPr="00A5648A">
        <w:rPr>
          <w:b/>
          <w:sz w:val="24"/>
        </w:rPr>
        <w:t xml:space="preserve">Authority </w:t>
      </w:r>
    </w:p>
    <w:p w14:paraId="311A99C3" w14:textId="77777777" w:rsidR="00D858C2" w:rsidRPr="00A5648A" w:rsidRDefault="00D858C2" w:rsidP="00733590">
      <w:pPr>
        <w:rPr>
          <w:sz w:val="24"/>
        </w:rPr>
      </w:pPr>
    </w:p>
    <w:p w14:paraId="47F6D6C9" w14:textId="49BCBC1A" w:rsidR="00AD02A9" w:rsidRPr="00A5648A" w:rsidRDefault="00314EB1" w:rsidP="003E7C2D">
      <w:pPr>
        <w:jc w:val="both"/>
        <w:rPr>
          <w:sz w:val="24"/>
          <w:szCs w:val="24"/>
        </w:rPr>
      </w:pPr>
      <w:r w:rsidRPr="00A5648A">
        <w:rPr>
          <w:sz w:val="24"/>
        </w:rPr>
        <w:t xml:space="preserve">The </w:t>
      </w:r>
      <w:r w:rsidR="00D23B65" w:rsidRPr="00A5648A">
        <w:rPr>
          <w:sz w:val="24"/>
        </w:rPr>
        <w:t xml:space="preserve">Australian Communications and Media Authority (the </w:t>
      </w:r>
      <w:r w:rsidR="00D23B65" w:rsidRPr="00A5648A">
        <w:rPr>
          <w:b/>
          <w:bCs/>
          <w:sz w:val="24"/>
        </w:rPr>
        <w:t>ACMA</w:t>
      </w:r>
      <w:r w:rsidR="00D23B65" w:rsidRPr="00A5648A">
        <w:rPr>
          <w:sz w:val="24"/>
        </w:rPr>
        <w:t>)</w:t>
      </w:r>
      <w:r w:rsidR="00301975" w:rsidRPr="00A5648A">
        <w:rPr>
          <w:sz w:val="24"/>
        </w:rPr>
        <w:t xml:space="preserve"> has made the </w:t>
      </w:r>
      <w:r w:rsidRPr="00A5648A">
        <w:rPr>
          <w:i/>
          <w:sz w:val="24"/>
        </w:rPr>
        <w:t xml:space="preserve">Telecommunications </w:t>
      </w:r>
      <w:r w:rsidR="00A228F9" w:rsidRPr="00A5648A">
        <w:rPr>
          <w:i/>
          <w:sz w:val="24"/>
        </w:rPr>
        <w:t xml:space="preserve">Carrier Licence Charges </w:t>
      </w:r>
      <w:r w:rsidRPr="00A5648A">
        <w:rPr>
          <w:i/>
          <w:sz w:val="24"/>
        </w:rPr>
        <w:t xml:space="preserve">(Specification of Costs by </w:t>
      </w:r>
      <w:r w:rsidR="00987A02" w:rsidRPr="00A5648A">
        <w:rPr>
          <w:i/>
          <w:sz w:val="24"/>
        </w:rPr>
        <w:t xml:space="preserve">the </w:t>
      </w:r>
      <w:r w:rsidRPr="00A5648A">
        <w:rPr>
          <w:i/>
          <w:sz w:val="24"/>
        </w:rPr>
        <w:t xml:space="preserve">ACMA) Determination </w:t>
      </w:r>
      <w:r w:rsidR="00A228F9" w:rsidRPr="00A5648A">
        <w:rPr>
          <w:i/>
          <w:sz w:val="24"/>
        </w:rPr>
        <w:t xml:space="preserve">(No. </w:t>
      </w:r>
      <w:r w:rsidR="00D85144">
        <w:rPr>
          <w:i/>
          <w:sz w:val="24"/>
        </w:rPr>
        <w:t>2</w:t>
      </w:r>
      <w:r w:rsidR="00A228F9" w:rsidRPr="00A5648A">
        <w:rPr>
          <w:i/>
          <w:sz w:val="24"/>
        </w:rPr>
        <w:t xml:space="preserve">) </w:t>
      </w:r>
      <w:r w:rsidRPr="00A5648A">
        <w:rPr>
          <w:i/>
          <w:sz w:val="24"/>
        </w:rPr>
        <w:t>20</w:t>
      </w:r>
      <w:r w:rsidR="00A228F9" w:rsidRPr="00A5648A">
        <w:rPr>
          <w:i/>
          <w:sz w:val="24"/>
        </w:rPr>
        <w:t>2</w:t>
      </w:r>
      <w:r w:rsidR="006C7DD0">
        <w:rPr>
          <w:i/>
          <w:sz w:val="24"/>
        </w:rPr>
        <w:t>3</w:t>
      </w:r>
      <w:r w:rsidRPr="00A5648A">
        <w:rPr>
          <w:i/>
          <w:sz w:val="24"/>
        </w:rPr>
        <w:t xml:space="preserve"> </w:t>
      </w:r>
      <w:r w:rsidRPr="00A5648A">
        <w:rPr>
          <w:sz w:val="24"/>
        </w:rPr>
        <w:t>(</w:t>
      </w:r>
      <w:r w:rsidR="00CD143C" w:rsidRPr="00A5648A">
        <w:rPr>
          <w:sz w:val="24"/>
        </w:rPr>
        <w:t xml:space="preserve">the </w:t>
      </w:r>
      <w:r w:rsidR="00CD143C" w:rsidRPr="00A5648A">
        <w:rPr>
          <w:b/>
          <w:bCs/>
          <w:sz w:val="24"/>
        </w:rPr>
        <w:t>Determination</w:t>
      </w:r>
      <w:r w:rsidRPr="00A5648A">
        <w:rPr>
          <w:sz w:val="24"/>
        </w:rPr>
        <w:t xml:space="preserve">) </w:t>
      </w:r>
      <w:r w:rsidR="000D71CD" w:rsidRPr="00A5648A">
        <w:rPr>
          <w:sz w:val="24"/>
        </w:rPr>
        <w:t xml:space="preserve">under </w:t>
      </w:r>
      <w:r w:rsidR="0030093C" w:rsidRPr="00A5648A">
        <w:rPr>
          <w:sz w:val="24"/>
        </w:rPr>
        <w:t xml:space="preserve">paragraphs 15(1)(a), (c) and (ca) of the </w:t>
      </w:r>
      <w:r w:rsidR="0030093C" w:rsidRPr="00A5648A">
        <w:rPr>
          <w:i/>
          <w:sz w:val="24"/>
        </w:rPr>
        <w:t>Telecommunications (Carrier Licence Charges) Act 1997</w:t>
      </w:r>
      <w:r w:rsidR="0030093C" w:rsidRPr="00A5648A">
        <w:rPr>
          <w:sz w:val="24"/>
        </w:rPr>
        <w:t xml:space="preserve"> (</w:t>
      </w:r>
      <w:r w:rsidR="00CD143C" w:rsidRPr="00A5648A">
        <w:rPr>
          <w:sz w:val="24"/>
        </w:rPr>
        <w:t xml:space="preserve">the </w:t>
      </w:r>
      <w:r w:rsidR="00CD143C" w:rsidRPr="00A5648A">
        <w:rPr>
          <w:b/>
          <w:bCs/>
          <w:sz w:val="24"/>
        </w:rPr>
        <w:t>Act</w:t>
      </w:r>
      <w:r w:rsidR="00AD02A9" w:rsidRPr="00A5648A">
        <w:rPr>
          <w:sz w:val="24"/>
        </w:rPr>
        <w:t>)</w:t>
      </w:r>
      <w:r w:rsidR="00DB39C5" w:rsidRPr="00A5648A">
        <w:rPr>
          <w:sz w:val="24"/>
        </w:rPr>
        <w:t>.</w:t>
      </w:r>
      <w:r w:rsidR="00AD02A9" w:rsidRPr="00A5648A">
        <w:rPr>
          <w:sz w:val="24"/>
        </w:rPr>
        <w:t xml:space="preserve"> </w:t>
      </w:r>
    </w:p>
    <w:p w14:paraId="0F21E76C" w14:textId="00CBABC0" w:rsidR="00F42CCA" w:rsidRPr="00A5648A" w:rsidRDefault="00F42CCA" w:rsidP="003E7C2D">
      <w:pPr>
        <w:jc w:val="both"/>
        <w:rPr>
          <w:sz w:val="24"/>
          <w:szCs w:val="24"/>
        </w:rPr>
      </w:pPr>
    </w:p>
    <w:p w14:paraId="72336E4F" w14:textId="69AAA192" w:rsidR="00333097" w:rsidRPr="00A5648A" w:rsidRDefault="00333097" w:rsidP="003E7C2D">
      <w:pPr>
        <w:jc w:val="both"/>
        <w:rPr>
          <w:sz w:val="24"/>
          <w:szCs w:val="24"/>
        </w:rPr>
      </w:pPr>
      <w:r w:rsidRPr="00A5648A">
        <w:rPr>
          <w:sz w:val="24"/>
        </w:rPr>
        <w:t xml:space="preserve">The Act </w:t>
      </w:r>
      <w:r w:rsidR="00FF6E5C" w:rsidRPr="00A5648A">
        <w:rPr>
          <w:sz w:val="24"/>
        </w:rPr>
        <w:t>limits the total</w:t>
      </w:r>
      <w:r w:rsidR="008C74DD" w:rsidRPr="00A5648A">
        <w:rPr>
          <w:sz w:val="24"/>
        </w:rPr>
        <w:t xml:space="preserve"> of the </w:t>
      </w:r>
      <w:r w:rsidRPr="00A5648A">
        <w:rPr>
          <w:sz w:val="24"/>
        </w:rPr>
        <w:t xml:space="preserve">charges that </w:t>
      </w:r>
      <w:r w:rsidR="008C74DD" w:rsidRPr="00A5648A">
        <w:rPr>
          <w:sz w:val="24"/>
        </w:rPr>
        <w:t>are</w:t>
      </w:r>
      <w:r w:rsidR="00FF6E5C" w:rsidRPr="00A5648A">
        <w:rPr>
          <w:sz w:val="24"/>
        </w:rPr>
        <w:t xml:space="preserve"> imposed on</w:t>
      </w:r>
      <w:r w:rsidRPr="00A5648A">
        <w:rPr>
          <w:sz w:val="24"/>
        </w:rPr>
        <w:t xml:space="preserve"> carrier licences </w:t>
      </w:r>
      <w:r w:rsidR="008C74DD" w:rsidRPr="00A5648A">
        <w:rPr>
          <w:sz w:val="24"/>
        </w:rPr>
        <w:t>in force at the beginning of a financial year</w:t>
      </w:r>
      <w:r w:rsidRPr="00A5648A">
        <w:rPr>
          <w:sz w:val="24"/>
        </w:rPr>
        <w:t xml:space="preserve">.  Subsection 15(1) of the </w:t>
      </w:r>
      <w:r w:rsidRPr="00A5648A">
        <w:rPr>
          <w:sz w:val="24"/>
          <w:szCs w:val="24"/>
        </w:rPr>
        <w:t xml:space="preserve">Act </w:t>
      </w:r>
      <w:r w:rsidR="001438D8" w:rsidRPr="00A5648A">
        <w:rPr>
          <w:sz w:val="24"/>
          <w:szCs w:val="24"/>
        </w:rPr>
        <w:t>provides that the total of the annual carrier licence charges that are imposed on carrier licences in force at the beginning of a financial year must not exceed the sum of</w:t>
      </w:r>
      <w:r w:rsidR="00A81CB7" w:rsidRPr="00A5648A">
        <w:rPr>
          <w:sz w:val="24"/>
          <w:szCs w:val="24"/>
        </w:rPr>
        <w:t xml:space="preserve"> </w:t>
      </w:r>
      <w:r w:rsidR="009479C7" w:rsidRPr="00A5648A">
        <w:rPr>
          <w:sz w:val="24"/>
          <w:szCs w:val="24"/>
        </w:rPr>
        <w:t>the</w:t>
      </w:r>
      <w:r w:rsidR="00820CC4" w:rsidRPr="00A5648A">
        <w:rPr>
          <w:sz w:val="24"/>
          <w:szCs w:val="24"/>
        </w:rPr>
        <w:t xml:space="preserve"> amounts </w:t>
      </w:r>
      <w:r w:rsidR="00A8782D" w:rsidRPr="00A5648A">
        <w:rPr>
          <w:sz w:val="24"/>
          <w:szCs w:val="24"/>
        </w:rPr>
        <w:t>described</w:t>
      </w:r>
      <w:r w:rsidR="00820CC4" w:rsidRPr="00A5648A">
        <w:rPr>
          <w:sz w:val="24"/>
          <w:szCs w:val="24"/>
        </w:rPr>
        <w:t xml:space="preserve"> in paragraphs </w:t>
      </w:r>
      <w:r w:rsidR="000A6435" w:rsidRPr="00A5648A">
        <w:rPr>
          <w:sz w:val="24"/>
          <w:szCs w:val="24"/>
        </w:rPr>
        <w:t>15(1)</w:t>
      </w:r>
      <w:r w:rsidR="00820CC4" w:rsidRPr="00A5648A">
        <w:rPr>
          <w:sz w:val="24"/>
          <w:szCs w:val="24"/>
        </w:rPr>
        <w:t xml:space="preserve">(a) to (d), three of which are </w:t>
      </w:r>
      <w:r w:rsidR="001438D8" w:rsidRPr="00A5648A">
        <w:rPr>
          <w:sz w:val="24"/>
          <w:szCs w:val="24"/>
        </w:rPr>
        <w:t>amounts determined</w:t>
      </w:r>
      <w:r w:rsidR="00A81CB7" w:rsidRPr="00A5648A">
        <w:rPr>
          <w:sz w:val="24"/>
          <w:szCs w:val="24"/>
        </w:rPr>
        <w:t xml:space="preserve"> </w:t>
      </w:r>
      <w:r w:rsidR="00A81CB7" w:rsidRPr="00A5648A">
        <w:rPr>
          <w:sz w:val="24"/>
        </w:rPr>
        <w:t>by a written instrument made by the ACMA</w:t>
      </w:r>
      <w:r w:rsidR="00C55C0C" w:rsidRPr="00A5648A">
        <w:rPr>
          <w:sz w:val="24"/>
          <w:szCs w:val="24"/>
        </w:rPr>
        <w:t>, being:</w:t>
      </w:r>
      <w:r w:rsidR="00DC676B" w:rsidRPr="00A5648A">
        <w:rPr>
          <w:sz w:val="24"/>
          <w:szCs w:val="24"/>
        </w:rPr>
        <w:t xml:space="preserve"> </w:t>
      </w:r>
    </w:p>
    <w:p w14:paraId="3A1BAE2E" w14:textId="77777777" w:rsidR="00333097" w:rsidRPr="00A5648A" w:rsidRDefault="00333097" w:rsidP="003E7C2D">
      <w:pPr>
        <w:jc w:val="both"/>
        <w:rPr>
          <w:sz w:val="24"/>
        </w:rPr>
      </w:pPr>
    </w:p>
    <w:p w14:paraId="52F600B0" w14:textId="1D0CA036" w:rsidR="00333097" w:rsidRPr="00A5648A" w:rsidRDefault="00333097" w:rsidP="003E7C2D">
      <w:pPr>
        <w:pStyle w:val="ListParagraph"/>
        <w:numPr>
          <w:ilvl w:val="0"/>
          <w:numId w:val="9"/>
        </w:numPr>
        <w:jc w:val="both"/>
        <w:rPr>
          <w:sz w:val="24"/>
        </w:rPr>
      </w:pPr>
      <w:r w:rsidRPr="00A5648A">
        <w:rPr>
          <w:sz w:val="24"/>
        </w:rPr>
        <w:t>the amount determined</w:t>
      </w:r>
      <w:r w:rsidR="00A81CB7" w:rsidRPr="00A5648A">
        <w:rPr>
          <w:sz w:val="24"/>
        </w:rPr>
        <w:t xml:space="preserve"> </w:t>
      </w:r>
      <w:r w:rsidRPr="00A5648A">
        <w:rPr>
          <w:sz w:val="24"/>
        </w:rPr>
        <w:t>to be the proportion of the AC</w:t>
      </w:r>
      <w:r w:rsidR="00F607E1" w:rsidRPr="00A5648A">
        <w:rPr>
          <w:sz w:val="24"/>
        </w:rPr>
        <w:t>M</w:t>
      </w:r>
      <w:r w:rsidRPr="00A5648A">
        <w:rPr>
          <w:sz w:val="24"/>
        </w:rPr>
        <w:t>A's costs for the immediately preceding financial year that is attributable to the AC</w:t>
      </w:r>
      <w:r w:rsidR="00F607E1" w:rsidRPr="00A5648A">
        <w:rPr>
          <w:sz w:val="24"/>
        </w:rPr>
        <w:t>M</w:t>
      </w:r>
      <w:r w:rsidRPr="00A5648A">
        <w:rPr>
          <w:sz w:val="24"/>
        </w:rPr>
        <w:t>A's telecommunications function</w:t>
      </w:r>
      <w:r w:rsidR="006517B7" w:rsidRPr="00A5648A">
        <w:rPr>
          <w:sz w:val="24"/>
        </w:rPr>
        <w:t>s and powers</w:t>
      </w:r>
      <w:r w:rsidR="00B21E7A" w:rsidRPr="00A5648A">
        <w:rPr>
          <w:sz w:val="24"/>
        </w:rPr>
        <w:t xml:space="preserve"> (</w:t>
      </w:r>
      <w:r w:rsidR="00707C80" w:rsidRPr="00A5648A">
        <w:rPr>
          <w:sz w:val="24"/>
        </w:rPr>
        <w:t xml:space="preserve">paragraph </w:t>
      </w:r>
      <w:r w:rsidR="00707C80" w:rsidRPr="00A5648A">
        <w:rPr>
          <w:sz w:val="24"/>
          <w:szCs w:val="24"/>
        </w:rPr>
        <w:t>15(1)(a)</w:t>
      </w:r>
      <w:proofErr w:type="gramStart"/>
      <w:r w:rsidR="00B21E7A" w:rsidRPr="00A5648A">
        <w:rPr>
          <w:sz w:val="24"/>
          <w:szCs w:val="24"/>
        </w:rPr>
        <w:t>)</w:t>
      </w:r>
      <w:r w:rsidR="006517B7" w:rsidRPr="00A5648A">
        <w:rPr>
          <w:sz w:val="24"/>
        </w:rPr>
        <w:t>;</w:t>
      </w:r>
      <w:proofErr w:type="gramEnd"/>
      <w:r w:rsidR="006517B7" w:rsidRPr="00A5648A">
        <w:rPr>
          <w:sz w:val="24"/>
        </w:rPr>
        <w:t xml:space="preserve"> </w:t>
      </w:r>
    </w:p>
    <w:p w14:paraId="428541F2" w14:textId="77777777" w:rsidR="00333097" w:rsidRPr="00A5648A" w:rsidRDefault="00333097" w:rsidP="003E7C2D">
      <w:pPr>
        <w:numPr>
          <w:ilvl w:val="12"/>
          <w:numId w:val="0"/>
        </w:numPr>
        <w:ind w:left="709" w:hanging="709"/>
        <w:jc w:val="both"/>
        <w:rPr>
          <w:sz w:val="24"/>
        </w:rPr>
      </w:pPr>
    </w:p>
    <w:p w14:paraId="126DFA97" w14:textId="405EBD01" w:rsidR="00333097" w:rsidRPr="00A5648A" w:rsidRDefault="00052326" w:rsidP="003E7C2D">
      <w:pPr>
        <w:pStyle w:val="ListParagraph"/>
        <w:numPr>
          <w:ilvl w:val="0"/>
          <w:numId w:val="9"/>
        </w:numPr>
        <w:jc w:val="both"/>
        <w:rPr>
          <w:sz w:val="24"/>
        </w:rPr>
      </w:pPr>
      <w:r w:rsidRPr="00A5648A">
        <w:rPr>
          <w:sz w:val="24"/>
        </w:rPr>
        <w:t>the amount determined</w:t>
      </w:r>
      <w:r w:rsidR="00A81CB7" w:rsidRPr="00A5648A">
        <w:rPr>
          <w:sz w:val="24"/>
        </w:rPr>
        <w:t xml:space="preserve"> </w:t>
      </w:r>
      <w:r w:rsidRPr="00A5648A">
        <w:rPr>
          <w:sz w:val="24"/>
        </w:rPr>
        <w:t xml:space="preserve">to be the proportion of the Commonwealth’s contribution to the budget of the International Telecommunication Union </w:t>
      </w:r>
      <w:r w:rsidR="000D71CD" w:rsidRPr="00A5648A">
        <w:rPr>
          <w:sz w:val="24"/>
        </w:rPr>
        <w:t>(</w:t>
      </w:r>
      <w:r w:rsidR="000D71CD" w:rsidRPr="00A5648A">
        <w:rPr>
          <w:b/>
          <w:bCs/>
          <w:sz w:val="24"/>
        </w:rPr>
        <w:t>ITU</w:t>
      </w:r>
      <w:r w:rsidR="000D71CD" w:rsidRPr="00A5648A">
        <w:rPr>
          <w:sz w:val="24"/>
        </w:rPr>
        <w:t xml:space="preserve">) </w:t>
      </w:r>
      <w:r w:rsidRPr="00A5648A">
        <w:rPr>
          <w:sz w:val="24"/>
        </w:rPr>
        <w:t>for the calendar year in which the beginning of the financial year occurs that is to</w:t>
      </w:r>
      <w:r w:rsidR="006517B7" w:rsidRPr="00A5648A">
        <w:rPr>
          <w:sz w:val="24"/>
        </w:rPr>
        <w:t xml:space="preserve"> be recovered from carriers</w:t>
      </w:r>
      <w:r w:rsidR="00707C80" w:rsidRPr="00A5648A">
        <w:rPr>
          <w:sz w:val="24"/>
        </w:rPr>
        <w:t xml:space="preserve"> (paragraph </w:t>
      </w:r>
      <w:r w:rsidR="00707C80" w:rsidRPr="00A5648A">
        <w:rPr>
          <w:sz w:val="24"/>
          <w:szCs w:val="24"/>
        </w:rPr>
        <w:t>15(1)(c)</w:t>
      </w:r>
      <w:r w:rsidR="00846069" w:rsidRPr="00A5648A">
        <w:rPr>
          <w:sz w:val="24"/>
          <w:szCs w:val="24"/>
        </w:rPr>
        <w:t>)</w:t>
      </w:r>
      <w:r w:rsidR="006517B7" w:rsidRPr="00A5648A">
        <w:rPr>
          <w:sz w:val="24"/>
        </w:rPr>
        <w:t>;</w:t>
      </w:r>
      <w:r w:rsidR="00E83356" w:rsidRPr="00A5648A">
        <w:rPr>
          <w:sz w:val="24"/>
        </w:rPr>
        <w:t xml:space="preserve"> and</w:t>
      </w:r>
      <w:r w:rsidR="006517B7" w:rsidRPr="00A5648A">
        <w:rPr>
          <w:sz w:val="24"/>
        </w:rPr>
        <w:t xml:space="preserve"> </w:t>
      </w:r>
    </w:p>
    <w:p w14:paraId="20333E63" w14:textId="77777777" w:rsidR="00333097" w:rsidRPr="00A5648A" w:rsidRDefault="00333097" w:rsidP="003E7C2D">
      <w:pPr>
        <w:numPr>
          <w:ilvl w:val="12"/>
          <w:numId w:val="0"/>
        </w:numPr>
        <w:ind w:left="567" w:hanging="567"/>
        <w:jc w:val="both"/>
        <w:rPr>
          <w:sz w:val="24"/>
        </w:rPr>
      </w:pPr>
    </w:p>
    <w:p w14:paraId="68ED1309" w14:textId="0D85A5B9" w:rsidR="00F64868" w:rsidRPr="00A5648A" w:rsidRDefault="00F64868" w:rsidP="003E7C2D">
      <w:pPr>
        <w:pStyle w:val="ListParagraph"/>
        <w:numPr>
          <w:ilvl w:val="0"/>
          <w:numId w:val="9"/>
        </w:numPr>
        <w:tabs>
          <w:tab w:val="left" w:pos="709"/>
        </w:tabs>
        <w:jc w:val="both"/>
        <w:rPr>
          <w:sz w:val="24"/>
          <w:szCs w:val="24"/>
        </w:rPr>
      </w:pPr>
      <w:r w:rsidRPr="00A5648A">
        <w:rPr>
          <w:sz w:val="24"/>
          <w:szCs w:val="24"/>
        </w:rPr>
        <w:t xml:space="preserve">the amount determined to be the sum of the amounts paid under section 136C of the </w:t>
      </w:r>
      <w:r w:rsidRPr="00A5648A">
        <w:rPr>
          <w:i/>
          <w:sz w:val="24"/>
          <w:szCs w:val="24"/>
        </w:rPr>
        <w:t xml:space="preserve">Telecommunications Act 1997 </w:t>
      </w:r>
      <w:r w:rsidRPr="00A5648A">
        <w:rPr>
          <w:sz w:val="24"/>
          <w:szCs w:val="24"/>
        </w:rPr>
        <w:t>during the immediately preceding financial year</w:t>
      </w:r>
      <w:r w:rsidR="00707C80" w:rsidRPr="00A5648A">
        <w:rPr>
          <w:sz w:val="24"/>
          <w:szCs w:val="24"/>
        </w:rPr>
        <w:t xml:space="preserve"> </w:t>
      </w:r>
      <w:r w:rsidR="004D6C42" w:rsidRPr="00A5648A">
        <w:rPr>
          <w:sz w:val="24"/>
          <w:szCs w:val="24"/>
        </w:rPr>
        <w:t>(</w:t>
      </w:r>
      <w:r w:rsidR="00707C80" w:rsidRPr="00A5648A">
        <w:rPr>
          <w:sz w:val="24"/>
          <w:szCs w:val="24"/>
        </w:rPr>
        <w:t>paragraph 15(</w:t>
      </w:r>
      <w:proofErr w:type="gramStart"/>
      <w:r w:rsidR="00707C80" w:rsidRPr="00A5648A">
        <w:rPr>
          <w:sz w:val="24"/>
          <w:szCs w:val="24"/>
        </w:rPr>
        <w:t>1)(</w:t>
      </w:r>
      <w:proofErr w:type="gramEnd"/>
      <w:r w:rsidR="00707C80" w:rsidRPr="00A5648A">
        <w:rPr>
          <w:sz w:val="24"/>
          <w:szCs w:val="24"/>
        </w:rPr>
        <w:t>ca)</w:t>
      </w:r>
      <w:r w:rsidR="00846069" w:rsidRPr="00A5648A">
        <w:rPr>
          <w:sz w:val="24"/>
          <w:szCs w:val="24"/>
        </w:rPr>
        <w:t>)</w:t>
      </w:r>
      <w:r w:rsidR="00707C80" w:rsidRPr="00A5648A">
        <w:rPr>
          <w:sz w:val="24"/>
          <w:szCs w:val="24"/>
        </w:rPr>
        <w:t xml:space="preserve">. </w:t>
      </w:r>
    </w:p>
    <w:p w14:paraId="40B067BD" w14:textId="77777777" w:rsidR="00A45DCE" w:rsidRPr="00A5648A" w:rsidRDefault="00A45DCE" w:rsidP="003E7C2D">
      <w:pPr>
        <w:jc w:val="both"/>
        <w:rPr>
          <w:sz w:val="24"/>
        </w:rPr>
      </w:pPr>
    </w:p>
    <w:p w14:paraId="528AC9A4" w14:textId="32239352" w:rsidR="00A45DCE" w:rsidRPr="00A5648A" w:rsidRDefault="00A45DCE" w:rsidP="003E7C2D">
      <w:pPr>
        <w:jc w:val="both"/>
        <w:rPr>
          <w:i/>
          <w:sz w:val="24"/>
        </w:rPr>
      </w:pPr>
      <w:r w:rsidRPr="00A5648A">
        <w:rPr>
          <w:sz w:val="24"/>
        </w:rPr>
        <w:t>The Determination prescribes the relevant amounts under paragraphs 15(1)(a), (c) and (ca)</w:t>
      </w:r>
      <w:r w:rsidR="00BE1CF8" w:rsidRPr="00A5648A">
        <w:rPr>
          <w:sz w:val="24"/>
        </w:rPr>
        <w:t xml:space="preserve"> of the Act</w:t>
      </w:r>
      <w:r w:rsidR="004408FA" w:rsidRPr="00A5648A">
        <w:rPr>
          <w:sz w:val="24"/>
        </w:rPr>
        <w:t>.</w:t>
      </w:r>
    </w:p>
    <w:p w14:paraId="733A5ED6" w14:textId="71CEF434" w:rsidR="00175E50" w:rsidRPr="00A5648A" w:rsidRDefault="00175E50" w:rsidP="003E7C2D">
      <w:pPr>
        <w:jc w:val="both"/>
        <w:rPr>
          <w:b/>
          <w:sz w:val="24"/>
        </w:rPr>
      </w:pPr>
    </w:p>
    <w:p w14:paraId="5B24C820" w14:textId="3C0950B1" w:rsidR="00DF1BAF" w:rsidRPr="00A5648A" w:rsidRDefault="00DF1BAF" w:rsidP="003E7C2D">
      <w:pPr>
        <w:jc w:val="both"/>
        <w:rPr>
          <w:b/>
          <w:sz w:val="24"/>
        </w:rPr>
      </w:pPr>
      <w:r w:rsidRPr="00A5648A">
        <w:rPr>
          <w:b/>
          <w:sz w:val="24"/>
        </w:rPr>
        <w:t>Purpose</w:t>
      </w:r>
      <w:r w:rsidR="00D858C2" w:rsidRPr="00A5648A">
        <w:rPr>
          <w:b/>
          <w:sz w:val="24"/>
        </w:rPr>
        <w:t xml:space="preserve"> and Operation </w:t>
      </w:r>
    </w:p>
    <w:p w14:paraId="2D1E61B2" w14:textId="77777777" w:rsidR="00DF1BAF" w:rsidRPr="00A5648A" w:rsidRDefault="00DF1BAF" w:rsidP="003E7C2D">
      <w:pPr>
        <w:jc w:val="both"/>
        <w:rPr>
          <w:sz w:val="24"/>
        </w:rPr>
      </w:pPr>
    </w:p>
    <w:p w14:paraId="0196BCFD" w14:textId="158A49AB" w:rsidR="00EC6749" w:rsidRPr="00A5648A" w:rsidRDefault="00333097" w:rsidP="003E7C2D">
      <w:pPr>
        <w:jc w:val="both"/>
        <w:rPr>
          <w:sz w:val="24"/>
        </w:rPr>
      </w:pPr>
      <w:r w:rsidRPr="00A5648A">
        <w:rPr>
          <w:sz w:val="24"/>
        </w:rPr>
        <w:t>The Determination has been made for the purposes of paragraph</w:t>
      </w:r>
      <w:r w:rsidR="00314EB1" w:rsidRPr="00A5648A">
        <w:rPr>
          <w:sz w:val="24"/>
        </w:rPr>
        <w:t>s</w:t>
      </w:r>
      <w:r w:rsidRPr="00A5648A">
        <w:rPr>
          <w:sz w:val="24"/>
        </w:rPr>
        <w:t xml:space="preserve"> 15(1)</w:t>
      </w:r>
      <w:r w:rsidR="00314EB1" w:rsidRPr="00A5648A">
        <w:rPr>
          <w:sz w:val="24"/>
        </w:rPr>
        <w:t xml:space="preserve">(a), (c) and </w:t>
      </w:r>
      <w:r w:rsidRPr="00A5648A">
        <w:rPr>
          <w:sz w:val="24"/>
        </w:rPr>
        <w:t>(c</w:t>
      </w:r>
      <w:r w:rsidR="00052326" w:rsidRPr="00A5648A">
        <w:rPr>
          <w:sz w:val="24"/>
        </w:rPr>
        <w:t>a</w:t>
      </w:r>
      <w:r w:rsidRPr="00A5648A">
        <w:rPr>
          <w:sz w:val="24"/>
        </w:rPr>
        <w:t>) of the Act</w:t>
      </w:r>
      <w:r w:rsidR="00A77876" w:rsidRPr="00A5648A">
        <w:rPr>
          <w:sz w:val="24"/>
        </w:rPr>
        <w:t xml:space="preserve"> and is relevant to determining the total of the charges that are imposed on carrier licences in fo</w:t>
      </w:r>
      <w:r w:rsidR="00056DD0" w:rsidRPr="00A5648A">
        <w:rPr>
          <w:sz w:val="24"/>
        </w:rPr>
        <w:t xml:space="preserve">rce at the beginning of the </w:t>
      </w:r>
      <w:r w:rsidR="00D85144">
        <w:rPr>
          <w:sz w:val="24"/>
        </w:rPr>
        <w:t>2022-2023</w:t>
      </w:r>
      <w:r w:rsidR="00A77876" w:rsidRPr="00A5648A">
        <w:rPr>
          <w:sz w:val="24"/>
        </w:rPr>
        <w:t xml:space="preserve"> financial year</w:t>
      </w:r>
      <w:r w:rsidRPr="00A5648A">
        <w:rPr>
          <w:sz w:val="24"/>
        </w:rPr>
        <w:t xml:space="preserve">. </w:t>
      </w:r>
    </w:p>
    <w:p w14:paraId="4DC1EE7A" w14:textId="77777777" w:rsidR="00EC6749" w:rsidRPr="00A5648A" w:rsidRDefault="00EC6749" w:rsidP="003E7C2D">
      <w:pPr>
        <w:jc w:val="both"/>
        <w:rPr>
          <w:sz w:val="24"/>
        </w:rPr>
      </w:pPr>
    </w:p>
    <w:p w14:paraId="1C60FEA2" w14:textId="77777777" w:rsidR="006B1373" w:rsidRPr="00A5648A" w:rsidRDefault="00EC6749" w:rsidP="00B520EF">
      <w:pPr>
        <w:jc w:val="both"/>
        <w:rPr>
          <w:sz w:val="24"/>
          <w:szCs w:val="24"/>
        </w:rPr>
      </w:pPr>
      <w:r w:rsidRPr="00A5648A">
        <w:rPr>
          <w:sz w:val="24"/>
          <w:szCs w:val="24"/>
        </w:rPr>
        <w:t>For the purpose</w:t>
      </w:r>
      <w:r w:rsidR="008E7A1B" w:rsidRPr="00A5648A">
        <w:rPr>
          <w:sz w:val="24"/>
          <w:szCs w:val="24"/>
        </w:rPr>
        <w:t>s</w:t>
      </w:r>
      <w:r w:rsidRPr="00A5648A">
        <w:rPr>
          <w:sz w:val="24"/>
          <w:szCs w:val="24"/>
        </w:rPr>
        <w:t xml:space="preserve"> of paragraph 15(1)(a)</w:t>
      </w:r>
      <w:r w:rsidR="006A3556" w:rsidRPr="00A5648A">
        <w:rPr>
          <w:sz w:val="24"/>
          <w:szCs w:val="24"/>
        </w:rPr>
        <w:t xml:space="preserve"> of the Act</w:t>
      </w:r>
      <w:r w:rsidRPr="00A5648A">
        <w:rPr>
          <w:sz w:val="24"/>
          <w:szCs w:val="24"/>
        </w:rPr>
        <w:t>, the Determi</w:t>
      </w:r>
      <w:r w:rsidR="00CE6DF0" w:rsidRPr="00A5648A">
        <w:rPr>
          <w:sz w:val="24"/>
          <w:szCs w:val="24"/>
        </w:rPr>
        <w:t xml:space="preserve">nation provides </w:t>
      </w:r>
      <w:proofErr w:type="gramStart"/>
      <w:r w:rsidR="00CE6DF0" w:rsidRPr="00A5648A">
        <w:rPr>
          <w:sz w:val="24"/>
          <w:szCs w:val="24"/>
        </w:rPr>
        <w:t>that</w:t>
      </w:r>
      <w:proofErr w:type="gramEnd"/>
      <w:r w:rsidR="00CE6DF0" w:rsidRPr="00A5648A">
        <w:rPr>
          <w:sz w:val="24"/>
          <w:szCs w:val="24"/>
        </w:rPr>
        <w:t xml:space="preserve"> </w:t>
      </w:r>
    </w:p>
    <w:p w14:paraId="23E68CEC" w14:textId="265E23B0" w:rsidR="006A3556" w:rsidRPr="00A5648A" w:rsidRDefault="00D85144" w:rsidP="00B520EF">
      <w:pPr>
        <w:jc w:val="both"/>
        <w:rPr>
          <w:sz w:val="24"/>
          <w:szCs w:val="24"/>
        </w:rPr>
      </w:pPr>
      <w:r w:rsidRPr="476138D3">
        <w:rPr>
          <w:sz w:val="24"/>
          <w:szCs w:val="24"/>
        </w:rPr>
        <w:t>$13</w:t>
      </w:r>
      <w:r w:rsidR="733BEE62" w:rsidRPr="476138D3">
        <w:rPr>
          <w:sz w:val="24"/>
          <w:szCs w:val="24"/>
        </w:rPr>
        <w:t xml:space="preserve"> </w:t>
      </w:r>
      <w:r w:rsidRPr="476138D3">
        <w:rPr>
          <w:sz w:val="24"/>
          <w:szCs w:val="24"/>
        </w:rPr>
        <w:t>055</w:t>
      </w:r>
      <w:r w:rsidR="1B1413DD" w:rsidRPr="476138D3">
        <w:rPr>
          <w:sz w:val="24"/>
          <w:szCs w:val="24"/>
        </w:rPr>
        <w:t xml:space="preserve"> </w:t>
      </w:r>
      <w:r w:rsidRPr="476138D3">
        <w:rPr>
          <w:sz w:val="24"/>
          <w:szCs w:val="24"/>
        </w:rPr>
        <w:t>695</w:t>
      </w:r>
      <w:r w:rsidR="00B65D36" w:rsidRPr="476138D3">
        <w:rPr>
          <w:sz w:val="24"/>
          <w:szCs w:val="24"/>
        </w:rPr>
        <w:t xml:space="preserve"> </w:t>
      </w:r>
      <w:r w:rsidR="00EC6749" w:rsidRPr="476138D3">
        <w:rPr>
          <w:sz w:val="24"/>
          <w:szCs w:val="24"/>
        </w:rPr>
        <w:t xml:space="preserve">is the amount determined to be the proportion </w:t>
      </w:r>
      <w:r w:rsidR="00056DD0" w:rsidRPr="476138D3">
        <w:rPr>
          <w:sz w:val="24"/>
          <w:szCs w:val="24"/>
        </w:rPr>
        <w:t xml:space="preserve">of the ACMA’s costs for the </w:t>
      </w:r>
      <w:r w:rsidRPr="476138D3">
        <w:rPr>
          <w:sz w:val="24"/>
          <w:szCs w:val="24"/>
        </w:rPr>
        <w:t>2021-2022</w:t>
      </w:r>
      <w:r w:rsidR="00EC6749" w:rsidRPr="476138D3">
        <w:rPr>
          <w:sz w:val="24"/>
          <w:szCs w:val="24"/>
        </w:rPr>
        <w:t xml:space="preserve"> financial year that is attributable to the ACMA’s telecommunications functions and powers</w:t>
      </w:r>
      <w:r w:rsidR="007A3F3B" w:rsidRPr="476138D3">
        <w:rPr>
          <w:sz w:val="24"/>
          <w:szCs w:val="24"/>
        </w:rPr>
        <w:t>.  This amount has been calculated in accordance with accrual-</w:t>
      </w:r>
      <w:r w:rsidR="007A3F3B" w:rsidRPr="476138D3">
        <w:rPr>
          <w:sz w:val="24"/>
          <w:szCs w:val="24"/>
        </w:rPr>
        <w:lastRenderedPageBreak/>
        <w:t xml:space="preserve">based accounting principles in line with the definition of “cost” in subsection 15(4) of the Act.  </w:t>
      </w:r>
    </w:p>
    <w:p w14:paraId="5EB901F7" w14:textId="77777777" w:rsidR="002E3631" w:rsidRPr="00A5648A" w:rsidRDefault="002E3631" w:rsidP="00B520EF">
      <w:pPr>
        <w:ind w:left="765"/>
        <w:jc w:val="both"/>
        <w:rPr>
          <w:sz w:val="24"/>
          <w:szCs w:val="24"/>
        </w:rPr>
      </w:pPr>
    </w:p>
    <w:p w14:paraId="442D0C93" w14:textId="77777777" w:rsidR="00B151FF" w:rsidRPr="00A5648A" w:rsidRDefault="007A3F3B" w:rsidP="00B520EF">
      <w:pPr>
        <w:jc w:val="both"/>
        <w:rPr>
          <w:sz w:val="24"/>
          <w:szCs w:val="24"/>
        </w:rPr>
      </w:pPr>
      <w:r w:rsidRPr="00A5648A">
        <w:rPr>
          <w:sz w:val="24"/>
          <w:szCs w:val="24"/>
        </w:rPr>
        <w:t>For the purpose</w:t>
      </w:r>
      <w:r w:rsidR="008E7A1B" w:rsidRPr="00A5648A">
        <w:rPr>
          <w:sz w:val="24"/>
          <w:szCs w:val="24"/>
        </w:rPr>
        <w:t>s</w:t>
      </w:r>
      <w:r w:rsidR="006A3556" w:rsidRPr="00A5648A">
        <w:rPr>
          <w:sz w:val="24"/>
          <w:szCs w:val="24"/>
        </w:rPr>
        <w:t xml:space="preserve"> of</w:t>
      </w:r>
      <w:r w:rsidR="00D71C0B" w:rsidRPr="00A5648A">
        <w:rPr>
          <w:sz w:val="24"/>
          <w:szCs w:val="24"/>
        </w:rPr>
        <w:t xml:space="preserve"> paragraph 15(1)(c)</w:t>
      </w:r>
      <w:r w:rsidR="006A3556" w:rsidRPr="00A5648A">
        <w:rPr>
          <w:sz w:val="24"/>
          <w:szCs w:val="24"/>
        </w:rPr>
        <w:t xml:space="preserve"> of the Act</w:t>
      </w:r>
      <w:r w:rsidR="00D71C0B" w:rsidRPr="00A5648A">
        <w:rPr>
          <w:sz w:val="24"/>
          <w:szCs w:val="24"/>
        </w:rPr>
        <w:t>,</w:t>
      </w:r>
      <w:r w:rsidR="006A3556" w:rsidRPr="00A5648A">
        <w:rPr>
          <w:sz w:val="24"/>
          <w:szCs w:val="24"/>
        </w:rPr>
        <w:t xml:space="preserve"> the Determination provides </w:t>
      </w:r>
      <w:proofErr w:type="gramStart"/>
      <w:r w:rsidR="006A3556" w:rsidRPr="00A5648A">
        <w:rPr>
          <w:sz w:val="24"/>
          <w:szCs w:val="24"/>
        </w:rPr>
        <w:t>that</w:t>
      </w:r>
      <w:proofErr w:type="gramEnd"/>
      <w:r w:rsidR="00AF5150" w:rsidRPr="00A5648A">
        <w:rPr>
          <w:sz w:val="24"/>
          <w:szCs w:val="24"/>
        </w:rPr>
        <w:t xml:space="preserve"> </w:t>
      </w:r>
    </w:p>
    <w:p w14:paraId="7A8D3E76" w14:textId="45B71F41" w:rsidR="006517B7" w:rsidRPr="00A5648A" w:rsidRDefault="009318D6" w:rsidP="00B520EF">
      <w:pPr>
        <w:jc w:val="both"/>
        <w:rPr>
          <w:sz w:val="24"/>
          <w:szCs w:val="24"/>
        </w:rPr>
      </w:pPr>
      <w:r w:rsidRPr="476138D3">
        <w:rPr>
          <w:sz w:val="24"/>
          <w:szCs w:val="24"/>
        </w:rPr>
        <w:t>$2</w:t>
      </w:r>
      <w:r w:rsidR="513DED38" w:rsidRPr="476138D3">
        <w:rPr>
          <w:sz w:val="24"/>
          <w:szCs w:val="24"/>
        </w:rPr>
        <w:t xml:space="preserve"> </w:t>
      </w:r>
      <w:r w:rsidRPr="476138D3">
        <w:rPr>
          <w:sz w:val="24"/>
          <w:szCs w:val="24"/>
        </w:rPr>
        <w:t>198</w:t>
      </w:r>
      <w:r w:rsidR="1F49CB45" w:rsidRPr="476138D3">
        <w:rPr>
          <w:sz w:val="24"/>
          <w:szCs w:val="24"/>
        </w:rPr>
        <w:t xml:space="preserve"> </w:t>
      </w:r>
      <w:r w:rsidRPr="476138D3">
        <w:rPr>
          <w:sz w:val="24"/>
          <w:szCs w:val="24"/>
        </w:rPr>
        <w:t>407</w:t>
      </w:r>
      <w:r w:rsidR="009A3371" w:rsidRPr="476138D3">
        <w:rPr>
          <w:sz w:val="24"/>
          <w:szCs w:val="24"/>
        </w:rPr>
        <w:t xml:space="preserve"> </w:t>
      </w:r>
      <w:r w:rsidR="007A3F3B" w:rsidRPr="476138D3">
        <w:rPr>
          <w:sz w:val="24"/>
          <w:szCs w:val="24"/>
        </w:rPr>
        <w:t>is the amount determined to be the proportion of the Commonwealth's contribution to th</w:t>
      </w:r>
      <w:r w:rsidR="00056DD0" w:rsidRPr="476138D3">
        <w:rPr>
          <w:sz w:val="24"/>
          <w:szCs w:val="24"/>
        </w:rPr>
        <w:t xml:space="preserve">e budget of the ITU for the </w:t>
      </w:r>
      <w:r w:rsidRPr="476138D3">
        <w:rPr>
          <w:sz w:val="24"/>
          <w:szCs w:val="24"/>
        </w:rPr>
        <w:t xml:space="preserve">2022 </w:t>
      </w:r>
      <w:r w:rsidR="007A3F3B" w:rsidRPr="476138D3">
        <w:rPr>
          <w:sz w:val="24"/>
          <w:szCs w:val="24"/>
        </w:rPr>
        <w:t xml:space="preserve">calendar year that is to be recovered from carriers.  This amount has been calculated by apportioning the Commonwealth’s total contribution to the budget of the ITU for that calendar year between the ITU’s Radiocommunication Sector and Telecommunication Standardisation Sector. </w:t>
      </w:r>
    </w:p>
    <w:p w14:paraId="17A23DFD" w14:textId="77777777" w:rsidR="006517B7" w:rsidRPr="00A5648A" w:rsidRDefault="006517B7" w:rsidP="003E7C2D">
      <w:pPr>
        <w:jc w:val="both"/>
        <w:rPr>
          <w:sz w:val="24"/>
        </w:rPr>
      </w:pPr>
    </w:p>
    <w:p w14:paraId="4630D5F9" w14:textId="1B2A76B2" w:rsidR="002E3631" w:rsidRPr="00A5648A" w:rsidRDefault="00570079" w:rsidP="003E7C2D">
      <w:pPr>
        <w:jc w:val="both"/>
        <w:rPr>
          <w:sz w:val="24"/>
          <w:szCs w:val="24"/>
        </w:rPr>
      </w:pPr>
      <w:r w:rsidRPr="00A5648A">
        <w:rPr>
          <w:sz w:val="24"/>
          <w:szCs w:val="24"/>
        </w:rPr>
        <w:t>For the purpose</w:t>
      </w:r>
      <w:r w:rsidR="008E7A1B" w:rsidRPr="00A5648A">
        <w:rPr>
          <w:sz w:val="24"/>
          <w:szCs w:val="24"/>
        </w:rPr>
        <w:t>s</w:t>
      </w:r>
      <w:r w:rsidRPr="00A5648A">
        <w:rPr>
          <w:sz w:val="24"/>
          <w:szCs w:val="24"/>
        </w:rPr>
        <w:t xml:space="preserve"> of </w:t>
      </w:r>
      <w:r w:rsidR="00B60EA6" w:rsidRPr="00A5648A">
        <w:rPr>
          <w:sz w:val="24"/>
          <w:szCs w:val="24"/>
        </w:rPr>
        <w:t>paragraph 15(</w:t>
      </w:r>
      <w:proofErr w:type="gramStart"/>
      <w:r w:rsidR="00B60EA6" w:rsidRPr="00A5648A">
        <w:rPr>
          <w:sz w:val="24"/>
          <w:szCs w:val="24"/>
        </w:rPr>
        <w:t>1)(</w:t>
      </w:r>
      <w:proofErr w:type="gramEnd"/>
      <w:r w:rsidR="00B60EA6" w:rsidRPr="00A5648A">
        <w:rPr>
          <w:sz w:val="24"/>
          <w:szCs w:val="24"/>
        </w:rPr>
        <w:t>ca)</w:t>
      </w:r>
      <w:r w:rsidRPr="00A5648A">
        <w:rPr>
          <w:sz w:val="24"/>
          <w:szCs w:val="24"/>
        </w:rPr>
        <w:t xml:space="preserve"> of the Act</w:t>
      </w:r>
      <w:r w:rsidR="00B60EA6" w:rsidRPr="00A5648A">
        <w:rPr>
          <w:sz w:val="24"/>
          <w:szCs w:val="24"/>
        </w:rPr>
        <w:t xml:space="preserve">, </w:t>
      </w:r>
      <w:r w:rsidRPr="00A5648A">
        <w:rPr>
          <w:sz w:val="24"/>
          <w:szCs w:val="24"/>
        </w:rPr>
        <w:t xml:space="preserve">the Determination provides that </w:t>
      </w:r>
      <w:r w:rsidR="00B65B00">
        <w:rPr>
          <w:sz w:val="24"/>
          <w:szCs w:val="24"/>
        </w:rPr>
        <w:t>no</w:t>
      </w:r>
      <w:r w:rsidR="00B05CEE">
        <w:rPr>
          <w:sz w:val="24"/>
          <w:szCs w:val="24"/>
        </w:rPr>
        <w:t xml:space="preserve"> </w:t>
      </w:r>
      <w:r w:rsidR="00333097" w:rsidRPr="00A5648A">
        <w:rPr>
          <w:sz w:val="24"/>
          <w:szCs w:val="24"/>
        </w:rPr>
        <w:t>amount</w:t>
      </w:r>
      <w:r w:rsidR="00B65B00">
        <w:rPr>
          <w:sz w:val="24"/>
          <w:szCs w:val="24"/>
        </w:rPr>
        <w:t>s</w:t>
      </w:r>
      <w:r w:rsidR="00333097" w:rsidRPr="00A5648A">
        <w:rPr>
          <w:sz w:val="24"/>
          <w:szCs w:val="24"/>
        </w:rPr>
        <w:t xml:space="preserve"> </w:t>
      </w:r>
      <w:r w:rsidR="00B65B00">
        <w:rPr>
          <w:sz w:val="24"/>
          <w:szCs w:val="24"/>
        </w:rPr>
        <w:t>were</w:t>
      </w:r>
      <w:r w:rsidR="00B05CEE">
        <w:rPr>
          <w:sz w:val="24"/>
          <w:szCs w:val="24"/>
        </w:rPr>
        <w:t xml:space="preserve"> </w:t>
      </w:r>
      <w:r w:rsidR="00052326" w:rsidRPr="00A5648A">
        <w:rPr>
          <w:sz w:val="24"/>
          <w:szCs w:val="24"/>
        </w:rPr>
        <w:t xml:space="preserve">paid under section 136C of the </w:t>
      </w:r>
      <w:r w:rsidR="00052326" w:rsidRPr="00A5648A">
        <w:rPr>
          <w:i/>
          <w:sz w:val="24"/>
          <w:szCs w:val="24"/>
        </w:rPr>
        <w:t xml:space="preserve">Telecommunications Act 1997 </w:t>
      </w:r>
      <w:r w:rsidR="00052326" w:rsidRPr="00A5648A">
        <w:rPr>
          <w:sz w:val="24"/>
          <w:szCs w:val="24"/>
        </w:rPr>
        <w:t>during the</w:t>
      </w:r>
      <w:r w:rsidR="004A0D25" w:rsidRPr="00A5648A">
        <w:rPr>
          <w:sz w:val="24"/>
          <w:szCs w:val="24"/>
        </w:rPr>
        <w:t xml:space="preserve"> </w:t>
      </w:r>
      <w:r w:rsidR="009318D6">
        <w:rPr>
          <w:sz w:val="24"/>
          <w:szCs w:val="24"/>
        </w:rPr>
        <w:t>2021-2022</w:t>
      </w:r>
      <w:r w:rsidR="00A03828" w:rsidRPr="00A5648A">
        <w:rPr>
          <w:sz w:val="24"/>
          <w:szCs w:val="24"/>
        </w:rPr>
        <w:t xml:space="preserve"> </w:t>
      </w:r>
      <w:r w:rsidR="00052326" w:rsidRPr="00A5648A">
        <w:rPr>
          <w:sz w:val="24"/>
          <w:szCs w:val="24"/>
        </w:rPr>
        <w:t>financial year</w:t>
      </w:r>
      <w:r w:rsidR="00333097" w:rsidRPr="00A5648A">
        <w:rPr>
          <w:sz w:val="24"/>
          <w:szCs w:val="24"/>
        </w:rPr>
        <w:t xml:space="preserve">. </w:t>
      </w:r>
    </w:p>
    <w:p w14:paraId="5A8D7ABC" w14:textId="77777777" w:rsidR="003C2A3B" w:rsidRPr="00A5648A" w:rsidRDefault="003C2A3B" w:rsidP="003E7C2D">
      <w:pPr>
        <w:pStyle w:val="ListParagraph"/>
        <w:jc w:val="both"/>
        <w:rPr>
          <w:sz w:val="24"/>
          <w:szCs w:val="24"/>
        </w:rPr>
      </w:pPr>
    </w:p>
    <w:p w14:paraId="00AA70DE" w14:textId="3636929A" w:rsidR="008C74DD" w:rsidRPr="00A5648A" w:rsidRDefault="003C2A3B" w:rsidP="003E7C2D">
      <w:pPr>
        <w:jc w:val="both"/>
        <w:rPr>
          <w:i/>
          <w:sz w:val="24"/>
          <w:szCs w:val="24"/>
        </w:rPr>
      </w:pPr>
      <w:r w:rsidRPr="00A5648A">
        <w:rPr>
          <w:sz w:val="24"/>
          <w:szCs w:val="24"/>
        </w:rPr>
        <w:t>The amounts determined under paragraphs 15(1)(a)</w:t>
      </w:r>
      <w:r w:rsidR="00F22AEA" w:rsidRPr="00A5648A">
        <w:rPr>
          <w:sz w:val="24"/>
          <w:szCs w:val="24"/>
        </w:rPr>
        <w:t xml:space="preserve">, </w:t>
      </w:r>
      <w:r w:rsidRPr="00A5648A">
        <w:rPr>
          <w:sz w:val="24"/>
          <w:szCs w:val="24"/>
        </w:rPr>
        <w:t xml:space="preserve">(c) and (ca) </w:t>
      </w:r>
      <w:r w:rsidR="000D21D9" w:rsidRPr="00A5648A">
        <w:rPr>
          <w:sz w:val="24"/>
          <w:szCs w:val="24"/>
        </w:rPr>
        <w:t xml:space="preserve">of the Act </w:t>
      </w:r>
      <w:r w:rsidRPr="00A5648A">
        <w:rPr>
          <w:sz w:val="24"/>
          <w:szCs w:val="24"/>
        </w:rPr>
        <w:t>are included in the formula that is used to ascertain the amount of charge imposed on a carrier licence</w:t>
      </w:r>
      <w:r w:rsidR="00A77876" w:rsidRPr="00A5648A">
        <w:rPr>
          <w:sz w:val="24"/>
          <w:szCs w:val="24"/>
        </w:rPr>
        <w:t xml:space="preserve"> that was in fo</w:t>
      </w:r>
      <w:r w:rsidR="00056DD0" w:rsidRPr="00A5648A">
        <w:rPr>
          <w:sz w:val="24"/>
          <w:szCs w:val="24"/>
        </w:rPr>
        <w:t xml:space="preserve">rce at the beginning of the </w:t>
      </w:r>
      <w:r w:rsidR="009318D6">
        <w:rPr>
          <w:sz w:val="24"/>
          <w:szCs w:val="24"/>
        </w:rPr>
        <w:t>2022-2023</w:t>
      </w:r>
      <w:r w:rsidR="00A77876" w:rsidRPr="00A5648A">
        <w:rPr>
          <w:sz w:val="24"/>
          <w:szCs w:val="24"/>
        </w:rPr>
        <w:t xml:space="preserve"> financial year,</w:t>
      </w:r>
      <w:r w:rsidRPr="00A5648A">
        <w:rPr>
          <w:sz w:val="24"/>
          <w:szCs w:val="24"/>
        </w:rPr>
        <w:t xml:space="preserve"> </w:t>
      </w:r>
      <w:r w:rsidR="00756A1A" w:rsidRPr="00A5648A">
        <w:rPr>
          <w:sz w:val="24"/>
          <w:szCs w:val="24"/>
        </w:rPr>
        <w:t>in accordance with</w:t>
      </w:r>
      <w:r w:rsidRPr="00A5648A">
        <w:rPr>
          <w:sz w:val="24"/>
          <w:szCs w:val="24"/>
        </w:rPr>
        <w:t xml:space="preserve"> the </w:t>
      </w:r>
      <w:r w:rsidRPr="00A5648A">
        <w:rPr>
          <w:i/>
          <w:sz w:val="24"/>
          <w:szCs w:val="24"/>
        </w:rPr>
        <w:t>Telecommunications Carrier Licence Charge</w:t>
      </w:r>
      <w:r w:rsidR="00A228F9" w:rsidRPr="00A5648A">
        <w:rPr>
          <w:i/>
          <w:sz w:val="24"/>
          <w:szCs w:val="24"/>
        </w:rPr>
        <w:t>s (Annual Charges</w:t>
      </w:r>
      <w:r w:rsidRPr="00A5648A">
        <w:rPr>
          <w:i/>
          <w:sz w:val="24"/>
          <w:szCs w:val="24"/>
        </w:rPr>
        <w:t xml:space="preserve">) Determination </w:t>
      </w:r>
      <w:r w:rsidR="00E033E0" w:rsidRPr="00A5648A">
        <w:rPr>
          <w:i/>
          <w:sz w:val="24"/>
          <w:szCs w:val="24"/>
        </w:rPr>
        <w:t xml:space="preserve">(No. </w:t>
      </w:r>
      <w:r w:rsidR="009318D6">
        <w:rPr>
          <w:i/>
          <w:sz w:val="24"/>
          <w:szCs w:val="24"/>
        </w:rPr>
        <w:t>2</w:t>
      </w:r>
      <w:r w:rsidR="00E033E0" w:rsidRPr="00A5648A">
        <w:rPr>
          <w:i/>
          <w:sz w:val="24"/>
          <w:szCs w:val="24"/>
        </w:rPr>
        <w:t xml:space="preserve">) </w:t>
      </w:r>
      <w:r w:rsidRPr="00A5648A">
        <w:rPr>
          <w:i/>
          <w:sz w:val="24"/>
          <w:szCs w:val="24"/>
        </w:rPr>
        <w:t>20</w:t>
      </w:r>
      <w:r w:rsidR="00E033E0" w:rsidRPr="00A5648A">
        <w:rPr>
          <w:i/>
          <w:sz w:val="24"/>
          <w:szCs w:val="24"/>
        </w:rPr>
        <w:t>2</w:t>
      </w:r>
      <w:r w:rsidR="00221E3A">
        <w:rPr>
          <w:i/>
          <w:sz w:val="24"/>
          <w:szCs w:val="24"/>
        </w:rPr>
        <w:t>3</w:t>
      </w:r>
      <w:r w:rsidR="00253641" w:rsidRPr="00A5648A">
        <w:rPr>
          <w:i/>
          <w:sz w:val="24"/>
          <w:szCs w:val="24"/>
        </w:rPr>
        <w:t xml:space="preserve"> </w:t>
      </w:r>
      <w:r w:rsidR="00253641" w:rsidRPr="00A5648A">
        <w:rPr>
          <w:sz w:val="24"/>
          <w:szCs w:val="24"/>
        </w:rPr>
        <w:t xml:space="preserve">(the </w:t>
      </w:r>
      <w:r w:rsidR="00253641" w:rsidRPr="00A5648A">
        <w:rPr>
          <w:b/>
          <w:bCs/>
          <w:sz w:val="24"/>
          <w:szCs w:val="24"/>
        </w:rPr>
        <w:t>ACLC Determination</w:t>
      </w:r>
      <w:r w:rsidR="00253641" w:rsidRPr="00A5648A">
        <w:rPr>
          <w:sz w:val="24"/>
          <w:szCs w:val="24"/>
        </w:rPr>
        <w:t>)</w:t>
      </w:r>
      <w:r w:rsidRPr="00A5648A">
        <w:rPr>
          <w:i/>
          <w:sz w:val="24"/>
          <w:szCs w:val="24"/>
        </w:rPr>
        <w:t>.</w:t>
      </w:r>
    </w:p>
    <w:p w14:paraId="07E070B2" w14:textId="77777777" w:rsidR="00D858C2" w:rsidRPr="00A5648A" w:rsidRDefault="00D858C2" w:rsidP="003E7C2D">
      <w:pPr>
        <w:jc w:val="both"/>
        <w:rPr>
          <w:i/>
          <w:sz w:val="24"/>
          <w:szCs w:val="24"/>
        </w:rPr>
      </w:pPr>
    </w:p>
    <w:p w14:paraId="48500D11" w14:textId="34685365" w:rsidR="00D858C2" w:rsidRPr="00A5648A" w:rsidRDefault="00D858C2" w:rsidP="003E7C2D">
      <w:pPr>
        <w:jc w:val="both"/>
        <w:rPr>
          <w:sz w:val="24"/>
          <w:szCs w:val="24"/>
        </w:rPr>
      </w:pPr>
      <w:r w:rsidRPr="00A5648A">
        <w:rPr>
          <w:sz w:val="24"/>
          <w:szCs w:val="24"/>
        </w:rPr>
        <w:t xml:space="preserve">A provision-by-provision description of the </w:t>
      </w:r>
      <w:r w:rsidR="000A6435" w:rsidRPr="00A5648A">
        <w:rPr>
          <w:sz w:val="24"/>
          <w:szCs w:val="24"/>
        </w:rPr>
        <w:t xml:space="preserve">Determination </w:t>
      </w:r>
      <w:r w:rsidRPr="00A5648A">
        <w:rPr>
          <w:sz w:val="24"/>
          <w:szCs w:val="24"/>
        </w:rPr>
        <w:t xml:space="preserve">is set out in the notes in </w:t>
      </w:r>
      <w:r w:rsidRPr="00A5648A">
        <w:rPr>
          <w:b/>
          <w:bCs/>
          <w:sz w:val="24"/>
          <w:szCs w:val="24"/>
        </w:rPr>
        <w:t xml:space="preserve">Attachment </w:t>
      </w:r>
      <w:r w:rsidR="00944648" w:rsidRPr="00A5648A">
        <w:rPr>
          <w:b/>
          <w:bCs/>
          <w:sz w:val="24"/>
          <w:szCs w:val="24"/>
        </w:rPr>
        <w:t>A</w:t>
      </w:r>
      <w:r w:rsidRPr="00A5648A">
        <w:rPr>
          <w:sz w:val="24"/>
          <w:szCs w:val="24"/>
        </w:rPr>
        <w:t>.</w:t>
      </w:r>
    </w:p>
    <w:p w14:paraId="42122C0D" w14:textId="77777777" w:rsidR="00D858C2" w:rsidRPr="00A5648A" w:rsidRDefault="00D858C2" w:rsidP="003E7C2D">
      <w:pPr>
        <w:jc w:val="both"/>
        <w:rPr>
          <w:sz w:val="24"/>
          <w:szCs w:val="24"/>
        </w:rPr>
      </w:pPr>
    </w:p>
    <w:p w14:paraId="42CCD3FD" w14:textId="5FF28914" w:rsidR="00D858C2" w:rsidRPr="00A5648A" w:rsidRDefault="00D858C2" w:rsidP="003E7C2D">
      <w:pPr>
        <w:jc w:val="both"/>
        <w:rPr>
          <w:sz w:val="24"/>
          <w:szCs w:val="24"/>
        </w:rPr>
      </w:pPr>
      <w:r w:rsidRPr="00A5648A">
        <w:rPr>
          <w:sz w:val="24"/>
        </w:rPr>
        <w:t xml:space="preserve">The Determination is a </w:t>
      </w:r>
      <w:r w:rsidR="007D7135" w:rsidRPr="00A5648A">
        <w:rPr>
          <w:sz w:val="24"/>
        </w:rPr>
        <w:t xml:space="preserve">disallowable </w:t>
      </w:r>
      <w:r w:rsidRPr="00A5648A">
        <w:rPr>
          <w:sz w:val="24"/>
        </w:rPr>
        <w:t xml:space="preserve">legislative instrument under the </w:t>
      </w:r>
      <w:r w:rsidRPr="00A5648A">
        <w:rPr>
          <w:i/>
          <w:sz w:val="24"/>
        </w:rPr>
        <w:t xml:space="preserve">Legislation Act 2003 </w:t>
      </w:r>
      <w:r w:rsidRPr="00A5648A">
        <w:rPr>
          <w:sz w:val="24"/>
        </w:rPr>
        <w:t xml:space="preserve">(the </w:t>
      </w:r>
      <w:r w:rsidRPr="00A5648A">
        <w:rPr>
          <w:b/>
          <w:bCs/>
          <w:sz w:val="24"/>
        </w:rPr>
        <w:t>LA</w:t>
      </w:r>
      <w:r w:rsidRPr="00A5648A">
        <w:rPr>
          <w:sz w:val="24"/>
        </w:rPr>
        <w:t>)</w:t>
      </w:r>
      <w:r w:rsidRPr="00A5648A">
        <w:rPr>
          <w:i/>
          <w:sz w:val="24"/>
        </w:rPr>
        <w:t>.</w:t>
      </w:r>
    </w:p>
    <w:p w14:paraId="4EEC7731" w14:textId="61A1D541" w:rsidR="0023031B" w:rsidRPr="00A5648A" w:rsidRDefault="00F5013B" w:rsidP="00FE27C3">
      <w:pPr>
        <w:keepNext/>
        <w:suppressAutoHyphens/>
        <w:spacing w:before="240" w:after="240"/>
        <w:jc w:val="both"/>
        <w:outlineLvl w:val="3"/>
        <w:rPr>
          <w:b/>
          <w:sz w:val="24"/>
          <w:lang w:val="en-US"/>
        </w:rPr>
      </w:pPr>
      <w:r w:rsidRPr="00A5648A">
        <w:rPr>
          <w:b/>
          <w:sz w:val="24"/>
          <w:lang w:val="en-US"/>
        </w:rPr>
        <w:t xml:space="preserve">Documents incorporated by </w:t>
      </w:r>
      <w:proofErr w:type="gramStart"/>
      <w:r w:rsidRPr="00A5648A">
        <w:rPr>
          <w:b/>
          <w:sz w:val="24"/>
          <w:lang w:val="en-US"/>
        </w:rPr>
        <w:t>reference</w:t>
      </w:r>
      <w:proofErr w:type="gramEnd"/>
    </w:p>
    <w:p w14:paraId="28C2496E" w14:textId="61C6F0FC" w:rsidR="000A6435" w:rsidRPr="00A5648A" w:rsidRDefault="000A6435" w:rsidP="003464CB">
      <w:pPr>
        <w:spacing w:line="259" w:lineRule="auto"/>
        <w:jc w:val="both"/>
        <w:rPr>
          <w:sz w:val="24"/>
          <w:szCs w:val="24"/>
        </w:rPr>
      </w:pPr>
      <w:r w:rsidRPr="00A5648A">
        <w:rPr>
          <w:sz w:val="24"/>
          <w:szCs w:val="24"/>
        </w:rPr>
        <w:t>The Determination incorporates the following Acts (including by the adoption of definitions), or otherwise refers to them:</w:t>
      </w:r>
    </w:p>
    <w:p w14:paraId="2817D794" w14:textId="77777777" w:rsidR="000A6435" w:rsidRPr="00A5648A" w:rsidRDefault="000A6435" w:rsidP="003464CB">
      <w:pPr>
        <w:spacing w:line="259" w:lineRule="auto"/>
        <w:jc w:val="both"/>
        <w:rPr>
          <w:sz w:val="24"/>
          <w:szCs w:val="24"/>
        </w:rPr>
      </w:pPr>
    </w:p>
    <w:p w14:paraId="6534C050" w14:textId="77777777" w:rsidR="000A6435" w:rsidRPr="00A5648A" w:rsidRDefault="000A6435" w:rsidP="00B520EF">
      <w:pPr>
        <w:pStyle w:val="Heading3"/>
        <w:numPr>
          <w:ilvl w:val="0"/>
          <w:numId w:val="10"/>
        </w:numPr>
        <w:tabs>
          <w:tab w:val="num" w:pos="360"/>
        </w:tabs>
        <w:ind w:left="0" w:firstLine="0"/>
        <w:jc w:val="both"/>
      </w:pPr>
      <w:r w:rsidRPr="00A5648A">
        <w:rPr>
          <w:szCs w:val="24"/>
        </w:rPr>
        <w:t>the Act</w:t>
      </w:r>
    </w:p>
    <w:p w14:paraId="4BAC4F7A" w14:textId="67986607" w:rsidR="000A6435" w:rsidRPr="00A5648A" w:rsidRDefault="000A6435" w:rsidP="00B520EF">
      <w:pPr>
        <w:pStyle w:val="Heading3"/>
        <w:numPr>
          <w:ilvl w:val="0"/>
          <w:numId w:val="10"/>
        </w:numPr>
        <w:tabs>
          <w:tab w:val="num" w:pos="360"/>
        </w:tabs>
        <w:ind w:left="0" w:firstLine="0"/>
        <w:jc w:val="both"/>
        <w:rPr>
          <w:szCs w:val="24"/>
        </w:rPr>
      </w:pPr>
      <w:r w:rsidRPr="00A5648A">
        <w:rPr>
          <w:szCs w:val="24"/>
          <w:lang w:val="en-US"/>
        </w:rPr>
        <w:t xml:space="preserve">the </w:t>
      </w:r>
      <w:r w:rsidRPr="00A5648A">
        <w:rPr>
          <w:i/>
          <w:iCs/>
          <w:szCs w:val="24"/>
          <w:lang w:val="en-US"/>
        </w:rPr>
        <w:t xml:space="preserve">Telecommunications Act 1997. </w:t>
      </w:r>
    </w:p>
    <w:p w14:paraId="2C71D172" w14:textId="77777777" w:rsidR="000A6435" w:rsidRPr="00A5648A" w:rsidRDefault="000A6435" w:rsidP="00B520EF">
      <w:pPr>
        <w:jc w:val="both"/>
        <w:rPr>
          <w:sz w:val="24"/>
          <w:szCs w:val="24"/>
          <w:lang w:val="en-US"/>
        </w:rPr>
      </w:pPr>
    </w:p>
    <w:p w14:paraId="257CE000" w14:textId="1A7E4141" w:rsidR="000A6435" w:rsidRPr="00A5648A" w:rsidRDefault="000A6435" w:rsidP="003464CB">
      <w:pPr>
        <w:spacing w:line="259" w:lineRule="auto"/>
        <w:jc w:val="both"/>
        <w:rPr>
          <w:sz w:val="24"/>
          <w:szCs w:val="24"/>
        </w:rPr>
      </w:pPr>
      <w:r w:rsidRPr="00A5648A">
        <w:rPr>
          <w:sz w:val="24"/>
          <w:szCs w:val="24"/>
        </w:rPr>
        <w:t xml:space="preserve">The Acts listed above may be accessed, free of charge, from the Federal Register of Legislation (http://www.legislation.gov.au).  The Acts listed above are incorporated as in force from time to time, in accordance with section 10 of the </w:t>
      </w:r>
      <w:r w:rsidRPr="00A5648A">
        <w:rPr>
          <w:i/>
          <w:sz w:val="24"/>
          <w:szCs w:val="24"/>
        </w:rPr>
        <w:t>Acts Interpretation Act 1901</w:t>
      </w:r>
      <w:r w:rsidRPr="00A5648A">
        <w:rPr>
          <w:sz w:val="24"/>
          <w:szCs w:val="24"/>
        </w:rPr>
        <w:t xml:space="preserve"> and subsection 13(1) of the LA. </w:t>
      </w:r>
    </w:p>
    <w:p w14:paraId="519C8ED0" w14:textId="77777777" w:rsidR="00AF01DB" w:rsidRPr="00A5648A" w:rsidRDefault="00AF01DB" w:rsidP="00B520EF">
      <w:pPr>
        <w:jc w:val="both"/>
        <w:rPr>
          <w:b/>
          <w:sz w:val="24"/>
          <w:szCs w:val="24"/>
        </w:rPr>
      </w:pPr>
    </w:p>
    <w:p w14:paraId="7E1FA8CF" w14:textId="77777777" w:rsidR="00AF01DB" w:rsidRPr="00A5648A" w:rsidRDefault="00AF01DB" w:rsidP="00B520EF">
      <w:pPr>
        <w:jc w:val="both"/>
        <w:rPr>
          <w:b/>
          <w:sz w:val="24"/>
          <w:szCs w:val="24"/>
        </w:rPr>
      </w:pPr>
      <w:r w:rsidRPr="00A5648A">
        <w:rPr>
          <w:b/>
          <w:sz w:val="24"/>
          <w:szCs w:val="24"/>
        </w:rPr>
        <w:t>Consultation</w:t>
      </w:r>
    </w:p>
    <w:p w14:paraId="7974DA71" w14:textId="2563B7BC" w:rsidR="00D858C2" w:rsidRPr="00A5648A" w:rsidRDefault="00D858C2" w:rsidP="00B520EF">
      <w:pPr>
        <w:jc w:val="both"/>
        <w:rPr>
          <w:sz w:val="24"/>
          <w:szCs w:val="24"/>
        </w:rPr>
      </w:pPr>
    </w:p>
    <w:p w14:paraId="2E526A17" w14:textId="1A317295" w:rsidR="00D858C2" w:rsidRPr="00A5648A" w:rsidRDefault="00D858C2" w:rsidP="00B520EF">
      <w:pPr>
        <w:jc w:val="both"/>
        <w:rPr>
          <w:sz w:val="24"/>
          <w:szCs w:val="24"/>
        </w:rPr>
      </w:pPr>
      <w:r w:rsidRPr="00A5648A">
        <w:rPr>
          <w:sz w:val="24"/>
          <w:szCs w:val="24"/>
        </w:rPr>
        <w:t>Before the Determination was made, the ACMA was satisfied that consultation was undertaken to the extent appropriate and reasonably practicable, in accordance with section 17 of the LA.</w:t>
      </w:r>
    </w:p>
    <w:p w14:paraId="2ABCAE0D" w14:textId="77777777" w:rsidR="00D858C2" w:rsidRPr="00A5648A" w:rsidRDefault="00D858C2" w:rsidP="003E7C2D">
      <w:pPr>
        <w:jc w:val="both"/>
        <w:rPr>
          <w:sz w:val="24"/>
          <w:szCs w:val="24"/>
        </w:rPr>
      </w:pPr>
    </w:p>
    <w:p w14:paraId="75C05415" w14:textId="7BF9A52F" w:rsidR="002A778B" w:rsidRPr="00A5648A" w:rsidRDefault="002A778B" w:rsidP="003E7C2D">
      <w:pPr>
        <w:jc w:val="both"/>
        <w:rPr>
          <w:sz w:val="24"/>
          <w:szCs w:val="24"/>
        </w:rPr>
      </w:pPr>
      <w:r w:rsidRPr="00A5648A">
        <w:rPr>
          <w:sz w:val="24"/>
          <w:szCs w:val="24"/>
        </w:rPr>
        <w:t>The ACMA consulted with</w:t>
      </w:r>
      <w:r w:rsidR="00C55C0C" w:rsidRPr="00A5648A">
        <w:rPr>
          <w:sz w:val="24"/>
          <w:szCs w:val="24"/>
        </w:rPr>
        <w:t xml:space="preserve"> the public and</w:t>
      </w:r>
      <w:r w:rsidRPr="00A5648A">
        <w:rPr>
          <w:sz w:val="24"/>
          <w:szCs w:val="24"/>
        </w:rPr>
        <w:t xml:space="preserve"> industry stakeholders on the making of the instrument for a </w:t>
      </w:r>
      <w:r w:rsidR="009318D6">
        <w:rPr>
          <w:sz w:val="24"/>
          <w:szCs w:val="24"/>
        </w:rPr>
        <w:t>four</w:t>
      </w:r>
      <w:r w:rsidRPr="00A5648A">
        <w:rPr>
          <w:sz w:val="24"/>
          <w:szCs w:val="24"/>
        </w:rPr>
        <w:t xml:space="preserve">-week period </w:t>
      </w:r>
      <w:r w:rsidR="00A46E14" w:rsidRPr="00A5648A">
        <w:rPr>
          <w:sz w:val="24"/>
          <w:szCs w:val="24"/>
        </w:rPr>
        <w:t xml:space="preserve">from </w:t>
      </w:r>
      <w:r w:rsidR="009318D6">
        <w:rPr>
          <w:sz w:val="24"/>
          <w:szCs w:val="24"/>
        </w:rPr>
        <w:t>18 September</w:t>
      </w:r>
      <w:r w:rsidR="00116ED8">
        <w:rPr>
          <w:sz w:val="24"/>
          <w:szCs w:val="24"/>
        </w:rPr>
        <w:t xml:space="preserve"> 2023</w:t>
      </w:r>
      <w:r w:rsidR="009318D6">
        <w:rPr>
          <w:sz w:val="24"/>
          <w:szCs w:val="24"/>
        </w:rPr>
        <w:t xml:space="preserve"> to 16 October</w:t>
      </w:r>
      <w:r w:rsidR="00116ED8">
        <w:rPr>
          <w:sz w:val="24"/>
          <w:szCs w:val="24"/>
        </w:rPr>
        <w:t xml:space="preserve"> 2023</w:t>
      </w:r>
      <w:r w:rsidRPr="00A5648A">
        <w:rPr>
          <w:sz w:val="24"/>
          <w:szCs w:val="24"/>
        </w:rPr>
        <w:t>.  The consultation was facilitated through the</w:t>
      </w:r>
      <w:r w:rsidR="00BE1CF8" w:rsidRPr="00A5648A">
        <w:rPr>
          <w:sz w:val="24"/>
          <w:szCs w:val="24"/>
        </w:rPr>
        <w:t xml:space="preserve"> public</w:t>
      </w:r>
      <w:r w:rsidRPr="00A5648A">
        <w:rPr>
          <w:sz w:val="24"/>
          <w:szCs w:val="24"/>
        </w:rPr>
        <w:t xml:space="preserve"> release of a consultation paper and a </w:t>
      </w:r>
      <w:r w:rsidRPr="00A5648A">
        <w:rPr>
          <w:sz w:val="24"/>
          <w:szCs w:val="24"/>
        </w:rPr>
        <w:lastRenderedPageBreak/>
        <w:t>draft cost recovery implementation statement</w:t>
      </w:r>
      <w:r w:rsidR="001C1170" w:rsidRPr="00A5648A">
        <w:rPr>
          <w:sz w:val="24"/>
          <w:szCs w:val="24"/>
        </w:rPr>
        <w:t xml:space="preserve"> (</w:t>
      </w:r>
      <w:r w:rsidR="001C1170" w:rsidRPr="00A5648A">
        <w:rPr>
          <w:b/>
          <w:bCs/>
          <w:sz w:val="24"/>
          <w:szCs w:val="24"/>
        </w:rPr>
        <w:t>CRIS</w:t>
      </w:r>
      <w:r w:rsidR="001C1170" w:rsidRPr="00A5648A">
        <w:rPr>
          <w:sz w:val="24"/>
          <w:szCs w:val="24"/>
        </w:rPr>
        <w:t>)</w:t>
      </w:r>
      <w:r w:rsidRPr="00A5648A">
        <w:rPr>
          <w:sz w:val="24"/>
          <w:szCs w:val="24"/>
        </w:rPr>
        <w:t xml:space="preserve"> on the ACMA’s website.</w:t>
      </w:r>
      <w:r w:rsidR="001C1170" w:rsidRPr="00A5648A">
        <w:rPr>
          <w:sz w:val="24"/>
          <w:szCs w:val="24"/>
        </w:rPr>
        <w:t xml:space="preserve"> The CRIS and consultation paper outlined </w:t>
      </w:r>
      <w:r w:rsidR="00F540F4" w:rsidRPr="00A5648A">
        <w:rPr>
          <w:sz w:val="24"/>
          <w:szCs w:val="24"/>
        </w:rPr>
        <w:t>that the Determination would specify the costs referred to in paragraphs 15(1)(a), (c) and (ca)</w:t>
      </w:r>
      <w:r w:rsidR="00AA6154" w:rsidRPr="00A5648A">
        <w:rPr>
          <w:sz w:val="24"/>
          <w:szCs w:val="24"/>
        </w:rPr>
        <w:t xml:space="preserve"> of the Act</w:t>
      </w:r>
      <w:r w:rsidR="00F540F4" w:rsidRPr="00A5648A">
        <w:rPr>
          <w:sz w:val="24"/>
          <w:szCs w:val="24"/>
        </w:rPr>
        <w:t xml:space="preserve">. </w:t>
      </w:r>
    </w:p>
    <w:p w14:paraId="6E66A675" w14:textId="77777777" w:rsidR="002A778B" w:rsidRPr="00A5648A" w:rsidRDefault="002A778B" w:rsidP="003E7C2D">
      <w:pPr>
        <w:jc w:val="both"/>
        <w:rPr>
          <w:sz w:val="24"/>
          <w:szCs w:val="24"/>
        </w:rPr>
      </w:pPr>
    </w:p>
    <w:p w14:paraId="4275A640" w14:textId="004E0F48" w:rsidR="00AF01DB" w:rsidRPr="00A5648A" w:rsidRDefault="00914073" w:rsidP="003E7C2D">
      <w:pPr>
        <w:jc w:val="both"/>
        <w:rPr>
          <w:sz w:val="24"/>
          <w:szCs w:val="24"/>
        </w:rPr>
      </w:pPr>
      <w:r w:rsidRPr="00914073">
        <w:rPr>
          <w:sz w:val="24"/>
          <w:szCs w:val="24"/>
        </w:rPr>
        <w:t xml:space="preserve">No submissions were received in response to the consultation.   </w:t>
      </w:r>
      <w:r w:rsidR="002A778B" w:rsidRPr="00A5648A">
        <w:rPr>
          <w:sz w:val="24"/>
          <w:szCs w:val="24"/>
        </w:rPr>
        <w:t xml:space="preserve">  </w:t>
      </w:r>
    </w:p>
    <w:p w14:paraId="2FDD839A" w14:textId="77777777" w:rsidR="00F5013B" w:rsidRPr="00A5648A" w:rsidRDefault="00F5013B" w:rsidP="00301975">
      <w:pPr>
        <w:rPr>
          <w:b/>
          <w:sz w:val="24"/>
          <w:szCs w:val="24"/>
        </w:rPr>
      </w:pPr>
    </w:p>
    <w:p w14:paraId="292401E2" w14:textId="020FFF58" w:rsidR="00F5013B" w:rsidRPr="00A5648A" w:rsidRDefault="00F5013B" w:rsidP="00032200">
      <w:pPr>
        <w:keepNext/>
        <w:jc w:val="both"/>
        <w:rPr>
          <w:b/>
          <w:sz w:val="24"/>
          <w:szCs w:val="24"/>
        </w:rPr>
      </w:pPr>
      <w:r w:rsidRPr="00A5648A">
        <w:rPr>
          <w:b/>
          <w:sz w:val="24"/>
          <w:szCs w:val="24"/>
        </w:rPr>
        <w:t>Regulation Impact Statement</w:t>
      </w:r>
    </w:p>
    <w:p w14:paraId="65690009" w14:textId="77777777" w:rsidR="00F5013B" w:rsidRPr="00A5648A" w:rsidRDefault="00F5013B" w:rsidP="00032200">
      <w:pPr>
        <w:keepNext/>
        <w:jc w:val="both"/>
        <w:rPr>
          <w:sz w:val="24"/>
          <w:szCs w:val="24"/>
        </w:rPr>
      </w:pPr>
    </w:p>
    <w:p w14:paraId="0833374F" w14:textId="2C8BDEC5" w:rsidR="00F5013B" w:rsidRPr="00A5648A" w:rsidRDefault="00F5013B" w:rsidP="003E7C2D">
      <w:pPr>
        <w:jc w:val="both"/>
        <w:rPr>
          <w:sz w:val="24"/>
          <w:szCs w:val="24"/>
        </w:rPr>
      </w:pPr>
      <w:r w:rsidRPr="00A5648A">
        <w:rPr>
          <w:sz w:val="24"/>
          <w:szCs w:val="24"/>
        </w:rPr>
        <w:t xml:space="preserve">On 19 February 2014, the Office of Best Practice Regulation provided a standing exemption and advised that a Regulation Impact Statement was not required for </w:t>
      </w:r>
      <w:r w:rsidR="00F4215C" w:rsidRPr="00A5648A">
        <w:rPr>
          <w:sz w:val="24"/>
          <w:szCs w:val="24"/>
        </w:rPr>
        <w:t xml:space="preserve">an instrument in the nature of </w:t>
      </w:r>
      <w:r w:rsidRPr="00A5648A">
        <w:rPr>
          <w:sz w:val="24"/>
          <w:szCs w:val="24"/>
        </w:rPr>
        <w:t>the Determination (reference number ID 2014/16581).</w:t>
      </w:r>
    </w:p>
    <w:p w14:paraId="11D31853" w14:textId="4F3312CB" w:rsidR="000026C6" w:rsidRPr="00A5648A" w:rsidDel="00E064DC" w:rsidRDefault="006B2234" w:rsidP="003E7C2D">
      <w:pPr>
        <w:pStyle w:val="ACMABodyText"/>
        <w:keepNext/>
        <w:spacing w:before="240" w:after="0"/>
        <w:jc w:val="both"/>
        <w:rPr>
          <w:b/>
          <w:snapToGrid/>
          <w:lang w:val="en-US"/>
        </w:rPr>
      </w:pPr>
      <w:r w:rsidRPr="00A5648A" w:rsidDel="00E064DC">
        <w:rPr>
          <w:b/>
          <w:snapToGrid/>
          <w:lang w:val="en-US"/>
        </w:rPr>
        <w:t>Statement of Compatibility with Human Rights</w:t>
      </w:r>
    </w:p>
    <w:p w14:paraId="6A58E1FF" w14:textId="7564D786" w:rsidR="000026C6" w:rsidRPr="00A5648A" w:rsidDel="00E064DC" w:rsidRDefault="000026C6" w:rsidP="003E7C2D">
      <w:pPr>
        <w:pStyle w:val="ACMABodyTextChar"/>
        <w:spacing w:before="0" w:after="0"/>
        <w:jc w:val="both"/>
      </w:pPr>
    </w:p>
    <w:p w14:paraId="075E8074" w14:textId="51CCF75B" w:rsidR="00324B21" w:rsidRPr="00A5648A" w:rsidRDefault="00324B21" w:rsidP="003E7C2D">
      <w:pPr>
        <w:pStyle w:val="ACMABodyText"/>
        <w:jc w:val="both"/>
        <w:rPr>
          <w:szCs w:val="24"/>
        </w:rPr>
      </w:pPr>
      <w:r w:rsidRPr="00A5648A">
        <w:rPr>
          <w:szCs w:val="24"/>
        </w:rPr>
        <w:t xml:space="preserve">Subsection 9(1) of the </w:t>
      </w:r>
      <w:r w:rsidRPr="00A5648A">
        <w:rPr>
          <w:i/>
          <w:iCs/>
          <w:szCs w:val="24"/>
        </w:rPr>
        <w:t>Human Rights (Parliamentary Scrutiny) Act 2011</w:t>
      </w:r>
      <w:r w:rsidRPr="00A5648A">
        <w:rPr>
          <w:szCs w:val="24"/>
        </w:rPr>
        <w:t xml:space="preserve"> requires the rule maker in relation to a legislative instrument to which section 42 (disallowance) of the </w:t>
      </w:r>
      <w:r w:rsidR="00F5013B" w:rsidRPr="00A5648A">
        <w:rPr>
          <w:szCs w:val="24"/>
        </w:rPr>
        <w:t>LA</w:t>
      </w:r>
      <w:r w:rsidRPr="00A5648A">
        <w:rPr>
          <w:iCs/>
          <w:szCs w:val="24"/>
        </w:rPr>
        <w:t xml:space="preserve"> </w:t>
      </w:r>
      <w:r w:rsidRPr="00A5648A">
        <w:rPr>
          <w:szCs w:val="24"/>
        </w:rPr>
        <w:t xml:space="preserve">applies to cause a statement of compatibility with human rights to be prepared in respect of that legislative instrument. </w:t>
      </w:r>
    </w:p>
    <w:p w14:paraId="78E5C6CE" w14:textId="0CEDFD9E" w:rsidR="00F5013B" w:rsidRPr="00A5648A" w:rsidRDefault="00F4215C" w:rsidP="003E7C2D">
      <w:pPr>
        <w:pStyle w:val="ACMABodyTextChar"/>
        <w:spacing w:before="0" w:after="0" w:line="240" w:lineRule="auto"/>
        <w:jc w:val="both"/>
      </w:pPr>
      <w:r w:rsidRPr="00A5648A">
        <w:t>The</w:t>
      </w:r>
      <w:r w:rsidR="000026C6" w:rsidRPr="00A5648A" w:rsidDel="00E064DC">
        <w:t xml:space="preserve"> statement of compatibility with human rights </w:t>
      </w:r>
      <w:r w:rsidR="00F5013B" w:rsidRPr="00A5648A">
        <w:t xml:space="preserve">set out </w:t>
      </w:r>
      <w:r w:rsidR="00AB70C2" w:rsidRPr="00A5648A">
        <w:t xml:space="preserve">in </w:t>
      </w:r>
      <w:r w:rsidR="00AB70C2" w:rsidRPr="00A5648A">
        <w:rPr>
          <w:b/>
          <w:bCs/>
        </w:rPr>
        <w:t>Attachment B</w:t>
      </w:r>
      <w:r w:rsidR="00AB70C2" w:rsidRPr="00A5648A">
        <w:t xml:space="preserve"> </w:t>
      </w:r>
      <w:r w:rsidR="00F5013B" w:rsidRPr="00A5648A">
        <w:t>has been prepared to meet that requirement.</w:t>
      </w:r>
    </w:p>
    <w:p w14:paraId="5CE9A1FC" w14:textId="77777777" w:rsidR="00465E51" w:rsidRPr="00A5648A" w:rsidRDefault="00465E51" w:rsidP="003E7C2D">
      <w:pPr>
        <w:pStyle w:val="ACMABodyTextChar"/>
        <w:spacing w:before="0" w:after="0" w:line="240" w:lineRule="auto"/>
        <w:jc w:val="both"/>
      </w:pPr>
    </w:p>
    <w:p w14:paraId="42BAF7E7" w14:textId="77777777" w:rsidR="00F5013B" w:rsidRPr="00A5648A" w:rsidRDefault="00F5013B" w:rsidP="00733590">
      <w:pPr>
        <w:pStyle w:val="ACMABodyTextChar"/>
        <w:spacing w:before="0"/>
      </w:pPr>
    </w:p>
    <w:p w14:paraId="3567D783" w14:textId="77777777" w:rsidR="00CF09C8" w:rsidRDefault="00CF09C8" w:rsidP="00733590">
      <w:pPr>
        <w:pStyle w:val="ACMABodyTextChar"/>
        <w:spacing w:before="0"/>
      </w:pPr>
    </w:p>
    <w:p w14:paraId="1F8553FD" w14:textId="77777777" w:rsidR="00CF09C8" w:rsidRDefault="00CF09C8" w:rsidP="00733590">
      <w:pPr>
        <w:pStyle w:val="ACMABodyTextChar"/>
        <w:spacing w:before="0"/>
      </w:pPr>
    </w:p>
    <w:p w14:paraId="5BCBC1DC" w14:textId="77777777" w:rsidR="00CF09C8" w:rsidRDefault="00CF09C8" w:rsidP="00733590">
      <w:pPr>
        <w:pStyle w:val="ACMABodyTextChar"/>
        <w:spacing w:before="0"/>
      </w:pPr>
    </w:p>
    <w:p w14:paraId="5902924F" w14:textId="77777777" w:rsidR="00CF09C8" w:rsidRDefault="00CF09C8" w:rsidP="00733590">
      <w:pPr>
        <w:pStyle w:val="ACMABodyTextChar"/>
        <w:spacing w:before="0"/>
      </w:pPr>
    </w:p>
    <w:p w14:paraId="64E82A61" w14:textId="31C12A0B" w:rsidR="00750203" w:rsidRDefault="00750203" w:rsidP="00CF09C8">
      <w:pPr>
        <w:pStyle w:val="ACMABodyTextChar"/>
        <w:spacing w:before="0"/>
        <w:rPr>
          <w:sz w:val="18"/>
          <w:szCs w:val="18"/>
        </w:rPr>
      </w:pPr>
    </w:p>
    <w:p w14:paraId="14D1DE8F" w14:textId="77777777" w:rsidR="00750203" w:rsidRPr="00A5648A" w:rsidDel="00E064DC" w:rsidRDefault="00750203" w:rsidP="00CF09C8">
      <w:pPr>
        <w:pStyle w:val="ACMABodyTextChar"/>
        <w:spacing w:before="0"/>
      </w:pPr>
    </w:p>
    <w:p w14:paraId="0F3F03FE" w14:textId="061223E4" w:rsidR="00333097" w:rsidRPr="00A5648A" w:rsidRDefault="00333097">
      <w:pPr>
        <w:jc w:val="right"/>
        <w:rPr>
          <w:rFonts w:ascii="Times" w:hAnsi="Times"/>
          <w:sz w:val="24"/>
          <w:szCs w:val="24"/>
        </w:rPr>
      </w:pPr>
      <w:r w:rsidRPr="00A5648A">
        <w:br w:type="page"/>
      </w:r>
      <w:r w:rsidRPr="00A5648A">
        <w:rPr>
          <w:rFonts w:ascii="Times" w:hAnsi="Times"/>
          <w:b/>
          <w:sz w:val="24"/>
          <w:szCs w:val="24"/>
        </w:rPr>
        <w:lastRenderedPageBreak/>
        <w:t xml:space="preserve">Attachment </w:t>
      </w:r>
      <w:r w:rsidR="00944648" w:rsidRPr="00A5648A">
        <w:rPr>
          <w:rFonts w:ascii="Times" w:hAnsi="Times"/>
          <w:b/>
          <w:sz w:val="24"/>
          <w:szCs w:val="24"/>
        </w:rPr>
        <w:t>A</w:t>
      </w:r>
    </w:p>
    <w:p w14:paraId="7F88EF20" w14:textId="77777777" w:rsidR="00333097" w:rsidRPr="00A5648A" w:rsidRDefault="00333097" w:rsidP="00733590">
      <w:pPr>
        <w:jc w:val="center"/>
        <w:rPr>
          <w:rFonts w:ascii="Times" w:hAnsi="Times"/>
          <w:sz w:val="24"/>
          <w:szCs w:val="24"/>
        </w:rPr>
      </w:pPr>
    </w:p>
    <w:p w14:paraId="05A9D6B8" w14:textId="03EEFC7F" w:rsidR="00D059C9" w:rsidRPr="00A5648A" w:rsidRDefault="00333097" w:rsidP="00D059C9">
      <w:pPr>
        <w:jc w:val="both"/>
        <w:rPr>
          <w:sz w:val="24"/>
          <w:szCs w:val="24"/>
        </w:rPr>
      </w:pPr>
      <w:r w:rsidRPr="00A5648A">
        <w:rPr>
          <w:rFonts w:ascii="Times" w:hAnsi="Times"/>
          <w:b/>
          <w:bCs/>
          <w:sz w:val="24"/>
          <w:szCs w:val="24"/>
        </w:rPr>
        <w:t>Notes on</w:t>
      </w:r>
      <w:r w:rsidR="008E7A1B" w:rsidRPr="00A5648A">
        <w:rPr>
          <w:rFonts w:ascii="Times" w:hAnsi="Times"/>
          <w:b/>
          <w:bCs/>
          <w:sz w:val="24"/>
          <w:szCs w:val="24"/>
        </w:rPr>
        <w:t xml:space="preserve"> sections of</w:t>
      </w:r>
      <w:r w:rsidRPr="00A5648A">
        <w:rPr>
          <w:rFonts w:ascii="Times" w:hAnsi="Times"/>
          <w:b/>
          <w:bCs/>
          <w:sz w:val="24"/>
          <w:szCs w:val="24"/>
        </w:rPr>
        <w:t xml:space="preserve"> the </w:t>
      </w:r>
      <w:r w:rsidR="00D059C9" w:rsidRPr="00A5648A">
        <w:rPr>
          <w:b/>
          <w:bCs/>
          <w:i/>
          <w:sz w:val="24"/>
          <w:szCs w:val="24"/>
        </w:rPr>
        <w:t>Telecommunications Carrier Licence Charges (Specification of Costs by the ACMA) Determination (No.</w:t>
      </w:r>
      <w:r w:rsidR="00CE2574">
        <w:rPr>
          <w:b/>
          <w:bCs/>
          <w:i/>
          <w:sz w:val="24"/>
          <w:szCs w:val="24"/>
        </w:rPr>
        <w:t>2</w:t>
      </w:r>
      <w:r w:rsidR="00D059C9" w:rsidRPr="00A5648A">
        <w:rPr>
          <w:b/>
          <w:bCs/>
          <w:i/>
          <w:sz w:val="24"/>
          <w:szCs w:val="24"/>
        </w:rPr>
        <w:t>) 202</w:t>
      </w:r>
      <w:r w:rsidR="00E87AA6">
        <w:rPr>
          <w:b/>
          <w:bCs/>
          <w:i/>
          <w:sz w:val="24"/>
          <w:szCs w:val="24"/>
        </w:rPr>
        <w:t>3</w:t>
      </w:r>
      <w:r w:rsidR="00D059C9" w:rsidRPr="00A5648A">
        <w:rPr>
          <w:szCs w:val="24"/>
        </w:rPr>
        <w:t>.</w:t>
      </w:r>
    </w:p>
    <w:p w14:paraId="434AA63F" w14:textId="35D188A1" w:rsidR="00333097" w:rsidRPr="00A5648A" w:rsidRDefault="00333097" w:rsidP="00733590">
      <w:pPr>
        <w:pStyle w:val="Heading1"/>
        <w:jc w:val="center"/>
        <w:rPr>
          <w:rFonts w:ascii="Times" w:hAnsi="Times"/>
          <w:sz w:val="24"/>
          <w:szCs w:val="24"/>
        </w:rPr>
      </w:pPr>
    </w:p>
    <w:p w14:paraId="0C1A783F" w14:textId="77777777" w:rsidR="00333097" w:rsidRPr="00A5648A" w:rsidRDefault="00333097" w:rsidP="00357E64">
      <w:pPr>
        <w:rPr>
          <w:rFonts w:ascii="Times" w:hAnsi="Times"/>
        </w:rPr>
      </w:pPr>
    </w:p>
    <w:p w14:paraId="6E83CD98" w14:textId="427353A4" w:rsidR="00333097" w:rsidRPr="00A5648A" w:rsidRDefault="006145F6" w:rsidP="003E7C2D">
      <w:pPr>
        <w:pStyle w:val="Heading2"/>
        <w:jc w:val="both"/>
        <w:rPr>
          <w:szCs w:val="24"/>
        </w:rPr>
      </w:pPr>
      <w:r w:rsidRPr="00A5648A">
        <w:rPr>
          <w:szCs w:val="24"/>
        </w:rPr>
        <w:t>Section 1 -</w:t>
      </w:r>
      <w:r w:rsidR="002E3631" w:rsidRPr="00A5648A">
        <w:rPr>
          <w:szCs w:val="24"/>
        </w:rPr>
        <w:t xml:space="preserve"> Name </w:t>
      </w:r>
    </w:p>
    <w:p w14:paraId="51732FB6" w14:textId="77777777" w:rsidR="00333097" w:rsidRPr="00A5648A" w:rsidRDefault="00333097" w:rsidP="003E7C2D">
      <w:pPr>
        <w:pStyle w:val="Heading3"/>
        <w:jc w:val="both"/>
        <w:rPr>
          <w:b/>
          <w:szCs w:val="24"/>
        </w:rPr>
      </w:pPr>
    </w:p>
    <w:p w14:paraId="4AFA3DBF" w14:textId="0259490A" w:rsidR="00333097" w:rsidRPr="00A5648A" w:rsidRDefault="002E3631" w:rsidP="003E7C2D">
      <w:pPr>
        <w:jc w:val="both"/>
        <w:rPr>
          <w:sz w:val="24"/>
          <w:szCs w:val="24"/>
        </w:rPr>
      </w:pPr>
      <w:r w:rsidRPr="00A5648A">
        <w:rPr>
          <w:sz w:val="24"/>
          <w:szCs w:val="24"/>
        </w:rPr>
        <w:t xml:space="preserve">This section </w:t>
      </w:r>
      <w:r w:rsidR="002A43CA" w:rsidRPr="00A5648A">
        <w:rPr>
          <w:sz w:val="24"/>
          <w:szCs w:val="24"/>
        </w:rPr>
        <w:t xml:space="preserve">provides for the </w:t>
      </w:r>
      <w:r w:rsidR="001C2104" w:rsidRPr="00A5648A">
        <w:rPr>
          <w:sz w:val="24"/>
          <w:szCs w:val="24"/>
        </w:rPr>
        <w:t>D</w:t>
      </w:r>
      <w:r w:rsidRPr="00A5648A">
        <w:rPr>
          <w:sz w:val="24"/>
          <w:szCs w:val="24"/>
        </w:rPr>
        <w:t>etermination</w:t>
      </w:r>
      <w:r w:rsidR="002A43CA" w:rsidRPr="00A5648A">
        <w:rPr>
          <w:sz w:val="24"/>
          <w:szCs w:val="24"/>
        </w:rPr>
        <w:t xml:space="preserve"> to be cited as </w:t>
      </w:r>
      <w:r w:rsidR="00A77876" w:rsidRPr="00A5648A">
        <w:rPr>
          <w:sz w:val="24"/>
          <w:szCs w:val="24"/>
        </w:rPr>
        <w:t>the</w:t>
      </w:r>
      <w:r w:rsidR="00CA2EA8" w:rsidRPr="00A5648A">
        <w:rPr>
          <w:sz w:val="24"/>
          <w:szCs w:val="24"/>
        </w:rPr>
        <w:t xml:space="preserve"> </w:t>
      </w:r>
      <w:r w:rsidR="00765384" w:rsidRPr="00A5648A">
        <w:rPr>
          <w:i/>
          <w:sz w:val="24"/>
          <w:szCs w:val="24"/>
        </w:rPr>
        <w:t xml:space="preserve">Telecommunications </w:t>
      </w:r>
      <w:r w:rsidR="00E033E0" w:rsidRPr="00A5648A">
        <w:rPr>
          <w:i/>
          <w:sz w:val="24"/>
          <w:szCs w:val="24"/>
        </w:rPr>
        <w:t xml:space="preserve">Carrier Licence Charges </w:t>
      </w:r>
      <w:r w:rsidR="00765384" w:rsidRPr="00A5648A">
        <w:rPr>
          <w:i/>
          <w:sz w:val="24"/>
          <w:szCs w:val="24"/>
        </w:rPr>
        <w:t xml:space="preserve">(Specification of Costs by </w:t>
      </w:r>
      <w:r w:rsidR="00F86F44" w:rsidRPr="00A5648A">
        <w:rPr>
          <w:i/>
          <w:sz w:val="24"/>
          <w:szCs w:val="24"/>
        </w:rPr>
        <w:t xml:space="preserve">the </w:t>
      </w:r>
      <w:r w:rsidR="00765384" w:rsidRPr="00A5648A">
        <w:rPr>
          <w:i/>
          <w:sz w:val="24"/>
          <w:szCs w:val="24"/>
        </w:rPr>
        <w:t xml:space="preserve">ACMA) Determination </w:t>
      </w:r>
      <w:r w:rsidR="00E033E0" w:rsidRPr="00A5648A">
        <w:rPr>
          <w:i/>
          <w:sz w:val="24"/>
          <w:szCs w:val="24"/>
        </w:rPr>
        <w:t xml:space="preserve">(No. </w:t>
      </w:r>
      <w:r w:rsidR="00CE2574">
        <w:rPr>
          <w:i/>
          <w:sz w:val="24"/>
          <w:szCs w:val="24"/>
        </w:rPr>
        <w:t>2</w:t>
      </w:r>
      <w:r w:rsidR="00E033E0" w:rsidRPr="00A5648A">
        <w:rPr>
          <w:i/>
          <w:sz w:val="24"/>
          <w:szCs w:val="24"/>
        </w:rPr>
        <w:t xml:space="preserve">) </w:t>
      </w:r>
      <w:r w:rsidR="00765384" w:rsidRPr="00A5648A">
        <w:rPr>
          <w:i/>
          <w:sz w:val="24"/>
          <w:szCs w:val="24"/>
        </w:rPr>
        <w:t>20</w:t>
      </w:r>
      <w:r w:rsidR="00E033E0" w:rsidRPr="00A5648A">
        <w:rPr>
          <w:i/>
          <w:sz w:val="24"/>
          <w:szCs w:val="24"/>
        </w:rPr>
        <w:t>2</w:t>
      </w:r>
      <w:r w:rsidR="00E87AA6">
        <w:rPr>
          <w:i/>
          <w:sz w:val="24"/>
          <w:szCs w:val="24"/>
        </w:rPr>
        <w:t>3</w:t>
      </w:r>
      <w:r w:rsidR="00006988" w:rsidRPr="00A5648A">
        <w:rPr>
          <w:i/>
          <w:sz w:val="24"/>
          <w:szCs w:val="24"/>
        </w:rPr>
        <w:t xml:space="preserve"> </w:t>
      </w:r>
      <w:r w:rsidR="00006988" w:rsidRPr="00A5648A">
        <w:rPr>
          <w:iCs/>
          <w:sz w:val="24"/>
          <w:szCs w:val="24"/>
        </w:rPr>
        <w:t xml:space="preserve">(the </w:t>
      </w:r>
      <w:r w:rsidR="00006988" w:rsidRPr="00A5648A">
        <w:rPr>
          <w:b/>
          <w:bCs/>
          <w:iCs/>
          <w:sz w:val="24"/>
          <w:szCs w:val="24"/>
        </w:rPr>
        <w:t>Determination</w:t>
      </w:r>
      <w:r w:rsidR="00006988" w:rsidRPr="00A5648A">
        <w:rPr>
          <w:iCs/>
          <w:sz w:val="24"/>
          <w:szCs w:val="24"/>
        </w:rPr>
        <w:t>)</w:t>
      </w:r>
      <w:r w:rsidRPr="00A5648A">
        <w:rPr>
          <w:szCs w:val="24"/>
        </w:rPr>
        <w:t>.</w:t>
      </w:r>
    </w:p>
    <w:p w14:paraId="7D1FA00D" w14:textId="77777777" w:rsidR="00333097" w:rsidRPr="00A5648A" w:rsidRDefault="00333097" w:rsidP="003E7C2D">
      <w:pPr>
        <w:jc w:val="both"/>
        <w:rPr>
          <w:sz w:val="24"/>
          <w:szCs w:val="24"/>
        </w:rPr>
      </w:pPr>
    </w:p>
    <w:p w14:paraId="414C007E" w14:textId="77777777" w:rsidR="00333097" w:rsidRPr="00A5648A" w:rsidRDefault="006145F6" w:rsidP="003E7C2D">
      <w:pPr>
        <w:pStyle w:val="Heading2"/>
        <w:jc w:val="both"/>
        <w:rPr>
          <w:szCs w:val="24"/>
        </w:rPr>
      </w:pPr>
      <w:r w:rsidRPr="00A5648A">
        <w:rPr>
          <w:szCs w:val="24"/>
        </w:rPr>
        <w:t>Section 2 -</w:t>
      </w:r>
      <w:r w:rsidR="002E3631" w:rsidRPr="00A5648A">
        <w:rPr>
          <w:szCs w:val="24"/>
        </w:rPr>
        <w:t xml:space="preserve"> Commencement</w:t>
      </w:r>
    </w:p>
    <w:p w14:paraId="1BBBBFA9" w14:textId="77777777" w:rsidR="00333097" w:rsidRPr="00A5648A" w:rsidRDefault="00333097" w:rsidP="003E7C2D">
      <w:pPr>
        <w:jc w:val="both"/>
        <w:rPr>
          <w:sz w:val="24"/>
          <w:szCs w:val="24"/>
        </w:rPr>
      </w:pPr>
    </w:p>
    <w:p w14:paraId="0CB480BA" w14:textId="08A7B339" w:rsidR="00333097" w:rsidRPr="00A5648A" w:rsidRDefault="002E3631" w:rsidP="003E7C2D">
      <w:pPr>
        <w:pStyle w:val="Heading3"/>
        <w:jc w:val="both"/>
        <w:rPr>
          <w:szCs w:val="24"/>
        </w:rPr>
      </w:pPr>
      <w:r w:rsidRPr="00A5648A">
        <w:rPr>
          <w:szCs w:val="24"/>
        </w:rPr>
        <w:t xml:space="preserve">This section </w:t>
      </w:r>
      <w:r w:rsidR="00F86F44" w:rsidRPr="00A5648A">
        <w:rPr>
          <w:szCs w:val="24"/>
        </w:rPr>
        <w:t xml:space="preserve">states </w:t>
      </w:r>
      <w:r w:rsidR="00E10793" w:rsidRPr="00A5648A">
        <w:rPr>
          <w:szCs w:val="24"/>
        </w:rPr>
        <w:t>that</w:t>
      </w:r>
      <w:r w:rsidRPr="00A5648A">
        <w:rPr>
          <w:szCs w:val="24"/>
        </w:rPr>
        <w:t xml:space="preserve"> the </w:t>
      </w:r>
      <w:r w:rsidR="001C2104" w:rsidRPr="00A5648A">
        <w:rPr>
          <w:szCs w:val="24"/>
        </w:rPr>
        <w:t>D</w:t>
      </w:r>
      <w:r w:rsidRPr="00A5648A">
        <w:rPr>
          <w:szCs w:val="24"/>
        </w:rPr>
        <w:t>etermination</w:t>
      </w:r>
      <w:r w:rsidR="00E10793" w:rsidRPr="00A5648A">
        <w:rPr>
          <w:szCs w:val="24"/>
        </w:rPr>
        <w:t xml:space="preserve"> commences </w:t>
      </w:r>
      <w:r w:rsidR="004A624B" w:rsidRPr="006D4884">
        <w:rPr>
          <w:szCs w:val="24"/>
        </w:rPr>
        <w:t>on</w:t>
      </w:r>
      <w:r w:rsidR="005F187E">
        <w:rPr>
          <w:szCs w:val="24"/>
        </w:rPr>
        <w:t xml:space="preserve"> </w:t>
      </w:r>
      <w:r w:rsidR="00B47A7B" w:rsidRPr="00B47A7B">
        <w:rPr>
          <w:szCs w:val="24"/>
        </w:rPr>
        <w:t xml:space="preserve">11 </w:t>
      </w:r>
      <w:r w:rsidR="00CB3BCD" w:rsidRPr="00B47A7B">
        <w:rPr>
          <w:szCs w:val="24"/>
        </w:rPr>
        <w:t>December 2023</w:t>
      </w:r>
      <w:r w:rsidR="00D82CE6">
        <w:rPr>
          <w:szCs w:val="24"/>
        </w:rPr>
        <w:t>.</w:t>
      </w:r>
      <w:r w:rsidR="00186F41">
        <w:rPr>
          <w:szCs w:val="24"/>
        </w:rPr>
        <w:t xml:space="preserve"> </w:t>
      </w:r>
      <w:r w:rsidR="00B4321F">
        <w:rPr>
          <w:szCs w:val="24"/>
        </w:rPr>
        <w:t xml:space="preserve"> The instrument will be </w:t>
      </w:r>
      <w:r w:rsidRPr="00A5648A">
        <w:rPr>
          <w:szCs w:val="24"/>
        </w:rPr>
        <w:t>registered</w:t>
      </w:r>
      <w:r w:rsidR="004C05FF" w:rsidRPr="00A5648A">
        <w:rPr>
          <w:szCs w:val="24"/>
        </w:rPr>
        <w:t xml:space="preserve"> on the Federal Register of Legislation. </w:t>
      </w:r>
    </w:p>
    <w:p w14:paraId="7206B413" w14:textId="77777777" w:rsidR="002A43CA" w:rsidRPr="00A5648A" w:rsidRDefault="002A43CA" w:rsidP="003E7C2D">
      <w:pPr>
        <w:jc w:val="both"/>
      </w:pPr>
    </w:p>
    <w:p w14:paraId="063725CE" w14:textId="361FF366" w:rsidR="002A43CA" w:rsidRPr="00A5648A" w:rsidRDefault="002A43CA" w:rsidP="003E7C2D">
      <w:pPr>
        <w:pStyle w:val="Heading3"/>
        <w:jc w:val="both"/>
        <w:rPr>
          <w:szCs w:val="24"/>
        </w:rPr>
      </w:pPr>
      <w:r w:rsidRPr="00A5648A">
        <w:rPr>
          <w:szCs w:val="24"/>
        </w:rPr>
        <w:t xml:space="preserve">The Federal Register of Legislation may be accessed </w:t>
      </w:r>
      <w:r w:rsidR="00944648" w:rsidRPr="00A5648A">
        <w:rPr>
          <w:szCs w:val="24"/>
        </w:rPr>
        <w:t xml:space="preserve">free of charge </w:t>
      </w:r>
      <w:r w:rsidRPr="00A5648A">
        <w:rPr>
          <w:szCs w:val="24"/>
        </w:rPr>
        <w:t>at www.legislation.gov.au</w:t>
      </w:r>
      <w:r w:rsidR="00F4215C" w:rsidRPr="00A5648A">
        <w:rPr>
          <w:szCs w:val="24"/>
        </w:rPr>
        <w:t>.</w:t>
      </w:r>
    </w:p>
    <w:p w14:paraId="03BB1A3E" w14:textId="77777777" w:rsidR="003355EC" w:rsidRPr="00A5648A" w:rsidRDefault="003355EC" w:rsidP="003E7C2D">
      <w:pPr>
        <w:pStyle w:val="Heading3"/>
        <w:jc w:val="both"/>
        <w:rPr>
          <w:szCs w:val="24"/>
        </w:rPr>
      </w:pPr>
    </w:p>
    <w:p w14:paraId="6EF47E2B" w14:textId="77DA295F" w:rsidR="002A43CA" w:rsidRPr="00A5648A" w:rsidRDefault="002A43CA" w:rsidP="003E7C2D">
      <w:pPr>
        <w:jc w:val="both"/>
        <w:rPr>
          <w:b/>
          <w:sz w:val="24"/>
          <w:szCs w:val="24"/>
        </w:rPr>
      </w:pPr>
      <w:r w:rsidRPr="00A5648A">
        <w:rPr>
          <w:b/>
          <w:sz w:val="24"/>
          <w:szCs w:val="24"/>
        </w:rPr>
        <w:t>Section 3 – Authority</w:t>
      </w:r>
    </w:p>
    <w:p w14:paraId="70EEF124" w14:textId="77777777" w:rsidR="002A43CA" w:rsidRPr="00A5648A" w:rsidRDefault="002A43CA" w:rsidP="003E7C2D">
      <w:pPr>
        <w:jc w:val="both"/>
        <w:rPr>
          <w:b/>
          <w:sz w:val="24"/>
          <w:szCs w:val="24"/>
        </w:rPr>
      </w:pPr>
    </w:p>
    <w:p w14:paraId="07721548" w14:textId="4E4435E2" w:rsidR="002A43CA" w:rsidRPr="00A5648A" w:rsidRDefault="002A43CA" w:rsidP="003E7C2D">
      <w:pPr>
        <w:jc w:val="both"/>
        <w:rPr>
          <w:i/>
          <w:sz w:val="24"/>
          <w:szCs w:val="24"/>
        </w:rPr>
      </w:pPr>
      <w:r w:rsidRPr="00A5648A">
        <w:rPr>
          <w:sz w:val="24"/>
          <w:szCs w:val="24"/>
        </w:rPr>
        <w:t>This section identifies the provision</w:t>
      </w:r>
      <w:r w:rsidR="006B1F49" w:rsidRPr="00A5648A">
        <w:rPr>
          <w:sz w:val="24"/>
          <w:szCs w:val="24"/>
        </w:rPr>
        <w:t>s</w:t>
      </w:r>
      <w:r w:rsidRPr="00A5648A">
        <w:rPr>
          <w:sz w:val="24"/>
          <w:szCs w:val="24"/>
        </w:rPr>
        <w:t xml:space="preserve"> of the Act that authorise the making of the </w:t>
      </w:r>
      <w:r w:rsidR="006E1394" w:rsidRPr="00A5648A">
        <w:rPr>
          <w:sz w:val="24"/>
          <w:szCs w:val="24"/>
        </w:rPr>
        <w:t>Determination</w:t>
      </w:r>
      <w:r w:rsidRPr="00A5648A">
        <w:rPr>
          <w:sz w:val="24"/>
          <w:szCs w:val="24"/>
        </w:rPr>
        <w:t>, namely paragraphs 15(1)(a),</w:t>
      </w:r>
      <w:r w:rsidR="00F4215C" w:rsidRPr="00A5648A">
        <w:rPr>
          <w:sz w:val="24"/>
          <w:szCs w:val="24"/>
        </w:rPr>
        <w:t xml:space="preserve"> </w:t>
      </w:r>
      <w:r w:rsidRPr="00A5648A">
        <w:rPr>
          <w:sz w:val="24"/>
          <w:szCs w:val="24"/>
        </w:rPr>
        <w:t xml:space="preserve">(c) and (ca) of the </w:t>
      </w:r>
      <w:r w:rsidR="00006988" w:rsidRPr="00A5648A">
        <w:rPr>
          <w:i/>
          <w:iCs/>
          <w:sz w:val="24"/>
          <w:szCs w:val="24"/>
        </w:rPr>
        <w:t>Telecommunications</w:t>
      </w:r>
      <w:r w:rsidR="00FE23E5" w:rsidRPr="00A5648A">
        <w:rPr>
          <w:i/>
          <w:iCs/>
          <w:sz w:val="24"/>
          <w:szCs w:val="24"/>
        </w:rPr>
        <w:t xml:space="preserve"> (Carrier Licence Charges) Act 1997 </w:t>
      </w:r>
      <w:r w:rsidR="00FE23E5" w:rsidRPr="00A5648A">
        <w:rPr>
          <w:sz w:val="24"/>
          <w:szCs w:val="24"/>
        </w:rPr>
        <w:t xml:space="preserve">(the </w:t>
      </w:r>
      <w:r w:rsidR="00261188" w:rsidRPr="00A5648A">
        <w:rPr>
          <w:b/>
          <w:bCs/>
          <w:iCs/>
          <w:sz w:val="24"/>
          <w:szCs w:val="24"/>
        </w:rPr>
        <w:t>Act</w:t>
      </w:r>
      <w:r w:rsidR="00FE23E5" w:rsidRPr="00A5648A">
        <w:rPr>
          <w:iCs/>
          <w:sz w:val="24"/>
          <w:szCs w:val="24"/>
        </w:rPr>
        <w:t>)</w:t>
      </w:r>
      <w:r w:rsidRPr="00A5648A">
        <w:rPr>
          <w:i/>
          <w:sz w:val="24"/>
          <w:szCs w:val="24"/>
        </w:rPr>
        <w:t>.</w:t>
      </w:r>
    </w:p>
    <w:p w14:paraId="34991CB4" w14:textId="77777777" w:rsidR="002A43CA" w:rsidRPr="00A5648A" w:rsidRDefault="002A43CA" w:rsidP="003E7C2D">
      <w:pPr>
        <w:jc w:val="both"/>
        <w:rPr>
          <w:b/>
          <w:sz w:val="24"/>
          <w:szCs w:val="24"/>
        </w:rPr>
      </w:pPr>
    </w:p>
    <w:p w14:paraId="3BEA789E" w14:textId="44C7B242" w:rsidR="00111FF6" w:rsidRPr="00A5648A" w:rsidRDefault="00111FF6" w:rsidP="003E7C2D">
      <w:pPr>
        <w:jc w:val="both"/>
        <w:rPr>
          <w:b/>
          <w:sz w:val="24"/>
          <w:szCs w:val="24"/>
        </w:rPr>
      </w:pPr>
      <w:r w:rsidRPr="00A5648A">
        <w:rPr>
          <w:b/>
          <w:sz w:val="24"/>
          <w:szCs w:val="24"/>
        </w:rPr>
        <w:t xml:space="preserve">Section </w:t>
      </w:r>
      <w:r w:rsidR="002A43CA" w:rsidRPr="00A5648A">
        <w:rPr>
          <w:b/>
          <w:sz w:val="24"/>
          <w:szCs w:val="24"/>
        </w:rPr>
        <w:t>4</w:t>
      </w:r>
      <w:r w:rsidRPr="00A5648A">
        <w:rPr>
          <w:b/>
          <w:sz w:val="24"/>
          <w:szCs w:val="24"/>
        </w:rPr>
        <w:t xml:space="preserve"> </w:t>
      </w:r>
      <w:r w:rsidR="002A43CA" w:rsidRPr="00A5648A">
        <w:rPr>
          <w:b/>
          <w:sz w:val="24"/>
          <w:szCs w:val="24"/>
        </w:rPr>
        <w:t>–</w:t>
      </w:r>
      <w:r w:rsidRPr="00A5648A">
        <w:rPr>
          <w:b/>
          <w:sz w:val="24"/>
          <w:szCs w:val="24"/>
        </w:rPr>
        <w:t xml:space="preserve"> </w:t>
      </w:r>
      <w:r w:rsidR="002A43CA" w:rsidRPr="00A5648A">
        <w:rPr>
          <w:b/>
          <w:sz w:val="24"/>
          <w:szCs w:val="24"/>
        </w:rPr>
        <w:t>Repeal of th</w:t>
      </w:r>
      <w:r w:rsidR="00505119" w:rsidRPr="00A5648A">
        <w:rPr>
          <w:b/>
          <w:sz w:val="24"/>
          <w:szCs w:val="24"/>
        </w:rPr>
        <w:t>is</w:t>
      </w:r>
      <w:r w:rsidR="002A43CA" w:rsidRPr="00A5648A">
        <w:rPr>
          <w:b/>
          <w:sz w:val="24"/>
          <w:szCs w:val="24"/>
        </w:rPr>
        <w:t xml:space="preserve"> </w:t>
      </w:r>
      <w:r w:rsidR="00261188" w:rsidRPr="00A5648A">
        <w:rPr>
          <w:b/>
          <w:sz w:val="24"/>
          <w:szCs w:val="24"/>
        </w:rPr>
        <w:t>instrument</w:t>
      </w:r>
    </w:p>
    <w:p w14:paraId="2D2212CD" w14:textId="77777777" w:rsidR="00111FF6" w:rsidRPr="00A5648A" w:rsidRDefault="00111FF6" w:rsidP="003E7C2D">
      <w:pPr>
        <w:jc w:val="both"/>
        <w:rPr>
          <w:b/>
          <w:sz w:val="24"/>
          <w:szCs w:val="24"/>
        </w:rPr>
      </w:pPr>
    </w:p>
    <w:p w14:paraId="0F380E4E" w14:textId="4409D7D1" w:rsidR="00111FF6" w:rsidRPr="00A5648A" w:rsidRDefault="00111FF6" w:rsidP="003E7C2D">
      <w:pPr>
        <w:jc w:val="both"/>
        <w:rPr>
          <w:sz w:val="24"/>
          <w:szCs w:val="24"/>
        </w:rPr>
      </w:pPr>
      <w:r w:rsidRPr="00A5648A">
        <w:rPr>
          <w:sz w:val="24"/>
          <w:szCs w:val="24"/>
        </w:rPr>
        <w:t xml:space="preserve">This section provides that the Determination </w:t>
      </w:r>
      <w:r w:rsidR="002A43CA" w:rsidRPr="00A5648A">
        <w:rPr>
          <w:sz w:val="24"/>
          <w:szCs w:val="24"/>
        </w:rPr>
        <w:t>is repealed</w:t>
      </w:r>
      <w:r w:rsidRPr="00A5648A">
        <w:rPr>
          <w:sz w:val="24"/>
          <w:szCs w:val="24"/>
        </w:rPr>
        <w:t xml:space="preserve"> at the </w:t>
      </w:r>
      <w:r w:rsidR="00D11D69" w:rsidRPr="00A5648A">
        <w:rPr>
          <w:sz w:val="24"/>
          <w:szCs w:val="24"/>
        </w:rPr>
        <w:t xml:space="preserve">start of 1 July </w:t>
      </w:r>
      <w:r w:rsidR="00CE2574">
        <w:rPr>
          <w:sz w:val="24"/>
          <w:szCs w:val="24"/>
        </w:rPr>
        <w:t>2025</w:t>
      </w:r>
      <w:r w:rsidRPr="00A5648A">
        <w:rPr>
          <w:i/>
          <w:sz w:val="24"/>
          <w:szCs w:val="24"/>
        </w:rPr>
        <w:t>.</w:t>
      </w:r>
      <w:r w:rsidRPr="00A5648A" w:rsidDel="00077875">
        <w:rPr>
          <w:sz w:val="24"/>
          <w:szCs w:val="24"/>
        </w:rPr>
        <w:t xml:space="preserve"> </w:t>
      </w:r>
    </w:p>
    <w:p w14:paraId="748972EA" w14:textId="77777777" w:rsidR="00111FF6" w:rsidRPr="00A5648A" w:rsidRDefault="00111FF6" w:rsidP="003E7C2D">
      <w:pPr>
        <w:pStyle w:val="Heading2"/>
        <w:jc w:val="both"/>
        <w:rPr>
          <w:szCs w:val="24"/>
        </w:rPr>
      </w:pPr>
    </w:p>
    <w:p w14:paraId="580A7E22" w14:textId="0C3AD6D6" w:rsidR="003355EC" w:rsidRPr="00A5648A" w:rsidRDefault="006145F6" w:rsidP="003E7C2D">
      <w:pPr>
        <w:pStyle w:val="Heading2"/>
        <w:jc w:val="both"/>
        <w:rPr>
          <w:szCs w:val="24"/>
        </w:rPr>
      </w:pPr>
      <w:r w:rsidRPr="00A5648A">
        <w:rPr>
          <w:szCs w:val="24"/>
        </w:rPr>
        <w:t xml:space="preserve">Section </w:t>
      </w:r>
      <w:r w:rsidR="002A43CA" w:rsidRPr="00A5648A">
        <w:rPr>
          <w:szCs w:val="24"/>
        </w:rPr>
        <w:t>5</w:t>
      </w:r>
      <w:r w:rsidRPr="00A5648A">
        <w:rPr>
          <w:szCs w:val="24"/>
        </w:rPr>
        <w:t xml:space="preserve"> -</w:t>
      </w:r>
      <w:r w:rsidR="002E3631" w:rsidRPr="00A5648A">
        <w:rPr>
          <w:szCs w:val="24"/>
        </w:rPr>
        <w:t xml:space="preserve"> Definition</w:t>
      </w:r>
      <w:r w:rsidR="004B7A31" w:rsidRPr="00A5648A">
        <w:rPr>
          <w:szCs w:val="24"/>
        </w:rPr>
        <w:t>s</w:t>
      </w:r>
    </w:p>
    <w:p w14:paraId="2595B366" w14:textId="77777777" w:rsidR="003355EC" w:rsidRPr="00A5648A" w:rsidRDefault="003355EC" w:rsidP="003E7C2D">
      <w:pPr>
        <w:jc w:val="both"/>
        <w:rPr>
          <w:sz w:val="24"/>
          <w:szCs w:val="24"/>
        </w:rPr>
      </w:pPr>
    </w:p>
    <w:p w14:paraId="7B1009BF" w14:textId="748E009C" w:rsidR="00333097" w:rsidRPr="00A5648A" w:rsidRDefault="002E3631" w:rsidP="003E7C2D">
      <w:pPr>
        <w:jc w:val="both"/>
        <w:rPr>
          <w:i/>
          <w:sz w:val="24"/>
          <w:szCs w:val="24"/>
        </w:rPr>
      </w:pPr>
      <w:r w:rsidRPr="00A5648A">
        <w:rPr>
          <w:sz w:val="24"/>
          <w:szCs w:val="24"/>
        </w:rPr>
        <w:t xml:space="preserve">This section </w:t>
      </w:r>
      <w:r w:rsidR="004B4C57" w:rsidRPr="00A5648A">
        <w:rPr>
          <w:sz w:val="24"/>
          <w:szCs w:val="24"/>
        </w:rPr>
        <w:t xml:space="preserve">states </w:t>
      </w:r>
      <w:r w:rsidR="0037495D" w:rsidRPr="00A5648A">
        <w:rPr>
          <w:sz w:val="24"/>
          <w:szCs w:val="24"/>
        </w:rPr>
        <w:t>that</w:t>
      </w:r>
      <w:r w:rsidR="004B4C57" w:rsidRPr="00A5648A">
        <w:rPr>
          <w:sz w:val="24"/>
          <w:szCs w:val="24"/>
        </w:rPr>
        <w:t>, for the purposes</w:t>
      </w:r>
      <w:r w:rsidR="0037495D" w:rsidRPr="00A5648A">
        <w:rPr>
          <w:sz w:val="24"/>
          <w:szCs w:val="24"/>
        </w:rPr>
        <w:t xml:space="preserve"> </w:t>
      </w:r>
      <w:r w:rsidR="004B4C57" w:rsidRPr="00A5648A">
        <w:rPr>
          <w:sz w:val="24"/>
          <w:szCs w:val="24"/>
        </w:rPr>
        <w:t xml:space="preserve">of </w:t>
      </w:r>
      <w:r w:rsidR="0037495D" w:rsidRPr="00A5648A">
        <w:rPr>
          <w:sz w:val="24"/>
          <w:szCs w:val="24"/>
        </w:rPr>
        <w:t>the Determination</w:t>
      </w:r>
      <w:r w:rsidR="004B4C57" w:rsidRPr="00A5648A">
        <w:rPr>
          <w:sz w:val="24"/>
          <w:szCs w:val="24"/>
        </w:rPr>
        <w:t>,</w:t>
      </w:r>
      <w:r w:rsidRPr="00A5648A">
        <w:rPr>
          <w:sz w:val="24"/>
          <w:szCs w:val="24"/>
        </w:rPr>
        <w:t xml:space="preserve"> </w:t>
      </w:r>
      <w:r w:rsidRPr="00A5648A">
        <w:rPr>
          <w:b/>
          <w:i/>
          <w:sz w:val="24"/>
          <w:szCs w:val="24"/>
        </w:rPr>
        <w:t>Act</w:t>
      </w:r>
      <w:r w:rsidR="00765384" w:rsidRPr="00A5648A">
        <w:rPr>
          <w:sz w:val="24"/>
          <w:szCs w:val="24"/>
        </w:rPr>
        <w:t xml:space="preserve"> </w:t>
      </w:r>
      <w:r w:rsidR="0037495D" w:rsidRPr="00A5648A">
        <w:rPr>
          <w:sz w:val="24"/>
          <w:szCs w:val="24"/>
        </w:rPr>
        <w:t>means</w:t>
      </w:r>
      <w:r w:rsidR="00765384" w:rsidRPr="00A5648A">
        <w:rPr>
          <w:sz w:val="24"/>
          <w:szCs w:val="24"/>
        </w:rPr>
        <w:t xml:space="preserve"> the </w:t>
      </w:r>
      <w:r w:rsidR="00765384" w:rsidRPr="00A5648A">
        <w:rPr>
          <w:i/>
          <w:sz w:val="24"/>
          <w:szCs w:val="24"/>
        </w:rPr>
        <w:t>Telecommunications (Carrier Licence Charges) Act 1997</w:t>
      </w:r>
      <w:r w:rsidR="0037495D" w:rsidRPr="00A5648A">
        <w:rPr>
          <w:i/>
          <w:sz w:val="24"/>
          <w:szCs w:val="24"/>
        </w:rPr>
        <w:t>.</w:t>
      </w:r>
    </w:p>
    <w:p w14:paraId="7CD480B7" w14:textId="77777777" w:rsidR="00465E51" w:rsidRPr="00A5648A" w:rsidRDefault="00465E51" w:rsidP="003E7C2D">
      <w:pPr>
        <w:jc w:val="both"/>
        <w:rPr>
          <w:i/>
          <w:sz w:val="24"/>
          <w:szCs w:val="24"/>
        </w:rPr>
      </w:pPr>
    </w:p>
    <w:p w14:paraId="3152DF58" w14:textId="2CB99DEA" w:rsidR="003355EC" w:rsidRPr="00A5648A" w:rsidRDefault="002E3631" w:rsidP="003E7C2D">
      <w:pPr>
        <w:pStyle w:val="HR"/>
        <w:spacing w:before="0"/>
        <w:ind w:left="0" w:firstLine="0"/>
        <w:jc w:val="both"/>
        <w:rPr>
          <w:rFonts w:ascii="Times New Roman" w:hAnsi="Times New Roman"/>
        </w:rPr>
      </w:pPr>
      <w:r w:rsidRPr="00A5648A">
        <w:rPr>
          <w:rFonts w:ascii="Times New Roman" w:hAnsi="Times New Roman"/>
        </w:rPr>
        <w:t xml:space="preserve">Section </w:t>
      </w:r>
      <w:r w:rsidR="002A43CA" w:rsidRPr="00A5648A">
        <w:rPr>
          <w:rFonts w:ascii="Times New Roman" w:hAnsi="Times New Roman"/>
        </w:rPr>
        <w:t>6</w:t>
      </w:r>
      <w:r w:rsidRPr="00A5648A">
        <w:rPr>
          <w:rFonts w:ascii="Times New Roman" w:hAnsi="Times New Roman"/>
        </w:rPr>
        <w:t xml:space="preserve"> - Determination of amount attributable to telecommunications functions and powers</w:t>
      </w:r>
    </w:p>
    <w:p w14:paraId="534F0FA7" w14:textId="77777777" w:rsidR="003355EC" w:rsidRPr="00A5648A" w:rsidRDefault="003355EC" w:rsidP="003E7C2D">
      <w:pPr>
        <w:pStyle w:val="Heading2"/>
        <w:jc w:val="both"/>
        <w:rPr>
          <w:szCs w:val="24"/>
        </w:rPr>
      </w:pPr>
    </w:p>
    <w:p w14:paraId="1B186DF6" w14:textId="1F8933AB" w:rsidR="003355EC" w:rsidRPr="00A5648A" w:rsidRDefault="00B15AE3" w:rsidP="003E7C2D">
      <w:pPr>
        <w:jc w:val="both"/>
        <w:rPr>
          <w:sz w:val="24"/>
          <w:szCs w:val="24"/>
        </w:rPr>
      </w:pPr>
      <w:r w:rsidRPr="476138D3">
        <w:rPr>
          <w:sz w:val="24"/>
          <w:szCs w:val="24"/>
        </w:rPr>
        <w:t xml:space="preserve">This section </w:t>
      </w:r>
      <w:r w:rsidR="008E7A1B" w:rsidRPr="476138D3">
        <w:rPr>
          <w:sz w:val="24"/>
          <w:szCs w:val="24"/>
        </w:rPr>
        <w:t>determines an</w:t>
      </w:r>
      <w:r w:rsidRPr="476138D3">
        <w:rPr>
          <w:sz w:val="24"/>
          <w:szCs w:val="24"/>
        </w:rPr>
        <w:t xml:space="preserve"> amount </w:t>
      </w:r>
      <w:r w:rsidR="00304EC6" w:rsidRPr="0085719A">
        <w:rPr>
          <w:sz w:val="24"/>
          <w:szCs w:val="24"/>
        </w:rPr>
        <w:t xml:space="preserve">of </w:t>
      </w:r>
      <w:r w:rsidR="00CE2574" w:rsidRPr="0085719A">
        <w:rPr>
          <w:sz w:val="24"/>
          <w:szCs w:val="24"/>
        </w:rPr>
        <w:t>$13</w:t>
      </w:r>
      <w:r w:rsidR="7F5CEE48" w:rsidRPr="0085719A">
        <w:rPr>
          <w:sz w:val="24"/>
          <w:szCs w:val="24"/>
        </w:rPr>
        <w:t xml:space="preserve"> </w:t>
      </w:r>
      <w:r w:rsidR="00CE2574" w:rsidRPr="0085719A">
        <w:rPr>
          <w:sz w:val="24"/>
          <w:szCs w:val="24"/>
        </w:rPr>
        <w:t>055</w:t>
      </w:r>
      <w:r w:rsidR="4D17524D" w:rsidRPr="0085719A">
        <w:rPr>
          <w:sz w:val="24"/>
          <w:szCs w:val="24"/>
        </w:rPr>
        <w:t xml:space="preserve"> </w:t>
      </w:r>
      <w:r w:rsidR="00CE2574" w:rsidRPr="0085719A">
        <w:rPr>
          <w:sz w:val="24"/>
          <w:szCs w:val="24"/>
        </w:rPr>
        <w:t>695</w:t>
      </w:r>
      <w:r w:rsidR="00FF6C84" w:rsidRPr="476138D3">
        <w:rPr>
          <w:sz w:val="24"/>
          <w:szCs w:val="24"/>
        </w:rPr>
        <w:t xml:space="preserve"> </w:t>
      </w:r>
      <w:r w:rsidRPr="476138D3">
        <w:rPr>
          <w:sz w:val="24"/>
          <w:szCs w:val="24"/>
        </w:rPr>
        <w:t>for the purposes of paragraph 15(1)(a) of the Act</w:t>
      </w:r>
      <w:r w:rsidR="008E7A1B" w:rsidRPr="476138D3">
        <w:rPr>
          <w:sz w:val="24"/>
          <w:szCs w:val="24"/>
        </w:rPr>
        <w:t xml:space="preserve">, being the proportion of the ACMA’s costs for the </w:t>
      </w:r>
      <w:r w:rsidR="00CE2574" w:rsidRPr="476138D3">
        <w:rPr>
          <w:sz w:val="24"/>
          <w:szCs w:val="24"/>
        </w:rPr>
        <w:t>2021-2022</w:t>
      </w:r>
      <w:r w:rsidR="008E7A1B" w:rsidRPr="476138D3">
        <w:rPr>
          <w:sz w:val="24"/>
          <w:szCs w:val="24"/>
        </w:rPr>
        <w:t xml:space="preserve"> financial year that is attributable to the ACMA’s telecommunications functions and powers</w:t>
      </w:r>
      <w:r w:rsidRPr="476138D3">
        <w:rPr>
          <w:sz w:val="24"/>
          <w:szCs w:val="24"/>
        </w:rPr>
        <w:t xml:space="preserve">. </w:t>
      </w:r>
    </w:p>
    <w:p w14:paraId="23FE9B3A" w14:textId="77777777" w:rsidR="00465E51" w:rsidRPr="00A5648A" w:rsidRDefault="00465E51" w:rsidP="003E7C2D">
      <w:pPr>
        <w:jc w:val="both"/>
        <w:rPr>
          <w:sz w:val="24"/>
          <w:szCs w:val="24"/>
        </w:rPr>
      </w:pPr>
    </w:p>
    <w:p w14:paraId="133F2640" w14:textId="1B955B0E" w:rsidR="003355EC" w:rsidRPr="00A5648A" w:rsidRDefault="00B15AE3" w:rsidP="003E7C2D">
      <w:pPr>
        <w:pStyle w:val="HR"/>
        <w:spacing w:before="0"/>
        <w:jc w:val="both"/>
        <w:rPr>
          <w:rFonts w:ascii="Times New Roman" w:hAnsi="Times New Roman"/>
        </w:rPr>
      </w:pPr>
      <w:r w:rsidRPr="00A5648A">
        <w:rPr>
          <w:rFonts w:ascii="Times New Roman" w:hAnsi="Times New Roman"/>
        </w:rPr>
        <w:t xml:space="preserve">Section </w:t>
      </w:r>
      <w:r w:rsidR="002A43CA" w:rsidRPr="00A5648A">
        <w:rPr>
          <w:rFonts w:ascii="Times New Roman" w:hAnsi="Times New Roman"/>
        </w:rPr>
        <w:t>7</w:t>
      </w:r>
      <w:r w:rsidRPr="00A5648A">
        <w:rPr>
          <w:rFonts w:ascii="Times New Roman" w:hAnsi="Times New Roman"/>
        </w:rPr>
        <w:t xml:space="preserve"> </w:t>
      </w:r>
      <w:r w:rsidR="006C7B75">
        <w:rPr>
          <w:rFonts w:ascii="Times New Roman" w:hAnsi="Times New Roman"/>
        </w:rPr>
        <w:t>–</w:t>
      </w:r>
      <w:r w:rsidRPr="00A5648A">
        <w:rPr>
          <w:rFonts w:ascii="Times New Roman" w:hAnsi="Times New Roman"/>
        </w:rPr>
        <w:t xml:space="preserve"> </w:t>
      </w:r>
      <w:r w:rsidR="002E3631" w:rsidRPr="00A5648A">
        <w:rPr>
          <w:rFonts w:ascii="Times New Roman" w:hAnsi="Times New Roman"/>
        </w:rPr>
        <w:t xml:space="preserve">Determination of amount of ITU contribution to be </w:t>
      </w:r>
      <w:proofErr w:type="gramStart"/>
      <w:r w:rsidR="002E3631" w:rsidRPr="00A5648A">
        <w:rPr>
          <w:rFonts w:ascii="Times New Roman" w:hAnsi="Times New Roman"/>
        </w:rPr>
        <w:t>recovered</w:t>
      </w:r>
      <w:proofErr w:type="gramEnd"/>
    </w:p>
    <w:p w14:paraId="78AB1B58" w14:textId="77777777" w:rsidR="003355EC" w:rsidRPr="00A5648A" w:rsidRDefault="003355EC" w:rsidP="003E7C2D">
      <w:pPr>
        <w:jc w:val="both"/>
        <w:rPr>
          <w:sz w:val="24"/>
          <w:szCs w:val="24"/>
        </w:rPr>
      </w:pPr>
    </w:p>
    <w:p w14:paraId="574504B7" w14:textId="69945550" w:rsidR="00454574" w:rsidRPr="00A5648A" w:rsidRDefault="00B15AE3" w:rsidP="003E7C2D">
      <w:pPr>
        <w:jc w:val="both"/>
        <w:rPr>
          <w:sz w:val="24"/>
          <w:szCs w:val="24"/>
        </w:rPr>
      </w:pPr>
      <w:r w:rsidRPr="476138D3">
        <w:rPr>
          <w:sz w:val="24"/>
          <w:szCs w:val="24"/>
        </w:rPr>
        <w:t xml:space="preserve">This section </w:t>
      </w:r>
      <w:r w:rsidR="008E7A1B" w:rsidRPr="476138D3">
        <w:rPr>
          <w:sz w:val="24"/>
          <w:szCs w:val="24"/>
        </w:rPr>
        <w:t>determines</w:t>
      </w:r>
      <w:r w:rsidRPr="476138D3">
        <w:rPr>
          <w:sz w:val="24"/>
          <w:szCs w:val="24"/>
        </w:rPr>
        <w:t xml:space="preserve"> </w:t>
      </w:r>
      <w:r w:rsidR="008E7A1B" w:rsidRPr="476138D3">
        <w:rPr>
          <w:sz w:val="24"/>
          <w:szCs w:val="24"/>
        </w:rPr>
        <w:t>an</w:t>
      </w:r>
      <w:r w:rsidRPr="476138D3">
        <w:rPr>
          <w:sz w:val="24"/>
          <w:szCs w:val="24"/>
        </w:rPr>
        <w:t xml:space="preserve"> amount </w:t>
      </w:r>
      <w:r w:rsidR="00304EC6" w:rsidRPr="0085719A">
        <w:rPr>
          <w:sz w:val="24"/>
          <w:szCs w:val="24"/>
        </w:rPr>
        <w:t xml:space="preserve">of </w:t>
      </w:r>
      <w:r w:rsidR="00CE2574" w:rsidRPr="0085719A">
        <w:rPr>
          <w:sz w:val="24"/>
          <w:szCs w:val="24"/>
        </w:rPr>
        <w:t>$2</w:t>
      </w:r>
      <w:r w:rsidR="6AF85B87" w:rsidRPr="0085719A">
        <w:rPr>
          <w:sz w:val="24"/>
          <w:szCs w:val="24"/>
        </w:rPr>
        <w:t xml:space="preserve"> </w:t>
      </w:r>
      <w:r w:rsidR="00CE2574" w:rsidRPr="0085719A">
        <w:rPr>
          <w:sz w:val="24"/>
          <w:szCs w:val="24"/>
        </w:rPr>
        <w:t>198</w:t>
      </w:r>
      <w:r w:rsidR="652FCAFB" w:rsidRPr="0085719A">
        <w:rPr>
          <w:sz w:val="24"/>
          <w:szCs w:val="24"/>
        </w:rPr>
        <w:t xml:space="preserve"> </w:t>
      </w:r>
      <w:r w:rsidR="00CE2574" w:rsidRPr="0085719A">
        <w:rPr>
          <w:sz w:val="24"/>
          <w:szCs w:val="24"/>
        </w:rPr>
        <w:t>407</w:t>
      </w:r>
      <w:r w:rsidR="006C7B75" w:rsidRPr="0085719A">
        <w:rPr>
          <w:sz w:val="24"/>
          <w:szCs w:val="24"/>
        </w:rPr>
        <w:t xml:space="preserve"> </w:t>
      </w:r>
      <w:r w:rsidRPr="0085719A">
        <w:rPr>
          <w:sz w:val="24"/>
          <w:szCs w:val="24"/>
        </w:rPr>
        <w:t>for the purposes of paragraph 15(1)(c) of the Act</w:t>
      </w:r>
      <w:r w:rsidR="008E7A1B" w:rsidRPr="0085719A">
        <w:rPr>
          <w:sz w:val="24"/>
          <w:szCs w:val="24"/>
        </w:rPr>
        <w:t>, being</w:t>
      </w:r>
      <w:r w:rsidR="008E7A1B" w:rsidRPr="0085719A">
        <w:t xml:space="preserve"> </w:t>
      </w:r>
      <w:r w:rsidR="008E7A1B" w:rsidRPr="0085719A">
        <w:rPr>
          <w:sz w:val="24"/>
          <w:szCs w:val="24"/>
        </w:rPr>
        <w:t>the proportion of the Commonwealth’s</w:t>
      </w:r>
      <w:r w:rsidR="008E7A1B" w:rsidRPr="476138D3">
        <w:rPr>
          <w:sz w:val="24"/>
          <w:szCs w:val="24"/>
        </w:rPr>
        <w:t xml:space="preserve"> contribution to the budget of the </w:t>
      </w:r>
      <w:r w:rsidR="00A541F2" w:rsidRPr="476138D3">
        <w:rPr>
          <w:sz w:val="24"/>
          <w:szCs w:val="24"/>
        </w:rPr>
        <w:t>ITU</w:t>
      </w:r>
      <w:r w:rsidR="008E7A1B" w:rsidRPr="476138D3">
        <w:rPr>
          <w:sz w:val="24"/>
          <w:szCs w:val="24"/>
        </w:rPr>
        <w:t xml:space="preserve"> for the </w:t>
      </w:r>
      <w:r w:rsidR="00CE2574" w:rsidRPr="476138D3">
        <w:rPr>
          <w:sz w:val="24"/>
          <w:szCs w:val="24"/>
        </w:rPr>
        <w:t xml:space="preserve">2022 </w:t>
      </w:r>
      <w:r w:rsidR="008E7A1B" w:rsidRPr="476138D3">
        <w:rPr>
          <w:sz w:val="24"/>
          <w:szCs w:val="24"/>
        </w:rPr>
        <w:t>calendar year that is to be recovered from carriers</w:t>
      </w:r>
      <w:r w:rsidRPr="476138D3">
        <w:rPr>
          <w:sz w:val="24"/>
          <w:szCs w:val="24"/>
        </w:rPr>
        <w:t xml:space="preserve">. </w:t>
      </w:r>
    </w:p>
    <w:p w14:paraId="0DD2C32A" w14:textId="77777777" w:rsidR="00454574" w:rsidRPr="00A5648A" w:rsidRDefault="00454574" w:rsidP="003E7C2D">
      <w:pPr>
        <w:jc w:val="both"/>
        <w:rPr>
          <w:b/>
          <w:sz w:val="24"/>
          <w:szCs w:val="24"/>
        </w:rPr>
      </w:pPr>
    </w:p>
    <w:p w14:paraId="6995DE33" w14:textId="2FA5529E" w:rsidR="003355EC" w:rsidRPr="00A5648A" w:rsidRDefault="002E3631" w:rsidP="003E7C2D">
      <w:pPr>
        <w:keepNext/>
        <w:jc w:val="both"/>
        <w:rPr>
          <w:b/>
          <w:i/>
          <w:sz w:val="24"/>
          <w:szCs w:val="24"/>
        </w:rPr>
      </w:pPr>
      <w:r w:rsidRPr="00A5648A">
        <w:rPr>
          <w:b/>
          <w:sz w:val="24"/>
          <w:szCs w:val="24"/>
        </w:rPr>
        <w:lastRenderedPageBreak/>
        <w:t xml:space="preserve">Section </w:t>
      </w:r>
      <w:r w:rsidR="002A43CA" w:rsidRPr="00A5648A">
        <w:rPr>
          <w:b/>
          <w:sz w:val="24"/>
          <w:szCs w:val="24"/>
        </w:rPr>
        <w:t>8</w:t>
      </w:r>
      <w:r w:rsidRPr="00A5648A">
        <w:rPr>
          <w:b/>
          <w:sz w:val="24"/>
          <w:szCs w:val="24"/>
        </w:rPr>
        <w:t xml:space="preserve"> - Determination of amounts paid under section 136C of </w:t>
      </w:r>
      <w:r w:rsidR="001344B8" w:rsidRPr="00A5648A">
        <w:rPr>
          <w:b/>
          <w:sz w:val="24"/>
          <w:szCs w:val="24"/>
        </w:rPr>
        <w:t xml:space="preserve">the </w:t>
      </w:r>
      <w:r w:rsidRPr="00A5648A">
        <w:rPr>
          <w:b/>
          <w:i/>
          <w:sz w:val="24"/>
          <w:szCs w:val="24"/>
        </w:rPr>
        <w:t>Telecommunications Act 1997</w:t>
      </w:r>
    </w:p>
    <w:p w14:paraId="357A305B" w14:textId="77777777" w:rsidR="003355EC" w:rsidRPr="00A5648A" w:rsidRDefault="003355EC" w:rsidP="003E7C2D">
      <w:pPr>
        <w:keepNext/>
        <w:jc w:val="both"/>
        <w:rPr>
          <w:b/>
          <w:i/>
          <w:sz w:val="24"/>
          <w:szCs w:val="24"/>
        </w:rPr>
      </w:pPr>
    </w:p>
    <w:p w14:paraId="2B9DE721" w14:textId="1CBEF02E" w:rsidR="003355EC" w:rsidRPr="00A5648A" w:rsidRDefault="00B15AE3" w:rsidP="003E7C2D">
      <w:pPr>
        <w:keepNext/>
        <w:jc w:val="both"/>
        <w:rPr>
          <w:sz w:val="24"/>
          <w:szCs w:val="24"/>
        </w:rPr>
      </w:pPr>
      <w:r w:rsidRPr="00A5648A">
        <w:rPr>
          <w:sz w:val="24"/>
          <w:szCs w:val="24"/>
        </w:rPr>
        <w:t>This section determine</w:t>
      </w:r>
      <w:r w:rsidR="008E7A1B" w:rsidRPr="00A5648A">
        <w:rPr>
          <w:sz w:val="24"/>
          <w:szCs w:val="24"/>
        </w:rPr>
        <w:t>s</w:t>
      </w:r>
      <w:r w:rsidR="00F140BF">
        <w:rPr>
          <w:sz w:val="24"/>
          <w:szCs w:val="24"/>
        </w:rPr>
        <w:t>,</w:t>
      </w:r>
      <w:r w:rsidRPr="00A5648A">
        <w:rPr>
          <w:sz w:val="24"/>
          <w:szCs w:val="24"/>
        </w:rPr>
        <w:t xml:space="preserve"> for the purposes of paragraph 15(</w:t>
      </w:r>
      <w:proofErr w:type="gramStart"/>
      <w:r w:rsidRPr="00A5648A">
        <w:rPr>
          <w:sz w:val="24"/>
          <w:szCs w:val="24"/>
        </w:rPr>
        <w:t>1)(</w:t>
      </w:r>
      <w:proofErr w:type="gramEnd"/>
      <w:r w:rsidRPr="00A5648A">
        <w:rPr>
          <w:sz w:val="24"/>
          <w:szCs w:val="24"/>
        </w:rPr>
        <w:t>ca) of the Act</w:t>
      </w:r>
      <w:r w:rsidR="008E7A1B" w:rsidRPr="00A5648A">
        <w:rPr>
          <w:sz w:val="24"/>
          <w:szCs w:val="24"/>
        </w:rPr>
        <w:t xml:space="preserve">, </w:t>
      </w:r>
      <w:r w:rsidR="00F140BF">
        <w:rPr>
          <w:sz w:val="24"/>
          <w:szCs w:val="24"/>
        </w:rPr>
        <w:t xml:space="preserve">that </w:t>
      </w:r>
      <w:r w:rsidR="00937D3C">
        <w:rPr>
          <w:sz w:val="24"/>
          <w:szCs w:val="24"/>
        </w:rPr>
        <w:t xml:space="preserve">no </w:t>
      </w:r>
      <w:r w:rsidR="002A43CA" w:rsidRPr="00A5648A">
        <w:rPr>
          <w:sz w:val="24"/>
          <w:szCs w:val="24"/>
        </w:rPr>
        <w:t xml:space="preserve">amount </w:t>
      </w:r>
      <w:r w:rsidR="00937D3C">
        <w:rPr>
          <w:sz w:val="24"/>
          <w:szCs w:val="24"/>
        </w:rPr>
        <w:t xml:space="preserve">was </w:t>
      </w:r>
      <w:r w:rsidR="002A43CA" w:rsidRPr="00A5648A">
        <w:rPr>
          <w:sz w:val="24"/>
          <w:szCs w:val="24"/>
        </w:rPr>
        <w:t>paid under section</w:t>
      </w:r>
      <w:r w:rsidR="008E7A1B" w:rsidRPr="00A5648A">
        <w:rPr>
          <w:sz w:val="24"/>
          <w:szCs w:val="24"/>
        </w:rPr>
        <w:t xml:space="preserve"> 136C of the </w:t>
      </w:r>
      <w:r w:rsidR="008E7A1B" w:rsidRPr="00A5648A">
        <w:rPr>
          <w:i/>
          <w:sz w:val="24"/>
          <w:szCs w:val="24"/>
        </w:rPr>
        <w:t>Telecommunications Act 1997</w:t>
      </w:r>
      <w:r w:rsidR="008E7A1B" w:rsidRPr="00A5648A">
        <w:rPr>
          <w:sz w:val="24"/>
          <w:szCs w:val="24"/>
        </w:rPr>
        <w:t xml:space="preserve"> during the </w:t>
      </w:r>
      <w:r w:rsidR="00CE2574">
        <w:rPr>
          <w:sz w:val="24"/>
          <w:szCs w:val="24"/>
        </w:rPr>
        <w:t>2021-2022</w:t>
      </w:r>
      <w:r w:rsidR="00CE2574" w:rsidRPr="00A5648A">
        <w:rPr>
          <w:sz w:val="24"/>
          <w:szCs w:val="24"/>
        </w:rPr>
        <w:t xml:space="preserve"> </w:t>
      </w:r>
      <w:r w:rsidR="008E7A1B" w:rsidRPr="00A5648A">
        <w:rPr>
          <w:sz w:val="24"/>
          <w:szCs w:val="24"/>
        </w:rPr>
        <w:t>financial year</w:t>
      </w:r>
      <w:r w:rsidRPr="00A5648A">
        <w:rPr>
          <w:sz w:val="24"/>
          <w:szCs w:val="24"/>
        </w:rPr>
        <w:t xml:space="preserve">. </w:t>
      </w:r>
    </w:p>
    <w:p w14:paraId="3AD2549E" w14:textId="32050D09" w:rsidR="00AB70C2" w:rsidRPr="00A5648A" w:rsidRDefault="00AB70C2" w:rsidP="003E7C2D">
      <w:pPr>
        <w:keepNext/>
        <w:jc w:val="both"/>
        <w:rPr>
          <w:sz w:val="24"/>
          <w:szCs w:val="24"/>
        </w:rPr>
      </w:pPr>
    </w:p>
    <w:p w14:paraId="55FCC316" w14:textId="77777777" w:rsidR="00D76BC1" w:rsidRPr="00A5648A" w:rsidRDefault="00D76BC1" w:rsidP="00AB70C2">
      <w:pPr>
        <w:shd w:val="clear" w:color="auto" w:fill="FFFFFF"/>
        <w:spacing w:line="235" w:lineRule="atLeast"/>
        <w:jc w:val="right"/>
        <w:rPr>
          <w:b/>
          <w:bCs/>
          <w:sz w:val="24"/>
          <w:szCs w:val="24"/>
        </w:rPr>
        <w:sectPr w:rsidR="00D76BC1" w:rsidRPr="00A5648A" w:rsidSect="0027498D">
          <w:footerReference w:type="default" r:id="rId12"/>
          <w:pgSz w:w="11906" w:h="16838"/>
          <w:pgMar w:top="1440" w:right="1800" w:bottom="1440" w:left="1800" w:header="720" w:footer="720" w:gutter="0"/>
          <w:cols w:space="720"/>
          <w:titlePg/>
          <w:docGrid w:linePitch="360"/>
        </w:sectPr>
      </w:pPr>
    </w:p>
    <w:p w14:paraId="3E922E09" w14:textId="674B7CB9" w:rsidR="00AB70C2" w:rsidRPr="00A5648A" w:rsidRDefault="00AB70C2" w:rsidP="00AB70C2">
      <w:pPr>
        <w:shd w:val="clear" w:color="auto" w:fill="FFFFFF"/>
        <w:spacing w:line="235" w:lineRule="atLeast"/>
        <w:jc w:val="right"/>
        <w:rPr>
          <w:sz w:val="24"/>
          <w:szCs w:val="24"/>
        </w:rPr>
      </w:pPr>
      <w:r w:rsidRPr="00A5648A">
        <w:rPr>
          <w:b/>
          <w:bCs/>
          <w:sz w:val="24"/>
          <w:szCs w:val="24"/>
        </w:rPr>
        <w:lastRenderedPageBreak/>
        <w:t>Attachment B</w:t>
      </w:r>
      <w:r w:rsidRPr="00A5648A">
        <w:rPr>
          <w:b/>
          <w:bCs/>
          <w:sz w:val="24"/>
          <w:szCs w:val="24"/>
        </w:rPr>
        <w:br/>
      </w:r>
      <w:r w:rsidRPr="00A5648A">
        <w:rPr>
          <w:sz w:val="24"/>
          <w:szCs w:val="24"/>
        </w:rPr>
        <w:br/>
      </w:r>
    </w:p>
    <w:p w14:paraId="2547E878" w14:textId="08FCF4E0" w:rsidR="00AB70C2" w:rsidRPr="00A5648A" w:rsidRDefault="00AB70C2" w:rsidP="00AB70C2">
      <w:pPr>
        <w:shd w:val="clear" w:color="auto" w:fill="FFFFFF"/>
        <w:spacing w:line="235" w:lineRule="atLeast"/>
        <w:rPr>
          <w:color w:val="000000"/>
        </w:rPr>
      </w:pPr>
      <w:r w:rsidRPr="00A5648A">
        <w:rPr>
          <w:b/>
          <w:bCs/>
          <w:color w:val="000000"/>
          <w:sz w:val="28"/>
          <w:szCs w:val="28"/>
        </w:rPr>
        <w:t>Statement of compatibility with human rights</w:t>
      </w:r>
      <w:r w:rsidRPr="00A5648A">
        <w:rPr>
          <w:b/>
          <w:bCs/>
          <w:color w:val="000000"/>
          <w:sz w:val="28"/>
          <w:szCs w:val="28"/>
        </w:rPr>
        <w:br/>
      </w:r>
    </w:p>
    <w:p w14:paraId="52AE1950" w14:textId="77777777" w:rsidR="00AB70C2" w:rsidRPr="00A5648A" w:rsidRDefault="00AB70C2" w:rsidP="00B520EF">
      <w:pPr>
        <w:shd w:val="clear" w:color="auto" w:fill="FFFFFF"/>
        <w:spacing w:line="235" w:lineRule="atLeast"/>
        <w:jc w:val="both"/>
        <w:rPr>
          <w:color w:val="000000"/>
          <w:sz w:val="24"/>
          <w:szCs w:val="24"/>
        </w:rPr>
      </w:pPr>
      <w:r w:rsidRPr="00A5648A">
        <w:rPr>
          <w:color w:val="000000"/>
          <w:sz w:val="24"/>
          <w:szCs w:val="24"/>
        </w:rPr>
        <w:t>Prepared by the Australian Communications and Media Authority (</w:t>
      </w:r>
      <w:r w:rsidRPr="00A5648A">
        <w:rPr>
          <w:b/>
          <w:bCs/>
          <w:color w:val="000000"/>
          <w:sz w:val="24"/>
          <w:szCs w:val="24"/>
        </w:rPr>
        <w:t>ACMA</w:t>
      </w:r>
      <w:r w:rsidRPr="00A5648A">
        <w:rPr>
          <w:color w:val="000000"/>
          <w:sz w:val="24"/>
          <w:szCs w:val="24"/>
        </w:rPr>
        <w:t xml:space="preserve">) under subsection 9(1) of the </w:t>
      </w:r>
      <w:r w:rsidRPr="00A5648A">
        <w:rPr>
          <w:i/>
          <w:iCs/>
          <w:color w:val="000000"/>
          <w:sz w:val="24"/>
          <w:szCs w:val="24"/>
        </w:rPr>
        <w:t>Human Rights (Parliamentary Scrutiny) Act 2011</w:t>
      </w:r>
    </w:p>
    <w:p w14:paraId="77CB04A2" w14:textId="77777777" w:rsidR="00AB70C2" w:rsidRPr="00A5648A" w:rsidRDefault="00AB70C2" w:rsidP="00B520EF">
      <w:pPr>
        <w:jc w:val="both"/>
        <w:rPr>
          <w:sz w:val="28"/>
          <w:szCs w:val="28"/>
        </w:rPr>
      </w:pPr>
    </w:p>
    <w:p w14:paraId="111CD922" w14:textId="4C7212F9" w:rsidR="00AB70C2" w:rsidRPr="00A5648A" w:rsidRDefault="00AB70C2" w:rsidP="003464CB">
      <w:pPr>
        <w:jc w:val="both"/>
        <w:rPr>
          <w:sz w:val="24"/>
          <w:szCs w:val="24"/>
        </w:rPr>
      </w:pPr>
      <w:r w:rsidRPr="00A5648A">
        <w:rPr>
          <w:b/>
          <w:i/>
          <w:sz w:val="24"/>
          <w:szCs w:val="24"/>
        </w:rPr>
        <w:t xml:space="preserve">Telecommunications </w:t>
      </w:r>
      <w:r w:rsidR="00E033E0" w:rsidRPr="00A5648A">
        <w:rPr>
          <w:b/>
          <w:i/>
          <w:sz w:val="24"/>
          <w:szCs w:val="24"/>
        </w:rPr>
        <w:t xml:space="preserve">Carrier Licence Charges </w:t>
      </w:r>
      <w:r w:rsidRPr="00A5648A">
        <w:rPr>
          <w:b/>
          <w:i/>
          <w:sz w:val="24"/>
          <w:szCs w:val="24"/>
        </w:rPr>
        <w:t xml:space="preserve">(Specification of Costs by the ACMA) Determination </w:t>
      </w:r>
      <w:r w:rsidR="00E033E0" w:rsidRPr="00A5648A">
        <w:rPr>
          <w:b/>
          <w:i/>
          <w:sz w:val="24"/>
          <w:szCs w:val="24"/>
        </w:rPr>
        <w:t xml:space="preserve">(No. </w:t>
      </w:r>
      <w:r w:rsidR="00CE2574">
        <w:rPr>
          <w:b/>
          <w:i/>
          <w:sz w:val="24"/>
          <w:szCs w:val="24"/>
        </w:rPr>
        <w:t>2</w:t>
      </w:r>
      <w:r w:rsidR="00E033E0" w:rsidRPr="00A5648A">
        <w:rPr>
          <w:b/>
          <w:i/>
          <w:sz w:val="24"/>
          <w:szCs w:val="24"/>
        </w:rPr>
        <w:t xml:space="preserve">) </w:t>
      </w:r>
      <w:r w:rsidRPr="00A5648A">
        <w:rPr>
          <w:b/>
          <w:i/>
          <w:sz w:val="24"/>
          <w:szCs w:val="24"/>
        </w:rPr>
        <w:t>20</w:t>
      </w:r>
      <w:r w:rsidR="00E033E0" w:rsidRPr="00A5648A">
        <w:rPr>
          <w:b/>
          <w:i/>
          <w:sz w:val="24"/>
          <w:szCs w:val="24"/>
        </w:rPr>
        <w:t>2</w:t>
      </w:r>
      <w:r w:rsidR="005B23F3">
        <w:rPr>
          <w:b/>
          <w:i/>
          <w:sz w:val="24"/>
          <w:szCs w:val="24"/>
        </w:rPr>
        <w:t>3</w:t>
      </w:r>
    </w:p>
    <w:p w14:paraId="0652B229" w14:textId="2A4290D1" w:rsidR="00AB70C2" w:rsidRPr="00A5648A" w:rsidRDefault="00AB70C2" w:rsidP="00B520EF">
      <w:pPr>
        <w:pStyle w:val="ACMABodyText"/>
        <w:spacing w:before="0" w:after="0" w:line="240" w:lineRule="auto"/>
        <w:jc w:val="both"/>
        <w:rPr>
          <w:b/>
          <w:i/>
          <w:szCs w:val="24"/>
        </w:rPr>
      </w:pPr>
      <w:r w:rsidRPr="00A5648A">
        <w:rPr>
          <w:szCs w:val="24"/>
        </w:rPr>
        <w:br/>
      </w:r>
      <w:r w:rsidRPr="00A5648A">
        <w:rPr>
          <w:b/>
          <w:i/>
          <w:szCs w:val="24"/>
        </w:rPr>
        <w:t>Overview of the Determination</w:t>
      </w:r>
    </w:p>
    <w:p w14:paraId="2D897A5B" w14:textId="77777777" w:rsidR="00AB70C2" w:rsidRPr="00A5648A" w:rsidRDefault="00AB70C2" w:rsidP="00B520EF">
      <w:pPr>
        <w:pStyle w:val="ACMABodyText"/>
        <w:spacing w:before="0" w:after="0" w:line="240" w:lineRule="auto"/>
        <w:jc w:val="both"/>
        <w:rPr>
          <w:b/>
          <w:i/>
          <w:szCs w:val="24"/>
        </w:rPr>
      </w:pPr>
    </w:p>
    <w:p w14:paraId="0E27B606" w14:textId="3D921323" w:rsidR="00AB70C2" w:rsidRPr="00A5648A" w:rsidRDefault="00AB70C2" w:rsidP="003464CB">
      <w:pPr>
        <w:jc w:val="both"/>
        <w:rPr>
          <w:sz w:val="24"/>
          <w:szCs w:val="24"/>
        </w:rPr>
      </w:pPr>
      <w:r w:rsidRPr="00A5648A">
        <w:rPr>
          <w:sz w:val="24"/>
          <w:szCs w:val="24"/>
        </w:rPr>
        <w:t xml:space="preserve">The </w:t>
      </w:r>
      <w:r w:rsidR="009A4716" w:rsidRPr="00A5648A">
        <w:rPr>
          <w:bCs/>
          <w:i/>
          <w:sz w:val="24"/>
          <w:szCs w:val="24"/>
        </w:rPr>
        <w:t xml:space="preserve">Telecommunications Carrier Licence Charges (Specification of Costs by the ACMA) Determination (No. </w:t>
      </w:r>
      <w:r w:rsidR="00CE2574">
        <w:rPr>
          <w:bCs/>
          <w:i/>
          <w:sz w:val="24"/>
          <w:szCs w:val="24"/>
        </w:rPr>
        <w:t>2</w:t>
      </w:r>
      <w:r w:rsidR="009A4716" w:rsidRPr="00A5648A">
        <w:rPr>
          <w:bCs/>
          <w:i/>
          <w:sz w:val="24"/>
          <w:szCs w:val="24"/>
        </w:rPr>
        <w:t>) 202</w:t>
      </w:r>
      <w:r w:rsidR="005B23F3">
        <w:rPr>
          <w:bCs/>
          <w:i/>
          <w:sz w:val="24"/>
          <w:szCs w:val="24"/>
        </w:rPr>
        <w:t>3</w:t>
      </w:r>
      <w:r w:rsidR="009A4716" w:rsidRPr="00A5648A">
        <w:rPr>
          <w:bCs/>
          <w:i/>
          <w:sz w:val="24"/>
          <w:szCs w:val="24"/>
        </w:rPr>
        <w:t xml:space="preserve"> </w:t>
      </w:r>
      <w:r w:rsidR="009A4716" w:rsidRPr="00A5648A">
        <w:rPr>
          <w:bCs/>
          <w:iCs/>
          <w:sz w:val="24"/>
          <w:szCs w:val="24"/>
        </w:rPr>
        <w:t xml:space="preserve">(the </w:t>
      </w:r>
      <w:r w:rsidR="009A4716" w:rsidRPr="00A5648A">
        <w:rPr>
          <w:b/>
          <w:iCs/>
          <w:sz w:val="24"/>
          <w:szCs w:val="24"/>
        </w:rPr>
        <w:t>Determination</w:t>
      </w:r>
      <w:r w:rsidR="009A4716" w:rsidRPr="00A5648A">
        <w:rPr>
          <w:bCs/>
          <w:iCs/>
          <w:sz w:val="24"/>
          <w:szCs w:val="24"/>
        </w:rPr>
        <w:t xml:space="preserve">) </w:t>
      </w:r>
      <w:r w:rsidRPr="00A5648A">
        <w:rPr>
          <w:sz w:val="24"/>
          <w:szCs w:val="24"/>
        </w:rPr>
        <w:t>is made under paragraphs 15(1)(a), (c) and (ca) of the</w:t>
      </w:r>
      <w:r w:rsidR="001A436D" w:rsidRPr="00A5648A">
        <w:rPr>
          <w:sz w:val="24"/>
          <w:szCs w:val="24"/>
        </w:rPr>
        <w:t xml:space="preserve"> </w:t>
      </w:r>
      <w:r w:rsidR="0015614C" w:rsidRPr="00A5648A">
        <w:rPr>
          <w:i/>
          <w:iCs/>
          <w:sz w:val="24"/>
          <w:szCs w:val="24"/>
        </w:rPr>
        <w:t>Telecommunications (Carrier Licence Charges) Act 1997</w:t>
      </w:r>
      <w:r w:rsidRPr="00A5648A">
        <w:rPr>
          <w:sz w:val="24"/>
          <w:szCs w:val="24"/>
        </w:rPr>
        <w:t xml:space="preserve"> </w:t>
      </w:r>
      <w:r w:rsidR="0015614C" w:rsidRPr="00A5648A">
        <w:rPr>
          <w:sz w:val="24"/>
          <w:szCs w:val="24"/>
        </w:rPr>
        <w:t xml:space="preserve">(the </w:t>
      </w:r>
      <w:r w:rsidRPr="00A5648A">
        <w:rPr>
          <w:b/>
          <w:bCs/>
          <w:sz w:val="24"/>
          <w:szCs w:val="24"/>
        </w:rPr>
        <w:t>Act</w:t>
      </w:r>
      <w:r w:rsidR="0015614C" w:rsidRPr="00A5648A">
        <w:rPr>
          <w:sz w:val="24"/>
          <w:szCs w:val="24"/>
        </w:rPr>
        <w:t>)</w:t>
      </w:r>
      <w:r w:rsidRPr="00A5648A">
        <w:rPr>
          <w:sz w:val="24"/>
          <w:szCs w:val="24"/>
        </w:rPr>
        <w:t xml:space="preserve">. Subsection 15(1) of the Act provides that the total of the charges that are imposed on carrier licences in force at the beginning of a financial year must not exceed the sum of the amounts determined under paragraphs 15(1)(a) to (d) of the Act. </w:t>
      </w:r>
    </w:p>
    <w:p w14:paraId="247ECA2A" w14:textId="77777777" w:rsidR="00AB70C2" w:rsidRPr="00A5648A" w:rsidRDefault="00AB70C2" w:rsidP="00B520EF">
      <w:pPr>
        <w:jc w:val="both"/>
        <w:rPr>
          <w:b/>
          <w:sz w:val="28"/>
        </w:rPr>
      </w:pPr>
    </w:p>
    <w:p w14:paraId="2F1E79C3" w14:textId="77777777" w:rsidR="00AB70C2" w:rsidRPr="00A5648A" w:rsidRDefault="00AB70C2" w:rsidP="00B520EF">
      <w:pPr>
        <w:pStyle w:val="ACMABodyTextChar"/>
        <w:spacing w:before="0" w:after="0" w:line="240" w:lineRule="auto"/>
        <w:jc w:val="both"/>
        <w:rPr>
          <w:szCs w:val="24"/>
        </w:rPr>
      </w:pPr>
      <w:r w:rsidRPr="00A5648A">
        <w:rPr>
          <w:szCs w:val="24"/>
        </w:rPr>
        <w:t xml:space="preserve">The Determination determines the amounts attributable to those items in paragraphs 15(1)(a), (c) and (ca) of the Act.  </w:t>
      </w:r>
    </w:p>
    <w:p w14:paraId="3F31F2C6" w14:textId="77777777" w:rsidR="00AB70C2" w:rsidRPr="00A5648A" w:rsidRDefault="00AB70C2">
      <w:pPr>
        <w:pStyle w:val="ACMABodyTextChar"/>
        <w:spacing w:before="0" w:after="0" w:line="240" w:lineRule="auto"/>
        <w:jc w:val="both"/>
        <w:rPr>
          <w:szCs w:val="24"/>
        </w:rPr>
      </w:pPr>
    </w:p>
    <w:p w14:paraId="7A3B73F6" w14:textId="77777777" w:rsidR="00AB70C2" w:rsidRPr="00A5648A" w:rsidRDefault="00AB70C2">
      <w:pPr>
        <w:jc w:val="both"/>
        <w:rPr>
          <w:b/>
          <w:i/>
          <w:sz w:val="24"/>
          <w:szCs w:val="24"/>
        </w:rPr>
      </w:pPr>
      <w:r w:rsidRPr="00A5648A">
        <w:rPr>
          <w:b/>
          <w:i/>
          <w:sz w:val="24"/>
          <w:szCs w:val="24"/>
        </w:rPr>
        <w:t>Human rights implications</w:t>
      </w:r>
    </w:p>
    <w:p w14:paraId="55DCA2FF" w14:textId="77777777" w:rsidR="00AB70C2" w:rsidRPr="00A5648A" w:rsidRDefault="00AB70C2">
      <w:pPr>
        <w:jc w:val="both"/>
        <w:rPr>
          <w:sz w:val="24"/>
          <w:szCs w:val="24"/>
        </w:rPr>
      </w:pPr>
    </w:p>
    <w:p w14:paraId="0C65E994" w14:textId="77777777" w:rsidR="00AB70C2" w:rsidRPr="00A5648A" w:rsidRDefault="00AB70C2">
      <w:pPr>
        <w:jc w:val="both"/>
        <w:rPr>
          <w:snapToGrid w:val="0"/>
          <w:sz w:val="24"/>
          <w:szCs w:val="24"/>
          <w:lang w:eastAsia="en-US"/>
        </w:rPr>
      </w:pPr>
      <w:r w:rsidRPr="00A5648A">
        <w:rPr>
          <w:snapToGrid w:val="0"/>
          <w:sz w:val="24"/>
          <w:szCs w:val="24"/>
          <w:lang w:eastAsia="en-US"/>
        </w:rPr>
        <w:t xml:space="preserve">The ACMA has assessed whether the Determination is compatible with human rights, being the rights and freedoms recognised or declared by the international instruments listed in subsection 3(1) of the </w:t>
      </w:r>
      <w:r w:rsidRPr="00A5648A">
        <w:rPr>
          <w:i/>
          <w:snapToGrid w:val="0"/>
          <w:sz w:val="24"/>
          <w:szCs w:val="24"/>
          <w:lang w:eastAsia="en-US"/>
        </w:rPr>
        <w:t>Human Rights (Parliamentary Scrutiny) Act 2011</w:t>
      </w:r>
      <w:r w:rsidRPr="00A5648A">
        <w:rPr>
          <w:snapToGrid w:val="0"/>
          <w:sz w:val="24"/>
          <w:szCs w:val="24"/>
          <w:lang w:eastAsia="en-US"/>
        </w:rPr>
        <w:t xml:space="preserve"> as they apply to Australia. </w:t>
      </w:r>
    </w:p>
    <w:p w14:paraId="3CBE9D8B" w14:textId="77777777" w:rsidR="00AB70C2" w:rsidRPr="00A5648A" w:rsidRDefault="00AB70C2">
      <w:pPr>
        <w:jc w:val="both"/>
        <w:rPr>
          <w:szCs w:val="24"/>
        </w:rPr>
      </w:pPr>
    </w:p>
    <w:p w14:paraId="77AEC1F9" w14:textId="47B4A378" w:rsidR="00AB70C2" w:rsidRPr="00A5648A" w:rsidRDefault="00AB70C2">
      <w:pPr>
        <w:pStyle w:val="ACMABodyText"/>
        <w:spacing w:before="0" w:after="0" w:line="240" w:lineRule="auto"/>
        <w:jc w:val="both"/>
        <w:rPr>
          <w:szCs w:val="24"/>
        </w:rPr>
      </w:pPr>
      <w:r w:rsidRPr="00A5648A">
        <w:rPr>
          <w:szCs w:val="24"/>
        </w:rPr>
        <w:t xml:space="preserve">Having considered the likely impact of the </w:t>
      </w:r>
      <w:r w:rsidR="00E26AD7">
        <w:rPr>
          <w:szCs w:val="24"/>
        </w:rPr>
        <w:t xml:space="preserve">Determination </w:t>
      </w:r>
      <w:r w:rsidRPr="00A5648A">
        <w:rPr>
          <w:szCs w:val="24"/>
        </w:rPr>
        <w:t xml:space="preserve">and the nature of the applicable rights and freedoms, the ACMA has formed the view that the Determination does not engage any of those rights or freedoms.  </w:t>
      </w:r>
    </w:p>
    <w:p w14:paraId="06545D8E" w14:textId="77777777" w:rsidR="00AB70C2" w:rsidRPr="00A5648A" w:rsidRDefault="00AB70C2">
      <w:pPr>
        <w:pStyle w:val="ACMABodyText"/>
        <w:spacing w:before="0" w:after="0" w:line="240" w:lineRule="auto"/>
        <w:jc w:val="both"/>
        <w:rPr>
          <w:szCs w:val="24"/>
        </w:rPr>
      </w:pPr>
    </w:p>
    <w:p w14:paraId="6D95B9DE" w14:textId="77777777" w:rsidR="00AB70C2" w:rsidRPr="00A5648A" w:rsidRDefault="00AB70C2">
      <w:pPr>
        <w:pStyle w:val="ACMABodyText"/>
        <w:spacing w:before="0" w:after="0" w:line="240" w:lineRule="auto"/>
        <w:jc w:val="both"/>
        <w:rPr>
          <w:b/>
          <w:szCs w:val="24"/>
        </w:rPr>
      </w:pPr>
      <w:r w:rsidRPr="00A5648A">
        <w:rPr>
          <w:b/>
          <w:i/>
          <w:szCs w:val="24"/>
        </w:rPr>
        <w:t>Conclusion</w:t>
      </w:r>
    </w:p>
    <w:p w14:paraId="24087D13" w14:textId="77777777" w:rsidR="00AB70C2" w:rsidRPr="00A5648A" w:rsidRDefault="00AB70C2">
      <w:pPr>
        <w:pStyle w:val="ACMABodyText"/>
        <w:spacing w:before="0" w:after="0" w:line="240" w:lineRule="auto"/>
        <w:jc w:val="both"/>
        <w:rPr>
          <w:szCs w:val="24"/>
        </w:rPr>
      </w:pPr>
    </w:p>
    <w:p w14:paraId="74B30C74" w14:textId="77777777" w:rsidR="00AB70C2" w:rsidRPr="0035341A" w:rsidRDefault="00AB70C2">
      <w:pPr>
        <w:pStyle w:val="ACMABodyText"/>
        <w:spacing w:before="0" w:after="0" w:line="240" w:lineRule="auto"/>
        <w:jc w:val="both"/>
        <w:rPr>
          <w:szCs w:val="24"/>
        </w:rPr>
      </w:pPr>
      <w:r w:rsidRPr="00A5648A">
        <w:rPr>
          <w:szCs w:val="24"/>
        </w:rPr>
        <w:t>The Determination is compatible with human rights as it does not raise any human rights issues.</w:t>
      </w:r>
    </w:p>
    <w:p w14:paraId="2CAE007D" w14:textId="1E1AD464" w:rsidR="00AB70C2" w:rsidRDefault="00AB70C2">
      <w:pPr>
        <w:keepNext/>
        <w:jc w:val="both"/>
        <w:rPr>
          <w:sz w:val="24"/>
          <w:szCs w:val="24"/>
        </w:rPr>
      </w:pPr>
    </w:p>
    <w:sectPr w:rsidR="00AB70C2" w:rsidSect="00454574">
      <w:footerReference w:type="first" r:id="rId13"/>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5BDE" w14:textId="77777777" w:rsidR="005E7966" w:rsidRDefault="005E7966">
      <w:r>
        <w:separator/>
      </w:r>
    </w:p>
  </w:endnote>
  <w:endnote w:type="continuationSeparator" w:id="0">
    <w:p w14:paraId="3EF77F6E" w14:textId="77777777" w:rsidR="005E7966" w:rsidRDefault="005E7966">
      <w:r>
        <w:continuationSeparator/>
      </w:r>
    </w:p>
  </w:endnote>
  <w:endnote w:type="continuationNotice" w:id="1">
    <w:p w14:paraId="39CC1F0B" w14:textId="77777777" w:rsidR="005E7966" w:rsidRDefault="005E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3331" w14:textId="2A6B4248" w:rsidR="00646A40" w:rsidRDefault="00646A40">
    <w:pPr>
      <w:pStyle w:val="Footer"/>
      <w:pBdr>
        <w:bottom w:val="single" w:sz="6" w:space="1" w:color="auto"/>
      </w:pBdr>
      <w:jc w:val="right"/>
    </w:pPr>
  </w:p>
  <w:p w14:paraId="7C6ADB48" w14:textId="77777777" w:rsidR="0089117D" w:rsidRDefault="0089117D">
    <w:pPr>
      <w:pStyle w:val="Footer"/>
      <w:jc w:val="right"/>
    </w:pPr>
  </w:p>
  <w:p w14:paraId="4CCDDA0F" w14:textId="77BCF78E" w:rsidR="00646A40" w:rsidRDefault="00814CCF" w:rsidP="006A2728">
    <w:pPr>
      <w:pStyle w:val="Footer"/>
      <w:jc w:val="center"/>
      <w:rPr>
        <w:i/>
        <w:iCs/>
      </w:rPr>
    </w:pPr>
    <w:r>
      <w:rPr>
        <w:i/>
        <w:iCs/>
      </w:rPr>
      <w:t xml:space="preserve">Explanatory Statement to the Telecommunications Carrier Licence Charges (Specification of Costs by the ACMA) Determination (No. </w:t>
    </w:r>
    <w:r w:rsidR="00CE2574">
      <w:rPr>
        <w:i/>
        <w:iCs/>
      </w:rPr>
      <w:t>2</w:t>
    </w:r>
    <w:r>
      <w:rPr>
        <w:i/>
        <w:iCs/>
      </w:rPr>
      <w:t>) 202</w:t>
    </w:r>
    <w:r w:rsidR="00507806">
      <w:rPr>
        <w:i/>
        <w:iCs/>
      </w:rPr>
      <w:t>3</w:t>
    </w:r>
  </w:p>
  <w:p w14:paraId="78D681D2" w14:textId="45ECB952" w:rsidR="00E64E90" w:rsidRPr="006A2728" w:rsidRDefault="00E64E90" w:rsidP="00E64E9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A630" w14:textId="77777777" w:rsidR="00E64E90" w:rsidRDefault="00E64E90" w:rsidP="002E562D">
    <w:pPr>
      <w:pStyle w:val="Footer"/>
      <w:pBdr>
        <w:bottom w:val="single" w:sz="6" w:space="1" w:color="auto"/>
      </w:pBdr>
      <w:jc w:val="right"/>
    </w:pPr>
  </w:p>
  <w:p w14:paraId="0EA3706F" w14:textId="77777777" w:rsidR="00E64E90" w:rsidRDefault="00E64E90" w:rsidP="002E562D">
    <w:pPr>
      <w:pStyle w:val="Footer"/>
      <w:jc w:val="right"/>
    </w:pPr>
  </w:p>
  <w:p w14:paraId="06F5E0D7" w14:textId="6266DB3E" w:rsidR="00E64E90" w:rsidRDefault="00E64E90" w:rsidP="00E64E90">
    <w:pPr>
      <w:pStyle w:val="Footer"/>
      <w:jc w:val="center"/>
      <w:rPr>
        <w:i/>
        <w:iCs/>
      </w:rPr>
    </w:pPr>
    <w:r>
      <w:rPr>
        <w:i/>
        <w:iCs/>
      </w:rPr>
      <w:t xml:space="preserve">Explanatory Statement to the Telecommunications Carrier Licence Charges (Specification of Costs by the ACMA) Determination (No. </w:t>
    </w:r>
    <w:r w:rsidR="00CE2574">
      <w:rPr>
        <w:i/>
        <w:iCs/>
      </w:rPr>
      <w:t>2</w:t>
    </w:r>
    <w:r>
      <w:rPr>
        <w:i/>
        <w:iCs/>
      </w:rPr>
      <w:t>) 202</w:t>
    </w:r>
    <w:r w:rsidR="00507806">
      <w:rPr>
        <w:i/>
        <w:iCs/>
      </w:rPr>
      <w:t>3</w:t>
    </w:r>
  </w:p>
  <w:p w14:paraId="5F839A53" w14:textId="74AC021A" w:rsidR="00E64E90" w:rsidRPr="00E64E90" w:rsidRDefault="00E64E90" w:rsidP="00E64E9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4C3F" w14:textId="77777777" w:rsidR="005E7966" w:rsidRDefault="005E7966">
      <w:r>
        <w:separator/>
      </w:r>
    </w:p>
  </w:footnote>
  <w:footnote w:type="continuationSeparator" w:id="0">
    <w:p w14:paraId="05748DFD" w14:textId="77777777" w:rsidR="005E7966" w:rsidRDefault="005E7966">
      <w:r>
        <w:continuationSeparator/>
      </w:r>
    </w:p>
  </w:footnote>
  <w:footnote w:type="continuationNotice" w:id="1">
    <w:p w14:paraId="08C1561F" w14:textId="77777777" w:rsidR="005E7966" w:rsidRDefault="005E79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E2"/>
    <w:multiLevelType w:val="hybridMultilevel"/>
    <w:tmpl w:val="BDC251F4"/>
    <w:lvl w:ilvl="0" w:tplc="43F2F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101FE"/>
    <w:multiLevelType w:val="hybridMultilevel"/>
    <w:tmpl w:val="AF3896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0EC54DED"/>
    <w:multiLevelType w:val="hybridMultilevel"/>
    <w:tmpl w:val="43BA8784"/>
    <w:lvl w:ilvl="0" w:tplc="73E21634">
      <w:start w:val="4"/>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7683659"/>
    <w:multiLevelType w:val="hybridMultilevel"/>
    <w:tmpl w:val="5B5E9FF6"/>
    <w:lvl w:ilvl="0" w:tplc="FD6CB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281A1A"/>
    <w:multiLevelType w:val="hybridMultilevel"/>
    <w:tmpl w:val="AA5ACA28"/>
    <w:lvl w:ilvl="0" w:tplc="AA40CA7C">
      <w:start w:val="2"/>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FF24BD"/>
    <w:multiLevelType w:val="hybridMultilevel"/>
    <w:tmpl w:val="34B6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16CBB"/>
    <w:multiLevelType w:val="hybridMultilevel"/>
    <w:tmpl w:val="1E782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9" w15:restartNumberingAfterBreak="0">
    <w:nsid w:val="7ACE0040"/>
    <w:multiLevelType w:val="hybridMultilevel"/>
    <w:tmpl w:val="0E902AE0"/>
    <w:lvl w:ilvl="0" w:tplc="AA3C69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7132210">
    <w:abstractNumId w:val="2"/>
  </w:num>
  <w:num w:numId="2" w16cid:durableId="608200354">
    <w:abstractNumId w:val="8"/>
  </w:num>
  <w:num w:numId="3" w16cid:durableId="1435125504">
    <w:abstractNumId w:val="3"/>
  </w:num>
  <w:num w:numId="4" w16cid:durableId="1320693350">
    <w:abstractNumId w:val="1"/>
  </w:num>
  <w:num w:numId="5" w16cid:durableId="1487478435">
    <w:abstractNumId w:val="0"/>
  </w:num>
  <w:num w:numId="6" w16cid:durableId="70199610">
    <w:abstractNumId w:val="9"/>
  </w:num>
  <w:num w:numId="7" w16cid:durableId="1751002931">
    <w:abstractNumId w:val="4"/>
  </w:num>
  <w:num w:numId="8" w16cid:durableId="411199870">
    <w:abstractNumId w:val="7"/>
  </w:num>
  <w:num w:numId="9" w16cid:durableId="112359574">
    <w:abstractNumId w:val="6"/>
  </w:num>
  <w:num w:numId="10" w16cid:durableId="47507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59"/>
    <w:rsid w:val="00000137"/>
    <w:rsid w:val="000026C6"/>
    <w:rsid w:val="000034F2"/>
    <w:rsid w:val="00003EEA"/>
    <w:rsid w:val="00006988"/>
    <w:rsid w:val="00013E28"/>
    <w:rsid w:val="00020282"/>
    <w:rsid w:val="000246C6"/>
    <w:rsid w:val="00030A63"/>
    <w:rsid w:val="00032200"/>
    <w:rsid w:val="00036FBA"/>
    <w:rsid w:val="00041A28"/>
    <w:rsid w:val="00052326"/>
    <w:rsid w:val="000565E6"/>
    <w:rsid w:val="00056DD0"/>
    <w:rsid w:val="00060CD9"/>
    <w:rsid w:val="00067821"/>
    <w:rsid w:val="00067D2A"/>
    <w:rsid w:val="00074FD8"/>
    <w:rsid w:val="00075603"/>
    <w:rsid w:val="0008106B"/>
    <w:rsid w:val="000A1C92"/>
    <w:rsid w:val="000A2E4D"/>
    <w:rsid w:val="000A5060"/>
    <w:rsid w:val="000A6435"/>
    <w:rsid w:val="000B07BC"/>
    <w:rsid w:val="000C5049"/>
    <w:rsid w:val="000C5FE2"/>
    <w:rsid w:val="000D21D9"/>
    <w:rsid w:val="000D5A8A"/>
    <w:rsid w:val="000D6294"/>
    <w:rsid w:val="000D6C90"/>
    <w:rsid w:val="000D71CD"/>
    <w:rsid w:val="000E3F5F"/>
    <w:rsid w:val="000E5ED6"/>
    <w:rsid w:val="000E6621"/>
    <w:rsid w:val="000F0ED0"/>
    <w:rsid w:val="000F2E37"/>
    <w:rsid w:val="000F342C"/>
    <w:rsid w:val="000F4A22"/>
    <w:rsid w:val="001071A8"/>
    <w:rsid w:val="00111FF6"/>
    <w:rsid w:val="00114028"/>
    <w:rsid w:val="00114BFF"/>
    <w:rsid w:val="00116ED8"/>
    <w:rsid w:val="00117039"/>
    <w:rsid w:val="001233F1"/>
    <w:rsid w:val="001243A7"/>
    <w:rsid w:val="001344B8"/>
    <w:rsid w:val="00142D19"/>
    <w:rsid w:val="001438D8"/>
    <w:rsid w:val="0014667B"/>
    <w:rsid w:val="00155D97"/>
    <w:rsid w:val="0015614C"/>
    <w:rsid w:val="001575B8"/>
    <w:rsid w:val="001575BB"/>
    <w:rsid w:val="00163ABF"/>
    <w:rsid w:val="00166B27"/>
    <w:rsid w:val="0016721F"/>
    <w:rsid w:val="00171788"/>
    <w:rsid w:val="001722A9"/>
    <w:rsid w:val="001736AD"/>
    <w:rsid w:val="00174F6E"/>
    <w:rsid w:val="00175E50"/>
    <w:rsid w:val="00184D32"/>
    <w:rsid w:val="00186511"/>
    <w:rsid w:val="00186F41"/>
    <w:rsid w:val="00187037"/>
    <w:rsid w:val="00193C92"/>
    <w:rsid w:val="001A2AF2"/>
    <w:rsid w:val="001A436D"/>
    <w:rsid w:val="001A61D1"/>
    <w:rsid w:val="001B22CD"/>
    <w:rsid w:val="001B3A43"/>
    <w:rsid w:val="001B4BE1"/>
    <w:rsid w:val="001B5696"/>
    <w:rsid w:val="001B60E2"/>
    <w:rsid w:val="001B6FCD"/>
    <w:rsid w:val="001B7D8B"/>
    <w:rsid w:val="001C1170"/>
    <w:rsid w:val="001C2104"/>
    <w:rsid w:val="001C350E"/>
    <w:rsid w:val="001C5A9C"/>
    <w:rsid w:val="001C6B7E"/>
    <w:rsid w:val="001C710F"/>
    <w:rsid w:val="001D637F"/>
    <w:rsid w:val="001F077F"/>
    <w:rsid w:val="001F4705"/>
    <w:rsid w:val="001F598A"/>
    <w:rsid w:val="002156DE"/>
    <w:rsid w:val="0022170D"/>
    <w:rsid w:val="00221B85"/>
    <w:rsid w:val="00221E3A"/>
    <w:rsid w:val="002221B4"/>
    <w:rsid w:val="00222627"/>
    <w:rsid w:val="00224841"/>
    <w:rsid w:val="00224BA1"/>
    <w:rsid w:val="00227637"/>
    <w:rsid w:val="0023031B"/>
    <w:rsid w:val="00232683"/>
    <w:rsid w:val="00233FC3"/>
    <w:rsid w:val="00246274"/>
    <w:rsid w:val="00246DD7"/>
    <w:rsid w:val="00253641"/>
    <w:rsid w:val="00253971"/>
    <w:rsid w:val="00261188"/>
    <w:rsid w:val="0027498D"/>
    <w:rsid w:val="002768E9"/>
    <w:rsid w:val="00285CD6"/>
    <w:rsid w:val="002A2FF6"/>
    <w:rsid w:val="002A4270"/>
    <w:rsid w:val="002A43CA"/>
    <w:rsid w:val="002A51F4"/>
    <w:rsid w:val="002A60FD"/>
    <w:rsid w:val="002A6F9B"/>
    <w:rsid w:val="002A778B"/>
    <w:rsid w:val="002B1CBA"/>
    <w:rsid w:val="002B3386"/>
    <w:rsid w:val="002B5370"/>
    <w:rsid w:val="002B744B"/>
    <w:rsid w:val="002C0006"/>
    <w:rsid w:val="002C0425"/>
    <w:rsid w:val="002C1465"/>
    <w:rsid w:val="002C2859"/>
    <w:rsid w:val="002C3775"/>
    <w:rsid w:val="002D4D55"/>
    <w:rsid w:val="002E14AD"/>
    <w:rsid w:val="002E3631"/>
    <w:rsid w:val="002E562D"/>
    <w:rsid w:val="002F32C8"/>
    <w:rsid w:val="002F6BD0"/>
    <w:rsid w:val="002F7FFD"/>
    <w:rsid w:val="0030093C"/>
    <w:rsid w:val="00301975"/>
    <w:rsid w:val="00303BF2"/>
    <w:rsid w:val="00304EC6"/>
    <w:rsid w:val="00304ED2"/>
    <w:rsid w:val="00314EB1"/>
    <w:rsid w:val="00324B21"/>
    <w:rsid w:val="003317A6"/>
    <w:rsid w:val="00332D35"/>
    <w:rsid w:val="00333097"/>
    <w:rsid w:val="003355EC"/>
    <w:rsid w:val="003374C1"/>
    <w:rsid w:val="00337EFA"/>
    <w:rsid w:val="003408FF"/>
    <w:rsid w:val="003464CB"/>
    <w:rsid w:val="0035341A"/>
    <w:rsid w:val="00357E64"/>
    <w:rsid w:val="00360F78"/>
    <w:rsid w:val="0036295E"/>
    <w:rsid w:val="00362F26"/>
    <w:rsid w:val="0037495D"/>
    <w:rsid w:val="0039242D"/>
    <w:rsid w:val="003940DD"/>
    <w:rsid w:val="003A10D8"/>
    <w:rsid w:val="003A237C"/>
    <w:rsid w:val="003A2D61"/>
    <w:rsid w:val="003A2FBD"/>
    <w:rsid w:val="003A57EE"/>
    <w:rsid w:val="003A5973"/>
    <w:rsid w:val="003C0CF7"/>
    <w:rsid w:val="003C2A3B"/>
    <w:rsid w:val="003C63D3"/>
    <w:rsid w:val="003C7B16"/>
    <w:rsid w:val="003D0645"/>
    <w:rsid w:val="003D78C6"/>
    <w:rsid w:val="003E6AEA"/>
    <w:rsid w:val="003E76DD"/>
    <w:rsid w:val="003E7750"/>
    <w:rsid w:val="003E7C2D"/>
    <w:rsid w:val="003F3BB6"/>
    <w:rsid w:val="003F5392"/>
    <w:rsid w:val="003F569C"/>
    <w:rsid w:val="003F7C5D"/>
    <w:rsid w:val="004170EC"/>
    <w:rsid w:val="00421B69"/>
    <w:rsid w:val="00431CFD"/>
    <w:rsid w:val="004370EE"/>
    <w:rsid w:val="004408FA"/>
    <w:rsid w:val="00440E93"/>
    <w:rsid w:val="00444718"/>
    <w:rsid w:val="00447CDD"/>
    <w:rsid w:val="00453227"/>
    <w:rsid w:val="00454574"/>
    <w:rsid w:val="00454E7C"/>
    <w:rsid w:val="00461DD3"/>
    <w:rsid w:val="004627F9"/>
    <w:rsid w:val="00465E51"/>
    <w:rsid w:val="004768AD"/>
    <w:rsid w:val="00477FF9"/>
    <w:rsid w:val="00481805"/>
    <w:rsid w:val="004825B4"/>
    <w:rsid w:val="00485659"/>
    <w:rsid w:val="00487759"/>
    <w:rsid w:val="0049204F"/>
    <w:rsid w:val="004964E2"/>
    <w:rsid w:val="004A0D25"/>
    <w:rsid w:val="004A624B"/>
    <w:rsid w:val="004A64CB"/>
    <w:rsid w:val="004B4C57"/>
    <w:rsid w:val="004B4EA9"/>
    <w:rsid w:val="004B7A31"/>
    <w:rsid w:val="004C05FF"/>
    <w:rsid w:val="004D3822"/>
    <w:rsid w:val="004D5E63"/>
    <w:rsid w:val="004D6C42"/>
    <w:rsid w:val="004E19A2"/>
    <w:rsid w:val="004E4AE1"/>
    <w:rsid w:val="004E7E2B"/>
    <w:rsid w:val="004F444A"/>
    <w:rsid w:val="004F591A"/>
    <w:rsid w:val="004F7839"/>
    <w:rsid w:val="00505119"/>
    <w:rsid w:val="00507806"/>
    <w:rsid w:val="00513373"/>
    <w:rsid w:val="00520E2E"/>
    <w:rsid w:val="00523866"/>
    <w:rsid w:val="005261F2"/>
    <w:rsid w:val="005474BD"/>
    <w:rsid w:val="00570079"/>
    <w:rsid w:val="00573A2C"/>
    <w:rsid w:val="0057614F"/>
    <w:rsid w:val="005766E1"/>
    <w:rsid w:val="005771B4"/>
    <w:rsid w:val="00577F49"/>
    <w:rsid w:val="0058147F"/>
    <w:rsid w:val="00581E31"/>
    <w:rsid w:val="005859AA"/>
    <w:rsid w:val="00585ED6"/>
    <w:rsid w:val="0058612A"/>
    <w:rsid w:val="00587A30"/>
    <w:rsid w:val="00594348"/>
    <w:rsid w:val="005A44EC"/>
    <w:rsid w:val="005A7838"/>
    <w:rsid w:val="005A7C12"/>
    <w:rsid w:val="005B0CDE"/>
    <w:rsid w:val="005B23F3"/>
    <w:rsid w:val="005B3645"/>
    <w:rsid w:val="005C1395"/>
    <w:rsid w:val="005C146C"/>
    <w:rsid w:val="005C4B2F"/>
    <w:rsid w:val="005C586D"/>
    <w:rsid w:val="005C5B20"/>
    <w:rsid w:val="005C5EB8"/>
    <w:rsid w:val="005C69BA"/>
    <w:rsid w:val="005C7F41"/>
    <w:rsid w:val="005D1773"/>
    <w:rsid w:val="005D550C"/>
    <w:rsid w:val="005E136B"/>
    <w:rsid w:val="005E1735"/>
    <w:rsid w:val="005E1E50"/>
    <w:rsid w:val="005E763A"/>
    <w:rsid w:val="005E7966"/>
    <w:rsid w:val="005F187E"/>
    <w:rsid w:val="00613878"/>
    <w:rsid w:val="006142B2"/>
    <w:rsid w:val="006145F6"/>
    <w:rsid w:val="006174B3"/>
    <w:rsid w:val="00622A24"/>
    <w:rsid w:val="00623A21"/>
    <w:rsid w:val="0062590C"/>
    <w:rsid w:val="00627009"/>
    <w:rsid w:val="00632C7A"/>
    <w:rsid w:val="00642998"/>
    <w:rsid w:val="006438A6"/>
    <w:rsid w:val="00646A40"/>
    <w:rsid w:val="006507FE"/>
    <w:rsid w:val="006517B7"/>
    <w:rsid w:val="00661E0E"/>
    <w:rsid w:val="006852D3"/>
    <w:rsid w:val="00686032"/>
    <w:rsid w:val="006903EC"/>
    <w:rsid w:val="006916F2"/>
    <w:rsid w:val="006939B3"/>
    <w:rsid w:val="006A2728"/>
    <w:rsid w:val="006A3556"/>
    <w:rsid w:val="006B1373"/>
    <w:rsid w:val="006B1F49"/>
    <w:rsid w:val="006B2234"/>
    <w:rsid w:val="006B5F33"/>
    <w:rsid w:val="006C2C15"/>
    <w:rsid w:val="006C3878"/>
    <w:rsid w:val="006C7A24"/>
    <w:rsid w:val="006C7B75"/>
    <w:rsid w:val="006C7DD0"/>
    <w:rsid w:val="006D4884"/>
    <w:rsid w:val="006E130C"/>
    <w:rsid w:val="006E1394"/>
    <w:rsid w:val="006E2119"/>
    <w:rsid w:val="006E7F78"/>
    <w:rsid w:val="006F12EE"/>
    <w:rsid w:val="006F4804"/>
    <w:rsid w:val="00702EE9"/>
    <w:rsid w:val="00707C80"/>
    <w:rsid w:val="00707F1F"/>
    <w:rsid w:val="007135A3"/>
    <w:rsid w:val="00716D5F"/>
    <w:rsid w:val="00722911"/>
    <w:rsid w:val="00730F72"/>
    <w:rsid w:val="007329AE"/>
    <w:rsid w:val="00733590"/>
    <w:rsid w:val="00733B9D"/>
    <w:rsid w:val="00733D0A"/>
    <w:rsid w:val="00741EC3"/>
    <w:rsid w:val="00750203"/>
    <w:rsid w:val="007527DA"/>
    <w:rsid w:val="00754FD3"/>
    <w:rsid w:val="00756A1A"/>
    <w:rsid w:val="00763061"/>
    <w:rsid w:val="00765384"/>
    <w:rsid w:val="007739C7"/>
    <w:rsid w:val="0078618C"/>
    <w:rsid w:val="007872CD"/>
    <w:rsid w:val="0078781B"/>
    <w:rsid w:val="007A3F3B"/>
    <w:rsid w:val="007B02CF"/>
    <w:rsid w:val="007B0653"/>
    <w:rsid w:val="007B440B"/>
    <w:rsid w:val="007D0C49"/>
    <w:rsid w:val="007D185C"/>
    <w:rsid w:val="007D2F3C"/>
    <w:rsid w:val="007D4B33"/>
    <w:rsid w:val="007D5066"/>
    <w:rsid w:val="007D7135"/>
    <w:rsid w:val="007D7814"/>
    <w:rsid w:val="007E2F9F"/>
    <w:rsid w:val="007E4145"/>
    <w:rsid w:val="007F25CF"/>
    <w:rsid w:val="007F70B4"/>
    <w:rsid w:val="00805898"/>
    <w:rsid w:val="00814CCF"/>
    <w:rsid w:val="00820CC4"/>
    <w:rsid w:val="00834F07"/>
    <w:rsid w:val="00846069"/>
    <w:rsid w:val="00846925"/>
    <w:rsid w:val="00846DE4"/>
    <w:rsid w:val="0085719A"/>
    <w:rsid w:val="00862176"/>
    <w:rsid w:val="00870484"/>
    <w:rsid w:val="008719B5"/>
    <w:rsid w:val="00871F88"/>
    <w:rsid w:val="008757B9"/>
    <w:rsid w:val="00875CB6"/>
    <w:rsid w:val="00884AB8"/>
    <w:rsid w:val="008872C0"/>
    <w:rsid w:val="00891113"/>
    <w:rsid w:val="0089117D"/>
    <w:rsid w:val="008A3BB8"/>
    <w:rsid w:val="008A6029"/>
    <w:rsid w:val="008A617B"/>
    <w:rsid w:val="008B13E0"/>
    <w:rsid w:val="008B22A7"/>
    <w:rsid w:val="008B4A35"/>
    <w:rsid w:val="008C080A"/>
    <w:rsid w:val="008C74DD"/>
    <w:rsid w:val="008D24F4"/>
    <w:rsid w:val="008D452A"/>
    <w:rsid w:val="008D5110"/>
    <w:rsid w:val="008D51E9"/>
    <w:rsid w:val="008D7143"/>
    <w:rsid w:val="008D727E"/>
    <w:rsid w:val="008E7A1B"/>
    <w:rsid w:val="008F19B9"/>
    <w:rsid w:val="008F6E04"/>
    <w:rsid w:val="00901C20"/>
    <w:rsid w:val="00907E4F"/>
    <w:rsid w:val="00911FF3"/>
    <w:rsid w:val="00914073"/>
    <w:rsid w:val="00917FFA"/>
    <w:rsid w:val="009203C6"/>
    <w:rsid w:val="00921EA0"/>
    <w:rsid w:val="00923387"/>
    <w:rsid w:val="009273FC"/>
    <w:rsid w:val="009318D6"/>
    <w:rsid w:val="00937D3C"/>
    <w:rsid w:val="00942423"/>
    <w:rsid w:val="00944648"/>
    <w:rsid w:val="009479C7"/>
    <w:rsid w:val="009623A2"/>
    <w:rsid w:val="0098020F"/>
    <w:rsid w:val="00987A02"/>
    <w:rsid w:val="00996A0B"/>
    <w:rsid w:val="009A3371"/>
    <w:rsid w:val="009A4716"/>
    <w:rsid w:val="009A65F1"/>
    <w:rsid w:val="009B0B48"/>
    <w:rsid w:val="009B5972"/>
    <w:rsid w:val="009B68D8"/>
    <w:rsid w:val="009D26F2"/>
    <w:rsid w:val="009D27A2"/>
    <w:rsid w:val="009D7042"/>
    <w:rsid w:val="009D7CC9"/>
    <w:rsid w:val="009E2E47"/>
    <w:rsid w:val="009E4E6C"/>
    <w:rsid w:val="009E5C12"/>
    <w:rsid w:val="009F05F1"/>
    <w:rsid w:val="009F1311"/>
    <w:rsid w:val="009F6044"/>
    <w:rsid w:val="00A03828"/>
    <w:rsid w:val="00A07541"/>
    <w:rsid w:val="00A11B30"/>
    <w:rsid w:val="00A134C1"/>
    <w:rsid w:val="00A220BB"/>
    <w:rsid w:val="00A2276B"/>
    <w:rsid w:val="00A228F9"/>
    <w:rsid w:val="00A305C2"/>
    <w:rsid w:val="00A3122E"/>
    <w:rsid w:val="00A34B02"/>
    <w:rsid w:val="00A36855"/>
    <w:rsid w:val="00A41D22"/>
    <w:rsid w:val="00A45DCE"/>
    <w:rsid w:val="00A46E14"/>
    <w:rsid w:val="00A47BCD"/>
    <w:rsid w:val="00A51566"/>
    <w:rsid w:val="00A541F2"/>
    <w:rsid w:val="00A5648A"/>
    <w:rsid w:val="00A6374A"/>
    <w:rsid w:val="00A7657D"/>
    <w:rsid w:val="00A77876"/>
    <w:rsid w:val="00A817A1"/>
    <w:rsid w:val="00A81CB7"/>
    <w:rsid w:val="00A8404A"/>
    <w:rsid w:val="00A84D95"/>
    <w:rsid w:val="00A8782D"/>
    <w:rsid w:val="00A92F7E"/>
    <w:rsid w:val="00A94255"/>
    <w:rsid w:val="00AA5590"/>
    <w:rsid w:val="00AA57BE"/>
    <w:rsid w:val="00AA6154"/>
    <w:rsid w:val="00AB00AF"/>
    <w:rsid w:val="00AB70C2"/>
    <w:rsid w:val="00AB7CBE"/>
    <w:rsid w:val="00AC0D60"/>
    <w:rsid w:val="00AC2E54"/>
    <w:rsid w:val="00AC39C8"/>
    <w:rsid w:val="00AC4722"/>
    <w:rsid w:val="00AD02A9"/>
    <w:rsid w:val="00AD22DC"/>
    <w:rsid w:val="00AE517B"/>
    <w:rsid w:val="00AE7631"/>
    <w:rsid w:val="00AF01DB"/>
    <w:rsid w:val="00AF0D89"/>
    <w:rsid w:val="00AF5150"/>
    <w:rsid w:val="00B0393C"/>
    <w:rsid w:val="00B04B85"/>
    <w:rsid w:val="00B05CEE"/>
    <w:rsid w:val="00B150C3"/>
    <w:rsid w:val="00B151FF"/>
    <w:rsid w:val="00B15AE3"/>
    <w:rsid w:val="00B16C60"/>
    <w:rsid w:val="00B17FCF"/>
    <w:rsid w:val="00B21E7A"/>
    <w:rsid w:val="00B27F17"/>
    <w:rsid w:val="00B319BE"/>
    <w:rsid w:val="00B332E5"/>
    <w:rsid w:val="00B33908"/>
    <w:rsid w:val="00B33B8F"/>
    <w:rsid w:val="00B367A7"/>
    <w:rsid w:val="00B41CA6"/>
    <w:rsid w:val="00B41DAF"/>
    <w:rsid w:val="00B4321F"/>
    <w:rsid w:val="00B47A7B"/>
    <w:rsid w:val="00B510C5"/>
    <w:rsid w:val="00B51503"/>
    <w:rsid w:val="00B51ECF"/>
    <w:rsid w:val="00B520EF"/>
    <w:rsid w:val="00B54FDD"/>
    <w:rsid w:val="00B60EA6"/>
    <w:rsid w:val="00B653A9"/>
    <w:rsid w:val="00B65B00"/>
    <w:rsid w:val="00B65D36"/>
    <w:rsid w:val="00B7620F"/>
    <w:rsid w:val="00B8013C"/>
    <w:rsid w:val="00B94692"/>
    <w:rsid w:val="00B96099"/>
    <w:rsid w:val="00BA1649"/>
    <w:rsid w:val="00BA72F3"/>
    <w:rsid w:val="00BB24B3"/>
    <w:rsid w:val="00BB498F"/>
    <w:rsid w:val="00BB6CD0"/>
    <w:rsid w:val="00BC3551"/>
    <w:rsid w:val="00BC7E10"/>
    <w:rsid w:val="00BE01B3"/>
    <w:rsid w:val="00BE1CF8"/>
    <w:rsid w:val="00BE2A57"/>
    <w:rsid w:val="00BE415A"/>
    <w:rsid w:val="00BE621D"/>
    <w:rsid w:val="00BE6D4E"/>
    <w:rsid w:val="00BE753F"/>
    <w:rsid w:val="00BF190E"/>
    <w:rsid w:val="00C14992"/>
    <w:rsid w:val="00C277AE"/>
    <w:rsid w:val="00C37950"/>
    <w:rsid w:val="00C50967"/>
    <w:rsid w:val="00C51740"/>
    <w:rsid w:val="00C55C0C"/>
    <w:rsid w:val="00C56AB0"/>
    <w:rsid w:val="00C5766C"/>
    <w:rsid w:val="00C63914"/>
    <w:rsid w:val="00C63D45"/>
    <w:rsid w:val="00C65220"/>
    <w:rsid w:val="00C70C4D"/>
    <w:rsid w:val="00C8679E"/>
    <w:rsid w:val="00C90977"/>
    <w:rsid w:val="00C91F3A"/>
    <w:rsid w:val="00CA2EA8"/>
    <w:rsid w:val="00CB3513"/>
    <w:rsid w:val="00CB3BCD"/>
    <w:rsid w:val="00CC1598"/>
    <w:rsid w:val="00CD143C"/>
    <w:rsid w:val="00CE1652"/>
    <w:rsid w:val="00CE2574"/>
    <w:rsid w:val="00CE3CFD"/>
    <w:rsid w:val="00CE54AD"/>
    <w:rsid w:val="00CE6DF0"/>
    <w:rsid w:val="00CF09C8"/>
    <w:rsid w:val="00CF6285"/>
    <w:rsid w:val="00CF6994"/>
    <w:rsid w:val="00D00584"/>
    <w:rsid w:val="00D00B05"/>
    <w:rsid w:val="00D059C9"/>
    <w:rsid w:val="00D1085A"/>
    <w:rsid w:val="00D11D69"/>
    <w:rsid w:val="00D14FFC"/>
    <w:rsid w:val="00D23B65"/>
    <w:rsid w:val="00D32038"/>
    <w:rsid w:val="00D33C5D"/>
    <w:rsid w:val="00D34CD3"/>
    <w:rsid w:val="00D351A2"/>
    <w:rsid w:val="00D36DD4"/>
    <w:rsid w:val="00D41044"/>
    <w:rsid w:val="00D468D5"/>
    <w:rsid w:val="00D577AD"/>
    <w:rsid w:val="00D71C0B"/>
    <w:rsid w:val="00D76BC1"/>
    <w:rsid w:val="00D77461"/>
    <w:rsid w:val="00D826EF"/>
    <w:rsid w:val="00D82CE6"/>
    <w:rsid w:val="00D85144"/>
    <w:rsid w:val="00D858C2"/>
    <w:rsid w:val="00D91EE3"/>
    <w:rsid w:val="00D95691"/>
    <w:rsid w:val="00D97E7C"/>
    <w:rsid w:val="00DA43AC"/>
    <w:rsid w:val="00DB361F"/>
    <w:rsid w:val="00DB39C5"/>
    <w:rsid w:val="00DB7E04"/>
    <w:rsid w:val="00DC0038"/>
    <w:rsid w:val="00DC1523"/>
    <w:rsid w:val="00DC3F7A"/>
    <w:rsid w:val="00DC567C"/>
    <w:rsid w:val="00DC676B"/>
    <w:rsid w:val="00DD2AD9"/>
    <w:rsid w:val="00DD5348"/>
    <w:rsid w:val="00DD5B6B"/>
    <w:rsid w:val="00DD7B6F"/>
    <w:rsid w:val="00DE023F"/>
    <w:rsid w:val="00DF1BAF"/>
    <w:rsid w:val="00DF2060"/>
    <w:rsid w:val="00DF39A4"/>
    <w:rsid w:val="00E033E0"/>
    <w:rsid w:val="00E05354"/>
    <w:rsid w:val="00E05D84"/>
    <w:rsid w:val="00E064DC"/>
    <w:rsid w:val="00E10793"/>
    <w:rsid w:val="00E127D9"/>
    <w:rsid w:val="00E12AAE"/>
    <w:rsid w:val="00E16915"/>
    <w:rsid w:val="00E2247C"/>
    <w:rsid w:val="00E240BE"/>
    <w:rsid w:val="00E26AD7"/>
    <w:rsid w:val="00E26C69"/>
    <w:rsid w:val="00E27C88"/>
    <w:rsid w:val="00E309A6"/>
    <w:rsid w:val="00E44A17"/>
    <w:rsid w:val="00E51571"/>
    <w:rsid w:val="00E61A78"/>
    <w:rsid w:val="00E63A19"/>
    <w:rsid w:val="00E64E90"/>
    <w:rsid w:val="00E74118"/>
    <w:rsid w:val="00E77D6C"/>
    <w:rsid w:val="00E80D31"/>
    <w:rsid w:val="00E83356"/>
    <w:rsid w:val="00E87AA6"/>
    <w:rsid w:val="00E94AFA"/>
    <w:rsid w:val="00EA6152"/>
    <w:rsid w:val="00EC08EC"/>
    <w:rsid w:val="00EC0CE8"/>
    <w:rsid w:val="00EC1BF3"/>
    <w:rsid w:val="00EC4036"/>
    <w:rsid w:val="00EC4E3E"/>
    <w:rsid w:val="00EC5DDF"/>
    <w:rsid w:val="00EC6749"/>
    <w:rsid w:val="00ED4A05"/>
    <w:rsid w:val="00ED6A98"/>
    <w:rsid w:val="00EE5CF2"/>
    <w:rsid w:val="00EE6D35"/>
    <w:rsid w:val="00EF60CB"/>
    <w:rsid w:val="00EF6432"/>
    <w:rsid w:val="00F00AF1"/>
    <w:rsid w:val="00F02F9D"/>
    <w:rsid w:val="00F140BF"/>
    <w:rsid w:val="00F14E4F"/>
    <w:rsid w:val="00F22AEA"/>
    <w:rsid w:val="00F26AD4"/>
    <w:rsid w:val="00F32A23"/>
    <w:rsid w:val="00F347AD"/>
    <w:rsid w:val="00F4002F"/>
    <w:rsid w:val="00F4215C"/>
    <w:rsid w:val="00F426D1"/>
    <w:rsid w:val="00F42CCA"/>
    <w:rsid w:val="00F4448D"/>
    <w:rsid w:val="00F4631A"/>
    <w:rsid w:val="00F46628"/>
    <w:rsid w:val="00F47CE2"/>
    <w:rsid w:val="00F5013B"/>
    <w:rsid w:val="00F51A09"/>
    <w:rsid w:val="00F52BAA"/>
    <w:rsid w:val="00F540F4"/>
    <w:rsid w:val="00F55326"/>
    <w:rsid w:val="00F55B64"/>
    <w:rsid w:val="00F55C44"/>
    <w:rsid w:val="00F607E1"/>
    <w:rsid w:val="00F64868"/>
    <w:rsid w:val="00F65042"/>
    <w:rsid w:val="00F66D95"/>
    <w:rsid w:val="00F77B21"/>
    <w:rsid w:val="00F77EE9"/>
    <w:rsid w:val="00F86F44"/>
    <w:rsid w:val="00F8722E"/>
    <w:rsid w:val="00F94C42"/>
    <w:rsid w:val="00F959D1"/>
    <w:rsid w:val="00FB0BBC"/>
    <w:rsid w:val="00FB1672"/>
    <w:rsid w:val="00FB6084"/>
    <w:rsid w:val="00FC4DFA"/>
    <w:rsid w:val="00FC4E3F"/>
    <w:rsid w:val="00FD2B04"/>
    <w:rsid w:val="00FD3553"/>
    <w:rsid w:val="00FD5BF2"/>
    <w:rsid w:val="00FE025E"/>
    <w:rsid w:val="00FE23E5"/>
    <w:rsid w:val="00FE27C3"/>
    <w:rsid w:val="00FE6D7C"/>
    <w:rsid w:val="00FF028F"/>
    <w:rsid w:val="00FF2467"/>
    <w:rsid w:val="00FF6C84"/>
    <w:rsid w:val="00FF6E5C"/>
    <w:rsid w:val="1B1413DD"/>
    <w:rsid w:val="1F49CB45"/>
    <w:rsid w:val="32C68099"/>
    <w:rsid w:val="33C95354"/>
    <w:rsid w:val="476138D3"/>
    <w:rsid w:val="4D17524D"/>
    <w:rsid w:val="4D5E213F"/>
    <w:rsid w:val="513DED38"/>
    <w:rsid w:val="652FCAFB"/>
    <w:rsid w:val="6AF85B87"/>
    <w:rsid w:val="733BEE62"/>
    <w:rsid w:val="7C4E46B2"/>
    <w:rsid w:val="7F5CE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A1526"/>
  <w15:docId w15:val="{0A38C247-1A32-44FF-9FBD-B2FB8C3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AE3"/>
  </w:style>
  <w:style w:type="paragraph" w:styleId="Heading1">
    <w:name w:val="heading 1"/>
    <w:basedOn w:val="Normal"/>
    <w:next w:val="Normal"/>
    <w:qFormat/>
    <w:rsid w:val="00F347AD"/>
    <w:pPr>
      <w:keepNext/>
      <w:outlineLvl w:val="0"/>
    </w:pPr>
    <w:rPr>
      <w:b/>
      <w:sz w:val="28"/>
    </w:rPr>
  </w:style>
  <w:style w:type="paragraph" w:styleId="Heading2">
    <w:name w:val="heading 2"/>
    <w:basedOn w:val="Normal"/>
    <w:next w:val="Normal"/>
    <w:qFormat/>
    <w:rsid w:val="00F347AD"/>
    <w:pPr>
      <w:keepNext/>
      <w:jc w:val="center"/>
      <w:outlineLvl w:val="1"/>
    </w:pPr>
    <w:rPr>
      <w:b/>
      <w:sz w:val="24"/>
    </w:rPr>
  </w:style>
  <w:style w:type="paragraph" w:styleId="Heading3">
    <w:name w:val="heading 3"/>
    <w:basedOn w:val="Normal"/>
    <w:next w:val="Normal"/>
    <w:link w:val="Heading3Char"/>
    <w:qFormat/>
    <w:rsid w:val="00F347AD"/>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7AD"/>
    <w:pPr>
      <w:tabs>
        <w:tab w:val="center" w:pos="4153"/>
        <w:tab w:val="right" w:pos="8306"/>
      </w:tabs>
    </w:pPr>
  </w:style>
  <w:style w:type="paragraph" w:styleId="Footer">
    <w:name w:val="footer"/>
    <w:basedOn w:val="Normal"/>
    <w:link w:val="FooterChar"/>
    <w:uiPriority w:val="99"/>
    <w:rsid w:val="00F347AD"/>
    <w:pPr>
      <w:tabs>
        <w:tab w:val="center" w:pos="4153"/>
        <w:tab w:val="right" w:pos="8306"/>
      </w:tabs>
    </w:pPr>
  </w:style>
  <w:style w:type="paragraph" w:styleId="BalloonText">
    <w:name w:val="Balloon Text"/>
    <w:basedOn w:val="Normal"/>
    <w:semiHidden/>
    <w:rsid w:val="00F347AD"/>
    <w:rPr>
      <w:rFonts w:ascii="Tahoma" w:hAnsi="Tahoma" w:cs="Tahoma"/>
      <w:sz w:val="16"/>
      <w:szCs w:val="16"/>
    </w:rPr>
  </w:style>
  <w:style w:type="paragraph" w:customStyle="1" w:styleId="ACMABodyText">
    <w:name w:val="ACMA Body Text"/>
    <w:link w:val="ACMABodyTextChar1"/>
    <w:uiPriority w:val="99"/>
    <w:rsid w:val="00B150C3"/>
    <w:pPr>
      <w:suppressAutoHyphens/>
      <w:spacing w:before="80" w:after="120" w:line="280" w:lineRule="atLeast"/>
    </w:pPr>
    <w:rPr>
      <w:snapToGrid w:val="0"/>
      <w:sz w:val="24"/>
      <w:lang w:eastAsia="en-US"/>
    </w:rPr>
  </w:style>
  <w:style w:type="character" w:styleId="CommentReference">
    <w:name w:val="annotation reference"/>
    <w:basedOn w:val="DefaultParagraphFont"/>
    <w:uiPriority w:val="99"/>
    <w:semiHidden/>
    <w:rsid w:val="00B150C3"/>
    <w:rPr>
      <w:sz w:val="16"/>
      <w:szCs w:val="16"/>
    </w:rPr>
  </w:style>
  <w:style w:type="paragraph" w:styleId="CommentText">
    <w:name w:val="annotation text"/>
    <w:basedOn w:val="Normal"/>
    <w:link w:val="CommentTextChar"/>
    <w:uiPriority w:val="99"/>
    <w:semiHidden/>
    <w:rsid w:val="00B150C3"/>
  </w:style>
  <w:style w:type="paragraph" w:styleId="CommentSubject">
    <w:name w:val="annotation subject"/>
    <w:basedOn w:val="CommentText"/>
    <w:next w:val="CommentText"/>
    <w:semiHidden/>
    <w:rsid w:val="00B150C3"/>
    <w:rPr>
      <w:b/>
      <w:bCs/>
    </w:rPr>
  </w:style>
  <w:style w:type="paragraph" w:styleId="ListParagraph">
    <w:name w:val="List Paragraph"/>
    <w:basedOn w:val="Normal"/>
    <w:uiPriority w:val="34"/>
    <w:qFormat/>
    <w:rsid w:val="00314EB1"/>
    <w:pPr>
      <w:ind w:left="720"/>
    </w:pPr>
  </w:style>
  <w:style w:type="paragraph" w:customStyle="1" w:styleId="HR">
    <w:name w:val="HR"/>
    <w:aliases w:val="Regulation Heading"/>
    <w:basedOn w:val="Normal"/>
    <w:next w:val="Normal"/>
    <w:rsid w:val="00B15AE3"/>
    <w:pPr>
      <w:keepNext/>
      <w:keepLines/>
      <w:spacing w:before="360"/>
      <w:ind w:left="964" w:hanging="964"/>
    </w:pPr>
    <w:rPr>
      <w:rFonts w:ascii="Arial" w:hAnsi="Arial"/>
      <w:b/>
      <w:sz w:val="24"/>
      <w:szCs w:val="24"/>
    </w:rPr>
  </w:style>
  <w:style w:type="paragraph" w:styleId="Title">
    <w:name w:val="Title"/>
    <w:basedOn w:val="Normal"/>
    <w:link w:val="TitleChar"/>
    <w:qFormat/>
    <w:rsid w:val="00FF6E5C"/>
    <w:pPr>
      <w:jc w:val="center"/>
    </w:pPr>
    <w:rPr>
      <w:b/>
      <w:sz w:val="28"/>
      <w:u w:val="single"/>
      <w:lang w:val="en-GB"/>
    </w:rPr>
  </w:style>
  <w:style w:type="character" w:customStyle="1" w:styleId="TitleChar">
    <w:name w:val="Title Char"/>
    <w:basedOn w:val="DefaultParagraphFont"/>
    <w:link w:val="Title"/>
    <w:rsid w:val="00FF6E5C"/>
    <w:rPr>
      <w:b/>
      <w:sz w:val="28"/>
      <w:u w:val="single"/>
      <w:lang w:val="en-GB"/>
    </w:rPr>
  </w:style>
  <w:style w:type="character" w:customStyle="1" w:styleId="CommentTextChar">
    <w:name w:val="Comment Text Char"/>
    <w:basedOn w:val="DefaultParagraphFont"/>
    <w:link w:val="CommentText"/>
    <w:uiPriority w:val="99"/>
    <w:semiHidden/>
    <w:rsid w:val="00285CD6"/>
  </w:style>
  <w:style w:type="paragraph" w:customStyle="1" w:styleId="ACMABodyTextChar">
    <w:name w:val="ACMA Body Text Char"/>
    <w:link w:val="ACMABodyTextCharChar"/>
    <w:rsid w:val="000026C6"/>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0026C6"/>
    <w:rPr>
      <w:snapToGrid w:val="0"/>
      <w:sz w:val="24"/>
      <w:lang w:eastAsia="en-US"/>
    </w:rPr>
  </w:style>
  <w:style w:type="character" w:customStyle="1" w:styleId="ACMABodyTextChar1">
    <w:name w:val="ACMA Body Text Char1"/>
    <w:link w:val="ACMABodyText"/>
    <w:uiPriority w:val="99"/>
    <w:rsid w:val="000026C6"/>
    <w:rPr>
      <w:snapToGrid w:val="0"/>
      <w:sz w:val="24"/>
      <w:lang w:eastAsia="en-US"/>
    </w:rPr>
  </w:style>
  <w:style w:type="paragraph" w:styleId="FootnoteText">
    <w:name w:val="footnote text"/>
    <w:basedOn w:val="Normal"/>
    <w:link w:val="FootnoteTextChar"/>
    <w:rsid w:val="003A2D61"/>
  </w:style>
  <w:style w:type="character" w:customStyle="1" w:styleId="FootnoteTextChar">
    <w:name w:val="Footnote Text Char"/>
    <w:basedOn w:val="DefaultParagraphFont"/>
    <w:link w:val="FootnoteText"/>
    <w:rsid w:val="003A2D61"/>
  </w:style>
  <w:style w:type="character" w:styleId="FootnoteReference">
    <w:name w:val="footnote reference"/>
    <w:basedOn w:val="DefaultParagraphFont"/>
    <w:rsid w:val="003A2D61"/>
    <w:rPr>
      <w:vertAlign w:val="superscript"/>
    </w:rPr>
  </w:style>
  <w:style w:type="paragraph" w:customStyle="1" w:styleId="R1">
    <w:name w:val="R1"/>
    <w:aliases w:val="1. or 1.(1)"/>
    <w:basedOn w:val="Normal"/>
    <w:next w:val="Normal"/>
    <w:rsid w:val="008E7A1B"/>
    <w:pPr>
      <w:keepLines/>
      <w:tabs>
        <w:tab w:val="right" w:pos="794"/>
      </w:tabs>
      <w:spacing w:before="120" w:line="260" w:lineRule="exact"/>
      <w:ind w:left="964" w:hanging="964"/>
      <w:jc w:val="both"/>
    </w:pPr>
    <w:rPr>
      <w:sz w:val="24"/>
      <w:szCs w:val="24"/>
    </w:rPr>
  </w:style>
  <w:style w:type="character" w:customStyle="1" w:styleId="FooterChar">
    <w:name w:val="Footer Char"/>
    <w:basedOn w:val="DefaultParagraphFont"/>
    <w:link w:val="Footer"/>
    <w:uiPriority w:val="99"/>
    <w:rsid w:val="00646A40"/>
  </w:style>
  <w:style w:type="character" w:styleId="Hyperlink">
    <w:name w:val="Hyperlink"/>
    <w:basedOn w:val="DefaultParagraphFont"/>
    <w:unhideWhenUsed/>
    <w:rsid w:val="00846069"/>
    <w:rPr>
      <w:color w:val="0000FF" w:themeColor="hyperlink"/>
      <w:u w:val="single"/>
    </w:rPr>
  </w:style>
  <w:style w:type="character" w:styleId="UnresolvedMention">
    <w:name w:val="Unresolved Mention"/>
    <w:basedOn w:val="DefaultParagraphFont"/>
    <w:uiPriority w:val="99"/>
    <w:semiHidden/>
    <w:unhideWhenUsed/>
    <w:rsid w:val="00846069"/>
    <w:rPr>
      <w:color w:val="605E5C"/>
      <w:shd w:val="clear" w:color="auto" w:fill="E1DFDD"/>
    </w:rPr>
  </w:style>
  <w:style w:type="character" w:customStyle="1" w:styleId="Heading3Char">
    <w:name w:val="Heading 3 Char"/>
    <w:basedOn w:val="DefaultParagraphFont"/>
    <w:link w:val="Heading3"/>
    <w:rsid w:val="000A6435"/>
    <w:rPr>
      <w:sz w:val="24"/>
    </w:rPr>
  </w:style>
  <w:style w:type="paragraph" w:styleId="Revision">
    <w:name w:val="Revision"/>
    <w:hidden/>
    <w:uiPriority w:val="99"/>
    <w:semiHidden/>
    <w:rsid w:val="006C7DD0"/>
  </w:style>
  <w:style w:type="paragraph" w:customStyle="1" w:styleId="definition">
    <w:name w:val="definition"/>
    <w:basedOn w:val="Normal"/>
    <w:rsid w:val="00CF09C8"/>
    <w:pPr>
      <w:spacing w:before="80" w:line="260" w:lineRule="exact"/>
      <w:ind w:left="964"/>
      <w:jc w:val="both"/>
    </w:pPr>
    <w:rPr>
      <w:szCs w:val="24"/>
    </w:rPr>
  </w:style>
  <w:style w:type="character" w:styleId="FollowedHyperlink">
    <w:name w:val="FollowedHyperlink"/>
    <w:basedOn w:val="DefaultParagraphFont"/>
    <w:semiHidden/>
    <w:unhideWhenUsed/>
    <w:rsid w:val="009318D6"/>
    <w:rPr>
      <w:color w:val="800080" w:themeColor="followedHyperlink"/>
      <w:u w:val="single"/>
    </w:rPr>
  </w:style>
  <w:style w:type="character" w:styleId="Mention">
    <w:name w:val="Mention"/>
    <w:basedOn w:val="DefaultParagraphFont"/>
    <w:uiPriority w:val="99"/>
    <w:unhideWhenUsed/>
    <w:rsid w:val="00EF64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40569">
      <w:bodyDiv w:val="1"/>
      <w:marLeft w:val="0"/>
      <w:marRight w:val="0"/>
      <w:marTop w:val="0"/>
      <w:marBottom w:val="0"/>
      <w:divBdr>
        <w:top w:val="none" w:sz="0" w:space="0" w:color="auto"/>
        <w:left w:val="none" w:sz="0" w:space="0" w:color="auto"/>
        <w:bottom w:val="none" w:sz="0" w:space="0" w:color="auto"/>
        <w:right w:val="none" w:sz="0" w:space="0" w:color="auto"/>
      </w:divBdr>
    </w:div>
    <w:div w:id="1123188660">
      <w:bodyDiv w:val="1"/>
      <w:marLeft w:val="0"/>
      <w:marRight w:val="0"/>
      <w:marTop w:val="0"/>
      <w:marBottom w:val="0"/>
      <w:divBdr>
        <w:top w:val="none" w:sz="0" w:space="0" w:color="auto"/>
        <w:left w:val="none" w:sz="0" w:space="0" w:color="auto"/>
        <w:bottom w:val="none" w:sz="0" w:space="0" w:color="auto"/>
        <w:right w:val="none" w:sz="0" w:space="0" w:color="auto"/>
      </w:divBdr>
    </w:div>
    <w:div w:id="1421216718">
      <w:bodyDiv w:val="1"/>
      <w:marLeft w:val="0"/>
      <w:marRight w:val="0"/>
      <w:marTop w:val="0"/>
      <w:marBottom w:val="0"/>
      <w:divBdr>
        <w:top w:val="none" w:sz="0" w:space="0" w:color="auto"/>
        <w:left w:val="none" w:sz="0" w:space="0" w:color="auto"/>
        <w:bottom w:val="none" w:sz="0" w:space="0" w:color="auto"/>
        <w:right w:val="none" w:sz="0" w:space="0" w:color="auto"/>
      </w:divBdr>
    </w:div>
    <w:div w:id="1581406516">
      <w:bodyDiv w:val="1"/>
      <w:marLeft w:val="0"/>
      <w:marRight w:val="0"/>
      <w:marTop w:val="0"/>
      <w:marBottom w:val="0"/>
      <w:divBdr>
        <w:top w:val="none" w:sz="0" w:space="0" w:color="auto"/>
        <w:left w:val="none" w:sz="0" w:space="0" w:color="auto"/>
        <w:bottom w:val="none" w:sz="0" w:space="0" w:color="auto"/>
        <w:right w:val="none" w:sz="0" w:space="0" w:color="auto"/>
      </w:divBdr>
    </w:div>
    <w:div w:id="17609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UQVA7MFFXVNW-850449931-2454</_dlc_DocId>
    <_dlc_DocIdUrl xmlns="04b8ec43-391f-4ce4-8841-d6a482add564">
      <Url>http://collaboration/organisation/auth/Chair/Auth/_layouts/15/DocIdRedir.aspx?ID=UQVA7MFFXVNW-850449931-2454</Url>
      <Description>UQVA7MFFXVNW-850449931-2454</Description>
    </_dlc_DocIdUrl>
  </documentManagement>
</p:properties>
</file>

<file path=customXml/itemProps1.xml><?xml version="1.0" encoding="utf-8"?>
<ds:datastoreItem xmlns:ds="http://schemas.openxmlformats.org/officeDocument/2006/customXml" ds:itemID="{64A6BCBF-768A-4B13-B771-EA036EB07E4F}">
  <ds:schemaRefs>
    <ds:schemaRef ds:uri="http://schemas.microsoft.com/sharepoint/events"/>
  </ds:schemaRefs>
</ds:datastoreItem>
</file>

<file path=customXml/itemProps2.xml><?xml version="1.0" encoding="utf-8"?>
<ds:datastoreItem xmlns:ds="http://schemas.openxmlformats.org/officeDocument/2006/customXml" ds:itemID="{CE193BB8-7094-48A1-9E0A-3941CF88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DAC2-D281-4444-994A-7DE2F6B6EACF}">
  <ds:schemaRefs>
    <ds:schemaRef ds:uri="http://schemas.openxmlformats.org/officeDocument/2006/bibliography"/>
  </ds:schemaRefs>
</ds:datastoreItem>
</file>

<file path=customXml/itemProps4.xml><?xml version="1.0" encoding="utf-8"?>
<ds:datastoreItem xmlns:ds="http://schemas.openxmlformats.org/officeDocument/2006/customXml" ds:itemID="{2FCA7B82-6061-4AD6-AA5A-79C57D5398BA}">
  <ds:schemaRefs>
    <ds:schemaRef ds:uri="http://schemas.microsoft.com/sharepoint/v3/contenttype/forms"/>
  </ds:schemaRefs>
</ds:datastoreItem>
</file>

<file path=customXml/itemProps5.xml><?xml version="1.0" encoding="utf-8"?>
<ds:datastoreItem xmlns:ds="http://schemas.openxmlformats.org/officeDocument/2006/customXml" ds:itemID="{D9BBD680-6B26-4F10-831D-D53AA26193F9}">
  <ds:schemaRefs>
    <ds:schemaRef ds:uri="http://schemas.microsoft.com/office/2006/documentManagement/types"/>
    <ds:schemaRef ds:uri="http://purl.org/dc/elements/1.1/"/>
    <ds:schemaRef ds:uri="http://schemas.microsoft.com/office/infopath/2007/PartnerControls"/>
    <ds:schemaRef ds:uri="04b8ec43-391f-4ce4-8841-d6a482add564"/>
    <ds:schemaRef ds:uri="http://schemas.openxmlformats.org/package/2006/metadata/core-properties"/>
    <ds:schemaRef ds:uri="http://purl.org/dc/terms/"/>
    <ds:schemaRef ds:uri="http://purl.org/dc/dcmitype/"/>
    <ds:schemaRef ds:uri="026d8262-4725-4a9c-834e-3f991ab17ff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8096</Characters>
  <Application>Microsoft Office Word</Application>
  <DocSecurity>6</DocSecurity>
  <Lines>261</Lines>
  <Paragraphs>141</Paragraphs>
  <ScaleCrop>false</ScaleCrop>
  <Company>Aust Communications Authority</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pmiszalski</dc:creator>
  <cp:lastModifiedBy>Sudharshini Jeyaseelan</cp:lastModifiedBy>
  <cp:revision>2</cp:revision>
  <cp:lastPrinted>2022-09-23T01:09:00Z</cp:lastPrinted>
  <dcterms:created xsi:type="dcterms:W3CDTF">2023-12-05T23:52:00Z</dcterms:created>
  <dcterms:modified xsi:type="dcterms:W3CDTF">2023-12-05T23:52:00Z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37f5bdfe-93e3-461a-8932-8963ea9708ef</vt:lpwstr>
  </property>
  <property fmtid="{D5CDD505-2E9C-101B-9397-08002B2CF9AE}" pid="3" name="ContentTypeId">
    <vt:lpwstr>0x010100BFDB167D62F6D44E90C1229C323553E2</vt:lpwstr>
  </property>
  <property fmtid="{D5CDD505-2E9C-101B-9397-08002B2CF9AE}" pid="4" name="TitusGUID">
    <vt:lpwstr>d59e6c65-64a9-4eed-9cba-8f8475638a4d</vt:lpwstr>
  </property>
</Properties>
</file>