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19A39531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BA7A1E">
      <w:pPr>
        <w:jc w:val="both"/>
        <w:rPr>
          <w:rFonts w:ascii="Times New Roman" w:hAnsi="Times New Roman" w:cs="Times New Roman"/>
          <w:sz w:val="19"/>
        </w:rPr>
      </w:pPr>
    </w:p>
    <w:p w14:paraId="44546B6E" w14:textId="7B59347D" w:rsidR="00086BF0" w:rsidRDefault="00E23CEA" w:rsidP="00BA7A1E">
      <w:pPr>
        <w:pStyle w:val="ShortT"/>
        <w:jc w:val="both"/>
      </w:pPr>
      <w:r>
        <w:t xml:space="preserve">Telecommunications </w:t>
      </w:r>
      <w:r w:rsidR="00550C48">
        <w:t xml:space="preserve">Carrier Licence Charges </w:t>
      </w:r>
      <w:r>
        <w:t xml:space="preserve">(Specification of Costs by the ACMA) Determination </w:t>
      </w:r>
      <w:r w:rsidR="00550C48">
        <w:t xml:space="preserve">(No. </w:t>
      </w:r>
      <w:r w:rsidR="0091715D">
        <w:t>2</w:t>
      </w:r>
      <w:r w:rsidR="00550C48">
        <w:t xml:space="preserve">) </w:t>
      </w:r>
      <w:r>
        <w:t>202</w:t>
      </w:r>
      <w:r w:rsidR="00F33EBD">
        <w:t>3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02E0E8E7" w14:textId="2F84A0B7" w:rsidR="000E2F81" w:rsidRDefault="00086BF0" w:rsidP="000E2F81">
      <w:pPr>
        <w:pStyle w:val="SignCoverPageStart"/>
        <w:spacing w:before="0" w:line="240" w:lineRule="auto"/>
      </w:pPr>
      <w:r>
        <w:rPr>
          <w:szCs w:val="22"/>
        </w:rPr>
        <w:t xml:space="preserve">The Australian Communications and Media Authority makes the following determination under </w:t>
      </w:r>
      <w:r w:rsidR="000E2F81">
        <w:t xml:space="preserve">paragraphs 15(1)(a), (c) and (ca) of the </w:t>
      </w:r>
      <w:r w:rsidR="000E2F81">
        <w:rPr>
          <w:i/>
        </w:rPr>
        <w:t>Telecommunications (Carrier Licence Charges) Act 1997</w:t>
      </w:r>
      <w:r w:rsidR="000E2F81">
        <w:t>.</w:t>
      </w:r>
    </w:p>
    <w:p w14:paraId="6810BF47" w14:textId="77777777" w:rsidR="000E2F81" w:rsidRDefault="000E2F81" w:rsidP="000E2F81">
      <w:pPr>
        <w:pStyle w:val="SignCoverPageStart"/>
        <w:spacing w:before="0" w:line="240" w:lineRule="auto"/>
      </w:pPr>
    </w:p>
    <w:p w14:paraId="11CC4671" w14:textId="53911649" w:rsidR="00086BF0" w:rsidRDefault="00086BF0" w:rsidP="000E2F81">
      <w:pPr>
        <w:pStyle w:val="SignCoverPageStart"/>
        <w:spacing w:before="0" w:line="240" w:lineRule="auto"/>
      </w:pPr>
      <w:r>
        <w:t>Dated</w:t>
      </w:r>
      <w:bookmarkStart w:id="0" w:name="BKCheck15B_1"/>
      <w:bookmarkEnd w:id="0"/>
      <w:r>
        <w:t>:</w:t>
      </w:r>
      <w:r w:rsidR="00514FBE">
        <w:t xml:space="preserve"> </w:t>
      </w:r>
      <w:r w:rsidR="00124C0D">
        <w:t>7 December 2023</w:t>
      </w:r>
    </w:p>
    <w:p w14:paraId="30525352" w14:textId="6DD3A208" w:rsidR="0079258C" w:rsidRDefault="0079258C" w:rsidP="0079258C">
      <w:pPr>
        <w:rPr>
          <w:lang w:eastAsia="en-AU"/>
        </w:rPr>
      </w:pPr>
    </w:p>
    <w:p w14:paraId="21336874" w14:textId="3EA18495" w:rsidR="00124C0D" w:rsidRDefault="00124C0D" w:rsidP="00514FB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0E459CCF" w14:textId="75069099" w:rsidR="00124C0D" w:rsidRDefault="00124C0D" w:rsidP="00514FB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4C3AFE96" w:rsidR="00086BF0" w:rsidRDefault="00086BF0" w:rsidP="00514FB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1DC9770E" w14:textId="702CBA0B" w:rsidR="008928A8" w:rsidRDefault="008928A8" w:rsidP="00514FB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7DEC80B2" w14:textId="2930CB47" w:rsidR="00DD7A46" w:rsidRDefault="00124C0D" w:rsidP="00514FB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Brendan Byrne</w:t>
      </w:r>
    </w:p>
    <w:p w14:paraId="56DCC08C" w14:textId="4474E8FE" w:rsidR="00DD7A46" w:rsidRDefault="00124C0D" w:rsidP="00514FB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0210C6E8" w:rsidR="00086BF0" w:rsidRDefault="00124C0D" w:rsidP="00514FBE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124C0D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</w:t>
      </w:r>
      <w:r w:rsidR="00086BF0">
        <w:rPr>
          <w:rFonts w:ascii="Times New Roman" w:hAnsi="Times New Roman" w:cs="Times New Roman"/>
        </w:rPr>
        <w:t>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 w:rsidSect="00066F15">
          <w:footerReference w:type="default" r:id="rId13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1EFDD9FA" w14:textId="77777777" w:rsidR="00086BF0" w:rsidRDefault="00086BF0" w:rsidP="00086BF0">
      <w:pPr>
        <w:pStyle w:val="ActHead5"/>
      </w:pPr>
      <w:bookmarkStart w:id="2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0BA01627" w14:textId="20A79673" w:rsidR="00086BF0" w:rsidRDefault="00086BF0" w:rsidP="00086BF0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91432C">
        <w:rPr>
          <w:i/>
          <w:iCs/>
        </w:rPr>
        <w:t>Telecommunications</w:t>
      </w:r>
      <w:r w:rsidR="0003136D">
        <w:rPr>
          <w:i/>
          <w:iCs/>
        </w:rPr>
        <w:t xml:space="preserve"> Carrier Licence Charges</w:t>
      </w:r>
      <w:r w:rsidR="0091432C">
        <w:rPr>
          <w:i/>
          <w:iCs/>
        </w:rPr>
        <w:t xml:space="preserve"> (Specification of </w:t>
      </w:r>
      <w:r w:rsidR="0048621D">
        <w:rPr>
          <w:i/>
          <w:iCs/>
        </w:rPr>
        <w:t>C</w:t>
      </w:r>
      <w:r w:rsidR="0091432C">
        <w:rPr>
          <w:i/>
          <w:iCs/>
        </w:rPr>
        <w:t xml:space="preserve">osts by the ACMA) Determination </w:t>
      </w:r>
      <w:r w:rsidR="0083257D">
        <w:rPr>
          <w:i/>
          <w:iCs/>
        </w:rPr>
        <w:t xml:space="preserve">(No. </w:t>
      </w:r>
      <w:r w:rsidR="00AC3288">
        <w:rPr>
          <w:i/>
          <w:iCs/>
        </w:rPr>
        <w:t>2</w:t>
      </w:r>
      <w:r w:rsidR="0083257D">
        <w:rPr>
          <w:i/>
          <w:iCs/>
        </w:rPr>
        <w:t xml:space="preserve">) </w:t>
      </w:r>
      <w:r w:rsidR="0091432C">
        <w:rPr>
          <w:i/>
          <w:iCs/>
        </w:rPr>
        <w:t>202</w:t>
      </w:r>
      <w:r w:rsidR="00F33EBD">
        <w:rPr>
          <w:i/>
          <w:iCs/>
        </w:rPr>
        <w:t>3</w:t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4" w:name="_Toc444596032"/>
      <w:r>
        <w:rPr>
          <w:rStyle w:val="CharSectno"/>
        </w:rPr>
        <w:t>2</w:t>
      </w:r>
      <w:r>
        <w:t xml:space="preserve">  Commencement</w:t>
      </w:r>
      <w:bookmarkEnd w:id="4"/>
    </w:p>
    <w:p w14:paraId="6D874432" w14:textId="00B83B9F" w:rsidR="00086BF0" w:rsidRDefault="00086BF0" w:rsidP="00086BF0">
      <w:pPr>
        <w:pStyle w:val="subsection"/>
      </w:pPr>
      <w:r>
        <w:tab/>
      </w:r>
      <w:r>
        <w:tab/>
        <w:t xml:space="preserve">This instrument commences </w:t>
      </w:r>
      <w:r w:rsidR="00D76FC6">
        <w:t>on</w:t>
      </w:r>
      <w:r w:rsidR="00FA252B">
        <w:t xml:space="preserve"> </w:t>
      </w:r>
      <w:r w:rsidR="001946D6" w:rsidRPr="00E474C8">
        <w:t xml:space="preserve">11 </w:t>
      </w:r>
      <w:r w:rsidR="00B71857" w:rsidRPr="00E474C8">
        <w:t>December 2023</w:t>
      </w:r>
      <w:r>
        <w:t xml:space="preserve">. </w:t>
      </w:r>
    </w:p>
    <w:p w14:paraId="795025ED" w14:textId="2FD0F90E" w:rsidR="00086BF0" w:rsidRDefault="00086BF0" w:rsidP="00086BF0">
      <w:pPr>
        <w:pStyle w:val="LI-BodyTextNote"/>
        <w:spacing w:before="122"/>
      </w:pPr>
      <w:r>
        <w:t>Note:</w:t>
      </w:r>
      <w:r>
        <w:tab/>
        <w:t xml:space="preserve">The </w:t>
      </w:r>
      <w:r w:rsidR="00E546BA">
        <w:t xml:space="preserve">instrument </w:t>
      </w:r>
      <w:r>
        <w:t xml:space="preserve">may be accessed free of charge </w:t>
      </w:r>
      <w:r w:rsidR="00140CF1">
        <w:t xml:space="preserve">on the Federal Register of Legislation </w:t>
      </w:r>
      <w:r>
        <w:t xml:space="preserve">at </w:t>
      </w:r>
      <w:hyperlink r:id="rId14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12CBE75E" w14:textId="77777777" w:rsidR="00086BF0" w:rsidRDefault="00086BF0" w:rsidP="00086BF0">
      <w:pPr>
        <w:pStyle w:val="ActHead5"/>
      </w:pPr>
      <w:bookmarkStart w:id="5" w:name="_Toc444596033"/>
      <w:r>
        <w:rPr>
          <w:rStyle w:val="CharSectno"/>
        </w:rPr>
        <w:t>3</w:t>
      </w:r>
      <w:r>
        <w:t xml:space="preserve">  Authority</w:t>
      </w:r>
      <w:bookmarkEnd w:id="5"/>
    </w:p>
    <w:p w14:paraId="3377B4C6" w14:textId="18EEB714" w:rsidR="00086BF0" w:rsidRDefault="00086BF0" w:rsidP="00086BF0">
      <w:pPr>
        <w:pStyle w:val="subsection"/>
      </w:pPr>
      <w:r>
        <w:tab/>
      </w:r>
      <w:r>
        <w:tab/>
        <w:t xml:space="preserve">This instrument is made under </w:t>
      </w:r>
      <w:r w:rsidR="0048621D">
        <w:t xml:space="preserve">paragraphs 15(1)(a), (c) and (ca) of the </w:t>
      </w:r>
      <w:r w:rsidR="0048621D">
        <w:rPr>
          <w:i/>
          <w:iCs/>
        </w:rPr>
        <w:t>Telecommunications (</w:t>
      </w:r>
      <w:r w:rsidR="00C81BFB">
        <w:rPr>
          <w:i/>
          <w:iCs/>
        </w:rPr>
        <w:t xml:space="preserve">Carrier Licence </w:t>
      </w:r>
      <w:r w:rsidR="0048621D">
        <w:rPr>
          <w:i/>
          <w:iCs/>
        </w:rPr>
        <w:t>Charges) Act 1997</w:t>
      </w:r>
      <w:r>
        <w:t>.</w:t>
      </w:r>
    </w:p>
    <w:p w14:paraId="43196321" w14:textId="6E0FCAEC" w:rsidR="00086BF0" w:rsidRDefault="00A05045" w:rsidP="00086BF0">
      <w:pPr>
        <w:pStyle w:val="ActHead5"/>
      </w:pPr>
      <w:bookmarkStart w:id="6" w:name="_Toc444596034"/>
      <w:r>
        <w:t>4</w:t>
      </w:r>
      <w:r w:rsidR="00086BF0">
        <w:t xml:space="preserve">  Repeal of this instrument </w:t>
      </w:r>
    </w:p>
    <w:p w14:paraId="3FFCD410" w14:textId="3B4F3111" w:rsidR="00086BF0" w:rsidRDefault="00086BF0" w:rsidP="00086BF0">
      <w:pPr>
        <w:pStyle w:val="ActHead5"/>
        <w:spacing w:before="180"/>
        <w:rPr>
          <w:rStyle w:val="CharSectno"/>
        </w:rPr>
      </w:pPr>
      <w:r>
        <w:tab/>
      </w:r>
      <w:r>
        <w:rPr>
          <w:b w:val="0"/>
          <w:kern w:val="0"/>
          <w:sz w:val="22"/>
        </w:rPr>
        <w:t xml:space="preserve">This instrument is repealed at the start of </w:t>
      </w:r>
      <w:r w:rsidR="00A05045">
        <w:rPr>
          <w:b w:val="0"/>
          <w:kern w:val="0"/>
          <w:sz w:val="22"/>
        </w:rPr>
        <w:t xml:space="preserve">1 July </w:t>
      </w:r>
      <w:r w:rsidR="00AC3288">
        <w:rPr>
          <w:b w:val="0"/>
          <w:kern w:val="0"/>
          <w:sz w:val="22"/>
        </w:rPr>
        <w:t>2025</w:t>
      </w:r>
      <w:r>
        <w:rPr>
          <w:b w:val="0"/>
          <w:kern w:val="0"/>
          <w:sz w:val="22"/>
        </w:rPr>
        <w:t>.</w:t>
      </w:r>
    </w:p>
    <w:p w14:paraId="616032F1" w14:textId="5D076FDA" w:rsidR="00086BF0" w:rsidRDefault="006D13C2" w:rsidP="00086BF0">
      <w:pPr>
        <w:pStyle w:val="ActHead5"/>
      </w:pPr>
      <w:r>
        <w:rPr>
          <w:rStyle w:val="CharSectno"/>
        </w:rPr>
        <w:t>5</w:t>
      </w:r>
      <w:r w:rsidR="00086BF0">
        <w:t xml:space="preserve">  Definitions</w:t>
      </w:r>
      <w:bookmarkEnd w:id="6"/>
    </w:p>
    <w:p w14:paraId="69AD0EE0" w14:textId="175096A0" w:rsidR="009475D5" w:rsidRPr="009475D5" w:rsidRDefault="009475D5" w:rsidP="0011362B">
      <w:pPr>
        <w:pStyle w:val="R1"/>
        <w:ind w:left="1134" w:firstLine="29"/>
        <w:rPr>
          <w:sz w:val="22"/>
          <w:szCs w:val="22"/>
        </w:rPr>
      </w:pPr>
      <w:r w:rsidRPr="009475D5">
        <w:rPr>
          <w:sz w:val="22"/>
          <w:szCs w:val="22"/>
        </w:rPr>
        <w:t xml:space="preserve">In this </w:t>
      </w:r>
      <w:r w:rsidR="00C71C75">
        <w:rPr>
          <w:sz w:val="22"/>
          <w:szCs w:val="22"/>
        </w:rPr>
        <w:t>instrument</w:t>
      </w:r>
      <w:r w:rsidRPr="009475D5">
        <w:rPr>
          <w:sz w:val="22"/>
          <w:szCs w:val="22"/>
        </w:rPr>
        <w:t xml:space="preserve">, </w:t>
      </w:r>
      <w:r w:rsidRPr="003046C3">
        <w:rPr>
          <w:b/>
          <w:bCs/>
          <w:i/>
          <w:iCs/>
          <w:sz w:val="22"/>
          <w:szCs w:val="22"/>
        </w:rPr>
        <w:t>the Act</w:t>
      </w:r>
      <w:r w:rsidRPr="009475D5">
        <w:rPr>
          <w:bCs/>
          <w:sz w:val="22"/>
          <w:szCs w:val="22"/>
        </w:rPr>
        <w:t xml:space="preserve"> </w:t>
      </w:r>
      <w:r w:rsidRPr="009475D5">
        <w:rPr>
          <w:sz w:val="22"/>
          <w:szCs w:val="22"/>
        </w:rPr>
        <w:t xml:space="preserve">means the </w:t>
      </w:r>
      <w:r w:rsidRPr="009475D5">
        <w:rPr>
          <w:i/>
          <w:sz w:val="22"/>
          <w:szCs w:val="22"/>
        </w:rPr>
        <w:t>Telecommunications (Carrier Licence Charges) Act 1997</w:t>
      </w:r>
      <w:r w:rsidRPr="009475D5">
        <w:rPr>
          <w:sz w:val="22"/>
          <w:szCs w:val="22"/>
        </w:rPr>
        <w:t>.</w:t>
      </w:r>
    </w:p>
    <w:p w14:paraId="05681FC1" w14:textId="3321C67A" w:rsidR="00086BF0" w:rsidRPr="00912344" w:rsidRDefault="009B3A5B" w:rsidP="00CE4E94">
      <w:pPr>
        <w:pStyle w:val="subsection"/>
        <w:tabs>
          <w:tab w:val="clear" w:pos="1021"/>
          <w:tab w:val="right" w:pos="567"/>
          <w:tab w:val="left" w:pos="1701"/>
        </w:tabs>
        <w:rPr>
          <w:sz w:val="18"/>
          <w:szCs w:val="18"/>
        </w:rPr>
      </w:pPr>
      <w:r>
        <w:tab/>
      </w:r>
      <w:r w:rsidR="0011362B">
        <w:tab/>
      </w:r>
      <w:r w:rsidR="00086BF0" w:rsidRPr="00912344">
        <w:rPr>
          <w:sz w:val="18"/>
          <w:szCs w:val="18"/>
        </w:rPr>
        <w:t>Note:</w:t>
      </w:r>
      <w:r w:rsidR="00086BF0" w:rsidRPr="00912344">
        <w:rPr>
          <w:sz w:val="18"/>
          <w:szCs w:val="18"/>
        </w:rPr>
        <w:tab/>
      </w:r>
      <w:r w:rsidR="001166F0" w:rsidRPr="00912344">
        <w:rPr>
          <w:sz w:val="18"/>
          <w:szCs w:val="18"/>
        </w:rPr>
        <w:t>The following</w:t>
      </w:r>
      <w:r w:rsidR="00086BF0" w:rsidRPr="00912344">
        <w:rPr>
          <w:sz w:val="18"/>
          <w:szCs w:val="18"/>
        </w:rPr>
        <w:t xml:space="preserve"> expressions used in this instrument are defined in the Act:</w:t>
      </w:r>
    </w:p>
    <w:p w14:paraId="0696F27A" w14:textId="5E689E54" w:rsidR="00086BF0" w:rsidRDefault="00086BF0" w:rsidP="00FF46AA">
      <w:pPr>
        <w:pStyle w:val="notepara"/>
        <w:ind w:hanging="653"/>
      </w:pPr>
      <w:r>
        <w:t>(a)</w:t>
      </w:r>
      <w:r>
        <w:tab/>
      </w:r>
      <w:r w:rsidR="002328B7">
        <w:t>ACMA’s telecommunications functions;</w:t>
      </w:r>
    </w:p>
    <w:p w14:paraId="67E0F11C" w14:textId="79BF81E5" w:rsidR="00086BF0" w:rsidRDefault="00086BF0" w:rsidP="00FF46AA">
      <w:pPr>
        <w:pStyle w:val="notepara"/>
        <w:ind w:hanging="653"/>
      </w:pPr>
      <w:r>
        <w:t>(b)</w:t>
      </w:r>
      <w:r>
        <w:tab/>
      </w:r>
      <w:r w:rsidR="002328B7">
        <w:t>ACMA’s telecommunications powers</w:t>
      </w:r>
      <w:r w:rsidR="00C2318F">
        <w:t>.</w:t>
      </w:r>
    </w:p>
    <w:p w14:paraId="68CB38E3" w14:textId="5776BACC" w:rsidR="00086BF0" w:rsidRPr="00FE721B" w:rsidRDefault="000B35B1" w:rsidP="00086BF0">
      <w:pPr>
        <w:pStyle w:val="ActHead5"/>
      </w:pPr>
      <w:bookmarkStart w:id="7" w:name="_Toc444596036"/>
      <w:bookmarkEnd w:id="2"/>
      <w:r>
        <w:t>6</w:t>
      </w:r>
      <w:r w:rsidR="00086BF0" w:rsidRPr="00FE721B">
        <w:t xml:space="preserve">  </w:t>
      </w:r>
      <w:bookmarkEnd w:id="7"/>
      <w:r w:rsidR="008B5D98">
        <w:t>Determination of amount attributable to telecommunications functions and powers</w:t>
      </w:r>
    </w:p>
    <w:p w14:paraId="1C13DA10" w14:textId="5291F3B1" w:rsidR="00086BF0" w:rsidRPr="00FE721B" w:rsidRDefault="00086BF0" w:rsidP="00BA7A1E">
      <w:pPr>
        <w:pStyle w:val="subsection"/>
        <w:jc w:val="both"/>
      </w:pPr>
      <w:r w:rsidRPr="00FE721B">
        <w:tab/>
      </w:r>
      <w:r w:rsidR="00541431">
        <w:tab/>
        <w:t xml:space="preserve">For paragraph 15(1)(a) of the Act, the amount determined to be the proportion of the ACMA’s costs for the </w:t>
      </w:r>
      <w:r w:rsidR="00715383" w:rsidRPr="00756A4E">
        <w:rPr>
          <w:szCs w:val="22"/>
        </w:rPr>
        <w:t xml:space="preserve">2021-2022 </w:t>
      </w:r>
      <w:r w:rsidR="00541431">
        <w:t xml:space="preserve">financial year that is attributable to the ACMA’s telecommunications functions and powers is </w:t>
      </w:r>
      <w:r w:rsidDel="00A24E13">
        <w:t>$</w:t>
      </w:r>
      <w:r w:rsidR="003A0149">
        <w:t>13</w:t>
      </w:r>
      <w:r w:rsidR="38723995">
        <w:t xml:space="preserve"> </w:t>
      </w:r>
      <w:r w:rsidR="003A0149">
        <w:t>055</w:t>
      </w:r>
      <w:r w:rsidR="2C2B5272">
        <w:t xml:space="preserve"> </w:t>
      </w:r>
      <w:r w:rsidR="00891802">
        <w:t>695</w:t>
      </w:r>
      <w:r w:rsidR="00541431" w:rsidRPr="00765335">
        <w:t>.</w:t>
      </w:r>
    </w:p>
    <w:p w14:paraId="40A14EE3" w14:textId="07FE06F3" w:rsidR="00086BF0" w:rsidRPr="00FE721B" w:rsidRDefault="000B35B1" w:rsidP="00086BF0">
      <w:pPr>
        <w:pStyle w:val="ActHead5"/>
      </w:pPr>
      <w:bookmarkStart w:id="8" w:name="_Toc444596038"/>
      <w:r>
        <w:t>7</w:t>
      </w:r>
      <w:r w:rsidR="00086BF0" w:rsidRPr="00FE721B">
        <w:t xml:space="preserve">  </w:t>
      </w:r>
      <w:r w:rsidR="00372BE0">
        <w:t>Determination of amount of ITU contribution to be recovered</w:t>
      </w:r>
    </w:p>
    <w:p w14:paraId="2F718C06" w14:textId="10FC3258" w:rsidR="00086BF0" w:rsidRPr="00FE721B" w:rsidRDefault="00086BF0" w:rsidP="00BA7A1E">
      <w:pPr>
        <w:pStyle w:val="subsection"/>
        <w:jc w:val="both"/>
      </w:pPr>
      <w:r w:rsidRPr="00FE721B">
        <w:tab/>
      </w:r>
      <w:r w:rsidRPr="00FE721B">
        <w:tab/>
      </w:r>
      <w:r w:rsidR="00F8666F">
        <w:t xml:space="preserve">For paragraph 15(1)(c) of the Act, the amount determined to be the proportion of the Commonwealth’s contribution to the budget of the International Telecommunication Union for the </w:t>
      </w:r>
      <w:r w:rsidR="00891802">
        <w:t xml:space="preserve">2022 </w:t>
      </w:r>
      <w:r w:rsidR="00F8666F">
        <w:t xml:space="preserve">calendar year that is to be recovered from carriers is </w:t>
      </w:r>
      <w:r w:rsidDel="00F8666F">
        <w:t>$</w:t>
      </w:r>
      <w:r w:rsidDel="00335AEB">
        <w:t xml:space="preserve">2 </w:t>
      </w:r>
      <w:r w:rsidR="00EC40CB" w:rsidRPr="00756A4E">
        <w:t>198</w:t>
      </w:r>
      <w:r w:rsidR="40151676" w:rsidRPr="00756A4E">
        <w:t xml:space="preserve"> </w:t>
      </w:r>
      <w:r w:rsidR="00EC40CB" w:rsidRPr="00756A4E">
        <w:t>407</w:t>
      </w:r>
      <w:r w:rsidR="00EC75CD" w:rsidRPr="00756A4E">
        <w:t>.</w:t>
      </w:r>
    </w:p>
    <w:p w14:paraId="321589E3" w14:textId="7C92B0D9" w:rsidR="00086BF0" w:rsidRPr="00F8666F" w:rsidRDefault="000B35B1" w:rsidP="00BA7A1E">
      <w:pPr>
        <w:pStyle w:val="ActHead5"/>
        <w:jc w:val="both"/>
      </w:pPr>
      <w:r>
        <w:t>8</w:t>
      </w:r>
      <w:r w:rsidR="00086BF0" w:rsidRPr="00F8666F">
        <w:t xml:space="preserve">  </w:t>
      </w:r>
      <w:bookmarkEnd w:id="8"/>
      <w:r w:rsidR="00254745">
        <w:t>Determination of amounts paid under section 136C of</w:t>
      </w:r>
      <w:r w:rsidR="003046C3">
        <w:t xml:space="preserve"> the</w:t>
      </w:r>
      <w:r w:rsidR="00254745">
        <w:t xml:space="preserve"> </w:t>
      </w:r>
      <w:r w:rsidR="00254745" w:rsidRPr="0020694D">
        <w:rPr>
          <w:i/>
        </w:rPr>
        <w:t>Telecommunications Act 1997</w:t>
      </w:r>
    </w:p>
    <w:p w14:paraId="7F579CC8" w14:textId="32780BD1" w:rsidR="00086BF0" w:rsidRDefault="00086BF0" w:rsidP="00BA7A1E">
      <w:pPr>
        <w:pStyle w:val="paragraph"/>
        <w:tabs>
          <w:tab w:val="left" w:pos="993"/>
        </w:tabs>
        <w:spacing w:before="180"/>
        <w:ind w:left="1134" w:hanging="1134"/>
        <w:jc w:val="both"/>
      </w:pPr>
      <w:r w:rsidRPr="00F8666F">
        <w:rPr>
          <w:rFonts w:eastAsiaTheme="minorHAnsi"/>
        </w:rPr>
        <w:tab/>
      </w:r>
      <w:r w:rsidRPr="00F8666F">
        <w:rPr>
          <w:rFonts w:eastAsiaTheme="minorHAnsi"/>
        </w:rPr>
        <w:tab/>
      </w:r>
      <w:r w:rsidR="00F5626D">
        <w:t>For paragraph 15(1)(ca) of the Act, the</w:t>
      </w:r>
      <w:r w:rsidR="00C30EEF">
        <w:t xml:space="preserve">re </w:t>
      </w:r>
      <w:r w:rsidR="004D7555">
        <w:t>w</w:t>
      </w:r>
      <w:r w:rsidR="005F1F5D">
        <w:t>ere</w:t>
      </w:r>
      <w:r w:rsidR="004D7555">
        <w:t xml:space="preserve"> no</w:t>
      </w:r>
      <w:r w:rsidR="00F5626D">
        <w:t xml:space="preserve"> amount</w:t>
      </w:r>
      <w:r w:rsidR="005F1F5D">
        <w:t>s</w:t>
      </w:r>
      <w:r w:rsidR="00F5626D">
        <w:t xml:space="preserve"> paid under section 136C of the </w:t>
      </w:r>
      <w:r w:rsidR="00F5626D">
        <w:rPr>
          <w:i/>
        </w:rPr>
        <w:t>Telecommunications Act 1997</w:t>
      </w:r>
      <w:r w:rsidR="00F5626D">
        <w:t xml:space="preserve"> during the </w:t>
      </w:r>
      <w:r w:rsidR="00EC40CB" w:rsidRPr="00756A4E">
        <w:rPr>
          <w:sz w:val="24"/>
          <w:szCs w:val="24"/>
        </w:rPr>
        <w:t>2021-2022</w:t>
      </w:r>
      <w:r w:rsidR="00EC40CB" w:rsidRPr="00A5648A">
        <w:rPr>
          <w:sz w:val="24"/>
          <w:szCs w:val="24"/>
        </w:rPr>
        <w:t xml:space="preserve"> </w:t>
      </w:r>
      <w:r w:rsidR="00F5626D">
        <w:t>financial year.</w:t>
      </w:r>
    </w:p>
    <w:p w14:paraId="01332066" w14:textId="659C5DA1" w:rsidR="002332A2" w:rsidRPr="00086BF0" w:rsidRDefault="00086BF0" w:rsidP="00F5626D">
      <w:pPr>
        <w:tabs>
          <w:tab w:val="left" w:pos="2664"/>
        </w:tabs>
      </w:pPr>
      <w:r>
        <w:rPr>
          <w:lang w:eastAsia="en-AU"/>
        </w:rPr>
        <w:tab/>
      </w:r>
    </w:p>
    <w:sectPr w:rsidR="002332A2" w:rsidRPr="00086BF0" w:rsidSect="00957210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5843" w14:textId="77777777" w:rsidR="00215247" w:rsidRDefault="00215247" w:rsidP="0017734A">
      <w:pPr>
        <w:spacing w:after="0" w:line="240" w:lineRule="auto"/>
      </w:pPr>
      <w:r>
        <w:separator/>
      </w:r>
    </w:p>
  </w:endnote>
  <w:endnote w:type="continuationSeparator" w:id="0">
    <w:p w14:paraId="246A4C75" w14:textId="77777777" w:rsidR="00215247" w:rsidRDefault="00215247" w:rsidP="0017734A">
      <w:pPr>
        <w:spacing w:after="0" w:line="240" w:lineRule="auto"/>
      </w:pPr>
      <w:r>
        <w:continuationSeparator/>
      </w:r>
    </w:p>
  </w:endnote>
  <w:endnote w:type="continuationNotice" w:id="1">
    <w:p w14:paraId="389E1D0E" w14:textId="77777777" w:rsidR="00215247" w:rsidRDefault="00215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FC6F" w14:textId="1CF82BF4" w:rsidR="00066F15" w:rsidRDefault="00066F15" w:rsidP="00066F15">
    <w:pPr>
      <w:pStyle w:val="Footer"/>
      <w:pBdr>
        <w:bottom w:val="single" w:sz="6" w:space="1" w:color="auto"/>
      </w:pBdr>
      <w:rPr>
        <w:rFonts w:ascii="Times New Roman" w:hAnsi="Times New Roman" w:cs="Times New Roman"/>
        <w:i/>
        <w:iCs/>
        <w:sz w:val="20"/>
        <w:szCs w:val="20"/>
      </w:rPr>
    </w:pPr>
  </w:p>
  <w:p w14:paraId="376AF00C" w14:textId="77777777" w:rsidR="00714754" w:rsidRDefault="00116B35" w:rsidP="00F24B6D">
    <w:pPr>
      <w:pStyle w:val="Foot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066F15">
      <w:rPr>
        <w:rFonts w:ascii="Times New Roman" w:hAnsi="Times New Roman" w:cs="Times New Roman"/>
        <w:i/>
        <w:iCs/>
        <w:sz w:val="20"/>
        <w:szCs w:val="20"/>
      </w:rPr>
      <w:t xml:space="preserve">Telecommunications Carrier Licence Charges (Specification of Costs by the ACMA) </w:t>
    </w:r>
  </w:p>
  <w:p w14:paraId="7CC3282D" w14:textId="5234D57C" w:rsidR="00AE37CA" w:rsidRDefault="00116B35" w:rsidP="00F24B6D">
    <w:pPr>
      <w:pStyle w:val="Footer"/>
      <w:jc w:val="center"/>
      <w:rPr>
        <w:i/>
        <w:iCs/>
      </w:rPr>
    </w:pPr>
    <w:r w:rsidRPr="00066F15">
      <w:rPr>
        <w:rFonts w:ascii="Times New Roman" w:hAnsi="Times New Roman" w:cs="Times New Roman"/>
        <w:i/>
        <w:iCs/>
        <w:sz w:val="20"/>
        <w:szCs w:val="20"/>
      </w:rPr>
      <w:t>Determination (No</w:t>
    </w:r>
    <w:r w:rsidR="007A66B5">
      <w:rPr>
        <w:rFonts w:ascii="Times New Roman" w:hAnsi="Times New Roman" w:cs="Times New Roman"/>
        <w:i/>
        <w:iCs/>
        <w:sz w:val="20"/>
        <w:szCs w:val="20"/>
      </w:rPr>
      <w:t>2</w:t>
    </w:r>
    <w:r w:rsidRPr="00066F15">
      <w:rPr>
        <w:rFonts w:ascii="Times New Roman" w:hAnsi="Times New Roman" w:cs="Times New Roman"/>
        <w:i/>
        <w:iCs/>
        <w:sz w:val="20"/>
        <w:szCs w:val="20"/>
      </w:rPr>
      <w:t xml:space="preserve">) </w:t>
    </w:r>
    <w:r w:rsidR="00386A3D" w:rsidRPr="00066F15">
      <w:rPr>
        <w:rFonts w:ascii="Times New Roman" w:hAnsi="Times New Roman" w:cs="Times New Roman"/>
        <w:i/>
        <w:iCs/>
        <w:sz w:val="20"/>
        <w:szCs w:val="20"/>
      </w:rPr>
      <w:t>202</w:t>
    </w:r>
    <w:r w:rsidR="00386A3D">
      <w:rPr>
        <w:rFonts w:ascii="Times New Roman" w:hAnsi="Times New Roman" w:cs="Times New Roman"/>
        <w:i/>
        <w:iCs/>
        <w:sz w:val="20"/>
        <w:szCs w:val="20"/>
      </w:rPr>
      <w:t>3</w:t>
    </w:r>
  </w:p>
  <w:p w14:paraId="03ACB268" w14:textId="4471DE4E" w:rsidR="00912344" w:rsidRPr="00AE37CA" w:rsidRDefault="00066F15" w:rsidP="00AE37CA">
    <w:pPr>
      <w:pStyle w:val="Footer"/>
      <w:jc w:val="right"/>
      <w:rPr>
        <w:i/>
        <w:iCs/>
      </w:rPr>
    </w:pPr>
    <w:r w:rsidRPr="00D215C8">
      <w:rPr>
        <w:rFonts w:ascii="Times New Roman" w:hAnsi="Times New Roman" w:cs="Times New Roman"/>
        <w:sz w:val="20"/>
        <w:szCs w:val="20"/>
      </w:rPr>
      <w:fldChar w:fldCharType="begin"/>
    </w:r>
    <w:r w:rsidRPr="00D215C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215C8">
      <w:rPr>
        <w:rFonts w:ascii="Times New Roman" w:hAnsi="Times New Roman" w:cs="Times New Roman"/>
        <w:sz w:val="20"/>
        <w:szCs w:val="20"/>
      </w:rPr>
      <w:fldChar w:fldCharType="separate"/>
    </w:r>
    <w:r w:rsidRPr="00D215C8">
      <w:rPr>
        <w:rFonts w:ascii="Times New Roman" w:hAnsi="Times New Roman" w:cs="Times New Roman"/>
        <w:noProof/>
        <w:sz w:val="20"/>
        <w:szCs w:val="20"/>
      </w:rPr>
      <w:t>1</w:t>
    </w:r>
    <w:r w:rsidRPr="00D215C8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9476" w14:textId="77777777" w:rsidR="00215247" w:rsidRDefault="00215247" w:rsidP="0017734A">
      <w:pPr>
        <w:spacing w:after="0" w:line="240" w:lineRule="auto"/>
      </w:pPr>
      <w:r>
        <w:separator/>
      </w:r>
    </w:p>
  </w:footnote>
  <w:footnote w:type="continuationSeparator" w:id="0">
    <w:p w14:paraId="7C136928" w14:textId="77777777" w:rsidR="00215247" w:rsidRDefault="00215247" w:rsidP="0017734A">
      <w:pPr>
        <w:spacing w:after="0" w:line="240" w:lineRule="auto"/>
      </w:pPr>
      <w:r>
        <w:continuationSeparator/>
      </w:r>
    </w:p>
  </w:footnote>
  <w:footnote w:type="continuationNotice" w:id="1">
    <w:p w14:paraId="565279FA" w14:textId="77777777" w:rsidR="00215247" w:rsidRDefault="002152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CE46" w14:textId="5E8DCBE9" w:rsidR="00E43CFB" w:rsidRPr="003D4D5B" w:rsidRDefault="00E43CFB" w:rsidP="003D4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777759">
    <w:abstractNumId w:val="2"/>
  </w:num>
  <w:num w:numId="2" w16cid:durableId="1756705383">
    <w:abstractNumId w:val="6"/>
  </w:num>
  <w:num w:numId="3" w16cid:durableId="192423203">
    <w:abstractNumId w:val="4"/>
  </w:num>
  <w:num w:numId="4" w16cid:durableId="986517892">
    <w:abstractNumId w:val="5"/>
  </w:num>
  <w:num w:numId="5" w16cid:durableId="1733309244">
    <w:abstractNumId w:val="3"/>
  </w:num>
  <w:num w:numId="6" w16cid:durableId="541789110">
    <w:abstractNumId w:val="1"/>
  </w:num>
  <w:num w:numId="7" w16cid:durableId="2010134242">
    <w:abstractNumId w:val="0"/>
  </w:num>
  <w:num w:numId="8" w16cid:durableId="630286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3982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2318E"/>
    <w:rsid w:val="0003136D"/>
    <w:rsid w:val="000340E0"/>
    <w:rsid w:val="00040C07"/>
    <w:rsid w:val="00044E44"/>
    <w:rsid w:val="00052280"/>
    <w:rsid w:val="00060AC6"/>
    <w:rsid w:val="000640B0"/>
    <w:rsid w:val="00064C89"/>
    <w:rsid w:val="00066F15"/>
    <w:rsid w:val="00082C10"/>
    <w:rsid w:val="00086BF0"/>
    <w:rsid w:val="00087F5A"/>
    <w:rsid w:val="000918BE"/>
    <w:rsid w:val="00097890"/>
    <w:rsid w:val="000B35B1"/>
    <w:rsid w:val="000C0061"/>
    <w:rsid w:val="000C5654"/>
    <w:rsid w:val="000C6B27"/>
    <w:rsid w:val="000D6066"/>
    <w:rsid w:val="000E2F81"/>
    <w:rsid w:val="000E35B9"/>
    <w:rsid w:val="000F0A8C"/>
    <w:rsid w:val="000F1010"/>
    <w:rsid w:val="000F1CE3"/>
    <w:rsid w:val="000F1D2B"/>
    <w:rsid w:val="000F2057"/>
    <w:rsid w:val="000F6339"/>
    <w:rsid w:val="0011362B"/>
    <w:rsid w:val="001166F0"/>
    <w:rsid w:val="00116B35"/>
    <w:rsid w:val="00124C0D"/>
    <w:rsid w:val="00140CF1"/>
    <w:rsid w:val="00152CE6"/>
    <w:rsid w:val="00152E52"/>
    <w:rsid w:val="00160F8E"/>
    <w:rsid w:val="00163536"/>
    <w:rsid w:val="0017734A"/>
    <w:rsid w:val="00183F81"/>
    <w:rsid w:val="001946D6"/>
    <w:rsid w:val="00197077"/>
    <w:rsid w:val="00197220"/>
    <w:rsid w:val="001A2B69"/>
    <w:rsid w:val="001A498F"/>
    <w:rsid w:val="001A4B39"/>
    <w:rsid w:val="001A589F"/>
    <w:rsid w:val="001B2574"/>
    <w:rsid w:val="001C20AD"/>
    <w:rsid w:val="001C3477"/>
    <w:rsid w:val="001E0709"/>
    <w:rsid w:val="001E45EA"/>
    <w:rsid w:val="002110C6"/>
    <w:rsid w:val="00215247"/>
    <w:rsid w:val="00221CAB"/>
    <w:rsid w:val="00224D63"/>
    <w:rsid w:val="002328B7"/>
    <w:rsid w:val="002332A2"/>
    <w:rsid w:val="002359DE"/>
    <w:rsid w:val="00254745"/>
    <w:rsid w:val="002569B5"/>
    <w:rsid w:val="0026571D"/>
    <w:rsid w:val="002852F9"/>
    <w:rsid w:val="00290A1E"/>
    <w:rsid w:val="00291033"/>
    <w:rsid w:val="00291C8D"/>
    <w:rsid w:val="002943F5"/>
    <w:rsid w:val="002B73D8"/>
    <w:rsid w:val="002D633A"/>
    <w:rsid w:val="002E0358"/>
    <w:rsid w:val="002E5B01"/>
    <w:rsid w:val="002F0E3F"/>
    <w:rsid w:val="002F7598"/>
    <w:rsid w:val="003046C3"/>
    <w:rsid w:val="00307A9D"/>
    <w:rsid w:val="003166CF"/>
    <w:rsid w:val="00335AEB"/>
    <w:rsid w:val="00343C41"/>
    <w:rsid w:val="0035184C"/>
    <w:rsid w:val="00361937"/>
    <w:rsid w:val="00372BE0"/>
    <w:rsid w:val="00372D68"/>
    <w:rsid w:val="0037703D"/>
    <w:rsid w:val="00386A3D"/>
    <w:rsid w:val="00395204"/>
    <w:rsid w:val="003973D0"/>
    <w:rsid w:val="003A0149"/>
    <w:rsid w:val="003B2C48"/>
    <w:rsid w:val="003B64CF"/>
    <w:rsid w:val="003C0096"/>
    <w:rsid w:val="003D4D5B"/>
    <w:rsid w:val="003F52F0"/>
    <w:rsid w:val="00402B85"/>
    <w:rsid w:val="00407603"/>
    <w:rsid w:val="00407E8A"/>
    <w:rsid w:val="00411A50"/>
    <w:rsid w:val="00416E07"/>
    <w:rsid w:val="00417B8B"/>
    <w:rsid w:val="00424038"/>
    <w:rsid w:val="00434B53"/>
    <w:rsid w:val="004361D9"/>
    <w:rsid w:val="00440610"/>
    <w:rsid w:val="0045229C"/>
    <w:rsid w:val="0045517E"/>
    <w:rsid w:val="00464232"/>
    <w:rsid w:val="00464E8C"/>
    <w:rsid w:val="004775DD"/>
    <w:rsid w:val="0048621D"/>
    <w:rsid w:val="00486F67"/>
    <w:rsid w:val="004B4796"/>
    <w:rsid w:val="004D6B79"/>
    <w:rsid w:val="004D7555"/>
    <w:rsid w:val="004E3164"/>
    <w:rsid w:val="004F3ECF"/>
    <w:rsid w:val="004F766E"/>
    <w:rsid w:val="00502445"/>
    <w:rsid w:val="00504AA3"/>
    <w:rsid w:val="00507D03"/>
    <w:rsid w:val="00514FBE"/>
    <w:rsid w:val="00520331"/>
    <w:rsid w:val="005310F4"/>
    <w:rsid w:val="00541431"/>
    <w:rsid w:val="00541537"/>
    <w:rsid w:val="005471AA"/>
    <w:rsid w:val="00550C48"/>
    <w:rsid w:val="00583F0E"/>
    <w:rsid w:val="00587C73"/>
    <w:rsid w:val="005957A6"/>
    <w:rsid w:val="005A3582"/>
    <w:rsid w:val="005B3931"/>
    <w:rsid w:val="005C0555"/>
    <w:rsid w:val="005D3820"/>
    <w:rsid w:val="005D43B5"/>
    <w:rsid w:val="005E67C2"/>
    <w:rsid w:val="005E6ACD"/>
    <w:rsid w:val="005F1F5D"/>
    <w:rsid w:val="005F474D"/>
    <w:rsid w:val="00615D3C"/>
    <w:rsid w:val="0063364D"/>
    <w:rsid w:val="00634EE0"/>
    <w:rsid w:val="00640849"/>
    <w:rsid w:val="006437D6"/>
    <w:rsid w:val="00643993"/>
    <w:rsid w:val="006453A3"/>
    <w:rsid w:val="00647A7D"/>
    <w:rsid w:val="00670AC3"/>
    <w:rsid w:val="00677B7A"/>
    <w:rsid w:val="00681361"/>
    <w:rsid w:val="00693D4F"/>
    <w:rsid w:val="006C0251"/>
    <w:rsid w:val="006C3B4C"/>
    <w:rsid w:val="006D13C2"/>
    <w:rsid w:val="006D36DE"/>
    <w:rsid w:val="006D7EC0"/>
    <w:rsid w:val="006E5B82"/>
    <w:rsid w:val="006F5CF2"/>
    <w:rsid w:val="006F662B"/>
    <w:rsid w:val="00703828"/>
    <w:rsid w:val="0071142C"/>
    <w:rsid w:val="00714754"/>
    <w:rsid w:val="00715383"/>
    <w:rsid w:val="007175A6"/>
    <w:rsid w:val="00721966"/>
    <w:rsid w:val="00733FB0"/>
    <w:rsid w:val="0073458F"/>
    <w:rsid w:val="00756A4E"/>
    <w:rsid w:val="00763880"/>
    <w:rsid w:val="00770264"/>
    <w:rsid w:val="00782ADA"/>
    <w:rsid w:val="0079258C"/>
    <w:rsid w:val="007A66B5"/>
    <w:rsid w:val="007D093E"/>
    <w:rsid w:val="007D09C0"/>
    <w:rsid w:val="007F435E"/>
    <w:rsid w:val="00800926"/>
    <w:rsid w:val="0081244E"/>
    <w:rsid w:val="00812A22"/>
    <w:rsid w:val="00814838"/>
    <w:rsid w:val="008275A0"/>
    <w:rsid w:val="0083257D"/>
    <w:rsid w:val="0084078A"/>
    <w:rsid w:val="00854E86"/>
    <w:rsid w:val="0086239F"/>
    <w:rsid w:val="00877B21"/>
    <w:rsid w:val="00891802"/>
    <w:rsid w:val="00892659"/>
    <w:rsid w:val="0089278F"/>
    <w:rsid w:val="008928A8"/>
    <w:rsid w:val="00895EE2"/>
    <w:rsid w:val="00896A23"/>
    <w:rsid w:val="008B5D98"/>
    <w:rsid w:val="008C1C8F"/>
    <w:rsid w:val="008D642E"/>
    <w:rsid w:val="008E5BA8"/>
    <w:rsid w:val="008F015D"/>
    <w:rsid w:val="008F0D09"/>
    <w:rsid w:val="00903870"/>
    <w:rsid w:val="00912344"/>
    <w:rsid w:val="0091432C"/>
    <w:rsid w:val="0091715D"/>
    <w:rsid w:val="0091792E"/>
    <w:rsid w:val="00936E66"/>
    <w:rsid w:val="009475D5"/>
    <w:rsid w:val="00950F09"/>
    <w:rsid w:val="00952C04"/>
    <w:rsid w:val="00954745"/>
    <w:rsid w:val="00957210"/>
    <w:rsid w:val="00966602"/>
    <w:rsid w:val="00966DA5"/>
    <w:rsid w:val="00971F7D"/>
    <w:rsid w:val="00974824"/>
    <w:rsid w:val="00982D1D"/>
    <w:rsid w:val="00987A5F"/>
    <w:rsid w:val="00995AF5"/>
    <w:rsid w:val="00997B81"/>
    <w:rsid w:val="009B3A5B"/>
    <w:rsid w:val="009B3E70"/>
    <w:rsid w:val="009E2417"/>
    <w:rsid w:val="00A05045"/>
    <w:rsid w:val="00A13BED"/>
    <w:rsid w:val="00A24E13"/>
    <w:rsid w:val="00A40E01"/>
    <w:rsid w:val="00A533E4"/>
    <w:rsid w:val="00A63CDA"/>
    <w:rsid w:val="00A817F3"/>
    <w:rsid w:val="00A87309"/>
    <w:rsid w:val="00A9241B"/>
    <w:rsid w:val="00A965A3"/>
    <w:rsid w:val="00AA0508"/>
    <w:rsid w:val="00AC3288"/>
    <w:rsid w:val="00AC5FC8"/>
    <w:rsid w:val="00AD14AA"/>
    <w:rsid w:val="00AD1EEA"/>
    <w:rsid w:val="00AD403C"/>
    <w:rsid w:val="00AE1ECA"/>
    <w:rsid w:val="00AE37CA"/>
    <w:rsid w:val="00AE50D5"/>
    <w:rsid w:val="00AF04AC"/>
    <w:rsid w:val="00AF113E"/>
    <w:rsid w:val="00B02B4D"/>
    <w:rsid w:val="00B04107"/>
    <w:rsid w:val="00B05537"/>
    <w:rsid w:val="00B13B65"/>
    <w:rsid w:val="00B22FA4"/>
    <w:rsid w:val="00B26954"/>
    <w:rsid w:val="00B34A4D"/>
    <w:rsid w:val="00B54A56"/>
    <w:rsid w:val="00B71857"/>
    <w:rsid w:val="00B7359B"/>
    <w:rsid w:val="00B90F17"/>
    <w:rsid w:val="00B92F70"/>
    <w:rsid w:val="00B94518"/>
    <w:rsid w:val="00BA4326"/>
    <w:rsid w:val="00BA7A1E"/>
    <w:rsid w:val="00BA7DB7"/>
    <w:rsid w:val="00BC30F7"/>
    <w:rsid w:val="00BC65F7"/>
    <w:rsid w:val="00BD77C9"/>
    <w:rsid w:val="00BE095C"/>
    <w:rsid w:val="00BE4BC7"/>
    <w:rsid w:val="00BF6CCD"/>
    <w:rsid w:val="00C0324D"/>
    <w:rsid w:val="00C04BC4"/>
    <w:rsid w:val="00C227FB"/>
    <w:rsid w:val="00C228EF"/>
    <w:rsid w:val="00C2318F"/>
    <w:rsid w:val="00C2546B"/>
    <w:rsid w:val="00C25DB4"/>
    <w:rsid w:val="00C30EEF"/>
    <w:rsid w:val="00C34CDB"/>
    <w:rsid w:val="00C41FA0"/>
    <w:rsid w:val="00C5287B"/>
    <w:rsid w:val="00C67C75"/>
    <w:rsid w:val="00C71C75"/>
    <w:rsid w:val="00C76D9C"/>
    <w:rsid w:val="00C81BFB"/>
    <w:rsid w:val="00C866D1"/>
    <w:rsid w:val="00C9448D"/>
    <w:rsid w:val="00C948EF"/>
    <w:rsid w:val="00CB7288"/>
    <w:rsid w:val="00CC455B"/>
    <w:rsid w:val="00CC64DD"/>
    <w:rsid w:val="00CD2FCD"/>
    <w:rsid w:val="00CD47EB"/>
    <w:rsid w:val="00CE4E94"/>
    <w:rsid w:val="00CE608F"/>
    <w:rsid w:val="00CF4A41"/>
    <w:rsid w:val="00D022DB"/>
    <w:rsid w:val="00D15825"/>
    <w:rsid w:val="00D215C8"/>
    <w:rsid w:val="00D31F3F"/>
    <w:rsid w:val="00D510ED"/>
    <w:rsid w:val="00D553D5"/>
    <w:rsid w:val="00D56CCA"/>
    <w:rsid w:val="00D62DCD"/>
    <w:rsid w:val="00D65F59"/>
    <w:rsid w:val="00D76FC6"/>
    <w:rsid w:val="00D86882"/>
    <w:rsid w:val="00D90728"/>
    <w:rsid w:val="00DA3F1E"/>
    <w:rsid w:val="00DA578C"/>
    <w:rsid w:val="00DC0CDF"/>
    <w:rsid w:val="00DC0FD7"/>
    <w:rsid w:val="00DC31AF"/>
    <w:rsid w:val="00DD7A46"/>
    <w:rsid w:val="00DF736B"/>
    <w:rsid w:val="00E1191F"/>
    <w:rsid w:val="00E13491"/>
    <w:rsid w:val="00E23CEA"/>
    <w:rsid w:val="00E318F7"/>
    <w:rsid w:val="00E41801"/>
    <w:rsid w:val="00E43CFB"/>
    <w:rsid w:val="00E458FD"/>
    <w:rsid w:val="00E469AF"/>
    <w:rsid w:val="00E474C8"/>
    <w:rsid w:val="00E546BA"/>
    <w:rsid w:val="00E618B6"/>
    <w:rsid w:val="00E671B2"/>
    <w:rsid w:val="00E7332E"/>
    <w:rsid w:val="00E75920"/>
    <w:rsid w:val="00E90B30"/>
    <w:rsid w:val="00E934DA"/>
    <w:rsid w:val="00E93564"/>
    <w:rsid w:val="00EB4ECF"/>
    <w:rsid w:val="00EC40CB"/>
    <w:rsid w:val="00EC54C3"/>
    <w:rsid w:val="00EC5B45"/>
    <w:rsid w:val="00EC75CD"/>
    <w:rsid w:val="00ED2E8B"/>
    <w:rsid w:val="00F07A2C"/>
    <w:rsid w:val="00F1448E"/>
    <w:rsid w:val="00F24B6D"/>
    <w:rsid w:val="00F31EC9"/>
    <w:rsid w:val="00F33EBD"/>
    <w:rsid w:val="00F5626D"/>
    <w:rsid w:val="00F62C1E"/>
    <w:rsid w:val="00F63280"/>
    <w:rsid w:val="00F63A10"/>
    <w:rsid w:val="00F75CF7"/>
    <w:rsid w:val="00F77DB5"/>
    <w:rsid w:val="00F856A6"/>
    <w:rsid w:val="00F85ED9"/>
    <w:rsid w:val="00F8666F"/>
    <w:rsid w:val="00F87D34"/>
    <w:rsid w:val="00F90642"/>
    <w:rsid w:val="00FA252B"/>
    <w:rsid w:val="00FB0930"/>
    <w:rsid w:val="00FB1145"/>
    <w:rsid w:val="00FB59C1"/>
    <w:rsid w:val="00FC69E6"/>
    <w:rsid w:val="00FD0C5A"/>
    <w:rsid w:val="00FD323F"/>
    <w:rsid w:val="00FD4BB4"/>
    <w:rsid w:val="00FD5A55"/>
    <w:rsid w:val="00FE721B"/>
    <w:rsid w:val="00FF46AA"/>
    <w:rsid w:val="00FF65AC"/>
    <w:rsid w:val="2C2B5272"/>
    <w:rsid w:val="38723995"/>
    <w:rsid w:val="40151676"/>
    <w:rsid w:val="439BC032"/>
    <w:rsid w:val="5794A506"/>
    <w:rsid w:val="6E49B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496579FC-F36E-4FB9-92FA-CB8610FF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R1">
    <w:name w:val="R1"/>
    <w:aliases w:val="1. or 1.(1)"/>
    <w:basedOn w:val="Normal"/>
    <w:next w:val="Normal"/>
    <w:rsid w:val="009475D5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54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egislation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UQVA7MFFXVNW-850449931-2447</_dlc_DocId>
    <_dlc_DocIdUrl xmlns="04b8ec43-391f-4ce4-8841-d6a482add564">
      <Url>http://collaboration/organisation/auth/Chair/Auth/_layouts/15/DocIdRedir.aspx?ID=UQVA7MFFXVNW-850449931-2447</Url>
      <Description>UQVA7MFFXVNW-850449931-2447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967D8-70D6-465B-A3E2-FE4523C77D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6A1459-A477-46EA-9CB4-A77073B0AF7A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603dc51-27f8-4990-bfb6-ed1b7d4f7fae"/>
    <ds:schemaRef ds:uri="276c1ae0-fb26-4e7d-bb64-5c5ad0d06a1a"/>
    <ds:schemaRef ds:uri="http://schemas.microsoft.com/office/2006/metadata/properties"/>
    <ds:schemaRef ds:uri="http://purl.org/dc/dcmitype/"/>
    <ds:schemaRef ds:uri="026d8262-4725-4a9c-834e-3f991ab17ffd"/>
    <ds:schemaRef ds:uri="04b8ec43-391f-4ce4-8841-d6a482add564"/>
  </ds:schemaRefs>
</ds:datastoreItem>
</file>

<file path=customXml/itemProps5.xml><?xml version="1.0" encoding="utf-8"?>
<ds:datastoreItem xmlns:ds="http://schemas.openxmlformats.org/officeDocument/2006/customXml" ds:itemID="{D452794F-7557-43A5-9109-D53E08A61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3</cp:revision>
  <cp:lastPrinted>2022-09-23T01:08:00Z</cp:lastPrinted>
  <dcterms:created xsi:type="dcterms:W3CDTF">2023-11-28T05:24:00Z</dcterms:created>
  <dcterms:modified xsi:type="dcterms:W3CDTF">2023-12-07T01:57:00Z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_dlc_DocIdItemGuid">
    <vt:lpwstr>e4c28bde-d957-4cf1-99eb-78cbcd1423f9</vt:lpwstr>
  </property>
  <property fmtid="{D5CDD505-2E9C-101B-9397-08002B2CF9AE}" pid="4" name="TitusGUID">
    <vt:lpwstr>890cf76b-808e-41e7-b9d7-e9885aac1cf9</vt:lpwstr>
  </property>
</Properties>
</file>