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B4F" w14:textId="77777777" w:rsidR="001F2A16" w:rsidRPr="00E37551" w:rsidRDefault="001F2A16" w:rsidP="00E37551">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E37551">
        <w:rPr>
          <w:rFonts w:ascii="Arial" w:hAnsi="Arial" w:cs="Arial"/>
          <w:sz w:val="34"/>
          <w:szCs w:val="34"/>
        </w:rPr>
        <w:t>Explanatory Statement</w:t>
      </w:r>
    </w:p>
    <w:p w14:paraId="7D4CD1EA" w14:textId="77777777" w:rsidR="00384640" w:rsidRPr="00E37551" w:rsidRDefault="00384640" w:rsidP="00E37551">
      <w:pPr>
        <w:pStyle w:val="Header"/>
        <w:pBdr>
          <w:top w:val="single" w:sz="4" w:space="1" w:color="auto"/>
          <w:bottom w:val="single" w:sz="4" w:space="1" w:color="auto"/>
        </w:pBdr>
        <w:tabs>
          <w:tab w:val="clear" w:pos="4153"/>
          <w:tab w:val="clear" w:pos="8306"/>
        </w:tabs>
        <w:jc w:val="center"/>
        <w:rPr>
          <w:rFonts w:ascii="Arial" w:hAnsi="Arial" w:cs="Arial"/>
          <w:sz w:val="34"/>
          <w:szCs w:val="34"/>
        </w:rPr>
      </w:pPr>
      <w:r w:rsidRPr="00E37551">
        <w:rPr>
          <w:rFonts w:ascii="Arial" w:hAnsi="Arial" w:cs="Arial"/>
          <w:sz w:val="34"/>
          <w:szCs w:val="34"/>
        </w:rPr>
        <w:t>Taxation Administration (Reporting Exemptions for Electronic Distribution Platform Operators – Relevant Accommodation and Taxi Travel) Determination 2023</w:t>
      </w:r>
    </w:p>
    <w:p w14:paraId="15AC1B52" w14:textId="5B65CDA8" w:rsidR="0099555F" w:rsidRPr="00E37551" w:rsidRDefault="0099555F" w:rsidP="00E37551">
      <w:pPr>
        <w:pStyle w:val="Header"/>
        <w:tabs>
          <w:tab w:val="clear" w:pos="4153"/>
          <w:tab w:val="clear" w:pos="8306"/>
        </w:tabs>
        <w:jc w:val="center"/>
        <w:rPr>
          <w:rFonts w:ascii="Arial" w:hAnsi="Arial" w:cs="Arial"/>
          <w:sz w:val="22"/>
          <w:szCs w:val="22"/>
        </w:rPr>
      </w:pPr>
    </w:p>
    <w:p w14:paraId="15AC1B53" w14:textId="77777777" w:rsidR="001F2A16" w:rsidRPr="00E37551" w:rsidRDefault="001F2A16" w:rsidP="00E37551">
      <w:pPr>
        <w:pStyle w:val="Header"/>
        <w:tabs>
          <w:tab w:val="clear" w:pos="4153"/>
          <w:tab w:val="clear" w:pos="8306"/>
        </w:tabs>
        <w:jc w:val="center"/>
        <w:rPr>
          <w:rFonts w:ascii="Arial" w:hAnsi="Arial" w:cs="Arial"/>
          <w:sz w:val="22"/>
          <w:szCs w:val="22"/>
        </w:rPr>
      </w:pPr>
    </w:p>
    <w:p w14:paraId="15AC1B54" w14:textId="72E1D7FF" w:rsidR="00486653" w:rsidRPr="00E37551" w:rsidRDefault="00486653" w:rsidP="00E37551">
      <w:pPr>
        <w:pStyle w:val="Heading2"/>
      </w:pPr>
      <w:r w:rsidRPr="00E37551">
        <w:t xml:space="preserve">General </w:t>
      </w:r>
      <w:r w:rsidR="00C620E9" w:rsidRPr="00E37551">
        <w:t>o</w:t>
      </w:r>
      <w:r w:rsidRPr="00E37551">
        <w:t xml:space="preserve">utline of </w:t>
      </w:r>
      <w:r w:rsidR="00C620E9" w:rsidRPr="00E37551">
        <w:t>i</w:t>
      </w:r>
      <w:r w:rsidRPr="00E37551">
        <w:t>nstrument</w:t>
      </w:r>
    </w:p>
    <w:p w14:paraId="0FBC7609" w14:textId="77777777" w:rsidR="00384640" w:rsidRPr="00E37551" w:rsidRDefault="00384640" w:rsidP="00E37551">
      <w:pPr>
        <w:numPr>
          <w:ilvl w:val="0"/>
          <w:numId w:val="1"/>
        </w:numPr>
        <w:tabs>
          <w:tab w:val="clear" w:pos="360"/>
        </w:tabs>
        <w:spacing w:after="120"/>
        <w:ind w:left="0" w:firstLine="0"/>
        <w:rPr>
          <w:rFonts w:ascii="Arial" w:hAnsi="Arial" w:cs="Arial"/>
          <w:sz w:val="22"/>
          <w:szCs w:val="22"/>
        </w:rPr>
      </w:pPr>
      <w:r w:rsidRPr="00E37551">
        <w:rPr>
          <w:rFonts w:ascii="Arial" w:hAnsi="Arial" w:cs="Arial"/>
          <w:sz w:val="22"/>
          <w:szCs w:val="22"/>
        </w:rPr>
        <w:t xml:space="preserve">This instrument is made under subsection 396-70(4) in Schedule 1 to the </w:t>
      </w:r>
      <w:r w:rsidRPr="00E37551">
        <w:rPr>
          <w:rFonts w:ascii="Arial" w:hAnsi="Arial" w:cs="Arial"/>
          <w:i/>
          <w:iCs/>
          <w:sz w:val="22"/>
          <w:szCs w:val="22"/>
        </w:rPr>
        <w:t>Taxation Administration Act 1953</w:t>
      </w:r>
      <w:r w:rsidRPr="00E37551">
        <w:rPr>
          <w:rFonts w:ascii="Arial" w:hAnsi="Arial" w:cs="Arial"/>
          <w:sz w:val="22"/>
          <w:szCs w:val="22"/>
        </w:rPr>
        <w:t xml:space="preserve"> (the Act).</w:t>
      </w:r>
    </w:p>
    <w:p w14:paraId="4C08E5F3" w14:textId="62788809" w:rsidR="00384640" w:rsidRPr="00E37551" w:rsidRDefault="00384640" w:rsidP="00E37551">
      <w:pPr>
        <w:numPr>
          <w:ilvl w:val="0"/>
          <w:numId w:val="1"/>
        </w:numPr>
        <w:tabs>
          <w:tab w:val="clear" w:pos="360"/>
        </w:tabs>
        <w:spacing w:after="120"/>
        <w:ind w:left="0" w:firstLine="0"/>
        <w:rPr>
          <w:rFonts w:ascii="Arial" w:hAnsi="Arial" w:cs="Arial"/>
          <w:sz w:val="22"/>
          <w:szCs w:val="22"/>
        </w:rPr>
      </w:pPr>
      <w:r w:rsidRPr="00E37551">
        <w:rPr>
          <w:rFonts w:ascii="Arial" w:hAnsi="Arial" w:cs="Arial"/>
          <w:sz w:val="22"/>
          <w:szCs w:val="22"/>
        </w:rPr>
        <w:t xml:space="preserve">Under the Sharing Economy Reporting Regime </w:t>
      </w:r>
      <w:r w:rsidR="005004C4" w:rsidRPr="00E37551">
        <w:rPr>
          <w:rFonts w:ascii="Arial" w:hAnsi="Arial" w:cs="Arial"/>
          <w:sz w:val="22"/>
          <w:szCs w:val="22"/>
        </w:rPr>
        <w:t xml:space="preserve">(SERR) </w:t>
      </w:r>
      <w:r w:rsidRPr="00E37551">
        <w:rPr>
          <w:rFonts w:ascii="Arial" w:hAnsi="Arial" w:cs="Arial"/>
          <w:sz w:val="22"/>
          <w:szCs w:val="22"/>
        </w:rPr>
        <w:t>that is given effect by table item 15 in section</w:t>
      </w:r>
      <w:r w:rsidR="00301013" w:rsidRPr="00E37551">
        <w:rPr>
          <w:rFonts w:ascii="Arial" w:hAnsi="Arial" w:cs="Arial"/>
          <w:sz w:val="22"/>
          <w:szCs w:val="22"/>
        </w:rPr>
        <w:t xml:space="preserve"> </w:t>
      </w:r>
      <w:r w:rsidRPr="00E37551">
        <w:rPr>
          <w:rFonts w:ascii="Arial" w:hAnsi="Arial" w:cs="Arial"/>
          <w:sz w:val="22"/>
          <w:szCs w:val="22"/>
        </w:rPr>
        <w:t>396-55 in Schedule 1 to the Act, operators of electronic distribution platforms (EDPs) are required to report information about certain supplies made through their platforms to the Commissioner of Taxation.</w:t>
      </w:r>
    </w:p>
    <w:p w14:paraId="0C6A7B57" w14:textId="77777777" w:rsidR="00384640" w:rsidRPr="00E37551" w:rsidRDefault="00384640" w:rsidP="00E37551">
      <w:pPr>
        <w:numPr>
          <w:ilvl w:val="0"/>
          <w:numId w:val="1"/>
        </w:numPr>
        <w:tabs>
          <w:tab w:val="clear" w:pos="360"/>
        </w:tabs>
        <w:spacing w:after="120"/>
        <w:ind w:left="0" w:firstLine="0"/>
        <w:rPr>
          <w:rFonts w:ascii="Arial" w:hAnsi="Arial" w:cs="Arial"/>
          <w:sz w:val="22"/>
          <w:szCs w:val="22"/>
        </w:rPr>
      </w:pPr>
      <w:r w:rsidRPr="00E37551">
        <w:rPr>
          <w:rFonts w:ascii="Arial" w:hAnsi="Arial" w:cs="Arial"/>
          <w:sz w:val="22"/>
          <w:szCs w:val="22"/>
        </w:rPr>
        <w:t>This instrument exempts operators of EDPs from having to include specified classes of transactions in reports prepared and lodged in relation to table item 15 in section 396-55.</w:t>
      </w:r>
    </w:p>
    <w:p w14:paraId="6C0A66D5" w14:textId="1654A008" w:rsidR="00384640" w:rsidRPr="00E37551" w:rsidRDefault="00384640" w:rsidP="00E37551">
      <w:pPr>
        <w:numPr>
          <w:ilvl w:val="0"/>
          <w:numId w:val="1"/>
        </w:numPr>
        <w:tabs>
          <w:tab w:val="clear" w:pos="360"/>
        </w:tabs>
        <w:spacing w:after="120"/>
        <w:ind w:left="0" w:firstLine="0"/>
        <w:rPr>
          <w:rFonts w:ascii="Arial" w:hAnsi="Arial" w:cs="Arial"/>
          <w:sz w:val="22"/>
          <w:szCs w:val="22"/>
        </w:rPr>
      </w:pPr>
      <w:r w:rsidRPr="00E37551">
        <w:rPr>
          <w:rFonts w:ascii="Arial" w:hAnsi="Arial" w:cs="Arial"/>
          <w:sz w:val="22"/>
          <w:szCs w:val="22"/>
        </w:rPr>
        <w:t>This instrument reduces the compliance costs imposed on operators of EDPs by exempting transactions</w:t>
      </w:r>
      <w:r w:rsidRPr="00E37551" w:rsidDel="00B45BDA">
        <w:rPr>
          <w:rFonts w:ascii="Arial" w:hAnsi="Arial" w:cs="Arial"/>
          <w:sz w:val="22"/>
          <w:szCs w:val="22"/>
        </w:rPr>
        <w:t xml:space="preserve"> </w:t>
      </w:r>
      <w:r w:rsidRPr="00E37551">
        <w:rPr>
          <w:rFonts w:ascii="Arial" w:hAnsi="Arial" w:cs="Arial"/>
          <w:sz w:val="22"/>
          <w:szCs w:val="22"/>
        </w:rPr>
        <w:t xml:space="preserve">which the Commissioner considers to be a low risk to the broader taxation revenue base, or </w:t>
      </w:r>
      <w:r w:rsidR="00706A80" w:rsidRPr="00E37551">
        <w:rPr>
          <w:rFonts w:ascii="Arial" w:hAnsi="Arial" w:cs="Arial"/>
          <w:sz w:val="22"/>
          <w:szCs w:val="22"/>
        </w:rPr>
        <w:t xml:space="preserve">certain </w:t>
      </w:r>
      <w:r w:rsidRPr="00E37551">
        <w:rPr>
          <w:rFonts w:ascii="Arial" w:hAnsi="Arial" w:cs="Arial"/>
          <w:sz w:val="22"/>
          <w:szCs w:val="22"/>
        </w:rPr>
        <w:t xml:space="preserve">transactions which </w:t>
      </w:r>
      <w:r w:rsidR="00706A80" w:rsidRPr="00E37551">
        <w:rPr>
          <w:rFonts w:ascii="Arial" w:hAnsi="Arial" w:cs="Arial"/>
          <w:sz w:val="22"/>
          <w:szCs w:val="22"/>
        </w:rPr>
        <w:t xml:space="preserve">are </w:t>
      </w:r>
      <w:r w:rsidRPr="00E37551">
        <w:rPr>
          <w:rFonts w:ascii="Arial" w:hAnsi="Arial" w:cs="Arial"/>
          <w:sz w:val="22"/>
          <w:szCs w:val="22"/>
        </w:rPr>
        <w:t xml:space="preserve">reported to the Commissioner by </w:t>
      </w:r>
      <w:r w:rsidR="00706A80" w:rsidRPr="00E37551">
        <w:rPr>
          <w:rFonts w:ascii="Arial" w:hAnsi="Arial" w:cs="Arial"/>
          <w:sz w:val="22"/>
          <w:szCs w:val="22"/>
        </w:rPr>
        <w:t>other</w:t>
      </w:r>
      <w:r w:rsidR="00706A80" w:rsidRPr="00E37551" w:rsidDel="00D65B99">
        <w:rPr>
          <w:rFonts w:ascii="Arial" w:hAnsi="Arial" w:cs="Arial"/>
          <w:sz w:val="22"/>
          <w:szCs w:val="22"/>
        </w:rPr>
        <w:t xml:space="preserve"> </w:t>
      </w:r>
      <w:r w:rsidRPr="00E37551">
        <w:rPr>
          <w:rFonts w:ascii="Arial" w:hAnsi="Arial" w:cs="Arial"/>
          <w:sz w:val="22"/>
          <w:szCs w:val="22"/>
        </w:rPr>
        <w:t>EDP operators.</w:t>
      </w:r>
    </w:p>
    <w:p w14:paraId="6617FC5A" w14:textId="7FD07459" w:rsidR="00384640" w:rsidRPr="00E37551" w:rsidRDefault="00384640" w:rsidP="00E37551">
      <w:pPr>
        <w:numPr>
          <w:ilvl w:val="0"/>
          <w:numId w:val="1"/>
        </w:numPr>
        <w:tabs>
          <w:tab w:val="clear" w:pos="360"/>
        </w:tabs>
        <w:spacing w:after="120"/>
        <w:ind w:left="0" w:firstLine="0"/>
        <w:rPr>
          <w:rFonts w:ascii="Arial" w:hAnsi="Arial" w:cs="Arial"/>
          <w:sz w:val="22"/>
          <w:szCs w:val="22"/>
        </w:rPr>
      </w:pPr>
      <w:bookmarkStart w:id="0" w:name="_Hlk149893128"/>
      <w:r w:rsidRPr="00E37551">
        <w:rPr>
          <w:rFonts w:ascii="Arial" w:hAnsi="Arial" w:cs="Arial"/>
          <w:sz w:val="22"/>
          <w:szCs w:val="22"/>
        </w:rPr>
        <w:t xml:space="preserve">The instrument is a legislative instrument for the purposes of the </w:t>
      </w:r>
      <w:r w:rsidRPr="00E37551">
        <w:rPr>
          <w:rFonts w:ascii="Arial" w:hAnsi="Arial" w:cs="Arial"/>
          <w:i/>
          <w:sz w:val="22"/>
          <w:szCs w:val="22"/>
        </w:rPr>
        <w:t>Legislation Act</w:t>
      </w:r>
      <w:r w:rsidR="00301013" w:rsidRPr="00E37551">
        <w:rPr>
          <w:rFonts w:ascii="Arial" w:hAnsi="Arial" w:cs="Arial"/>
          <w:i/>
          <w:sz w:val="22"/>
          <w:szCs w:val="22"/>
        </w:rPr>
        <w:t xml:space="preserve"> </w:t>
      </w:r>
      <w:r w:rsidRPr="00E37551">
        <w:rPr>
          <w:rFonts w:ascii="Arial" w:hAnsi="Arial" w:cs="Arial"/>
          <w:i/>
          <w:sz w:val="22"/>
          <w:szCs w:val="22"/>
        </w:rPr>
        <w:t>2003</w:t>
      </w:r>
      <w:r w:rsidRPr="00E37551">
        <w:rPr>
          <w:rFonts w:ascii="Arial" w:hAnsi="Arial" w:cs="Arial"/>
          <w:sz w:val="22"/>
          <w:szCs w:val="22"/>
        </w:rPr>
        <w:t>.</w:t>
      </w:r>
    </w:p>
    <w:p w14:paraId="4138F604" w14:textId="77777777" w:rsidR="00384640" w:rsidRPr="00E37551" w:rsidRDefault="00384640" w:rsidP="00E37551">
      <w:pPr>
        <w:numPr>
          <w:ilvl w:val="0"/>
          <w:numId w:val="1"/>
        </w:numPr>
        <w:tabs>
          <w:tab w:val="clear" w:pos="360"/>
        </w:tabs>
        <w:spacing w:after="120"/>
        <w:ind w:left="0" w:firstLine="0"/>
        <w:rPr>
          <w:rFonts w:ascii="Arial" w:hAnsi="Arial" w:cs="Arial"/>
          <w:sz w:val="22"/>
          <w:szCs w:val="22"/>
        </w:rPr>
      </w:pPr>
      <w:r w:rsidRPr="00E37551">
        <w:rPr>
          <w:rFonts w:ascii="Arial" w:hAnsi="Arial" w:cs="Arial"/>
          <w:sz w:val="22"/>
          <w:szCs w:val="22"/>
        </w:rPr>
        <w:t xml:space="preserve">Under subsection 33(3) of the </w:t>
      </w:r>
      <w:r w:rsidRPr="00E37551">
        <w:rPr>
          <w:rFonts w:ascii="Arial" w:hAnsi="Arial" w:cs="Arial"/>
          <w:i/>
          <w:sz w:val="22"/>
          <w:szCs w:val="22"/>
        </w:rPr>
        <w:t>Acts Interpretation Act 1901</w:t>
      </w:r>
      <w:r w:rsidRPr="00E37551">
        <w:rPr>
          <w:rFonts w:ascii="Arial" w:hAnsi="Arial" w:cs="Arial"/>
          <w:sz w:val="22"/>
          <w:szCs w:val="22"/>
        </w:rPr>
        <w:t xml:space="preserve">, where an Act confers a power to make, grant or issue any instrument of a legislative or administrative character (including rules, </w:t>
      </w:r>
      <w:proofErr w:type="gramStart"/>
      <w:r w:rsidRPr="00E37551">
        <w:rPr>
          <w:rFonts w:ascii="Arial" w:hAnsi="Arial" w:cs="Arial"/>
          <w:sz w:val="22"/>
          <w:szCs w:val="22"/>
        </w:rPr>
        <w:t>regulations</w:t>
      </w:r>
      <w:proofErr w:type="gramEnd"/>
      <w:r w:rsidRPr="00E37551">
        <w:rPr>
          <w:rFonts w:ascii="Arial" w:hAnsi="Arial" w:cs="Arial"/>
          <w:sz w:val="22"/>
          <w:szCs w:val="22"/>
        </w:rPr>
        <w:t xml:space="preserve"> or by-laws) the power shall be construed as including a power exercisable in the like manner and subject to the like conditions (if any) to repeal, rescind, revoke, amend, or vary any such instrument.</w:t>
      </w:r>
    </w:p>
    <w:bookmarkEnd w:id="0"/>
    <w:p w14:paraId="3864779B" w14:textId="77777777" w:rsidR="00640CC2" w:rsidRPr="00E37551" w:rsidRDefault="00640CC2" w:rsidP="00E37551">
      <w:pPr>
        <w:spacing w:after="120"/>
        <w:rPr>
          <w:rFonts w:ascii="Arial" w:hAnsi="Arial" w:cs="Arial"/>
          <w:sz w:val="22"/>
          <w:szCs w:val="22"/>
        </w:rPr>
      </w:pPr>
    </w:p>
    <w:p w14:paraId="15AC1B63" w14:textId="77777777" w:rsidR="001D02E6" w:rsidRPr="00E37551" w:rsidRDefault="001D02E6" w:rsidP="00E37551">
      <w:pPr>
        <w:pStyle w:val="Heading2"/>
      </w:pPr>
      <w:r w:rsidRPr="00E37551">
        <w:t>Date of effect</w:t>
      </w:r>
    </w:p>
    <w:p w14:paraId="6BE51B7B" w14:textId="7E4D24FF" w:rsidR="00384640" w:rsidRPr="00E37551" w:rsidRDefault="00384640" w:rsidP="00E37551">
      <w:pPr>
        <w:numPr>
          <w:ilvl w:val="0"/>
          <w:numId w:val="1"/>
        </w:numPr>
        <w:tabs>
          <w:tab w:val="clear" w:pos="360"/>
        </w:tabs>
        <w:spacing w:after="120"/>
        <w:ind w:left="0" w:firstLine="0"/>
        <w:rPr>
          <w:rFonts w:ascii="Arial" w:hAnsi="Arial" w:cs="Arial"/>
          <w:sz w:val="22"/>
          <w:szCs w:val="22"/>
        </w:rPr>
      </w:pPr>
      <w:r w:rsidRPr="00E37551">
        <w:rPr>
          <w:rFonts w:ascii="Arial" w:hAnsi="Arial" w:cs="Arial"/>
          <w:sz w:val="22"/>
          <w:szCs w:val="22"/>
        </w:rPr>
        <w:t xml:space="preserve">This instrument commences on 1 July 2023. It has a retrospective commencement date to provide reporting exemptions from the date that the </w:t>
      </w:r>
      <w:r w:rsidR="005004C4" w:rsidRPr="00E37551">
        <w:rPr>
          <w:rFonts w:ascii="Arial" w:hAnsi="Arial" w:cs="Arial"/>
          <w:sz w:val="22"/>
          <w:szCs w:val="22"/>
        </w:rPr>
        <w:t xml:space="preserve">SERR </w:t>
      </w:r>
      <w:r w:rsidRPr="00E37551">
        <w:rPr>
          <w:rFonts w:ascii="Arial" w:hAnsi="Arial" w:cs="Arial"/>
          <w:sz w:val="22"/>
          <w:szCs w:val="22"/>
        </w:rPr>
        <w:t>commenced operation (1 July 2023). It provides reporting exemptions in certain circumstances to reduce the compliance costs for reporting operators</w:t>
      </w:r>
      <w:r w:rsidR="00301013" w:rsidRPr="00E37551">
        <w:rPr>
          <w:rFonts w:ascii="Arial" w:hAnsi="Arial" w:cs="Arial"/>
          <w:sz w:val="22"/>
          <w:szCs w:val="22"/>
        </w:rPr>
        <w:t>. C</w:t>
      </w:r>
      <w:r w:rsidRPr="00E37551">
        <w:rPr>
          <w:rFonts w:ascii="Arial" w:hAnsi="Arial" w:cs="Arial"/>
          <w:sz w:val="22"/>
          <w:szCs w:val="22"/>
        </w:rPr>
        <w:t xml:space="preserve">onsistent with section 12(2) of the </w:t>
      </w:r>
      <w:r w:rsidRPr="00E37551">
        <w:rPr>
          <w:rFonts w:ascii="Arial" w:hAnsi="Arial" w:cs="Arial"/>
          <w:i/>
          <w:sz w:val="22"/>
          <w:szCs w:val="22"/>
        </w:rPr>
        <w:t>Legislation Act 2003</w:t>
      </w:r>
      <w:r w:rsidRPr="00E37551">
        <w:rPr>
          <w:rFonts w:ascii="Arial" w:hAnsi="Arial" w:cs="Arial"/>
          <w:iCs/>
          <w:sz w:val="22"/>
          <w:szCs w:val="22"/>
        </w:rPr>
        <w:t>,</w:t>
      </w:r>
      <w:r w:rsidRPr="00E37551">
        <w:rPr>
          <w:rFonts w:ascii="Arial" w:hAnsi="Arial" w:cs="Arial"/>
          <w:sz w:val="22"/>
          <w:szCs w:val="22"/>
        </w:rPr>
        <w:t xml:space="preserve"> </w:t>
      </w:r>
      <w:r w:rsidR="005402E3" w:rsidRPr="00E37551">
        <w:rPr>
          <w:rFonts w:ascii="Arial" w:hAnsi="Arial" w:cs="Arial"/>
          <w:sz w:val="22"/>
          <w:szCs w:val="22"/>
        </w:rPr>
        <w:t xml:space="preserve">it </w:t>
      </w:r>
      <w:r w:rsidRPr="00E37551">
        <w:rPr>
          <w:rFonts w:ascii="Arial" w:hAnsi="Arial" w:cs="Arial"/>
          <w:sz w:val="22"/>
          <w:szCs w:val="22"/>
        </w:rPr>
        <w:t>does not adversely affect the rights or liabilities of any person other than the Commonwealth.</w:t>
      </w:r>
    </w:p>
    <w:p w14:paraId="15AC1B6B" w14:textId="77777777" w:rsidR="00486653" w:rsidRPr="00E37551" w:rsidRDefault="00486653" w:rsidP="00E37551">
      <w:pPr>
        <w:spacing w:after="120"/>
        <w:rPr>
          <w:rFonts w:ascii="Arial" w:hAnsi="Arial" w:cs="Arial"/>
          <w:sz w:val="22"/>
          <w:szCs w:val="22"/>
        </w:rPr>
      </w:pPr>
    </w:p>
    <w:p w14:paraId="15AC1B6C" w14:textId="6388FD20" w:rsidR="00486653" w:rsidRPr="00E37551" w:rsidRDefault="003B547B" w:rsidP="00E37551">
      <w:pPr>
        <w:pStyle w:val="Heading2"/>
      </w:pPr>
      <w:r w:rsidRPr="00E37551">
        <w:t>E</w:t>
      </w:r>
      <w:r w:rsidR="00486653" w:rsidRPr="00E37551">
        <w:t>ffect of this instrument</w:t>
      </w:r>
    </w:p>
    <w:p w14:paraId="3ADEE318" w14:textId="3BF4BEB6" w:rsidR="00384640" w:rsidRPr="00E37551" w:rsidRDefault="00384640" w:rsidP="00E37551">
      <w:pPr>
        <w:numPr>
          <w:ilvl w:val="0"/>
          <w:numId w:val="1"/>
        </w:numPr>
        <w:tabs>
          <w:tab w:val="clear" w:pos="360"/>
        </w:tabs>
        <w:spacing w:after="120"/>
        <w:ind w:left="0" w:firstLine="0"/>
        <w:rPr>
          <w:rFonts w:ascii="Arial" w:hAnsi="Arial" w:cs="Arial"/>
          <w:sz w:val="22"/>
          <w:szCs w:val="22"/>
        </w:rPr>
      </w:pPr>
      <w:bookmarkStart w:id="1" w:name="_Hlk141088951"/>
      <w:bookmarkStart w:id="2" w:name="_Hlk141089202"/>
      <w:r w:rsidRPr="00E37551">
        <w:rPr>
          <w:rFonts w:ascii="Arial" w:hAnsi="Arial" w:cs="Arial"/>
          <w:sz w:val="22"/>
          <w:szCs w:val="22"/>
        </w:rPr>
        <w:t xml:space="preserve">Table item 15 in section 396-55 in Schedule 1 to the Act requires an operator of an EDP – </w:t>
      </w:r>
      <w:bookmarkStart w:id="3" w:name="_Hlk141635036"/>
      <w:r w:rsidRPr="00E37551">
        <w:rPr>
          <w:rFonts w:ascii="Arial" w:hAnsi="Arial" w:cs="Arial"/>
          <w:sz w:val="22"/>
          <w:szCs w:val="22"/>
        </w:rPr>
        <w:t>within the meaning of the</w:t>
      </w:r>
      <w:r w:rsidRPr="00E37551">
        <w:rPr>
          <w:rFonts w:ascii="Arial" w:hAnsi="Arial" w:cs="Arial"/>
          <w:i/>
          <w:iCs/>
          <w:sz w:val="22"/>
          <w:szCs w:val="22"/>
        </w:rPr>
        <w:t xml:space="preserve"> A New Tax System (Goods and Services Tax) Act 1999</w:t>
      </w:r>
      <w:r w:rsidRPr="00E37551">
        <w:rPr>
          <w:rFonts w:ascii="Arial" w:hAnsi="Arial" w:cs="Arial"/>
          <w:sz w:val="22"/>
          <w:szCs w:val="22"/>
        </w:rPr>
        <w:t> (GST Act) (but disregarding paragraph 84-70(1)(c) of that Act</w:t>
      </w:r>
      <w:bookmarkEnd w:id="3"/>
      <w:r w:rsidRPr="00E37551">
        <w:rPr>
          <w:rFonts w:ascii="Arial" w:hAnsi="Arial" w:cs="Arial"/>
          <w:sz w:val="22"/>
          <w:szCs w:val="22"/>
        </w:rPr>
        <w:t xml:space="preserve">) </w:t>
      </w:r>
      <w:bookmarkStart w:id="4" w:name="_Hlk141084702"/>
      <w:bookmarkEnd w:id="1"/>
      <w:r w:rsidRPr="00E37551">
        <w:rPr>
          <w:rFonts w:ascii="Arial" w:hAnsi="Arial" w:cs="Arial"/>
          <w:sz w:val="22"/>
          <w:szCs w:val="22"/>
        </w:rPr>
        <w:t>– to prepare a report about specified transactions made through that EDP.</w:t>
      </w:r>
    </w:p>
    <w:bookmarkEnd w:id="2"/>
    <w:p w14:paraId="13BADC13" w14:textId="77777777" w:rsidR="00384640" w:rsidRPr="00E37551" w:rsidRDefault="00384640" w:rsidP="00E37551">
      <w:pPr>
        <w:numPr>
          <w:ilvl w:val="0"/>
          <w:numId w:val="1"/>
        </w:numPr>
        <w:tabs>
          <w:tab w:val="clear" w:pos="360"/>
        </w:tabs>
        <w:spacing w:after="120"/>
        <w:ind w:left="0" w:firstLine="0"/>
        <w:rPr>
          <w:rFonts w:ascii="Arial" w:hAnsi="Arial" w:cs="Arial"/>
          <w:sz w:val="22"/>
          <w:szCs w:val="22"/>
        </w:rPr>
      </w:pPr>
      <w:r w:rsidRPr="00E37551">
        <w:rPr>
          <w:rFonts w:ascii="Arial" w:hAnsi="Arial" w:cs="Arial"/>
          <w:sz w:val="22"/>
          <w:szCs w:val="22"/>
        </w:rPr>
        <w:t xml:space="preserve">Subsection 396-70(4) in Schedule 1 to the Act allows the Commissioner, by legislative instrument, to determine that specified classes of entities are not required to prepare and give reports under section </w:t>
      </w:r>
      <w:proofErr w:type="gramStart"/>
      <w:r w:rsidRPr="00E37551">
        <w:rPr>
          <w:rFonts w:ascii="Arial" w:hAnsi="Arial" w:cs="Arial"/>
          <w:sz w:val="22"/>
          <w:szCs w:val="22"/>
        </w:rPr>
        <w:t>396-55, or</w:t>
      </w:r>
      <w:proofErr w:type="gramEnd"/>
      <w:r w:rsidRPr="00E37551">
        <w:rPr>
          <w:rFonts w:ascii="Arial" w:hAnsi="Arial" w:cs="Arial"/>
          <w:sz w:val="22"/>
          <w:szCs w:val="22"/>
        </w:rPr>
        <w:t xml:space="preserve"> are not required to do so for specified classes of transactions.</w:t>
      </w:r>
    </w:p>
    <w:p w14:paraId="02997BE7" w14:textId="77777777" w:rsidR="00384640" w:rsidRPr="00E37551" w:rsidRDefault="00384640" w:rsidP="00E37551">
      <w:pPr>
        <w:spacing w:after="120"/>
        <w:rPr>
          <w:rFonts w:ascii="Arial" w:hAnsi="Arial" w:cs="Arial"/>
          <w:sz w:val="22"/>
          <w:szCs w:val="22"/>
        </w:rPr>
      </w:pPr>
    </w:p>
    <w:p w14:paraId="55330CD5" w14:textId="77777777" w:rsidR="00384640" w:rsidRPr="00E37551" w:rsidRDefault="00384640" w:rsidP="00E37551">
      <w:pPr>
        <w:pStyle w:val="Heading3"/>
        <w:spacing w:before="0" w:after="120"/>
        <w:rPr>
          <w:i/>
          <w:iCs/>
          <w:sz w:val="22"/>
          <w:szCs w:val="22"/>
        </w:rPr>
      </w:pPr>
      <w:r w:rsidRPr="00E37551">
        <w:rPr>
          <w:i/>
          <w:iCs/>
          <w:sz w:val="22"/>
          <w:szCs w:val="22"/>
        </w:rPr>
        <w:lastRenderedPageBreak/>
        <w:t>The reporting exemption provided by section 5</w:t>
      </w:r>
    </w:p>
    <w:p w14:paraId="22801EE6" w14:textId="30872BD5" w:rsidR="00384640" w:rsidRPr="00E37551" w:rsidRDefault="00384640" w:rsidP="00E37551">
      <w:pPr>
        <w:numPr>
          <w:ilvl w:val="0"/>
          <w:numId w:val="1"/>
        </w:numPr>
        <w:tabs>
          <w:tab w:val="clear" w:pos="360"/>
        </w:tabs>
        <w:spacing w:after="120"/>
        <w:ind w:left="0" w:firstLine="0"/>
        <w:rPr>
          <w:rFonts w:ascii="Arial" w:hAnsi="Arial" w:cs="Arial"/>
          <w:sz w:val="22"/>
          <w:szCs w:val="22"/>
        </w:rPr>
      </w:pPr>
      <w:r w:rsidRPr="00E37551">
        <w:rPr>
          <w:rFonts w:ascii="Arial" w:hAnsi="Arial" w:cs="Arial"/>
          <w:sz w:val="22"/>
          <w:szCs w:val="22"/>
        </w:rPr>
        <w:t xml:space="preserve">Section 5 of this instrument applies in circumstances where a supply is made through more than one EDP. </w:t>
      </w:r>
      <w:r w:rsidR="00347B67" w:rsidRPr="00E37551">
        <w:rPr>
          <w:rFonts w:ascii="Arial" w:hAnsi="Arial" w:cs="Arial"/>
          <w:sz w:val="22"/>
          <w:szCs w:val="22"/>
        </w:rPr>
        <w:t>It reduces the likelihood that the same transaction will be reported by more than one EDP operator</w:t>
      </w:r>
      <w:r w:rsidR="005F486A" w:rsidRPr="00E37551">
        <w:rPr>
          <w:rFonts w:ascii="Arial" w:hAnsi="Arial" w:cs="Arial"/>
          <w:sz w:val="22"/>
          <w:szCs w:val="22"/>
        </w:rPr>
        <w:t>,</w:t>
      </w:r>
      <w:r w:rsidR="00347B67" w:rsidRPr="00E37551">
        <w:rPr>
          <w:rFonts w:ascii="Arial" w:hAnsi="Arial" w:cs="Arial"/>
          <w:sz w:val="22"/>
          <w:szCs w:val="22"/>
        </w:rPr>
        <w:t xml:space="preserve"> by placing the obligation to report the transaction on EDPs that provide all or part of the consideration they receive in relation to the supply directly to the supplier.</w:t>
      </w:r>
      <w:r w:rsidR="005E3F20" w:rsidRPr="00E37551">
        <w:rPr>
          <w:rFonts w:ascii="Arial" w:hAnsi="Arial" w:cs="Arial"/>
          <w:sz w:val="22"/>
          <w:szCs w:val="22"/>
        </w:rPr>
        <w:t xml:space="preserve"> </w:t>
      </w:r>
      <w:r w:rsidR="000C7EAE" w:rsidRPr="00E37551">
        <w:rPr>
          <w:rFonts w:ascii="Arial" w:hAnsi="Arial" w:cs="Arial"/>
          <w:sz w:val="22"/>
          <w:szCs w:val="22"/>
        </w:rPr>
        <w:t xml:space="preserve">It does this </w:t>
      </w:r>
      <w:r w:rsidR="00254A22" w:rsidRPr="00E37551">
        <w:rPr>
          <w:rFonts w:ascii="Arial" w:hAnsi="Arial" w:cs="Arial"/>
          <w:sz w:val="22"/>
          <w:szCs w:val="22"/>
        </w:rPr>
        <w:t>by</w:t>
      </w:r>
      <w:r w:rsidR="005E3F20" w:rsidRPr="00E37551">
        <w:rPr>
          <w:rFonts w:ascii="Arial" w:hAnsi="Arial" w:cs="Arial"/>
          <w:sz w:val="22"/>
          <w:szCs w:val="22"/>
        </w:rPr>
        <w:t xml:space="preserve"> </w:t>
      </w:r>
      <w:r w:rsidRPr="00E37551">
        <w:rPr>
          <w:rFonts w:ascii="Arial" w:hAnsi="Arial" w:cs="Arial"/>
          <w:sz w:val="22"/>
          <w:szCs w:val="22"/>
        </w:rPr>
        <w:t>exempt</w:t>
      </w:r>
      <w:r w:rsidR="005E3F20" w:rsidRPr="00E37551">
        <w:rPr>
          <w:rFonts w:ascii="Arial" w:hAnsi="Arial" w:cs="Arial"/>
          <w:sz w:val="22"/>
          <w:szCs w:val="22"/>
        </w:rPr>
        <w:t>ing</w:t>
      </w:r>
      <w:r w:rsidRPr="00E37551">
        <w:rPr>
          <w:rFonts w:ascii="Arial" w:hAnsi="Arial" w:cs="Arial"/>
          <w:sz w:val="22"/>
          <w:szCs w:val="22"/>
        </w:rPr>
        <w:t xml:space="preserve"> the operator of an EDP (the first platform) from having to report a transaction involving a supply of relevant accommodation or taxi travel made through that EDP to the Commissioner where:</w:t>
      </w:r>
    </w:p>
    <w:p w14:paraId="282E2E08" w14:textId="186B360C" w:rsidR="00384640" w:rsidRPr="00E37551" w:rsidRDefault="005E3F20" w:rsidP="00E37551">
      <w:pPr>
        <w:numPr>
          <w:ilvl w:val="1"/>
          <w:numId w:val="2"/>
        </w:numPr>
        <w:tabs>
          <w:tab w:val="clear" w:pos="1440"/>
        </w:tabs>
        <w:spacing w:after="120"/>
        <w:ind w:left="1418" w:hanging="709"/>
        <w:rPr>
          <w:rFonts w:ascii="Arial" w:hAnsi="Arial" w:cs="Arial"/>
          <w:sz w:val="22"/>
          <w:szCs w:val="22"/>
        </w:rPr>
      </w:pPr>
      <w:r w:rsidRPr="00E37551">
        <w:rPr>
          <w:rFonts w:ascii="Arial" w:hAnsi="Arial" w:cs="Arial"/>
          <w:sz w:val="22"/>
          <w:szCs w:val="22"/>
        </w:rPr>
        <w:t>the</w:t>
      </w:r>
      <w:r w:rsidR="00384640" w:rsidRPr="00E37551">
        <w:rPr>
          <w:rFonts w:ascii="Arial" w:hAnsi="Arial" w:cs="Arial"/>
          <w:sz w:val="22"/>
          <w:szCs w:val="22"/>
        </w:rPr>
        <w:t xml:space="preserve"> supply that is also made through at least one other EDP</w:t>
      </w:r>
      <w:r w:rsidR="00DA0297" w:rsidRPr="00E37551">
        <w:rPr>
          <w:rFonts w:ascii="Arial" w:hAnsi="Arial" w:cs="Arial"/>
          <w:sz w:val="22"/>
          <w:szCs w:val="22"/>
        </w:rPr>
        <w:t>,</w:t>
      </w:r>
    </w:p>
    <w:p w14:paraId="0EA89F88" w14:textId="64051D02" w:rsidR="00384640" w:rsidRPr="00E37551" w:rsidRDefault="00384640" w:rsidP="00E37551">
      <w:pPr>
        <w:numPr>
          <w:ilvl w:val="1"/>
          <w:numId w:val="2"/>
        </w:numPr>
        <w:tabs>
          <w:tab w:val="clear" w:pos="1440"/>
        </w:tabs>
        <w:spacing w:after="120"/>
        <w:ind w:left="1418" w:hanging="709"/>
        <w:rPr>
          <w:rFonts w:ascii="Arial" w:hAnsi="Arial" w:cs="Arial"/>
          <w:sz w:val="22"/>
          <w:szCs w:val="22"/>
        </w:rPr>
      </w:pPr>
      <w:r w:rsidRPr="00E37551">
        <w:rPr>
          <w:rFonts w:ascii="Arial" w:hAnsi="Arial" w:cs="Arial"/>
          <w:sz w:val="22"/>
          <w:szCs w:val="22"/>
        </w:rPr>
        <w:t xml:space="preserve">the first platform does not itself provide consideration </w:t>
      </w:r>
      <w:r w:rsidR="00F435F9" w:rsidRPr="00E37551">
        <w:rPr>
          <w:rFonts w:ascii="Arial" w:hAnsi="Arial" w:cs="Arial"/>
          <w:sz w:val="22"/>
          <w:szCs w:val="22"/>
        </w:rPr>
        <w:t xml:space="preserve">it receives in relation to </w:t>
      </w:r>
      <w:r w:rsidRPr="00E37551">
        <w:rPr>
          <w:rFonts w:ascii="Arial" w:hAnsi="Arial" w:cs="Arial"/>
          <w:sz w:val="22"/>
          <w:szCs w:val="22"/>
        </w:rPr>
        <w:t>the supply directly to the supplier, and</w:t>
      </w:r>
    </w:p>
    <w:p w14:paraId="75FCE7D7" w14:textId="3336CDD6" w:rsidR="00384640" w:rsidRPr="00E37551" w:rsidRDefault="00384640" w:rsidP="00E37551">
      <w:pPr>
        <w:numPr>
          <w:ilvl w:val="1"/>
          <w:numId w:val="2"/>
        </w:numPr>
        <w:tabs>
          <w:tab w:val="clear" w:pos="1440"/>
        </w:tabs>
        <w:spacing w:after="120"/>
        <w:ind w:left="1418" w:hanging="709"/>
        <w:rPr>
          <w:rFonts w:ascii="Arial" w:hAnsi="Arial" w:cs="Arial"/>
          <w:sz w:val="22"/>
          <w:szCs w:val="22"/>
        </w:rPr>
      </w:pPr>
      <w:r w:rsidRPr="00E37551">
        <w:rPr>
          <w:rFonts w:ascii="Arial" w:hAnsi="Arial" w:cs="Arial"/>
          <w:sz w:val="22"/>
          <w:szCs w:val="22"/>
        </w:rPr>
        <w:t>the operator of another EDP provides all or part of the consideration</w:t>
      </w:r>
      <w:r w:rsidR="0018391F" w:rsidRPr="00E37551">
        <w:rPr>
          <w:rFonts w:ascii="Arial" w:hAnsi="Arial" w:cs="Arial"/>
          <w:sz w:val="22"/>
          <w:szCs w:val="22"/>
        </w:rPr>
        <w:t xml:space="preserve"> given by the recipient of </w:t>
      </w:r>
      <w:r w:rsidRPr="00E37551">
        <w:rPr>
          <w:rFonts w:ascii="Arial" w:hAnsi="Arial" w:cs="Arial"/>
          <w:sz w:val="22"/>
          <w:szCs w:val="22"/>
        </w:rPr>
        <w:t>the supply to the supplier and has a reporting obligation under table item 15 in section 396-55 in relation to that transaction.</w:t>
      </w:r>
    </w:p>
    <w:p w14:paraId="3F0CA586" w14:textId="13AADD49" w:rsidR="000F38CF" w:rsidRPr="00E37551" w:rsidRDefault="00384640" w:rsidP="00E37551">
      <w:pPr>
        <w:numPr>
          <w:ilvl w:val="0"/>
          <w:numId w:val="1"/>
        </w:numPr>
        <w:tabs>
          <w:tab w:val="clear" w:pos="360"/>
        </w:tabs>
        <w:spacing w:after="120"/>
        <w:ind w:left="0" w:firstLine="0"/>
        <w:rPr>
          <w:rFonts w:ascii="Arial" w:hAnsi="Arial" w:cs="Arial"/>
          <w:sz w:val="22"/>
          <w:szCs w:val="22"/>
        </w:rPr>
      </w:pPr>
      <w:r w:rsidRPr="00E37551">
        <w:rPr>
          <w:rFonts w:ascii="Arial" w:hAnsi="Arial" w:cs="Arial"/>
          <w:sz w:val="22"/>
          <w:szCs w:val="22"/>
        </w:rPr>
        <w:t>Where the operator of the first platform is seeking to apply this exemption in relation to a transaction but</w:t>
      </w:r>
      <w:r w:rsidR="0018391F" w:rsidRPr="00E37551">
        <w:rPr>
          <w:rFonts w:ascii="Arial" w:hAnsi="Arial" w:cs="Arial"/>
          <w:sz w:val="22"/>
          <w:szCs w:val="22"/>
        </w:rPr>
        <w:t xml:space="preserve"> is unsure whether another entity </w:t>
      </w:r>
      <w:r w:rsidR="005F486A" w:rsidRPr="00E37551">
        <w:rPr>
          <w:rFonts w:ascii="Arial" w:hAnsi="Arial" w:cs="Arial"/>
          <w:sz w:val="22"/>
          <w:szCs w:val="22"/>
        </w:rPr>
        <w:t xml:space="preserve">involved in the transaction </w:t>
      </w:r>
      <w:r w:rsidR="007510D1" w:rsidRPr="00E37551">
        <w:rPr>
          <w:rFonts w:ascii="Arial" w:hAnsi="Arial" w:cs="Arial"/>
          <w:sz w:val="22"/>
          <w:szCs w:val="22"/>
        </w:rPr>
        <w:t>has a reporting obligation under table item 15 in section 396-55</w:t>
      </w:r>
      <w:r w:rsidR="0018391F" w:rsidRPr="00E37551">
        <w:rPr>
          <w:rFonts w:ascii="Arial" w:hAnsi="Arial" w:cs="Arial"/>
          <w:sz w:val="22"/>
          <w:szCs w:val="22"/>
        </w:rPr>
        <w:t>, they should seek to confirm this with that</w:t>
      </w:r>
      <w:r w:rsidR="005F486A" w:rsidRPr="00E37551">
        <w:rPr>
          <w:rFonts w:ascii="Arial" w:hAnsi="Arial" w:cs="Arial"/>
          <w:sz w:val="22"/>
          <w:szCs w:val="22"/>
        </w:rPr>
        <w:t xml:space="preserve"> other</w:t>
      </w:r>
      <w:r w:rsidR="0018391F" w:rsidRPr="00E37551">
        <w:rPr>
          <w:rFonts w:ascii="Arial" w:hAnsi="Arial" w:cs="Arial"/>
          <w:sz w:val="22"/>
          <w:szCs w:val="22"/>
        </w:rPr>
        <w:t xml:space="preserve"> entity</w:t>
      </w:r>
      <w:r w:rsidR="000F38CF" w:rsidRPr="00E37551">
        <w:rPr>
          <w:rFonts w:ascii="Arial" w:hAnsi="Arial" w:cs="Arial"/>
          <w:sz w:val="22"/>
          <w:szCs w:val="22"/>
        </w:rPr>
        <w:t xml:space="preserve"> before they apply the exemption</w:t>
      </w:r>
      <w:r w:rsidR="0018391F" w:rsidRPr="00E37551">
        <w:rPr>
          <w:rFonts w:ascii="Arial" w:hAnsi="Arial" w:cs="Arial"/>
          <w:sz w:val="22"/>
          <w:szCs w:val="22"/>
        </w:rPr>
        <w:t xml:space="preserve">. </w:t>
      </w:r>
      <w:r w:rsidR="00254A22" w:rsidRPr="00E37551">
        <w:rPr>
          <w:rFonts w:ascii="Arial" w:hAnsi="Arial" w:cs="Arial"/>
          <w:sz w:val="22"/>
          <w:szCs w:val="22"/>
        </w:rPr>
        <w:t xml:space="preserve">In other words, if an EDP is unsure whether another EDP is responsible for reporting a transaction, they should take </w:t>
      </w:r>
      <w:r w:rsidR="00BE72C7" w:rsidRPr="00E37551">
        <w:rPr>
          <w:rFonts w:ascii="Arial" w:hAnsi="Arial" w:cs="Arial"/>
          <w:sz w:val="22"/>
          <w:szCs w:val="22"/>
        </w:rPr>
        <w:t xml:space="preserve">reasonable </w:t>
      </w:r>
      <w:r w:rsidR="00254A22" w:rsidRPr="00E37551">
        <w:rPr>
          <w:rFonts w:ascii="Arial" w:hAnsi="Arial" w:cs="Arial"/>
          <w:sz w:val="22"/>
          <w:szCs w:val="22"/>
        </w:rPr>
        <w:t>steps to confirm this with the other EDP</w:t>
      </w:r>
      <w:r w:rsidR="00706A80" w:rsidRPr="00E37551">
        <w:rPr>
          <w:rFonts w:ascii="Arial" w:hAnsi="Arial" w:cs="Arial"/>
          <w:sz w:val="22"/>
          <w:szCs w:val="22"/>
        </w:rPr>
        <w:t xml:space="preserve"> before relying on this exemption</w:t>
      </w:r>
      <w:r w:rsidR="000B0224" w:rsidRPr="00E37551">
        <w:rPr>
          <w:rFonts w:ascii="Arial" w:hAnsi="Arial" w:cs="Arial"/>
          <w:sz w:val="22"/>
          <w:szCs w:val="22"/>
        </w:rPr>
        <w:t>.</w:t>
      </w:r>
    </w:p>
    <w:p w14:paraId="250D803F" w14:textId="47232526" w:rsidR="000B0224" w:rsidRDefault="00254A22" w:rsidP="00E37551">
      <w:pPr>
        <w:numPr>
          <w:ilvl w:val="0"/>
          <w:numId w:val="1"/>
        </w:numPr>
        <w:tabs>
          <w:tab w:val="clear" w:pos="360"/>
        </w:tabs>
        <w:spacing w:after="120"/>
        <w:ind w:left="0" w:firstLine="0"/>
        <w:rPr>
          <w:rFonts w:ascii="Arial" w:hAnsi="Arial" w:cs="Arial"/>
          <w:sz w:val="22"/>
          <w:szCs w:val="22"/>
        </w:rPr>
      </w:pPr>
      <w:r w:rsidRPr="00E37551">
        <w:rPr>
          <w:rFonts w:ascii="Arial" w:hAnsi="Arial" w:cs="Arial"/>
          <w:sz w:val="22"/>
          <w:szCs w:val="22"/>
        </w:rPr>
        <w:t xml:space="preserve">If an EDP intends to apply </w:t>
      </w:r>
      <w:r w:rsidR="00AC57A9" w:rsidRPr="00E37551">
        <w:rPr>
          <w:rFonts w:ascii="Arial" w:hAnsi="Arial" w:cs="Arial"/>
          <w:sz w:val="22"/>
          <w:szCs w:val="22"/>
        </w:rPr>
        <w:t xml:space="preserve">this </w:t>
      </w:r>
      <w:proofErr w:type="gramStart"/>
      <w:r w:rsidRPr="00E37551">
        <w:rPr>
          <w:rFonts w:ascii="Arial" w:hAnsi="Arial" w:cs="Arial"/>
          <w:sz w:val="22"/>
          <w:szCs w:val="22"/>
        </w:rPr>
        <w:t>exemption</w:t>
      </w:r>
      <w:proofErr w:type="gramEnd"/>
      <w:r w:rsidRPr="00E37551">
        <w:rPr>
          <w:rFonts w:ascii="Arial" w:hAnsi="Arial" w:cs="Arial"/>
          <w:sz w:val="22"/>
          <w:szCs w:val="22"/>
        </w:rPr>
        <w:t xml:space="preserve"> they must notify the Commissioner in writing</w:t>
      </w:r>
      <w:r w:rsidR="003F53C9" w:rsidRPr="00E37551">
        <w:rPr>
          <w:rFonts w:ascii="Arial" w:hAnsi="Arial" w:cs="Arial"/>
          <w:sz w:val="22"/>
          <w:szCs w:val="22"/>
        </w:rPr>
        <w:t xml:space="preserve"> that they will be doing so. They must notify the Commissioner either</w:t>
      </w:r>
      <w:r w:rsidRPr="00E37551">
        <w:rPr>
          <w:rFonts w:ascii="Arial" w:hAnsi="Arial" w:cs="Arial"/>
          <w:sz w:val="22"/>
          <w:szCs w:val="22"/>
        </w:rPr>
        <w:t xml:space="preserve"> </w:t>
      </w:r>
      <w:r w:rsidR="007510D1" w:rsidRPr="00E37551">
        <w:rPr>
          <w:rFonts w:ascii="Arial" w:hAnsi="Arial" w:cs="Arial"/>
          <w:sz w:val="22"/>
          <w:szCs w:val="22"/>
        </w:rPr>
        <w:t>on or</w:t>
      </w:r>
      <w:r w:rsidR="00384640" w:rsidRPr="00E37551">
        <w:rPr>
          <w:rFonts w:ascii="Arial" w:hAnsi="Arial" w:cs="Arial"/>
          <w:sz w:val="22"/>
          <w:szCs w:val="22"/>
        </w:rPr>
        <w:t xml:space="preserve"> before the day that they would otherwise be required to give a report</w:t>
      </w:r>
      <w:r w:rsidR="0018391F" w:rsidRPr="00E37551">
        <w:rPr>
          <w:rFonts w:ascii="Arial" w:hAnsi="Arial" w:cs="Arial"/>
          <w:sz w:val="22"/>
          <w:szCs w:val="22"/>
        </w:rPr>
        <w:t xml:space="preserve"> for a period</w:t>
      </w:r>
      <w:r w:rsidR="00384640" w:rsidRPr="00E37551">
        <w:rPr>
          <w:rFonts w:ascii="Arial" w:hAnsi="Arial" w:cs="Arial"/>
          <w:sz w:val="22"/>
          <w:szCs w:val="22"/>
        </w:rPr>
        <w:t xml:space="preserve"> under paragraph 396-55(b) in Schedule 1 to the Act</w:t>
      </w:r>
      <w:r w:rsidR="003F53C9" w:rsidRPr="00E37551">
        <w:rPr>
          <w:rFonts w:ascii="Arial" w:hAnsi="Arial" w:cs="Arial"/>
          <w:sz w:val="22"/>
          <w:szCs w:val="22"/>
        </w:rPr>
        <w:t>, or (if they ask the Commissioner for an extension of time and the Commissioner agrees) a day notified by the Commissioner in writing.</w:t>
      </w:r>
    </w:p>
    <w:p w14:paraId="2A54F18E" w14:textId="77777777" w:rsidR="00E37551" w:rsidRPr="00E37551" w:rsidRDefault="00E37551" w:rsidP="00E37551">
      <w:pPr>
        <w:spacing w:after="120"/>
        <w:rPr>
          <w:rFonts w:ascii="Arial" w:hAnsi="Arial" w:cs="Arial"/>
          <w:sz w:val="22"/>
          <w:szCs w:val="22"/>
        </w:rPr>
      </w:pPr>
    </w:p>
    <w:p w14:paraId="3DF62EB2" w14:textId="77777777" w:rsidR="00384640" w:rsidRPr="00E37551" w:rsidRDefault="00384640" w:rsidP="00E37551">
      <w:pPr>
        <w:pStyle w:val="Heading3"/>
        <w:spacing w:before="0" w:after="120"/>
        <w:rPr>
          <w:i/>
          <w:iCs/>
          <w:sz w:val="22"/>
          <w:szCs w:val="22"/>
        </w:rPr>
      </w:pPr>
      <w:r w:rsidRPr="00E37551">
        <w:rPr>
          <w:i/>
          <w:iCs/>
          <w:sz w:val="22"/>
          <w:szCs w:val="22"/>
        </w:rPr>
        <w:t>The reporting exemption provided by section 6</w:t>
      </w:r>
    </w:p>
    <w:p w14:paraId="286A3CCE" w14:textId="22A4AF39" w:rsidR="00384640" w:rsidRPr="00E37551" w:rsidRDefault="00384640" w:rsidP="00E37551">
      <w:pPr>
        <w:numPr>
          <w:ilvl w:val="0"/>
          <w:numId w:val="1"/>
        </w:numPr>
        <w:tabs>
          <w:tab w:val="clear" w:pos="360"/>
        </w:tabs>
        <w:spacing w:after="120"/>
        <w:ind w:left="0" w:firstLine="0"/>
        <w:rPr>
          <w:rFonts w:ascii="Arial" w:hAnsi="Arial" w:cs="Arial"/>
          <w:sz w:val="22"/>
          <w:szCs w:val="22"/>
        </w:rPr>
      </w:pPr>
      <w:r w:rsidRPr="00E37551">
        <w:rPr>
          <w:rFonts w:ascii="Arial" w:hAnsi="Arial" w:cs="Arial"/>
          <w:sz w:val="22"/>
          <w:szCs w:val="22"/>
        </w:rPr>
        <w:t xml:space="preserve">Paragraph 6(a) of this instrument exempts the operator of an EDP from having to report transactions involving a supply of relevant accommodation or taxi travel </w:t>
      </w:r>
      <w:r w:rsidR="00254A22" w:rsidRPr="00E37551">
        <w:rPr>
          <w:rFonts w:ascii="Arial" w:hAnsi="Arial" w:cs="Arial"/>
          <w:sz w:val="22"/>
          <w:szCs w:val="22"/>
        </w:rPr>
        <w:t xml:space="preserve">if </w:t>
      </w:r>
      <w:r w:rsidRPr="00E37551">
        <w:rPr>
          <w:rFonts w:ascii="Arial" w:hAnsi="Arial" w:cs="Arial"/>
          <w:sz w:val="22"/>
          <w:szCs w:val="22"/>
        </w:rPr>
        <w:t xml:space="preserve">the supplier is either a ‘listed entity’, or a </w:t>
      </w:r>
      <w:proofErr w:type="gramStart"/>
      <w:r w:rsidRPr="00E37551">
        <w:rPr>
          <w:rFonts w:ascii="Arial" w:hAnsi="Arial" w:cs="Arial"/>
          <w:sz w:val="22"/>
          <w:szCs w:val="22"/>
        </w:rPr>
        <w:t>wholly-owned</w:t>
      </w:r>
      <w:proofErr w:type="gramEnd"/>
      <w:r w:rsidRPr="00E37551">
        <w:rPr>
          <w:rFonts w:ascii="Arial" w:hAnsi="Arial" w:cs="Arial"/>
          <w:sz w:val="22"/>
          <w:szCs w:val="22"/>
        </w:rPr>
        <w:t xml:space="preserve"> subsidiary of a listed entity. For the purposes of this instrument, a listed entity means an entity whose membership interests are publicly traded on an approved stock exchange within the meaning of section 995-1 of the </w:t>
      </w:r>
      <w:r w:rsidRPr="00E37551">
        <w:rPr>
          <w:rFonts w:ascii="Arial" w:hAnsi="Arial" w:cs="Arial"/>
          <w:i/>
          <w:iCs/>
          <w:sz w:val="22"/>
          <w:szCs w:val="22"/>
        </w:rPr>
        <w:t>Income Tax Assessment Act 1997</w:t>
      </w:r>
      <w:r w:rsidRPr="00E37551">
        <w:rPr>
          <w:rFonts w:ascii="Arial" w:hAnsi="Arial" w:cs="Arial"/>
          <w:sz w:val="22"/>
          <w:szCs w:val="22"/>
        </w:rPr>
        <w:t>. The reporting of these transactions is exempted because these entities are generally subject to other forms of regulatory supervision and transparency which promote them complying with their tax obligations</w:t>
      </w:r>
      <w:r w:rsidR="005F486A" w:rsidRPr="00E37551">
        <w:rPr>
          <w:rFonts w:ascii="Arial" w:hAnsi="Arial" w:cs="Arial"/>
          <w:sz w:val="22"/>
          <w:szCs w:val="22"/>
        </w:rPr>
        <w:t>,</w:t>
      </w:r>
      <w:r w:rsidRPr="00E37551">
        <w:rPr>
          <w:rFonts w:ascii="Arial" w:hAnsi="Arial" w:cs="Arial"/>
          <w:sz w:val="22"/>
          <w:szCs w:val="22"/>
        </w:rPr>
        <w:t xml:space="preserve"> and they are not participants in the sharing economy.</w:t>
      </w:r>
    </w:p>
    <w:p w14:paraId="76C96C7A" w14:textId="77777777" w:rsidR="00E37551" w:rsidRPr="00E37551" w:rsidRDefault="00386318" w:rsidP="00E37551">
      <w:pPr>
        <w:numPr>
          <w:ilvl w:val="0"/>
          <w:numId w:val="1"/>
        </w:numPr>
        <w:tabs>
          <w:tab w:val="clear" w:pos="360"/>
        </w:tabs>
        <w:spacing w:after="120"/>
        <w:ind w:left="0" w:firstLine="0"/>
        <w:rPr>
          <w:rFonts w:ascii="Arial" w:hAnsi="Arial" w:cs="Arial"/>
          <w:sz w:val="22"/>
          <w:szCs w:val="22"/>
        </w:rPr>
      </w:pPr>
      <w:r w:rsidRPr="00E37551">
        <w:rPr>
          <w:rFonts w:ascii="Arial" w:hAnsi="Arial" w:cs="Arial"/>
          <w:sz w:val="22"/>
          <w:szCs w:val="22"/>
        </w:rPr>
        <w:t xml:space="preserve">Where transactions involving larger hotels and traditional forms of short-term accommodation are not exempted under paragraph 6(a), a </w:t>
      </w:r>
      <w:r w:rsidR="00706A80" w:rsidRPr="00E37551">
        <w:rPr>
          <w:rFonts w:ascii="Arial" w:hAnsi="Arial" w:cs="Arial"/>
          <w:sz w:val="22"/>
          <w:szCs w:val="22"/>
        </w:rPr>
        <w:t>specific</w:t>
      </w:r>
      <w:r w:rsidRPr="00E37551">
        <w:rPr>
          <w:rFonts w:ascii="Arial" w:hAnsi="Arial" w:cs="Arial"/>
          <w:sz w:val="22"/>
          <w:szCs w:val="22"/>
        </w:rPr>
        <w:t xml:space="preserve"> exemption is provided</w:t>
      </w:r>
      <w:r w:rsidR="00C0107D" w:rsidRPr="00E37551">
        <w:rPr>
          <w:rFonts w:ascii="Arial" w:hAnsi="Arial" w:cs="Arial"/>
          <w:sz w:val="22"/>
          <w:szCs w:val="22"/>
        </w:rPr>
        <w:t xml:space="preserve"> in paragraph 6(b)</w:t>
      </w:r>
      <w:r w:rsidRPr="00E37551">
        <w:rPr>
          <w:rFonts w:ascii="Arial" w:hAnsi="Arial" w:cs="Arial"/>
          <w:sz w:val="22"/>
          <w:szCs w:val="22"/>
        </w:rPr>
        <w:t xml:space="preserve"> to </w:t>
      </w:r>
      <w:r w:rsidR="00C0107D" w:rsidRPr="00E37551">
        <w:rPr>
          <w:rFonts w:ascii="Arial" w:hAnsi="Arial" w:cs="Arial"/>
          <w:sz w:val="22"/>
          <w:szCs w:val="22"/>
        </w:rPr>
        <w:t xml:space="preserve">exempt </w:t>
      </w:r>
      <w:r w:rsidRPr="00E37551">
        <w:rPr>
          <w:rFonts w:ascii="Arial" w:hAnsi="Arial" w:cs="Arial"/>
          <w:sz w:val="22"/>
          <w:szCs w:val="22"/>
        </w:rPr>
        <w:t xml:space="preserve">transactions </w:t>
      </w:r>
      <w:r w:rsidR="00C0107D" w:rsidRPr="00E37551">
        <w:rPr>
          <w:rFonts w:ascii="Arial" w:hAnsi="Arial" w:cs="Arial"/>
          <w:sz w:val="22"/>
          <w:szCs w:val="22"/>
        </w:rPr>
        <w:t xml:space="preserve">where they involve </w:t>
      </w:r>
      <w:r w:rsidR="00894080" w:rsidRPr="00E37551">
        <w:rPr>
          <w:rFonts w:ascii="Arial" w:hAnsi="Arial" w:cs="Arial"/>
          <w:sz w:val="22"/>
          <w:szCs w:val="22"/>
        </w:rPr>
        <w:t>a ‘</w:t>
      </w:r>
      <w:r w:rsidR="004D3644" w:rsidRPr="00E37551">
        <w:rPr>
          <w:rFonts w:ascii="Arial" w:hAnsi="Arial" w:cs="Arial"/>
          <w:sz w:val="22"/>
          <w:szCs w:val="22"/>
        </w:rPr>
        <w:t>substantial propert</w:t>
      </w:r>
      <w:r w:rsidR="00894080" w:rsidRPr="00E37551">
        <w:rPr>
          <w:rFonts w:ascii="Arial" w:hAnsi="Arial" w:cs="Arial"/>
          <w:sz w:val="22"/>
          <w:szCs w:val="22"/>
        </w:rPr>
        <w:t>y’</w:t>
      </w:r>
      <w:r w:rsidRPr="00E37551">
        <w:rPr>
          <w:rFonts w:ascii="Arial" w:hAnsi="Arial" w:cs="Arial"/>
          <w:sz w:val="22"/>
          <w:szCs w:val="22"/>
        </w:rPr>
        <w:t>.</w:t>
      </w:r>
    </w:p>
    <w:p w14:paraId="0EAB7205" w14:textId="5DE00916" w:rsidR="00384640" w:rsidRPr="00E37551" w:rsidRDefault="00894080" w:rsidP="00E37551">
      <w:pPr>
        <w:numPr>
          <w:ilvl w:val="0"/>
          <w:numId w:val="1"/>
        </w:numPr>
        <w:tabs>
          <w:tab w:val="clear" w:pos="360"/>
        </w:tabs>
        <w:spacing w:after="120"/>
        <w:ind w:left="0" w:firstLine="0"/>
        <w:rPr>
          <w:rFonts w:ascii="Arial" w:hAnsi="Arial" w:cs="Arial"/>
          <w:sz w:val="22"/>
          <w:szCs w:val="22"/>
        </w:rPr>
      </w:pPr>
      <w:proofErr w:type="gramStart"/>
      <w:r w:rsidRPr="00E37551">
        <w:rPr>
          <w:rFonts w:ascii="Arial" w:hAnsi="Arial" w:cs="Arial"/>
          <w:sz w:val="22"/>
          <w:szCs w:val="22"/>
        </w:rPr>
        <w:t>In particular, p</w:t>
      </w:r>
      <w:r w:rsidR="00384640" w:rsidRPr="00E37551">
        <w:rPr>
          <w:rFonts w:ascii="Arial" w:hAnsi="Arial" w:cs="Arial"/>
          <w:sz w:val="22"/>
          <w:szCs w:val="22"/>
        </w:rPr>
        <w:t>aragraph</w:t>
      </w:r>
      <w:proofErr w:type="gramEnd"/>
      <w:r w:rsidR="00384640" w:rsidRPr="00E37551">
        <w:rPr>
          <w:rFonts w:ascii="Arial" w:hAnsi="Arial" w:cs="Arial"/>
          <w:sz w:val="22"/>
          <w:szCs w:val="22"/>
        </w:rPr>
        <w:t xml:space="preserve"> 6(b) of this instrument </w:t>
      </w:r>
      <w:r w:rsidR="00254A22" w:rsidRPr="00E37551">
        <w:rPr>
          <w:rFonts w:ascii="Arial" w:hAnsi="Arial" w:cs="Arial"/>
          <w:sz w:val="22"/>
          <w:szCs w:val="22"/>
        </w:rPr>
        <w:t>provides that the operator of an</w:t>
      </w:r>
      <w:r w:rsidR="00384640" w:rsidRPr="00E37551">
        <w:rPr>
          <w:rFonts w:ascii="Arial" w:hAnsi="Arial" w:cs="Arial"/>
          <w:sz w:val="22"/>
          <w:szCs w:val="22"/>
        </w:rPr>
        <w:t xml:space="preserve"> EDP </w:t>
      </w:r>
      <w:r w:rsidR="00254A22" w:rsidRPr="00E37551">
        <w:rPr>
          <w:rFonts w:ascii="Arial" w:hAnsi="Arial" w:cs="Arial"/>
          <w:sz w:val="22"/>
          <w:szCs w:val="22"/>
        </w:rPr>
        <w:t>does not have</w:t>
      </w:r>
      <w:r w:rsidR="00384640" w:rsidRPr="00E37551">
        <w:rPr>
          <w:rFonts w:ascii="Arial" w:hAnsi="Arial" w:cs="Arial"/>
          <w:sz w:val="22"/>
          <w:szCs w:val="22"/>
        </w:rPr>
        <w:t xml:space="preserve"> to report transactions that involve the provision of consideration relating to a ‘substantial property’. </w:t>
      </w:r>
      <w:r w:rsidR="004D3644" w:rsidRPr="00E37551">
        <w:rPr>
          <w:rFonts w:ascii="Arial" w:hAnsi="Arial" w:cs="Arial"/>
          <w:sz w:val="22"/>
          <w:szCs w:val="22"/>
        </w:rPr>
        <w:t xml:space="preserve">A </w:t>
      </w:r>
      <w:r w:rsidR="00384640" w:rsidRPr="00E37551">
        <w:rPr>
          <w:rFonts w:ascii="Arial" w:hAnsi="Arial" w:cs="Arial"/>
          <w:sz w:val="22"/>
          <w:szCs w:val="22"/>
        </w:rPr>
        <w:t>substantial property</w:t>
      </w:r>
      <w:r w:rsidR="004D1057" w:rsidRPr="00E37551">
        <w:rPr>
          <w:rFonts w:ascii="Arial" w:hAnsi="Arial" w:cs="Arial"/>
          <w:sz w:val="22"/>
          <w:szCs w:val="22"/>
        </w:rPr>
        <w:t xml:space="preserve"> </w:t>
      </w:r>
      <w:r w:rsidR="004D3644" w:rsidRPr="00E37551">
        <w:rPr>
          <w:rFonts w:ascii="Arial" w:hAnsi="Arial" w:cs="Arial"/>
          <w:sz w:val="22"/>
          <w:szCs w:val="22"/>
        </w:rPr>
        <w:t xml:space="preserve">is </w:t>
      </w:r>
      <w:r w:rsidR="009156A4" w:rsidRPr="00E37551">
        <w:rPr>
          <w:rFonts w:ascii="Arial" w:hAnsi="Arial" w:cs="Arial"/>
          <w:sz w:val="22"/>
          <w:szCs w:val="22"/>
        </w:rPr>
        <w:t xml:space="preserve">a property </w:t>
      </w:r>
      <w:r w:rsidR="00E20319" w:rsidRPr="00E37551">
        <w:rPr>
          <w:rFonts w:ascii="Arial" w:hAnsi="Arial" w:cs="Arial"/>
          <w:sz w:val="22"/>
          <w:szCs w:val="22"/>
        </w:rPr>
        <w:t>where</w:t>
      </w:r>
      <w:r w:rsidR="004D1057" w:rsidRPr="00E37551">
        <w:rPr>
          <w:rFonts w:ascii="Arial" w:hAnsi="Arial" w:cs="Arial"/>
          <w:sz w:val="22"/>
          <w:szCs w:val="22"/>
        </w:rPr>
        <w:t xml:space="preserve">, for </w:t>
      </w:r>
      <w:r w:rsidR="00347B67" w:rsidRPr="00E37551">
        <w:rPr>
          <w:rFonts w:ascii="Arial" w:hAnsi="Arial" w:cs="Arial"/>
          <w:sz w:val="22"/>
          <w:szCs w:val="22"/>
        </w:rPr>
        <w:t xml:space="preserve">a </w:t>
      </w:r>
      <w:r w:rsidR="004D1057" w:rsidRPr="00E37551">
        <w:rPr>
          <w:rFonts w:ascii="Arial" w:hAnsi="Arial" w:cs="Arial"/>
          <w:sz w:val="22"/>
          <w:szCs w:val="22"/>
        </w:rPr>
        <w:t>reporting period,</w:t>
      </w:r>
      <w:r w:rsidR="00E20319" w:rsidRPr="00E37551">
        <w:rPr>
          <w:rFonts w:ascii="Arial" w:hAnsi="Arial" w:cs="Arial"/>
          <w:sz w:val="22"/>
          <w:szCs w:val="22"/>
        </w:rPr>
        <w:t xml:space="preserve"> </w:t>
      </w:r>
      <w:r w:rsidR="00384640" w:rsidRPr="00E37551">
        <w:rPr>
          <w:rFonts w:ascii="Arial" w:hAnsi="Arial" w:cs="Arial"/>
          <w:sz w:val="22"/>
          <w:szCs w:val="22"/>
        </w:rPr>
        <w:t xml:space="preserve">at least </w:t>
      </w:r>
      <w:r w:rsidR="00406E50" w:rsidRPr="00E37551">
        <w:rPr>
          <w:rFonts w:ascii="Arial" w:hAnsi="Arial" w:cs="Arial"/>
          <w:sz w:val="22"/>
          <w:szCs w:val="22"/>
        </w:rPr>
        <w:t>2</w:t>
      </w:r>
      <w:r w:rsidR="00384640" w:rsidRPr="00E37551">
        <w:rPr>
          <w:rFonts w:ascii="Arial" w:hAnsi="Arial" w:cs="Arial"/>
          <w:sz w:val="22"/>
          <w:szCs w:val="22"/>
        </w:rPr>
        <w:t>,</w:t>
      </w:r>
      <w:r w:rsidR="00406E50" w:rsidRPr="00E37551">
        <w:rPr>
          <w:rFonts w:ascii="Arial" w:hAnsi="Arial" w:cs="Arial"/>
          <w:sz w:val="22"/>
          <w:szCs w:val="22"/>
        </w:rPr>
        <w:t>0</w:t>
      </w:r>
      <w:r w:rsidR="00384640" w:rsidRPr="00E37551">
        <w:rPr>
          <w:rFonts w:ascii="Arial" w:hAnsi="Arial" w:cs="Arial"/>
          <w:sz w:val="22"/>
          <w:szCs w:val="22"/>
        </w:rPr>
        <w:t xml:space="preserve">00 transactions were facilitated by the EDP </w:t>
      </w:r>
      <w:r w:rsidR="009156A4" w:rsidRPr="00E37551">
        <w:rPr>
          <w:rFonts w:ascii="Arial" w:hAnsi="Arial" w:cs="Arial"/>
          <w:sz w:val="22"/>
          <w:szCs w:val="22"/>
        </w:rPr>
        <w:t>in relation to that</w:t>
      </w:r>
      <w:r w:rsidR="00384640" w:rsidRPr="00E37551">
        <w:rPr>
          <w:rFonts w:ascii="Arial" w:hAnsi="Arial" w:cs="Arial"/>
          <w:sz w:val="22"/>
          <w:szCs w:val="22"/>
        </w:rPr>
        <w:t xml:space="preserve"> property in the </w:t>
      </w:r>
      <w:proofErr w:type="gramStart"/>
      <w:r w:rsidR="00384640" w:rsidRPr="00E37551">
        <w:rPr>
          <w:rFonts w:ascii="Arial" w:hAnsi="Arial" w:cs="Arial"/>
          <w:sz w:val="22"/>
          <w:szCs w:val="22"/>
        </w:rPr>
        <w:t>12 month</w:t>
      </w:r>
      <w:proofErr w:type="gramEnd"/>
      <w:r w:rsidRPr="00E37551">
        <w:rPr>
          <w:rFonts w:ascii="Arial" w:hAnsi="Arial" w:cs="Arial"/>
          <w:sz w:val="22"/>
          <w:szCs w:val="22"/>
        </w:rPr>
        <w:t xml:space="preserve"> period</w:t>
      </w:r>
      <w:r w:rsidR="00384640" w:rsidRPr="00E37551">
        <w:rPr>
          <w:rFonts w:ascii="Arial" w:hAnsi="Arial" w:cs="Arial"/>
          <w:sz w:val="22"/>
          <w:szCs w:val="22"/>
        </w:rPr>
        <w:t xml:space="preserve"> ending on the last day of th</w:t>
      </w:r>
      <w:r w:rsidR="00347B67" w:rsidRPr="00E37551">
        <w:rPr>
          <w:rFonts w:ascii="Arial" w:hAnsi="Arial" w:cs="Arial"/>
          <w:sz w:val="22"/>
          <w:szCs w:val="22"/>
        </w:rPr>
        <w:t>at</w:t>
      </w:r>
      <w:r w:rsidR="00384640" w:rsidRPr="00E37551">
        <w:rPr>
          <w:rFonts w:ascii="Arial" w:hAnsi="Arial" w:cs="Arial"/>
          <w:sz w:val="22"/>
          <w:szCs w:val="22"/>
        </w:rPr>
        <w:t xml:space="preserve"> reporting period</w:t>
      </w:r>
      <w:r w:rsidR="009F4132" w:rsidRPr="00E37551">
        <w:rPr>
          <w:rFonts w:ascii="Arial" w:hAnsi="Arial" w:cs="Arial"/>
          <w:sz w:val="22"/>
          <w:szCs w:val="22"/>
        </w:rPr>
        <w:t xml:space="preserve"> (if the property was listed on the platform for that entire period)</w:t>
      </w:r>
      <w:r w:rsidR="00384640" w:rsidRPr="00E37551">
        <w:rPr>
          <w:rFonts w:ascii="Arial" w:hAnsi="Arial" w:cs="Arial"/>
          <w:sz w:val="22"/>
          <w:szCs w:val="22"/>
        </w:rPr>
        <w:t xml:space="preserve">. </w:t>
      </w:r>
      <w:r w:rsidR="006A5540" w:rsidRPr="00E37551">
        <w:rPr>
          <w:rFonts w:ascii="Arial" w:hAnsi="Arial" w:cs="Arial"/>
          <w:sz w:val="22"/>
          <w:szCs w:val="22"/>
        </w:rPr>
        <w:t xml:space="preserve">If </w:t>
      </w:r>
      <w:r w:rsidR="00384640" w:rsidRPr="00E37551">
        <w:rPr>
          <w:rFonts w:ascii="Arial" w:hAnsi="Arial" w:cs="Arial"/>
          <w:sz w:val="22"/>
          <w:szCs w:val="22"/>
        </w:rPr>
        <w:t xml:space="preserve">the property was first listed on the platform in the </w:t>
      </w:r>
      <w:proofErr w:type="gramStart"/>
      <w:r w:rsidR="00384640" w:rsidRPr="00E37551">
        <w:rPr>
          <w:rFonts w:ascii="Arial" w:hAnsi="Arial" w:cs="Arial"/>
          <w:sz w:val="22"/>
          <w:szCs w:val="22"/>
        </w:rPr>
        <w:t>12 month</w:t>
      </w:r>
      <w:proofErr w:type="gramEnd"/>
      <w:r w:rsidRPr="00E37551">
        <w:rPr>
          <w:rFonts w:ascii="Arial" w:hAnsi="Arial" w:cs="Arial"/>
          <w:sz w:val="22"/>
          <w:szCs w:val="22"/>
        </w:rPr>
        <w:t xml:space="preserve"> period</w:t>
      </w:r>
      <w:r w:rsidR="00384640" w:rsidRPr="00E37551">
        <w:rPr>
          <w:rFonts w:ascii="Arial" w:hAnsi="Arial" w:cs="Arial"/>
          <w:sz w:val="22"/>
          <w:szCs w:val="22"/>
        </w:rPr>
        <w:t xml:space="preserve"> ending on the last day of the reporting period, the number of transactions required to be made through that platform to meet the definition of substantial property is proportionally adjusted, to reflect the shortened period that the platform was used. The reporting of these</w:t>
      </w:r>
      <w:r w:rsidR="00384640" w:rsidRPr="00E37551" w:rsidDel="00386318">
        <w:rPr>
          <w:rFonts w:ascii="Arial" w:hAnsi="Arial" w:cs="Arial"/>
          <w:sz w:val="22"/>
          <w:szCs w:val="22"/>
        </w:rPr>
        <w:t xml:space="preserve"> transactions</w:t>
      </w:r>
      <w:r w:rsidR="006A5540" w:rsidRPr="00E37551">
        <w:rPr>
          <w:rFonts w:ascii="Arial" w:hAnsi="Arial" w:cs="Arial"/>
          <w:sz w:val="22"/>
          <w:szCs w:val="22"/>
        </w:rPr>
        <w:t xml:space="preserve"> </w:t>
      </w:r>
      <w:r w:rsidR="00C0107D" w:rsidRPr="00E37551">
        <w:rPr>
          <w:rFonts w:ascii="Arial" w:hAnsi="Arial" w:cs="Arial"/>
          <w:sz w:val="22"/>
          <w:szCs w:val="22"/>
        </w:rPr>
        <w:t xml:space="preserve">is </w:t>
      </w:r>
      <w:r w:rsidR="00384640" w:rsidRPr="00E37551" w:rsidDel="00386318">
        <w:rPr>
          <w:rFonts w:ascii="Arial" w:hAnsi="Arial" w:cs="Arial"/>
          <w:sz w:val="22"/>
          <w:szCs w:val="22"/>
        </w:rPr>
        <w:t>exempted because operators of these larger properties are generally not involved in the sharing economy and are generally more likely to be aware of, and compliant with, their taxation obligations.</w:t>
      </w:r>
    </w:p>
    <w:p w14:paraId="6241F2B8" w14:textId="77777777" w:rsidR="00384640" w:rsidRPr="00E37551" w:rsidRDefault="00384640" w:rsidP="00E37551">
      <w:pPr>
        <w:numPr>
          <w:ilvl w:val="0"/>
          <w:numId w:val="1"/>
        </w:numPr>
        <w:tabs>
          <w:tab w:val="clear" w:pos="360"/>
        </w:tabs>
        <w:spacing w:after="120"/>
        <w:ind w:left="0" w:firstLine="0"/>
        <w:rPr>
          <w:rFonts w:ascii="Arial" w:hAnsi="Arial" w:cs="Arial"/>
          <w:sz w:val="22"/>
          <w:szCs w:val="22"/>
        </w:rPr>
      </w:pPr>
      <w:r w:rsidRPr="00E37551">
        <w:rPr>
          <w:rFonts w:ascii="Arial" w:hAnsi="Arial" w:cs="Arial"/>
          <w:sz w:val="22"/>
          <w:szCs w:val="22"/>
        </w:rPr>
        <w:lastRenderedPageBreak/>
        <w:t>To calculate the number of transactions that were made through an EDP in relation to a property, each distinct address is considered a separate property. This means that all transactions in relation to multiple rooms at a single address (such as in a commercial hotel) would be counted towards a single property, whereas transactions in relation to separate addresses within a building (such as apartments in a building or complex) would be counted as being in relation to separate properties.</w:t>
      </w:r>
    </w:p>
    <w:p w14:paraId="170972EF" w14:textId="77777777" w:rsidR="00384640" w:rsidRPr="00E37551" w:rsidRDefault="00384640" w:rsidP="00E37551">
      <w:pPr>
        <w:numPr>
          <w:ilvl w:val="0"/>
          <w:numId w:val="1"/>
        </w:numPr>
        <w:tabs>
          <w:tab w:val="clear" w:pos="360"/>
        </w:tabs>
        <w:spacing w:after="120"/>
        <w:ind w:left="0" w:firstLine="0"/>
        <w:rPr>
          <w:rFonts w:ascii="Arial" w:hAnsi="Arial" w:cs="Arial"/>
          <w:sz w:val="22"/>
          <w:szCs w:val="22"/>
        </w:rPr>
      </w:pPr>
      <w:r w:rsidRPr="00E37551">
        <w:rPr>
          <w:rFonts w:ascii="Arial" w:hAnsi="Arial" w:cs="Arial"/>
          <w:sz w:val="22"/>
          <w:szCs w:val="22"/>
        </w:rPr>
        <w:t>Whether a property is a substantial property is determined on a platform-by-platform basis, based on the number of transactions for the property made through the platform. Transactions made through an EDP cannot be aggregated with transactions made through another, separate EDP, even where all those transactions are in relation to the same property. This makes it simpler for the operator of an EDP to determine whether the exemption applies.</w:t>
      </w:r>
    </w:p>
    <w:p w14:paraId="608AF87D" w14:textId="77777777" w:rsidR="00384640" w:rsidRPr="00E37551" w:rsidRDefault="00384640" w:rsidP="00E37551">
      <w:pPr>
        <w:numPr>
          <w:ilvl w:val="0"/>
          <w:numId w:val="1"/>
        </w:numPr>
        <w:tabs>
          <w:tab w:val="clear" w:pos="360"/>
        </w:tabs>
        <w:spacing w:after="120"/>
        <w:ind w:left="0" w:firstLine="0"/>
        <w:rPr>
          <w:rFonts w:ascii="Arial" w:hAnsi="Arial" w:cs="Arial"/>
          <w:sz w:val="22"/>
          <w:szCs w:val="22"/>
        </w:rPr>
      </w:pPr>
      <w:r w:rsidRPr="00E37551">
        <w:rPr>
          <w:rFonts w:ascii="Arial" w:hAnsi="Arial" w:cs="Arial"/>
          <w:sz w:val="22"/>
          <w:szCs w:val="22"/>
        </w:rPr>
        <w:t>Paragraph 6(c) of this instrument exempts the operator of an EDP from having to report transactions where:</w:t>
      </w:r>
    </w:p>
    <w:p w14:paraId="4E6BC00E" w14:textId="77777777" w:rsidR="00384640" w:rsidRPr="00E37551" w:rsidRDefault="00384640" w:rsidP="00E37551">
      <w:pPr>
        <w:numPr>
          <w:ilvl w:val="0"/>
          <w:numId w:val="3"/>
        </w:numPr>
        <w:spacing w:after="120"/>
        <w:ind w:left="1418" w:hanging="709"/>
        <w:rPr>
          <w:rFonts w:ascii="Arial" w:hAnsi="Arial" w:cs="Arial"/>
          <w:sz w:val="22"/>
          <w:szCs w:val="22"/>
        </w:rPr>
      </w:pPr>
      <w:r w:rsidRPr="00E37551">
        <w:rPr>
          <w:rFonts w:ascii="Arial" w:hAnsi="Arial" w:cs="Arial"/>
          <w:sz w:val="22"/>
          <w:szCs w:val="22"/>
        </w:rPr>
        <w:t>the supplier has provided the operator with one or more addresses, and none of those addresses are within the indirect tax zone,</w:t>
      </w:r>
    </w:p>
    <w:p w14:paraId="16B3C177" w14:textId="77777777" w:rsidR="00384640" w:rsidRPr="00E37551" w:rsidRDefault="00384640" w:rsidP="00E37551">
      <w:pPr>
        <w:numPr>
          <w:ilvl w:val="0"/>
          <w:numId w:val="3"/>
        </w:numPr>
        <w:spacing w:after="120"/>
        <w:ind w:left="1418" w:hanging="709"/>
        <w:rPr>
          <w:rFonts w:ascii="Arial" w:hAnsi="Arial" w:cs="Arial"/>
          <w:sz w:val="22"/>
          <w:szCs w:val="22"/>
        </w:rPr>
      </w:pPr>
      <w:r w:rsidRPr="00E37551">
        <w:rPr>
          <w:rFonts w:ascii="Arial" w:hAnsi="Arial" w:cs="Arial"/>
          <w:sz w:val="22"/>
          <w:szCs w:val="22"/>
        </w:rPr>
        <w:t>for a reportable transaction involving a supply of taxi travel, the taxi travel did not occur within the indirect tax zone,</w:t>
      </w:r>
    </w:p>
    <w:p w14:paraId="0911A6AF" w14:textId="77777777" w:rsidR="00384640" w:rsidRPr="00E37551" w:rsidRDefault="00384640" w:rsidP="00E37551">
      <w:pPr>
        <w:numPr>
          <w:ilvl w:val="0"/>
          <w:numId w:val="3"/>
        </w:numPr>
        <w:spacing w:after="120"/>
        <w:ind w:left="1418" w:hanging="709"/>
        <w:rPr>
          <w:rFonts w:ascii="Arial" w:hAnsi="Arial" w:cs="Arial"/>
          <w:sz w:val="22"/>
          <w:szCs w:val="22"/>
        </w:rPr>
      </w:pPr>
      <w:r w:rsidRPr="00E37551">
        <w:rPr>
          <w:rFonts w:ascii="Arial" w:hAnsi="Arial" w:cs="Arial"/>
          <w:sz w:val="22"/>
          <w:szCs w:val="22"/>
        </w:rPr>
        <w:t>the consideration provided to the supplier in relation to the transaction was not paid to an account held with a financial institution in the indirect tax zone, and</w:t>
      </w:r>
    </w:p>
    <w:p w14:paraId="053440C0" w14:textId="0CFDB3B6" w:rsidR="00384640" w:rsidRPr="00E37551" w:rsidRDefault="00384640" w:rsidP="00E37551">
      <w:pPr>
        <w:numPr>
          <w:ilvl w:val="0"/>
          <w:numId w:val="3"/>
        </w:numPr>
        <w:spacing w:after="120"/>
        <w:ind w:left="1418" w:hanging="709"/>
        <w:rPr>
          <w:rFonts w:ascii="Arial" w:hAnsi="Arial" w:cs="Arial"/>
          <w:sz w:val="22"/>
          <w:szCs w:val="22"/>
        </w:rPr>
      </w:pPr>
      <w:r w:rsidRPr="00E37551">
        <w:rPr>
          <w:rFonts w:ascii="Arial" w:hAnsi="Arial" w:cs="Arial"/>
          <w:sz w:val="22"/>
          <w:szCs w:val="22"/>
        </w:rPr>
        <w:t>there is no other information available to the operator that indicates that the supplier is a resident of Australia.</w:t>
      </w:r>
    </w:p>
    <w:p w14:paraId="40A4A991" w14:textId="77777777" w:rsidR="00384640" w:rsidRPr="00E37551" w:rsidRDefault="00384640" w:rsidP="00E37551">
      <w:pPr>
        <w:numPr>
          <w:ilvl w:val="0"/>
          <w:numId w:val="1"/>
        </w:numPr>
        <w:tabs>
          <w:tab w:val="clear" w:pos="360"/>
        </w:tabs>
        <w:spacing w:after="120"/>
        <w:ind w:left="0" w:firstLine="0"/>
        <w:rPr>
          <w:rFonts w:ascii="Arial" w:hAnsi="Arial" w:cs="Arial"/>
          <w:sz w:val="22"/>
          <w:szCs w:val="22"/>
        </w:rPr>
      </w:pPr>
      <w:r w:rsidRPr="00E37551">
        <w:rPr>
          <w:rFonts w:ascii="Arial" w:hAnsi="Arial" w:cs="Arial"/>
          <w:sz w:val="22"/>
          <w:szCs w:val="22"/>
        </w:rPr>
        <w:t>For the purposes of this instrument, indirect tax zone has the same meaning as in the GST Act, if that definition included the external Territories.</w:t>
      </w:r>
    </w:p>
    <w:p w14:paraId="0809F2C6" w14:textId="0D0B4BB1" w:rsidR="00384640" w:rsidRPr="00E37551" w:rsidRDefault="00384640" w:rsidP="00E37551">
      <w:pPr>
        <w:numPr>
          <w:ilvl w:val="0"/>
          <w:numId w:val="1"/>
        </w:numPr>
        <w:tabs>
          <w:tab w:val="clear" w:pos="360"/>
        </w:tabs>
        <w:spacing w:after="120"/>
        <w:ind w:left="0" w:firstLine="0"/>
        <w:rPr>
          <w:rFonts w:ascii="Arial" w:hAnsi="Arial" w:cs="Arial"/>
          <w:sz w:val="22"/>
          <w:szCs w:val="22"/>
        </w:rPr>
      </w:pPr>
      <w:r w:rsidRPr="00E37551">
        <w:rPr>
          <w:rFonts w:ascii="Arial" w:hAnsi="Arial" w:cs="Arial"/>
          <w:sz w:val="22"/>
          <w:szCs w:val="22"/>
        </w:rPr>
        <w:t>The reporting of these transactions is exempted because such transactions generally have no Australian income tax or GST consequences.</w:t>
      </w:r>
    </w:p>
    <w:p w14:paraId="00B35A45" w14:textId="77777777" w:rsidR="00384640" w:rsidRPr="00E37551" w:rsidRDefault="00384640" w:rsidP="00E37551">
      <w:pPr>
        <w:spacing w:after="120"/>
        <w:rPr>
          <w:rFonts w:ascii="Arial" w:hAnsi="Arial" w:cs="Arial"/>
          <w:sz w:val="22"/>
          <w:szCs w:val="22"/>
        </w:rPr>
      </w:pPr>
    </w:p>
    <w:p w14:paraId="7B9AAF5A" w14:textId="77777777" w:rsidR="00384640" w:rsidRPr="00E37551" w:rsidRDefault="00384640" w:rsidP="00E37551">
      <w:pPr>
        <w:pStyle w:val="Heading3"/>
        <w:spacing w:before="0" w:after="120"/>
        <w:rPr>
          <w:i/>
          <w:iCs/>
          <w:sz w:val="22"/>
          <w:szCs w:val="22"/>
        </w:rPr>
      </w:pPr>
      <w:r w:rsidRPr="00E37551">
        <w:rPr>
          <w:i/>
          <w:iCs/>
          <w:sz w:val="22"/>
          <w:szCs w:val="22"/>
        </w:rPr>
        <w:t>Other information</w:t>
      </w:r>
    </w:p>
    <w:bookmarkEnd w:id="4"/>
    <w:p w14:paraId="784608ED" w14:textId="77777777" w:rsidR="00384640" w:rsidRPr="00E37551" w:rsidRDefault="00384640" w:rsidP="00E37551">
      <w:pPr>
        <w:numPr>
          <w:ilvl w:val="0"/>
          <w:numId w:val="1"/>
        </w:numPr>
        <w:tabs>
          <w:tab w:val="clear" w:pos="360"/>
        </w:tabs>
        <w:spacing w:after="120"/>
        <w:ind w:left="0" w:firstLine="0"/>
        <w:rPr>
          <w:rFonts w:ascii="Arial" w:hAnsi="Arial" w:cs="Arial"/>
          <w:sz w:val="22"/>
          <w:szCs w:val="22"/>
        </w:rPr>
      </w:pPr>
      <w:r w:rsidRPr="00E37551">
        <w:rPr>
          <w:rFonts w:ascii="Arial" w:hAnsi="Arial" w:cs="Arial"/>
          <w:sz w:val="22"/>
          <w:szCs w:val="22"/>
        </w:rPr>
        <w:t>This instrument does not affect any other reporting requirements that reporting entities may have under section 396-55 in Schedule 1 to the Act.</w:t>
      </w:r>
    </w:p>
    <w:p w14:paraId="7D043C9E" w14:textId="77777777" w:rsidR="001831B5" w:rsidRPr="00E37551" w:rsidRDefault="001831B5" w:rsidP="00E37551">
      <w:pPr>
        <w:spacing w:after="120"/>
        <w:rPr>
          <w:rFonts w:ascii="Arial" w:hAnsi="Arial" w:cs="Arial"/>
          <w:sz w:val="22"/>
          <w:szCs w:val="22"/>
        </w:rPr>
      </w:pPr>
    </w:p>
    <w:p w14:paraId="528AF1A9" w14:textId="6804036C" w:rsidR="00C620E9" w:rsidRPr="00E37551" w:rsidRDefault="00640CC2" w:rsidP="00E37551">
      <w:pPr>
        <w:pStyle w:val="Heading2"/>
      </w:pPr>
      <w:r w:rsidRPr="00E37551">
        <w:t>Compliance cost assessment</w:t>
      </w:r>
    </w:p>
    <w:p w14:paraId="15AC1B72" w14:textId="40D74F71" w:rsidR="00493CA7" w:rsidRPr="00E37551" w:rsidRDefault="00384640" w:rsidP="00E37551">
      <w:pPr>
        <w:numPr>
          <w:ilvl w:val="0"/>
          <w:numId w:val="1"/>
        </w:numPr>
        <w:tabs>
          <w:tab w:val="clear" w:pos="360"/>
        </w:tabs>
        <w:spacing w:after="120"/>
        <w:ind w:left="0" w:firstLine="0"/>
        <w:rPr>
          <w:rFonts w:ascii="Arial" w:hAnsi="Arial" w:cs="Arial"/>
          <w:sz w:val="22"/>
          <w:szCs w:val="22"/>
        </w:rPr>
      </w:pPr>
      <w:r w:rsidRPr="00E37551">
        <w:rPr>
          <w:rFonts w:ascii="Arial" w:hAnsi="Arial" w:cs="Arial"/>
          <w:sz w:val="22"/>
          <w:szCs w:val="22"/>
        </w:rPr>
        <w:t>Compliance cost impact: Minor – There will be no additional regulatory impacts as the instrument is minor and machinery in nature (OIA23</w:t>
      </w:r>
      <w:r w:rsidRPr="00E37551">
        <w:rPr>
          <w:rFonts w:ascii="Cambria Math" w:hAnsi="Cambria Math" w:cs="Cambria Math"/>
          <w:sz w:val="22"/>
          <w:szCs w:val="22"/>
        </w:rPr>
        <w:t>‐</w:t>
      </w:r>
      <w:r w:rsidRPr="00E37551">
        <w:rPr>
          <w:rFonts w:ascii="Arial" w:hAnsi="Arial" w:cs="Arial"/>
          <w:sz w:val="22"/>
          <w:szCs w:val="22"/>
        </w:rPr>
        <w:t>05448).</w:t>
      </w:r>
    </w:p>
    <w:p w14:paraId="1F0F8329" w14:textId="77777777" w:rsidR="00CA43F4" w:rsidRPr="00E37551" w:rsidRDefault="00CA43F4" w:rsidP="00E37551">
      <w:pPr>
        <w:spacing w:after="120"/>
        <w:rPr>
          <w:rFonts w:ascii="Arial" w:hAnsi="Arial" w:cs="Arial"/>
          <w:sz w:val="22"/>
          <w:szCs w:val="22"/>
        </w:rPr>
      </w:pPr>
    </w:p>
    <w:p w14:paraId="43588C8D" w14:textId="77777777" w:rsidR="00C11607" w:rsidRPr="00E37551" w:rsidRDefault="00C11607" w:rsidP="00E37551">
      <w:pPr>
        <w:pStyle w:val="Heading2"/>
      </w:pPr>
      <w:r w:rsidRPr="00E37551">
        <w:t>Background</w:t>
      </w:r>
    </w:p>
    <w:p w14:paraId="0CE810F8" w14:textId="0E886A72" w:rsidR="009F4132" w:rsidRPr="00E37551" w:rsidRDefault="00C11607" w:rsidP="00E37551">
      <w:pPr>
        <w:numPr>
          <w:ilvl w:val="0"/>
          <w:numId w:val="1"/>
        </w:numPr>
        <w:tabs>
          <w:tab w:val="clear" w:pos="360"/>
        </w:tabs>
        <w:spacing w:after="120"/>
        <w:ind w:left="0" w:firstLine="0"/>
        <w:rPr>
          <w:rFonts w:ascii="Arial" w:eastAsia="Calibri" w:hAnsi="Arial" w:cs="Arial"/>
          <w:sz w:val="22"/>
          <w:szCs w:val="22"/>
          <w:lang w:eastAsia="en-US"/>
        </w:rPr>
      </w:pPr>
      <w:r w:rsidRPr="00E37551">
        <w:rPr>
          <w:rFonts w:ascii="Arial" w:eastAsia="Calibri" w:hAnsi="Arial" w:cs="Arial"/>
          <w:sz w:val="22"/>
          <w:szCs w:val="22"/>
          <w:lang w:eastAsia="en-US"/>
        </w:rPr>
        <w:t xml:space="preserve">The </w:t>
      </w:r>
      <w:r w:rsidRPr="00E37551">
        <w:rPr>
          <w:rFonts w:ascii="Arial" w:eastAsia="Calibri" w:hAnsi="Arial" w:cs="Arial"/>
          <w:i/>
          <w:iCs/>
          <w:sz w:val="22"/>
          <w:szCs w:val="22"/>
          <w:lang w:eastAsia="en-US"/>
        </w:rPr>
        <w:t>Taxation Administration (Reporting by Electronic Distribution Platform Operators) Legislative Instrument 2023</w:t>
      </w:r>
      <w:r w:rsidRPr="00E37551">
        <w:rPr>
          <w:rFonts w:ascii="Arial" w:eastAsia="Calibri" w:hAnsi="Arial" w:cs="Arial"/>
          <w:sz w:val="22"/>
          <w:szCs w:val="22"/>
          <w:lang w:eastAsia="en-US"/>
        </w:rPr>
        <w:t xml:space="preserve"> was made on 8 June 2023, to substitute the default annual reporting period for the </w:t>
      </w:r>
      <w:r w:rsidR="003D221D" w:rsidRPr="00E37551">
        <w:rPr>
          <w:rFonts w:ascii="Arial" w:eastAsia="Calibri" w:hAnsi="Arial" w:cs="Arial"/>
          <w:sz w:val="22"/>
          <w:szCs w:val="22"/>
          <w:lang w:eastAsia="en-US"/>
        </w:rPr>
        <w:t>SERR</w:t>
      </w:r>
      <w:r w:rsidRPr="00E37551">
        <w:rPr>
          <w:rFonts w:ascii="Arial" w:eastAsia="Calibri" w:hAnsi="Arial" w:cs="Arial"/>
          <w:sz w:val="22"/>
          <w:szCs w:val="22"/>
          <w:lang w:eastAsia="en-US"/>
        </w:rPr>
        <w:t xml:space="preserve"> with an alternate six-monthly reporting period. The new reporting periods are from 1 January to 30 June, and 1 July to 31 December, each year.</w:t>
      </w:r>
    </w:p>
    <w:p w14:paraId="253BBBEC" w14:textId="2A36C889" w:rsidR="00C11607" w:rsidRPr="00E37551" w:rsidRDefault="00C11607" w:rsidP="00E37551">
      <w:pPr>
        <w:numPr>
          <w:ilvl w:val="0"/>
          <w:numId w:val="1"/>
        </w:numPr>
        <w:tabs>
          <w:tab w:val="clear" w:pos="360"/>
        </w:tabs>
        <w:spacing w:after="120"/>
        <w:ind w:left="0" w:firstLine="0"/>
        <w:rPr>
          <w:rFonts w:ascii="Arial" w:eastAsia="Calibri" w:hAnsi="Arial" w:cs="Arial"/>
          <w:sz w:val="22"/>
          <w:szCs w:val="22"/>
          <w:lang w:eastAsia="en-US"/>
        </w:rPr>
      </w:pPr>
      <w:r w:rsidRPr="00E37551">
        <w:rPr>
          <w:rFonts w:ascii="Arial" w:hAnsi="Arial" w:cs="Arial"/>
          <w:sz w:val="22"/>
          <w:szCs w:val="22"/>
        </w:rPr>
        <w:t xml:space="preserve">The ATO will continue to work with the operators of EDPs that have reporting obligations under the </w:t>
      </w:r>
      <w:r w:rsidR="00310CD8" w:rsidRPr="00E37551">
        <w:rPr>
          <w:rFonts w:ascii="Arial" w:hAnsi="Arial" w:cs="Arial"/>
          <w:sz w:val="22"/>
          <w:szCs w:val="22"/>
        </w:rPr>
        <w:t>SERR</w:t>
      </w:r>
      <w:r w:rsidRPr="00E37551">
        <w:rPr>
          <w:rFonts w:ascii="Arial" w:hAnsi="Arial" w:cs="Arial"/>
          <w:sz w:val="22"/>
          <w:szCs w:val="22"/>
        </w:rPr>
        <w:t xml:space="preserve"> to help them understand and manage their reporting obligations.</w:t>
      </w:r>
    </w:p>
    <w:p w14:paraId="78A7E339" w14:textId="77777777" w:rsidR="00FD0AF2" w:rsidRPr="00E37551" w:rsidRDefault="00FD0AF2" w:rsidP="00E37551">
      <w:pPr>
        <w:spacing w:after="120"/>
        <w:rPr>
          <w:rFonts w:ascii="Arial" w:hAnsi="Arial" w:cs="Arial"/>
          <w:sz w:val="22"/>
          <w:szCs w:val="22"/>
        </w:rPr>
      </w:pPr>
    </w:p>
    <w:p w14:paraId="15AC1B77" w14:textId="77777777" w:rsidR="00486653" w:rsidRPr="00E37551" w:rsidRDefault="00E10B37" w:rsidP="00E37551">
      <w:pPr>
        <w:pStyle w:val="Heading2"/>
      </w:pPr>
      <w:r w:rsidRPr="00E37551">
        <w:t>Consultation</w:t>
      </w:r>
    </w:p>
    <w:p w14:paraId="16A8999E" w14:textId="3C3A2DC1" w:rsidR="00C15628" w:rsidRPr="00E37551" w:rsidRDefault="00C15628" w:rsidP="00E37551">
      <w:pPr>
        <w:numPr>
          <w:ilvl w:val="0"/>
          <w:numId w:val="1"/>
        </w:numPr>
        <w:tabs>
          <w:tab w:val="clear" w:pos="360"/>
        </w:tabs>
        <w:spacing w:after="120"/>
        <w:ind w:left="0" w:firstLine="0"/>
        <w:rPr>
          <w:rFonts w:ascii="Arial" w:hAnsi="Arial" w:cs="Arial"/>
          <w:sz w:val="22"/>
          <w:szCs w:val="22"/>
        </w:rPr>
      </w:pPr>
      <w:r w:rsidRPr="00E37551">
        <w:rPr>
          <w:rFonts w:ascii="Arial" w:hAnsi="Arial" w:cs="Arial"/>
          <w:sz w:val="22"/>
          <w:szCs w:val="22"/>
        </w:rPr>
        <w:t>For this instrument, broad public consultation was undertaken for a period of 4 weeks</w:t>
      </w:r>
      <w:bookmarkStart w:id="5" w:name="_Hlk148450262"/>
      <w:r w:rsidR="00462BE7" w:rsidRPr="00E37551">
        <w:rPr>
          <w:rFonts w:ascii="Arial" w:hAnsi="Arial" w:cs="Arial"/>
          <w:sz w:val="22"/>
          <w:szCs w:val="22"/>
        </w:rPr>
        <w:t xml:space="preserve"> to 12</w:t>
      </w:r>
      <w:r w:rsidR="00E37551">
        <w:rPr>
          <w:rFonts w:ascii="Arial" w:hAnsi="Arial" w:cs="Arial"/>
          <w:sz w:val="22"/>
          <w:szCs w:val="22"/>
        </w:rPr>
        <w:t> </w:t>
      </w:r>
      <w:r w:rsidR="00462BE7" w:rsidRPr="00E37551">
        <w:rPr>
          <w:rFonts w:ascii="Arial" w:hAnsi="Arial" w:cs="Arial"/>
          <w:sz w:val="22"/>
          <w:szCs w:val="22"/>
        </w:rPr>
        <w:t>September 2023</w:t>
      </w:r>
      <w:bookmarkEnd w:id="5"/>
      <w:r w:rsidRPr="00E37551">
        <w:rPr>
          <w:rFonts w:ascii="Arial" w:hAnsi="Arial" w:cs="Arial"/>
          <w:sz w:val="22"/>
          <w:szCs w:val="22"/>
        </w:rPr>
        <w:t>.</w:t>
      </w:r>
    </w:p>
    <w:p w14:paraId="2AD80824" w14:textId="77777777" w:rsidR="00E37551" w:rsidRPr="00E37551" w:rsidRDefault="00C15628" w:rsidP="00E37551">
      <w:pPr>
        <w:numPr>
          <w:ilvl w:val="0"/>
          <w:numId w:val="1"/>
        </w:numPr>
        <w:tabs>
          <w:tab w:val="clear" w:pos="360"/>
        </w:tabs>
        <w:spacing w:after="120"/>
        <w:ind w:left="0" w:firstLine="0"/>
        <w:rPr>
          <w:rFonts w:ascii="Arial" w:hAnsi="Arial" w:cs="Arial"/>
          <w:sz w:val="22"/>
          <w:szCs w:val="22"/>
        </w:rPr>
      </w:pPr>
      <w:r w:rsidRPr="00E37551">
        <w:rPr>
          <w:rFonts w:ascii="Arial" w:hAnsi="Arial" w:cs="Arial"/>
          <w:sz w:val="22"/>
          <w:szCs w:val="22"/>
        </w:rPr>
        <w:lastRenderedPageBreak/>
        <w:t xml:space="preserve">Targeted consultation was also undertaken during this period. Copies of the draft legislative instrument and explanatory statement were sent to known operators of </w:t>
      </w:r>
      <w:r w:rsidR="00894080" w:rsidRPr="00E37551">
        <w:rPr>
          <w:rFonts w:ascii="Arial" w:hAnsi="Arial" w:cs="Arial"/>
          <w:sz w:val="22"/>
          <w:szCs w:val="22"/>
        </w:rPr>
        <w:t>EDPs</w:t>
      </w:r>
      <w:r w:rsidR="00B22317" w:rsidRPr="00E37551">
        <w:rPr>
          <w:rFonts w:ascii="Arial" w:hAnsi="Arial" w:cs="Arial"/>
          <w:sz w:val="22"/>
          <w:szCs w:val="22"/>
        </w:rPr>
        <w:t xml:space="preserve">, </w:t>
      </w:r>
      <w:r w:rsidR="00C11607" w:rsidRPr="00E37551">
        <w:rPr>
          <w:rFonts w:ascii="Arial" w:hAnsi="Arial" w:cs="Arial"/>
          <w:sz w:val="22"/>
          <w:szCs w:val="22"/>
        </w:rPr>
        <w:t xml:space="preserve">professional </w:t>
      </w:r>
      <w:r w:rsidRPr="00E37551">
        <w:rPr>
          <w:rFonts w:ascii="Arial" w:hAnsi="Arial" w:cs="Arial"/>
          <w:sz w:val="22"/>
          <w:szCs w:val="22"/>
        </w:rPr>
        <w:t>and industry bodies for comment and feedback</w:t>
      </w:r>
      <w:r w:rsidR="00347B67" w:rsidRPr="00E37551">
        <w:rPr>
          <w:rFonts w:ascii="Arial" w:hAnsi="Arial" w:cs="Arial"/>
          <w:sz w:val="22"/>
          <w:szCs w:val="22"/>
        </w:rPr>
        <w:t xml:space="preserve">. </w:t>
      </w:r>
      <w:bookmarkStart w:id="6" w:name="_Hlk149229861"/>
      <w:bookmarkStart w:id="7" w:name="_Hlk149229853"/>
      <w:r w:rsidR="00894080" w:rsidRPr="00E37551">
        <w:rPr>
          <w:rFonts w:ascii="Arial" w:hAnsi="Arial" w:cs="Arial"/>
          <w:sz w:val="22"/>
          <w:szCs w:val="22"/>
        </w:rPr>
        <w:t>One on one consultations were also held with known operators of EDPs</w:t>
      </w:r>
      <w:bookmarkEnd w:id="6"/>
      <w:r w:rsidR="00894080" w:rsidRPr="00E37551">
        <w:rPr>
          <w:rFonts w:ascii="Arial" w:hAnsi="Arial" w:cs="Arial"/>
          <w:sz w:val="22"/>
          <w:szCs w:val="22"/>
        </w:rPr>
        <w:t>.</w:t>
      </w:r>
    </w:p>
    <w:bookmarkEnd w:id="7"/>
    <w:p w14:paraId="7EB08923" w14:textId="77777777" w:rsidR="00E37551" w:rsidRPr="00E37551" w:rsidRDefault="00C0107D" w:rsidP="00E37551">
      <w:pPr>
        <w:numPr>
          <w:ilvl w:val="0"/>
          <w:numId w:val="1"/>
        </w:numPr>
        <w:tabs>
          <w:tab w:val="clear" w:pos="360"/>
        </w:tabs>
        <w:spacing w:after="120"/>
        <w:ind w:left="0" w:firstLine="0"/>
        <w:rPr>
          <w:rFonts w:ascii="Arial" w:hAnsi="Arial" w:cs="Arial"/>
          <w:sz w:val="22"/>
          <w:szCs w:val="22"/>
        </w:rPr>
      </w:pPr>
      <w:r w:rsidRPr="00E37551">
        <w:rPr>
          <w:rFonts w:ascii="Arial" w:hAnsi="Arial" w:cs="Arial"/>
          <w:sz w:val="22"/>
          <w:szCs w:val="22"/>
        </w:rPr>
        <w:t>As part of the consultation process, t</w:t>
      </w:r>
      <w:r w:rsidR="00C15628" w:rsidRPr="00E37551">
        <w:rPr>
          <w:rFonts w:ascii="Arial" w:hAnsi="Arial" w:cs="Arial"/>
          <w:sz w:val="22"/>
          <w:szCs w:val="22"/>
        </w:rPr>
        <w:t xml:space="preserve">he draft instrument and draft explanatory statement </w:t>
      </w:r>
      <w:r w:rsidR="00894080" w:rsidRPr="00E37551">
        <w:rPr>
          <w:rFonts w:ascii="Arial" w:hAnsi="Arial" w:cs="Arial"/>
          <w:sz w:val="22"/>
          <w:szCs w:val="22"/>
        </w:rPr>
        <w:t xml:space="preserve">were </w:t>
      </w:r>
      <w:r w:rsidR="00C15628" w:rsidRPr="00E37551">
        <w:rPr>
          <w:rFonts w:ascii="Arial" w:hAnsi="Arial" w:cs="Arial"/>
          <w:sz w:val="22"/>
          <w:szCs w:val="22"/>
        </w:rPr>
        <w:t>published to the ATO Legal database on the ‘What’s new’ page</w:t>
      </w:r>
      <w:r w:rsidR="00272B78" w:rsidRPr="00E37551">
        <w:rPr>
          <w:rFonts w:ascii="Arial" w:hAnsi="Arial" w:cs="Arial"/>
          <w:sz w:val="22"/>
          <w:szCs w:val="22"/>
        </w:rPr>
        <w:t xml:space="preserve">. </w:t>
      </w:r>
      <w:r w:rsidR="00894080" w:rsidRPr="00E37551">
        <w:rPr>
          <w:rFonts w:ascii="Arial" w:hAnsi="Arial" w:cs="Arial"/>
          <w:sz w:val="22"/>
          <w:szCs w:val="22"/>
        </w:rPr>
        <w:t xml:space="preserve">They were </w:t>
      </w:r>
      <w:r w:rsidR="00272B78" w:rsidRPr="00E37551">
        <w:rPr>
          <w:rFonts w:ascii="Arial" w:hAnsi="Arial" w:cs="Arial"/>
          <w:sz w:val="22"/>
          <w:szCs w:val="22"/>
        </w:rPr>
        <w:t xml:space="preserve">also </w:t>
      </w:r>
      <w:r w:rsidR="00C15628" w:rsidRPr="00E37551">
        <w:rPr>
          <w:rFonts w:ascii="Arial" w:hAnsi="Arial" w:cs="Arial"/>
          <w:sz w:val="22"/>
          <w:szCs w:val="22"/>
        </w:rPr>
        <w:t xml:space="preserve">advertised on the ato.gov.au </w:t>
      </w:r>
      <w:r w:rsidR="007E4525" w:rsidRPr="00E37551">
        <w:rPr>
          <w:rFonts w:ascii="Arial" w:hAnsi="Arial" w:cs="Arial"/>
          <w:sz w:val="22"/>
          <w:szCs w:val="22"/>
        </w:rPr>
        <w:t xml:space="preserve">website </w:t>
      </w:r>
      <w:r w:rsidR="00C15628" w:rsidRPr="00E37551">
        <w:rPr>
          <w:rFonts w:ascii="Arial" w:hAnsi="Arial" w:cs="Arial"/>
          <w:sz w:val="22"/>
          <w:szCs w:val="22"/>
        </w:rPr>
        <w:t>on</w:t>
      </w:r>
      <w:r w:rsidR="00272B78" w:rsidRPr="00E37551">
        <w:rPr>
          <w:rFonts w:ascii="Arial" w:hAnsi="Arial" w:cs="Arial"/>
          <w:sz w:val="22"/>
          <w:szCs w:val="22"/>
        </w:rPr>
        <w:t xml:space="preserve"> </w:t>
      </w:r>
      <w:r w:rsidR="00C15628" w:rsidRPr="00E37551">
        <w:rPr>
          <w:rFonts w:ascii="Arial" w:hAnsi="Arial" w:cs="Arial"/>
          <w:sz w:val="22"/>
          <w:szCs w:val="22"/>
        </w:rPr>
        <w:t>the ‘Open Consultation’ page and</w:t>
      </w:r>
      <w:r w:rsidR="00272B78" w:rsidRPr="00E37551">
        <w:rPr>
          <w:rFonts w:ascii="Arial" w:hAnsi="Arial" w:cs="Arial"/>
          <w:sz w:val="22"/>
          <w:szCs w:val="22"/>
        </w:rPr>
        <w:t xml:space="preserve"> on the ATO </w:t>
      </w:r>
      <w:r w:rsidR="00C15628" w:rsidRPr="00E37551">
        <w:rPr>
          <w:rFonts w:ascii="Arial" w:hAnsi="Arial" w:cs="Arial"/>
          <w:sz w:val="22"/>
          <w:szCs w:val="22"/>
        </w:rPr>
        <w:t>web</w:t>
      </w:r>
      <w:r w:rsidR="00272B78" w:rsidRPr="00E37551">
        <w:rPr>
          <w:rFonts w:ascii="Arial" w:hAnsi="Arial" w:cs="Arial"/>
          <w:sz w:val="22"/>
          <w:szCs w:val="22"/>
        </w:rPr>
        <w:t xml:space="preserve">page </w:t>
      </w:r>
      <w:r w:rsidR="00C15628" w:rsidRPr="00E37551">
        <w:rPr>
          <w:rFonts w:ascii="Arial" w:hAnsi="Arial" w:cs="Arial"/>
          <w:sz w:val="22"/>
          <w:szCs w:val="22"/>
        </w:rPr>
        <w:t xml:space="preserve">that provides general guidance on the </w:t>
      </w:r>
      <w:r w:rsidR="00BD4C6A" w:rsidRPr="00E37551">
        <w:rPr>
          <w:rFonts w:ascii="Arial" w:hAnsi="Arial" w:cs="Arial"/>
          <w:sz w:val="22"/>
          <w:szCs w:val="22"/>
        </w:rPr>
        <w:t>SERR</w:t>
      </w:r>
      <w:r w:rsidR="00C15628" w:rsidRPr="00E37551">
        <w:rPr>
          <w:rFonts w:ascii="Arial" w:hAnsi="Arial" w:cs="Arial"/>
          <w:sz w:val="22"/>
          <w:szCs w:val="22"/>
        </w:rPr>
        <w:t>.</w:t>
      </w:r>
    </w:p>
    <w:p w14:paraId="5C287292" w14:textId="1BE36BF0" w:rsidR="00C15628" w:rsidRPr="00E37551" w:rsidRDefault="00C15628" w:rsidP="00E37551">
      <w:pPr>
        <w:numPr>
          <w:ilvl w:val="0"/>
          <w:numId w:val="1"/>
        </w:numPr>
        <w:tabs>
          <w:tab w:val="clear" w:pos="360"/>
        </w:tabs>
        <w:spacing w:after="120"/>
        <w:ind w:left="0" w:firstLine="0"/>
        <w:rPr>
          <w:rFonts w:ascii="Arial" w:hAnsi="Arial" w:cs="Arial"/>
          <w:color w:val="000000" w:themeColor="text1"/>
          <w:sz w:val="22"/>
          <w:szCs w:val="22"/>
        </w:rPr>
      </w:pPr>
      <w:r w:rsidRPr="00E37551">
        <w:rPr>
          <w:rFonts w:ascii="Arial" w:hAnsi="Arial" w:cs="Arial"/>
          <w:sz w:val="22"/>
          <w:szCs w:val="22"/>
        </w:rPr>
        <w:t>Major tax and superannuation publishers and associations monitor these pages and include the details in the daily and weekly alerts and newsletters to their subscribers and members.</w:t>
      </w:r>
      <w:r w:rsidRPr="00E37551">
        <w:rPr>
          <w:rFonts w:ascii="Arial" w:hAnsi="Arial" w:cs="Arial"/>
          <w:color w:val="000000" w:themeColor="text1"/>
          <w:sz w:val="22"/>
          <w:szCs w:val="22"/>
        </w:rPr>
        <w:t xml:space="preserve"> </w:t>
      </w:r>
      <w:r w:rsidRPr="00E37551">
        <w:rPr>
          <w:rFonts w:ascii="Arial" w:hAnsi="Arial" w:cs="Arial"/>
          <w:color w:val="000000" w:themeColor="text1"/>
          <w:sz w:val="22"/>
          <w:szCs w:val="22"/>
        </w:rPr>
        <w:br/>
      </w:r>
    </w:p>
    <w:p w14:paraId="16C03F8E" w14:textId="02467E0A" w:rsidR="00C15628" w:rsidRPr="00E37551" w:rsidRDefault="00C15628" w:rsidP="00E37551">
      <w:pPr>
        <w:pStyle w:val="Heading3"/>
        <w:spacing w:before="0" w:after="120"/>
        <w:rPr>
          <w:i/>
          <w:iCs/>
          <w:sz w:val="22"/>
          <w:szCs w:val="22"/>
        </w:rPr>
      </w:pPr>
      <w:r w:rsidRPr="00E37551">
        <w:rPr>
          <w:i/>
          <w:iCs/>
          <w:sz w:val="22"/>
          <w:szCs w:val="22"/>
        </w:rPr>
        <w:t>Outcome of consultation</w:t>
      </w:r>
    </w:p>
    <w:p w14:paraId="27FC4031" w14:textId="77777777" w:rsidR="00E37551" w:rsidRPr="00E37551" w:rsidRDefault="00462BE7" w:rsidP="00E37551">
      <w:pPr>
        <w:numPr>
          <w:ilvl w:val="0"/>
          <w:numId w:val="1"/>
        </w:numPr>
        <w:tabs>
          <w:tab w:val="clear" w:pos="360"/>
        </w:tabs>
        <w:spacing w:after="120"/>
        <w:ind w:left="0" w:firstLine="0"/>
        <w:rPr>
          <w:rFonts w:ascii="Arial" w:hAnsi="Arial" w:cs="Arial"/>
          <w:sz w:val="22"/>
          <w:szCs w:val="22"/>
        </w:rPr>
      </w:pPr>
      <w:r w:rsidRPr="00E37551">
        <w:rPr>
          <w:rFonts w:ascii="Arial" w:hAnsi="Arial" w:cs="Arial"/>
          <w:sz w:val="22"/>
          <w:szCs w:val="22"/>
        </w:rPr>
        <w:t xml:space="preserve">Changes were made to the draft instrument following consultation, including </w:t>
      </w:r>
      <w:proofErr w:type="gramStart"/>
      <w:r w:rsidRPr="00E37551">
        <w:rPr>
          <w:rFonts w:ascii="Arial" w:hAnsi="Arial" w:cs="Arial"/>
          <w:sz w:val="22"/>
          <w:szCs w:val="22"/>
        </w:rPr>
        <w:t>as a result of</w:t>
      </w:r>
      <w:proofErr w:type="gramEnd"/>
      <w:r w:rsidRPr="00E37551">
        <w:rPr>
          <w:rFonts w:ascii="Arial" w:hAnsi="Arial" w:cs="Arial"/>
          <w:sz w:val="22"/>
          <w:szCs w:val="22"/>
        </w:rPr>
        <w:t xml:space="preserve"> feedback received on the legislative instrument and the explanatory statement. The changes were intended to improve the language and clarity of the instrument and explanatory statement.</w:t>
      </w:r>
    </w:p>
    <w:p w14:paraId="20265FB8" w14:textId="5589F155" w:rsidR="00910595" w:rsidRPr="00E37551" w:rsidRDefault="00910595" w:rsidP="00E37551">
      <w:pPr>
        <w:spacing w:after="120"/>
        <w:rPr>
          <w:rFonts w:ascii="Arial" w:hAnsi="Arial" w:cs="Arial"/>
          <w:sz w:val="22"/>
          <w:szCs w:val="22"/>
        </w:rPr>
      </w:pPr>
    </w:p>
    <w:p w14:paraId="69FE8C27" w14:textId="77777777" w:rsidR="009371D0" w:rsidRPr="00E37551" w:rsidRDefault="007E0A01" w:rsidP="00E37551">
      <w:pPr>
        <w:pStyle w:val="Heading3"/>
        <w:spacing w:before="0"/>
        <w:rPr>
          <w:i/>
          <w:sz w:val="20"/>
          <w:szCs w:val="20"/>
        </w:rPr>
      </w:pPr>
      <w:r w:rsidRPr="00E37551">
        <w:rPr>
          <w:i/>
          <w:sz w:val="20"/>
          <w:szCs w:val="20"/>
        </w:rPr>
        <w:t>Legislative references</w:t>
      </w:r>
    </w:p>
    <w:p w14:paraId="5D07B8B2" w14:textId="77777777" w:rsidR="00555197" w:rsidRPr="00E37551" w:rsidRDefault="00555197" w:rsidP="00E37551">
      <w:pPr>
        <w:rPr>
          <w:rFonts w:ascii="Arial" w:hAnsi="Arial" w:cs="Arial"/>
          <w:i/>
          <w:iCs/>
          <w:sz w:val="20"/>
        </w:rPr>
      </w:pPr>
      <w:r w:rsidRPr="00E37551">
        <w:rPr>
          <w:rFonts w:ascii="Arial" w:hAnsi="Arial" w:cs="Arial"/>
          <w:i/>
          <w:iCs/>
          <w:sz w:val="20"/>
        </w:rPr>
        <w:t>A New Tax System (Goods and Services Tax) Act 1999</w:t>
      </w:r>
    </w:p>
    <w:p w14:paraId="0C4574AF" w14:textId="77777777" w:rsidR="00555197" w:rsidRPr="00E37551" w:rsidRDefault="00555197" w:rsidP="00E37551">
      <w:pPr>
        <w:rPr>
          <w:rFonts w:ascii="Arial" w:hAnsi="Arial" w:cs="Arial"/>
          <w:i/>
          <w:iCs/>
          <w:sz w:val="20"/>
        </w:rPr>
      </w:pPr>
      <w:r w:rsidRPr="00E37551">
        <w:rPr>
          <w:rFonts w:ascii="Arial" w:hAnsi="Arial" w:cs="Arial"/>
          <w:i/>
          <w:iCs/>
          <w:sz w:val="20"/>
        </w:rPr>
        <w:t>Acts Interpretation Act 1901</w:t>
      </w:r>
    </w:p>
    <w:p w14:paraId="5F9A2641" w14:textId="77777777" w:rsidR="00555197" w:rsidRPr="00E37551" w:rsidRDefault="00555197" w:rsidP="00E37551">
      <w:pPr>
        <w:rPr>
          <w:rFonts w:ascii="Arial" w:hAnsi="Arial" w:cs="Arial"/>
          <w:i/>
          <w:iCs/>
          <w:sz w:val="20"/>
        </w:rPr>
      </w:pPr>
      <w:r w:rsidRPr="00E37551">
        <w:rPr>
          <w:rFonts w:ascii="Arial" w:hAnsi="Arial" w:cs="Arial"/>
          <w:i/>
          <w:iCs/>
          <w:sz w:val="20"/>
        </w:rPr>
        <w:t>Human Rights (Parliamentary Scrutiny) Act 2011</w:t>
      </w:r>
    </w:p>
    <w:p w14:paraId="37BA6CCC" w14:textId="77777777" w:rsidR="00555197" w:rsidRPr="00E37551" w:rsidRDefault="00555197" w:rsidP="00E37551">
      <w:pPr>
        <w:rPr>
          <w:rFonts w:ascii="Arial" w:hAnsi="Arial" w:cs="Arial"/>
          <w:i/>
          <w:iCs/>
          <w:sz w:val="20"/>
        </w:rPr>
      </w:pPr>
      <w:r w:rsidRPr="00E37551">
        <w:rPr>
          <w:rFonts w:ascii="Arial" w:hAnsi="Arial" w:cs="Arial"/>
          <w:i/>
          <w:iCs/>
          <w:sz w:val="20"/>
        </w:rPr>
        <w:t>Legislation Act 2003</w:t>
      </w:r>
    </w:p>
    <w:p w14:paraId="05EC9824" w14:textId="77777777" w:rsidR="00555197" w:rsidRPr="00E37551" w:rsidRDefault="00555197" w:rsidP="00E37551">
      <w:pPr>
        <w:rPr>
          <w:rFonts w:ascii="Arial" w:hAnsi="Arial" w:cs="Arial"/>
          <w:i/>
          <w:iCs/>
          <w:sz w:val="20"/>
        </w:rPr>
      </w:pPr>
      <w:r w:rsidRPr="00E37551">
        <w:rPr>
          <w:rFonts w:ascii="Arial" w:hAnsi="Arial" w:cs="Arial"/>
          <w:i/>
          <w:iCs/>
          <w:sz w:val="20"/>
        </w:rPr>
        <w:t>Taxation Administration Act 1953</w:t>
      </w:r>
    </w:p>
    <w:p w14:paraId="15AC1BA5" w14:textId="7AA8952E" w:rsidR="00333567" w:rsidRPr="00E37551" w:rsidRDefault="00333567" w:rsidP="00E37551">
      <w:pPr>
        <w:spacing w:after="120"/>
        <w:rPr>
          <w:rFonts w:ascii="Arial" w:hAnsi="Arial" w:cs="Arial"/>
          <w:sz w:val="22"/>
          <w:szCs w:val="22"/>
        </w:rPr>
      </w:pPr>
    </w:p>
    <w:p w14:paraId="15AC1BA6" w14:textId="071C8BC4" w:rsidR="00101CD5" w:rsidRPr="00E37551" w:rsidRDefault="00101CD5" w:rsidP="00E37551">
      <w:pPr>
        <w:spacing w:after="120"/>
        <w:rPr>
          <w:rFonts w:ascii="Arial" w:hAnsi="Arial" w:cs="Arial"/>
          <w:sz w:val="22"/>
          <w:szCs w:val="22"/>
        </w:rPr>
      </w:pPr>
      <w:r w:rsidRPr="00E37551">
        <w:rPr>
          <w:rFonts w:ascii="Arial" w:hAnsi="Arial" w:cs="Arial"/>
          <w:sz w:val="22"/>
          <w:szCs w:val="22"/>
        </w:rPr>
        <w:br w:type="page"/>
      </w:r>
    </w:p>
    <w:p w14:paraId="44E6E964" w14:textId="77777777" w:rsidR="00384640" w:rsidRPr="00E37551" w:rsidRDefault="00384640" w:rsidP="00E37551">
      <w:pPr>
        <w:pStyle w:val="Heading3"/>
        <w:spacing w:before="0" w:after="120"/>
        <w:jc w:val="center"/>
        <w:rPr>
          <w:sz w:val="22"/>
          <w:szCs w:val="22"/>
        </w:rPr>
      </w:pPr>
      <w:r w:rsidRPr="00E37551">
        <w:rPr>
          <w:sz w:val="22"/>
          <w:szCs w:val="22"/>
        </w:rPr>
        <w:lastRenderedPageBreak/>
        <w:t>Statement of compatibility with Human Rights</w:t>
      </w:r>
    </w:p>
    <w:p w14:paraId="69947F36" w14:textId="77777777" w:rsidR="00384640" w:rsidRPr="00E37551" w:rsidRDefault="00384640" w:rsidP="00E37551">
      <w:pPr>
        <w:spacing w:after="120"/>
        <w:rPr>
          <w:rFonts w:ascii="Arial" w:hAnsi="Arial" w:cs="Arial"/>
          <w:sz w:val="22"/>
          <w:szCs w:val="22"/>
        </w:rPr>
      </w:pPr>
      <w:r w:rsidRPr="00E37551">
        <w:rPr>
          <w:rFonts w:ascii="Arial" w:hAnsi="Arial" w:cs="Arial"/>
          <w:sz w:val="22"/>
          <w:szCs w:val="22"/>
        </w:rPr>
        <w:t xml:space="preserve">Prepared in accordance with Part 3 of the </w:t>
      </w:r>
      <w:r w:rsidRPr="00E37551">
        <w:rPr>
          <w:rFonts w:ascii="Arial" w:hAnsi="Arial" w:cs="Arial"/>
          <w:i/>
          <w:iCs/>
          <w:sz w:val="22"/>
          <w:szCs w:val="22"/>
        </w:rPr>
        <w:t>Human Rights (Parliamentary Scrutiny) Act 2011</w:t>
      </w:r>
    </w:p>
    <w:p w14:paraId="00E12B50" w14:textId="77777777" w:rsidR="00384640" w:rsidRPr="00E37551" w:rsidRDefault="00384640" w:rsidP="00E37551">
      <w:pPr>
        <w:spacing w:after="120"/>
        <w:rPr>
          <w:rFonts w:ascii="Arial" w:hAnsi="Arial" w:cs="Arial"/>
          <w:sz w:val="22"/>
          <w:szCs w:val="22"/>
        </w:rPr>
      </w:pPr>
    </w:p>
    <w:p w14:paraId="594756BB" w14:textId="77777777" w:rsidR="00384640" w:rsidRPr="00E37551" w:rsidRDefault="00384640" w:rsidP="00E37551">
      <w:pPr>
        <w:pStyle w:val="Heading2"/>
        <w:jc w:val="center"/>
      </w:pPr>
      <w:bookmarkStart w:id="8" w:name="_Hlk149229949"/>
      <w:r w:rsidRPr="00E37551">
        <w:t xml:space="preserve">Taxation Administration (Reporting Exemptions for Electronic Distribution Platform Operators – Relevant Accommodation and Taxi Travel) Determination </w:t>
      </w:r>
      <w:bookmarkEnd w:id="8"/>
      <w:r w:rsidRPr="00E37551">
        <w:t>2023</w:t>
      </w:r>
    </w:p>
    <w:p w14:paraId="20D72665" w14:textId="77777777" w:rsidR="00384640" w:rsidRPr="00E37551" w:rsidRDefault="00384640" w:rsidP="00E37551">
      <w:pPr>
        <w:autoSpaceDE w:val="0"/>
        <w:autoSpaceDN w:val="0"/>
        <w:adjustRightInd w:val="0"/>
        <w:spacing w:after="120"/>
        <w:rPr>
          <w:rFonts w:ascii="Arial" w:hAnsi="Arial" w:cs="Arial"/>
          <w:sz w:val="22"/>
          <w:szCs w:val="22"/>
        </w:rPr>
      </w:pPr>
      <w:r w:rsidRPr="00E37551">
        <w:rPr>
          <w:rFonts w:ascii="Arial" w:hAnsi="Arial" w:cs="Arial"/>
          <w:sz w:val="22"/>
          <w:szCs w:val="22"/>
        </w:rPr>
        <w:t xml:space="preserve">This legislative instrument is compatible with the human rights and freedoms recognised or declared in the international instruments listed in section 3 of the </w:t>
      </w:r>
      <w:r w:rsidRPr="00E37551">
        <w:rPr>
          <w:rFonts w:ascii="Arial" w:hAnsi="Arial" w:cs="Arial"/>
          <w:i/>
          <w:sz w:val="22"/>
          <w:szCs w:val="22"/>
        </w:rPr>
        <w:t>Human Rights (Parliamentary Scrutiny) Act 2011.</w:t>
      </w:r>
    </w:p>
    <w:p w14:paraId="78E8A331" w14:textId="77777777" w:rsidR="00384640" w:rsidRPr="00E37551" w:rsidRDefault="00384640" w:rsidP="00E37551">
      <w:pPr>
        <w:spacing w:after="120"/>
        <w:rPr>
          <w:rFonts w:ascii="Arial" w:hAnsi="Arial" w:cs="Arial"/>
          <w:sz w:val="22"/>
          <w:szCs w:val="22"/>
        </w:rPr>
      </w:pPr>
    </w:p>
    <w:p w14:paraId="0FC978FA" w14:textId="77777777" w:rsidR="00384640" w:rsidRPr="00E37551" w:rsidRDefault="00384640" w:rsidP="00E37551">
      <w:pPr>
        <w:pStyle w:val="Heading2"/>
      </w:pPr>
      <w:r w:rsidRPr="00E37551">
        <w:t>Overview of the legislative instrument</w:t>
      </w:r>
    </w:p>
    <w:p w14:paraId="3F32D122" w14:textId="77777777" w:rsidR="00384640" w:rsidRPr="00E37551" w:rsidRDefault="00384640" w:rsidP="00E37551">
      <w:pPr>
        <w:spacing w:after="120"/>
        <w:rPr>
          <w:rFonts w:ascii="Arial" w:hAnsi="Arial" w:cs="Arial"/>
          <w:sz w:val="22"/>
          <w:szCs w:val="22"/>
        </w:rPr>
      </w:pPr>
      <w:r w:rsidRPr="00E37551">
        <w:rPr>
          <w:rFonts w:ascii="Arial" w:hAnsi="Arial" w:cs="Arial"/>
          <w:sz w:val="22"/>
          <w:szCs w:val="22"/>
        </w:rPr>
        <w:t xml:space="preserve">This legislative instrument exempts operators of electronic distribution platforms from having to include specified classes of transactions in reports required to be prepared and given to the Commissioner of Taxation under the sharing economy reporting regime in the </w:t>
      </w:r>
      <w:r w:rsidRPr="00E37551">
        <w:rPr>
          <w:rFonts w:ascii="Arial" w:hAnsi="Arial" w:cs="Arial"/>
          <w:i/>
          <w:iCs/>
          <w:sz w:val="22"/>
          <w:szCs w:val="22"/>
        </w:rPr>
        <w:t>Taxation Administration Act 1953</w:t>
      </w:r>
      <w:r w:rsidRPr="00E37551">
        <w:rPr>
          <w:rFonts w:ascii="Arial" w:hAnsi="Arial" w:cs="Arial"/>
          <w:sz w:val="22"/>
          <w:szCs w:val="22"/>
        </w:rPr>
        <w:t>.</w:t>
      </w:r>
    </w:p>
    <w:p w14:paraId="1B8DD5AD" w14:textId="77777777" w:rsidR="00384640" w:rsidRPr="00E37551" w:rsidRDefault="00384640" w:rsidP="00E37551">
      <w:pPr>
        <w:spacing w:after="120"/>
        <w:rPr>
          <w:rFonts w:ascii="Arial" w:hAnsi="Arial" w:cs="Arial"/>
          <w:sz w:val="22"/>
          <w:szCs w:val="22"/>
        </w:rPr>
      </w:pPr>
      <w:r w:rsidRPr="00E37551">
        <w:rPr>
          <w:rFonts w:ascii="Arial" w:hAnsi="Arial" w:cs="Arial"/>
          <w:sz w:val="22"/>
          <w:szCs w:val="22"/>
        </w:rPr>
        <w:t>Transactions are exempted from the regime to reduce the compliance cost for reporting operators where those transactions are made through multiple platforms and will already be reported by other reporting operators who transact directly with a supplier, or where there is a low risk to the broader taxation revenue base.</w:t>
      </w:r>
    </w:p>
    <w:p w14:paraId="2B4B1CE6" w14:textId="77777777" w:rsidR="00384640" w:rsidRPr="00E37551" w:rsidRDefault="00384640" w:rsidP="00E37551">
      <w:pPr>
        <w:spacing w:after="120"/>
        <w:rPr>
          <w:rFonts w:ascii="Arial" w:hAnsi="Arial" w:cs="Arial"/>
          <w:sz w:val="22"/>
          <w:szCs w:val="22"/>
        </w:rPr>
      </w:pPr>
    </w:p>
    <w:p w14:paraId="7BA06F3B" w14:textId="77777777" w:rsidR="00384640" w:rsidRPr="00E37551" w:rsidRDefault="00384640" w:rsidP="00E37551">
      <w:pPr>
        <w:pStyle w:val="Heading2"/>
      </w:pPr>
      <w:r w:rsidRPr="00E37551">
        <w:t>Human rights implications</w:t>
      </w:r>
    </w:p>
    <w:p w14:paraId="54D815CE" w14:textId="77777777" w:rsidR="00384640" w:rsidRPr="00E37551" w:rsidRDefault="00384640" w:rsidP="00E37551">
      <w:pPr>
        <w:spacing w:after="120"/>
        <w:rPr>
          <w:rFonts w:ascii="Arial" w:hAnsi="Arial" w:cs="Arial"/>
          <w:sz w:val="22"/>
          <w:szCs w:val="22"/>
        </w:rPr>
      </w:pPr>
      <w:r w:rsidRPr="00E37551">
        <w:rPr>
          <w:rFonts w:ascii="Arial" w:hAnsi="Arial" w:cs="Arial"/>
          <w:sz w:val="22"/>
          <w:szCs w:val="22"/>
        </w:rPr>
        <w:t>This legislative instrument does not engage any of the applicable rights or freedoms and merely provides relief from reporting requirements for specified transactions.</w:t>
      </w:r>
    </w:p>
    <w:p w14:paraId="00C964EB" w14:textId="77777777" w:rsidR="00384640" w:rsidRPr="00E37551" w:rsidRDefault="00384640" w:rsidP="00E37551">
      <w:pPr>
        <w:spacing w:after="120"/>
        <w:rPr>
          <w:rFonts w:ascii="Arial" w:hAnsi="Arial" w:cs="Arial"/>
          <w:bCs/>
          <w:sz w:val="22"/>
          <w:szCs w:val="22"/>
        </w:rPr>
      </w:pPr>
    </w:p>
    <w:p w14:paraId="4931401F" w14:textId="77777777" w:rsidR="00384640" w:rsidRPr="00E37551" w:rsidRDefault="00384640" w:rsidP="00E37551">
      <w:pPr>
        <w:pStyle w:val="Heading2"/>
      </w:pPr>
      <w:r w:rsidRPr="00E37551">
        <w:t>Conclusion</w:t>
      </w:r>
    </w:p>
    <w:p w14:paraId="15AC1BC3" w14:textId="172A0A2D" w:rsidR="0076271C" w:rsidRPr="00E37551" w:rsidRDefault="00384640" w:rsidP="00E37551">
      <w:pPr>
        <w:spacing w:after="120"/>
        <w:rPr>
          <w:rFonts w:ascii="Arial" w:hAnsi="Arial" w:cs="Arial"/>
          <w:bCs/>
          <w:sz w:val="22"/>
          <w:szCs w:val="22"/>
        </w:rPr>
      </w:pPr>
      <w:r w:rsidRPr="00E37551">
        <w:rPr>
          <w:rFonts w:ascii="Arial" w:hAnsi="Arial" w:cs="Arial"/>
          <w:sz w:val="22"/>
          <w:szCs w:val="22"/>
        </w:rPr>
        <w:t>This legislative instrument is compatible with human rights as it does not raise any human rights issues.</w:t>
      </w:r>
    </w:p>
    <w:sectPr w:rsidR="0076271C" w:rsidRPr="00E37551" w:rsidSect="00081520">
      <w:headerReference w:type="default" r:id="rId8"/>
      <w:headerReference w:type="first" r:id="rId9"/>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93418" w14:textId="77777777" w:rsidR="00300818" w:rsidRDefault="00300818">
      <w:r>
        <w:separator/>
      </w:r>
    </w:p>
  </w:endnote>
  <w:endnote w:type="continuationSeparator" w:id="0">
    <w:p w14:paraId="222B2269" w14:textId="77777777" w:rsidR="00300818" w:rsidRDefault="0030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D2CD" w14:textId="77777777" w:rsidR="00300818" w:rsidRDefault="00300818">
      <w:r>
        <w:separator/>
      </w:r>
    </w:p>
  </w:footnote>
  <w:footnote w:type="continuationSeparator" w:id="0">
    <w:p w14:paraId="5E8DDDF7" w14:textId="77777777" w:rsidR="00300818" w:rsidRDefault="00300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D" w14:textId="77777777" w:rsidR="00587C50" w:rsidRDefault="00587C50" w:rsidP="001828A4">
    <w:pPr>
      <w:pStyle w:val="Header"/>
      <w:tabs>
        <w:tab w:val="clear" w:pos="4153"/>
        <w:tab w:val="clear" w:pos="8306"/>
        <w:tab w:val="center" w:pos="1418"/>
        <w:tab w:val="righ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7E403F57">
          <wp:extent cx="2413635" cy="701675"/>
          <wp:effectExtent l="0" t="0" r="5715" b="3175"/>
          <wp:docPr id="3"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4162B"/>
    <w:multiLevelType w:val="hybridMultilevel"/>
    <w:tmpl w:val="5EBA9908"/>
    <w:lvl w:ilvl="0" w:tplc="4A38B6A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3FCC3903"/>
    <w:multiLevelType w:val="hybridMultilevel"/>
    <w:tmpl w:val="95F8CF9A"/>
    <w:lvl w:ilvl="0" w:tplc="AFEEC97A">
      <w:start w:val="1"/>
      <w:numFmt w:val="decimal"/>
      <w:lvlText w:val="%1."/>
      <w:lvlJc w:val="left"/>
      <w:pPr>
        <w:tabs>
          <w:tab w:val="num" w:pos="360"/>
        </w:tabs>
        <w:ind w:left="360" w:hanging="360"/>
      </w:pPr>
      <w:rPr>
        <w:rFonts w:hint="default"/>
        <w:i w:val="0"/>
        <w:iCs w:val="0"/>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51F86ECB"/>
    <w:multiLevelType w:val="multilevel"/>
    <w:tmpl w:val="462219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6651E50"/>
    <w:multiLevelType w:val="hybridMultilevel"/>
    <w:tmpl w:val="1804A878"/>
    <w:lvl w:ilvl="0" w:tplc="FFFFFFFF">
      <w:start w:val="1"/>
      <w:numFmt w:val="decimal"/>
      <w:lvlText w:val="%1."/>
      <w:lvlJc w:val="left"/>
      <w:pPr>
        <w:tabs>
          <w:tab w:val="num" w:pos="360"/>
        </w:tabs>
        <w:ind w:left="360" w:hanging="360"/>
      </w:pPr>
      <w:rPr>
        <w:rFonts w:hint="default"/>
        <w:i w:val="0"/>
        <w:iCs w:val="0"/>
        <w:color w:val="auto"/>
        <w:sz w:val="22"/>
        <w:szCs w:val="22"/>
      </w:rPr>
    </w:lvl>
    <w:lvl w:ilvl="1" w:tplc="4A38B6A0">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59815920">
    <w:abstractNumId w:val="1"/>
  </w:num>
  <w:num w:numId="2" w16cid:durableId="33043027">
    <w:abstractNumId w:val="3"/>
  </w:num>
  <w:num w:numId="3" w16cid:durableId="1684669206">
    <w:abstractNumId w:val="0"/>
  </w:num>
  <w:num w:numId="4" w16cid:durableId="50128688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17B2"/>
    <w:rsid w:val="0001796D"/>
    <w:rsid w:val="00017BF0"/>
    <w:rsid w:val="0002568B"/>
    <w:rsid w:val="0003406F"/>
    <w:rsid w:val="00035582"/>
    <w:rsid w:val="00043FA7"/>
    <w:rsid w:val="00044383"/>
    <w:rsid w:val="000552E8"/>
    <w:rsid w:val="00056585"/>
    <w:rsid w:val="0005674F"/>
    <w:rsid w:val="00056C6A"/>
    <w:rsid w:val="00062D30"/>
    <w:rsid w:val="00065C6E"/>
    <w:rsid w:val="00072E6E"/>
    <w:rsid w:val="00073F1B"/>
    <w:rsid w:val="00075B58"/>
    <w:rsid w:val="00081520"/>
    <w:rsid w:val="000B0224"/>
    <w:rsid w:val="000B11DD"/>
    <w:rsid w:val="000B1785"/>
    <w:rsid w:val="000C390A"/>
    <w:rsid w:val="000C77DD"/>
    <w:rsid w:val="000C7EAE"/>
    <w:rsid w:val="000E295B"/>
    <w:rsid w:val="000E45A0"/>
    <w:rsid w:val="000F2BF3"/>
    <w:rsid w:val="000F38CF"/>
    <w:rsid w:val="00101CD5"/>
    <w:rsid w:val="00105140"/>
    <w:rsid w:val="00107460"/>
    <w:rsid w:val="0010790B"/>
    <w:rsid w:val="00112415"/>
    <w:rsid w:val="00133334"/>
    <w:rsid w:val="0013678D"/>
    <w:rsid w:val="00140A34"/>
    <w:rsid w:val="00145A3D"/>
    <w:rsid w:val="00146ED8"/>
    <w:rsid w:val="00167202"/>
    <w:rsid w:val="00171B90"/>
    <w:rsid w:val="001828A4"/>
    <w:rsid w:val="001831B5"/>
    <w:rsid w:val="0018391F"/>
    <w:rsid w:val="00183936"/>
    <w:rsid w:val="0019299A"/>
    <w:rsid w:val="00192A38"/>
    <w:rsid w:val="00195A8A"/>
    <w:rsid w:val="001A3BE2"/>
    <w:rsid w:val="001C0C3F"/>
    <w:rsid w:val="001C35E7"/>
    <w:rsid w:val="001C4578"/>
    <w:rsid w:val="001C69F4"/>
    <w:rsid w:val="001D02E6"/>
    <w:rsid w:val="001E2221"/>
    <w:rsid w:val="001F0184"/>
    <w:rsid w:val="001F28A6"/>
    <w:rsid w:val="001F2A16"/>
    <w:rsid w:val="001F6921"/>
    <w:rsid w:val="001F7C3E"/>
    <w:rsid w:val="00201969"/>
    <w:rsid w:val="0021222C"/>
    <w:rsid w:val="00212B23"/>
    <w:rsid w:val="00213FA5"/>
    <w:rsid w:val="0021496E"/>
    <w:rsid w:val="00222AFB"/>
    <w:rsid w:val="00227EF3"/>
    <w:rsid w:val="0023733A"/>
    <w:rsid w:val="0024044F"/>
    <w:rsid w:val="00240CFB"/>
    <w:rsid w:val="00245D00"/>
    <w:rsid w:val="00254A22"/>
    <w:rsid w:val="00257F2D"/>
    <w:rsid w:val="00262F9F"/>
    <w:rsid w:val="00266D2D"/>
    <w:rsid w:val="00272B78"/>
    <w:rsid w:val="0027331F"/>
    <w:rsid w:val="0027607D"/>
    <w:rsid w:val="00277A77"/>
    <w:rsid w:val="00285E76"/>
    <w:rsid w:val="002949C3"/>
    <w:rsid w:val="002A10A4"/>
    <w:rsid w:val="002A26FE"/>
    <w:rsid w:val="002A5A18"/>
    <w:rsid w:val="002B1423"/>
    <w:rsid w:val="002F1257"/>
    <w:rsid w:val="00300818"/>
    <w:rsid w:val="00301013"/>
    <w:rsid w:val="00310C61"/>
    <w:rsid w:val="00310CD8"/>
    <w:rsid w:val="003171B3"/>
    <w:rsid w:val="0032559D"/>
    <w:rsid w:val="00331616"/>
    <w:rsid w:val="00333567"/>
    <w:rsid w:val="00344575"/>
    <w:rsid w:val="00346E25"/>
    <w:rsid w:val="00347B67"/>
    <w:rsid w:val="0035113C"/>
    <w:rsid w:val="003531DD"/>
    <w:rsid w:val="00354525"/>
    <w:rsid w:val="003552BA"/>
    <w:rsid w:val="00374385"/>
    <w:rsid w:val="00380CC4"/>
    <w:rsid w:val="00383BDE"/>
    <w:rsid w:val="00384640"/>
    <w:rsid w:val="00386318"/>
    <w:rsid w:val="003A10BC"/>
    <w:rsid w:val="003B1A3B"/>
    <w:rsid w:val="003B547B"/>
    <w:rsid w:val="003C0686"/>
    <w:rsid w:val="003C7158"/>
    <w:rsid w:val="003C725C"/>
    <w:rsid w:val="003D08CF"/>
    <w:rsid w:val="003D0CBA"/>
    <w:rsid w:val="003D0F6A"/>
    <w:rsid w:val="003D221D"/>
    <w:rsid w:val="003D4BA8"/>
    <w:rsid w:val="003E5269"/>
    <w:rsid w:val="003F53C9"/>
    <w:rsid w:val="00405394"/>
    <w:rsid w:val="004066E4"/>
    <w:rsid w:val="0040680B"/>
    <w:rsid w:val="00406E50"/>
    <w:rsid w:val="00407361"/>
    <w:rsid w:val="00417C55"/>
    <w:rsid w:val="0042470A"/>
    <w:rsid w:val="00424A7B"/>
    <w:rsid w:val="004447C1"/>
    <w:rsid w:val="00446AA8"/>
    <w:rsid w:val="0045590D"/>
    <w:rsid w:val="0046211F"/>
    <w:rsid w:val="00462BE7"/>
    <w:rsid w:val="0046787B"/>
    <w:rsid w:val="00472DB2"/>
    <w:rsid w:val="00486653"/>
    <w:rsid w:val="00493CA7"/>
    <w:rsid w:val="004A5FDA"/>
    <w:rsid w:val="004D098C"/>
    <w:rsid w:val="004D1057"/>
    <w:rsid w:val="004D24A9"/>
    <w:rsid w:val="004D3644"/>
    <w:rsid w:val="004D41FE"/>
    <w:rsid w:val="004D6FE1"/>
    <w:rsid w:val="004D7B46"/>
    <w:rsid w:val="004E5357"/>
    <w:rsid w:val="004F4A07"/>
    <w:rsid w:val="004F5EB1"/>
    <w:rsid w:val="004F6887"/>
    <w:rsid w:val="005004C4"/>
    <w:rsid w:val="005030AD"/>
    <w:rsid w:val="0051249C"/>
    <w:rsid w:val="005176E7"/>
    <w:rsid w:val="00520330"/>
    <w:rsid w:val="00524B6B"/>
    <w:rsid w:val="00526403"/>
    <w:rsid w:val="00527053"/>
    <w:rsid w:val="00534FB5"/>
    <w:rsid w:val="005402E3"/>
    <w:rsid w:val="005413EE"/>
    <w:rsid w:val="00555197"/>
    <w:rsid w:val="00561C55"/>
    <w:rsid w:val="005728CE"/>
    <w:rsid w:val="00586954"/>
    <w:rsid w:val="00587443"/>
    <w:rsid w:val="00587C50"/>
    <w:rsid w:val="005917F3"/>
    <w:rsid w:val="005A2698"/>
    <w:rsid w:val="005B0ACD"/>
    <w:rsid w:val="005B0D7F"/>
    <w:rsid w:val="005B50A2"/>
    <w:rsid w:val="005C3408"/>
    <w:rsid w:val="005D1EE0"/>
    <w:rsid w:val="005D3CEE"/>
    <w:rsid w:val="005D611B"/>
    <w:rsid w:val="005E3F20"/>
    <w:rsid w:val="005F1ACE"/>
    <w:rsid w:val="005F256D"/>
    <w:rsid w:val="005F486A"/>
    <w:rsid w:val="0060183A"/>
    <w:rsid w:val="00603110"/>
    <w:rsid w:val="00611C8E"/>
    <w:rsid w:val="00624954"/>
    <w:rsid w:val="006302F7"/>
    <w:rsid w:val="00631F30"/>
    <w:rsid w:val="0063348F"/>
    <w:rsid w:val="00633CF8"/>
    <w:rsid w:val="00640CC2"/>
    <w:rsid w:val="00642420"/>
    <w:rsid w:val="00646158"/>
    <w:rsid w:val="006513F4"/>
    <w:rsid w:val="00661ECB"/>
    <w:rsid w:val="0066622C"/>
    <w:rsid w:val="00666487"/>
    <w:rsid w:val="00671070"/>
    <w:rsid w:val="00673B37"/>
    <w:rsid w:val="006819B3"/>
    <w:rsid w:val="00687AEE"/>
    <w:rsid w:val="006945EA"/>
    <w:rsid w:val="00694B96"/>
    <w:rsid w:val="006A5540"/>
    <w:rsid w:val="006B5470"/>
    <w:rsid w:val="006B7E17"/>
    <w:rsid w:val="006C0FA7"/>
    <w:rsid w:val="006C545D"/>
    <w:rsid w:val="006D0138"/>
    <w:rsid w:val="006D6F52"/>
    <w:rsid w:val="00701718"/>
    <w:rsid w:val="00706A80"/>
    <w:rsid w:val="00710359"/>
    <w:rsid w:val="00712FFF"/>
    <w:rsid w:val="007153E1"/>
    <w:rsid w:val="00722DBF"/>
    <w:rsid w:val="00735157"/>
    <w:rsid w:val="007510D1"/>
    <w:rsid w:val="0076271C"/>
    <w:rsid w:val="00767643"/>
    <w:rsid w:val="00767CE8"/>
    <w:rsid w:val="00775490"/>
    <w:rsid w:val="00795D0C"/>
    <w:rsid w:val="00797F42"/>
    <w:rsid w:val="007A55BA"/>
    <w:rsid w:val="007C1FBD"/>
    <w:rsid w:val="007C54B3"/>
    <w:rsid w:val="007C5C8E"/>
    <w:rsid w:val="007E0A01"/>
    <w:rsid w:val="007E22F5"/>
    <w:rsid w:val="007E4525"/>
    <w:rsid w:val="007F25F3"/>
    <w:rsid w:val="007F4901"/>
    <w:rsid w:val="00823E49"/>
    <w:rsid w:val="00826DEB"/>
    <w:rsid w:val="00832A78"/>
    <w:rsid w:val="00836B02"/>
    <w:rsid w:val="008467D4"/>
    <w:rsid w:val="00850FB0"/>
    <w:rsid w:val="0085238E"/>
    <w:rsid w:val="00853428"/>
    <w:rsid w:val="00853845"/>
    <w:rsid w:val="008540EA"/>
    <w:rsid w:val="00866A00"/>
    <w:rsid w:val="008702A6"/>
    <w:rsid w:val="00873997"/>
    <w:rsid w:val="00874F7C"/>
    <w:rsid w:val="008757CE"/>
    <w:rsid w:val="0088392C"/>
    <w:rsid w:val="00894080"/>
    <w:rsid w:val="0089790F"/>
    <w:rsid w:val="00897C0E"/>
    <w:rsid w:val="00897E31"/>
    <w:rsid w:val="008A046F"/>
    <w:rsid w:val="008A405A"/>
    <w:rsid w:val="008A6A6A"/>
    <w:rsid w:val="008B2FA7"/>
    <w:rsid w:val="008B38BA"/>
    <w:rsid w:val="008B650A"/>
    <w:rsid w:val="008B756D"/>
    <w:rsid w:val="008B787C"/>
    <w:rsid w:val="008C210E"/>
    <w:rsid w:val="008C3898"/>
    <w:rsid w:val="008C66CC"/>
    <w:rsid w:val="008D76D1"/>
    <w:rsid w:val="008E0ED3"/>
    <w:rsid w:val="008E51D8"/>
    <w:rsid w:val="008F483C"/>
    <w:rsid w:val="00910595"/>
    <w:rsid w:val="00910756"/>
    <w:rsid w:val="00912D61"/>
    <w:rsid w:val="00913176"/>
    <w:rsid w:val="009156A4"/>
    <w:rsid w:val="009322D7"/>
    <w:rsid w:val="00932BDE"/>
    <w:rsid w:val="009371D0"/>
    <w:rsid w:val="00950199"/>
    <w:rsid w:val="00956336"/>
    <w:rsid w:val="00964DEF"/>
    <w:rsid w:val="00967725"/>
    <w:rsid w:val="0098195F"/>
    <w:rsid w:val="009902F8"/>
    <w:rsid w:val="00993BB8"/>
    <w:rsid w:val="0099555F"/>
    <w:rsid w:val="00996D77"/>
    <w:rsid w:val="009A22A1"/>
    <w:rsid w:val="009B3A1B"/>
    <w:rsid w:val="009B6332"/>
    <w:rsid w:val="009B6D00"/>
    <w:rsid w:val="009C0912"/>
    <w:rsid w:val="009C4020"/>
    <w:rsid w:val="009C53DA"/>
    <w:rsid w:val="009C7443"/>
    <w:rsid w:val="009D6694"/>
    <w:rsid w:val="009F0300"/>
    <w:rsid w:val="009F4132"/>
    <w:rsid w:val="00A14A94"/>
    <w:rsid w:val="00A167A8"/>
    <w:rsid w:val="00A20204"/>
    <w:rsid w:val="00A21E81"/>
    <w:rsid w:val="00A21F0A"/>
    <w:rsid w:val="00A228CF"/>
    <w:rsid w:val="00A26011"/>
    <w:rsid w:val="00A3705B"/>
    <w:rsid w:val="00A506C2"/>
    <w:rsid w:val="00A62886"/>
    <w:rsid w:val="00A74C38"/>
    <w:rsid w:val="00A77D24"/>
    <w:rsid w:val="00A82846"/>
    <w:rsid w:val="00A8572F"/>
    <w:rsid w:val="00A93C76"/>
    <w:rsid w:val="00A93E07"/>
    <w:rsid w:val="00A979CF"/>
    <w:rsid w:val="00AA4DF8"/>
    <w:rsid w:val="00AB2AC0"/>
    <w:rsid w:val="00AB780C"/>
    <w:rsid w:val="00AC2448"/>
    <w:rsid w:val="00AC57A9"/>
    <w:rsid w:val="00AD0B0B"/>
    <w:rsid w:val="00AD5ADE"/>
    <w:rsid w:val="00AE1D30"/>
    <w:rsid w:val="00AE7138"/>
    <w:rsid w:val="00AF3C0C"/>
    <w:rsid w:val="00AF4CAF"/>
    <w:rsid w:val="00B10CFC"/>
    <w:rsid w:val="00B117BA"/>
    <w:rsid w:val="00B15F23"/>
    <w:rsid w:val="00B16508"/>
    <w:rsid w:val="00B20D87"/>
    <w:rsid w:val="00B21BCC"/>
    <w:rsid w:val="00B22317"/>
    <w:rsid w:val="00B24053"/>
    <w:rsid w:val="00B2611F"/>
    <w:rsid w:val="00B31550"/>
    <w:rsid w:val="00B3215B"/>
    <w:rsid w:val="00B578AC"/>
    <w:rsid w:val="00B62F06"/>
    <w:rsid w:val="00B6433F"/>
    <w:rsid w:val="00B64CF5"/>
    <w:rsid w:val="00B6725E"/>
    <w:rsid w:val="00B67E3D"/>
    <w:rsid w:val="00B704BC"/>
    <w:rsid w:val="00B71CD1"/>
    <w:rsid w:val="00B76C9B"/>
    <w:rsid w:val="00B823A1"/>
    <w:rsid w:val="00B8428B"/>
    <w:rsid w:val="00B91DAE"/>
    <w:rsid w:val="00BA41F5"/>
    <w:rsid w:val="00BB3C9C"/>
    <w:rsid w:val="00BD2852"/>
    <w:rsid w:val="00BD4C6A"/>
    <w:rsid w:val="00BE72C7"/>
    <w:rsid w:val="00BF4822"/>
    <w:rsid w:val="00C0107D"/>
    <w:rsid w:val="00C01D22"/>
    <w:rsid w:val="00C104B6"/>
    <w:rsid w:val="00C10F02"/>
    <w:rsid w:val="00C114F4"/>
    <w:rsid w:val="00C11607"/>
    <w:rsid w:val="00C11D03"/>
    <w:rsid w:val="00C12CDE"/>
    <w:rsid w:val="00C15628"/>
    <w:rsid w:val="00C31967"/>
    <w:rsid w:val="00C346BA"/>
    <w:rsid w:val="00C34C96"/>
    <w:rsid w:val="00C371DE"/>
    <w:rsid w:val="00C409AE"/>
    <w:rsid w:val="00C4143E"/>
    <w:rsid w:val="00C42D50"/>
    <w:rsid w:val="00C50C30"/>
    <w:rsid w:val="00C54DF8"/>
    <w:rsid w:val="00C60B49"/>
    <w:rsid w:val="00C620E9"/>
    <w:rsid w:val="00C70F46"/>
    <w:rsid w:val="00C7440A"/>
    <w:rsid w:val="00C865ED"/>
    <w:rsid w:val="00C8775A"/>
    <w:rsid w:val="00CA0877"/>
    <w:rsid w:val="00CA43F4"/>
    <w:rsid w:val="00CA6B59"/>
    <w:rsid w:val="00CB3B6C"/>
    <w:rsid w:val="00CB54FF"/>
    <w:rsid w:val="00CB75F1"/>
    <w:rsid w:val="00CC1833"/>
    <w:rsid w:val="00CC189F"/>
    <w:rsid w:val="00CC3368"/>
    <w:rsid w:val="00CF19C4"/>
    <w:rsid w:val="00CF2B0A"/>
    <w:rsid w:val="00CF4231"/>
    <w:rsid w:val="00D13C04"/>
    <w:rsid w:val="00D1604A"/>
    <w:rsid w:val="00D20A78"/>
    <w:rsid w:val="00D224A2"/>
    <w:rsid w:val="00D2278E"/>
    <w:rsid w:val="00D278BA"/>
    <w:rsid w:val="00D40454"/>
    <w:rsid w:val="00D4059C"/>
    <w:rsid w:val="00D5341A"/>
    <w:rsid w:val="00D53D8F"/>
    <w:rsid w:val="00D61C76"/>
    <w:rsid w:val="00D65B99"/>
    <w:rsid w:val="00D77015"/>
    <w:rsid w:val="00D924A0"/>
    <w:rsid w:val="00D92B48"/>
    <w:rsid w:val="00DA0297"/>
    <w:rsid w:val="00DA228F"/>
    <w:rsid w:val="00DA7C32"/>
    <w:rsid w:val="00DB1693"/>
    <w:rsid w:val="00DB62FC"/>
    <w:rsid w:val="00DC3AF3"/>
    <w:rsid w:val="00DD5B07"/>
    <w:rsid w:val="00DE6821"/>
    <w:rsid w:val="00DF2022"/>
    <w:rsid w:val="00DF34BE"/>
    <w:rsid w:val="00DF5D59"/>
    <w:rsid w:val="00E0529B"/>
    <w:rsid w:val="00E10B37"/>
    <w:rsid w:val="00E20319"/>
    <w:rsid w:val="00E239E4"/>
    <w:rsid w:val="00E2546F"/>
    <w:rsid w:val="00E32C06"/>
    <w:rsid w:val="00E36A38"/>
    <w:rsid w:val="00E372E3"/>
    <w:rsid w:val="00E37551"/>
    <w:rsid w:val="00E4433C"/>
    <w:rsid w:val="00E53399"/>
    <w:rsid w:val="00E536A7"/>
    <w:rsid w:val="00E5780F"/>
    <w:rsid w:val="00E77995"/>
    <w:rsid w:val="00E81FED"/>
    <w:rsid w:val="00E85C55"/>
    <w:rsid w:val="00E87099"/>
    <w:rsid w:val="00E93DF9"/>
    <w:rsid w:val="00EA28E6"/>
    <w:rsid w:val="00EA4724"/>
    <w:rsid w:val="00EB2C7E"/>
    <w:rsid w:val="00EB4A3E"/>
    <w:rsid w:val="00EC05D3"/>
    <w:rsid w:val="00EF78C4"/>
    <w:rsid w:val="00F04CD7"/>
    <w:rsid w:val="00F05592"/>
    <w:rsid w:val="00F16EAD"/>
    <w:rsid w:val="00F23E15"/>
    <w:rsid w:val="00F244A2"/>
    <w:rsid w:val="00F31832"/>
    <w:rsid w:val="00F35064"/>
    <w:rsid w:val="00F374D8"/>
    <w:rsid w:val="00F43401"/>
    <w:rsid w:val="00F435F9"/>
    <w:rsid w:val="00F44C3E"/>
    <w:rsid w:val="00F539FB"/>
    <w:rsid w:val="00F5684D"/>
    <w:rsid w:val="00F57AB6"/>
    <w:rsid w:val="00F6480F"/>
    <w:rsid w:val="00F64868"/>
    <w:rsid w:val="00F676DD"/>
    <w:rsid w:val="00F704E0"/>
    <w:rsid w:val="00F70C2E"/>
    <w:rsid w:val="00F75482"/>
    <w:rsid w:val="00F80A18"/>
    <w:rsid w:val="00F84DF2"/>
    <w:rsid w:val="00F86713"/>
    <w:rsid w:val="00F932E0"/>
    <w:rsid w:val="00F9353C"/>
    <w:rsid w:val="00F9437B"/>
    <w:rsid w:val="00FB7701"/>
    <w:rsid w:val="00FC2251"/>
    <w:rsid w:val="00FC40F0"/>
    <w:rsid w:val="00FC6D3B"/>
    <w:rsid w:val="00FD0129"/>
    <w:rsid w:val="00FD0AF2"/>
    <w:rsid w:val="00FD6614"/>
    <w:rsid w:val="00FE17ED"/>
    <w:rsid w:val="00FE5231"/>
    <w:rsid w:val="00FE5562"/>
    <w:rsid w:val="00FE7EB8"/>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paragraph" w:styleId="Revision">
    <w:name w:val="Revision"/>
    <w:hidden/>
    <w:uiPriority w:val="99"/>
    <w:semiHidden/>
    <w:rsid w:val="006B7E1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Manager/>
  <Company/>
  <LinksUpToDate>false</LinksUpToDate>
  <CharactersWithSpaces>12350</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2023-12-04T23:13:00Z</dcterms:created>
  <dcterms:modified xsi:type="dcterms:W3CDTF">2023-12-04T23:13:00Z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0x010100C95DF525056C794DA1C8F0847EABA15F</vt:lpwstr>
  </property>
  <property fmtid="{D5CDD505-2E9C-101B-9397-08002B2CF9AE}" pid="3" name="_dlc_DocIdItemGuid">
    <vt:lpwstr>9cd1559b-6d1c-43fc-967d-14a76c932bf1</vt:lpwstr>
  </property>
  <property fmtid="{D5CDD505-2E9C-101B-9397-08002B2CF9AE}" pid="4" name="Security Classification">
    <vt:lpwstr>1;#OFFICIAL|5d128361-bbb7-4b9a-ac60-b26612a0ec1b</vt:lpwstr>
  </property>
</Properties>
</file>