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060B" w14:textId="77777777" w:rsidR="00523945" w:rsidRPr="00CB5653" w:rsidRDefault="00523945" w:rsidP="00523945">
      <w:pPr>
        <w:rPr>
          <w:sz w:val="28"/>
        </w:rPr>
      </w:pPr>
      <w:bookmarkStart w:id="0" w:name="_Hlk152341910"/>
      <w:r w:rsidRPr="00CB5653">
        <w:rPr>
          <w:noProof/>
          <w:lang w:eastAsia="en-AU"/>
        </w:rPr>
        <w:drawing>
          <wp:inline distT="0" distB="0" distL="0" distR="0" wp14:anchorId="6EC944BD" wp14:editId="3A5F043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FCBA931" w14:textId="77777777" w:rsidR="00523945" w:rsidRPr="00CB5653" w:rsidRDefault="00523945" w:rsidP="00523945">
      <w:pPr>
        <w:rPr>
          <w:sz w:val="19"/>
        </w:rPr>
      </w:pPr>
    </w:p>
    <w:p w14:paraId="6326846E" w14:textId="77777777" w:rsidR="00523945" w:rsidRPr="00CB5653" w:rsidRDefault="00523945" w:rsidP="00523945">
      <w:pPr>
        <w:pStyle w:val="ShortT"/>
      </w:pPr>
      <w:r w:rsidRPr="00CB5653">
        <w:t>Northern Australia Infrastructure Facility Investment Mandate Direction 2023</w:t>
      </w:r>
    </w:p>
    <w:p w14:paraId="57B362AD" w14:textId="77777777" w:rsidR="00523945" w:rsidRPr="00CB5653" w:rsidRDefault="00523945" w:rsidP="00523945">
      <w:pPr>
        <w:pBdr>
          <w:top w:val="single" w:sz="4" w:space="1" w:color="auto"/>
        </w:pBdr>
        <w:spacing w:before="240"/>
        <w:ind w:right="397"/>
        <w:jc w:val="both"/>
        <w:rPr>
          <w:rFonts w:cs="Times New Roman"/>
          <w:sz w:val="24"/>
          <w:szCs w:val="24"/>
        </w:rPr>
      </w:pPr>
      <w:r w:rsidRPr="00CB5653">
        <w:rPr>
          <w:rFonts w:cs="Times New Roman"/>
          <w:sz w:val="24"/>
          <w:szCs w:val="24"/>
        </w:rPr>
        <w:t xml:space="preserve">We, MADELEINE KING, Minister </w:t>
      </w:r>
      <w:bookmarkStart w:id="1" w:name="_Hlk34910430"/>
      <w:r w:rsidRPr="00CB5653">
        <w:rPr>
          <w:rFonts w:cs="Times New Roman"/>
          <w:sz w:val="24"/>
          <w:szCs w:val="24"/>
        </w:rPr>
        <w:t xml:space="preserve">for </w:t>
      </w:r>
      <w:bookmarkEnd w:id="1"/>
      <w:r w:rsidRPr="00CB5653">
        <w:rPr>
          <w:rFonts w:cs="Times New Roman"/>
          <w:sz w:val="24"/>
          <w:szCs w:val="24"/>
        </w:rPr>
        <w:t xml:space="preserve">Northern Australia, and KATY GALLAGHER, Minister for Finance, give the following Direction under subsection 9(1) of the </w:t>
      </w:r>
      <w:r w:rsidRPr="00CB5653">
        <w:rPr>
          <w:rFonts w:cs="Times New Roman"/>
          <w:i/>
          <w:sz w:val="24"/>
          <w:szCs w:val="24"/>
        </w:rPr>
        <w:t>Northern Australia Infrastructure Facility Act 2016</w:t>
      </w:r>
      <w:r w:rsidRPr="00CB5653">
        <w:rPr>
          <w:rFonts w:cs="Times New Roman"/>
          <w:sz w:val="24"/>
          <w:szCs w:val="24"/>
        </w:rPr>
        <w:t>.</w:t>
      </w:r>
    </w:p>
    <w:p w14:paraId="4D72D69D" w14:textId="77777777" w:rsidR="00B30008" w:rsidRDefault="00523945" w:rsidP="00523945">
      <w:pPr>
        <w:keepNext/>
        <w:spacing w:before="300" w:line="240" w:lineRule="atLeast"/>
        <w:ind w:right="397"/>
        <w:jc w:val="both"/>
      </w:pPr>
      <w:r w:rsidRPr="00CB5653">
        <w:t>Dated</w:t>
      </w:r>
      <w:r w:rsidRPr="00CB5653">
        <w:rPr>
          <w:szCs w:val="22"/>
        </w:rPr>
        <w:tab/>
      </w:r>
      <w:r w:rsidR="00B30008">
        <w:rPr>
          <w:szCs w:val="22"/>
        </w:rPr>
        <w:t xml:space="preserve">8 December </w:t>
      </w:r>
      <w:r w:rsidR="00B30008" w:rsidRPr="00B30008">
        <w:rPr>
          <w:strike/>
          <w:szCs w:val="22"/>
        </w:rPr>
        <w:t>2027</w:t>
      </w:r>
      <w:r w:rsidR="00B30008">
        <w:t xml:space="preserve"> 2023 MK</w:t>
      </w:r>
    </w:p>
    <w:p w14:paraId="17DD6436" w14:textId="67E81FA8" w:rsidR="00523945" w:rsidRPr="00CB5653" w:rsidRDefault="00523945" w:rsidP="00523945">
      <w:pPr>
        <w:keepNext/>
        <w:spacing w:before="300" w:line="240" w:lineRule="atLeast"/>
        <w:ind w:right="397"/>
        <w:jc w:val="both"/>
      </w:pPr>
      <w:r w:rsidRPr="00CB5653">
        <w:tab/>
      </w:r>
      <w:r w:rsidRPr="00CB5653">
        <w:tab/>
      </w:r>
      <w:r w:rsidRPr="00CB5653">
        <w:tab/>
      </w:r>
      <w:r w:rsidR="00B30008">
        <w:tab/>
        <w:t>KG</w:t>
      </w:r>
      <w:bookmarkStart w:id="2" w:name="_GoBack"/>
      <w:bookmarkEnd w:id="2"/>
    </w:p>
    <w:p w14:paraId="235A2B88" w14:textId="77777777" w:rsidR="00523945" w:rsidRPr="00CB5653" w:rsidRDefault="00523945" w:rsidP="00523945">
      <w:pPr>
        <w:spacing w:before="1080" w:line="300" w:lineRule="atLeast"/>
        <w:jc w:val="both"/>
        <w:rPr>
          <w:rFonts w:cs="Times New Roman"/>
          <w:sz w:val="24"/>
          <w:szCs w:val="24"/>
        </w:rPr>
      </w:pPr>
      <w:r w:rsidRPr="00CB5653">
        <w:rPr>
          <w:rFonts w:cs="Times New Roman"/>
          <w:sz w:val="24"/>
          <w:szCs w:val="24"/>
        </w:rPr>
        <w:t xml:space="preserve">MADELEINE KING            </w:t>
      </w:r>
      <w:r w:rsidRPr="00CB5653">
        <w:rPr>
          <w:rFonts w:cs="Times New Roman"/>
          <w:sz w:val="24"/>
          <w:szCs w:val="24"/>
        </w:rPr>
        <w:tab/>
      </w:r>
      <w:r w:rsidRPr="00CB5653">
        <w:rPr>
          <w:rFonts w:cs="Times New Roman"/>
          <w:sz w:val="24"/>
          <w:szCs w:val="24"/>
        </w:rPr>
        <w:tab/>
      </w:r>
      <w:r w:rsidRPr="00CB5653">
        <w:rPr>
          <w:rFonts w:cs="Times New Roman"/>
          <w:sz w:val="24"/>
          <w:szCs w:val="24"/>
        </w:rPr>
        <w:tab/>
      </w:r>
      <w:r w:rsidRPr="00CB5653">
        <w:rPr>
          <w:rFonts w:cs="Times New Roman"/>
          <w:sz w:val="24"/>
          <w:szCs w:val="24"/>
        </w:rPr>
        <w:tab/>
      </w:r>
      <w:r w:rsidRPr="00CB5653">
        <w:rPr>
          <w:rFonts w:cs="Times New Roman"/>
          <w:sz w:val="24"/>
          <w:szCs w:val="24"/>
        </w:rPr>
        <w:tab/>
        <w:t>KATY GALLAGHER</w:t>
      </w:r>
    </w:p>
    <w:p w14:paraId="5544D7EC" w14:textId="77777777" w:rsidR="00523945" w:rsidRPr="00CB5653" w:rsidRDefault="00523945" w:rsidP="00523945">
      <w:pPr>
        <w:spacing w:line="300" w:lineRule="atLeast"/>
        <w:jc w:val="both"/>
        <w:rPr>
          <w:rFonts w:cs="Times New Roman"/>
          <w:sz w:val="24"/>
          <w:szCs w:val="24"/>
        </w:rPr>
      </w:pPr>
      <w:r w:rsidRPr="00CB5653">
        <w:rPr>
          <w:rFonts w:cs="Times New Roman"/>
          <w:sz w:val="24"/>
          <w:szCs w:val="24"/>
        </w:rPr>
        <w:t>Minister for Northern Australia</w:t>
      </w:r>
      <w:r w:rsidRPr="00CB5653">
        <w:rPr>
          <w:rFonts w:cs="Times New Roman"/>
          <w:sz w:val="24"/>
          <w:szCs w:val="24"/>
        </w:rPr>
        <w:tab/>
      </w:r>
      <w:r w:rsidRPr="00CB5653">
        <w:rPr>
          <w:rFonts w:cs="Times New Roman"/>
          <w:sz w:val="24"/>
          <w:szCs w:val="24"/>
        </w:rPr>
        <w:tab/>
      </w:r>
      <w:r w:rsidRPr="00CB5653">
        <w:rPr>
          <w:rFonts w:cs="Times New Roman"/>
          <w:sz w:val="24"/>
          <w:szCs w:val="24"/>
        </w:rPr>
        <w:tab/>
      </w:r>
      <w:r w:rsidRPr="00CB5653">
        <w:rPr>
          <w:rFonts w:cs="Times New Roman"/>
          <w:sz w:val="24"/>
          <w:szCs w:val="24"/>
        </w:rPr>
        <w:tab/>
        <w:t>Minister for Finance</w:t>
      </w:r>
    </w:p>
    <w:p w14:paraId="4D1C5891" w14:textId="77777777" w:rsidR="00523945" w:rsidRPr="00CB5653" w:rsidRDefault="00523945" w:rsidP="00523945"/>
    <w:p w14:paraId="537E98BA" w14:textId="77777777" w:rsidR="00523945" w:rsidRPr="00CB5653" w:rsidRDefault="00523945" w:rsidP="00523945">
      <w:pPr>
        <w:sectPr w:rsidR="00523945" w:rsidRPr="00CB5653"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AB6008C" w14:textId="77777777" w:rsidR="00523945" w:rsidRPr="00CB5653" w:rsidRDefault="00523945" w:rsidP="00523945">
      <w:pPr>
        <w:outlineLvl w:val="0"/>
        <w:rPr>
          <w:sz w:val="36"/>
        </w:rPr>
      </w:pPr>
      <w:r w:rsidRPr="00CB5653">
        <w:rPr>
          <w:sz w:val="36"/>
        </w:rPr>
        <w:lastRenderedPageBreak/>
        <w:t>Contents</w:t>
      </w:r>
    </w:p>
    <w:p w14:paraId="733FC0B1" w14:textId="77777777" w:rsidR="00523945" w:rsidRPr="00CB5653" w:rsidRDefault="00523945" w:rsidP="00523945">
      <w:pPr>
        <w:pStyle w:val="TOC2"/>
        <w:rPr>
          <w:rFonts w:asciiTheme="minorHAnsi" w:eastAsiaTheme="minorEastAsia" w:hAnsiTheme="minorHAnsi" w:cstheme="minorBidi"/>
          <w:b w:val="0"/>
          <w:noProof/>
          <w:kern w:val="0"/>
          <w:sz w:val="22"/>
          <w:szCs w:val="22"/>
        </w:rPr>
      </w:pPr>
      <w:r w:rsidRPr="00CB5653">
        <w:fldChar w:fldCharType="begin"/>
      </w:r>
      <w:r w:rsidRPr="00CB5653">
        <w:instrText xml:space="preserve"> TOC \o "1-9" </w:instrText>
      </w:r>
      <w:r w:rsidRPr="00CB5653">
        <w:fldChar w:fldCharType="separate"/>
      </w:r>
      <w:r w:rsidRPr="00CB5653">
        <w:rPr>
          <w:noProof/>
        </w:rPr>
        <w:t>Part 1—Preliminary</w:t>
      </w:r>
      <w:r w:rsidRPr="00CB5653">
        <w:rPr>
          <w:noProof/>
        </w:rPr>
        <w:tab/>
      </w:r>
      <w:r w:rsidRPr="00CB5653">
        <w:rPr>
          <w:noProof/>
        </w:rPr>
        <w:fldChar w:fldCharType="begin"/>
      </w:r>
      <w:r w:rsidRPr="00CB5653">
        <w:rPr>
          <w:noProof/>
        </w:rPr>
        <w:instrText xml:space="preserve"> PAGEREF _Toc146281738 \h </w:instrText>
      </w:r>
      <w:r w:rsidRPr="00CB5653">
        <w:rPr>
          <w:noProof/>
        </w:rPr>
      </w:r>
      <w:r w:rsidRPr="00CB5653">
        <w:rPr>
          <w:noProof/>
        </w:rPr>
        <w:fldChar w:fldCharType="separate"/>
      </w:r>
      <w:r w:rsidRPr="00CB5653">
        <w:rPr>
          <w:noProof/>
        </w:rPr>
        <w:t>2</w:t>
      </w:r>
      <w:r w:rsidRPr="00CB5653">
        <w:rPr>
          <w:noProof/>
        </w:rPr>
        <w:fldChar w:fldCharType="end"/>
      </w:r>
    </w:p>
    <w:p w14:paraId="6FD02B3A"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  Name</w:t>
      </w:r>
      <w:r w:rsidRPr="00CB5653">
        <w:rPr>
          <w:noProof/>
        </w:rPr>
        <w:tab/>
      </w:r>
      <w:r w:rsidRPr="00CB5653">
        <w:rPr>
          <w:noProof/>
        </w:rPr>
        <w:fldChar w:fldCharType="begin"/>
      </w:r>
      <w:r w:rsidRPr="00CB5653">
        <w:rPr>
          <w:noProof/>
        </w:rPr>
        <w:instrText xml:space="preserve"> PAGEREF _Toc146281739 \h </w:instrText>
      </w:r>
      <w:r w:rsidRPr="00CB5653">
        <w:rPr>
          <w:noProof/>
        </w:rPr>
      </w:r>
      <w:r w:rsidRPr="00CB5653">
        <w:rPr>
          <w:noProof/>
        </w:rPr>
        <w:fldChar w:fldCharType="separate"/>
      </w:r>
      <w:r w:rsidRPr="00CB5653">
        <w:rPr>
          <w:noProof/>
        </w:rPr>
        <w:t>2</w:t>
      </w:r>
      <w:r w:rsidRPr="00CB5653">
        <w:rPr>
          <w:noProof/>
        </w:rPr>
        <w:fldChar w:fldCharType="end"/>
      </w:r>
    </w:p>
    <w:p w14:paraId="201743B0"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2  Commencement</w:t>
      </w:r>
      <w:r w:rsidRPr="00CB5653">
        <w:rPr>
          <w:noProof/>
        </w:rPr>
        <w:tab/>
      </w:r>
      <w:r w:rsidRPr="00CB5653">
        <w:rPr>
          <w:noProof/>
        </w:rPr>
        <w:fldChar w:fldCharType="begin"/>
      </w:r>
      <w:r w:rsidRPr="00CB5653">
        <w:rPr>
          <w:noProof/>
        </w:rPr>
        <w:instrText xml:space="preserve"> PAGEREF _Toc146281740 \h </w:instrText>
      </w:r>
      <w:r w:rsidRPr="00CB5653">
        <w:rPr>
          <w:noProof/>
        </w:rPr>
      </w:r>
      <w:r w:rsidRPr="00CB5653">
        <w:rPr>
          <w:noProof/>
        </w:rPr>
        <w:fldChar w:fldCharType="separate"/>
      </w:r>
      <w:r w:rsidRPr="00CB5653">
        <w:rPr>
          <w:noProof/>
        </w:rPr>
        <w:t>2</w:t>
      </w:r>
      <w:r w:rsidRPr="00CB5653">
        <w:rPr>
          <w:noProof/>
        </w:rPr>
        <w:fldChar w:fldCharType="end"/>
      </w:r>
    </w:p>
    <w:p w14:paraId="378C74E7"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3  Authority</w:t>
      </w:r>
      <w:r w:rsidRPr="00CB5653">
        <w:rPr>
          <w:noProof/>
        </w:rPr>
        <w:tab/>
      </w:r>
      <w:r w:rsidRPr="00CB5653">
        <w:rPr>
          <w:noProof/>
        </w:rPr>
        <w:fldChar w:fldCharType="begin"/>
      </w:r>
      <w:r w:rsidRPr="00CB5653">
        <w:rPr>
          <w:noProof/>
        </w:rPr>
        <w:instrText xml:space="preserve"> PAGEREF _Toc146281741 \h </w:instrText>
      </w:r>
      <w:r w:rsidRPr="00CB5653">
        <w:rPr>
          <w:noProof/>
        </w:rPr>
      </w:r>
      <w:r w:rsidRPr="00CB5653">
        <w:rPr>
          <w:noProof/>
        </w:rPr>
        <w:fldChar w:fldCharType="separate"/>
      </w:r>
      <w:r w:rsidRPr="00CB5653">
        <w:rPr>
          <w:noProof/>
        </w:rPr>
        <w:t>2</w:t>
      </w:r>
      <w:r w:rsidRPr="00CB5653">
        <w:rPr>
          <w:noProof/>
        </w:rPr>
        <w:fldChar w:fldCharType="end"/>
      </w:r>
    </w:p>
    <w:p w14:paraId="226DA413"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4  Definitions</w:t>
      </w:r>
      <w:r w:rsidRPr="00CB5653">
        <w:rPr>
          <w:noProof/>
        </w:rPr>
        <w:tab/>
      </w:r>
      <w:r w:rsidRPr="00CB5653">
        <w:rPr>
          <w:noProof/>
        </w:rPr>
        <w:fldChar w:fldCharType="begin"/>
      </w:r>
      <w:r w:rsidRPr="00CB5653">
        <w:rPr>
          <w:noProof/>
        </w:rPr>
        <w:instrText xml:space="preserve"> PAGEREF _Toc146281742 \h </w:instrText>
      </w:r>
      <w:r w:rsidRPr="00CB5653">
        <w:rPr>
          <w:noProof/>
        </w:rPr>
      </w:r>
      <w:r w:rsidRPr="00CB5653">
        <w:rPr>
          <w:noProof/>
        </w:rPr>
        <w:fldChar w:fldCharType="separate"/>
      </w:r>
      <w:r w:rsidRPr="00CB5653">
        <w:rPr>
          <w:noProof/>
        </w:rPr>
        <w:t>2</w:t>
      </w:r>
      <w:r w:rsidRPr="00CB5653">
        <w:rPr>
          <w:noProof/>
        </w:rPr>
        <w:fldChar w:fldCharType="end"/>
      </w:r>
    </w:p>
    <w:p w14:paraId="633C44CB"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5  Repeal</w:t>
      </w:r>
      <w:r w:rsidRPr="00CB5653">
        <w:rPr>
          <w:noProof/>
        </w:rPr>
        <w:tab/>
      </w:r>
      <w:r w:rsidRPr="00CB5653">
        <w:rPr>
          <w:noProof/>
        </w:rPr>
        <w:fldChar w:fldCharType="begin"/>
      </w:r>
      <w:r w:rsidRPr="00CB5653">
        <w:rPr>
          <w:noProof/>
        </w:rPr>
        <w:instrText xml:space="preserve"> PAGEREF _Toc146281743 \h </w:instrText>
      </w:r>
      <w:r w:rsidRPr="00CB5653">
        <w:rPr>
          <w:noProof/>
        </w:rPr>
      </w:r>
      <w:r w:rsidRPr="00CB5653">
        <w:rPr>
          <w:noProof/>
        </w:rPr>
        <w:fldChar w:fldCharType="separate"/>
      </w:r>
      <w:r w:rsidRPr="00CB5653">
        <w:rPr>
          <w:noProof/>
        </w:rPr>
        <w:t>3</w:t>
      </w:r>
      <w:r w:rsidRPr="00CB5653">
        <w:rPr>
          <w:noProof/>
        </w:rPr>
        <w:fldChar w:fldCharType="end"/>
      </w:r>
    </w:p>
    <w:p w14:paraId="1A27FC0F"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6  Purpose</w:t>
      </w:r>
      <w:r w:rsidRPr="00CB5653">
        <w:rPr>
          <w:noProof/>
        </w:rPr>
        <w:tab/>
      </w:r>
      <w:r w:rsidRPr="00CB5653">
        <w:rPr>
          <w:noProof/>
        </w:rPr>
        <w:fldChar w:fldCharType="begin"/>
      </w:r>
      <w:r w:rsidRPr="00CB5653">
        <w:rPr>
          <w:noProof/>
        </w:rPr>
        <w:instrText xml:space="preserve"> PAGEREF _Toc146281744 \h </w:instrText>
      </w:r>
      <w:r w:rsidRPr="00CB5653">
        <w:rPr>
          <w:noProof/>
        </w:rPr>
      </w:r>
      <w:r w:rsidRPr="00CB5653">
        <w:rPr>
          <w:noProof/>
        </w:rPr>
        <w:fldChar w:fldCharType="separate"/>
      </w:r>
      <w:r w:rsidRPr="00CB5653">
        <w:rPr>
          <w:noProof/>
        </w:rPr>
        <w:t>3</w:t>
      </w:r>
      <w:r w:rsidRPr="00CB5653">
        <w:rPr>
          <w:noProof/>
        </w:rPr>
        <w:fldChar w:fldCharType="end"/>
      </w:r>
    </w:p>
    <w:p w14:paraId="0AFD9CE6" w14:textId="77777777" w:rsidR="00523945" w:rsidRPr="00CB5653" w:rsidRDefault="00523945" w:rsidP="00523945">
      <w:pPr>
        <w:pStyle w:val="TOC2"/>
        <w:rPr>
          <w:rFonts w:asciiTheme="minorHAnsi" w:eastAsiaTheme="minorEastAsia" w:hAnsiTheme="minorHAnsi" w:cstheme="minorBidi"/>
          <w:b w:val="0"/>
          <w:noProof/>
          <w:kern w:val="0"/>
          <w:sz w:val="22"/>
          <w:szCs w:val="22"/>
        </w:rPr>
      </w:pPr>
      <w:r w:rsidRPr="00CB5653">
        <w:rPr>
          <w:noProof/>
        </w:rPr>
        <w:t>Part 2—Directions about all Investment Decisions</w:t>
      </w:r>
      <w:r w:rsidRPr="00CB5653">
        <w:rPr>
          <w:noProof/>
        </w:rPr>
        <w:tab/>
      </w:r>
      <w:r w:rsidRPr="00CB5653">
        <w:rPr>
          <w:noProof/>
        </w:rPr>
        <w:fldChar w:fldCharType="begin"/>
      </w:r>
      <w:r w:rsidRPr="00CB5653">
        <w:rPr>
          <w:noProof/>
        </w:rPr>
        <w:instrText xml:space="preserve"> PAGEREF _Toc146281745 \h </w:instrText>
      </w:r>
      <w:r w:rsidRPr="00CB5653">
        <w:rPr>
          <w:noProof/>
        </w:rPr>
      </w:r>
      <w:r w:rsidRPr="00CB5653">
        <w:rPr>
          <w:noProof/>
        </w:rPr>
        <w:fldChar w:fldCharType="separate"/>
      </w:r>
      <w:r w:rsidRPr="00CB5653">
        <w:rPr>
          <w:noProof/>
        </w:rPr>
        <w:t>3</w:t>
      </w:r>
      <w:r w:rsidRPr="00CB5653">
        <w:rPr>
          <w:noProof/>
        </w:rPr>
        <w:fldChar w:fldCharType="end"/>
      </w:r>
    </w:p>
    <w:p w14:paraId="3E78E80A"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7  Making Investment Decisions</w:t>
      </w:r>
      <w:r w:rsidRPr="00CB5653">
        <w:rPr>
          <w:noProof/>
        </w:rPr>
        <w:tab/>
      </w:r>
      <w:r w:rsidRPr="00CB5653">
        <w:rPr>
          <w:noProof/>
        </w:rPr>
        <w:fldChar w:fldCharType="begin"/>
      </w:r>
      <w:r w:rsidRPr="00CB5653">
        <w:rPr>
          <w:noProof/>
        </w:rPr>
        <w:instrText xml:space="preserve"> PAGEREF _Toc146281746 \h </w:instrText>
      </w:r>
      <w:r w:rsidRPr="00CB5653">
        <w:rPr>
          <w:noProof/>
        </w:rPr>
      </w:r>
      <w:r w:rsidRPr="00CB5653">
        <w:rPr>
          <w:noProof/>
        </w:rPr>
        <w:fldChar w:fldCharType="separate"/>
      </w:r>
      <w:r w:rsidRPr="00CB5653">
        <w:rPr>
          <w:noProof/>
        </w:rPr>
        <w:t>3</w:t>
      </w:r>
      <w:r w:rsidRPr="00CB5653">
        <w:rPr>
          <w:noProof/>
        </w:rPr>
        <w:fldChar w:fldCharType="end"/>
      </w:r>
    </w:p>
    <w:p w14:paraId="3F6AA239"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8  Matters to be considered when making Investment Decisions</w:t>
      </w:r>
      <w:r w:rsidRPr="00CB5653">
        <w:rPr>
          <w:noProof/>
        </w:rPr>
        <w:tab/>
      </w:r>
      <w:r w:rsidRPr="00CB5653">
        <w:rPr>
          <w:noProof/>
        </w:rPr>
        <w:fldChar w:fldCharType="begin"/>
      </w:r>
      <w:r w:rsidRPr="00CB5653">
        <w:rPr>
          <w:noProof/>
        </w:rPr>
        <w:instrText xml:space="preserve"> PAGEREF _Toc146281747 \h </w:instrText>
      </w:r>
      <w:r w:rsidRPr="00CB5653">
        <w:rPr>
          <w:noProof/>
        </w:rPr>
      </w:r>
      <w:r w:rsidRPr="00CB5653">
        <w:rPr>
          <w:noProof/>
        </w:rPr>
        <w:fldChar w:fldCharType="separate"/>
      </w:r>
      <w:r w:rsidRPr="00CB5653">
        <w:rPr>
          <w:noProof/>
        </w:rPr>
        <w:t>3</w:t>
      </w:r>
      <w:r w:rsidRPr="00CB5653">
        <w:rPr>
          <w:noProof/>
        </w:rPr>
        <w:fldChar w:fldCharType="end"/>
      </w:r>
    </w:p>
    <w:p w14:paraId="78DE2F55"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9  Discretion</w:t>
      </w:r>
      <w:r w:rsidRPr="00CB5653">
        <w:rPr>
          <w:noProof/>
        </w:rPr>
        <w:tab/>
        <w:t>4</w:t>
      </w:r>
    </w:p>
    <w:p w14:paraId="7ECACCC8" w14:textId="77777777" w:rsidR="00523945" w:rsidRPr="00CB5653" w:rsidRDefault="00523945" w:rsidP="00523945">
      <w:pPr>
        <w:pStyle w:val="TOC2"/>
        <w:rPr>
          <w:rFonts w:asciiTheme="minorHAnsi" w:eastAsiaTheme="minorEastAsia" w:hAnsiTheme="minorHAnsi" w:cstheme="minorBidi"/>
          <w:b w:val="0"/>
          <w:noProof/>
          <w:kern w:val="0"/>
          <w:sz w:val="22"/>
          <w:szCs w:val="22"/>
        </w:rPr>
      </w:pPr>
      <w:r w:rsidRPr="00CB5653">
        <w:rPr>
          <w:noProof/>
        </w:rPr>
        <w:t>Part 3—Directions about specific types of Investment Decisions and derivatives</w:t>
      </w:r>
      <w:r w:rsidRPr="00CB5653">
        <w:rPr>
          <w:noProof/>
        </w:rPr>
        <w:tab/>
      </w:r>
      <w:r w:rsidRPr="00CB5653">
        <w:rPr>
          <w:noProof/>
        </w:rPr>
        <w:fldChar w:fldCharType="begin"/>
      </w:r>
      <w:r w:rsidRPr="00CB5653">
        <w:rPr>
          <w:noProof/>
        </w:rPr>
        <w:instrText xml:space="preserve"> PAGEREF _Toc146281749 \h </w:instrText>
      </w:r>
      <w:r w:rsidRPr="00CB5653">
        <w:rPr>
          <w:noProof/>
        </w:rPr>
      </w:r>
      <w:r w:rsidRPr="00CB5653">
        <w:rPr>
          <w:noProof/>
        </w:rPr>
        <w:fldChar w:fldCharType="separate"/>
      </w:r>
      <w:r w:rsidRPr="00CB5653">
        <w:rPr>
          <w:noProof/>
        </w:rPr>
        <w:t>5</w:t>
      </w:r>
      <w:r w:rsidRPr="00CB5653">
        <w:rPr>
          <w:noProof/>
        </w:rPr>
        <w:fldChar w:fldCharType="end"/>
      </w:r>
    </w:p>
    <w:p w14:paraId="451F0D11"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10  Determining loan conditions and concessions</w:t>
      </w:r>
      <w:r w:rsidRPr="00CB5653">
        <w:rPr>
          <w:noProof/>
        </w:rPr>
        <w:tab/>
      </w:r>
      <w:r w:rsidRPr="00CB5653">
        <w:rPr>
          <w:noProof/>
        </w:rPr>
        <w:fldChar w:fldCharType="begin"/>
      </w:r>
      <w:r w:rsidRPr="00CB5653">
        <w:rPr>
          <w:noProof/>
        </w:rPr>
        <w:instrText xml:space="preserve"> PAGEREF _Toc146281750 \h </w:instrText>
      </w:r>
      <w:r w:rsidRPr="00CB5653">
        <w:rPr>
          <w:noProof/>
        </w:rPr>
      </w:r>
      <w:r w:rsidRPr="00CB5653">
        <w:rPr>
          <w:noProof/>
        </w:rPr>
        <w:fldChar w:fldCharType="separate"/>
      </w:r>
      <w:r w:rsidRPr="00CB5653">
        <w:rPr>
          <w:noProof/>
        </w:rPr>
        <w:t>5</w:t>
      </w:r>
      <w:r w:rsidRPr="00CB5653">
        <w:rPr>
          <w:noProof/>
        </w:rPr>
        <w:fldChar w:fldCharType="end"/>
      </w:r>
    </w:p>
    <w:p w14:paraId="53451B1E"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11  Alternative Financing Mechanisms</w:t>
      </w:r>
      <w:r w:rsidRPr="00CB5653">
        <w:rPr>
          <w:noProof/>
        </w:rPr>
        <w:tab/>
      </w:r>
      <w:r w:rsidRPr="00CB5653">
        <w:rPr>
          <w:noProof/>
        </w:rPr>
        <w:fldChar w:fldCharType="begin"/>
      </w:r>
      <w:r w:rsidRPr="00CB5653">
        <w:rPr>
          <w:noProof/>
        </w:rPr>
        <w:instrText xml:space="preserve"> PAGEREF _Toc146281751 \h </w:instrText>
      </w:r>
      <w:r w:rsidRPr="00CB5653">
        <w:rPr>
          <w:noProof/>
        </w:rPr>
      </w:r>
      <w:r w:rsidRPr="00CB5653">
        <w:rPr>
          <w:noProof/>
        </w:rPr>
        <w:fldChar w:fldCharType="separate"/>
      </w:r>
      <w:r w:rsidRPr="00CB5653">
        <w:rPr>
          <w:noProof/>
        </w:rPr>
        <w:t>6</w:t>
      </w:r>
      <w:r w:rsidRPr="00CB5653">
        <w:rPr>
          <w:noProof/>
        </w:rPr>
        <w:fldChar w:fldCharType="end"/>
      </w:r>
    </w:p>
    <w:p w14:paraId="1D2E34DA"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12  Derivatives</w:t>
      </w:r>
      <w:r w:rsidRPr="00CB5653">
        <w:rPr>
          <w:noProof/>
        </w:rPr>
        <w:tab/>
      </w:r>
      <w:r w:rsidRPr="00CB5653">
        <w:rPr>
          <w:noProof/>
        </w:rPr>
        <w:fldChar w:fldCharType="begin"/>
      </w:r>
      <w:r w:rsidRPr="00CB5653">
        <w:rPr>
          <w:noProof/>
        </w:rPr>
        <w:instrText xml:space="preserve"> PAGEREF _Toc146281752 \h </w:instrText>
      </w:r>
      <w:r w:rsidRPr="00CB5653">
        <w:rPr>
          <w:noProof/>
        </w:rPr>
      </w:r>
      <w:r w:rsidRPr="00CB5653">
        <w:rPr>
          <w:noProof/>
        </w:rPr>
        <w:fldChar w:fldCharType="separate"/>
      </w:r>
      <w:r w:rsidRPr="00CB5653">
        <w:rPr>
          <w:noProof/>
        </w:rPr>
        <w:t>6</w:t>
      </w:r>
      <w:r w:rsidRPr="00CB5653">
        <w:rPr>
          <w:noProof/>
        </w:rPr>
        <w:fldChar w:fldCharType="end"/>
      </w:r>
    </w:p>
    <w:p w14:paraId="10AE58B4"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 xml:space="preserve">13  Direct funding </w:t>
      </w:r>
      <w:r w:rsidRPr="00CB5653">
        <w:rPr>
          <w:noProof/>
        </w:rPr>
        <w:tab/>
        <w:t>6</w:t>
      </w:r>
    </w:p>
    <w:p w14:paraId="0B8DAC23"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14  Limits on equity investments</w:t>
      </w:r>
      <w:r w:rsidRPr="00CB5653">
        <w:rPr>
          <w:noProof/>
        </w:rPr>
        <w:tab/>
      </w:r>
      <w:r w:rsidRPr="00CB5653">
        <w:rPr>
          <w:noProof/>
        </w:rPr>
        <w:fldChar w:fldCharType="begin"/>
      </w:r>
      <w:r w:rsidRPr="00CB5653">
        <w:rPr>
          <w:noProof/>
        </w:rPr>
        <w:instrText xml:space="preserve"> PAGEREF _Toc146281754 \h </w:instrText>
      </w:r>
      <w:r w:rsidRPr="00CB5653">
        <w:rPr>
          <w:noProof/>
        </w:rPr>
      </w:r>
      <w:r w:rsidRPr="00CB5653">
        <w:rPr>
          <w:noProof/>
        </w:rPr>
        <w:fldChar w:fldCharType="separate"/>
      </w:r>
      <w:r w:rsidRPr="00CB5653">
        <w:rPr>
          <w:noProof/>
        </w:rPr>
        <w:t>7</w:t>
      </w:r>
      <w:r w:rsidRPr="00CB5653">
        <w:rPr>
          <w:noProof/>
        </w:rPr>
        <w:fldChar w:fldCharType="end"/>
      </w:r>
    </w:p>
    <w:p w14:paraId="55117DC6" w14:textId="77777777" w:rsidR="00523945" w:rsidRPr="00CB5653" w:rsidRDefault="00523945" w:rsidP="00523945">
      <w:pPr>
        <w:pStyle w:val="TOC2"/>
        <w:rPr>
          <w:rFonts w:asciiTheme="minorHAnsi" w:eastAsiaTheme="minorEastAsia" w:hAnsiTheme="minorHAnsi" w:cstheme="minorBidi"/>
          <w:b w:val="0"/>
          <w:noProof/>
          <w:kern w:val="0"/>
          <w:sz w:val="22"/>
          <w:szCs w:val="22"/>
        </w:rPr>
      </w:pPr>
      <w:r w:rsidRPr="00CB5653">
        <w:rPr>
          <w:noProof/>
        </w:rPr>
        <w:t>Part 4—Directions about risk, governance and consultation</w:t>
      </w:r>
      <w:r w:rsidRPr="00CB5653">
        <w:rPr>
          <w:noProof/>
        </w:rPr>
        <w:tab/>
        <w:t>7</w:t>
      </w:r>
    </w:p>
    <w:p w14:paraId="1B130493"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15  Investment risk and monitoring</w:t>
      </w:r>
      <w:r w:rsidRPr="00CB5653">
        <w:rPr>
          <w:noProof/>
        </w:rPr>
        <w:tab/>
        <w:t>7</w:t>
      </w:r>
    </w:p>
    <w:p w14:paraId="43A3479B"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16  Consultation with relevant jurisdictions</w:t>
      </w:r>
      <w:r w:rsidRPr="00CB5653">
        <w:rPr>
          <w:noProof/>
        </w:rPr>
        <w:tab/>
        <w:t>8</w:t>
      </w:r>
    </w:p>
    <w:p w14:paraId="69FED4BB"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17  Relationship with other Commonwealth entities and other persons and bodies</w:t>
      </w:r>
      <w:r w:rsidRPr="00CB5653">
        <w:rPr>
          <w:noProof/>
        </w:rPr>
        <w:tab/>
      </w:r>
      <w:r w:rsidRPr="00CB5653">
        <w:rPr>
          <w:noProof/>
        </w:rPr>
        <w:fldChar w:fldCharType="begin"/>
      </w:r>
      <w:r w:rsidRPr="00CB5653">
        <w:rPr>
          <w:noProof/>
        </w:rPr>
        <w:instrText xml:space="preserve"> PAGEREF _Toc146281758 \h </w:instrText>
      </w:r>
      <w:r w:rsidRPr="00CB5653">
        <w:rPr>
          <w:noProof/>
        </w:rPr>
      </w:r>
      <w:r w:rsidRPr="00CB5653">
        <w:rPr>
          <w:noProof/>
        </w:rPr>
        <w:fldChar w:fldCharType="separate"/>
      </w:r>
      <w:r w:rsidRPr="00CB5653">
        <w:rPr>
          <w:noProof/>
        </w:rPr>
        <w:t>9</w:t>
      </w:r>
      <w:r w:rsidRPr="00CB5653">
        <w:rPr>
          <w:noProof/>
        </w:rPr>
        <w:fldChar w:fldCharType="end"/>
      </w:r>
    </w:p>
    <w:p w14:paraId="7033F873"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18  Regulatory and environmental approvals</w:t>
      </w:r>
      <w:r w:rsidRPr="00CB5653">
        <w:rPr>
          <w:noProof/>
        </w:rPr>
        <w:tab/>
      </w:r>
      <w:r w:rsidRPr="00CB5653">
        <w:rPr>
          <w:noProof/>
        </w:rPr>
        <w:fldChar w:fldCharType="begin"/>
      </w:r>
      <w:r w:rsidRPr="00CB5653">
        <w:rPr>
          <w:noProof/>
        </w:rPr>
        <w:instrText xml:space="preserve"> PAGEREF _Toc146281759 \h </w:instrText>
      </w:r>
      <w:r w:rsidRPr="00CB5653">
        <w:rPr>
          <w:noProof/>
        </w:rPr>
      </w:r>
      <w:r w:rsidRPr="00CB5653">
        <w:rPr>
          <w:noProof/>
        </w:rPr>
        <w:fldChar w:fldCharType="separate"/>
      </w:r>
      <w:r w:rsidRPr="00CB5653">
        <w:rPr>
          <w:noProof/>
        </w:rPr>
        <w:t>10</w:t>
      </w:r>
      <w:r w:rsidRPr="00CB5653">
        <w:rPr>
          <w:noProof/>
        </w:rPr>
        <w:fldChar w:fldCharType="end"/>
      </w:r>
    </w:p>
    <w:p w14:paraId="14CF50E9"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19  Reputation</w:t>
      </w:r>
      <w:r w:rsidRPr="00CB5653">
        <w:rPr>
          <w:noProof/>
        </w:rPr>
        <w:tab/>
      </w:r>
      <w:r w:rsidRPr="00CB5653">
        <w:rPr>
          <w:noProof/>
        </w:rPr>
        <w:fldChar w:fldCharType="begin"/>
      </w:r>
      <w:r w:rsidRPr="00CB5653">
        <w:rPr>
          <w:noProof/>
        </w:rPr>
        <w:instrText xml:space="preserve"> PAGEREF _Toc146281760 \h </w:instrText>
      </w:r>
      <w:r w:rsidRPr="00CB5653">
        <w:rPr>
          <w:noProof/>
        </w:rPr>
      </w:r>
      <w:r w:rsidRPr="00CB5653">
        <w:rPr>
          <w:noProof/>
        </w:rPr>
        <w:fldChar w:fldCharType="separate"/>
      </w:r>
      <w:r w:rsidRPr="00CB5653">
        <w:rPr>
          <w:noProof/>
        </w:rPr>
        <w:t>10</w:t>
      </w:r>
      <w:r w:rsidRPr="00CB5653">
        <w:rPr>
          <w:noProof/>
        </w:rPr>
        <w:fldChar w:fldCharType="end"/>
      </w:r>
    </w:p>
    <w:p w14:paraId="705FBB4E"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20  Corporate governance</w:t>
      </w:r>
      <w:r w:rsidRPr="00CB5653">
        <w:rPr>
          <w:noProof/>
        </w:rPr>
        <w:tab/>
      </w:r>
      <w:r w:rsidRPr="00CB5653">
        <w:rPr>
          <w:noProof/>
        </w:rPr>
        <w:fldChar w:fldCharType="begin"/>
      </w:r>
      <w:r w:rsidRPr="00CB5653">
        <w:rPr>
          <w:noProof/>
        </w:rPr>
        <w:instrText xml:space="preserve"> PAGEREF _Toc146281761 \h </w:instrText>
      </w:r>
      <w:r w:rsidRPr="00CB5653">
        <w:rPr>
          <w:noProof/>
        </w:rPr>
      </w:r>
      <w:r w:rsidRPr="00CB5653">
        <w:rPr>
          <w:noProof/>
        </w:rPr>
        <w:fldChar w:fldCharType="separate"/>
      </w:r>
      <w:r w:rsidRPr="00CB5653">
        <w:rPr>
          <w:noProof/>
        </w:rPr>
        <w:t>10</w:t>
      </w:r>
      <w:r w:rsidRPr="00CB5653">
        <w:rPr>
          <w:noProof/>
        </w:rPr>
        <w:fldChar w:fldCharType="end"/>
      </w:r>
    </w:p>
    <w:p w14:paraId="23A1962D"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21  Providing information to the Minister for Northern Australia and Finance Minister</w:t>
      </w:r>
      <w:r w:rsidRPr="00CB5653">
        <w:rPr>
          <w:noProof/>
        </w:rPr>
        <w:tab/>
      </w:r>
      <w:r w:rsidRPr="00CB5653">
        <w:rPr>
          <w:noProof/>
        </w:rPr>
        <w:fldChar w:fldCharType="begin"/>
      </w:r>
      <w:r w:rsidRPr="00CB5653">
        <w:rPr>
          <w:noProof/>
        </w:rPr>
        <w:instrText xml:space="preserve"> PAGEREF _Toc146281762 \h </w:instrText>
      </w:r>
      <w:r w:rsidRPr="00CB5653">
        <w:rPr>
          <w:noProof/>
        </w:rPr>
      </w:r>
      <w:r w:rsidRPr="00CB5653">
        <w:rPr>
          <w:noProof/>
        </w:rPr>
        <w:fldChar w:fldCharType="separate"/>
      </w:r>
      <w:r w:rsidRPr="00CB5653">
        <w:rPr>
          <w:noProof/>
        </w:rPr>
        <w:t>11</w:t>
      </w:r>
      <w:r w:rsidRPr="00CB5653">
        <w:rPr>
          <w:noProof/>
        </w:rPr>
        <w:fldChar w:fldCharType="end"/>
      </w:r>
    </w:p>
    <w:p w14:paraId="090AF320" w14:textId="77777777" w:rsidR="00523945" w:rsidRPr="00CB5653" w:rsidRDefault="00523945" w:rsidP="00523945">
      <w:pPr>
        <w:pStyle w:val="TOC5"/>
        <w:rPr>
          <w:rFonts w:asciiTheme="minorHAnsi" w:eastAsiaTheme="minorEastAsia" w:hAnsiTheme="minorHAnsi" w:cstheme="minorBidi"/>
          <w:noProof/>
          <w:kern w:val="0"/>
          <w:sz w:val="22"/>
          <w:szCs w:val="22"/>
        </w:rPr>
      </w:pPr>
      <w:r w:rsidRPr="00CB5653">
        <w:rPr>
          <w:noProof/>
        </w:rPr>
        <w:t>22  Australian industry participation</w:t>
      </w:r>
      <w:r w:rsidRPr="00CB5653">
        <w:rPr>
          <w:noProof/>
        </w:rPr>
        <w:tab/>
      </w:r>
      <w:r w:rsidRPr="00CB5653">
        <w:rPr>
          <w:noProof/>
        </w:rPr>
        <w:fldChar w:fldCharType="begin"/>
      </w:r>
      <w:r w:rsidRPr="00CB5653">
        <w:rPr>
          <w:noProof/>
        </w:rPr>
        <w:instrText xml:space="preserve"> PAGEREF _Toc146281763 \h </w:instrText>
      </w:r>
      <w:r w:rsidRPr="00CB5653">
        <w:rPr>
          <w:noProof/>
        </w:rPr>
      </w:r>
      <w:r w:rsidRPr="00CB5653">
        <w:rPr>
          <w:noProof/>
        </w:rPr>
        <w:fldChar w:fldCharType="separate"/>
      </w:r>
      <w:r w:rsidRPr="00CB5653">
        <w:rPr>
          <w:noProof/>
        </w:rPr>
        <w:t>11</w:t>
      </w:r>
      <w:r w:rsidRPr="00CB5653">
        <w:rPr>
          <w:noProof/>
        </w:rPr>
        <w:fldChar w:fldCharType="end"/>
      </w:r>
    </w:p>
    <w:p w14:paraId="041DBDA3" w14:textId="77777777" w:rsidR="00523945" w:rsidRPr="00CB5653" w:rsidRDefault="00523945" w:rsidP="00523945">
      <w:pPr>
        <w:pStyle w:val="TOC6"/>
        <w:rPr>
          <w:rFonts w:asciiTheme="minorHAnsi" w:eastAsiaTheme="minorEastAsia" w:hAnsiTheme="minorHAnsi" w:cstheme="minorBidi"/>
          <w:b w:val="0"/>
          <w:noProof/>
          <w:kern w:val="0"/>
          <w:sz w:val="22"/>
          <w:szCs w:val="22"/>
        </w:rPr>
      </w:pPr>
      <w:r w:rsidRPr="00CB5653">
        <w:rPr>
          <w:noProof/>
        </w:rPr>
        <w:t>Schedule 1—Eligibility criteria for financial assistance</w:t>
      </w:r>
      <w:r w:rsidRPr="00CB5653">
        <w:rPr>
          <w:noProof/>
        </w:rPr>
        <w:tab/>
      </w:r>
      <w:r w:rsidRPr="00CB5653">
        <w:rPr>
          <w:noProof/>
        </w:rPr>
        <w:fldChar w:fldCharType="begin"/>
      </w:r>
      <w:r w:rsidRPr="00CB5653">
        <w:rPr>
          <w:noProof/>
        </w:rPr>
        <w:instrText xml:space="preserve"> PAGEREF _Toc146281764 \h </w:instrText>
      </w:r>
      <w:r w:rsidRPr="00CB5653">
        <w:rPr>
          <w:noProof/>
        </w:rPr>
      </w:r>
      <w:r w:rsidRPr="00CB5653">
        <w:rPr>
          <w:noProof/>
        </w:rPr>
        <w:fldChar w:fldCharType="separate"/>
      </w:r>
      <w:r w:rsidRPr="00CB5653">
        <w:rPr>
          <w:noProof/>
        </w:rPr>
        <w:t>12</w:t>
      </w:r>
      <w:r w:rsidRPr="00CB5653">
        <w:rPr>
          <w:noProof/>
        </w:rPr>
        <w:fldChar w:fldCharType="end"/>
      </w:r>
    </w:p>
    <w:p w14:paraId="0400D3BC" w14:textId="77777777" w:rsidR="00523945" w:rsidRPr="00CB5653" w:rsidRDefault="00523945" w:rsidP="00523945">
      <w:pPr>
        <w:pStyle w:val="TOC6"/>
        <w:rPr>
          <w:rFonts w:asciiTheme="minorHAnsi" w:eastAsiaTheme="minorEastAsia" w:hAnsiTheme="minorHAnsi" w:cstheme="minorBidi"/>
          <w:b w:val="0"/>
          <w:noProof/>
          <w:kern w:val="0"/>
          <w:sz w:val="22"/>
          <w:szCs w:val="22"/>
        </w:rPr>
      </w:pPr>
      <w:r w:rsidRPr="00CB5653">
        <w:rPr>
          <w:noProof/>
        </w:rPr>
        <w:t>Schedule 2—Government policy priorities</w:t>
      </w:r>
      <w:r w:rsidRPr="00CB5653">
        <w:rPr>
          <w:noProof/>
        </w:rPr>
        <w:tab/>
      </w:r>
      <w:r w:rsidRPr="00CB5653">
        <w:rPr>
          <w:noProof/>
        </w:rPr>
        <w:fldChar w:fldCharType="begin"/>
      </w:r>
      <w:r w:rsidRPr="00CB5653">
        <w:rPr>
          <w:noProof/>
        </w:rPr>
        <w:instrText xml:space="preserve"> PAGEREF _Toc146281765 \h </w:instrText>
      </w:r>
      <w:r w:rsidRPr="00CB5653">
        <w:rPr>
          <w:noProof/>
        </w:rPr>
      </w:r>
      <w:r w:rsidRPr="00CB5653">
        <w:rPr>
          <w:noProof/>
        </w:rPr>
        <w:fldChar w:fldCharType="separate"/>
      </w:r>
      <w:r w:rsidRPr="00CB5653">
        <w:rPr>
          <w:noProof/>
        </w:rPr>
        <w:t>15</w:t>
      </w:r>
      <w:r w:rsidRPr="00CB5653">
        <w:rPr>
          <w:noProof/>
        </w:rPr>
        <w:fldChar w:fldCharType="end"/>
      </w:r>
    </w:p>
    <w:p w14:paraId="2EC78BA5" w14:textId="77777777" w:rsidR="00523945" w:rsidRPr="00CB5653" w:rsidRDefault="00523945" w:rsidP="00523945">
      <w:pPr>
        <w:outlineLvl w:val="0"/>
      </w:pPr>
      <w:r w:rsidRPr="00CB5653">
        <w:fldChar w:fldCharType="end"/>
      </w:r>
    </w:p>
    <w:p w14:paraId="38450332" w14:textId="77777777" w:rsidR="00523945" w:rsidRPr="00CB5653" w:rsidRDefault="00523945" w:rsidP="00523945">
      <w:pPr>
        <w:outlineLvl w:val="0"/>
        <w:rPr>
          <w:sz w:val="20"/>
        </w:rPr>
      </w:pPr>
    </w:p>
    <w:p w14:paraId="4A986F3A" w14:textId="77777777" w:rsidR="00523945" w:rsidRPr="00CB5653" w:rsidRDefault="00523945" w:rsidP="00523945">
      <w:pPr>
        <w:sectPr w:rsidR="00523945" w:rsidRPr="00CB5653" w:rsidSect="00651141">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4EFEAA5" w14:textId="77777777" w:rsidR="00523945" w:rsidRPr="00CB5653" w:rsidRDefault="00523945" w:rsidP="00523945">
      <w:pPr>
        <w:pStyle w:val="ActHead2"/>
      </w:pPr>
      <w:bookmarkStart w:id="3" w:name="_Toc146281738"/>
      <w:r w:rsidRPr="00CB5653">
        <w:lastRenderedPageBreak/>
        <w:t>Part 1—Preliminary</w:t>
      </w:r>
      <w:bookmarkEnd w:id="3"/>
    </w:p>
    <w:p w14:paraId="1309AF56" w14:textId="77777777" w:rsidR="00523945" w:rsidRPr="00CB5653" w:rsidRDefault="00523945" w:rsidP="00523945">
      <w:pPr>
        <w:pStyle w:val="ActHead5"/>
      </w:pPr>
      <w:bookmarkStart w:id="4" w:name="_Toc146281739"/>
      <w:proofErr w:type="gramStart"/>
      <w:r w:rsidRPr="00CB5653">
        <w:t>1  Name</w:t>
      </w:r>
      <w:bookmarkEnd w:id="4"/>
      <w:proofErr w:type="gramEnd"/>
    </w:p>
    <w:p w14:paraId="75981F3A" w14:textId="77777777" w:rsidR="00523945" w:rsidRPr="00CB5653" w:rsidRDefault="00523945" w:rsidP="00523945">
      <w:pPr>
        <w:pStyle w:val="subsection"/>
      </w:pPr>
      <w:r w:rsidRPr="00CB5653">
        <w:tab/>
      </w:r>
      <w:r w:rsidRPr="00CB5653">
        <w:tab/>
        <w:t xml:space="preserve">This </w:t>
      </w:r>
      <w:r w:rsidRPr="00CB5653">
        <w:rPr>
          <w:rStyle w:val="CharChapNo"/>
        </w:rPr>
        <w:t>Direction</w:t>
      </w:r>
      <w:r w:rsidRPr="00CB5653">
        <w:t xml:space="preserve"> is the </w:t>
      </w:r>
      <w:bookmarkStart w:id="5" w:name="BKCheck15B_3"/>
      <w:bookmarkEnd w:id="5"/>
      <w:r w:rsidRPr="00CB5653">
        <w:rPr>
          <w:i/>
        </w:rPr>
        <w:t>Northern Australia Infrastructure Facility Investment Mandate Direction 2023</w:t>
      </w:r>
      <w:r w:rsidRPr="00CB5653">
        <w:t>.</w:t>
      </w:r>
    </w:p>
    <w:p w14:paraId="67F2DB9E" w14:textId="77777777" w:rsidR="00523945" w:rsidRPr="00CB5653" w:rsidRDefault="00523945" w:rsidP="00523945">
      <w:pPr>
        <w:pStyle w:val="ActHead5"/>
      </w:pPr>
      <w:bookmarkStart w:id="6" w:name="_Toc146281740"/>
      <w:proofErr w:type="gramStart"/>
      <w:r w:rsidRPr="00CB5653">
        <w:t>2  Commencement</w:t>
      </w:r>
      <w:bookmarkEnd w:id="6"/>
      <w:proofErr w:type="gramEnd"/>
    </w:p>
    <w:p w14:paraId="6AE03DCC" w14:textId="77777777" w:rsidR="00523945" w:rsidRPr="00CB5653" w:rsidRDefault="00523945" w:rsidP="00523945">
      <w:pPr>
        <w:pStyle w:val="subsection"/>
        <w:rPr>
          <w:rStyle w:val="subsectionChar"/>
        </w:rPr>
      </w:pPr>
      <w:r w:rsidRPr="00CB5653">
        <w:tab/>
      </w:r>
      <w:r w:rsidRPr="00CB5653">
        <w:tab/>
        <w:t xml:space="preserve">This </w:t>
      </w:r>
      <w:r w:rsidRPr="00CB5653">
        <w:rPr>
          <w:rStyle w:val="CharChapNo"/>
        </w:rPr>
        <w:t>Direction</w:t>
      </w:r>
      <w:r w:rsidRPr="00CB5653">
        <w:rPr>
          <w:sz w:val="24"/>
        </w:rPr>
        <w:t xml:space="preserve"> </w:t>
      </w:r>
      <w:r w:rsidRPr="00CB5653">
        <w:t>commences the day after it is registered.</w:t>
      </w:r>
    </w:p>
    <w:p w14:paraId="37AFAF8C" w14:textId="77777777" w:rsidR="00523945" w:rsidRPr="00CB5653" w:rsidRDefault="00523945" w:rsidP="00523945">
      <w:pPr>
        <w:pStyle w:val="notepara"/>
        <w:ind w:left="2154" w:hanging="1020"/>
      </w:pPr>
      <w:r w:rsidRPr="00CB5653">
        <w:t xml:space="preserve">Note 1:      </w:t>
      </w:r>
      <w:r w:rsidRPr="00CB5653">
        <w:tab/>
        <w:t xml:space="preserve">Section 42 of the Legislation Act 2003, which deals with the disallowance of legislative instruments, does not apply to this Direction (see table item 2 in section 9 of the </w:t>
      </w:r>
      <w:r w:rsidRPr="00CB5653">
        <w:rPr>
          <w:i/>
        </w:rPr>
        <w:t xml:space="preserve">Legislation (Exemptions and Other Matters) Regulation 2015 </w:t>
      </w:r>
      <w:r w:rsidRPr="00CB5653">
        <w:t>and section 44 of the</w:t>
      </w:r>
      <w:r w:rsidRPr="00CB5653">
        <w:rPr>
          <w:i/>
        </w:rPr>
        <w:t xml:space="preserve"> Legislation Act 2003</w:t>
      </w:r>
      <w:r w:rsidRPr="00CB5653">
        <w:t>).</w:t>
      </w:r>
    </w:p>
    <w:p w14:paraId="69EE7230" w14:textId="77777777" w:rsidR="00523945" w:rsidRPr="00CB5653" w:rsidRDefault="00523945" w:rsidP="00523945">
      <w:pPr>
        <w:pStyle w:val="notepara"/>
        <w:ind w:left="2154" w:hanging="1020"/>
      </w:pPr>
      <w:r w:rsidRPr="00CB5653">
        <w:t>Note 2:</w:t>
      </w:r>
      <w:r w:rsidRPr="00CB5653">
        <w:tab/>
        <w:t xml:space="preserve">This Direction is exempt from sunsetting (see table item 3 in Section 11 of the </w:t>
      </w:r>
      <w:r w:rsidRPr="00CB5653">
        <w:rPr>
          <w:i/>
        </w:rPr>
        <w:t>Legislation (Exemptions and Other Matters) Regulation 2015</w:t>
      </w:r>
      <w:r w:rsidRPr="00CB5653">
        <w:t xml:space="preserve"> and section 54 of the </w:t>
      </w:r>
      <w:r w:rsidRPr="00CB5653">
        <w:rPr>
          <w:i/>
        </w:rPr>
        <w:t>Legislation Act 2003</w:t>
      </w:r>
      <w:r w:rsidRPr="00CB5653">
        <w:t xml:space="preserve">). </w:t>
      </w:r>
    </w:p>
    <w:p w14:paraId="7B9F7D97" w14:textId="77777777" w:rsidR="00523945" w:rsidRPr="00CB5653" w:rsidRDefault="00523945" w:rsidP="00523945">
      <w:pPr>
        <w:pStyle w:val="ActHead5"/>
      </w:pPr>
      <w:bookmarkStart w:id="7" w:name="_Toc146281741"/>
      <w:proofErr w:type="gramStart"/>
      <w:r w:rsidRPr="00CB5653">
        <w:t>3  Authority</w:t>
      </w:r>
      <w:bookmarkEnd w:id="7"/>
      <w:proofErr w:type="gramEnd"/>
    </w:p>
    <w:p w14:paraId="30A2081C" w14:textId="77777777" w:rsidR="00523945" w:rsidRPr="00CB5653" w:rsidRDefault="00523945" w:rsidP="00523945">
      <w:pPr>
        <w:spacing w:before="120"/>
        <w:ind w:left="709" w:right="284"/>
      </w:pPr>
      <w:r w:rsidRPr="00CB5653">
        <w:tab/>
      </w:r>
      <w:r w:rsidRPr="00CB5653">
        <w:tab/>
        <w:t xml:space="preserve">This </w:t>
      </w:r>
      <w:r w:rsidRPr="00CB5653">
        <w:rPr>
          <w:rStyle w:val="CharChapNo"/>
        </w:rPr>
        <w:t>Direction</w:t>
      </w:r>
      <w:r w:rsidRPr="00CB5653">
        <w:t xml:space="preserve"> is made under subsection 9(1) of the Act.</w:t>
      </w:r>
    </w:p>
    <w:p w14:paraId="531DF68F" w14:textId="77777777" w:rsidR="00523945" w:rsidRPr="00CB5653" w:rsidRDefault="00523945" w:rsidP="00523945">
      <w:pPr>
        <w:pStyle w:val="ActHead5"/>
      </w:pPr>
      <w:bookmarkStart w:id="8" w:name="_Toc146281742"/>
      <w:proofErr w:type="gramStart"/>
      <w:r w:rsidRPr="00CB5653">
        <w:t>4  Definitions</w:t>
      </w:r>
      <w:bookmarkEnd w:id="8"/>
      <w:proofErr w:type="gramEnd"/>
    </w:p>
    <w:p w14:paraId="3F88A45D" w14:textId="77777777" w:rsidR="00523945" w:rsidRPr="00CB5653" w:rsidRDefault="00523945" w:rsidP="00523945">
      <w:pPr>
        <w:pStyle w:val="notetext"/>
      </w:pPr>
      <w:r w:rsidRPr="00CB5653">
        <w:t>Note:</w:t>
      </w:r>
      <w:r w:rsidRPr="00CB5653">
        <w:tab/>
        <w:t>A number of expressions used in this instrument are defined in section 5 of the Act, including the following:</w:t>
      </w:r>
    </w:p>
    <w:p w14:paraId="78166A82" w14:textId="77777777" w:rsidR="00523945" w:rsidRPr="00CB5653" w:rsidRDefault="00523945" w:rsidP="00523945">
      <w:pPr>
        <w:pStyle w:val="notepara"/>
      </w:pPr>
      <w:r w:rsidRPr="00CB5653">
        <w:t>(a)</w:t>
      </w:r>
      <w:r w:rsidRPr="00CB5653">
        <w:tab/>
        <w:t>consideration period;</w:t>
      </w:r>
    </w:p>
    <w:p w14:paraId="0F00FE8E" w14:textId="77777777" w:rsidR="00523945" w:rsidRPr="00CB5653" w:rsidRDefault="00523945" w:rsidP="00523945">
      <w:pPr>
        <w:pStyle w:val="notepara"/>
      </w:pPr>
      <w:r w:rsidRPr="00CB5653">
        <w:t>(a)</w:t>
      </w:r>
      <w:r w:rsidRPr="00CB5653">
        <w:tab/>
        <w:t>Facility;</w:t>
      </w:r>
    </w:p>
    <w:p w14:paraId="343254D8" w14:textId="77777777" w:rsidR="00523945" w:rsidRPr="00CB5653" w:rsidRDefault="00523945" w:rsidP="00523945">
      <w:pPr>
        <w:pStyle w:val="notepara"/>
      </w:pPr>
      <w:r w:rsidRPr="00CB5653">
        <w:t>(b)</w:t>
      </w:r>
      <w:r w:rsidRPr="00CB5653">
        <w:tab/>
        <w:t>Finance Minister;</w:t>
      </w:r>
    </w:p>
    <w:p w14:paraId="09EDB259" w14:textId="77777777" w:rsidR="00523945" w:rsidRPr="00CB5653" w:rsidRDefault="00523945" w:rsidP="00523945">
      <w:pPr>
        <w:pStyle w:val="notepara"/>
      </w:pPr>
      <w:r w:rsidRPr="00CB5653">
        <w:t>(c)</w:t>
      </w:r>
      <w:r w:rsidRPr="00CB5653">
        <w:tab/>
        <w:t>Minister for Northern Australia.</w:t>
      </w:r>
    </w:p>
    <w:p w14:paraId="7EDFA591" w14:textId="77777777" w:rsidR="00523945" w:rsidRPr="00CB5653" w:rsidRDefault="00523945" w:rsidP="00523945">
      <w:pPr>
        <w:pStyle w:val="subsection"/>
      </w:pPr>
      <w:r w:rsidRPr="00CB5653">
        <w:tab/>
      </w:r>
      <w:r w:rsidRPr="00CB5653">
        <w:tab/>
        <w:t>In this instrument:</w:t>
      </w:r>
    </w:p>
    <w:p w14:paraId="64DFB671" w14:textId="77777777" w:rsidR="00523945" w:rsidRPr="00CB5653" w:rsidRDefault="00523945" w:rsidP="00523945">
      <w:pPr>
        <w:pStyle w:val="Definition"/>
      </w:pPr>
      <w:r w:rsidRPr="00CB5653">
        <w:rPr>
          <w:b/>
          <w:i/>
        </w:rPr>
        <w:t>Act</w:t>
      </w:r>
      <w:r w:rsidRPr="00CB5653">
        <w:t xml:space="preserve"> means the </w:t>
      </w:r>
      <w:r w:rsidRPr="00CB5653">
        <w:rPr>
          <w:i/>
        </w:rPr>
        <w:t>Northern Australia Infrastructure Facility Act 2016</w:t>
      </w:r>
      <w:r w:rsidRPr="00CB5653">
        <w:t>.</w:t>
      </w:r>
    </w:p>
    <w:p w14:paraId="7566F62C" w14:textId="77777777" w:rsidR="00523945" w:rsidRPr="00CB5653" w:rsidRDefault="00523945" w:rsidP="00523945">
      <w:pPr>
        <w:pStyle w:val="Definition"/>
        <w:rPr>
          <w:b/>
          <w:i/>
        </w:rPr>
      </w:pPr>
      <w:r w:rsidRPr="00CB5653">
        <w:rPr>
          <w:b/>
          <w:i/>
        </w:rPr>
        <w:t>Alternative Financing Mechanism</w:t>
      </w:r>
      <w:r w:rsidRPr="00CB5653">
        <w:t xml:space="preserve"> means financial assistance other than financial assistance that is only a loan. </w:t>
      </w:r>
    </w:p>
    <w:p w14:paraId="09FEF01F" w14:textId="77777777" w:rsidR="00523945" w:rsidRPr="00CB5653" w:rsidRDefault="00523945" w:rsidP="00523945">
      <w:pPr>
        <w:pStyle w:val="notepara"/>
        <w:ind w:left="2154" w:hanging="1020"/>
      </w:pPr>
      <w:bookmarkStart w:id="9" w:name="_Hlk149218756"/>
      <w:r w:rsidRPr="00CB5653">
        <w:t>Note 1:</w:t>
      </w:r>
      <w:r w:rsidRPr="00CB5653">
        <w:tab/>
      </w:r>
      <w:r w:rsidRPr="00CB5653">
        <w:tab/>
        <w:t xml:space="preserve">Examples of financial assistance that is not a loan include: letters of credit, the purchase of primary-issue bonds, debentures and other debt-like instruments, and equity and equity-like instruments such as ordinary shares, units in trusts, interests in joint ventures, convertible notes and preference shares. </w:t>
      </w:r>
    </w:p>
    <w:bookmarkEnd w:id="9"/>
    <w:p w14:paraId="144E8BBD" w14:textId="77777777" w:rsidR="00523945" w:rsidRPr="00CB5653" w:rsidRDefault="00523945" w:rsidP="00523945">
      <w:pPr>
        <w:pStyle w:val="notepara"/>
        <w:ind w:left="2154" w:hanging="1020"/>
      </w:pPr>
      <w:r w:rsidRPr="00CB5653">
        <w:t>Note 2:</w:t>
      </w:r>
      <w:r w:rsidRPr="00CB5653">
        <w:tab/>
        <w:t xml:space="preserve">If, for example, financial assistance includes both a loan and an equity component, then that financial assistance is not ‘only a loan’, and so is an Alternative Financing Mechanism.  </w:t>
      </w:r>
    </w:p>
    <w:p w14:paraId="24538729" w14:textId="77777777" w:rsidR="00523945" w:rsidRPr="00CB5653" w:rsidRDefault="00523945" w:rsidP="00523945">
      <w:pPr>
        <w:pStyle w:val="Definition"/>
        <w:rPr>
          <w:b/>
          <w:i/>
        </w:rPr>
      </w:pPr>
      <w:r w:rsidRPr="00CB5653">
        <w:rPr>
          <w:b/>
          <w:i/>
        </w:rPr>
        <w:t xml:space="preserve">Commercial Financier </w:t>
      </w:r>
      <w:r w:rsidRPr="00CB5653">
        <w:t>means a private sector body that provides finance or investment into economic infrastructure projects.</w:t>
      </w:r>
    </w:p>
    <w:p w14:paraId="3374FDE5" w14:textId="77777777" w:rsidR="00523945" w:rsidRPr="00CB5653" w:rsidRDefault="00523945" w:rsidP="00523945">
      <w:pPr>
        <w:pStyle w:val="Definition"/>
      </w:pPr>
      <w:r w:rsidRPr="00CB5653">
        <w:rPr>
          <w:b/>
          <w:i/>
        </w:rPr>
        <w:t>Commonwealth entity</w:t>
      </w:r>
      <w:r w:rsidRPr="00CB5653">
        <w:t xml:space="preserve"> has the same meaning as in the </w:t>
      </w:r>
      <w:r w:rsidRPr="00CB5653">
        <w:rPr>
          <w:i/>
        </w:rPr>
        <w:t>Public Governance, Performance and Accountability Act 2013</w:t>
      </w:r>
      <w:r w:rsidRPr="00CB5653">
        <w:t>.</w:t>
      </w:r>
    </w:p>
    <w:p w14:paraId="2A3D1767" w14:textId="77777777" w:rsidR="00523945" w:rsidRPr="00CB5653" w:rsidRDefault="00523945" w:rsidP="00523945">
      <w:pPr>
        <w:pStyle w:val="Definition"/>
      </w:pPr>
      <w:r w:rsidRPr="00CB5653">
        <w:rPr>
          <w:b/>
          <w:i/>
        </w:rPr>
        <w:t>direct assistance</w:t>
      </w:r>
      <w:r w:rsidRPr="00CB5653">
        <w:t xml:space="preserve"> has the meaning given by subsection 13(2).</w:t>
      </w:r>
    </w:p>
    <w:p w14:paraId="04B7A2C3" w14:textId="77777777" w:rsidR="00523945" w:rsidRPr="00CB5653" w:rsidRDefault="00523945" w:rsidP="00523945">
      <w:pPr>
        <w:pStyle w:val="Definition"/>
      </w:pPr>
      <w:bookmarkStart w:id="10" w:name="_Hlk151036181"/>
      <w:r w:rsidRPr="00CB5653">
        <w:rPr>
          <w:b/>
          <w:i/>
        </w:rPr>
        <w:t xml:space="preserve">Finance Department </w:t>
      </w:r>
      <w:r w:rsidRPr="00CB5653">
        <w:t xml:space="preserve">means the Department of State of the Commonwealth administered by the Finance Minister. </w:t>
      </w:r>
    </w:p>
    <w:bookmarkEnd w:id="10"/>
    <w:p w14:paraId="13EBCC3D" w14:textId="77777777" w:rsidR="00523945" w:rsidRPr="00CB5653" w:rsidRDefault="00523945" w:rsidP="00523945">
      <w:pPr>
        <w:pStyle w:val="Definition"/>
      </w:pPr>
      <w:r w:rsidRPr="00CB5653">
        <w:rPr>
          <w:b/>
          <w:i/>
        </w:rPr>
        <w:t>Government Policy Priorities</w:t>
      </w:r>
      <w:r w:rsidRPr="00CB5653">
        <w:t xml:space="preserve"> means the Government priorities described in the first column of the table in Schedule 2.</w:t>
      </w:r>
    </w:p>
    <w:p w14:paraId="5806F8E1" w14:textId="77777777" w:rsidR="00523945" w:rsidRPr="00CB5653" w:rsidRDefault="00523945" w:rsidP="00523945">
      <w:pPr>
        <w:pStyle w:val="Definition"/>
        <w:rPr>
          <w:b/>
        </w:rPr>
      </w:pPr>
      <w:r w:rsidRPr="00CB5653">
        <w:rPr>
          <w:b/>
          <w:i/>
        </w:rPr>
        <w:t>Indian Ocean Territories</w:t>
      </w:r>
      <w:r w:rsidRPr="00CB5653">
        <w:rPr>
          <w:b/>
        </w:rPr>
        <w:t xml:space="preserve"> </w:t>
      </w:r>
      <w:r w:rsidRPr="00CB5653">
        <w:t>means the Territory of Christmas Island and the Territory of Cocos (Keeling) Islands.</w:t>
      </w:r>
      <w:r w:rsidRPr="00CB5653">
        <w:rPr>
          <w:b/>
        </w:rPr>
        <w:t xml:space="preserve"> </w:t>
      </w:r>
    </w:p>
    <w:p w14:paraId="1E86BCD6" w14:textId="77777777" w:rsidR="00523945" w:rsidRPr="00CB5653" w:rsidRDefault="00523945" w:rsidP="00523945">
      <w:pPr>
        <w:pStyle w:val="Definition"/>
      </w:pPr>
      <w:r w:rsidRPr="00CB5653">
        <w:rPr>
          <w:b/>
          <w:i/>
        </w:rPr>
        <w:lastRenderedPageBreak/>
        <w:t>Infrastructure Australia</w:t>
      </w:r>
      <w:r w:rsidRPr="00CB5653">
        <w:t xml:space="preserve"> has the same meaning as in the </w:t>
      </w:r>
      <w:r w:rsidRPr="00CB5653">
        <w:rPr>
          <w:i/>
        </w:rPr>
        <w:t>Infrastructure Australia Act 2008</w:t>
      </w:r>
      <w:r w:rsidRPr="00CB5653">
        <w:t>.</w:t>
      </w:r>
    </w:p>
    <w:p w14:paraId="32072334" w14:textId="77777777" w:rsidR="00523945" w:rsidRPr="00CB5653" w:rsidRDefault="00523945" w:rsidP="00523945">
      <w:pPr>
        <w:pStyle w:val="Definition"/>
      </w:pPr>
      <w:r w:rsidRPr="00CB5653">
        <w:rPr>
          <w:b/>
          <w:i/>
        </w:rPr>
        <w:t xml:space="preserve">Investment Decision </w:t>
      </w:r>
      <w:r w:rsidRPr="00CB5653">
        <w:t>means a decision by the Facility to offer financial assistance for a Project, and includes a decision to offer financial assistance conditional on the negotiation and execution of legal documentation, or on the satisfaction of conditions precedent to funding.</w:t>
      </w:r>
    </w:p>
    <w:p w14:paraId="56DE43FA" w14:textId="77777777" w:rsidR="00523945" w:rsidRPr="00CB5653" w:rsidRDefault="00523945" w:rsidP="00523945">
      <w:pPr>
        <w:pStyle w:val="notepara"/>
        <w:ind w:left="2154" w:hanging="1020"/>
      </w:pPr>
      <w:r w:rsidRPr="00CB5653">
        <w:t>Note:</w:t>
      </w:r>
      <w:r w:rsidRPr="00CB5653">
        <w:tab/>
        <w:t>The making of an Investment Decision results in a proposal by the Facility to provide financial assistance, within the meaning of section 11 of the Act.</w:t>
      </w:r>
    </w:p>
    <w:p w14:paraId="27E2AF9B" w14:textId="77777777" w:rsidR="00523945" w:rsidRPr="00CB5653" w:rsidRDefault="00523945" w:rsidP="00523945">
      <w:pPr>
        <w:pStyle w:val="Definition"/>
        <w:rPr>
          <w:b/>
          <w:i/>
        </w:rPr>
      </w:pPr>
      <w:r w:rsidRPr="00CB5653">
        <w:rPr>
          <w:b/>
          <w:i/>
        </w:rPr>
        <w:t xml:space="preserve">Investment Proposal </w:t>
      </w:r>
      <w:r w:rsidRPr="00CB5653">
        <w:t>means an application for financial assistance submitted to the Facility.</w:t>
      </w:r>
      <w:r w:rsidRPr="00CB5653">
        <w:rPr>
          <w:b/>
          <w:i/>
        </w:rPr>
        <w:t xml:space="preserve"> </w:t>
      </w:r>
    </w:p>
    <w:p w14:paraId="3E77825C" w14:textId="77777777" w:rsidR="00523945" w:rsidRPr="00CB5653" w:rsidRDefault="00523945" w:rsidP="00523945">
      <w:pPr>
        <w:pStyle w:val="Definition"/>
        <w:rPr>
          <w:b/>
        </w:rPr>
      </w:pPr>
      <w:r w:rsidRPr="00CB5653">
        <w:rPr>
          <w:b/>
          <w:i/>
        </w:rPr>
        <w:t>Mandatory Criteria</w:t>
      </w:r>
      <w:r w:rsidRPr="00CB5653">
        <w:t xml:space="preserve"> means the mandatory criteria described in Schedule 1.</w:t>
      </w:r>
    </w:p>
    <w:p w14:paraId="09D0CDFB" w14:textId="77777777" w:rsidR="00523945" w:rsidRPr="00CB5653" w:rsidRDefault="00523945" w:rsidP="00523945">
      <w:pPr>
        <w:pStyle w:val="Definition"/>
        <w:rPr>
          <w:b/>
          <w:i/>
        </w:rPr>
      </w:pPr>
      <w:r w:rsidRPr="00CB5653">
        <w:rPr>
          <w:b/>
          <w:i/>
        </w:rPr>
        <w:t xml:space="preserve">Project </w:t>
      </w:r>
      <w:r w:rsidRPr="00CB5653">
        <w:t>means a project the subject of an Investment Proposal or an Investment Decision.</w:t>
      </w:r>
      <w:r w:rsidRPr="00CB5653">
        <w:rPr>
          <w:b/>
          <w:i/>
        </w:rPr>
        <w:t xml:space="preserve"> </w:t>
      </w:r>
    </w:p>
    <w:p w14:paraId="2A7ABF65" w14:textId="77777777" w:rsidR="00523945" w:rsidRPr="00CB5653" w:rsidRDefault="00523945" w:rsidP="00523945">
      <w:pPr>
        <w:spacing w:before="120"/>
        <w:ind w:left="1123" w:right="284" w:firstLine="11"/>
        <w:rPr>
          <w:b/>
          <w:i/>
        </w:rPr>
      </w:pPr>
      <w:r w:rsidRPr="00CB5653">
        <w:rPr>
          <w:b/>
          <w:i/>
        </w:rPr>
        <w:t xml:space="preserve">Project Proponent </w:t>
      </w:r>
      <w:r w:rsidRPr="00CB5653">
        <w:t xml:space="preserve">means the </w:t>
      </w:r>
      <w:r w:rsidRPr="00CB5653">
        <w:rPr>
          <w:sz w:val="24"/>
        </w:rPr>
        <w:t>entity</w:t>
      </w:r>
      <w:r w:rsidRPr="00CB5653">
        <w:t xml:space="preserve"> responsible for a Project.</w:t>
      </w:r>
    </w:p>
    <w:p w14:paraId="420D5BC9" w14:textId="77777777" w:rsidR="00523945" w:rsidRPr="00CB5653" w:rsidRDefault="00523945" w:rsidP="00523945">
      <w:pPr>
        <w:pStyle w:val="Definition"/>
        <w:rPr>
          <w:b/>
          <w:i/>
        </w:rPr>
      </w:pPr>
      <w:r w:rsidRPr="00CB5653">
        <w:rPr>
          <w:b/>
          <w:i/>
        </w:rPr>
        <w:t>Risk Appetite Statement</w:t>
      </w:r>
      <w:r w:rsidRPr="00CB5653">
        <w:t xml:space="preserve"> has the meaning given by subsection 15(1).</w:t>
      </w:r>
      <w:r w:rsidRPr="00CB5653">
        <w:rPr>
          <w:b/>
          <w:i/>
        </w:rPr>
        <w:t xml:space="preserve"> </w:t>
      </w:r>
    </w:p>
    <w:p w14:paraId="1586FC8C" w14:textId="77777777" w:rsidR="00523945" w:rsidRPr="00CB5653" w:rsidRDefault="00523945" w:rsidP="00523945">
      <w:pPr>
        <w:pStyle w:val="Definition"/>
      </w:pPr>
      <w:r w:rsidRPr="00CB5653">
        <w:rPr>
          <w:b/>
          <w:i/>
        </w:rPr>
        <w:t xml:space="preserve">State </w:t>
      </w:r>
      <w:r w:rsidRPr="00CB5653">
        <w:t xml:space="preserve">includes the Northern Territory. </w:t>
      </w:r>
    </w:p>
    <w:p w14:paraId="7693481E" w14:textId="77777777" w:rsidR="00523945" w:rsidRPr="00CB5653" w:rsidRDefault="00523945" w:rsidP="00523945">
      <w:pPr>
        <w:pStyle w:val="Definition"/>
      </w:pPr>
      <w:r w:rsidRPr="00CB5653">
        <w:rPr>
          <w:b/>
          <w:i/>
        </w:rPr>
        <w:t>Target Portfolio Return</w:t>
      </w:r>
      <w:r w:rsidRPr="00CB5653">
        <w:t xml:space="preserve"> has the meaning given by paragraph 14(5)(a). </w:t>
      </w:r>
    </w:p>
    <w:p w14:paraId="0B42AF1F" w14:textId="77777777" w:rsidR="00523945" w:rsidRPr="00CB5653" w:rsidRDefault="00523945" w:rsidP="00523945">
      <w:pPr>
        <w:pStyle w:val="ActHead5"/>
      </w:pPr>
      <w:bookmarkStart w:id="11" w:name="_Toc454781205"/>
      <w:bookmarkStart w:id="12" w:name="_Toc146281743"/>
      <w:proofErr w:type="gramStart"/>
      <w:r w:rsidRPr="00CB5653">
        <w:t xml:space="preserve">5  </w:t>
      </w:r>
      <w:bookmarkEnd w:id="11"/>
      <w:r w:rsidRPr="00CB5653">
        <w:t>Repeal</w:t>
      </w:r>
      <w:bookmarkEnd w:id="12"/>
      <w:proofErr w:type="gramEnd"/>
    </w:p>
    <w:p w14:paraId="1844F46F" w14:textId="77777777" w:rsidR="00523945" w:rsidRPr="00CB5653" w:rsidRDefault="00523945" w:rsidP="00523945">
      <w:pPr>
        <w:pStyle w:val="subsection"/>
      </w:pPr>
      <w:r w:rsidRPr="00CB5653">
        <w:tab/>
      </w:r>
      <w:r w:rsidRPr="00CB5653">
        <w:tab/>
        <w:t xml:space="preserve">The </w:t>
      </w:r>
      <w:r w:rsidRPr="00CB5653">
        <w:rPr>
          <w:i/>
        </w:rPr>
        <w:t>Northern Australia Infrastructure Facility Investment Mandate Direction 2021</w:t>
      </w:r>
      <w:r w:rsidRPr="00CB5653">
        <w:t xml:space="preserve"> is repealed.</w:t>
      </w:r>
    </w:p>
    <w:p w14:paraId="2861F455" w14:textId="77777777" w:rsidR="00523945" w:rsidRPr="00CB5653" w:rsidRDefault="00523945" w:rsidP="00523945">
      <w:pPr>
        <w:pStyle w:val="ActHead5"/>
      </w:pPr>
      <w:bookmarkStart w:id="13" w:name="_Toc146281744"/>
      <w:proofErr w:type="gramStart"/>
      <w:r w:rsidRPr="00CB5653">
        <w:t>6  Purpose</w:t>
      </w:r>
      <w:bookmarkEnd w:id="13"/>
      <w:proofErr w:type="gramEnd"/>
    </w:p>
    <w:p w14:paraId="50E72896" w14:textId="77777777" w:rsidR="00523945" w:rsidRPr="00CB5653" w:rsidRDefault="00523945" w:rsidP="00523945">
      <w:pPr>
        <w:pStyle w:val="subsection"/>
      </w:pPr>
      <w:r w:rsidRPr="00CB5653">
        <w:tab/>
      </w:r>
      <w:r w:rsidRPr="00CB5653">
        <w:tab/>
        <w:t>The purpose of this Direction is to direct the Board in relation to the performance of the functions of the Facility.</w:t>
      </w:r>
      <w:r w:rsidRPr="00CB5653" w:rsidDel="00527523">
        <w:t xml:space="preserve"> </w:t>
      </w:r>
    </w:p>
    <w:p w14:paraId="4F0CD5D0" w14:textId="77777777" w:rsidR="00523945" w:rsidRPr="00CB5653" w:rsidRDefault="00523945" w:rsidP="00523945">
      <w:pPr>
        <w:pStyle w:val="ActHead2"/>
      </w:pPr>
      <w:bookmarkStart w:id="14" w:name="_Toc146281745"/>
      <w:r w:rsidRPr="00CB5653">
        <w:t>Part 2—Directions about all Investment Decisions</w:t>
      </w:r>
      <w:bookmarkEnd w:id="14"/>
    </w:p>
    <w:p w14:paraId="3A7365CE" w14:textId="77777777" w:rsidR="00523945" w:rsidRPr="00CB5653" w:rsidRDefault="00523945" w:rsidP="00523945">
      <w:pPr>
        <w:pStyle w:val="ActHead5"/>
      </w:pPr>
      <w:bookmarkStart w:id="15" w:name="_Toc146281746"/>
      <w:proofErr w:type="gramStart"/>
      <w:r w:rsidRPr="00CB5653">
        <w:t>7  Making</w:t>
      </w:r>
      <w:proofErr w:type="gramEnd"/>
      <w:r w:rsidRPr="00CB5653">
        <w:t xml:space="preserve"> Investment Decisions</w:t>
      </w:r>
      <w:bookmarkEnd w:id="15"/>
      <w:r w:rsidRPr="00CB5653">
        <w:t xml:space="preserve"> </w:t>
      </w:r>
    </w:p>
    <w:p w14:paraId="7815501F" w14:textId="77777777" w:rsidR="00523945" w:rsidRPr="00CB5653" w:rsidRDefault="00523945" w:rsidP="00523945">
      <w:pPr>
        <w:pStyle w:val="subsection"/>
      </w:pPr>
      <w:r w:rsidRPr="00CB5653">
        <w:tab/>
        <w:t>(1)</w:t>
      </w:r>
      <w:r w:rsidRPr="00CB5653">
        <w:tab/>
      </w:r>
      <w:bookmarkStart w:id="16" w:name="_Hlk145670382"/>
      <w:r w:rsidRPr="00CB5653">
        <w:t xml:space="preserve">When the Facility </w:t>
      </w:r>
      <w:proofErr w:type="gramStart"/>
      <w:r w:rsidRPr="00CB5653">
        <w:t>makes a decision</w:t>
      </w:r>
      <w:proofErr w:type="gramEnd"/>
      <w:r w:rsidRPr="00CB5653">
        <w:t xml:space="preserve"> not to offer financial assistance, it must notify the Project Proponent of that decision as soon as practicable. </w:t>
      </w:r>
    </w:p>
    <w:p w14:paraId="64AFAF9E" w14:textId="77777777" w:rsidR="00523945" w:rsidRPr="00CB5653" w:rsidRDefault="00523945" w:rsidP="00523945">
      <w:pPr>
        <w:pStyle w:val="subsection"/>
      </w:pPr>
      <w:r w:rsidRPr="00CB5653">
        <w:tab/>
        <w:t>(2)</w:t>
      </w:r>
      <w:r w:rsidRPr="00CB5653">
        <w:tab/>
        <w:t>After the Facility has made an Investment Decision, the Facility must as soon as practicable:</w:t>
      </w:r>
    </w:p>
    <w:p w14:paraId="42F13211" w14:textId="77777777" w:rsidR="00523945" w:rsidRPr="00CB5653" w:rsidRDefault="00523945" w:rsidP="00523945">
      <w:pPr>
        <w:pStyle w:val="paragraph"/>
      </w:pPr>
      <w:r w:rsidRPr="00CB5653">
        <w:tab/>
        <w:t>(a)</w:t>
      </w:r>
      <w:r w:rsidRPr="00CB5653">
        <w:tab/>
        <w:t xml:space="preserve">if the Minister gives the Facility a rejection </w:t>
      </w:r>
      <w:proofErr w:type="gramStart"/>
      <w:r w:rsidRPr="00CB5653">
        <w:t>notice</w:t>
      </w:r>
      <w:proofErr w:type="gramEnd"/>
      <w:r w:rsidRPr="00CB5653">
        <w:t xml:space="preserve"> under subsection 11(4) of the Act—notify the Project Proponent of the rejection notice; or</w:t>
      </w:r>
    </w:p>
    <w:p w14:paraId="3A1A7EB5" w14:textId="77777777" w:rsidR="00523945" w:rsidRPr="00CB5653" w:rsidRDefault="00523945" w:rsidP="00523945">
      <w:pPr>
        <w:pStyle w:val="paragraph"/>
      </w:pPr>
      <w:r w:rsidRPr="00CB5653">
        <w:tab/>
        <w:t>(b)</w:t>
      </w:r>
      <w:r w:rsidRPr="00CB5653">
        <w:tab/>
        <w:t>if the consideration period has expired and no rejection notice was given to the Facility, or if the Facility has received a notice under subsection 11(3A) of the Act—notify the Project Proponent that the Project is proposed to be offered financial assistance and the terms of that financial assistance.</w:t>
      </w:r>
    </w:p>
    <w:p w14:paraId="257BB900" w14:textId="77777777" w:rsidR="00523945" w:rsidRPr="00CB5653" w:rsidRDefault="00523945" w:rsidP="00523945">
      <w:pPr>
        <w:pStyle w:val="ActHead5"/>
      </w:pPr>
      <w:bookmarkStart w:id="17" w:name="_Toc146281747"/>
      <w:bookmarkEnd w:id="16"/>
      <w:proofErr w:type="gramStart"/>
      <w:r w:rsidRPr="00CB5653">
        <w:t>8  Matters</w:t>
      </w:r>
      <w:proofErr w:type="gramEnd"/>
      <w:r w:rsidRPr="00CB5653">
        <w:t xml:space="preserve"> to be considered when making Investment Decisions</w:t>
      </w:r>
      <w:bookmarkEnd w:id="17"/>
      <w:r w:rsidRPr="00CB5653">
        <w:t xml:space="preserve"> </w:t>
      </w:r>
    </w:p>
    <w:p w14:paraId="16750746" w14:textId="77777777" w:rsidR="00523945" w:rsidRPr="00CB5653" w:rsidRDefault="00523945" w:rsidP="00523945">
      <w:pPr>
        <w:pStyle w:val="subsection"/>
      </w:pPr>
      <w:r w:rsidRPr="00CB5653">
        <w:tab/>
        <w:t>(1)</w:t>
      </w:r>
      <w:r w:rsidRPr="00CB5653">
        <w:tab/>
        <w:t xml:space="preserve">Before making an Investment Decision, the Facility must </w:t>
      </w:r>
      <w:proofErr w:type="gramStart"/>
      <w:r w:rsidRPr="00CB5653">
        <w:t>take into account</w:t>
      </w:r>
      <w:proofErr w:type="gramEnd"/>
      <w:r w:rsidRPr="00CB5653">
        <w:t xml:space="preserve"> such views on the proposed Investment Decision as are notified to the Facility under section 16 and subsections 17(1) and 17(2). </w:t>
      </w:r>
    </w:p>
    <w:p w14:paraId="22A4CCD7" w14:textId="77777777" w:rsidR="00523945" w:rsidRPr="00CB5653" w:rsidRDefault="00523945" w:rsidP="00523945">
      <w:pPr>
        <w:pStyle w:val="subsection"/>
        <w:rPr>
          <w:szCs w:val="22"/>
        </w:rPr>
      </w:pPr>
      <w:r w:rsidRPr="00CB5653">
        <w:lastRenderedPageBreak/>
        <w:tab/>
      </w:r>
      <w:r w:rsidRPr="00CB5653">
        <w:rPr>
          <w:szCs w:val="22"/>
        </w:rPr>
        <w:t>(2)</w:t>
      </w:r>
      <w:r w:rsidRPr="00CB5653">
        <w:rPr>
          <w:szCs w:val="22"/>
        </w:rPr>
        <w:tab/>
        <w:t>Before making an Investment Decision, the Facility must be satisfied of all of the following matters:</w:t>
      </w:r>
    </w:p>
    <w:p w14:paraId="275327BA" w14:textId="77777777" w:rsidR="00523945" w:rsidRPr="006D14E5" w:rsidRDefault="00523945" w:rsidP="00523945">
      <w:pPr>
        <w:pStyle w:val="paragraph"/>
        <w:rPr>
          <w:szCs w:val="22"/>
        </w:rPr>
      </w:pPr>
      <w:r w:rsidRPr="00CB5653">
        <w:rPr>
          <w:szCs w:val="22"/>
        </w:rPr>
        <w:tab/>
        <w:t>(a)</w:t>
      </w:r>
      <w:r w:rsidRPr="00CB5653">
        <w:rPr>
          <w:szCs w:val="22"/>
        </w:rPr>
        <w:tab/>
        <w:t xml:space="preserve">the </w:t>
      </w:r>
      <w:r w:rsidRPr="006D14E5">
        <w:rPr>
          <w:szCs w:val="22"/>
        </w:rPr>
        <w:t>Investment Proposal meets all applicable Mandatory Criteria;</w:t>
      </w:r>
    </w:p>
    <w:p w14:paraId="3C27D952" w14:textId="77777777" w:rsidR="00523945" w:rsidRPr="006D14E5" w:rsidRDefault="00523945" w:rsidP="00523945">
      <w:pPr>
        <w:pStyle w:val="paragraph"/>
        <w:rPr>
          <w:szCs w:val="22"/>
        </w:rPr>
      </w:pPr>
      <w:r w:rsidRPr="006D14E5">
        <w:rPr>
          <w:szCs w:val="22"/>
        </w:rPr>
        <w:tab/>
        <w:t>(b)</w:t>
      </w:r>
      <w:r w:rsidRPr="006D14E5">
        <w:rPr>
          <w:szCs w:val="22"/>
        </w:rPr>
        <w:tab/>
        <w:t xml:space="preserve">there is </w:t>
      </w:r>
      <w:r w:rsidRPr="00811CDA">
        <w:rPr>
          <w:szCs w:val="22"/>
        </w:rPr>
        <w:t>alignment</w:t>
      </w:r>
      <w:r w:rsidRPr="006D14E5">
        <w:rPr>
          <w:szCs w:val="22"/>
        </w:rPr>
        <w:t xml:space="preserve"> between the Investment Proposal and one or more of the Government Policy Priorities;</w:t>
      </w:r>
    </w:p>
    <w:p w14:paraId="5FC8F4F4" w14:textId="77777777" w:rsidR="00523945" w:rsidRPr="006D14E5" w:rsidRDefault="00523945" w:rsidP="00523945">
      <w:pPr>
        <w:pStyle w:val="paragraph"/>
      </w:pPr>
      <w:r w:rsidRPr="006D14E5">
        <w:tab/>
        <w:t>(c)</w:t>
      </w:r>
      <w:r w:rsidRPr="006D14E5">
        <w:tab/>
        <w:t xml:space="preserve">the return on any financial assistance provided under the Investment Decision is likely to cover at least the Facility’s administrative costs and the Commonwealth’s cost of borrowing; </w:t>
      </w:r>
    </w:p>
    <w:p w14:paraId="3B6A307F" w14:textId="77777777" w:rsidR="00523945" w:rsidRPr="006D14E5" w:rsidRDefault="00523945" w:rsidP="00523945">
      <w:pPr>
        <w:pStyle w:val="paragraph"/>
      </w:pPr>
      <w:r w:rsidRPr="006D14E5">
        <w:tab/>
        <w:t>(d)</w:t>
      </w:r>
      <w:r w:rsidRPr="006D14E5">
        <w:tab/>
        <w:t xml:space="preserve">the Facility will not be the sole holder of financial risk in the Project; </w:t>
      </w:r>
    </w:p>
    <w:p w14:paraId="73D35BA3" w14:textId="77777777" w:rsidR="00523945" w:rsidRPr="006D14E5" w:rsidRDefault="00523945" w:rsidP="00523945">
      <w:pPr>
        <w:pStyle w:val="paragraph"/>
      </w:pPr>
      <w:r w:rsidRPr="006D14E5">
        <w:tab/>
        <w:t>(e)</w:t>
      </w:r>
      <w:r w:rsidRPr="006D14E5">
        <w:tab/>
        <w:t>there is a reasonable allocation of risk for the Project between the Facility and other sources of finance for the Project;</w:t>
      </w:r>
    </w:p>
    <w:p w14:paraId="0E6F84D0" w14:textId="77777777" w:rsidR="00523945" w:rsidRPr="006D14E5" w:rsidRDefault="00523945" w:rsidP="00523945">
      <w:pPr>
        <w:pStyle w:val="paragraph"/>
      </w:pPr>
      <w:r w:rsidRPr="006D14E5">
        <w:tab/>
        <w:t>(f)</w:t>
      </w:r>
      <w:r w:rsidRPr="006D14E5">
        <w:tab/>
        <w:t>it can appropriately manage the Facility’s risk exposure in the Project, including via methods such as covenants or reporting mechanisms;</w:t>
      </w:r>
    </w:p>
    <w:p w14:paraId="6746D822" w14:textId="77777777" w:rsidR="00523945" w:rsidRPr="00CB5653" w:rsidRDefault="00523945" w:rsidP="00523945">
      <w:pPr>
        <w:pStyle w:val="paragraph"/>
      </w:pPr>
      <w:r w:rsidRPr="006D14E5">
        <w:tab/>
        <w:t>(g)</w:t>
      </w:r>
      <w:r w:rsidRPr="006D14E5">
        <w:tab/>
        <w:t xml:space="preserve">the Facility’s risk exposure in the Project, as identified through its due diligence, amounts to an acceptable level of risk </w:t>
      </w:r>
      <w:r w:rsidRPr="00811CDA">
        <w:t>in</w:t>
      </w:r>
      <w:r w:rsidRPr="006D14E5">
        <w:t xml:space="preserve"> the</w:t>
      </w:r>
      <w:r w:rsidRPr="00CB5653">
        <w:t xml:space="preserve"> Project.</w:t>
      </w:r>
    </w:p>
    <w:p w14:paraId="23DE6F83" w14:textId="77777777" w:rsidR="00523945" w:rsidRPr="00CB5653" w:rsidRDefault="00523945" w:rsidP="00523945">
      <w:pPr>
        <w:pStyle w:val="subsection"/>
      </w:pPr>
      <w:r w:rsidRPr="00CB5653">
        <w:tab/>
        <w:t>(3)</w:t>
      </w:r>
      <w:r w:rsidRPr="00CB5653">
        <w:tab/>
        <w:t>Before making an Investment Decision, the Facility must have regard to all of the following matters:</w:t>
      </w:r>
    </w:p>
    <w:p w14:paraId="2768C24B" w14:textId="77777777" w:rsidR="00523945" w:rsidRPr="00CB5653" w:rsidRDefault="00523945" w:rsidP="00523945">
      <w:pPr>
        <w:pStyle w:val="paragraph"/>
      </w:pPr>
      <w:r w:rsidRPr="00CB5653">
        <w:tab/>
        <w:t>(a)</w:t>
      </w:r>
      <w:r w:rsidRPr="00CB5653">
        <w:tab/>
        <w:t xml:space="preserve">the Risk Appetite Statement; </w:t>
      </w:r>
    </w:p>
    <w:p w14:paraId="78F27895" w14:textId="77777777" w:rsidR="00523945" w:rsidRPr="00CB5653" w:rsidRDefault="00523945" w:rsidP="00523945">
      <w:pPr>
        <w:pStyle w:val="paragraph"/>
      </w:pPr>
      <w:r w:rsidRPr="00CB5653">
        <w:tab/>
        <w:t>(b)</w:t>
      </w:r>
      <w:r w:rsidRPr="00CB5653">
        <w:tab/>
        <w:t xml:space="preserve">the extent of any concession that may be offered for the Project, in accordance with section 10 of this Direction; </w:t>
      </w:r>
    </w:p>
    <w:p w14:paraId="0908D4F5" w14:textId="77777777" w:rsidR="00523945" w:rsidRPr="00CB5653" w:rsidRDefault="00523945" w:rsidP="00523945">
      <w:pPr>
        <w:pStyle w:val="paragraph"/>
      </w:pPr>
      <w:r w:rsidRPr="00CB5653">
        <w:tab/>
        <w:t>(c)</w:t>
      </w:r>
      <w:r w:rsidRPr="00CB5653">
        <w:tab/>
        <w:t xml:space="preserve">an appropriate interest rate or target rate of return for the financial assistance to be offered; </w:t>
      </w:r>
    </w:p>
    <w:p w14:paraId="32DE72FA" w14:textId="77777777" w:rsidR="00523945" w:rsidRPr="00CB5653" w:rsidRDefault="00523945" w:rsidP="00523945">
      <w:pPr>
        <w:pStyle w:val="paragraph"/>
      </w:pPr>
      <w:r w:rsidRPr="00CB5653">
        <w:tab/>
        <w:t>(d)</w:t>
      </w:r>
      <w:r w:rsidRPr="00CB5653">
        <w:tab/>
        <w:t>the inherent risk of the Project and its capital structure;</w:t>
      </w:r>
    </w:p>
    <w:p w14:paraId="1AEDAE99" w14:textId="77777777" w:rsidR="00523945" w:rsidRPr="00CB5653" w:rsidRDefault="00523945" w:rsidP="00523945">
      <w:pPr>
        <w:pStyle w:val="paragraph"/>
      </w:pPr>
      <w:r w:rsidRPr="00CB5653">
        <w:tab/>
        <w:t>(e)</w:t>
      </w:r>
      <w:r w:rsidRPr="00CB5653">
        <w:tab/>
        <w:t xml:space="preserve">the potential effect of the Project on other economic infrastructure; </w:t>
      </w:r>
    </w:p>
    <w:p w14:paraId="2B4FEBE4" w14:textId="77777777" w:rsidR="00523945" w:rsidRPr="00CB5653" w:rsidRDefault="00523945" w:rsidP="00523945">
      <w:pPr>
        <w:pStyle w:val="paragraph"/>
      </w:pPr>
      <w:r w:rsidRPr="00CB5653">
        <w:tab/>
        <w:t>(f)</w:t>
      </w:r>
      <w:r w:rsidRPr="00CB5653">
        <w:tab/>
        <w:t>the potential effect of the investment on the Australian infrastructure financing market;</w:t>
      </w:r>
    </w:p>
    <w:p w14:paraId="3419482B" w14:textId="77777777" w:rsidR="00523945" w:rsidRPr="00CB5653" w:rsidRDefault="00523945" w:rsidP="00523945">
      <w:pPr>
        <w:pStyle w:val="paragraph"/>
      </w:pPr>
      <w:r w:rsidRPr="00CB5653">
        <w:tab/>
        <w:t>(g)</w:t>
      </w:r>
      <w:r w:rsidRPr="00CB5653">
        <w:tab/>
        <w:t>the potential effect of the investment on the activities of other Commonwealth entities;</w:t>
      </w:r>
    </w:p>
    <w:p w14:paraId="48F27841" w14:textId="77777777" w:rsidR="00523945" w:rsidRPr="00CB5653" w:rsidRDefault="00523945" w:rsidP="00523945">
      <w:pPr>
        <w:pStyle w:val="paragraph"/>
      </w:pPr>
      <w:r w:rsidRPr="00CB5653">
        <w:tab/>
        <w:t>(h)</w:t>
      </w:r>
      <w:r w:rsidRPr="00CB5653">
        <w:tab/>
        <w:t>the potential of the investment to encourage private sector participation in financing the Project;</w:t>
      </w:r>
    </w:p>
    <w:p w14:paraId="18FC3F44" w14:textId="77777777" w:rsidR="00523945" w:rsidRPr="00CB5653" w:rsidRDefault="00523945" w:rsidP="00523945">
      <w:pPr>
        <w:pStyle w:val="paragraph"/>
      </w:pPr>
      <w:r w:rsidRPr="00CB5653">
        <w:tab/>
        <w:t>(</w:t>
      </w:r>
      <w:proofErr w:type="spellStart"/>
      <w:r w:rsidRPr="00CB5653">
        <w:t>i</w:t>
      </w:r>
      <w:proofErr w:type="spellEnd"/>
      <w:r w:rsidRPr="00CB5653">
        <w:t>)</w:t>
      </w:r>
      <w:r w:rsidRPr="00CB5653">
        <w:tab/>
      </w:r>
      <w:bookmarkStart w:id="18" w:name="_Hlk132726575"/>
      <w:r w:rsidRPr="00CB5653">
        <w:t xml:space="preserve">the costs and benefits of the Investment Decision as compared with other Investment Proposals the Facility has under consideration; </w:t>
      </w:r>
    </w:p>
    <w:p w14:paraId="2013CB87" w14:textId="77777777" w:rsidR="00523945" w:rsidRPr="00CB5653" w:rsidRDefault="00523945" w:rsidP="00523945">
      <w:pPr>
        <w:pStyle w:val="paragraph"/>
      </w:pPr>
      <w:r w:rsidRPr="00CB5653">
        <w:tab/>
        <w:t>(j)</w:t>
      </w:r>
      <w:r w:rsidRPr="00CB5653">
        <w:tab/>
        <w:t xml:space="preserve">the advantages of a diversified portfolio of investments, including with respect to industry sector and geographic spread across the jurisdictions that comprise Northern Australia; </w:t>
      </w:r>
    </w:p>
    <w:p w14:paraId="3273B9E2" w14:textId="77777777" w:rsidR="00523945" w:rsidRPr="00CB5653" w:rsidRDefault="00523945" w:rsidP="00523945">
      <w:pPr>
        <w:pStyle w:val="paragraph"/>
      </w:pPr>
      <w:r w:rsidRPr="00CB5653">
        <w:tab/>
        <w:t>(k)</w:t>
      </w:r>
      <w:r w:rsidRPr="00CB5653">
        <w:tab/>
        <w:t xml:space="preserve">the extent to which the Project addresses identified economic infrastructure needs, as noted through Commonwealth, State or Territory assessment processes, pipelines, or priority lists; </w:t>
      </w:r>
    </w:p>
    <w:p w14:paraId="1CAEE3A7" w14:textId="77777777" w:rsidR="00523945" w:rsidRPr="00CB5653" w:rsidRDefault="00523945" w:rsidP="00523945">
      <w:pPr>
        <w:pStyle w:val="paragraph"/>
      </w:pPr>
      <w:r w:rsidRPr="00CB5653">
        <w:tab/>
        <w:t>(l)</w:t>
      </w:r>
      <w:r w:rsidRPr="00CB5653">
        <w:tab/>
        <w:t>the extent to which the Project contributes, or would contribute to, the material improvement to the infrastructure of a region;</w:t>
      </w:r>
    </w:p>
    <w:p w14:paraId="7C603B41" w14:textId="77777777" w:rsidR="00523945" w:rsidRPr="00CB5653" w:rsidRDefault="00523945" w:rsidP="00523945">
      <w:pPr>
        <w:pStyle w:val="paragraph"/>
      </w:pPr>
      <w:r w:rsidRPr="00CB5653">
        <w:tab/>
        <w:t>(m)</w:t>
      </w:r>
      <w:r w:rsidRPr="00CB5653">
        <w:tab/>
        <w:t xml:space="preserve">the extent to which the Project contributes, or would contribute to, the provision of public benefit to the residents of a region.   </w:t>
      </w:r>
      <w:bookmarkEnd w:id="18"/>
      <w:r w:rsidRPr="00CB5653">
        <w:t xml:space="preserve"> </w:t>
      </w:r>
    </w:p>
    <w:p w14:paraId="12CE38A8" w14:textId="77777777" w:rsidR="00523945" w:rsidRPr="00CB5653" w:rsidRDefault="00523945" w:rsidP="00523945">
      <w:pPr>
        <w:pStyle w:val="ActHead5"/>
      </w:pPr>
      <w:bookmarkStart w:id="19" w:name="_Toc146281748"/>
      <w:proofErr w:type="gramStart"/>
      <w:r w:rsidRPr="00CB5653">
        <w:t>9  Discretion</w:t>
      </w:r>
      <w:bookmarkEnd w:id="19"/>
      <w:proofErr w:type="gramEnd"/>
    </w:p>
    <w:p w14:paraId="0C604B3E" w14:textId="77777777" w:rsidR="00523945" w:rsidRPr="00CB5653" w:rsidRDefault="00523945" w:rsidP="00523945">
      <w:pPr>
        <w:pStyle w:val="subsection"/>
      </w:pPr>
      <w:r w:rsidRPr="00CB5653">
        <w:tab/>
        <w:t>(1)</w:t>
      </w:r>
      <w:r w:rsidRPr="00CB5653">
        <w:tab/>
        <w:t>The Facility may at any time before entering into an arrangement to provide financial assistance in relation to an Investment Proposal, decide not to provide financial assistance for that Project.</w:t>
      </w:r>
    </w:p>
    <w:p w14:paraId="65334491" w14:textId="77777777" w:rsidR="00523945" w:rsidRPr="00CB5653" w:rsidRDefault="00523945" w:rsidP="00523945">
      <w:pPr>
        <w:pStyle w:val="subsection"/>
      </w:pPr>
      <w:r w:rsidRPr="00CB5653">
        <w:tab/>
        <w:t>(2)</w:t>
      </w:r>
      <w:r w:rsidRPr="00CB5653">
        <w:tab/>
        <w:t xml:space="preserve">The Facility may receive and consider Investment Proposals from any sector. </w:t>
      </w:r>
    </w:p>
    <w:p w14:paraId="7ADA4D9B" w14:textId="77777777" w:rsidR="00523945" w:rsidRPr="00CB5653" w:rsidRDefault="00523945" w:rsidP="00523945">
      <w:pPr>
        <w:pStyle w:val="subsection"/>
      </w:pPr>
      <w:r w:rsidRPr="00CB5653">
        <w:lastRenderedPageBreak/>
        <w:tab/>
        <w:t>(3)</w:t>
      </w:r>
      <w:r w:rsidRPr="00CB5653">
        <w:tab/>
      </w:r>
      <w:bookmarkStart w:id="20" w:name="_Hlk147487224"/>
      <w:r w:rsidRPr="00CB5653">
        <w:t xml:space="preserve">The Facility must notionally set aside $500 million from the amount appropriated by section 41 of the Act to support projects which: </w:t>
      </w:r>
    </w:p>
    <w:p w14:paraId="23E038D5" w14:textId="77777777" w:rsidR="00523945" w:rsidRPr="00CB5653" w:rsidRDefault="00523945" w:rsidP="00523945">
      <w:pPr>
        <w:pStyle w:val="paragraph"/>
      </w:pPr>
      <w:r w:rsidRPr="00CB5653">
        <w:tab/>
        <w:t>(a)</w:t>
      </w:r>
      <w:r w:rsidRPr="00CB5653">
        <w:tab/>
        <w:t>materially contribute to Priority 4 of the Government Policy Priorities; or</w:t>
      </w:r>
    </w:p>
    <w:p w14:paraId="6BF1113A" w14:textId="77777777" w:rsidR="00523945" w:rsidRDefault="00523945" w:rsidP="00523945">
      <w:pPr>
        <w:pStyle w:val="paragraph"/>
      </w:pPr>
      <w:r w:rsidRPr="00CB5653">
        <w:tab/>
        <w:t>(b)</w:t>
      </w:r>
      <w:r w:rsidRPr="00CB5653">
        <w:tab/>
        <w:t>contribute to the delivery or operation of a project that satisfies paragraph (a);</w:t>
      </w:r>
    </w:p>
    <w:p w14:paraId="1A2ED3B6" w14:textId="77777777" w:rsidR="00523945" w:rsidRPr="00CB5653" w:rsidRDefault="00523945" w:rsidP="00523945">
      <w:pPr>
        <w:pStyle w:val="paragraph"/>
      </w:pPr>
      <w:r>
        <w:tab/>
      </w:r>
      <w:r>
        <w:tab/>
        <w:t xml:space="preserve">and </w:t>
      </w:r>
      <w:r w:rsidRPr="00CB5653">
        <w:t>must not use any of that $500 million to support other projects.</w:t>
      </w:r>
    </w:p>
    <w:p w14:paraId="117CA77D" w14:textId="77777777" w:rsidR="00523945" w:rsidRPr="00CB5653" w:rsidRDefault="00523945" w:rsidP="00523945">
      <w:pPr>
        <w:pStyle w:val="subsection"/>
      </w:pPr>
      <w:r w:rsidRPr="00CB5653">
        <w:tab/>
        <w:t>(4)</w:t>
      </w:r>
      <w:r w:rsidRPr="00CB5653">
        <w:tab/>
        <w:t xml:space="preserve">To avoid doubt, subsection (3) does not prevent the Facility from using more than $500 million from the amount appropriated by section 41 of the Act to support projects aligned with Priority 4 of the Government Policy Priorities. </w:t>
      </w:r>
    </w:p>
    <w:p w14:paraId="76322CFD" w14:textId="77777777" w:rsidR="00523945" w:rsidRPr="00CB5653" w:rsidRDefault="00523945" w:rsidP="00523945">
      <w:pPr>
        <w:pStyle w:val="ActHead2"/>
      </w:pPr>
      <w:bookmarkStart w:id="21" w:name="_Toc146281749"/>
      <w:bookmarkEnd w:id="20"/>
      <w:r w:rsidRPr="00CB5653">
        <w:t>Part 3—Directions about specific types of Investment Decisions and derivatives</w:t>
      </w:r>
      <w:bookmarkEnd w:id="21"/>
      <w:r w:rsidRPr="00CB5653">
        <w:t xml:space="preserve"> </w:t>
      </w:r>
    </w:p>
    <w:p w14:paraId="7DF4EA28" w14:textId="77777777" w:rsidR="00523945" w:rsidRPr="00CB5653" w:rsidRDefault="00523945" w:rsidP="00523945">
      <w:pPr>
        <w:pStyle w:val="ActHead5"/>
      </w:pPr>
      <w:bookmarkStart w:id="22" w:name="_Toc146281750"/>
      <w:bookmarkStart w:id="23" w:name="_Hlk145065321"/>
      <w:proofErr w:type="gramStart"/>
      <w:r w:rsidRPr="00CB5653">
        <w:t>10  Determining</w:t>
      </w:r>
      <w:proofErr w:type="gramEnd"/>
      <w:r w:rsidRPr="00CB5653">
        <w:t xml:space="preserve"> loan conditions and concessions</w:t>
      </w:r>
      <w:bookmarkEnd w:id="22"/>
    </w:p>
    <w:p w14:paraId="37C7F14D" w14:textId="77777777" w:rsidR="00523945" w:rsidRPr="00CB5653" w:rsidRDefault="00523945" w:rsidP="00523945">
      <w:pPr>
        <w:pStyle w:val="subsection"/>
      </w:pPr>
      <w:bookmarkStart w:id="24" w:name="_Hlk145674557"/>
      <w:bookmarkEnd w:id="23"/>
      <w:r w:rsidRPr="00CB5653">
        <w:tab/>
        <w:t>(1)</w:t>
      </w:r>
      <w:r w:rsidRPr="00CB5653">
        <w:tab/>
        <w:t xml:space="preserve">Loans are to </w:t>
      </w:r>
      <w:r w:rsidRPr="00CB5653" w:rsidDel="00F55090">
        <w:t>be</w:t>
      </w:r>
      <w:r w:rsidRPr="00CB5653">
        <w:t xml:space="preserve"> the primary form of financial assistance considered by the Facility for all Investment Proposals.</w:t>
      </w:r>
    </w:p>
    <w:bookmarkEnd w:id="24"/>
    <w:p w14:paraId="0C80D8B0" w14:textId="77777777" w:rsidR="00523945" w:rsidRPr="00CB5653" w:rsidRDefault="00523945" w:rsidP="00523945">
      <w:pPr>
        <w:pStyle w:val="subsection"/>
      </w:pPr>
      <w:r w:rsidRPr="00CB5653">
        <w:tab/>
        <w:t>(2)</w:t>
      </w:r>
      <w:r w:rsidRPr="00CB5653">
        <w:tab/>
        <w:t xml:space="preserve">Subject to section 13, the Facility may offer loans on non-concessional terms where appropriate. </w:t>
      </w:r>
    </w:p>
    <w:p w14:paraId="460596E1" w14:textId="77777777" w:rsidR="00523945" w:rsidRPr="00CB5653" w:rsidRDefault="00523945" w:rsidP="00523945">
      <w:pPr>
        <w:pStyle w:val="subsection"/>
      </w:pPr>
      <w:r w:rsidRPr="00CB5653">
        <w:tab/>
        <w:t>(3)</w:t>
      </w:r>
      <w:r w:rsidRPr="00CB5653">
        <w:tab/>
        <w:t>The Facility</w:t>
      </w:r>
      <w:r w:rsidRPr="00CB5653" w:rsidDel="00582AC2">
        <w:t xml:space="preserve"> </w:t>
      </w:r>
      <w:r w:rsidRPr="00CB5653">
        <w:t>must limit concessions offered to the minimum concessions the Facility</w:t>
      </w:r>
      <w:r w:rsidRPr="00CB5653" w:rsidDel="005912E8">
        <w:t xml:space="preserve"> </w:t>
      </w:r>
      <w:r w:rsidRPr="00CB5653">
        <w:t xml:space="preserve">considers necessary for a Project to proceed. </w:t>
      </w:r>
    </w:p>
    <w:p w14:paraId="5F79FF64" w14:textId="77777777" w:rsidR="00523945" w:rsidRPr="00CB5653" w:rsidRDefault="00523945" w:rsidP="00523945">
      <w:pPr>
        <w:pStyle w:val="subsection"/>
      </w:pPr>
      <w:r w:rsidRPr="00CB5653">
        <w:tab/>
        <w:t>(4)</w:t>
      </w:r>
      <w:r w:rsidRPr="00CB5653">
        <w:tab/>
        <w:t>The Facility must not provide loans on concessional terms unless the Facility has done an assessment, and on the basis of that assessment is satisfied that:</w:t>
      </w:r>
    </w:p>
    <w:p w14:paraId="66478E5F" w14:textId="77777777" w:rsidR="00523945" w:rsidRPr="00CB5653" w:rsidRDefault="00523945" w:rsidP="00523945">
      <w:pPr>
        <w:pStyle w:val="paragraph"/>
      </w:pPr>
      <w:r w:rsidRPr="00CB5653">
        <w:tab/>
        <w:t>(a)</w:t>
      </w:r>
      <w:r w:rsidRPr="00CB5653">
        <w:tab/>
        <w:t>the provision of loans on a concessional basis would be the most appropriate way of achieving a particular public benefit that the Facility is seeking to achieve; and</w:t>
      </w:r>
    </w:p>
    <w:p w14:paraId="622DB3B1" w14:textId="77777777" w:rsidR="00523945" w:rsidRPr="00CB5653" w:rsidRDefault="00523945" w:rsidP="00523945">
      <w:pPr>
        <w:pStyle w:val="paragraph"/>
      </w:pPr>
      <w:r w:rsidRPr="00CB5653">
        <w:tab/>
        <w:t>(b)</w:t>
      </w:r>
      <w:r w:rsidRPr="00CB5653">
        <w:tab/>
        <w:t xml:space="preserve">the level of </w:t>
      </w:r>
      <w:proofErr w:type="spellStart"/>
      <w:r w:rsidRPr="00CB5653">
        <w:t>concessionality</w:t>
      </w:r>
      <w:proofErr w:type="spellEnd"/>
      <w:r w:rsidRPr="00CB5653">
        <w:t xml:space="preserve"> is reasonable given the expected economic and public benefit of the investment; and</w:t>
      </w:r>
    </w:p>
    <w:p w14:paraId="0E537DB2" w14:textId="77777777" w:rsidR="00523945" w:rsidRPr="00CB5653" w:rsidRDefault="00523945" w:rsidP="00523945">
      <w:pPr>
        <w:pStyle w:val="paragraph"/>
      </w:pPr>
      <w:r w:rsidRPr="00CB5653">
        <w:tab/>
        <w:t>(c)</w:t>
      </w:r>
      <w:r w:rsidRPr="00CB5653">
        <w:tab/>
        <w:t xml:space="preserve">the </w:t>
      </w:r>
      <w:proofErr w:type="spellStart"/>
      <w:r w:rsidRPr="00CB5653">
        <w:t>concessionality</w:t>
      </w:r>
      <w:proofErr w:type="spellEnd"/>
      <w:r w:rsidRPr="00CB5653">
        <w:t xml:space="preserve"> provided is the minimum that would achieve those benefits.</w:t>
      </w:r>
    </w:p>
    <w:p w14:paraId="3409DAD3" w14:textId="77777777" w:rsidR="00523945" w:rsidRPr="00CB5653" w:rsidRDefault="00523945" w:rsidP="00523945">
      <w:pPr>
        <w:pStyle w:val="subsection"/>
      </w:pPr>
      <w:r w:rsidRPr="00CB5653">
        <w:tab/>
        <w:t>(5)</w:t>
      </w:r>
      <w:r w:rsidRPr="00CB5653">
        <w:tab/>
        <w:t>Where the Facility is satisfied of the things mentioned in subsection (4), the Facility may propose loan concessions including but not limited to any or all of the following:</w:t>
      </w:r>
    </w:p>
    <w:p w14:paraId="791C9D3A" w14:textId="77777777" w:rsidR="00523945" w:rsidRPr="00CB5653" w:rsidRDefault="00523945" w:rsidP="00523945">
      <w:pPr>
        <w:pStyle w:val="paragraph"/>
      </w:pPr>
      <w:r w:rsidRPr="00CB5653">
        <w:tab/>
        <w:t>(a)</w:t>
      </w:r>
      <w:r w:rsidRPr="00CB5653">
        <w:tab/>
        <w:t xml:space="preserve">longer loan tenor than offered by Commercial Financiers, not exceeding the longest term of Commonwealth borrowings; </w:t>
      </w:r>
    </w:p>
    <w:p w14:paraId="59C8AC56" w14:textId="77777777" w:rsidR="00523945" w:rsidRPr="00CB5653" w:rsidRDefault="00523945" w:rsidP="00523945">
      <w:pPr>
        <w:pStyle w:val="paragraph"/>
      </w:pPr>
      <w:r w:rsidRPr="00CB5653">
        <w:tab/>
        <w:t>(b)</w:t>
      </w:r>
      <w:r w:rsidRPr="00CB5653">
        <w:tab/>
        <w:t xml:space="preserve">lower interest rates than offered by Commercial Financiers, which must not be lower than the rate at which the Commonwealth borrows; </w:t>
      </w:r>
    </w:p>
    <w:p w14:paraId="0288393C" w14:textId="77777777" w:rsidR="00523945" w:rsidRPr="00CB5653" w:rsidRDefault="00523945" w:rsidP="00523945">
      <w:pPr>
        <w:pStyle w:val="paragraph"/>
      </w:pPr>
      <w:r w:rsidRPr="00CB5653">
        <w:tab/>
        <w:t>(c)</w:t>
      </w:r>
      <w:r w:rsidRPr="00CB5653">
        <w:tab/>
        <w:t xml:space="preserve">extended periods of capitalisation of interest beyond construction completion; </w:t>
      </w:r>
    </w:p>
    <w:p w14:paraId="3F086C0B" w14:textId="77777777" w:rsidR="00523945" w:rsidRPr="00CB5653" w:rsidRDefault="00523945" w:rsidP="00523945">
      <w:pPr>
        <w:pStyle w:val="paragraph"/>
      </w:pPr>
      <w:r w:rsidRPr="00CB5653">
        <w:tab/>
        <w:t>(d)</w:t>
      </w:r>
      <w:r w:rsidRPr="00CB5653">
        <w:tab/>
        <w:t xml:space="preserve">deferral of loan repayments or other types of tailored loan repayment schedules; </w:t>
      </w:r>
    </w:p>
    <w:p w14:paraId="4125B325" w14:textId="77777777" w:rsidR="00523945" w:rsidRPr="00CB5653" w:rsidRDefault="00523945" w:rsidP="00523945">
      <w:pPr>
        <w:pStyle w:val="paragraph"/>
      </w:pPr>
      <w:r w:rsidRPr="00CB5653">
        <w:tab/>
        <w:t>(e)</w:t>
      </w:r>
      <w:r w:rsidRPr="00CB5653">
        <w:tab/>
        <w:t xml:space="preserve">lower or different fee structures than those offered by Commercial Financiers; </w:t>
      </w:r>
    </w:p>
    <w:p w14:paraId="5E56786B" w14:textId="77777777" w:rsidR="00523945" w:rsidRPr="00CB5653" w:rsidRDefault="00523945" w:rsidP="00523945">
      <w:pPr>
        <w:pStyle w:val="paragraph"/>
      </w:pPr>
      <w:r w:rsidRPr="00CB5653">
        <w:tab/>
        <w:t>(f)</w:t>
      </w:r>
      <w:r w:rsidRPr="00CB5653">
        <w:tab/>
        <w:t>subordination.</w:t>
      </w:r>
    </w:p>
    <w:p w14:paraId="365682E1" w14:textId="77777777" w:rsidR="00523945" w:rsidRPr="00351491" w:rsidRDefault="00523945" w:rsidP="00523945">
      <w:pPr>
        <w:pStyle w:val="subsection"/>
      </w:pPr>
      <w:r w:rsidRPr="00CB5653">
        <w:tab/>
        <w:t>(6)</w:t>
      </w:r>
      <w:r w:rsidRPr="00CB5653">
        <w:tab/>
      </w:r>
      <w:bookmarkStart w:id="25" w:name="_Hlk145674925"/>
      <w:r w:rsidRPr="00CB5653">
        <w:t>When negotiating loan concessions for a Project, the Facility</w:t>
      </w:r>
      <w:r w:rsidRPr="00CB5653" w:rsidDel="00582AC2">
        <w:t xml:space="preserve"> </w:t>
      </w:r>
      <w:r w:rsidRPr="00CB5653">
        <w:t xml:space="preserve">should consider proposing and utilising contract terms or conditions which reduce or remove the concessions over time, or which </w:t>
      </w:r>
      <w:r w:rsidRPr="00351491">
        <w:t>enable the Facility to seek early exit from an investment, where the Project becomes viable on non-concessional terms.</w:t>
      </w:r>
    </w:p>
    <w:p w14:paraId="2FE7BBB2" w14:textId="77777777" w:rsidR="00523945" w:rsidRPr="00CB5653" w:rsidRDefault="00523945" w:rsidP="00523945">
      <w:pPr>
        <w:pStyle w:val="subsection"/>
      </w:pPr>
      <w:r w:rsidRPr="00351491">
        <w:tab/>
        <w:t>(7)</w:t>
      </w:r>
      <w:r w:rsidRPr="00351491">
        <w:tab/>
        <w:t>To avoid doubt, subsections (</w:t>
      </w:r>
      <w:r w:rsidRPr="00811CDA">
        <w:t>3</w:t>
      </w:r>
      <w:r w:rsidRPr="00351491">
        <w:t>)-(6) do not apply in relation to direct assistance for a Project in one or more States.</w:t>
      </w:r>
      <w:r w:rsidRPr="00CB5653">
        <w:t xml:space="preserve">  </w:t>
      </w:r>
      <w:bookmarkEnd w:id="25"/>
    </w:p>
    <w:p w14:paraId="681859DA" w14:textId="77777777" w:rsidR="00523945" w:rsidRPr="00CB5653" w:rsidRDefault="00523945" w:rsidP="00523945">
      <w:pPr>
        <w:pStyle w:val="ActHead5"/>
      </w:pPr>
      <w:bookmarkStart w:id="26" w:name="_Toc146281751"/>
      <w:proofErr w:type="gramStart"/>
      <w:r w:rsidRPr="00CB5653">
        <w:lastRenderedPageBreak/>
        <w:t>11  Alternative</w:t>
      </w:r>
      <w:proofErr w:type="gramEnd"/>
      <w:r w:rsidRPr="00CB5653">
        <w:t xml:space="preserve"> Financing Mechanisms</w:t>
      </w:r>
      <w:bookmarkEnd w:id="26"/>
    </w:p>
    <w:p w14:paraId="093BF743" w14:textId="77777777" w:rsidR="00523945" w:rsidRPr="00CB5653" w:rsidRDefault="00523945" w:rsidP="00523945">
      <w:pPr>
        <w:pStyle w:val="subsection"/>
      </w:pPr>
      <w:r w:rsidRPr="00CB5653">
        <w:tab/>
        <w:t>(1)</w:t>
      </w:r>
      <w:r w:rsidRPr="00CB5653">
        <w:tab/>
        <w:t>The Facility may only offer an Alternative Financing Mechanism for a Project if the Facility is satisfied that, unless an Alternative Financing Mechanism is used, the Project would either:</w:t>
      </w:r>
    </w:p>
    <w:p w14:paraId="5C896A81" w14:textId="77777777" w:rsidR="00523945" w:rsidRPr="00CB5653" w:rsidRDefault="00523945" w:rsidP="00523945">
      <w:pPr>
        <w:pStyle w:val="paragraph"/>
      </w:pPr>
      <w:r w:rsidRPr="00CB5653">
        <w:tab/>
        <w:t>(a)</w:t>
      </w:r>
      <w:r w:rsidRPr="00CB5653">
        <w:tab/>
        <w:t xml:space="preserve">not proceed; or </w:t>
      </w:r>
    </w:p>
    <w:p w14:paraId="1EC7B44D" w14:textId="77777777" w:rsidR="00523945" w:rsidRPr="00CB5653" w:rsidRDefault="00523945" w:rsidP="00523945">
      <w:pPr>
        <w:pStyle w:val="paragraph"/>
      </w:pPr>
      <w:r w:rsidRPr="00CB5653">
        <w:tab/>
        <w:t>(b)</w:t>
      </w:r>
      <w:r w:rsidRPr="00CB5653">
        <w:tab/>
        <w:t>would proceed, but the public benefits able to be achieved would be considerably lower than can be achieved with an Alternative Financing Mechanism.</w:t>
      </w:r>
    </w:p>
    <w:p w14:paraId="6E5CB4DA" w14:textId="77777777" w:rsidR="00523945" w:rsidRPr="00CB5653" w:rsidRDefault="00523945" w:rsidP="00523945">
      <w:pPr>
        <w:pStyle w:val="subsection"/>
      </w:pPr>
      <w:r w:rsidRPr="00CB5653">
        <w:tab/>
        <w:t>(2)</w:t>
      </w:r>
      <w:r w:rsidRPr="00CB5653">
        <w:tab/>
        <w:t xml:space="preserve">Where the Facility considers an Alternative </w:t>
      </w:r>
      <w:proofErr w:type="gramStart"/>
      <w:r w:rsidRPr="00CB5653">
        <w:t>Financing</w:t>
      </w:r>
      <w:proofErr w:type="gramEnd"/>
      <w:r w:rsidRPr="00CB5653">
        <w:t xml:space="preserve"> Mechanism is preferable to a loan, it must give the Minister for Northern Australia, with the proposal notice required under subsection 11(2) of the Act, the following information:  </w:t>
      </w:r>
    </w:p>
    <w:p w14:paraId="759308F3" w14:textId="77777777" w:rsidR="00523945" w:rsidRPr="00CB5653" w:rsidRDefault="00523945" w:rsidP="00523945">
      <w:pPr>
        <w:pStyle w:val="paragraph"/>
      </w:pPr>
      <w:r w:rsidRPr="00CB5653">
        <w:tab/>
        <w:t>(a)</w:t>
      </w:r>
      <w:r w:rsidRPr="00CB5653">
        <w:tab/>
        <w:t>an explanation as to why the Facility considers the Alternative Financing Mechanism is necessary; and</w:t>
      </w:r>
    </w:p>
    <w:p w14:paraId="24CB58ED" w14:textId="77777777" w:rsidR="00523945" w:rsidRPr="00CB5653" w:rsidRDefault="00523945" w:rsidP="00523945">
      <w:pPr>
        <w:pStyle w:val="paragraph"/>
      </w:pPr>
      <w:r w:rsidRPr="00CB5653">
        <w:tab/>
        <w:t>(b)</w:t>
      </w:r>
      <w:r w:rsidRPr="00CB5653">
        <w:tab/>
        <w:t>the estimated commercial value of any concession proposed with the Alternative Financing Mechanism; and</w:t>
      </w:r>
    </w:p>
    <w:p w14:paraId="281F3F4F" w14:textId="77777777" w:rsidR="00523945" w:rsidRPr="00CB5653" w:rsidRDefault="00523945" w:rsidP="00523945">
      <w:pPr>
        <w:pStyle w:val="paragraph"/>
      </w:pPr>
      <w:r w:rsidRPr="00CB5653">
        <w:tab/>
        <w:t>(c)</w:t>
      </w:r>
      <w:r w:rsidRPr="00CB5653">
        <w:tab/>
        <w:t>an explanation as to alignment between the Alternative Financing Mechanism and the Risk Appetite Statement (see section 15 of this Direction); and</w:t>
      </w:r>
    </w:p>
    <w:p w14:paraId="51CC90EA" w14:textId="77777777" w:rsidR="00523945" w:rsidRPr="00CB5653" w:rsidRDefault="00523945" w:rsidP="00523945">
      <w:pPr>
        <w:pStyle w:val="paragraph"/>
      </w:pPr>
      <w:r w:rsidRPr="00CB5653">
        <w:tab/>
        <w:t>(d)</w:t>
      </w:r>
      <w:r w:rsidRPr="00CB5653">
        <w:tab/>
        <w:t>an assessment of any impacts on the appropriation in section 41 of the Act; and</w:t>
      </w:r>
    </w:p>
    <w:p w14:paraId="2FE04B55" w14:textId="77777777" w:rsidR="00523945" w:rsidRPr="00CB5653" w:rsidRDefault="00523945" w:rsidP="00523945">
      <w:pPr>
        <w:pStyle w:val="paragraph"/>
      </w:pPr>
      <w:r w:rsidRPr="00CB5653">
        <w:tab/>
        <w:t>(e)</w:t>
      </w:r>
      <w:r w:rsidRPr="00CB5653">
        <w:tab/>
        <w:t>the proposed exit strategy for the Alternative Financing Mechanism.</w:t>
      </w:r>
    </w:p>
    <w:p w14:paraId="4AB6CC0D" w14:textId="77777777" w:rsidR="00523945" w:rsidRPr="00CB5653" w:rsidRDefault="00523945" w:rsidP="00523945">
      <w:pPr>
        <w:pStyle w:val="subsection"/>
      </w:pPr>
      <w:r w:rsidRPr="00CB5653">
        <w:tab/>
        <w:t>(3)</w:t>
      </w:r>
      <w:r w:rsidRPr="00CB5653">
        <w:tab/>
        <w:t>At no time may the total potential liability under outstanding guarantees exceed the amount of the uncommitted balance of the appropriation in section 41 of the Act.</w:t>
      </w:r>
    </w:p>
    <w:p w14:paraId="61BEF632" w14:textId="77777777" w:rsidR="00523945" w:rsidRPr="00CB5653" w:rsidRDefault="00523945" w:rsidP="00523945">
      <w:pPr>
        <w:pStyle w:val="subsection"/>
      </w:pPr>
      <w:r w:rsidRPr="00CB5653">
        <w:tab/>
        <w:t>(4)</w:t>
      </w:r>
      <w:r w:rsidRPr="00CB5653">
        <w:tab/>
        <w:t>Criterion 6 in the Mandatory Criteria applies only where the proposed Alternative Financing Mechanism includes equity or an equity</w:t>
      </w:r>
      <w:r w:rsidRPr="00CB5653">
        <w:noBreakHyphen/>
        <w:t>like investment.</w:t>
      </w:r>
    </w:p>
    <w:p w14:paraId="75F7D672" w14:textId="77777777" w:rsidR="00523945" w:rsidRPr="00CB5653" w:rsidRDefault="00523945" w:rsidP="00523945">
      <w:pPr>
        <w:pStyle w:val="ActHead5"/>
      </w:pPr>
      <w:bookmarkStart w:id="27" w:name="_Toc146281752"/>
      <w:proofErr w:type="gramStart"/>
      <w:r w:rsidRPr="00CB5653">
        <w:t>12  Derivatives</w:t>
      </w:r>
      <w:bookmarkEnd w:id="27"/>
      <w:proofErr w:type="gramEnd"/>
      <w:r w:rsidRPr="00CB5653">
        <w:t xml:space="preserve"> </w:t>
      </w:r>
    </w:p>
    <w:p w14:paraId="3FEABE0A" w14:textId="77777777" w:rsidR="00523945" w:rsidRPr="00CB5653" w:rsidRDefault="00523945" w:rsidP="00523945">
      <w:pPr>
        <w:pStyle w:val="subsection"/>
      </w:pPr>
      <w:r w:rsidRPr="00CB5653">
        <w:tab/>
      </w:r>
      <w:r w:rsidRPr="00CB5653">
        <w:tab/>
        <w:t>The Facility may only acquire a derivative where:</w:t>
      </w:r>
    </w:p>
    <w:p w14:paraId="2B894B65" w14:textId="77777777" w:rsidR="00523945" w:rsidRPr="00CB5653" w:rsidRDefault="00523945" w:rsidP="00523945">
      <w:pPr>
        <w:pStyle w:val="paragraph"/>
      </w:pPr>
      <w:r w:rsidRPr="00CB5653">
        <w:tab/>
        <w:t>(a)</w:t>
      </w:r>
      <w:r w:rsidRPr="00CB5653">
        <w:tab/>
        <w:t>it is a more effective means of achieving an effective hedge than less complex mechanisms; and</w:t>
      </w:r>
    </w:p>
    <w:p w14:paraId="4D1E194A" w14:textId="77777777" w:rsidR="00523945" w:rsidRPr="00CB5653" w:rsidRDefault="00523945" w:rsidP="00523945">
      <w:pPr>
        <w:pStyle w:val="paragraph"/>
      </w:pPr>
      <w:r w:rsidRPr="00CB5653">
        <w:tab/>
        <w:t>(b)</w:t>
      </w:r>
      <w:r w:rsidRPr="00CB5653">
        <w:tab/>
        <w:t xml:space="preserve">the costs of derivative risk are considered and priced into the Alternative Financing </w:t>
      </w:r>
      <w:r w:rsidRPr="00CB5653" w:rsidDel="00F55090">
        <w:t>Mechanism</w:t>
      </w:r>
      <w:r w:rsidRPr="00CB5653">
        <w:t>; and</w:t>
      </w:r>
    </w:p>
    <w:p w14:paraId="16BCFD2F" w14:textId="77777777" w:rsidR="00523945" w:rsidRPr="00CB5653" w:rsidRDefault="00523945" w:rsidP="00523945">
      <w:pPr>
        <w:pStyle w:val="paragraph"/>
      </w:pPr>
      <w:r w:rsidRPr="00CB5653">
        <w:tab/>
        <w:t>(c)</w:t>
      </w:r>
      <w:r w:rsidRPr="00CB5653">
        <w:tab/>
        <w:t>the counter-party’s credit profile is considered appropriate; and</w:t>
      </w:r>
    </w:p>
    <w:p w14:paraId="6B49AA9F" w14:textId="77777777" w:rsidR="00523945" w:rsidRPr="00CB5653" w:rsidRDefault="00523945" w:rsidP="00523945">
      <w:pPr>
        <w:pStyle w:val="paragraph"/>
      </w:pPr>
      <w:r w:rsidRPr="00CB5653">
        <w:tab/>
        <w:t>(d)</w:t>
      </w:r>
      <w:r w:rsidRPr="00CB5653">
        <w:tab/>
        <w:t xml:space="preserve">the expected benefits, financial or otherwise, are sufficient to outweigh the level of risk and associated costs of acquiring a derivative. </w:t>
      </w:r>
    </w:p>
    <w:p w14:paraId="04237899" w14:textId="77777777" w:rsidR="00523945" w:rsidRPr="00CB5653" w:rsidRDefault="00523945" w:rsidP="00523945">
      <w:pPr>
        <w:pStyle w:val="notepara"/>
        <w:ind w:left="2154" w:hanging="1020"/>
      </w:pPr>
      <w:r w:rsidRPr="00CB5653">
        <w:t>Note:</w:t>
      </w:r>
      <w:r w:rsidRPr="00CB5653">
        <w:tab/>
        <w:t>The limitations in this section may apply in addition to those in subsection 7(1C) of the Act.</w:t>
      </w:r>
    </w:p>
    <w:p w14:paraId="5FD6292C" w14:textId="77777777" w:rsidR="00523945" w:rsidRPr="00CB5653" w:rsidRDefault="00523945" w:rsidP="00523945">
      <w:pPr>
        <w:pStyle w:val="ActHead5"/>
      </w:pPr>
      <w:bookmarkStart w:id="28" w:name="_Toc146281753"/>
      <w:proofErr w:type="gramStart"/>
      <w:r w:rsidRPr="00CB5653">
        <w:t>13  Direct</w:t>
      </w:r>
      <w:proofErr w:type="gramEnd"/>
      <w:r w:rsidRPr="00CB5653">
        <w:t xml:space="preserve"> funding </w:t>
      </w:r>
      <w:bookmarkEnd w:id="28"/>
    </w:p>
    <w:p w14:paraId="35F6618A" w14:textId="77777777" w:rsidR="00523945" w:rsidRPr="00CB5653" w:rsidRDefault="00523945" w:rsidP="00523945">
      <w:pPr>
        <w:pStyle w:val="subsection"/>
      </w:pPr>
      <w:r w:rsidRPr="00CB5653">
        <w:tab/>
        <w:t>(1)</w:t>
      </w:r>
      <w:r w:rsidRPr="00CB5653">
        <w:tab/>
        <w:t>The Facility will seek to provide financial assistance primarily through grants of financial assistance to a State.</w:t>
      </w:r>
    </w:p>
    <w:p w14:paraId="4808BBD5" w14:textId="77777777" w:rsidR="00523945" w:rsidRPr="00CB5653" w:rsidRDefault="00523945" w:rsidP="00523945">
      <w:pPr>
        <w:pStyle w:val="subsection"/>
      </w:pPr>
      <w:r w:rsidRPr="00CB5653">
        <w:tab/>
        <w:t>(2)</w:t>
      </w:r>
      <w:r w:rsidRPr="00CB5653">
        <w:tab/>
        <w:t>The Facility may, as a funder of last resort, choose to provide financial assistance to an entity other than a State in accordance with subsection 7(1A) of the Act (</w:t>
      </w:r>
      <w:r w:rsidRPr="00CB5653">
        <w:rPr>
          <w:b/>
          <w:i/>
        </w:rPr>
        <w:t>direct assistance</w:t>
      </w:r>
      <w:r w:rsidRPr="00CB5653">
        <w:t>).</w:t>
      </w:r>
    </w:p>
    <w:p w14:paraId="121AA5E9" w14:textId="77777777" w:rsidR="00523945" w:rsidRPr="00CB5653" w:rsidRDefault="00523945" w:rsidP="00523945">
      <w:pPr>
        <w:pStyle w:val="subsection"/>
      </w:pPr>
      <w:r w:rsidRPr="00CB5653">
        <w:tab/>
        <w:t>(3)</w:t>
      </w:r>
      <w:r w:rsidRPr="00CB5653">
        <w:tab/>
        <w:t>The Facility must consult the Department as soon as practicable on any Investment Proposal which might result in a decision by the Facility to provide direct assistance.</w:t>
      </w:r>
    </w:p>
    <w:p w14:paraId="235B92B8" w14:textId="77777777" w:rsidR="00523945" w:rsidRPr="006D14E5" w:rsidRDefault="00523945" w:rsidP="00523945">
      <w:pPr>
        <w:pStyle w:val="subsection"/>
      </w:pPr>
      <w:r w:rsidRPr="00CB5653">
        <w:tab/>
      </w:r>
      <w:r w:rsidRPr="006D14E5">
        <w:t>(4)</w:t>
      </w:r>
      <w:r w:rsidRPr="006D14E5">
        <w:tab/>
        <w:t xml:space="preserve">The Facility must not provide direct assistance in relation to a Project in one or more States on a concessional basis. </w:t>
      </w:r>
    </w:p>
    <w:p w14:paraId="0B1863BB" w14:textId="77777777" w:rsidR="00523945" w:rsidRPr="00CB5653" w:rsidRDefault="00523945" w:rsidP="00523945">
      <w:pPr>
        <w:pStyle w:val="subsection"/>
      </w:pPr>
      <w:r w:rsidRPr="006D14E5">
        <w:tab/>
        <w:t>(5)</w:t>
      </w:r>
      <w:r w:rsidRPr="006D14E5">
        <w:tab/>
        <w:t>The Facility may only provide direct</w:t>
      </w:r>
      <w:r w:rsidRPr="00CB5653">
        <w:t xml:space="preserve"> assistance if all of the following criteria are met:</w:t>
      </w:r>
    </w:p>
    <w:p w14:paraId="41B6A9F7" w14:textId="77777777" w:rsidR="00523945" w:rsidRPr="00CB5653" w:rsidRDefault="00523945" w:rsidP="00523945">
      <w:pPr>
        <w:pStyle w:val="paragraph"/>
      </w:pPr>
      <w:r w:rsidRPr="00CB5653">
        <w:lastRenderedPageBreak/>
        <w:tab/>
        <w:t>(a)</w:t>
      </w:r>
      <w:r w:rsidRPr="00CB5653">
        <w:tab/>
        <w:t xml:space="preserve">for Projects in one or more States—that State or those States support the proposed direct assistance; </w:t>
      </w:r>
    </w:p>
    <w:p w14:paraId="17A348F1" w14:textId="77777777" w:rsidR="00523945" w:rsidRPr="00CB5653" w:rsidRDefault="00523945" w:rsidP="00523945">
      <w:pPr>
        <w:pStyle w:val="paragraph"/>
      </w:pPr>
      <w:r w:rsidRPr="00CB5653">
        <w:tab/>
        <w:t>(b)</w:t>
      </w:r>
      <w:r w:rsidRPr="00CB5653">
        <w:tab/>
        <w:t xml:space="preserve">the Facility has consulted the responsible Ministers on the proposal to provide direct assistance, and the Facility has considered the views of those Ministers; </w:t>
      </w:r>
    </w:p>
    <w:p w14:paraId="6E3201B7" w14:textId="77777777" w:rsidR="00523945" w:rsidRPr="00CB5653" w:rsidRDefault="00523945" w:rsidP="00523945">
      <w:pPr>
        <w:pStyle w:val="paragraph"/>
      </w:pPr>
      <w:r w:rsidRPr="00CB5653">
        <w:tab/>
        <w:t>(c)</w:t>
      </w:r>
      <w:r w:rsidRPr="00CB5653">
        <w:tab/>
        <w:t>the Facility is satisfied the potential returns and benefits of providing the direct assistance significantly outweigh the costs and risks of doing so;</w:t>
      </w:r>
    </w:p>
    <w:p w14:paraId="0F78C437" w14:textId="77777777" w:rsidR="00523945" w:rsidRPr="00CB5653" w:rsidRDefault="00523945" w:rsidP="00523945">
      <w:pPr>
        <w:pStyle w:val="paragraph"/>
      </w:pPr>
      <w:r w:rsidRPr="00CB5653">
        <w:tab/>
        <w:t>(d)</w:t>
      </w:r>
      <w:r w:rsidRPr="00CB5653">
        <w:tab/>
        <w:t>the Facility is satisfied there is no reasonable prospect of the Project proceeding in any form unless direct assistance is provided.</w:t>
      </w:r>
    </w:p>
    <w:p w14:paraId="270C39D7" w14:textId="77777777" w:rsidR="00523945" w:rsidRPr="00CB5653" w:rsidRDefault="00523945" w:rsidP="00523945">
      <w:pPr>
        <w:pStyle w:val="subsection"/>
      </w:pPr>
      <w:r w:rsidRPr="00CB5653">
        <w:tab/>
        <w:t>(6)</w:t>
      </w:r>
      <w:r w:rsidRPr="00CB5653">
        <w:tab/>
        <w:t>To avoid doubt, this section does not apply to Projects that are solely in the Indian Ocean Territories.</w:t>
      </w:r>
    </w:p>
    <w:p w14:paraId="1B13A800" w14:textId="77777777" w:rsidR="00523945" w:rsidRPr="00CB5653" w:rsidRDefault="00523945" w:rsidP="00523945">
      <w:pPr>
        <w:pStyle w:val="ActHead5"/>
      </w:pPr>
      <w:bookmarkStart w:id="29" w:name="_Toc146281754"/>
      <w:proofErr w:type="gramStart"/>
      <w:r w:rsidRPr="00CB5653">
        <w:t>14  Limits</w:t>
      </w:r>
      <w:proofErr w:type="gramEnd"/>
      <w:r w:rsidRPr="00CB5653">
        <w:t xml:space="preserve"> on equity investments</w:t>
      </w:r>
      <w:bookmarkEnd w:id="29"/>
    </w:p>
    <w:p w14:paraId="5C20D8FF" w14:textId="77777777" w:rsidR="00523945" w:rsidRPr="00CB5653" w:rsidRDefault="00523945" w:rsidP="00523945">
      <w:pPr>
        <w:pStyle w:val="subsection"/>
      </w:pPr>
      <w:r w:rsidRPr="00CB5653">
        <w:tab/>
        <w:t>(1)</w:t>
      </w:r>
      <w:r w:rsidRPr="00CB5653">
        <w:tab/>
        <w:t>The Facility must not provide financial assistance in the form of an equity investment in an entity under subsection 7(1A) of the Act if doing so would result in the Facility or the Commonwealth, or Commonwealth entities either alone or together:</w:t>
      </w:r>
    </w:p>
    <w:p w14:paraId="73319609" w14:textId="77777777" w:rsidR="00523945" w:rsidRPr="00CB5653" w:rsidRDefault="00523945" w:rsidP="00523945">
      <w:pPr>
        <w:pStyle w:val="paragraph"/>
      </w:pPr>
      <w:r w:rsidRPr="00CB5653">
        <w:tab/>
        <w:t>(a)</w:t>
      </w:r>
      <w:r w:rsidRPr="00CB5653">
        <w:tab/>
        <w:t>holding a majority of the equity interests in the entity; or</w:t>
      </w:r>
    </w:p>
    <w:p w14:paraId="5055CA95" w14:textId="77777777" w:rsidR="00523945" w:rsidRPr="00CB5653" w:rsidRDefault="00523945" w:rsidP="00523945">
      <w:pPr>
        <w:pStyle w:val="paragraph"/>
      </w:pPr>
      <w:r w:rsidRPr="00CB5653">
        <w:tab/>
        <w:t>(b)</w:t>
      </w:r>
      <w:r w:rsidRPr="00CB5653">
        <w:tab/>
        <w:t>being in a position to control the entity.</w:t>
      </w:r>
    </w:p>
    <w:p w14:paraId="0649A4F4" w14:textId="77777777" w:rsidR="00523945" w:rsidRPr="00CB5653" w:rsidRDefault="00523945" w:rsidP="00523945">
      <w:pPr>
        <w:pStyle w:val="subsection"/>
      </w:pPr>
      <w:r w:rsidRPr="00CB5653">
        <w:tab/>
        <w:t>(2)</w:t>
      </w:r>
      <w:r w:rsidRPr="00CB5653">
        <w:tab/>
        <w:t>Subsection (3) applies if:</w:t>
      </w:r>
    </w:p>
    <w:p w14:paraId="5249CA8E" w14:textId="77777777" w:rsidR="00523945" w:rsidRPr="00CB5653" w:rsidRDefault="00523945" w:rsidP="00523945">
      <w:pPr>
        <w:pStyle w:val="paragraph"/>
      </w:pPr>
      <w:r w:rsidRPr="00CB5653">
        <w:tab/>
        <w:t>(a)</w:t>
      </w:r>
      <w:r w:rsidRPr="00CB5653">
        <w:tab/>
        <w:t>the Facility holds one or more equity interests in an entity; and</w:t>
      </w:r>
    </w:p>
    <w:p w14:paraId="73EC7FFA" w14:textId="77777777" w:rsidR="00523945" w:rsidRPr="00CB5653" w:rsidRDefault="00523945" w:rsidP="00523945">
      <w:pPr>
        <w:pStyle w:val="paragraph"/>
      </w:pPr>
      <w:r w:rsidRPr="00CB5653">
        <w:tab/>
        <w:t>(b)</w:t>
      </w:r>
      <w:r w:rsidRPr="00CB5653">
        <w:tab/>
        <w:t>the Facility becomes aware that holding those equity interests results in the situation referred to in subsection (1).</w:t>
      </w:r>
    </w:p>
    <w:p w14:paraId="52F68438" w14:textId="77777777" w:rsidR="00523945" w:rsidRPr="00CB5653" w:rsidRDefault="00523945" w:rsidP="00523945">
      <w:pPr>
        <w:pStyle w:val="subsection"/>
      </w:pPr>
      <w:r w:rsidRPr="00CB5653">
        <w:tab/>
        <w:t>(3)</w:t>
      </w:r>
      <w:r w:rsidRPr="00CB5653">
        <w:tab/>
        <w:t>The Facility must, as soon as reasonably practicable in the circumstances, realise sufficient equity interests so the situation no longer exists.</w:t>
      </w:r>
    </w:p>
    <w:p w14:paraId="563B2F7C" w14:textId="77777777" w:rsidR="00523945" w:rsidRPr="00CB5653" w:rsidRDefault="00523945" w:rsidP="00523945">
      <w:pPr>
        <w:pStyle w:val="subsection"/>
      </w:pPr>
      <w:r w:rsidRPr="00CB5653">
        <w:tab/>
        <w:t>(4)</w:t>
      </w:r>
      <w:r w:rsidRPr="00CB5653">
        <w:tab/>
        <w:t xml:space="preserve">In this section, </w:t>
      </w:r>
      <w:r w:rsidRPr="00CB5653">
        <w:rPr>
          <w:b/>
          <w:i/>
        </w:rPr>
        <w:t>control</w:t>
      </w:r>
      <w:r w:rsidRPr="00CB5653">
        <w:t xml:space="preserve"> has the same meaning as in the definition of “subsidiary” in the </w:t>
      </w:r>
      <w:r w:rsidRPr="00CB5653">
        <w:rPr>
          <w:i/>
        </w:rPr>
        <w:t>Public Governance, Performance and Accountability Act 2013</w:t>
      </w:r>
      <w:r w:rsidRPr="00CB5653">
        <w:t>.</w:t>
      </w:r>
    </w:p>
    <w:p w14:paraId="37998B67" w14:textId="77777777" w:rsidR="00523945" w:rsidRPr="00CB5653" w:rsidRDefault="00523945" w:rsidP="00523945">
      <w:pPr>
        <w:pStyle w:val="subsection"/>
      </w:pPr>
      <w:r w:rsidRPr="00CB5653">
        <w:tab/>
        <w:t>(5)</w:t>
      </w:r>
      <w:r w:rsidRPr="00CB5653">
        <w:tab/>
      </w:r>
      <w:r w:rsidRPr="00CB5653" w:rsidDel="00F365BA">
        <w:t xml:space="preserve">In </w:t>
      </w:r>
      <w:r w:rsidRPr="00CB5653">
        <w:t>deciding whether to offer financial assistance in the form of an equity investment, the Facility must:</w:t>
      </w:r>
    </w:p>
    <w:p w14:paraId="1885C2B7" w14:textId="77777777" w:rsidR="00523945" w:rsidRPr="00CB5653" w:rsidRDefault="00523945" w:rsidP="00523945">
      <w:pPr>
        <w:pStyle w:val="paragraph"/>
      </w:pPr>
      <w:r w:rsidRPr="00CB5653">
        <w:tab/>
        <w:t>(a)</w:t>
      </w:r>
      <w:r w:rsidRPr="00CB5653">
        <w:tab/>
        <w:t xml:space="preserve">target a portfolio return for the Facility’s equity or equity-like investments before Facility operating expenses, over the medium to long term, which is at least the five-year Australian Government bond rate plus a premium of 3 per cent per annum (the </w:t>
      </w:r>
      <w:r w:rsidRPr="00CB5653">
        <w:rPr>
          <w:b/>
          <w:i/>
        </w:rPr>
        <w:t>Target Portfolio Return)</w:t>
      </w:r>
      <w:r w:rsidRPr="00CB5653">
        <w:t>;</w:t>
      </w:r>
    </w:p>
    <w:p w14:paraId="5E8BA738" w14:textId="77777777" w:rsidR="00523945" w:rsidRPr="00CB5653" w:rsidRDefault="00523945" w:rsidP="00523945">
      <w:pPr>
        <w:pStyle w:val="paragraph"/>
      </w:pPr>
      <w:r w:rsidRPr="00CB5653">
        <w:tab/>
        <w:t>(b)</w:t>
      </w:r>
      <w:r w:rsidRPr="00CB5653">
        <w:tab/>
        <w:t xml:space="preserve">apply all of the Mandatory Criteria except for criterion 4. </w:t>
      </w:r>
    </w:p>
    <w:p w14:paraId="2E9AE6C9" w14:textId="77777777" w:rsidR="00523945" w:rsidRPr="00CB5653" w:rsidRDefault="00523945" w:rsidP="00523945">
      <w:pPr>
        <w:pStyle w:val="subsection"/>
      </w:pPr>
      <w:r w:rsidRPr="00CB5653">
        <w:tab/>
        <w:t>(6)</w:t>
      </w:r>
      <w:r w:rsidRPr="00CB5653">
        <w:tab/>
        <w:t xml:space="preserve">Unless exempted by written agreement of the responsible Ministers, the Facility must not make: </w:t>
      </w:r>
    </w:p>
    <w:p w14:paraId="079485E3" w14:textId="77777777" w:rsidR="00523945" w:rsidRPr="00CB5653" w:rsidRDefault="00523945" w:rsidP="00523945">
      <w:pPr>
        <w:pStyle w:val="paragraph"/>
      </w:pPr>
      <w:r w:rsidRPr="00CB5653">
        <w:tab/>
        <w:t>(a)</w:t>
      </w:r>
      <w:r w:rsidRPr="00CB5653">
        <w:tab/>
        <w:t>Investment Decisions that would result in the Facility providing more than $500 million in equity investments overall; or</w:t>
      </w:r>
    </w:p>
    <w:p w14:paraId="67E11946" w14:textId="77777777" w:rsidR="00523945" w:rsidRPr="00CB5653" w:rsidRDefault="00523945" w:rsidP="00523945">
      <w:pPr>
        <w:pStyle w:val="paragraph"/>
      </w:pPr>
      <w:r w:rsidRPr="00CB5653">
        <w:tab/>
        <w:t>(b)</w:t>
      </w:r>
      <w:r w:rsidRPr="00CB5653">
        <w:tab/>
        <w:t>an Investment Decision that would result in the Facility providing an equity investment for a Project of less than $5 million or more than $50 million.</w:t>
      </w:r>
    </w:p>
    <w:p w14:paraId="41937B08" w14:textId="77777777" w:rsidR="00523945" w:rsidRPr="00CB5653" w:rsidRDefault="00523945" w:rsidP="00523945">
      <w:pPr>
        <w:pStyle w:val="ActHead2"/>
      </w:pPr>
      <w:bookmarkStart w:id="30" w:name="_Toc146281755"/>
      <w:r w:rsidRPr="00CB5653">
        <w:t>Part 4—Directions about risk, governance and consultation</w:t>
      </w:r>
      <w:bookmarkEnd w:id="30"/>
      <w:r w:rsidRPr="00CB5653">
        <w:t xml:space="preserve"> </w:t>
      </w:r>
    </w:p>
    <w:p w14:paraId="51E3AB43" w14:textId="77777777" w:rsidR="00523945" w:rsidRPr="00CB5653" w:rsidRDefault="00523945" w:rsidP="00523945">
      <w:pPr>
        <w:pStyle w:val="ActHead5"/>
      </w:pPr>
      <w:bookmarkStart w:id="31" w:name="_Toc146281756"/>
      <w:proofErr w:type="gramStart"/>
      <w:r w:rsidRPr="00CB5653">
        <w:t>15  Investment</w:t>
      </w:r>
      <w:proofErr w:type="gramEnd"/>
      <w:r w:rsidRPr="00CB5653">
        <w:t xml:space="preserve"> risk and monitoring</w:t>
      </w:r>
      <w:bookmarkEnd w:id="31"/>
      <w:r w:rsidRPr="00CB5653">
        <w:t xml:space="preserve"> </w:t>
      </w:r>
    </w:p>
    <w:p w14:paraId="262DFC83" w14:textId="77777777" w:rsidR="00523945" w:rsidRPr="00CB5653" w:rsidRDefault="00523945" w:rsidP="00523945">
      <w:pPr>
        <w:pStyle w:val="subsection"/>
        <w:numPr>
          <w:ilvl w:val="0"/>
          <w:numId w:val="10"/>
        </w:numPr>
      </w:pPr>
      <w:r w:rsidRPr="00CB5653">
        <w:t>The Facility must develop a statement outlining the risk strategy that will guide its decisions whether to offer financial assistance for Projects (</w:t>
      </w:r>
      <w:r w:rsidRPr="00CB5653">
        <w:rPr>
          <w:b/>
          <w:i/>
        </w:rPr>
        <w:t>Risk Appetite Statement</w:t>
      </w:r>
      <w:r w:rsidRPr="00CB5653">
        <w:t>).</w:t>
      </w:r>
    </w:p>
    <w:p w14:paraId="4D3CF8E4" w14:textId="77777777" w:rsidR="00523945" w:rsidRPr="00CB5653" w:rsidRDefault="00523945" w:rsidP="00523945">
      <w:pPr>
        <w:pStyle w:val="subsection"/>
        <w:numPr>
          <w:ilvl w:val="0"/>
          <w:numId w:val="10"/>
        </w:numPr>
      </w:pPr>
      <w:r w:rsidRPr="00CB5653">
        <w:lastRenderedPageBreak/>
        <w:t xml:space="preserve">The Risk Appetite Statement must be developed in consultation with the responsible Ministers, and </w:t>
      </w:r>
      <w:r>
        <w:t xml:space="preserve">be </w:t>
      </w:r>
      <w:r w:rsidRPr="00CB5653">
        <w:t>approved by the Board.</w:t>
      </w:r>
    </w:p>
    <w:p w14:paraId="372531B9" w14:textId="77777777" w:rsidR="00523945" w:rsidRPr="00CB5653" w:rsidRDefault="00523945" w:rsidP="00523945">
      <w:pPr>
        <w:pStyle w:val="subsection"/>
        <w:numPr>
          <w:ilvl w:val="0"/>
          <w:numId w:val="10"/>
        </w:numPr>
      </w:pPr>
      <w:r w:rsidRPr="00CB5653">
        <w:t xml:space="preserve">The Risk Appetite Statement must: </w:t>
      </w:r>
    </w:p>
    <w:p w14:paraId="28F15974" w14:textId="77777777" w:rsidR="00523945" w:rsidRPr="00CB5653" w:rsidRDefault="00523945" w:rsidP="00523945">
      <w:pPr>
        <w:pStyle w:val="paragraph"/>
      </w:pPr>
      <w:r w:rsidRPr="00CB5653">
        <w:tab/>
        <w:t>(a)</w:t>
      </w:r>
      <w:r w:rsidRPr="00CB5653">
        <w:tab/>
        <w:t>preference a diversified portfolio, including industry and geographic spread across the jurisdictions comprising Northern Australia; and</w:t>
      </w:r>
    </w:p>
    <w:p w14:paraId="4E018969" w14:textId="77777777" w:rsidR="00523945" w:rsidRPr="00CB5653" w:rsidRDefault="00523945" w:rsidP="00523945">
      <w:pPr>
        <w:pStyle w:val="paragraph"/>
      </w:pPr>
      <w:r w:rsidRPr="00CB5653">
        <w:tab/>
        <w:t>(b)</w:t>
      </w:r>
      <w:r w:rsidRPr="00CB5653">
        <w:tab/>
        <w:t xml:space="preserve">have a </w:t>
      </w:r>
      <w:proofErr w:type="gramStart"/>
      <w:r w:rsidRPr="00CB5653">
        <w:t>high risk</w:t>
      </w:r>
      <w:proofErr w:type="gramEnd"/>
      <w:r w:rsidRPr="00CB5653">
        <w:t xml:space="preserve"> tolerance in relation to factors unique to investing in Northern Australia economic infrastructure, including distance, remoteness and climate; and</w:t>
      </w:r>
    </w:p>
    <w:p w14:paraId="2C016BEB" w14:textId="77777777" w:rsidR="00523945" w:rsidRPr="00CB5653" w:rsidRDefault="00523945" w:rsidP="00523945">
      <w:pPr>
        <w:pStyle w:val="paragraph"/>
      </w:pPr>
      <w:r w:rsidRPr="00CB5653">
        <w:tab/>
        <w:t>(c)</w:t>
      </w:r>
      <w:r w:rsidRPr="00CB5653">
        <w:tab/>
        <w:t>consider risks shared between the Facility and the Commonwealth; and</w:t>
      </w:r>
    </w:p>
    <w:p w14:paraId="4D95E9FE" w14:textId="77777777" w:rsidR="00523945" w:rsidRPr="00CB5653" w:rsidRDefault="00523945" w:rsidP="00523945">
      <w:pPr>
        <w:pStyle w:val="paragraph"/>
      </w:pPr>
      <w:r w:rsidRPr="00CB5653">
        <w:tab/>
        <w:t>(d)</w:t>
      </w:r>
      <w:r w:rsidRPr="00CB5653">
        <w:tab/>
        <w:t>identify and consider climate change-related risks, including increased variability and intensity of weather; and</w:t>
      </w:r>
    </w:p>
    <w:p w14:paraId="0B3E8407" w14:textId="77777777" w:rsidR="00523945" w:rsidRPr="00CB5653" w:rsidRDefault="00523945" w:rsidP="00523945">
      <w:pPr>
        <w:pStyle w:val="paragraph"/>
      </w:pPr>
      <w:r w:rsidRPr="00CB5653">
        <w:tab/>
        <w:t>(e)</w:t>
      </w:r>
      <w:r w:rsidRPr="00CB5653">
        <w:tab/>
        <w:t>identify and consider net zero transition risks as new energy technology is commercialised at scale, including potential for assets to become stranded due to industry transition toward clean energy; and</w:t>
      </w:r>
    </w:p>
    <w:p w14:paraId="785BB058" w14:textId="77777777" w:rsidR="00523945" w:rsidRPr="00CB5653" w:rsidRDefault="00523945" w:rsidP="00523945">
      <w:pPr>
        <w:pStyle w:val="paragraph"/>
      </w:pPr>
      <w:r w:rsidRPr="00CB5653">
        <w:tab/>
        <w:t>(f)</w:t>
      </w:r>
      <w:r w:rsidRPr="00CB5653">
        <w:tab/>
        <w:t>be reviewed at least annually to address emerging risks, changes to existing risks, and changes to Government policy.</w:t>
      </w:r>
    </w:p>
    <w:p w14:paraId="70891BD3" w14:textId="77777777" w:rsidR="00523945" w:rsidRPr="00CB5653" w:rsidRDefault="00523945" w:rsidP="00523945">
      <w:pPr>
        <w:pStyle w:val="subsection"/>
      </w:pPr>
      <w:r w:rsidRPr="00CB5653">
        <w:tab/>
        <w:t>(4)</w:t>
      </w:r>
      <w:r w:rsidRPr="00CB5653">
        <w:tab/>
        <w:t>In managing its portfolio of investments, the Facility must:</w:t>
      </w:r>
    </w:p>
    <w:p w14:paraId="56FD513B" w14:textId="77777777" w:rsidR="00523945" w:rsidRPr="00CB5653" w:rsidRDefault="00523945" w:rsidP="00523945">
      <w:pPr>
        <w:pStyle w:val="paragraph"/>
      </w:pPr>
      <w:r w:rsidRPr="00CB5653">
        <w:tab/>
        <w:t>(a)</w:t>
      </w:r>
      <w:r w:rsidRPr="00CB5653">
        <w:tab/>
        <w:t>operate with a commercial approach, including by undertaking appropriate due diligence and credit and investment risk assessment processes; and</w:t>
      </w:r>
    </w:p>
    <w:p w14:paraId="4F222DB5" w14:textId="77777777" w:rsidR="00523945" w:rsidRPr="00CB5653" w:rsidRDefault="00523945" w:rsidP="00523945">
      <w:pPr>
        <w:pStyle w:val="paragraph"/>
      </w:pPr>
      <w:r w:rsidRPr="00CB5653">
        <w:tab/>
        <w:t>(b)</w:t>
      </w:r>
      <w:r w:rsidRPr="00CB5653">
        <w:tab/>
        <w:t>seek to develop the Facility’s portfolio in a way that seeks to avoid excessive concentration risk (for example, geographical and sectoral concentration); and</w:t>
      </w:r>
    </w:p>
    <w:p w14:paraId="6D405A75" w14:textId="77777777" w:rsidR="00523945" w:rsidRPr="00CB5653" w:rsidRDefault="00523945" w:rsidP="00523945">
      <w:pPr>
        <w:pStyle w:val="paragraph"/>
      </w:pPr>
      <w:r w:rsidRPr="00CB5653">
        <w:tab/>
        <w:t>(c)</w:t>
      </w:r>
      <w:r w:rsidRPr="00CB5653">
        <w:tab/>
        <w:t>periodically review the Facility’s investment and operational practices for the purposes of managing the risk of the Facility’s portfolio over time.</w:t>
      </w:r>
      <w:r w:rsidRPr="00CB5653">
        <w:tab/>
      </w:r>
    </w:p>
    <w:p w14:paraId="58DB354F" w14:textId="77777777" w:rsidR="00523945" w:rsidRPr="00CB5653" w:rsidRDefault="00523945" w:rsidP="00523945">
      <w:pPr>
        <w:pStyle w:val="subsection"/>
      </w:pPr>
      <w:r w:rsidRPr="00CB5653">
        <w:tab/>
        <w:t>(5)</w:t>
      </w:r>
      <w:r w:rsidRPr="00CB5653">
        <w:tab/>
        <w:t xml:space="preserve"> The Facility must actively monitor and manage investment performance, including:</w:t>
      </w:r>
    </w:p>
    <w:p w14:paraId="6C990CCF" w14:textId="77777777" w:rsidR="00523945" w:rsidRPr="00CB5653" w:rsidRDefault="00523945" w:rsidP="00523945">
      <w:pPr>
        <w:pStyle w:val="paragraph"/>
      </w:pPr>
      <w:r w:rsidRPr="00CB5653">
        <w:tab/>
        <w:t>(a)</w:t>
      </w:r>
      <w:r w:rsidRPr="00CB5653">
        <w:tab/>
        <w:t>administering each grant of financial assistance with due care and diligence; and</w:t>
      </w:r>
    </w:p>
    <w:p w14:paraId="468D5DBB" w14:textId="77777777" w:rsidR="00523945" w:rsidRPr="00CB5653" w:rsidRDefault="00523945" w:rsidP="00523945">
      <w:pPr>
        <w:pStyle w:val="paragraph"/>
      </w:pPr>
      <w:r w:rsidRPr="00CB5653">
        <w:tab/>
        <w:t>(b)</w:t>
      </w:r>
      <w:r w:rsidRPr="00CB5653">
        <w:tab/>
        <w:t>developing and implementing early-warning systems for the identification of emerging issues; and</w:t>
      </w:r>
    </w:p>
    <w:p w14:paraId="3851A494" w14:textId="77777777" w:rsidR="00523945" w:rsidRPr="00CB5653" w:rsidRDefault="00523945" w:rsidP="00523945">
      <w:pPr>
        <w:pStyle w:val="paragraph"/>
      </w:pPr>
      <w:r w:rsidRPr="00CB5653">
        <w:rPr>
          <w:szCs w:val="22"/>
        </w:rPr>
        <w:tab/>
        <w:t>(c)</w:t>
      </w:r>
      <w:r w:rsidRPr="00CB5653">
        <w:rPr>
          <w:szCs w:val="22"/>
        </w:rPr>
        <w:tab/>
        <w:t>developing and implementing management plans for each impaired or troubled investment, including, where appropriate, in consultation with the Project Proponent; and</w:t>
      </w:r>
    </w:p>
    <w:p w14:paraId="2F238CD8" w14:textId="77777777" w:rsidR="00523945" w:rsidRPr="00CB5653" w:rsidRDefault="00523945" w:rsidP="00523945">
      <w:pPr>
        <w:pStyle w:val="paragraph"/>
      </w:pPr>
      <w:r w:rsidRPr="00CB5653">
        <w:tab/>
        <w:t>(d)</w:t>
      </w:r>
      <w:r w:rsidRPr="00CB5653">
        <w:tab/>
        <w:t>take appropriate action to limit the Facility’s exposure to impaired or troubled assets, for example by enforcing contractual rights or appointing a receiver; and</w:t>
      </w:r>
    </w:p>
    <w:p w14:paraId="01DF1476" w14:textId="77777777" w:rsidR="00523945" w:rsidRPr="00CB5653" w:rsidRDefault="00523945" w:rsidP="00523945">
      <w:pPr>
        <w:pStyle w:val="paragraph"/>
      </w:pPr>
      <w:r w:rsidRPr="00CB5653">
        <w:tab/>
        <w:t>(e)</w:t>
      </w:r>
      <w:r w:rsidRPr="00CB5653">
        <w:tab/>
        <w:t>notifying the responsible Ministers at the time an investment becomes impaired or troubled; and</w:t>
      </w:r>
    </w:p>
    <w:p w14:paraId="6620AC1C" w14:textId="77777777" w:rsidR="00523945" w:rsidRPr="00CB5653" w:rsidRDefault="00523945" w:rsidP="00523945">
      <w:pPr>
        <w:pStyle w:val="paragraph"/>
      </w:pPr>
      <w:r w:rsidRPr="00CB5653">
        <w:tab/>
        <w:t>(f)</w:t>
      </w:r>
      <w:r w:rsidRPr="00CB5653">
        <w:tab/>
        <w:t>providing quarterly reports on impaired or troubled investments to the responsible Ministers by 30 September, 31 December, 31 March and 30 June of each year.</w:t>
      </w:r>
    </w:p>
    <w:p w14:paraId="0E77A5B0" w14:textId="77777777" w:rsidR="00523945" w:rsidRPr="00CB5653" w:rsidRDefault="00523945" w:rsidP="00523945">
      <w:pPr>
        <w:pStyle w:val="subsection"/>
      </w:pPr>
      <w:r w:rsidRPr="00CB5653">
        <w:tab/>
        <w:t>(6)</w:t>
      </w:r>
      <w:r w:rsidRPr="00CB5653">
        <w:tab/>
        <w:t xml:space="preserve">The Facility must actively monitor and manage the risks associated with its use of derivatives including through ensuring that: </w:t>
      </w:r>
    </w:p>
    <w:p w14:paraId="1F1C108E" w14:textId="77777777" w:rsidR="00523945" w:rsidRPr="00CB5653" w:rsidRDefault="00523945" w:rsidP="00523945">
      <w:pPr>
        <w:pStyle w:val="paragraph"/>
      </w:pPr>
      <w:r w:rsidRPr="00CB5653">
        <w:tab/>
        <w:t>(a)</w:t>
      </w:r>
      <w:r w:rsidRPr="00CB5653">
        <w:tab/>
        <w:t>a derivatives risk policy is in place and is reviewed annually;</w:t>
      </w:r>
    </w:p>
    <w:p w14:paraId="12B3D33B" w14:textId="77777777" w:rsidR="00523945" w:rsidRPr="00CB5653" w:rsidRDefault="00523945" w:rsidP="00523945">
      <w:pPr>
        <w:pStyle w:val="paragraph"/>
      </w:pPr>
      <w:r w:rsidRPr="00CB5653">
        <w:tab/>
        <w:t>(b)</w:t>
      </w:r>
      <w:r w:rsidRPr="00CB5653">
        <w:tab/>
        <w:t>appropriate contracts exist between the Facility and counter-parties;</w:t>
      </w:r>
    </w:p>
    <w:p w14:paraId="17BB4864" w14:textId="77777777" w:rsidR="00523945" w:rsidRPr="00CB5653" w:rsidRDefault="00523945" w:rsidP="00523945">
      <w:pPr>
        <w:pStyle w:val="paragraph"/>
      </w:pPr>
      <w:r w:rsidRPr="00CB5653">
        <w:tab/>
        <w:t>(c)</w:t>
      </w:r>
      <w:r w:rsidRPr="00CB5653">
        <w:tab/>
        <w:t>a derivative exposure and risk management report is included in regular reporting; and</w:t>
      </w:r>
    </w:p>
    <w:p w14:paraId="06D4E286" w14:textId="77777777" w:rsidR="00523945" w:rsidRPr="00CB5653" w:rsidRDefault="00523945" w:rsidP="00523945">
      <w:pPr>
        <w:pStyle w:val="paragraph"/>
      </w:pPr>
      <w:r w:rsidRPr="00CB5653">
        <w:tab/>
        <w:t>(d)</w:t>
      </w:r>
      <w:r w:rsidRPr="00CB5653">
        <w:tab/>
        <w:t xml:space="preserve">the net liabilities under derivatives arrangements at no time exceed the amount of the uncommitted balance of the appropriation in section 41 of the Act. </w:t>
      </w:r>
    </w:p>
    <w:p w14:paraId="3002D904" w14:textId="77777777" w:rsidR="00523945" w:rsidRPr="00CB5653" w:rsidRDefault="00523945" w:rsidP="00523945">
      <w:pPr>
        <w:pStyle w:val="ActHead5"/>
      </w:pPr>
      <w:bookmarkStart w:id="32" w:name="_Toc146281757"/>
      <w:proofErr w:type="gramStart"/>
      <w:r w:rsidRPr="00CB5653">
        <w:t>16  Consultation</w:t>
      </w:r>
      <w:proofErr w:type="gramEnd"/>
      <w:r w:rsidRPr="00CB5653">
        <w:t xml:space="preserve"> with relevant jurisdictions</w:t>
      </w:r>
      <w:bookmarkEnd w:id="32"/>
    </w:p>
    <w:p w14:paraId="784C39FA" w14:textId="77777777" w:rsidR="00523945" w:rsidRPr="00CB5653" w:rsidRDefault="00523945" w:rsidP="00523945">
      <w:pPr>
        <w:pStyle w:val="subsection"/>
      </w:pPr>
      <w:r w:rsidRPr="00CB5653">
        <w:tab/>
        <w:t>(1)</w:t>
      </w:r>
      <w:r w:rsidRPr="00CB5653">
        <w:tab/>
        <w:t xml:space="preserve">In this section </w:t>
      </w:r>
      <w:r w:rsidRPr="00CB5653">
        <w:rPr>
          <w:b/>
          <w:i/>
        </w:rPr>
        <w:t>relevant jurisdiction</w:t>
      </w:r>
      <w:r w:rsidRPr="00CB5653">
        <w:t xml:space="preserve"> means:</w:t>
      </w:r>
    </w:p>
    <w:p w14:paraId="1F592F9F" w14:textId="77777777" w:rsidR="00523945" w:rsidRPr="00CB5653" w:rsidRDefault="00523945" w:rsidP="00523945">
      <w:pPr>
        <w:pStyle w:val="paragraph"/>
      </w:pPr>
      <w:r w:rsidRPr="00CB5653">
        <w:tab/>
        <w:t>(a)</w:t>
      </w:r>
      <w:r w:rsidRPr="00CB5653">
        <w:tab/>
        <w:t>for a Project in one or more States—that State or each of those States;</w:t>
      </w:r>
    </w:p>
    <w:p w14:paraId="3B84ADB8" w14:textId="77777777" w:rsidR="00523945" w:rsidRPr="00CB5653" w:rsidRDefault="00523945" w:rsidP="00523945">
      <w:pPr>
        <w:pStyle w:val="paragraph"/>
      </w:pPr>
      <w:r w:rsidRPr="00CB5653">
        <w:lastRenderedPageBreak/>
        <w:tab/>
        <w:t>(b)</w:t>
      </w:r>
      <w:r w:rsidRPr="00CB5653">
        <w:tab/>
        <w:t xml:space="preserve">for a Project in the Indian Ocean Territories—the Commonwealth, as represented by the Department of State of the Commonwealth that deals with the administration of the Indian Ocean Territories. </w:t>
      </w:r>
    </w:p>
    <w:p w14:paraId="6C094634" w14:textId="77777777" w:rsidR="00523945" w:rsidRPr="00CB5653" w:rsidRDefault="00523945" w:rsidP="00523945">
      <w:pPr>
        <w:pStyle w:val="paragraph"/>
      </w:pPr>
      <w:r w:rsidRPr="00CB5653">
        <w:tab/>
        <w:t>(c)</w:t>
      </w:r>
      <w:r w:rsidRPr="00CB5653">
        <w:tab/>
        <w:t>for a Project in one or more States and in the Indian Ocean Territories—each of that State or those States and the Commonwealth, as represented by the Department of State of the Commonwealth that deals with the administration of the Indian Ocean Territories.</w:t>
      </w:r>
    </w:p>
    <w:p w14:paraId="3AD73B57" w14:textId="77777777" w:rsidR="00523945" w:rsidRPr="00CB5653" w:rsidRDefault="00523945" w:rsidP="00523945">
      <w:pPr>
        <w:pStyle w:val="subsection"/>
      </w:pPr>
      <w:r w:rsidRPr="00CB5653">
        <w:tab/>
        <w:t>(2)</w:t>
      </w:r>
      <w:r w:rsidRPr="00CB5653">
        <w:tab/>
        <w:t>The Facility must commence consultation with each</w:t>
      </w:r>
      <w:r w:rsidRPr="00CB5653">
        <w:tab/>
        <w:t xml:space="preserve"> relevant jurisdiction as soon as practicable after receiving an Investment Proposal.</w:t>
      </w:r>
    </w:p>
    <w:p w14:paraId="6E0C5B95" w14:textId="77777777" w:rsidR="00523945" w:rsidRPr="00CB5653" w:rsidRDefault="00523945" w:rsidP="00523945">
      <w:pPr>
        <w:pStyle w:val="subsection"/>
      </w:pPr>
      <w:r w:rsidRPr="00CB5653">
        <w:tab/>
        <w:t>(3)</w:t>
      </w:r>
      <w:r w:rsidRPr="00CB5653">
        <w:tab/>
        <w:t>Consultation with a relevant jurisdiction must commence by providing the relevant jurisdiction with a notification of assessment, which includes an outline of the details of the Project and the characteristics and criteria which the Project must satisfy in order for the Facility to offer financial assistance.</w:t>
      </w:r>
    </w:p>
    <w:p w14:paraId="6B22614E" w14:textId="77777777" w:rsidR="00523945" w:rsidRPr="00CB5653" w:rsidRDefault="00523945" w:rsidP="00523945">
      <w:pPr>
        <w:pStyle w:val="subsection"/>
      </w:pPr>
      <w:r w:rsidRPr="00CB5653">
        <w:tab/>
        <w:t>(4)</w:t>
      </w:r>
      <w:r w:rsidRPr="00CB5653">
        <w:tab/>
        <w:t>The Facility must not make an Investment Decision if at any time a relevant jurisdiction provides written notification that financial assistance should not be provided for the Project.</w:t>
      </w:r>
    </w:p>
    <w:p w14:paraId="20FBE90B" w14:textId="77777777" w:rsidR="00523945" w:rsidRPr="00CB5653" w:rsidRDefault="00523945" w:rsidP="00523945">
      <w:pPr>
        <w:pStyle w:val="subsection"/>
      </w:pPr>
      <w:r w:rsidRPr="00CB5653">
        <w:tab/>
        <w:t>(5)</w:t>
      </w:r>
      <w:r w:rsidRPr="00CB5653">
        <w:tab/>
        <w:t>The Project Proponent is to be informed of a decision not to progress an Investment Proposal within five business days of the Facility receiving written notification from a relevant jurisdiction that financial assistance should not be provided for the Project.</w:t>
      </w:r>
    </w:p>
    <w:p w14:paraId="7B2820A3" w14:textId="77777777" w:rsidR="00523945" w:rsidRPr="00CB5653" w:rsidRDefault="00523945" w:rsidP="00523945">
      <w:pPr>
        <w:pStyle w:val="ActHead5"/>
      </w:pPr>
      <w:bookmarkStart w:id="33" w:name="_Toc146281758"/>
      <w:proofErr w:type="gramStart"/>
      <w:r w:rsidRPr="00CB5653">
        <w:t>17  Relationship</w:t>
      </w:r>
      <w:proofErr w:type="gramEnd"/>
      <w:r w:rsidRPr="00CB5653">
        <w:t xml:space="preserve"> with other Commonwealth entities</w:t>
      </w:r>
      <w:bookmarkEnd w:id="33"/>
      <w:r w:rsidRPr="00CB5653">
        <w:t xml:space="preserve"> and other persons and bodies </w:t>
      </w:r>
    </w:p>
    <w:p w14:paraId="4D78FEA8" w14:textId="77777777" w:rsidR="00523945" w:rsidRPr="00CB5653" w:rsidRDefault="00523945" w:rsidP="00523945">
      <w:pPr>
        <w:pStyle w:val="subsection"/>
      </w:pPr>
      <w:r w:rsidRPr="00CB5653">
        <w:tab/>
        <w:t>(1)</w:t>
      </w:r>
      <w:r w:rsidRPr="00CB5653" w:rsidDel="007D63CF">
        <w:tab/>
      </w:r>
      <w:r w:rsidRPr="00CB5653">
        <w:t>Before making an Investment Decision, the Facility must, in relation to the proposed Investment Decision, consult:</w:t>
      </w:r>
    </w:p>
    <w:p w14:paraId="35CE4D2C" w14:textId="77777777" w:rsidR="00523945" w:rsidRPr="00CB5653" w:rsidRDefault="00523945" w:rsidP="00523945">
      <w:pPr>
        <w:pStyle w:val="paragraph"/>
      </w:pPr>
      <w:r w:rsidRPr="00CB5653">
        <w:tab/>
        <w:t>(a)</w:t>
      </w:r>
      <w:r w:rsidRPr="00CB5653">
        <w:tab/>
        <w:t>the Department; and</w:t>
      </w:r>
    </w:p>
    <w:p w14:paraId="4673582B" w14:textId="77777777" w:rsidR="00523945" w:rsidRPr="00CB5653" w:rsidRDefault="00523945" w:rsidP="00523945">
      <w:pPr>
        <w:pStyle w:val="paragraph"/>
      </w:pPr>
      <w:r w:rsidRPr="00CB5653">
        <w:tab/>
        <w:t>(b)</w:t>
      </w:r>
      <w:r w:rsidRPr="00CB5653">
        <w:tab/>
        <w:t>any other Commonwealth entities or any other person or body the Department notifies the Facility should be consulted.</w:t>
      </w:r>
    </w:p>
    <w:p w14:paraId="520A3287" w14:textId="77777777" w:rsidR="00523945" w:rsidRPr="00CB5653" w:rsidRDefault="00523945" w:rsidP="00523945">
      <w:pPr>
        <w:pStyle w:val="subsection"/>
      </w:pPr>
      <w:r w:rsidRPr="00CB5653">
        <w:tab/>
        <w:t>(2)</w:t>
      </w:r>
      <w:r w:rsidRPr="00CB5653">
        <w:tab/>
        <w:t>Where an Investment Decision would provide financial assistance greater than $250 million in aggregate, the Facility must consult Infrastructure Australia in relation to the public benefit analysis of the Project.</w:t>
      </w:r>
    </w:p>
    <w:p w14:paraId="6C4134C4" w14:textId="77777777" w:rsidR="00523945" w:rsidRPr="00CB5653" w:rsidRDefault="00523945" w:rsidP="00523945">
      <w:pPr>
        <w:pStyle w:val="subsection"/>
      </w:pPr>
      <w:r w:rsidRPr="00CB5653">
        <w:tab/>
        <w:t>(3)</w:t>
      </w:r>
      <w:r w:rsidRPr="00CB5653">
        <w:tab/>
        <w:t>The Facility will work with the Department and the Finance Department to ensure that, subject to commercial confidentiality, advice provided to Government addresses the effectiveness of the Facility and its projects in meeting the Government Policy Priorities.</w:t>
      </w:r>
    </w:p>
    <w:p w14:paraId="1C92273C" w14:textId="77777777" w:rsidR="00523945" w:rsidRPr="00CB5653" w:rsidRDefault="00523945" w:rsidP="00523945">
      <w:pPr>
        <w:pStyle w:val="subsection"/>
      </w:pPr>
      <w:r w:rsidRPr="00CB5653">
        <w:tab/>
        <w:t>(4)</w:t>
      </w:r>
      <w:r w:rsidRPr="00CB5653">
        <w:tab/>
      </w:r>
      <w:r w:rsidRPr="00351491">
        <w:t>Where it would be practical and appropriate, in the reasonable opinion of the Facility, in order to facilitate the performance of the Facility’s functions, the Facility must seek to cooperate and collaborate with other Commonwealth entities, and with any State entities, that are able to support it in the</w:t>
      </w:r>
      <w:r w:rsidRPr="00CB5653">
        <w:t xml:space="preserve"> performance of its functions.</w:t>
      </w:r>
    </w:p>
    <w:p w14:paraId="2DF7EF28" w14:textId="77777777" w:rsidR="00523945" w:rsidRPr="00CB5653" w:rsidRDefault="00523945" w:rsidP="00523945">
      <w:pPr>
        <w:pStyle w:val="subsection"/>
      </w:pPr>
      <w:r w:rsidRPr="00CB5653">
        <w:tab/>
        <w:t>(5)</w:t>
      </w:r>
      <w:r w:rsidRPr="00CB5653">
        <w:tab/>
        <w:t xml:space="preserve">To avoid doubt, subsection (4) does not oblige the Facility to consult any Commonwealth entity or State entity in relation to a project (whether or not the project is the subject of an Investment Proposal or an Investment Decision) either before or after the Facility </w:t>
      </w:r>
      <w:proofErr w:type="gramStart"/>
      <w:r w:rsidRPr="00CB5653">
        <w:t>makes a decision</w:t>
      </w:r>
      <w:proofErr w:type="gramEnd"/>
      <w:r w:rsidRPr="00CB5653">
        <w:t xml:space="preserve"> whether to offer financial assistance for the project.</w:t>
      </w:r>
    </w:p>
    <w:p w14:paraId="1B9E9A84" w14:textId="77777777" w:rsidR="00523945" w:rsidRPr="00CB5653" w:rsidRDefault="00523945" w:rsidP="00523945">
      <w:pPr>
        <w:pStyle w:val="subsection"/>
      </w:pPr>
      <w:r w:rsidRPr="00CB5653">
        <w:t xml:space="preserve"> </w:t>
      </w:r>
      <w:r w:rsidRPr="00CB5653">
        <w:tab/>
        <w:t>(6)</w:t>
      </w:r>
      <w:r w:rsidRPr="00CB5653">
        <w:tab/>
        <w:t xml:space="preserve">Without limitation, for the purposes of this section, </w:t>
      </w:r>
      <w:r w:rsidRPr="00CB5653">
        <w:rPr>
          <w:b/>
          <w:i/>
        </w:rPr>
        <w:t>Commonwealth entities</w:t>
      </w:r>
      <w:r w:rsidRPr="00CB5653">
        <w:t xml:space="preserve"> include but are not limited to the following:</w:t>
      </w:r>
    </w:p>
    <w:p w14:paraId="2E9A6A49" w14:textId="77777777" w:rsidR="00523945" w:rsidRPr="00CB5653" w:rsidRDefault="00523945" w:rsidP="00523945">
      <w:pPr>
        <w:pStyle w:val="paragraph"/>
      </w:pPr>
      <w:r w:rsidRPr="00CB5653">
        <w:tab/>
        <w:t>(a)</w:t>
      </w:r>
      <w:r w:rsidRPr="00CB5653">
        <w:tab/>
        <w:t>the Australian Renewable Energy Agency;</w:t>
      </w:r>
    </w:p>
    <w:p w14:paraId="74EC2C10" w14:textId="77777777" w:rsidR="00523945" w:rsidRPr="00CB5653" w:rsidRDefault="00523945" w:rsidP="00523945">
      <w:pPr>
        <w:pStyle w:val="paragraph"/>
      </w:pPr>
      <w:r w:rsidRPr="00CB5653">
        <w:tab/>
        <w:t>(b)</w:t>
      </w:r>
      <w:r w:rsidRPr="00CB5653">
        <w:tab/>
        <w:t>the Clean Energy Finance Corporation;</w:t>
      </w:r>
    </w:p>
    <w:p w14:paraId="23634ED6" w14:textId="77777777" w:rsidR="00523945" w:rsidRPr="00CB5653" w:rsidRDefault="00523945" w:rsidP="00523945">
      <w:pPr>
        <w:pStyle w:val="paragraph"/>
      </w:pPr>
      <w:r w:rsidRPr="00CB5653">
        <w:tab/>
        <w:t>(c)</w:t>
      </w:r>
      <w:r w:rsidRPr="00CB5653">
        <w:tab/>
        <w:t>Export Finance Australia;</w:t>
      </w:r>
    </w:p>
    <w:p w14:paraId="33D4264F" w14:textId="77777777" w:rsidR="00523945" w:rsidRPr="00CB5653" w:rsidRDefault="00523945" w:rsidP="00523945">
      <w:pPr>
        <w:pStyle w:val="paragraph"/>
      </w:pPr>
      <w:r w:rsidRPr="00CB5653">
        <w:lastRenderedPageBreak/>
        <w:tab/>
        <w:t>(d)</w:t>
      </w:r>
      <w:r w:rsidRPr="00CB5653">
        <w:tab/>
        <w:t>Housing Australia;</w:t>
      </w:r>
    </w:p>
    <w:p w14:paraId="6CCE71DF" w14:textId="77777777" w:rsidR="00523945" w:rsidRPr="00CB5653" w:rsidRDefault="00523945" w:rsidP="00523945">
      <w:pPr>
        <w:pStyle w:val="paragraph"/>
      </w:pPr>
      <w:r w:rsidRPr="00CB5653">
        <w:tab/>
        <w:t>(e)</w:t>
      </w:r>
      <w:r w:rsidRPr="00CB5653">
        <w:tab/>
        <w:t>the Regional Investment Corporation;</w:t>
      </w:r>
    </w:p>
    <w:p w14:paraId="46F37BA9" w14:textId="77777777" w:rsidR="00523945" w:rsidRPr="00CB5653" w:rsidRDefault="00523945" w:rsidP="00523945">
      <w:pPr>
        <w:pStyle w:val="paragraph"/>
      </w:pPr>
      <w:r w:rsidRPr="00CB5653">
        <w:tab/>
        <w:t>(f)</w:t>
      </w:r>
      <w:r w:rsidRPr="00CB5653">
        <w:tab/>
        <w:t>the National Reconstruction Fund Corporation;</w:t>
      </w:r>
    </w:p>
    <w:p w14:paraId="05DBE1C8" w14:textId="77777777" w:rsidR="00523945" w:rsidRPr="00CB5653" w:rsidRDefault="00523945" w:rsidP="00523945">
      <w:pPr>
        <w:pStyle w:val="paragraph"/>
        <w:tabs>
          <w:tab w:val="left" w:pos="1305"/>
        </w:tabs>
      </w:pPr>
      <w:r w:rsidRPr="00CB5653">
        <w:tab/>
        <w:t>(g)</w:t>
      </w:r>
      <w:r w:rsidRPr="00CB5653">
        <w:tab/>
        <w:t>the Net Zero Economy Agency.</w:t>
      </w:r>
    </w:p>
    <w:p w14:paraId="5F7171E6" w14:textId="77777777" w:rsidR="00523945" w:rsidRPr="00CB5653" w:rsidRDefault="00523945" w:rsidP="00523945">
      <w:pPr>
        <w:pStyle w:val="subsection"/>
      </w:pPr>
      <w:r w:rsidRPr="00CB5653">
        <w:tab/>
        <w:t>(7)</w:t>
      </w:r>
      <w:r w:rsidRPr="00CB5653">
        <w:tab/>
        <w:t xml:space="preserve">For this section, each of the following is a </w:t>
      </w:r>
      <w:r w:rsidRPr="00CB5653">
        <w:rPr>
          <w:b/>
          <w:bCs/>
          <w:i/>
          <w:iCs/>
        </w:rPr>
        <w:t>State entity</w:t>
      </w:r>
      <w:r w:rsidRPr="00CB5653">
        <w:t>:</w:t>
      </w:r>
    </w:p>
    <w:p w14:paraId="1E2B5FE5" w14:textId="77777777" w:rsidR="00523945" w:rsidRPr="00CB5653" w:rsidRDefault="00523945" w:rsidP="00523945">
      <w:pPr>
        <w:pStyle w:val="paragraph"/>
      </w:pPr>
      <w:r w:rsidRPr="00CB5653">
        <w:tab/>
        <w:t>(a)</w:t>
      </w:r>
      <w:r w:rsidRPr="00CB5653">
        <w:tab/>
        <w:t>a State;</w:t>
      </w:r>
    </w:p>
    <w:p w14:paraId="010A97C8" w14:textId="77777777" w:rsidR="00523945" w:rsidRPr="00CB5653" w:rsidRDefault="00523945" w:rsidP="00523945">
      <w:pPr>
        <w:pStyle w:val="paragraph"/>
      </w:pPr>
      <w:r w:rsidRPr="00CB5653">
        <w:tab/>
        <w:t>(b)</w:t>
      </w:r>
      <w:r w:rsidRPr="00CB5653">
        <w:tab/>
        <w:t>a body corporate established for a public purpose by or under a law of a State.</w:t>
      </w:r>
    </w:p>
    <w:p w14:paraId="0E6D80FE" w14:textId="77777777" w:rsidR="00523945" w:rsidRPr="00CB5653" w:rsidRDefault="00523945" w:rsidP="00523945">
      <w:pPr>
        <w:pStyle w:val="subsection"/>
      </w:pPr>
      <w:r w:rsidRPr="00CB5653">
        <w:tab/>
        <w:t>(8)</w:t>
      </w:r>
      <w:r w:rsidRPr="00CB5653">
        <w:tab/>
        <w:t xml:space="preserve">Where the Net Zero Economy Agency has engaged with the Facility on opportunities that support the transition to net zero emissions, the Facility will consider those opportunities. </w:t>
      </w:r>
    </w:p>
    <w:p w14:paraId="19FA3FA2" w14:textId="77777777" w:rsidR="00523945" w:rsidRPr="00CB5653" w:rsidRDefault="00523945" w:rsidP="00523945">
      <w:pPr>
        <w:pStyle w:val="ActHead5"/>
      </w:pPr>
      <w:bookmarkStart w:id="34" w:name="_Toc146281759"/>
      <w:proofErr w:type="gramStart"/>
      <w:r w:rsidRPr="00CB5653">
        <w:t>18  Regulatory</w:t>
      </w:r>
      <w:proofErr w:type="gramEnd"/>
      <w:r w:rsidRPr="00CB5653">
        <w:t xml:space="preserve"> and environmental approvals</w:t>
      </w:r>
      <w:bookmarkEnd w:id="34"/>
    </w:p>
    <w:p w14:paraId="3067E10A" w14:textId="77777777" w:rsidR="00523945" w:rsidRPr="00CB5653" w:rsidRDefault="00523945" w:rsidP="00523945">
      <w:pPr>
        <w:pStyle w:val="subsection"/>
      </w:pPr>
      <w:r w:rsidRPr="00CB5653">
        <w:tab/>
      </w:r>
      <w:r w:rsidRPr="00CB5653">
        <w:tab/>
        <w:t>The Facility may make an Investment Decision prior to the Project Proponent obtaining all necessary regulatory, environmental and other relevant approvals and arrangements for the Project on such conditions as the Facility considers appropriate.</w:t>
      </w:r>
    </w:p>
    <w:p w14:paraId="1C30FACA" w14:textId="77777777" w:rsidR="00523945" w:rsidRPr="00CB5653" w:rsidRDefault="00523945" w:rsidP="00523945">
      <w:pPr>
        <w:pStyle w:val="ActHead5"/>
      </w:pPr>
      <w:bookmarkStart w:id="35" w:name="_Toc146281760"/>
      <w:proofErr w:type="gramStart"/>
      <w:r w:rsidRPr="00CB5653">
        <w:t>19  Reputation</w:t>
      </w:r>
      <w:bookmarkEnd w:id="35"/>
      <w:proofErr w:type="gramEnd"/>
    </w:p>
    <w:p w14:paraId="1E11D16B" w14:textId="77777777" w:rsidR="00523945" w:rsidRPr="00CB5653" w:rsidRDefault="00523945" w:rsidP="00523945">
      <w:pPr>
        <w:pStyle w:val="subsection"/>
      </w:pPr>
      <w:r w:rsidRPr="00CB5653">
        <w:tab/>
      </w:r>
      <w:r w:rsidRPr="00CB5653">
        <w:tab/>
        <w:t>The Facility must avoid behaviour of a kind which is likely to bring into disrepute:</w:t>
      </w:r>
    </w:p>
    <w:p w14:paraId="2C9BB047" w14:textId="77777777" w:rsidR="00523945" w:rsidRPr="00CB5653" w:rsidRDefault="00523945" w:rsidP="00523945">
      <w:pPr>
        <w:pStyle w:val="paragraph"/>
      </w:pPr>
      <w:r w:rsidRPr="00CB5653">
        <w:tab/>
        <w:t>(a)</w:t>
      </w:r>
      <w:r w:rsidRPr="00CB5653">
        <w:tab/>
        <w:t>the Commonwealth; or</w:t>
      </w:r>
    </w:p>
    <w:p w14:paraId="6BC6710A" w14:textId="77777777" w:rsidR="00523945" w:rsidRPr="00CB5653" w:rsidRDefault="00523945" w:rsidP="00523945">
      <w:pPr>
        <w:pStyle w:val="paragraph"/>
      </w:pPr>
      <w:r w:rsidRPr="00CB5653">
        <w:tab/>
        <w:t>(b)</w:t>
      </w:r>
      <w:r w:rsidRPr="00CB5653">
        <w:tab/>
        <w:t>a Commonwealth entity; or</w:t>
      </w:r>
    </w:p>
    <w:p w14:paraId="36EB7BA4" w14:textId="77777777" w:rsidR="00523945" w:rsidRPr="00CB5653" w:rsidRDefault="00523945" w:rsidP="00523945">
      <w:pPr>
        <w:pStyle w:val="paragraph"/>
      </w:pPr>
      <w:r w:rsidRPr="00CB5653">
        <w:tab/>
        <w:t>(c)</w:t>
      </w:r>
      <w:r w:rsidRPr="00CB5653">
        <w:tab/>
        <w:t xml:space="preserve">a State; or </w:t>
      </w:r>
    </w:p>
    <w:p w14:paraId="02F30D23" w14:textId="77777777" w:rsidR="00523945" w:rsidRPr="00CB5653" w:rsidRDefault="00523945" w:rsidP="00523945">
      <w:pPr>
        <w:pStyle w:val="paragraph"/>
      </w:pPr>
      <w:r w:rsidRPr="00CB5653">
        <w:tab/>
        <w:t>(d)</w:t>
      </w:r>
      <w:r w:rsidRPr="00CB5653">
        <w:tab/>
        <w:t xml:space="preserve">an agency or authority of a State. </w:t>
      </w:r>
    </w:p>
    <w:p w14:paraId="414BA0ED" w14:textId="77777777" w:rsidR="00523945" w:rsidRPr="00CB5653" w:rsidRDefault="00523945" w:rsidP="00523945">
      <w:pPr>
        <w:pStyle w:val="ActHead5"/>
      </w:pPr>
      <w:bookmarkStart w:id="36" w:name="_Toc146281761"/>
      <w:proofErr w:type="gramStart"/>
      <w:r w:rsidRPr="00CB5653">
        <w:t>20  Corporate</w:t>
      </w:r>
      <w:proofErr w:type="gramEnd"/>
      <w:r w:rsidRPr="00CB5653">
        <w:t xml:space="preserve"> governance</w:t>
      </w:r>
      <w:bookmarkEnd w:id="36"/>
    </w:p>
    <w:p w14:paraId="0D697A32" w14:textId="77777777" w:rsidR="00523945" w:rsidRPr="00CB5653" w:rsidRDefault="00523945" w:rsidP="00523945">
      <w:pPr>
        <w:pStyle w:val="subsection"/>
      </w:pPr>
      <w:r w:rsidRPr="00CB5653">
        <w:tab/>
        <w:t>(1)</w:t>
      </w:r>
      <w:r w:rsidRPr="00CB5653">
        <w:tab/>
        <w:t>The Facility must have regard to Australian best practice government governance principles and relevant Australian best practice corporate governance for Commercial Financiers, when performing its functions, including developing and annually reviewing policies with regard to:</w:t>
      </w:r>
    </w:p>
    <w:p w14:paraId="22818F55" w14:textId="77777777" w:rsidR="00523945" w:rsidRPr="00CB5653" w:rsidRDefault="00523945" w:rsidP="00523945">
      <w:pPr>
        <w:pStyle w:val="paragraph"/>
      </w:pPr>
      <w:r w:rsidRPr="00CB5653">
        <w:tab/>
        <w:t>(a)</w:t>
      </w:r>
      <w:r w:rsidRPr="00CB5653">
        <w:tab/>
        <w:t>environmental issues; and</w:t>
      </w:r>
    </w:p>
    <w:p w14:paraId="5F646813" w14:textId="77777777" w:rsidR="00523945" w:rsidRPr="00CB5653" w:rsidRDefault="00523945" w:rsidP="00523945">
      <w:pPr>
        <w:pStyle w:val="paragraph"/>
      </w:pPr>
      <w:r w:rsidRPr="00CB5653">
        <w:tab/>
        <w:t>(b)</w:t>
      </w:r>
      <w:r w:rsidRPr="00CB5653">
        <w:tab/>
        <w:t>social issues; and</w:t>
      </w:r>
    </w:p>
    <w:p w14:paraId="29F98396" w14:textId="77777777" w:rsidR="00523945" w:rsidRPr="00CB5653" w:rsidRDefault="00523945" w:rsidP="00523945">
      <w:pPr>
        <w:pStyle w:val="paragraph"/>
      </w:pPr>
      <w:r w:rsidRPr="00CB5653">
        <w:tab/>
        <w:t>(c)</w:t>
      </w:r>
      <w:r w:rsidRPr="00CB5653">
        <w:tab/>
        <w:t>climate and transition risks; and</w:t>
      </w:r>
    </w:p>
    <w:p w14:paraId="6439CD6F" w14:textId="77777777" w:rsidR="00523945" w:rsidRPr="00CB5653" w:rsidRDefault="00523945" w:rsidP="00523945">
      <w:pPr>
        <w:pStyle w:val="paragraph"/>
      </w:pPr>
      <w:r w:rsidRPr="00CB5653">
        <w:tab/>
        <w:t>(d)</w:t>
      </w:r>
      <w:r w:rsidRPr="00CB5653">
        <w:tab/>
        <w:t>shared risk; and</w:t>
      </w:r>
    </w:p>
    <w:p w14:paraId="188B0128" w14:textId="77777777" w:rsidR="00523945" w:rsidRPr="00CB5653" w:rsidRDefault="00523945" w:rsidP="00523945">
      <w:pPr>
        <w:pStyle w:val="paragraph"/>
      </w:pPr>
      <w:r w:rsidRPr="00CB5653">
        <w:tab/>
        <w:t>(e)</w:t>
      </w:r>
      <w:r w:rsidRPr="00CB5653">
        <w:tab/>
        <w:t>governance issues.</w:t>
      </w:r>
    </w:p>
    <w:p w14:paraId="27B8093D" w14:textId="77777777" w:rsidR="00523945" w:rsidRPr="00CB5653" w:rsidRDefault="00523945" w:rsidP="00523945">
      <w:pPr>
        <w:pStyle w:val="subsection"/>
      </w:pPr>
      <w:r w:rsidRPr="00CB5653">
        <w:tab/>
        <w:t>(2)</w:t>
      </w:r>
      <w:r w:rsidRPr="00CB5653">
        <w:tab/>
        <w:t>The Facility must, as part of its annual report, report on the non-financial outcomes of its Investment Decisions, including how it has developed or enhanced Northern Australian economic infrastructure, public benefits to the broader economy and community and Indigenous participation.</w:t>
      </w:r>
    </w:p>
    <w:p w14:paraId="5A473B5B" w14:textId="77777777" w:rsidR="00523945" w:rsidRPr="00CB5653" w:rsidRDefault="00523945" w:rsidP="00523945">
      <w:pPr>
        <w:pStyle w:val="subsection"/>
      </w:pPr>
      <w:r w:rsidRPr="00CB5653">
        <w:tab/>
        <w:t>(3)</w:t>
      </w:r>
      <w:r w:rsidRPr="00CB5653">
        <w:tab/>
        <w:t>Within 30 business days of the conclusion of the Minister’s consideration period under section 11 of the Act, for a proposal by the Facility to provide financial assistance, the Facility must publish information regarding the relevant Investment Decision on its website, including (except information subject to commercial confidentiality):</w:t>
      </w:r>
    </w:p>
    <w:p w14:paraId="79BCF5DC" w14:textId="77777777" w:rsidR="00523945" w:rsidRPr="00CB5653" w:rsidRDefault="00523945" w:rsidP="00523945">
      <w:pPr>
        <w:pStyle w:val="paragraph"/>
      </w:pPr>
      <w:r w:rsidRPr="00CB5653">
        <w:tab/>
        <w:t>(a)</w:t>
      </w:r>
      <w:r w:rsidRPr="00CB5653">
        <w:tab/>
        <w:t>the name of the Project Proponent; and</w:t>
      </w:r>
    </w:p>
    <w:p w14:paraId="6130F706" w14:textId="77777777" w:rsidR="00523945" w:rsidRPr="00CB5653" w:rsidRDefault="00523945" w:rsidP="00523945">
      <w:pPr>
        <w:pStyle w:val="paragraph"/>
      </w:pPr>
      <w:r w:rsidRPr="00CB5653">
        <w:tab/>
        <w:t>(b)</w:t>
      </w:r>
      <w:r w:rsidRPr="00CB5653">
        <w:tab/>
        <w:t>the nature of investment; and</w:t>
      </w:r>
    </w:p>
    <w:p w14:paraId="2E8195FF" w14:textId="77777777" w:rsidR="00523945" w:rsidRPr="00CB5653" w:rsidRDefault="00523945" w:rsidP="00523945">
      <w:pPr>
        <w:pStyle w:val="paragraph"/>
      </w:pPr>
      <w:r w:rsidRPr="00CB5653">
        <w:tab/>
        <w:t>(c)</w:t>
      </w:r>
      <w:r w:rsidRPr="00CB5653">
        <w:tab/>
        <w:t>the Project location; and</w:t>
      </w:r>
    </w:p>
    <w:p w14:paraId="3C6411EE" w14:textId="77777777" w:rsidR="00523945" w:rsidRPr="00CB5653" w:rsidRDefault="00523945" w:rsidP="00523945">
      <w:pPr>
        <w:pStyle w:val="paragraph"/>
      </w:pPr>
      <w:r w:rsidRPr="00CB5653">
        <w:tab/>
        <w:t>(d)</w:t>
      </w:r>
      <w:r w:rsidRPr="00CB5653">
        <w:tab/>
        <w:t>the type of financial assistance offered by the Facility; and</w:t>
      </w:r>
    </w:p>
    <w:p w14:paraId="6610BD70" w14:textId="77777777" w:rsidR="00523945" w:rsidRPr="00CB5653" w:rsidRDefault="00523945" w:rsidP="00523945">
      <w:pPr>
        <w:pStyle w:val="paragraph"/>
      </w:pPr>
      <w:r w:rsidRPr="00CB5653">
        <w:tab/>
        <w:t>(e)</w:t>
      </w:r>
      <w:r w:rsidRPr="00CB5653">
        <w:tab/>
        <w:t xml:space="preserve">the amount of the financial assistance offered by the Facility; and </w:t>
      </w:r>
    </w:p>
    <w:p w14:paraId="2B4053B2" w14:textId="77777777" w:rsidR="00523945" w:rsidRPr="00CB5653" w:rsidRDefault="00523945" w:rsidP="00523945">
      <w:pPr>
        <w:pStyle w:val="paragraph"/>
      </w:pPr>
      <w:r w:rsidRPr="00CB5653">
        <w:lastRenderedPageBreak/>
        <w:tab/>
        <w:t>(f)</w:t>
      </w:r>
      <w:r w:rsidRPr="00CB5653">
        <w:tab/>
        <w:t>the description of the public benefit; and</w:t>
      </w:r>
    </w:p>
    <w:p w14:paraId="5DD79D9E" w14:textId="77777777" w:rsidR="00523945" w:rsidRPr="00CB5653" w:rsidRDefault="00523945" w:rsidP="00523945">
      <w:pPr>
        <w:pStyle w:val="paragraph"/>
      </w:pPr>
      <w:r w:rsidRPr="00CB5653">
        <w:tab/>
        <w:t>(g)</w:t>
      </w:r>
      <w:r w:rsidRPr="00CB5653">
        <w:tab/>
        <w:t>any additional information called for by reporting guidance issued by the Finance Department.</w:t>
      </w:r>
    </w:p>
    <w:p w14:paraId="33C69AF4" w14:textId="77777777" w:rsidR="00523945" w:rsidRPr="00CB5653" w:rsidRDefault="00523945" w:rsidP="00523945">
      <w:pPr>
        <w:pStyle w:val="subsection"/>
      </w:pPr>
      <w:r w:rsidRPr="00CB5653">
        <w:tab/>
        <w:t>(4)</w:t>
      </w:r>
      <w:r w:rsidRPr="00CB5653">
        <w:tab/>
        <w:t>The Facility must publish guidance on its website on:</w:t>
      </w:r>
    </w:p>
    <w:p w14:paraId="65335356" w14:textId="77777777" w:rsidR="00523945" w:rsidRPr="00CB5653" w:rsidRDefault="00523945" w:rsidP="00523945">
      <w:pPr>
        <w:pStyle w:val="paragraph"/>
      </w:pPr>
      <w:r w:rsidRPr="00CB5653">
        <w:tab/>
        <w:t>(a)</w:t>
      </w:r>
      <w:r w:rsidRPr="00CB5653">
        <w:tab/>
        <w:t>the format of an Investment Proposal; and</w:t>
      </w:r>
    </w:p>
    <w:p w14:paraId="7D10FC21" w14:textId="77777777" w:rsidR="00523945" w:rsidRPr="00CB5653" w:rsidRDefault="00523945" w:rsidP="00523945">
      <w:pPr>
        <w:pStyle w:val="paragraph"/>
      </w:pPr>
      <w:r w:rsidRPr="00CB5653">
        <w:tab/>
        <w:t>(b)</w:t>
      </w:r>
      <w:r w:rsidRPr="00CB5653">
        <w:tab/>
        <w:t>the Facility’s processes for making decisions on whether to offer financial assistance for Projects; and</w:t>
      </w:r>
    </w:p>
    <w:p w14:paraId="0FA581CA" w14:textId="77777777" w:rsidR="00523945" w:rsidRPr="00CB5653" w:rsidRDefault="00523945" w:rsidP="00523945">
      <w:pPr>
        <w:pStyle w:val="paragraph"/>
      </w:pPr>
      <w:r w:rsidRPr="00CB5653">
        <w:tab/>
        <w:t>(c)</w:t>
      </w:r>
      <w:r w:rsidRPr="00CB5653">
        <w:tab/>
        <w:t>any other matters it considers necessary.</w:t>
      </w:r>
    </w:p>
    <w:p w14:paraId="5B70E957" w14:textId="77777777" w:rsidR="00523945" w:rsidRPr="00CB5653" w:rsidRDefault="00523945" w:rsidP="00523945">
      <w:pPr>
        <w:pStyle w:val="subsection"/>
      </w:pPr>
      <w:r w:rsidRPr="00CB5653">
        <w:tab/>
        <w:t>(5)</w:t>
      </w:r>
      <w:r w:rsidRPr="00CB5653">
        <w:tab/>
        <w:t>Within 30 days of an Investment Decision, the Facility must publish a summary of the Project Proponent’s Indigenous Engagement Strategy or, for a project in the Indian Ocean Territories, the Local Employment and Procurement Strategy on its website.</w:t>
      </w:r>
    </w:p>
    <w:p w14:paraId="15B488F9" w14:textId="77777777" w:rsidR="00523945" w:rsidRPr="00CB5653" w:rsidRDefault="00523945" w:rsidP="00523945">
      <w:pPr>
        <w:pStyle w:val="ActHead5"/>
      </w:pPr>
      <w:bookmarkStart w:id="37" w:name="_Toc146281762"/>
      <w:proofErr w:type="gramStart"/>
      <w:r w:rsidRPr="00CB5653">
        <w:t>21  Providing</w:t>
      </w:r>
      <w:proofErr w:type="gramEnd"/>
      <w:r w:rsidRPr="00CB5653">
        <w:t xml:space="preserve"> information to the Minister for Northern Australia</w:t>
      </w:r>
      <w:bookmarkEnd w:id="37"/>
      <w:r w:rsidRPr="00CB5653">
        <w:t xml:space="preserve"> and Finance Minister</w:t>
      </w:r>
    </w:p>
    <w:p w14:paraId="49F76E2E" w14:textId="77777777" w:rsidR="00523945" w:rsidRPr="00CB5653" w:rsidRDefault="00523945" w:rsidP="00523945">
      <w:pPr>
        <w:pStyle w:val="subsection"/>
      </w:pPr>
      <w:r w:rsidRPr="00CB5653">
        <w:tab/>
        <w:t>(1)</w:t>
      </w:r>
      <w:r w:rsidRPr="00CB5653">
        <w:tab/>
        <w:t>The Minister for Northern Australia or the Finance Minister may, at any time, request information from the Facility regarding its policies, Investment Decisions or the management of its portfolio.</w:t>
      </w:r>
    </w:p>
    <w:p w14:paraId="344ABD9E" w14:textId="77777777" w:rsidR="00523945" w:rsidRPr="00CB5653" w:rsidRDefault="00523945" w:rsidP="00523945">
      <w:pPr>
        <w:pStyle w:val="subsection"/>
      </w:pPr>
      <w:r w:rsidRPr="00CB5653">
        <w:tab/>
        <w:t>(2)</w:t>
      </w:r>
      <w:r w:rsidRPr="00CB5653">
        <w:tab/>
        <w:t>The Facility must respond to a request for information from the Minister for Northern Australia or the Finance Minister within 30 days and provide its response to both the Minister for Northern Australia and the Finance Minister.</w:t>
      </w:r>
    </w:p>
    <w:p w14:paraId="3259273F" w14:textId="77777777" w:rsidR="00523945" w:rsidRPr="00CB5653" w:rsidRDefault="00523945" w:rsidP="00523945">
      <w:pPr>
        <w:pStyle w:val="subsection"/>
      </w:pPr>
      <w:r w:rsidRPr="00CB5653">
        <w:tab/>
        <w:t>(3)</w:t>
      </w:r>
      <w:r w:rsidRPr="00CB5653">
        <w:tab/>
        <w:t>Each quarter, unless otherwise requested by the Minister for Northern Australia in writing, the Facility must provide a briefing to the responsible Ministers on the status of its Investment Decisions, each project’s performance against any key metrics requested by the Minister for Northern Australia, and delivery against the Government Policy Priorities.</w:t>
      </w:r>
    </w:p>
    <w:p w14:paraId="2143755A" w14:textId="77777777" w:rsidR="00523945" w:rsidRPr="00CB5653" w:rsidRDefault="00523945" w:rsidP="00523945">
      <w:pPr>
        <w:pStyle w:val="ActHead5"/>
      </w:pPr>
      <w:bookmarkStart w:id="38" w:name="_Toc146281763"/>
      <w:proofErr w:type="gramStart"/>
      <w:r w:rsidRPr="00CB5653">
        <w:t>22  Australian</w:t>
      </w:r>
      <w:proofErr w:type="gramEnd"/>
      <w:r w:rsidRPr="00CB5653">
        <w:t xml:space="preserve"> industry participation</w:t>
      </w:r>
      <w:bookmarkEnd w:id="38"/>
    </w:p>
    <w:p w14:paraId="33F9D2E4" w14:textId="77777777" w:rsidR="00523945" w:rsidRPr="00CB5653" w:rsidRDefault="00523945" w:rsidP="00523945">
      <w:pPr>
        <w:pStyle w:val="subsection"/>
      </w:pPr>
      <w:r w:rsidRPr="00CB5653">
        <w:tab/>
        <w:t>(1)</w:t>
      </w:r>
      <w:r w:rsidRPr="00CB5653">
        <w:tab/>
        <w:t xml:space="preserve">The Facility must ensure that an Australian Industry Participation plan is completed for any Project for which the Facility provides financial assistance, where required by the </w:t>
      </w:r>
      <w:bookmarkStart w:id="39" w:name="_Hlk150419967"/>
      <w:r w:rsidRPr="00CB5653">
        <w:rPr>
          <w:i/>
        </w:rPr>
        <w:t xml:space="preserve">Australian Industry Participation Plans and Implementation Reports for Australian Government Projects: </w:t>
      </w:r>
      <w:proofErr w:type="spellStart"/>
      <w:r w:rsidRPr="00CB5653">
        <w:rPr>
          <w:i/>
        </w:rPr>
        <w:t>SmartForm</w:t>
      </w:r>
      <w:proofErr w:type="spellEnd"/>
      <w:r w:rsidRPr="00CB5653">
        <w:rPr>
          <w:i/>
        </w:rPr>
        <w:t xml:space="preserve"> User Guide for Organisations</w:t>
      </w:r>
      <w:r w:rsidRPr="00CB5653">
        <w:t xml:space="preserve"> or the </w:t>
      </w:r>
      <w:r w:rsidRPr="00CB5653">
        <w:rPr>
          <w:i/>
        </w:rPr>
        <w:t>Australian Industry Participation Plans and Implementation Reports in Northern Australia Infrastructure Facility (NAIF) Loans:  NAIF User Guide (</w:t>
      </w:r>
      <w:proofErr w:type="spellStart"/>
      <w:r w:rsidRPr="00CB5653">
        <w:rPr>
          <w:i/>
        </w:rPr>
        <w:t>SmartForm</w:t>
      </w:r>
      <w:proofErr w:type="spellEnd"/>
      <w:r w:rsidRPr="00CB5653">
        <w:rPr>
          <w:i/>
        </w:rPr>
        <w:t xml:space="preserve"> Version)</w:t>
      </w:r>
      <w:r w:rsidRPr="00CB5653">
        <w:rPr>
          <w:color w:val="FF0000"/>
        </w:rPr>
        <w:t>.</w:t>
      </w:r>
      <w:bookmarkEnd w:id="39"/>
    </w:p>
    <w:p w14:paraId="121C3C76" w14:textId="77777777" w:rsidR="00523945" w:rsidRPr="00CB5653" w:rsidRDefault="00523945" w:rsidP="00523945">
      <w:pPr>
        <w:pStyle w:val="subsection"/>
      </w:pPr>
      <w:r w:rsidRPr="00CB5653">
        <w:tab/>
        <w:t>(2)</w:t>
      </w:r>
      <w:r w:rsidRPr="00CB5653">
        <w:tab/>
        <w:t xml:space="preserve">The Facility must also: </w:t>
      </w:r>
    </w:p>
    <w:p w14:paraId="60484738" w14:textId="77777777" w:rsidR="00523945" w:rsidRPr="00CB5653" w:rsidRDefault="00523945" w:rsidP="00523945">
      <w:pPr>
        <w:pStyle w:val="paragraph"/>
      </w:pPr>
      <w:r w:rsidRPr="00CB5653" w:rsidDel="00800756">
        <w:tab/>
        <w:t>(</w:t>
      </w:r>
      <w:r w:rsidRPr="00CB5653">
        <w:t>a)</w:t>
      </w:r>
      <w:r w:rsidRPr="00CB5653">
        <w:tab/>
        <w:t>consult with the Finance Department on the application of the Australian Government’s Buy Australian Plan to Projects; and</w:t>
      </w:r>
    </w:p>
    <w:p w14:paraId="4FE10CB4" w14:textId="77777777" w:rsidR="00523945" w:rsidRPr="00CB5653" w:rsidRDefault="00523945" w:rsidP="00523945">
      <w:pPr>
        <w:pStyle w:val="paragraph"/>
      </w:pPr>
      <w:r w:rsidRPr="00CB5653" w:rsidDel="00800756">
        <w:tab/>
      </w:r>
      <w:r w:rsidRPr="00CB5653">
        <w:t>(b)</w:t>
      </w:r>
      <w:r w:rsidRPr="00CB5653">
        <w:tab/>
        <w:t>where practical, encourage the increased use of local content in Projects.</w:t>
      </w:r>
    </w:p>
    <w:p w14:paraId="07B13BAC" w14:textId="77777777" w:rsidR="00523945" w:rsidRPr="00CB5653" w:rsidRDefault="00523945" w:rsidP="00523945">
      <w:pPr>
        <w:spacing w:line="240" w:lineRule="auto"/>
        <w:rPr>
          <w:rFonts w:eastAsia="Times New Roman" w:cs="Times New Roman"/>
          <w:lang w:eastAsia="en-AU"/>
        </w:rPr>
      </w:pPr>
      <w:r w:rsidRPr="00CB5653">
        <w:br w:type="page"/>
      </w:r>
    </w:p>
    <w:p w14:paraId="354AE6A3" w14:textId="77777777" w:rsidR="00523945" w:rsidRPr="00CB5653" w:rsidRDefault="00523945" w:rsidP="00523945">
      <w:pPr>
        <w:pStyle w:val="ActHead6"/>
      </w:pPr>
      <w:bookmarkStart w:id="40" w:name="_Toc146281764"/>
      <w:r w:rsidRPr="00CB5653">
        <w:lastRenderedPageBreak/>
        <w:t>Schedule 1—Eligibility criteria for financial assistance</w:t>
      </w:r>
      <w:bookmarkEnd w:id="40"/>
      <w:r w:rsidRPr="00CB5653">
        <w:t xml:space="preserve"> </w:t>
      </w:r>
    </w:p>
    <w:p w14:paraId="157EDB0D" w14:textId="77777777" w:rsidR="00523945" w:rsidRPr="00CB5653" w:rsidRDefault="00523945" w:rsidP="00523945">
      <w:pPr>
        <w:spacing w:before="120" w:after="240" w:line="252" w:lineRule="auto"/>
        <w:rPr>
          <w:rFonts w:cs="Times New Roman"/>
          <w:sz w:val="24"/>
          <w:szCs w:val="24"/>
        </w:rPr>
      </w:pPr>
      <w:r w:rsidRPr="00CB5653">
        <w:rPr>
          <w:rFonts w:cs="Times New Roman"/>
          <w:sz w:val="24"/>
          <w:szCs w:val="24"/>
        </w:rPr>
        <w:t>To be eligible for financial assistance, the Facility must be satisfied that the Investment Proposal meets all applicable Mandatory Criteria:</w:t>
      </w: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65"/>
        <w:gridCol w:w="5974"/>
      </w:tblGrid>
      <w:tr w:rsidR="00523945" w:rsidRPr="00CB5653" w14:paraId="227D6519" w14:textId="77777777" w:rsidTr="009B5B0B">
        <w:trPr>
          <w:trHeight w:val="501"/>
        </w:trPr>
        <w:tc>
          <w:tcPr>
            <w:tcW w:w="3665" w:type="dxa"/>
            <w:tcBorders>
              <w:top w:val="nil"/>
              <w:bottom w:val="single" w:sz="8" w:space="0" w:color="auto"/>
            </w:tcBorders>
            <w:shd w:val="clear" w:color="auto" w:fill="005677"/>
            <w:vAlign w:val="center"/>
          </w:tcPr>
          <w:p w14:paraId="3EA6416A" w14:textId="77777777" w:rsidR="00523945" w:rsidRPr="00CB5653" w:rsidRDefault="00523945" w:rsidP="009B5B0B">
            <w:pPr>
              <w:spacing w:line="252" w:lineRule="auto"/>
              <w:ind w:right="284"/>
              <w:rPr>
                <w:rFonts w:eastAsia="Times New Roman" w:cs="Times New Roman"/>
                <w:b/>
                <w:bCs/>
                <w:color w:val="FFFFFF"/>
                <w:sz w:val="24"/>
                <w:szCs w:val="24"/>
                <w:lang w:eastAsia="en-AU"/>
              </w:rPr>
            </w:pPr>
            <w:r w:rsidRPr="00CB5653">
              <w:rPr>
                <w:rFonts w:eastAsia="Times New Roman" w:cs="Times New Roman"/>
                <w:b/>
                <w:bCs/>
                <w:color w:val="FFFFFF"/>
                <w:sz w:val="24"/>
                <w:szCs w:val="24"/>
                <w:lang w:eastAsia="en-AU"/>
              </w:rPr>
              <w:t>Mandatory Criteria</w:t>
            </w:r>
          </w:p>
        </w:tc>
        <w:tc>
          <w:tcPr>
            <w:tcW w:w="5974" w:type="dxa"/>
            <w:tcBorders>
              <w:top w:val="nil"/>
              <w:bottom w:val="single" w:sz="8" w:space="0" w:color="auto"/>
            </w:tcBorders>
            <w:shd w:val="clear" w:color="auto" w:fill="005677"/>
            <w:vAlign w:val="center"/>
          </w:tcPr>
          <w:p w14:paraId="0B28421F" w14:textId="77777777" w:rsidR="00523945" w:rsidRPr="00CB5653" w:rsidRDefault="00523945" w:rsidP="009B5B0B">
            <w:pPr>
              <w:spacing w:line="252" w:lineRule="auto"/>
              <w:ind w:right="284"/>
              <w:rPr>
                <w:rFonts w:cs="Times New Roman"/>
                <w:sz w:val="24"/>
                <w:szCs w:val="24"/>
              </w:rPr>
            </w:pPr>
            <w:r w:rsidRPr="00CB5653">
              <w:rPr>
                <w:rFonts w:eastAsia="Times New Roman" w:cs="Times New Roman"/>
                <w:b/>
                <w:bCs/>
                <w:color w:val="FFFFFF"/>
                <w:sz w:val="24"/>
                <w:szCs w:val="24"/>
                <w:lang w:eastAsia="en-AU"/>
              </w:rPr>
              <w:t>Description</w:t>
            </w:r>
          </w:p>
        </w:tc>
      </w:tr>
      <w:tr w:rsidR="00523945" w:rsidRPr="00CB5653" w14:paraId="78F4A00A" w14:textId="77777777" w:rsidTr="009B5B0B">
        <w:tc>
          <w:tcPr>
            <w:tcW w:w="3665" w:type="dxa"/>
            <w:tcBorders>
              <w:top w:val="single" w:sz="8" w:space="0" w:color="auto"/>
              <w:bottom w:val="single" w:sz="12" w:space="0" w:color="auto"/>
            </w:tcBorders>
          </w:tcPr>
          <w:p w14:paraId="3F9C2EA6" w14:textId="77777777" w:rsidR="00523945" w:rsidRPr="00CB5653" w:rsidRDefault="00523945" w:rsidP="009B5B0B">
            <w:pPr>
              <w:pStyle w:val="ListParagraph"/>
              <w:numPr>
                <w:ilvl w:val="0"/>
                <w:numId w:val="4"/>
              </w:numPr>
            </w:pPr>
            <w:bookmarkStart w:id="41" w:name="_Hlk140484001"/>
            <w:r w:rsidRPr="00CB5653">
              <w:t>The Project involves development or enhancement of Northern Australia economic infrastructure.</w:t>
            </w:r>
            <w:bookmarkEnd w:id="41"/>
          </w:p>
        </w:tc>
        <w:tc>
          <w:tcPr>
            <w:tcW w:w="5974" w:type="dxa"/>
            <w:tcBorders>
              <w:top w:val="single" w:sz="8" w:space="0" w:color="auto"/>
              <w:bottom w:val="single" w:sz="12" w:space="0" w:color="auto"/>
            </w:tcBorders>
          </w:tcPr>
          <w:p w14:paraId="65B6637B" w14:textId="77777777" w:rsidR="00523945" w:rsidRPr="00CB5653" w:rsidRDefault="00523945" w:rsidP="009B5B0B">
            <w:pPr>
              <w:spacing w:before="120" w:after="120"/>
              <w:rPr>
                <w:rFonts w:cs="Times New Roman"/>
                <w:sz w:val="24"/>
                <w:szCs w:val="24"/>
              </w:rPr>
            </w:pPr>
            <w:r w:rsidRPr="00CB5653">
              <w:rPr>
                <w:rFonts w:cs="Times New Roman"/>
                <w:sz w:val="24"/>
                <w:szCs w:val="24"/>
              </w:rPr>
              <w:t xml:space="preserve">The Facility must be satisfied the Project incorporates, or will incorporate, the development or enhancement of physical structures, assets (including moveable assets), technology or facilities which underpin, facilitate or are associated with: </w:t>
            </w:r>
          </w:p>
          <w:p w14:paraId="211342F9" w14:textId="77777777" w:rsidR="00523945" w:rsidRPr="00CB5653" w:rsidRDefault="00523945" w:rsidP="009B5B0B">
            <w:pPr>
              <w:spacing w:before="120" w:after="120"/>
              <w:ind w:left="374" w:hanging="374"/>
              <w:rPr>
                <w:rFonts w:cs="Times New Roman"/>
                <w:sz w:val="24"/>
                <w:szCs w:val="24"/>
              </w:rPr>
            </w:pPr>
            <w:r w:rsidRPr="00CB5653">
              <w:rPr>
                <w:rFonts w:cs="Times New Roman"/>
                <w:sz w:val="24"/>
                <w:szCs w:val="24"/>
              </w:rPr>
              <w:t>(a)</w:t>
            </w:r>
            <w:r w:rsidRPr="00CB5653">
              <w:rPr>
                <w:rFonts w:cs="Times New Roman"/>
                <w:sz w:val="24"/>
                <w:szCs w:val="24"/>
              </w:rPr>
              <w:tab/>
              <w:t xml:space="preserve">the transport or flow of people, goods, services or information; or </w:t>
            </w:r>
          </w:p>
          <w:p w14:paraId="7AFD0366" w14:textId="77777777" w:rsidR="00523945" w:rsidRPr="00CB5653" w:rsidRDefault="00523945" w:rsidP="009B5B0B">
            <w:pPr>
              <w:spacing w:before="120" w:after="120"/>
              <w:ind w:left="374" w:hanging="374"/>
              <w:rPr>
                <w:rFonts w:cs="Times New Roman"/>
                <w:sz w:val="24"/>
                <w:szCs w:val="24"/>
              </w:rPr>
            </w:pPr>
            <w:r w:rsidRPr="00CB5653">
              <w:rPr>
                <w:rFonts w:cs="Times New Roman"/>
                <w:sz w:val="24"/>
                <w:szCs w:val="24"/>
              </w:rPr>
              <w:t>(b)</w:t>
            </w:r>
            <w:r w:rsidRPr="00CB5653">
              <w:rPr>
                <w:rFonts w:cs="Times New Roman"/>
                <w:sz w:val="24"/>
                <w:szCs w:val="24"/>
              </w:rPr>
              <w:tab/>
              <w:t xml:space="preserve">the establishment or enhancement of business activity in a region; or </w:t>
            </w:r>
          </w:p>
          <w:p w14:paraId="5778620E" w14:textId="77777777" w:rsidR="00523945" w:rsidRPr="00CB5653" w:rsidRDefault="00523945" w:rsidP="009B5B0B">
            <w:pPr>
              <w:spacing w:before="120" w:after="120"/>
              <w:ind w:left="374" w:hanging="374"/>
              <w:rPr>
                <w:rFonts w:cs="Times New Roman"/>
                <w:sz w:val="24"/>
                <w:szCs w:val="24"/>
              </w:rPr>
            </w:pPr>
            <w:r w:rsidRPr="00CB5653">
              <w:rPr>
                <w:rFonts w:cs="Times New Roman"/>
                <w:sz w:val="24"/>
                <w:szCs w:val="24"/>
              </w:rPr>
              <w:t>(c)</w:t>
            </w:r>
            <w:r w:rsidRPr="00CB5653">
              <w:rPr>
                <w:rFonts w:cs="Times New Roman"/>
                <w:sz w:val="24"/>
                <w:szCs w:val="24"/>
              </w:rPr>
              <w:tab/>
              <w:t>an increase in economic activity in a region, including efficiency in developing or connecting markets; or</w:t>
            </w:r>
          </w:p>
          <w:p w14:paraId="4056929F" w14:textId="77777777" w:rsidR="00523945" w:rsidRPr="00CB5653" w:rsidRDefault="00523945" w:rsidP="009B5B0B">
            <w:pPr>
              <w:spacing w:before="120" w:after="120"/>
              <w:ind w:left="374" w:hanging="374"/>
              <w:rPr>
                <w:rFonts w:cs="Times New Roman"/>
                <w:sz w:val="24"/>
                <w:szCs w:val="24"/>
              </w:rPr>
            </w:pPr>
            <w:r w:rsidRPr="00CB5653">
              <w:rPr>
                <w:rFonts w:cs="Times New Roman"/>
                <w:sz w:val="24"/>
                <w:szCs w:val="24"/>
              </w:rPr>
              <w:t>(d)</w:t>
            </w:r>
            <w:r w:rsidRPr="00CB5653">
              <w:rPr>
                <w:rFonts w:cs="Times New Roman"/>
                <w:sz w:val="24"/>
                <w:szCs w:val="24"/>
              </w:rPr>
              <w:tab/>
              <w:t>an increase in population; or</w:t>
            </w:r>
          </w:p>
          <w:p w14:paraId="5443A7F1" w14:textId="77777777" w:rsidR="00523945" w:rsidRPr="00CB5653" w:rsidRDefault="00523945" w:rsidP="009B5B0B">
            <w:pPr>
              <w:spacing w:before="120" w:after="120"/>
              <w:ind w:left="374" w:hanging="374"/>
              <w:rPr>
                <w:rFonts w:cs="Times New Roman"/>
                <w:sz w:val="24"/>
                <w:szCs w:val="24"/>
              </w:rPr>
            </w:pPr>
            <w:r w:rsidRPr="00CB5653">
              <w:rPr>
                <w:rFonts w:cs="Times New Roman"/>
                <w:sz w:val="24"/>
                <w:szCs w:val="24"/>
              </w:rPr>
              <w:t xml:space="preserve">(e) an increase in existing local workforce availability or capability. </w:t>
            </w:r>
          </w:p>
          <w:p w14:paraId="428E9BA5" w14:textId="77777777" w:rsidR="00523945" w:rsidRPr="00CB5653" w:rsidRDefault="00523945" w:rsidP="009B5B0B">
            <w:pPr>
              <w:spacing w:before="120" w:after="120"/>
              <w:rPr>
                <w:rFonts w:cs="Times New Roman"/>
                <w:sz w:val="24"/>
                <w:szCs w:val="24"/>
              </w:rPr>
            </w:pPr>
            <w:r w:rsidRPr="00CB5653">
              <w:rPr>
                <w:rFonts w:cs="Times New Roman"/>
                <w:sz w:val="24"/>
                <w:szCs w:val="24"/>
              </w:rPr>
              <w:t xml:space="preserve">The Project must either bring new capacity online or represent material modernisation which enhances or improves existing capacity. </w:t>
            </w:r>
          </w:p>
          <w:p w14:paraId="73F5F3A3" w14:textId="77777777" w:rsidR="00523945" w:rsidRPr="00CB5653" w:rsidRDefault="00523945" w:rsidP="009B5B0B">
            <w:pPr>
              <w:spacing w:before="120" w:after="120"/>
              <w:rPr>
                <w:rFonts w:cs="Times New Roman"/>
                <w:sz w:val="24"/>
                <w:szCs w:val="24"/>
              </w:rPr>
            </w:pPr>
            <w:r w:rsidRPr="00CB5653">
              <w:rPr>
                <w:rFonts w:cs="Times New Roman"/>
                <w:sz w:val="24"/>
                <w:szCs w:val="24"/>
              </w:rPr>
              <w:t>The Project may involve the Project Proponent:</w:t>
            </w:r>
          </w:p>
          <w:p w14:paraId="3D90A73B" w14:textId="77777777" w:rsidR="00523945" w:rsidRPr="00CB5653" w:rsidRDefault="00523945" w:rsidP="009B5B0B">
            <w:pPr>
              <w:pStyle w:val="ListParagraph"/>
              <w:numPr>
                <w:ilvl w:val="0"/>
                <w:numId w:val="3"/>
              </w:numPr>
            </w:pPr>
            <w:r w:rsidRPr="00CB5653">
              <w:t>conducting a program of works over a specified time involving expenditure or procurement for the development or enhancement of economic infrastructure; or</w:t>
            </w:r>
          </w:p>
          <w:p w14:paraId="716C5560" w14:textId="77777777" w:rsidR="00523945" w:rsidRPr="00CB5653" w:rsidRDefault="00523945" w:rsidP="009B5B0B">
            <w:pPr>
              <w:pStyle w:val="ListParagraph"/>
              <w:numPr>
                <w:ilvl w:val="0"/>
                <w:numId w:val="3"/>
              </w:numPr>
            </w:pPr>
            <w:r w:rsidRPr="00CB5653">
              <w:t xml:space="preserve">providing financing that facilitates the development or enhancement of economic infrastructure. </w:t>
            </w:r>
          </w:p>
          <w:p w14:paraId="641446FF" w14:textId="77777777" w:rsidR="00523945" w:rsidRPr="00CB5653" w:rsidRDefault="00523945" w:rsidP="009B5B0B">
            <w:pPr>
              <w:spacing w:before="120" w:after="120"/>
              <w:rPr>
                <w:rFonts w:cs="Times New Roman"/>
                <w:sz w:val="24"/>
                <w:szCs w:val="24"/>
              </w:rPr>
            </w:pPr>
            <w:r w:rsidRPr="00CB5653">
              <w:rPr>
                <w:rFonts w:cs="Times New Roman"/>
                <w:sz w:val="24"/>
                <w:szCs w:val="24"/>
              </w:rPr>
              <w:t>The refinancing of existing debt without the creation of new capacity, is ineligible.</w:t>
            </w:r>
          </w:p>
        </w:tc>
      </w:tr>
      <w:tr w:rsidR="00523945" w:rsidRPr="00CB5653" w14:paraId="016D55F8" w14:textId="77777777" w:rsidTr="009B5B0B">
        <w:tc>
          <w:tcPr>
            <w:tcW w:w="3665" w:type="dxa"/>
            <w:tcBorders>
              <w:top w:val="single" w:sz="12" w:space="0" w:color="auto"/>
              <w:bottom w:val="single" w:sz="12" w:space="0" w:color="auto"/>
            </w:tcBorders>
          </w:tcPr>
          <w:p w14:paraId="5BACA60E" w14:textId="77777777" w:rsidR="00523945" w:rsidRPr="00CB5653" w:rsidRDefault="00523945" w:rsidP="009B5B0B">
            <w:pPr>
              <w:pStyle w:val="ListParagraph"/>
              <w:numPr>
                <w:ilvl w:val="0"/>
                <w:numId w:val="4"/>
              </w:numPr>
            </w:pPr>
            <w:bookmarkStart w:id="42" w:name="_Hlk140484013"/>
            <w:r w:rsidRPr="00CB5653">
              <w:t>The Project will be of public benefit.</w:t>
            </w:r>
            <w:bookmarkEnd w:id="42"/>
          </w:p>
        </w:tc>
        <w:tc>
          <w:tcPr>
            <w:tcW w:w="5974" w:type="dxa"/>
            <w:tcBorders>
              <w:top w:val="single" w:sz="12" w:space="0" w:color="auto"/>
              <w:bottom w:val="single" w:sz="12" w:space="0" w:color="auto"/>
            </w:tcBorders>
          </w:tcPr>
          <w:p w14:paraId="096B3BD5" w14:textId="77777777" w:rsidR="00523945" w:rsidRPr="00CB5653" w:rsidRDefault="00523945" w:rsidP="009B5B0B">
            <w:pPr>
              <w:spacing w:before="120" w:after="120"/>
              <w:rPr>
                <w:rFonts w:cs="Times New Roman"/>
                <w:sz w:val="24"/>
                <w:szCs w:val="24"/>
              </w:rPr>
            </w:pPr>
            <w:r w:rsidRPr="00CB5653">
              <w:rPr>
                <w:rFonts w:cs="Times New Roman"/>
                <w:sz w:val="24"/>
                <w:szCs w:val="24"/>
              </w:rPr>
              <w:t>The Facility must be satisfied the Project will produce benefits to the broader economy and community beyond an economic return to the Project Proponent. Such benefit could include, but is not limited to:</w:t>
            </w:r>
          </w:p>
          <w:p w14:paraId="71E31E90" w14:textId="77777777" w:rsidR="00523945" w:rsidRPr="00CB5653" w:rsidRDefault="00523945" w:rsidP="009B5B0B">
            <w:pPr>
              <w:pStyle w:val="ListParagraph"/>
              <w:numPr>
                <w:ilvl w:val="0"/>
                <w:numId w:val="5"/>
              </w:numPr>
              <w:spacing w:after="120"/>
            </w:pPr>
            <w:r w:rsidRPr="00CB5653">
              <w:t xml:space="preserve">providing a basis for economic growth in the region or community such as by providing local employment opportunities (especially employment opportunities for Indigenous </w:t>
            </w:r>
            <w:r w:rsidRPr="00CB5653">
              <w:lastRenderedPageBreak/>
              <w:t>people), growing regional income, increasing sovereign capability, providing local procurement opportunities (including Indigenous procurement opportunities), or increasing business for local suppliers; or</w:t>
            </w:r>
          </w:p>
          <w:p w14:paraId="31185F64" w14:textId="77777777" w:rsidR="00523945" w:rsidRPr="00CB5653" w:rsidRDefault="00523945" w:rsidP="009B5B0B">
            <w:pPr>
              <w:pStyle w:val="ListParagraph"/>
              <w:numPr>
                <w:ilvl w:val="0"/>
                <w:numId w:val="5"/>
              </w:numPr>
              <w:spacing w:after="120"/>
            </w:pPr>
            <w:r w:rsidRPr="00CB5653">
              <w:t xml:space="preserve">stimulating population growth by improving regional or community access to social infrastructure, for example social or affordable housing, or by increasing regional or community liveability or living standards. </w:t>
            </w:r>
          </w:p>
          <w:p w14:paraId="0F105A85" w14:textId="77777777" w:rsidR="00523945" w:rsidRPr="00CB5653" w:rsidRDefault="00523945" w:rsidP="009B5B0B">
            <w:pPr>
              <w:spacing w:before="120" w:after="120"/>
            </w:pPr>
            <w:r w:rsidRPr="00CB5653">
              <w:rPr>
                <w:rFonts w:cs="Times New Roman"/>
                <w:sz w:val="24"/>
                <w:szCs w:val="24"/>
              </w:rPr>
              <w:t>The expected value of the public benefit must exceed the estimated value of any concessions offered.</w:t>
            </w:r>
            <w:r w:rsidRPr="00CB5653">
              <w:t xml:space="preserve"> </w:t>
            </w:r>
          </w:p>
        </w:tc>
      </w:tr>
      <w:tr w:rsidR="00523945" w:rsidRPr="00CB5653" w14:paraId="13C07980" w14:textId="77777777" w:rsidTr="009B5B0B">
        <w:tc>
          <w:tcPr>
            <w:tcW w:w="3665" w:type="dxa"/>
            <w:tcBorders>
              <w:top w:val="single" w:sz="12" w:space="0" w:color="auto"/>
              <w:bottom w:val="single" w:sz="8" w:space="0" w:color="auto"/>
            </w:tcBorders>
          </w:tcPr>
          <w:p w14:paraId="5A87C0AB" w14:textId="77777777" w:rsidR="00523945" w:rsidRPr="00CB5653" w:rsidRDefault="00523945" w:rsidP="009B5B0B">
            <w:pPr>
              <w:pStyle w:val="ListParagraph"/>
              <w:numPr>
                <w:ilvl w:val="0"/>
                <w:numId w:val="4"/>
              </w:numPr>
            </w:pPr>
            <w:r w:rsidRPr="00CB5653">
              <w:lastRenderedPageBreak/>
              <w:t>The Project is located in, or will have a significant benefit for, Northern Australia.</w:t>
            </w:r>
          </w:p>
        </w:tc>
        <w:tc>
          <w:tcPr>
            <w:tcW w:w="5974" w:type="dxa"/>
            <w:tcBorders>
              <w:top w:val="single" w:sz="12" w:space="0" w:color="auto"/>
              <w:bottom w:val="single" w:sz="8" w:space="0" w:color="auto"/>
            </w:tcBorders>
          </w:tcPr>
          <w:p w14:paraId="24F73518" w14:textId="77777777" w:rsidR="00523945" w:rsidRPr="00CB5653" w:rsidRDefault="00523945" w:rsidP="009B5B0B">
            <w:pPr>
              <w:spacing w:before="120" w:after="120"/>
              <w:rPr>
                <w:rFonts w:cs="Times New Roman"/>
                <w:sz w:val="24"/>
                <w:szCs w:val="24"/>
              </w:rPr>
            </w:pPr>
            <w:r w:rsidRPr="00CB5653">
              <w:rPr>
                <w:rFonts w:cs="Times New Roman"/>
                <w:sz w:val="24"/>
                <w:szCs w:val="24"/>
              </w:rPr>
              <w:t xml:space="preserve">Northern Australia is defined in the Act. It includes all of the Northern Territory, those parts of Queensland and Western Australia above the Tropic of Capricorn, and the Indian Ocean Territories.  </w:t>
            </w:r>
          </w:p>
          <w:p w14:paraId="3ABC97E9" w14:textId="77777777" w:rsidR="00523945" w:rsidRPr="00CB5653" w:rsidRDefault="00523945" w:rsidP="009B5B0B">
            <w:pPr>
              <w:spacing w:before="120" w:after="120"/>
              <w:rPr>
                <w:rFonts w:cs="Times New Roman"/>
                <w:sz w:val="24"/>
                <w:szCs w:val="24"/>
              </w:rPr>
            </w:pPr>
            <w:r w:rsidRPr="00CB5653">
              <w:rPr>
                <w:rFonts w:cs="Times New Roman"/>
                <w:sz w:val="24"/>
                <w:szCs w:val="24"/>
              </w:rPr>
              <w:t xml:space="preserve">It also includes areas intersecting with the Tropic of Capricorn and the regional centres of Gladstone (Queensland), Carnarvon (Western Australia) and Exmouth (Western Australia), as well as the Local Government Areas of Meekatharra, Wiluna and </w:t>
            </w:r>
            <w:proofErr w:type="spellStart"/>
            <w:r w:rsidRPr="00CB5653">
              <w:rPr>
                <w:rFonts w:cs="Times New Roman"/>
                <w:sz w:val="24"/>
                <w:szCs w:val="24"/>
              </w:rPr>
              <w:t>Ngaanyatjarraku</w:t>
            </w:r>
            <w:proofErr w:type="spellEnd"/>
            <w:r w:rsidRPr="00CB5653">
              <w:rPr>
                <w:rFonts w:cs="Times New Roman"/>
                <w:sz w:val="24"/>
                <w:szCs w:val="24"/>
              </w:rPr>
              <w:t xml:space="preserve"> which have boundaries intersecting with the Tropic of Capricorn. Territorial seas up to 12 nautical miles offshore adjacent to these areas are also included in the definition. </w:t>
            </w:r>
          </w:p>
          <w:p w14:paraId="701C9657" w14:textId="77777777" w:rsidR="00523945" w:rsidRPr="00CB5653" w:rsidRDefault="00523945" w:rsidP="009B5B0B">
            <w:pPr>
              <w:spacing w:before="120" w:after="120"/>
              <w:rPr>
                <w:rFonts w:cs="Times New Roman"/>
                <w:sz w:val="24"/>
                <w:szCs w:val="24"/>
              </w:rPr>
            </w:pPr>
            <w:r w:rsidRPr="00CB5653">
              <w:rPr>
                <w:rFonts w:cs="Times New Roman"/>
                <w:sz w:val="24"/>
                <w:szCs w:val="24"/>
              </w:rPr>
              <w:t>Projects do not need to be entirely within these boundaries if they produce significant benefits to Northern Australia. For example, a Project enhancing north-south connectivity may be eligible.</w:t>
            </w:r>
          </w:p>
        </w:tc>
      </w:tr>
      <w:tr w:rsidR="00523945" w:rsidRPr="00CB5653" w14:paraId="50B6C3EA" w14:textId="77777777" w:rsidTr="009B5B0B">
        <w:tc>
          <w:tcPr>
            <w:tcW w:w="3665" w:type="dxa"/>
            <w:tcBorders>
              <w:top w:val="single" w:sz="8" w:space="0" w:color="auto"/>
              <w:bottom w:val="single" w:sz="8" w:space="0" w:color="auto"/>
            </w:tcBorders>
          </w:tcPr>
          <w:p w14:paraId="5A01DA92" w14:textId="77777777" w:rsidR="00523945" w:rsidRPr="00CB5653" w:rsidRDefault="00523945" w:rsidP="009B5B0B">
            <w:pPr>
              <w:pStyle w:val="ListParagraph"/>
              <w:numPr>
                <w:ilvl w:val="0"/>
                <w:numId w:val="4"/>
              </w:numPr>
            </w:pPr>
            <w:r w:rsidRPr="00CB5653">
              <w:t xml:space="preserve">For financial assistance in the form of loans—the loan will be able to be repaid, or refinanced.  </w:t>
            </w:r>
          </w:p>
        </w:tc>
        <w:tc>
          <w:tcPr>
            <w:tcW w:w="5974" w:type="dxa"/>
            <w:tcBorders>
              <w:top w:val="single" w:sz="8" w:space="0" w:color="auto"/>
              <w:bottom w:val="single" w:sz="8" w:space="0" w:color="auto"/>
            </w:tcBorders>
          </w:tcPr>
          <w:p w14:paraId="142B004A" w14:textId="77777777" w:rsidR="00523945" w:rsidRPr="00CB5653" w:rsidRDefault="00523945" w:rsidP="009B5B0B">
            <w:pPr>
              <w:spacing w:before="120" w:after="120"/>
              <w:rPr>
                <w:rFonts w:cs="Times New Roman"/>
                <w:sz w:val="24"/>
                <w:szCs w:val="24"/>
              </w:rPr>
            </w:pPr>
            <w:r w:rsidRPr="00CB5653">
              <w:rPr>
                <w:rFonts w:cs="Times New Roman"/>
                <w:sz w:val="24"/>
                <w:szCs w:val="24"/>
              </w:rPr>
              <w:t>The Project Proponent must present comprehensive financial modelling to demonstrate the ability of the Project to repay the debt in full and on time, or refinance, based on assumptions and risk profile acceptable to the Facility having regard to the Risk Appetite Statement.</w:t>
            </w:r>
          </w:p>
        </w:tc>
      </w:tr>
      <w:tr w:rsidR="00523945" w:rsidRPr="00CB5653" w14:paraId="2AEAFDF3" w14:textId="77777777" w:rsidTr="009B5B0B">
        <w:tc>
          <w:tcPr>
            <w:tcW w:w="3665" w:type="dxa"/>
            <w:tcBorders>
              <w:top w:val="single" w:sz="8" w:space="0" w:color="auto"/>
              <w:bottom w:val="single" w:sz="8" w:space="0" w:color="auto"/>
            </w:tcBorders>
          </w:tcPr>
          <w:p w14:paraId="0E86C838" w14:textId="77777777" w:rsidR="00523945" w:rsidRPr="00CB5653" w:rsidRDefault="00523945" w:rsidP="009B5B0B">
            <w:pPr>
              <w:pStyle w:val="ListParagraph"/>
              <w:numPr>
                <w:ilvl w:val="0"/>
                <w:numId w:val="4"/>
              </w:numPr>
            </w:pPr>
            <w:r w:rsidRPr="00CB5653">
              <w:t>Indigenous Engagement Strategy.</w:t>
            </w:r>
          </w:p>
        </w:tc>
        <w:tc>
          <w:tcPr>
            <w:tcW w:w="5974" w:type="dxa"/>
            <w:tcBorders>
              <w:top w:val="single" w:sz="8" w:space="0" w:color="auto"/>
              <w:bottom w:val="single" w:sz="8" w:space="0" w:color="auto"/>
            </w:tcBorders>
          </w:tcPr>
          <w:p w14:paraId="63BBC882" w14:textId="77777777" w:rsidR="00523945" w:rsidRPr="00CB5653" w:rsidRDefault="00523945" w:rsidP="009B5B0B">
            <w:pPr>
              <w:spacing w:before="120" w:after="120"/>
              <w:rPr>
                <w:rFonts w:cs="Times New Roman"/>
                <w:sz w:val="24"/>
                <w:szCs w:val="24"/>
              </w:rPr>
            </w:pPr>
            <w:r w:rsidRPr="00CB5653">
              <w:rPr>
                <w:rFonts w:cs="Times New Roman"/>
                <w:sz w:val="24"/>
                <w:szCs w:val="24"/>
              </w:rPr>
              <w:t xml:space="preserve">For Projects not solely in the Indian Ocean Territories, the Project Proponent must provide an Indigenous Engagement Strategy which sets out objectives for Indigenous participation, procurement, training and employment to improve outcomes for the Indigenous population in the region of the proposed Project. These objectives should be designed in partnership with local Indigenous people, where feasible and where agreement can reasonably be reached. The Strategy must contain details of Indigenous </w:t>
            </w:r>
            <w:r w:rsidRPr="00CB5653">
              <w:rPr>
                <w:rFonts w:cs="Times New Roman"/>
                <w:sz w:val="24"/>
                <w:szCs w:val="24"/>
              </w:rPr>
              <w:lastRenderedPageBreak/>
              <w:t>procurement and employment plans demonstrating a commitment to Indigenous communities.</w:t>
            </w:r>
          </w:p>
          <w:p w14:paraId="36081DF6" w14:textId="77777777" w:rsidR="00523945" w:rsidRPr="00CB5653" w:rsidRDefault="00523945" w:rsidP="009B5B0B">
            <w:pPr>
              <w:spacing w:before="120" w:after="120"/>
              <w:rPr>
                <w:rFonts w:cs="Times New Roman"/>
                <w:sz w:val="24"/>
                <w:szCs w:val="24"/>
              </w:rPr>
            </w:pPr>
            <w:r w:rsidRPr="00CB5653">
              <w:rPr>
                <w:rFonts w:cs="Times New Roman"/>
                <w:sz w:val="24"/>
                <w:szCs w:val="24"/>
              </w:rPr>
              <w:t>For Projects not solely in the Indian Ocean Territories, Project Proponents should demonstrate the contribution their Project and its implementation will make to improving outcomes for Indigenous communities.</w:t>
            </w:r>
          </w:p>
          <w:p w14:paraId="70722E12" w14:textId="77777777" w:rsidR="00523945" w:rsidRPr="00CB5653" w:rsidRDefault="00523945" w:rsidP="009B5B0B">
            <w:pPr>
              <w:spacing w:before="120" w:after="120"/>
              <w:rPr>
                <w:rFonts w:cs="Times New Roman"/>
                <w:sz w:val="24"/>
                <w:szCs w:val="24"/>
              </w:rPr>
            </w:pPr>
            <w:r w:rsidRPr="00CB5653">
              <w:rPr>
                <w:rFonts w:cs="Times New Roman"/>
                <w:sz w:val="24"/>
                <w:szCs w:val="24"/>
              </w:rPr>
              <w:t xml:space="preserve">Project Proponents of Projects taking place largely or entirely within the Indian Ocean Territories must provide a Local Employment and Procurement Strategy, outlining local employment and procurement targets, and the plan to deliver those targets. </w:t>
            </w:r>
          </w:p>
          <w:p w14:paraId="675E6238" w14:textId="77777777" w:rsidR="00523945" w:rsidRPr="00CB5653" w:rsidRDefault="00523945" w:rsidP="009B5B0B">
            <w:pPr>
              <w:spacing w:before="120" w:after="120"/>
              <w:rPr>
                <w:rFonts w:cs="Times New Roman"/>
                <w:sz w:val="24"/>
                <w:szCs w:val="24"/>
              </w:rPr>
            </w:pPr>
            <w:r w:rsidRPr="00CB5653">
              <w:rPr>
                <w:rFonts w:cs="Times New Roman"/>
                <w:sz w:val="24"/>
                <w:szCs w:val="24"/>
              </w:rPr>
              <w:t>The Project Proponent must agree to report regularly, as required by the Facility, on achievements against the objectives set out in its Indigenous Engagement Strategy or Local Employment and Procurement Strategy, including participation, procurement, training and employment outcomes. The Facility must provide guidance to the Project Proponent to ensure reported data can be aggregated across its portfolio of investments.</w:t>
            </w:r>
          </w:p>
        </w:tc>
      </w:tr>
      <w:tr w:rsidR="00523945" w:rsidRPr="00CB5653" w14:paraId="3911B80B" w14:textId="77777777" w:rsidTr="009B5B0B">
        <w:tc>
          <w:tcPr>
            <w:tcW w:w="3665" w:type="dxa"/>
            <w:tcBorders>
              <w:top w:val="single" w:sz="8" w:space="0" w:color="auto"/>
              <w:bottom w:val="single" w:sz="8" w:space="0" w:color="auto"/>
            </w:tcBorders>
          </w:tcPr>
          <w:p w14:paraId="141D1392" w14:textId="77777777" w:rsidR="00523945" w:rsidRPr="00CB5653" w:rsidRDefault="00523945" w:rsidP="009B5B0B">
            <w:pPr>
              <w:pStyle w:val="ListParagraph"/>
              <w:numPr>
                <w:ilvl w:val="0"/>
                <w:numId w:val="4"/>
              </w:numPr>
            </w:pPr>
            <w:r w:rsidRPr="00CB5653">
              <w:lastRenderedPageBreak/>
              <w:t>If an Alternative Financing Mechanism is provided in the form of equity or equity</w:t>
            </w:r>
            <w:r w:rsidRPr="00CB5653">
              <w:noBreakHyphen/>
              <w:t>like investment, this will generate a return to Government.</w:t>
            </w:r>
          </w:p>
        </w:tc>
        <w:tc>
          <w:tcPr>
            <w:tcW w:w="5974" w:type="dxa"/>
            <w:tcBorders>
              <w:top w:val="single" w:sz="8" w:space="0" w:color="auto"/>
              <w:bottom w:val="single" w:sz="8" w:space="0" w:color="auto"/>
            </w:tcBorders>
          </w:tcPr>
          <w:p w14:paraId="3A8475AC" w14:textId="77777777" w:rsidR="00523945" w:rsidRPr="00CB5653" w:rsidRDefault="00523945" w:rsidP="009B5B0B">
            <w:pPr>
              <w:spacing w:before="120" w:after="120"/>
              <w:rPr>
                <w:rFonts w:cs="Times New Roman"/>
                <w:sz w:val="24"/>
                <w:szCs w:val="24"/>
              </w:rPr>
            </w:pPr>
            <w:r w:rsidRPr="00CB5653">
              <w:rPr>
                <w:rFonts w:cs="Times New Roman"/>
                <w:sz w:val="24"/>
                <w:szCs w:val="24"/>
              </w:rPr>
              <w:t>The Project Proponent must present comprehensive financial modelling to demonstrate the ability of the Project to meet or exceed the Target Portfolio Return.</w:t>
            </w:r>
            <w:r w:rsidRPr="00CB5653" w:rsidDel="00A7372E">
              <w:rPr>
                <w:rFonts w:cs="Times New Roman"/>
                <w:sz w:val="24"/>
                <w:szCs w:val="24"/>
              </w:rPr>
              <w:t xml:space="preserve"> </w:t>
            </w:r>
          </w:p>
          <w:p w14:paraId="06A312B7" w14:textId="77777777" w:rsidR="00523945" w:rsidRPr="00CB5653" w:rsidRDefault="00523945" w:rsidP="009B5B0B">
            <w:pPr>
              <w:spacing w:before="120" w:after="120"/>
              <w:rPr>
                <w:rFonts w:cs="Times New Roman"/>
                <w:sz w:val="24"/>
                <w:szCs w:val="24"/>
              </w:rPr>
            </w:pPr>
            <w:r w:rsidRPr="00CB5653">
              <w:rPr>
                <w:rFonts w:cs="Times New Roman"/>
                <w:sz w:val="24"/>
                <w:szCs w:val="24"/>
              </w:rPr>
              <w:t>Based on its own assessments and modelling provided by the Project Proponent, the Facility must be satisfied there will be opportunities or mechanisms for the Facility to exit or monetise the equity investment within the medium to long term.</w:t>
            </w:r>
          </w:p>
        </w:tc>
      </w:tr>
    </w:tbl>
    <w:p w14:paraId="77CE555C" w14:textId="77777777" w:rsidR="00523945" w:rsidRPr="00CB5653" w:rsidRDefault="00523945" w:rsidP="00523945">
      <w:pPr>
        <w:spacing w:before="240" w:after="240" w:line="252" w:lineRule="auto"/>
        <w:rPr>
          <w:rFonts w:cs="Times New Roman"/>
          <w:sz w:val="24"/>
          <w:szCs w:val="24"/>
        </w:rPr>
      </w:pPr>
    </w:p>
    <w:p w14:paraId="41ADA2AF" w14:textId="77777777" w:rsidR="00523945" w:rsidRPr="00CB5653" w:rsidRDefault="00523945" w:rsidP="00523945"/>
    <w:p w14:paraId="3D46DB95" w14:textId="77777777" w:rsidR="00523945" w:rsidRPr="00CB5653" w:rsidRDefault="00523945" w:rsidP="00523945">
      <w:pPr>
        <w:spacing w:line="240" w:lineRule="auto"/>
      </w:pPr>
      <w:r w:rsidRPr="00CB5653">
        <w:br w:type="page"/>
      </w:r>
    </w:p>
    <w:p w14:paraId="6262ABF5" w14:textId="77777777" w:rsidR="00523945" w:rsidRPr="00CB5653" w:rsidRDefault="00523945" w:rsidP="00523945">
      <w:pPr>
        <w:pStyle w:val="ActHead6"/>
        <w:ind w:left="0" w:firstLine="0"/>
      </w:pPr>
      <w:bookmarkStart w:id="43" w:name="_Toc146281765"/>
      <w:r w:rsidRPr="00CB5653">
        <w:lastRenderedPageBreak/>
        <w:t>Schedule 2—Government policy priorities</w:t>
      </w:r>
      <w:bookmarkEnd w:id="43"/>
    </w:p>
    <w:p w14:paraId="7E6BC51E" w14:textId="77777777" w:rsidR="00523945" w:rsidRPr="00CB5653" w:rsidRDefault="00523945" w:rsidP="00523945">
      <w:pPr>
        <w:spacing w:before="120" w:after="240" w:line="252" w:lineRule="auto"/>
        <w:rPr>
          <w:rFonts w:cs="Times New Roman"/>
          <w:sz w:val="24"/>
          <w:szCs w:val="24"/>
        </w:rPr>
      </w:pPr>
      <w:r w:rsidRPr="00CB5653">
        <w:rPr>
          <w:rFonts w:cs="Times New Roman"/>
          <w:sz w:val="24"/>
          <w:szCs w:val="24"/>
        </w:rPr>
        <w:t>In making Investment Decisions, the Facility must be satisfied that the Project aligns with one or more of the Government Policy Priorities. The project descriptions in the right-hand column of the table are hypothetical examples of projects that would be aligned with the Government priority in the same row:</w:t>
      </w: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7"/>
        <w:gridCol w:w="6662"/>
      </w:tblGrid>
      <w:tr w:rsidR="00523945" w:rsidRPr="00CB5653" w14:paraId="275F2426" w14:textId="77777777" w:rsidTr="009B5B0B">
        <w:trPr>
          <w:trHeight w:val="501"/>
        </w:trPr>
        <w:tc>
          <w:tcPr>
            <w:tcW w:w="2977" w:type="dxa"/>
            <w:tcBorders>
              <w:top w:val="nil"/>
              <w:bottom w:val="single" w:sz="8" w:space="0" w:color="auto"/>
            </w:tcBorders>
            <w:shd w:val="clear" w:color="auto" w:fill="005677"/>
            <w:vAlign w:val="center"/>
          </w:tcPr>
          <w:p w14:paraId="07761E6A" w14:textId="77777777" w:rsidR="00523945" w:rsidRPr="00CB5653" w:rsidRDefault="00523945" w:rsidP="009B5B0B">
            <w:pPr>
              <w:spacing w:line="252" w:lineRule="auto"/>
              <w:ind w:right="284"/>
              <w:rPr>
                <w:rFonts w:eastAsia="Times New Roman" w:cs="Times New Roman"/>
                <w:b/>
                <w:bCs/>
                <w:color w:val="FFFFFF"/>
                <w:sz w:val="24"/>
                <w:szCs w:val="24"/>
                <w:lang w:eastAsia="en-AU"/>
              </w:rPr>
            </w:pPr>
            <w:r w:rsidRPr="00CB5653">
              <w:rPr>
                <w:rFonts w:eastAsia="Times New Roman" w:cs="Times New Roman"/>
                <w:b/>
                <w:bCs/>
                <w:color w:val="FFFFFF"/>
                <w:sz w:val="24"/>
                <w:szCs w:val="24"/>
                <w:lang w:eastAsia="en-AU"/>
              </w:rPr>
              <w:t>Government Priority</w:t>
            </w:r>
          </w:p>
        </w:tc>
        <w:tc>
          <w:tcPr>
            <w:tcW w:w="6662" w:type="dxa"/>
            <w:tcBorders>
              <w:top w:val="nil"/>
              <w:bottom w:val="single" w:sz="8" w:space="0" w:color="auto"/>
            </w:tcBorders>
            <w:shd w:val="clear" w:color="auto" w:fill="005677"/>
            <w:vAlign w:val="center"/>
          </w:tcPr>
          <w:p w14:paraId="59798E91" w14:textId="77777777" w:rsidR="00523945" w:rsidRPr="00CB5653" w:rsidRDefault="00523945" w:rsidP="009B5B0B">
            <w:pPr>
              <w:spacing w:line="252" w:lineRule="auto"/>
              <w:ind w:right="284"/>
              <w:rPr>
                <w:rFonts w:cs="Times New Roman"/>
                <w:sz w:val="24"/>
                <w:szCs w:val="24"/>
              </w:rPr>
            </w:pPr>
            <w:r w:rsidRPr="00CB5653">
              <w:rPr>
                <w:rFonts w:eastAsia="Times New Roman" w:cs="Times New Roman"/>
                <w:b/>
                <w:bCs/>
                <w:color w:val="FFFFFF"/>
                <w:sz w:val="24"/>
                <w:szCs w:val="24"/>
                <w:lang w:eastAsia="en-AU"/>
              </w:rPr>
              <w:t xml:space="preserve">Project Description </w:t>
            </w:r>
          </w:p>
        </w:tc>
      </w:tr>
      <w:tr w:rsidR="00523945" w:rsidRPr="00CB5653" w14:paraId="29CF94A0" w14:textId="77777777" w:rsidTr="009B5B0B">
        <w:tc>
          <w:tcPr>
            <w:tcW w:w="2977" w:type="dxa"/>
            <w:tcBorders>
              <w:top w:val="single" w:sz="12" w:space="0" w:color="auto"/>
              <w:bottom w:val="single" w:sz="12" w:space="0" w:color="auto"/>
            </w:tcBorders>
          </w:tcPr>
          <w:p w14:paraId="07FA869F" w14:textId="77777777" w:rsidR="00523945" w:rsidRPr="00CB5653" w:rsidRDefault="00523945" w:rsidP="009B5B0B">
            <w:pPr>
              <w:pStyle w:val="ListParagraph"/>
              <w:numPr>
                <w:ilvl w:val="0"/>
                <w:numId w:val="6"/>
              </w:numPr>
            </w:pPr>
            <w:bookmarkStart w:id="44" w:name="_Hlk140484036"/>
            <w:r w:rsidRPr="00CB5653">
              <w:t>Sustainable and resilient economic development and the alleviation of economic or social disadvantage in Northern Australia</w:t>
            </w:r>
            <w:bookmarkEnd w:id="44"/>
          </w:p>
        </w:tc>
        <w:tc>
          <w:tcPr>
            <w:tcW w:w="6662" w:type="dxa"/>
            <w:tcBorders>
              <w:top w:val="single" w:sz="12" w:space="0" w:color="auto"/>
              <w:bottom w:val="single" w:sz="12" w:space="0" w:color="auto"/>
            </w:tcBorders>
          </w:tcPr>
          <w:p w14:paraId="310B39CF" w14:textId="77777777" w:rsidR="00523945" w:rsidRPr="00CB5653" w:rsidRDefault="00523945" w:rsidP="009B5B0B">
            <w:pPr>
              <w:pStyle w:val="ListParagraph"/>
              <w:numPr>
                <w:ilvl w:val="0"/>
                <w:numId w:val="7"/>
              </w:numPr>
            </w:pPr>
            <w:r w:rsidRPr="00CB5653">
              <w:t>Projects materially improving the infrastructure of a region or local community, or providing public benefit, or improving the resilience of a region.</w:t>
            </w:r>
          </w:p>
          <w:p w14:paraId="16B58EF2" w14:textId="77777777" w:rsidR="00523945" w:rsidRPr="00CB5653" w:rsidRDefault="00523945" w:rsidP="009B5B0B">
            <w:pPr>
              <w:pStyle w:val="ListParagraph"/>
              <w:numPr>
                <w:ilvl w:val="0"/>
                <w:numId w:val="7"/>
              </w:numPr>
              <w:spacing w:after="120"/>
            </w:pPr>
            <w:r w:rsidRPr="00CB5653">
              <w:t>Projects contributing to secure working opportunities and economic growth in Australia’s regional communities.</w:t>
            </w:r>
          </w:p>
          <w:p w14:paraId="4E399E19" w14:textId="77777777" w:rsidR="00523945" w:rsidRPr="00CB5653" w:rsidRDefault="00523945" w:rsidP="009B5B0B">
            <w:pPr>
              <w:pStyle w:val="ListParagraph"/>
              <w:numPr>
                <w:ilvl w:val="0"/>
                <w:numId w:val="7"/>
              </w:numPr>
              <w:spacing w:after="120"/>
            </w:pPr>
            <w:r w:rsidRPr="00CB5653">
              <w:t>Projects in communities or regions where local workforce participation is low.</w:t>
            </w:r>
          </w:p>
          <w:p w14:paraId="13730A2A" w14:textId="77777777" w:rsidR="00523945" w:rsidRPr="00CB5653" w:rsidRDefault="00523945" w:rsidP="009B5B0B">
            <w:pPr>
              <w:pStyle w:val="ListParagraph"/>
              <w:numPr>
                <w:ilvl w:val="0"/>
                <w:numId w:val="7"/>
              </w:numPr>
              <w:spacing w:after="120"/>
            </w:pPr>
            <w:r w:rsidRPr="00CB5653">
              <w:t>Projects that contribute to skills expansion and development in regional communities, including through long-term career pathways.</w:t>
            </w:r>
          </w:p>
          <w:p w14:paraId="3F59A202" w14:textId="77777777" w:rsidR="00523945" w:rsidRPr="00CB5653" w:rsidRDefault="00523945" w:rsidP="009B5B0B">
            <w:pPr>
              <w:pStyle w:val="ListParagraph"/>
              <w:numPr>
                <w:ilvl w:val="0"/>
                <w:numId w:val="7"/>
              </w:numPr>
              <w:spacing w:after="120"/>
            </w:pPr>
            <w:r w:rsidRPr="00CB5653">
              <w:t>Projects which would increase the supply of affordable housing.</w:t>
            </w:r>
          </w:p>
          <w:p w14:paraId="6CA8FBC5" w14:textId="77777777" w:rsidR="00523945" w:rsidRPr="00CB5653" w:rsidRDefault="00523945" w:rsidP="009B5B0B">
            <w:pPr>
              <w:pStyle w:val="ListParagraph"/>
              <w:numPr>
                <w:ilvl w:val="0"/>
                <w:numId w:val="7"/>
              </w:numPr>
              <w:spacing w:after="120"/>
            </w:pPr>
            <w:r w:rsidRPr="00CB5653">
              <w:t>Projects which advance women’s economic security.</w:t>
            </w:r>
          </w:p>
        </w:tc>
      </w:tr>
      <w:tr w:rsidR="00523945" w:rsidRPr="00CB5653" w14:paraId="7A0E1677" w14:textId="77777777" w:rsidTr="009B5B0B">
        <w:tc>
          <w:tcPr>
            <w:tcW w:w="2977" w:type="dxa"/>
            <w:tcBorders>
              <w:top w:val="single" w:sz="12" w:space="0" w:color="auto"/>
              <w:bottom w:val="single" w:sz="12" w:space="0" w:color="auto"/>
            </w:tcBorders>
          </w:tcPr>
          <w:p w14:paraId="1B8592DF" w14:textId="77777777" w:rsidR="00523945" w:rsidRPr="00CB5653" w:rsidRDefault="00523945" w:rsidP="009B5B0B">
            <w:pPr>
              <w:pStyle w:val="ListParagraph"/>
              <w:numPr>
                <w:ilvl w:val="0"/>
                <w:numId w:val="6"/>
              </w:numPr>
            </w:pPr>
            <w:bookmarkStart w:id="45" w:name="_Hlk140484053"/>
            <w:r w:rsidRPr="00CB5653">
              <w:t>Working with jurisdictions to deliver key infrastructure projects in Northern Australia</w:t>
            </w:r>
            <w:bookmarkEnd w:id="45"/>
          </w:p>
        </w:tc>
        <w:tc>
          <w:tcPr>
            <w:tcW w:w="6662" w:type="dxa"/>
            <w:tcBorders>
              <w:top w:val="single" w:sz="12" w:space="0" w:color="auto"/>
              <w:bottom w:val="single" w:sz="12" w:space="0" w:color="auto"/>
            </w:tcBorders>
          </w:tcPr>
          <w:p w14:paraId="6E603932" w14:textId="77777777" w:rsidR="00523945" w:rsidRPr="00CB5653" w:rsidRDefault="00523945" w:rsidP="009B5B0B">
            <w:pPr>
              <w:pStyle w:val="ListParagraph"/>
              <w:numPr>
                <w:ilvl w:val="0"/>
                <w:numId w:val="8"/>
              </w:numPr>
              <w:spacing w:after="120"/>
            </w:pPr>
            <w:r w:rsidRPr="00CB5653">
              <w:t>Projects which enhance Northern Australia’s electricity transmission system.</w:t>
            </w:r>
          </w:p>
          <w:p w14:paraId="7C7F183D" w14:textId="77777777" w:rsidR="00523945" w:rsidRPr="00CB5653" w:rsidRDefault="00523945" w:rsidP="009B5B0B">
            <w:pPr>
              <w:pStyle w:val="ListParagraph"/>
              <w:numPr>
                <w:ilvl w:val="0"/>
                <w:numId w:val="8"/>
              </w:numPr>
              <w:spacing w:after="120"/>
            </w:pPr>
            <w:r w:rsidRPr="00CB5653">
              <w:t>Projects which enhance Northern Australia’s water infrastructure.</w:t>
            </w:r>
          </w:p>
          <w:p w14:paraId="32D1DDB6" w14:textId="77777777" w:rsidR="00523945" w:rsidRPr="00CB5653" w:rsidRDefault="00523945" w:rsidP="009B5B0B">
            <w:pPr>
              <w:pStyle w:val="ListParagraph"/>
              <w:numPr>
                <w:ilvl w:val="0"/>
                <w:numId w:val="8"/>
              </w:numPr>
              <w:spacing w:after="120"/>
            </w:pPr>
            <w:r w:rsidRPr="00CB5653">
              <w:t>Projects which enhance Northern Australia’s transport infrastructure.</w:t>
            </w:r>
          </w:p>
          <w:p w14:paraId="38336B34" w14:textId="77777777" w:rsidR="00523945" w:rsidRPr="00CB5653" w:rsidRDefault="00523945" w:rsidP="009B5B0B">
            <w:pPr>
              <w:pStyle w:val="ListParagraph"/>
              <w:numPr>
                <w:ilvl w:val="0"/>
                <w:numId w:val="8"/>
              </w:numPr>
              <w:spacing w:after="120"/>
            </w:pPr>
            <w:r w:rsidRPr="00CB5653">
              <w:t>Projects which enhance Northern Australia’s communications infrastructure and support digital inclusion.</w:t>
            </w:r>
          </w:p>
          <w:p w14:paraId="27A48CCC" w14:textId="77777777" w:rsidR="00523945" w:rsidRPr="00CB5653" w:rsidRDefault="00523945" w:rsidP="009B5B0B">
            <w:pPr>
              <w:pStyle w:val="ListParagraph"/>
              <w:numPr>
                <w:ilvl w:val="0"/>
                <w:numId w:val="8"/>
              </w:numPr>
              <w:spacing w:after="120"/>
            </w:pPr>
            <w:r w:rsidRPr="00CB5653">
              <w:t>Projects which support the required ancillary industries and businesses to support current and future key infrastructure developments.</w:t>
            </w:r>
          </w:p>
          <w:p w14:paraId="6EBA3EF4" w14:textId="77777777" w:rsidR="00523945" w:rsidRPr="00CB5653" w:rsidRDefault="00523945" w:rsidP="009B5B0B">
            <w:pPr>
              <w:pStyle w:val="ListParagraph"/>
              <w:numPr>
                <w:ilvl w:val="0"/>
                <w:numId w:val="8"/>
              </w:numPr>
              <w:spacing w:after="120"/>
            </w:pPr>
            <w:r w:rsidRPr="00CB5653">
              <w:lastRenderedPageBreak/>
              <w:t>Projects that improve Australia’s manufacturing capability, particularly in vulnerable or strategically important supply chains.</w:t>
            </w:r>
          </w:p>
        </w:tc>
      </w:tr>
      <w:tr w:rsidR="00523945" w:rsidRPr="00CB5653" w14:paraId="6FAC819D" w14:textId="77777777" w:rsidTr="009B5B0B">
        <w:tc>
          <w:tcPr>
            <w:tcW w:w="2977" w:type="dxa"/>
            <w:tcBorders>
              <w:top w:val="single" w:sz="12" w:space="0" w:color="auto"/>
              <w:bottom w:val="single" w:sz="12" w:space="0" w:color="auto"/>
            </w:tcBorders>
          </w:tcPr>
          <w:p w14:paraId="0980CEF1" w14:textId="77777777" w:rsidR="00523945" w:rsidRPr="00CB5653" w:rsidRDefault="00523945" w:rsidP="009B5B0B">
            <w:pPr>
              <w:pStyle w:val="ListParagraph"/>
              <w:numPr>
                <w:ilvl w:val="0"/>
                <w:numId w:val="6"/>
              </w:numPr>
            </w:pPr>
            <w:bookmarkStart w:id="46" w:name="_Hlk140484062"/>
            <w:r w:rsidRPr="00CB5653">
              <w:lastRenderedPageBreak/>
              <w:t xml:space="preserve">Sustainability, climate change and circular economy principles and </w:t>
            </w:r>
            <w:bookmarkStart w:id="47" w:name="_Hlk140484074"/>
            <w:bookmarkEnd w:id="46"/>
            <w:r w:rsidRPr="00CB5653">
              <w:t>solutions in Northern Australia</w:t>
            </w:r>
            <w:bookmarkEnd w:id="47"/>
          </w:p>
        </w:tc>
        <w:tc>
          <w:tcPr>
            <w:tcW w:w="6662" w:type="dxa"/>
            <w:tcBorders>
              <w:top w:val="single" w:sz="12" w:space="0" w:color="auto"/>
              <w:bottom w:val="single" w:sz="12" w:space="0" w:color="auto"/>
            </w:tcBorders>
          </w:tcPr>
          <w:p w14:paraId="2D8FA2D5" w14:textId="77777777" w:rsidR="00523945" w:rsidRPr="00CB5653" w:rsidRDefault="00523945" w:rsidP="009B5B0B">
            <w:pPr>
              <w:pStyle w:val="ListParagraph"/>
              <w:numPr>
                <w:ilvl w:val="0"/>
                <w:numId w:val="9"/>
              </w:numPr>
              <w:spacing w:after="120"/>
            </w:pPr>
            <w:r w:rsidRPr="00CB5653">
              <w:t>Projects that contribute to the reduction of Australia’s emissions by 43 per cent by 2030, Australia’s renewable energy target of 82 per cent by 2030, or net zero emissions by 2050.</w:t>
            </w:r>
          </w:p>
          <w:p w14:paraId="7A669074" w14:textId="77777777" w:rsidR="00523945" w:rsidRPr="00CB5653" w:rsidRDefault="00523945" w:rsidP="009B5B0B">
            <w:pPr>
              <w:pStyle w:val="ListParagraph"/>
              <w:numPr>
                <w:ilvl w:val="0"/>
                <w:numId w:val="9"/>
              </w:numPr>
              <w:spacing w:after="120"/>
            </w:pPr>
            <w:r w:rsidRPr="00CB5653">
              <w:t>Projects contributing to Australia’s clean energy transformation or renewable energy superpower ambition.</w:t>
            </w:r>
          </w:p>
          <w:p w14:paraId="4BC0B27E" w14:textId="77777777" w:rsidR="00523945" w:rsidRPr="00CB5653" w:rsidRDefault="00523945" w:rsidP="009B5B0B">
            <w:pPr>
              <w:pStyle w:val="ListParagraph"/>
              <w:numPr>
                <w:ilvl w:val="0"/>
                <w:numId w:val="9"/>
              </w:numPr>
              <w:spacing w:after="120"/>
            </w:pPr>
            <w:r w:rsidRPr="00CB5653">
              <w:rPr>
                <w:iCs/>
              </w:rPr>
              <w:t>Projects that support sustainability and circular economy principles.</w:t>
            </w:r>
          </w:p>
          <w:p w14:paraId="3A8C6B75" w14:textId="77777777" w:rsidR="00523945" w:rsidRPr="00CB5653" w:rsidRDefault="00523945" w:rsidP="009B5B0B">
            <w:pPr>
              <w:pStyle w:val="ListParagraph"/>
              <w:numPr>
                <w:ilvl w:val="0"/>
                <w:numId w:val="9"/>
              </w:numPr>
              <w:spacing w:after="120"/>
            </w:pPr>
            <w:r w:rsidRPr="00CB5653">
              <w:t>Projects in communities or regions with economies concentrated on emissions intensive industries, to support diversification.</w:t>
            </w:r>
          </w:p>
          <w:p w14:paraId="38033F9F" w14:textId="77777777" w:rsidR="00523945" w:rsidRPr="00CB5653" w:rsidRDefault="00523945" w:rsidP="009B5B0B">
            <w:pPr>
              <w:pStyle w:val="ListParagraph"/>
              <w:numPr>
                <w:ilvl w:val="0"/>
                <w:numId w:val="9"/>
              </w:numPr>
              <w:spacing w:after="120"/>
            </w:pPr>
            <w:r w:rsidRPr="00CB5653">
              <w:t>Projects that deliver nature positive outcomes or strengthen climate adaptation and resilience.</w:t>
            </w:r>
          </w:p>
        </w:tc>
      </w:tr>
      <w:tr w:rsidR="00523945" w:rsidRPr="00CB5653" w14:paraId="2744FD3C" w14:textId="77777777" w:rsidTr="009B5B0B">
        <w:tc>
          <w:tcPr>
            <w:tcW w:w="2977" w:type="dxa"/>
            <w:tcBorders>
              <w:top w:val="single" w:sz="12" w:space="0" w:color="auto"/>
              <w:bottom w:val="single" w:sz="12" w:space="0" w:color="auto"/>
            </w:tcBorders>
          </w:tcPr>
          <w:p w14:paraId="47F54F7B" w14:textId="77777777" w:rsidR="00523945" w:rsidRPr="00CB5653" w:rsidRDefault="00523945" w:rsidP="009B5B0B">
            <w:pPr>
              <w:pStyle w:val="ListParagraph"/>
              <w:numPr>
                <w:ilvl w:val="0"/>
                <w:numId w:val="6"/>
              </w:numPr>
            </w:pPr>
            <w:bookmarkStart w:id="48" w:name="_Hlk140484083"/>
            <w:r w:rsidRPr="00CB5653">
              <w:t>Realising the Critical Minerals Strategy 2023-2030.</w:t>
            </w:r>
            <w:bookmarkEnd w:id="48"/>
          </w:p>
        </w:tc>
        <w:tc>
          <w:tcPr>
            <w:tcW w:w="6662" w:type="dxa"/>
            <w:tcBorders>
              <w:top w:val="single" w:sz="12" w:space="0" w:color="auto"/>
              <w:bottom w:val="single" w:sz="12" w:space="0" w:color="auto"/>
            </w:tcBorders>
          </w:tcPr>
          <w:p w14:paraId="28F70DCF" w14:textId="77777777" w:rsidR="00523945" w:rsidRPr="00074A94" w:rsidRDefault="00523945" w:rsidP="009B5B0B">
            <w:pPr>
              <w:pStyle w:val="ListParagraph"/>
              <w:spacing w:after="120"/>
              <w:ind w:left="720"/>
            </w:pPr>
            <w:r w:rsidRPr="00CB5653">
              <w:t xml:space="preserve">Projects that </w:t>
            </w:r>
            <w:r w:rsidRPr="00074A94">
              <w:t>develop the critical minerals industry in Australia, including by:</w:t>
            </w:r>
          </w:p>
          <w:p w14:paraId="28D975CC" w14:textId="77777777" w:rsidR="00523945" w:rsidRPr="00074A94" w:rsidRDefault="00523945" w:rsidP="009B5B0B">
            <w:pPr>
              <w:pStyle w:val="ListParagraph"/>
              <w:numPr>
                <w:ilvl w:val="0"/>
                <w:numId w:val="8"/>
              </w:numPr>
              <w:spacing w:after="120"/>
            </w:pPr>
            <w:r w:rsidRPr="00074A94">
              <w:t>creating diverse, resilient and sustainable supply chains for critical minerals through strong and secure international partnerships</w:t>
            </w:r>
          </w:p>
          <w:p w14:paraId="3988E468" w14:textId="77777777" w:rsidR="00523945" w:rsidRPr="00CB5653" w:rsidRDefault="00523945" w:rsidP="009B5B0B">
            <w:pPr>
              <w:pStyle w:val="ListParagraph"/>
              <w:numPr>
                <w:ilvl w:val="0"/>
                <w:numId w:val="8"/>
              </w:numPr>
              <w:spacing w:after="120"/>
            </w:pPr>
            <w:r w:rsidRPr="00CB5653">
              <w:t>building sovereign capability in critical minerals processing</w:t>
            </w:r>
          </w:p>
          <w:p w14:paraId="53AF46B1" w14:textId="77777777" w:rsidR="00523945" w:rsidRPr="00CB5653" w:rsidRDefault="00523945" w:rsidP="009B5B0B">
            <w:pPr>
              <w:pStyle w:val="ListParagraph"/>
              <w:numPr>
                <w:ilvl w:val="0"/>
                <w:numId w:val="8"/>
              </w:numPr>
              <w:spacing w:after="120"/>
            </w:pPr>
            <w:r w:rsidRPr="00CB5653">
              <w:t>using Australia’s critical minerals to help become a renewable energy superpower</w:t>
            </w:r>
          </w:p>
          <w:p w14:paraId="0637D723" w14:textId="77777777" w:rsidR="00523945" w:rsidRPr="00CB5653" w:rsidRDefault="00523945" w:rsidP="009B5B0B">
            <w:pPr>
              <w:pStyle w:val="ListParagraph"/>
              <w:numPr>
                <w:ilvl w:val="0"/>
                <w:numId w:val="8"/>
              </w:numPr>
              <w:spacing w:after="120"/>
            </w:pPr>
            <w:r w:rsidRPr="00CB5653">
              <w:t>extracting more value onshore from Australia’s critical mineral resources, creating jobs and economic opportunity, including for regional and First Nations communities.</w:t>
            </w:r>
          </w:p>
        </w:tc>
      </w:tr>
      <w:tr w:rsidR="00523945" w:rsidRPr="00CB5653" w14:paraId="19317C73" w14:textId="77777777" w:rsidTr="009B5B0B">
        <w:tc>
          <w:tcPr>
            <w:tcW w:w="2977" w:type="dxa"/>
            <w:tcBorders>
              <w:top w:val="single" w:sz="12" w:space="0" w:color="auto"/>
              <w:bottom w:val="single" w:sz="12" w:space="0" w:color="auto"/>
            </w:tcBorders>
          </w:tcPr>
          <w:p w14:paraId="1CB39E06" w14:textId="77777777" w:rsidR="00523945" w:rsidRPr="00CB5653" w:rsidRDefault="00523945" w:rsidP="009B5B0B">
            <w:pPr>
              <w:pStyle w:val="ListParagraph"/>
              <w:numPr>
                <w:ilvl w:val="0"/>
                <w:numId w:val="6"/>
              </w:numPr>
            </w:pPr>
            <w:r w:rsidRPr="00CB5653">
              <w:t xml:space="preserve">Materially improving the lives of Indigenous people and communities </w:t>
            </w:r>
          </w:p>
        </w:tc>
        <w:tc>
          <w:tcPr>
            <w:tcW w:w="6662" w:type="dxa"/>
            <w:tcBorders>
              <w:top w:val="single" w:sz="12" w:space="0" w:color="auto"/>
              <w:bottom w:val="single" w:sz="12" w:space="0" w:color="auto"/>
            </w:tcBorders>
          </w:tcPr>
          <w:p w14:paraId="31C1FAA3" w14:textId="77777777" w:rsidR="00523945" w:rsidRPr="00CB5653" w:rsidRDefault="00523945" w:rsidP="009B5B0B">
            <w:pPr>
              <w:pStyle w:val="ListParagraph"/>
              <w:numPr>
                <w:ilvl w:val="0"/>
                <w:numId w:val="9"/>
              </w:numPr>
              <w:spacing w:after="120"/>
            </w:pPr>
            <w:r w:rsidRPr="00CB5653">
              <w:t>Projects which demonstrate alignment with Priority Reforms of the National Agreement on Closing the Gap.</w:t>
            </w:r>
          </w:p>
          <w:p w14:paraId="79B90A5D" w14:textId="77777777" w:rsidR="00523945" w:rsidRPr="00CB5653" w:rsidRDefault="00523945" w:rsidP="009B5B0B">
            <w:pPr>
              <w:pStyle w:val="ListParagraph"/>
              <w:numPr>
                <w:ilvl w:val="0"/>
                <w:numId w:val="9"/>
              </w:numPr>
              <w:spacing w:after="120"/>
            </w:pPr>
            <w:r w:rsidRPr="00CB5653">
              <w:t>Indigenous-led projects, including verified Indigenous controlled and owned businesses.</w:t>
            </w:r>
          </w:p>
          <w:p w14:paraId="4ACF991B" w14:textId="77777777" w:rsidR="00523945" w:rsidRPr="00CB5653" w:rsidRDefault="00523945" w:rsidP="009B5B0B">
            <w:pPr>
              <w:pStyle w:val="ListParagraph"/>
              <w:numPr>
                <w:ilvl w:val="0"/>
                <w:numId w:val="9"/>
              </w:numPr>
              <w:spacing w:after="120"/>
            </w:pPr>
            <w:r w:rsidRPr="00CB5653">
              <w:t>Projects which would produce material improvements in the lives of Indigenous people.</w:t>
            </w:r>
          </w:p>
        </w:tc>
      </w:tr>
    </w:tbl>
    <w:p w14:paraId="1A8000E0" w14:textId="77777777" w:rsidR="00523945" w:rsidRPr="00CB5653" w:rsidRDefault="00523945" w:rsidP="00523945">
      <w:pPr>
        <w:spacing w:line="240" w:lineRule="auto"/>
        <w:rPr>
          <w:rFonts w:eastAsia="Times New Roman" w:cs="Times New Roman"/>
          <w:b/>
          <w:bCs/>
          <w:color w:val="000000"/>
          <w:kern w:val="36"/>
          <w:sz w:val="28"/>
          <w:szCs w:val="28"/>
          <w:u w:val="single"/>
          <w:lang w:eastAsia="en-AU"/>
        </w:rPr>
        <w:sectPr w:rsidR="00523945" w:rsidRPr="00CB5653" w:rsidSect="00ED2A5C">
          <w:headerReference w:type="even" r:id="rId23"/>
          <w:headerReference w:type="default" r:id="rId24"/>
          <w:footerReference w:type="even" r:id="rId25"/>
          <w:footerReference w:type="default" r:id="rId26"/>
          <w:headerReference w:type="first" r:id="rId27"/>
          <w:pgSz w:w="11906" w:h="16838"/>
          <w:pgMar w:top="1440" w:right="1440" w:bottom="1418" w:left="1440" w:header="709" w:footer="709" w:gutter="0"/>
          <w:cols w:space="708"/>
          <w:docGrid w:linePitch="360"/>
        </w:sectPr>
      </w:pPr>
    </w:p>
    <w:bookmarkEnd w:id="0"/>
    <w:p w14:paraId="12365364" w14:textId="541E8B6E" w:rsidR="007508B8" w:rsidRPr="00523945" w:rsidRDefault="007508B8" w:rsidP="00523945"/>
    <w:sectPr w:rsidR="007508B8" w:rsidRPr="00523945" w:rsidSect="00E93A7B">
      <w:footerReference w:type="default" r:id="rId28"/>
      <w:pgSz w:w="11906" w:h="16838"/>
      <w:pgMar w:top="1440" w:right="1440" w:bottom="1418"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8F11" w14:textId="77777777" w:rsidR="00CB2651" w:rsidRDefault="00CB2651" w:rsidP="00715914">
      <w:pPr>
        <w:spacing w:line="240" w:lineRule="auto"/>
      </w:pPr>
      <w:r>
        <w:separator/>
      </w:r>
    </w:p>
  </w:endnote>
  <w:endnote w:type="continuationSeparator" w:id="0">
    <w:p w14:paraId="28B746BD" w14:textId="77777777" w:rsidR="00CB2651" w:rsidRDefault="00CB2651" w:rsidP="00715914">
      <w:pPr>
        <w:spacing w:line="240" w:lineRule="auto"/>
      </w:pPr>
      <w:r>
        <w:continuationSeparator/>
      </w:r>
    </w:p>
  </w:endnote>
  <w:endnote w:type="continuationNotice" w:id="1">
    <w:p w14:paraId="142009F9" w14:textId="77777777" w:rsidR="00CB2651" w:rsidRDefault="00CB26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4C3B" w14:textId="77777777" w:rsidR="00523945" w:rsidRPr="00E33C1C" w:rsidRDefault="0052394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23945" w14:paraId="30F6DA64" w14:textId="77777777" w:rsidTr="00B33709">
      <w:tc>
        <w:tcPr>
          <w:tcW w:w="709" w:type="dxa"/>
          <w:tcBorders>
            <w:top w:val="nil"/>
            <w:left w:val="nil"/>
            <w:bottom w:val="nil"/>
            <w:right w:val="nil"/>
          </w:tcBorders>
        </w:tcPr>
        <w:p w14:paraId="22BA2291" w14:textId="77777777" w:rsidR="00523945" w:rsidRDefault="0052394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9CCD1D1" w14:textId="77777777" w:rsidR="00523945" w:rsidRPr="004E1307" w:rsidRDefault="0052394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Northern Australia Infrastructure Facility Investment Mandate Direction 2023</w:t>
          </w:r>
          <w:r w:rsidRPr="004E1307">
            <w:rPr>
              <w:i/>
              <w:sz w:val="18"/>
            </w:rPr>
            <w:fldChar w:fldCharType="end"/>
          </w:r>
        </w:p>
      </w:tc>
      <w:tc>
        <w:tcPr>
          <w:tcW w:w="1383" w:type="dxa"/>
          <w:tcBorders>
            <w:top w:val="nil"/>
            <w:left w:val="nil"/>
            <w:bottom w:val="nil"/>
            <w:right w:val="nil"/>
          </w:tcBorders>
        </w:tcPr>
        <w:p w14:paraId="219A2129" w14:textId="77777777" w:rsidR="00523945" w:rsidRDefault="00523945" w:rsidP="00A369E3">
          <w:pPr>
            <w:spacing w:line="0" w:lineRule="atLeast"/>
            <w:jc w:val="right"/>
            <w:rPr>
              <w:sz w:val="18"/>
            </w:rPr>
          </w:pPr>
        </w:p>
      </w:tc>
    </w:tr>
    <w:tr w:rsidR="00523945" w14:paraId="6C77EE2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250686" w14:textId="77777777" w:rsidR="00523945" w:rsidRDefault="00523945" w:rsidP="00A369E3">
          <w:pPr>
            <w:jc w:val="right"/>
            <w:rPr>
              <w:sz w:val="18"/>
            </w:rPr>
          </w:pPr>
        </w:p>
      </w:tc>
    </w:tr>
  </w:tbl>
  <w:p w14:paraId="4FF79C0A" w14:textId="77777777" w:rsidR="00523945" w:rsidRPr="00ED79B6" w:rsidRDefault="0052394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A48F" w14:textId="77777777" w:rsidR="00523945" w:rsidRPr="00E33C1C" w:rsidRDefault="0052394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523945" w14:paraId="2996B2D3" w14:textId="77777777" w:rsidTr="00A369E3">
      <w:tc>
        <w:tcPr>
          <w:tcW w:w="1384" w:type="dxa"/>
          <w:tcBorders>
            <w:top w:val="nil"/>
            <w:left w:val="nil"/>
            <w:bottom w:val="nil"/>
            <w:right w:val="nil"/>
          </w:tcBorders>
        </w:tcPr>
        <w:p w14:paraId="345AC2C3" w14:textId="77777777" w:rsidR="00523945" w:rsidRDefault="00523945" w:rsidP="00A369E3">
          <w:pPr>
            <w:spacing w:line="0" w:lineRule="atLeast"/>
            <w:rPr>
              <w:sz w:val="18"/>
            </w:rPr>
          </w:pPr>
        </w:p>
      </w:tc>
      <w:tc>
        <w:tcPr>
          <w:tcW w:w="6379" w:type="dxa"/>
          <w:tcBorders>
            <w:top w:val="nil"/>
            <w:left w:val="nil"/>
            <w:bottom w:val="nil"/>
            <w:right w:val="nil"/>
          </w:tcBorders>
        </w:tcPr>
        <w:p w14:paraId="18EE9141" w14:textId="77777777" w:rsidR="00523945" w:rsidRDefault="0052394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34718FF" w14:textId="77777777" w:rsidR="00523945" w:rsidRDefault="0052394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23945" w14:paraId="46C27C4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57075F" w14:textId="77777777" w:rsidR="00523945" w:rsidRDefault="00523945" w:rsidP="00A369E3">
          <w:pPr>
            <w:rPr>
              <w:sz w:val="18"/>
            </w:rPr>
          </w:pPr>
        </w:p>
      </w:tc>
    </w:tr>
  </w:tbl>
  <w:p w14:paraId="2E25EB63" w14:textId="77777777" w:rsidR="00523945" w:rsidRPr="00ED79B6" w:rsidRDefault="0052394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EE82" w14:textId="77777777" w:rsidR="00523945" w:rsidRPr="00E33C1C" w:rsidRDefault="0052394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23945" w14:paraId="39B87133" w14:textId="77777777" w:rsidTr="0003756B">
      <w:tc>
        <w:tcPr>
          <w:tcW w:w="1360" w:type="dxa"/>
          <w:tcBorders>
            <w:top w:val="nil"/>
            <w:left w:val="nil"/>
            <w:bottom w:val="nil"/>
            <w:right w:val="nil"/>
          </w:tcBorders>
        </w:tcPr>
        <w:p w14:paraId="34D6C778" w14:textId="77777777" w:rsidR="00523945" w:rsidRDefault="00523945" w:rsidP="00A369E3">
          <w:pPr>
            <w:spacing w:line="0" w:lineRule="atLeast"/>
            <w:rPr>
              <w:sz w:val="18"/>
            </w:rPr>
          </w:pPr>
        </w:p>
      </w:tc>
      <w:tc>
        <w:tcPr>
          <w:tcW w:w="6254" w:type="dxa"/>
          <w:tcBorders>
            <w:top w:val="nil"/>
            <w:left w:val="nil"/>
            <w:bottom w:val="nil"/>
            <w:right w:val="nil"/>
          </w:tcBorders>
        </w:tcPr>
        <w:p w14:paraId="2EAF230F" w14:textId="77777777" w:rsidR="00523945" w:rsidRDefault="00523945" w:rsidP="00A369E3">
          <w:pPr>
            <w:spacing w:line="0" w:lineRule="atLeast"/>
            <w:jc w:val="center"/>
            <w:rPr>
              <w:sz w:val="18"/>
            </w:rPr>
          </w:pPr>
        </w:p>
      </w:tc>
      <w:tc>
        <w:tcPr>
          <w:tcW w:w="699" w:type="dxa"/>
          <w:tcBorders>
            <w:top w:val="nil"/>
            <w:left w:val="nil"/>
            <w:bottom w:val="nil"/>
            <w:right w:val="nil"/>
          </w:tcBorders>
        </w:tcPr>
        <w:p w14:paraId="0FE0AF79" w14:textId="77777777" w:rsidR="00523945" w:rsidRDefault="00523945" w:rsidP="00A369E3">
          <w:pPr>
            <w:spacing w:line="0" w:lineRule="atLeast"/>
            <w:jc w:val="right"/>
            <w:rPr>
              <w:sz w:val="18"/>
            </w:rPr>
          </w:pPr>
        </w:p>
      </w:tc>
    </w:tr>
  </w:tbl>
  <w:p w14:paraId="73DB8CDD" w14:textId="77777777" w:rsidR="00523945" w:rsidRPr="0003756B" w:rsidRDefault="00523945" w:rsidP="0003756B">
    <w:pPr>
      <w:spacing w:after="120"/>
      <w:jc w:val="center"/>
      <w:rPr>
        <w:color w:val="FF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B640" w14:textId="77777777" w:rsidR="00523945" w:rsidRPr="002B0EA5" w:rsidRDefault="00523945" w:rsidP="006511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23945" w14:paraId="79866E1B" w14:textId="77777777" w:rsidTr="00651141">
      <w:tc>
        <w:tcPr>
          <w:tcW w:w="365" w:type="pct"/>
        </w:tcPr>
        <w:p w14:paraId="45FAA664" w14:textId="77777777" w:rsidR="00523945" w:rsidRDefault="00523945" w:rsidP="006511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BCE2ECF" w14:textId="77777777" w:rsidR="00523945" w:rsidRDefault="00523945" w:rsidP="0065114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Northern Australia Infrastructure Facility Investment Mandate Direction 2023</w:t>
          </w:r>
          <w:r w:rsidRPr="004E1307">
            <w:rPr>
              <w:i/>
              <w:sz w:val="18"/>
            </w:rPr>
            <w:fldChar w:fldCharType="end"/>
          </w:r>
        </w:p>
      </w:tc>
      <w:tc>
        <w:tcPr>
          <w:tcW w:w="947" w:type="pct"/>
        </w:tcPr>
        <w:p w14:paraId="6FE684ED" w14:textId="77777777" w:rsidR="00523945" w:rsidRDefault="00523945" w:rsidP="00651141">
          <w:pPr>
            <w:spacing w:line="0" w:lineRule="atLeast"/>
            <w:jc w:val="right"/>
            <w:rPr>
              <w:sz w:val="18"/>
            </w:rPr>
          </w:pPr>
        </w:p>
      </w:tc>
    </w:tr>
    <w:tr w:rsidR="00523945" w14:paraId="34477926" w14:textId="77777777" w:rsidTr="00651141">
      <w:tc>
        <w:tcPr>
          <w:tcW w:w="5000" w:type="pct"/>
          <w:gridSpan w:val="3"/>
        </w:tcPr>
        <w:p w14:paraId="353B054F" w14:textId="77777777" w:rsidR="00523945" w:rsidRDefault="00523945" w:rsidP="00651141">
          <w:pPr>
            <w:jc w:val="right"/>
            <w:rPr>
              <w:sz w:val="18"/>
            </w:rPr>
          </w:pPr>
        </w:p>
      </w:tc>
    </w:tr>
  </w:tbl>
  <w:p w14:paraId="34FF6B4A" w14:textId="77777777" w:rsidR="00523945" w:rsidRPr="00ED79B6" w:rsidRDefault="00523945" w:rsidP="0065114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7C97" w14:textId="77777777" w:rsidR="00523945" w:rsidRPr="002B0EA5" w:rsidRDefault="00523945" w:rsidP="006511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23945" w14:paraId="3CEBBC57" w14:textId="77777777" w:rsidTr="00651141">
      <w:tc>
        <w:tcPr>
          <w:tcW w:w="947" w:type="pct"/>
        </w:tcPr>
        <w:p w14:paraId="13B55D0A" w14:textId="77777777" w:rsidR="00523945" w:rsidRDefault="00523945" w:rsidP="00651141">
          <w:pPr>
            <w:spacing w:line="0" w:lineRule="atLeast"/>
            <w:rPr>
              <w:sz w:val="18"/>
            </w:rPr>
          </w:pPr>
        </w:p>
      </w:tc>
      <w:tc>
        <w:tcPr>
          <w:tcW w:w="3688" w:type="pct"/>
        </w:tcPr>
        <w:p w14:paraId="2FBEF43E" w14:textId="7D08EE6A" w:rsidR="00523945" w:rsidRDefault="00523945" w:rsidP="0065114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0008">
            <w:rPr>
              <w:i/>
              <w:noProof/>
              <w:sz w:val="18"/>
            </w:rPr>
            <w:t>Northern Australia Infrastructure Facility Investment Mandate Direction 2023</w:t>
          </w:r>
          <w:r w:rsidRPr="004E1307">
            <w:rPr>
              <w:i/>
              <w:sz w:val="18"/>
            </w:rPr>
            <w:fldChar w:fldCharType="end"/>
          </w:r>
        </w:p>
      </w:tc>
      <w:tc>
        <w:tcPr>
          <w:tcW w:w="365" w:type="pct"/>
        </w:tcPr>
        <w:p w14:paraId="4BACBD6C" w14:textId="77777777" w:rsidR="00523945" w:rsidRDefault="00523945" w:rsidP="006511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23945" w14:paraId="6C370FCF" w14:textId="77777777" w:rsidTr="00651141">
      <w:tc>
        <w:tcPr>
          <w:tcW w:w="5000" w:type="pct"/>
          <w:gridSpan w:val="3"/>
        </w:tcPr>
        <w:p w14:paraId="3AA522DB" w14:textId="77777777" w:rsidR="00523945" w:rsidRDefault="00523945" w:rsidP="00651141">
          <w:pPr>
            <w:rPr>
              <w:sz w:val="18"/>
            </w:rPr>
          </w:pPr>
        </w:p>
      </w:tc>
    </w:tr>
  </w:tbl>
  <w:p w14:paraId="176679C1" w14:textId="77777777" w:rsidR="00523945" w:rsidRPr="00ED79B6" w:rsidRDefault="00523945" w:rsidP="0065114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612430"/>
      <w:docPartObj>
        <w:docPartGallery w:val="Page Numbers (Bottom of Page)"/>
        <w:docPartUnique/>
      </w:docPartObj>
    </w:sdtPr>
    <w:sdtEndPr>
      <w:rPr>
        <w:noProof/>
        <w:sz w:val="18"/>
      </w:rPr>
    </w:sdtEndPr>
    <w:sdtContent>
      <w:p w14:paraId="781B11DA" w14:textId="77777777" w:rsidR="00523945" w:rsidRPr="00002072" w:rsidRDefault="00523945" w:rsidP="00173D05">
        <w:pPr>
          <w:pStyle w:val="Footer"/>
          <w:jc w:val="right"/>
          <w:rPr>
            <w:sz w:val="18"/>
          </w:rPr>
        </w:pPr>
        <w:r w:rsidRPr="00002072">
          <w:rPr>
            <w:sz w:val="18"/>
          </w:rPr>
          <w:fldChar w:fldCharType="begin"/>
        </w:r>
        <w:r w:rsidRPr="00002072">
          <w:rPr>
            <w:sz w:val="18"/>
          </w:rPr>
          <w:instrText xml:space="preserve"> PAGE   \* MERGEFORMAT </w:instrText>
        </w:r>
        <w:r w:rsidRPr="00002072">
          <w:rPr>
            <w:sz w:val="18"/>
          </w:rPr>
          <w:fldChar w:fldCharType="separate"/>
        </w:r>
        <w:r w:rsidRPr="00002072">
          <w:rPr>
            <w:noProof/>
            <w:sz w:val="18"/>
          </w:rPr>
          <w:t>2</w:t>
        </w:r>
        <w:r w:rsidRPr="00002072">
          <w:rPr>
            <w:noProof/>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40F9" w14:textId="77777777" w:rsidR="00523945" w:rsidRPr="002B0EA5" w:rsidRDefault="00523945" w:rsidP="006511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523945" w14:paraId="3D02655F" w14:textId="77777777" w:rsidTr="00651141">
      <w:tc>
        <w:tcPr>
          <w:tcW w:w="947" w:type="pct"/>
        </w:tcPr>
        <w:p w14:paraId="502E6C9E" w14:textId="77777777" w:rsidR="00523945" w:rsidRDefault="00523945" w:rsidP="00651141">
          <w:pPr>
            <w:spacing w:line="0" w:lineRule="atLeast"/>
            <w:rPr>
              <w:sz w:val="18"/>
            </w:rPr>
          </w:pPr>
        </w:p>
      </w:tc>
      <w:tc>
        <w:tcPr>
          <w:tcW w:w="3688" w:type="pct"/>
        </w:tcPr>
        <w:p w14:paraId="2009D346" w14:textId="164F1BBC" w:rsidR="00523945" w:rsidRDefault="00523945" w:rsidP="0065114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0008">
            <w:rPr>
              <w:i/>
              <w:noProof/>
              <w:sz w:val="18"/>
            </w:rPr>
            <w:t>Northern Australia Infrastructure Facility Investment Mandate Direction 2023</w:t>
          </w:r>
          <w:r w:rsidRPr="004E1307">
            <w:rPr>
              <w:i/>
              <w:sz w:val="18"/>
            </w:rPr>
            <w:fldChar w:fldCharType="end"/>
          </w:r>
        </w:p>
      </w:tc>
      <w:tc>
        <w:tcPr>
          <w:tcW w:w="365" w:type="pct"/>
        </w:tcPr>
        <w:p w14:paraId="33FAF128" w14:textId="77777777" w:rsidR="00523945" w:rsidRDefault="00523945" w:rsidP="006511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23945" w14:paraId="7E6E4776" w14:textId="77777777" w:rsidTr="00651141">
      <w:tc>
        <w:tcPr>
          <w:tcW w:w="5000" w:type="pct"/>
          <w:gridSpan w:val="3"/>
        </w:tcPr>
        <w:p w14:paraId="1FF7BF30" w14:textId="77777777" w:rsidR="00523945" w:rsidRDefault="00523945" w:rsidP="00651141">
          <w:pPr>
            <w:rPr>
              <w:sz w:val="18"/>
            </w:rPr>
          </w:pPr>
        </w:p>
      </w:tc>
    </w:tr>
  </w:tbl>
  <w:p w14:paraId="67B86E74" w14:textId="77777777" w:rsidR="00523945" w:rsidRPr="00F3373C" w:rsidRDefault="00523945" w:rsidP="00F3373C">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879A" w14:textId="3309084F" w:rsidR="00CB2651" w:rsidRPr="00173D05" w:rsidRDefault="00CB2651" w:rsidP="0075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2934" w14:textId="77777777" w:rsidR="00CB2651" w:rsidRDefault="00CB2651" w:rsidP="00715914">
      <w:pPr>
        <w:spacing w:line="240" w:lineRule="auto"/>
      </w:pPr>
      <w:r>
        <w:separator/>
      </w:r>
    </w:p>
  </w:footnote>
  <w:footnote w:type="continuationSeparator" w:id="0">
    <w:p w14:paraId="13253940" w14:textId="77777777" w:rsidR="00CB2651" w:rsidRDefault="00CB2651" w:rsidP="00715914">
      <w:pPr>
        <w:spacing w:line="240" w:lineRule="auto"/>
      </w:pPr>
      <w:r>
        <w:continuationSeparator/>
      </w:r>
    </w:p>
  </w:footnote>
  <w:footnote w:type="continuationNotice" w:id="1">
    <w:p w14:paraId="4A0B2592" w14:textId="77777777" w:rsidR="00CB2651" w:rsidRDefault="00CB26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0ED2" w14:textId="77777777" w:rsidR="00523945" w:rsidRPr="005F1388" w:rsidRDefault="0052394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75E1" w14:textId="77777777" w:rsidR="00523945" w:rsidRPr="005F1388" w:rsidRDefault="0052394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9DFE" w14:textId="77777777" w:rsidR="00523945" w:rsidRPr="00770A02" w:rsidRDefault="00523945" w:rsidP="00181EC2">
    <w:pPr>
      <w:spacing w:after="120"/>
      <w:jc w:val="cente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A5A4" w14:textId="77777777" w:rsidR="00523945" w:rsidRPr="00ED79B6" w:rsidRDefault="00523945" w:rsidP="0065114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8F9A" w14:textId="77777777" w:rsidR="00523945" w:rsidRPr="00ED79B6" w:rsidRDefault="00523945" w:rsidP="00770A02">
    <w:pPr>
      <w:spacing w:after="12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72A5" w14:textId="77777777" w:rsidR="00523945" w:rsidRPr="00ED79B6" w:rsidRDefault="0052394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80B5" w14:textId="77777777" w:rsidR="00523945" w:rsidRPr="00BA5D8E" w:rsidRDefault="00523945" w:rsidP="003976C0">
    <w:pPr>
      <w:jc w:val="center"/>
      <w:rPr>
        <w:color w:val="FF0000"/>
      </w:rPr>
    </w:pPr>
    <w:r w:rsidRPr="003976C0">
      <w:rPr>
        <w:rFonts w:cs="Times New Roman"/>
        <w:b/>
        <w:color w:val="FF000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A9E2" w14:textId="77777777" w:rsidR="00523945" w:rsidRPr="00BA5D8E" w:rsidRDefault="00523945" w:rsidP="00BA5D8E">
    <w:pPr>
      <w:spacing w:after="120"/>
      <w:jc w:val="center"/>
      <w:rPr>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91F5" w14:textId="77777777" w:rsidR="00523945" w:rsidRDefault="0052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A8F9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9C56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0F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8CC1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D66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08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6C6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F090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38CC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42E49"/>
    <w:multiLevelType w:val="hybridMultilevel"/>
    <w:tmpl w:val="D8D6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7D22F8"/>
    <w:multiLevelType w:val="hybridMultilevel"/>
    <w:tmpl w:val="CA468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A322D4"/>
    <w:multiLevelType w:val="hybridMultilevel"/>
    <w:tmpl w:val="37BA633C"/>
    <w:lvl w:ilvl="0" w:tplc="B9A21C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B13AA1"/>
    <w:multiLevelType w:val="hybridMultilevel"/>
    <w:tmpl w:val="CA827026"/>
    <w:lvl w:ilvl="0" w:tplc="E5F4690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07BA1C49"/>
    <w:multiLevelType w:val="hybridMultilevel"/>
    <w:tmpl w:val="A516B4B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17FD7456"/>
    <w:multiLevelType w:val="hybridMultilevel"/>
    <w:tmpl w:val="83CA8664"/>
    <w:lvl w:ilvl="0" w:tplc="1AFCA2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36110E"/>
    <w:multiLevelType w:val="hybridMultilevel"/>
    <w:tmpl w:val="657CD226"/>
    <w:lvl w:ilvl="0" w:tplc="61149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4F2D28"/>
    <w:multiLevelType w:val="hybridMultilevel"/>
    <w:tmpl w:val="47F84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B95417"/>
    <w:multiLevelType w:val="multilevel"/>
    <w:tmpl w:val="7E306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04609F"/>
    <w:multiLevelType w:val="hybridMultilevel"/>
    <w:tmpl w:val="32A8E26E"/>
    <w:lvl w:ilvl="0" w:tplc="038E96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F10755"/>
    <w:multiLevelType w:val="hybridMultilevel"/>
    <w:tmpl w:val="D466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2A14A7A"/>
    <w:multiLevelType w:val="hybridMultilevel"/>
    <w:tmpl w:val="3C4ED7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494EC7"/>
    <w:multiLevelType w:val="hybridMultilevel"/>
    <w:tmpl w:val="C6649D7A"/>
    <w:lvl w:ilvl="0" w:tplc="A6B87E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5FE7314"/>
    <w:multiLevelType w:val="hybridMultilevel"/>
    <w:tmpl w:val="1AD47A1A"/>
    <w:lvl w:ilvl="0" w:tplc="9398CFB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6" w15:restartNumberingAfterBreak="0">
    <w:nsid w:val="4EB71197"/>
    <w:multiLevelType w:val="hybridMultilevel"/>
    <w:tmpl w:val="A002125C"/>
    <w:lvl w:ilvl="0" w:tplc="ABCAD68A">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7" w15:restartNumberingAfterBreak="0">
    <w:nsid w:val="51F904E9"/>
    <w:multiLevelType w:val="hybridMultilevel"/>
    <w:tmpl w:val="7F22A634"/>
    <w:lvl w:ilvl="0" w:tplc="9B7431D8">
      <w:start w:val="1"/>
      <w:numFmt w:val="decimal"/>
      <w:lvlText w:val="%1."/>
      <w:lvlJc w:val="left"/>
      <w:pPr>
        <w:ind w:left="72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0267C5"/>
    <w:multiLevelType w:val="hybridMultilevel"/>
    <w:tmpl w:val="84C888E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9" w15:restartNumberingAfterBreak="0">
    <w:nsid w:val="53441102"/>
    <w:multiLevelType w:val="hybridMultilevel"/>
    <w:tmpl w:val="A002125C"/>
    <w:lvl w:ilvl="0" w:tplc="ABCAD68A">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0" w15:restartNumberingAfterBreak="0">
    <w:nsid w:val="65B63519"/>
    <w:multiLevelType w:val="hybridMultilevel"/>
    <w:tmpl w:val="6630D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7C657A"/>
    <w:multiLevelType w:val="hybridMultilevel"/>
    <w:tmpl w:val="3B6E57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BB52C4"/>
    <w:multiLevelType w:val="hybridMultilevel"/>
    <w:tmpl w:val="B03217D0"/>
    <w:lvl w:ilvl="0" w:tplc="73F063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D702CA"/>
    <w:multiLevelType w:val="hybridMultilevel"/>
    <w:tmpl w:val="C15218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D66389"/>
    <w:multiLevelType w:val="hybridMultilevel"/>
    <w:tmpl w:val="5DF286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AD349C"/>
    <w:multiLevelType w:val="hybridMultilevel"/>
    <w:tmpl w:val="03CE5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6"/>
  </w:num>
  <w:num w:numId="4">
    <w:abstractNumId w:val="29"/>
  </w:num>
  <w:num w:numId="5">
    <w:abstractNumId w:val="28"/>
  </w:num>
  <w:num w:numId="6">
    <w:abstractNumId w:val="26"/>
  </w:num>
  <w:num w:numId="7">
    <w:abstractNumId w:val="10"/>
  </w:num>
  <w:num w:numId="8">
    <w:abstractNumId w:val="30"/>
  </w:num>
  <w:num w:numId="9">
    <w:abstractNumId w:val="18"/>
  </w:num>
  <w:num w:numId="10">
    <w:abstractNumId w:val="13"/>
  </w:num>
  <w:num w:numId="11">
    <w:abstractNumId w:val="11"/>
  </w:num>
  <w:num w:numId="12">
    <w:abstractNumId w:val="20"/>
  </w:num>
  <w:num w:numId="13">
    <w:abstractNumId w:val="32"/>
  </w:num>
  <w:num w:numId="14">
    <w:abstractNumId w:val="31"/>
  </w:num>
  <w:num w:numId="15">
    <w:abstractNumId w:val="15"/>
  </w:num>
  <w:num w:numId="16">
    <w:abstractNumId w:val="27"/>
  </w:num>
  <w:num w:numId="17">
    <w:abstractNumId w:val="34"/>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5"/>
  </w:num>
  <w:num w:numId="31">
    <w:abstractNumId w:val="23"/>
  </w:num>
  <w:num w:numId="32">
    <w:abstractNumId w:val="24"/>
  </w:num>
  <w:num w:numId="33">
    <w:abstractNumId w:val="14"/>
  </w:num>
  <w:num w:numId="34">
    <w:abstractNumId w:val="12"/>
  </w:num>
  <w:num w:numId="35">
    <w:abstractNumId w:val="35"/>
  </w:num>
  <w:num w:numId="36">
    <w:abstractNumId w:val="2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41"/>
    <w:rsid w:val="000010DA"/>
    <w:rsid w:val="00002072"/>
    <w:rsid w:val="0000314D"/>
    <w:rsid w:val="00004174"/>
    <w:rsid w:val="00004451"/>
    <w:rsid w:val="00004470"/>
    <w:rsid w:val="00005DAD"/>
    <w:rsid w:val="00007B59"/>
    <w:rsid w:val="000101EB"/>
    <w:rsid w:val="0001087D"/>
    <w:rsid w:val="00010CA1"/>
    <w:rsid w:val="000117D4"/>
    <w:rsid w:val="00011C2D"/>
    <w:rsid w:val="00011C32"/>
    <w:rsid w:val="00011F66"/>
    <w:rsid w:val="00013565"/>
    <w:rsid w:val="00013566"/>
    <w:rsid w:val="000136AF"/>
    <w:rsid w:val="0001394D"/>
    <w:rsid w:val="0001501D"/>
    <w:rsid w:val="000151DE"/>
    <w:rsid w:val="00015855"/>
    <w:rsid w:val="00015965"/>
    <w:rsid w:val="00015B07"/>
    <w:rsid w:val="00015E83"/>
    <w:rsid w:val="00015EB9"/>
    <w:rsid w:val="000162EA"/>
    <w:rsid w:val="00016D86"/>
    <w:rsid w:val="00020281"/>
    <w:rsid w:val="00020868"/>
    <w:rsid w:val="000217C7"/>
    <w:rsid w:val="00022C9C"/>
    <w:rsid w:val="00023057"/>
    <w:rsid w:val="00023164"/>
    <w:rsid w:val="00023778"/>
    <w:rsid w:val="00024064"/>
    <w:rsid w:val="000258B1"/>
    <w:rsid w:val="00025980"/>
    <w:rsid w:val="00025D95"/>
    <w:rsid w:val="00026C04"/>
    <w:rsid w:val="00030DDA"/>
    <w:rsid w:val="00033805"/>
    <w:rsid w:val="000339A0"/>
    <w:rsid w:val="00033AC4"/>
    <w:rsid w:val="00033E23"/>
    <w:rsid w:val="0003653D"/>
    <w:rsid w:val="00036856"/>
    <w:rsid w:val="0003756B"/>
    <w:rsid w:val="00037E61"/>
    <w:rsid w:val="00040A89"/>
    <w:rsid w:val="000420EA"/>
    <w:rsid w:val="0004220E"/>
    <w:rsid w:val="00042EC4"/>
    <w:rsid w:val="000430F7"/>
    <w:rsid w:val="00043268"/>
    <w:rsid w:val="00043543"/>
    <w:rsid w:val="000435FC"/>
    <w:rsid w:val="000437C1"/>
    <w:rsid w:val="0004455A"/>
    <w:rsid w:val="000450CA"/>
    <w:rsid w:val="00045118"/>
    <w:rsid w:val="00045838"/>
    <w:rsid w:val="000459EF"/>
    <w:rsid w:val="0004755B"/>
    <w:rsid w:val="00047CDD"/>
    <w:rsid w:val="0005094C"/>
    <w:rsid w:val="00050AB0"/>
    <w:rsid w:val="000517CF"/>
    <w:rsid w:val="00052958"/>
    <w:rsid w:val="0005360D"/>
    <w:rsid w:val="0005365D"/>
    <w:rsid w:val="00053A0C"/>
    <w:rsid w:val="0005525D"/>
    <w:rsid w:val="00055290"/>
    <w:rsid w:val="00056285"/>
    <w:rsid w:val="00056332"/>
    <w:rsid w:val="000567F1"/>
    <w:rsid w:val="00056FB9"/>
    <w:rsid w:val="00060D48"/>
    <w:rsid w:val="000614BF"/>
    <w:rsid w:val="000616BF"/>
    <w:rsid w:val="00063684"/>
    <w:rsid w:val="00065D29"/>
    <w:rsid w:val="000661C7"/>
    <w:rsid w:val="000664A5"/>
    <w:rsid w:val="0006709C"/>
    <w:rsid w:val="000703B6"/>
    <w:rsid w:val="00072164"/>
    <w:rsid w:val="00072500"/>
    <w:rsid w:val="00073B19"/>
    <w:rsid w:val="00073F42"/>
    <w:rsid w:val="00074376"/>
    <w:rsid w:val="00074F8E"/>
    <w:rsid w:val="00075FD9"/>
    <w:rsid w:val="0007605D"/>
    <w:rsid w:val="0007676E"/>
    <w:rsid w:val="0008027A"/>
    <w:rsid w:val="000819E2"/>
    <w:rsid w:val="00082626"/>
    <w:rsid w:val="000857EF"/>
    <w:rsid w:val="00086138"/>
    <w:rsid w:val="00086E46"/>
    <w:rsid w:val="00087967"/>
    <w:rsid w:val="00087AD6"/>
    <w:rsid w:val="00090121"/>
    <w:rsid w:val="0009028D"/>
    <w:rsid w:val="00092488"/>
    <w:rsid w:val="0009289A"/>
    <w:rsid w:val="00092DD0"/>
    <w:rsid w:val="00092DED"/>
    <w:rsid w:val="000936B2"/>
    <w:rsid w:val="000941F1"/>
    <w:rsid w:val="00095016"/>
    <w:rsid w:val="0009554E"/>
    <w:rsid w:val="0009712F"/>
    <w:rsid w:val="000978F5"/>
    <w:rsid w:val="00097B57"/>
    <w:rsid w:val="00097F28"/>
    <w:rsid w:val="000A0341"/>
    <w:rsid w:val="000A102E"/>
    <w:rsid w:val="000A15AE"/>
    <w:rsid w:val="000A295A"/>
    <w:rsid w:val="000A3570"/>
    <w:rsid w:val="000A3AE6"/>
    <w:rsid w:val="000A4FB3"/>
    <w:rsid w:val="000A5030"/>
    <w:rsid w:val="000A5CC6"/>
    <w:rsid w:val="000A6A65"/>
    <w:rsid w:val="000A6E03"/>
    <w:rsid w:val="000A7220"/>
    <w:rsid w:val="000A7F63"/>
    <w:rsid w:val="000B0547"/>
    <w:rsid w:val="000B10A4"/>
    <w:rsid w:val="000B15CD"/>
    <w:rsid w:val="000B2CA3"/>
    <w:rsid w:val="000B35EB"/>
    <w:rsid w:val="000B44F3"/>
    <w:rsid w:val="000B4B23"/>
    <w:rsid w:val="000B58D0"/>
    <w:rsid w:val="000B5CB8"/>
    <w:rsid w:val="000B74C0"/>
    <w:rsid w:val="000C1342"/>
    <w:rsid w:val="000C282F"/>
    <w:rsid w:val="000C2A36"/>
    <w:rsid w:val="000C4BCA"/>
    <w:rsid w:val="000C5259"/>
    <w:rsid w:val="000C6B45"/>
    <w:rsid w:val="000D05EF"/>
    <w:rsid w:val="000D0BE7"/>
    <w:rsid w:val="000D1EC0"/>
    <w:rsid w:val="000D1EE3"/>
    <w:rsid w:val="000D26B4"/>
    <w:rsid w:val="000D3810"/>
    <w:rsid w:val="000D3E40"/>
    <w:rsid w:val="000D400F"/>
    <w:rsid w:val="000D4295"/>
    <w:rsid w:val="000E0E55"/>
    <w:rsid w:val="000E13AE"/>
    <w:rsid w:val="000E225C"/>
    <w:rsid w:val="000E2261"/>
    <w:rsid w:val="000E4E8B"/>
    <w:rsid w:val="000E58CB"/>
    <w:rsid w:val="000E66FD"/>
    <w:rsid w:val="000E78B7"/>
    <w:rsid w:val="000F026B"/>
    <w:rsid w:val="000F03E5"/>
    <w:rsid w:val="000F0B03"/>
    <w:rsid w:val="000F0FD2"/>
    <w:rsid w:val="000F1EC9"/>
    <w:rsid w:val="000F219A"/>
    <w:rsid w:val="000F21C1"/>
    <w:rsid w:val="000F3390"/>
    <w:rsid w:val="000F339C"/>
    <w:rsid w:val="000F53EC"/>
    <w:rsid w:val="000F5562"/>
    <w:rsid w:val="000F6982"/>
    <w:rsid w:val="000F7230"/>
    <w:rsid w:val="0010210B"/>
    <w:rsid w:val="001028B2"/>
    <w:rsid w:val="00104CBB"/>
    <w:rsid w:val="0010598F"/>
    <w:rsid w:val="00106995"/>
    <w:rsid w:val="00107317"/>
    <w:rsid w:val="0010745C"/>
    <w:rsid w:val="00110C74"/>
    <w:rsid w:val="001112F8"/>
    <w:rsid w:val="00111DE8"/>
    <w:rsid w:val="00112893"/>
    <w:rsid w:val="00114912"/>
    <w:rsid w:val="00115737"/>
    <w:rsid w:val="0011738F"/>
    <w:rsid w:val="00120DE6"/>
    <w:rsid w:val="00122311"/>
    <w:rsid w:val="00122B49"/>
    <w:rsid w:val="00122BA4"/>
    <w:rsid w:val="00124F90"/>
    <w:rsid w:val="00125606"/>
    <w:rsid w:val="00125F79"/>
    <w:rsid w:val="001268D3"/>
    <w:rsid w:val="00126983"/>
    <w:rsid w:val="00126EB1"/>
    <w:rsid w:val="00131231"/>
    <w:rsid w:val="0013138A"/>
    <w:rsid w:val="00132CEB"/>
    <w:rsid w:val="0013300F"/>
    <w:rsid w:val="0013355B"/>
    <w:rsid w:val="001335BE"/>
    <w:rsid w:val="0013371C"/>
    <w:rsid w:val="001339B0"/>
    <w:rsid w:val="00133DEB"/>
    <w:rsid w:val="00134C9A"/>
    <w:rsid w:val="00134CA7"/>
    <w:rsid w:val="0013605A"/>
    <w:rsid w:val="00136A35"/>
    <w:rsid w:val="00140185"/>
    <w:rsid w:val="001401C2"/>
    <w:rsid w:val="0014108E"/>
    <w:rsid w:val="00141147"/>
    <w:rsid w:val="001413C7"/>
    <w:rsid w:val="001420BD"/>
    <w:rsid w:val="00142B62"/>
    <w:rsid w:val="001441B7"/>
    <w:rsid w:val="00144B16"/>
    <w:rsid w:val="00144C32"/>
    <w:rsid w:val="00144FE4"/>
    <w:rsid w:val="00145D01"/>
    <w:rsid w:val="001516CB"/>
    <w:rsid w:val="00152336"/>
    <w:rsid w:val="00152E49"/>
    <w:rsid w:val="00153508"/>
    <w:rsid w:val="00153FCD"/>
    <w:rsid w:val="00156104"/>
    <w:rsid w:val="00156AD0"/>
    <w:rsid w:val="001571E2"/>
    <w:rsid w:val="00157B8B"/>
    <w:rsid w:val="001605DC"/>
    <w:rsid w:val="001605FF"/>
    <w:rsid w:val="0016098F"/>
    <w:rsid w:val="00160A2B"/>
    <w:rsid w:val="00161622"/>
    <w:rsid w:val="001618A0"/>
    <w:rsid w:val="00161F6F"/>
    <w:rsid w:val="00162817"/>
    <w:rsid w:val="00162C3E"/>
    <w:rsid w:val="00162C61"/>
    <w:rsid w:val="0016325E"/>
    <w:rsid w:val="001646A2"/>
    <w:rsid w:val="00165AE6"/>
    <w:rsid w:val="00165C11"/>
    <w:rsid w:val="00165C14"/>
    <w:rsid w:val="00166C2F"/>
    <w:rsid w:val="00171530"/>
    <w:rsid w:val="00173109"/>
    <w:rsid w:val="00173D05"/>
    <w:rsid w:val="0017554D"/>
    <w:rsid w:val="00176093"/>
    <w:rsid w:val="00176BA3"/>
    <w:rsid w:val="00176BB2"/>
    <w:rsid w:val="00176E21"/>
    <w:rsid w:val="001809A8"/>
    <w:rsid w:val="001809D7"/>
    <w:rsid w:val="00180F6A"/>
    <w:rsid w:val="00181D4C"/>
    <w:rsid w:val="00181EC2"/>
    <w:rsid w:val="00181EE0"/>
    <w:rsid w:val="001840E0"/>
    <w:rsid w:val="0018447E"/>
    <w:rsid w:val="00184F4B"/>
    <w:rsid w:val="00185AC0"/>
    <w:rsid w:val="00185B87"/>
    <w:rsid w:val="00185F0E"/>
    <w:rsid w:val="001866ED"/>
    <w:rsid w:val="00187704"/>
    <w:rsid w:val="0018779A"/>
    <w:rsid w:val="00190B1C"/>
    <w:rsid w:val="001939E1"/>
    <w:rsid w:val="00194C3E"/>
    <w:rsid w:val="00195382"/>
    <w:rsid w:val="0019659E"/>
    <w:rsid w:val="001970E1"/>
    <w:rsid w:val="001A0A34"/>
    <w:rsid w:val="001A25E7"/>
    <w:rsid w:val="001A2912"/>
    <w:rsid w:val="001A2CC5"/>
    <w:rsid w:val="001A366C"/>
    <w:rsid w:val="001A48BF"/>
    <w:rsid w:val="001A55CF"/>
    <w:rsid w:val="001A5A24"/>
    <w:rsid w:val="001A6E6D"/>
    <w:rsid w:val="001A6FD1"/>
    <w:rsid w:val="001B0B2E"/>
    <w:rsid w:val="001B0B86"/>
    <w:rsid w:val="001B1A75"/>
    <w:rsid w:val="001B2CB6"/>
    <w:rsid w:val="001B3F80"/>
    <w:rsid w:val="001B79CD"/>
    <w:rsid w:val="001B7B3C"/>
    <w:rsid w:val="001C00E1"/>
    <w:rsid w:val="001C0807"/>
    <w:rsid w:val="001C160C"/>
    <w:rsid w:val="001C40B3"/>
    <w:rsid w:val="001C4839"/>
    <w:rsid w:val="001C5036"/>
    <w:rsid w:val="001C5EEF"/>
    <w:rsid w:val="001C61C5"/>
    <w:rsid w:val="001C69C4"/>
    <w:rsid w:val="001C6D34"/>
    <w:rsid w:val="001D089D"/>
    <w:rsid w:val="001D0EF2"/>
    <w:rsid w:val="001D3166"/>
    <w:rsid w:val="001D37EF"/>
    <w:rsid w:val="001D5B3A"/>
    <w:rsid w:val="001D6474"/>
    <w:rsid w:val="001D7373"/>
    <w:rsid w:val="001D790E"/>
    <w:rsid w:val="001E0455"/>
    <w:rsid w:val="001E1A59"/>
    <w:rsid w:val="001E3590"/>
    <w:rsid w:val="001E3915"/>
    <w:rsid w:val="001E4AD9"/>
    <w:rsid w:val="001E4E15"/>
    <w:rsid w:val="001E6099"/>
    <w:rsid w:val="001E71FE"/>
    <w:rsid w:val="001E7407"/>
    <w:rsid w:val="001F1A10"/>
    <w:rsid w:val="001F1B0B"/>
    <w:rsid w:val="001F20B1"/>
    <w:rsid w:val="001F21D9"/>
    <w:rsid w:val="001F3BF5"/>
    <w:rsid w:val="001F4748"/>
    <w:rsid w:val="001F4CC4"/>
    <w:rsid w:val="001F5D5E"/>
    <w:rsid w:val="001F61FB"/>
    <w:rsid w:val="001F6219"/>
    <w:rsid w:val="001F6CD4"/>
    <w:rsid w:val="001F7424"/>
    <w:rsid w:val="002015ED"/>
    <w:rsid w:val="0020594B"/>
    <w:rsid w:val="00205A6B"/>
    <w:rsid w:val="00206C4D"/>
    <w:rsid w:val="00207463"/>
    <w:rsid w:val="00210383"/>
    <w:rsid w:val="00211159"/>
    <w:rsid w:val="002116E2"/>
    <w:rsid w:val="002120E9"/>
    <w:rsid w:val="0021497C"/>
    <w:rsid w:val="00214F59"/>
    <w:rsid w:val="00215AF1"/>
    <w:rsid w:val="002174A5"/>
    <w:rsid w:val="00217566"/>
    <w:rsid w:val="002178FC"/>
    <w:rsid w:val="00222CB0"/>
    <w:rsid w:val="002252C9"/>
    <w:rsid w:val="00225B77"/>
    <w:rsid w:val="00226F42"/>
    <w:rsid w:val="00227614"/>
    <w:rsid w:val="00230664"/>
    <w:rsid w:val="00231940"/>
    <w:rsid w:val="002321E8"/>
    <w:rsid w:val="00232984"/>
    <w:rsid w:val="002329DF"/>
    <w:rsid w:val="00232DBF"/>
    <w:rsid w:val="00233669"/>
    <w:rsid w:val="002341A2"/>
    <w:rsid w:val="00234F04"/>
    <w:rsid w:val="00235330"/>
    <w:rsid w:val="0023665C"/>
    <w:rsid w:val="0024010F"/>
    <w:rsid w:val="00240749"/>
    <w:rsid w:val="00241DA8"/>
    <w:rsid w:val="002429CE"/>
    <w:rsid w:val="00243018"/>
    <w:rsid w:val="00243FB8"/>
    <w:rsid w:val="00245BCB"/>
    <w:rsid w:val="002469E2"/>
    <w:rsid w:val="00246F2B"/>
    <w:rsid w:val="00247786"/>
    <w:rsid w:val="002478AD"/>
    <w:rsid w:val="002504B6"/>
    <w:rsid w:val="00251375"/>
    <w:rsid w:val="002513D2"/>
    <w:rsid w:val="0025175B"/>
    <w:rsid w:val="00252B0B"/>
    <w:rsid w:val="0025311E"/>
    <w:rsid w:val="00253D60"/>
    <w:rsid w:val="00253F80"/>
    <w:rsid w:val="00254060"/>
    <w:rsid w:val="00254480"/>
    <w:rsid w:val="0025499D"/>
    <w:rsid w:val="00254AB1"/>
    <w:rsid w:val="00254B09"/>
    <w:rsid w:val="002564A4"/>
    <w:rsid w:val="002574D6"/>
    <w:rsid w:val="00261E94"/>
    <w:rsid w:val="0026207E"/>
    <w:rsid w:val="00264E1C"/>
    <w:rsid w:val="00265885"/>
    <w:rsid w:val="002658C8"/>
    <w:rsid w:val="002663A7"/>
    <w:rsid w:val="0026646C"/>
    <w:rsid w:val="00266655"/>
    <w:rsid w:val="0026736C"/>
    <w:rsid w:val="002676D5"/>
    <w:rsid w:val="00267A3B"/>
    <w:rsid w:val="00267EF6"/>
    <w:rsid w:val="0027075D"/>
    <w:rsid w:val="002720AC"/>
    <w:rsid w:val="00272555"/>
    <w:rsid w:val="00274727"/>
    <w:rsid w:val="00274AC2"/>
    <w:rsid w:val="00274D1F"/>
    <w:rsid w:val="00275903"/>
    <w:rsid w:val="002764E4"/>
    <w:rsid w:val="002767DC"/>
    <w:rsid w:val="00276ECD"/>
    <w:rsid w:val="00277883"/>
    <w:rsid w:val="002811C5"/>
    <w:rsid w:val="002811FD"/>
    <w:rsid w:val="00281308"/>
    <w:rsid w:val="0028146D"/>
    <w:rsid w:val="00281D93"/>
    <w:rsid w:val="00281EBC"/>
    <w:rsid w:val="00282479"/>
    <w:rsid w:val="00282BB8"/>
    <w:rsid w:val="00283152"/>
    <w:rsid w:val="0028329D"/>
    <w:rsid w:val="002832B2"/>
    <w:rsid w:val="002833EA"/>
    <w:rsid w:val="002835C0"/>
    <w:rsid w:val="00284719"/>
    <w:rsid w:val="00285DE8"/>
    <w:rsid w:val="00286130"/>
    <w:rsid w:val="00287C3E"/>
    <w:rsid w:val="00287D31"/>
    <w:rsid w:val="002902B6"/>
    <w:rsid w:val="002909C4"/>
    <w:rsid w:val="00292CA8"/>
    <w:rsid w:val="002931AA"/>
    <w:rsid w:val="00293722"/>
    <w:rsid w:val="00293902"/>
    <w:rsid w:val="00293EAB"/>
    <w:rsid w:val="002944AF"/>
    <w:rsid w:val="002945B9"/>
    <w:rsid w:val="00294615"/>
    <w:rsid w:val="00294999"/>
    <w:rsid w:val="002956EF"/>
    <w:rsid w:val="00295ACF"/>
    <w:rsid w:val="00296F2C"/>
    <w:rsid w:val="00297056"/>
    <w:rsid w:val="00297ECB"/>
    <w:rsid w:val="002A0F4C"/>
    <w:rsid w:val="002A44F8"/>
    <w:rsid w:val="002A4D64"/>
    <w:rsid w:val="002A4F4A"/>
    <w:rsid w:val="002A6314"/>
    <w:rsid w:val="002A7BCF"/>
    <w:rsid w:val="002B13C2"/>
    <w:rsid w:val="002B1F8D"/>
    <w:rsid w:val="002B5803"/>
    <w:rsid w:val="002B59A8"/>
    <w:rsid w:val="002B5C6F"/>
    <w:rsid w:val="002B625B"/>
    <w:rsid w:val="002B658D"/>
    <w:rsid w:val="002B71DF"/>
    <w:rsid w:val="002B7931"/>
    <w:rsid w:val="002C128B"/>
    <w:rsid w:val="002C1DD6"/>
    <w:rsid w:val="002C2A9B"/>
    <w:rsid w:val="002C3B68"/>
    <w:rsid w:val="002C3FD1"/>
    <w:rsid w:val="002C4260"/>
    <w:rsid w:val="002C4D28"/>
    <w:rsid w:val="002C4EE8"/>
    <w:rsid w:val="002C5A18"/>
    <w:rsid w:val="002C5B95"/>
    <w:rsid w:val="002C6172"/>
    <w:rsid w:val="002C6A06"/>
    <w:rsid w:val="002C7985"/>
    <w:rsid w:val="002D043A"/>
    <w:rsid w:val="002D14FB"/>
    <w:rsid w:val="002D218E"/>
    <w:rsid w:val="002D21C7"/>
    <w:rsid w:val="002D266B"/>
    <w:rsid w:val="002D6061"/>
    <w:rsid w:val="002D6224"/>
    <w:rsid w:val="002D7AE2"/>
    <w:rsid w:val="002D7D33"/>
    <w:rsid w:val="002E0FDE"/>
    <w:rsid w:val="002E133E"/>
    <w:rsid w:val="002E13DB"/>
    <w:rsid w:val="002E34B9"/>
    <w:rsid w:val="002E41BA"/>
    <w:rsid w:val="002E424C"/>
    <w:rsid w:val="002E533A"/>
    <w:rsid w:val="002E665C"/>
    <w:rsid w:val="002E6DFA"/>
    <w:rsid w:val="002F1BEC"/>
    <w:rsid w:val="002F240C"/>
    <w:rsid w:val="002F2913"/>
    <w:rsid w:val="002F42F1"/>
    <w:rsid w:val="002F4351"/>
    <w:rsid w:val="002F4DD2"/>
    <w:rsid w:val="002F5693"/>
    <w:rsid w:val="002F6281"/>
    <w:rsid w:val="00300575"/>
    <w:rsid w:val="00302FDE"/>
    <w:rsid w:val="00303A35"/>
    <w:rsid w:val="003049C4"/>
    <w:rsid w:val="00304F8B"/>
    <w:rsid w:val="00307501"/>
    <w:rsid w:val="00307D70"/>
    <w:rsid w:val="0031004D"/>
    <w:rsid w:val="003110F3"/>
    <w:rsid w:val="003113E4"/>
    <w:rsid w:val="00312EDD"/>
    <w:rsid w:val="00313524"/>
    <w:rsid w:val="003146DE"/>
    <w:rsid w:val="00315CF7"/>
    <w:rsid w:val="00316C45"/>
    <w:rsid w:val="00316F65"/>
    <w:rsid w:val="003216BD"/>
    <w:rsid w:val="00321FEE"/>
    <w:rsid w:val="0032308B"/>
    <w:rsid w:val="00323158"/>
    <w:rsid w:val="00323810"/>
    <w:rsid w:val="00325879"/>
    <w:rsid w:val="003269E0"/>
    <w:rsid w:val="003272B4"/>
    <w:rsid w:val="003272C2"/>
    <w:rsid w:val="00327CF7"/>
    <w:rsid w:val="00331711"/>
    <w:rsid w:val="00331AB5"/>
    <w:rsid w:val="00332A32"/>
    <w:rsid w:val="00332BC4"/>
    <w:rsid w:val="003338AC"/>
    <w:rsid w:val="0033391C"/>
    <w:rsid w:val="00333A88"/>
    <w:rsid w:val="0033432A"/>
    <w:rsid w:val="00334CDF"/>
    <w:rsid w:val="00335989"/>
    <w:rsid w:val="00335BC6"/>
    <w:rsid w:val="003362C9"/>
    <w:rsid w:val="00337E8A"/>
    <w:rsid w:val="003415D3"/>
    <w:rsid w:val="00341AE0"/>
    <w:rsid w:val="003429D7"/>
    <w:rsid w:val="003430C9"/>
    <w:rsid w:val="00344338"/>
    <w:rsid w:val="003443AA"/>
    <w:rsid w:val="00344701"/>
    <w:rsid w:val="00344712"/>
    <w:rsid w:val="0034541D"/>
    <w:rsid w:val="003454D6"/>
    <w:rsid w:val="003466ED"/>
    <w:rsid w:val="00346780"/>
    <w:rsid w:val="00346F5F"/>
    <w:rsid w:val="00347E72"/>
    <w:rsid w:val="003513D1"/>
    <w:rsid w:val="0035224A"/>
    <w:rsid w:val="003523EB"/>
    <w:rsid w:val="003524F1"/>
    <w:rsid w:val="00352B0F"/>
    <w:rsid w:val="003539FF"/>
    <w:rsid w:val="00353A86"/>
    <w:rsid w:val="00354A5A"/>
    <w:rsid w:val="00355B00"/>
    <w:rsid w:val="00355CA8"/>
    <w:rsid w:val="003566D6"/>
    <w:rsid w:val="00356B89"/>
    <w:rsid w:val="00360093"/>
    <w:rsid w:val="00360189"/>
    <w:rsid w:val="00360459"/>
    <w:rsid w:val="0036047D"/>
    <w:rsid w:val="00360691"/>
    <w:rsid w:val="0036195D"/>
    <w:rsid w:val="003619D9"/>
    <w:rsid w:val="003636B8"/>
    <w:rsid w:val="00363708"/>
    <w:rsid w:val="0036375B"/>
    <w:rsid w:val="00363AE8"/>
    <w:rsid w:val="00364AE7"/>
    <w:rsid w:val="00364C62"/>
    <w:rsid w:val="0036630B"/>
    <w:rsid w:val="00370175"/>
    <w:rsid w:val="003711F3"/>
    <w:rsid w:val="00371569"/>
    <w:rsid w:val="0037236A"/>
    <w:rsid w:val="00373954"/>
    <w:rsid w:val="00373A3C"/>
    <w:rsid w:val="003750A8"/>
    <w:rsid w:val="00375C7D"/>
    <w:rsid w:val="00375DA5"/>
    <w:rsid w:val="0038049F"/>
    <w:rsid w:val="00381ED3"/>
    <w:rsid w:val="00381F1A"/>
    <w:rsid w:val="00381F48"/>
    <w:rsid w:val="003830B1"/>
    <w:rsid w:val="00383718"/>
    <w:rsid w:val="0038591A"/>
    <w:rsid w:val="00385B34"/>
    <w:rsid w:val="00385E04"/>
    <w:rsid w:val="003862AA"/>
    <w:rsid w:val="00386CE9"/>
    <w:rsid w:val="00386F3E"/>
    <w:rsid w:val="00387E7A"/>
    <w:rsid w:val="0039069C"/>
    <w:rsid w:val="00390F65"/>
    <w:rsid w:val="00391F7D"/>
    <w:rsid w:val="003921F6"/>
    <w:rsid w:val="00392922"/>
    <w:rsid w:val="00392E76"/>
    <w:rsid w:val="0039321A"/>
    <w:rsid w:val="003938E0"/>
    <w:rsid w:val="00395001"/>
    <w:rsid w:val="00396053"/>
    <w:rsid w:val="003964F1"/>
    <w:rsid w:val="00396A64"/>
    <w:rsid w:val="003976C0"/>
    <w:rsid w:val="00397A67"/>
    <w:rsid w:val="003A0B4E"/>
    <w:rsid w:val="003A1CD6"/>
    <w:rsid w:val="003A30E0"/>
    <w:rsid w:val="003A3294"/>
    <w:rsid w:val="003A32D1"/>
    <w:rsid w:val="003A3507"/>
    <w:rsid w:val="003A3C47"/>
    <w:rsid w:val="003A3D7E"/>
    <w:rsid w:val="003A767E"/>
    <w:rsid w:val="003A77B4"/>
    <w:rsid w:val="003B07E7"/>
    <w:rsid w:val="003B1788"/>
    <w:rsid w:val="003B4325"/>
    <w:rsid w:val="003B60B3"/>
    <w:rsid w:val="003B6D46"/>
    <w:rsid w:val="003B74AF"/>
    <w:rsid w:val="003B794D"/>
    <w:rsid w:val="003C26BD"/>
    <w:rsid w:val="003C34C3"/>
    <w:rsid w:val="003C354F"/>
    <w:rsid w:val="003C4502"/>
    <w:rsid w:val="003C6231"/>
    <w:rsid w:val="003C6A2D"/>
    <w:rsid w:val="003D0564"/>
    <w:rsid w:val="003D07D6"/>
    <w:rsid w:val="003D0BFE"/>
    <w:rsid w:val="003D2036"/>
    <w:rsid w:val="003D2733"/>
    <w:rsid w:val="003D2845"/>
    <w:rsid w:val="003D303A"/>
    <w:rsid w:val="003D5700"/>
    <w:rsid w:val="003D7213"/>
    <w:rsid w:val="003D7377"/>
    <w:rsid w:val="003E0B7C"/>
    <w:rsid w:val="003E0EDD"/>
    <w:rsid w:val="003E17D7"/>
    <w:rsid w:val="003E1808"/>
    <w:rsid w:val="003E2D6B"/>
    <w:rsid w:val="003E341B"/>
    <w:rsid w:val="003E3728"/>
    <w:rsid w:val="003E48DC"/>
    <w:rsid w:val="003E4D00"/>
    <w:rsid w:val="003E4E31"/>
    <w:rsid w:val="003E6655"/>
    <w:rsid w:val="003E7254"/>
    <w:rsid w:val="003E756E"/>
    <w:rsid w:val="003E7C88"/>
    <w:rsid w:val="003F1311"/>
    <w:rsid w:val="003F285E"/>
    <w:rsid w:val="003F5806"/>
    <w:rsid w:val="003F5CDE"/>
    <w:rsid w:val="003F7000"/>
    <w:rsid w:val="0040076C"/>
    <w:rsid w:val="004009AC"/>
    <w:rsid w:val="00400ECA"/>
    <w:rsid w:val="004019B4"/>
    <w:rsid w:val="00401F39"/>
    <w:rsid w:val="004024CE"/>
    <w:rsid w:val="00402956"/>
    <w:rsid w:val="004030F0"/>
    <w:rsid w:val="00403406"/>
    <w:rsid w:val="00404E2D"/>
    <w:rsid w:val="004056DC"/>
    <w:rsid w:val="004068A8"/>
    <w:rsid w:val="0041089C"/>
    <w:rsid w:val="0041094D"/>
    <w:rsid w:val="00410F86"/>
    <w:rsid w:val="00411685"/>
    <w:rsid w:val="004116CD"/>
    <w:rsid w:val="00412082"/>
    <w:rsid w:val="004150EB"/>
    <w:rsid w:val="0041511E"/>
    <w:rsid w:val="00416206"/>
    <w:rsid w:val="00416403"/>
    <w:rsid w:val="00416C31"/>
    <w:rsid w:val="00417EB9"/>
    <w:rsid w:val="00423BC0"/>
    <w:rsid w:val="004249CA"/>
    <w:rsid w:val="00424CA9"/>
    <w:rsid w:val="00425625"/>
    <w:rsid w:val="00426BC9"/>
    <w:rsid w:val="00427588"/>
    <w:rsid w:val="004276DF"/>
    <w:rsid w:val="0042775E"/>
    <w:rsid w:val="004307DC"/>
    <w:rsid w:val="00431AA4"/>
    <w:rsid w:val="00431DD7"/>
    <w:rsid w:val="00431E9B"/>
    <w:rsid w:val="004329D7"/>
    <w:rsid w:val="00433C41"/>
    <w:rsid w:val="00433EAA"/>
    <w:rsid w:val="00435055"/>
    <w:rsid w:val="00435286"/>
    <w:rsid w:val="00435625"/>
    <w:rsid w:val="0043718A"/>
    <w:rsid w:val="0043747A"/>
    <w:rsid w:val="004379E3"/>
    <w:rsid w:val="00440025"/>
    <w:rsid w:val="0044015E"/>
    <w:rsid w:val="004409B9"/>
    <w:rsid w:val="00441187"/>
    <w:rsid w:val="00441C3B"/>
    <w:rsid w:val="0044291A"/>
    <w:rsid w:val="00442930"/>
    <w:rsid w:val="00442E2F"/>
    <w:rsid w:val="00443E11"/>
    <w:rsid w:val="00444E7E"/>
    <w:rsid w:val="004451DE"/>
    <w:rsid w:val="00445E00"/>
    <w:rsid w:val="00446733"/>
    <w:rsid w:val="0045017A"/>
    <w:rsid w:val="00450EF0"/>
    <w:rsid w:val="00451706"/>
    <w:rsid w:val="00451C00"/>
    <w:rsid w:val="00451E6A"/>
    <w:rsid w:val="00452A5F"/>
    <w:rsid w:val="00452F02"/>
    <w:rsid w:val="00454D86"/>
    <w:rsid w:val="004565D9"/>
    <w:rsid w:val="00460C21"/>
    <w:rsid w:val="004627B1"/>
    <w:rsid w:val="00462BDF"/>
    <w:rsid w:val="00463D93"/>
    <w:rsid w:val="00464C0F"/>
    <w:rsid w:val="00466762"/>
    <w:rsid w:val="0046679A"/>
    <w:rsid w:val="00466CB5"/>
    <w:rsid w:val="00467375"/>
    <w:rsid w:val="00467661"/>
    <w:rsid w:val="00471107"/>
    <w:rsid w:val="00471CC6"/>
    <w:rsid w:val="00472DBE"/>
    <w:rsid w:val="004746BA"/>
    <w:rsid w:val="00474A19"/>
    <w:rsid w:val="00475C17"/>
    <w:rsid w:val="004764B8"/>
    <w:rsid w:val="00476C0A"/>
    <w:rsid w:val="00477830"/>
    <w:rsid w:val="00477E01"/>
    <w:rsid w:val="004806EE"/>
    <w:rsid w:val="00482FDC"/>
    <w:rsid w:val="004831DD"/>
    <w:rsid w:val="00483430"/>
    <w:rsid w:val="004860E2"/>
    <w:rsid w:val="00486430"/>
    <w:rsid w:val="00486748"/>
    <w:rsid w:val="004872B8"/>
    <w:rsid w:val="00487764"/>
    <w:rsid w:val="004879AD"/>
    <w:rsid w:val="00487AEA"/>
    <w:rsid w:val="00490755"/>
    <w:rsid w:val="004929EA"/>
    <w:rsid w:val="00493B3F"/>
    <w:rsid w:val="00494C34"/>
    <w:rsid w:val="004968A4"/>
    <w:rsid w:val="00496E24"/>
    <w:rsid w:val="00496F8F"/>
    <w:rsid w:val="00496F97"/>
    <w:rsid w:val="004A1F03"/>
    <w:rsid w:val="004A206F"/>
    <w:rsid w:val="004A242C"/>
    <w:rsid w:val="004A3778"/>
    <w:rsid w:val="004A4768"/>
    <w:rsid w:val="004A5718"/>
    <w:rsid w:val="004A67D0"/>
    <w:rsid w:val="004A6CE6"/>
    <w:rsid w:val="004A6E3F"/>
    <w:rsid w:val="004B0430"/>
    <w:rsid w:val="004B099B"/>
    <w:rsid w:val="004B0D1C"/>
    <w:rsid w:val="004B0E2A"/>
    <w:rsid w:val="004B1236"/>
    <w:rsid w:val="004B1C50"/>
    <w:rsid w:val="004B1D03"/>
    <w:rsid w:val="004B39D2"/>
    <w:rsid w:val="004B3A63"/>
    <w:rsid w:val="004B44CC"/>
    <w:rsid w:val="004B5896"/>
    <w:rsid w:val="004B6609"/>
    <w:rsid w:val="004B6C48"/>
    <w:rsid w:val="004C0DD4"/>
    <w:rsid w:val="004C1727"/>
    <w:rsid w:val="004C2475"/>
    <w:rsid w:val="004C3E30"/>
    <w:rsid w:val="004C48D8"/>
    <w:rsid w:val="004C499E"/>
    <w:rsid w:val="004C4B15"/>
    <w:rsid w:val="004C4E59"/>
    <w:rsid w:val="004C6809"/>
    <w:rsid w:val="004D034B"/>
    <w:rsid w:val="004D111A"/>
    <w:rsid w:val="004D173F"/>
    <w:rsid w:val="004D2685"/>
    <w:rsid w:val="004D3802"/>
    <w:rsid w:val="004D4C7B"/>
    <w:rsid w:val="004D7BA5"/>
    <w:rsid w:val="004E027E"/>
    <w:rsid w:val="004E063A"/>
    <w:rsid w:val="004E0845"/>
    <w:rsid w:val="004E1307"/>
    <w:rsid w:val="004E139B"/>
    <w:rsid w:val="004E13D7"/>
    <w:rsid w:val="004E1514"/>
    <w:rsid w:val="004E3C9B"/>
    <w:rsid w:val="004E44DD"/>
    <w:rsid w:val="004E4B10"/>
    <w:rsid w:val="004E6D3F"/>
    <w:rsid w:val="004E71E4"/>
    <w:rsid w:val="004E7BEC"/>
    <w:rsid w:val="004E7DF8"/>
    <w:rsid w:val="004F1819"/>
    <w:rsid w:val="004F2B98"/>
    <w:rsid w:val="004F2C60"/>
    <w:rsid w:val="004F38C0"/>
    <w:rsid w:val="004F3C16"/>
    <w:rsid w:val="004F45A2"/>
    <w:rsid w:val="004F4F8F"/>
    <w:rsid w:val="004F73AB"/>
    <w:rsid w:val="004F7C60"/>
    <w:rsid w:val="00500410"/>
    <w:rsid w:val="0050091F"/>
    <w:rsid w:val="00501B08"/>
    <w:rsid w:val="00502028"/>
    <w:rsid w:val="005048E3"/>
    <w:rsid w:val="00504DC0"/>
    <w:rsid w:val="00505D3D"/>
    <w:rsid w:val="00506AF6"/>
    <w:rsid w:val="00506B55"/>
    <w:rsid w:val="00507488"/>
    <w:rsid w:val="00510882"/>
    <w:rsid w:val="00511A94"/>
    <w:rsid w:val="005130A7"/>
    <w:rsid w:val="00513835"/>
    <w:rsid w:val="00513A09"/>
    <w:rsid w:val="00513CEE"/>
    <w:rsid w:val="00514CEF"/>
    <w:rsid w:val="00514EC0"/>
    <w:rsid w:val="005150E7"/>
    <w:rsid w:val="0051659A"/>
    <w:rsid w:val="00516B8D"/>
    <w:rsid w:val="005171F6"/>
    <w:rsid w:val="005175B8"/>
    <w:rsid w:val="0052034C"/>
    <w:rsid w:val="0052058A"/>
    <w:rsid w:val="00520894"/>
    <w:rsid w:val="00520B61"/>
    <w:rsid w:val="0052119E"/>
    <w:rsid w:val="00521C21"/>
    <w:rsid w:val="00522BCA"/>
    <w:rsid w:val="005235FD"/>
    <w:rsid w:val="00523945"/>
    <w:rsid w:val="0052576F"/>
    <w:rsid w:val="0052581D"/>
    <w:rsid w:val="005266FC"/>
    <w:rsid w:val="00526959"/>
    <w:rsid w:val="0052703E"/>
    <w:rsid w:val="00527523"/>
    <w:rsid w:val="00527569"/>
    <w:rsid w:val="005303C8"/>
    <w:rsid w:val="00531239"/>
    <w:rsid w:val="0053241E"/>
    <w:rsid w:val="005333CF"/>
    <w:rsid w:val="005336F3"/>
    <w:rsid w:val="0053389E"/>
    <w:rsid w:val="00534E41"/>
    <w:rsid w:val="005353E6"/>
    <w:rsid w:val="00537161"/>
    <w:rsid w:val="00537441"/>
    <w:rsid w:val="005374B2"/>
    <w:rsid w:val="005375A9"/>
    <w:rsid w:val="00537A86"/>
    <w:rsid w:val="00537B21"/>
    <w:rsid w:val="00537CB6"/>
    <w:rsid w:val="00537D94"/>
    <w:rsid w:val="00537FBC"/>
    <w:rsid w:val="00540B72"/>
    <w:rsid w:val="00540CC4"/>
    <w:rsid w:val="00540D69"/>
    <w:rsid w:val="00541605"/>
    <w:rsid w:val="005427AE"/>
    <w:rsid w:val="0054282F"/>
    <w:rsid w:val="005428CF"/>
    <w:rsid w:val="005430ED"/>
    <w:rsid w:val="00545CF3"/>
    <w:rsid w:val="005464FB"/>
    <w:rsid w:val="00546C0F"/>
    <w:rsid w:val="00547716"/>
    <w:rsid w:val="00551865"/>
    <w:rsid w:val="005538B1"/>
    <w:rsid w:val="00554826"/>
    <w:rsid w:val="005568AE"/>
    <w:rsid w:val="005612A6"/>
    <w:rsid w:val="0056161D"/>
    <w:rsid w:val="0056260D"/>
    <w:rsid w:val="00562877"/>
    <w:rsid w:val="00562968"/>
    <w:rsid w:val="005636F9"/>
    <w:rsid w:val="00563A87"/>
    <w:rsid w:val="00563F08"/>
    <w:rsid w:val="00564304"/>
    <w:rsid w:val="00564340"/>
    <w:rsid w:val="00565945"/>
    <w:rsid w:val="00567595"/>
    <w:rsid w:val="0057002E"/>
    <w:rsid w:val="00570D74"/>
    <w:rsid w:val="0057127D"/>
    <w:rsid w:val="00571DBC"/>
    <w:rsid w:val="005720A3"/>
    <w:rsid w:val="00572495"/>
    <w:rsid w:val="00574F2B"/>
    <w:rsid w:val="00575251"/>
    <w:rsid w:val="005758BB"/>
    <w:rsid w:val="005764CF"/>
    <w:rsid w:val="005767BD"/>
    <w:rsid w:val="00576CDB"/>
    <w:rsid w:val="00577881"/>
    <w:rsid w:val="00577E29"/>
    <w:rsid w:val="00580089"/>
    <w:rsid w:val="00580700"/>
    <w:rsid w:val="005814F1"/>
    <w:rsid w:val="00581508"/>
    <w:rsid w:val="00581635"/>
    <w:rsid w:val="0058163B"/>
    <w:rsid w:val="00581802"/>
    <w:rsid w:val="005823D6"/>
    <w:rsid w:val="005826EF"/>
    <w:rsid w:val="0058271D"/>
    <w:rsid w:val="00582AC2"/>
    <w:rsid w:val="005832F4"/>
    <w:rsid w:val="00584811"/>
    <w:rsid w:val="00585784"/>
    <w:rsid w:val="00586AD7"/>
    <w:rsid w:val="005912E8"/>
    <w:rsid w:val="005928CB"/>
    <w:rsid w:val="005929A3"/>
    <w:rsid w:val="00593AA6"/>
    <w:rsid w:val="00594161"/>
    <w:rsid w:val="0059422F"/>
    <w:rsid w:val="00594749"/>
    <w:rsid w:val="005A019E"/>
    <w:rsid w:val="005A03EE"/>
    <w:rsid w:val="005A05A9"/>
    <w:rsid w:val="005A1105"/>
    <w:rsid w:val="005A1159"/>
    <w:rsid w:val="005A15EA"/>
    <w:rsid w:val="005A19F2"/>
    <w:rsid w:val="005A365F"/>
    <w:rsid w:val="005A4FDC"/>
    <w:rsid w:val="005A6105"/>
    <w:rsid w:val="005A6226"/>
    <w:rsid w:val="005A65D5"/>
    <w:rsid w:val="005A6925"/>
    <w:rsid w:val="005A72A7"/>
    <w:rsid w:val="005A72BD"/>
    <w:rsid w:val="005A7300"/>
    <w:rsid w:val="005A7F2A"/>
    <w:rsid w:val="005B050F"/>
    <w:rsid w:val="005B097D"/>
    <w:rsid w:val="005B13AE"/>
    <w:rsid w:val="005B17B4"/>
    <w:rsid w:val="005B1D22"/>
    <w:rsid w:val="005B2DEC"/>
    <w:rsid w:val="005B2F6C"/>
    <w:rsid w:val="005B4067"/>
    <w:rsid w:val="005B53B6"/>
    <w:rsid w:val="005B5612"/>
    <w:rsid w:val="005B5B9F"/>
    <w:rsid w:val="005B5E61"/>
    <w:rsid w:val="005B6ACC"/>
    <w:rsid w:val="005B7F22"/>
    <w:rsid w:val="005C076B"/>
    <w:rsid w:val="005C1C71"/>
    <w:rsid w:val="005C3343"/>
    <w:rsid w:val="005C3555"/>
    <w:rsid w:val="005C3F41"/>
    <w:rsid w:val="005C55D2"/>
    <w:rsid w:val="005C6EA6"/>
    <w:rsid w:val="005C73D9"/>
    <w:rsid w:val="005D0965"/>
    <w:rsid w:val="005D1124"/>
    <w:rsid w:val="005D1A12"/>
    <w:rsid w:val="005D1D92"/>
    <w:rsid w:val="005D2188"/>
    <w:rsid w:val="005D23DE"/>
    <w:rsid w:val="005D25DD"/>
    <w:rsid w:val="005D2D09"/>
    <w:rsid w:val="005D2F1F"/>
    <w:rsid w:val="005D4A1C"/>
    <w:rsid w:val="005D4B02"/>
    <w:rsid w:val="005D5E58"/>
    <w:rsid w:val="005D6469"/>
    <w:rsid w:val="005D69A0"/>
    <w:rsid w:val="005D7E15"/>
    <w:rsid w:val="005E0DDF"/>
    <w:rsid w:val="005E0FF8"/>
    <w:rsid w:val="005E13B9"/>
    <w:rsid w:val="005E2586"/>
    <w:rsid w:val="005E28D4"/>
    <w:rsid w:val="005E2EA9"/>
    <w:rsid w:val="005E312F"/>
    <w:rsid w:val="005E3833"/>
    <w:rsid w:val="005E3E94"/>
    <w:rsid w:val="005E489A"/>
    <w:rsid w:val="005E4CEA"/>
    <w:rsid w:val="005E4EF8"/>
    <w:rsid w:val="005E51BD"/>
    <w:rsid w:val="005E5332"/>
    <w:rsid w:val="005E5484"/>
    <w:rsid w:val="005E759F"/>
    <w:rsid w:val="005F05B6"/>
    <w:rsid w:val="005F06F4"/>
    <w:rsid w:val="005F13DC"/>
    <w:rsid w:val="005F3A4F"/>
    <w:rsid w:val="005F3EFA"/>
    <w:rsid w:val="005F48D1"/>
    <w:rsid w:val="005F49C8"/>
    <w:rsid w:val="005F54B0"/>
    <w:rsid w:val="005F60BC"/>
    <w:rsid w:val="00600219"/>
    <w:rsid w:val="00603035"/>
    <w:rsid w:val="00603E70"/>
    <w:rsid w:val="006043C6"/>
    <w:rsid w:val="00604F2A"/>
    <w:rsid w:val="006061E9"/>
    <w:rsid w:val="00606C74"/>
    <w:rsid w:val="00607B22"/>
    <w:rsid w:val="00610592"/>
    <w:rsid w:val="00610B36"/>
    <w:rsid w:val="00610F88"/>
    <w:rsid w:val="00611734"/>
    <w:rsid w:val="006123B8"/>
    <w:rsid w:val="00612DBD"/>
    <w:rsid w:val="00614204"/>
    <w:rsid w:val="0061431E"/>
    <w:rsid w:val="00614678"/>
    <w:rsid w:val="00616F11"/>
    <w:rsid w:val="00616F2B"/>
    <w:rsid w:val="00616F92"/>
    <w:rsid w:val="00620076"/>
    <w:rsid w:val="006203D7"/>
    <w:rsid w:val="006234C1"/>
    <w:rsid w:val="0062571B"/>
    <w:rsid w:val="0062634D"/>
    <w:rsid w:val="00627100"/>
    <w:rsid w:val="00627E0A"/>
    <w:rsid w:val="00630E88"/>
    <w:rsid w:val="0063171A"/>
    <w:rsid w:val="0063391E"/>
    <w:rsid w:val="0063602D"/>
    <w:rsid w:val="006370FB"/>
    <w:rsid w:val="00641327"/>
    <w:rsid w:val="00641759"/>
    <w:rsid w:val="006417E2"/>
    <w:rsid w:val="006418EB"/>
    <w:rsid w:val="00642188"/>
    <w:rsid w:val="0064244B"/>
    <w:rsid w:val="00642DA1"/>
    <w:rsid w:val="00642F7D"/>
    <w:rsid w:val="006439DC"/>
    <w:rsid w:val="00643EAE"/>
    <w:rsid w:val="006440D8"/>
    <w:rsid w:val="00644F47"/>
    <w:rsid w:val="006454CB"/>
    <w:rsid w:val="00645562"/>
    <w:rsid w:val="00645DC4"/>
    <w:rsid w:val="00645EC5"/>
    <w:rsid w:val="00646339"/>
    <w:rsid w:val="00646890"/>
    <w:rsid w:val="00646FDF"/>
    <w:rsid w:val="0064750A"/>
    <w:rsid w:val="006479E0"/>
    <w:rsid w:val="00647B53"/>
    <w:rsid w:val="0065040A"/>
    <w:rsid w:val="00651141"/>
    <w:rsid w:val="00651513"/>
    <w:rsid w:val="00652382"/>
    <w:rsid w:val="00653FF3"/>
    <w:rsid w:val="0065488B"/>
    <w:rsid w:val="00655C2F"/>
    <w:rsid w:val="0065621B"/>
    <w:rsid w:val="00656D40"/>
    <w:rsid w:val="00657072"/>
    <w:rsid w:val="0065771A"/>
    <w:rsid w:val="00657CD1"/>
    <w:rsid w:val="00660FFF"/>
    <w:rsid w:val="006616EE"/>
    <w:rsid w:val="006639DB"/>
    <w:rsid w:val="00664019"/>
    <w:rsid w:val="00664DD3"/>
    <w:rsid w:val="00665A48"/>
    <w:rsid w:val="00665DAE"/>
    <w:rsid w:val="0066621F"/>
    <w:rsid w:val="006676B9"/>
    <w:rsid w:val="006701DC"/>
    <w:rsid w:val="00670758"/>
    <w:rsid w:val="00670EA1"/>
    <w:rsid w:val="006726CC"/>
    <w:rsid w:val="00672C78"/>
    <w:rsid w:val="0067527C"/>
    <w:rsid w:val="00675F6A"/>
    <w:rsid w:val="00676212"/>
    <w:rsid w:val="00677CC2"/>
    <w:rsid w:val="00677FFE"/>
    <w:rsid w:val="00681145"/>
    <w:rsid w:val="006817F4"/>
    <w:rsid w:val="006820D1"/>
    <w:rsid w:val="00684035"/>
    <w:rsid w:val="00684385"/>
    <w:rsid w:val="00684715"/>
    <w:rsid w:val="00685669"/>
    <w:rsid w:val="006870D8"/>
    <w:rsid w:val="0068744B"/>
    <w:rsid w:val="006905DE"/>
    <w:rsid w:val="00690918"/>
    <w:rsid w:val="0069093A"/>
    <w:rsid w:val="00690F06"/>
    <w:rsid w:val="0069207B"/>
    <w:rsid w:val="00692F1D"/>
    <w:rsid w:val="0069389E"/>
    <w:rsid w:val="006944FB"/>
    <w:rsid w:val="006947B6"/>
    <w:rsid w:val="00694E45"/>
    <w:rsid w:val="00694F13"/>
    <w:rsid w:val="00695BBD"/>
    <w:rsid w:val="00695DA1"/>
    <w:rsid w:val="006A0EA7"/>
    <w:rsid w:val="006A154F"/>
    <w:rsid w:val="006A1610"/>
    <w:rsid w:val="006A164F"/>
    <w:rsid w:val="006A1CD4"/>
    <w:rsid w:val="006A1D8B"/>
    <w:rsid w:val="006A2046"/>
    <w:rsid w:val="006A437B"/>
    <w:rsid w:val="006A55F6"/>
    <w:rsid w:val="006A6841"/>
    <w:rsid w:val="006A73DF"/>
    <w:rsid w:val="006A7BCB"/>
    <w:rsid w:val="006B0F03"/>
    <w:rsid w:val="006B1217"/>
    <w:rsid w:val="006B2603"/>
    <w:rsid w:val="006B32E9"/>
    <w:rsid w:val="006B488C"/>
    <w:rsid w:val="006B5789"/>
    <w:rsid w:val="006B59B9"/>
    <w:rsid w:val="006B5EEC"/>
    <w:rsid w:val="006B63E1"/>
    <w:rsid w:val="006B6BE5"/>
    <w:rsid w:val="006B7DD7"/>
    <w:rsid w:val="006C1D34"/>
    <w:rsid w:val="006C266D"/>
    <w:rsid w:val="006C30C5"/>
    <w:rsid w:val="006C32D7"/>
    <w:rsid w:val="006C379C"/>
    <w:rsid w:val="006C4650"/>
    <w:rsid w:val="006C4979"/>
    <w:rsid w:val="006C6B10"/>
    <w:rsid w:val="006C717F"/>
    <w:rsid w:val="006C7875"/>
    <w:rsid w:val="006C7F8C"/>
    <w:rsid w:val="006D0EDC"/>
    <w:rsid w:val="006D1323"/>
    <w:rsid w:val="006D1656"/>
    <w:rsid w:val="006D2717"/>
    <w:rsid w:val="006D3950"/>
    <w:rsid w:val="006D46E9"/>
    <w:rsid w:val="006D54C7"/>
    <w:rsid w:val="006D64D8"/>
    <w:rsid w:val="006E0C92"/>
    <w:rsid w:val="006E288A"/>
    <w:rsid w:val="006E2DA0"/>
    <w:rsid w:val="006E2E1C"/>
    <w:rsid w:val="006E2FD0"/>
    <w:rsid w:val="006E3B81"/>
    <w:rsid w:val="006E4D11"/>
    <w:rsid w:val="006E5999"/>
    <w:rsid w:val="006E5DBF"/>
    <w:rsid w:val="006E5EF0"/>
    <w:rsid w:val="006E6246"/>
    <w:rsid w:val="006E69C2"/>
    <w:rsid w:val="006E6DCC"/>
    <w:rsid w:val="006E7938"/>
    <w:rsid w:val="006F0231"/>
    <w:rsid w:val="006F055E"/>
    <w:rsid w:val="006F0572"/>
    <w:rsid w:val="006F0F54"/>
    <w:rsid w:val="006F318F"/>
    <w:rsid w:val="006F33FF"/>
    <w:rsid w:val="006F39FE"/>
    <w:rsid w:val="006F52E6"/>
    <w:rsid w:val="006F6099"/>
    <w:rsid w:val="006F686D"/>
    <w:rsid w:val="006F79FA"/>
    <w:rsid w:val="0070017E"/>
    <w:rsid w:val="00700B2C"/>
    <w:rsid w:val="00700B3B"/>
    <w:rsid w:val="00702311"/>
    <w:rsid w:val="0070293A"/>
    <w:rsid w:val="00703198"/>
    <w:rsid w:val="007049E7"/>
    <w:rsid w:val="007050A2"/>
    <w:rsid w:val="0070695F"/>
    <w:rsid w:val="00710C1D"/>
    <w:rsid w:val="00712011"/>
    <w:rsid w:val="007126B5"/>
    <w:rsid w:val="00712716"/>
    <w:rsid w:val="00713084"/>
    <w:rsid w:val="00713175"/>
    <w:rsid w:val="007135B4"/>
    <w:rsid w:val="00714702"/>
    <w:rsid w:val="00714F20"/>
    <w:rsid w:val="0071590F"/>
    <w:rsid w:val="00715914"/>
    <w:rsid w:val="00717FAE"/>
    <w:rsid w:val="007204DC"/>
    <w:rsid w:val="007211EE"/>
    <w:rsid w:val="0072147A"/>
    <w:rsid w:val="00722216"/>
    <w:rsid w:val="00722759"/>
    <w:rsid w:val="00723791"/>
    <w:rsid w:val="007239EF"/>
    <w:rsid w:val="007259EE"/>
    <w:rsid w:val="00725B59"/>
    <w:rsid w:val="0072735A"/>
    <w:rsid w:val="00727580"/>
    <w:rsid w:val="00727BFF"/>
    <w:rsid w:val="00730A5C"/>
    <w:rsid w:val="00731E00"/>
    <w:rsid w:val="007342CA"/>
    <w:rsid w:val="007345F3"/>
    <w:rsid w:val="00736D80"/>
    <w:rsid w:val="007375D3"/>
    <w:rsid w:val="007401B4"/>
    <w:rsid w:val="00740E03"/>
    <w:rsid w:val="007423E2"/>
    <w:rsid w:val="00742459"/>
    <w:rsid w:val="0074276B"/>
    <w:rsid w:val="007427B5"/>
    <w:rsid w:val="00742BCC"/>
    <w:rsid w:val="00742C83"/>
    <w:rsid w:val="00742DD8"/>
    <w:rsid w:val="007440B7"/>
    <w:rsid w:val="00744225"/>
    <w:rsid w:val="00744D42"/>
    <w:rsid w:val="007459C2"/>
    <w:rsid w:val="007461DB"/>
    <w:rsid w:val="0074628A"/>
    <w:rsid w:val="0074683B"/>
    <w:rsid w:val="00747279"/>
    <w:rsid w:val="007474E0"/>
    <w:rsid w:val="00747D64"/>
    <w:rsid w:val="007500A8"/>
    <w:rsid w:val="007500C8"/>
    <w:rsid w:val="007502AA"/>
    <w:rsid w:val="007508B8"/>
    <w:rsid w:val="00751844"/>
    <w:rsid w:val="0075186B"/>
    <w:rsid w:val="0075195A"/>
    <w:rsid w:val="00753EAB"/>
    <w:rsid w:val="00753F56"/>
    <w:rsid w:val="00754EC3"/>
    <w:rsid w:val="00756272"/>
    <w:rsid w:val="007578B5"/>
    <w:rsid w:val="00760569"/>
    <w:rsid w:val="00761B35"/>
    <w:rsid w:val="007628CD"/>
    <w:rsid w:val="00762D38"/>
    <w:rsid w:val="00763459"/>
    <w:rsid w:val="007639AE"/>
    <w:rsid w:val="007639CE"/>
    <w:rsid w:val="00764117"/>
    <w:rsid w:val="007642A6"/>
    <w:rsid w:val="007648C0"/>
    <w:rsid w:val="00764BD5"/>
    <w:rsid w:val="00765522"/>
    <w:rsid w:val="00765B03"/>
    <w:rsid w:val="00765D79"/>
    <w:rsid w:val="00770217"/>
    <w:rsid w:val="00770A02"/>
    <w:rsid w:val="007715C9"/>
    <w:rsid w:val="00771613"/>
    <w:rsid w:val="00771C73"/>
    <w:rsid w:val="007722B1"/>
    <w:rsid w:val="00772631"/>
    <w:rsid w:val="00772F62"/>
    <w:rsid w:val="00773FB8"/>
    <w:rsid w:val="00774EDD"/>
    <w:rsid w:val="00774EF0"/>
    <w:rsid w:val="00774F8E"/>
    <w:rsid w:val="007757EC"/>
    <w:rsid w:val="00775F5D"/>
    <w:rsid w:val="00776600"/>
    <w:rsid w:val="00776FAD"/>
    <w:rsid w:val="0077746F"/>
    <w:rsid w:val="00777496"/>
    <w:rsid w:val="00777CE5"/>
    <w:rsid w:val="007806F5"/>
    <w:rsid w:val="00780C0D"/>
    <w:rsid w:val="00780CC3"/>
    <w:rsid w:val="00781A73"/>
    <w:rsid w:val="00781B46"/>
    <w:rsid w:val="00781D5C"/>
    <w:rsid w:val="00782F88"/>
    <w:rsid w:val="007834AF"/>
    <w:rsid w:val="007838B2"/>
    <w:rsid w:val="00783E89"/>
    <w:rsid w:val="007857F3"/>
    <w:rsid w:val="00785DE2"/>
    <w:rsid w:val="00787A8E"/>
    <w:rsid w:val="00787FB3"/>
    <w:rsid w:val="00790CB3"/>
    <w:rsid w:val="00791F57"/>
    <w:rsid w:val="007928BB"/>
    <w:rsid w:val="00793915"/>
    <w:rsid w:val="00793D9D"/>
    <w:rsid w:val="007944B6"/>
    <w:rsid w:val="007947E8"/>
    <w:rsid w:val="0079488B"/>
    <w:rsid w:val="00794B6C"/>
    <w:rsid w:val="00796198"/>
    <w:rsid w:val="007A03DA"/>
    <w:rsid w:val="007A2999"/>
    <w:rsid w:val="007A3FC3"/>
    <w:rsid w:val="007A41CB"/>
    <w:rsid w:val="007A52F1"/>
    <w:rsid w:val="007A5445"/>
    <w:rsid w:val="007A546D"/>
    <w:rsid w:val="007A66E8"/>
    <w:rsid w:val="007A68D6"/>
    <w:rsid w:val="007A6A14"/>
    <w:rsid w:val="007A7737"/>
    <w:rsid w:val="007B0293"/>
    <w:rsid w:val="007B2F27"/>
    <w:rsid w:val="007B346B"/>
    <w:rsid w:val="007B34FE"/>
    <w:rsid w:val="007B3777"/>
    <w:rsid w:val="007B3E68"/>
    <w:rsid w:val="007B425C"/>
    <w:rsid w:val="007B59F9"/>
    <w:rsid w:val="007B62DE"/>
    <w:rsid w:val="007B6CC2"/>
    <w:rsid w:val="007B7A04"/>
    <w:rsid w:val="007C01A5"/>
    <w:rsid w:val="007C2253"/>
    <w:rsid w:val="007C2903"/>
    <w:rsid w:val="007C30A3"/>
    <w:rsid w:val="007C378B"/>
    <w:rsid w:val="007C388C"/>
    <w:rsid w:val="007C4356"/>
    <w:rsid w:val="007C44B5"/>
    <w:rsid w:val="007C4646"/>
    <w:rsid w:val="007C4691"/>
    <w:rsid w:val="007C5868"/>
    <w:rsid w:val="007C5A3B"/>
    <w:rsid w:val="007C622F"/>
    <w:rsid w:val="007C6B15"/>
    <w:rsid w:val="007C6F43"/>
    <w:rsid w:val="007C7649"/>
    <w:rsid w:val="007C79E5"/>
    <w:rsid w:val="007D1D8F"/>
    <w:rsid w:val="007D2B2C"/>
    <w:rsid w:val="007D3515"/>
    <w:rsid w:val="007D39EE"/>
    <w:rsid w:val="007D40F7"/>
    <w:rsid w:val="007D528C"/>
    <w:rsid w:val="007D63CF"/>
    <w:rsid w:val="007D7911"/>
    <w:rsid w:val="007D7E89"/>
    <w:rsid w:val="007E163D"/>
    <w:rsid w:val="007E26FD"/>
    <w:rsid w:val="007E2AA2"/>
    <w:rsid w:val="007E3F56"/>
    <w:rsid w:val="007E433D"/>
    <w:rsid w:val="007E58B0"/>
    <w:rsid w:val="007E667A"/>
    <w:rsid w:val="007E7CE9"/>
    <w:rsid w:val="007F01C3"/>
    <w:rsid w:val="007F0E6A"/>
    <w:rsid w:val="007F24EC"/>
    <w:rsid w:val="007F28C9"/>
    <w:rsid w:val="007F2EC1"/>
    <w:rsid w:val="007F3018"/>
    <w:rsid w:val="007F360E"/>
    <w:rsid w:val="007F4361"/>
    <w:rsid w:val="007F51B2"/>
    <w:rsid w:val="007F56A0"/>
    <w:rsid w:val="007F56DD"/>
    <w:rsid w:val="007F5921"/>
    <w:rsid w:val="007F6413"/>
    <w:rsid w:val="007F692F"/>
    <w:rsid w:val="007F707D"/>
    <w:rsid w:val="007F71AD"/>
    <w:rsid w:val="00800756"/>
    <w:rsid w:val="00800CC1"/>
    <w:rsid w:val="008033D4"/>
    <w:rsid w:val="008040DD"/>
    <w:rsid w:val="00804DA6"/>
    <w:rsid w:val="00805BE8"/>
    <w:rsid w:val="00807209"/>
    <w:rsid w:val="0080755E"/>
    <w:rsid w:val="008077E8"/>
    <w:rsid w:val="00810B85"/>
    <w:rsid w:val="008117E9"/>
    <w:rsid w:val="00813611"/>
    <w:rsid w:val="00813808"/>
    <w:rsid w:val="008150A1"/>
    <w:rsid w:val="008162FD"/>
    <w:rsid w:val="0081681C"/>
    <w:rsid w:val="00821C2F"/>
    <w:rsid w:val="00821DB1"/>
    <w:rsid w:val="008222EC"/>
    <w:rsid w:val="00822695"/>
    <w:rsid w:val="0082311D"/>
    <w:rsid w:val="00824498"/>
    <w:rsid w:val="00825C0F"/>
    <w:rsid w:val="00826BD1"/>
    <w:rsid w:val="00826BF8"/>
    <w:rsid w:val="008274FD"/>
    <w:rsid w:val="00827938"/>
    <w:rsid w:val="00827A4E"/>
    <w:rsid w:val="00827B2F"/>
    <w:rsid w:val="00827BE9"/>
    <w:rsid w:val="00832990"/>
    <w:rsid w:val="00833C13"/>
    <w:rsid w:val="00833D41"/>
    <w:rsid w:val="00834C02"/>
    <w:rsid w:val="00834C5E"/>
    <w:rsid w:val="0083558A"/>
    <w:rsid w:val="008362F7"/>
    <w:rsid w:val="0083740C"/>
    <w:rsid w:val="00840466"/>
    <w:rsid w:val="008404AF"/>
    <w:rsid w:val="008408B4"/>
    <w:rsid w:val="00841D29"/>
    <w:rsid w:val="008424F2"/>
    <w:rsid w:val="00844C97"/>
    <w:rsid w:val="008455F9"/>
    <w:rsid w:val="00845E39"/>
    <w:rsid w:val="00846E41"/>
    <w:rsid w:val="00847ECC"/>
    <w:rsid w:val="00847ED2"/>
    <w:rsid w:val="0085176D"/>
    <w:rsid w:val="00852755"/>
    <w:rsid w:val="00853946"/>
    <w:rsid w:val="00853A2C"/>
    <w:rsid w:val="00853A85"/>
    <w:rsid w:val="0085439C"/>
    <w:rsid w:val="00854D0B"/>
    <w:rsid w:val="008567BC"/>
    <w:rsid w:val="00856A31"/>
    <w:rsid w:val="00857ACF"/>
    <w:rsid w:val="0086085D"/>
    <w:rsid w:val="00860B4E"/>
    <w:rsid w:val="00860EAC"/>
    <w:rsid w:val="008620F6"/>
    <w:rsid w:val="00862B9F"/>
    <w:rsid w:val="00863A00"/>
    <w:rsid w:val="00864369"/>
    <w:rsid w:val="008675B4"/>
    <w:rsid w:val="008679CE"/>
    <w:rsid w:val="00867B37"/>
    <w:rsid w:val="00870557"/>
    <w:rsid w:val="008707B7"/>
    <w:rsid w:val="00870DBF"/>
    <w:rsid w:val="00870E11"/>
    <w:rsid w:val="00871820"/>
    <w:rsid w:val="008725CC"/>
    <w:rsid w:val="008729EE"/>
    <w:rsid w:val="00872F2C"/>
    <w:rsid w:val="00873195"/>
    <w:rsid w:val="008736B1"/>
    <w:rsid w:val="00873F31"/>
    <w:rsid w:val="008754D0"/>
    <w:rsid w:val="00875D13"/>
    <w:rsid w:val="00875FC7"/>
    <w:rsid w:val="00876D5C"/>
    <w:rsid w:val="008777A7"/>
    <w:rsid w:val="00877BE2"/>
    <w:rsid w:val="00877D7D"/>
    <w:rsid w:val="00877E5A"/>
    <w:rsid w:val="00877EFD"/>
    <w:rsid w:val="0088013F"/>
    <w:rsid w:val="00880997"/>
    <w:rsid w:val="00881F55"/>
    <w:rsid w:val="0088321D"/>
    <w:rsid w:val="008837BA"/>
    <w:rsid w:val="008846C5"/>
    <w:rsid w:val="0088485B"/>
    <w:rsid w:val="008849D9"/>
    <w:rsid w:val="008850FF"/>
    <w:rsid w:val="008854F9"/>
    <w:rsid w:val="008855C9"/>
    <w:rsid w:val="00886456"/>
    <w:rsid w:val="008867A8"/>
    <w:rsid w:val="0089048D"/>
    <w:rsid w:val="00891556"/>
    <w:rsid w:val="0089159B"/>
    <w:rsid w:val="00891BB0"/>
    <w:rsid w:val="0089201F"/>
    <w:rsid w:val="0089280F"/>
    <w:rsid w:val="008928E9"/>
    <w:rsid w:val="00894A1C"/>
    <w:rsid w:val="00894D92"/>
    <w:rsid w:val="00895903"/>
    <w:rsid w:val="00896176"/>
    <w:rsid w:val="00896B79"/>
    <w:rsid w:val="00897CD3"/>
    <w:rsid w:val="00897D19"/>
    <w:rsid w:val="008A04D4"/>
    <w:rsid w:val="008A19EA"/>
    <w:rsid w:val="008A21B0"/>
    <w:rsid w:val="008A46E1"/>
    <w:rsid w:val="008A4F43"/>
    <w:rsid w:val="008A7D92"/>
    <w:rsid w:val="008B12D0"/>
    <w:rsid w:val="008B2706"/>
    <w:rsid w:val="008B2DF4"/>
    <w:rsid w:val="008B30C1"/>
    <w:rsid w:val="008B32BA"/>
    <w:rsid w:val="008B4598"/>
    <w:rsid w:val="008B4EE2"/>
    <w:rsid w:val="008B5E4D"/>
    <w:rsid w:val="008B722C"/>
    <w:rsid w:val="008C0181"/>
    <w:rsid w:val="008C030E"/>
    <w:rsid w:val="008C0F2E"/>
    <w:rsid w:val="008C12D9"/>
    <w:rsid w:val="008C206C"/>
    <w:rsid w:val="008C243C"/>
    <w:rsid w:val="008C246B"/>
    <w:rsid w:val="008C2EAC"/>
    <w:rsid w:val="008C35A7"/>
    <w:rsid w:val="008C50BD"/>
    <w:rsid w:val="008C7326"/>
    <w:rsid w:val="008D08ED"/>
    <w:rsid w:val="008D0EE0"/>
    <w:rsid w:val="008D10C6"/>
    <w:rsid w:val="008D1264"/>
    <w:rsid w:val="008D2CAD"/>
    <w:rsid w:val="008D3325"/>
    <w:rsid w:val="008D4697"/>
    <w:rsid w:val="008D701E"/>
    <w:rsid w:val="008D70BB"/>
    <w:rsid w:val="008D7184"/>
    <w:rsid w:val="008D77C0"/>
    <w:rsid w:val="008E0027"/>
    <w:rsid w:val="008E16C5"/>
    <w:rsid w:val="008E246D"/>
    <w:rsid w:val="008E2744"/>
    <w:rsid w:val="008E27DC"/>
    <w:rsid w:val="008E4241"/>
    <w:rsid w:val="008E6067"/>
    <w:rsid w:val="008F0A5B"/>
    <w:rsid w:val="008F115D"/>
    <w:rsid w:val="008F197B"/>
    <w:rsid w:val="008F21D2"/>
    <w:rsid w:val="008F3DE1"/>
    <w:rsid w:val="008F44DC"/>
    <w:rsid w:val="008F54E7"/>
    <w:rsid w:val="008F7029"/>
    <w:rsid w:val="009001EF"/>
    <w:rsid w:val="00900B02"/>
    <w:rsid w:val="00900E07"/>
    <w:rsid w:val="00901BBC"/>
    <w:rsid w:val="00902383"/>
    <w:rsid w:val="00902EB3"/>
    <w:rsid w:val="00903422"/>
    <w:rsid w:val="009060A0"/>
    <w:rsid w:val="0090656F"/>
    <w:rsid w:val="00907720"/>
    <w:rsid w:val="009101C7"/>
    <w:rsid w:val="009132B3"/>
    <w:rsid w:val="009146ED"/>
    <w:rsid w:val="00915DA8"/>
    <w:rsid w:val="00916A10"/>
    <w:rsid w:val="00917E96"/>
    <w:rsid w:val="00920225"/>
    <w:rsid w:val="009204E0"/>
    <w:rsid w:val="00920CEC"/>
    <w:rsid w:val="009225DF"/>
    <w:rsid w:val="00922F9F"/>
    <w:rsid w:val="00923616"/>
    <w:rsid w:val="00923D6F"/>
    <w:rsid w:val="00923FE4"/>
    <w:rsid w:val="00924512"/>
    <w:rsid w:val="0092463F"/>
    <w:rsid w:val="009254C3"/>
    <w:rsid w:val="00926252"/>
    <w:rsid w:val="00927AA5"/>
    <w:rsid w:val="0093022F"/>
    <w:rsid w:val="00931190"/>
    <w:rsid w:val="00931EC5"/>
    <w:rsid w:val="00932377"/>
    <w:rsid w:val="009324E2"/>
    <w:rsid w:val="00933044"/>
    <w:rsid w:val="00933448"/>
    <w:rsid w:val="00933851"/>
    <w:rsid w:val="00933AA6"/>
    <w:rsid w:val="00934521"/>
    <w:rsid w:val="00934D56"/>
    <w:rsid w:val="00934EDC"/>
    <w:rsid w:val="009354DF"/>
    <w:rsid w:val="0093651E"/>
    <w:rsid w:val="00937138"/>
    <w:rsid w:val="00941236"/>
    <w:rsid w:val="0094129A"/>
    <w:rsid w:val="0094176A"/>
    <w:rsid w:val="00942D61"/>
    <w:rsid w:val="0094353C"/>
    <w:rsid w:val="00943975"/>
    <w:rsid w:val="00943FD5"/>
    <w:rsid w:val="0094408B"/>
    <w:rsid w:val="00947D5A"/>
    <w:rsid w:val="00950BBE"/>
    <w:rsid w:val="00951065"/>
    <w:rsid w:val="00951335"/>
    <w:rsid w:val="00952CE5"/>
    <w:rsid w:val="009532A5"/>
    <w:rsid w:val="009539B8"/>
    <w:rsid w:val="00954356"/>
    <w:rsid w:val="009545BD"/>
    <w:rsid w:val="009548BE"/>
    <w:rsid w:val="00954EC3"/>
    <w:rsid w:val="00954F55"/>
    <w:rsid w:val="009551DF"/>
    <w:rsid w:val="009555D9"/>
    <w:rsid w:val="009556A1"/>
    <w:rsid w:val="0095589B"/>
    <w:rsid w:val="00956141"/>
    <w:rsid w:val="009574FE"/>
    <w:rsid w:val="009577DB"/>
    <w:rsid w:val="00960B69"/>
    <w:rsid w:val="00962F1B"/>
    <w:rsid w:val="009635EC"/>
    <w:rsid w:val="00964CF0"/>
    <w:rsid w:val="00964DC6"/>
    <w:rsid w:val="00965FBE"/>
    <w:rsid w:val="009677E4"/>
    <w:rsid w:val="00973A29"/>
    <w:rsid w:val="00973A5B"/>
    <w:rsid w:val="00973B23"/>
    <w:rsid w:val="009743B0"/>
    <w:rsid w:val="00974497"/>
    <w:rsid w:val="00975389"/>
    <w:rsid w:val="00975D6A"/>
    <w:rsid w:val="00977806"/>
    <w:rsid w:val="009779DB"/>
    <w:rsid w:val="00980653"/>
    <w:rsid w:val="00980B46"/>
    <w:rsid w:val="00981E21"/>
    <w:rsid w:val="00982242"/>
    <w:rsid w:val="00984777"/>
    <w:rsid w:val="00984E5D"/>
    <w:rsid w:val="009858F4"/>
    <w:rsid w:val="00986327"/>
    <w:rsid w:val="00986480"/>
    <w:rsid w:val="009865AF"/>
    <w:rsid w:val="009868E9"/>
    <w:rsid w:val="00986D54"/>
    <w:rsid w:val="009900A3"/>
    <w:rsid w:val="0099064C"/>
    <w:rsid w:val="0099125C"/>
    <w:rsid w:val="0099188A"/>
    <w:rsid w:val="00992981"/>
    <w:rsid w:val="00992E2A"/>
    <w:rsid w:val="009936B6"/>
    <w:rsid w:val="00993EE3"/>
    <w:rsid w:val="00994342"/>
    <w:rsid w:val="009949DA"/>
    <w:rsid w:val="00994B39"/>
    <w:rsid w:val="00995292"/>
    <w:rsid w:val="00997EF8"/>
    <w:rsid w:val="009A0528"/>
    <w:rsid w:val="009A1FC2"/>
    <w:rsid w:val="009A2A34"/>
    <w:rsid w:val="009A3994"/>
    <w:rsid w:val="009A3E10"/>
    <w:rsid w:val="009A4121"/>
    <w:rsid w:val="009A43E3"/>
    <w:rsid w:val="009A4C9E"/>
    <w:rsid w:val="009A5443"/>
    <w:rsid w:val="009A6366"/>
    <w:rsid w:val="009A6625"/>
    <w:rsid w:val="009A67D2"/>
    <w:rsid w:val="009A7B6E"/>
    <w:rsid w:val="009B009B"/>
    <w:rsid w:val="009B0AD0"/>
    <w:rsid w:val="009B15C1"/>
    <w:rsid w:val="009B29FE"/>
    <w:rsid w:val="009B5A2C"/>
    <w:rsid w:val="009B60B2"/>
    <w:rsid w:val="009B66A0"/>
    <w:rsid w:val="009B676D"/>
    <w:rsid w:val="009B6F20"/>
    <w:rsid w:val="009B7B52"/>
    <w:rsid w:val="009B7FD9"/>
    <w:rsid w:val="009C043D"/>
    <w:rsid w:val="009C0452"/>
    <w:rsid w:val="009C0846"/>
    <w:rsid w:val="009C0EF2"/>
    <w:rsid w:val="009C16AD"/>
    <w:rsid w:val="009C1E2B"/>
    <w:rsid w:val="009C3413"/>
    <w:rsid w:val="009C4DB5"/>
    <w:rsid w:val="009C7F19"/>
    <w:rsid w:val="009D0F7A"/>
    <w:rsid w:val="009D119A"/>
    <w:rsid w:val="009D1A0F"/>
    <w:rsid w:val="009D1F72"/>
    <w:rsid w:val="009D39C8"/>
    <w:rsid w:val="009D51AC"/>
    <w:rsid w:val="009D5673"/>
    <w:rsid w:val="009D5CCE"/>
    <w:rsid w:val="009D60FF"/>
    <w:rsid w:val="009E01D4"/>
    <w:rsid w:val="009E0215"/>
    <w:rsid w:val="009E2C1F"/>
    <w:rsid w:val="009E3440"/>
    <w:rsid w:val="009E39A0"/>
    <w:rsid w:val="009E4F5F"/>
    <w:rsid w:val="009E5647"/>
    <w:rsid w:val="009E57A6"/>
    <w:rsid w:val="009F279C"/>
    <w:rsid w:val="009F2AA2"/>
    <w:rsid w:val="009F3AC6"/>
    <w:rsid w:val="009F4B3A"/>
    <w:rsid w:val="009F6140"/>
    <w:rsid w:val="00A00896"/>
    <w:rsid w:val="00A00934"/>
    <w:rsid w:val="00A01554"/>
    <w:rsid w:val="00A018FA"/>
    <w:rsid w:val="00A0295A"/>
    <w:rsid w:val="00A02C43"/>
    <w:rsid w:val="00A039D8"/>
    <w:rsid w:val="00A040DC"/>
    <w:rsid w:val="00A0441E"/>
    <w:rsid w:val="00A04C80"/>
    <w:rsid w:val="00A05202"/>
    <w:rsid w:val="00A05420"/>
    <w:rsid w:val="00A10766"/>
    <w:rsid w:val="00A11E4B"/>
    <w:rsid w:val="00A12128"/>
    <w:rsid w:val="00A12CA8"/>
    <w:rsid w:val="00A1506E"/>
    <w:rsid w:val="00A160AA"/>
    <w:rsid w:val="00A160B6"/>
    <w:rsid w:val="00A17A4E"/>
    <w:rsid w:val="00A22C98"/>
    <w:rsid w:val="00A231E2"/>
    <w:rsid w:val="00A237C7"/>
    <w:rsid w:val="00A25032"/>
    <w:rsid w:val="00A269CD"/>
    <w:rsid w:val="00A26A70"/>
    <w:rsid w:val="00A27292"/>
    <w:rsid w:val="00A27D20"/>
    <w:rsid w:val="00A27E67"/>
    <w:rsid w:val="00A315B2"/>
    <w:rsid w:val="00A31B02"/>
    <w:rsid w:val="00A3248D"/>
    <w:rsid w:val="00A369E3"/>
    <w:rsid w:val="00A37A13"/>
    <w:rsid w:val="00A40633"/>
    <w:rsid w:val="00A408A1"/>
    <w:rsid w:val="00A40A58"/>
    <w:rsid w:val="00A40B3F"/>
    <w:rsid w:val="00A4144B"/>
    <w:rsid w:val="00A427B1"/>
    <w:rsid w:val="00A42FBB"/>
    <w:rsid w:val="00A43E9C"/>
    <w:rsid w:val="00A44F03"/>
    <w:rsid w:val="00A45125"/>
    <w:rsid w:val="00A4523A"/>
    <w:rsid w:val="00A458D7"/>
    <w:rsid w:val="00A4722C"/>
    <w:rsid w:val="00A47DFE"/>
    <w:rsid w:val="00A50797"/>
    <w:rsid w:val="00A516B2"/>
    <w:rsid w:val="00A52212"/>
    <w:rsid w:val="00A5233E"/>
    <w:rsid w:val="00A53DD7"/>
    <w:rsid w:val="00A54C67"/>
    <w:rsid w:val="00A5546D"/>
    <w:rsid w:val="00A56549"/>
    <w:rsid w:val="00A57600"/>
    <w:rsid w:val="00A57AB2"/>
    <w:rsid w:val="00A600DA"/>
    <w:rsid w:val="00A607E2"/>
    <w:rsid w:val="00A60E13"/>
    <w:rsid w:val="00A60F0F"/>
    <w:rsid w:val="00A613E2"/>
    <w:rsid w:val="00A61C11"/>
    <w:rsid w:val="00A6458D"/>
    <w:rsid w:val="00A64912"/>
    <w:rsid w:val="00A64E3B"/>
    <w:rsid w:val="00A64F48"/>
    <w:rsid w:val="00A65C99"/>
    <w:rsid w:val="00A6646A"/>
    <w:rsid w:val="00A704A3"/>
    <w:rsid w:val="00A707F2"/>
    <w:rsid w:val="00A70A74"/>
    <w:rsid w:val="00A71D16"/>
    <w:rsid w:val="00A72246"/>
    <w:rsid w:val="00A72D7A"/>
    <w:rsid w:val="00A7372E"/>
    <w:rsid w:val="00A74799"/>
    <w:rsid w:val="00A74CD7"/>
    <w:rsid w:val="00A75FB7"/>
    <w:rsid w:val="00A75FE9"/>
    <w:rsid w:val="00A768C0"/>
    <w:rsid w:val="00A772C9"/>
    <w:rsid w:val="00A77852"/>
    <w:rsid w:val="00A811D0"/>
    <w:rsid w:val="00A839DB"/>
    <w:rsid w:val="00A83ABA"/>
    <w:rsid w:val="00A84275"/>
    <w:rsid w:val="00A858AB"/>
    <w:rsid w:val="00A85F13"/>
    <w:rsid w:val="00A8647D"/>
    <w:rsid w:val="00A86C0A"/>
    <w:rsid w:val="00A86CC8"/>
    <w:rsid w:val="00A86FCF"/>
    <w:rsid w:val="00A87848"/>
    <w:rsid w:val="00A90FAD"/>
    <w:rsid w:val="00A91096"/>
    <w:rsid w:val="00A92711"/>
    <w:rsid w:val="00A93BAB"/>
    <w:rsid w:val="00A94F27"/>
    <w:rsid w:val="00A9644D"/>
    <w:rsid w:val="00A96D1B"/>
    <w:rsid w:val="00AA0615"/>
    <w:rsid w:val="00AA12F7"/>
    <w:rsid w:val="00AA136F"/>
    <w:rsid w:val="00AA14A3"/>
    <w:rsid w:val="00AA16B4"/>
    <w:rsid w:val="00AA1B04"/>
    <w:rsid w:val="00AA24F0"/>
    <w:rsid w:val="00AA26FE"/>
    <w:rsid w:val="00AA3C40"/>
    <w:rsid w:val="00AA5A8F"/>
    <w:rsid w:val="00AA69E4"/>
    <w:rsid w:val="00AA746C"/>
    <w:rsid w:val="00AA7DB3"/>
    <w:rsid w:val="00AB0A07"/>
    <w:rsid w:val="00AB111C"/>
    <w:rsid w:val="00AB12C8"/>
    <w:rsid w:val="00AB1DEF"/>
    <w:rsid w:val="00AB3857"/>
    <w:rsid w:val="00AB38D4"/>
    <w:rsid w:val="00AB3DC3"/>
    <w:rsid w:val="00AB4C73"/>
    <w:rsid w:val="00AB4DFD"/>
    <w:rsid w:val="00AB540B"/>
    <w:rsid w:val="00AB5818"/>
    <w:rsid w:val="00AB6AA3"/>
    <w:rsid w:val="00AB7928"/>
    <w:rsid w:val="00AB7B2D"/>
    <w:rsid w:val="00AC022D"/>
    <w:rsid w:val="00AC0390"/>
    <w:rsid w:val="00AC0897"/>
    <w:rsid w:val="00AC12D5"/>
    <w:rsid w:val="00AC1A52"/>
    <w:rsid w:val="00AC3CFD"/>
    <w:rsid w:val="00AC401E"/>
    <w:rsid w:val="00AC4197"/>
    <w:rsid w:val="00AC4DB3"/>
    <w:rsid w:val="00AC55AF"/>
    <w:rsid w:val="00AC56ED"/>
    <w:rsid w:val="00AC5BA4"/>
    <w:rsid w:val="00AD090D"/>
    <w:rsid w:val="00AD1B39"/>
    <w:rsid w:val="00AD1B51"/>
    <w:rsid w:val="00AD1B9D"/>
    <w:rsid w:val="00AD27FA"/>
    <w:rsid w:val="00AD322E"/>
    <w:rsid w:val="00AD3327"/>
    <w:rsid w:val="00AD3F0A"/>
    <w:rsid w:val="00AD53CC"/>
    <w:rsid w:val="00AD5641"/>
    <w:rsid w:val="00AE0313"/>
    <w:rsid w:val="00AE069B"/>
    <w:rsid w:val="00AE2D6E"/>
    <w:rsid w:val="00AE31B3"/>
    <w:rsid w:val="00AE41AE"/>
    <w:rsid w:val="00AE54CF"/>
    <w:rsid w:val="00AE6D17"/>
    <w:rsid w:val="00AE7C6B"/>
    <w:rsid w:val="00AE7DB4"/>
    <w:rsid w:val="00AF06CF"/>
    <w:rsid w:val="00AF144B"/>
    <w:rsid w:val="00AF2201"/>
    <w:rsid w:val="00AF2B90"/>
    <w:rsid w:val="00AF3792"/>
    <w:rsid w:val="00AF4485"/>
    <w:rsid w:val="00AF5187"/>
    <w:rsid w:val="00AF51F3"/>
    <w:rsid w:val="00AF53DA"/>
    <w:rsid w:val="00AF6124"/>
    <w:rsid w:val="00AF68ED"/>
    <w:rsid w:val="00AF74AF"/>
    <w:rsid w:val="00B00867"/>
    <w:rsid w:val="00B00A85"/>
    <w:rsid w:val="00B01AD9"/>
    <w:rsid w:val="00B028F8"/>
    <w:rsid w:val="00B02A20"/>
    <w:rsid w:val="00B033AB"/>
    <w:rsid w:val="00B046FD"/>
    <w:rsid w:val="00B0479B"/>
    <w:rsid w:val="00B0560B"/>
    <w:rsid w:val="00B061AE"/>
    <w:rsid w:val="00B06CEB"/>
    <w:rsid w:val="00B0798D"/>
    <w:rsid w:val="00B07CDB"/>
    <w:rsid w:val="00B10AAD"/>
    <w:rsid w:val="00B12223"/>
    <w:rsid w:val="00B13902"/>
    <w:rsid w:val="00B13AC4"/>
    <w:rsid w:val="00B147F3"/>
    <w:rsid w:val="00B14C94"/>
    <w:rsid w:val="00B16A31"/>
    <w:rsid w:val="00B17DFD"/>
    <w:rsid w:val="00B2103A"/>
    <w:rsid w:val="00B21D34"/>
    <w:rsid w:val="00B22593"/>
    <w:rsid w:val="00B23C43"/>
    <w:rsid w:val="00B24720"/>
    <w:rsid w:val="00B25306"/>
    <w:rsid w:val="00B26DB9"/>
    <w:rsid w:val="00B277B8"/>
    <w:rsid w:val="00B27831"/>
    <w:rsid w:val="00B27A38"/>
    <w:rsid w:val="00B27D1D"/>
    <w:rsid w:val="00B30008"/>
    <w:rsid w:val="00B305BB"/>
    <w:rsid w:val="00B307AC"/>
    <w:rsid w:val="00B308FE"/>
    <w:rsid w:val="00B32903"/>
    <w:rsid w:val="00B33709"/>
    <w:rsid w:val="00B33B3C"/>
    <w:rsid w:val="00B33C26"/>
    <w:rsid w:val="00B35047"/>
    <w:rsid w:val="00B354D9"/>
    <w:rsid w:val="00B36247"/>
    <w:rsid w:val="00B36392"/>
    <w:rsid w:val="00B40111"/>
    <w:rsid w:val="00B418CB"/>
    <w:rsid w:val="00B426EE"/>
    <w:rsid w:val="00B42A53"/>
    <w:rsid w:val="00B42C57"/>
    <w:rsid w:val="00B4426D"/>
    <w:rsid w:val="00B44D3A"/>
    <w:rsid w:val="00B46D35"/>
    <w:rsid w:val="00B47444"/>
    <w:rsid w:val="00B47824"/>
    <w:rsid w:val="00B50ADC"/>
    <w:rsid w:val="00B52442"/>
    <w:rsid w:val="00B5280E"/>
    <w:rsid w:val="00B52E11"/>
    <w:rsid w:val="00B56405"/>
    <w:rsid w:val="00B566B1"/>
    <w:rsid w:val="00B606E8"/>
    <w:rsid w:val="00B615AE"/>
    <w:rsid w:val="00B62E3F"/>
    <w:rsid w:val="00B63834"/>
    <w:rsid w:val="00B64725"/>
    <w:rsid w:val="00B64BF1"/>
    <w:rsid w:val="00B64C47"/>
    <w:rsid w:val="00B660AD"/>
    <w:rsid w:val="00B67404"/>
    <w:rsid w:val="00B67B8E"/>
    <w:rsid w:val="00B72AF7"/>
    <w:rsid w:val="00B7342B"/>
    <w:rsid w:val="00B738F1"/>
    <w:rsid w:val="00B73E50"/>
    <w:rsid w:val="00B756D6"/>
    <w:rsid w:val="00B778FB"/>
    <w:rsid w:val="00B80199"/>
    <w:rsid w:val="00B80C1D"/>
    <w:rsid w:val="00B80C85"/>
    <w:rsid w:val="00B81565"/>
    <w:rsid w:val="00B81BCC"/>
    <w:rsid w:val="00B83204"/>
    <w:rsid w:val="00B8328E"/>
    <w:rsid w:val="00B832D8"/>
    <w:rsid w:val="00B8399F"/>
    <w:rsid w:val="00B83D44"/>
    <w:rsid w:val="00B843F2"/>
    <w:rsid w:val="00B846BC"/>
    <w:rsid w:val="00B851BC"/>
    <w:rsid w:val="00B856E7"/>
    <w:rsid w:val="00B85D7C"/>
    <w:rsid w:val="00B85E38"/>
    <w:rsid w:val="00B86B00"/>
    <w:rsid w:val="00B86DE9"/>
    <w:rsid w:val="00B900D3"/>
    <w:rsid w:val="00B911D3"/>
    <w:rsid w:val="00B91324"/>
    <w:rsid w:val="00B91652"/>
    <w:rsid w:val="00B93421"/>
    <w:rsid w:val="00B934D4"/>
    <w:rsid w:val="00B93EAB"/>
    <w:rsid w:val="00B93F28"/>
    <w:rsid w:val="00B9475A"/>
    <w:rsid w:val="00B96CB6"/>
    <w:rsid w:val="00B97C42"/>
    <w:rsid w:val="00B97DAA"/>
    <w:rsid w:val="00B97F4D"/>
    <w:rsid w:val="00BA03C3"/>
    <w:rsid w:val="00BA05AC"/>
    <w:rsid w:val="00BA071E"/>
    <w:rsid w:val="00BA16F9"/>
    <w:rsid w:val="00BA220B"/>
    <w:rsid w:val="00BA3A57"/>
    <w:rsid w:val="00BA46AE"/>
    <w:rsid w:val="00BA493F"/>
    <w:rsid w:val="00BA4969"/>
    <w:rsid w:val="00BA511C"/>
    <w:rsid w:val="00BA5D8E"/>
    <w:rsid w:val="00BA703A"/>
    <w:rsid w:val="00BA78E4"/>
    <w:rsid w:val="00BB0174"/>
    <w:rsid w:val="00BB05AC"/>
    <w:rsid w:val="00BB062D"/>
    <w:rsid w:val="00BB0E20"/>
    <w:rsid w:val="00BB1533"/>
    <w:rsid w:val="00BB1F63"/>
    <w:rsid w:val="00BB333C"/>
    <w:rsid w:val="00BB4E1A"/>
    <w:rsid w:val="00BB5FAD"/>
    <w:rsid w:val="00BB71A8"/>
    <w:rsid w:val="00BB78A6"/>
    <w:rsid w:val="00BB7B65"/>
    <w:rsid w:val="00BC015E"/>
    <w:rsid w:val="00BC0DB6"/>
    <w:rsid w:val="00BC1339"/>
    <w:rsid w:val="00BC1B1F"/>
    <w:rsid w:val="00BC2ADF"/>
    <w:rsid w:val="00BC36A6"/>
    <w:rsid w:val="00BC67CE"/>
    <w:rsid w:val="00BC76AC"/>
    <w:rsid w:val="00BC7FF2"/>
    <w:rsid w:val="00BD0A27"/>
    <w:rsid w:val="00BD0ECB"/>
    <w:rsid w:val="00BD0F26"/>
    <w:rsid w:val="00BD2948"/>
    <w:rsid w:val="00BD468F"/>
    <w:rsid w:val="00BD59FD"/>
    <w:rsid w:val="00BD61E7"/>
    <w:rsid w:val="00BD6BB2"/>
    <w:rsid w:val="00BD70B5"/>
    <w:rsid w:val="00BD764F"/>
    <w:rsid w:val="00BE0164"/>
    <w:rsid w:val="00BE14B9"/>
    <w:rsid w:val="00BE1E2A"/>
    <w:rsid w:val="00BE2155"/>
    <w:rsid w:val="00BE36F0"/>
    <w:rsid w:val="00BE3A93"/>
    <w:rsid w:val="00BE5C29"/>
    <w:rsid w:val="00BE67A3"/>
    <w:rsid w:val="00BE6DEC"/>
    <w:rsid w:val="00BE70A9"/>
    <w:rsid w:val="00BE719A"/>
    <w:rsid w:val="00BE720A"/>
    <w:rsid w:val="00BF073B"/>
    <w:rsid w:val="00BF0D73"/>
    <w:rsid w:val="00BF2465"/>
    <w:rsid w:val="00BF39DC"/>
    <w:rsid w:val="00BF4A90"/>
    <w:rsid w:val="00BF4B1D"/>
    <w:rsid w:val="00BF682E"/>
    <w:rsid w:val="00BF70C5"/>
    <w:rsid w:val="00C00DFA"/>
    <w:rsid w:val="00C019A9"/>
    <w:rsid w:val="00C01BD4"/>
    <w:rsid w:val="00C01D8A"/>
    <w:rsid w:val="00C02998"/>
    <w:rsid w:val="00C03007"/>
    <w:rsid w:val="00C0417B"/>
    <w:rsid w:val="00C04B44"/>
    <w:rsid w:val="00C05BBA"/>
    <w:rsid w:val="00C0666D"/>
    <w:rsid w:val="00C06F64"/>
    <w:rsid w:val="00C07500"/>
    <w:rsid w:val="00C07C4F"/>
    <w:rsid w:val="00C105DF"/>
    <w:rsid w:val="00C10C79"/>
    <w:rsid w:val="00C1111E"/>
    <w:rsid w:val="00C11D53"/>
    <w:rsid w:val="00C12A25"/>
    <w:rsid w:val="00C13A5F"/>
    <w:rsid w:val="00C13B00"/>
    <w:rsid w:val="00C14EB9"/>
    <w:rsid w:val="00C1534A"/>
    <w:rsid w:val="00C1614A"/>
    <w:rsid w:val="00C16619"/>
    <w:rsid w:val="00C176EF"/>
    <w:rsid w:val="00C17DE1"/>
    <w:rsid w:val="00C20C28"/>
    <w:rsid w:val="00C213A5"/>
    <w:rsid w:val="00C219B9"/>
    <w:rsid w:val="00C22D58"/>
    <w:rsid w:val="00C237FF"/>
    <w:rsid w:val="00C23F7E"/>
    <w:rsid w:val="00C24DDC"/>
    <w:rsid w:val="00C24E2E"/>
    <w:rsid w:val="00C25E7F"/>
    <w:rsid w:val="00C26C3C"/>
    <w:rsid w:val="00C2746F"/>
    <w:rsid w:val="00C279FB"/>
    <w:rsid w:val="00C30C9C"/>
    <w:rsid w:val="00C312D0"/>
    <w:rsid w:val="00C3192A"/>
    <w:rsid w:val="00C323D6"/>
    <w:rsid w:val="00C324A0"/>
    <w:rsid w:val="00C333DA"/>
    <w:rsid w:val="00C33B4D"/>
    <w:rsid w:val="00C33C3F"/>
    <w:rsid w:val="00C35CD3"/>
    <w:rsid w:val="00C370F3"/>
    <w:rsid w:val="00C40207"/>
    <w:rsid w:val="00C41D21"/>
    <w:rsid w:val="00C42BF8"/>
    <w:rsid w:val="00C43451"/>
    <w:rsid w:val="00C43EF6"/>
    <w:rsid w:val="00C45807"/>
    <w:rsid w:val="00C45F2E"/>
    <w:rsid w:val="00C46DE6"/>
    <w:rsid w:val="00C50043"/>
    <w:rsid w:val="00C508D0"/>
    <w:rsid w:val="00C52D2E"/>
    <w:rsid w:val="00C52E34"/>
    <w:rsid w:val="00C53930"/>
    <w:rsid w:val="00C54DE6"/>
    <w:rsid w:val="00C55609"/>
    <w:rsid w:val="00C559FE"/>
    <w:rsid w:val="00C55AE3"/>
    <w:rsid w:val="00C55BA5"/>
    <w:rsid w:val="00C5606D"/>
    <w:rsid w:val="00C57D76"/>
    <w:rsid w:val="00C57F9F"/>
    <w:rsid w:val="00C61626"/>
    <w:rsid w:val="00C61D5C"/>
    <w:rsid w:val="00C62288"/>
    <w:rsid w:val="00C623A4"/>
    <w:rsid w:val="00C62E41"/>
    <w:rsid w:val="00C63C3C"/>
    <w:rsid w:val="00C63DD6"/>
    <w:rsid w:val="00C64326"/>
    <w:rsid w:val="00C64C44"/>
    <w:rsid w:val="00C65247"/>
    <w:rsid w:val="00C65554"/>
    <w:rsid w:val="00C659E7"/>
    <w:rsid w:val="00C65A8E"/>
    <w:rsid w:val="00C6735E"/>
    <w:rsid w:val="00C67530"/>
    <w:rsid w:val="00C67751"/>
    <w:rsid w:val="00C67E07"/>
    <w:rsid w:val="00C70041"/>
    <w:rsid w:val="00C70BB9"/>
    <w:rsid w:val="00C70D59"/>
    <w:rsid w:val="00C71BAD"/>
    <w:rsid w:val="00C72083"/>
    <w:rsid w:val="00C7266C"/>
    <w:rsid w:val="00C73323"/>
    <w:rsid w:val="00C7421D"/>
    <w:rsid w:val="00C7573B"/>
    <w:rsid w:val="00C82135"/>
    <w:rsid w:val="00C8254C"/>
    <w:rsid w:val="00C8263B"/>
    <w:rsid w:val="00C8481D"/>
    <w:rsid w:val="00C849C4"/>
    <w:rsid w:val="00C86703"/>
    <w:rsid w:val="00C867DC"/>
    <w:rsid w:val="00C872DF"/>
    <w:rsid w:val="00C902DC"/>
    <w:rsid w:val="00C90B70"/>
    <w:rsid w:val="00C9105E"/>
    <w:rsid w:val="00C918BF"/>
    <w:rsid w:val="00C919BC"/>
    <w:rsid w:val="00C9330D"/>
    <w:rsid w:val="00C94140"/>
    <w:rsid w:val="00C94A0D"/>
    <w:rsid w:val="00C9564C"/>
    <w:rsid w:val="00C95BEB"/>
    <w:rsid w:val="00C95EE3"/>
    <w:rsid w:val="00C96661"/>
    <w:rsid w:val="00C97A54"/>
    <w:rsid w:val="00C97F64"/>
    <w:rsid w:val="00CA0489"/>
    <w:rsid w:val="00CA178C"/>
    <w:rsid w:val="00CA3738"/>
    <w:rsid w:val="00CA4573"/>
    <w:rsid w:val="00CA50B8"/>
    <w:rsid w:val="00CA5696"/>
    <w:rsid w:val="00CA5B23"/>
    <w:rsid w:val="00CA65B7"/>
    <w:rsid w:val="00CA6FCB"/>
    <w:rsid w:val="00CA7FD1"/>
    <w:rsid w:val="00CB07FC"/>
    <w:rsid w:val="00CB0CDB"/>
    <w:rsid w:val="00CB1096"/>
    <w:rsid w:val="00CB259D"/>
    <w:rsid w:val="00CB2651"/>
    <w:rsid w:val="00CB319E"/>
    <w:rsid w:val="00CB385A"/>
    <w:rsid w:val="00CB5653"/>
    <w:rsid w:val="00CB5C82"/>
    <w:rsid w:val="00CB602E"/>
    <w:rsid w:val="00CB7304"/>
    <w:rsid w:val="00CB7E90"/>
    <w:rsid w:val="00CC2198"/>
    <w:rsid w:val="00CC268A"/>
    <w:rsid w:val="00CC3018"/>
    <w:rsid w:val="00CC3019"/>
    <w:rsid w:val="00CC3D81"/>
    <w:rsid w:val="00CC6999"/>
    <w:rsid w:val="00CC6F61"/>
    <w:rsid w:val="00CD0D59"/>
    <w:rsid w:val="00CD1088"/>
    <w:rsid w:val="00CD133F"/>
    <w:rsid w:val="00CD2A4B"/>
    <w:rsid w:val="00CD3654"/>
    <w:rsid w:val="00CD3D16"/>
    <w:rsid w:val="00CD43B7"/>
    <w:rsid w:val="00CD460B"/>
    <w:rsid w:val="00CD4AE0"/>
    <w:rsid w:val="00CD4B57"/>
    <w:rsid w:val="00CD565C"/>
    <w:rsid w:val="00CE04E7"/>
    <w:rsid w:val="00CE051D"/>
    <w:rsid w:val="00CE0656"/>
    <w:rsid w:val="00CE113C"/>
    <w:rsid w:val="00CE1335"/>
    <w:rsid w:val="00CE1F88"/>
    <w:rsid w:val="00CE2714"/>
    <w:rsid w:val="00CE2A67"/>
    <w:rsid w:val="00CE317F"/>
    <w:rsid w:val="00CE493D"/>
    <w:rsid w:val="00CE5000"/>
    <w:rsid w:val="00CE51F6"/>
    <w:rsid w:val="00CE65C7"/>
    <w:rsid w:val="00CE66AC"/>
    <w:rsid w:val="00CE6C5B"/>
    <w:rsid w:val="00CE6E45"/>
    <w:rsid w:val="00CE7607"/>
    <w:rsid w:val="00CE7C5D"/>
    <w:rsid w:val="00CF07FA"/>
    <w:rsid w:val="00CF0BB2"/>
    <w:rsid w:val="00CF3EE8"/>
    <w:rsid w:val="00CF5AD0"/>
    <w:rsid w:val="00CF6AD3"/>
    <w:rsid w:val="00CF762E"/>
    <w:rsid w:val="00CF7951"/>
    <w:rsid w:val="00CF7DF8"/>
    <w:rsid w:val="00D0115A"/>
    <w:rsid w:val="00D01D09"/>
    <w:rsid w:val="00D025F4"/>
    <w:rsid w:val="00D04655"/>
    <w:rsid w:val="00D0546C"/>
    <w:rsid w:val="00D06F8B"/>
    <w:rsid w:val="00D075AF"/>
    <w:rsid w:val="00D07B34"/>
    <w:rsid w:val="00D10F3D"/>
    <w:rsid w:val="00D1177F"/>
    <w:rsid w:val="00D119FF"/>
    <w:rsid w:val="00D11CB1"/>
    <w:rsid w:val="00D12978"/>
    <w:rsid w:val="00D12E7D"/>
    <w:rsid w:val="00D13441"/>
    <w:rsid w:val="00D14762"/>
    <w:rsid w:val="00D150E7"/>
    <w:rsid w:val="00D15133"/>
    <w:rsid w:val="00D15683"/>
    <w:rsid w:val="00D169A6"/>
    <w:rsid w:val="00D173AB"/>
    <w:rsid w:val="00D175EC"/>
    <w:rsid w:val="00D177C5"/>
    <w:rsid w:val="00D212DA"/>
    <w:rsid w:val="00D221D5"/>
    <w:rsid w:val="00D22269"/>
    <w:rsid w:val="00D22D8B"/>
    <w:rsid w:val="00D2767A"/>
    <w:rsid w:val="00D27D7B"/>
    <w:rsid w:val="00D32473"/>
    <w:rsid w:val="00D32B9E"/>
    <w:rsid w:val="00D351BA"/>
    <w:rsid w:val="00D366A9"/>
    <w:rsid w:val="00D368BD"/>
    <w:rsid w:val="00D405A2"/>
    <w:rsid w:val="00D40620"/>
    <w:rsid w:val="00D416ED"/>
    <w:rsid w:val="00D41C52"/>
    <w:rsid w:val="00D4272B"/>
    <w:rsid w:val="00D42A8B"/>
    <w:rsid w:val="00D42E8B"/>
    <w:rsid w:val="00D430CC"/>
    <w:rsid w:val="00D4392D"/>
    <w:rsid w:val="00D456E7"/>
    <w:rsid w:val="00D502FE"/>
    <w:rsid w:val="00D50E39"/>
    <w:rsid w:val="00D50FB4"/>
    <w:rsid w:val="00D51347"/>
    <w:rsid w:val="00D51B94"/>
    <w:rsid w:val="00D5204F"/>
    <w:rsid w:val="00D521A5"/>
    <w:rsid w:val="00D52D9F"/>
    <w:rsid w:val="00D52DC2"/>
    <w:rsid w:val="00D53BCC"/>
    <w:rsid w:val="00D542A7"/>
    <w:rsid w:val="00D54709"/>
    <w:rsid w:val="00D54C9E"/>
    <w:rsid w:val="00D54E7D"/>
    <w:rsid w:val="00D55407"/>
    <w:rsid w:val="00D571E7"/>
    <w:rsid w:val="00D57B2B"/>
    <w:rsid w:val="00D57BCE"/>
    <w:rsid w:val="00D61E7E"/>
    <w:rsid w:val="00D622D2"/>
    <w:rsid w:val="00D63184"/>
    <w:rsid w:val="00D6371B"/>
    <w:rsid w:val="00D63CD7"/>
    <w:rsid w:val="00D64965"/>
    <w:rsid w:val="00D64984"/>
    <w:rsid w:val="00D64CE1"/>
    <w:rsid w:val="00D65153"/>
    <w:rsid w:val="00D6537E"/>
    <w:rsid w:val="00D66450"/>
    <w:rsid w:val="00D6650C"/>
    <w:rsid w:val="00D666C1"/>
    <w:rsid w:val="00D66B4D"/>
    <w:rsid w:val="00D70D52"/>
    <w:rsid w:val="00D70DFB"/>
    <w:rsid w:val="00D70DFE"/>
    <w:rsid w:val="00D71E53"/>
    <w:rsid w:val="00D72609"/>
    <w:rsid w:val="00D73E4B"/>
    <w:rsid w:val="00D75F0D"/>
    <w:rsid w:val="00D762A2"/>
    <w:rsid w:val="00D766DF"/>
    <w:rsid w:val="00D77015"/>
    <w:rsid w:val="00D77BFD"/>
    <w:rsid w:val="00D77E74"/>
    <w:rsid w:val="00D803D7"/>
    <w:rsid w:val="00D808F2"/>
    <w:rsid w:val="00D8138C"/>
    <w:rsid w:val="00D8206C"/>
    <w:rsid w:val="00D82F71"/>
    <w:rsid w:val="00D83876"/>
    <w:rsid w:val="00D84ADB"/>
    <w:rsid w:val="00D86559"/>
    <w:rsid w:val="00D865E3"/>
    <w:rsid w:val="00D87A34"/>
    <w:rsid w:val="00D911A0"/>
    <w:rsid w:val="00D91F10"/>
    <w:rsid w:val="00D93055"/>
    <w:rsid w:val="00D93AF5"/>
    <w:rsid w:val="00D93C21"/>
    <w:rsid w:val="00D954C5"/>
    <w:rsid w:val="00D95F6F"/>
    <w:rsid w:val="00D96CD3"/>
    <w:rsid w:val="00D97D57"/>
    <w:rsid w:val="00DA186E"/>
    <w:rsid w:val="00DA2669"/>
    <w:rsid w:val="00DA28A6"/>
    <w:rsid w:val="00DA36E9"/>
    <w:rsid w:val="00DA37DB"/>
    <w:rsid w:val="00DA4116"/>
    <w:rsid w:val="00DA48B8"/>
    <w:rsid w:val="00DA5990"/>
    <w:rsid w:val="00DA6A9A"/>
    <w:rsid w:val="00DA76A6"/>
    <w:rsid w:val="00DA786E"/>
    <w:rsid w:val="00DB0DC5"/>
    <w:rsid w:val="00DB17F6"/>
    <w:rsid w:val="00DB1B78"/>
    <w:rsid w:val="00DB21F9"/>
    <w:rsid w:val="00DB251C"/>
    <w:rsid w:val="00DB343F"/>
    <w:rsid w:val="00DB4630"/>
    <w:rsid w:val="00DB58AA"/>
    <w:rsid w:val="00DB5C5E"/>
    <w:rsid w:val="00DB6D43"/>
    <w:rsid w:val="00DB7CF5"/>
    <w:rsid w:val="00DC10BD"/>
    <w:rsid w:val="00DC13E7"/>
    <w:rsid w:val="00DC34E5"/>
    <w:rsid w:val="00DC4BD1"/>
    <w:rsid w:val="00DC4F88"/>
    <w:rsid w:val="00DC5125"/>
    <w:rsid w:val="00DD04A1"/>
    <w:rsid w:val="00DD08A7"/>
    <w:rsid w:val="00DD0D3D"/>
    <w:rsid w:val="00DD23E5"/>
    <w:rsid w:val="00DD3D7B"/>
    <w:rsid w:val="00DD4519"/>
    <w:rsid w:val="00DD4AF8"/>
    <w:rsid w:val="00DD584C"/>
    <w:rsid w:val="00DD601A"/>
    <w:rsid w:val="00DD62B1"/>
    <w:rsid w:val="00DD68D7"/>
    <w:rsid w:val="00DD69CB"/>
    <w:rsid w:val="00DD7396"/>
    <w:rsid w:val="00DD79AE"/>
    <w:rsid w:val="00DE0469"/>
    <w:rsid w:val="00DE107C"/>
    <w:rsid w:val="00DE2A2C"/>
    <w:rsid w:val="00DE43E8"/>
    <w:rsid w:val="00DE4737"/>
    <w:rsid w:val="00DE4783"/>
    <w:rsid w:val="00DE4B1A"/>
    <w:rsid w:val="00DE56C2"/>
    <w:rsid w:val="00DE6417"/>
    <w:rsid w:val="00DF17C6"/>
    <w:rsid w:val="00DF2388"/>
    <w:rsid w:val="00DF251E"/>
    <w:rsid w:val="00DF32E7"/>
    <w:rsid w:val="00DF3C8D"/>
    <w:rsid w:val="00DF3D45"/>
    <w:rsid w:val="00DF41F9"/>
    <w:rsid w:val="00DF65F7"/>
    <w:rsid w:val="00DF74CA"/>
    <w:rsid w:val="00E00CB1"/>
    <w:rsid w:val="00E0105B"/>
    <w:rsid w:val="00E0200C"/>
    <w:rsid w:val="00E05704"/>
    <w:rsid w:val="00E05F26"/>
    <w:rsid w:val="00E1096D"/>
    <w:rsid w:val="00E1180F"/>
    <w:rsid w:val="00E11A0D"/>
    <w:rsid w:val="00E1229C"/>
    <w:rsid w:val="00E12765"/>
    <w:rsid w:val="00E12B0A"/>
    <w:rsid w:val="00E1391C"/>
    <w:rsid w:val="00E149F5"/>
    <w:rsid w:val="00E157EE"/>
    <w:rsid w:val="00E1591F"/>
    <w:rsid w:val="00E17084"/>
    <w:rsid w:val="00E173F5"/>
    <w:rsid w:val="00E208CB"/>
    <w:rsid w:val="00E21C54"/>
    <w:rsid w:val="00E2210C"/>
    <w:rsid w:val="00E23CC0"/>
    <w:rsid w:val="00E25004"/>
    <w:rsid w:val="00E26486"/>
    <w:rsid w:val="00E269FC"/>
    <w:rsid w:val="00E26E0B"/>
    <w:rsid w:val="00E27247"/>
    <w:rsid w:val="00E2751B"/>
    <w:rsid w:val="00E27E0C"/>
    <w:rsid w:val="00E301CB"/>
    <w:rsid w:val="00E305C3"/>
    <w:rsid w:val="00E3344E"/>
    <w:rsid w:val="00E338EF"/>
    <w:rsid w:val="00E33AFC"/>
    <w:rsid w:val="00E33D35"/>
    <w:rsid w:val="00E34192"/>
    <w:rsid w:val="00E35ABC"/>
    <w:rsid w:val="00E35E66"/>
    <w:rsid w:val="00E36073"/>
    <w:rsid w:val="00E3790D"/>
    <w:rsid w:val="00E37E0D"/>
    <w:rsid w:val="00E402B7"/>
    <w:rsid w:val="00E40530"/>
    <w:rsid w:val="00E4228F"/>
    <w:rsid w:val="00E42688"/>
    <w:rsid w:val="00E42DB4"/>
    <w:rsid w:val="00E43B59"/>
    <w:rsid w:val="00E46990"/>
    <w:rsid w:val="00E50C3A"/>
    <w:rsid w:val="00E5159D"/>
    <w:rsid w:val="00E51779"/>
    <w:rsid w:val="00E51F90"/>
    <w:rsid w:val="00E53123"/>
    <w:rsid w:val="00E537E9"/>
    <w:rsid w:val="00E544BB"/>
    <w:rsid w:val="00E559E7"/>
    <w:rsid w:val="00E56AEF"/>
    <w:rsid w:val="00E57524"/>
    <w:rsid w:val="00E60836"/>
    <w:rsid w:val="00E62119"/>
    <w:rsid w:val="00E621F2"/>
    <w:rsid w:val="00E62992"/>
    <w:rsid w:val="00E63922"/>
    <w:rsid w:val="00E641F0"/>
    <w:rsid w:val="00E647C7"/>
    <w:rsid w:val="00E65D8A"/>
    <w:rsid w:val="00E6671D"/>
    <w:rsid w:val="00E66C6B"/>
    <w:rsid w:val="00E67C09"/>
    <w:rsid w:val="00E70818"/>
    <w:rsid w:val="00E70A2B"/>
    <w:rsid w:val="00E71479"/>
    <w:rsid w:val="00E72187"/>
    <w:rsid w:val="00E73307"/>
    <w:rsid w:val="00E733B5"/>
    <w:rsid w:val="00E74CD5"/>
    <w:rsid w:val="00E74DC7"/>
    <w:rsid w:val="00E75AA2"/>
    <w:rsid w:val="00E75DA6"/>
    <w:rsid w:val="00E767EA"/>
    <w:rsid w:val="00E804AC"/>
    <w:rsid w:val="00E8075A"/>
    <w:rsid w:val="00E819F2"/>
    <w:rsid w:val="00E82501"/>
    <w:rsid w:val="00E83BAD"/>
    <w:rsid w:val="00E858E6"/>
    <w:rsid w:val="00E86404"/>
    <w:rsid w:val="00E86C01"/>
    <w:rsid w:val="00E87753"/>
    <w:rsid w:val="00E8791B"/>
    <w:rsid w:val="00E9016A"/>
    <w:rsid w:val="00E90A1D"/>
    <w:rsid w:val="00E929F4"/>
    <w:rsid w:val="00E92E79"/>
    <w:rsid w:val="00E93293"/>
    <w:rsid w:val="00E93A7B"/>
    <w:rsid w:val="00E940D8"/>
    <w:rsid w:val="00E94D5E"/>
    <w:rsid w:val="00E950DD"/>
    <w:rsid w:val="00E956DA"/>
    <w:rsid w:val="00E97B34"/>
    <w:rsid w:val="00EA0349"/>
    <w:rsid w:val="00EA09A6"/>
    <w:rsid w:val="00EA1FAE"/>
    <w:rsid w:val="00EA2D4C"/>
    <w:rsid w:val="00EA3191"/>
    <w:rsid w:val="00EA3B7B"/>
    <w:rsid w:val="00EA5528"/>
    <w:rsid w:val="00EA609C"/>
    <w:rsid w:val="00EA60A0"/>
    <w:rsid w:val="00EA7100"/>
    <w:rsid w:val="00EA7F9F"/>
    <w:rsid w:val="00EB0079"/>
    <w:rsid w:val="00EB0A26"/>
    <w:rsid w:val="00EB1274"/>
    <w:rsid w:val="00EB1512"/>
    <w:rsid w:val="00EB1792"/>
    <w:rsid w:val="00EB24CE"/>
    <w:rsid w:val="00EB2642"/>
    <w:rsid w:val="00EB2955"/>
    <w:rsid w:val="00EB2A2A"/>
    <w:rsid w:val="00EB2B0D"/>
    <w:rsid w:val="00EB39EC"/>
    <w:rsid w:val="00EB3A30"/>
    <w:rsid w:val="00EB4104"/>
    <w:rsid w:val="00EB4AD4"/>
    <w:rsid w:val="00EB50A5"/>
    <w:rsid w:val="00EB5D85"/>
    <w:rsid w:val="00EB6C5E"/>
    <w:rsid w:val="00EC0649"/>
    <w:rsid w:val="00EC0F09"/>
    <w:rsid w:val="00EC1F04"/>
    <w:rsid w:val="00EC3A37"/>
    <w:rsid w:val="00EC42E0"/>
    <w:rsid w:val="00EC48FC"/>
    <w:rsid w:val="00EC4E29"/>
    <w:rsid w:val="00EC5EA3"/>
    <w:rsid w:val="00EC5EC5"/>
    <w:rsid w:val="00EC794B"/>
    <w:rsid w:val="00ED0A39"/>
    <w:rsid w:val="00ED0D49"/>
    <w:rsid w:val="00ED1BB6"/>
    <w:rsid w:val="00ED236B"/>
    <w:rsid w:val="00ED2A5C"/>
    <w:rsid w:val="00ED2BB6"/>
    <w:rsid w:val="00ED2F87"/>
    <w:rsid w:val="00ED34E1"/>
    <w:rsid w:val="00ED383C"/>
    <w:rsid w:val="00ED3AA5"/>
    <w:rsid w:val="00ED3B8D"/>
    <w:rsid w:val="00ED53E3"/>
    <w:rsid w:val="00ED5960"/>
    <w:rsid w:val="00ED6E81"/>
    <w:rsid w:val="00ED7230"/>
    <w:rsid w:val="00EE0C1F"/>
    <w:rsid w:val="00EE0CC6"/>
    <w:rsid w:val="00EE100E"/>
    <w:rsid w:val="00EE1849"/>
    <w:rsid w:val="00EE1DB4"/>
    <w:rsid w:val="00EE24A2"/>
    <w:rsid w:val="00EE2C0C"/>
    <w:rsid w:val="00EE42C0"/>
    <w:rsid w:val="00EE5E36"/>
    <w:rsid w:val="00EE60E6"/>
    <w:rsid w:val="00EE6337"/>
    <w:rsid w:val="00EE6A80"/>
    <w:rsid w:val="00EE776E"/>
    <w:rsid w:val="00EF01BA"/>
    <w:rsid w:val="00EF0BE8"/>
    <w:rsid w:val="00EF1C07"/>
    <w:rsid w:val="00EF2475"/>
    <w:rsid w:val="00EF2E3A"/>
    <w:rsid w:val="00EF30BF"/>
    <w:rsid w:val="00EF464A"/>
    <w:rsid w:val="00EF5D51"/>
    <w:rsid w:val="00EF6937"/>
    <w:rsid w:val="00EF7AF3"/>
    <w:rsid w:val="00F00230"/>
    <w:rsid w:val="00F00369"/>
    <w:rsid w:val="00F01049"/>
    <w:rsid w:val="00F0244B"/>
    <w:rsid w:val="00F02C7C"/>
    <w:rsid w:val="00F02DE8"/>
    <w:rsid w:val="00F03273"/>
    <w:rsid w:val="00F04191"/>
    <w:rsid w:val="00F045E8"/>
    <w:rsid w:val="00F053FD"/>
    <w:rsid w:val="00F056D5"/>
    <w:rsid w:val="00F065EF"/>
    <w:rsid w:val="00F068AB"/>
    <w:rsid w:val="00F072A7"/>
    <w:rsid w:val="00F072A8"/>
    <w:rsid w:val="00F078DC"/>
    <w:rsid w:val="00F104A3"/>
    <w:rsid w:val="00F10708"/>
    <w:rsid w:val="00F10B4C"/>
    <w:rsid w:val="00F11802"/>
    <w:rsid w:val="00F11D76"/>
    <w:rsid w:val="00F11E69"/>
    <w:rsid w:val="00F12F0A"/>
    <w:rsid w:val="00F131A6"/>
    <w:rsid w:val="00F133C6"/>
    <w:rsid w:val="00F134C2"/>
    <w:rsid w:val="00F13896"/>
    <w:rsid w:val="00F2055B"/>
    <w:rsid w:val="00F207D6"/>
    <w:rsid w:val="00F20EA0"/>
    <w:rsid w:val="00F22A23"/>
    <w:rsid w:val="00F23F63"/>
    <w:rsid w:val="00F242DF"/>
    <w:rsid w:val="00F24B20"/>
    <w:rsid w:val="00F24BAE"/>
    <w:rsid w:val="00F266C8"/>
    <w:rsid w:val="00F26952"/>
    <w:rsid w:val="00F300BA"/>
    <w:rsid w:val="00F327B1"/>
    <w:rsid w:val="00F32BA8"/>
    <w:rsid w:val="00F32EE0"/>
    <w:rsid w:val="00F33494"/>
    <w:rsid w:val="00F3373C"/>
    <w:rsid w:val="00F34956"/>
    <w:rsid w:val="00F349F1"/>
    <w:rsid w:val="00F35BCB"/>
    <w:rsid w:val="00F365BA"/>
    <w:rsid w:val="00F40BE1"/>
    <w:rsid w:val="00F41813"/>
    <w:rsid w:val="00F42AE7"/>
    <w:rsid w:val="00F43480"/>
    <w:rsid w:val="00F4350D"/>
    <w:rsid w:val="00F44635"/>
    <w:rsid w:val="00F449F8"/>
    <w:rsid w:val="00F44AAF"/>
    <w:rsid w:val="00F45CAE"/>
    <w:rsid w:val="00F479C4"/>
    <w:rsid w:val="00F47DC0"/>
    <w:rsid w:val="00F52A47"/>
    <w:rsid w:val="00F5338D"/>
    <w:rsid w:val="00F53B1E"/>
    <w:rsid w:val="00F54A18"/>
    <w:rsid w:val="00F55090"/>
    <w:rsid w:val="00F561CA"/>
    <w:rsid w:val="00F567F7"/>
    <w:rsid w:val="00F569BF"/>
    <w:rsid w:val="00F611BB"/>
    <w:rsid w:val="00F615BA"/>
    <w:rsid w:val="00F61B76"/>
    <w:rsid w:val="00F62183"/>
    <w:rsid w:val="00F6219A"/>
    <w:rsid w:val="00F630CB"/>
    <w:rsid w:val="00F631B1"/>
    <w:rsid w:val="00F646A3"/>
    <w:rsid w:val="00F648AF"/>
    <w:rsid w:val="00F64D9C"/>
    <w:rsid w:val="00F663BE"/>
    <w:rsid w:val="00F665F9"/>
    <w:rsid w:val="00F6696E"/>
    <w:rsid w:val="00F66B55"/>
    <w:rsid w:val="00F67EB7"/>
    <w:rsid w:val="00F7098E"/>
    <w:rsid w:val="00F71187"/>
    <w:rsid w:val="00F73BD6"/>
    <w:rsid w:val="00F74932"/>
    <w:rsid w:val="00F75891"/>
    <w:rsid w:val="00F758D9"/>
    <w:rsid w:val="00F75B19"/>
    <w:rsid w:val="00F7672F"/>
    <w:rsid w:val="00F77B07"/>
    <w:rsid w:val="00F77DDA"/>
    <w:rsid w:val="00F80540"/>
    <w:rsid w:val="00F80BED"/>
    <w:rsid w:val="00F81D2E"/>
    <w:rsid w:val="00F824DC"/>
    <w:rsid w:val="00F83989"/>
    <w:rsid w:val="00F8432E"/>
    <w:rsid w:val="00F8497E"/>
    <w:rsid w:val="00F85099"/>
    <w:rsid w:val="00F852C9"/>
    <w:rsid w:val="00F85CCC"/>
    <w:rsid w:val="00F86808"/>
    <w:rsid w:val="00F87677"/>
    <w:rsid w:val="00F87F2D"/>
    <w:rsid w:val="00F904F0"/>
    <w:rsid w:val="00F90581"/>
    <w:rsid w:val="00F9379C"/>
    <w:rsid w:val="00F93F94"/>
    <w:rsid w:val="00F94995"/>
    <w:rsid w:val="00F9632C"/>
    <w:rsid w:val="00F97027"/>
    <w:rsid w:val="00F976D7"/>
    <w:rsid w:val="00F97DED"/>
    <w:rsid w:val="00FA0880"/>
    <w:rsid w:val="00FA0D77"/>
    <w:rsid w:val="00FA1E52"/>
    <w:rsid w:val="00FA4E81"/>
    <w:rsid w:val="00FA5B63"/>
    <w:rsid w:val="00FA620F"/>
    <w:rsid w:val="00FA6481"/>
    <w:rsid w:val="00FA6D4B"/>
    <w:rsid w:val="00FA74EC"/>
    <w:rsid w:val="00FB01E5"/>
    <w:rsid w:val="00FB0A8E"/>
    <w:rsid w:val="00FB1800"/>
    <w:rsid w:val="00FB20CE"/>
    <w:rsid w:val="00FB217B"/>
    <w:rsid w:val="00FB5112"/>
    <w:rsid w:val="00FB542E"/>
    <w:rsid w:val="00FB5A08"/>
    <w:rsid w:val="00FB5ACD"/>
    <w:rsid w:val="00FB614E"/>
    <w:rsid w:val="00FB7C31"/>
    <w:rsid w:val="00FC079D"/>
    <w:rsid w:val="00FC0A74"/>
    <w:rsid w:val="00FC33CF"/>
    <w:rsid w:val="00FC34A9"/>
    <w:rsid w:val="00FC3CC0"/>
    <w:rsid w:val="00FC3EEF"/>
    <w:rsid w:val="00FC50E3"/>
    <w:rsid w:val="00FC6224"/>
    <w:rsid w:val="00FC64D5"/>
    <w:rsid w:val="00FC6A80"/>
    <w:rsid w:val="00FC7485"/>
    <w:rsid w:val="00FD004D"/>
    <w:rsid w:val="00FD038C"/>
    <w:rsid w:val="00FD07C4"/>
    <w:rsid w:val="00FD08D4"/>
    <w:rsid w:val="00FD0C3A"/>
    <w:rsid w:val="00FD2EB8"/>
    <w:rsid w:val="00FD57D3"/>
    <w:rsid w:val="00FD5AE4"/>
    <w:rsid w:val="00FD7B4C"/>
    <w:rsid w:val="00FD7F0F"/>
    <w:rsid w:val="00FE1E98"/>
    <w:rsid w:val="00FE2836"/>
    <w:rsid w:val="00FE3E8B"/>
    <w:rsid w:val="00FE4688"/>
    <w:rsid w:val="00FE4776"/>
    <w:rsid w:val="00FE5624"/>
    <w:rsid w:val="00FE7113"/>
    <w:rsid w:val="00FE728A"/>
    <w:rsid w:val="00FE7D43"/>
    <w:rsid w:val="00FF0DB2"/>
    <w:rsid w:val="00FF1EA2"/>
    <w:rsid w:val="00FF261C"/>
    <w:rsid w:val="00FF28B8"/>
    <w:rsid w:val="00FF2A0C"/>
    <w:rsid w:val="00FF3357"/>
    <w:rsid w:val="00FF5704"/>
    <w:rsid w:val="00FF5B26"/>
    <w:rsid w:val="00FF688B"/>
    <w:rsid w:val="00FF7418"/>
    <w:rsid w:val="00FF78E6"/>
    <w:rsid w:val="00FF7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61704A"/>
  <w15:docId w15:val="{2901358F-38AC-42C2-BD0A-262C71C6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86CC8"/>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86CC8"/>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86C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6C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6C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6C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6C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6C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6C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6C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6CC8"/>
  </w:style>
  <w:style w:type="paragraph" w:customStyle="1" w:styleId="Blocks">
    <w:name w:val="Blocks"/>
    <w:aliases w:val="bb"/>
    <w:basedOn w:val="OPCParaBase"/>
    <w:qFormat/>
    <w:rsid w:val="00A86CC8"/>
    <w:pPr>
      <w:spacing w:line="240" w:lineRule="auto"/>
    </w:pPr>
    <w:rPr>
      <w:sz w:val="24"/>
    </w:rPr>
  </w:style>
  <w:style w:type="paragraph" w:customStyle="1" w:styleId="BoxText">
    <w:name w:val="BoxText"/>
    <w:aliases w:val="bt"/>
    <w:basedOn w:val="OPCParaBase"/>
    <w:qFormat/>
    <w:rsid w:val="00A86C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6CC8"/>
    <w:rPr>
      <w:b/>
    </w:rPr>
  </w:style>
  <w:style w:type="paragraph" w:customStyle="1" w:styleId="BoxHeadItalic">
    <w:name w:val="BoxHeadItalic"/>
    <w:aliases w:val="bhi"/>
    <w:basedOn w:val="BoxText"/>
    <w:next w:val="BoxStep"/>
    <w:qFormat/>
    <w:rsid w:val="00A86CC8"/>
    <w:rPr>
      <w:i/>
    </w:rPr>
  </w:style>
  <w:style w:type="paragraph" w:customStyle="1" w:styleId="BoxList">
    <w:name w:val="BoxList"/>
    <w:aliases w:val="bl"/>
    <w:basedOn w:val="BoxText"/>
    <w:qFormat/>
    <w:rsid w:val="00A86CC8"/>
    <w:pPr>
      <w:ind w:left="1559" w:hanging="425"/>
    </w:pPr>
  </w:style>
  <w:style w:type="paragraph" w:customStyle="1" w:styleId="BoxNote">
    <w:name w:val="BoxNote"/>
    <w:aliases w:val="bn"/>
    <w:basedOn w:val="BoxText"/>
    <w:qFormat/>
    <w:rsid w:val="00A86CC8"/>
    <w:pPr>
      <w:tabs>
        <w:tab w:val="left" w:pos="1985"/>
      </w:tabs>
      <w:spacing w:before="122" w:line="198" w:lineRule="exact"/>
      <w:ind w:left="2948" w:hanging="1814"/>
    </w:pPr>
    <w:rPr>
      <w:sz w:val="18"/>
    </w:rPr>
  </w:style>
  <w:style w:type="paragraph" w:customStyle="1" w:styleId="BoxPara">
    <w:name w:val="BoxPara"/>
    <w:aliases w:val="bp"/>
    <w:basedOn w:val="BoxText"/>
    <w:qFormat/>
    <w:rsid w:val="00A86CC8"/>
    <w:pPr>
      <w:tabs>
        <w:tab w:val="right" w:pos="2268"/>
      </w:tabs>
      <w:ind w:left="2552" w:hanging="1418"/>
    </w:pPr>
  </w:style>
  <w:style w:type="paragraph" w:customStyle="1" w:styleId="BoxStep">
    <w:name w:val="BoxStep"/>
    <w:aliases w:val="bs"/>
    <w:basedOn w:val="BoxText"/>
    <w:qFormat/>
    <w:rsid w:val="00A86CC8"/>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86CC8"/>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A86CC8"/>
    <w:pPr>
      <w:spacing w:before="60" w:line="240" w:lineRule="atLeast"/>
      <w:ind w:left="142" w:hanging="142"/>
    </w:pPr>
    <w:rPr>
      <w:sz w:val="20"/>
    </w:rPr>
  </w:style>
  <w:style w:type="paragraph" w:customStyle="1" w:styleId="CTA-">
    <w:name w:val="CTA -"/>
    <w:basedOn w:val="OPCParaBase"/>
    <w:rsid w:val="00A86CC8"/>
    <w:pPr>
      <w:spacing w:before="60" w:line="240" w:lineRule="atLeast"/>
      <w:ind w:left="85" w:hanging="85"/>
    </w:pPr>
    <w:rPr>
      <w:sz w:val="20"/>
    </w:rPr>
  </w:style>
  <w:style w:type="paragraph" w:customStyle="1" w:styleId="CTA---">
    <w:name w:val="CTA ---"/>
    <w:basedOn w:val="OPCParaBase"/>
    <w:next w:val="Normal"/>
    <w:rsid w:val="00A86CC8"/>
    <w:pPr>
      <w:spacing w:before="60" w:line="240" w:lineRule="atLeast"/>
      <w:ind w:left="198" w:hanging="198"/>
    </w:pPr>
    <w:rPr>
      <w:sz w:val="20"/>
    </w:rPr>
  </w:style>
  <w:style w:type="paragraph" w:customStyle="1" w:styleId="CTA----">
    <w:name w:val="CTA ----"/>
    <w:basedOn w:val="OPCParaBase"/>
    <w:next w:val="Normal"/>
    <w:rsid w:val="00A86CC8"/>
    <w:pPr>
      <w:spacing w:before="60" w:line="240" w:lineRule="atLeast"/>
      <w:ind w:left="255" w:hanging="255"/>
    </w:pPr>
    <w:rPr>
      <w:sz w:val="20"/>
    </w:rPr>
  </w:style>
  <w:style w:type="paragraph" w:customStyle="1" w:styleId="CTA1a">
    <w:name w:val="CTA 1(a)"/>
    <w:basedOn w:val="OPCParaBase"/>
    <w:rsid w:val="00A86CC8"/>
    <w:pPr>
      <w:tabs>
        <w:tab w:val="right" w:pos="414"/>
      </w:tabs>
      <w:spacing w:before="40" w:line="240" w:lineRule="atLeast"/>
      <w:ind w:left="675" w:hanging="675"/>
    </w:pPr>
    <w:rPr>
      <w:sz w:val="20"/>
    </w:rPr>
  </w:style>
  <w:style w:type="paragraph" w:customStyle="1" w:styleId="CTA1ai">
    <w:name w:val="CTA 1(a)(i)"/>
    <w:basedOn w:val="OPCParaBase"/>
    <w:rsid w:val="00A86CC8"/>
    <w:pPr>
      <w:tabs>
        <w:tab w:val="right" w:pos="1004"/>
      </w:tabs>
      <w:spacing w:before="40" w:line="240" w:lineRule="atLeast"/>
      <w:ind w:left="1253" w:hanging="1253"/>
    </w:pPr>
    <w:rPr>
      <w:sz w:val="20"/>
    </w:rPr>
  </w:style>
  <w:style w:type="paragraph" w:customStyle="1" w:styleId="CTA2a">
    <w:name w:val="CTA 2(a)"/>
    <w:basedOn w:val="OPCParaBase"/>
    <w:rsid w:val="00A86CC8"/>
    <w:pPr>
      <w:tabs>
        <w:tab w:val="right" w:pos="482"/>
      </w:tabs>
      <w:spacing w:before="40" w:line="240" w:lineRule="atLeast"/>
      <w:ind w:left="748" w:hanging="748"/>
    </w:pPr>
    <w:rPr>
      <w:sz w:val="20"/>
    </w:rPr>
  </w:style>
  <w:style w:type="paragraph" w:customStyle="1" w:styleId="CTA2ai">
    <w:name w:val="CTA 2(a)(i)"/>
    <w:basedOn w:val="OPCParaBase"/>
    <w:rsid w:val="00A86CC8"/>
    <w:pPr>
      <w:tabs>
        <w:tab w:val="right" w:pos="1089"/>
      </w:tabs>
      <w:spacing w:before="40" w:line="240" w:lineRule="atLeast"/>
      <w:ind w:left="1327" w:hanging="1327"/>
    </w:pPr>
    <w:rPr>
      <w:sz w:val="20"/>
    </w:rPr>
  </w:style>
  <w:style w:type="paragraph" w:customStyle="1" w:styleId="CTA3a">
    <w:name w:val="CTA 3(a)"/>
    <w:basedOn w:val="OPCParaBase"/>
    <w:rsid w:val="00A86CC8"/>
    <w:pPr>
      <w:tabs>
        <w:tab w:val="right" w:pos="556"/>
      </w:tabs>
      <w:spacing w:before="40" w:line="240" w:lineRule="atLeast"/>
      <w:ind w:left="805" w:hanging="805"/>
    </w:pPr>
    <w:rPr>
      <w:sz w:val="20"/>
    </w:rPr>
  </w:style>
  <w:style w:type="paragraph" w:customStyle="1" w:styleId="CTA3ai">
    <w:name w:val="CTA 3(a)(i)"/>
    <w:basedOn w:val="OPCParaBase"/>
    <w:rsid w:val="00A86CC8"/>
    <w:pPr>
      <w:tabs>
        <w:tab w:val="right" w:pos="1140"/>
      </w:tabs>
      <w:spacing w:before="40" w:line="240" w:lineRule="atLeast"/>
      <w:ind w:left="1361" w:hanging="1361"/>
    </w:pPr>
    <w:rPr>
      <w:sz w:val="20"/>
    </w:rPr>
  </w:style>
  <w:style w:type="paragraph" w:customStyle="1" w:styleId="CTA4a">
    <w:name w:val="CTA 4(a)"/>
    <w:basedOn w:val="OPCParaBase"/>
    <w:rsid w:val="00A86CC8"/>
    <w:pPr>
      <w:tabs>
        <w:tab w:val="right" w:pos="624"/>
      </w:tabs>
      <w:spacing w:before="40" w:line="240" w:lineRule="atLeast"/>
      <w:ind w:left="873" w:hanging="873"/>
    </w:pPr>
    <w:rPr>
      <w:sz w:val="20"/>
    </w:rPr>
  </w:style>
  <w:style w:type="paragraph" w:customStyle="1" w:styleId="CTA4ai">
    <w:name w:val="CTA 4(a)(i)"/>
    <w:basedOn w:val="OPCParaBase"/>
    <w:rsid w:val="00A86CC8"/>
    <w:pPr>
      <w:tabs>
        <w:tab w:val="right" w:pos="1213"/>
      </w:tabs>
      <w:spacing w:before="40" w:line="240" w:lineRule="atLeast"/>
      <w:ind w:left="1452" w:hanging="1452"/>
    </w:pPr>
    <w:rPr>
      <w:sz w:val="20"/>
    </w:rPr>
  </w:style>
  <w:style w:type="paragraph" w:customStyle="1" w:styleId="CTACAPS">
    <w:name w:val="CTA CAPS"/>
    <w:basedOn w:val="OPCParaBase"/>
    <w:rsid w:val="00A86CC8"/>
    <w:pPr>
      <w:spacing w:before="60" w:line="240" w:lineRule="atLeast"/>
    </w:pPr>
    <w:rPr>
      <w:sz w:val="20"/>
    </w:rPr>
  </w:style>
  <w:style w:type="paragraph" w:customStyle="1" w:styleId="CTAright">
    <w:name w:val="CTA right"/>
    <w:basedOn w:val="OPCParaBase"/>
    <w:rsid w:val="00A86CC8"/>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A86CC8"/>
    <w:pPr>
      <w:spacing w:before="180" w:line="240" w:lineRule="auto"/>
      <w:ind w:left="1134"/>
    </w:pPr>
  </w:style>
  <w:style w:type="paragraph" w:customStyle="1" w:styleId="EndNotespara">
    <w:name w:val="EndNotes(para)"/>
    <w:aliases w:val="eta"/>
    <w:basedOn w:val="OPCParaBase"/>
    <w:next w:val="EndNotessubpara"/>
    <w:rsid w:val="00A86C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6C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6C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6CC8"/>
    <w:pPr>
      <w:tabs>
        <w:tab w:val="right" w:pos="1412"/>
      </w:tabs>
      <w:spacing w:before="60" w:line="240" w:lineRule="auto"/>
      <w:ind w:left="1525" w:hanging="1525"/>
    </w:pPr>
    <w:rPr>
      <w:sz w:val="20"/>
    </w:rPr>
  </w:style>
  <w:style w:type="paragraph" w:customStyle="1" w:styleId="Formula">
    <w:name w:val="Formula"/>
    <w:basedOn w:val="OPCParaBase"/>
    <w:rsid w:val="00A86CC8"/>
    <w:pPr>
      <w:spacing w:line="240" w:lineRule="auto"/>
      <w:ind w:left="1134"/>
    </w:pPr>
    <w:rPr>
      <w:sz w:val="20"/>
    </w:rPr>
  </w:style>
  <w:style w:type="paragraph" w:styleId="Header">
    <w:name w:val="header"/>
    <w:basedOn w:val="OPCParaBase"/>
    <w:link w:val="HeaderChar"/>
    <w:uiPriority w:val="99"/>
    <w:unhideWhenUsed/>
    <w:rsid w:val="00A86C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A86CC8"/>
    <w:pPr>
      <w:spacing w:line="240" w:lineRule="auto"/>
    </w:pPr>
    <w:rPr>
      <w:sz w:val="28"/>
    </w:rPr>
  </w:style>
  <w:style w:type="paragraph" w:customStyle="1" w:styleId="Item">
    <w:name w:val="Item"/>
    <w:aliases w:val="i"/>
    <w:basedOn w:val="OPCParaBase"/>
    <w:next w:val="ItemHead"/>
    <w:rsid w:val="00A86CC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6CC8"/>
    <w:pPr>
      <w:spacing w:line="240" w:lineRule="auto"/>
    </w:pPr>
    <w:rPr>
      <w:b/>
      <w:sz w:val="32"/>
    </w:rPr>
  </w:style>
  <w:style w:type="paragraph" w:customStyle="1" w:styleId="notedraft">
    <w:name w:val="note(draft)"/>
    <w:aliases w:val="nd"/>
    <w:basedOn w:val="OPCParaBase"/>
    <w:rsid w:val="00A86CC8"/>
    <w:pPr>
      <w:spacing w:before="240" w:line="240" w:lineRule="auto"/>
      <w:ind w:left="284" w:hanging="284"/>
    </w:pPr>
    <w:rPr>
      <w:i/>
      <w:sz w:val="24"/>
    </w:rPr>
  </w:style>
  <w:style w:type="paragraph" w:customStyle="1" w:styleId="notemargin">
    <w:name w:val="note(margin)"/>
    <w:aliases w:val="nm"/>
    <w:basedOn w:val="OPCParaBase"/>
    <w:rsid w:val="00A86CC8"/>
    <w:pPr>
      <w:tabs>
        <w:tab w:val="left" w:pos="709"/>
      </w:tabs>
      <w:spacing w:before="122" w:line="198" w:lineRule="exact"/>
      <w:ind w:left="709" w:hanging="709"/>
    </w:pPr>
    <w:rPr>
      <w:sz w:val="18"/>
    </w:rPr>
  </w:style>
  <w:style w:type="paragraph" w:customStyle="1" w:styleId="noteToPara">
    <w:name w:val="noteToPara"/>
    <w:aliases w:val="ntp"/>
    <w:basedOn w:val="OPCParaBase"/>
    <w:rsid w:val="00A86CC8"/>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A86CC8"/>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6CC8"/>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A86CC8"/>
    <w:pPr>
      <w:spacing w:before="40" w:line="198" w:lineRule="exact"/>
      <w:ind w:left="2354" w:hanging="369"/>
    </w:pPr>
    <w:rPr>
      <w:sz w:val="18"/>
    </w:rPr>
  </w:style>
  <w:style w:type="paragraph" w:styleId="Footer">
    <w:name w:val="footer"/>
    <w:link w:val="FooterChar"/>
    <w:uiPriority w:val="99"/>
    <w:rsid w:val="00A86C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86CC8"/>
    <w:rPr>
      <w:b/>
      <w:sz w:val="28"/>
      <w:szCs w:val="32"/>
    </w:rPr>
  </w:style>
  <w:style w:type="paragraph" w:customStyle="1" w:styleId="LegislationMadeUnder">
    <w:name w:val="LegislationMadeUnder"/>
    <w:basedOn w:val="OPCParaBase"/>
    <w:next w:val="Normal"/>
    <w:rsid w:val="00A86CC8"/>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A86CC8"/>
    <w:pPr>
      <w:outlineLvl w:val="0"/>
    </w:pPr>
    <w:rPr>
      <w:b/>
      <w:sz w:val="28"/>
      <w:szCs w:val="28"/>
    </w:rPr>
  </w:style>
  <w:style w:type="paragraph" w:customStyle="1" w:styleId="NotesHeading2">
    <w:name w:val="NotesHeading 2"/>
    <w:basedOn w:val="OPCParaBase"/>
    <w:next w:val="Normal"/>
    <w:rsid w:val="00A86CC8"/>
    <w:rPr>
      <w:b/>
      <w:sz w:val="28"/>
      <w:szCs w:val="28"/>
    </w:rPr>
  </w:style>
  <w:style w:type="paragraph" w:customStyle="1" w:styleId="CompiledActNo">
    <w:name w:val="CompiledActNo"/>
    <w:basedOn w:val="OPCParaBase"/>
    <w:next w:val="Normal"/>
    <w:rsid w:val="00A86CC8"/>
    <w:rPr>
      <w:b/>
      <w:sz w:val="24"/>
      <w:szCs w:val="24"/>
    </w:rPr>
  </w:style>
  <w:style w:type="paragraph" w:customStyle="1" w:styleId="ENotesText">
    <w:name w:val="ENotesText"/>
    <w:aliases w:val="Ent"/>
    <w:basedOn w:val="OPCParaBase"/>
    <w:next w:val="Normal"/>
    <w:rsid w:val="00A86CC8"/>
    <w:pPr>
      <w:spacing w:before="120"/>
    </w:pPr>
  </w:style>
  <w:style w:type="paragraph" w:customStyle="1" w:styleId="CompiledMadeUnder">
    <w:name w:val="CompiledMadeUnder"/>
    <w:basedOn w:val="OPCParaBase"/>
    <w:next w:val="Normal"/>
    <w:rsid w:val="00A86CC8"/>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A86CC8"/>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A86CC8"/>
    <w:pPr>
      <w:keepNext/>
      <w:spacing w:before="60" w:line="240" w:lineRule="atLeast"/>
      <w:ind w:left="170"/>
    </w:pPr>
    <w:rPr>
      <w:sz w:val="16"/>
    </w:rPr>
  </w:style>
  <w:style w:type="paragraph" w:customStyle="1" w:styleId="ENotesHeading1">
    <w:name w:val="ENotesHeading 1"/>
    <w:aliases w:val="Enh1"/>
    <w:basedOn w:val="OPCParaBase"/>
    <w:next w:val="Normal"/>
    <w:rsid w:val="00A86CC8"/>
    <w:pPr>
      <w:spacing w:before="120"/>
      <w:outlineLvl w:val="1"/>
    </w:pPr>
    <w:rPr>
      <w:b/>
      <w:sz w:val="28"/>
      <w:szCs w:val="28"/>
    </w:rPr>
  </w:style>
  <w:style w:type="paragraph" w:customStyle="1" w:styleId="ENotesHeading2">
    <w:name w:val="ENotesHeading 2"/>
    <w:aliases w:val="Enh2"/>
    <w:basedOn w:val="OPCParaBase"/>
    <w:next w:val="Normal"/>
    <w:rsid w:val="00A86CC8"/>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6CC8"/>
    <w:pPr>
      <w:spacing w:before="60" w:line="240" w:lineRule="atLeast"/>
    </w:pPr>
    <w:rPr>
      <w:sz w:val="16"/>
    </w:rPr>
  </w:style>
  <w:style w:type="paragraph" w:customStyle="1" w:styleId="MadeunderText">
    <w:name w:val="MadeunderText"/>
    <w:basedOn w:val="OPCParaBase"/>
    <w:next w:val="CompiledMadeUnder"/>
    <w:rsid w:val="00A86CC8"/>
    <w:pPr>
      <w:spacing w:before="240"/>
    </w:pPr>
    <w:rPr>
      <w:sz w:val="24"/>
      <w:szCs w:val="24"/>
    </w:rPr>
  </w:style>
  <w:style w:type="paragraph" w:customStyle="1" w:styleId="ENotesHeading3">
    <w:name w:val="ENotesHeading 3"/>
    <w:aliases w:val="Enh3"/>
    <w:basedOn w:val="OPCParaBase"/>
    <w:next w:val="Normal"/>
    <w:rsid w:val="00A86CC8"/>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A86CC8"/>
    <w:pPr>
      <w:keepNext/>
      <w:spacing w:before="60" w:line="240" w:lineRule="atLeast"/>
      <w:ind w:left="340"/>
    </w:pPr>
    <w:rPr>
      <w:b/>
      <w:sz w:val="16"/>
    </w:rPr>
  </w:style>
  <w:style w:type="paragraph" w:customStyle="1" w:styleId="ENoteTTiSub">
    <w:name w:val="ENoteTTiSub"/>
    <w:aliases w:val="enttis"/>
    <w:basedOn w:val="OPCParaBase"/>
    <w:rsid w:val="00A86CC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6CC8"/>
    <w:pPr>
      <w:keepNext/>
      <w:keepLines/>
      <w:spacing w:before="240" w:line="240" w:lineRule="auto"/>
      <w:ind w:left="1134" w:hanging="1134"/>
    </w:pPr>
    <w:rPr>
      <w:b/>
      <w:sz w:val="28"/>
    </w:rPr>
  </w:style>
  <w:style w:type="paragraph" w:customStyle="1" w:styleId="FreeForm">
    <w:name w:val="FreeForm"/>
    <w:rsid w:val="00A86CC8"/>
    <w:rPr>
      <w:rFonts w:ascii="Arial" w:hAnsi="Arial"/>
      <w:sz w:val="22"/>
    </w:rPr>
  </w:style>
  <w:style w:type="paragraph" w:customStyle="1" w:styleId="SOText">
    <w:name w:val="SO Text"/>
    <w:aliases w:val="sot"/>
    <w:link w:val="SOTextChar"/>
    <w:rsid w:val="00A86C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A86CC8"/>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A86CC8"/>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A86CC8"/>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A86CC8"/>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A86CC8"/>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A86CC8"/>
    <w:pPr>
      <w:numPr>
        <w:numId w:val="2"/>
      </w:numPr>
      <w:spacing w:before="240" w:line="240" w:lineRule="auto"/>
    </w:pPr>
    <w:rPr>
      <w:sz w:val="24"/>
    </w:rPr>
  </w:style>
  <w:style w:type="paragraph" w:customStyle="1" w:styleId="BodyPara">
    <w:name w:val="BodyPara"/>
    <w:aliases w:val="ba"/>
    <w:basedOn w:val="OPCParaBase"/>
    <w:rsid w:val="00A86CC8"/>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651141"/>
    <w:pPr>
      <w:spacing w:before="120" w:after="200" w:line="276" w:lineRule="auto"/>
      <w:ind w:right="284"/>
    </w:pPr>
    <w:rPr>
      <w:rFonts w:cs="Times New Roman"/>
      <w:sz w:val="24"/>
      <w:szCs w:val="24"/>
    </w:rPr>
  </w:style>
  <w:style w:type="character" w:styleId="CommentReference">
    <w:name w:val="annotation reference"/>
    <w:basedOn w:val="DefaultParagraphFont"/>
    <w:uiPriority w:val="99"/>
    <w:semiHidden/>
    <w:unhideWhenUsed/>
    <w:rsid w:val="00651141"/>
    <w:rPr>
      <w:sz w:val="16"/>
      <w:szCs w:val="16"/>
    </w:rPr>
  </w:style>
  <w:style w:type="paragraph" w:styleId="CommentText">
    <w:name w:val="annotation text"/>
    <w:basedOn w:val="Normal"/>
    <w:link w:val="CommentTextChar"/>
    <w:uiPriority w:val="99"/>
    <w:unhideWhenUsed/>
    <w:rsid w:val="00651141"/>
    <w:pPr>
      <w:spacing w:line="240" w:lineRule="auto"/>
    </w:pPr>
    <w:rPr>
      <w:sz w:val="20"/>
    </w:rPr>
  </w:style>
  <w:style w:type="character" w:customStyle="1" w:styleId="CommentTextChar">
    <w:name w:val="Comment Text Char"/>
    <w:basedOn w:val="DefaultParagraphFont"/>
    <w:link w:val="CommentText"/>
    <w:uiPriority w:val="99"/>
    <w:rsid w:val="00651141"/>
  </w:style>
  <w:style w:type="paragraph" w:styleId="CommentSubject">
    <w:name w:val="annotation subject"/>
    <w:basedOn w:val="CommentText"/>
    <w:next w:val="CommentText"/>
    <w:link w:val="CommentSubjectChar"/>
    <w:uiPriority w:val="99"/>
    <w:semiHidden/>
    <w:unhideWhenUsed/>
    <w:rsid w:val="00695BBD"/>
    <w:rPr>
      <w:b/>
      <w:bCs/>
    </w:rPr>
  </w:style>
  <w:style w:type="character" w:customStyle="1" w:styleId="CommentSubjectChar">
    <w:name w:val="Comment Subject Char"/>
    <w:basedOn w:val="CommentTextChar"/>
    <w:link w:val="CommentSubject"/>
    <w:uiPriority w:val="99"/>
    <w:semiHidden/>
    <w:rsid w:val="00695BBD"/>
    <w:rPr>
      <w:b/>
      <w:bCs/>
    </w:rPr>
  </w:style>
  <w:style w:type="paragraph" w:styleId="Revision">
    <w:name w:val="Revision"/>
    <w:hidden/>
    <w:uiPriority w:val="99"/>
    <w:semiHidden/>
    <w:rsid w:val="00A86CC8"/>
    <w:rPr>
      <w:rFonts w:asciiTheme="minorHAnsi" w:hAnsiTheme="minorHAnsi"/>
      <w:sz w:val="22"/>
      <w:szCs w:val="22"/>
    </w:rPr>
  </w:style>
  <w:style w:type="character" w:styleId="Hyperlink">
    <w:name w:val="Hyperlink"/>
    <w:basedOn w:val="DefaultParagraphFont"/>
    <w:uiPriority w:val="99"/>
    <w:unhideWhenUsed/>
    <w:rsid w:val="00A86CC8"/>
    <w:rPr>
      <w:strike w:val="0"/>
      <w:dstrike w:val="0"/>
      <w:color w:val="C41130"/>
      <w:u w:val="none"/>
      <w:effect w:val="none"/>
    </w:rPr>
  </w:style>
  <w:style w:type="character" w:styleId="FollowedHyperlink">
    <w:name w:val="FollowedHyperlink"/>
    <w:basedOn w:val="DefaultParagraphFont"/>
    <w:uiPriority w:val="99"/>
    <w:semiHidden/>
    <w:unhideWhenUsed/>
    <w:rsid w:val="00A86CC8"/>
    <w:rPr>
      <w:color w:val="800080" w:themeColor="followedHyperlink"/>
      <w:u w:val="single"/>
    </w:rPr>
  </w:style>
  <w:style w:type="paragraph" w:customStyle="1" w:styleId="numberedparagraphs">
    <w:name w:val="numberedparagraphs"/>
    <w:basedOn w:val="Normal"/>
    <w:rsid w:val="00A86CC8"/>
    <w:pPr>
      <w:spacing w:before="100" w:beforeAutospacing="1" w:after="100" w:afterAutospacing="1" w:line="240" w:lineRule="auto"/>
    </w:pPr>
    <w:rPr>
      <w:rFonts w:eastAsia="Times New Roman" w:cs="Times New Roman"/>
      <w:sz w:val="24"/>
      <w:szCs w:val="24"/>
      <w:lang w:eastAsia="en-AU"/>
    </w:rPr>
  </w:style>
  <w:style w:type="paragraph" w:customStyle="1" w:styleId="outlinenumbered1">
    <w:name w:val="outlinenumbered1"/>
    <w:basedOn w:val="Normal"/>
    <w:rsid w:val="00A86CC8"/>
    <w:pPr>
      <w:spacing w:before="100" w:beforeAutospacing="1" w:after="100" w:afterAutospacing="1" w:line="240" w:lineRule="auto"/>
    </w:pPr>
    <w:rPr>
      <w:rFonts w:eastAsia="Times New Roman" w:cs="Times New Roman"/>
      <w:sz w:val="24"/>
      <w:szCs w:val="24"/>
      <w:lang w:eastAsia="en-AU"/>
    </w:rPr>
  </w:style>
  <w:style w:type="paragraph" w:customStyle="1" w:styleId="acthead40">
    <w:name w:val="acthead4"/>
    <w:basedOn w:val="Normal"/>
    <w:rsid w:val="00A86CC8"/>
    <w:pPr>
      <w:spacing w:before="100" w:beforeAutospacing="1" w:after="100" w:afterAutospacing="1" w:line="240" w:lineRule="auto"/>
    </w:pPr>
    <w:rPr>
      <w:rFonts w:eastAsia="Times New Roman" w:cs="Times New Roman"/>
      <w:sz w:val="24"/>
      <w:szCs w:val="24"/>
      <w:lang w:eastAsia="en-AU"/>
    </w:rPr>
  </w:style>
  <w:style w:type="character" w:customStyle="1" w:styleId="charchapno0">
    <w:name w:val="charchapno"/>
    <w:basedOn w:val="DefaultParagraphFont"/>
    <w:rsid w:val="00A86CC8"/>
  </w:style>
  <w:style w:type="paragraph" w:styleId="NormalWeb">
    <w:name w:val="Normal (Web)"/>
    <w:basedOn w:val="Normal"/>
    <w:uiPriority w:val="99"/>
    <w:unhideWhenUsed/>
    <w:rsid w:val="00C01BD4"/>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AA69E4"/>
    <w:rPr>
      <w:color w:val="605E5C"/>
      <w:shd w:val="clear" w:color="auto" w:fill="E1DFDD"/>
    </w:rPr>
  </w:style>
  <w:style w:type="paragraph" w:styleId="FootnoteText">
    <w:name w:val="footnote text"/>
    <w:basedOn w:val="Normal"/>
    <w:link w:val="FootnoteTextChar"/>
    <w:uiPriority w:val="99"/>
    <w:semiHidden/>
    <w:unhideWhenUsed/>
    <w:rsid w:val="00CA0489"/>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CA0489"/>
    <w:rPr>
      <w:rFonts w:asciiTheme="minorHAnsi" w:hAnsiTheme="minorHAnsi"/>
    </w:rPr>
  </w:style>
  <w:style w:type="character" w:styleId="FootnoteReference">
    <w:name w:val="footnote reference"/>
    <w:basedOn w:val="DefaultParagraphFont"/>
    <w:uiPriority w:val="99"/>
    <w:semiHidden/>
    <w:unhideWhenUsed/>
    <w:rsid w:val="00CA0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997">
      <w:bodyDiv w:val="1"/>
      <w:marLeft w:val="0"/>
      <w:marRight w:val="0"/>
      <w:marTop w:val="0"/>
      <w:marBottom w:val="0"/>
      <w:divBdr>
        <w:top w:val="none" w:sz="0" w:space="0" w:color="auto"/>
        <w:left w:val="none" w:sz="0" w:space="0" w:color="auto"/>
        <w:bottom w:val="none" w:sz="0" w:space="0" w:color="auto"/>
        <w:right w:val="none" w:sz="0" w:space="0" w:color="auto"/>
      </w:divBdr>
    </w:div>
    <w:div w:id="20017226">
      <w:bodyDiv w:val="1"/>
      <w:marLeft w:val="0"/>
      <w:marRight w:val="0"/>
      <w:marTop w:val="0"/>
      <w:marBottom w:val="0"/>
      <w:divBdr>
        <w:top w:val="none" w:sz="0" w:space="0" w:color="auto"/>
        <w:left w:val="none" w:sz="0" w:space="0" w:color="auto"/>
        <w:bottom w:val="none" w:sz="0" w:space="0" w:color="auto"/>
        <w:right w:val="none" w:sz="0" w:space="0" w:color="auto"/>
      </w:divBdr>
    </w:div>
    <w:div w:id="26756752">
      <w:bodyDiv w:val="1"/>
      <w:marLeft w:val="0"/>
      <w:marRight w:val="0"/>
      <w:marTop w:val="0"/>
      <w:marBottom w:val="0"/>
      <w:divBdr>
        <w:top w:val="none" w:sz="0" w:space="0" w:color="auto"/>
        <w:left w:val="none" w:sz="0" w:space="0" w:color="auto"/>
        <w:bottom w:val="none" w:sz="0" w:space="0" w:color="auto"/>
        <w:right w:val="none" w:sz="0" w:space="0" w:color="auto"/>
      </w:divBdr>
    </w:div>
    <w:div w:id="28647177">
      <w:bodyDiv w:val="1"/>
      <w:marLeft w:val="0"/>
      <w:marRight w:val="0"/>
      <w:marTop w:val="0"/>
      <w:marBottom w:val="0"/>
      <w:divBdr>
        <w:top w:val="none" w:sz="0" w:space="0" w:color="auto"/>
        <w:left w:val="none" w:sz="0" w:space="0" w:color="auto"/>
        <w:bottom w:val="none" w:sz="0" w:space="0" w:color="auto"/>
        <w:right w:val="none" w:sz="0" w:space="0" w:color="auto"/>
      </w:divBdr>
    </w:div>
    <w:div w:id="32777907">
      <w:bodyDiv w:val="1"/>
      <w:marLeft w:val="0"/>
      <w:marRight w:val="0"/>
      <w:marTop w:val="0"/>
      <w:marBottom w:val="0"/>
      <w:divBdr>
        <w:top w:val="none" w:sz="0" w:space="0" w:color="auto"/>
        <w:left w:val="none" w:sz="0" w:space="0" w:color="auto"/>
        <w:bottom w:val="none" w:sz="0" w:space="0" w:color="auto"/>
        <w:right w:val="none" w:sz="0" w:space="0" w:color="auto"/>
      </w:divBdr>
    </w:div>
    <w:div w:id="58482526">
      <w:bodyDiv w:val="1"/>
      <w:marLeft w:val="0"/>
      <w:marRight w:val="0"/>
      <w:marTop w:val="0"/>
      <w:marBottom w:val="0"/>
      <w:divBdr>
        <w:top w:val="none" w:sz="0" w:space="0" w:color="auto"/>
        <w:left w:val="none" w:sz="0" w:space="0" w:color="auto"/>
        <w:bottom w:val="none" w:sz="0" w:space="0" w:color="auto"/>
        <w:right w:val="none" w:sz="0" w:space="0" w:color="auto"/>
      </w:divBdr>
    </w:div>
    <w:div w:id="62486598">
      <w:bodyDiv w:val="1"/>
      <w:marLeft w:val="0"/>
      <w:marRight w:val="0"/>
      <w:marTop w:val="0"/>
      <w:marBottom w:val="0"/>
      <w:divBdr>
        <w:top w:val="none" w:sz="0" w:space="0" w:color="auto"/>
        <w:left w:val="none" w:sz="0" w:space="0" w:color="auto"/>
        <w:bottom w:val="none" w:sz="0" w:space="0" w:color="auto"/>
        <w:right w:val="none" w:sz="0" w:space="0" w:color="auto"/>
      </w:divBdr>
    </w:div>
    <w:div w:id="85000906">
      <w:bodyDiv w:val="1"/>
      <w:marLeft w:val="0"/>
      <w:marRight w:val="0"/>
      <w:marTop w:val="0"/>
      <w:marBottom w:val="0"/>
      <w:divBdr>
        <w:top w:val="none" w:sz="0" w:space="0" w:color="auto"/>
        <w:left w:val="none" w:sz="0" w:space="0" w:color="auto"/>
        <w:bottom w:val="none" w:sz="0" w:space="0" w:color="auto"/>
        <w:right w:val="none" w:sz="0" w:space="0" w:color="auto"/>
      </w:divBdr>
    </w:div>
    <w:div w:id="88157438">
      <w:bodyDiv w:val="1"/>
      <w:marLeft w:val="0"/>
      <w:marRight w:val="0"/>
      <w:marTop w:val="0"/>
      <w:marBottom w:val="0"/>
      <w:divBdr>
        <w:top w:val="none" w:sz="0" w:space="0" w:color="auto"/>
        <w:left w:val="none" w:sz="0" w:space="0" w:color="auto"/>
        <w:bottom w:val="none" w:sz="0" w:space="0" w:color="auto"/>
        <w:right w:val="none" w:sz="0" w:space="0" w:color="auto"/>
      </w:divBdr>
    </w:div>
    <w:div w:id="91512865">
      <w:bodyDiv w:val="1"/>
      <w:marLeft w:val="0"/>
      <w:marRight w:val="0"/>
      <w:marTop w:val="0"/>
      <w:marBottom w:val="0"/>
      <w:divBdr>
        <w:top w:val="none" w:sz="0" w:space="0" w:color="auto"/>
        <w:left w:val="none" w:sz="0" w:space="0" w:color="auto"/>
        <w:bottom w:val="none" w:sz="0" w:space="0" w:color="auto"/>
        <w:right w:val="none" w:sz="0" w:space="0" w:color="auto"/>
      </w:divBdr>
    </w:div>
    <w:div w:id="100227854">
      <w:bodyDiv w:val="1"/>
      <w:marLeft w:val="0"/>
      <w:marRight w:val="0"/>
      <w:marTop w:val="0"/>
      <w:marBottom w:val="0"/>
      <w:divBdr>
        <w:top w:val="none" w:sz="0" w:space="0" w:color="auto"/>
        <w:left w:val="none" w:sz="0" w:space="0" w:color="auto"/>
        <w:bottom w:val="none" w:sz="0" w:space="0" w:color="auto"/>
        <w:right w:val="none" w:sz="0" w:space="0" w:color="auto"/>
      </w:divBdr>
    </w:div>
    <w:div w:id="116149820">
      <w:bodyDiv w:val="1"/>
      <w:marLeft w:val="0"/>
      <w:marRight w:val="0"/>
      <w:marTop w:val="0"/>
      <w:marBottom w:val="0"/>
      <w:divBdr>
        <w:top w:val="none" w:sz="0" w:space="0" w:color="auto"/>
        <w:left w:val="none" w:sz="0" w:space="0" w:color="auto"/>
        <w:bottom w:val="none" w:sz="0" w:space="0" w:color="auto"/>
        <w:right w:val="none" w:sz="0" w:space="0" w:color="auto"/>
      </w:divBdr>
    </w:div>
    <w:div w:id="128911296">
      <w:bodyDiv w:val="1"/>
      <w:marLeft w:val="0"/>
      <w:marRight w:val="0"/>
      <w:marTop w:val="0"/>
      <w:marBottom w:val="0"/>
      <w:divBdr>
        <w:top w:val="none" w:sz="0" w:space="0" w:color="auto"/>
        <w:left w:val="none" w:sz="0" w:space="0" w:color="auto"/>
        <w:bottom w:val="none" w:sz="0" w:space="0" w:color="auto"/>
        <w:right w:val="none" w:sz="0" w:space="0" w:color="auto"/>
      </w:divBdr>
    </w:div>
    <w:div w:id="131563465">
      <w:bodyDiv w:val="1"/>
      <w:marLeft w:val="0"/>
      <w:marRight w:val="0"/>
      <w:marTop w:val="0"/>
      <w:marBottom w:val="0"/>
      <w:divBdr>
        <w:top w:val="none" w:sz="0" w:space="0" w:color="auto"/>
        <w:left w:val="none" w:sz="0" w:space="0" w:color="auto"/>
        <w:bottom w:val="none" w:sz="0" w:space="0" w:color="auto"/>
        <w:right w:val="none" w:sz="0" w:space="0" w:color="auto"/>
      </w:divBdr>
    </w:div>
    <w:div w:id="135144604">
      <w:bodyDiv w:val="1"/>
      <w:marLeft w:val="0"/>
      <w:marRight w:val="0"/>
      <w:marTop w:val="0"/>
      <w:marBottom w:val="0"/>
      <w:divBdr>
        <w:top w:val="none" w:sz="0" w:space="0" w:color="auto"/>
        <w:left w:val="none" w:sz="0" w:space="0" w:color="auto"/>
        <w:bottom w:val="none" w:sz="0" w:space="0" w:color="auto"/>
        <w:right w:val="none" w:sz="0" w:space="0" w:color="auto"/>
      </w:divBdr>
    </w:div>
    <w:div w:id="143084273">
      <w:bodyDiv w:val="1"/>
      <w:marLeft w:val="0"/>
      <w:marRight w:val="0"/>
      <w:marTop w:val="0"/>
      <w:marBottom w:val="0"/>
      <w:divBdr>
        <w:top w:val="none" w:sz="0" w:space="0" w:color="auto"/>
        <w:left w:val="none" w:sz="0" w:space="0" w:color="auto"/>
        <w:bottom w:val="none" w:sz="0" w:space="0" w:color="auto"/>
        <w:right w:val="none" w:sz="0" w:space="0" w:color="auto"/>
      </w:divBdr>
    </w:div>
    <w:div w:id="149179592">
      <w:bodyDiv w:val="1"/>
      <w:marLeft w:val="0"/>
      <w:marRight w:val="0"/>
      <w:marTop w:val="0"/>
      <w:marBottom w:val="0"/>
      <w:divBdr>
        <w:top w:val="none" w:sz="0" w:space="0" w:color="auto"/>
        <w:left w:val="none" w:sz="0" w:space="0" w:color="auto"/>
        <w:bottom w:val="none" w:sz="0" w:space="0" w:color="auto"/>
        <w:right w:val="none" w:sz="0" w:space="0" w:color="auto"/>
      </w:divBdr>
    </w:div>
    <w:div w:id="152113598">
      <w:bodyDiv w:val="1"/>
      <w:marLeft w:val="0"/>
      <w:marRight w:val="0"/>
      <w:marTop w:val="0"/>
      <w:marBottom w:val="0"/>
      <w:divBdr>
        <w:top w:val="none" w:sz="0" w:space="0" w:color="auto"/>
        <w:left w:val="none" w:sz="0" w:space="0" w:color="auto"/>
        <w:bottom w:val="none" w:sz="0" w:space="0" w:color="auto"/>
        <w:right w:val="none" w:sz="0" w:space="0" w:color="auto"/>
      </w:divBdr>
    </w:div>
    <w:div w:id="155613552">
      <w:bodyDiv w:val="1"/>
      <w:marLeft w:val="0"/>
      <w:marRight w:val="0"/>
      <w:marTop w:val="0"/>
      <w:marBottom w:val="0"/>
      <w:divBdr>
        <w:top w:val="none" w:sz="0" w:space="0" w:color="auto"/>
        <w:left w:val="none" w:sz="0" w:space="0" w:color="auto"/>
        <w:bottom w:val="none" w:sz="0" w:space="0" w:color="auto"/>
        <w:right w:val="none" w:sz="0" w:space="0" w:color="auto"/>
      </w:divBdr>
    </w:div>
    <w:div w:id="161431424">
      <w:bodyDiv w:val="1"/>
      <w:marLeft w:val="0"/>
      <w:marRight w:val="0"/>
      <w:marTop w:val="0"/>
      <w:marBottom w:val="0"/>
      <w:divBdr>
        <w:top w:val="none" w:sz="0" w:space="0" w:color="auto"/>
        <w:left w:val="none" w:sz="0" w:space="0" w:color="auto"/>
        <w:bottom w:val="none" w:sz="0" w:space="0" w:color="auto"/>
        <w:right w:val="none" w:sz="0" w:space="0" w:color="auto"/>
      </w:divBdr>
    </w:div>
    <w:div w:id="168370868">
      <w:bodyDiv w:val="1"/>
      <w:marLeft w:val="0"/>
      <w:marRight w:val="0"/>
      <w:marTop w:val="0"/>
      <w:marBottom w:val="0"/>
      <w:divBdr>
        <w:top w:val="none" w:sz="0" w:space="0" w:color="auto"/>
        <w:left w:val="none" w:sz="0" w:space="0" w:color="auto"/>
        <w:bottom w:val="none" w:sz="0" w:space="0" w:color="auto"/>
        <w:right w:val="none" w:sz="0" w:space="0" w:color="auto"/>
      </w:divBdr>
    </w:div>
    <w:div w:id="168496189">
      <w:bodyDiv w:val="1"/>
      <w:marLeft w:val="0"/>
      <w:marRight w:val="0"/>
      <w:marTop w:val="0"/>
      <w:marBottom w:val="0"/>
      <w:divBdr>
        <w:top w:val="none" w:sz="0" w:space="0" w:color="auto"/>
        <w:left w:val="none" w:sz="0" w:space="0" w:color="auto"/>
        <w:bottom w:val="none" w:sz="0" w:space="0" w:color="auto"/>
        <w:right w:val="none" w:sz="0" w:space="0" w:color="auto"/>
      </w:divBdr>
    </w:div>
    <w:div w:id="168984373">
      <w:bodyDiv w:val="1"/>
      <w:marLeft w:val="0"/>
      <w:marRight w:val="0"/>
      <w:marTop w:val="0"/>
      <w:marBottom w:val="0"/>
      <w:divBdr>
        <w:top w:val="none" w:sz="0" w:space="0" w:color="auto"/>
        <w:left w:val="none" w:sz="0" w:space="0" w:color="auto"/>
        <w:bottom w:val="none" w:sz="0" w:space="0" w:color="auto"/>
        <w:right w:val="none" w:sz="0" w:space="0" w:color="auto"/>
      </w:divBdr>
    </w:div>
    <w:div w:id="176962678">
      <w:bodyDiv w:val="1"/>
      <w:marLeft w:val="0"/>
      <w:marRight w:val="0"/>
      <w:marTop w:val="0"/>
      <w:marBottom w:val="0"/>
      <w:divBdr>
        <w:top w:val="none" w:sz="0" w:space="0" w:color="auto"/>
        <w:left w:val="none" w:sz="0" w:space="0" w:color="auto"/>
        <w:bottom w:val="none" w:sz="0" w:space="0" w:color="auto"/>
        <w:right w:val="none" w:sz="0" w:space="0" w:color="auto"/>
      </w:divBdr>
    </w:div>
    <w:div w:id="181096748">
      <w:bodyDiv w:val="1"/>
      <w:marLeft w:val="0"/>
      <w:marRight w:val="0"/>
      <w:marTop w:val="0"/>
      <w:marBottom w:val="0"/>
      <w:divBdr>
        <w:top w:val="none" w:sz="0" w:space="0" w:color="auto"/>
        <w:left w:val="none" w:sz="0" w:space="0" w:color="auto"/>
        <w:bottom w:val="none" w:sz="0" w:space="0" w:color="auto"/>
        <w:right w:val="none" w:sz="0" w:space="0" w:color="auto"/>
      </w:divBdr>
    </w:div>
    <w:div w:id="201478308">
      <w:bodyDiv w:val="1"/>
      <w:marLeft w:val="0"/>
      <w:marRight w:val="0"/>
      <w:marTop w:val="0"/>
      <w:marBottom w:val="0"/>
      <w:divBdr>
        <w:top w:val="none" w:sz="0" w:space="0" w:color="auto"/>
        <w:left w:val="none" w:sz="0" w:space="0" w:color="auto"/>
        <w:bottom w:val="none" w:sz="0" w:space="0" w:color="auto"/>
        <w:right w:val="none" w:sz="0" w:space="0" w:color="auto"/>
      </w:divBdr>
    </w:div>
    <w:div w:id="214389564">
      <w:bodyDiv w:val="1"/>
      <w:marLeft w:val="0"/>
      <w:marRight w:val="0"/>
      <w:marTop w:val="0"/>
      <w:marBottom w:val="0"/>
      <w:divBdr>
        <w:top w:val="none" w:sz="0" w:space="0" w:color="auto"/>
        <w:left w:val="none" w:sz="0" w:space="0" w:color="auto"/>
        <w:bottom w:val="none" w:sz="0" w:space="0" w:color="auto"/>
        <w:right w:val="none" w:sz="0" w:space="0" w:color="auto"/>
      </w:divBdr>
    </w:div>
    <w:div w:id="224411498">
      <w:bodyDiv w:val="1"/>
      <w:marLeft w:val="0"/>
      <w:marRight w:val="0"/>
      <w:marTop w:val="0"/>
      <w:marBottom w:val="0"/>
      <w:divBdr>
        <w:top w:val="none" w:sz="0" w:space="0" w:color="auto"/>
        <w:left w:val="none" w:sz="0" w:space="0" w:color="auto"/>
        <w:bottom w:val="none" w:sz="0" w:space="0" w:color="auto"/>
        <w:right w:val="none" w:sz="0" w:space="0" w:color="auto"/>
      </w:divBdr>
    </w:div>
    <w:div w:id="228539037">
      <w:bodyDiv w:val="1"/>
      <w:marLeft w:val="0"/>
      <w:marRight w:val="0"/>
      <w:marTop w:val="0"/>
      <w:marBottom w:val="0"/>
      <w:divBdr>
        <w:top w:val="none" w:sz="0" w:space="0" w:color="auto"/>
        <w:left w:val="none" w:sz="0" w:space="0" w:color="auto"/>
        <w:bottom w:val="none" w:sz="0" w:space="0" w:color="auto"/>
        <w:right w:val="none" w:sz="0" w:space="0" w:color="auto"/>
      </w:divBdr>
    </w:div>
    <w:div w:id="231232480">
      <w:bodyDiv w:val="1"/>
      <w:marLeft w:val="0"/>
      <w:marRight w:val="0"/>
      <w:marTop w:val="0"/>
      <w:marBottom w:val="0"/>
      <w:divBdr>
        <w:top w:val="none" w:sz="0" w:space="0" w:color="auto"/>
        <w:left w:val="none" w:sz="0" w:space="0" w:color="auto"/>
        <w:bottom w:val="none" w:sz="0" w:space="0" w:color="auto"/>
        <w:right w:val="none" w:sz="0" w:space="0" w:color="auto"/>
      </w:divBdr>
    </w:div>
    <w:div w:id="235407133">
      <w:bodyDiv w:val="1"/>
      <w:marLeft w:val="0"/>
      <w:marRight w:val="0"/>
      <w:marTop w:val="0"/>
      <w:marBottom w:val="0"/>
      <w:divBdr>
        <w:top w:val="none" w:sz="0" w:space="0" w:color="auto"/>
        <w:left w:val="none" w:sz="0" w:space="0" w:color="auto"/>
        <w:bottom w:val="none" w:sz="0" w:space="0" w:color="auto"/>
        <w:right w:val="none" w:sz="0" w:space="0" w:color="auto"/>
      </w:divBdr>
    </w:div>
    <w:div w:id="236789424">
      <w:bodyDiv w:val="1"/>
      <w:marLeft w:val="0"/>
      <w:marRight w:val="0"/>
      <w:marTop w:val="0"/>
      <w:marBottom w:val="0"/>
      <w:divBdr>
        <w:top w:val="none" w:sz="0" w:space="0" w:color="auto"/>
        <w:left w:val="none" w:sz="0" w:space="0" w:color="auto"/>
        <w:bottom w:val="none" w:sz="0" w:space="0" w:color="auto"/>
        <w:right w:val="none" w:sz="0" w:space="0" w:color="auto"/>
      </w:divBdr>
    </w:div>
    <w:div w:id="238444420">
      <w:bodyDiv w:val="1"/>
      <w:marLeft w:val="0"/>
      <w:marRight w:val="0"/>
      <w:marTop w:val="0"/>
      <w:marBottom w:val="0"/>
      <w:divBdr>
        <w:top w:val="none" w:sz="0" w:space="0" w:color="auto"/>
        <w:left w:val="none" w:sz="0" w:space="0" w:color="auto"/>
        <w:bottom w:val="none" w:sz="0" w:space="0" w:color="auto"/>
        <w:right w:val="none" w:sz="0" w:space="0" w:color="auto"/>
      </w:divBdr>
    </w:div>
    <w:div w:id="238487964">
      <w:bodyDiv w:val="1"/>
      <w:marLeft w:val="0"/>
      <w:marRight w:val="0"/>
      <w:marTop w:val="0"/>
      <w:marBottom w:val="0"/>
      <w:divBdr>
        <w:top w:val="none" w:sz="0" w:space="0" w:color="auto"/>
        <w:left w:val="none" w:sz="0" w:space="0" w:color="auto"/>
        <w:bottom w:val="none" w:sz="0" w:space="0" w:color="auto"/>
        <w:right w:val="none" w:sz="0" w:space="0" w:color="auto"/>
      </w:divBdr>
    </w:div>
    <w:div w:id="248001242">
      <w:bodyDiv w:val="1"/>
      <w:marLeft w:val="0"/>
      <w:marRight w:val="0"/>
      <w:marTop w:val="0"/>
      <w:marBottom w:val="0"/>
      <w:divBdr>
        <w:top w:val="none" w:sz="0" w:space="0" w:color="auto"/>
        <w:left w:val="none" w:sz="0" w:space="0" w:color="auto"/>
        <w:bottom w:val="none" w:sz="0" w:space="0" w:color="auto"/>
        <w:right w:val="none" w:sz="0" w:space="0" w:color="auto"/>
      </w:divBdr>
    </w:div>
    <w:div w:id="251400338">
      <w:bodyDiv w:val="1"/>
      <w:marLeft w:val="0"/>
      <w:marRight w:val="0"/>
      <w:marTop w:val="0"/>
      <w:marBottom w:val="0"/>
      <w:divBdr>
        <w:top w:val="none" w:sz="0" w:space="0" w:color="auto"/>
        <w:left w:val="none" w:sz="0" w:space="0" w:color="auto"/>
        <w:bottom w:val="none" w:sz="0" w:space="0" w:color="auto"/>
        <w:right w:val="none" w:sz="0" w:space="0" w:color="auto"/>
      </w:divBdr>
    </w:div>
    <w:div w:id="271134479">
      <w:bodyDiv w:val="1"/>
      <w:marLeft w:val="0"/>
      <w:marRight w:val="0"/>
      <w:marTop w:val="0"/>
      <w:marBottom w:val="0"/>
      <w:divBdr>
        <w:top w:val="none" w:sz="0" w:space="0" w:color="auto"/>
        <w:left w:val="none" w:sz="0" w:space="0" w:color="auto"/>
        <w:bottom w:val="none" w:sz="0" w:space="0" w:color="auto"/>
        <w:right w:val="none" w:sz="0" w:space="0" w:color="auto"/>
      </w:divBdr>
    </w:div>
    <w:div w:id="281111418">
      <w:bodyDiv w:val="1"/>
      <w:marLeft w:val="0"/>
      <w:marRight w:val="0"/>
      <w:marTop w:val="0"/>
      <w:marBottom w:val="0"/>
      <w:divBdr>
        <w:top w:val="none" w:sz="0" w:space="0" w:color="auto"/>
        <w:left w:val="none" w:sz="0" w:space="0" w:color="auto"/>
        <w:bottom w:val="none" w:sz="0" w:space="0" w:color="auto"/>
        <w:right w:val="none" w:sz="0" w:space="0" w:color="auto"/>
      </w:divBdr>
    </w:div>
    <w:div w:id="281150579">
      <w:bodyDiv w:val="1"/>
      <w:marLeft w:val="0"/>
      <w:marRight w:val="0"/>
      <w:marTop w:val="0"/>
      <w:marBottom w:val="0"/>
      <w:divBdr>
        <w:top w:val="none" w:sz="0" w:space="0" w:color="auto"/>
        <w:left w:val="none" w:sz="0" w:space="0" w:color="auto"/>
        <w:bottom w:val="none" w:sz="0" w:space="0" w:color="auto"/>
        <w:right w:val="none" w:sz="0" w:space="0" w:color="auto"/>
      </w:divBdr>
    </w:div>
    <w:div w:id="304161461">
      <w:bodyDiv w:val="1"/>
      <w:marLeft w:val="0"/>
      <w:marRight w:val="0"/>
      <w:marTop w:val="0"/>
      <w:marBottom w:val="0"/>
      <w:divBdr>
        <w:top w:val="none" w:sz="0" w:space="0" w:color="auto"/>
        <w:left w:val="none" w:sz="0" w:space="0" w:color="auto"/>
        <w:bottom w:val="none" w:sz="0" w:space="0" w:color="auto"/>
        <w:right w:val="none" w:sz="0" w:space="0" w:color="auto"/>
      </w:divBdr>
    </w:div>
    <w:div w:id="305553165">
      <w:bodyDiv w:val="1"/>
      <w:marLeft w:val="0"/>
      <w:marRight w:val="0"/>
      <w:marTop w:val="0"/>
      <w:marBottom w:val="0"/>
      <w:divBdr>
        <w:top w:val="none" w:sz="0" w:space="0" w:color="auto"/>
        <w:left w:val="none" w:sz="0" w:space="0" w:color="auto"/>
        <w:bottom w:val="none" w:sz="0" w:space="0" w:color="auto"/>
        <w:right w:val="none" w:sz="0" w:space="0" w:color="auto"/>
      </w:divBdr>
    </w:div>
    <w:div w:id="309139042">
      <w:bodyDiv w:val="1"/>
      <w:marLeft w:val="0"/>
      <w:marRight w:val="0"/>
      <w:marTop w:val="0"/>
      <w:marBottom w:val="0"/>
      <w:divBdr>
        <w:top w:val="none" w:sz="0" w:space="0" w:color="auto"/>
        <w:left w:val="none" w:sz="0" w:space="0" w:color="auto"/>
        <w:bottom w:val="none" w:sz="0" w:space="0" w:color="auto"/>
        <w:right w:val="none" w:sz="0" w:space="0" w:color="auto"/>
      </w:divBdr>
    </w:div>
    <w:div w:id="318268654">
      <w:bodyDiv w:val="1"/>
      <w:marLeft w:val="0"/>
      <w:marRight w:val="0"/>
      <w:marTop w:val="0"/>
      <w:marBottom w:val="0"/>
      <w:divBdr>
        <w:top w:val="none" w:sz="0" w:space="0" w:color="auto"/>
        <w:left w:val="none" w:sz="0" w:space="0" w:color="auto"/>
        <w:bottom w:val="none" w:sz="0" w:space="0" w:color="auto"/>
        <w:right w:val="none" w:sz="0" w:space="0" w:color="auto"/>
      </w:divBdr>
    </w:div>
    <w:div w:id="341467948">
      <w:bodyDiv w:val="1"/>
      <w:marLeft w:val="0"/>
      <w:marRight w:val="0"/>
      <w:marTop w:val="0"/>
      <w:marBottom w:val="0"/>
      <w:divBdr>
        <w:top w:val="none" w:sz="0" w:space="0" w:color="auto"/>
        <w:left w:val="none" w:sz="0" w:space="0" w:color="auto"/>
        <w:bottom w:val="none" w:sz="0" w:space="0" w:color="auto"/>
        <w:right w:val="none" w:sz="0" w:space="0" w:color="auto"/>
      </w:divBdr>
    </w:div>
    <w:div w:id="410394470">
      <w:bodyDiv w:val="1"/>
      <w:marLeft w:val="0"/>
      <w:marRight w:val="0"/>
      <w:marTop w:val="0"/>
      <w:marBottom w:val="0"/>
      <w:divBdr>
        <w:top w:val="none" w:sz="0" w:space="0" w:color="auto"/>
        <w:left w:val="none" w:sz="0" w:space="0" w:color="auto"/>
        <w:bottom w:val="none" w:sz="0" w:space="0" w:color="auto"/>
        <w:right w:val="none" w:sz="0" w:space="0" w:color="auto"/>
      </w:divBdr>
    </w:div>
    <w:div w:id="415977494">
      <w:bodyDiv w:val="1"/>
      <w:marLeft w:val="0"/>
      <w:marRight w:val="0"/>
      <w:marTop w:val="0"/>
      <w:marBottom w:val="0"/>
      <w:divBdr>
        <w:top w:val="none" w:sz="0" w:space="0" w:color="auto"/>
        <w:left w:val="none" w:sz="0" w:space="0" w:color="auto"/>
        <w:bottom w:val="none" w:sz="0" w:space="0" w:color="auto"/>
        <w:right w:val="none" w:sz="0" w:space="0" w:color="auto"/>
      </w:divBdr>
    </w:div>
    <w:div w:id="429161071">
      <w:bodyDiv w:val="1"/>
      <w:marLeft w:val="0"/>
      <w:marRight w:val="0"/>
      <w:marTop w:val="0"/>
      <w:marBottom w:val="0"/>
      <w:divBdr>
        <w:top w:val="none" w:sz="0" w:space="0" w:color="auto"/>
        <w:left w:val="none" w:sz="0" w:space="0" w:color="auto"/>
        <w:bottom w:val="none" w:sz="0" w:space="0" w:color="auto"/>
        <w:right w:val="none" w:sz="0" w:space="0" w:color="auto"/>
      </w:divBdr>
    </w:div>
    <w:div w:id="435489360">
      <w:bodyDiv w:val="1"/>
      <w:marLeft w:val="0"/>
      <w:marRight w:val="0"/>
      <w:marTop w:val="0"/>
      <w:marBottom w:val="0"/>
      <w:divBdr>
        <w:top w:val="none" w:sz="0" w:space="0" w:color="auto"/>
        <w:left w:val="none" w:sz="0" w:space="0" w:color="auto"/>
        <w:bottom w:val="none" w:sz="0" w:space="0" w:color="auto"/>
        <w:right w:val="none" w:sz="0" w:space="0" w:color="auto"/>
      </w:divBdr>
    </w:div>
    <w:div w:id="435641264">
      <w:bodyDiv w:val="1"/>
      <w:marLeft w:val="0"/>
      <w:marRight w:val="0"/>
      <w:marTop w:val="0"/>
      <w:marBottom w:val="0"/>
      <w:divBdr>
        <w:top w:val="none" w:sz="0" w:space="0" w:color="auto"/>
        <w:left w:val="none" w:sz="0" w:space="0" w:color="auto"/>
        <w:bottom w:val="none" w:sz="0" w:space="0" w:color="auto"/>
        <w:right w:val="none" w:sz="0" w:space="0" w:color="auto"/>
      </w:divBdr>
    </w:div>
    <w:div w:id="436364588">
      <w:bodyDiv w:val="1"/>
      <w:marLeft w:val="0"/>
      <w:marRight w:val="0"/>
      <w:marTop w:val="0"/>
      <w:marBottom w:val="0"/>
      <w:divBdr>
        <w:top w:val="none" w:sz="0" w:space="0" w:color="auto"/>
        <w:left w:val="none" w:sz="0" w:space="0" w:color="auto"/>
        <w:bottom w:val="none" w:sz="0" w:space="0" w:color="auto"/>
        <w:right w:val="none" w:sz="0" w:space="0" w:color="auto"/>
      </w:divBdr>
    </w:div>
    <w:div w:id="437915981">
      <w:bodyDiv w:val="1"/>
      <w:marLeft w:val="0"/>
      <w:marRight w:val="0"/>
      <w:marTop w:val="0"/>
      <w:marBottom w:val="0"/>
      <w:divBdr>
        <w:top w:val="none" w:sz="0" w:space="0" w:color="auto"/>
        <w:left w:val="none" w:sz="0" w:space="0" w:color="auto"/>
        <w:bottom w:val="none" w:sz="0" w:space="0" w:color="auto"/>
        <w:right w:val="none" w:sz="0" w:space="0" w:color="auto"/>
      </w:divBdr>
    </w:div>
    <w:div w:id="470098317">
      <w:bodyDiv w:val="1"/>
      <w:marLeft w:val="0"/>
      <w:marRight w:val="0"/>
      <w:marTop w:val="0"/>
      <w:marBottom w:val="0"/>
      <w:divBdr>
        <w:top w:val="none" w:sz="0" w:space="0" w:color="auto"/>
        <w:left w:val="none" w:sz="0" w:space="0" w:color="auto"/>
        <w:bottom w:val="none" w:sz="0" w:space="0" w:color="auto"/>
        <w:right w:val="none" w:sz="0" w:space="0" w:color="auto"/>
      </w:divBdr>
    </w:div>
    <w:div w:id="478575459">
      <w:bodyDiv w:val="1"/>
      <w:marLeft w:val="0"/>
      <w:marRight w:val="0"/>
      <w:marTop w:val="0"/>
      <w:marBottom w:val="0"/>
      <w:divBdr>
        <w:top w:val="none" w:sz="0" w:space="0" w:color="auto"/>
        <w:left w:val="none" w:sz="0" w:space="0" w:color="auto"/>
        <w:bottom w:val="none" w:sz="0" w:space="0" w:color="auto"/>
        <w:right w:val="none" w:sz="0" w:space="0" w:color="auto"/>
      </w:divBdr>
    </w:div>
    <w:div w:id="494882710">
      <w:bodyDiv w:val="1"/>
      <w:marLeft w:val="0"/>
      <w:marRight w:val="0"/>
      <w:marTop w:val="0"/>
      <w:marBottom w:val="0"/>
      <w:divBdr>
        <w:top w:val="none" w:sz="0" w:space="0" w:color="auto"/>
        <w:left w:val="none" w:sz="0" w:space="0" w:color="auto"/>
        <w:bottom w:val="none" w:sz="0" w:space="0" w:color="auto"/>
        <w:right w:val="none" w:sz="0" w:space="0" w:color="auto"/>
      </w:divBdr>
    </w:div>
    <w:div w:id="504318501">
      <w:bodyDiv w:val="1"/>
      <w:marLeft w:val="0"/>
      <w:marRight w:val="0"/>
      <w:marTop w:val="0"/>
      <w:marBottom w:val="0"/>
      <w:divBdr>
        <w:top w:val="none" w:sz="0" w:space="0" w:color="auto"/>
        <w:left w:val="none" w:sz="0" w:space="0" w:color="auto"/>
        <w:bottom w:val="none" w:sz="0" w:space="0" w:color="auto"/>
        <w:right w:val="none" w:sz="0" w:space="0" w:color="auto"/>
      </w:divBdr>
    </w:div>
    <w:div w:id="505291893">
      <w:bodyDiv w:val="1"/>
      <w:marLeft w:val="0"/>
      <w:marRight w:val="0"/>
      <w:marTop w:val="0"/>
      <w:marBottom w:val="0"/>
      <w:divBdr>
        <w:top w:val="none" w:sz="0" w:space="0" w:color="auto"/>
        <w:left w:val="none" w:sz="0" w:space="0" w:color="auto"/>
        <w:bottom w:val="none" w:sz="0" w:space="0" w:color="auto"/>
        <w:right w:val="none" w:sz="0" w:space="0" w:color="auto"/>
      </w:divBdr>
    </w:div>
    <w:div w:id="523980471">
      <w:bodyDiv w:val="1"/>
      <w:marLeft w:val="0"/>
      <w:marRight w:val="0"/>
      <w:marTop w:val="0"/>
      <w:marBottom w:val="0"/>
      <w:divBdr>
        <w:top w:val="none" w:sz="0" w:space="0" w:color="auto"/>
        <w:left w:val="none" w:sz="0" w:space="0" w:color="auto"/>
        <w:bottom w:val="none" w:sz="0" w:space="0" w:color="auto"/>
        <w:right w:val="none" w:sz="0" w:space="0" w:color="auto"/>
      </w:divBdr>
    </w:div>
    <w:div w:id="528299270">
      <w:bodyDiv w:val="1"/>
      <w:marLeft w:val="0"/>
      <w:marRight w:val="0"/>
      <w:marTop w:val="0"/>
      <w:marBottom w:val="0"/>
      <w:divBdr>
        <w:top w:val="none" w:sz="0" w:space="0" w:color="auto"/>
        <w:left w:val="none" w:sz="0" w:space="0" w:color="auto"/>
        <w:bottom w:val="none" w:sz="0" w:space="0" w:color="auto"/>
        <w:right w:val="none" w:sz="0" w:space="0" w:color="auto"/>
      </w:divBdr>
    </w:div>
    <w:div w:id="530533330">
      <w:bodyDiv w:val="1"/>
      <w:marLeft w:val="0"/>
      <w:marRight w:val="0"/>
      <w:marTop w:val="0"/>
      <w:marBottom w:val="0"/>
      <w:divBdr>
        <w:top w:val="none" w:sz="0" w:space="0" w:color="auto"/>
        <w:left w:val="none" w:sz="0" w:space="0" w:color="auto"/>
        <w:bottom w:val="none" w:sz="0" w:space="0" w:color="auto"/>
        <w:right w:val="none" w:sz="0" w:space="0" w:color="auto"/>
      </w:divBdr>
    </w:div>
    <w:div w:id="547497342">
      <w:bodyDiv w:val="1"/>
      <w:marLeft w:val="0"/>
      <w:marRight w:val="0"/>
      <w:marTop w:val="0"/>
      <w:marBottom w:val="0"/>
      <w:divBdr>
        <w:top w:val="none" w:sz="0" w:space="0" w:color="auto"/>
        <w:left w:val="none" w:sz="0" w:space="0" w:color="auto"/>
        <w:bottom w:val="none" w:sz="0" w:space="0" w:color="auto"/>
        <w:right w:val="none" w:sz="0" w:space="0" w:color="auto"/>
      </w:divBdr>
    </w:div>
    <w:div w:id="561600477">
      <w:bodyDiv w:val="1"/>
      <w:marLeft w:val="0"/>
      <w:marRight w:val="0"/>
      <w:marTop w:val="0"/>
      <w:marBottom w:val="0"/>
      <w:divBdr>
        <w:top w:val="none" w:sz="0" w:space="0" w:color="auto"/>
        <w:left w:val="none" w:sz="0" w:space="0" w:color="auto"/>
        <w:bottom w:val="none" w:sz="0" w:space="0" w:color="auto"/>
        <w:right w:val="none" w:sz="0" w:space="0" w:color="auto"/>
      </w:divBdr>
    </w:div>
    <w:div w:id="583338046">
      <w:bodyDiv w:val="1"/>
      <w:marLeft w:val="0"/>
      <w:marRight w:val="0"/>
      <w:marTop w:val="0"/>
      <w:marBottom w:val="0"/>
      <w:divBdr>
        <w:top w:val="none" w:sz="0" w:space="0" w:color="auto"/>
        <w:left w:val="none" w:sz="0" w:space="0" w:color="auto"/>
        <w:bottom w:val="none" w:sz="0" w:space="0" w:color="auto"/>
        <w:right w:val="none" w:sz="0" w:space="0" w:color="auto"/>
      </w:divBdr>
    </w:div>
    <w:div w:id="612635711">
      <w:bodyDiv w:val="1"/>
      <w:marLeft w:val="0"/>
      <w:marRight w:val="0"/>
      <w:marTop w:val="0"/>
      <w:marBottom w:val="0"/>
      <w:divBdr>
        <w:top w:val="none" w:sz="0" w:space="0" w:color="auto"/>
        <w:left w:val="none" w:sz="0" w:space="0" w:color="auto"/>
        <w:bottom w:val="none" w:sz="0" w:space="0" w:color="auto"/>
        <w:right w:val="none" w:sz="0" w:space="0" w:color="auto"/>
      </w:divBdr>
    </w:div>
    <w:div w:id="620838881">
      <w:bodyDiv w:val="1"/>
      <w:marLeft w:val="0"/>
      <w:marRight w:val="0"/>
      <w:marTop w:val="0"/>
      <w:marBottom w:val="0"/>
      <w:divBdr>
        <w:top w:val="none" w:sz="0" w:space="0" w:color="auto"/>
        <w:left w:val="none" w:sz="0" w:space="0" w:color="auto"/>
        <w:bottom w:val="none" w:sz="0" w:space="0" w:color="auto"/>
        <w:right w:val="none" w:sz="0" w:space="0" w:color="auto"/>
      </w:divBdr>
    </w:div>
    <w:div w:id="630482778">
      <w:bodyDiv w:val="1"/>
      <w:marLeft w:val="0"/>
      <w:marRight w:val="0"/>
      <w:marTop w:val="0"/>
      <w:marBottom w:val="0"/>
      <w:divBdr>
        <w:top w:val="none" w:sz="0" w:space="0" w:color="auto"/>
        <w:left w:val="none" w:sz="0" w:space="0" w:color="auto"/>
        <w:bottom w:val="none" w:sz="0" w:space="0" w:color="auto"/>
        <w:right w:val="none" w:sz="0" w:space="0" w:color="auto"/>
      </w:divBdr>
    </w:div>
    <w:div w:id="645161228">
      <w:bodyDiv w:val="1"/>
      <w:marLeft w:val="0"/>
      <w:marRight w:val="0"/>
      <w:marTop w:val="0"/>
      <w:marBottom w:val="0"/>
      <w:divBdr>
        <w:top w:val="none" w:sz="0" w:space="0" w:color="auto"/>
        <w:left w:val="none" w:sz="0" w:space="0" w:color="auto"/>
        <w:bottom w:val="none" w:sz="0" w:space="0" w:color="auto"/>
        <w:right w:val="none" w:sz="0" w:space="0" w:color="auto"/>
      </w:divBdr>
    </w:div>
    <w:div w:id="662391075">
      <w:bodyDiv w:val="1"/>
      <w:marLeft w:val="0"/>
      <w:marRight w:val="0"/>
      <w:marTop w:val="0"/>
      <w:marBottom w:val="0"/>
      <w:divBdr>
        <w:top w:val="none" w:sz="0" w:space="0" w:color="auto"/>
        <w:left w:val="none" w:sz="0" w:space="0" w:color="auto"/>
        <w:bottom w:val="none" w:sz="0" w:space="0" w:color="auto"/>
        <w:right w:val="none" w:sz="0" w:space="0" w:color="auto"/>
      </w:divBdr>
    </w:div>
    <w:div w:id="688800369">
      <w:bodyDiv w:val="1"/>
      <w:marLeft w:val="0"/>
      <w:marRight w:val="0"/>
      <w:marTop w:val="0"/>
      <w:marBottom w:val="0"/>
      <w:divBdr>
        <w:top w:val="none" w:sz="0" w:space="0" w:color="auto"/>
        <w:left w:val="none" w:sz="0" w:space="0" w:color="auto"/>
        <w:bottom w:val="none" w:sz="0" w:space="0" w:color="auto"/>
        <w:right w:val="none" w:sz="0" w:space="0" w:color="auto"/>
      </w:divBdr>
    </w:div>
    <w:div w:id="693115025">
      <w:bodyDiv w:val="1"/>
      <w:marLeft w:val="0"/>
      <w:marRight w:val="0"/>
      <w:marTop w:val="0"/>
      <w:marBottom w:val="0"/>
      <w:divBdr>
        <w:top w:val="none" w:sz="0" w:space="0" w:color="auto"/>
        <w:left w:val="none" w:sz="0" w:space="0" w:color="auto"/>
        <w:bottom w:val="none" w:sz="0" w:space="0" w:color="auto"/>
        <w:right w:val="none" w:sz="0" w:space="0" w:color="auto"/>
      </w:divBdr>
    </w:div>
    <w:div w:id="695084713">
      <w:bodyDiv w:val="1"/>
      <w:marLeft w:val="0"/>
      <w:marRight w:val="0"/>
      <w:marTop w:val="0"/>
      <w:marBottom w:val="0"/>
      <w:divBdr>
        <w:top w:val="none" w:sz="0" w:space="0" w:color="auto"/>
        <w:left w:val="none" w:sz="0" w:space="0" w:color="auto"/>
        <w:bottom w:val="none" w:sz="0" w:space="0" w:color="auto"/>
        <w:right w:val="none" w:sz="0" w:space="0" w:color="auto"/>
      </w:divBdr>
    </w:div>
    <w:div w:id="698436420">
      <w:bodyDiv w:val="1"/>
      <w:marLeft w:val="0"/>
      <w:marRight w:val="0"/>
      <w:marTop w:val="0"/>
      <w:marBottom w:val="0"/>
      <w:divBdr>
        <w:top w:val="none" w:sz="0" w:space="0" w:color="auto"/>
        <w:left w:val="none" w:sz="0" w:space="0" w:color="auto"/>
        <w:bottom w:val="none" w:sz="0" w:space="0" w:color="auto"/>
        <w:right w:val="none" w:sz="0" w:space="0" w:color="auto"/>
      </w:divBdr>
    </w:div>
    <w:div w:id="709649247">
      <w:bodyDiv w:val="1"/>
      <w:marLeft w:val="0"/>
      <w:marRight w:val="0"/>
      <w:marTop w:val="0"/>
      <w:marBottom w:val="0"/>
      <w:divBdr>
        <w:top w:val="none" w:sz="0" w:space="0" w:color="auto"/>
        <w:left w:val="none" w:sz="0" w:space="0" w:color="auto"/>
        <w:bottom w:val="none" w:sz="0" w:space="0" w:color="auto"/>
        <w:right w:val="none" w:sz="0" w:space="0" w:color="auto"/>
      </w:divBdr>
    </w:div>
    <w:div w:id="720715385">
      <w:bodyDiv w:val="1"/>
      <w:marLeft w:val="0"/>
      <w:marRight w:val="0"/>
      <w:marTop w:val="0"/>
      <w:marBottom w:val="0"/>
      <w:divBdr>
        <w:top w:val="none" w:sz="0" w:space="0" w:color="auto"/>
        <w:left w:val="none" w:sz="0" w:space="0" w:color="auto"/>
        <w:bottom w:val="none" w:sz="0" w:space="0" w:color="auto"/>
        <w:right w:val="none" w:sz="0" w:space="0" w:color="auto"/>
      </w:divBdr>
    </w:div>
    <w:div w:id="720783496">
      <w:bodyDiv w:val="1"/>
      <w:marLeft w:val="0"/>
      <w:marRight w:val="0"/>
      <w:marTop w:val="0"/>
      <w:marBottom w:val="0"/>
      <w:divBdr>
        <w:top w:val="none" w:sz="0" w:space="0" w:color="auto"/>
        <w:left w:val="none" w:sz="0" w:space="0" w:color="auto"/>
        <w:bottom w:val="none" w:sz="0" w:space="0" w:color="auto"/>
        <w:right w:val="none" w:sz="0" w:space="0" w:color="auto"/>
      </w:divBdr>
    </w:div>
    <w:div w:id="723145339">
      <w:bodyDiv w:val="1"/>
      <w:marLeft w:val="0"/>
      <w:marRight w:val="0"/>
      <w:marTop w:val="0"/>
      <w:marBottom w:val="0"/>
      <w:divBdr>
        <w:top w:val="none" w:sz="0" w:space="0" w:color="auto"/>
        <w:left w:val="none" w:sz="0" w:space="0" w:color="auto"/>
        <w:bottom w:val="none" w:sz="0" w:space="0" w:color="auto"/>
        <w:right w:val="none" w:sz="0" w:space="0" w:color="auto"/>
      </w:divBdr>
    </w:div>
    <w:div w:id="766460949">
      <w:bodyDiv w:val="1"/>
      <w:marLeft w:val="0"/>
      <w:marRight w:val="0"/>
      <w:marTop w:val="0"/>
      <w:marBottom w:val="0"/>
      <w:divBdr>
        <w:top w:val="none" w:sz="0" w:space="0" w:color="auto"/>
        <w:left w:val="none" w:sz="0" w:space="0" w:color="auto"/>
        <w:bottom w:val="none" w:sz="0" w:space="0" w:color="auto"/>
        <w:right w:val="none" w:sz="0" w:space="0" w:color="auto"/>
      </w:divBdr>
    </w:div>
    <w:div w:id="769471392">
      <w:bodyDiv w:val="1"/>
      <w:marLeft w:val="0"/>
      <w:marRight w:val="0"/>
      <w:marTop w:val="0"/>
      <w:marBottom w:val="0"/>
      <w:divBdr>
        <w:top w:val="none" w:sz="0" w:space="0" w:color="auto"/>
        <w:left w:val="none" w:sz="0" w:space="0" w:color="auto"/>
        <w:bottom w:val="none" w:sz="0" w:space="0" w:color="auto"/>
        <w:right w:val="none" w:sz="0" w:space="0" w:color="auto"/>
      </w:divBdr>
    </w:div>
    <w:div w:id="798573545">
      <w:bodyDiv w:val="1"/>
      <w:marLeft w:val="0"/>
      <w:marRight w:val="0"/>
      <w:marTop w:val="0"/>
      <w:marBottom w:val="0"/>
      <w:divBdr>
        <w:top w:val="none" w:sz="0" w:space="0" w:color="auto"/>
        <w:left w:val="none" w:sz="0" w:space="0" w:color="auto"/>
        <w:bottom w:val="none" w:sz="0" w:space="0" w:color="auto"/>
        <w:right w:val="none" w:sz="0" w:space="0" w:color="auto"/>
      </w:divBdr>
    </w:div>
    <w:div w:id="804012094">
      <w:bodyDiv w:val="1"/>
      <w:marLeft w:val="0"/>
      <w:marRight w:val="0"/>
      <w:marTop w:val="0"/>
      <w:marBottom w:val="0"/>
      <w:divBdr>
        <w:top w:val="none" w:sz="0" w:space="0" w:color="auto"/>
        <w:left w:val="none" w:sz="0" w:space="0" w:color="auto"/>
        <w:bottom w:val="none" w:sz="0" w:space="0" w:color="auto"/>
        <w:right w:val="none" w:sz="0" w:space="0" w:color="auto"/>
      </w:divBdr>
    </w:div>
    <w:div w:id="844591756">
      <w:bodyDiv w:val="1"/>
      <w:marLeft w:val="0"/>
      <w:marRight w:val="0"/>
      <w:marTop w:val="0"/>
      <w:marBottom w:val="0"/>
      <w:divBdr>
        <w:top w:val="none" w:sz="0" w:space="0" w:color="auto"/>
        <w:left w:val="none" w:sz="0" w:space="0" w:color="auto"/>
        <w:bottom w:val="none" w:sz="0" w:space="0" w:color="auto"/>
        <w:right w:val="none" w:sz="0" w:space="0" w:color="auto"/>
      </w:divBdr>
    </w:div>
    <w:div w:id="850147304">
      <w:bodyDiv w:val="1"/>
      <w:marLeft w:val="0"/>
      <w:marRight w:val="0"/>
      <w:marTop w:val="0"/>
      <w:marBottom w:val="0"/>
      <w:divBdr>
        <w:top w:val="none" w:sz="0" w:space="0" w:color="auto"/>
        <w:left w:val="none" w:sz="0" w:space="0" w:color="auto"/>
        <w:bottom w:val="none" w:sz="0" w:space="0" w:color="auto"/>
        <w:right w:val="none" w:sz="0" w:space="0" w:color="auto"/>
      </w:divBdr>
    </w:div>
    <w:div w:id="850291665">
      <w:bodyDiv w:val="1"/>
      <w:marLeft w:val="0"/>
      <w:marRight w:val="0"/>
      <w:marTop w:val="0"/>
      <w:marBottom w:val="0"/>
      <w:divBdr>
        <w:top w:val="none" w:sz="0" w:space="0" w:color="auto"/>
        <w:left w:val="none" w:sz="0" w:space="0" w:color="auto"/>
        <w:bottom w:val="none" w:sz="0" w:space="0" w:color="auto"/>
        <w:right w:val="none" w:sz="0" w:space="0" w:color="auto"/>
      </w:divBdr>
    </w:div>
    <w:div w:id="852914683">
      <w:bodyDiv w:val="1"/>
      <w:marLeft w:val="0"/>
      <w:marRight w:val="0"/>
      <w:marTop w:val="0"/>
      <w:marBottom w:val="0"/>
      <w:divBdr>
        <w:top w:val="none" w:sz="0" w:space="0" w:color="auto"/>
        <w:left w:val="none" w:sz="0" w:space="0" w:color="auto"/>
        <w:bottom w:val="none" w:sz="0" w:space="0" w:color="auto"/>
        <w:right w:val="none" w:sz="0" w:space="0" w:color="auto"/>
      </w:divBdr>
    </w:div>
    <w:div w:id="869798288">
      <w:bodyDiv w:val="1"/>
      <w:marLeft w:val="0"/>
      <w:marRight w:val="0"/>
      <w:marTop w:val="0"/>
      <w:marBottom w:val="0"/>
      <w:divBdr>
        <w:top w:val="none" w:sz="0" w:space="0" w:color="auto"/>
        <w:left w:val="none" w:sz="0" w:space="0" w:color="auto"/>
        <w:bottom w:val="none" w:sz="0" w:space="0" w:color="auto"/>
        <w:right w:val="none" w:sz="0" w:space="0" w:color="auto"/>
      </w:divBdr>
    </w:div>
    <w:div w:id="881787502">
      <w:bodyDiv w:val="1"/>
      <w:marLeft w:val="0"/>
      <w:marRight w:val="0"/>
      <w:marTop w:val="0"/>
      <w:marBottom w:val="0"/>
      <w:divBdr>
        <w:top w:val="none" w:sz="0" w:space="0" w:color="auto"/>
        <w:left w:val="none" w:sz="0" w:space="0" w:color="auto"/>
        <w:bottom w:val="none" w:sz="0" w:space="0" w:color="auto"/>
        <w:right w:val="none" w:sz="0" w:space="0" w:color="auto"/>
      </w:divBdr>
    </w:div>
    <w:div w:id="950359604">
      <w:bodyDiv w:val="1"/>
      <w:marLeft w:val="0"/>
      <w:marRight w:val="0"/>
      <w:marTop w:val="0"/>
      <w:marBottom w:val="0"/>
      <w:divBdr>
        <w:top w:val="none" w:sz="0" w:space="0" w:color="auto"/>
        <w:left w:val="none" w:sz="0" w:space="0" w:color="auto"/>
        <w:bottom w:val="none" w:sz="0" w:space="0" w:color="auto"/>
        <w:right w:val="none" w:sz="0" w:space="0" w:color="auto"/>
      </w:divBdr>
    </w:div>
    <w:div w:id="971011366">
      <w:bodyDiv w:val="1"/>
      <w:marLeft w:val="0"/>
      <w:marRight w:val="0"/>
      <w:marTop w:val="0"/>
      <w:marBottom w:val="0"/>
      <w:divBdr>
        <w:top w:val="none" w:sz="0" w:space="0" w:color="auto"/>
        <w:left w:val="none" w:sz="0" w:space="0" w:color="auto"/>
        <w:bottom w:val="none" w:sz="0" w:space="0" w:color="auto"/>
        <w:right w:val="none" w:sz="0" w:space="0" w:color="auto"/>
      </w:divBdr>
    </w:div>
    <w:div w:id="995651436">
      <w:bodyDiv w:val="1"/>
      <w:marLeft w:val="0"/>
      <w:marRight w:val="0"/>
      <w:marTop w:val="0"/>
      <w:marBottom w:val="0"/>
      <w:divBdr>
        <w:top w:val="none" w:sz="0" w:space="0" w:color="auto"/>
        <w:left w:val="none" w:sz="0" w:space="0" w:color="auto"/>
        <w:bottom w:val="none" w:sz="0" w:space="0" w:color="auto"/>
        <w:right w:val="none" w:sz="0" w:space="0" w:color="auto"/>
      </w:divBdr>
    </w:div>
    <w:div w:id="1030839862">
      <w:bodyDiv w:val="1"/>
      <w:marLeft w:val="0"/>
      <w:marRight w:val="0"/>
      <w:marTop w:val="0"/>
      <w:marBottom w:val="0"/>
      <w:divBdr>
        <w:top w:val="none" w:sz="0" w:space="0" w:color="auto"/>
        <w:left w:val="none" w:sz="0" w:space="0" w:color="auto"/>
        <w:bottom w:val="none" w:sz="0" w:space="0" w:color="auto"/>
        <w:right w:val="none" w:sz="0" w:space="0" w:color="auto"/>
      </w:divBdr>
    </w:div>
    <w:div w:id="1052921974">
      <w:bodyDiv w:val="1"/>
      <w:marLeft w:val="0"/>
      <w:marRight w:val="0"/>
      <w:marTop w:val="0"/>
      <w:marBottom w:val="0"/>
      <w:divBdr>
        <w:top w:val="none" w:sz="0" w:space="0" w:color="auto"/>
        <w:left w:val="none" w:sz="0" w:space="0" w:color="auto"/>
        <w:bottom w:val="none" w:sz="0" w:space="0" w:color="auto"/>
        <w:right w:val="none" w:sz="0" w:space="0" w:color="auto"/>
      </w:divBdr>
    </w:div>
    <w:div w:id="1068378024">
      <w:bodyDiv w:val="1"/>
      <w:marLeft w:val="0"/>
      <w:marRight w:val="0"/>
      <w:marTop w:val="0"/>
      <w:marBottom w:val="0"/>
      <w:divBdr>
        <w:top w:val="none" w:sz="0" w:space="0" w:color="auto"/>
        <w:left w:val="none" w:sz="0" w:space="0" w:color="auto"/>
        <w:bottom w:val="none" w:sz="0" w:space="0" w:color="auto"/>
        <w:right w:val="none" w:sz="0" w:space="0" w:color="auto"/>
      </w:divBdr>
    </w:div>
    <w:div w:id="1085154557">
      <w:bodyDiv w:val="1"/>
      <w:marLeft w:val="0"/>
      <w:marRight w:val="0"/>
      <w:marTop w:val="0"/>
      <w:marBottom w:val="0"/>
      <w:divBdr>
        <w:top w:val="none" w:sz="0" w:space="0" w:color="auto"/>
        <w:left w:val="none" w:sz="0" w:space="0" w:color="auto"/>
        <w:bottom w:val="none" w:sz="0" w:space="0" w:color="auto"/>
        <w:right w:val="none" w:sz="0" w:space="0" w:color="auto"/>
      </w:divBdr>
    </w:div>
    <w:div w:id="1085803943">
      <w:bodyDiv w:val="1"/>
      <w:marLeft w:val="0"/>
      <w:marRight w:val="0"/>
      <w:marTop w:val="0"/>
      <w:marBottom w:val="0"/>
      <w:divBdr>
        <w:top w:val="none" w:sz="0" w:space="0" w:color="auto"/>
        <w:left w:val="none" w:sz="0" w:space="0" w:color="auto"/>
        <w:bottom w:val="none" w:sz="0" w:space="0" w:color="auto"/>
        <w:right w:val="none" w:sz="0" w:space="0" w:color="auto"/>
      </w:divBdr>
    </w:div>
    <w:div w:id="1097140493">
      <w:bodyDiv w:val="1"/>
      <w:marLeft w:val="0"/>
      <w:marRight w:val="0"/>
      <w:marTop w:val="0"/>
      <w:marBottom w:val="0"/>
      <w:divBdr>
        <w:top w:val="none" w:sz="0" w:space="0" w:color="auto"/>
        <w:left w:val="none" w:sz="0" w:space="0" w:color="auto"/>
        <w:bottom w:val="none" w:sz="0" w:space="0" w:color="auto"/>
        <w:right w:val="none" w:sz="0" w:space="0" w:color="auto"/>
      </w:divBdr>
    </w:div>
    <w:div w:id="1099567290">
      <w:bodyDiv w:val="1"/>
      <w:marLeft w:val="0"/>
      <w:marRight w:val="0"/>
      <w:marTop w:val="0"/>
      <w:marBottom w:val="0"/>
      <w:divBdr>
        <w:top w:val="none" w:sz="0" w:space="0" w:color="auto"/>
        <w:left w:val="none" w:sz="0" w:space="0" w:color="auto"/>
        <w:bottom w:val="none" w:sz="0" w:space="0" w:color="auto"/>
        <w:right w:val="none" w:sz="0" w:space="0" w:color="auto"/>
      </w:divBdr>
    </w:div>
    <w:div w:id="1110932105">
      <w:bodyDiv w:val="1"/>
      <w:marLeft w:val="0"/>
      <w:marRight w:val="0"/>
      <w:marTop w:val="0"/>
      <w:marBottom w:val="0"/>
      <w:divBdr>
        <w:top w:val="none" w:sz="0" w:space="0" w:color="auto"/>
        <w:left w:val="none" w:sz="0" w:space="0" w:color="auto"/>
        <w:bottom w:val="none" w:sz="0" w:space="0" w:color="auto"/>
        <w:right w:val="none" w:sz="0" w:space="0" w:color="auto"/>
      </w:divBdr>
    </w:div>
    <w:div w:id="1128863739">
      <w:bodyDiv w:val="1"/>
      <w:marLeft w:val="0"/>
      <w:marRight w:val="0"/>
      <w:marTop w:val="0"/>
      <w:marBottom w:val="0"/>
      <w:divBdr>
        <w:top w:val="none" w:sz="0" w:space="0" w:color="auto"/>
        <w:left w:val="none" w:sz="0" w:space="0" w:color="auto"/>
        <w:bottom w:val="none" w:sz="0" w:space="0" w:color="auto"/>
        <w:right w:val="none" w:sz="0" w:space="0" w:color="auto"/>
      </w:divBdr>
    </w:div>
    <w:div w:id="1157186325">
      <w:bodyDiv w:val="1"/>
      <w:marLeft w:val="0"/>
      <w:marRight w:val="0"/>
      <w:marTop w:val="0"/>
      <w:marBottom w:val="0"/>
      <w:divBdr>
        <w:top w:val="none" w:sz="0" w:space="0" w:color="auto"/>
        <w:left w:val="none" w:sz="0" w:space="0" w:color="auto"/>
        <w:bottom w:val="none" w:sz="0" w:space="0" w:color="auto"/>
        <w:right w:val="none" w:sz="0" w:space="0" w:color="auto"/>
      </w:divBdr>
    </w:div>
    <w:div w:id="1157957724">
      <w:bodyDiv w:val="1"/>
      <w:marLeft w:val="0"/>
      <w:marRight w:val="0"/>
      <w:marTop w:val="0"/>
      <w:marBottom w:val="0"/>
      <w:divBdr>
        <w:top w:val="none" w:sz="0" w:space="0" w:color="auto"/>
        <w:left w:val="none" w:sz="0" w:space="0" w:color="auto"/>
        <w:bottom w:val="none" w:sz="0" w:space="0" w:color="auto"/>
        <w:right w:val="none" w:sz="0" w:space="0" w:color="auto"/>
      </w:divBdr>
    </w:div>
    <w:div w:id="1168253278">
      <w:bodyDiv w:val="1"/>
      <w:marLeft w:val="0"/>
      <w:marRight w:val="0"/>
      <w:marTop w:val="0"/>
      <w:marBottom w:val="0"/>
      <w:divBdr>
        <w:top w:val="none" w:sz="0" w:space="0" w:color="auto"/>
        <w:left w:val="none" w:sz="0" w:space="0" w:color="auto"/>
        <w:bottom w:val="none" w:sz="0" w:space="0" w:color="auto"/>
        <w:right w:val="none" w:sz="0" w:space="0" w:color="auto"/>
      </w:divBdr>
    </w:div>
    <w:div w:id="1197935784">
      <w:bodyDiv w:val="1"/>
      <w:marLeft w:val="0"/>
      <w:marRight w:val="0"/>
      <w:marTop w:val="0"/>
      <w:marBottom w:val="0"/>
      <w:divBdr>
        <w:top w:val="none" w:sz="0" w:space="0" w:color="auto"/>
        <w:left w:val="none" w:sz="0" w:space="0" w:color="auto"/>
        <w:bottom w:val="none" w:sz="0" w:space="0" w:color="auto"/>
        <w:right w:val="none" w:sz="0" w:space="0" w:color="auto"/>
      </w:divBdr>
    </w:div>
    <w:div w:id="1205366737">
      <w:bodyDiv w:val="1"/>
      <w:marLeft w:val="0"/>
      <w:marRight w:val="0"/>
      <w:marTop w:val="0"/>
      <w:marBottom w:val="0"/>
      <w:divBdr>
        <w:top w:val="none" w:sz="0" w:space="0" w:color="auto"/>
        <w:left w:val="none" w:sz="0" w:space="0" w:color="auto"/>
        <w:bottom w:val="none" w:sz="0" w:space="0" w:color="auto"/>
        <w:right w:val="none" w:sz="0" w:space="0" w:color="auto"/>
      </w:divBdr>
    </w:div>
    <w:div w:id="1217005700">
      <w:bodyDiv w:val="1"/>
      <w:marLeft w:val="0"/>
      <w:marRight w:val="0"/>
      <w:marTop w:val="0"/>
      <w:marBottom w:val="0"/>
      <w:divBdr>
        <w:top w:val="none" w:sz="0" w:space="0" w:color="auto"/>
        <w:left w:val="none" w:sz="0" w:space="0" w:color="auto"/>
        <w:bottom w:val="none" w:sz="0" w:space="0" w:color="auto"/>
        <w:right w:val="none" w:sz="0" w:space="0" w:color="auto"/>
      </w:divBdr>
    </w:div>
    <w:div w:id="1230577320">
      <w:bodyDiv w:val="1"/>
      <w:marLeft w:val="0"/>
      <w:marRight w:val="0"/>
      <w:marTop w:val="0"/>
      <w:marBottom w:val="0"/>
      <w:divBdr>
        <w:top w:val="none" w:sz="0" w:space="0" w:color="auto"/>
        <w:left w:val="none" w:sz="0" w:space="0" w:color="auto"/>
        <w:bottom w:val="none" w:sz="0" w:space="0" w:color="auto"/>
        <w:right w:val="none" w:sz="0" w:space="0" w:color="auto"/>
      </w:divBdr>
    </w:div>
    <w:div w:id="1239242614">
      <w:bodyDiv w:val="1"/>
      <w:marLeft w:val="0"/>
      <w:marRight w:val="0"/>
      <w:marTop w:val="0"/>
      <w:marBottom w:val="0"/>
      <w:divBdr>
        <w:top w:val="none" w:sz="0" w:space="0" w:color="auto"/>
        <w:left w:val="none" w:sz="0" w:space="0" w:color="auto"/>
        <w:bottom w:val="none" w:sz="0" w:space="0" w:color="auto"/>
        <w:right w:val="none" w:sz="0" w:space="0" w:color="auto"/>
      </w:divBdr>
    </w:div>
    <w:div w:id="1272781588">
      <w:bodyDiv w:val="1"/>
      <w:marLeft w:val="0"/>
      <w:marRight w:val="0"/>
      <w:marTop w:val="0"/>
      <w:marBottom w:val="0"/>
      <w:divBdr>
        <w:top w:val="none" w:sz="0" w:space="0" w:color="auto"/>
        <w:left w:val="none" w:sz="0" w:space="0" w:color="auto"/>
        <w:bottom w:val="none" w:sz="0" w:space="0" w:color="auto"/>
        <w:right w:val="none" w:sz="0" w:space="0" w:color="auto"/>
      </w:divBdr>
    </w:div>
    <w:div w:id="1278216570">
      <w:bodyDiv w:val="1"/>
      <w:marLeft w:val="0"/>
      <w:marRight w:val="0"/>
      <w:marTop w:val="0"/>
      <w:marBottom w:val="0"/>
      <w:divBdr>
        <w:top w:val="none" w:sz="0" w:space="0" w:color="auto"/>
        <w:left w:val="none" w:sz="0" w:space="0" w:color="auto"/>
        <w:bottom w:val="none" w:sz="0" w:space="0" w:color="auto"/>
        <w:right w:val="none" w:sz="0" w:space="0" w:color="auto"/>
      </w:divBdr>
    </w:div>
    <w:div w:id="1282685297">
      <w:bodyDiv w:val="1"/>
      <w:marLeft w:val="0"/>
      <w:marRight w:val="0"/>
      <w:marTop w:val="0"/>
      <w:marBottom w:val="0"/>
      <w:divBdr>
        <w:top w:val="none" w:sz="0" w:space="0" w:color="auto"/>
        <w:left w:val="none" w:sz="0" w:space="0" w:color="auto"/>
        <w:bottom w:val="none" w:sz="0" w:space="0" w:color="auto"/>
        <w:right w:val="none" w:sz="0" w:space="0" w:color="auto"/>
      </w:divBdr>
    </w:div>
    <w:div w:id="1303076344">
      <w:bodyDiv w:val="1"/>
      <w:marLeft w:val="0"/>
      <w:marRight w:val="0"/>
      <w:marTop w:val="0"/>
      <w:marBottom w:val="0"/>
      <w:divBdr>
        <w:top w:val="none" w:sz="0" w:space="0" w:color="auto"/>
        <w:left w:val="none" w:sz="0" w:space="0" w:color="auto"/>
        <w:bottom w:val="none" w:sz="0" w:space="0" w:color="auto"/>
        <w:right w:val="none" w:sz="0" w:space="0" w:color="auto"/>
      </w:divBdr>
    </w:div>
    <w:div w:id="1311328913">
      <w:bodyDiv w:val="1"/>
      <w:marLeft w:val="0"/>
      <w:marRight w:val="0"/>
      <w:marTop w:val="0"/>
      <w:marBottom w:val="0"/>
      <w:divBdr>
        <w:top w:val="none" w:sz="0" w:space="0" w:color="auto"/>
        <w:left w:val="none" w:sz="0" w:space="0" w:color="auto"/>
        <w:bottom w:val="none" w:sz="0" w:space="0" w:color="auto"/>
        <w:right w:val="none" w:sz="0" w:space="0" w:color="auto"/>
      </w:divBdr>
    </w:div>
    <w:div w:id="1311396956">
      <w:bodyDiv w:val="1"/>
      <w:marLeft w:val="0"/>
      <w:marRight w:val="0"/>
      <w:marTop w:val="0"/>
      <w:marBottom w:val="0"/>
      <w:divBdr>
        <w:top w:val="none" w:sz="0" w:space="0" w:color="auto"/>
        <w:left w:val="none" w:sz="0" w:space="0" w:color="auto"/>
        <w:bottom w:val="none" w:sz="0" w:space="0" w:color="auto"/>
        <w:right w:val="none" w:sz="0" w:space="0" w:color="auto"/>
      </w:divBdr>
    </w:div>
    <w:div w:id="1312127805">
      <w:bodyDiv w:val="1"/>
      <w:marLeft w:val="0"/>
      <w:marRight w:val="0"/>
      <w:marTop w:val="0"/>
      <w:marBottom w:val="0"/>
      <w:divBdr>
        <w:top w:val="none" w:sz="0" w:space="0" w:color="auto"/>
        <w:left w:val="none" w:sz="0" w:space="0" w:color="auto"/>
        <w:bottom w:val="none" w:sz="0" w:space="0" w:color="auto"/>
        <w:right w:val="none" w:sz="0" w:space="0" w:color="auto"/>
      </w:divBdr>
    </w:div>
    <w:div w:id="1321619571">
      <w:bodyDiv w:val="1"/>
      <w:marLeft w:val="0"/>
      <w:marRight w:val="0"/>
      <w:marTop w:val="0"/>
      <w:marBottom w:val="0"/>
      <w:divBdr>
        <w:top w:val="none" w:sz="0" w:space="0" w:color="auto"/>
        <w:left w:val="none" w:sz="0" w:space="0" w:color="auto"/>
        <w:bottom w:val="none" w:sz="0" w:space="0" w:color="auto"/>
        <w:right w:val="none" w:sz="0" w:space="0" w:color="auto"/>
      </w:divBdr>
    </w:div>
    <w:div w:id="1329676116">
      <w:bodyDiv w:val="1"/>
      <w:marLeft w:val="0"/>
      <w:marRight w:val="0"/>
      <w:marTop w:val="0"/>
      <w:marBottom w:val="0"/>
      <w:divBdr>
        <w:top w:val="none" w:sz="0" w:space="0" w:color="auto"/>
        <w:left w:val="none" w:sz="0" w:space="0" w:color="auto"/>
        <w:bottom w:val="none" w:sz="0" w:space="0" w:color="auto"/>
        <w:right w:val="none" w:sz="0" w:space="0" w:color="auto"/>
      </w:divBdr>
    </w:div>
    <w:div w:id="1329747506">
      <w:bodyDiv w:val="1"/>
      <w:marLeft w:val="0"/>
      <w:marRight w:val="0"/>
      <w:marTop w:val="0"/>
      <w:marBottom w:val="0"/>
      <w:divBdr>
        <w:top w:val="none" w:sz="0" w:space="0" w:color="auto"/>
        <w:left w:val="none" w:sz="0" w:space="0" w:color="auto"/>
        <w:bottom w:val="none" w:sz="0" w:space="0" w:color="auto"/>
        <w:right w:val="none" w:sz="0" w:space="0" w:color="auto"/>
      </w:divBdr>
    </w:div>
    <w:div w:id="1335188325">
      <w:bodyDiv w:val="1"/>
      <w:marLeft w:val="0"/>
      <w:marRight w:val="0"/>
      <w:marTop w:val="0"/>
      <w:marBottom w:val="0"/>
      <w:divBdr>
        <w:top w:val="none" w:sz="0" w:space="0" w:color="auto"/>
        <w:left w:val="none" w:sz="0" w:space="0" w:color="auto"/>
        <w:bottom w:val="none" w:sz="0" w:space="0" w:color="auto"/>
        <w:right w:val="none" w:sz="0" w:space="0" w:color="auto"/>
      </w:divBdr>
    </w:div>
    <w:div w:id="1335231467">
      <w:bodyDiv w:val="1"/>
      <w:marLeft w:val="0"/>
      <w:marRight w:val="0"/>
      <w:marTop w:val="0"/>
      <w:marBottom w:val="0"/>
      <w:divBdr>
        <w:top w:val="none" w:sz="0" w:space="0" w:color="auto"/>
        <w:left w:val="none" w:sz="0" w:space="0" w:color="auto"/>
        <w:bottom w:val="none" w:sz="0" w:space="0" w:color="auto"/>
        <w:right w:val="none" w:sz="0" w:space="0" w:color="auto"/>
      </w:divBdr>
    </w:div>
    <w:div w:id="1344668267">
      <w:bodyDiv w:val="1"/>
      <w:marLeft w:val="0"/>
      <w:marRight w:val="0"/>
      <w:marTop w:val="0"/>
      <w:marBottom w:val="0"/>
      <w:divBdr>
        <w:top w:val="none" w:sz="0" w:space="0" w:color="auto"/>
        <w:left w:val="none" w:sz="0" w:space="0" w:color="auto"/>
        <w:bottom w:val="none" w:sz="0" w:space="0" w:color="auto"/>
        <w:right w:val="none" w:sz="0" w:space="0" w:color="auto"/>
      </w:divBdr>
    </w:div>
    <w:div w:id="1349790011">
      <w:bodyDiv w:val="1"/>
      <w:marLeft w:val="0"/>
      <w:marRight w:val="0"/>
      <w:marTop w:val="0"/>
      <w:marBottom w:val="0"/>
      <w:divBdr>
        <w:top w:val="none" w:sz="0" w:space="0" w:color="auto"/>
        <w:left w:val="none" w:sz="0" w:space="0" w:color="auto"/>
        <w:bottom w:val="none" w:sz="0" w:space="0" w:color="auto"/>
        <w:right w:val="none" w:sz="0" w:space="0" w:color="auto"/>
      </w:divBdr>
    </w:div>
    <w:div w:id="1350331966">
      <w:bodyDiv w:val="1"/>
      <w:marLeft w:val="0"/>
      <w:marRight w:val="0"/>
      <w:marTop w:val="0"/>
      <w:marBottom w:val="0"/>
      <w:divBdr>
        <w:top w:val="none" w:sz="0" w:space="0" w:color="auto"/>
        <w:left w:val="none" w:sz="0" w:space="0" w:color="auto"/>
        <w:bottom w:val="none" w:sz="0" w:space="0" w:color="auto"/>
        <w:right w:val="none" w:sz="0" w:space="0" w:color="auto"/>
      </w:divBdr>
    </w:div>
    <w:div w:id="1374577329">
      <w:bodyDiv w:val="1"/>
      <w:marLeft w:val="0"/>
      <w:marRight w:val="0"/>
      <w:marTop w:val="0"/>
      <w:marBottom w:val="0"/>
      <w:divBdr>
        <w:top w:val="none" w:sz="0" w:space="0" w:color="auto"/>
        <w:left w:val="none" w:sz="0" w:space="0" w:color="auto"/>
        <w:bottom w:val="none" w:sz="0" w:space="0" w:color="auto"/>
        <w:right w:val="none" w:sz="0" w:space="0" w:color="auto"/>
      </w:divBdr>
    </w:div>
    <w:div w:id="1376465486">
      <w:bodyDiv w:val="1"/>
      <w:marLeft w:val="0"/>
      <w:marRight w:val="0"/>
      <w:marTop w:val="0"/>
      <w:marBottom w:val="0"/>
      <w:divBdr>
        <w:top w:val="none" w:sz="0" w:space="0" w:color="auto"/>
        <w:left w:val="none" w:sz="0" w:space="0" w:color="auto"/>
        <w:bottom w:val="none" w:sz="0" w:space="0" w:color="auto"/>
        <w:right w:val="none" w:sz="0" w:space="0" w:color="auto"/>
      </w:divBdr>
    </w:div>
    <w:div w:id="1376812553">
      <w:bodyDiv w:val="1"/>
      <w:marLeft w:val="0"/>
      <w:marRight w:val="0"/>
      <w:marTop w:val="0"/>
      <w:marBottom w:val="0"/>
      <w:divBdr>
        <w:top w:val="none" w:sz="0" w:space="0" w:color="auto"/>
        <w:left w:val="none" w:sz="0" w:space="0" w:color="auto"/>
        <w:bottom w:val="none" w:sz="0" w:space="0" w:color="auto"/>
        <w:right w:val="none" w:sz="0" w:space="0" w:color="auto"/>
      </w:divBdr>
    </w:div>
    <w:div w:id="1381783674">
      <w:bodyDiv w:val="1"/>
      <w:marLeft w:val="0"/>
      <w:marRight w:val="0"/>
      <w:marTop w:val="0"/>
      <w:marBottom w:val="0"/>
      <w:divBdr>
        <w:top w:val="none" w:sz="0" w:space="0" w:color="auto"/>
        <w:left w:val="none" w:sz="0" w:space="0" w:color="auto"/>
        <w:bottom w:val="none" w:sz="0" w:space="0" w:color="auto"/>
        <w:right w:val="none" w:sz="0" w:space="0" w:color="auto"/>
      </w:divBdr>
    </w:div>
    <w:div w:id="1393504098">
      <w:bodyDiv w:val="1"/>
      <w:marLeft w:val="0"/>
      <w:marRight w:val="0"/>
      <w:marTop w:val="0"/>
      <w:marBottom w:val="0"/>
      <w:divBdr>
        <w:top w:val="none" w:sz="0" w:space="0" w:color="auto"/>
        <w:left w:val="none" w:sz="0" w:space="0" w:color="auto"/>
        <w:bottom w:val="none" w:sz="0" w:space="0" w:color="auto"/>
        <w:right w:val="none" w:sz="0" w:space="0" w:color="auto"/>
      </w:divBdr>
    </w:div>
    <w:div w:id="1417478767">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22215442">
      <w:bodyDiv w:val="1"/>
      <w:marLeft w:val="0"/>
      <w:marRight w:val="0"/>
      <w:marTop w:val="0"/>
      <w:marBottom w:val="0"/>
      <w:divBdr>
        <w:top w:val="none" w:sz="0" w:space="0" w:color="auto"/>
        <w:left w:val="none" w:sz="0" w:space="0" w:color="auto"/>
        <w:bottom w:val="none" w:sz="0" w:space="0" w:color="auto"/>
        <w:right w:val="none" w:sz="0" w:space="0" w:color="auto"/>
      </w:divBdr>
    </w:div>
    <w:div w:id="1423650094">
      <w:bodyDiv w:val="1"/>
      <w:marLeft w:val="0"/>
      <w:marRight w:val="0"/>
      <w:marTop w:val="0"/>
      <w:marBottom w:val="0"/>
      <w:divBdr>
        <w:top w:val="none" w:sz="0" w:space="0" w:color="auto"/>
        <w:left w:val="none" w:sz="0" w:space="0" w:color="auto"/>
        <w:bottom w:val="none" w:sz="0" w:space="0" w:color="auto"/>
        <w:right w:val="none" w:sz="0" w:space="0" w:color="auto"/>
      </w:divBdr>
    </w:div>
    <w:div w:id="1443455797">
      <w:bodyDiv w:val="1"/>
      <w:marLeft w:val="0"/>
      <w:marRight w:val="0"/>
      <w:marTop w:val="0"/>
      <w:marBottom w:val="0"/>
      <w:divBdr>
        <w:top w:val="none" w:sz="0" w:space="0" w:color="auto"/>
        <w:left w:val="none" w:sz="0" w:space="0" w:color="auto"/>
        <w:bottom w:val="none" w:sz="0" w:space="0" w:color="auto"/>
        <w:right w:val="none" w:sz="0" w:space="0" w:color="auto"/>
      </w:divBdr>
    </w:div>
    <w:div w:id="1454712076">
      <w:bodyDiv w:val="1"/>
      <w:marLeft w:val="0"/>
      <w:marRight w:val="0"/>
      <w:marTop w:val="0"/>
      <w:marBottom w:val="0"/>
      <w:divBdr>
        <w:top w:val="none" w:sz="0" w:space="0" w:color="auto"/>
        <w:left w:val="none" w:sz="0" w:space="0" w:color="auto"/>
        <w:bottom w:val="none" w:sz="0" w:space="0" w:color="auto"/>
        <w:right w:val="none" w:sz="0" w:space="0" w:color="auto"/>
      </w:divBdr>
    </w:div>
    <w:div w:id="1462573803">
      <w:bodyDiv w:val="1"/>
      <w:marLeft w:val="0"/>
      <w:marRight w:val="0"/>
      <w:marTop w:val="0"/>
      <w:marBottom w:val="0"/>
      <w:divBdr>
        <w:top w:val="none" w:sz="0" w:space="0" w:color="auto"/>
        <w:left w:val="none" w:sz="0" w:space="0" w:color="auto"/>
        <w:bottom w:val="none" w:sz="0" w:space="0" w:color="auto"/>
        <w:right w:val="none" w:sz="0" w:space="0" w:color="auto"/>
      </w:divBdr>
    </w:div>
    <w:div w:id="1471483766">
      <w:bodyDiv w:val="1"/>
      <w:marLeft w:val="0"/>
      <w:marRight w:val="0"/>
      <w:marTop w:val="0"/>
      <w:marBottom w:val="0"/>
      <w:divBdr>
        <w:top w:val="none" w:sz="0" w:space="0" w:color="auto"/>
        <w:left w:val="none" w:sz="0" w:space="0" w:color="auto"/>
        <w:bottom w:val="none" w:sz="0" w:space="0" w:color="auto"/>
        <w:right w:val="none" w:sz="0" w:space="0" w:color="auto"/>
      </w:divBdr>
    </w:div>
    <w:div w:id="1472017750">
      <w:bodyDiv w:val="1"/>
      <w:marLeft w:val="0"/>
      <w:marRight w:val="0"/>
      <w:marTop w:val="0"/>
      <w:marBottom w:val="0"/>
      <w:divBdr>
        <w:top w:val="none" w:sz="0" w:space="0" w:color="auto"/>
        <w:left w:val="none" w:sz="0" w:space="0" w:color="auto"/>
        <w:bottom w:val="none" w:sz="0" w:space="0" w:color="auto"/>
        <w:right w:val="none" w:sz="0" w:space="0" w:color="auto"/>
      </w:divBdr>
    </w:div>
    <w:div w:id="1489437454">
      <w:bodyDiv w:val="1"/>
      <w:marLeft w:val="0"/>
      <w:marRight w:val="0"/>
      <w:marTop w:val="0"/>
      <w:marBottom w:val="0"/>
      <w:divBdr>
        <w:top w:val="none" w:sz="0" w:space="0" w:color="auto"/>
        <w:left w:val="none" w:sz="0" w:space="0" w:color="auto"/>
        <w:bottom w:val="none" w:sz="0" w:space="0" w:color="auto"/>
        <w:right w:val="none" w:sz="0" w:space="0" w:color="auto"/>
      </w:divBdr>
    </w:div>
    <w:div w:id="1494637429">
      <w:bodyDiv w:val="1"/>
      <w:marLeft w:val="0"/>
      <w:marRight w:val="0"/>
      <w:marTop w:val="0"/>
      <w:marBottom w:val="0"/>
      <w:divBdr>
        <w:top w:val="none" w:sz="0" w:space="0" w:color="auto"/>
        <w:left w:val="none" w:sz="0" w:space="0" w:color="auto"/>
        <w:bottom w:val="none" w:sz="0" w:space="0" w:color="auto"/>
        <w:right w:val="none" w:sz="0" w:space="0" w:color="auto"/>
      </w:divBdr>
    </w:div>
    <w:div w:id="1497187506">
      <w:bodyDiv w:val="1"/>
      <w:marLeft w:val="0"/>
      <w:marRight w:val="0"/>
      <w:marTop w:val="0"/>
      <w:marBottom w:val="0"/>
      <w:divBdr>
        <w:top w:val="none" w:sz="0" w:space="0" w:color="auto"/>
        <w:left w:val="none" w:sz="0" w:space="0" w:color="auto"/>
        <w:bottom w:val="none" w:sz="0" w:space="0" w:color="auto"/>
        <w:right w:val="none" w:sz="0" w:space="0" w:color="auto"/>
      </w:divBdr>
    </w:div>
    <w:div w:id="1512178826">
      <w:bodyDiv w:val="1"/>
      <w:marLeft w:val="0"/>
      <w:marRight w:val="0"/>
      <w:marTop w:val="0"/>
      <w:marBottom w:val="0"/>
      <w:divBdr>
        <w:top w:val="none" w:sz="0" w:space="0" w:color="auto"/>
        <w:left w:val="none" w:sz="0" w:space="0" w:color="auto"/>
        <w:bottom w:val="none" w:sz="0" w:space="0" w:color="auto"/>
        <w:right w:val="none" w:sz="0" w:space="0" w:color="auto"/>
      </w:divBdr>
    </w:div>
    <w:div w:id="1512800050">
      <w:bodyDiv w:val="1"/>
      <w:marLeft w:val="0"/>
      <w:marRight w:val="0"/>
      <w:marTop w:val="0"/>
      <w:marBottom w:val="0"/>
      <w:divBdr>
        <w:top w:val="none" w:sz="0" w:space="0" w:color="auto"/>
        <w:left w:val="none" w:sz="0" w:space="0" w:color="auto"/>
        <w:bottom w:val="none" w:sz="0" w:space="0" w:color="auto"/>
        <w:right w:val="none" w:sz="0" w:space="0" w:color="auto"/>
      </w:divBdr>
    </w:div>
    <w:div w:id="1523013777">
      <w:bodyDiv w:val="1"/>
      <w:marLeft w:val="0"/>
      <w:marRight w:val="0"/>
      <w:marTop w:val="0"/>
      <w:marBottom w:val="0"/>
      <w:divBdr>
        <w:top w:val="none" w:sz="0" w:space="0" w:color="auto"/>
        <w:left w:val="none" w:sz="0" w:space="0" w:color="auto"/>
        <w:bottom w:val="none" w:sz="0" w:space="0" w:color="auto"/>
        <w:right w:val="none" w:sz="0" w:space="0" w:color="auto"/>
      </w:divBdr>
    </w:div>
    <w:div w:id="1528831299">
      <w:bodyDiv w:val="1"/>
      <w:marLeft w:val="0"/>
      <w:marRight w:val="0"/>
      <w:marTop w:val="0"/>
      <w:marBottom w:val="0"/>
      <w:divBdr>
        <w:top w:val="none" w:sz="0" w:space="0" w:color="auto"/>
        <w:left w:val="none" w:sz="0" w:space="0" w:color="auto"/>
        <w:bottom w:val="none" w:sz="0" w:space="0" w:color="auto"/>
        <w:right w:val="none" w:sz="0" w:space="0" w:color="auto"/>
      </w:divBdr>
    </w:div>
    <w:div w:id="1533497107">
      <w:bodyDiv w:val="1"/>
      <w:marLeft w:val="0"/>
      <w:marRight w:val="0"/>
      <w:marTop w:val="0"/>
      <w:marBottom w:val="0"/>
      <w:divBdr>
        <w:top w:val="none" w:sz="0" w:space="0" w:color="auto"/>
        <w:left w:val="none" w:sz="0" w:space="0" w:color="auto"/>
        <w:bottom w:val="none" w:sz="0" w:space="0" w:color="auto"/>
        <w:right w:val="none" w:sz="0" w:space="0" w:color="auto"/>
      </w:divBdr>
    </w:div>
    <w:div w:id="1534994526">
      <w:bodyDiv w:val="1"/>
      <w:marLeft w:val="0"/>
      <w:marRight w:val="0"/>
      <w:marTop w:val="0"/>
      <w:marBottom w:val="0"/>
      <w:divBdr>
        <w:top w:val="none" w:sz="0" w:space="0" w:color="auto"/>
        <w:left w:val="none" w:sz="0" w:space="0" w:color="auto"/>
        <w:bottom w:val="none" w:sz="0" w:space="0" w:color="auto"/>
        <w:right w:val="none" w:sz="0" w:space="0" w:color="auto"/>
      </w:divBdr>
    </w:div>
    <w:div w:id="1536040214">
      <w:bodyDiv w:val="1"/>
      <w:marLeft w:val="0"/>
      <w:marRight w:val="0"/>
      <w:marTop w:val="0"/>
      <w:marBottom w:val="0"/>
      <w:divBdr>
        <w:top w:val="none" w:sz="0" w:space="0" w:color="auto"/>
        <w:left w:val="none" w:sz="0" w:space="0" w:color="auto"/>
        <w:bottom w:val="none" w:sz="0" w:space="0" w:color="auto"/>
        <w:right w:val="none" w:sz="0" w:space="0" w:color="auto"/>
      </w:divBdr>
    </w:div>
    <w:div w:id="1548565913">
      <w:bodyDiv w:val="1"/>
      <w:marLeft w:val="0"/>
      <w:marRight w:val="0"/>
      <w:marTop w:val="0"/>
      <w:marBottom w:val="0"/>
      <w:divBdr>
        <w:top w:val="none" w:sz="0" w:space="0" w:color="auto"/>
        <w:left w:val="none" w:sz="0" w:space="0" w:color="auto"/>
        <w:bottom w:val="none" w:sz="0" w:space="0" w:color="auto"/>
        <w:right w:val="none" w:sz="0" w:space="0" w:color="auto"/>
      </w:divBdr>
    </w:div>
    <w:div w:id="1555309290">
      <w:bodyDiv w:val="1"/>
      <w:marLeft w:val="0"/>
      <w:marRight w:val="0"/>
      <w:marTop w:val="0"/>
      <w:marBottom w:val="0"/>
      <w:divBdr>
        <w:top w:val="none" w:sz="0" w:space="0" w:color="auto"/>
        <w:left w:val="none" w:sz="0" w:space="0" w:color="auto"/>
        <w:bottom w:val="none" w:sz="0" w:space="0" w:color="auto"/>
        <w:right w:val="none" w:sz="0" w:space="0" w:color="auto"/>
      </w:divBdr>
    </w:div>
    <w:div w:id="1556549158">
      <w:bodyDiv w:val="1"/>
      <w:marLeft w:val="0"/>
      <w:marRight w:val="0"/>
      <w:marTop w:val="0"/>
      <w:marBottom w:val="0"/>
      <w:divBdr>
        <w:top w:val="none" w:sz="0" w:space="0" w:color="auto"/>
        <w:left w:val="none" w:sz="0" w:space="0" w:color="auto"/>
        <w:bottom w:val="none" w:sz="0" w:space="0" w:color="auto"/>
        <w:right w:val="none" w:sz="0" w:space="0" w:color="auto"/>
      </w:divBdr>
    </w:div>
    <w:div w:id="1581480442">
      <w:bodyDiv w:val="1"/>
      <w:marLeft w:val="0"/>
      <w:marRight w:val="0"/>
      <w:marTop w:val="0"/>
      <w:marBottom w:val="0"/>
      <w:divBdr>
        <w:top w:val="none" w:sz="0" w:space="0" w:color="auto"/>
        <w:left w:val="none" w:sz="0" w:space="0" w:color="auto"/>
        <w:bottom w:val="none" w:sz="0" w:space="0" w:color="auto"/>
        <w:right w:val="none" w:sz="0" w:space="0" w:color="auto"/>
      </w:divBdr>
    </w:div>
    <w:div w:id="1582904681">
      <w:bodyDiv w:val="1"/>
      <w:marLeft w:val="0"/>
      <w:marRight w:val="0"/>
      <w:marTop w:val="0"/>
      <w:marBottom w:val="0"/>
      <w:divBdr>
        <w:top w:val="none" w:sz="0" w:space="0" w:color="auto"/>
        <w:left w:val="none" w:sz="0" w:space="0" w:color="auto"/>
        <w:bottom w:val="none" w:sz="0" w:space="0" w:color="auto"/>
        <w:right w:val="none" w:sz="0" w:space="0" w:color="auto"/>
      </w:divBdr>
    </w:div>
    <w:div w:id="1596665472">
      <w:bodyDiv w:val="1"/>
      <w:marLeft w:val="0"/>
      <w:marRight w:val="0"/>
      <w:marTop w:val="0"/>
      <w:marBottom w:val="0"/>
      <w:divBdr>
        <w:top w:val="none" w:sz="0" w:space="0" w:color="auto"/>
        <w:left w:val="none" w:sz="0" w:space="0" w:color="auto"/>
        <w:bottom w:val="none" w:sz="0" w:space="0" w:color="auto"/>
        <w:right w:val="none" w:sz="0" w:space="0" w:color="auto"/>
      </w:divBdr>
    </w:div>
    <w:div w:id="1610233372">
      <w:bodyDiv w:val="1"/>
      <w:marLeft w:val="0"/>
      <w:marRight w:val="0"/>
      <w:marTop w:val="0"/>
      <w:marBottom w:val="0"/>
      <w:divBdr>
        <w:top w:val="none" w:sz="0" w:space="0" w:color="auto"/>
        <w:left w:val="none" w:sz="0" w:space="0" w:color="auto"/>
        <w:bottom w:val="none" w:sz="0" w:space="0" w:color="auto"/>
        <w:right w:val="none" w:sz="0" w:space="0" w:color="auto"/>
      </w:divBdr>
    </w:div>
    <w:div w:id="1611890684">
      <w:bodyDiv w:val="1"/>
      <w:marLeft w:val="0"/>
      <w:marRight w:val="0"/>
      <w:marTop w:val="0"/>
      <w:marBottom w:val="0"/>
      <w:divBdr>
        <w:top w:val="none" w:sz="0" w:space="0" w:color="auto"/>
        <w:left w:val="none" w:sz="0" w:space="0" w:color="auto"/>
        <w:bottom w:val="none" w:sz="0" w:space="0" w:color="auto"/>
        <w:right w:val="none" w:sz="0" w:space="0" w:color="auto"/>
      </w:divBdr>
    </w:div>
    <w:div w:id="1615481195">
      <w:bodyDiv w:val="1"/>
      <w:marLeft w:val="0"/>
      <w:marRight w:val="0"/>
      <w:marTop w:val="0"/>
      <w:marBottom w:val="0"/>
      <w:divBdr>
        <w:top w:val="none" w:sz="0" w:space="0" w:color="auto"/>
        <w:left w:val="none" w:sz="0" w:space="0" w:color="auto"/>
        <w:bottom w:val="none" w:sz="0" w:space="0" w:color="auto"/>
        <w:right w:val="none" w:sz="0" w:space="0" w:color="auto"/>
      </w:divBdr>
    </w:div>
    <w:div w:id="1670206509">
      <w:bodyDiv w:val="1"/>
      <w:marLeft w:val="0"/>
      <w:marRight w:val="0"/>
      <w:marTop w:val="0"/>
      <w:marBottom w:val="0"/>
      <w:divBdr>
        <w:top w:val="none" w:sz="0" w:space="0" w:color="auto"/>
        <w:left w:val="none" w:sz="0" w:space="0" w:color="auto"/>
        <w:bottom w:val="none" w:sz="0" w:space="0" w:color="auto"/>
        <w:right w:val="none" w:sz="0" w:space="0" w:color="auto"/>
      </w:divBdr>
    </w:div>
    <w:div w:id="1681472979">
      <w:bodyDiv w:val="1"/>
      <w:marLeft w:val="0"/>
      <w:marRight w:val="0"/>
      <w:marTop w:val="0"/>
      <w:marBottom w:val="0"/>
      <w:divBdr>
        <w:top w:val="none" w:sz="0" w:space="0" w:color="auto"/>
        <w:left w:val="none" w:sz="0" w:space="0" w:color="auto"/>
        <w:bottom w:val="none" w:sz="0" w:space="0" w:color="auto"/>
        <w:right w:val="none" w:sz="0" w:space="0" w:color="auto"/>
      </w:divBdr>
    </w:div>
    <w:div w:id="1688016718">
      <w:bodyDiv w:val="1"/>
      <w:marLeft w:val="0"/>
      <w:marRight w:val="0"/>
      <w:marTop w:val="0"/>
      <w:marBottom w:val="0"/>
      <w:divBdr>
        <w:top w:val="none" w:sz="0" w:space="0" w:color="auto"/>
        <w:left w:val="none" w:sz="0" w:space="0" w:color="auto"/>
        <w:bottom w:val="none" w:sz="0" w:space="0" w:color="auto"/>
        <w:right w:val="none" w:sz="0" w:space="0" w:color="auto"/>
      </w:divBdr>
    </w:div>
    <w:div w:id="1706755249">
      <w:bodyDiv w:val="1"/>
      <w:marLeft w:val="0"/>
      <w:marRight w:val="0"/>
      <w:marTop w:val="0"/>
      <w:marBottom w:val="0"/>
      <w:divBdr>
        <w:top w:val="none" w:sz="0" w:space="0" w:color="auto"/>
        <w:left w:val="none" w:sz="0" w:space="0" w:color="auto"/>
        <w:bottom w:val="none" w:sz="0" w:space="0" w:color="auto"/>
        <w:right w:val="none" w:sz="0" w:space="0" w:color="auto"/>
      </w:divBdr>
    </w:div>
    <w:div w:id="1748189301">
      <w:bodyDiv w:val="1"/>
      <w:marLeft w:val="0"/>
      <w:marRight w:val="0"/>
      <w:marTop w:val="0"/>
      <w:marBottom w:val="0"/>
      <w:divBdr>
        <w:top w:val="none" w:sz="0" w:space="0" w:color="auto"/>
        <w:left w:val="none" w:sz="0" w:space="0" w:color="auto"/>
        <w:bottom w:val="none" w:sz="0" w:space="0" w:color="auto"/>
        <w:right w:val="none" w:sz="0" w:space="0" w:color="auto"/>
      </w:divBdr>
    </w:div>
    <w:div w:id="1826969399">
      <w:bodyDiv w:val="1"/>
      <w:marLeft w:val="0"/>
      <w:marRight w:val="0"/>
      <w:marTop w:val="0"/>
      <w:marBottom w:val="0"/>
      <w:divBdr>
        <w:top w:val="none" w:sz="0" w:space="0" w:color="auto"/>
        <w:left w:val="none" w:sz="0" w:space="0" w:color="auto"/>
        <w:bottom w:val="none" w:sz="0" w:space="0" w:color="auto"/>
        <w:right w:val="none" w:sz="0" w:space="0" w:color="auto"/>
      </w:divBdr>
    </w:div>
    <w:div w:id="1908612107">
      <w:bodyDiv w:val="1"/>
      <w:marLeft w:val="0"/>
      <w:marRight w:val="0"/>
      <w:marTop w:val="0"/>
      <w:marBottom w:val="0"/>
      <w:divBdr>
        <w:top w:val="none" w:sz="0" w:space="0" w:color="auto"/>
        <w:left w:val="none" w:sz="0" w:space="0" w:color="auto"/>
        <w:bottom w:val="none" w:sz="0" w:space="0" w:color="auto"/>
        <w:right w:val="none" w:sz="0" w:space="0" w:color="auto"/>
      </w:divBdr>
    </w:div>
    <w:div w:id="1912763555">
      <w:bodyDiv w:val="1"/>
      <w:marLeft w:val="0"/>
      <w:marRight w:val="0"/>
      <w:marTop w:val="0"/>
      <w:marBottom w:val="0"/>
      <w:divBdr>
        <w:top w:val="none" w:sz="0" w:space="0" w:color="auto"/>
        <w:left w:val="none" w:sz="0" w:space="0" w:color="auto"/>
        <w:bottom w:val="none" w:sz="0" w:space="0" w:color="auto"/>
        <w:right w:val="none" w:sz="0" w:space="0" w:color="auto"/>
      </w:divBdr>
    </w:div>
    <w:div w:id="1924487162">
      <w:bodyDiv w:val="1"/>
      <w:marLeft w:val="0"/>
      <w:marRight w:val="0"/>
      <w:marTop w:val="0"/>
      <w:marBottom w:val="0"/>
      <w:divBdr>
        <w:top w:val="none" w:sz="0" w:space="0" w:color="auto"/>
        <w:left w:val="none" w:sz="0" w:space="0" w:color="auto"/>
        <w:bottom w:val="none" w:sz="0" w:space="0" w:color="auto"/>
        <w:right w:val="none" w:sz="0" w:space="0" w:color="auto"/>
      </w:divBdr>
    </w:div>
    <w:div w:id="1953511966">
      <w:bodyDiv w:val="1"/>
      <w:marLeft w:val="0"/>
      <w:marRight w:val="0"/>
      <w:marTop w:val="0"/>
      <w:marBottom w:val="0"/>
      <w:divBdr>
        <w:top w:val="none" w:sz="0" w:space="0" w:color="auto"/>
        <w:left w:val="none" w:sz="0" w:space="0" w:color="auto"/>
        <w:bottom w:val="none" w:sz="0" w:space="0" w:color="auto"/>
        <w:right w:val="none" w:sz="0" w:space="0" w:color="auto"/>
      </w:divBdr>
    </w:div>
    <w:div w:id="1955474147">
      <w:bodyDiv w:val="1"/>
      <w:marLeft w:val="0"/>
      <w:marRight w:val="0"/>
      <w:marTop w:val="0"/>
      <w:marBottom w:val="0"/>
      <w:divBdr>
        <w:top w:val="none" w:sz="0" w:space="0" w:color="auto"/>
        <w:left w:val="none" w:sz="0" w:space="0" w:color="auto"/>
        <w:bottom w:val="none" w:sz="0" w:space="0" w:color="auto"/>
        <w:right w:val="none" w:sz="0" w:space="0" w:color="auto"/>
      </w:divBdr>
    </w:div>
    <w:div w:id="1956670980">
      <w:bodyDiv w:val="1"/>
      <w:marLeft w:val="0"/>
      <w:marRight w:val="0"/>
      <w:marTop w:val="0"/>
      <w:marBottom w:val="0"/>
      <w:divBdr>
        <w:top w:val="none" w:sz="0" w:space="0" w:color="auto"/>
        <w:left w:val="none" w:sz="0" w:space="0" w:color="auto"/>
        <w:bottom w:val="none" w:sz="0" w:space="0" w:color="auto"/>
        <w:right w:val="none" w:sz="0" w:space="0" w:color="auto"/>
      </w:divBdr>
    </w:div>
    <w:div w:id="1962224547">
      <w:bodyDiv w:val="1"/>
      <w:marLeft w:val="0"/>
      <w:marRight w:val="0"/>
      <w:marTop w:val="0"/>
      <w:marBottom w:val="0"/>
      <w:divBdr>
        <w:top w:val="none" w:sz="0" w:space="0" w:color="auto"/>
        <w:left w:val="none" w:sz="0" w:space="0" w:color="auto"/>
        <w:bottom w:val="none" w:sz="0" w:space="0" w:color="auto"/>
        <w:right w:val="none" w:sz="0" w:space="0" w:color="auto"/>
      </w:divBdr>
    </w:div>
    <w:div w:id="1967158526">
      <w:bodyDiv w:val="1"/>
      <w:marLeft w:val="0"/>
      <w:marRight w:val="0"/>
      <w:marTop w:val="0"/>
      <w:marBottom w:val="0"/>
      <w:divBdr>
        <w:top w:val="none" w:sz="0" w:space="0" w:color="auto"/>
        <w:left w:val="none" w:sz="0" w:space="0" w:color="auto"/>
        <w:bottom w:val="none" w:sz="0" w:space="0" w:color="auto"/>
        <w:right w:val="none" w:sz="0" w:space="0" w:color="auto"/>
      </w:divBdr>
    </w:div>
    <w:div w:id="2020231129">
      <w:bodyDiv w:val="1"/>
      <w:marLeft w:val="0"/>
      <w:marRight w:val="0"/>
      <w:marTop w:val="0"/>
      <w:marBottom w:val="0"/>
      <w:divBdr>
        <w:top w:val="none" w:sz="0" w:space="0" w:color="auto"/>
        <w:left w:val="none" w:sz="0" w:space="0" w:color="auto"/>
        <w:bottom w:val="none" w:sz="0" w:space="0" w:color="auto"/>
        <w:right w:val="none" w:sz="0" w:space="0" w:color="auto"/>
      </w:divBdr>
    </w:div>
    <w:div w:id="2060742417">
      <w:bodyDiv w:val="1"/>
      <w:marLeft w:val="0"/>
      <w:marRight w:val="0"/>
      <w:marTop w:val="0"/>
      <w:marBottom w:val="0"/>
      <w:divBdr>
        <w:top w:val="none" w:sz="0" w:space="0" w:color="auto"/>
        <w:left w:val="none" w:sz="0" w:space="0" w:color="auto"/>
        <w:bottom w:val="none" w:sz="0" w:space="0" w:color="auto"/>
        <w:right w:val="none" w:sz="0" w:space="0" w:color="auto"/>
      </w:divBdr>
    </w:div>
    <w:div w:id="2067295048">
      <w:bodyDiv w:val="1"/>
      <w:marLeft w:val="0"/>
      <w:marRight w:val="0"/>
      <w:marTop w:val="0"/>
      <w:marBottom w:val="0"/>
      <w:divBdr>
        <w:top w:val="none" w:sz="0" w:space="0" w:color="auto"/>
        <w:left w:val="none" w:sz="0" w:space="0" w:color="auto"/>
        <w:bottom w:val="none" w:sz="0" w:space="0" w:color="auto"/>
        <w:right w:val="none" w:sz="0" w:space="0" w:color="auto"/>
      </w:divBdr>
    </w:div>
    <w:div w:id="2067988919">
      <w:bodyDiv w:val="1"/>
      <w:marLeft w:val="0"/>
      <w:marRight w:val="0"/>
      <w:marTop w:val="0"/>
      <w:marBottom w:val="0"/>
      <w:divBdr>
        <w:top w:val="none" w:sz="0" w:space="0" w:color="auto"/>
        <w:left w:val="none" w:sz="0" w:space="0" w:color="auto"/>
        <w:bottom w:val="none" w:sz="0" w:space="0" w:color="auto"/>
        <w:right w:val="none" w:sz="0" w:space="0" w:color="auto"/>
      </w:divBdr>
    </w:div>
    <w:div w:id="2097704795">
      <w:bodyDiv w:val="1"/>
      <w:marLeft w:val="0"/>
      <w:marRight w:val="0"/>
      <w:marTop w:val="0"/>
      <w:marBottom w:val="0"/>
      <w:divBdr>
        <w:top w:val="none" w:sz="0" w:space="0" w:color="auto"/>
        <w:left w:val="none" w:sz="0" w:space="0" w:color="auto"/>
        <w:bottom w:val="none" w:sz="0" w:space="0" w:color="auto"/>
        <w:right w:val="none" w:sz="0" w:space="0" w:color="auto"/>
      </w:divBdr>
    </w:div>
    <w:div w:id="2130080421">
      <w:bodyDiv w:val="1"/>
      <w:marLeft w:val="0"/>
      <w:marRight w:val="0"/>
      <w:marTop w:val="0"/>
      <w:marBottom w:val="0"/>
      <w:divBdr>
        <w:top w:val="none" w:sz="0" w:space="0" w:color="auto"/>
        <w:left w:val="none" w:sz="0" w:space="0" w:color="auto"/>
        <w:bottom w:val="none" w:sz="0" w:space="0" w:color="auto"/>
        <w:right w:val="none" w:sz="0" w:space="0" w:color="auto"/>
      </w:divBdr>
    </w:div>
    <w:div w:id="21335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edy\Downloads\template_-_principal_instru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B7C3-0B07-4387-8D0C-2F3653A5C15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C3CDF05-DE6E-47E2-9C5A-722EB0EADA25"/>
    <ds:schemaRef ds:uri="http://www.w3.org/XML/1998/namespace"/>
  </ds:schemaRefs>
</ds:datastoreItem>
</file>

<file path=customXml/itemProps2.xml><?xml version="1.0" encoding="utf-8"?>
<ds:datastoreItem xmlns:ds="http://schemas.openxmlformats.org/officeDocument/2006/customXml" ds:itemID="{444A4E12-4800-4F33-A2C8-F3CD221D646B}">
  <ds:schemaRefs>
    <ds:schemaRef ds:uri="http://schemas.microsoft.com/sharepoint/v3/contenttype/forms"/>
  </ds:schemaRefs>
</ds:datastoreItem>
</file>

<file path=customXml/itemProps3.xml><?xml version="1.0" encoding="utf-8"?>
<ds:datastoreItem xmlns:ds="http://schemas.openxmlformats.org/officeDocument/2006/customXml" ds:itemID="{2F1F0E1D-FF80-449C-A3EF-F94D607F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96330-16FB-4521-AD2A-75AE4389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(3).dotx</Template>
  <TotalTime>3</TotalTime>
  <Pages>19</Pages>
  <Words>5691</Words>
  <Characters>32440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Reedy</dc:creator>
  <cp:lastModifiedBy>O'DEA Michael</cp:lastModifiedBy>
  <cp:revision>3</cp:revision>
  <dcterms:created xsi:type="dcterms:W3CDTF">2023-12-12T02:58:00Z</dcterms:created>
  <dcterms:modified xsi:type="dcterms:W3CDTF">2023-12-12T23:31:00Z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0x010100266966F133664895A6EE3632470D45F5006B3C3137F4307E4FA73D6D01104038F9</vt:lpwstr>
  </property>
  <property fmtid="{D5CDD505-2E9C-101B-9397-08002B2CF9AE}" pid="3" name="_dlc_DocIdItemGuid">
    <vt:lpwstr>a6f17c55-2115-44fa-afa5-966755b49b36</vt:lpwstr>
  </property>
  <property fmtid="{D5CDD505-2E9C-101B-9397-08002B2CF9AE}" pid="4" name="DocHub_Year">
    <vt:lpwstr>2156;#2020|6a3660c5-15bd-4052-a0a1-6237663b7600</vt:lpwstr>
  </property>
  <property fmtid="{D5CDD505-2E9C-101B-9397-08002B2CF9AE}" pid="5" name="DocHub_DocumentType">
    <vt:lpwstr>549;#Legislative Instrument|edbe159b-95f5-40e7-bf23-9dfb62f2e7f0</vt:lpwstr>
  </property>
  <property fmtid="{D5CDD505-2E9C-101B-9397-08002B2CF9AE}" pid="6" name="DocHub_SecurityClassification">
    <vt:lpwstr>443;#Legal privilege|803d03d9-f24d-497a-bb88-13a7511ff07a</vt:lpwstr>
  </property>
  <property fmtid="{D5CDD505-2E9C-101B-9397-08002B2CF9AE}" pid="7" name="DocHub_Keywords">
    <vt:lpwstr>87;#Northern Australia Infrastructure Facility|4cbd16d5-639c-4095-9a67-fb8f23ce679a;#2603;#NAIF Statutory Review|ceeac9ac-d019-4015-b68f-024be8540991</vt:lpwstr>
  </property>
  <property fmtid="{D5CDD505-2E9C-101B-9397-08002B2CF9AE}" pid="8" name="DocHub_WorkActivity">
    <vt:lpwstr>337;#Legislation and Regulation|6cbc66f5-f4a2-4565-a58b-d5f2d2ac9bd0</vt:lpwstr>
  </property>
</Properties>
</file>