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2C0B" w14:textId="77777777" w:rsidR="001E51F5" w:rsidRPr="00E46894" w:rsidRDefault="001E51F5" w:rsidP="000C22F7">
      <w:pPr>
        <w:spacing w:after="0" w:line="240" w:lineRule="auto"/>
        <w:contextualSpacing/>
        <w:jc w:val="center"/>
        <w:rPr>
          <w:rFonts w:eastAsia="Times New Roman"/>
          <w:b/>
          <w:sz w:val="22"/>
          <w:szCs w:val="22"/>
          <w:u w:val="single"/>
          <w:lang w:eastAsia="en-AU"/>
        </w:rPr>
      </w:pPr>
      <w:r w:rsidRPr="00E46894">
        <w:rPr>
          <w:rFonts w:eastAsia="Times New Roman"/>
          <w:b/>
          <w:sz w:val="22"/>
          <w:szCs w:val="22"/>
          <w:u w:val="single"/>
          <w:lang w:eastAsia="en-AU"/>
        </w:rPr>
        <w:t>EXPLANATORY STATEMENT</w:t>
      </w:r>
    </w:p>
    <w:p w14:paraId="2ACB2C22" w14:textId="77777777" w:rsidR="00451D36" w:rsidRPr="00E46894" w:rsidRDefault="00451D36" w:rsidP="000C22F7">
      <w:pPr>
        <w:spacing w:after="0" w:line="240" w:lineRule="auto"/>
        <w:contextualSpacing/>
        <w:jc w:val="center"/>
        <w:rPr>
          <w:rFonts w:eastAsia="Times New Roman"/>
          <w:iCs/>
          <w:sz w:val="22"/>
          <w:szCs w:val="22"/>
          <w:lang w:eastAsia="en-AU"/>
        </w:rPr>
      </w:pPr>
    </w:p>
    <w:p w14:paraId="58F5E646" w14:textId="6E220949" w:rsidR="001E51F5" w:rsidRPr="00E46894" w:rsidRDefault="001E51F5" w:rsidP="000C22F7">
      <w:pPr>
        <w:spacing w:after="0" w:line="240" w:lineRule="auto"/>
        <w:contextualSpacing/>
        <w:jc w:val="center"/>
        <w:rPr>
          <w:rFonts w:eastAsia="Times New Roman"/>
          <w:sz w:val="22"/>
          <w:szCs w:val="22"/>
          <w:u w:val="single"/>
          <w:lang w:eastAsia="en-AU"/>
        </w:rPr>
      </w:pPr>
      <w:r w:rsidRPr="00E46894">
        <w:rPr>
          <w:rFonts w:eastAsia="Times New Roman"/>
          <w:i/>
          <w:sz w:val="22"/>
          <w:szCs w:val="22"/>
          <w:lang w:eastAsia="en-AU"/>
        </w:rPr>
        <w:t>Therapeutic Goods Act 1989</w:t>
      </w:r>
    </w:p>
    <w:p w14:paraId="04E03DFF" w14:textId="77777777" w:rsidR="00451D36" w:rsidRPr="00E46894" w:rsidRDefault="00451D36" w:rsidP="000C22F7">
      <w:pPr>
        <w:spacing w:after="0" w:line="240" w:lineRule="auto"/>
        <w:contextualSpacing/>
        <w:jc w:val="center"/>
        <w:rPr>
          <w:rFonts w:eastAsia="Times New Roman"/>
          <w:iCs/>
          <w:sz w:val="22"/>
          <w:szCs w:val="22"/>
          <w:lang w:eastAsia="en-AU"/>
        </w:rPr>
      </w:pPr>
      <w:bookmarkStart w:id="0" w:name="_Hlk138934632"/>
    </w:p>
    <w:p w14:paraId="71593AB4" w14:textId="67874948" w:rsidR="00451D36" w:rsidRPr="00E46894" w:rsidRDefault="00DD0D55" w:rsidP="000C22F7">
      <w:pPr>
        <w:autoSpaceDE w:val="0"/>
        <w:autoSpaceDN w:val="0"/>
        <w:adjustRightInd w:val="0"/>
        <w:spacing w:after="0" w:line="240" w:lineRule="auto"/>
        <w:contextualSpacing/>
        <w:jc w:val="center"/>
        <w:rPr>
          <w:rFonts w:eastAsia="Times New Roman"/>
          <w:i/>
          <w:sz w:val="22"/>
          <w:szCs w:val="22"/>
          <w:lang w:eastAsia="en-AU"/>
        </w:rPr>
      </w:pPr>
      <w:bookmarkStart w:id="1" w:name="_Hlk150262677"/>
      <w:bookmarkEnd w:id="0"/>
      <w:r w:rsidRPr="00E46894">
        <w:rPr>
          <w:rFonts w:eastAsia="Times New Roman"/>
          <w:i/>
          <w:sz w:val="22"/>
          <w:szCs w:val="22"/>
          <w:lang w:eastAsia="en-AU"/>
        </w:rPr>
        <w:t>Therapeutic Goods (Medicines—Authorised Supply) Amendment (Vaping) Rules 2023</w:t>
      </w:r>
    </w:p>
    <w:bookmarkEnd w:id="1"/>
    <w:p w14:paraId="153F084A" w14:textId="77777777" w:rsidR="00DD0D55" w:rsidRPr="00E46894" w:rsidRDefault="00DD0D55" w:rsidP="000C22F7">
      <w:pPr>
        <w:autoSpaceDE w:val="0"/>
        <w:autoSpaceDN w:val="0"/>
        <w:adjustRightInd w:val="0"/>
        <w:spacing w:after="0" w:line="240" w:lineRule="auto"/>
        <w:contextualSpacing/>
        <w:rPr>
          <w:rFonts w:eastAsia="Times New Roman"/>
          <w:sz w:val="22"/>
          <w:szCs w:val="22"/>
          <w:lang w:eastAsia="en-AU"/>
        </w:rPr>
      </w:pPr>
    </w:p>
    <w:p w14:paraId="4C1B5497" w14:textId="77777777" w:rsidR="00D40B4E" w:rsidRPr="00E46894" w:rsidRDefault="00D40B4E" w:rsidP="000C22F7">
      <w:pPr>
        <w:autoSpaceDE w:val="0"/>
        <w:autoSpaceDN w:val="0"/>
        <w:adjustRightInd w:val="0"/>
        <w:spacing w:after="0" w:line="240" w:lineRule="auto"/>
        <w:contextualSpacing/>
        <w:rPr>
          <w:rFonts w:eastAsia="Times New Roman"/>
          <w:sz w:val="22"/>
          <w:szCs w:val="22"/>
          <w:lang w:eastAsia="en-AU"/>
        </w:rPr>
      </w:pPr>
      <w:bookmarkStart w:id="2" w:name="_Hlk147933680"/>
      <w:r w:rsidRPr="00E46894">
        <w:rPr>
          <w:rFonts w:eastAsia="Times New Roman"/>
          <w:sz w:val="22"/>
          <w:szCs w:val="22"/>
          <w:lang w:eastAsia="en-AU"/>
        </w:rPr>
        <w:t xml:space="preserve">The </w:t>
      </w:r>
      <w:r w:rsidRPr="00E46894">
        <w:rPr>
          <w:rFonts w:eastAsia="Times New Roman"/>
          <w:i/>
          <w:sz w:val="22"/>
          <w:szCs w:val="22"/>
          <w:lang w:eastAsia="en-AU"/>
        </w:rPr>
        <w:t>Therapeutic Goods Act 1989</w:t>
      </w:r>
      <w:r w:rsidRPr="00E46894">
        <w:rPr>
          <w:rFonts w:eastAsia="Times New Roman"/>
          <w:sz w:val="22"/>
          <w:szCs w:val="22"/>
          <w:lang w:eastAsia="en-AU"/>
        </w:rPr>
        <w:t xml:space="preserve"> (“the Act”) provides for the establishment and maintenance of a national system of controls for the quality, safety, efficacy or performance, and timely availability of therapeutic goods that are used in, or exported from, Australia. The Act is administered by the Therapeutic Goods Administration (“the TGA”) within the Australian Government Department of Health and Aged Care (“the Department”).</w:t>
      </w:r>
    </w:p>
    <w:bookmarkEnd w:id="2"/>
    <w:p w14:paraId="0874C687" w14:textId="77777777" w:rsidR="00451D36" w:rsidRPr="00E46894" w:rsidRDefault="00451D36" w:rsidP="000C22F7">
      <w:pPr>
        <w:autoSpaceDE w:val="0"/>
        <w:autoSpaceDN w:val="0"/>
        <w:adjustRightInd w:val="0"/>
        <w:spacing w:after="0" w:line="240" w:lineRule="auto"/>
        <w:contextualSpacing/>
        <w:rPr>
          <w:color w:val="000000"/>
          <w:sz w:val="22"/>
          <w:szCs w:val="22"/>
          <w:shd w:val="clear" w:color="auto" w:fill="FFFFFF"/>
        </w:rPr>
      </w:pPr>
    </w:p>
    <w:p w14:paraId="43171ED2" w14:textId="16650AE8" w:rsidR="00657AA1" w:rsidRPr="00E46894" w:rsidRDefault="00657AA1" w:rsidP="000C22F7">
      <w:pPr>
        <w:shd w:val="clear" w:color="auto" w:fill="FFFFFF"/>
        <w:spacing w:after="0" w:line="240" w:lineRule="auto"/>
        <w:contextualSpacing/>
        <w:rPr>
          <w:color w:val="000000"/>
          <w:sz w:val="22"/>
          <w:szCs w:val="22"/>
          <w:shd w:val="clear" w:color="auto" w:fill="FFFFFF"/>
        </w:rPr>
      </w:pPr>
      <w:bookmarkStart w:id="3" w:name="_Hlk152594754"/>
      <w:r w:rsidRPr="00E46894">
        <w:rPr>
          <w:color w:val="000000"/>
          <w:sz w:val="22"/>
          <w:szCs w:val="22"/>
          <w:shd w:val="clear" w:color="auto" w:fill="FFFFFF"/>
        </w:rPr>
        <w:t>Subsection 19(7A) of the Act provides that the Minister may, by legislative instrument, make rules authorising classes of health practitioners to supply specified therapeutic goods</w:t>
      </w:r>
      <w:r w:rsidR="005C3704" w:rsidRPr="00E46894">
        <w:rPr>
          <w:color w:val="000000"/>
          <w:sz w:val="22"/>
          <w:szCs w:val="22"/>
          <w:shd w:val="clear" w:color="auto" w:fill="FFFFFF"/>
        </w:rPr>
        <w:t xml:space="preserve">, </w:t>
      </w:r>
      <w:r w:rsidRPr="00E46894">
        <w:rPr>
          <w:color w:val="000000"/>
          <w:sz w:val="22"/>
          <w:szCs w:val="22"/>
          <w:shd w:val="clear" w:color="auto" w:fill="FFFFFF"/>
        </w:rPr>
        <w:t>or classes of such goods</w:t>
      </w:r>
      <w:r w:rsidR="005C3704" w:rsidRPr="00E46894">
        <w:rPr>
          <w:color w:val="000000"/>
          <w:sz w:val="22"/>
          <w:szCs w:val="22"/>
          <w:shd w:val="clear" w:color="auto" w:fill="FFFFFF"/>
        </w:rPr>
        <w:t>,</w:t>
      </w:r>
      <w:r w:rsidRPr="00E46894">
        <w:rPr>
          <w:color w:val="000000"/>
          <w:sz w:val="22"/>
          <w:szCs w:val="22"/>
          <w:shd w:val="clear" w:color="auto" w:fill="FFFFFF"/>
        </w:rPr>
        <w:t xml:space="preserve"> for use in the treatment of specified recipients, provided the goods are supplied in specified circumstances and the specified conditions</w:t>
      </w:r>
      <w:r w:rsidR="004F1509" w:rsidRPr="00E46894">
        <w:rPr>
          <w:color w:val="000000"/>
          <w:sz w:val="22"/>
          <w:szCs w:val="22"/>
          <w:shd w:val="clear" w:color="auto" w:fill="FFFFFF"/>
        </w:rPr>
        <w:t>,</w:t>
      </w:r>
      <w:r w:rsidRPr="00E46894">
        <w:rPr>
          <w:color w:val="000000"/>
          <w:sz w:val="22"/>
          <w:szCs w:val="22"/>
          <w:shd w:val="clear" w:color="auto" w:fill="FFFFFF"/>
        </w:rPr>
        <w:t xml:space="preserve"> if any</w:t>
      </w:r>
      <w:r w:rsidR="004F1509" w:rsidRPr="00E46894">
        <w:rPr>
          <w:color w:val="000000"/>
          <w:sz w:val="22"/>
          <w:szCs w:val="22"/>
          <w:shd w:val="clear" w:color="auto" w:fill="FFFFFF"/>
        </w:rPr>
        <w:t>,</w:t>
      </w:r>
      <w:r w:rsidRPr="00E46894">
        <w:rPr>
          <w:color w:val="000000"/>
          <w:sz w:val="22"/>
          <w:szCs w:val="22"/>
          <w:shd w:val="clear" w:color="auto" w:fill="FFFFFF"/>
        </w:rPr>
        <w:t xml:space="preserve"> are satisfied.</w:t>
      </w:r>
    </w:p>
    <w:bookmarkEnd w:id="3"/>
    <w:p w14:paraId="69063714" w14:textId="75E42D5E" w:rsidR="00657AA1" w:rsidRPr="00E46894" w:rsidRDefault="00657AA1" w:rsidP="000C22F7">
      <w:pPr>
        <w:shd w:val="clear" w:color="auto" w:fill="FFFFFF"/>
        <w:spacing w:after="0" w:line="240" w:lineRule="auto"/>
        <w:contextualSpacing/>
        <w:rPr>
          <w:color w:val="000000"/>
          <w:sz w:val="22"/>
          <w:szCs w:val="22"/>
          <w:shd w:val="clear" w:color="auto" w:fill="FFFFFF"/>
        </w:rPr>
      </w:pPr>
    </w:p>
    <w:p w14:paraId="41280FCB" w14:textId="5614B9F0" w:rsidR="000C22F7" w:rsidRPr="00E46894" w:rsidRDefault="00657AA1" w:rsidP="000C22F7">
      <w:pPr>
        <w:shd w:val="clear" w:color="auto" w:fill="FFFFFF"/>
        <w:spacing w:after="0" w:line="240" w:lineRule="auto"/>
        <w:contextualSpacing/>
        <w:rPr>
          <w:color w:val="000000"/>
          <w:sz w:val="22"/>
          <w:szCs w:val="22"/>
          <w:shd w:val="clear" w:color="auto" w:fill="FFFFFF"/>
        </w:rPr>
      </w:pPr>
      <w:r w:rsidRPr="00E46894">
        <w:rPr>
          <w:color w:val="000000"/>
          <w:sz w:val="22"/>
          <w:szCs w:val="22"/>
          <w:shd w:val="clear" w:color="auto" w:fill="FFFFFF"/>
        </w:rPr>
        <w:t>Subsection 19(7B) of the Act provides that, in making rules under subsection 19(7A), the Minister must comply with such requirements, restrictions or limitations</w:t>
      </w:r>
      <w:r w:rsidR="005C3704" w:rsidRPr="00E46894">
        <w:rPr>
          <w:color w:val="000000"/>
          <w:sz w:val="22"/>
          <w:szCs w:val="22"/>
          <w:shd w:val="clear" w:color="auto" w:fill="FFFFFF"/>
        </w:rPr>
        <w:t>,</w:t>
      </w:r>
      <w:r w:rsidRPr="00E46894">
        <w:rPr>
          <w:color w:val="000000"/>
          <w:sz w:val="22"/>
          <w:szCs w:val="22"/>
          <w:shd w:val="clear" w:color="auto" w:fill="FFFFFF"/>
        </w:rPr>
        <w:t xml:space="preserve"> if any</w:t>
      </w:r>
      <w:r w:rsidR="005C3704" w:rsidRPr="00E46894">
        <w:rPr>
          <w:color w:val="000000"/>
          <w:sz w:val="22"/>
          <w:szCs w:val="22"/>
          <w:shd w:val="clear" w:color="auto" w:fill="FFFFFF"/>
        </w:rPr>
        <w:t>,</w:t>
      </w:r>
      <w:r w:rsidRPr="00E46894">
        <w:rPr>
          <w:color w:val="000000"/>
          <w:sz w:val="22"/>
          <w:szCs w:val="22"/>
          <w:shd w:val="clear" w:color="auto" w:fill="FFFFFF"/>
        </w:rPr>
        <w:t xml:space="preserve"> prescribed in the regulations. </w:t>
      </w:r>
      <w:proofErr w:type="spellStart"/>
      <w:r w:rsidRPr="00E46894">
        <w:rPr>
          <w:color w:val="000000"/>
          <w:sz w:val="22"/>
          <w:szCs w:val="22"/>
          <w:shd w:val="clear" w:color="auto" w:fill="FFFFFF"/>
        </w:rPr>
        <w:t>Subregulation</w:t>
      </w:r>
      <w:proofErr w:type="spellEnd"/>
      <w:r w:rsidRPr="00E46894">
        <w:rPr>
          <w:color w:val="000000"/>
          <w:sz w:val="22"/>
          <w:szCs w:val="22"/>
          <w:shd w:val="clear" w:color="auto" w:fill="FFFFFF"/>
        </w:rPr>
        <w:t xml:space="preserve"> 12</w:t>
      </w:r>
      <w:proofErr w:type="gramStart"/>
      <w:r w:rsidRPr="00E46894">
        <w:rPr>
          <w:color w:val="000000"/>
          <w:sz w:val="22"/>
          <w:szCs w:val="22"/>
          <w:shd w:val="clear" w:color="auto" w:fill="FFFFFF"/>
        </w:rPr>
        <w:t>B(</w:t>
      </w:r>
      <w:proofErr w:type="gramEnd"/>
      <w:r w:rsidRPr="00E46894">
        <w:rPr>
          <w:color w:val="000000"/>
          <w:sz w:val="22"/>
          <w:szCs w:val="22"/>
          <w:shd w:val="clear" w:color="auto" w:fill="FFFFFF"/>
        </w:rPr>
        <w:t>5) of the </w:t>
      </w:r>
      <w:r w:rsidRPr="00E46894">
        <w:rPr>
          <w:i/>
          <w:iCs/>
          <w:color w:val="000000"/>
          <w:sz w:val="22"/>
          <w:szCs w:val="22"/>
          <w:shd w:val="clear" w:color="auto" w:fill="FFFFFF"/>
        </w:rPr>
        <w:t>Therapeutic Goods Regulations 1990 </w:t>
      </w:r>
      <w:r w:rsidRPr="00E46894">
        <w:rPr>
          <w:color w:val="000000"/>
          <w:sz w:val="22"/>
          <w:szCs w:val="22"/>
          <w:shd w:val="clear" w:color="auto" w:fill="FFFFFF"/>
        </w:rPr>
        <w:t>provides that rules made under subsection 19(7A) of the Act must not specify a medicine or a class of medicines if the medicine, or a medicine included in the class, contains a substance of a kind covered by an entry in Schedule</w:t>
      </w:r>
      <w:r w:rsidR="005C3704" w:rsidRPr="00E46894">
        <w:rPr>
          <w:color w:val="000000"/>
          <w:sz w:val="22"/>
          <w:szCs w:val="22"/>
          <w:shd w:val="clear" w:color="auto" w:fill="FFFFFF"/>
        </w:rPr>
        <w:t>s</w:t>
      </w:r>
      <w:r w:rsidRPr="00E46894">
        <w:rPr>
          <w:color w:val="000000"/>
          <w:sz w:val="22"/>
          <w:szCs w:val="22"/>
          <w:shd w:val="clear" w:color="auto" w:fill="FFFFFF"/>
        </w:rPr>
        <w:t xml:space="preserve"> 8, 9 or 10 to the Poisons Standard.</w:t>
      </w:r>
    </w:p>
    <w:p w14:paraId="60EC3150" w14:textId="4DAD6383" w:rsidR="00657AA1" w:rsidRPr="00E46894" w:rsidRDefault="00657AA1" w:rsidP="000C22F7">
      <w:pPr>
        <w:shd w:val="clear" w:color="auto" w:fill="FFFFFF"/>
        <w:spacing w:after="0" w:line="240" w:lineRule="auto"/>
        <w:contextualSpacing/>
        <w:rPr>
          <w:color w:val="000000"/>
          <w:sz w:val="22"/>
          <w:szCs w:val="22"/>
          <w:shd w:val="clear" w:color="auto" w:fill="FFFFFF"/>
        </w:rPr>
      </w:pPr>
    </w:p>
    <w:p w14:paraId="09507032" w14:textId="742E123D" w:rsidR="00CE1625" w:rsidRPr="00E46894" w:rsidRDefault="00657AA1" w:rsidP="000C22F7">
      <w:pPr>
        <w:shd w:val="clear" w:color="auto" w:fill="FFFFFF"/>
        <w:spacing w:after="0" w:line="240" w:lineRule="auto"/>
        <w:contextualSpacing/>
        <w:rPr>
          <w:color w:val="000000"/>
          <w:sz w:val="22"/>
          <w:szCs w:val="22"/>
          <w:shd w:val="clear" w:color="auto" w:fill="FFFFFF"/>
        </w:rPr>
      </w:pPr>
      <w:r w:rsidRPr="00E46894">
        <w:rPr>
          <w:color w:val="000000"/>
          <w:sz w:val="22"/>
          <w:szCs w:val="22"/>
          <w:shd w:val="clear" w:color="auto" w:fill="FFFFFF"/>
        </w:rPr>
        <w:t>Health practitioners who supply therapeutic goods pursuant to rules made under subsection 19(7A) are required to notify the Secretary in accordance with subsections 19(7C) and 19(7D) of the Act.</w:t>
      </w:r>
    </w:p>
    <w:p w14:paraId="711FC713" w14:textId="77777777" w:rsidR="00CE1625" w:rsidRPr="00E46894" w:rsidRDefault="00CE1625" w:rsidP="000C22F7">
      <w:pPr>
        <w:shd w:val="clear" w:color="auto" w:fill="FFFFFF"/>
        <w:spacing w:after="0" w:line="240" w:lineRule="auto"/>
        <w:contextualSpacing/>
        <w:rPr>
          <w:color w:val="000000"/>
          <w:sz w:val="22"/>
          <w:szCs w:val="22"/>
          <w:shd w:val="clear" w:color="auto" w:fill="FFFFFF"/>
        </w:rPr>
      </w:pPr>
    </w:p>
    <w:p w14:paraId="602CB968" w14:textId="30420DFF" w:rsidR="00657AA1" w:rsidRPr="00E46894" w:rsidRDefault="00657AA1" w:rsidP="000C22F7">
      <w:pPr>
        <w:shd w:val="clear" w:color="auto" w:fill="FFFFFF"/>
        <w:spacing w:after="0" w:line="240" w:lineRule="auto"/>
        <w:contextualSpacing/>
        <w:rPr>
          <w:color w:val="000000"/>
          <w:sz w:val="22"/>
          <w:szCs w:val="22"/>
          <w:shd w:val="clear" w:color="auto" w:fill="FFFFFF"/>
        </w:rPr>
      </w:pPr>
      <w:r w:rsidRPr="00E46894">
        <w:rPr>
          <w:color w:val="000000"/>
          <w:sz w:val="22"/>
          <w:szCs w:val="22"/>
          <w:shd w:val="clear" w:color="auto" w:fill="FFFFFF"/>
        </w:rPr>
        <w:t>These provisions are mainly intended to facilitate access to therapeutic goods with an established history of use in Australia and overseas, in circumstances where those goods are not included in the Australian Register of Therapeutic Goods (“the Register”), or not otherwise the subject of an exemption, approval or authority under the Act.</w:t>
      </w:r>
    </w:p>
    <w:p w14:paraId="03A328DB" w14:textId="77777777" w:rsidR="00451D36" w:rsidRPr="00E46894" w:rsidRDefault="00451D36" w:rsidP="000C22F7">
      <w:pPr>
        <w:shd w:val="clear" w:color="auto" w:fill="FFFFFF"/>
        <w:spacing w:after="0" w:line="240" w:lineRule="auto"/>
        <w:contextualSpacing/>
        <w:rPr>
          <w:color w:val="000000"/>
          <w:sz w:val="22"/>
          <w:szCs w:val="22"/>
          <w:shd w:val="clear" w:color="auto" w:fill="FFFFFF"/>
        </w:rPr>
      </w:pPr>
    </w:p>
    <w:p w14:paraId="640C0309" w14:textId="562864BC" w:rsidR="00451D36" w:rsidRPr="00E46894" w:rsidRDefault="00C8286A" w:rsidP="000C22F7">
      <w:pPr>
        <w:shd w:val="clear" w:color="auto" w:fill="FFFFFF"/>
        <w:spacing w:after="0" w:line="240" w:lineRule="auto"/>
        <w:contextualSpacing/>
        <w:rPr>
          <w:color w:val="000000"/>
          <w:sz w:val="22"/>
          <w:szCs w:val="22"/>
          <w:shd w:val="clear" w:color="auto" w:fill="FFFFFF"/>
        </w:rPr>
      </w:pPr>
      <w:bookmarkStart w:id="4" w:name="_Hlk150265860"/>
      <w:r w:rsidRPr="00E46894">
        <w:rPr>
          <w:color w:val="000000"/>
          <w:sz w:val="22"/>
          <w:szCs w:val="22"/>
          <w:shd w:val="clear" w:color="auto" w:fill="FFFFFF"/>
        </w:rPr>
        <w:t>The </w:t>
      </w:r>
      <w:r w:rsidR="00C55857" w:rsidRPr="00E46894">
        <w:rPr>
          <w:i/>
          <w:iCs/>
          <w:color w:val="000000"/>
          <w:sz w:val="22"/>
          <w:szCs w:val="22"/>
          <w:shd w:val="clear" w:color="auto" w:fill="FFFFFF"/>
        </w:rPr>
        <w:t>Therapeutic Goods (Medicines—Authorised Supply) Rules 2022</w:t>
      </w:r>
      <w:r w:rsidRPr="00E46894">
        <w:rPr>
          <w:i/>
          <w:iCs/>
          <w:color w:val="000000"/>
          <w:sz w:val="22"/>
          <w:szCs w:val="22"/>
          <w:shd w:val="clear" w:color="auto" w:fill="FFFFFF"/>
        </w:rPr>
        <w:t> </w:t>
      </w:r>
      <w:r w:rsidRPr="00E46894">
        <w:rPr>
          <w:color w:val="000000"/>
          <w:sz w:val="22"/>
          <w:szCs w:val="22"/>
          <w:shd w:val="clear" w:color="auto" w:fill="FFFFFF"/>
        </w:rPr>
        <w:t xml:space="preserve">(“the </w:t>
      </w:r>
      <w:r w:rsidR="005C3704" w:rsidRPr="00E46894">
        <w:rPr>
          <w:color w:val="000000"/>
          <w:sz w:val="22"/>
          <w:szCs w:val="22"/>
          <w:shd w:val="clear" w:color="auto" w:fill="FFFFFF"/>
        </w:rPr>
        <w:t xml:space="preserve">Principal </w:t>
      </w:r>
      <w:r w:rsidR="00C55857" w:rsidRPr="00E46894">
        <w:rPr>
          <w:color w:val="000000"/>
          <w:sz w:val="22"/>
          <w:szCs w:val="22"/>
          <w:shd w:val="clear" w:color="auto" w:fill="FFFFFF"/>
        </w:rPr>
        <w:t>Rules</w:t>
      </w:r>
      <w:r w:rsidRPr="00E46894">
        <w:rPr>
          <w:color w:val="000000"/>
          <w:sz w:val="22"/>
          <w:szCs w:val="22"/>
          <w:shd w:val="clear" w:color="auto" w:fill="FFFFFF"/>
        </w:rPr>
        <w:t xml:space="preserve">”) </w:t>
      </w:r>
      <w:r w:rsidR="00C55857" w:rsidRPr="00E46894">
        <w:rPr>
          <w:color w:val="000000"/>
          <w:sz w:val="22"/>
          <w:szCs w:val="22"/>
          <w:shd w:val="clear" w:color="auto" w:fill="FFFFFF"/>
        </w:rPr>
        <w:t>are</w:t>
      </w:r>
      <w:r w:rsidRPr="00E46894">
        <w:rPr>
          <w:color w:val="000000"/>
          <w:sz w:val="22"/>
          <w:szCs w:val="22"/>
          <w:shd w:val="clear" w:color="auto" w:fill="FFFFFF"/>
        </w:rPr>
        <w:t xml:space="preserve"> made under s</w:t>
      </w:r>
      <w:r w:rsidR="00C55857" w:rsidRPr="00E46894">
        <w:rPr>
          <w:color w:val="000000"/>
          <w:sz w:val="22"/>
          <w:szCs w:val="22"/>
          <w:shd w:val="clear" w:color="auto" w:fill="FFFFFF"/>
        </w:rPr>
        <w:t>ubs</w:t>
      </w:r>
      <w:r w:rsidRPr="00E46894">
        <w:rPr>
          <w:color w:val="000000"/>
          <w:sz w:val="22"/>
          <w:szCs w:val="22"/>
          <w:shd w:val="clear" w:color="auto" w:fill="FFFFFF"/>
        </w:rPr>
        <w:t xml:space="preserve">ection </w:t>
      </w:r>
      <w:r w:rsidR="00C55857" w:rsidRPr="00E46894">
        <w:rPr>
          <w:color w:val="000000"/>
          <w:sz w:val="22"/>
          <w:szCs w:val="22"/>
          <w:shd w:val="clear" w:color="auto" w:fill="FFFFFF"/>
        </w:rPr>
        <w:t>19(7A)</w:t>
      </w:r>
      <w:r w:rsidRPr="00E46894">
        <w:rPr>
          <w:color w:val="000000"/>
          <w:sz w:val="22"/>
          <w:szCs w:val="22"/>
          <w:shd w:val="clear" w:color="auto" w:fill="FFFFFF"/>
        </w:rPr>
        <w:t xml:space="preserve"> of the Act</w:t>
      </w:r>
      <w:r w:rsidR="00D40B4E" w:rsidRPr="00E46894">
        <w:rPr>
          <w:color w:val="000000"/>
          <w:sz w:val="22"/>
          <w:szCs w:val="22"/>
          <w:shd w:val="clear" w:color="auto" w:fill="FFFFFF"/>
        </w:rPr>
        <w:t xml:space="preserve">. </w:t>
      </w:r>
      <w:r w:rsidR="00C55857" w:rsidRPr="00E46894">
        <w:rPr>
          <w:color w:val="000000"/>
          <w:sz w:val="22"/>
          <w:szCs w:val="22"/>
          <w:shd w:val="clear" w:color="auto" w:fill="FFFFFF"/>
        </w:rPr>
        <w:t xml:space="preserve">The </w:t>
      </w:r>
      <w:r w:rsidR="005C3704" w:rsidRPr="00E46894">
        <w:rPr>
          <w:color w:val="000000"/>
          <w:sz w:val="22"/>
          <w:szCs w:val="22"/>
          <w:shd w:val="clear" w:color="auto" w:fill="FFFFFF"/>
        </w:rPr>
        <w:t xml:space="preserve">Principal </w:t>
      </w:r>
      <w:r w:rsidR="00C55857" w:rsidRPr="00E46894">
        <w:rPr>
          <w:color w:val="000000"/>
          <w:sz w:val="22"/>
          <w:szCs w:val="22"/>
          <w:shd w:val="clear" w:color="auto" w:fill="FFFFFF"/>
        </w:rPr>
        <w:t xml:space="preserve">Rules specify health practitioners, medicines, </w:t>
      </w:r>
      <w:proofErr w:type="gramStart"/>
      <w:r w:rsidR="00C55857" w:rsidRPr="00E46894">
        <w:rPr>
          <w:color w:val="000000"/>
          <w:sz w:val="22"/>
          <w:szCs w:val="22"/>
          <w:shd w:val="clear" w:color="auto" w:fill="FFFFFF"/>
        </w:rPr>
        <w:t>circumstances</w:t>
      </w:r>
      <w:proofErr w:type="gramEnd"/>
      <w:r w:rsidR="00C55857" w:rsidRPr="00E46894">
        <w:rPr>
          <w:color w:val="000000"/>
          <w:sz w:val="22"/>
          <w:szCs w:val="22"/>
          <w:shd w:val="clear" w:color="auto" w:fill="FFFFFF"/>
        </w:rPr>
        <w:t xml:space="preserve"> and conditions for the purposes of subsection</w:t>
      </w:r>
      <w:r w:rsidR="00DA42A9" w:rsidRPr="00E46894">
        <w:rPr>
          <w:color w:val="000000"/>
          <w:sz w:val="22"/>
          <w:szCs w:val="22"/>
          <w:shd w:val="clear" w:color="auto" w:fill="FFFFFF"/>
        </w:rPr>
        <w:t xml:space="preserve"> 19(7A) of the Act</w:t>
      </w:r>
      <w:r w:rsidR="00C55857" w:rsidRPr="00E46894">
        <w:rPr>
          <w:color w:val="000000"/>
          <w:sz w:val="22"/>
          <w:szCs w:val="22"/>
          <w:shd w:val="clear" w:color="auto" w:fill="FFFFFF"/>
        </w:rPr>
        <w:t>.</w:t>
      </w:r>
    </w:p>
    <w:bookmarkEnd w:id="4"/>
    <w:p w14:paraId="7A0E7322" w14:textId="77777777" w:rsidR="00C55857" w:rsidRPr="00E46894" w:rsidRDefault="00C55857" w:rsidP="000C22F7">
      <w:pPr>
        <w:shd w:val="clear" w:color="auto" w:fill="FFFFFF"/>
        <w:spacing w:after="0" w:line="240" w:lineRule="auto"/>
        <w:contextualSpacing/>
        <w:rPr>
          <w:color w:val="000000"/>
          <w:sz w:val="22"/>
          <w:szCs w:val="22"/>
          <w:shd w:val="clear" w:color="auto" w:fill="FFFFFF"/>
        </w:rPr>
      </w:pPr>
    </w:p>
    <w:p w14:paraId="0C16BAD6" w14:textId="348F9783" w:rsidR="00CE1625" w:rsidRPr="00E46894" w:rsidRDefault="00C8286A" w:rsidP="000C22F7">
      <w:pPr>
        <w:autoSpaceDE w:val="0"/>
        <w:autoSpaceDN w:val="0"/>
        <w:adjustRightInd w:val="0"/>
        <w:spacing w:after="0" w:line="240" w:lineRule="auto"/>
        <w:contextualSpacing/>
        <w:rPr>
          <w:color w:val="000000"/>
          <w:sz w:val="22"/>
          <w:szCs w:val="22"/>
          <w:shd w:val="clear" w:color="auto" w:fill="FFFFFF"/>
        </w:rPr>
      </w:pPr>
      <w:r w:rsidRPr="00E46894">
        <w:rPr>
          <w:color w:val="000000"/>
          <w:sz w:val="22"/>
          <w:szCs w:val="22"/>
          <w:shd w:val="clear" w:color="auto" w:fill="FFFFFF"/>
        </w:rPr>
        <w:t>The </w:t>
      </w:r>
      <w:r w:rsidR="00C55857" w:rsidRPr="00E46894">
        <w:rPr>
          <w:i/>
          <w:iCs/>
          <w:color w:val="000000"/>
          <w:sz w:val="22"/>
          <w:szCs w:val="22"/>
          <w:shd w:val="clear" w:color="auto" w:fill="FFFFFF"/>
        </w:rPr>
        <w:t xml:space="preserve">Therapeutic Goods (Medicines—Authorised Supply) Amendment (Vaping) Rules 2023 </w:t>
      </w:r>
      <w:r w:rsidRPr="00E46894">
        <w:rPr>
          <w:color w:val="000000"/>
          <w:sz w:val="22"/>
          <w:szCs w:val="22"/>
          <w:shd w:val="clear" w:color="auto" w:fill="FFFFFF"/>
        </w:rPr>
        <w:t xml:space="preserve">(“the Amendment </w:t>
      </w:r>
      <w:r w:rsidR="00C55857" w:rsidRPr="00E46894">
        <w:rPr>
          <w:color w:val="000000"/>
          <w:sz w:val="22"/>
          <w:szCs w:val="22"/>
          <w:shd w:val="clear" w:color="auto" w:fill="FFFFFF"/>
        </w:rPr>
        <w:t>Rule</w:t>
      </w:r>
      <w:r w:rsidR="00171742" w:rsidRPr="00E46894">
        <w:rPr>
          <w:color w:val="000000"/>
          <w:sz w:val="22"/>
          <w:szCs w:val="22"/>
          <w:shd w:val="clear" w:color="auto" w:fill="FFFFFF"/>
        </w:rPr>
        <w:t>s</w:t>
      </w:r>
      <w:r w:rsidRPr="00E46894">
        <w:rPr>
          <w:color w:val="000000"/>
          <w:sz w:val="22"/>
          <w:szCs w:val="22"/>
          <w:shd w:val="clear" w:color="auto" w:fill="FFFFFF"/>
        </w:rPr>
        <w:t xml:space="preserve">”) is made under </w:t>
      </w:r>
      <w:r w:rsidR="00C55857" w:rsidRPr="00E46894">
        <w:rPr>
          <w:color w:val="000000"/>
          <w:sz w:val="22"/>
          <w:szCs w:val="22"/>
          <w:shd w:val="clear" w:color="auto" w:fill="FFFFFF"/>
        </w:rPr>
        <w:t>sub</w:t>
      </w:r>
      <w:r w:rsidRPr="00E46894">
        <w:rPr>
          <w:color w:val="000000"/>
          <w:sz w:val="22"/>
          <w:szCs w:val="22"/>
          <w:shd w:val="clear" w:color="auto" w:fill="FFFFFF"/>
        </w:rPr>
        <w:t>section</w:t>
      </w:r>
      <w:r w:rsidR="00CE1625" w:rsidRPr="00E46894">
        <w:rPr>
          <w:color w:val="000000"/>
          <w:sz w:val="22"/>
          <w:szCs w:val="22"/>
          <w:shd w:val="clear" w:color="auto" w:fill="FFFFFF"/>
        </w:rPr>
        <w:t>s</w:t>
      </w:r>
      <w:r w:rsidRPr="00E46894">
        <w:rPr>
          <w:color w:val="000000"/>
          <w:sz w:val="22"/>
          <w:szCs w:val="22"/>
          <w:shd w:val="clear" w:color="auto" w:fill="FFFFFF"/>
        </w:rPr>
        <w:t xml:space="preserve"> </w:t>
      </w:r>
      <w:r w:rsidR="00C55857" w:rsidRPr="00E46894">
        <w:rPr>
          <w:color w:val="000000"/>
          <w:sz w:val="22"/>
          <w:szCs w:val="22"/>
          <w:shd w:val="clear" w:color="auto" w:fill="FFFFFF"/>
        </w:rPr>
        <w:t>19(7A)</w:t>
      </w:r>
      <w:r w:rsidR="00CE1625" w:rsidRPr="00E46894">
        <w:rPr>
          <w:color w:val="000000"/>
          <w:sz w:val="22"/>
          <w:szCs w:val="22"/>
          <w:shd w:val="clear" w:color="auto" w:fill="FFFFFF"/>
        </w:rPr>
        <w:t>, 32CM(7A) and 41</w:t>
      </w:r>
      <w:proofErr w:type="gramStart"/>
      <w:r w:rsidR="00CE1625" w:rsidRPr="00E46894">
        <w:rPr>
          <w:color w:val="000000"/>
          <w:sz w:val="22"/>
          <w:szCs w:val="22"/>
          <w:shd w:val="clear" w:color="auto" w:fill="FFFFFF"/>
        </w:rPr>
        <w:t>HC(</w:t>
      </w:r>
      <w:proofErr w:type="gramEnd"/>
      <w:r w:rsidR="00CE1625" w:rsidRPr="00E46894">
        <w:rPr>
          <w:color w:val="000000"/>
          <w:sz w:val="22"/>
          <w:szCs w:val="22"/>
          <w:shd w:val="clear" w:color="auto" w:fill="FFFFFF"/>
        </w:rPr>
        <w:t>6)</w:t>
      </w:r>
      <w:r w:rsidRPr="00E46894">
        <w:rPr>
          <w:color w:val="000000"/>
          <w:sz w:val="22"/>
          <w:szCs w:val="22"/>
          <w:shd w:val="clear" w:color="auto" w:fill="FFFFFF"/>
        </w:rPr>
        <w:t xml:space="preserve"> of the Act</w:t>
      </w:r>
      <w:r w:rsidR="00D40B4E" w:rsidRPr="00E46894">
        <w:rPr>
          <w:color w:val="000000"/>
          <w:sz w:val="22"/>
          <w:szCs w:val="22"/>
          <w:shd w:val="clear" w:color="auto" w:fill="FFFFFF"/>
        </w:rPr>
        <w:t xml:space="preserve">. The Amendment </w:t>
      </w:r>
      <w:r w:rsidR="00C55857" w:rsidRPr="00E46894">
        <w:rPr>
          <w:color w:val="000000"/>
          <w:sz w:val="22"/>
          <w:szCs w:val="22"/>
          <w:shd w:val="clear" w:color="auto" w:fill="FFFFFF"/>
        </w:rPr>
        <w:t>Rule</w:t>
      </w:r>
      <w:r w:rsidR="00171742" w:rsidRPr="00E46894">
        <w:rPr>
          <w:color w:val="000000"/>
          <w:sz w:val="22"/>
          <w:szCs w:val="22"/>
          <w:shd w:val="clear" w:color="auto" w:fill="FFFFFF"/>
        </w:rPr>
        <w:t>s</w:t>
      </w:r>
      <w:r w:rsidR="00D40B4E" w:rsidRPr="00E46894">
        <w:rPr>
          <w:color w:val="000000"/>
          <w:sz w:val="22"/>
          <w:szCs w:val="22"/>
          <w:shd w:val="clear" w:color="auto" w:fill="FFFFFF"/>
        </w:rPr>
        <w:t xml:space="preserve"> </w:t>
      </w:r>
      <w:r w:rsidRPr="00E46894">
        <w:rPr>
          <w:color w:val="000000"/>
          <w:sz w:val="22"/>
          <w:szCs w:val="22"/>
          <w:shd w:val="clear" w:color="auto" w:fill="FFFFFF"/>
        </w:rPr>
        <w:t xml:space="preserve">amend the </w:t>
      </w:r>
      <w:r w:rsidR="005C3704" w:rsidRPr="00E46894">
        <w:rPr>
          <w:color w:val="000000"/>
          <w:sz w:val="22"/>
          <w:szCs w:val="22"/>
          <w:shd w:val="clear" w:color="auto" w:fill="FFFFFF"/>
        </w:rPr>
        <w:t xml:space="preserve">Principal </w:t>
      </w:r>
      <w:r w:rsidR="00C55857" w:rsidRPr="00E46894">
        <w:rPr>
          <w:color w:val="000000"/>
          <w:sz w:val="22"/>
          <w:szCs w:val="22"/>
          <w:shd w:val="clear" w:color="auto" w:fill="FFFFFF"/>
        </w:rPr>
        <w:t>Rules</w:t>
      </w:r>
      <w:r w:rsidRPr="00E46894">
        <w:rPr>
          <w:color w:val="000000"/>
          <w:sz w:val="22"/>
          <w:szCs w:val="22"/>
          <w:shd w:val="clear" w:color="auto" w:fill="FFFFFF"/>
        </w:rPr>
        <w:t xml:space="preserve"> to </w:t>
      </w:r>
      <w:r w:rsidR="001B6C2C" w:rsidRPr="00E46894">
        <w:rPr>
          <w:color w:val="000000"/>
          <w:sz w:val="22"/>
          <w:szCs w:val="22"/>
          <w:shd w:val="clear" w:color="auto" w:fill="FFFFFF"/>
        </w:rPr>
        <w:t xml:space="preserve">include the authorised supply of certain </w:t>
      </w:r>
      <w:r w:rsidR="00AC2800" w:rsidRPr="00E46894">
        <w:rPr>
          <w:color w:val="000000"/>
          <w:sz w:val="22"/>
          <w:szCs w:val="22"/>
          <w:shd w:val="clear" w:color="auto" w:fill="FFFFFF"/>
        </w:rPr>
        <w:t xml:space="preserve">therapeutic </w:t>
      </w:r>
      <w:r w:rsidR="001B6C2C" w:rsidRPr="00E46894">
        <w:rPr>
          <w:color w:val="000000"/>
          <w:sz w:val="22"/>
          <w:szCs w:val="22"/>
          <w:shd w:val="clear" w:color="auto" w:fill="FFFFFF"/>
        </w:rPr>
        <w:t xml:space="preserve">vaping </w:t>
      </w:r>
      <w:r w:rsidR="00F255A5" w:rsidRPr="00E46894">
        <w:rPr>
          <w:color w:val="000000"/>
          <w:sz w:val="22"/>
          <w:szCs w:val="22"/>
          <w:shd w:val="clear" w:color="auto" w:fill="FFFFFF"/>
        </w:rPr>
        <w:t xml:space="preserve">goods </w:t>
      </w:r>
      <w:r w:rsidR="001B6C2C" w:rsidRPr="00E46894">
        <w:rPr>
          <w:color w:val="000000"/>
          <w:sz w:val="22"/>
          <w:szCs w:val="22"/>
          <w:shd w:val="clear" w:color="auto" w:fill="FFFFFF"/>
        </w:rPr>
        <w:t xml:space="preserve">by specified health practitioners under certain conditions, where supply is indicated for smoking cessation or the </w:t>
      </w:r>
      <w:r w:rsidR="00782F6F" w:rsidRPr="00E46894">
        <w:rPr>
          <w:color w:val="000000"/>
          <w:sz w:val="22"/>
          <w:szCs w:val="22"/>
          <w:shd w:val="clear" w:color="auto" w:fill="FFFFFF"/>
        </w:rPr>
        <w:t xml:space="preserve">management </w:t>
      </w:r>
      <w:r w:rsidR="001B6C2C" w:rsidRPr="00E46894">
        <w:rPr>
          <w:color w:val="000000"/>
          <w:sz w:val="22"/>
          <w:szCs w:val="22"/>
          <w:shd w:val="clear" w:color="auto" w:fill="FFFFFF"/>
        </w:rPr>
        <w:t>of nicotine dependence</w:t>
      </w:r>
      <w:r w:rsidR="00C55857" w:rsidRPr="00E46894">
        <w:rPr>
          <w:color w:val="000000"/>
          <w:sz w:val="22"/>
          <w:szCs w:val="22"/>
          <w:shd w:val="clear" w:color="auto" w:fill="FFFFFF"/>
        </w:rPr>
        <w:t>.</w:t>
      </w:r>
      <w:r w:rsidR="00CE1625" w:rsidRPr="00E46894">
        <w:rPr>
          <w:color w:val="000000"/>
          <w:sz w:val="22"/>
          <w:szCs w:val="22"/>
          <w:shd w:val="clear" w:color="auto" w:fill="FFFFFF"/>
        </w:rPr>
        <w:t xml:space="preserve"> The Amendment Rules also make minor amendments </w:t>
      </w:r>
      <w:r w:rsidR="00FE3024" w:rsidRPr="00E46894">
        <w:rPr>
          <w:color w:val="000000"/>
          <w:sz w:val="22"/>
          <w:szCs w:val="22"/>
          <w:shd w:val="clear" w:color="auto" w:fill="FFFFFF"/>
        </w:rPr>
        <w:t>to update</w:t>
      </w:r>
      <w:r w:rsidR="00CE1625" w:rsidRPr="00E46894">
        <w:rPr>
          <w:color w:val="000000"/>
          <w:sz w:val="22"/>
          <w:szCs w:val="22"/>
          <w:shd w:val="clear" w:color="auto" w:fill="FFFFFF"/>
        </w:rPr>
        <w:t xml:space="preserve"> the reference to the SAS Guidelines in the</w:t>
      </w:r>
      <w:r w:rsidR="005C3704" w:rsidRPr="00E46894">
        <w:rPr>
          <w:color w:val="000000"/>
          <w:sz w:val="22"/>
          <w:szCs w:val="22"/>
          <w:shd w:val="clear" w:color="auto" w:fill="FFFFFF"/>
        </w:rPr>
        <w:t xml:space="preserve"> Principal</w:t>
      </w:r>
      <w:r w:rsidR="00CE1625" w:rsidRPr="00E46894">
        <w:rPr>
          <w:color w:val="000000"/>
          <w:sz w:val="22"/>
          <w:szCs w:val="22"/>
          <w:shd w:val="clear" w:color="auto" w:fill="FFFFFF"/>
        </w:rPr>
        <w:t xml:space="preserve"> Rules, the </w:t>
      </w:r>
      <w:r w:rsidR="00CE1625" w:rsidRPr="00E46894">
        <w:rPr>
          <w:i/>
          <w:iCs/>
          <w:color w:val="000000"/>
          <w:sz w:val="22"/>
          <w:szCs w:val="22"/>
          <w:shd w:val="clear" w:color="auto" w:fill="FFFFFF"/>
        </w:rPr>
        <w:t>Therapeutic Goods (Biologicals—Authorised Supply) Rules 2022</w:t>
      </w:r>
      <w:r w:rsidR="00CE1625" w:rsidRPr="00E46894">
        <w:rPr>
          <w:color w:val="000000"/>
          <w:sz w:val="22"/>
          <w:szCs w:val="22"/>
          <w:shd w:val="clear" w:color="auto" w:fill="FFFFFF"/>
        </w:rPr>
        <w:t xml:space="preserve"> and the </w:t>
      </w:r>
      <w:r w:rsidR="00CE1625" w:rsidRPr="00E46894">
        <w:rPr>
          <w:i/>
          <w:iCs/>
          <w:color w:val="000000"/>
          <w:sz w:val="22"/>
          <w:szCs w:val="22"/>
          <w:shd w:val="clear" w:color="auto" w:fill="FFFFFF"/>
        </w:rPr>
        <w:t>Therapeutic Goods (Medical Devices—Authorised Supply) Rules 2022</w:t>
      </w:r>
      <w:r w:rsidR="00CE1625" w:rsidRPr="00E46894">
        <w:rPr>
          <w:color w:val="000000"/>
          <w:sz w:val="22"/>
          <w:szCs w:val="22"/>
          <w:shd w:val="clear" w:color="auto" w:fill="FFFFFF"/>
        </w:rPr>
        <w:t>.</w:t>
      </w:r>
    </w:p>
    <w:p w14:paraId="7F03C09A" w14:textId="0F8B94C7" w:rsidR="00451D36" w:rsidRPr="00E46894" w:rsidRDefault="00451D36" w:rsidP="000C22F7">
      <w:pPr>
        <w:autoSpaceDE w:val="0"/>
        <w:autoSpaceDN w:val="0"/>
        <w:adjustRightInd w:val="0"/>
        <w:spacing w:after="0" w:line="240" w:lineRule="auto"/>
        <w:contextualSpacing/>
        <w:rPr>
          <w:rFonts w:eastAsia="Times New Roman"/>
          <w:bCs/>
          <w:sz w:val="22"/>
          <w:szCs w:val="22"/>
          <w:lang w:eastAsia="en-AU"/>
        </w:rPr>
      </w:pPr>
    </w:p>
    <w:p w14:paraId="65EFB010" w14:textId="77777777" w:rsidR="00171742" w:rsidRPr="00E46894" w:rsidRDefault="00171742" w:rsidP="00BB7279">
      <w:pPr>
        <w:keepNext/>
        <w:autoSpaceDE w:val="0"/>
        <w:autoSpaceDN w:val="0"/>
        <w:adjustRightInd w:val="0"/>
        <w:spacing w:after="0" w:line="240" w:lineRule="auto"/>
        <w:contextualSpacing/>
        <w:rPr>
          <w:rFonts w:eastAsia="Times New Roman"/>
          <w:b/>
          <w:sz w:val="22"/>
          <w:szCs w:val="22"/>
          <w:lang w:eastAsia="en-AU"/>
        </w:rPr>
      </w:pPr>
      <w:bookmarkStart w:id="5" w:name="_Hlk137737303"/>
      <w:r w:rsidRPr="00E46894">
        <w:rPr>
          <w:rFonts w:eastAsia="Times New Roman"/>
          <w:b/>
          <w:sz w:val="22"/>
          <w:szCs w:val="22"/>
          <w:lang w:eastAsia="en-AU"/>
        </w:rPr>
        <w:t>Background</w:t>
      </w:r>
    </w:p>
    <w:p w14:paraId="37424528" w14:textId="77777777" w:rsidR="00171742" w:rsidRPr="00E46894" w:rsidRDefault="00171742" w:rsidP="00BB7279">
      <w:pPr>
        <w:keepNext/>
        <w:autoSpaceDE w:val="0"/>
        <w:autoSpaceDN w:val="0"/>
        <w:adjustRightInd w:val="0"/>
        <w:spacing w:after="0" w:line="240" w:lineRule="auto"/>
        <w:contextualSpacing/>
        <w:rPr>
          <w:rFonts w:eastAsia="Times New Roman"/>
          <w:sz w:val="22"/>
          <w:szCs w:val="22"/>
          <w:lang w:eastAsia="en-AU"/>
        </w:rPr>
      </w:pPr>
    </w:p>
    <w:p w14:paraId="742F6086" w14:textId="77777777" w:rsidR="00DF1026" w:rsidRPr="00E46894" w:rsidRDefault="00DF1026" w:rsidP="00BB7279">
      <w:pPr>
        <w:keepNext/>
        <w:autoSpaceDE w:val="0"/>
        <w:autoSpaceDN w:val="0"/>
        <w:adjustRightInd w:val="0"/>
        <w:spacing w:after="0" w:line="240" w:lineRule="auto"/>
        <w:contextualSpacing/>
        <w:rPr>
          <w:rFonts w:eastAsia="Times New Roman"/>
          <w:i/>
          <w:iCs/>
          <w:sz w:val="22"/>
          <w:szCs w:val="22"/>
          <w:lang w:eastAsia="en-AU"/>
        </w:rPr>
      </w:pPr>
      <w:r w:rsidRPr="00E46894">
        <w:rPr>
          <w:rFonts w:eastAsia="Times New Roman"/>
          <w:i/>
          <w:iCs/>
          <w:sz w:val="22"/>
          <w:szCs w:val="22"/>
          <w:lang w:eastAsia="en-AU"/>
        </w:rPr>
        <w:t>The public health problem</w:t>
      </w:r>
    </w:p>
    <w:p w14:paraId="5896F0E9" w14:textId="77777777" w:rsidR="00DF1026" w:rsidRPr="00E46894" w:rsidRDefault="00DF1026" w:rsidP="00BB7279">
      <w:pPr>
        <w:keepNext/>
        <w:autoSpaceDE w:val="0"/>
        <w:autoSpaceDN w:val="0"/>
        <w:adjustRightInd w:val="0"/>
        <w:spacing w:after="0" w:line="240" w:lineRule="auto"/>
        <w:contextualSpacing/>
        <w:rPr>
          <w:rFonts w:eastAsia="Times New Roman"/>
          <w:sz w:val="22"/>
          <w:szCs w:val="22"/>
          <w:lang w:eastAsia="en-AU"/>
        </w:rPr>
      </w:pPr>
    </w:p>
    <w:p w14:paraId="31A4FAC7" w14:textId="552C5BE1" w:rsidR="00DF1026" w:rsidRPr="00E46894" w:rsidRDefault="00DF1026" w:rsidP="00BB7279">
      <w:pPr>
        <w:keepNext/>
        <w:spacing w:after="0" w:line="240" w:lineRule="auto"/>
        <w:contextualSpacing/>
        <w:rPr>
          <w:rFonts w:eastAsia="Times New Roman"/>
          <w:bCs/>
          <w:sz w:val="22"/>
          <w:szCs w:val="22"/>
          <w:lang w:eastAsia="en-AU"/>
        </w:rPr>
      </w:pPr>
      <w:r w:rsidRPr="00E46894">
        <w:rPr>
          <w:rFonts w:eastAsia="Times New Roman"/>
          <w:bCs/>
          <w:sz w:val="22"/>
          <w:szCs w:val="22"/>
          <w:lang w:eastAsia="en-AU"/>
        </w:rPr>
        <w:t xml:space="preserve">Vaping is rapidly increasing in Australia, particularly among youth and young adults. The latest available trend data shows that among young people aged 14 years and over, current use of an e-cigarette, defined as used at least once in the month prior to being surveyed, increased from 2.5% to 8.9% between 2020 and 2023. The increase was even more marked among people aged 18-24 years old, increasing from 5.6% in 2020 to 19.8% in 2023. These findings reinforce a widespread and </w:t>
      </w:r>
      <w:r w:rsidRPr="00E46894">
        <w:rPr>
          <w:rFonts w:eastAsia="Times New Roman"/>
          <w:bCs/>
          <w:sz w:val="22"/>
          <w:szCs w:val="22"/>
          <w:lang w:eastAsia="en-AU"/>
        </w:rPr>
        <w:lastRenderedPageBreak/>
        <w:t>serious concern among public health policy makers and practitioners at the increasing marketing and use of vapes</w:t>
      </w:r>
      <w:r w:rsidR="001C7DE0" w:rsidRPr="00E46894">
        <w:rPr>
          <w:rFonts w:eastAsia="Times New Roman"/>
          <w:bCs/>
          <w:sz w:val="22"/>
          <w:szCs w:val="22"/>
          <w:lang w:eastAsia="en-AU"/>
        </w:rPr>
        <w:t xml:space="preserve"> in Australia</w:t>
      </w:r>
      <w:r w:rsidRPr="00E46894">
        <w:rPr>
          <w:rFonts w:eastAsia="Times New Roman"/>
          <w:bCs/>
          <w:sz w:val="22"/>
          <w:szCs w:val="22"/>
          <w:lang w:eastAsia="en-AU"/>
        </w:rPr>
        <w:t>.</w:t>
      </w:r>
    </w:p>
    <w:p w14:paraId="21357FDC" w14:textId="77777777" w:rsidR="00DF1026" w:rsidRPr="00E46894" w:rsidRDefault="00DF1026" w:rsidP="000C22F7">
      <w:pPr>
        <w:spacing w:after="0" w:line="240" w:lineRule="auto"/>
        <w:contextualSpacing/>
        <w:rPr>
          <w:rFonts w:eastAsia="Times New Roman"/>
          <w:bCs/>
          <w:sz w:val="22"/>
          <w:szCs w:val="22"/>
          <w:lang w:eastAsia="en-AU"/>
        </w:rPr>
      </w:pPr>
    </w:p>
    <w:p w14:paraId="1C76CD0D" w14:textId="4708D83B" w:rsidR="00DF1026" w:rsidRPr="00E46894" w:rsidRDefault="00DF1026" w:rsidP="000C22F7">
      <w:pPr>
        <w:spacing w:after="0" w:line="240" w:lineRule="auto"/>
        <w:contextualSpacing/>
        <w:rPr>
          <w:rFonts w:eastAsia="Times New Roman"/>
          <w:bCs/>
          <w:sz w:val="22"/>
          <w:szCs w:val="22"/>
          <w:lang w:eastAsia="en-AU"/>
        </w:rPr>
      </w:pPr>
      <w:r w:rsidRPr="00E46894">
        <w:rPr>
          <w:rFonts w:eastAsia="Times New Roman"/>
          <w:bCs/>
          <w:sz w:val="22"/>
          <w:szCs w:val="22"/>
          <w:lang w:eastAsia="en-AU"/>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w:t>
      </w:r>
      <w:proofErr w:type="spellStart"/>
      <w:r w:rsidRPr="00E46894">
        <w:rPr>
          <w:rFonts w:eastAsia="Times New Roman"/>
          <w:bCs/>
          <w:sz w:val="22"/>
          <w:szCs w:val="22"/>
          <w:lang w:eastAsia="en-AU"/>
        </w:rPr>
        <w:t>oromucosal</w:t>
      </w:r>
      <w:proofErr w:type="spellEnd"/>
      <w:r w:rsidRPr="00E46894">
        <w:rPr>
          <w:rFonts w:eastAsia="Times New Roman"/>
          <w:bCs/>
          <w:sz w:val="22"/>
          <w:szCs w:val="22"/>
          <w:lang w:eastAsia="en-AU"/>
        </w:rPr>
        <w:t xml:space="preserve"> or transdermal administration or tobacco smoking. These changes were intended to prevent youth and young adults from taking up vapes, while allowing current smokers access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t>
      </w:r>
      <w:r w:rsidR="001C7DE0" w:rsidRPr="00E46894">
        <w:rPr>
          <w:rFonts w:eastAsia="Times New Roman"/>
          <w:bCs/>
          <w:sz w:val="22"/>
          <w:szCs w:val="22"/>
          <w:lang w:eastAsia="en-AU"/>
        </w:rPr>
        <w:t xml:space="preserve">are </w:t>
      </w:r>
      <w:r w:rsidRPr="00E46894">
        <w:rPr>
          <w:rFonts w:eastAsia="Times New Roman"/>
          <w:bCs/>
          <w:sz w:val="22"/>
          <w:szCs w:val="22"/>
          <w:lang w:eastAsia="en-AU"/>
        </w:rPr>
        <w:t xml:space="preserve">therefore needed to curb the increase in the rates of vaping, and to control the availability of vaping products that are being accessed by </w:t>
      </w:r>
      <w:r w:rsidR="00CD5C60" w:rsidRPr="00E46894">
        <w:rPr>
          <w:rFonts w:eastAsia="Times New Roman"/>
          <w:bCs/>
          <w:sz w:val="22"/>
          <w:szCs w:val="22"/>
          <w:lang w:eastAsia="en-AU"/>
        </w:rPr>
        <w:t>youth and young adults</w:t>
      </w:r>
      <w:r w:rsidRPr="00E46894">
        <w:rPr>
          <w:rFonts w:eastAsia="Times New Roman"/>
          <w:bCs/>
          <w:sz w:val="22"/>
          <w:szCs w:val="22"/>
          <w:lang w:eastAsia="en-AU"/>
        </w:rPr>
        <w:t>.</w:t>
      </w:r>
    </w:p>
    <w:p w14:paraId="14A5330F" w14:textId="77777777" w:rsidR="00DF1026" w:rsidRPr="00E46894" w:rsidRDefault="00DF1026" w:rsidP="000C22F7">
      <w:pPr>
        <w:spacing w:after="0" w:line="240" w:lineRule="auto"/>
        <w:contextualSpacing/>
        <w:rPr>
          <w:rFonts w:eastAsia="Times New Roman"/>
          <w:bCs/>
          <w:sz w:val="22"/>
          <w:szCs w:val="22"/>
          <w:lang w:eastAsia="en-AU"/>
        </w:rPr>
      </w:pPr>
    </w:p>
    <w:p w14:paraId="20A476EE" w14:textId="395C23E1" w:rsidR="00DF1026" w:rsidRPr="00E46894" w:rsidRDefault="00DF1026" w:rsidP="000C22F7">
      <w:pPr>
        <w:spacing w:after="0" w:line="240" w:lineRule="auto"/>
        <w:contextualSpacing/>
        <w:rPr>
          <w:rFonts w:eastAsia="Times New Roman"/>
          <w:bCs/>
          <w:sz w:val="22"/>
          <w:szCs w:val="22"/>
          <w:lang w:eastAsia="en-AU"/>
        </w:rPr>
      </w:pPr>
      <w:r w:rsidRPr="00E46894">
        <w:rPr>
          <w:rFonts w:eastAsia="Times New Roman"/>
          <w:bCs/>
          <w:sz w:val="22"/>
          <w:szCs w:val="22"/>
          <w:lang w:eastAsia="en-AU"/>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the long</w:t>
      </w:r>
      <w:r w:rsidR="005C3704" w:rsidRPr="00E46894">
        <w:rPr>
          <w:rFonts w:eastAsia="Times New Roman"/>
          <w:bCs/>
          <w:sz w:val="22"/>
          <w:szCs w:val="22"/>
          <w:lang w:eastAsia="en-AU"/>
        </w:rPr>
        <w:t>-</w:t>
      </w:r>
      <w:r w:rsidRPr="00E46894">
        <w:rPr>
          <w:rFonts w:eastAsia="Times New Roman"/>
          <w:bCs/>
          <w:sz w:val="22"/>
          <w:szCs w:val="22"/>
          <w:lang w:eastAsia="en-AU"/>
        </w:rPr>
        <w:t>term health risks of vaping are not yet known.</w:t>
      </w:r>
    </w:p>
    <w:p w14:paraId="60734FF1" w14:textId="77777777" w:rsidR="00DF1026" w:rsidRPr="00E46894" w:rsidRDefault="00DF1026" w:rsidP="000C22F7">
      <w:pPr>
        <w:autoSpaceDE w:val="0"/>
        <w:autoSpaceDN w:val="0"/>
        <w:adjustRightInd w:val="0"/>
        <w:spacing w:after="0" w:line="240" w:lineRule="auto"/>
        <w:contextualSpacing/>
        <w:rPr>
          <w:rFonts w:eastAsia="Times New Roman"/>
          <w:sz w:val="22"/>
          <w:szCs w:val="22"/>
          <w:lang w:eastAsia="en-AU"/>
        </w:rPr>
      </w:pPr>
    </w:p>
    <w:p w14:paraId="42CEB554" w14:textId="77777777" w:rsidR="00DF1026" w:rsidRPr="00E46894" w:rsidRDefault="00DF1026" w:rsidP="00BB7279">
      <w:pPr>
        <w:keepNext/>
        <w:autoSpaceDE w:val="0"/>
        <w:autoSpaceDN w:val="0"/>
        <w:adjustRightInd w:val="0"/>
        <w:spacing w:after="0" w:line="240" w:lineRule="auto"/>
        <w:contextualSpacing/>
        <w:rPr>
          <w:rFonts w:eastAsia="Times New Roman"/>
          <w:i/>
          <w:iCs/>
          <w:sz w:val="22"/>
          <w:szCs w:val="22"/>
          <w:lang w:eastAsia="en-AU"/>
        </w:rPr>
      </w:pPr>
      <w:r w:rsidRPr="00E46894">
        <w:rPr>
          <w:rFonts w:eastAsia="Times New Roman"/>
          <w:i/>
          <w:iCs/>
          <w:sz w:val="22"/>
          <w:szCs w:val="22"/>
          <w:lang w:eastAsia="en-AU"/>
        </w:rPr>
        <w:t xml:space="preserve">Reforms to the regulation of </w:t>
      </w:r>
      <w:proofErr w:type="gramStart"/>
      <w:r w:rsidRPr="00E46894">
        <w:rPr>
          <w:rFonts w:eastAsia="Times New Roman"/>
          <w:i/>
          <w:iCs/>
          <w:sz w:val="22"/>
          <w:szCs w:val="22"/>
          <w:lang w:eastAsia="en-AU"/>
        </w:rPr>
        <w:t>vapes</w:t>
      </w:r>
      <w:proofErr w:type="gramEnd"/>
    </w:p>
    <w:p w14:paraId="0F0F3D1F" w14:textId="77777777" w:rsidR="00DF1026" w:rsidRPr="00E46894" w:rsidRDefault="00DF1026" w:rsidP="00BB7279">
      <w:pPr>
        <w:keepNext/>
        <w:autoSpaceDE w:val="0"/>
        <w:autoSpaceDN w:val="0"/>
        <w:adjustRightInd w:val="0"/>
        <w:spacing w:after="0" w:line="240" w:lineRule="auto"/>
        <w:contextualSpacing/>
        <w:rPr>
          <w:rFonts w:eastAsia="Times New Roman"/>
          <w:sz w:val="22"/>
          <w:szCs w:val="22"/>
          <w:lang w:eastAsia="en-AU"/>
        </w:rPr>
      </w:pPr>
    </w:p>
    <w:p w14:paraId="56A88D6D" w14:textId="072A176B" w:rsidR="00DF1026" w:rsidRPr="00E46894" w:rsidRDefault="00DF1026" w:rsidP="00BB7279">
      <w:pPr>
        <w:keepNext/>
        <w:autoSpaceDE w:val="0"/>
        <w:autoSpaceDN w:val="0"/>
        <w:adjustRightInd w:val="0"/>
        <w:spacing w:after="0" w:line="240" w:lineRule="auto"/>
        <w:contextualSpacing/>
        <w:rPr>
          <w:rFonts w:eastAsia="Times New Roman"/>
          <w:sz w:val="22"/>
          <w:szCs w:val="22"/>
          <w:lang w:eastAsia="en-AU"/>
        </w:rPr>
      </w:pPr>
      <w:r w:rsidRPr="00E46894">
        <w:rPr>
          <w:rFonts w:eastAsia="Times New Roman"/>
          <w:sz w:val="22"/>
          <w:szCs w:val="22"/>
          <w:lang w:eastAsia="en-AU"/>
        </w:rPr>
        <w:t xml:space="preserve">The Australian </w:t>
      </w:r>
      <w:r w:rsidR="001C7DE0" w:rsidRPr="00E46894">
        <w:rPr>
          <w:rFonts w:eastAsia="Times New Roman"/>
          <w:sz w:val="22"/>
          <w:szCs w:val="22"/>
          <w:lang w:eastAsia="en-AU"/>
        </w:rPr>
        <w:t>G</w:t>
      </w:r>
      <w:r w:rsidRPr="00E46894">
        <w:rPr>
          <w:rFonts w:eastAsia="Times New Roman"/>
          <w:sz w:val="22"/>
          <w:szCs w:val="22"/>
          <w:lang w:eastAsia="en-AU"/>
        </w:rPr>
        <w:t xml:space="preserve">overnment </w:t>
      </w:r>
      <w:r w:rsidR="001C7DE0" w:rsidRPr="00E46894">
        <w:rPr>
          <w:rFonts w:eastAsia="Times New Roman"/>
          <w:sz w:val="22"/>
          <w:szCs w:val="22"/>
          <w:lang w:eastAsia="en-AU"/>
        </w:rPr>
        <w:t>is implementing</w:t>
      </w:r>
      <w:r w:rsidRPr="00E46894">
        <w:rPr>
          <w:rFonts w:eastAsia="Times New Roman"/>
          <w:sz w:val="22"/>
          <w:szCs w:val="22"/>
          <w:lang w:eastAsia="en-AU"/>
        </w:rPr>
        <w:t xml:space="preserve"> reforms to the regulation of vapes to address th</w:t>
      </w:r>
      <w:r w:rsidR="001C7DE0" w:rsidRPr="00E46894">
        <w:rPr>
          <w:rFonts w:eastAsia="Times New Roman"/>
          <w:sz w:val="22"/>
          <w:szCs w:val="22"/>
          <w:lang w:eastAsia="en-AU"/>
        </w:rPr>
        <w:t>e</w:t>
      </w:r>
      <w:r w:rsidRPr="00E46894">
        <w:rPr>
          <w:rFonts w:eastAsia="Times New Roman"/>
          <w:sz w:val="22"/>
          <w:szCs w:val="22"/>
          <w:lang w:eastAsia="en-AU"/>
        </w:rPr>
        <w:t xml:space="preserve"> growing public health problem</w:t>
      </w:r>
      <w:r w:rsidR="001C7DE0" w:rsidRPr="00E46894">
        <w:rPr>
          <w:rFonts w:eastAsia="Times New Roman"/>
          <w:sz w:val="22"/>
          <w:szCs w:val="22"/>
          <w:lang w:eastAsia="en-AU"/>
        </w:rPr>
        <w:t xml:space="preserve"> associated with vaping</w:t>
      </w:r>
      <w:r w:rsidRPr="00E46894">
        <w:rPr>
          <w:rFonts w:eastAsia="Times New Roman"/>
          <w:sz w:val="22"/>
          <w:szCs w:val="22"/>
          <w:lang w:eastAsia="en-AU"/>
        </w:rPr>
        <w:t xml:space="preserve">. </w:t>
      </w:r>
      <w:r w:rsidR="005C3704" w:rsidRPr="00E46894">
        <w:rPr>
          <w:rFonts w:eastAsia="Times New Roman"/>
          <w:sz w:val="22"/>
          <w:szCs w:val="22"/>
          <w:lang w:eastAsia="en-AU"/>
        </w:rPr>
        <w:t xml:space="preserve">The reforms are proposed to prohibit the importation, </w:t>
      </w:r>
      <w:proofErr w:type="gramStart"/>
      <w:r w:rsidR="005C3704" w:rsidRPr="00E46894">
        <w:rPr>
          <w:rFonts w:eastAsia="Times New Roman"/>
          <w:sz w:val="22"/>
          <w:szCs w:val="22"/>
          <w:lang w:eastAsia="en-AU"/>
        </w:rPr>
        <w:t>manufacture</w:t>
      </w:r>
      <w:proofErr w:type="gramEnd"/>
      <w:r w:rsidR="005C3704" w:rsidRPr="00E46894">
        <w:rPr>
          <w:rFonts w:eastAsia="Times New Roman"/>
          <w:sz w:val="22"/>
          <w:szCs w:val="22"/>
          <w:lang w:eastAsia="en-AU"/>
        </w:rPr>
        <w:t xml:space="preserve"> and supply of disposable single use and non-therapeutic vapes, while strengthening the regulatory controls of therapeutic vapes. This will be achieved through amendments to the </w:t>
      </w:r>
      <w:r w:rsidR="005C3704" w:rsidRPr="00E46894">
        <w:rPr>
          <w:rFonts w:eastAsia="Times New Roman"/>
          <w:i/>
          <w:iCs/>
          <w:sz w:val="22"/>
          <w:szCs w:val="22"/>
          <w:lang w:eastAsia="en-AU"/>
        </w:rPr>
        <w:t>Therapeutic Goods Act 1989</w:t>
      </w:r>
      <w:r w:rsidR="005C3704" w:rsidRPr="00E46894">
        <w:rPr>
          <w:rFonts w:eastAsia="Times New Roman"/>
          <w:sz w:val="22"/>
          <w:szCs w:val="22"/>
          <w:lang w:eastAsia="en-AU"/>
        </w:rPr>
        <w:t xml:space="preserve">, the </w:t>
      </w:r>
      <w:r w:rsidR="005C3704" w:rsidRPr="00E46894">
        <w:rPr>
          <w:rFonts w:eastAsia="Times New Roman"/>
          <w:i/>
          <w:iCs/>
          <w:sz w:val="22"/>
          <w:szCs w:val="22"/>
          <w:lang w:eastAsia="en-AU"/>
        </w:rPr>
        <w:t>Therapeutic Goods Regulations 1990</w:t>
      </w:r>
      <w:r w:rsidR="005C3704" w:rsidRPr="00E46894">
        <w:rPr>
          <w:rFonts w:eastAsia="Times New Roman"/>
          <w:sz w:val="22"/>
          <w:szCs w:val="22"/>
          <w:lang w:eastAsia="en-AU"/>
        </w:rPr>
        <w:t xml:space="preserve">, the </w:t>
      </w:r>
      <w:r w:rsidR="005C3704" w:rsidRPr="00E46894">
        <w:rPr>
          <w:rFonts w:eastAsia="Times New Roman"/>
          <w:i/>
          <w:iCs/>
          <w:sz w:val="22"/>
          <w:szCs w:val="22"/>
          <w:lang w:eastAsia="en-AU"/>
        </w:rPr>
        <w:t>Therapeutic Goods (Medical Devices) Regulations 2002</w:t>
      </w:r>
      <w:r w:rsidR="005C3704" w:rsidRPr="00E46894">
        <w:rPr>
          <w:rFonts w:eastAsia="Times New Roman"/>
          <w:sz w:val="22"/>
          <w:szCs w:val="22"/>
          <w:lang w:eastAsia="en-AU"/>
        </w:rPr>
        <w:t xml:space="preserve">, the </w:t>
      </w:r>
      <w:r w:rsidR="005C3704" w:rsidRPr="00E46894">
        <w:rPr>
          <w:rFonts w:eastAsia="Times New Roman"/>
          <w:i/>
          <w:iCs/>
          <w:sz w:val="22"/>
          <w:szCs w:val="22"/>
          <w:lang w:eastAsia="en-AU"/>
        </w:rPr>
        <w:t xml:space="preserve">Customs Act 1901 </w:t>
      </w:r>
      <w:r w:rsidR="005C3704" w:rsidRPr="00E46894">
        <w:rPr>
          <w:rFonts w:eastAsia="Times New Roman"/>
          <w:sz w:val="22"/>
          <w:szCs w:val="22"/>
          <w:lang w:eastAsia="en-AU"/>
        </w:rPr>
        <w:t xml:space="preserve">and the </w:t>
      </w:r>
      <w:r w:rsidR="005C3704" w:rsidRPr="00E46894">
        <w:rPr>
          <w:rFonts w:eastAsia="Times New Roman"/>
          <w:i/>
          <w:iCs/>
          <w:sz w:val="22"/>
          <w:szCs w:val="22"/>
          <w:lang w:eastAsia="en-AU"/>
        </w:rPr>
        <w:t xml:space="preserve">Customs (Prohibited Imports) Regulations </w:t>
      </w:r>
      <w:proofErr w:type="gramStart"/>
      <w:r w:rsidR="005C3704" w:rsidRPr="00E46894">
        <w:rPr>
          <w:rFonts w:eastAsia="Times New Roman"/>
          <w:i/>
          <w:iCs/>
          <w:sz w:val="22"/>
          <w:szCs w:val="22"/>
          <w:lang w:eastAsia="en-AU"/>
        </w:rPr>
        <w:t>1956</w:t>
      </w:r>
      <w:r w:rsidR="001C7DE0" w:rsidRPr="00E46894">
        <w:rPr>
          <w:rFonts w:eastAsia="Times New Roman"/>
          <w:sz w:val="22"/>
          <w:szCs w:val="22"/>
          <w:lang w:eastAsia="en-AU"/>
        </w:rPr>
        <w:t xml:space="preserve">, </w:t>
      </w:r>
      <w:r w:rsidRPr="00E46894">
        <w:rPr>
          <w:rFonts w:eastAsia="Times New Roman"/>
          <w:sz w:val="22"/>
          <w:szCs w:val="22"/>
          <w:lang w:eastAsia="en-AU"/>
        </w:rPr>
        <w:t xml:space="preserve"> as</w:t>
      </w:r>
      <w:proofErr w:type="gramEnd"/>
      <w:r w:rsidRPr="00E46894">
        <w:rPr>
          <w:rFonts w:eastAsia="Times New Roman"/>
          <w:sz w:val="22"/>
          <w:szCs w:val="22"/>
          <w:lang w:eastAsia="en-AU"/>
        </w:rPr>
        <w:t xml:space="preserve"> well </w:t>
      </w:r>
      <w:r w:rsidR="005C3704" w:rsidRPr="00E46894">
        <w:rPr>
          <w:rFonts w:eastAsia="Times New Roman"/>
          <w:sz w:val="22"/>
          <w:szCs w:val="22"/>
          <w:lang w:eastAsia="en-AU"/>
        </w:rPr>
        <w:t xml:space="preserve">as </w:t>
      </w:r>
      <w:r w:rsidRPr="00E46894">
        <w:rPr>
          <w:rFonts w:eastAsia="Times New Roman"/>
          <w:sz w:val="22"/>
          <w:szCs w:val="22"/>
          <w:lang w:eastAsia="en-AU"/>
        </w:rPr>
        <w:t xml:space="preserve"> new and amended delegated instruments under the Act. A transitional approach will </w:t>
      </w:r>
      <w:r w:rsidR="001C7DE0" w:rsidRPr="00E46894">
        <w:rPr>
          <w:rFonts w:eastAsia="Times New Roman"/>
          <w:sz w:val="22"/>
          <w:szCs w:val="22"/>
          <w:lang w:eastAsia="en-AU"/>
        </w:rPr>
        <w:t xml:space="preserve">apply </w:t>
      </w:r>
      <w:r w:rsidRPr="00E46894">
        <w:rPr>
          <w:rFonts w:eastAsia="Times New Roman"/>
          <w:sz w:val="22"/>
          <w:szCs w:val="22"/>
          <w:lang w:eastAsia="en-AU"/>
        </w:rPr>
        <w:t xml:space="preserve">to the commencement of the reforms, to </w:t>
      </w:r>
      <w:r w:rsidR="001C7DE0" w:rsidRPr="00E46894">
        <w:rPr>
          <w:rFonts w:eastAsia="Times New Roman"/>
          <w:sz w:val="22"/>
          <w:szCs w:val="22"/>
          <w:lang w:eastAsia="en-AU"/>
        </w:rPr>
        <w:t xml:space="preserve">allow a reasonable time for importers, </w:t>
      </w:r>
      <w:proofErr w:type="gramStart"/>
      <w:r w:rsidRPr="00E46894">
        <w:rPr>
          <w:rFonts w:eastAsia="Times New Roman"/>
          <w:sz w:val="22"/>
          <w:szCs w:val="22"/>
          <w:lang w:eastAsia="en-AU"/>
        </w:rPr>
        <w:t>manufacturers</w:t>
      </w:r>
      <w:proofErr w:type="gramEnd"/>
      <w:r w:rsidRPr="00E46894">
        <w:rPr>
          <w:rFonts w:eastAsia="Times New Roman"/>
          <w:sz w:val="22"/>
          <w:szCs w:val="22"/>
          <w:lang w:eastAsia="en-AU"/>
        </w:rPr>
        <w:t xml:space="preserve"> and suppliers to comply with enhanced regulation</w:t>
      </w:r>
      <w:r w:rsidR="001C7DE0" w:rsidRPr="00E46894">
        <w:rPr>
          <w:rFonts w:eastAsia="Times New Roman"/>
          <w:sz w:val="22"/>
          <w:szCs w:val="22"/>
          <w:lang w:eastAsia="en-AU"/>
        </w:rPr>
        <w:t>,</w:t>
      </w:r>
      <w:r w:rsidRPr="00E46894">
        <w:rPr>
          <w:rFonts w:eastAsia="Times New Roman"/>
          <w:sz w:val="22"/>
          <w:szCs w:val="22"/>
          <w:lang w:eastAsia="en-AU"/>
        </w:rPr>
        <w:t xml:space="preserve"> while maintaining </w:t>
      </w:r>
      <w:r w:rsidR="001C7DE0" w:rsidRPr="00E46894">
        <w:rPr>
          <w:rFonts w:eastAsia="Times New Roman"/>
          <w:sz w:val="22"/>
          <w:szCs w:val="22"/>
          <w:lang w:eastAsia="en-AU"/>
        </w:rPr>
        <w:t>legitimate patient access to</w:t>
      </w:r>
      <w:r w:rsidRPr="00E46894">
        <w:rPr>
          <w:rFonts w:eastAsia="Times New Roman"/>
          <w:sz w:val="22"/>
          <w:szCs w:val="22"/>
          <w:lang w:eastAsia="en-AU"/>
        </w:rPr>
        <w:t xml:space="preserve"> therapeutic vaping goods for smoking cessation or</w:t>
      </w:r>
      <w:r w:rsidR="001C7DE0" w:rsidRPr="00E46894">
        <w:rPr>
          <w:rFonts w:eastAsia="Times New Roman"/>
          <w:sz w:val="22"/>
          <w:szCs w:val="22"/>
          <w:lang w:eastAsia="en-AU"/>
        </w:rPr>
        <w:t xml:space="preserve"> the</w:t>
      </w:r>
      <w:r w:rsidRPr="00E46894">
        <w:rPr>
          <w:rFonts w:eastAsia="Times New Roman"/>
          <w:sz w:val="22"/>
          <w:szCs w:val="22"/>
          <w:lang w:eastAsia="en-AU"/>
        </w:rPr>
        <w:t xml:space="preserve"> management of nicotine dependence.</w:t>
      </w:r>
    </w:p>
    <w:p w14:paraId="1B466D29" w14:textId="77777777" w:rsidR="00DF1026" w:rsidRPr="00E46894" w:rsidRDefault="00DF1026" w:rsidP="000C22F7">
      <w:pPr>
        <w:autoSpaceDE w:val="0"/>
        <w:autoSpaceDN w:val="0"/>
        <w:adjustRightInd w:val="0"/>
        <w:spacing w:after="0" w:line="240" w:lineRule="auto"/>
        <w:contextualSpacing/>
        <w:rPr>
          <w:rFonts w:eastAsia="Times New Roman"/>
          <w:sz w:val="22"/>
          <w:szCs w:val="22"/>
          <w:lang w:eastAsia="en-AU"/>
        </w:rPr>
      </w:pPr>
    </w:p>
    <w:p w14:paraId="22317D0F" w14:textId="74D11A57" w:rsidR="001C7DE0" w:rsidRPr="00E46894" w:rsidRDefault="001C7DE0" w:rsidP="001C7DE0">
      <w:p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The reforms are intended to address the risks posed by vaping to youth and young</w:t>
      </w:r>
      <w:r w:rsidR="008C2A0B" w:rsidRPr="00E46894">
        <w:rPr>
          <w:rFonts w:eastAsia="Times New Roman"/>
          <w:sz w:val="22"/>
          <w:szCs w:val="22"/>
          <w:lang w:eastAsia="en-AU"/>
        </w:rPr>
        <w:t xml:space="preserve"> adults</w:t>
      </w:r>
      <w:r w:rsidRPr="00E46894">
        <w:rPr>
          <w:rFonts w:eastAsia="Times New Roman"/>
          <w:sz w:val="22"/>
          <w:szCs w:val="22"/>
          <w:lang w:eastAsia="en-AU"/>
        </w:rPr>
        <w:t xml:space="preserve"> in Australia, the possible long term adverse health effects of vaping to Australians who use vapes, and the adverse health effects of toxic chemicals and other ingredients found in vapes. At the same time, the proposed amendment </w:t>
      </w:r>
      <w:r w:rsidR="005C3704" w:rsidRPr="00E46894">
        <w:rPr>
          <w:rFonts w:eastAsia="Times New Roman"/>
          <w:sz w:val="22"/>
          <w:szCs w:val="22"/>
          <w:lang w:eastAsia="en-AU"/>
        </w:rPr>
        <w:t>will</w:t>
      </w:r>
      <w:r w:rsidRPr="00E46894">
        <w:rPr>
          <w:rFonts w:eastAsia="Times New Roman"/>
          <w:sz w:val="22"/>
          <w:szCs w:val="22"/>
          <w:lang w:eastAsia="en-AU"/>
        </w:rPr>
        <w:t xml:space="preserve"> preserve patient access to therapeutic vapes under the supervision of relevant health practitioners. </w:t>
      </w:r>
    </w:p>
    <w:p w14:paraId="7A1B4BEB" w14:textId="77777777" w:rsidR="00DF1026" w:rsidRPr="00E46894" w:rsidRDefault="00DF1026" w:rsidP="000C22F7">
      <w:pPr>
        <w:autoSpaceDE w:val="0"/>
        <w:autoSpaceDN w:val="0"/>
        <w:adjustRightInd w:val="0"/>
        <w:spacing w:after="0" w:line="240" w:lineRule="auto"/>
        <w:contextualSpacing/>
        <w:rPr>
          <w:rFonts w:eastAsia="Times New Roman"/>
          <w:sz w:val="22"/>
          <w:szCs w:val="22"/>
          <w:lang w:eastAsia="en-AU"/>
        </w:rPr>
      </w:pPr>
    </w:p>
    <w:p w14:paraId="1CF3177E" w14:textId="02B45092" w:rsidR="001C7DE0" w:rsidRPr="00E46894" w:rsidRDefault="001C7DE0" w:rsidP="001C7DE0">
      <w:p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In broad terms, the </w:t>
      </w:r>
      <w:r w:rsidR="005C3704" w:rsidRPr="00E46894">
        <w:rPr>
          <w:rFonts w:eastAsia="Times New Roman"/>
          <w:sz w:val="22"/>
          <w:szCs w:val="22"/>
          <w:lang w:eastAsia="en-AU"/>
        </w:rPr>
        <w:t xml:space="preserve">first stage of the </w:t>
      </w:r>
      <w:r w:rsidRPr="00E46894">
        <w:rPr>
          <w:rFonts w:eastAsia="Times New Roman"/>
          <w:sz w:val="22"/>
          <w:szCs w:val="22"/>
          <w:lang w:eastAsia="en-AU"/>
        </w:rPr>
        <w:t>reforms will:</w:t>
      </w:r>
    </w:p>
    <w:p w14:paraId="34D90288" w14:textId="77777777" w:rsidR="001C7DE0" w:rsidRPr="00E46894" w:rsidRDefault="001C7DE0" w:rsidP="001C7DE0">
      <w:pPr>
        <w:pStyle w:val="ListParagraph"/>
        <w:numPr>
          <w:ilvl w:val="0"/>
          <w:numId w:val="16"/>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prohibit the importation of disposable single use vapes, irrespective of therapeutic claims, subject to limited exceptions, from 1 January </w:t>
      </w:r>
      <w:proofErr w:type="gramStart"/>
      <w:r w:rsidRPr="00E46894">
        <w:rPr>
          <w:rFonts w:eastAsia="Times New Roman"/>
          <w:sz w:val="22"/>
          <w:szCs w:val="22"/>
          <w:lang w:eastAsia="en-AU"/>
        </w:rPr>
        <w:t>2024;</w:t>
      </w:r>
      <w:proofErr w:type="gramEnd"/>
    </w:p>
    <w:p w14:paraId="0442F95F" w14:textId="77777777" w:rsidR="001C7DE0" w:rsidRPr="00E46894" w:rsidRDefault="001C7DE0" w:rsidP="001C7DE0">
      <w:pPr>
        <w:pStyle w:val="ListParagraph"/>
        <w:numPr>
          <w:ilvl w:val="0"/>
          <w:numId w:val="16"/>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prohibit the importation of non-therapeutic vapes, irrespective of nicotine content, subject to limited exceptions, from 1 March </w:t>
      </w:r>
      <w:proofErr w:type="gramStart"/>
      <w:r w:rsidRPr="00E46894">
        <w:rPr>
          <w:rFonts w:eastAsia="Times New Roman"/>
          <w:sz w:val="22"/>
          <w:szCs w:val="22"/>
          <w:lang w:eastAsia="en-AU"/>
        </w:rPr>
        <w:t>2024;</w:t>
      </w:r>
      <w:proofErr w:type="gramEnd"/>
    </w:p>
    <w:p w14:paraId="18655C73" w14:textId="77777777" w:rsidR="001C7DE0" w:rsidRPr="00E46894" w:rsidRDefault="001C7DE0" w:rsidP="001C7DE0">
      <w:pPr>
        <w:pStyle w:val="ListParagraph"/>
        <w:numPr>
          <w:ilvl w:val="0"/>
          <w:numId w:val="16"/>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introduce the requirement for importers to obtain a customs licence and permit to import therapeutic vapes, subject to limited exceptions, from 1 March 2024, with applications to be enabled from 1 January </w:t>
      </w:r>
      <w:proofErr w:type="gramStart"/>
      <w:r w:rsidRPr="00E46894">
        <w:rPr>
          <w:rFonts w:eastAsia="Times New Roman"/>
          <w:sz w:val="22"/>
          <w:szCs w:val="22"/>
          <w:lang w:eastAsia="en-AU"/>
        </w:rPr>
        <w:t>2024;</w:t>
      </w:r>
      <w:proofErr w:type="gramEnd"/>
    </w:p>
    <w:p w14:paraId="03985E54" w14:textId="77777777" w:rsidR="001C7DE0" w:rsidRPr="00E46894" w:rsidRDefault="001C7DE0" w:rsidP="001C7DE0">
      <w:pPr>
        <w:pStyle w:val="ListParagraph"/>
        <w:numPr>
          <w:ilvl w:val="0"/>
          <w:numId w:val="16"/>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end the personal importation scheme for therapeutic vapes – the scheme will cease to operate on 1 March 2024, but the importation of disposable vapes will be prohibited from 1 January </w:t>
      </w:r>
      <w:proofErr w:type="gramStart"/>
      <w:r w:rsidRPr="00E46894">
        <w:rPr>
          <w:rFonts w:eastAsia="Times New Roman"/>
          <w:sz w:val="22"/>
          <w:szCs w:val="22"/>
          <w:lang w:eastAsia="en-AU"/>
        </w:rPr>
        <w:t>2024;</w:t>
      </w:r>
      <w:proofErr w:type="gramEnd"/>
    </w:p>
    <w:p w14:paraId="076778FD" w14:textId="77777777" w:rsidR="001C7DE0" w:rsidRPr="00E46894" w:rsidRDefault="001C7DE0" w:rsidP="001C7DE0">
      <w:pPr>
        <w:pStyle w:val="ListParagraph"/>
        <w:numPr>
          <w:ilvl w:val="0"/>
          <w:numId w:val="16"/>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retain a limited traveller’s exception that allows persons arriving in Australia by ship or plane to carry a limited quantity of vapes for their treatment or the treatment of someone travelling </w:t>
      </w:r>
      <w:r w:rsidRPr="00E46894">
        <w:rPr>
          <w:rFonts w:eastAsia="Times New Roman"/>
          <w:sz w:val="22"/>
          <w:szCs w:val="22"/>
          <w:lang w:eastAsia="en-AU"/>
        </w:rPr>
        <w:lastRenderedPageBreak/>
        <w:t xml:space="preserve">with them under their care – revisions to the traveller’s exemption will commence on 1 March 2024 with restrictions on disposable vapes commencing 1 January </w:t>
      </w:r>
      <w:proofErr w:type="gramStart"/>
      <w:r w:rsidRPr="00E46894">
        <w:rPr>
          <w:rFonts w:eastAsia="Times New Roman"/>
          <w:sz w:val="22"/>
          <w:szCs w:val="22"/>
          <w:lang w:eastAsia="en-AU"/>
        </w:rPr>
        <w:t>2024;</w:t>
      </w:r>
      <w:proofErr w:type="gramEnd"/>
    </w:p>
    <w:p w14:paraId="2799256E" w14:textId="77777777" w:rsidR="001C7DE0" w:rsidRPr="00E46894" w:rsidRDefault="001C7DE0" w:rsidP="001C7DE0">
      <w:pPr>
        <w:pStyle w:val="ListParagraph"/>
        <w:numPr>
          <w:ilvl w:val="0"/>
          <w:numId w:val="16"/>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introduce the requirement for importers and manufacturers to notify the Secretary that therapeutic vapes intended to be imported, or released for supply in Australia, comply with relevant product standards or essential principles, as the case may be – this requirement will commence on 1 March 2024, with notifications to be enabled from 1 January </w:t>
      </w:r>
      <w:proofErr w:type="gramStart"/>
      <w:r w:rsidRPr="00E46894">
        <w:rPr>
          <w:rFonts w:eastAsia="Times New Roman"/>
          <w:sz w:val="22"/>
          <w:szCs w:val="22"/>
          <w:lang w:eastAsia="en-AU"/>
        </w:rPr>
        <w:t>2024;</w:t>
      </w:r>
      <w:proofErr w:type="gramEnd"/>
    </w:p>
    <w:p w14:paraId="393DA42F" w14:textId="77777777" w:rsidR="001C7DE0" w:rsidRPr="00E46894" w:rsidRDefault="001C7DE0" w:rsidP="001C7DE0">
      <w:pPr>
        <w:pStyle w:val="ListParagraph"/>
        <w:numPr>
          <w:ilvl w:val="0"/>
          <w:numId w:val="16"/>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modify the exemptions relating to unregistered therapeutic vapes to require such goods to be supplied through prescription medicine supply chains to patients for smoking cessation or the management of nicotine dependence – this requirement will commence on 1 March </w:t>
      </w:r>
      <w:proofErr w:type="gramStart"/>
      <w:r w:rsidRPr="00E46894">
        <w:rPr>
          <w:rFonts w:eastAsia="Times New Roman"/>
          <w:sz w:val="22"/>
          <w:szCs w:val="22"/>
          <w:lang w:eastAsia="en-AU"/>
        </w:rPr>
        <w:t>2024;</w:t>
      </w:r>
      <w:proofErr w:type="gramEnd"/>
    </w:p>
    <w:p w14:paraId="0CD073E6" w14:textId="5E250310" w:rsidR="001C7DE0" w:rsidRPr="00E46894" w:rsidRDefault="001C7DE0" w:rsidP="001C7DE0">
      <w:pPr>
        <w:pStyle w:val="ListParagraph"/>
        <w:numPr>
          <w:ilvl w:val="0"/>
          <w:numId w:val="16"/>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make minor changes to relevant product standards to facilitate the introduction of the notification and permit schemes, introduce restrictions on flavours and ensure minimum standards for </w:t>
      </w:r>
      <w:r w:rsidR="002E6A4A" w:rsidRPr="00E46894">
        <w:rPr>
          <w:rFonts w:eastAsia="Times New Roman"/>
          <w:sz w:val="22"/>
          <w:szCs w:val="22"/>
          <w:lang w:eastAsia="en-AU"/>
        </w:rPr>
        <w:t>device components</w:t>
      </w:r>
      <w:r w:rsidRPr="00E46894">
        <w:rPr>
          <w:rFonts w:eastAsia="Times New Roman"/>
          <w:sz w:val="22"/>
          <w:szCs w:val="22"/>
          <w:lang w:eastAsia="en-AU"/>
        </w:rPr>
        <w:t>; and</w:t>
      </w:r>
    </w:p>
    <w:p w14:paraId="33FAE358" w14:textId="4CF354DA" w:rsidR="001C7DE0" w:rsidRPr="00E46894" w:rsidRDefault="001C7DE0" w:rsidP="001C7DE0">
      <w:pPr>
        <w:pStyle w:val="ListParagraph"/>
        <w:numPr>
          <w:ilvl w:val="0"/>
          <w:numId w:val="14"/>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enable therapeutic vapes to be accessed by patients under the Special Access Scheme – Category C, to facilitate more timely access to unregistered therapeutic vapes and reduce regulatory burden on practitioners, while maintaining </w:t>
      </w:r>
      <w:r w:rsidR="00EB24C9" w:rsidRPr="00E46894">
        <w:rPr>
          <w:rFonts w:eastAsia="Times New Roman"/>
          <w:sz w:val="22"/>
          <w:szCs w:val="22"/>
          <w:lang w:eastAsia="en-AU"/>
        </w:rPr>
        <w:t>regulatory oversight</w:t>
      </w:r>
      <w:r w:rsidRPr="00E46894">
        <w:rPr>
          <w:rFonts w:eastAsia="Times New Roman"/>
          <w:sz w:val="22"/>
          <w:szCs w:val="22"/>
          <w:lang w:eastAsia="en-AU"/>
        </w:rPr>
        <w:t xml:space="preserve"> commensurate with the risk.</w:t>
      </w:r>
    </w:p>
    <w:p w14:paraId="29CF684C" w14:textId="77777777" w:rsidR="00DF1026" w:rsidRPr="00E46894" w:rsidRDefault="00DF1026" w:rsidP="000C22F7">
      <w:pPr>
        <w:autoSpaceDE w:val="0"/>
        <w:autoSpaceDN w:val="0"/>
        <w:adjustRightInd w:val="0"/>
        <w:spacing w:after="0" w:line="240" w:lineRule="auto"/>
        <w:contextualSpacing/>
        <w:rPr>
          <w:rFonts w:eastAsia="Times New Roman"/>
          <w:sz w:val="22"/>
          <w:szCs w:val="22"/>
          <w:lang w:eastAsia="en-AU"/>
        </w:rPr>
      </w:pPr>
    </w:p>
    <w:p w14:paraId="38A3156A" w14:textId="77777777" w:rsidR="00811AD8" w:rsidRPr="00E46894" w:rsidRDefault="00811AD8" w:rsidP="00811AD8">
      <w:p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These changes will be supplemented with amendments to the Act that are proposed to be introduced to Parliament next year. The amendments, if made, will strengthen domestic compliance and enforcement mechanisms to support the broader policy intent. Compliance and enforcement effort both within and between jurisdictions is essential to address the risk of vaping to population health.</w:t>
      </w:r>
    </w:p>
    <w:p w14:paraId="159E1558" w14:textId="77777777" w:rsidR="00DF1026" w:rsidRPr="00E46894" w:rsidRDefault="00DF1026" w:rsidP="007726FF">
      <w:pPr>
        <w:autoSpaceDE w:val="0"/>
        <w:autoSpaceDN w:val="0"/>
        <w:adjustRightInd w:val="0"/>
        <w:spacing w:after="0" w:line="240" w:lineRule="auto"/>
        <w:rPr>
          <w:rFonts w:eastAsia="Times New Roman"/>
          <w:sz w:val="22"/>
          <w:szCs w:val="22"/>
          <w:lang w:eastAsia="en-AU"/>
        </w:rPr>
      </w:pPr>
    </w:p>
    <w:p w14:paraId="6CA58484" w14:textId="4BAF5217" w:rsidR="00DF1026" w:rsidRPr="00E46894" w:rsidRDefault="00DF1026" w:rsidP="000C22F7">
      <w:pPr>
        <w:autoSpaceDE w:val="0"/>
        <w:autoSpaceDN w:val="0"/>
        <w:adjustRightInd w:val="0"/>
        <w:spacing w:after="0" w:line="240" w:lineRule="auto"/>
        <w:contextualSpacing/>
        <w:rPr>
          <w:rFonts w:eastAsia="Times New Roman"/>
          <w:sz w:val="22"/>
          <w:szCs w:val="22"/>
          <w:lang w:eastAsia="en-AU"/>
        </w:rPr>
      </w:pPr>
      <w:r w:rsidRPr="00E46894">
        <w:rPr>
          <w:rFonts w:eastAsia="Times New Roman"/>
          <w:sz w:val="22"/>
          <w:szCs w:val="22"/>
          <w:lang w:eastAsia="en-AU"/>
        </w:rPr>
        <w:t>Th</w:t>
      </w:r>
      <w:r w:rsidR="00977917" w:rsidRPr="00E46894">
        <w:rPr>
          <w:rFonts w:eastAsia="Times New Roman"/>
          <w:sz w:val="22"/>
          <w:szCs w:val="22"/>
          <w:lang w:eastAsia="en-AU"/>
        </w:rPr>
        <w:t xml:space="preserve">e </w:t>
      </w:r>
      <w:r w:rsidR="00811AD8" w:rsidRPr="00E46894">
        <w:rPr>
          <w:rFonts w:eastAsia="Times New Roman"/>
          <w:sz w:val="22"/>
          <w:szCs w:val="22"/>
          <w:lang w:eastAsia="en-AU"/>
        </w:rPr>
        <w:t xml:space="preserve">new </w:t>
      </w:r>
      <w:r w:rsidRPr="00E46894">
        <w:rPr>
          <w:rFonts w:eastAsia="Times New Roman"/>
          <w:sz w:val="22"/>
          <w:szCs w:val="22"/>
          <w:lang w:eastAsia="en-AU"/>
        </w:rPr>
        <w:t>framework</w:t>
      </w:r>
      <w:r w:rsidR="00977917" w:rsidRPr="00E46894">
        <w:rPr>
          <w:rFonts w:eastAsia="Times New Roman"/>
          <w:sz w:val="22"/>
          <w:szCs w:val="22"/>
          <w:lang w:eastAsia="en-AU"/>
        </w:rPr>
        <w:t xml:space="preserve"> will support the following public health objectives to</w:t>
      </w:r>
      <w:r w:rsidRPr="00E46894">
        <w:rPr>
          <w:rFonts w:eastAsia="Times New Roman"/>
          <w:sz w:val="22"/>
          <w:szCs w:val="22"/>
          <w:lang w:eastAsia="en-AU"/>
        </w:rPr>
        <w:t>:</w:t>
      </w:r>
    </w:p>
    <w:p w14:paraId="24D9BAF5" w14:textId="26FF3FAC" w:rsidR="00DF1026" w:rsidRPr="00E46894" w:rsidRDefault="00DF1026" w:rsidP="000C22F7">
      <w:pPr>
        <w:pStyle w:val="ListParagraph"/>
        <w:numPr>
          <w:ilvl w:val="0"/>
          <w:numId w:val="15"/>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arrest the uptake of vapes, other than for therapeutic purposes, especially in youth and young adults aged below 25 </w:t>
      </w:r>
      <w:proofErr w:type="gramStart"/>
      <w:r w:rsidRPr="00E46894">
        <w:rPr>
          <w:rFonts w:eastAsia="Times New Roman"/>
          <w:sz w:val="22"/>
          <w:szCs w:val="22"/>
          <w:lang w:eastAsia="en-AU"/>
        </w:rPr>
        <w:t>years;</w:t>
      </w:r>
      <w:proofErr w:type="gramEnd"/>
    </w:p>
    <w:p w14:paraId="4FE61E59" w14:textId="77777777" w:rsidR="00DF1026" w:rsidRPr="00E46894" w:rsidRDefault="00DF1026" w:rsidP="000C22F7">
      <w:pPr>
        <w:pStyle w:val="ListParagraph"/>
        <w:numPr>
          <w:ilvl w:val="0"/>
          <w:numId w:val="15"/>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counteract the marketing of vapes to youth and young adults, especially through product features such as flavours and </w:t>
      </w:r>
      <w:proofErr w:type="gramStart"/>
      <w:r w:rsidRPr="00E46894">
        <w:rPr>
          <w:rFonts w:eastAsia="Times New Roman"/>
          <w:sz w:val="22"/>
          <w:szCs w:val="22"/>
          <w:lang w:eastAsia="en-AU"/>
        </w:rPr>
        <w:t>packaging;</w:t>
      </w:r>
      <w:proofErr w:type="gramEnd"/>
    </w:p>
    <w:p w14:paraId="4A2711E6" w14:textId="652BBCCA" w:rsidR="00DF1026" w:rsidRPr="00E46894" w:rsidRDefault="00811AD8" w:rsidP="000C22F7">
      <w:pPr>
        <w:pStyle w:val="ListParagraph"/>
        <w:numPr>
          <w:ilvl w:val="0"/>
          <w:numId w:val="15"/>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reduce </w:t>
      </w:r>
      <w:r w:rsidR="00DF1026" w:rsidRPr="00E46894">
        <w:rPr>
          <w:rFonts w:eastAsia="Times New Roman"/>
          <w:sz w:val="22"/>
          <w:szCs w:val="22"/>
          <w:lang w:eastAsia="en-AU"/>
        </w:rPr>
        <w:t>nicotine dependence and the risk of future tobacco use;</w:t>
      </w:r>
      <w:r w:rsidRPr="00E46894">
        <w:rPr>
          <w:rFonts w:eastAsia="Times New Roman"/>
          <w:sz w:val="22"/>
          <w:szCs w:val="22"/>
          <w:lang w:eastAsia="en-AU"/>
        </w:rPr>
        <w:t xml:space="preserve"> a</w:t>
      </w:r>
      <w:r w:rsidR="00EB24C9" w:rsidRPr="00E46894">
        <w:rPr>
          <w:rFonts w:eastAsia="Times New Roman"/>
          <w:sz w:val="22"/>
          <w:szCs w:val="22"/>
          <w:lang w:eastAsia="en-AU"/>
        </w:rPr>
        <w:t>n</w:t>
      </w:r>
      <w:r w:rsidRPr="00E46894">
        <w:rPr>
          <w:rFonts w:eastAsia="Times New Roman"/>
          <w:sz w:val="22"/>
          <w:szCs w:val="22"/>
          <w:lang w:eastAsia="en-AU"/>
        </w:rPr>
        <w:t>d</w:t>
      </w:r>
    </w:p>
    <w:p w14:paraId="02EC6596" w14:textId="019541ED" w:rsidR="00451D36" w:rsidRPr="00E46894" w:rsidRDefault="00DF1026" w:rsidP="007726FF">
      <w:pPr>
        <w:pStyle w:val="ListParagraph"/>
        <w:numPr>
          <w:ilvl w:val="0"/>
          <w:numId w:val="15"/>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safeguard public health</w:t>
      </w:r>
      <w:r w:rsidR="00392D78" w:rsidRPr="00E46894">
        <w:rPr>
          <w:rFonts w:eastAsia="Times New Roman"/>
          <w:sz w:val="22"/>
          <w:szCs w:val="22"/>
          <w:lang w:eastAsia="en-AU"/>
        </w:rPr>
        <w:t xml:space="preserve"> by requiring</w:t>
      </w:r>
      <w:r w:rsidR="008F02E5" w:rsidRPr="00E46894">
        <w:rPr>
          <w:rFonts w:eastAsia="Times New Roman"/>
          <w:sz w:val="22"/>
          <w:szCs w:val="22"/>
          <w:lang w:eastAsia="en-AU"/>
        </w:rPr>
        <w:t xml:space="preserve"> </w:t>
      </w:r>
      <w:r w:rsidR="00C57A4C" w:rsidRPr="00E46894">
        <w:rPr>
          <w:rFonts w:eastAsia="Times New Roman"/>
          <w:sz w:val="22"/>
          <w:szCs w:val="22"/>
          <w:lang w:eastAsia="en-AU"/>
        </w:rPr>
        <w:t>unregistered</w:t>
      </w:r>
      <w:r w:rsidR="00392D78" w:rsidRPr="00E46894">
        <w:rPr>
          <w:rFonts w:eastAsia="Times New Roman"/>
          <w:sz w:val="22"/>
          <w:szCs w:val="22"/>
          <w:lang w:eastAsia="en-AU"/>
        </w:rPr>
        <w:t xml:space="preserve"> therapeutic</w:t>
      </w:r>
      <w:r w:rsidRPr="00E46894">
        <w:rPr>
          <w:rFonts w:eastAsia="Times New Roman"/>
          <w:sz w:val="22"/>
          <w:szCs w:val="22"/>
          <w:lang w:eastAsia="en-AU"/>
        </w:rPr>
        <w:t xml:space="preserve"> vapes </w:t>
      </w:r>
      <w:r w:rsidR="00392D78" w:rsidRPr="00E46894">
        <w:rPr>
          <w:rFonts w:eastAsia="Times New Roman"/>
          <w:sz w:val="22"/>
          <w:szCs w:val="22"/>
          <w:lang w:eastAsia="en-AU"/>
        </w:rPr>
        <w:t xml:space="preserve">to </w:t>
      </w:r>
      <w:r w:rsidRPr="00E46894">
        <w:rPr>
          <w:rFonts w:eastAsia="Times New Roman"/>
          <w:sz w:val="22"/>
          <w:szCs w:val="22"/>
          <w:lang w:eastAsia="en-AU"/>
        </w:rPr>
        <w:t>meet</w:t>
      </w:r>
      <w:r w:rsidR="00392D78" w:rsidRPr="00E46894">
        <w:rPr>
          <w:rFonts w:eastAsia="Times New Roman"/>
          <w:sz w:val="22"/>
          <w:szCs w:val="22"/>
          <w:lang w:eastAsia="en-AU"/>
        </w:rPr>
        <w:t xml:space="preserve"> minimum </w:t>
      </w:r>
      <w:r w:rsidRPr="00E46894">
        <w:rPr>
          <w:rFonts w:eastAsia="Times New Roman"/>
          <w:sz w:val="22"/>
          <w:szCs w:val="22"/>
          <w:lang w:eastAsia="en-AU"/>
        </w:rPr>
        <w:t>quality and safety standards.</w:t>
      </w:r>
    </w:p>
    <w:p w14:paraId="313A6B3C" w14:textId="3EAD9AF0" w:rsidR="00DF1026" w:rsidRPr="00E46894" w:rsidRDefault="00DF1026" w:rsidP="000C22F7">
      <w:pPr>
        <w:autoSpaceDE w:val="0"/>
        <w:autoSpaceDN w:val="0"/>
        <w:adjustRightInd w:val="0"/>
        <w:spacing w:after="0" w:line="240" w:lineRule="auto"/>
        <w:contextualSpacing/>
        <w:rPr>
          <w:rFonts w:eastAsia="Times New Roman"/>
          <w:sz w:val="22"/>
          <w:szCs w:val="22"/>
          <w:lang w:eastAsia="en-AU"/>
        </w:rPr>
      </w:pPr>
    </w:p>
    <w:p w14:paraId="2076ACB0" w14:textId="77777777" w:rsidR="00C57A4C" w:rsidRPr="00E46894" w:rsidRDefault="00C57A4C" w:rsidP="00C57A4C">
      <w:p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Importantly, the reforms will promote the Government’s broader objective to significantly reduce the use of tobacco and nicotine products in Australia by 2030, as outlined in the National Tobacco Strategy 2023-2030.</w:t>
      </w:r>
    </w:p>
    <w:p w14:paraId="73546377" w14:textId="77777777" w:rsidR="00C57A4C" w:rsidRPr="00E46894" w:rsidRDefault="00C57A4C" w:rsidP="000C22F7">
      <w:pPr>
        <w:autoSpaceDE w:val="0"/>
        <w:autoSpaceDN w:val="0"/>
        <w:adjustRightInd w:val="0"/>
        <w:spacing w:after="0" w:line="240" w:lineRule="auto"/>
        <w:contextualSpacing/>
        <w:rPr>
          <w:rFonts w:eastAsia="Times New Roman"/>
          <w:sz w:val="22"/>
          <w:szCs w:val="22"/>
          <w:lang w:eastAsia="en-AU"/>
        </w:rPr>
      </w:pPr>
    </w:p>
    <w:bookmarkEnd w:id="5"/>
    <w:p w14:paraId="5E03C5BA" w14:textId="56DCA073" w:rsidR="00096ADC" w:rsidRPr="00E46894" w:rsidRDefault="00096ADC" w:rsidP="00BB7279">
      <w:pPr>
        <w:keepNext/>
        <w:spacing w:after="0" w:line="240" w:lineRule="auto"/>
        <w:contextualSpacing/>
        <w:rPr>
          <w:rFonts w:eastAsia="Times New Roman"/>
          <w:b/>
          <w:bCs/>
          <w:sz w:val="22"/>
          <w:szCs w:val="22"/>
          <w:lang w:eastAsia="en-AU"/>
        </w:rPr>
      </w:pPr>
      <w:r w:rsidRPr="00E46894">
        <w:rPr>
          <w:rFonts w:eastAsia="Times New Roman"/>
          <w:b/>
          <w:bCs/>
          <w:sz w:val="22"/>
          <w:szCs w:val="22"/>
          <w:lang w:eastAsia="en-AU"/>
        </w:rPr>
        <w:t>Purpose</w:t>
      </w:r>
    </w:p>
    <w:p w14:paraId="698738A5" w14:textId="03950496" w:rsidR="00096ADC" w:rsidRPr="00E46894" w:rsidRDefault="00096ADC" w:rsidP="00BB7279">
      <w:pPr>
        <w:keepNext/>
        <w:spacing w:after="0" w:line="240" w:lineRule="auto"/>
        <w:contextualSpacing/>
        <w:rPr>
          <w:rFonts w:eastAsia="Times New Roman"/>
          <w:sz w:val="22"/>
          <w:szCs w:val="22"/>
          <w:lang w:eastAsia="en-AU"/>
        </w:rPr>
      </w:pPr>
    </w:p>
    <w:p w14:paraId="01DA4B70" w14:textId="58075941" w:rsidR="00BD634A" w:rsidRPr="00E46894" w:rsidRDefault="00BD634A" w:rsidP="00BB7279">
      <w:pPr>
        <w:keepNext/>
        <w:spacing w:after="0" w:line="240" w:lineRule="auto"/>
        <w:contextualSpacing/>
        <w:rPr>
          <w:rFonts w:eastAsia="Times New Roman"/>
          <w:sz w:val="22"/>
          <w:szCs w:val="22"/>
          <w:lang w:eastAsia="en-AU"/>
        </w:rPr>
      </w:pPr>
      <w:r w:rsidRPr="00E46894">
        <w:rPr>
          <w:rFonts w:eastAsia="Times New Roman"/>
          <w:sz w:val="22"/>
          <w:szCs w:val="22"/>
          <w:lang w:eastAsia="en-AU"/>
        </w:rPr>
        <w:t xml:space="preserve">The </w:t>
      </w:r>
      <w:r w:rsidR="00811AD8" w:rsidRPr="00E46894">
        <w:rPr>
          <w:rFonts w:eastAsia="Times New Roman"/>
          <w:sz w:val="22"/>
          <w:szCs w:val="22"/>
          <w:lang w:eastAsia="en-AU"/>
        </w:rPr>
        <w:t xml:space="preserve">Principal </w:t>
      </w:r>
      <w:r w:rsidRPr="00E46894">
        <w:rPr>
          <w:rFonts w:eastAsia="Times New Roman"/>
          <w:sz w:val="22"/>
          <w:szCs w:val="22"/>
          <w:lang w:eastAsia="en-AU"/>
        </w:rPr>
        <w:t xml:space="preserve">Rules are made under </w:t>
      </w:r>
      <w:r w:rsidR="00DA42A9" w:rsidRPr="00E46894">
        <w:rPr>
          <w:color w:val="000000"/>
          <w:sz w:val="22"/>
          <w:szCs w:val="22"/>
          <w:shd w:val="clear" w:color="auto" w:fill="FFFFFF"/>
        </w:rPr>
        <w:t xml:space="preserve">subsection 19(7A) of the Act. The </w:t>
      </w:r>
      <w:r w:rsidR="00811AD8" w:rsidRPr="00E46894">
        <w:rPr>
          <w:color w:val="000000"/>
          <w:sz w:val="22"/>
          <w:szCs w:val="22"/>
          <w:shd w:val="clear" w:color="auto" w:fill="FFFFFF"/>
        </w:rPr>
        <w:t xml:space="preserve">Principal </w:t>
      </w:r>
      <w:r w:rsidR="00DA42A9" w:rsidRPr="00E46894">
        <w:rPr>
          <w:color w:val="000000"/>
          <w:sz w:val="22"/>
          <w:szCs w:val="22"/>
          <w:shd w:val="clear" w:color="auto" w:fill="FFFFFF"/>
        </w:rPr>
        <w:t xml:space="preserve">Rules specify health practitioners, medicines, </w:t>
      </w:r>
      <w:proofErr w:type="gramStart"/>
      <w:r w:rsidR="00DA42A9" w:rsidRPr="00E46894">
        <w:rPr>
          <w:color w:val="000000"/>
          <w:sz w:val="22"/>
          <w:szCs w:val="22"/>
          <w:shd w:val="clear" w:color="auto" w:fill="FFFFFF"/>
        </w:rPr>
        <w:t>circumstances</w:t>
      </w:r>
      <w:proofErr w:type="gramEnd"/>
      <w:r w:rsidR="00DA42A9" w:rsidRPr="00E46894">
        <w:rPr>
          <w:color w:val="000000"/>
          <w:sz w:val="22"/>
          <w:szCs w:val="22"/>
          <w:shd w:val="clear" w:color="auto" w:fill="FFFFFF"/>
        </w:rPr>
        <w:t xml:space="preserve"> and conditions for the purposes of subsection 19(7A) of the Act.</w:t>
      </w:r>
      <w:r w:rsidR="00CE1625" w:rsidRPr="00E46894">
        <w:rPr>
          <w:color w:val="000000"/>
          <w:sz w:val="22"/>
          <w:szCs w:val="22"/>
          <w:shd w:val="clear" w:color="auto" w:fill="FFFFFF"/>
        </w:rPr>
        <w:t xml:space="preserve"> The</w:t>
      </w:r>
      <w:r w:rsidR="00811AD8" w:rsidRPr="00E46894">
        <w:rPr>
          <w:color w:val="000000"/>
          <w:sz w:val="22"/>
          <w:szCs w:val="22"/>
          <w:shd w:val="clear" w:color="auto" w:fill="FFFFFF"/>
        </w:rPr>
        <w:t xml:space="preserve"> Principal</w:t>
      </w:r>
      <w:r w:rsidR="00CE1625" w:rsidRPr="00E46894">
        <w:rPr>
          <w:color w:val="000000"/>
          <w:sz w:val="22"/>
          <w:szCs w:val="22"/>
          <w:shd w:val="clear" w:color="auto" w:fill="FFFFFF"/>
        </w:rPr>
        <w:t xml:space="preserve"> Rules, and subsections 19(7A) to (</w:t>
      </w:r>
      <w:r w:rsidR="00896E6F" w:rsidRPr="00E46894">
        <w:rPr>
          <w:color w:val="000000"/>
          <w:sz w:val="22"/>
          <w:szCs w:val="22"/>
          <w:shd w:val="clear" w:color="auto" w:fill="FFFFFF"/>
        </w:rPr>
        <w:t>7D)</w:t>
      </w:r>
      <w:r w:rsidR="00811AD8" w:rsidRPr="00E46894">
        <w:rPr>
          <w:color w:val="000000"/>
          <w:sz w:val="22"/>
          <w:szCs w:val="22"/>
          <w:shd w:val="clear" w:color="auto" w:fill="FFFFFF"/>
        </w:rPr>
        <w:t xml:space="preserve"> of the Act</w:t>
      </w:r>
      <w:r w:rsidR="00896E6F" w:rsidRPr="00E46894">
        <w:rPr>
          <w:color w:val="000000"/>
          <w:sz w:val="22"/>
          <w:szCs w:val="22"/>
          <w:shd w:val="clear" w:color="auto" w:fill="FFFFFF"/>
        </w:rPr>
        <w:t>, support the operation of the Special Access Scheme – Category C (</w:t>
      </w:r>
      <w:r w:rsidR="00AC2800" w:rsidRPr="00E46894">
        <w:rPr>
          <w:color w:val="000000"/>
          <w:sz w:val="22"/>
          <w:szCs w:val="22"/>
          <w:shd w:val="clear" w:color="auto" w:fill="FFFFFF"/>
        </w:rPr>
        <w:t>“</w:t>
      </w:r>
      <w:r w:rsidR="00896E6F" w:rsidRPr="00E46894">
        <w:rPr>
          <w:color w:val="000000"/>
          <w:sz w:val="22"/>
          <w:szCs w:val="22"/>
          <w:shd w:val="clear" w:color="auto" w:fill="FFFFFF"/>
        </w:rPr>
        <w:t>SAS C</w:t>
      </w:r>
      <w:r w:rsidR="00AC2800" w:rsidRPr="00E46894">
        <w:rPr>
          <w:color w:val="000000"/>
          <w:sz w:val="22"/>
          <w:szCs w:val="22"/>
          <w:shd w:val="clear" w:color="auto" w:fill="FFFFFF"/>
        </w:rPr>
        <w:t>”</w:t>
      </w:r>
      <w:r w:rsidR="00896E6F" w:rsidRPr="00E46894">
        <w:rPr>
          <w:color w:val="000000"/>
          <w:sz w:val="22"/>
          <w:szCs w:val="22"/>
          <w:shd w:val="clear" w:color="auto" w:fill="FFFFFF"/>
        </w:rPr>
        <w:t xml:space="preserve">) pathway. The SAS C </w:t>
      </w:r>
      <w:r w:rsidR="00811AD8" w:rsidRPr="00E46894">
        <w:rPr>
          <w:color w:val="000000"/>
          <w:sz w:val="22"/>
          <w:szCs w:val="22"/>
          <w:shd w:val="clear" w:color="auto" w:fill="FFFFFF"/>
        </w:rPr>
        <w:t xml:space="preserve">pathway </w:t>
      </w:r>
      <w:r w:rsidR="00896E6F" w:rsidRPr="00E46894">
        <w:rPr>
          <w:color w:val="000000"/>
          <w:sz w:val="22"/>
          <w:szCs w:val="22"/>
          <w:shd w:val="clear" w:color="auto" w:fill="FFFFFF"/>
        </w:rPr>
        <w:t xml:space="preserve">provides immediate access to unapproved therapeutic goods, where certain circumstances </w:t>
      </w:r>
      <w:r w:rsidR="00FB5C01" w:rsidRPr="00E46894">
        <w:rPr>
          <w:color w:val="000000"/>
          <w:sz w:val="22"/>
          <w:szCs w:val="22"/>
          <w:shd w:val="clear" w:color="auto" w:fill="FFFFFF"/>
        </w:rPr>
        <w:t>exist,</w:t>
      </w:r>
      <w:r w:rsidR="00896E6F" w:rsidRPr="00E46894">
        <w:rPr>
          <w:color w:val="000000"/>
          <w:sz w:val="22"/>
          <w:szCs w:val="22"/>
          <w:shd w:val="clear" w:color="auto" w:fill="FFFFFF"/>
        </w:rPr>
        <w:t xml:space="preserve"> and certain conditions are met. Supply of goods under the SAS C pathway must be notified to the TGA within 28 days of the supply.</w:t>
      </w:r>
    </w:p>
    <w:p w14:paraId="1731C400" w14:textId="6B38F6AF" w:rsidR="00096ADC" w:rsidRPr="00E46894" w:rsidRDefault="00096ADC" w:rsidP="000C22F7">
      <w:pPr>
        <w:spacing w:after="0" w:line="240" w:lineRule="auto"/>
        <w:contextualSpacing/>
        <w:rPr>
          <w:rFonts w:eastAsia="Times New Roman"/>
          <w:sz w:val="22"/>
          <w:szCs w:val="22"/>
          <w:lang w:eastAsia="en-AU"/>
        </w:rPr>
      </w:pPr>
    </w:p>
    <w:p w14:paraId="2B2A48CF" w14:textId="5E7AFDBE" w:rsidR="001C5FD3" w:rsidRPr="00E46894" w:rsidRDefault="00096ADC" w:rsidP="000C22F7">
      <w:pPr>
        <w:spacing w:after="0" w:line="240" w:lineRule="auto"/>
        <w:contextualSpacing/>
        <w:rPr>
          <w:rFonts w:eastAsia="Times New Roman"/>
          <w:sz w:val="22"/>
          <w:szCs w:val="22"/>
          <w:lang w:eastAsia="en-AU"/>
        </w:rPr>
      </w:pPr>
      <w:r w:rsidRPr="00E46894">
        <w:rPr>
          <w:rFonts w:eastAsia="Times New Roman"/>
          <w:sz w:val="22"/>
          <w:szCs w:val="22"/>
          <w:lang w:eastAsia="en-AU"/>
        </w:rPr>
        <w:t xml:space="preserve">The Amendment </w:t>
      </w:r>
      <w:r w:rsidR="00BD634A" w:rsidRPr="00E46894">
        <w:rPr>
          <w:rFonts w:eastAsia="Times New Roman"/>
          <w:sz w:val="22"/>
          <w:szCs w:val="22"/>
          <w:lang w:eastAsia="en-AU"/>
        </w:rPr>
        <w:t>Rule</w:t>
      </w:r>
      <w:r w:rsidR="002D7C08" w:rsidRPr="00E46894">
        <w:rPr>
          <w:rFonts w:eastAsia="Times New Roman"/>
          <w:sz w:val="22"/>
          <w:szCs w:val="22"/>
          <w:lang w:eastAsia="en-AU"/>
        </w:rPr>
        <w:t>s</w:t>
      </w:r>
      <w:r w:rsidRPr="00E46894">
        <w:rPr>
          <w:rFonts w:eastAsia="Times New Roman"/>
          <w:sz w:val="22"/>
          <w:szCs w:val="22"/>
          <w:lang w:eastAsia="en-AU"/>
        </w:rPr>
        <w:t xml:space="preserve"> amend the </w:t>
      </w:r>
      <w:r w:rsidR="00811AD8" w:rsidRPr="00E46894">
        <w:rPr>
          <w:rFonts w:eastAsia="Times New Roman"/>
          <w:sz w:val="22"/>
          <w:szCs w:val="22"/>
          <w:lang w:eastAsia="en-AU"/>
        </w:rPr>
        <w:t xml:space="preserve">Principal </w:t>
      </w:r>
      <w:r w:rsidR="00BD634A" w:rsidRPr="00E46894">
        <w:rPr>
          <w:rFonts w:eastAsia="Times New Roman"/>
          <w:sz w:val="22"/>
          <w:szCs w:val="22"/>
          <w:lang w:eastAsia="en-AU"/>
        </w:rPr>
        <w:t>Rules</w:t>
      </w:r>
      <w:r w:rsidR="000348A6" w:rsidRPr="00E46894">
        <w:rPr>
          <w:rFonts w:eastAsia="Times New Roman"/>
          <w:sz w:val="22"/>
          <w:szCs w:val="22"/>
          <w:lang w:eastAsia="en-AU"/>
        </w:rPr>
        <w:t xml:space="preserve"> to enable </w:t>
      </w:r>
      <w:r w:rsidR="00A16C3F" w:rsidRPr="00E46894">
        <w:rPr>
          <w:rFonts w:eastAsia="Times New Roman"/>
          <w:sz w:val="22"/>
          <w:szCs w:val="22"/>
          <w:lang w:eastAsia="en-AU"/>
        </w:rPr>
        <w:t>medical practitioners and nurse practitioners</w:t>
      </w:r>
      <w:r w:rsidR="000348A6" w:rsidRPr="00E46894">
        <w:rPr>
          <w:rFonts w:eastAsia="Times New Roman"/>
          <w:sz w:val="22"/>
          <w:szCs w:val="22"/>
          <w:lang w:eastAsia="en-AU"/>
        </w:rPr>
        <w:t xml:space="preserve"> to supply </w:t>
      </w:r>
      <w:r w:rsidR="001F72D4" w:rsidRPr="00E46894">
        <w:rPr>
          <w:rFonts w:eastAsia="Times New Roman"/>
          <w:sz w:val="22"/>
          <w:szCs w:val="22"/>
          <w:lang w:eastAsia="en-AU"/>
        </w:rPr>
        <w:t>therapeutic vaping substances, therapeutic vaping substance accessories, therapeutic vaping kits, and goods in a therapeutic vaping pack</w:t>
      </w:r>
      <w:r w:rsidR="000348A6" w:rsidRPr="00E46894">
        <w:rPr>
          <w:rFonts w:eastAsia="Times New Roman"/>
          <w:sz w:val="22"/>
          <w:szCs w:val="22"/>
          <w:lang w:eastAsia="en-AU"/>
        </w:rPr>
        <w:t xml:space="preserve"> to</w:t>
      </w:r>
      <w:r w:rsidR="00A16C3F" w:rsidRPr="00E46894">
        <w:rPr>
          <w:rFonts w:eastAsia="Times New Roman"/>
          <w:sz w:val="22"/>
          <w:szCs w:val="22"/>
          <w:lang w:eastAsia="en-AU"/>
        </w:rPr>
        <w:t xml:space="preserve"> </w:t>
      </w:r>
      <w:r w:rsidR="000348A6" w:rsidRPr="00E46894">
        <w:rPr>
          <w:rFonts w:eastAsia="Times New Roman"/>
          <w:sz w:val="22"/>
          <w:szCs w:val="22"/>
          <w:lang w:eastAsia="en-AU"/>
        </w:rPr>
        <w:t xml:space="preserve">patients </w:t>
      </w:r>
      <w:r w:rsidR="00141DE0" w:rsidRPr="00E46894">
        <w:rPr>
          <w:rFonts w:eastAsia="Times New Roman"/>
          <w:sz w:val="22"/>
          <w:szCs w:val="22"/>
          <w:lang w:eastAsia="en-AU"/>
        </w:rPr>
        <w:t xml:space="preserve">who are 16 years of age or over, </w:t>
      </w:r>
      <w:r w:rsidR="000348A6" w:rsidRPr="00E46894">
        <w:rPr>
          <w:rFonts w:eastAsia="Times New Roman"/>
          <w:sz w:val="22"/>
          <w:szCs w:val="22"/>
          <w:lang w:eastAsia="en-AU"/>
        </w:rPr>
        <w:t>for use</w:t>
      </w:r>
      <w:r w:rsidR="00FB05C7" w:rsidRPr="00E46894">
        <w:rPr>
          <w:rFonts w:eastAsia="Times New Roman"/>
          <w:sz w:val="22"/>
          <w:szCs w:val="22"/>
          <w:lang w:eastAsia="en-AU"/>
        </w:rPr>
        <w:t xml:space="preserve"> </w:t>
      </w:r>
      <w:r w:rsidR="00811AD8" w:rsidRPr="00E46894">
        <w:rPr>
          <w:rFonts w:eastAsia="Times New Roman"/>
          <w:sz w:val="22"/>
          <w:szCs w:val="22"/>
          <w:lang w:eastAsia="en-AU"/>
        </w:rPr>
        <w:t>in</w:t>
      </w:r>
      <w:r w:rsidR="00FB05C7" w:rsidRPr="00E46894">
        <w:rPr>
          <w:rFonts w:eastAsia="Times New Roman"/>
          <w:sz w:val="22"/>
          <w:szCs w:val="22"/>
          <w:lang w:eastAsia="en-AU"/>
        </w:rPr>
        <w:t xml:space="preserve"> </w:t>
      </w:r>
      <w:r w:rsidR="000348A6" w:rsidRPr="00E46894">
        <w:rPr>
          <w:rFonts w:eastAsia="Times New Roman"/>
          <w:sz w:val="22"/>
          <w:szCs w:val="22"/>
          <w:lang w:eastAsia="en-AU"/>
        </w:rPr>
        <w:t xml:space="preserve">smoking </w:t>
      </w:r>
      <w:r w:rsidR="00811AD8" w:rsidRPr="00E46894">
        <w:rPr>
          <w:rFonts w:eastAsia="Times New Roman"/>
          <w:sz w:val="22"/>
          <w:szCs w:val="22"/>
          <w:lang w:eastAsia="en-AU"/>
        </w:rPr>
        <w:t xml:space="preserve">cessation </w:t>
      </w:r>
      <w:r w:rsidR="000348A6" w:rsidRPr="00E46894">
        <w:rPr>
          <w:rFonts w:eastAsia="Times New Roman"/>
          <w:sz w:val="22"/>
          <w:szCs w:val="22"/>
          <w:lang w:eastAsia="en-AU"/>
        </w:rPr>
        <w:t xml:space="preserve">or the </w:t>
      </w:r>
      <w:r w:rsidR="00FB05C7" w:rsidRPr="00E46894">
        <w:rPr>
          <w:rFonts w:eastAsia="Times New Roman"/>
          <w:sz w:val="22"/>
          <w:szCs w:val="22"/>
          <w:lang w:eastAsia="en-AU"/>
        </w:rPr>
        <w:t>management</w:t>
      </w:r>
      <w:r w:rsidR="000348A6" w:rsidRPr="00E46894">
        <w:rPr>
          <w:rFonts w:eastAsia="Times New Roman"/>
          <w:sz w:val="22"/>
          <w:szCs w:val="22"/>
          <w:lang w:eastAsia="en-AU"/>
        </w:rPr>
        <w:t xml:space="preserve"> of nicotine </w:t>
      </w:r>
      <w:r w:rsidR="00486D43" w:rsidRPr="00E46894">
        <w:rPr>
          <w:rFonts w:eastAsia="Times New Roman"/>
          <w:sz w:val="22"/>
          <w:szCs w:val="22"/>
          <w:lang w:eastAsia="en-AU"/>
        </w:rPr>
        <w:t>dependence</w:t>
      </w:r>
      <w:r w:rsidR="00896E6F" w:rsidRPr="00E46894">
        <w:rPr>
          <w:rFonts w:eastAsia="Times New Roman"/>
          <w:sz w:val="22"/>
          <w:szCs w:val="22"/>
          <w:lang w:eastAsia="en-AU"/>
        </w:rPr>
        <w:t xml:space="preserve">. </w:t>
      </w:r>
      <w:r w:rsidR="00811AD8" w:rsidRPr="00E46894">
        <w:rPr>
          <w:rFonts w:eastAsia="Times New Roman"/>
          <w:sz w:val="22"/>
          <w:szCs w:val="22"/>
          <w:lang w:eastAsia="en-AU"/>
        </w:rPr>
        <w:t xml:space="preserve">Such </w:t>
      </w:r>
      <w:r w:rsidR="00896E6F" w:rsidRPr="00E46894">
        <w:rPr>
          <w:rFonts w:eastAsia="Times New Roman"/>
          <w:sz w:val="22"/>
          <w:szCs w:val="22"/>
          <w:lang w:eastAsia="en-AU"/>
        </w:rPr>
        <w:t>supply is</w:t>
      </w:r>
      <w:r w:rsidR="000348A6" w:rsidRPr="00E46894">
        <w:rPr>
          <w:rFonts w:eastAsia="Times New Roman"/>
          <w:sz w:val="22"/>
          <w:szCs w:val="22"/>
          <w:lang w:eastAsia="en-AU"/>
        </w:rPr>
        <w:t xml:space="preserve"> subject to certain specified conditions</w:t>
      </w:r>
      <w:r w:rsidR="001F72D4" w:rsidRPr="00E46894">
        <w:rPr>
          <w:rFonts w:eastAsia="Times New Roman"/>
          <w:sz w:val="22"/>
          <w:szCs w:val="22"/>
          <w:lang w:eastAsia="en-AU"/>
        </w:rPr>
        <w:t>, including that the practitioner informs the patient that the goods are not included in the Register, obtain</w:t>
      </w:r>
      <w:r w:rsidR="00811AD8" w:rsidRPr="00E46894">
        <w:rPr>
          <w:rFonts w:eastAsia="Times New Roman"/>
          <w:sz w:val="22"/>
          <w:szCs w:val="22"/>
          <w:lang w:eastAsia="en-AU"/>
        </w:rPr>
        <w:t>s</w:t>
      </w:r>
      <w:r w:rsidR="001F72D4" w:rsidRPr="00E46894">
        <w:rPr>
          <w:rFonts w:eastAsia="Times New Roman"/>
          <w:sz w:val="22"/>
          <w:szCs w:val="22"/>
          <w:lang w:eastAsia="en-AU"/>
        </w:rPr>
        <w:t xml:space="preserve"> informed consent </w:t>
      </w:r>
      <w:r w:rsidR="00183A2D" w:rsidRPr="00E46894">
        <w:rPr>
          <w:rFonts w:eastAsia="Times New Roman"/>
          <w:sz w:val="22"/>
          <w:szCs w:val="22"/>
          <w:lang w:eastAsia="en-AU"/>
        </w:rPr>
        <w:t xml:space="preserve">from the </w:t>
      </w:r>
      <w:proofErr w:type="gramStart"/>
      <w:r w:rsidR="00183A2D" w:rsidRPr="00E46894">
        <w:rPr>
          <w:rFonts w:eastAsia="Times New Roman"/>
          <w:sz w:val="22"/>
          <w:szCs w:val="22"/>
          <w:lang w:eastAsia="en-AU"/>
        </w:rPr>
        <w:t>patient</w:t>
      </w:r>
      <w:proofErr w:type="gramEnd"/>
      <w:r w:rsidR="00183A2D" w:rsidRPr="00E46894">
        <w:rPr>
          <w:rFonts w:eastAsia="Times New Roman"/>
          <w:sz w:val="22"/>
          <w:szCs w:val="22"/>
          <w:lang w:eastAsia="en-AU"/>
        </w:rPr>
        <w:t xml:space="preserve"> </w:t>
      </w:r>
      <w:r w:rsidR="001F72D4" w:rsidRPr="00E46894">
        <w:rPr>
          <w:rFonts w:eastAsia="Times New Roman"/>
          <w:sz w:val="22"/>
          <w:szCs w:val="22"/>
          <w:lang w:eastAsia="en-AU"/>
        </w:rPr>
        <w:t>and suppl</w:t>
      </w:r>
      <w:r w:rsidR="00811AD8" w:rsidRPr="00E46894">
        <w:rPr>
          <w:rFonts w:eastAsia="Times New Roman"/>
          <w:sz w:val="22"/>
          <w:szCs w:val="22"/>
          <w:lang w:eastAsia="en-AU"/>
        </w:rPr>
        <w:t>ies the goods</w:t>
      </w:r>
      <w:r w:rsidR="001F72D4" w:rsidRPr="00E46894">
        <w:rPr>
          <w:rFonts w:eastAsia="Times New Roman"/>
          <w:sz w:val="22"/>
          <w:szCs w:val="22"/>
          <w:lang w:eastAsia="en-AU"/>
        </w:rPr>
        <w:t xml:space="preserve"> in accordance with good medical practice</w:t>
      </w:r>
      <w:r w:rsidR="000348A6" w:rsidRPr="00E46894">
        <w:rPr>
          <w:rFonts w:eastAsia="Times New Roman"/>
          <w:sz w:val="22"/>
          <w:szCs w:val="22"/>
          <w:lang w:eastAsia="en-AU"/>
        </w:rPr>
        <w:t>.</w:t>
      </w:r>
    </w:p>
    <w:p w14:paraId="51B754FB" w14:textId="665FF6CD" w:rsidR="00896E6F" w:rsidRPr="00E46894" w:rsidRDefault="00896E6F" w:rsidP="000C22F7">
      <w:pPr>
        <w:spacing w:after="0" w:line="240" w:lineRule="auto"/>
        <w:contextualSpacing/>
        <w:rPr>
          <w:rFonts w:eastAsia="Times New Roman"/>
          <w:sz w:val="22"/>
          <w:szCs w:val="22"/>
          <w:lang w:eastAsia="en-AU"/>
        </w:rPr>
      </w:pPr>
    </w:p>
    <w:p w14:paraId="0A8BFEE4" w14:textId="44F929B3" w:rsidR="00896E6F" w:rsidRPr="00E46894" w:rsidRDefault="00896E6F" w:rsidP="000C22F7">
      <w:pPr>
        <w:spacing w:after="0" w:line="240" w:lineRule="auto"/>
        <w:contextualSpacing/>
        <w:rPr>
          <w:rFonts w:eastAsia="Times New Roman"/>
          <w:sz w:val="22"/>
          <w:szCs w:val="22"/>
          <w:lang w:eastAsia="en-AU"/>
        </w:rPr>
      </w:pPr>
      <w:r w:rsidRPr="00E46894">
        <w:rPr>
          <w:rFonts w:eastAsia="Times New Roman"/>
          <w:sz w:val="22"/>
          <w:szCs w:val="22"/>
          <w:lang w:eastAsia="en-AU"/>
        </w:rPr>
        <w:lastRenderedPageBreak/>
        <w:t xml:space="preserve">The goods that are specified </w:t>
      </w:r>
      <w:r w:rsidR="00183A2D" w:rsidRPr="00E46894">
        <w:rPr>
          <w:rFonts w:eastAsia="Times New Roman"/>
          <w:sz w:val="22"/>
          <w:szCs w:val="22"/>
          <w:lang w:eastAsia="en-AU"/>
        </w:rPr>
        <w:t xml:space="preserve">in the Amendment Rules </w:t>
      </w:r>
      <w:r w:rsidRPr="00E46894">
        <w:rPr>
          <w:rFonts w:eastAsia="Times New Roman"/>
          <w:sz w:val="22"/>
          <w:szCs w:val="22"/>
          <w:lang w:eastAsia="en-AU"/>
        </w:rPr>
        <w:t>are those that are the subject of a noti</w:t>
      </w:r>
      <w:r w:rsidR="00D356C3" w:rsidRPr="00E46894">
        <w:rPr>
          <w:rFonts w:eastAsia="Times New Roman"/>
          <w:sz w:val="22"/>
          <w:szCs w:val="22"/>
          <w:lang w:eastAsia="en-AU"/>
        </w:rPr>
        <w:t>ce</w:t>
      </w:r>
      <w:r w:rsidRPr="00E46894">
        <w:rPr>
          <w:rFonts w:eastAsia="Times New Roman"/>
          <w:sz w:val="22"/>
          <w:szCs w:val="22"/>
          <w:lang w:eastAsia="en-AU"/>
        </w:rPr>
        <w:t xml:space="preserve"> under item 15 in Schedule 5A to the Regulations and are not the subject of a determination by the Secretary under item 15 in Schedule 5A to the Regulations. This is to ensure that the goods</w:t>
      </w:r>
      <w:r w:rsidR="001442F2" w:rsidRPr="00E46894">
        <w:rPr>
          <w:rFonts w:eastAsia="Times New Roman"/>
          <w:sz w:val="22"/>
          <w:szCs w:val="22"/>
          <w:lang w:eastAsia="en-AU"/>
        </w:rPr>
        <w:t xml:space="preserve"> </w:t>
      </w:r>
      <w:r w:rsidRPr="00E46894">
        <w:rPr>
          <w:rFonts w:eastAsia="Times New Roman"/>
          <w:sz w:val="22"/>
          <w:szCs w:val="22"/>
          <w:lang w:eastAsia="en-AU"/>
        </w:rPr>
        <w:t xml:space="preserve">are accessed through </w:t>
      </w:r>
      <w:r w:rsidR="00183A2D" w:rsidRPr="00E46894">
        <w:rPr>
          <w:rFonts w:eastAsia="Times New Roman"/>
          <w:sz w:val="22"/>
          <w:szCs w:val="22"/>
          <w:lang w:eastAsia="en-AU"/>
        </w:rPr>
        <w:t xml:space="preserve">the </w:t>
      </w:r>
      <w:r w:rsidRPr="00E46894">
        <w:rPr>
          <w:rFonts w:eastAsia="Times New Roman"/>
          <w:sz w:val="22"/>
          <w:szCs w:val="22"/>
          <w:lang w:eastAsia="en-AU"/>
        </w:rPr>
        <w:t>SAS C pathway meet minimum standards for safety and quality.</w:t>
      </w:r>
    </w:p>
    <w:p w14:paraId="2E922FD1" w14:textId="39414416" w:rsidR="001C5FD3" w:rsidRPr="00E46894" w:rsidRDefault="001C5FD3" w:rsidP="000C22F7">
      <w:pPr>
        <w:spacing w:after="0" w:line="240" w:lineRule="auto"/>
        <w:contextualSpacing/>
        <w:rPr>
          <w:rFonts w:eastAsia="Times New Roman"/>
          <w:sz w:val="22"/>
          <w:szCs w:val="22"/>
          <w:lang w:eastAsia="en-AU"/>
        </w:rPr>
      </w:pPr>
    </w:p>
    <w:p w14:paraId="17DDCDB2" w14:textId="419BCF24" w:rsidR="001C5FD3" w:rsidRPr="00E46894" w:rsidRDefault="001C5FD3" w:rsidP="000C22F7">
      <w:pPr>
        <w:spacing w:after="0" w:line="240" w:lineRule="auto"/>
        <w:contextualSpacing/>
        <w:rPr>
          <w:rFonts w:eastAsia="Times New Roman"/>
          <w:sz w:val="22"/>
          <w:szCs w:val="22"/>
          <w:lang w:eastAsia="en-AU"/>
        </w:rPr>
      </w:pPr>
      <w:r w:rsidRPr="00E46894">
        <w:rPr>
          <w:rFonts w:eastAsia="Times New Roman"/>
          <w:sz w:val="22"/>
          <w:szCs w:val="22"/>
          <w:lang w:eastAsia="en-AU"/>
        </w:rPr>
        <w:t xml:space="preserve">The </w:t>
      </w:r>
      <w:r w:rsidR="000348A6" w:rsidRPr="00E46894">
        <w:rPr>
          <w:rFonts w:eastAsia="Times New Roman"/>
          <w:sz w:val="22"/>
          <w:szCs w:val="22"/>
          <w:lang w:eastAsia="en-AU"/>
        </w:rPr>
        <w:t xml:space="preserve">effect </w:t>
      </w:r>
      <w:r w:rsidR="00896E6F" w:rsidRPr="00E46894">
        <w:rPr>
          <w:rFonts w:eastAsia="Times New Roman"/>
          <w:sz w:val="22"/>
          <w:szCs w:val="22"/>
          <w:lang w:eastAsia="en-AU"/>
        </w:rPr>
        <w:t xml:space="preserve">of </w:t>
      </w:r>
      <w:r w:rsidRPr="00E46894">
        <w:rPr>
          <w:rFonts w:eastAsia="Times New Roman"/>
          <w:sz w:val="22"/>
          <w:szCs w:val="22"/>
          <w:lang w:eastAsia="en-AU"/>
        </w:rPr>
        <w:t xml:space="preserve">the Amendment </w:t>
      </w:r>
      <w:r w:rsidR="007E1774" w:rsidRPr="00E46894">
        <w:rPr>
          <w:rFonts w:eastAsia="Times New Roman"/>
          <w:sz w:val="22"/>
          <w:szCs w:val="22"/>
          <w:lang w:eastAsia="en-AU"/>
        </w:rPr>
        <w:t>Rule</w:t>
      </w:r>
      <w:r w:rsidR="002D7C08" w:rsidRPr="00E46894">
        <w:rPr>
          <w:rFonts w:eastAsia="Times New Roman"/>
          <w:sz w:val="22"/>
          <w:szCs w:val="22"/>
          <w:lang w:eastAsia="en-AU"/>
        </w:rPr>
        <w:t>s is</w:t>
      </w:r>
      <w:r w:rsidR="000348A6" w:rsidRPr="00E46894">
        <w:rPr>
          <w:rFonts w:eastAsia="Times New Roman"/>
          <w:sz w:val="22"/>
          <w:szCs w:val="22"/>
          <w:lang w:eastAsia="en-AU"/>
        </w:rPr>
        <w:t xml:space="preserve"> to</w:t>
      </w:r>
      <w:r w:rsidRPr="00E46894">
        <w:rPr>
          <w:rFonts w:eastAsia="Times New Roman"/>
          <w:sz w:val="22"/>
          <w:szCs w:val="22"/>
          <w:lang w:eastAsia="en-AU"/>
        </w:rPr>
        <w:t xml:space="preserve"> </w:t>
      </w:r>
      <w:r w:rsidR="000348A6" w:rsidRPr="00E46894">
        <w:rPr>
          <w:rFonts w:eastAsia="Times New Roman"/>
          <w:sz w:val="22"/>
          <w:szCs w:val="22"/>
          <w:lang w:eastAsia="en-AU"/>
        </w:rPr>
        <w:t xml:space="preserve">enable </w:t>
      </w:r>
      <w:r w:rsidR="00896E6F" w:rsidRPr="00E46894">
        <w:rPr>
          <w:rFonts w:eastAsia="Times New Roman"/>
          <w:sz w:val="22"/>
          <w:szCs w:val="22"/>
          <w:lang w:eastAsia="en-AU"/>
        </w:rPr>
        <w:t>a medical practitioner or nurse practitioner</w:t>
      </w:r>
      <w:r w:rsidR="000348A6" w:rsidRPr="00E46894">
        <w:rPr>
          <w:rFonts w:eastAsia="Times New Roman"/>
          <w:sz w:val="22"/>
          <w:szCs w:val="22"/>
          <w:lang w:eastAsia="en-AU"/>
        </w:rPr>
        <w:t xml:space="preserve"> to supply </w:t>
      </w:r>
      <w:r w:rsidR="00896E6F" w:rsidRPr="00E46894">
        <w:rPr>
          <w:rFonts w:eastAsia="Times New Roman"/>
          <w:sz w:val="22"/>
          <w:szCs w:val="22"/>
          <w:lang w:eastAsia="en-AU"/>
        </w:rPr>
        <w:t xml:space="preserve">the specified </w:t>
      </w:r>
      <w:r w:rsidR="001F72D4" w:rsidRPr="00E46894">
        <w:rPr>
          <w:rFonts w:eastAsia="Times New Roman"/>
          <w:sz w:val="22"/>
          <w:szCs w:val="22"/>
          <w:lang w:eastAsia="en-AU"/>
        </w:rPr>
        <w:t>goods</w:t>
      </w:r>
      <w:r w:rsidR="000348A6" w:rsidRPr="00E46894">
        <w:rPr>
          <w:rFonts w:eastAsia="Times New Roman"/>
          <w:sz w:val="22"/>
          <w:szCs w:val="22"/>
          <w:lang w:eastAsia="en-AU"/>
        </w:rPr>
        <w:t xml:space="preserve"> to their patients</w:t>
      </w:r>
      <w:r w:rsidR="000409C7" w:rsidRPr="00E46894">
        <w:rPr>
          <w:rFonts w:eastAsia="Times New Roman"/>
          <w:sz w:val="22"/>
          <w:szCs w:val="22"/>
          <w:lang w:eastAsia="en-AU"/>
        </w:rPr>
        <w:t xml:space="preserve">, </w:t>
      </w:r>
      <w:r w:rsidR="00141DE0" w:rsidRPr="00E46894">
        <w:rPr>
          <w:rFonts w:eastAsia="Times New Roman"/>
          <w:sz w:val="22"/>
          <w:szCs w:val="22"/>
          <w:lang w:eastAsia="en-AU"/>
        </w:rPr>
        <w:t>16 years of age or older</w:t>
      </w:r>
      <w:r w:rsidR="000409C7" w:rsidRPr="00E46894">
        <w:rPr>
          <w:rFonts w:eastAsia="Times New Roman"/>
          <w:sz w:val="22"/>
          <w:szCs w:val="22"/>
          <w:lang w:eastAsia="en-AU"/>
        </w:rPr>
        <w:t>,</w:t>
      </w:r>
      <w:r w:rsidR="00811AD8" w:rsidRPr="00E46894">
        <w:rPr>
          <w:rFonts w:eastAsia="Times New Roman"/>
          <w:sz w:val="22"/>
          <w:szCs w:val="22"/>
          <w:lang w:eastAsia="en-AU"/>
        </w:rPr>
        <w:t xml:space="preserve"> without the pre-approval or authority </w:t>
      </w:r>
      <w:r w:rsidR="00183A2D" w:rsidRPr="00E46894">
        <w:rPr>
          <w:rFonts w:eastAsia="Times New Roman"/>
          <w:sz w:val="22"/>
          <w:szCs w:val="22"/>
          <w:lang w:eastAsia="en-AU"/>
        </w:rPr>
        <w:t xml:space="preserve">from </w:t>
      </w:r>
      <w:r w:rsidR="00811AD8" w:rsidRPr="00E46894">
        <w:rPr>
          <w:rFonts w:eastAsia="Times New Roman"/>
          <w:sz w:val="22"/>
          <w:szCs w:val="22"/>
          <w:lang w:eastAsia="en-AU"/>
        </w:rPr>
        <w:t>the Secretary</w:t>
      </w:r>
      <w:r w:rsidR="00896E6F" w:rsidRPr="00E46894">
        <w:rPr>
          <w:rFonts w:eastAsia="Times New Roman"/>
          <w:sz w:val="22"/>
          <w:szCs w:val="22"/>
          <w:lang w:eastAsia="en-AU"/>
        </w:rPr>
        <w:t>. This facilitates</w:t>
      </w:r>
      <w:r w:rsidR="00811AD8" w:rsidRPr="00E46894">
        <w:rPr>
          <w:rFonts w:eastAsia="Times New Roman"/>
          <w:sz w:val="22"/>
          <w:szCs w:val="22"/>
          <w:lang w:eastAsia="en-AU"/>
        </w:rPr>
        <w:t xml:space="preserve"> legitimate patient</w:t>
      </w:r>
      <w:r w:rsidR="00896E6F" w:rsidRPr="00E46894">
        <w:rPr>
          <w:rFonts w:eastAsia="Times New Roman"/>
          <w:sz w:val="22"/>
          <w:szCs w:val="22"/>
          <w:lang w:eastAsia="en-AU"/>
        </w:rPr>
        <w:t xml:space="preserve"> access </w:t>
      </w:r>
      <w:r w:rsidR="00183A2D" w:rsidRPr="00E46894">
        <w:rPr>
          <w:rFonts w:eastAsia="Times New Roman"/>
          <w:sz w:val="22"/>
          <w:szCs w:val="22"/>
          <w:lang w:eastAsia="en-AU"/>
        </w:rPr>
        <w:t>to the</w:t>
      </w:r>
      <w:r w:rsidR="001442F2" w:rsidRPr="00E46894">
        <w:rPr>
          <w:rFonts w:eastAsia="Times New Roman"/>
          <w:sz w:val="22"/>
          <w:szCs w:val="22"/>
          <w:lang w:eastAsia="en-AU"/>
        </w:rPr>
        <w:t xml:space="preserve"> </w:t>
      </w:r>
      <w:r w:rsidR="00896E6F" w:rsidRPr="00E46894">
        <w:rPr>
          <w:rFonts w:eastAsia="Times New Roman"/>
          <w:sz w:val="22"/>
          <w:szCs w:val="22"/>
          <w:lang w:eastAsia="en-AU"/>
        </w:rPr>
        <w:t xml:space="preserve">goods </w:t>
      </w:r>
      <w:r w:rsidR="00811AD8" w:rsidRPr="00E46894">
        <w:rPr>
          <w:rFonts w:eastAsia="Times New Roman"/>
          <w:sz w:val="22"/>
          <w:szCs w:val="22"/>
          <w:lang w:eastAsia="en-AU"/>
        </w:rPr>
        <w:t>for use in smoking cessation or the treatment of nicotine dependence</w:t>
      </w:r>
      <w:r w:rsidR="000348A6" w:rsidRPr="00E46894">
        <w:rPr>
          <w:rFonts w:eastAsia="Times New Roman"/>
          <w:sz w:val="22"/>
          <w:szCs w:val="22"/>
          <w:lang w:eastAsia="en-AU"/>
        </w:rPr>
        <w:t>.</w:t>
      </w:r>
    </w:p>
    <w:p w14:paraId="39CDC99F" w14:textId="77777777" w:rsidR="00096ADC" w:rsidRPr="00E46894" w:rsidRDefault="00096ADC" w:rsidP="000C22F7">
      <w:pPr>
        <w:spacing w:after="0" w:line="240" w:lineRule="auto"/>
        <w:contextualSpacing/>
        <w:rPr>
          <w:rFonts w:eastAsia="Times New Roman"/>
          <w:sz w:val="22"/>
          <w:szCs w:val="22"/>
          <w:lang w:eastAsia="en-AU"/>
        </w:rPr>
      </w:pPr>
    </w:p>
    <w:p w14:paraId="1FFF358D" w14:textId="6501EA2C" w:rsidR="001E51F5" w:rsidRPr="00E46894" w:rsidRDefault="001E51F5" w:rsidP="00BB7279">
      <w:pPr>
        <w:keepNext/>
        <w:spacing w:after="0" w:line="240" w:lineRule="auto"/>
        <w:contextualSpacing/>
        <w:rPr>
          <w:rFonts w:eastAsia="Times New Roman"/>
          <w:b/>
          <w:bCs/>
          <w:sz w:val="22"/>
          <w:szCs w:val="22"/>
          <w:lang w:eastAsia="en-AU"/>
        </w:rPr>
      </w:pPr>
      <w:r w:rsidRPr="00E46894">
        <w:rPr>
          <w:rFonts w:eastAsia="Times New Roman"/>
          <w:b/>
          <w:bCs/>
          <w:sz w:val="22"/>
          <w:szCs w:val="22"/>
          <w:lang w:eastAsia="en-AU"/>
        </w:rPr>
        <w:t>Incorporation by reference</w:t>
      </w:r>
    </w:p>
    <w:p w14:paraId="08DA583B" w14:textId="2577A374" w:rsidR="00451D36" w:rsidRPr="00E46894" w:rsidRDefault="00451D36" w:rsidP="00BB7279">
      <w:pPr>
        <w:keepNext/>
        <w:shd w:val="clear" w:color="auto" w:fill="FFFFFF"/>
        <w:spacing w:after="0" w:line="240" w:lineRule="auto"/>
        <w:contextualSpacing/>
        <w:rPr>
          <w:rFonts w:eastAsia="Times New Roman"/>
          <w:sz w:val="22"/>
          <w:szCs w:val="22"/>
          <w:lang w:eastAsia="en-AU"/>
        </w:rPr>
      </w:pPr>
    </w:p>
    <w:p w14:paraId="79C66B55" w14:textId="081508C1" w:rsidR="0024528B" w:rsidRPr="00E46894" w:rsidRDefault="0024528B" w:rsidP="00BB7279">
      <w:pPr>
        <w:keepNext/>
        <w:shd w:val="clear" w:color="auto" w:fill="FFFFFF"/>
        <w:spacing w:after="0" w:line="240" w:lineRule="auto"/>
        <w:contextualSpacing/>
        <w:rPr>
          <w:rFonts w:eastAsia="Times New Roman"/>
          <w:i/>
          <w:iCs/>
          <w:sz w:val="22"/>
          <w:szCs w:val="22"/>
          <w:lang w:eastAsia="en-AU"/>
        </w:rPr>
      </w:pPr>
      <w:r w:rsidRPr="00E46894">
        <w:rPr>
          <w:rFonts w:eastAsia="Times New Roman"/>
          <w:i/>
          <w:iCs/>
          <w:sz w:val="22"/>
          <w:szCs w:val="22"/>
          <w:lang w:eastAsia="en-AU"/>
        </w:rPr>
        <w:t>SAS Guidance</w:t>
      </w:r>
    </w:p>
    <w:p w14:paraId="29FD9B99" w14:textId="77777777" w:rsidR="00C57A4C" w:rsidRPr="00E46894" w:rsidRDefault="00C57A4C" w:rsidP="00BB7279">
      <w:pPr>
        <w:keepNext/>
        <w:shd w:val="clear" w:color="auto" w:fill="FFFFFF"/>
        <w:spacing w:after="0" w:line="240" w:lineRule="auto"/>
        <w:contextualSpacing/>
        <w:rPr>
          <w:rFonts w:eastAsia="Times New Roman"/>
          <w:i/>
          <w:iCs/>
          <w:sz w:val="22"/>
          <w:szCs w:val="22"/>
          <w:lang w:eastAsia="en-AU"/>
        </w:rPr>
      </w:pPr>
    </w:p>
    <w:p w14:paraId="7FBC9CD4" w14:textId="1C3599BA" w:rsidR="00C57702" w:rsidRPr="00E46894" w:rsidRDefault="00C57702" w:rsidP="00BB7279">
      <w:pPr>
        <w:keepNext/>
        <w:spacing w:after="0" w:line="240" w:lineRule="auto"/>
        <w:contextualSpacing/>
        <w:rPr>
          <w:rFonts w:eastAsia="Times New Roman"/>
          <w:sz w:val="22"/>
          <w:szCs w:val="22"/>
          <w:lang w:eastAsia="en-AU"/>
        </w:rPr>
      </w:pPr>
      <w:r w:rsidRPr="00E46894">
        <w:rPr>
          <w:rFonts w:eastAsia="Times New Roman"/>
          <w:sz w:val="22"/>
          <w:szCs w:val="22"/>
          <w:lang w:eastAsia="en-AU"/>
        </w:rPr>
        <w:t>The</w:t>
      </w:r>
      <w:r w:rsidR="00171742" w:rsidRPr="00E46894">
        <w:rPr>
          <w:rFonts w:eastAsia="Times New Roman"/>
          <w:sz w:val="22"/>
          <w:szCs w:val="22"/>
          <w:lang w:eastAsia="en-AU"/>
        </w:rPr>
        <w:t xml:space="preserve"> Amendment</w:t>
      </w:r>
      <w:r w:rsidRPr="00E46894">
        <w:rPr>
          <w:rFonts w:eastAsia="Times New Roman"/>
          <w:sz w:val="22"/>
          <w:szCs w:val="22"/>
          <w:lang w:eastAsia="en-AU"/>
        </w:rPr>
        <w:t xml:space="preserve"> Rules incorporate by reference the document titled</w:t>
      </w:r>
      <w:r w:rsidR="00DA42A9" w:rsidRPr="00E46894">
        <w:rPr>
          <w:rFonts w:eastAsia="Times New Roman"/>
          <w:sz w:val="22"/>
          <w:szCs w:val="22"/>
          <w:lang w:eastAsia="en-AU"/>
        </w:rPr>
        <w:t xml:space="preserve"> </w:t>
      </w:r>
      <w:r w:rsidRPr="00E46894">
        <w:rPr>
          <w:rFonts w:eastAsia="Times New Roman"/>
          <w:i/>
          <w:iCs/>
          <w:sz w:val="22"/>
          <w:szCs w:val="22"/>
          <w:lang w:eastAsia="en-AU"/>
        </w:rPr>
        <w:t xml:space="preserve">Special Access Scheme </w:t>
      </w:r>
      <w:r w:rsidR="00C944F1" w:rsidRPr="00E46894">
        <w:rPr>
          <w:rFonts w:eastAsia="Times New Roman"/>
          <w:i/>
          <w:iCs/>
          <w:sz w:val="22"/>
          <w:szCs w:val="22"/>
          <w:lang w:eastAsia="en-AU"/>
        </w:rPr>
        <w:t xml:space="preserve">(SAS): Guidance for health practitioners accessing unapproved therapeutic goods </w:t>
      </w:r>
      <w:r w:rsidRPr="00E46894">
        <w:rPr>
          <w:rFonts w:eastAsia="Times New Roman"/>
          <w:sz w:val="22"/>
          <w:szCs w:val="22"/>
          <w:lang w:eastAsia="en-AU"/>
        </w:rPr>
        <w:t xml:space="preserve">(Version </w:t>
      </w:r>
      <w:r w:rsidR="00DA42A9" w:rsidRPr="00E46894">
        <w:rPr>
          <w:rFonts w:eastAsia="Times New Roman"/>
          <w:sz w:val="22"/>
          <w:szCs w:val="22"/>
          <w:lang w:eastAsia="en-AU"/>
        </w:rPr>
        <w:t>1.</w:t>
      </w:r>
      <w:r w:rsidR="00C944F1" w:rsidRPr="00E46894">
        <w:rPr>
          <w:rFonts w:eastAsia="Times New Roman"/>
          <w:sz w:val="22"/>
          <w:szCs w:val="22"/>
          <w:lang w:eastAsia="en-AU"/>
        </w:rPr>
        <w:t>0</w:t>
      </w:r>
      <w:r w:rsidRPr="00E46894">
        <w:rPr>
          <w:rFonts w:eastAsia="Times New Roman"/>
          <w:sz w:val="22"/>
          <w:szCs w:val="22"/>
          <w:lang w:eastAsia="en-AU"/>
        </w:rPr>
        <w:t xml:space="preserve">, </w:t>
      </w:r>
      <w:r w:rsidR="00C944F1" w:rsidRPr="00E46894">
        <w:rPr>
          <w:rFonts w:eastAsia="Times New Roman"/>
          <w:sz w:val="22"/>
          <w:szCs w:val="22"/>
          <w:lang w:eastAsia="en-AU"/>
        </w:rPr>
        <w:t>January</w:t>
      </w:r>
      <w:r w:rsidR="00705D61" w:rsidRPr="00E46894">
        <w:rPr>
          <w:rFonts w:eastAsia="Times New Roman"/>
          <w:sz w:val="22"/>
          <w:szCs w:val="22"/>
          <w:lang w:eastAsia="en-AU"/>
        </w:rPr>
        <w:t> </w:t>
      </w:r>
      <w:r w:rsidRPr="00E46894">
        <w:rPr>
          <w:rFonts w:eastAsia="Times New Roman"/>
          <w:sz w:val="22"/>
          <w:szCs w:val="22"/>
          <w:lang w:eastAsia="en-AU"/>
        </w:rPr>
        <w:t>20</w:t>
      </w:r>
      <w:r w:rsidR="00C24DD4" w:rsidRPr="00E46894">
        <w:rPr>
          <w:rFonts w:eastAsia="Times New Roman"/>
          <w:sz w:val="22"/>
          <w:szCs w:val="22"/>
          <w:lang w:eastAsia="en-AU"/>
        </w:rPr>
        <w:t>23</w:t>
      </w:r>
      <w:r w:rsidRPr="00E46894">
        <w:rPr>
          <w:rFonts w:eastAsia="Times New Roman"/>
          <w:sz w:val="22"/>
          <w:szCs w:val="22"/>
          <w:lang w:eastAsia="en-AU"/>
        </w:rPr>
        <w:t xml:space="preserve">) (“the SAS Guidance”), which is published by the TGA. This document provides guidance for health practitioners and sponsors involved in providing patients with access to therapeutic goods that are not included in the Register (and are not otherwise the subject of an exemption, </w:t>
      </w:r>
      <w:proofErr w:type="gramStart"/>
      <w:r w:rsidRPr="00E46894">
        <w:rPr>
          <w:rFonts w:eastAsia="Times New Roman"/>
          <w:sz w:val="22"/>
          <w:szCs w:val="22"/>
          <w:lang w:eastAsia="en-AU"/>
        </w:rPr>
        <w:t>approval</w:t>
      </w:r>
      <w:proofErr w:type="gramEnd"/>
      <w:r w:rsidRPr="00E46894">
        <w:rPr>
          <w:rFonts w:eastAsia="Times New Roman"/>
          <w:sz w:val="22"/>
          <w:szCs w:val="22"/>
          <w:lang w:eastAsia="en-AU"/>
        </w:rPr>
        <w:t xml:space="preserve"> or authority under the Act) through the Special Access Scheme. It outlines the various access pathways and the regulatory obligations when accessing and supplying such therapeutic goods.</w:t>
      </w:r>
    </w:p>
    <w:p w14:paraId="01D9775E" w14:textId="37E0B9B2" w:rsidR="00C57702" w:rsidRPr="00E46894" w:rsidRDefault="00C57702" w:rsidP="000C22F7">
      <w:pPr>
        <w:spacing w:after="0" w:line="240" w:lineRule="auto"/>
        <w:contextualSpacing/>
        <w:rPr>
          <w:rFonts w:eastAsia="Times New Roman"/>
          <w:sz w:val="22"/>
          <w:szCs w:val="22"/>
          <w:lang w:eastAsia="en-AU"/>
        </w:rPr>
      </w:pPr>
    </w:p>
    <w:p w14:paraId="5C6EC55E" w14:textId="0E313242" w:rsidR="000F58BA" w:rsidRPr="00E46894" w:rsidRDefault="00C57702" w:rsidP="000C22F7">
      <w:pPr>
        <w:spacing w:after="0" w:line="240" w:lineRule="auto"/>
        <w:contextualSpacing/>
        <w:rPr>
          <w:rFonts w:eastAsia="Times New Roman"/>
          <w:sz w:val="22"/>
          <w:szCs w:val="22"/>
          <w:lang w:eastAsia="en-AU"/>
        </w:rPr>
      </w:pPr>
      <w:r w:rsidRPr="00E46894">
        <w:rPr>
          <w:rFonts w:eastAsia="Times New Roman"/>
          <w:sz w:val="22"/>
          <w:szCs w:val="22"/>
          <w:lang w:eastAsia="en-AU"/>
        </w:rPr>
        <w:t xml:space="preserve">The </w:t>
      </w:r>
      <w:r w:rsidR="00171742" w:rsidRPr="00E46894">
        <w:rPr>
          <w:rFonts w:eastAsia="Times New Roman"/>
          <w:sz w:val="22"/>
          <w:szCs w:val="22"/>
          <w:lang w:eastAsia="en-AU"/>
        </w:rPr>
        <w:t xml:space="preserve">Amendment </w:t>
      </w:r>
      <w:r w:rsidRPr="00E46894">
        <w:rPr>
          <w:rFonts w:eastAsia="Times New Roman"/>
          <w:sz w:val="22"/>
          <w:szCs w:val="22"/>
          <w:lang w:eastAsia="en-AU"/>
        </w:rPr>
        <w:t xml:space="preserve">Rules incorporate the SAS Guidance as in force or existing </w:t>
      </w:r>
      <w:proofErr w:type="gramStart"/>
      <w:r w:rsidRPr="00E46894">
        <w:rPr>
          <w:rFonts w:eastAsia="Times New Roman"/>
          <w:sz w:val="22"/>
          <w:szCs w:val="22"/>
          <w:lang w:eastAsia="en-AU"/>
        </w:rPr>
        <w:t>at</w:t>
      </w:r>
      <w:proofErr w:type="gramEnd"/>
      <w:r w:rsidR="00DA42A9" w:rsidRPr="00E46894">
        <w:rPr>
          <w:rFonts w:eastAsia="Times New Roman"/>
          <w:sz w:val="22"/>
          <w:szCs w:val="22"/>
          <w:lang w:eastAsia="en-AU"/>
        </w:rPr>
        <w:t xml:space="preserve"> 1 January 2024</w:t>
      </w:r>
      <w:r w:rsidRPr="00E46894">
        <w:rPr>
          <w:rFonts w:eastAsia="Times New Roman"/>
          <w:sz w:val="22"/>
          <w:szCs w:val="22"/>
          <w:lang w:eastAsia="en-AU"/>
        </w:rPr>
        <w:t>, in accordance with paragraph 14(1)(b) of the </w:t>
      </w:r>
      <w:r w:rsidRPr="00E46894">
        <w:rPr>
          <w:rFonts w:eastAsia="Times New Roman"/>
          <w:i/>
          <w:iCs/>
          <w:sz w:val="22"/>
          <w:szCs w:val="22"/>
          <w:lang w:eastAsia="en-AU"/>
        </w:rPr>
        <w:t>Legislation Act</w:t>
      </w:r>
      <w:r w:rsidR="00DA42A9" w:rsidRPr="00E46894">
        <w:rPr>
          <w:rFonts w:eastAsia="Times New Roman"/>
          <w:sz w:val="22"/>
          <w:szCs w:val="22"/>
          <w:lang w:eastAsia="en-AU"/>
        </w:rPr>
        <w:t xml:space="preserve"> </w:t>
      </w:r>
      <w:r w:rsidRPr="00E46894">
        <w:rPr>
          <w:rFonts w:eastAsia="Times New Roman"/>
          <w:i/>
          <w:iCs/>
          <w:sz w:val="22"/>
          <w:szCs w:val="22"/>
          <w:lang w:eastAsia="en-AU"/>
        </w:rPr>
        <w:t>2003</w:t>
      </w:r>
      <w:r w:rsidR="00486D43" w:rsidRPr="00E46894">
        <w:rPr>
          <w:rFonts w:eastAsia="Times New Roman"/>
          <w:sz w:val="22"/>
          <w:szCs w:val="22"/>
          <w:lang w:eastAsia="en-AU"/>
        </w:rPr>
        <w:t xml:space="preserve"> (“the</w:t>
      </w:r>
      <w:r w:rsidR="00C24DD4" w:rsidRPr="00E46894">
        <w:rPr>
          <w:rFonts w:eastAsia="Times New Roman"/>
          <w:sz w:val="22"/>
          <w:szCs w:val="22"/>
          <w:lang w:eastAsia="en-AU"/>
        </w:rPr>
        <w:t> </w:t>
      </w:r>
      <w:r w:rsidR="00486D43" w:rsidRPr="00E46894">
        <w:rPr>
          <w:rFonts w:eastAsia="Times New Roman"/>
          <w:sz w:val="22"/>
          <w:szCs w:val="22"/>
          <w:lang w:eastAsia="en-AU"/>
        </w:rPr>
        <w:t>Legislation Act”)</w:t>
      </w:r>
      <w:r w:rsidRPr="00E46894">
        <w:rPr>
          <w:rFonts w:eastAsia="Times New Roman"/>
          <w:sz w:val="22"/>
          <w:szCs w:val="22"/>
          <w:lang w:eastAsia="en-AU"/>
        </w:rPr>
        <w:t>, which permits a legislative instrument to incorporate a document (that is not an Act or legislative instrument) as it exists at, or before, the time the instrument commences.</w:t>
      </w:r>
      <w:r w:rsidR="00DA42A9" w:rsidRPr="00E46894">
        <w:rPr>
          <w:rFonts w:eastAsia="Times New Roman"/>
          <w:sz w:val="22"/>
          <w:szCs w:val="22"/>
          <w:lang w:eastAsia="en-AU"/>
        </w:rPr>
        <w:t xml:space="preserve"> </w:t>
      </w:r>
      <w:r w:rsidRPr="00E46894">
        <w:rPr>
          <w:rFonts w:eastAsia="Times New Roman"/>
          <w:sz w:val="22"/>
          <w:szCs w:val="22"/>
          <w:lang w:eastAsia="en-AU"/>
        </w:rPr>
        <w:t xml:space="preserve">The SAS Guidance is available for free from the TGA website and </w:t>
      </w:r>
      <w:r w:rsidR="00811AD8" w:rsidRPr="00E46894">
        <w:rPr>
          <w:rFonts w:eastAsia="Times New Roman"/>
          <w:sz w:val="22"/>
          <w:szCs w:val="22"/>
          <w:lang w:eastAsia="en-AU"/>
        </w:rPr>
        <w:t xml:space="preserve">may </w:t>
      </w:r>
      <w:r w:rsidRPr="00E46894">
        <w:rPr>
          <w:rFonts w:eastAsia="Times New Roman"/>
          <w:sz w:val="22"/>
          <w:szCs w:val="22"/>
          <w:lang w:eastAsia="en-AU"/>
        </w:rPr>
        <w:t>be accessed at</w:t>
      </w:r>
      <w:r w:rsidR="00DA42A9" w:rsidRPr="00E46894">
        <w:rPr>
          <w:rFonts w:eastAsia="Times New Roman"/>
          <w:sz w:val="22"/>
          <w:szCs w:val="22"/>
          <w:lang w:eastAsia="en-AU"/>
        </w:rPr>
        <w:t xml:space="preserve"> </w:t>
      </w:r>
      <w:hyperlink w:history="1"/>
      <w:r w:rsidR="00FB5C01" w:rsidRPr="00E46894">
        <w:rPr>
          <w:sz w:val="22"/>
          <w:szCs w:val="22"/>
        </w:rPr>
        <w:t>www.tga</w:t>
      </w:r>
      <w:r w:rsidR="00FB5C01" w:rsidRPr="00E46894">
        <w:rPr>
          <w:rFonts w:eastAsia="Times New Roman"/>
          <w:sz w:val="22"/>
          <w:szCs w:val="22"/>
          <w:lang w:eastAsia="en-AU"/>
        </w:rPr>
        <w:t>.gov.au</w:t>
      </w:r>
      <w:r w:rsidRPr="00E46894">
        <w:rPr>
          <w:rFonts w:eastAsia="Times New Roman"/>
          <w:sz w:val="22"/>
          <w:szCs w:val="22"/>
          <w:lang w:eastAsia="en-AU"/>
        </w:rPr>
        <w:t>.</w:t>
      </w:r>
    </w:p>
    <w:p w14:paraId="7D8D51ED" w14:textId="77777777" w:rsidR="00D40B4E" w:rsidRPr="00E46894" w:rsidRDefault="00D40B4E" w:rsidP="000C22F7">
      <w:pPr>
        <w:spacing w:after="0" w:line="240" w:lineRule="auto"/>
        <w:contextualSpacing/>
        <w:rPr>
          <w:rFonts w:eastAsia="Times New Roman"/>
          <w:bCs/>
          <w:sz w:val="22"/>
          <w:szCs w:val="22"/>
          <w:lang w:eastAsia="en-AU"/>
        </w:rPr>
      </w:pPr>
    </w:p>
    <w:p w14:paraId="1F298DCC" w14:textId="77777777" w:rsidR="00E6776F" w:rsidRPr="00E46894" w:rsidRDefault="00E6776F" w:rsidP="00BB7279">
      <w:pPr>
        <w:keepNext/>
        <w:autoSpaceDE w:val="0"/>
        <w:autoSpaceDN w:val="0"/>
        <w:adjustRightInd w:val="0"/>
        <w:spacing w:after="0" w:line="240" w:lineRule="auto"/>
        <w:contextualSpacing/>
        <w:rPr>
          <w:rFonts w:eastAsia="Times New Roman"/>
          <w:b/>
          <w:sz w:val="22"/>
          <w:szCs w:val="22"/>
          <w:lang w:eastAsia="en-AU"/>
        </w:rPr>
      </w:pPr>
      <w:r w:rsidRPr="00E46894">
        <w:rPr>
          <w:rFonts w:eastAsia="Times New Roman"/>
          <w:b/>
          <w:sz w:val="22"/>
          <w:szCs w:val="22"/>
          <w:lang w:eastAsia="en-AU"/>
        </w:rPr>
        <w:t>Consultation</w:t>
      </w:r>
    </w:p>
    <w:p w14:paraId="18317E96" w14:textId="77777777" w:rsidR="00E6776F" w:rsidRPr="00E46894" w:rsidRDefault="00E6776F" w:rsidP="00BB7279">
      <w:pPr>
        <w:keepNext/>
        <w:autoSpaceDE w:val="0"/>
        <w:autoSpaceDN w:val="0"/>
        <w:adjustRightInd w:val="0"/>
        <w:spacing w:after="0" w:line="240" w:lineRule="auto"/>
        <w:contextualSpacing/>
        <w:rPr>
          <w:rFonts w:eastAsia="Times New Roman"/>
          <w:bCs/>
          <w:sz w:val="22"/>
          <w:szCs w:val="22"/>
          <w:lang w:eastAsia="en-AU"/>
        </w:rPr>
      </w:pPr>
      <w:bookmarkStart w:id="6" w:name="_Hlk135994503"/>
    </w:p>
    <w:bookmarkEnd w:id="6"/>
    <w:p w14:paraId="3DD2122A" w14:textId="77777777" w:rsidR="00E6776F" w:rsidRPr="00E46894" w:rsidRDefault="00E6776F" w:rsidP="00BB7279">
      <w:pPr>
        <w:keepNext/>
        <w:autoSpaceDE w:val="0"/>
        <w:autoSpaceDN w:val="0"/>
        <w:adjustRightInd w:val="0"/>
        <w:spacing w:after="0" w:line="240" w:lineRule="auto"/>
        <w:contextualSpacing/>
        <w:rPr>
          <w:rFonts w:eastAsia="Times New Roman"/>
          <w:bCs/>
          <w:sz w:val="22"/>
          <w:szCs w:val="22"/>
          <w:lang w:eastAsia="en-AU"/>
        </w:rPr>
      </w:pPr>
      <w:r w:rsidRPr="00E46894">
        <w:rPr>
          <w:rFonts w:eastAsia="Times New Roman"/>
          <w:bCs/>
          <w:sz w:val="22"/>
          <w:szCs w:val="22"/>
          <w:lang w:eastAsia="en-AU"/>
        </w:rPr>
        <w:t>The TGA conducted two significant consultations in relation to the vaping reform measures. Between 30 November 2022 and 16 January 2023, the TGA undertook public consultation (“the 2022 consultation”) on reforms to the regulation of nicotine vaping products in Australia. Close to 4,000 submissions were received from a range of organisations and individuals, including state and territory health departments, universities, health practitioner peak bodies, consumer groups, retailers, and suppliers. This included over 3,500 submissions from private individuals.</w:t>
      </w:r>
    </w:p>
    <w:p w14:paraId="3F0FAEA6" w14:textId="77777777" w:rsidR="00E6776F" w:rsidRPr="00E46894" w:rsidRDefault="00E6776F" w:rsidP="000C22F7">
      <w:pPr>
        <w:autoSpaceDE w:val="0"/>
        <w:autoSpaceDN w:val="0"/>
        <w:adjustRightInd w:val="0"/>
        <w:spacing w:after="0" w:line="240" w:lineRule="auto"/>
        <w:contextualSpacing/>
        <w:rPr>
          <w:rFonts w:eastAsia="Times New Roman"/>
          <w:bCs/>
          <w:sz w:val="22"/>
          <w:szCs w:val="22"/>
          <w:lang w:eastAsia="en-AU"/>
        </w:rPr>
      </w:pPr>
    </w:p>
    <w:p w14:paraId="57ABE487" w14:textId="1C1D5ACD" w:rsidR="00E6776F" w:rsidRPr="00E46894" w:rsidRDefault="00977917" w:rsidP="000C22F7">
      <w:pPr>
        <w:autoSpaceDE w:val="0"/>
        <w:autoSpaceDN w:val="0"/>
        <w:adjustRightInd w:val="0"/>
        <w:spacing w:after="0" w:line="240" w:lineRule="auto"/>
        <w:contextualSpacing/>
        <w:rPr>
          <w:rFonts w:eastAsia="Times New Roman"/>
          <w:bCs/>
          <w:sz w:val="22"/>
          <w:szCs w:val="22"/>
          <w:lang w:eastAsia="en-AU"/>
        </w:rPr>
      </w:pPr>
      <w:r w:rsidRPr="00E46894">
        <w:rPr>
          <w:rFonts w:eastAsia="Times New Roman"/>
          <w:bCs/>
          <w:sz w:val="22"/>
          <w:szCs w:val="22"/>
          <w:lang w:eastAsia="en-AU"/>
        </w:rPr>
        <w:t>Following feedback from this consultation and advice received from public health experts at Tobacco Control Roundtables on 30 September 2022 and 17 April 2023, the TGA engaged in extensive consultation with the states and territories to assess the regulatory options and develop policy proposals. Consultations with the states and territories took place principally through the Health Ministers’ Meeting and its subordinate National E-Cigarette Working Group, culminating in the Health Ministers’ Meeting Communique of 1 September 2023, which conveyed Ministers’ collective commitment to enhancing regulation of vapes in Australia.</w:t>
      </w:r>
    </w:p>
    <w:p w14:paraId="786B0128" w14:textId="77777777" w:rsidR="00E6776F" w:rsidRPr="00E46894" w:rsidRDefault="00E6776F" w:rsidP="000C22F7">
      <w:pPr>
        <w:autoSpaceDE w:val="0"/>
        <w:autoSpaceDN w:val="0"/>
        <w:adjustRightInd w:val="0"/>
        <w:spacing w:after="0" w:line="240" w:lineRule="auto"/>
        <w:contextualSpacing/>
        <w:rPr>
          <w:rFonts w:eastAsia="Times New Roman"/>
          <w:bCs/>
          <w:sz w:val="22"/>
          <w:szCs w:val="22"/>
          <w:lang w:eastAsia="en-AU"/>
        </w:rPr>
      </w:pPr>
    </w:p>
    <w:p w14:paraId="3C184DDF" w14:textId="2D312239" w:rsidR="00E6776F" w:rsidRPr="00E46894" w:rsidRDefault="00E6776F" w:rsidP="000C22F7">
      <w:pPr>
        <w:autoSpaceDE w:val="0"/>
        <w:autoSpaceDN w:val="0"/>
        <w:adjustRightInd w:val="0"/>
        <w:spacing w:after="0" w:line="240" w:lineRule="auto"/>
        <w:contextualSpacing/>
        <w:rPr>
          <w:rFonts w:eastAsia="Times New Roman"/>
          <w:bCs/>
          <w:sz w:val="22"/>
          <w:szCs w:val="22"/>
          <w:lang w:eastAsia="en-AU"/>
        </w:rPr>
      </w:pPr>
      <w:r w:rsidRPr="00E46894">
        <w:rPr>
          <w:rFonts w:eastAsia="Times New Roman"/>
          <w:bCs/>
          <w:sz w:val="22"/>
          <w:szCs w:val="22"/>
          <w:lang w:eastAsia="en-AU"/>
        </w:rPr>
        <w:t>A second, targeted consultation was undertaken with stakeholders between 7 September and 21 September 2023 (“the 2023 Consultation”) on the regulatory proposals developed in consultation with states and territories. Submissions and survey responses to the 2023 Consultation closed on 21 September 2023. The feedback to the consultation paper informed the deliberations of the Minister for the Department of Health and Aged Care on regulatory measures to be implemented</w:t>
      </w:r>
      <w:r w:rsidR="007131B9" w:rsidRPr="00E46894">
        <w:rPr>
          <w:rFonts w:eastAsia="Times New Roman"/>
          <w:bCs/>
          <w:sz w:val="22"/>
          <w:szCs w:val="22"/>
          <w:lang w:eastAsia="en-AU"/>
        </w:rPr>
        <w:t>.</w:t>
      </w:r>
    </w:p>
    <w:p w14:paraId="0E3A1D49" w14:textId="77777777" w:rsidR="00D40B4E" w:rsidRPr="00E46894" w:rsidRDefault="00D40B4E" w:rsidP="000C22F7">
      <w:pPr>
        <w:autoSpaceDE w:val="0"/>
        <w:autoSpaceDN w:val="0"/>
        <w:adjustRightInd w:val="0"/>
        <w:spacing w:after="0" w:line="240" w:lineRule="auto"/>
        <w:contextualSpacing/>
        <w:rPr>
          <w:rFonts w:eastAsia="Times New Roman"/>
          <w:bCs/>
          <w:sz w:val="22"/>
          <w:szCs w:val="22"/>
          <w:lang w:eastAsia="en-AU"/>
        </w:rPr>
      </w:pPr>
    </w:p>
    <w:p w14:paraId="104C400B" w14:textId="4ABEA12D" w:rsidR="00FB048B" w:rsidRPr="00E46894" w:rsidRDefault="00FB048B" w:rsidP="00BB7279">
      <w:pPr>
        <w:keepNext/>
        <w:autoSpaceDE w:val="0"/>
        <w:autoSpaceDN w:val="0"/>
        <w:adjustRightInd w:val="0"/>
        <w:spacing w:after="0" w:line="240" w:lineRule="auto"/>
        <w:contextualSpacing/>
        <w:rPr>
          <w:rFonts w:eastAsia="Times New Roman"/>
          <w:b/>
          <w:sz w:val="22"/>
          <w:szCs w:val="22"/>
          <w:lang w:eastAsia="en-AU"/>
        </w:rPr>
      </w:pPr>
      <w:r w:rsidRPr="00E46894">
        <w:rPr>
          <w:rFonts w:eastAsia="Times New Roman"/>
          <w:b/>
          <w:sz w:val="22"/>
          <w:szCs w:val="22"/>
          <w:lang w:eastAsia="en-AU"/>
        </w:rPr>
        <w:lastRenderedPageBreak/>
        <w:t>Other details</w:t>
      </w:r>
    </w:p>
    <w:p w14:paraId="295017F8" w14:textId="77777777" w:rsidR="00D40B4E" w:rsidRPr="00E46894" w:rsidRDefault="00D40B4E" w:rsidP="00BB7279">
      <w:pPr>
        <w:keepNext/>
        <w:spacing w:after="0" w:line="240" w:lineRule="auto"/>
        <w:contextualSpacing/>
        <w:rPr>
          <w:rFonts w:eastAsia="Times New Roman"/>
          <w:sz w:val="22"/>
          <w:szCs w:val="22"/>
          <w:lang w:eastAsia="en-AU"/>
        </w:rPr>
      </w:pPr>
    </w:p>
    <w:p w14:paraId="79635539" w14:textId="14EF2995" w:rsidR="00231AB7" w:rsidRPr="00E46894" w:rsidRDefault="00231AB7" w:rsidP="00BB7279">
      <w:pPr>
        <w:keepNext/>
        <w:spacing w:after="0" w:line="240" w:lineRule="auto"/>
        <w:contextualSpacing/>
        <w:rPr>
          <w:rFonts w:eastAsia="Times New Roman"/>
          <w:sz w:val="22"/>
          <w:szCs w:val="22"/>
          <w:lang w:eastAsia="en-AU"/>
        </w:rPr>
      </w:pPr>
      <w:r w:rsidRPr="00E46894">
        <w:rPr>
          <w:rFonts w:eastAsia="Times New Roman"/>
          <w:sz w:val="22"/>
          <w:szCs w:val="22"/>
          <w:lang w:eastAsia="en-AU"/>
        </w:rPr>
        <w:t xml:space="preserve">Details of the Amendment </w:t>
      </w:r>
      <w:r w:rsidR="00EC3C67" w:rsidRPr="00E46894">
        <w:rPr>
          <w:rFonts w:eastAsia="Times New Roman"/>
          <w:sz w:val="22"/>
          <w:szCs w:val="22"/>
          <w:lang w:eastAsia="en-AU"/>
        </w:rPr>
        <w:t>Rule</w:t>
      </w:r>
      <w:r w:rsidR="002D7C08" w:rsidRPr="00E46894">
        <w:rPr>
          <w:rFonts w:eastAsia="Times New Roman"/>
          <w:sz w:val="22"/>
          <w:szCs w:val="22"/>
          <w:lang w:eastAsia="en-AU"/>
        </w:rPr>
        <w:t>s</w:t>
      </w:r>
      <w:r w:rsidRPr="00E46894">
        <w:rPr>
          <w:rFonts w:eastAsia="Times New Roman"/>
          <w:sz w:val="22"/>
          <w:szCs w:val="22"/>
          <w:lang w:eastAsia="en-AU"/>
        </w:rPr>
        <w:t xml:space="preserve"> are set out in </w:t>
      </w:r>
      <w:r w:rsidRPr="00E46894">
        <w:rPr>
          <w:rFonts w:eastAsia="Times New Roman"/>
          <w:b/>
          <w:sz w:val="22"/>
          <w:szCs w:val="22"/>
          <w:lang w:eastAsia="en-AU"/>
        </w:rPr>
        <w:t>Attachment A</w:t>
      </w:r>
      <w:r w:rsidRPr="00E46894">
        <w:rPr>
          <w:rFonts w:eastAsia="Times New Roman"/>
          <w:sz w:val="22"/>
          <w:szCs w:val="22"/>
          <w:lang w:eastAsia="en-AU"/>
        </w:rPr>
        <w:t>.</w:t>
      </w:r>
    </w:p>
    <w:p w14:paraId="72C97652" w14:textId="77777777" w:rsidR="00231AB7" w:rsidRPr="00E46894" w:rsidRDefault="00231AB7" w:rsidP="000C22F7">
      <w:pPr>
        <w:spacing w:after="0" w:line="240" w:lineRule="auto"/>
        <w:contextualSpacing/>
        <w:rPr>
          <w:rFonts w:eastAsia="Times New Roman"/>
          <w:sz w:val="22"/>
          <w:szCs w:val="22"/>
          <w:lang w:eastAsia="en-AU"/>
        </w:rPr>
      </w:pPr>
    </w:p>
    <w:p w14:paraId="35CD297E" w14:textId="4F7BE282" w:rsidR="00231AB7" w:rsidRPr="00E46894" w:rsidRDefault="00231AB7" w:rsidP="000C22F7">
      <w:pPr>
        <w:spacing w:after="0" w:line="240" w:lineRule="auto"/>
        <w:contextualSpacing/>
        <w:rPr>
          <w:rFonts w:eastAsia="Times New Roman"/>
          <w:sz w:val="22"/>
          <w:szCs w:val="22"/>
          <w:lang w:eastAsia="en-AU"/>
        </w:rPr>
      </w:pPr>
      <w:r w:rsidRPr="00E46894">
        <w:rPr>
          <w:rFonts w:eastAsia="Times New Roman"/>
          <w:sz w:val="22"/>
          <w:szCs w:val="22"/>
          <w:lang w:eastAsia="en-AU"/>
        </w:rPr>
        <w:t xml:space="preserve">The Amendment </w:t>
      </w:r>
      <w:r w:rsidR="00EC3C67" w:rsidRPr="00E46894">
        <w:rPr>
          <w:rFonts w:eastAsia="Times New Roman"/>
          <w:sz w:val="22"/>
          <w:szCs w:val="22"/>
          <w:lang w:eastAsia="en-AU"/>
        </w:rPr>
        <w:t>Rule</w:t>
      </w:r>
      <w:r w:rsidR="002D7C08" w:rsidRPr="00E46894">
        <w:rPr>
          <w:rFonts w:eastAsia="Times New Roman"/>
          <w:sz w:val="22"/>
          <w:szCs w:val="22"/>
          <w:lang w:eastAsia="en-AU"/>
        </w:rPr>
        <w:t>s</w:t>
      </w:r>
      <w:r w:rsidRPr="00E46894">
        <w:rPr>
          <w:rFonts w:eastAsia="Times New Roman"/>
          <w:sz w:val="22"/>
          <w:szCs w:val="22"/>
          <w:lang w:eastAsia="en-AU"/>
        </w:rPr>
        <w:t xml:space="preserve"> </w:t>
      </w:r>
      <w:r w:rsidR="002D7C08" w:rsidRPr="00E46894">
        <w:rPr>
          <w:rFonts w:eastAsia="Times New Roman"/>
          <w:sz w:val="22"/>
          <w:szCs w:val="22"/>
          <w:lang w:eastAsia="en-AU"/>
        </w:rPr>
        <w:t>are</w:t>
      </w:r>
      <w:r w:rsidRPr="00E46894">
        <w:rPr>
          <w:rFonts w:eastAsia="Times New Roman"/>
          <w:sz w:val="22"/>
          <w:szCs w:val="22"/>
          <w:lang w:eastAsia="en-AU"/>
        </w:rPr>
        <w:t xml:space="preserve"> compatible with human rights and freedoms recognised or declared under section 3 of the </w:t>
      </w:r>
      <w:r w:rsidRPr="00E46894">
        <w:rPr>
          <w:rFonts w:eastAsia="Times New Roman"/>
          <w:i/>
          <w:sz w:val="22"/>
          <w:szCs w:val="22"/>
          <w:lang w:eastAsia="en-AU"/>
        </w:rPr>
        <w:t>Human Rights (Parliamentary Scrutiny) Act 2011</w:t>
      </w:r>
      <w:r w:rsidRPr="00E46894">
        <w:rPr>
          <w:rFonts w:eastAsia="Times New Roman"/>
          <w:sz w:val="22"/>
          <w:szCs w:val="22"/>
          <w:lang w:eastAsia="en-AU"/>
        </w:rPr>
        <w:t xml:space="preserve">. A full statement of compatibility is set out in </w:t>
      </w:r>
      <w:r w:rsidRPr="00E46894">
        <w:rPr>
          <w:rFonts w:eastAsia="Times New Roman"/>
          <w:b/>
          <w:sz w:val="22"/>
          <w:szCs w:val="22"/>
          <w:lang w:eastAsia="en-AU"/>
        </w:rPr>
        <w:t>Attachment B</w:t>
      </w:r>
      <w:r w:rsidRPr="00E46894">
        <w:rPr>
          <w:rFonts w:eastAsia="Times New Roman"/>
          <w:sz w:val="22"/>
          <w:szCs w:val="22"/>
          <w:lang w:eastAsia="en-AU"/>
        </w:rPr>
        <w:t>.</w:t>
      </w:r>
    </w:p>
    <w:p w14:paraId="1ABD8A70" w14:textId="77777777" w:rsidR="00231AB7" w:rsidRPr="00E46894" w:rsidRDefault="00231AB7" w:rsidP="000C22F7">
      <w:pPr>
        <w:spacing w:after="0" w:line="240" w:lineRule="auto"/>
        <w:contextualSpacing/>
        <w:rPr>
          <w:rFonts w:eastAsia="Times New Roman"/>
          <w:sz w:val="22"/>
          <w:szCs w:val="22"/>
          <w:lang w:eastAsia="en-AU"/>
        </w:rPr>
      </w:pPr>
      <w:bookmarkStart w:id="7" w:name="_Hlk136524175"/>
    </w:p>
    <w:p w14:paraId="74749EFC" w14:textId="54099BCC" w:rsidR="00231AB7" w:rsidRPr="00E46894" w:rsidRDefault="00977917" w:rsidP="000C22F7">
      <w:pPr>
        <w:spacing w:after="0" w:line="240" w:lineRule="auto"/>
        <w:contextualSpacing/>
        <w:rPr>
          <w:rFonts w:eastAsia="Times New Roman"/>
          <w:sz w:val="22"/>
          <w:szCs w:val="22"/>
          <w:lang w:eastAsia="en-AU"/>
        </w:rPr>
      </w:pPr>
      <w:bookmarkStart w:id="8" w:name="_Hlk147935467"/>
      <w:r w:rsidRPr="00E46894">
        <w:rPr>
          <w:rFonts w:eastAsia="Times New Roman"/>
          <w:sz w:val="22"/>
          <w:szCs w:val="22"/>
          <w:lang w:eastAsia="en-AU"/>
        </w:rPr>
        <w:t xml:space="preserve">An impact analysis (“IA”) was prepared </w:t>
      </w:r>
      <w:r w:rsidR="00811AD8" w:rsidRPr="00E46894">
        <w:rPr>
          <w:rFonts w:eastAsia="Times New Roman"/>
          <w:sz w:val="22"/>
          <w:szCs w:val="22"/>
          <w:lang w:eastAsia="en-AU"/>
        </w:rPr>
        <w:t>on</w:t>
      </w:r>
      <w:r w:rsidRPr="00E46894">
        <w:rPr>
          <w:rFonts w:eastAsia="Times New Roman"/>
          <w:sz w:val="22"/>
          <w:szCs w:val="22"/>
          <w:lang w:eastAsia="en-AU"/>
        </w:rPr>
        <w:t xml:space="preserve"> the </w:t>
      </w:r>
      <w:r w:rsidR="00922D1E" w:rsidRPr="00E46894">
        <w:rPr>
          <w:rFonts w:eastAsia="Times New Roman"/>
          <w:sz w:val="22"/>
          <w:szCs w:val="22"/>
          <w:lang w:eastAsia="en-AU"/>
        </w:rPr>
        <w:t>proposed</w:t>
      </w:r>
      <w:r w:rsidRPr="00E46894">
        <w:rPr>
          <w:rFonts w:eastAsia="Times New Roman"/>
          <w:sz w:val="22"/>
          <w:szCs w:val="22"/>
          <w:lang w:eastAsia="en-AU"/>
        </w:rPr>
        <w:t xml:space="preserve"> reforms relating to </w:t>
      </w:r>
      <w:r w:rsidR="00C57A4C" w:rsidRPr="00E46894">
        <w:rPr>
          <w:rFonts w:eastAsia="Times New Roman"/>
          <w:sz w:val="22"/>
          <w:szCs w:val="22"/>
          <w:lang w:eastAsia="en-AU"/>
        </w:rPr>
        <w:t>the regulation of vapes</w:t>
      </w:r>
      <w:r w:rsidRPr="00E46894">
        <w:rPr>
          <w:rFonts w:eastAsia="Times New Roman"/>
          <w:sz w:val="22"/>
          <w:szCs w:val="22"/>
          <w:lang w:eastAsia="en-AU"/>
        </w:rPr>
        <w:t xml:space="preserve">, </w:t>
      </w:r>
      <w:proofErr w:type="gramStart"/>
      <w:r w:rsidRPr="00E46894">
        <w:rPr>
          <w:rFonts w:eastAsia="Times New Roman"/>
          <w:sz w:val="22"/>
          <w:szCs w:val="22"/>
          <w:lang w:eastAsia="en-AU"/>
        </w:rPr>
        <w:t>taking into account</w:t>
      </w:r>
      <w:proofErr w:type="gramEnd"/>
      <w:r w:rsidRPr="00E46894">
        <w:rPr>
          <w:rFonts w:eastAsia="Times New Roman"/>
          <w:sz w:val="22"/>
          <w:szCs w:val="22"/>
          <w:lang w:eastAsia="en-AU"/>
        </w:rPr>
        <w:t xml:space="preserve"> the feedback received from stakeholders through</w:t>
      </w:r>
      <w:r w:rsidR="000329D2" w:rsidRPr="00E46894">
        <w:rPr>
          <w:rFonts w:eastAsia="Times New Roman"/>
          <w:sz w:val="22"/>
          <w:szCs w:val="22"/>
          <w:lang w:eastAsia="en-AU"/>
        </w:rPr>
        <w:t>out</w:t>
      </w:r>
      <w:r w:rsidRPr="00E46894">
        <w:rPr>
          <w:rFonts w:eastAsia="Times New Roman"/>
          <w:sz w:val="22"/>
          <w:szCs w:val="22"/>
          <w:lang w:eastAsia="en-AU"/>
        </w:rPr>
        <w:t xml:space="preserve"> the consultation</w:t>
      </w:r>
      <w:r w:rsidR="000329D2" w:rsidRPr="00E46894">
        <w:rPr>
          <w:rFonts w:eastAsia="Times New Roman"/>
          <w:sz w:val="22"/>
          <w:szCs w:val="22"/>
          <w:lang w:eastAsia="en-AU"/>
        </w:rPr>
        <w:t>s</w:t>
      </w:r>
      <w:r w:rsidRPr="00E46894">
        <w:rPr>
          <w:rFonts w:eastAsia="Times New Roman"/>
          <w:sz w:val="22"/>
          <w:szCs w:val="22"/>
          <w:lang w:eastAsia="en-AU"/>
        </w:rPr>
        <w:t>. The Office of Impact Analysis (“OIA”) determined that the IA was consistent with good practice and met Australian Government best practice regulation requirements (OBPR23-03933). The IA has been published, or will be published</w:t>
      </w:r>
      <w:r w:rsidR="000329D2" w:rsidRPr="00E46894">
        <w:rPr>
          <w:rFonts w:eastAsia="Times New Roman"/>
          <w:sz w:val="22"/>
          <w:szCs w:val="22"/>
          <w:lang w:eastAsia="en-AU"/>
        </w:rPr>
        <w:t>,</w:t>
      </w:r>
      <w:r w:rsidRPr="00E46894">
        <w:rPr>
          <w:rFonts w:eastAsia="Times New Roman"/>
          <w:sz w:val="22"/>
          <w:szCs w:val="22"/>
          <w:lang w:eastAsia="en-AU"/>
        </w:rPr>
        <w:t xml:space="preserve"> prior to commencement of the Amendment Rules, on the OIA website at: oia.pmc.gov.au/.</w:t>
      </w:r>
    </w:p>
    <w:bookmarkEnd w:id="7"/>
    <w:bookmarkEnd w:id="8"/>
    <w:p w14:paraId="39042182" w14:textId="77777777" w:rsidR="00231AB7" w:rsidRPr="00E46894" w:rsidRDefault="00231AB7" w:rsidP="000C22F7">
      <w:pPr>
        <w:spacing w:after="0" w:line="240" w:lineRule="auto"/>
        <w:contextualSpacing/>
        <w:rPr>
          <w:rFonts w:eastAsia="Times New Roman"/>
          <w:sz w:val="22"/>
          <w:szCs w:val="22"/>
          <w:lang w:eastAsia="en-AU"/>
        </w:rPr>
      </w:pPr>
    </w:p>
    <w:p w14:paraId="68E727D5" w14:textId="0925F803" w:rsidR="00D40B4E" w:rsidRPr="00E46894" w:rsidRDefault="00231AB7" w:rsidP="000C22F7">
      <w:pPr>
        <w:spacing w:after="0" w:line="240" w:lineRule="auto"/>
        <w:contextualSpacing/>
        <w:rPr>
          <w:rFonts w:eastAsia="Times New Roman"/>
          <w:sz w:val="22"/>
          <w:szCs w:val="22"/>
          <w:lang w:eastAsia="en-AU"/>
        </w:rPr>
      </w:pPr>
      <w:r w:rsidRPr="00E46894">
        <w:rPr>
          <w:rFonts w:eastAsia="Times New Roman"/>
          <w:sz w:val="22"/>
          <w:szCs w:val="22"/>
          <w:lang w:eastAsia="en-AU"/>
        </w:rPr>
        <w:t xml:space="preserve">The Amendment </w:t>
      </w:r>
      <w:r w:rsidR="00EC3C67" w:rsidRPr="00E46894">
        <w:rPr>
          <w:rFonts w:eastAsia="Times New Roman"/>
          <w:sz w:val="22"/>
          <w:szCs w:val="22"/>
          <w:lang w:eastAsia="en-AU"/>
        </w:rPr>
        <w:t>Rule</w:t>
      </w:r>
      <w:r w:rsidR="002D7C08" w:rsidRPr="00E46894">
        <w:rPr>
          <w:rFonts w:eastAsia="Times New Roman"/>
          <w:sz w:val="22"/>
          <w:szCs w:val="22"/>
          <w:lang w:eastAsia="en-AU"/>
        </w:rPr>
        <w:t>s</w:t>
      </w:r>
      <w:r w:rsidRPr="00E46894">
        <w:rPr>
          <w:rFonts w:eastAsia="Times New Roman"/>
          <w:sz w:val="22"/>
          <w:szCs w:val="22"/>
          <w:lang w:eastAsia="en-AU"/>
        </w:rPr>
        <w:t xml:space="preserve"> </w:t>
      </w:r>
      <w:r w:rsidR="00415E36" w:rsidRPr="00E46894">
        <w:rPr>
          <w:rFonts w:eastAsia="Times New Roman"/>
          <w:sz w:val="22"/>
          <w:szCs w:val="22"/>
          <w:lang w:eastAsia="en-AU"/>
        </w:rPr>
        <w:t xml:space="preserve">are </w:t>
      </w:r>
      <w:r w:rsidRPr="00E46894">
        <w:rPr>
          <w:rFonts w:eastAsia="Times New Roman"/>
          <w:sz w:val="22"/>
          <w:szCs w:val="22"/>
          <w:lang w:eastAsia="en-AU"/>
        </w:rPr>
        <w:t>a disallowable legislative instrument</w:t>
      </w:r>
      <w:r w:rsidRPr="00E46894">
        <w:rPr>
          <w:rFonts w:eastAsia="Times New Roman"/>
          <w:i/>
          <w:sz w:val="22"/>
          <w:szCs w:val="22"/>
          <w:lang w:eastAsia="en-AU"/>
        </w:rPr>
        <w:t xml:space="preserve"> </w:t>
      </w:r>
      <w:r w:rsidRPr="00E46894">
        <w:rPr>
          <w:rFonts w:eastAsia="Times New Roman"/>
          <w:sz w:val="22"/>
          <w:szCs w:val="22"/>
          <w:lang w:eastAsia="en-AU"/>
        </w:rPr>
        <w:t>for the purposes of the Legislation Act</w:t>
      </w:r>
      <w:r w:rsidRPr="00E46894">
        <w:rPr>
          <w:rFonts w:eastAsia="Times New Roman"/>
          <w:i/>
          <w:iCs/>
          <w:sz w:val="22"/>
          <w:szCs w:val="22"/>
          <w:lang w:eastAsia="en-AU"/>
        </w:rPr>
        <w:t xml:space="preserve"> </w:t>
      </w:r>
      <w:r w:rsidRPr="00E46894">
        <w:rPr>
          <w:rFonts w:eastAsia="Times New Roman"/>
          <w:sz w:val="22"/>
          <w:szCs w:val="22"/>
          <w:lang w:eastAsia="en-AU"/>
        </w:rPr>
        <w:t xml:space="preserve">and commence </w:t>
      </w:r>
      <w:r w:rsidR="00486D43" w:rsidRPr="00E46894">
        <w:rPr>
          <w:rFonts w:eastAsia="Times New Roman"/>
          <w:sz w:val="22"/>
          <w:szCs w:val="22"/>
          <w:lang w:eastAsia="en-AU"/>
        </w:rPr>
        <w:t>at the same time as</w:t>
      </w:r>
      <w:r w:rsidR="00171742" w:rsidRPr="00E46894">
        <w:rPr>
          <w:rFonts w:eastAsia="Times New Roman"/>
          <w:sz w:val="22"/>
          <w:szCs w:val="22"/>
          <w:lang w:eastAsia="en-AU"/>
        </w:rPr>
        <w:t xml:space="preserve"> the commencement of the </w:t>
      </w:r>
      <w:r w:rsidR="00171742" w:rsidRPr="00E46894">
        <w:rPr>
          <w:rFonts w:eastAsia="Times New Roman"/>
          <w:i/>
          <w:iCs/>
          <w:sz w:val="22"/>
          <w:szCs w:val="22"/>
          <w:lang w:eastAsia="en-AU"/>
        </w:rPr>
        <w:t>Therapeutic Goods Amendment (Vaping) Regulations 2023</w:t>
      </w:r>
      <w:r w:rsidR="00171742" w:rsidRPr="00E46894">
        <w:rPr>
          <w:rFonts w:eastAsia="Times New Roman"/>
          <w:sz w:val="22"/>
          <w:szCs w:val="22"/>
          <w:lang w:eastAsia="en-AU"/>
        </w:rPr>
        <w:t xml:space="preserve"> (“the Amendment Regulations”). However, the Amendment Rules do not commence at all if the Amendment Regulations do not commence</w:t>
      </w:r>
      <w:r w:rsidRPr="00E46894">
        <w:rPr>
          <w:rFonts w:eastAsia="Times New Roman"/>
          <w:sz w:val="22"/>
          <w:szCs w:val="22"/>
          <w:lang w:eastAsia="en-AU"/>
        </w:rPr>
        <w:t>.</w:t>
      </w:r>
    </w:p>
    <w:p w14:paraId="585B006B" w14:textId="4D7DA9C7" w:rsidR="001E51F5" w:rsidRPr="00E46894" w:rsidRDefault="001E51F5" w:rsidP="000C22F7">
      <w:pPr>
        <w:spacing w:after="0" w:line="240" w:lineRule="auto"/>
        <w:contextualSpacing/>
        <w:rPr>
          <w:rFonts w:eastAsia="Times New Roman"/>
          <w:sz w:val="22"/>
          <w:szCs w:val="22"/>
          <w:lang w:eastAsia="en-AU"/>
        </w:rPr>
      </w:pPr>
      <w:r w:rsidRPr="00E46894">
        <w:rPr>
          <w:rFonts w:eastAsia="Times New Roman"/>
          <w:b/>
          <w:bCs/>
          <w:sz w:val="22"/>
          <w:szCs w:val="22"/>
          <w:lang w:eastAsia="en-AU"/>
        </w:rPr>
        <w:br w:type="page"/>
      </w:r>
    </w:p>
    <w:p w14:paraId="362BDF0A" w14:textId="77777777" w:rsidR="001E51F5" w:rsidRPr="00E46894" w:rsidRDefault="001E51F5" w:rsidP="000C22F7">
      <w:pPr>
        <w:spacing w:after="0" w:line="240" w:lineRule="auto"/>
        <w:contextualSpacing/>
        <w:jc w:val="right"/>
        <w:rPr>
          <w:rFonts w:eastAsia="Times New Roman"/>
          <w:b/>
          <w:bCs/>
          <w:sz w:val="22"/>
          <w:szCs w:val="22"/>
          <w:lang w:eastAsia="en-AU"/>
        </w:rPr>
      </w:pPr>
      <w:r w:rsidRPr="00E46894">
        <w:rPr>
          <w:rFonts w:eastAsia="Times New Roman"/>
          <w:b/>
          <w:bCs/>
          <w:sz w:val="22"/>
          <w:szCs w:val="22"/>
          <w:lang w:eastAsia="en-AU"/>
        </w:rPr>
        <w:lastRenderedPageBreak/>
        <w:t>Attachment A</w:t>
      </w:r>
    </w:p>
    <w:p w14:paraId="429C6F71" w14:textId="77777777" w:rsidR="00D40B4E" w:rsidRPr="00E46894" w:rsidRDefault="00D40B4E" w:rsidP="000C22F7">
      <w:pPr>
        <w:spacing w:after="0" w:line="240" w:lineRule="auto"/>
        <w:contextualSpacing/>
        <w:rPr>
          <w:rFonts w:eastAsia="Times New Roman"/>
          <w:sz w:val="22"/>
          <w:szCs w:val="22"/>
          <w:lang w:eastAsia="en-AU"/>
        </w:rPr>
      </w:pPr>
    </w:p>
    <w:p w14:paraId="6AD7D9ED" w14:textId="39606213" w:rsidR="00EC3C67" w:rsidRPr="00E46894" w:rsidRDefault="001E51F5" w:rsidP="000C22F7">
      <w:pPr>
        <w:spacing w:after="0" w:line="240" w:lineRule="auto"/>
        <w:contextualSpacing/>
        <w:rPr>
          <w:rFonts w:eastAsia="Times New Roman"/>
          <w:b/>
          <w:bCs/>
          <w:i/>
          <w:sz w:val="22"/>
          <w:szCs w:val="22"/>
          <w:lang w:eastAsia="en-AU"/>
        </w:rPr>
      </w:pPr>
      <w:r w:rsidRPr="00E46894">
        <w:rPr>
          <w:rFonts w:eastAsia="Times New Roman"/>
          <w:b/>
          <w:bCs/>
          <w:sz w:val="22"/>
          <w:szCs w:val="22"/>
          <w:lang w:eastAsia="en-AU"/>
        </w:rPr>
        <w:t xml:space="preserve">Details of the </w:t>
      </w:r>
      <w:r w:rsidR="00EC3C67" w:rsidRPr="00E46894">
        <w:rPr>
          <w:rFonts w:eastAsia="Times New Roman"/>
          <w:b/>
          <w:bCs/>
          <w:i/>
          <w:sz w:val="22"/>
          <w:szCs w:val="22"/>
          <w:lang w:eastAsia="en-AU"/>
        </w:rPr>
        <w:t>Therapeutic Goods (Medicines—Authorised Supply) Amendment (Vaping) Rules 2023</w:t>
      </w:r>
    </w:p>
    <w:p w14:paraId="7A7CE242" w14:textId="77777777" w:rsidR="00D40B4E" w:rsidRPr="00E46894" w:rsidRDefault="00D40B4E" w:rsidP="000C22F7">
      <w:pPr>
        <w:spacing w:after="0" w:line="240" w:lineRule="auto"/>
        <w:contextualSpacing/>
        <w:rPr>
          <w:rFonts w:eastAsia="Times New Roman"/>
          <w:sz w:val="22"/>
          <w:szCs w:val="22"/>
          <w:lang w:eastAsia="en-AU"/>
        </w:rPr>
      </w:pPr>
    </w:p>
    <w:p w14:paraId="7F566633" w14:textId="066C0EB5" w:rsidR="001E51F5" w:rsidRPr="00E46894" w:rsidRDefault="001E51F5" w:rsidP="00BB7279">
      <w:pPr>
        <w:keepNext/>
        <w:spacing w:after="0" w:line="240" w:lineRule="auto"/>
        <w:contextualSpacing/>
        <w:rPr>
          <w:rFonts w:eastAsia="Times New Roman"/>
          <w:b/>
          <w:bCs/>
          <w:sz w:val="22"/>
          <w:szCs w:val="22"/>
          <w:lang w:eastAsia="en-AU"/>
        </w:rPr>
      </w:pPr>
      <w:r w:rsidRPr="00E46894">
        <w:rPr>
          <w:rFonts w:eastAsia="Times New Roman"/>
          <w:b/>
          <w:bCs/>
          <w:sz w:val="22"/>
          <w:szCs w:val="22"/>
          <w:lang w:eastAsia="en-AU"/>
        </w:rPr>
        <w:t>Section 1 – Name</w:t>
      </w:r>
    </w:p>
    <w:p w14:paraId="5488C371" w14:textId="77777777" w:rsidR="00D40B4E" w:rsidRPr="00E46894" w:rsidRDefault="00D40B4E" w:rsidP="00BB7279">
      <w:pPr>
        <w:keepNext/>
        <w:spacing w:after="0" w:line="240" w:lineRule="auto"/>
        <w:contextualSpacing/>
        <w:rPr>
          <w:rFonts w:eastAsia="Times New Roman"/>
          <w:sz w:val="22"/>
          <w:szCs w:val="22"/>
          <w:lang w:eastAsia="en-AU"/>
        </w:rPr>
      </w:pPr>
    </w:p>
    <w:p w14:paraId="5FEB0444" w14:textId="13C66F70" w:rsidR="001E51F5" w:rsidRPr="00E46894" w:rsidRDefault="001E51F5" w:rsidP="00BB7279">
      <w:pPr>
        <w:keepNext/>
        <w:spacing w:after="0" w:line="240" w:lineRule="auto"/>
        <w:contextualSpacing/>
        <w:rPr>
          <w:rFonts w:eastAsia="Times New Roman"/>
          <w:sz w:val="22"/>
          <w:szCs w:val="22"/>
          <w:lang w:eastAsia="en-AU"/>
        </w:rPr>
      </w:pPr>
      <w:r w:rsidRPr="00E46894">
        <w:rPr>
          <w:rFonts w:eastAsia="Times New Roman"/>
          <w:sz w:val="22"/>
          <w:szCs w:val="22"/>
          <w:lang w:eastAsia="en-AU"/>
        </w:rPr>
        <w:t xml:space="preserve">This section provides that the name of the instrument is the </w:t>
      </w:r>
      <w:r w:rsidR="00EC3C67" w:rsidRPr="00E46894">
        <w:rPr>
          <w:rFonts w:eastAsia="Times New Roman"/>
          <w:i/>
          <w:sz w:val="22"/>
          <w:szCs w:val="22"/>
          <w:lang w:eastAsia="en-AU"/>
        </w:rPr>
        <w:t>Therapeutic Goods (Medicines—Authorised Supply) Amendment (Vaping) Rules 2023</w:t>
      </w:r>
      <w:r w:rsidR="00171742" w:rsidRPr="00E46894">
        <w:rPr>
          <w:rFonts w:eastAsia="Times New Roman"/>
          <w:sz w:val="22"/>
          <w:szCs w:val="22"/>
          <w:lang w:eastAsia="en-AU"/>
        </w:rPr>
        <w:t xml:space="preserve"> </w:t>
      </w:r>
      <w:r w:rsidRPr="00E46894">
        <w:rPr>
          <w:rFonts w:eastAsia="Times New Roman"/>
          <w:sz w:val="22"/>
          <w:szCs w:val="22"/>
          <w:lang w:eastAsia="en-AU"/>
        </w:rPr>
        <w:t xml:space="preserve">(“the Amendment </w:t>
      </w:r>
      <w:r w:rsidR="00EC3C67" w:rsidRPr="00E46894">
        <w:rPr>
          <w:rFonts w:eastAsia="Times New Roman"/>
          <w:sz w:val="22"/>
          <w:szCs w:val="22"/>
          <w:lang w:eastAsia="en-AU"/>
        </w:rPr>
        <w:t>Rule</w:t>
      </w:r>
      <w:r w:rsidR="00171742" w:rsidRPr="00E46894">
        <w:rPr>
          <w:rFonts w:eastAsia="Times New Roman"/>
          <w:sz w:val="22"/>
          <w:szCs w:val="22"/>
          <w:lang w:eastAsia="en-AU"/>
        </w:rPr>
        <w:t>s</w:t>
      </w:r>
      <w:r w:rsidRPr="00E46894">
        <w:rPr>
          <w:rFonts w:eastAsia="Times New Roman"/>
          <w:sz w:val="22"/>
          <w:szCs w:val="22"/>
          <w:lang w:eastAsia="en-AU"/>
        </w:rPr>
        <w:t>”).</w:t>
      </w:r>
    </w:p>
    <w:p w14:paraId="34DDA171" w14:textId="77777777" w:rsidR="00D40B4E" w:rsidRPr="00E46894" w:rsidRDefault="00D40B4E" w:rsidP="000C22F7">
      <w:pPr>
        <w:spacing w:after="0" w:line="240" w:lineRule="auto"/>
        <w:contextualSpacing/>
        <w:rPr>
          <w:rFonts w:eastAsia="Times New Roman"/>
          <w:sz w:val="22"/>
          <w:szCs w:val="22"/>
          <w:lang w:eastAsia="en-AU"/>
        </w:rPr>
      </w:pPr>
    </w:p>
    <w:p w14:paraId="2D4AF717" w14:textId="1DBE9EC5" w:rsidR="001E51F5" w:rsidRPr="00E46894" w:rsidRDefault="001E51F5" w:rsidP="00BB7279">
      <w:pPr>
        <w:keepNext/>
        <w:spacing w:after="0" w:line="240" w:lineRule="auto"/>
        <w:contextualSpacing/>
        <w:rPr>
          <w:rFonts w:eastAsia="Times New Roman"/>
          <w:b/>
          <w:bCs/>
          <w:sz w:val="22"/>
          <w:szCs w:val="22"/>
          <w:lang w:eastAsia="en-AU"/>
        </w:rPr>
      </w:pPr>
      <w:r w:rsidRPr="00E46894">
        <w:rPr>
          <w:rFonts w:eastAsia="Times New Roman"/>
          <w:b/>
          <w:bCs/>
          <w:sz w:val="22"/>
          <w:szCs w:val="22"/>
          <w:lang w:eastAsia="en-AU"/>
        </w:rPr>
        <w:t>Section 2 – Commencement</w:t>
      </w:r>
    </w:p>
    <w:p w14:paraId="1F43C804" w14:textId="77777777" w:rsidR="00D40B4E" w:rsidRPr="00E46894" w:rsidRDefault="00D40B4E" w:rsidP="00BB7279">
      <w:pPr>
        <w:keepNext/>
        <w:spacing w:after="0" w:line="240" w:lineRule="auto"/>
        <w:contextualSpacing/>
        <w:rPr>
          <w:rFonts w:eastAsia="Times New Roman"/>
          <w:bCs/>
          <w:sz w:val="22"/>
          <w:szCs w:val="22"/>
          <w:lang w:eastAsia="en-AU"/>
        </w:rPr>
      </w:pPr>
    </w:p>
    <w:p w14:paraId="097F5D5F" w14:textId="10A8484F" w:rsidR="001E51F5" w:rsidRPr="00E46894" w:rsidRDefault="001E51F5" w:rsidP="00BB7279">
      <w:pPr>
        <w:keepNext/>
        <w:spacing w:after="0" w:line="240" w:lineRule="auto"/>
        <w:contextualSpacing/>
        <w:rPr>
          <w:rFonts w:eastAsia="Times New Roman"/>
          <w:bCs/>
          <w:sz w:val="22"/>
          <w:szCs w:val="22"/>
          <w:lang w:eastAsia="en-AU"/>
        </w:rPr>
      </w:pPr>
      <w:r w:rsidRPr="00E46894">
        <w:rPr>
          <w:rFonts w:eastAsia="Times New Roman"/>
          <w:bCs/>
          <w:sz w:val="22"/>
          <w:szCs w:val="22"/>
          <w:lang w:eastAsia="en-AU"/>
        </w:rPr>
        <w:t xml:space="preserve">This section provides that the Amendment </w:t>
      </w:r>
      <w:r w:rsidR="005753F9" w:rsidRPr="00E46894">
        <w:rPr>
          <w:rFonts w:eastAsia="Times New Roman"/>
          <w:bCs/>
          <w:sz w:val="22"/>
          <w:szCs w:val="22"/>
          <w:lang w:eastAsia="en-AU"/>
        </w:rPr>
        <w:t>Rule</w:t>
      </w:r>
      <w:r w:rsidR="002D7C08" w:rsidRPr="00E46894">
        <w:rPr>
          <w:rFonts w:eastAsia="Times New Roman"/>
          <w:bCs/>
          <w:sz w:val="22"/>
          <w:szCs w:val="22"/>
          <w:lang w:eastAsia="en-AU"/>
        </w:rPr>
        <w:t>s</w:t>
      </w:r>
      <w:r w:rsidRPr="00E46894">
        <w:rPr>
          <w:rFonts w:eastAsia="Times New Roman"/>
          <w:bCs/>
          <w:sz w:val="22"/>
          <w:szCs w:val="22"/>
          <w:lang w:eastAsia="en-AU"/>
        </w:rPr>
        <w:t xml:space="preserve"> commence </w:t>
      </w:r>
      <w:r w:rsidR="00486D43" w:rsidRPr="00E46894">
        <w:rPr>
          <w:rFonts w:eastAsia="Times New Roman"/>
          <w:bCs/>
          <w:sz w:val="22"/>
          <w:szCs w:val="22"/>
          <w:lang w:eastAsia="en-AU"/>
        </w:rPr>
        <w:t>at the same time as</w:t>
      </w:r>
      <w:r w:rsidR="00171742" w:rsidRPr="00E46894">
        <w:rPr>
          <w:rFonts w:eastAsia="Times New Roman"/>
          <w:bCs/>
          <w:sz w:val="22"/>
          <w:szCs w:val="22"/>
          <w:lang w:eastAsia="en-AU"/>
        </w:rPr>
        <w:t xml:space="preserve"> the commencement of the </w:t>
      </w:r>
      <w:r w:rsidR="00171742" w:rsidRPr="00E46894">
        <w:rPr>
          <w:rFonts w:eastAsia="Times New Roman"/>
          <w:bCs/>
          <w:i/>
          <w:iCs/>
          <w:sz w:val="22"/>
          <w:szCs w:val="22"/>
          <w:lang w:eastAsia="en-AU"/>
        </w:rPr>
        <w:t xml:space="preserve">Therapeutic Goods Amendment (Vaping) Regulations 2023 </w:t>
      </w:r>
      <w:r w:rsidR="00171742" w:rsidRPr="00E46894">
        <w:rPr>
          <w:rFonts w:eastAsia="Times New Roman"/>
          <w:bCs/>
          <w:sz w:val="22"/>
          <w:szCs w:val="22"/>
          <w:lang w:eastAsia="en-AU"/>
        </w:rPr>
        <w:t xml:space="preserve">(“the Amendment Regulations”). However, the Amendment Rules do not commence at all if the Amendment Regulations </w:t>
      </w:r>
      <w:r w:rsidR="00486D43" w:rsidRPr="00E46894">
        <w:rPr>
          <w:rFonts w:eastAsia="Times New Roman"/>
          <w:bCs/>
          <w:sz w:val="22"/>
          <w:szCs w:val="22"/>
          <w:lang w:eastAsia="en-AU"/>
        </w:rPr>
        <w:t>do</w:t>
      </w:r>
      <w:r w:rsidR="00171742" w:rsidRPr="00E46894">
        <w:rPr>
          <w:rFonts w:eastAsia="Times New Roman"/>
          <w:bCs/>
          <w:sz w:val="22"/>
          <w:szCs w:val="22"/>
          <w:lang w:eastAsia="en-AU"/>
        </w:rPr>
        <w:t xml:space="preserve"> not commence.</w:t>
      </w:r>
    </w:p>
    <w:p w14:paraId="373B7F7D" w14:textId="77777777" w:rsidR="00D40B4E" w:rsidRPr="00E46894" w:rsidRDefault="00D40B4E" w:rsidP="000C22F7">
      <w:pPr>
        <w:spacing w:after="0" w:line="240" w:lineRule="auto"/>
        <w:contextualSpacing/>
        <w:rPr>
          <w:rFonts w:eastAsia="Times New Roman"/>
          <w:sz w:val="22"/>
          <w:szCs w:val="22"/>
          <w:lang w:eastAsia="en-AU"/>
        </w:rPr>
      </w:pPr>
    </w:p>
    <w:p w14:paraId="5138C970" w14:textId="065CF54F" w:rsidR="001E51F5" w:rsidRPr="00E46894" w:rsidRDefault="001E51F5" w:rsidP="00BB7279">
      <w:pPr>
        <w:keepNext/>
        <w:spacing w:after="0" w:line="240" w:lineRule="auto"/>
        <w:contextualSpacing/>
        <w:rPr>
          <w:rFonts w:eastAsia="Times New Roman"/>
          <w:b/>
          <w:bCs/>
          <w:sz w:val="22"/>
          <w:szCs w:val="22"/>
          <w:lang w:eastAsia="en-AU"/>
        </w:rPr>
      </w:pPr>
      <w:r w:rsidRPr="00E46894">
        <w:rPr>
          <w:rFonts w:eastAsia="Times New Roman"/>
          <w:b/>
          <w:bCs/>
          <w:sz w:val="22"/>
          <w:szCs w:val="22"/>
          <w:lang w:eastAsia="en-AU"/>
        </w:rPr>
        <w:t>Section 3 – Authority</w:t>
      </w:r>
    </w:p>
    <w:p w14:paraId="2DFF8544" w14:textId="77777777" w:rsidR="00D40B4E" w:rsidRPr="00E46894" w:rsidRDefault="00D40B4E" w:rsidP="00BB7279">
      <w:pPr>
        <w:keepNext/>
        <w:spacing w:after="0" w:line="240" w:lineRule="auto"/>
        <w:contextualSpacing/>
        <w:rPr>
          <w:rFonts w:eastAsia="Times New Roman"/>
          <w:bCs/>
          <w:sz w:val="22"/>
          <w:szCs w:val="22"/>
          <w:lang w:eastAsia="en-AU"/>
        </w:rPr>
      </w:pPr>
    </w:p>
    <w:p w14:paraId="04C06E26" w14:textId="43DC01F7" w:rsidR="001E51F5" w:rsidRPr="00E46894" w:rsidRDefault="001E51F5" w:rsidP="00BB7279">
      <w:pPr>
        <w:keepNext/>
        <w:spacing w:after="0" w:line="240" w:lineRule="auto"/>
        <w:contextualSpacing/>
        <w:rPr>
          <w:rFonts w:eastAsia="Times New Roman"/>
          <w:bCs/>
          <w:i/>
          <w:sz w:val="22"/>
          <w:szCs w:val="22"/>
          <w:lang w:eastAsia="en-AU"/>
        </w:rPr>
      </w:pPr>
      <w:r w:rsidRPr="00E46894">
        <w:rPr>
          <w:rFonts w:eastAsia="Times New Roman"/>
          <w:bCs/>
          <w:sz w:val="22"/>
          <w:szCs w:val="22"/>
          <w:lang w:eastAsia="en-AU"/>
        </w:rPr>
        <w:t xml:space="preserve">This section provides that the legislative authority for making the Amendment </w:t>
      </w:r>
      <w:r w:rsidR="005753F9" w:rsidRPr="00E46894">
        <w:rPr>
          <w:rFonts w:eastAsia="Times New Roman"/>
          <w:bCs/>
          <w:sz w:val="22"/>
          <w:szCs w:val="22"/>
          <w:lang w:eastAsia="en-AU"/>
        </w:rPr>
        <w:t>Rule</w:t>
      </w:r>
      <w:r w:rsidR="00171742" w:rsidRPr="00E46894">
        <w:rPr>
          <w:rFonts w:eastAsia="Times New Roman"/>
          <w:bCs/>
          <w:sz w:val="22"/>
          <w:szCs w:val="22"/>
          <w:lang w:eastAsia="en-AU"/>
        </w:rPr>
        <w:t>s</w:t>
      </w:r>
      <w:r w:rsidRPr="00E46894">
        <w:rPr>
          <w:rFonts w:eastAsia="Times New Roman"/>
          <w:bCs/>
          <w:sz w:val="22"/>
          <w:szCs w:val="22"/>
          <w:lang w:eastAsia="en-AU"/>
        </w:rPr>
        <w:t xml:space="preserve"> is s</w:t>
      </w:r>
      <w:r w:rsidR="00EC3C67" w:rsidRPr="00E46894">
        <w:rPr>
          <w:rFonts w:eastAsia="Times New Roman"/>
          <w:bCs/>
          <w:sz w:val="22"/>
          <w:szCs w:val="22"/>
          <w:lang w:eastAsia="en-AU"/>
        </w:rPr>
        <w:t>ubs</w:t>
      </w:r>
      <w:r w:rsidRPr="00E46894">
        <w:rPr>
          <w:rFonts w:eastAsia="Times New Roman"/>
          <w:bCs/>
          <w:sz w:val="22"/>
          <w:szCs w:val="22"/>
          <w:lang w:eastAsia="en-AU"/>
        </w:rPr>
        <w:t>ection</w:t>
      </w:r>
      <w:r w:rsidR="00DA42A9" w:rsidRPr="00E46894">
        <w:rPr>
          <w:rFonts w:eastAsia="Times New Roman"/>
          <w:bCs/>
          <w:sz w:val="22"/>
          <w:szCs w:val="22"/>
          <w:lang w:eastAsia="en-AU"/>
        </w:rPr>
        <w:t>s</w:t>
      </w:r>
      <w:r w:rsidRPr="00E46894">
        <w:rPr>
          <w:rFonts w:eastAsia="Times New Roman"/>
          <w:bCs/>
          <w:sz w:val="22"/>
          <w:szCs w:val="22"/>
          <w:lang w:eastAsia="en-AU"/>
        </w:rPr>
        <w:t xml:space="preserve"> </w:t>
      </w:r>
      <w:r w:rsidR="00EC3C67" w:rsidRPr="00E46894">
        <w:rPr>
          <w:rFonts w:eastAsia="Times New Roman"/>
          <w:bCs/>
          <w:sz w:val="22"/>
          <w:szCs w:val="22"/>
          <w:lang w:eastAsia="en-AU"/>
        </w:rPr>
        <w:t>19(7A)</w:t>
      </w:r>
      <w:r w:rsidR="00DA42A9" w:rsidRPr="00E46894">
        <w:rPr>
          <w:rFonts w:eastAsia="Times New Roman"/>
          <w:bCs/>
          <w:sz w:val="22"/>
          <w:szCs w:val="22"/>
          <w:lang w:eastAsia="en-AU"/>
        </w:rPr>
        <w:t>, 32CM(7A) and 41</w:t>
      </w:r>
      <w:proofErr w:type="gramStart"/>
      <w:r w:rsidR="00DA42A9" w:rsidRPr="00E46894">
        <w:rPr>
          <w:rFonts w:eastAsia="Times New Roman"/>
          <w:bCs/>
          <w:sz w:val="22"/>
          <w:szCs w:val="22"/>
          <w:lang w:eastAsia="en-AU"/>
        </w:rPr>
        <w:t>HC(</w:t>
      </w:r>
      <w:proofErr w:type="gramEnd"/>
      <w:r w:rsidR="00DA42A9" w:rsidRPr="00E46894">
        <w:rPr>
          <w:rFonts w:eastAsia="Times New Roman"/>
          <w:bCs/>
          <w:sz w:val="22"/>
          <w:szCs w:val="22"/>
          <w:lang w:eastAsia="en-AU"/>
        </w:rPr>
        <w:t>6)</w:t>
      </w:r>
      <w:r w:rsidRPr="00E46894">
        <w:rPr>
          <w:rFonts w:eastAsia="Times New Roman"/>
          <w:bCs/>
          <w:sz w:val="22"/>
          <w:szCs w:val="22"/>
          <w:lang w:eastAsia="en-AU"/>
        </w:rPr>
        <w:t xml:space="preserve"> of the </w:t>
      </w:r>
      <w:r w:rsidRPr="00E46894">
        <w:rPr>
          <w:rFonts w:eastAsia="Times New Roman"/>
          <w:bCs/>
          <w:i/>
          <w:sz w:val="22"/>
          <w:szCs w:val="22"/>
          <w:lang w:eastAsia="en-AU"/>
        </w:rPr>
        <w:t xml:space="preserve">Therapeutic Goods Act 1989 </w:t>
      </w:r>
      <w:r w:rsidRPr="00E46894">
        <w:rPr>
          <w:rFonts w:eastAsia="Times New Roman"/>
          <w:bCs/>
          <w:sz w:val="22"/>
          <w:szCs w:val="22"/>
          <w:lang w:eastAsia="en-AU"/>
        </w:rPr>
        <w:t>(“the Act”)</w:t>
      </w:r>
      <w:r w:rsidRPr="00E46894">
        <w:rPr>
          <w:rFonts w:eastAsia="Times New Roman"/>
          <w:bCs/>
          <w:i/>
          <w:sz w:val="22"/>
          <w:szCs w:val="22"/>
          <w:lang w:eastAsia="en-AU"/>
        </w:rPr>
        <w:t>.</w:t>
      </w:r>
    </w:p>
    <w:p w14:paraId="570CD760" w14:textId="77777777" w:rsidR="00D40B4E" w:rsidRPr="00E46894" w:rsidRDefault="00D40B4E" w:rsidP="000C22F7">
      <w:pPr>
        <w:spacing w:after="0" w:line="240" w:lineRule="auto"/>
        <w:contextualSpacing/>
        <w:rPr>
          <w:rFonts w:eastAsia="Times New Roman"/>
          <w:bCs/>
          <w:sz w:val="22"/>
          <w:szCs w:val="22"/>
          <w:lang w:eastAsia="en-AU"/>
        </w:rPr>
      </w:pPr>
    </w:p>
    <w:p w14:paraId="0A4A283F" w14:textId="51BF5557" w:rsidR="001E51F5" w:rsidRPr="00E46894" w:rsidRDefault="001E51F5" w:rsidP="000C22F7">
      <w:pPr>
        <w:spacing w:after="0" w:line="240" w:lineRule="auto"/>
        <w:contextualSpacing/>
        <w:rPr>
          <w:rFonts w:eastAsia="Times New Roman"/>
          <w:bCs/>
          <w:sz w:val="22"/>
          <w:szCs w:val="22"/>
          <w:lang w:eastAsia="en-AU"/>
        </w:rPr>
      </w:pPr>
      <w:r w:rsidRPr="00E46894">
        <w:rPr>
          <w:rFonts w:eastAsia="Times New Roman"/>
          <w:bCs/>
          <w:sz w:val="22"/>
          <w:szCs w:val="22"/>
          <w:lang w:eastAsia="en-AU"/>
        </w:rPr>
        <w:t xml:space="preserve">Subsection 33(3) of the </w:t>
      </w:r>
      <w:r w:rsidRPr="00E46894">
        <w:rPr>
          <w:rFonts w:eastAsia="Times New Roman"/>
          <w:bCs/>
          <w:i/>
          <w:sz w:val="22"/>
          <w:szCs w:val="22"/>
          <w:lang w:eastAsia="en-AU"/>
        </w:rPr>
        <w:t>Acts Interpretation Act 1901</w:t>
      </w:r>
      <w:r w:rsidRPr="00E46894">
        <w:rPr>
          <w:rFonts w:eastAsia="Times New Roman"/>
          <w:b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w:t>
      </w:r>
      <w:r w:rsidR="00171742" w:rsidRPr="00E46894">
        <w:rPr>
          <w:rFonts w:eastAsia="Times New Roman"/>
          <w:bCs/>
          <w:sz w:val="22"/>
          <w:szCs w:val="22"/>
          <w:lang w:eastAsia="en-AU"/>
        </w:rPr>
        <w:t xml:space="preserve">The Amendment Rules </w:t>
      </w:r>
      <w:r w:rsidR="00415E36" w:rsidRPr="00E46894">
        <w:rPr>
          <w:rFonts w:eastAsia="Times New Roman"/>
          <w:bCs/>
          <w:sz w:val="22"/>
          <w:szCs w:val="22"/>
          <w:lang w:eastAsia="en-AU"/>
        </w:rPr>
        <w:t>are</w:t>
      </w:r>
      <w:r w:rsidRPr="00E46894">
        <w:rPr>
          <w:rFonts w:eastAsia="Times New Roman"/>
          <w:bCs/>
          <w:sz w:val="22"/>
          <w:szCs w:val="22"/>
          <w:lang w:eastAsia="en-AU"/>
        </w:rPr>
        <w:t xml:space="preserve"> made in accordance with that provision.</w:t>
      </w:r>
    </w:p>
    <w:p w14:paraId="3AAE05B3" w14:textId="77777777" w:rsidR="00D40B4E" w:rsidRPr="00E46894" w:rsidRDefault="00D40B4E" w:rsidP="000C22F7">
      <w:pPr>
        <w:spacing w:after="0" w:line="240" w:lineRule="auto"/>
        <w:contextualSpacing/>
        <w:rPr>
          <w:rFonts w:eastAsia="Times New Roman"/>
          <w:sz w:val="22"/>
          <w:szCs w:val="22"/>
          <w:lang w:eastAsia="en-AU"/>
        </w:rPr>
      </w:pPr>
    </w:p>
    <w:p w14:paraId="6653880F" w14:textId="22AF5073" w:rsidR="001E51F5" w:rsidRPr="00E46894" w:rsidRDefault="001E51F5" w:rsidP="00BB7279">
      <w:pPr>
        <w:keepNext/>
        <w:spacing w:after="0" w:line="240" w:lineRule="auto"/>
        <w:contextualSpacing/>
        <w:rPr>
          <w:rFonts w:eastAsia="Times New Roman"/>
          <w:b/>
          <w:bCs/>
          <w:sz w:val="22"/>
          <w:szCs w:val="22"/>
          <w:lang w:eastAsia="en-AU"/>
        </w:rPr>
      </w:pPr>
      <w:r w:rsidRPr="00E46894">
        <w:rPr>
          <w:rFonts w:eastAsia="Times New Roman"/>
          <w:b/>
          <w:bCs/>
          <w:sz w:val="22"/>
          <w:szCs w:val="22"/>
          <w:lang w:eastAsia="en-AU"/>
        </w:rPr>
        <w:t>Section 4 – Schedules</w:t>
      </w:r>
    </w:p>
    <w:p w14:paraId="200B8682" w14:textId="77777777" w:rsidR="00D40B4E" w:rsidRPr="00E46894" w:rsidRDefault="00D40B4E" w:rsidP="00BB7279">
      <w:pPr>
        <w:keepNext/>
        <w:spacing w:after="0" w:line="240" w:lineRule="auto"/>
        <w:contextualSpacing/>
        <w:rPr>
          <w:rFonts w:eastAsia="Times New Roman"/>
          <w:bCs/>
          <w:sz w:val="22"/>
          <w:szCs w:val="22"/>
          <w:lang w:eastAsia="en-AU"/>
        </w:rPr>
      </w:pPr>
    </w:p>
    <w:p w14:paraId="2CDC90CB" w14:textId="3A540700" w:rsidR="001E51F5" w:rsidRPr="00E46894" w:rsidRDefault="001E51F5" w:rsidP="00BB7279">
      <w:pPr>
        <w:keepNext/>
        <w:spacing w:after="0" w:line="240" w:lineRule="auto"/>
        <w:contextualSpacing/>
        <w:rPr>
          <w:rFonts w:eastAsia="Times New Roman"/>
          <w:bCs/>
          <w:sz w:val="22"/>
          <w:szCs w:val="22"/>
          <w:lang w:eastAsia="en-AU"/>
        </w:rPr>
      </w:pPr>
      <w:r w:rsidRPr="00E46894">
        <w:rPr>
          <w:rFonts w:eastAsia="Times New Roman"/>
          <w:bCs/>
          <w:sz w:val="22"/>
          <w:szCs w:val="22"/>
          <w:lang w:eastAsia="en-AU"/>
        </w:rPr>
        <w:t xml:space="preserve">This section provides that each instrument that is specified in a Schedule to the Amendment </w:t>
      </w:r>
      <w:r w:rsidR="001B6C2C" w:rsidRPr="00E46894">
        <w:rPr>
          <w:rFonts w:eastAsia="Times New Roman"/>
          <w:bCs/>
          <w:sz w:val="22"/>
          <w:szCs w:val="22"/>
          <w:lang w:eastAsia="en-AU"/>
        </w:rPr>
        <w:t>Rule</w:t>
      </w:r>
      <w:r w:rsidR="002D7C08" w:rsidRPr="00E46894">
        <w:rPr>
          <w:rFonts w:eastAsia="Times New Roman"/>
          <w:bCs/>
          <w:sz w:val="22"/>
          <w:szCs w:val="22"/>
          <w:lang w:eastAsia="en-AU"/>
        </w:rPr>
        <w:t>s</w:t>
      </w:r>
      <w:r w:rsidRPr="00E46894">
        <w:rPr>
          <w:rFonts w:eastAsia="Times New Roman"/>
          <w:bCs/>
          <w:sz w:val="22"/>
          <w:szCs w:val="22"/>
          <w:lang w:eastAsia="en-AU"/>
        </w:rPr>
        <w:t xml:space="preserve"> is amended as set out in the applicable items in the Schedule concerned, and that any other item in a Schedule to the Amendment </w:t>
      </w:r>
      <w:r w:rsidR="005753F9" w:rsidRPr="00E46894">
        <w:rPr>
          <w:rFonts w:eastAsia="Times New Roman"/>
          <w:bCs/>
          <w:sz w:val="22"/>
          <w:szCs w:val="22"/>
          <w:lang w:eastAsia="en-AU"/>
        </w:rPr>
        <w:t>Rule</w:t>
      </w:r>
      <w:r w:rsidR="002D7C08" w:rsidRPr="00E46894">
        <w:rPr>
          <w:rFonts w:eastAsia="Times New Roman"/>
          <w:bCs/>
          <w:sz w:val="22"/>
          <w:szCs w:val="22"/>
          <w:lang w:eastAsia="en-AU"/>
        </w:rPr>
        <w:t>s</w:t>
      </w:r>
      <w:r w:rsidRPr="00E46894">
        <w:rPr>
          <w:rFonts w:eastAsia="Times New Roman"/>
          <w:bCs/>
          <w:sz w:val="22"/>
          <w:szCs w:val="22"/>
          <w:lang w:eastAsia="en-AU"/>
        </w:rPr>
        <w:t xml:space="preserve"> has effect according to its terms.</w:t>
      </w:r>
    </w:p>
    <w:p w14:paraId="449D5255" w14:textId="7EA4443C" w:rsidR="001E4BA6" w:rsidRPr="00E46894" w:rsidRDefault="001E4BA6" w:rsidP="000C22F7">
      <w:pPr>
        <w:spacing w:after="0" w:line="240" w:lineRule="auto"/>
        <w:contextualSpacing/>
        <w:rPr>
          <w:rFonts w:eastAsia="Times New Roman"/>
          <w:bCs/>
          <w:sz w:val="22"/>
          <w:szCs w:val="22"/>
          <w:lang w:eastAsia="en-AU"/>
        </w:rPr>
      </w:pPr>
    </w:p>
    <w:p w14:paraId="7EDAB6F1" w14:textId="2A0C3A3D" w:rsidR="001E4BA6" w:rsidRPr="00E46894" w:rsidRDefault="001E4BA6" w:rsidP="000C22F7">
      <w:pPr>
        <w:spacing w:after="0" w:line="240" w:lineRule="auto"/>
        <w:contextualSpacing/>
        <w:rPr>
          <w:rFonts w:eastAsia="Times New Roman"/>
          <w:bCs/>
          <w:sz w:val="22"/>
          <w:szCs w:val="22"/>
          <w:lang w:eastAsia="en-AU"/>
        </w:rPr>
      </w:pPr>
      <w:r w:rsidRPr="00E46894">
        <w:rPr>
          <w:rFonts w:eastAsia="Times New Roman"/>
          <w:bCs/>
          <w:sz w:val="22"/>
          <w:szCs w:val="22"/>
          <w:lang w:eastAsia="en-AU"/>
        </w:rPr>
        <w:t xml:space="preserve">The Amendment </w:t>
      </w:r>
      <w:r w:rsidR="00B76450" w:rsidRPr="00E46894">
        <w:rPr>
          <w:rFonts w:eastAsia="Times New Roman"/>
          <w:bCs/>
          <w:sz w:val="22"/>
          <w:szCs w:val="22"/>
          <w:lang w:eastAsia="en-AU"/>
        </w:rPr>
        <w:t>Rules</w:t>
      </w:r>
      <w:r w:rsidRPr="00E46894">
        <w:rPr>
          <w:rFonts w:eastAsia="Times New Roman"/>
          <w:bCs/>
          <w:sz w:val="22"/>
          <w:szCs w:val="22"/>
          <w:lang w:eastAsia="en-AU"/>
        </w:rPr>
        <w:t xml:space="preserve"> make amendments to the:</w:t>
      </w:r>
    </w:p>
    <w:p w14:paraId="0E42A28E" w14:textId="22EAC18A" w:rsidR="001E4BA6" w:rsidRPr="00E46894" w:rsidRDefault="001E4BA6" w:rsidP="000C22F7">
      <w:pPr>
        <w:pStyle w:val="ListParagraph"/>
        <w:numPr>
          <w:ilvl w:val="0"/>
          <w:numId w:val="13"/>
        </w:numPr>
        <w:spacing w:after="0" w:line="240" w:lineRule="auto"/>
        <w:rPr>
          <w:rFonts w:eastAsia="Times New Roman"/>
          <w:bCs/>
          <w:sz w:val="22"/>
          <w:szCs w:val="22"/>
          <w:lang w:eastAsia="en-AU"/>
        </w:rPr>
      </w:pPr>
      <w:r w:rsidRPr="00E46894">
        <w:rPr>
          <w:i/>
          <w:iCs/>
          <w:color w:val="000000"/>
          <w:sz w:val="22"/>
          <w:szCs w:val="22"/>
          <w:shd w:val="clear" w:color="auto" w:fill="FFFFFF"/>
        </w:rPr>
        <w:t>Therapeutic Goods (Medicines—Authorised Supply) Rules 2022</w:t>
      </w:r>
      <w:r w:rsidRPr="00E46894">
        <w:rPr>
          <w:color w:val="000000"/>
          <w:sz w:val="22"/>
          <w:szCs w:val="22"/>
          <w:shd w:val="clear" w:color="auto" w:fill="FFFFFF"/>
        </w:rPr>
        <w:t xml:space="preserve"> (“the </w:t>
      </w:r>
      <w:r w:rsidR="000329D2" w:rsidRPr="00E46894">
        <w:rPr>
          <w:color w:val="000000"/>
          <w:sz w:val="22"/>
          <w:szCs w:val="22"/>
          <w:shd w:val="clear" w:color="auto" w:fill="FFFFFF"/>
        </w:rPr>
        <w:t xml:space="preserve">Principal </w:t>
      </w:r>
      <w:r w:rsidRPr="00E46894">
        <w:rPr>
          <w:color w:val="000000"/>
          <w:sz w:val="22"/>
          <w:szCs w:val="22"/>
          <w:shd w:val="clear" w:color="auto" w:fill="FFFFFF"/>
        </w:rPr>
        <w:t>Rules”</w:t>
      </w:r>
      <w:proofErr w:type="gramStart"/>
      <w:r w:rsidRPr="00E46894">
        <w:rPr>
          <w:color w:val="000000"/>
          <w:sz w:val="22"/>
          <w:szCs w:val="22"/>
          <w:shd w:val="clear" w:color="auto" w:fill="FFFFFF"/>
        </w:rPr>
        <w:t>);</w:t>
      </w:r>
      <w:proofErr w:type="gramEnd"/>
    </w:p>
    <w:p w14:paraId="5666A364" w14:textId="35700AFE" w:rsidR="001E4BA6" w:rsidRPr="00E46894" w:rsidRDefault="001E4BA6" w:rsidP="000C22F7">
      <w:pPr>
        <w:pStyle w:val="ListParagraph"/>
        <w:numPr>
          <w:ilvl w:val="0"/>
          <w:numId w:val="13"/>
        </w:numPr>
        <w:spacing w:after="0" w:line="240" w:lineRule="auto"/>
        <w:rPr>
          <w:rFonts w:eastAsia="Times New Roman"/>
          <w:bCs/>
          <w:sz w:val="22"/>
          <w:szCs w:val="22"/>
          <w:lang w:eastAsia="en-AU"/>
        </w:rPr>
      </w:pPr>
      <w:r w:rsidRPr="00E46894">
        <w:rPr>
          <w:i/>
          <w:iCs/>
          <w:color w:val="000000"/>
          <w:sz w:val="22"/>
          <w:szCs w:val="22"/>
          <w:shd w:val="clear" w:color="auto" w:fill="FFFFFF"/>
        </w:rPr>
        <w:t>Therapeutic Goods (Biologicals—Authorised Supply) Rules 2022</w:t>
      </w:r>
      <w:r w:rsidRPr="00E46894">
        <w:rPr>
          <w:color w:val="000000"/>
          <w:sz w:val="22"/>
          <w:szCs w:val="22"/>
          <w:shd w:val="clear" w:color="auto" w:fill="FFFFFF"/>
        </w:rPr>
        <w:t xml:space="preserve"> (“the Biologicals Rules”)</w:t>
      </w:r>
      <w:r w:rsidR="00DA42A9" w:rsidRPr="00E46894">
        <w:rPr>
          <w:color w:val="000000"/>
          <w:sz w:val="22"/>
          <w:szCs w:val="22"/>
          <w:shd w:val="clear" w:color="auto" w:fill="FFFFFF"/>
        </w:rPr>
        <w:t>; and</w:t>
      </w:r>
    </w:p>
    <w:p w14:paraId="45228E75" w14:textId="77777777" w:rsidR="00DA42A9" w:rsidRPr="00E46894" w:rsidRDefault="00DA42A9" w:rsidP="000C22F7">
      <w:pPr>
        <w:pStyle w:val="ListParagraph"/>
        <w:numPr>
          <w:ilvl w:val="0"/>
          <w:numId w:val="13"/>
        </w:numPr>
        <w:spacing w:after="0" w:line="240" w:lineRule="auto"/>
        <w:rPr>
          <w:rFonts w:eastAsia="Times New Roman"/>
          <w:bCs/>
          <w:sz w:val="22"/>
          <w:szCs w:val="22"/>
          <w:lang w:eastAsia="en-AU"/>
        </w:rPr>
      </w:pPr>
      <w:r w:rsidRPr="00E46894">
        <w:rPr>
          <w:i/>
          <w:iCs/>
          <w:color w:val="000000"/>
          <w:sz w:val="22"/>
          <w:szCs w:val="22"/>
          <w:shd w:val="clear" w:color="auto" w:fill="FFFFFF"/>
        </w:rPr>
        <w:t>Therapeutic Goods (Medical Devices—Authorised Supply) Rules 2022</w:t>
      </w:r>
      <w:r w:rsidRPr="00E46894">
        <w:rPr>
          <w:color w:val="000000"/>
          <w:sz w:val="22"/>
          <w:szCs w:val="22"/>
          <w:shd w:val="clear" w:color="auto" w:fill="FFFFFF"/>
        </w:rPr>
        <w:t xml:space="preserve"> (“the Medical Devices Rules”).</w:t>
      </w:r>
    </w:p>
    <w:p w14:paraId="64BD337F" w14:textId="77777777" w:rsidR="00D40B4E" w:rsidRPr="00E46894" w:rsidRDefault="00D40B4E" w:rsidP="000C22F7">
      <w:pPr>
        <w:spacing w:after="0" w:line="240" w:lineRule="auto"/>
        <w:contextualSpacing/>
        <w:rPr>
          <w:rFonts w:eastAsia="Times New Roman"/>
          <w:sz w:val="22"/>
          <w:szCs w:val="22"/>
          <w:lang w:eastAsia="en-AU"/>
        </w:rPr>
      </w:pPr>
    </w:p>
    <w:p w14:paraId="60C264C6" w14:textId="7533F14E" w:rsidR="001E51F5" w:rsidRPr="00E46894" w:rsidRDefault="001E51F5" w:rsidP="00BB7279">
      <w:pPr>
        <w:keepNext/>
        <w:spacing w:after="0" w:line="240" w:lineRule="auto"/>
        <w:contextualSpacing/>
        <w:rPr>
          <w:rFonts w:eastAsia="Times New Roman"/>
          <w:b/>
          <w:bCs/>
          <w:sz w:val="22"/>
          <w:szCs w:val="22"/>
          <w:lang w:eastAsia="en-AU"/>
        </w:rPr>
      </w:pPr>
      <w:r w:rsidRPr="00E46894">
        <w:rPr>
          <w:rFonts w:eastAsia="Times New Roman"/>
          <w:b/>
          <w:bCs/>
          <w:sz w:val="22"/>
          <w:szCs w:val="22"/>
          <w:lang w:eastAsia="en-AU"/>
        </w:rPr>
        <w:t>Schedule 1 – Amendments</w:t>
      </w:r>
    </w:p>
    <w:p w14:paraId="07F632C0" w14:textId="77777777" w:rsidR="00D40B4E" w:rsidRPr="00E46894" w:rsidRDefault="00D40B4E" w:rsidP="00BB7279">
      <w:pPr>
        <w:keepNext/>
        <w:spacing w:after="0" w:line="240" w:lineRule="auto"/>
        <w:contextualSpacing/>
        <w:rPr>
          <w:rFonts w:eastAsia="Times New Roman"/>
          <w:bCs/>
          <w:sz w:val="22"/>
          <w:szCs w:val="22"/>
          <w:lang w:eastAsia="en-AU"/>
        </w:rPr>
      </w:pPr>
    </w:p>
    <w:p w14:paraId="62D7A057" w14:textId="3DB6E537" w:rsidR="001E51F5" w:rsidRPr="00E46894" w:rsidRDefault="005753F9" w:rsidP="00BB7279">
      <w:pPr>
        <w:keepNext/>
        <w:spacing w:after="0" w:line="240" w:lineRule="auto"/>
        <w:contextualSpacing/>
        <w:rPr>
          <w:rFonts w:eastAsia="Times New Roman"/>
          <w:bCs/>
          <w:sz w:val="22"/>
          <w:szCs w:val="22"/>
          <w:lang w:eastAsia="en-AU"/>
        </w:rPr>
      </w:pPr>
      <w:bookmarkStart w:id="9" w:name="_Toc149824697"/>
      <w:r w:rsidRPr="00E46894">
        <w:rPr>
          <w:i/>
          <w:iCs/>
          <w:color w:val="000000"/>
          <w:sz w:val="22"/>
          <w:szCs w:val="22"/>
          <w:shd w:val="clear" w:color="auto" w:fill="FFFFFF"/>
        </w:rPr>
        <w:t>Therapeutic Goods (Medicines—Authorised Supply) Rules 2022</w:t>
      </w:r>
      <w:bookmarkEnd w:id="9"/>
      <w:r w:rsidR="001E51F5" w:rsidRPr="00E46894">
        <w:rPr>
          <w:rFonts w:eastAsia="Times New Roman"/>
          <w:bCs/>
          <w:sz w:val="22"/>
          <w:szCs w:val="22"/>
          <w:lang w:eastAsia="en-AU"/>
        </w:rPr>
        <w:t>.</w:t>
      </w:r>
    </w:p>
    <w:p w14:paraId="73F1A71E" w14:textId="06E91EEA" w:rsidR="00D40B4E" w:rsidRPr="00E46894" w:rsidRDefault="00D40B4E" w:rsidP="00BB7279">
      <w:pPr>
        <w:keepNext/>
        <w:spacing w:after="0" w:line="240" w:lineRule="auto"/>
        <w:contextualSpacing/>
        <w:rPr>
          <w:rFonts w:eastAsia="Times New Roman"/>
          <w:bCs/>
          <w:sz w:val="22"/>
          <w:szCs w:val="22"/>
          <w:lang w:eastAsia="en-AU"/>
        </w:rPr>
      </w:pPr>
      <w:bookmarkStart w:id="10" w:name="_Hlk137738614"/>
    </w:p>
    <w:p w14:paraId="38539B0D" w14:textId="0FAAD4F4" w:rsidR="00C24DD4" w:rsidRPr="00E46894" w:rsidRDefault="00C24DD4" w:rsidP="00BB7279">
      <w:pPr>
        <w:keepNext/>
        <w:spacing w:after="0" w:line="240" w:lineRule="auto"/>
        <w:contextualSpacing/>
        <w:rPr>
          <w:rFonts w:eastAsia="Times New Roman"/>
          <w:b/>
          <w:sz w:val="22"/>
          <w:szCs w:val="22"/>
          <w:lang w:eastAsia="en-AU"/>
        </w:rPr>
      </w:pPr>
      <w:r w:rsidRPr="00E46894">
        <w:rPr>
          <w:rFonts w:eastAsia="Times New Roman"/>
          <w:b/>
          <w:sz w:val="22"/>
          <w:szCs w:val="22"/>
          <w:lang w:eastAsia="en-AU"/>
        </w:rPr>
        <w:t>Item 1 – Section 1</w:t>
      </w:r>
    </w:p>
    <w:p w14:paraId="27B84113" w14:textId="77777777" w:rsidR="00C57A4C" w:rsidRPr="00E46894" w:rsidRDefault="00C57A4C" w:rsidP="00BB7279">
      <w:pPr>
        <w:keepNext/>
        <w:spacing w:after="0" w:line="240" w:lineRule="auto"/>
        <w:contextualSpacing/>
        <w:rPr>
          <w:rFonts w:eastAsia="Times New Roman"/>
          <w:bCs/>
          <w:sz w:val="22"/>
          <w:szCs w:val="22"/>
          <w:lang w:eastAsia="en-AU"/>
        </w:rPr>
      </w:pPr>
    </w:p>
    <w:p w14:paraId="12BF0EF5" w14:textId="230F7F83" w:rsidR="00C24DD4" w:rsidRPr="00E46894" w:rsidRDefault="00C24DD4" w:rsidP="00BB7279">
      <w:pPr>
        <w:keepNext/>
        <w:spacing w:after="0" w:line="240" w:lineRule="auto"/>
        <w:contextualSpacing/>
        <w:rPr>
          <w:rFonts w:eastAsia="Times New Roman"/>
          <w:bCs/>
          <w:sz w:val="22"/>
          <w:szCs w:val="22"/>
          <w:lang w:eastAsia="en-AU"/>
        </w:rPr>
      </w:pPr>
      <w:r w:rsidRPr="00E46894">
        <w:rPr>
          <w:rFonts w:eastAsia="Times New Roman"/>
          <w:bCs/>
          <w:sz w:val="22"/>
          <w:szCs w:val="22"/>
          <w:lang w:eastAsia="en-AU"/>
        </w:rPr>
        <w:t>This item</w:t>
      </w:r>
      <w:r w:rsidR="000F58BA" w:rsidRPr="00E46894">
        <w:rPr>
          <w:rFonts w:eastAsia="Times New Roman"/>
          <w:bCs/>
          <w:sz w:val="22"/>
          <w:szCs w:val="22"/>
          <w:lang w:eastAsia="en-AU"/>
        </w:rPr>
        <w:t xml:space="preserve"> makes a minor amendment to update the name of the </w:t>
      </w:r>
      <w:r w:rsidR="000329D2" w:rsidRPr="00E46894">
        <w:rPr>
          <w:rFonts w:eastAsia="Times New Roman"/>
          <w:bCs/>
          <w:sz w:val="22"/>
          <w:szCs w:val="22"/>
          <w:lang w:eastAsia="en-AU"/>
        </w:rPr>
        <w:t xml:space="preserve">Principal </w:t>
      </w:r>
      <w:r w:rsidR="000F58BA" w:rsidRPr="00E46894">
        <w:rPr>
          <w:rFonts w:eastAsia="Times New Roman"/>
          <w:bCs/>
          <w:sz w:val="22"/>
          <w:szCs w:val="22"/>
          <w:lang w:eastAsia="en-AU"/>
        </w:rPr>
        <w:t>Rules to reflect that the instrument authorises certain health practitioners to supply specified goods that are either medicines or other therapeutic goods for use in the treatment of their patients.</w:t>
      </w:r>
      <w:r w:rsidR="00B76450" w:rsidRPr="00E46894">
        <w:rPr>
          <w:rFonts w:eastAsia="Times New Roman"/>
          <w:bCs/>
          <w:sz w:val="22"/>
          <w:szCs w:val="22"/>
          <w:lang w:eastAsia="en-AU"/>
        </w:rPr>
        <w:t xml:space="preserve"> Other therapeutic goods are therapeutic goods that are not medicines, medical </w:t>
      </w:r>
      <w:proofErr w:type="gramStart"/>
      <w:r w:rsidR="00B76450" w:rsidRPr="00E46894">
        <w:rPr>
          <w:rFonts w:eastAsia="Times New Roman"/>
          <w:bCs/>
          <w:sz w:val="22"/>
          <w:szCs w:val="22"/>
          <w:lang w:eastAsia="en-AU"/>
        </w:rPr>
        <w:t>devices</w:t>
      </w:r>
      <w:proofErr w:type="gramEnd"/>
      <w:r w:rsidR="00B76450" w:rsidRPr="00E46894">
        <w:rPr>
          <w:rFonts w:eastAsia="Times New Roman"/>
          <w:bCs/>
          <w:sz w:val="22"/>
          <w:szCs w:val="22"/>
          <w:lang w:eastAsia="en-AU"/>
        </w:rPr>
        <w:t xml:space="preserve"> or biologicals.</w:t>
      </w:r>
    </w:p>
    <w:p w14:paraId="0A58CBF7" w14:textId="77777777" w:rsidR="00C24DD4" w:rsidRPr="00E46894" w:rsidRDefault="00C24DD4" w:rsidP="000C22F7">
      <w:pPr>
        <w:spacing w:after="0" w:line="240" w:lineRule="auto"/>
        <w:contextualSpacing/>
        <w:rPr>
          <w:rFonts w:eastAsia="Times New Roman"/>
          <w:bCs/>
          <w:sz w:val="22"/>
          <w:szCs w:val="22"/>
          <w:lang w:eastAsia="en-AU"/>
        </w:rPr>
      </w:pPr>
    </w:p>
    <w:p w14:paraId="05A33C83" w14:textId="37D85129" w:rsidR="00C24DD4" w:rsidRPr="00E46894" w:rsidRDefault="00C24DD4" w:rsidP="00BB7279">
      <w:pPr>
        <w:keepNext/>
        <w:spacing w:after="0" w:line="240" w:lineRule="auto"/>
        <w:contextualSpacing/>
        <w:rPr>
          <w:rFonts w:eastAsia="Times New Roman"/>
          <w:bCs/>
          <w:sz w:val="22"/>
          <w:szCs w:val="22"/>
          <w:lang w:eastAsia="en-AU"/>
        </w:rPr>
      </w:pPr>
      <w:r w:rsidRPr="00E46894">
        <w:rPr>
          <w:rFonts w:eastAsia="Times New Roman"/>
          <w:b/>
          <w:sz w:val="22"/>
          <w:szCs w:val="22"/>
          <w:lang w:eastAsia="en-AU"/>
        </w:rPr>
        <w:lastRenderedPageBreak/>
        <w:t>Item 2 – Section 4 (at the end of the note)</w:t>
      </w:r>
    </w:p>
    <w:p w14:paraId="794A70B4" w14:textId="77777777" w:rsidR="00C57A4C" w:rsidRPr="00E46894" w:rsidRDefault="00C57A4C" w:rsidP="00BB7279">
      <w:pPr>
        <w:keepNext/>
        <w:spacing w:after="0" w:line="240" w:lineRule="auto"/>
        <w:contextualSpacing/>
        <w:rPr>
          <w:rFonts w:eastAsia="Times New Roman"/>
          <w:bCs/>
          <w:sz w:val="22"/>
          <w:szCs w:val="22"/>
          <w:lang w:eastAsia="en-AU"/>
        </w:rPr>
      </w:pPr>
    </w:p>
    <w:p w14:paraId="00AE624C" w14:textId="62A544BA" w:rsidR="00C24DD4" w:rsidRPr="00E46894" w:rsidRDefault="00C24DD4" w:rsidP="00BB7279">
      <w:pPr>
        <w:keepNext/>
        <w:spacing w:after="0" w:line="240" w:lineRule="auto"/>
        <w:contextualSpacing/>
        <w:rPr>
          <w:rFonts w:eastAsia="Times New Roman"/>
          <w:bCs/>
          <w:sz w:val="22"/>
          <w:szCs w:val="22"/>
          <w:lang w:eastAsia="en-AU"/>
        </w:rPr>
      </w:pPr>
      <w:r w:rsidRPr="00E46894">
        <w:rPr>
          <w:rFonts w:eastAsia="Times New Roman"/>
          <w:bCs/>
          <w:sz w:val="22"/>
          <w:szCs w:val="22"/>
          <w:lang w:eastAsia="en-AU"/>
        </w:rPr>
        <w:t>This item</w:t>
      </w:r>
      <w:r w:rsidR="000F58BA" w:rsidRPr="00E46894">
        <w:rPr>
          <w:rFonts w:eastAsia="Times New Roman"/>
          <w:bCs/>
          <w:sz w:val="22"/>
          <w:szCs w:val="22"/>
          <w:lang w:eastAsia="en-AU"/>
        </w:rPr>
        <w:t xml:space="preserve"> makes a minor amendment to the note in section 4 of the </w:t>
      </w:r>
      <w:r w:rsidR="000329D2" w:rsidRPr="00E46894">
        <w:rPr>
          <w:rFonts w:eastAsia="Times New Roman"/>
          <w:bCs/>
          <w:sz w:val="22"/>
          <w:szCs w:val="22"/>
          <w:lang w:eastAsia="en-AU"/>
        </w:rPr>
        <w:t xml:space="preserve">Principal </w:t>
      </w:r>
      <w:r w:rsidR="000F58BA" w:rsidRPr="00E46894">
        <w:rPr>
          <w:rFonts w:eastAsia="Times New Roman"/>
          <w:bCs/>
          <w:sz w:val="22"/>
          <w:szCs w:val="22"/>
          <w:lang w:eastAsia="en-AU"/>
        </w:rPr>
        <w:t>Rules to clarify that the term ‘therapeutic goods’ has the same meaning as in the Act.</w:t>
      </w:r>
    </w:p>
    <w:p w14:paraId="4729A49F" w14:textId="77777777" w:rsidR="00C24DD4" w:rsidRPr="00E46894" w:rsidRDefault="00C24DD4" w:rsidP="000C22F7">
      <w:pPr>
        <w:spacing w:after="0" w:line="240" w:lineRule="auto"/>
        <w:contextualSpacing/>
        <w:rPr>
          <w:rFonts w:eastAsia="Times New Roman"/>
          <w:bCs/>
          <w:sz w:val="22"/>
          <w:szCs w:val="22"/>
          <w:lang w:eastAsia="en-AU"/>
        </w:rPr>
      </w:pPr>
    </w:p>
    <w:p w14:paraId="7A217820" w14:textId="0EF55956" w:rsidR="00C24DD4" w:rsidRPr="00E46894" w:rsidRDefault="00C24DD4" w:rsidP="00BB7279">
      <w:pPr>
        <w:keepNext/>
        <w:spacing w:after="0" w:line="240" w:lineRule="auto"/>
        <w:contextualSpacing/>
        <w:rPr>
          <w:rFonts w:eastAsia="Times New Roman"/>
          <w:bCs/>
          <w:sz w:val="22"/>
          <w:szCs w:val="22"/>
          <w:lang w:eastAsia="en-AU"/>
        </w:rPr>
      </w:pPr>
      <w:r w:rsidRPr="00E46894">
        <w:rPr>
          <w:rFonts w:eastAsia="Times New Roman"/>
          <w:b/>
          <w:sz w:val="22"/>
          <w:szCs w:val="22"/>
          <w:lang w:eastAsia="en-AU"/>
        </w:rPr>
        <w:t>Item</w:t>
      </w:r>
      <w:r w:rsidR="000F58BA" w:rsidRPr="00E46894">
        <w:rPr>
          <w:rFonts w:eastAsia="Times New Roman"/>
          <w:b/>
          <w:sz w:val="22"/>
          <w:szCs w:val="22"/>
          <w:lang w:eastAsia="en-AU"/>
        </w:rPr>
        <w:t>s</w:t>
      </w:r>
      <w:r w:rsidRPr="00E46894">
        <w:rPr>
          <w:rFonts w:eastAsia="Times New Roman"/>
          <w:b/>
          <w:sz w:val="22"/>
          <w:szCs w:val="22"/>
          <w:lang w:eastAsia="en-AU"/>
        </w:rPr>
        <w:t xml:space="preserve"> 3 </w:t>
      </w:r>
      <w:r w:rsidR="000F58BA" w:rsidRPr="00E46894">
        <w:rPr>
          <w:rFonts w:eastAsia="Times New Roman"/>
          <w:b/>
          <w:sz w:val="22"/>
          <w:szCs w:val="22"/>
          <w:lang w:eastAsia="en-AU"/>
        </w:rPr>
        <w:t xml:space="preserve">and 5 </w:t>
      </w:r>
      <w:r w:rsidRPr="00E46894">
        <w:rPr>
          <w:rFonts w:eastAsia="Times New Roman"/>
          <w:b/>
          <w:sz w:val="22"/>
          <w:szCs w:val="22"/>
          <w:lang w:eastAsia="en-AU"/>
        </w:rPr>
        <w:t>– Section 4</w:t>
      </w:r>
    </w:p>
    <w:p w14:paraId="267C2CA8" w14:textId="77777777" w:rsidR="00C57A4C" w:rsidRPr="00E46894" w:rsidRDefault="00C57A4C" w:rsidP="00BB7279">
      <w:pPr>
        <w:keepNext/>
        <w:spacing w:after="0" w:line="240" w:lineRule="auto"/>
        <w:contextualSpacing/>
        <w:rPr>
          <w:rFonts w:eastAsia="Times New Roman"/>
          <w:bCs/>
          <w:sz w:val="22"/>
          <w:szCs w:val="22"/>
          <w:lang w:eastAsia="en-AU"/>
        </w:rPr>
      </w:pPr>
    </w:p>
    <w:p w14:paraId="105B2DFF" w14:textId="37D2A120" w:rsidR="005F3D2F" w:rsidRPr="00E46894" w:rsidRDefault="00C24DD4" w:rsidP="00BB7279">
      <w:pPr>
        <w:keepNext/>
        <w:spacing w:after="0" w:line="240" w:lineRule="auto"/>
        <w:contextualSpacing/>
        <w:rPr>
          <w:rFonts w:eastAsia="Times New Roman"/>
          <w:bCs/>
          <w:sz w:val="22"/>
          <w:szCs w:val="22"/>
          <w:lang w:eastAsia="en-AU"/>
        </w:rPr>
      </w:pPr>
      <w:r w:rsidRPr="00E46894">
        <w:rPr>
          <w:rFonts w:eastAsia="Times New Roman"/>
          <w:bCs/>
          <w:sz w:val="22"/>
          <w:szCs w:val="22"/>
          <w:lang w:eastAsia="en-AU"/>
        </w:rPr>
        <w:t>Th</w:t>
      </w:r>
      <w:r w:rsidR="000F58BA" w:rsidRPr="00E46894">
        <w:rPr>
          <w:rFonts w:eastAsia="Times New Roman"/>
          <w:bCs/>
          <w:sz w:val="22"/>
          <w:szCs w:val="22"/>
          <w:lang w:eastAsia="en-AU"/>
        </w:rPr>
        <w:t>ese</w:t>
      </w:r>
      <w:r w:rsidRPr="00E46894">
        <w:rPr>
          <w:rFonts w:eastAsia="Times New Roman"/>
          <w:bCs/>
          <w:sz w:val="22"/>
          <w:szCs w:val="22"/>
          <w:lang w:eastAsia="en-AU"/>
        </w:rPr>
        <w:t xml:space="preserve"> ite</w:t>
      </w:r>
      <w:r w:rsidR="000F58BA" w:rsidRPr="00E46894">
        <w:rPr>
          <w:rFonts w:eastAsia="Times New Roman"/>
          <w:bCs/>
          <w:sz w:val="22"/>
          <w:szCs w:val="22"/>
          <w:lang w:eastAsia="en-AU"/>
        </w:rPr>
        <w:t xml:space="preserve">ms introduce new definitions in section 4 of the </w:t>
      </w:r>
      <w:r w:rsidR="000329D2" w:rsidRPr="00E46894">
        <w:rPr>
          <w:rFonts w:eastAsia="Times New Roman"/>
          <w:bCs/>
          <w:sz w:val="22"/>
          <w:szCs w:val="22"/>
          <w:lang w:eastAsia="en-AU"/>
        </w:rPr>
        <w:t xml:space="preserve">Principal </w:t>
      </w:r>
      <w:r w:rsidR="000F58BA" w:rsidRPr="00E46894">
        <w:rPr>
          <w:rFonts w:eastAsia="Times New Roman"/>
          <w:bCs/>
          <w:sz w:val="22"/>
          <w:szCs w:val="22"/>
          <w:lang w:eastAsia="en-AU"/>
        </w:rPr>
        <w:t>Rules, including definitions of ‘nurse practitioner’</w:t>
      </w:r>
      <w:r w:rsidR="00415E36" w:rsidRPr="00E46894">
        <w:rPr>
          <w:rFonts w:eastAsia="Times New Roman"/>
          <w:bCs/>
          <w:sz w:val="22"/>
          <w:szCs w:val="22"/>
          <w:lang w:eastAsia="en-AU"/>
        </w:rPr>
        <w:t>, ‘therapeutic vaping pack’</w:t>
      </w:r>
      <w:r w:rsidR="005F3D2F" w:rsidRPr="00E46894">
        <w:rPr>
          <w:rFonts w:eastAsia="Times New Roman"/>
          <w:bCs/>
          <w:sz w:val="22"/>
          <w:szCs w:val="22"/>
          <w:lang w:eastAsia="en-AU"/>
        </w:rPr>
        <w:t xml:space="preserve"> and </w:t>
      </w:r>
      <w:r w:rsidR="00C5581C" w:rsidRPr="00E46894">
        <w:rPr>
          <w:rFonts w:eastAsia="Times New Roman"/>
          <w:bCs/>
          <w:sz w:val="22"/>
          <w:szCs w:val="22"/>
          <w:lang w:eastAsia="en-AU"/>
        </w:rPr>
        <w:t>‘therapeutic vaping substance’</w:t>
      </w:r>
      <w:r w:rsidR="005F3D2F" w:rsidRPr="00E46894">
        <w:rPr>
          <w:rFonts w:eastAsia="Times New Roman"/>
          <w:bCs/>
          <w:sz w:val="22"/>
          <w:szCs w:val="22"/>
          <w:lang w:eastAsia="en-AU"/>
        </w:rPr>
        <w:t>.</w:t>
      </w:r>
    </w:p>
    <w:p w14:paraId="0C347447" w14:textId="533DA131" w:rsidR="00C24DD4" w:rsidRPr="00E46894" w:rsidRDefault="00C24DD4" w:rsidP="007726FF">
      <w:pPr>
        <w:keepNext/>
        <w:spacing w:after="0" w:line="240" w:lineRule="auto"/>
        <w:contextualSpacing/>
        <w:rPr>
          <w:rFonts w:eastAsia="Times New Roman"/>
          <w:bCs/>
          <w:sz w:val="22"/>
          <w:szCs w:val="22"/>
          <w:lang w:eastAsia="en-AU"/>
        </w:rPr>
      </w:pPr>
    </w:p>
    <w:p w14:paraId="774E1FB1" w14:textId="3AE037A9" w:rsidR="00DA42A9" w:rsidRPr="00E46894" w:rsidRDefault="00C24DD4" w:rsidP="00BB7279">
      <w:pPr>
        <w:keepNext/>
        <w:spacing w:after="0" w:line="240" w:lineRule="auto"/>
        <w:contextualSpacing/>
        <w:rPr>
          <w:rFonts w:eastAsia="Times New Roman"/>
          <w:b/>
          <w:sz w:val="22"/>
          <w:szCs w:val="22"/>
          <w:lang w:eastAsia="en-AU"/>
        </w:rPr>
      </w:pPr>
      <w:r w:rsidRPr="00E46894">
        <w:rPr>
          <w:rFonts w:eastAsia="Times New Roman"/>
          <w:b/>
          <w:sz w:val="22"/>
          <w:szCs w:val="22"/>
          <w:lang w:eastAsia="en-AU"/>
        </w:rPr>
        <w:t xml:space="preserve">Item 4 – </w:t>
      </w:r>
      <w:r w:rsidR="00DA42A9" w:rsidRPr="00E46894">
        <w:rPr>
          <w:rFonts w:eastAsia="Times New Roman"/>
          <w:b/>
          <w:sz w:val="22"/>
          <w:szCs w:val="22"/>
          <w:lang w:eastAsia="en-AU"/>
        </w:rPr>
        <w:t xml:space="preserve">Section 4 (definition of </w:t>
      </w:r>
      <w:r w:rsidR="00DA42A9" w:rsidRPr="00E46894">
        <w:rPr>
          <w:rFonts w:eastAsia="Times New Roman"/>
          <w:b/>
          <w:i/>
          <w:iCs/>
          <w:sz w:val="22"/>
          <w:szCs w:val="22"/>
          <w:lang w:eastAsia="en-AU"/>
        </w:rPr>
        <w:t>SAS Guidance</w:t>
      </w:r>
      <w:r w:rsidR="00DA42A9" w:rsidRPr="00E46894">
        <w:rPr>
          <w:rFonts w:eastAsia="Times New Roman"/>
          <w:b/>
          <w:sz w:val="22"/>
          <w:szCs w:val="22"/>
          <w:lang w:eastAsia="en-AU"/>
        </w:rPr>
        <w:t>)</w:t>
      </w:r>
    </w:p>
    <w:p w14:paraId="51EEB870" w14:textId="77777777" w:rsidR="00C57A4C" w:rsidRPr="00E46894" w:rsidRDefault="00C57A4C" w:rsidP="00BB7279">
      <w:pPr>
        <w:keepNext/>
        <w:spacing w:after="0" w:line="240" w:lineRule="auto"/>
        <w:contextualSpacing/>
        <w:rPr>
          <w:rFonts w:eastAsia="Times New Roman"/>
          <w:bCs/>
          <w:sz w:val="22"/>
          <w:szCs w:val="22"/>
          <w:lang w:eastAsia="en-AU"/>
        </w:rPr>
      </w:pPr>
    </w:p>
    <w:p w14:paraId="46261188" w14:textId="04C9EF51" w:rsidR="00DA42A9" w:rsidRPr="00E46894" w:rsidRDefault="00DA42A9" w:rsidP="00BB7279">
      <w:pPr>
        <w:keepNext/>
        <w:spacing w:after="0" w:line="240" w:lineRule="auto"/>
        <w:contextualSpacing/>
        <w:rPr>
          <w:rFonts w:eastAsia="Times New Roman"/>
          <w:bCs/>
          <w:sz w:val="22"/>
          <w:szCs w:val="22"/>
          <w:lang w:eastAsia="en-AU"/>
        </w:rPr>
      </w:pPr>
      <w:r w:rsidRPr="00E46894">
        <w:rPr>
          <w:rFonts w:eastAsia="Times New Roman"/>
          <w:bCs/>
          <w:sz w:val="22"/>
          <w:szCs w:val="22"/>
          <w:lang w:eastAsia="en-AU"/>
        </w:rPr>
        <w:t>This item</w:t>
      </w:r>
      <w:r w:rsidR="000F58BA" w:rsidRPr="00E46894">
        <w:rPr>
          <w:rFonts w:eastAsia="Times New Roman"/>
          <w:bCs/>
          <w:sz w:val="22"/>
          <w:szCs w:val="22"/>
          <w:lang w:eastAsia="en-AU"/>
        </w:rPr>
        <w:t xml:space="preserve"> repeals and substitutes the definition of ‘SAS Guidance’ in section 4 of the </w:t>
      </w:r>
      <w:r w:rsidR="000329D2" w:rsidRPr="00E46894">
        <w:rPr>
          <w:rFonts w:eastAsia="Times New Roman"/>
          <w:bCs/>
          <w:sz w:val="22"/>
          <w:szCs w:val="22"/>
          <w:lang w:eastAsia="en-AU"/>
        </w:rPr>
        <w:t xml:space="preserve">Principal </w:t>
      </w:r>
      <w:r w:rsidR="000F58BA" w:rsidRPr="00E46894">
        <w:rPr>
          <w:rFonts w:eastAsia="Times New Roman"/>
          <w:bCs/>
          <w:sz w:val="22"/>
          <w:szCs w:val="22"/>
          <w:lang w:eastAsia="en-AU"/>
        </w:rPr>
        <w:t xml:space="preserve">Rules to reflect that ‘SAS Guidance’ means the updated </w:t>
      </w:r>
      <w:r w:rsidR="00B76450" w:rsidRPr="00E46894">
        <w:rPr>
          <w:rFonts w:eastAsia="Times New Roman"/>
          <w:bCs/>
          <w:sz w:val="22"/>
          <w:szCs w:val="22"/>
          <w:lang w:eastAsia="en-AU"/>
        </w:rPr>
        <w:t>guidance titled</w:t>
      </w:r>
      <w:r w:rsidR="000F58BA" w:rsidRPr="00E46894">
        <w:rPr>
          <w:rFonts w:eastAsia="Times New Roman"/>
          <w:bCs/>
          <w:sz w:val="22"/>
          <w:szCs w:val="22"/>
          <w:lang w:eastAsia="en-AU"/>
        </w:rPr>
        <w:t xml:space="preserve"> </w:t>
      </w:r>
      <w:r w:rsidR="00C944F1" w:rsidRPr="00E46894">
        <w:rPr>
          <w:rFonts w:eastAsia="Times New Roman"/>
          <w:i/>
          <w:iCs/>
          <w:sz w:val="22"/>
          <w:szCs w:val="22"/>
          <w:lang w:eastAsia="en-AU"/>
        </w:rPr>
        <w:t xml:space="preserve">Special Access Scheme (SAS): Guidance for health practitioners accessing unapproved therapeutic goods </w:t>
      </w:r>
      <w:r w:rsidR="00C944F1" w:rsidRPr="00E46894">
        <w:rPr>
          <w:rFonts w:eastAsia="Times New Roman"/>
          <w:sz w:val="22"/>
          <w:szCs w:val="22"/>
          <w:lang w:eastAsia="en-AU"/>
        </w:rPr>
        <w:t>(Version 1.0, January 2023)</w:t>
      </w:r>
      <w:r w:rsidR="000F58BA" w:rsidRPr="00E46894">
        <w:rPr>
          <w:color w:val="000000"/>
          <w:sz w:val="22"/>
          <w:szCs w:val="22"/>
        </w:rPr>
        <w:t>, as in force or existing on 1 January 2024.</w:t>
      </w:r>
    </w:p>
    <w:p w14:paraId="78CE5355" w14:textId="77777777" w:rsidR="00DA42A9" w:rsidRPr="00E46894" w:rsidRDefault="00DA42A9" w:rsidP="000C22F7">
      <w:pPr>
        <w:spacing w:after="0" w:line="240" w:lineRule="auto"/>
        <w:contextualSpacing/>
        <w:rPr>
          <w:rFonts w:eastAsia="Times New Roman"/>
          <w:bCs/>
          <w:sz w:val="22"/>
          <w:szCs w:val="22"/>
          <w:lang w:eastAsia="en-AU"/>
        </w:rPr>
      </w:pPr>
    </w:p>
    <w:p w14:paraId="7E5DB861" w14:textId="4E7B221F" w:rsidR="00C24DD4" w:rsidRPr="00E46894" w:rsidRDefault="00DA42A9" w:rsidP="00BB7279">
      <w:pPr>
        <w:keepNext/>
        <w:spacing w:after="0" w:line="240" w:lineRule="auto"/>
        <w:contextualSpacing/>
        <w:rPr>
          <w:rFonts w:eastAsia="Times New Roman"/>
          <w:bCs/>
          <w:sz w:val="22"/>
          <w:szCs w:val="22"/>
          <w:lang w:eastAsia="en-AU"/>
        </w:rPr>
      </w:pPr>
      <w:r w:rsidRPr="00E46894">
        <w:rPr>
          <w:rFonts w:eastAsia="Times New Roman"/>
          <w:b/>
          <w:sz w:val="22"/>
          <w:szCs w:val="22"/>
          <w:lang w:eastAsia="en-AU"/>
        </w:rPr>
        <w:t xml:space="preserve">Item 6 </w:t>
      </w:r>
      <w:r w:rsidR="004E7298" w:rsidRPr="00E46894">
        <w:rPr>
          <w:rFonts w:eastAsia="Times New Roman"/>
          <w:b/>
          <w:sz w:val="22"/>
          <w:szCs w:val="22"/>
          <w:lang w:eastAsia="en-AU"/>
        </w:rPr>
        <w:t>–</w:t>
      </w:r>
      <w:r w:rsidRPr="00E46894">
        <w:rPr>
          <w:rFonts w:eastAsia="Times New Roman"/>
          <w:b/>
          <w:sz w:val="22"/>
          <w:szCs w:val="22"/>
          <w:lang w:eastAsia="en-AU"/>
        </w:rPr>
        <w:t xml:space="preserve"> </w:t>
      </w:r>
      <w:r w:rsidR="00C24DD4" w:rsidRPr="00E46894">
        <w:rPr>
          <w:rFonts w:eastAsia="Times New Roman"/>
          <w:b/>
          <w:sz w:val="22"/>
          <w:szCs w:val="22"/>
          <w:lang w:eastAsia="en-AU"/>
        </w:rPr>
        <w:t xml:space="preserve">After </w:t>
      </w:r>
      <w:r w:rsidR="000329D2" w:rsidRPr="00E46894">
        <w:rPr>
          <w:rFonts w:eastAsia="Times New Roman"/>
          <w:b/>
          <w:sz w:val="22"/>
          <w:szCs w:val="22"/>
          <w:lang w:eastAsia="en-AU"/>
        </w:rPr>
        <w:t>s</w:t>
      </w:r>
      <w:r w:rsidR="00C24DD4" w:rsidRPr="00E46894">
        <w:rPr>
          <w:rFonts w:eastAsia="Times New Roman"/>
          <w:b/>
          <w:sz w:val="22"/>
          <w:szCs w:val="22"/>
          <w:lang w:eastAsia="en-AU"/>
        </w:rPr>
        <w:t>ection 5</w:t>
      </w:r>
    </w:p>
    <w:p w14:paraId="355CBD09" w14:textId="77777777" w:rsidR="00C57A4C" w:rsidRPr="00E46894" w:rsidRDefault="00C57A4C" w:rsidP="00BB7279">
      <w:pPr>
        <w:keepNext/>
        <w:spacing w:after="0" w:line="240" w:lineRule="auto"/>
        <w:contextualSpacing/>
        <w:rPr>
          <w:rFonts w:eastAsia="Times New Roman"/>
          <w:bCs/>
          <w:sz w:val="22"/>
          <w:szCs w:val="22"/>
          <w:lang w:eastAsia="en-AU"/>
        </w:rPr>
      </w:pPr>
    </w:p>
    <w:p w14:paraId="018FF681" w14:textId="4E267B80" w:rsidR="006A5C0B" w:rsidRPr="00E46894" w:rsidRDefault="00C24DD4" w:rsidP="00BB7279">
      <w:pPr>
        <w:keepNext/>
        <w:spacing w:after="0" w:line="240" w:lineRule="auto"/>
        <w:contextualSpacing/>
        <w:rPr>
          <w:rFonts w:eastAsia="Times New Roman"/>
          <w:bCs/>
          <w:sz w:val="22"/>
          <w:szCs w:val="22"/>
          <w:lang w:eastAsia="en-AU"/>
        </w:rPr>
      </w:pPr>
      <w:r w:rsidRPr="00E46894">
        <w:rPr>
          <w:rFonts w:eastAsia="Times New Roman"/>
          <w:bCs/>
          <w:sz w:val="22"/>
          <w:szCs w:val="22"/>
          <w:lang w:eastAsia="en-AU"/>
        </w:rPr>
        <w:t>This item</w:t>
      </w:r>
      <w:r w:rsidR="006A5C0B" w:rsidRPr="00E46894">
        <w:rPr>
          <w:rFonts w:eastAsia="Times New Roman"/>
          <w:bCs/>
          <w:sz w:val="22"/>
          <w:szCs w:val="22"/>
          <w:lang w:eastAsia="en-AU"/>
        </w:rPr>
        <w:t xml:space="preserve"> introduces new section 5A to the </w:t>
      </w:r>
      <w:r w:rsidR="000329D2" w:rsidRPr="00E46894">
        <w:rPr>
          <w:rFonts w:eastAsia="Times New Roman"/>
          <w:bCs/>
          <w:sz w:val="22"/>
          <w:szCs w:val="22"/>
          <w:lang w:eastAsia="en-AU"/>
        </w:rPr>
        <w:t xml:space="preserve">Principal </w:t>
      </w:r>
      <w:r w:rsidR="006A5C0B" w:rsidRPr="00E46894">
        <w:rPr>
          <w:rFonts w:eastAsia="Times New Roman"/>
          <w:bCs/>
          <w:sz w:val="22"/>
          <w:szCs w:val="22"/>
          <w:lang w:eastAsia="en-AU"/>
        </w:rPr>
        <w:t xml:space="preserve">Rules. New section 5A authorises the supply of </w:t>
      </w:r>
      <w:r w:rsidR="00366A3C" w:rsidRPr="00E46894">
        <w:rPr>
          <w:rFonts w:eastAsia="Times New Roman"/>
          <w:bCs/>
          <w:sz w:val="22"/>
          <w:szCs w:val="22"/>
          <w:lang w:eastAsia="en-AU"/>
        </w:rPr>
        <w:t xml:space="preserve">certain </w:t>
      </w:r>
      <w:r w:rsidR="006A5C0B" w:rsidRPr="00E46894">
        <w:rPr>
          <w:rFonts w:eastAsia="Times New Roman"/>
          <w:bCs/>
          <w:sz w:val="22"/>
          <w:szCs w:val="22"/>
          <w:lang w:eastAsia="en-AU"/>
        </w:rPr>
        <w:t>therapeutic vaping goods by a health practitioner who is a medical practitioner or a nurse practitioner</w:t>
      </w:r>
      <w:r w:rsidR="00B76450" w:rsidRPr="00E46894">
        <w:rPr>
          <w:rFonts w:eastAsia="Times New Roman"/>
          <w:bCs/>
          <w:sz w:val="22"/>
          <w:szCs w:val="22"/>
          <w:lang w:eastAsia="en-AU"/>
        </w:rPr>
        <w:t xml:space="preserve"> (“the treating practitioner”)</w:t>
      </w:r>
      <w:r w:rsidR="006A5C0B" w:rsidRPr="00E46894">
        <w:rPr>
          <w:rFonts w:eastAsia="Times New Roman"/>
          <w:bCs/>
          <w:sz w:val="22"/>
          <w:szCs w:val="22"/>
          <w:lang w:eastAsia="en-AU"/>
        </w:rPr>
        <w:t xml:space="preserve">, or by a health practitioner to a patient of a </w:t>
      </w:r>
      <w:r w:rsidR="00B76450" w:rsidRPr="00E46894">
        <w:rPr>
          <w:rFonts w:eastAsia="Times New Roman"/>
          <w:bCs/>
          <w:sz w:val="22"/>
          <w:szCs w:val="22"/>
          <w:lang w:eastAsia="en-AU"/>
        </w:rPr>
        <w:t>treating practitioner</w:t>
      </w:r>
      <w:r w:rsidR="006A5C0B" w:rsidRPr="00E46894">
        <w:rPr>
          <w:rFonts w:eastAsia="Times New Roman"/>
          <w:bCs/>
          <w:sz w:val="22"/>
          <w:szCs w:val="22"/>
          <w:lang w:eastAsia="en-AU"/>
        </w:rPr>
        <w:t>, with reference to certain matters specified in new Schedule 1A (as introduced by item 7</w:t>
      </w:r>
      <w:r w:rsidR="00415E36" w:rsidRPr="00E46894">
        <w:rPr>
          <w:rFonts w:eastAsia="Times New Roman"/>
          <w:bCs/>
          <w:sz w:val="22"/>
          <w:szCs w:val="22"/>
          <w:lang w:eastAsia="en-AU"/>
        </w:rPr>
        <w:t xml:space="preserve"> </w:t>
      </w:r>
      <w:r w:rsidR="006A5C0B" w:rsidRPr="00E46894">
        <w:rPr>
          <w:rFonts w:eastAsia="Times New Roman"/>
          <w:bCs/>
          <w:sz w:val="22"/>
          <w:szCs w:val="22"/>
          <w:lang w:eastAsia="en-AU"/>
        </w:rPr>
        <w:t>below).</w:t>
      </w:r>
    </w:p>
    <w:p w14:paraId="4807A04F" w14:textId="1400FC22" w:rsidR="00B34E44" w:rsidRPr="00E46894" w:rsidRDefault="00B34E44" w:rsidP="000C22F7">
      <w:pPr>
        <w:spacing w:after="0" w:line="240" w:lineRule="auto"/>
        <w:contextualSpacing/>
        <w:rPr>
          <w:rFonts w:eastAsia="Times New Roman"/>
          <w:bCs/>
          <w:sz w:val="22"/>
          <w:szCs w:val="22"/>
          <w:lang w:eastAsia="en-AU"/>
        </w:rPr>
      </w:pPr>
    </w:p>
    <w:p w14:paraId="04D55403" w14:textId="554FF3F6" w:rsidR="00B34E44" w:rsidRPr="00E46894" w:rsidRDefault="00B34E44" w:rsidP="000C22F7">
      <w:pPr>
        <w:spacing w:after="0" w:line="240" w:lineRule="auto"/>
        <w:contextualSpacing/>
        <w:rPr>
          <w:rFonts w:eastAsia="Times New Roman"/>
          <w:bCs/>
          <w:sz w:val="22"/>
          <w:szCs w:val="22"/>
          <w:lang w:eastAsia="en-AU"/>
        </w:rPr>
      </w:pPr>
      <w:r w:rsidRPr="00E46894">
        <w:rPr>
          <w:rFonts w:eastAsia="Times New Roman"/>
          <w:bCs/>
          <w:sz w:val="22"/>
          <w:szCs w:val="22"/>
          <w:lang w:eastAsia="en-AU"/>
        </w:rPr>
        <w:t>Subsection 5</w:t>
      </w:r>
      <w:proofErr w:type="gramStart"/>
      <w:r w:rsidRPr="00E46894">
        <w:rPr>
          <w:rFonts w:eastAsia="Times New Roman"/>
          <w:bCs/>
          <w:sz w:val="22"/>
          <w:szCs w:val="22"/>
          <w:lang w:eastAsia="en-AU"/>
        </w:rPr>
        <w:t>A(</w:t>
      </w:r>
      <w:proofErr w:type="gramEnd"/>
      <w:r w:rsidRPr="00E46894">
        <w:rPr>
          <w:rFonts w:eastAsia="Times New Roman"/>
          <w:bCs/>
          <w:sz w:val="22"/>
          <w:szCs w:val="22"/>
          <w:lang w:eastAsia="en-AU"/>
        </w:rPr>
        <w:t xml:space="preserve">1) provides that a </w:t>
      </w:r>
      <w:r w:rsidR="00B76450" w:rsidRPr="00E46894">
        <w:rPr>
          <w:rFonts w:eastAsia="Times New Roman"/>
          <w:bCs/>
          <w:sz w:val="22"/>
          <w:szCs w:val="22"/>
          <w:lang w:eastAsia="en-AU"/>
        </w:rPr>
        <w:t>treating practitioner</w:t>
      </w:r>
      <w:r w:rsidRPr="00E46894">
        <w:rPr>
          <w:rFonts w:eastAsia="Times New Roman"/>
          <w:bCs/>
          <w:sz w:val="22"/>
          <w:szCs w:val="22"/>
          <w:lang w:eastAsia="en-AU"/>
        </w:rPr>
        <w:t xml:space="preserve"> is authorised to supply a therapeutic good that is within the class of therapeutic goods specified column 2 of an item in the table in Schedule 1A, to a patient of that practitioner, where the circumstances specified in that subsection are met. Those circumstances include that the conditions specified in subsection 5</w:t>
      </w:r>
      <w:proofErr w:type="gramStart"/>
      <w:r w:rsidRPr="00E46894">
        <w:rPr>
          <w:rFonts w:eastAsia="Times New Roman"/>
          <w:bCs/>
          <w:sz w:val="22"/>
          <w:szCs w:val="22"/>
          <w:lang w:eastAsia="en-AU"/>
        </w:rPr>
        <w:t>A(</w:t>
      </w:r>
      <w:proofErr w:type="gramEnd"/>
      <w:r w:rsidRPr="00E46894">
        <w:rPr>
          <w:rFonts w:eastAsia="Times New Roman"/>
          <w:bCs/>
          <w:sz w:val="22"/>
          <w:szCs w:val="22"/>
          <w:lang w:eastAsia="en-AU"/>
        </w:rPr>
        <w:t>2) are met</w:t>
      </w:r>
      <w:r w:rsidR="00141DE0" w:rsidRPr="00E46894">
        <w:rPr>
          <w:rFonts w:eastAsia="Times New Roman"/>
          <w:bCs/>
          <w:sz w:val="22"/>
          <w:szCs w:val="22"/>
          <w:lang w:eastAsia="en-AU"/>
        </w:rPr>
        <w:t xml:space="preserve"> and that patient is 16 years of age or over</w:t>
      </w:r>
      <w:r w:rsidRPr="00E46894">
        <w:rPr>
          <w:rFonts w:eastAsia="Times New Roman"/>
          <w:bCs/>
          <w:sz w:val="22"/>
          <w:szCs w:val="22"/>
          <w:lang w:eastAsia="en-AU"/>
        </w:rPr>
        <w:t>.</w:t>
      </w:r>
    </w:p>
    <w:p w14:paraId="74803B3B" w14:textId="00E3406E" w:rsidR="00B34E44" w:rsidRPr="00E46894" w:rsidRDefault="00B34E44" w:rsidP="000C22F7">
      <w:pPr>
        <w:spacing w:after="0" w:line="240" w:lineRule="auto"/>
        <w:contextualSpacing/>
        <w:rPr>
          <w:rFonts w:eastAsia="Times New Roman"/>
          <w:bCs/>
          <w:sz w:val="22"/>
          <w:szCs w:val="22"/>
          <w:lang w:eastAsia="en-AU"/>
        </w:rPr>
      </w:pPr>
    </w:p>
    <w:p w14:paraId="292B5D02" w14:textId="4F7E1D42" w:rsidR="00B34E44" w:rsidRPr="00E46894" w:rsidRDefault="00B34E44" w:rsidP="000C22F7">
      <w:pPr>
        <w:spacing w:after="0" w:line="240" w:lineRule="auto"/>
        <w:contextualSpacing/>
        <w:rPr>
          <w:rFonts w:eastAsia="Times New Roman"/>
          <w:bCs/>
          <w:sz w:val="22"/>
          <w:szCs w:val="22"/>
          <w:lang w:eastAsia="en-AU"/>
        </w:rPr>
      </w:pPr>
      <w:r w:rsidRPr="00E46894">
        <w:rPr>
          <w:rFonts w:eastAsia="Times New Roman"/>
          <w:bCs/>
          <w:sz w:val="22"/>
          <w:szCs w:val="22"/>
          <w:lang w:eastAsia="en-AU"/>
        </w:rPr>
        <w:t>Similarly, subsection 5</w:t>
      </w:r>
      <w:proofErr w:type="gramStart"/>
      <w:r w:rsidRPr="00E46894">
        <w:rPr>
          <w:rFonts w:eastAsia="Times New Roman"/>
          <w:bCs/>
          <w:sz w:val="22"/>
          <w:szCs w:val="22"/>
          <w:lang w:eastAsia="en-AU"/>
        </w:rPr>
        <w:t>A(</w:t>
      </w:r>
      <w:proofErr w:type="gramEnd"/>
      <w:r w:rsidRPr="00E46894">
        <w:rPr>
          <w:rFonts w:eastAsia="Times New Roman"/>
          <w:bCs/>
          <w:sz w:val="22"/>
          <w:szCs w:val="22"/>
          <w:lang w:eastAsia="en-AU"/>
        </w:rPr>
        <w:t>3) provides that a health practitioner is authorised to supply a therapeutic good that is within the class of therapeutic goods specified column 2 of an item in the table in Schedule 1A, to a patient of a treating practitioner, provided that the supply is requested by the treating practitioner and the other circumstances specified in that subsection are met. These include that the conditions specified in subsection 5</w:t>
      </w:r>
      <w:proofErr w:type="gramStart"/>
      <w:r w:rsidRPr="00E46894">
        <w:rPr>
          <w:rFonts w:eastAsia="Times New Roman"/>
          <w:bCs/>
          <w:sz w:val="22"/>
          <w:szCs w:val="22"/>
          <w:lang w:eastAsia="en-AU"/>
        </w:rPr>
        <w:t>A(</w:t>
      </w:r>
      <w:proofErr w:type="gramEnd"/>
      <w:r w:rsidRPr="00E46894">
        <w:rPr>
          <w:rFonts w:eastAsia="Times New Roman"/>
          <w:bCs/>
          <w:sz w:val="22"/>
          <w:szCs w:val="22"/>
          <w:lang w:eastAsia="en-AU"/>
        </w:rPr>
        <w:t>4) are satisfied.</w:t>
      </w:r>
    </w:p>
    <w:p w14:paraId="4A06C6E6" w14:textId="6EC6AB82" w:rsidR="00C24DD4" w:rsidRPr="00E46894" w:rsidRDefault="00C24DD4" w:rsidP="000C22F7">
      <w:pPr>
        <w:spacing w:after="0" w:line="240" w:lineRule="auto"/>
        <w:contextualSpacing/>
        <w:rPr>
          <w:rFonts w:eastAsia="Times New Roman"/>
          <w:bCs/>
          <w:sz w:val="22"/>
          <w:szCs w:val="22"/>
          <w:lang w:eastAsia="en-AU"/>
        </w:rPr>
      </w:pPr>
    </w:p>
    <w:p w14:paraId="56AE87FF" w14:textId="3DCF51BF" w:rsidR="00C24DD4" w:rsidRPr="00E46894" w:rsidRDefault="00C24DD4" w:rsidP="00BB7279">
      <w:pPr>
        <w:keepNext/>
        <w:spacing w:after="0" w:line="240" w:lineRule="auto"/>
        <w:contextualSpacing/>
        <w:rPr>
          <w:rFonts w:eastAsia="Times New Roman"/>
          <w:bCs/>
          <w:sz w:val="22"/>
          <w:szCs w:val="22"/>
          <w:lang w:eastAsia="en-AU"/>
        </w:rPr>
      </w:pPr>
      <w:r w:rsidRPr="00E46894">
        <w:rPr>
          <w:rFonts w:eastAsia="Times New Roman"/>
          <w:b/>
          <w:sz w:val="22"/>
          <w:szCs w:val="22"/>
          <w:lang w:eastAsia="en-AU"/>
        </w:rPr>
        <w:t xml:space="preserve">Item </w:t>
      </w:r>
      <w:r w:rsidR="00DA42A9" w:rsidRPr="00E46894">
        <w:rPr>
          <w:rFonts w:eastAsia="Times New Roman"/>
          <w:b/>
          <w:sz w:val="22"/>
          <w:szCs w:val="22"/>
          <w:lang w:eastAsia="en-AU"/>
        </w:rPr>
        <w:t>7</w:t>
      </w:r>
      <w:r w:rsidRPr="00E46894">
        <w:rPr>
          <w:rFonts w:eastAsia="Times New Roman"/>
          <w:b/>
          <w:sz w:val="22"/>
          <w:szCs w:val="22"/>
          <w:lang w:eastAsia="en-AU"/>
        </w:rPr>
        <w:t xml:space="preserve"> – After Schedule 1</w:t>
      </w:r>
    </w:p>
    <w:p w14:paraId="68CC2ADF" w14:textId="77777777" w:rsidR="00C57A4C" w:rsidRPr="00E46894" w:rsidRDefault="00C57A4C" w:rsidP="00BB7279">
      <w:pPr>
        <w:keepNext/>
        <w:spacing w:after="0" w:line="240" w:lineRule="auto"/>
        <w:contextualSpacing/>
        <w:rPr>
          <w:rFonts w:eastAsia="Times New Roman"/>
          <w:bCs/>
          <w:sz w:val="22"/>
          <w:szCs w:val="22"/>
          <w:lang w:eastAsia="en-AU"/>
        </w:rPr>
      </w:pPr>
    </w:p>
    <w:p w14:paraId="1924C3A1" w14:textId="41CCCC73" w:rsidR="00C24DD4" w:rsidRPr="00E46894" w:rsidRDefault="00C24DD4" w:rsidP="00BB7279">
      <w:pPr>
        <w:keepNext/>
        <w:spacing w:after="0" w:line="240" w:lineRule="auto"/>
        <w:contextualSpacing/>
        <w:rPr>
          <w:rFonts w:eastAsia="Times New Roman"/>
          <w:bCs/>
          <w:sz w:val="22"/>
          <w:szCs w:val="22"/>
          <w:lang w:eastAsia="en-AU"/>
        </w:rPr>
      </w:pPr>
      <w:r w:rsidRPr="00E46894">
        <w:rPr>
          <w:rFonts w:eastAsia="Times New Roman"/>
          <w:bCs/>
          <w:sz w:val="22"/>
          <w:szCs w:val="22"/>
          <w:lang w:eastAsia="en-AU"/>
        </w:rPr>
        <w:t>This item</w:t>
      </w:r>
      <w:r w:rsidR="00B34E44" w:rsidRPr="00E46894">
        <w:rPr>
          <w:rFonts w:eastAsia="Times New Roman"/>
          <w:bCs/>
          <w:sz w:val="22"/>
          <w:szCs w:val="22"/>
          <w:lang w:eastAsia="en-AU"/>
        </w:rPr>
        <w:t xml:space="preserve"> introduces new Schedule 1A</w:t>
      </w:r>
      <w:r w:rsidR="00B76450" w:rsidRPr="00E46894">
        <w:rPr>
          <w:rFonts w:eastAsia="Times New Roman"/>
          <w:bCs/>
          <w:sz w:val="22"/>
          <w:szCs w:val="22"/>
          <w:lang w:eastAsia="en-AU"/>
        </w:rPr>
        <w:t xml:space="preserve"> </w:t>
      </w:r>
      <w:r w:rsidR="00B34E44" w:rsidRPr="00E46894">
        <w:rPr>
          <w:rFonts w:eastAsia="Times New Roman"/>
          <w:bCs/>
          <w:sz w:val="22"/>
          <w:szCs w:val="22"/>
          <w:lang w:eastAsia="en-AU"/>
        </w:rPr>
        <w:t xml:space="preserve">to the </w:t>
      </w:r>
      <w:r w:rsidR="000329D2" w:rsidRPr="00E46894">
        <w:rPr>
          <w:rFonts w:eastAsia="Times New Roman"/>
          <w:bCs/>
          <w:sz w:val="22"/>
          <w:szCs w:val="22"/>
          <w:lang w:eastAsia="en-AU"/>
        </w:rPr>
        <w:t xml:space="preserve">Principal </w:t>
      </w:r>
      <w:r w:rsidR="00B34E44" w:rsidRPr="00E46894">
        <w:rPr>
          <w:rFonts w:eastAsia="Times New Roman"/>
          <w:bCs/>
          <w:sz w:val="22"/>
          <w:szCs w:val="22"/>
          <w:lang w:eastAsia="en-AU"/>
        </w:rPr>
        <w:t>Rules.</w:t>
      </w:r>
    </w:p>
    <w:p w14:paraId="030AF468" w14:textId="151FC816" w:rsidR="00B34E44" w:rsidRPr="00E46894" w:rsidRDefault="00B34E44" w:rsidP="000C22F7">
      <w:pPr>
        <w:spacing w:after="0" w:line="240" w:lineRule="auto"/>
        <w:contextualSpacing/>
        <w:rPr>
          <w:rFonts w:eastAsia="Times New Roman"/>
          <w:bCs/>
          <w:sz w:val="22"/>
          <w:szCs w:val="22"/>
          <w:lang w:eastAsia="en-AU"/>
        </w:rPr>
      </w:pPr>
    </w:p>
    <w:p w14:paraId="5A302131" w14:textId="228E6B03" w:rsidR="0024528B" w:rsidRPr="00E46894" w:rsidRDefault="00415E36" w:rsidP="000C22F7">
      <w:pPr>
        <w:spacing w:after="0" w:line="240" w:lineRule="auto"/>
        <w:contextualSpacing/>
        <w:rPr>
          <w:rFonts w:eastAsia="Times New Roman"/>
          <w:bCs/>
          <w:sz w:val="22"/>
          <w:szCs w:val="22"/>
          <w:lang w:eastAsia="en-AU"/>
        </w:rPr>
      </w:pPr>
      <w:r w:rsidRPr="00E46894">
        <w:rPr>
          <w:rFonts w:eastAsia="Times New Roman"/>
          <w:bCs/>
          <w:sz w:val="22"/>
          <w:szCs w:val="22"/>
          <w:lang w:eastAsia="en-AU"/>
        </w:rPr>
        <w:t>Schedule 1A specifies the goods for the purposes of new section 5A with reference to the class of goods, dosage form, route of administration and indication in relation to th</w:t>
      </w:r>
      <w:r w:rsidR="00183A2D" w:rsidRPr="00E46894">
        <w:rPr>
          <w:rFonts w:eastAsia="Times New Roman"/>
          <w:bCs/>
          <w:sz w:val="22"/>
          <w:szCs w:val="22"/>
          <w:lang w:eastAsia="en-AU"/>
        </w:rPr>
        <w:t>os</w:t>
      </w:r>
      <w:r w:rsidRPr="00E46894">
        <w:rPr>
          <w:rFonts w:eastAsia="Times New Roman"/>
          <w:bCs/>
          <w:sz w:val="22"/>
          <w:szCs w:val="22"/>
          <w:lang w:eastAsia="en-AU"/>
        </w:rPr>
        <w:t>e goods.</w:t>
      </w:r>
      <w:r w:rsidR="0024528B" w:rsidRPr="00E46894">
        <w:rPr>
          <w:rFonts w:eastAsia="Times New Roman"/>
          <w:bCs/>
          <w:sz w:val="22"/>
          <w:szCs w:val="22"/>
          <w:lang w:eastAsia="en-AU"/>
        </w:rPr>
        <w:t xml:space="preserve"> For example, item 1 in the table in Schedule 1A, authorises the supply of certain </w:t>
      </w:r>
      <w:r w:rsidR="00C5581C" w:rsidRPr="00E46894">
        <w:rPr>
          <w:rFonts w:eastAsia="Times New Roman"/>
          <w:bCs/>
          <w:sz w:val="22"/>
          <w:szCs w:val="22"/>
          <w:lang w:eastAsia="en-AU"/>
        </w:rPr>
        <w:t>therapeuti</w:t>
      </w:r>
      <w:r w:rsidR="005F3D2F" w:rsidRPr="00E46894">
        <w:rPr>
          <w:rFonts w:eastAsia="Times New Roman"/>
          <w:bCs/>
          <w:sz w:val="22"/>
          <w:szCs w:val="22"/>
          <w:lang w:eastAsia="en-AU"/>
        </w:rPr>
        <w:t>c</w:t>
      </w:r>
      <w:r w:rsidR="0024528B" w:rsidRPr="00E46894">
        <w:rPr>
          <w:rFonts w:eastAsia="Times New Roman"/>
          <w:bCs/>
          <w:sz w:val="22"/>
          <w:szCs w:val="22"/>
          <w:lang w:eastAsia="en-AU"/>
        </w:rPr>
        <w:t xml:space="preserve"> vaping substances</w:t>
      </w:r>
      <w:r w:rsidR="00C5581C" w:rsidRPr="00E46894">
        <w:rPr>
          <w:rFonts w:eastAsia="Times New Roman"/>
          <w:bCs/>
          <w:sz w:val="22"/>
          <w:szCs w:val="22"/>
          <w:lang w:eastAsia="en-AU"/>
        </w:rPr>
        <w:t xml:space="preserve"> </w:t>
      </w:r>
      <w:r w:rsidR="00183A2D" w:rsidRPr="00E46894">
        <w:rPr>
          <w:rFonts w:eastAsia="Times New Roman"/>
          <w:bCs/>
          <w:sz w:val="22"/>
          <w:szCs w:val="22"/>
          <w:lang w:eastAsia="en-AU"/>
        </w:rPr>
        <w:t xml:space="preserve">and therapeutic vaping substance accessories </w:t>
      </w:r>
      <w:r w:rsidR="00C5581C" w:rsidRPr="00E46894">
        <w:rPr>
          <w:rFonts w:eastAsia="Times New Roman"/>
          <w:bCs/>
          <w:sz w:val="22"/>
          <w:szCs w:val="22"/>
          <w:lang w:eastAsia="en-AU"/>
        </w:rPr>
        <w:t>that contain nicotine as the only active ingredient</w:t>
      </w:r>
      <w:r w:rsidR="0024528B" w:rsidRPr="00E46894">
        <w:rPr>
          <w:rFonts w:eastAsia="Times New Roman"/>
          <w:bCs/>
          <w:sz w:val="22"/>
          <w:szCs w:val="22"/>
          <w:lang w:eastAsia="en-AU"/>
        </w:rPr>
        <w:t>, in a solid or liquid dosage form</w:t>
      </w:r>
      <w:r w:rsidR="008A0002" w:rsidRPr="00E46894">
        <w:rPr>
          <w:rFonts w:eastAsia="Times New Roman"/>
          <w:bCs/>
          <w:sz w:val="22"/>
          <w:szCs w:val="22"/>
          <w:lang w:eastAsia="en-AU"/>
        </w:rPr>
        <w:t xml:space="preserve">. These goods </w:t>
      </w:r>
      <w:r w:rsidR="0024528B" w:rsidRPr="00E46894">
        <w:rPr>
          <w:rFonts w:eastAsia="Times New Roman"/>
          <w:bCs/>
          <w:sz w:val="22"/>
          <w:szCs w:val="22"/>
          <w:lang w:eastAsia="en-AU"/>
        </w:rPr>
        <w:t>are</w:t>
      </w:r>
      <w:r w:rsidR="00782F6F" w:rsidRPr="00E46894">
        <w:rPr>
          <w:rFonts w:eastAsia="Times New Roman"/>
          <w:bCs/>
          <w:sz w:val="22"/>
          <w:szCs w:val="22"/>
          <w:lang w:eastAsia="en-AU"/>
        </w:rPr>
        <w:t xml:space="preserve"> inhaled and </w:t>
      </w:r>
      <w:r w:rsidR="008A0002" w:rsidRPr="00E46894">
        <w:rPr>
          <w:rFonts w:eastAsia="Times New Roman"/>
          <w:bCs/>
          <w:sz w:val="22"/>
          <w:szCs w:val="22"/>
          <w:lang w:eastAsia="en-AU"/>
        </w:rPr>
        <w:t xml:space="preserve">indicated </w:t>
      </w:r>
      <w:r w:rsidR="004E41BC" w:rsidRPr="00E46894">
        <w:rPr>
          <w:rFonts w:eastAsia="Times New Roman"/>
          <w:bCs/>
          <w:sz w:val="22"/>
          <w:szCs w:val="22"/>
          <w:lang w:eastAsia="en-AU"/>
        </w:rPr>
        <w:t>for</w:t>
      </w:r>
      <w:r w:rsidR="005F3D2F" w:rsidRPr="00E46894">
        <w:rPr>
          <w:rFonts w:eastAsia="Times New Roman"/>
          <w:bCs/>
          <w:sz w:val="22"/>
          <w:szCs w:val="22"/>
          <w:lang w:eastAsia="en-AU"/>
        </w:rPr>
        <w:t xml:space="preserve"> smoking cessation</w:t>
      </w:r>
      <w:r w:rsidR="0024528B" w:rsidRPr="00E46894">
        <w:rPr>
          <w:rFonts w:eastAsia="Times New Roman"/>
          <w:bCs/>
          <w:sz w:val="22"/>
          <w:szCs w:val="22"/>
          <w:lang w:eastAsia="en-AU"/>
        </w:rPr>
        <w:t xml:space="preserve"> or the management of nicotine dependence.</w:t>
      </w:r>
    </w:p>
    <w:p w14:paraId="70E90502" w14:textId="424CCBCE" w:rsidR="00782F6F" w:rsidRPr="00E46894" w:rsidRDefault="00782F6F" w:rsidP="000C22F7">
      <w:pPr>
        <w:spacing w:after="0" w:line="240" w:lineRule="auto"/>
        <w:contextualSpacing/>
        <w:rPr>
          <w:rFonts w:eastAsia="Times New Roman"/>
          <w:bCs/>
          <w:sz w:val="22"/>
          <w:szCs w:val="22"/>
          <w:lang w:eastAsia="en-AU"/>
        </w:rPr>
      </w:pPr>
    </w:p>
    <w:p w14:paraId="173383D1" w14:textId="18EE3F67" w:rsidR="00782F6F" w:rsidRPr="00E46894" w:rsidRDefault="00782F6F" w:rsidP="000C22F7">
      <w:pPr>
        <w:spacing w:after="0" w:line="240" w:lineRule="auto"/>
        <w:contextualSpacing/>
        <w:rPr>
          <w:rFonts w:eastAsia="Times New Roman"/>
          <w:bCs/>
          <w:sz w:val="22"/>
          <w:szCs w:val="22"/>
          <w:lang w:eastAsia="en-AU"/>
        </w:rPr>
      </w:pPr>
      <w:r w:rsidRPr="00E46894">
        <w:rPr>
          <w:rFonts w:eastAsia="Times New Roman"/>
          <w:bCs/>
          <w:sz w:val="22"/>
          <w:szCs w:val="22"/>
          <w:lang w:eastAsia="en-AU"/>
        </w:rPr>
        <w:t xml:space="preserve">The items in new Schedule 1A </w:t>
      </w:r>
      <w:r w:rsidR="008A0002" w:rsidRPr="00E46894">
        <w:rPr>
          <w:rFonts w:eastAsia="Times New Roman"/>
          <w:bCs/>
          <w:sz w:val="22"/>
          <w:szCs w:val="22"/>
          <w:lang w:eastAsia="en-AU"/>
        </w:rPr>
        <w:t xml:space="preserve">also </w:t>
      </w:r>
      <w:r w:rsidRPr="00E46894">
        <w:rPr>
          <w:rFonts w:eastAsia="Times New Roman"/>
          <w:bCs/>
          <w:sz w:val="22"/>
          <w:szCs w:val="22"/>
          <w:lang w:eastAsia="en-AU"/>
        </w:rPr>
        <w:t xml:space="preserve">include </w:t>
      </w:r>
      <w:r w:rsidR="00C5581C" w:rsidRPr="00E46894">
        <w:rPr>
          <w:rFonts w:eastAsia="Times New Roman"/>
          <w:bCs/>
          <w:sz w:val="22"/>
          <w:szCs w:val="22"/>
          <w:lang w:eastAsia="en-AU"/>
        </w:rPr>
        <w:t xml:space="preserve">therapeutic </w:t>
      </w:r>
      <w:r w:rsidR="005F3D2F" w:rsidRPr="00E46894">
        <w:rPr>
          <w:rFonts w:eastAsia="Times New Roman"/>
          <w:bCs/>
          <w:sz w:val="22"/>
          <w:szCs w:val="22"/>
          <w:lang w:eastAsia="en-AU"/>
        </w:rPr>
        <w:t xml:space="preserve">vaping </w:t>
      </w:r>
      <w:r w:rsidRPr="00E46894">
        <w:rPr>
          <w:rFonts w:eastAsia="Times New Roman"/>
          <w:bCs/>
          <w:sz w:val="22"/>
          <w:szCs w:val="22"/>
          <w:lang w:eastAsia="en-AU"/>
        </w:rPr>
        <w:t>substances</w:t>
      </w:r>
      <w:r w:rsidR="008A0002" w:rsidRPr="00E46894">
        <w:rPr>
          <w:rFonts w:eastAsia="Times New Roman"/>
          <w:bCs/>
          <w:sz w:val="22"/>
          <w:szCs w:val="22"/>
          <w:lang w:eastAsia="en-AU"/>
        </w:rPr>
        <w:t xml:space="preserve"> and therapeutic vaping substance accessories</w:t>
      </w:r>
      <w:r w:rsidR="005F3D2F" w:rsidRPr="00E46894">
        <w:rPr>
          <w:rFonts w:eastAsia="Times New Roman"/>
          <w:bCs/>
          <w:sz w:val="22"/>
          <w:szCs w:val="22"/>
          <w:lang w:eastAsia="en-AU"/>
        </w:rPr>
        <w:t xml:space="preserve"> that do not </w:t>
      </w:r>
      <w:r w:rsidR="008A0002" w:rsidRPr="00E46894">
        <w:rPr>
          <w:rFonts w:eastAsia="Times New Roman"/>
          <w:bCs/>
          <w:sz w:val="22"/>
          <w:szCs w:val="22"/>
          <w:lang w:eastAsia="en-AU"/>
        </w:rPr>
        <w:t xml:space="preserve">contain </w:t>
      </w:r>
      <w:r w:rsidR="00453460" w:rsidRPr="00E46894">
        <w:rPr>
          <w:rFonts w:eastAsia="Times New Roman"/>
          <w:bCs/>
          <w:sz w:val="22"/>
          <w:szCs w:val="22"/>
          <w:lang w:eastAsia="en-AU"/>
        </w:rPr>
        <w:t>any active ingredient</w:t>
      </w:r>
      <w:r w:rsidR="008A0002" w:rsidRPr="00E46894">
        <w:rPr>
          <w:rFonts w:eastAsia="Times New Roman"/>
          <w:bCs/>
          <w:sz w:val="22"/>
          <w:szCs w:val="22"/>
          <w:lang w:eastAsia="en-AU"/>
        </w:rPr>
        <w:t>s</w:t>
      </w:r>
      <w:r w:rsidRPr="00E46894">
        <w:rPr>
          <w:rFonts w:eastAsia="Times New Roman"/>
          <w:bCs/>
          <w:sz w:val="22"/>
          <w:szCs w:val="22"/>
          <w:lang w:eastAsia="en-AU"/>
        </w:rPr>
        <w:t xml:space="preserve">, therapeutic vaping kits and goods in </w:t>
      </w:r>
      <w:r w:rsidR="008A0002" w:rsidRPr="00E46894">
        <w:rPr>
          <w:rFonts w:eastAsia="Times New Roman"/>
          <w:bCs/>
          <w:sz w:val="22"/>
          <w:szCs w:val="22"/>
          <w:lang w:eastAsia="en-AU"/>
        </w:rPr>
        <w:t xml:space="preserve">a </w:t>
      </w:r>
      <w:r w:rsidRPr="00E46894">
        <w:rPr>
          <w:rFonts w:eastAsia="Times New Roman"/>
          <w:bCs/>
          <w:sz w:val="22"/>
          <w:szCs w:val="22"/>
          <w:lang w:eastAsia="en-AU"/>
        </w:rPr>
        <w:t xml:space="preserve">therapeutic vaping pack. </w:t>
      </w:r>
      <w:r w:rsidR="008A0002" w:rsidRPr="00E46894">
        <w:rPr>
          <w:rFonts w:eastAsia="Times New Roman"/>
          <w:bCs/>
          <w:sz w:val="22"/>
          <w:szCs w:val="22"/>
          <w:lang w:eastAsia="en-AU"/>
        </w:rPr>
        <w:t xml:space="preserve">These </w:t>
      </w:r>
      <w:r w:rsidRPr="00E46894">
        <w:rPr>
          <w:rFonts w:eastAsia="Times New Roman"/>
          <w:bCs/>
          <w:sz w:val="22"/>
          <w:szCs w:val="22"/>
          <w:lang w:eastAsia="en-AU"/>
        </w:rPr>
        <w:t xml:space="preserve">goods </w:t>
      </w:r>
      <w:r w:rsidR="008A0002" w:rsidRPr="00E46894">
        <w:rPr>
          <w:rFonts w:eastAsia="Times New Roman"/>
          <w:bCs/>
          <w:sz w:val="22"/>
          <w:szCs w:val="22"/>
          <w:lang w:eastAsia="en-AU"/>
        </w:rPr>
        <w:t xml:space="preserve">are </w:t>
      </w:r>
      <w:r w:rsidR="004F1509" w:rsidRPr="00E46894">
        <w:rPr>
          <w:rFonts w:eastAsia="Times New Roman"/>
          <w:bCs/>
          <w:sz w:val="22"/>
          <w:szCs w:val="22"/>
          <w:lang w:eastAsia="en-AU"/>
        </w:rPr>
        <w:t>identified</w:t>
      </w:r>
      <w:r w:rsidR="008A0002" w:rsidRPr="00E46894">
        <w:rPr>
          <w:rFonts w:eastAsia="Times New Roman"/>
          <w:bCs/>
          <w:sz w:val="22"/>
          <w:szCs w:val="22"/>
          <w:lang w:eastAsia="en-AU"/>
        </w:rPr>
        <w:t xml:space="preserve"> as being </w:t>
      </w:r>
      <w:r w:rsidRPr="00E46894">
        <w:rPr>
          <w:rFonts w:eastAsia="Times New Roman"/>
          <w:sz w:val="22"/>
          <w:szCs w:val="22"/>
          <w:lang w:eastAsia="en-AU"/>
        </w:rPr>
        <w:t>the subject of a noti</w:t>
      </w:r>
      <w:r w:rsidR="00D356C3" w:rsidRPr="00E46894">
        <w:rPr>
          <w:rFonts w:eastAsia="Times New Roman"/>
          <w:sz w:val="22"/>
          <w:szCs w:val="22"/>
          <w:lang w:eastAsia="en-AU"/>
        </w:rPr>
        <w:t>ce</w:t>
      </w:r>
      <w:r w:rsidRPr="00E46894">
        <w:rPr>
          <w:rFonts w:eastAsia="Times New Roman"/>
          <w:sz w:val="22"/>
          <w:szCs w:val="22"/>
          <w:lang w:eastAsia="en-AU"/>
        </w:rPr>
        <w:t xml:space="preserve"> under item 15 in Schedule 5A to the Regulations and not the subject of a determination by the Secretary under item 15 in Schedule 5A to the Regulations. This is to ensure that the goods </w:t>
      </w:r>
      <w:r w:rsidR="004F1509" w:rsidRPr="00E46894">
        <w:rPr>
          <w:rFonts w:eastAsia="Times New Roman"/>
          <w:sz w:val="22"/>
          <w:szCs w:val="22"/>
          <w:lang w:eastAsia="en-AU"/>
        </w:rPr>
        <w:t xml:space="preserve">that may be </w:t>
      </w:r>
      <w:r w:rsidRPr="00E46894">
        <w:rPr>
          <w:rFonts w:eastAsia="Times New Roman"/>
          <w:sz w:val="22"/>
          <w:szCs w:val="22"/>
          <w:lang w:eastAsia="en-AU"/>
        </w:rPr>
        <w:t xml:space="preserve">accessed </w:t>
      </w:r>
      <w:r w:rsidR="00366A3C" w:rsidRPr="00E46894">
        <w:rPr>
          <w:rFonts w:eastAsia="Times New Roman"/>
          <w:sz w:val="22"/>
          <w:szCs w:val="22"/>
          <w:lang w:eastAsia="en-AU"/>
        </w:rPr>
        <w:t xml:space="preserve">under the </w:t>
      </w:r>
      <w:r w:rsidRPr="00E46894">
        <w:rPr>
          <w:rFonts w:eastAsia="Times New Roman"/>
          <w:sz w:val="22"/>
          <w:szCs w:val="22"/>
          <w:lang w:eastAsia="en-AU"/>
        </w:rPr>
        <w:t xml:space="preserve">SAS C pathway </w:t>
      </w:r>
      <w:proofErr w:type="gramStart"/>
      <w:r w:rsidR="004F1509" w:rsidRPr="00E46894">
        <w:rPr>
          <w:rFonts w:eastAsia="Times New Roman"/>
          <w:sz w:val="22"/>
          <w:szCs w:val="22"/>
          <w:lang w:eastAsia="en-AU"/>
        </w:rPr>
        <w:t>as a consequence of</w:t>
      </w:r>
      <w:proofErr w:type="gramEnd"/>
      <w:r w:rsidR="004F1509" w:rsidRPr="00E46894">
        <w:rPr>
          <w:rFonts w:eastAsia="Times New Roman"/>
          <w:sz w:val="22"/>
          <w:szCs w:val="22"/>
          <w:lang w:eastAsia="en-AU"/>
        </w:rPr>
        <w:t xml:space="preserve"> the Amendment Rules </w:t>
      </w:r>
      <w:r w:rsidR="008A0002" w:rsidRPr="00E46894">
        <w:rPr>
          <w:rFonts w:eastAsia="Times New Roman"/>
          <w:sz w:val="22"/>
          <w:szCs w:val="22"/>
          <w:lang w:eastAsia="en-AU"/>
        </w:rPr>
        <w:t xml:space="preserve">are those that have been notified </w:t>
      </w:r>
      <w:r w:rsidR="004F1509" w:rsidRPr="00E46894">
        <w:rPr>
          <w:rFonts w:eastAsia="Times New Roman"/>
          <w:sz w:val="22"/>
          <w:szCs w:val="22"/>
          <w:lang w:eastAsia="en-AU"/>
        </w:rPr>
        <w:t xml:space="preserve">to the Secretary as having met </w:t>
      </w:r>
      <w:r w:rsidRPr="00E46894">
        <w:rPr>
          <w:rFonts w:eastAsia="Times New Roman"/>
          <w:sz w:val="22"/>
          <w:szCs w:val="22"/>
          <w:lang w:eastAsia="en-AU"/>
        </w:rPr>
        <w:t xml:space="preserve">minimum </w:t>
      </w:r>
      <w:r w:rsidR="004F1509" w:rsidRPr="00E46894">
        <w:rPr>
          <w:rFonts w:eastAsia="Times New Roman"/>
          <w:sz w:val="22"/>
          <w:szCs w:val="22"/>
          <w:lang w:eastAsia="en-AU"/>
        </w:rPr>
        <w:t xml:space="preserve">quality and </w:t>
      </w:r>
      <w:r w:rsidRPr="00E46894">
        <w:rPr>
          <w:rFonts w:eastAsia="Times New Roman"/>
          <w:sz w:val="22"/>
          <w:szCs w:val="22"/>
          <w:lang w:eastAsia="en-AU"/>
        </w:rPr>
        <w:t xml:space="preserve">safety </w:t>
      </w:r>
      <w:r w:rsidR="004F1509" w:rsidRPr="00E46894">
        <w:rPr>
          <w:rFonts w:eastAsia="Times New Roman"/>
          <w:sz w:val="22"/>
          <w:szCs w:val="22"/>
          <w:lang w:eastAsia="en-AU"/>
        </w:rPr>
        <w:t>standards</w:t>
      </w:r>
      <w:r w:rsidRPr="00E46894">
        <w:rPr>
          <w:rFonts w:eastAsia="Times New Roman"/>
          <w:sz w:val="22"/>
          <w:szCs w:val="22"/>
          <w:lang w:eastAsia="en-AU"/>
        </w:rPr>
        <w:t>.</w:t>
      </w:r>
    </w:p>
    <w:p w14:paraId="06E282A8" w14:textId="2C27B04D" w:rsidR="00C24DD4" w:rsidRPr="00E46894" w:rsidRDefault="00C24DD4" w:rsidP="000C22F7">
      <w:pPr>
        <w:spacing w:after="0" w:line="240" w:lineRule="auto"/>
        <w:contextualSpacing/>
        <w:rPr>
          <w:rFonts w:eastAsia="Times New Roman"/>
          <w:bCs/>
          <w:sz w:val="22"/>
          <w:szCs w:val="22"/>
          <w:lang w:eastAsia="en-AU"/>
        </w:rPr>
      </w:pPr>
    </w:p>
    <w:p w14:paraId="365F6683" w14:textId="0703163B" w:rsidR="00DA42A9" w:rsidRPr="00E46894" w:rsidRDefault="00DA42A9" w:rsidP="00BB7279">
      <w:pPr>
        <w:keepNext/>
        <w:spacing w:after="0" w:line="240" w:lineRule="auto"/>
        <w:contextualSpacing/>
        <w:rPr>
          <w:rFonts w:eastAsia="Times New Roman"/>
          <w:bCs/>
          <w:sz w:val="22"/>
          <w:szCs w:val="22"/>
          <w:lang w:eastAsia="en-AU"/>
        </w:rPr>
      </w:pPr>
      <w:r w:rsidRPr="00E46894">
        <w:rPr>
          <w:i/>
          <w:iCs/>
          <w:color w:val="000000"/>
          <w:sz w:val="22"/>
          <w:szCs w:val="22"/>
          <w:shd w:val="clear" w:color="auto" w:fill="FFFFFF"/>
        </w:rPr>
        <w:t>Therapeutic Goods (Biologicals—Authorised Supply) Rules 2022</w:t>
      </w:r>
    </w:p>
    <w:p w14:paraId="04EC87C9" w14:textId="77777777" w:rsidR="00DA42A9" w:rsidRPr="00E46894" w:rsidRDefault="00DA42A9" w:rsidP="00BB7279">
      <w:pPr>
        <w:keepNext/>
        <w:spacing w:after="0" w:line="240" w:lineRule="auto"/>
        <w:contextualSpacing/>
        <w:rPr>
          <w:rFonts w:eastAsia="Times New Roman"/>
          <w:bCs/>
          <w:sz w:val="22"/>
          <w:szCs w:val="22"/>
          <w:lang w:eastAsia="en-AU"/>
        </w:rPr>
      </w:pPr>
    </w:p>
    <w:p w14:paraId="0121D57B" w14:textId="77777777" w:rsidR="00DA42A9" w:rsidRPr="00E46894" w:rsidRDefault="00DA42A9" w:rsidP="00BB7279">
      <w:pPr>
        <w:keepNext/>
        <w:spacing w:after="0" w:line="240" w:lineRule="auto"/>
        <w:contextualSpacing/>
        <w:rPr>
          <w:rFonts w:eastAsia="Times New Roman"/>
          <w:bCs/>
          <w:sz w:val="22"/>
          <w:szCs w:val="22"/>
          <w:lang w:eastAsia="en-AU"/>
        </w:rPr>
      </w:pPr>
      <w:r w:rsidRPr="00E46894">
        <w:rPr>
          <w:rFonts w:eastAsia="Times New Roman"/>
          <w:b/>
          <w:sz w:val="22"/>
          <w:szCs w:val="22"/>
          <w:lang w:eastAsia="en-AU"/>
        </w:rPr>
        <w:t xml:space="preserve">Item 8 – Section 4 (definition of </w:t>
      </w:r>
      <w:r w:rsidRPr="00E46894">
        <w:rPr>
          <w:rFonts w:eastAsia="Times New Roman"/>
          <w:b/>
          <w:i/>
          <w:iCs/>
          <w:sz w:val="22"/>
          <w:szCs w:val="22"/>
          <w:lang w:eastAsia="en-AU"/>
        </w:rPr>
        <w:t>SAS Guidance</w:t>
      </w:r>
      <w:r w:rsidRPr="00E46894">
        <w:rPr>
          <w:rFonts w:eastAsia="Times New Roman"/>
          <w:b/>
          <w:sz w:val="22"/>
          <w:szCs w:val="22"/>
          <w:lang w:eastAsia="en-AU"/>
        </w:rPr>
        <w:t>)</w:t>
      </w:r>
    </w:p>
    <w:p w14:paraId="34E9EDC5" w14:textId="77777777" w:rsidR="00C57A4C" w:rsidRPr="00E46894" w:rsidRDefault="00C57A4C" w:rsidP="00BB7279">
      <w:pPr>
        <w:keepNext/>
        <w:spacing w:after="0" w:line="240" w:lineRule="auto"/>
        <w:contextualSpacing/>
        <w:rPr>
          <w:rFonts w:eastAsia="Times New Roman"/>
          <w:bCs/>
          <w:sz w:val="22"/>
          <w:szCs w:val="22"/>
          <w:lang w:eastAsia="en-AU"/>
        </w:rPr>
      </w:pPr>
    </w:p>
    <w:p w14:paraId="765E94F5" w14:textId="7B9597B5" w:rsidR="000F58BA" w:rsidRPr="00E46894" w:rsidRDefault="000F58BA" w:rsidP="00BB7279">
      <w:pPr>
        <w:keepNext/>
        <w:spacing w:after="0" w:line="240" w:lineRule="auto"/>
        <w:contextualSpacing/>
        <w:rPr>
          <w:rFonts w:eastAsia="Times New Roman"/>
          <w:bCs/>
          <w:sz w:val="22"/>
          <w:szCs w:val="22"/>
          <w:lang w:eastAsia="en-AU"/>
        </w:rPr>
      </w:pPr>
      <w:r w:rsidRPr="00E46894">
        <w:rPr>
          <w:rFonts w:eastAsia="Times New Roman"/>
          <w:bCs/>
          <w:sz w:val="22"/>
          <w:szCs w:val="22"/>
          <w:lang w:eastAsia="en-AU"/>
        </w:rPr>
        <w:t xml:space="preserve">This item repeals and substitutes the definition of ‘SAS Guidance’ in section 4 of the Biologicals Rules to reflect that ‘SAS Guidance’ means the updated </w:t>
      </w:r>
      <w:r w:rsidR="00782F6F" w:rsidRPr="00E46894">
        <w:rPr>
          <w:rFonts w:eastAsia="Times New Roman"/>
          <w:bCs/>
          <w:sz w:val="22"/>
          <w:szCs w:val="22"/>
          <w:lang w:eastAsia="en-AU"/>
        </w:rPr>
        <w:t xml:space="preserve">guidance </w:t>
      </w:r>
      <w:r w:rsidR="00C944F1" w:rsidRPr="00E46894">
        <w:rPr>
          <w:rFonts w:eastAsia="Times New Roman"/>
          <w:sz w:val="22"/>
          <w:szCs w:val="22"/>
          <w:lang w:eastAsia="en-AU"/>
        </w:rPr>
        <w:t xml:space="preserve">titled </w:t>
      </w:r>
      <w:r w:rsidR="00C944F1" w:rsidRPr="00E46894">
        <w:rPr>
          <w:rFonts w:eastAsia="Times New Roman"/>
          <w:i/>
          <w:iCs/>
          <w:sz w:val="22"/>
          <w:szCs w:val="22"/>
          <w:lang w:eastAsia="en-AU"/>
        </w:rPr>
        <w:t xml:space="preserve">Special Access Scheme (SAS): Guidance for health practitioners accessing unapproved therapeutic goods </w:t>
      </w:r>
      <w:r w:rsidR="00C944F1" w:rsidRPr="00E46894">
        <w:rPr>
          <w:rFonts w:eastAsia="Times New Roman"/>
          <w:sz w:val="22"/>
          <w:szCs w:val="22"/>
          <w:lang w:eastAsia="en-AU"/>
        </w:rPr>
        <w:t>(Version 1.0, January 2023)</w:t>
      </w:r>
      <w:r w:rsidRPr="00E46894">
        <w:rPr>
          <w:color w:val="000000"/>
          <w:sz w:val="22"/>
          <w:szCs w:val="22"/>
        </w:rPr>
        <w:t>, as in force or existing on 1 January 2024.</w:t>
      </w:r>
    </w:p>
    <w:p w14:paraId="09A3570A" w14:textId="77777777" w:rsidR="00DA42A9" w:rsidRPr="00E46894" w:rsidRDefault="00DA42A9" w:rsidP="000C22F7">
      <w:pPr>
        <w:spacing w:after="0" w:line="240" w:lineRule="auto"/>
        <w:contextualSpacing/>
        <w:rPr>
          <w:rFonts w:eastAsia="Times New Roman"/>
          <w:bCs/>
          <w:sz w:val="22"/>
          <w:szCs w:val="22"/>
          <w:lang w:eastAsia="en-AU"/>
        </w:rPr>
      </w:pPr>
    </w:p>
    <w:p w14:paraId="6D5CC1EA" w14:textId="1C7897AC" w:rsidR="001E4BA6" w:rsidRPr="00E46894" w:rsidRDefault="001E4BA6" w:rsidP="00BB7279">
      <w:pPr>
        <w:keepNext/>
        <w:spacing w:after="0" w:line="240" w:lineRule="auto"/>
        <w:contextualSpacing/>
        <w:rPr>
          <w:rFonts w:eastAsia="Times New Roman"/>
          <w:bCs/>
          <w:sz w:val="22"/>
          <w:szCs w:val="22"/>
          <w:lang w:eastAsia="en-AU"/>
        </w:rPr>
      </w:pPr>
      <w:r w:rsidRPr="00E46894">
        <w:rPr>
          <w:i/>
          <w:iCs/>
          <w:color w:val="000000"/>
          <w:sz w:val="22"/>
          <w:szCs w:val="22"/>
          <w:shd w:val="clear" w:color="auto" w:fill="FFFFFF"/>
        </w:rPr>
        <w:t>Therapeutic Goods (Medical Devices—Authorised Supply) Rules 2022</w:t>
      </w:r>
    </w:p>
    <w:p w14:paraId="615E4FD3" w14:textId="5BDF8B90" w:rsidR="001E4BA6" w:rsidRPr="00E46894" w:rsidRDefault="001E4BA6" w:rsidP="00BB7279">
      <w:pPr>
        <w:keepNext/>
        <w:spacing w:after="0" w:line="240" w:lineRule="auto"/>
        <w:contextualSpacing/>
        <w:rPr>
          <w:rFonts w:eastAsia="Times New Roman"/>
          <w:bCs/>
          <w:sz w:val="22"/>
          <w:szCs w:val="22"/>
          <w:lang w:eastAsia="en-AU"/>
        </w:rPr>
      </w:pPr>
    </w:p>
    <w:p w14:paraId="29F9F4CC" w14:textId="0CCB090A" w:rsidR="001E4BA6" w:rsidRPr="00E46894" w:rsidRDefault="001E4BA6" w:rsidP="00BB7279">
      <w:pPr>
        <w:keepNext/>
        <w:spacing w:after="0" w:line="240" w:lineRule="auto"/>
        <w:contextualSpacing/>
        <w:rPr>
          <w:rFonts w:eastAsia="Times New Roman"/>
          <w:bCs/>
          <w:sz w:val="22"/>
          <w:szCs w:val="22"/>
          <w:lang w:eastAsia="en-AU"/>
        </w:rPr>
      </w:pPr>
      <w:r w:rsidRPr="00E46894">
        <w:rPr>
          <w:rFonts w:eastAsia="Times New Roman"/>
          <w:b/>
          <w:sz w:val="22"/>
          <w:szCs w:val="22"/>
          <w:lang w:eastAsia="en-AU"/>
        </w:rPr>
        <w:t xml:space="preserve">Item </w:t>
      </w:r>
      <w:r w:rsidR="00DA42A9" w:rsidRPr="00E46894">
        <w:rPr>
          <w:rFonts w:eastAsia="Times New Roman"/>
          <w:b/>
          <w:sz w:val="22"/>
          <w:szCs w:val="22"/>
          <w:lang w:eastAsia="en-AU"/>
        </w:rPr>
        <w:t>9</w:t>
      </w:r>
      <w:r w:rsidRPr="00E46894">
        <w:rPr>
          <w:rFonts w:eastAsia="Times New Roman"/>
          <w:b/>
          <w:sz w:val="22"/>
          <w:szCs w:val="22"/>
          <w:lang w:eastAsia="en-AU"/>
        </w:rPr>
        <w:t xml:space="preserve"> – Section 4 (definition of </w:t>
      </w:r>
      <w:r w:rsidRPr="00E46894">
        <w:rPr>
          <w:rFonts w:eastAsia="Times New Roman"/>
          <w:b/>
          <w:i/>
          <w:iCs/>
          <w:sz w:val="22"/>
          <w:szCs w:val="22"/>
          <w:lang w:eastAsia="en-AU"/>
        </w:rPr>
        <w:t>SAS Guidance</w:t>
      </w:r>
      <w:r w:rsidRPr="00E46894">
        <w:rPr>
          <w:rFonts w:eastAsia="Times New Roman"/>
          <w:b/>
          <w:sz w:val="22"/>
          <w:szCs w:val="22"/>
          <w:lang w:eastAsia="en-AU"/>
        </w:rPr>
        <w:t>)</w:t>
      </w:r>
    </w:p>
    <w:p w14:paraId="55368B5A" w14:textId="77777777" w:rsidR="00C57A4C" w:rsidRPr="00E46894" w:rsidRDefault="00C57A4C" w:rsidP="00BB7279">
      <w:pPr>
        <w:keepNext/>
        <w:spacing w:after="0" w:line="240" w:lineRule="auto"/>
        <w:contextualSpacing/>
        <w:rPr>
          <w:rFonts w:eastAsia="Times New Roman"/>
          <w:bCs/>
          <w:sz w:val="22"/>
          <w:szCs w:val="22"/>
          <w:lang w:eastAsia="en-AU"/>
        </w:rPr>
      </w:pPr>
    </w:p>
    <w:p w14:paraId="64D8E4C8" w14:textId="0D537184" w:rsidR="00FB5C01" w:rsidRPr="00E46894" w:rsidRDefault="000F58BA" w:rsidP="00BB7279">
      <w:pPr>
        <w:keepNext/>
        <w:spacing w:after="0" w:line="240" w:lineRule="auto"/>
        <w:contextualSpacing/>
        <w:rPr>
          <w:color w:val="000000"/>
          <w:sz w:val="22"/>
          <w:szCs w:val="22"/>
        </w:rPr>
      </w:pPr>
      <w:r w:rsidRPr="00E46894">
        <w:rPr>
          <w:rFonts w:eastAsia="Times New Roman"/>
          <w:bCs/>
          <w:sz w:val="22"/>
          <w:szCs w:val="22"/>
          <w:lang w:eastAsia="en-AU"/>
        </w:rPr>
        <w:t xml:space="preserve">This item repeals and substitutes the definition of ‘SAS Guidance’ in section 4 of the Medical Devices Rules to reflect that ‘SAS Guidance’ means the updated </w:t>
      </w:r>
      <w:r w:rsidR="00782F6F" w:rsidRPr="00E46894">
        <w:rPr>
          <w:rFonts w:eastAsia="Times New Roman"/>
          <w:bCs/>
          <w:sz w:val="22"/>
          <w:szCs w:val="22"/>
          <w:lang w:eastAsia="en-AU"/>
        </w:rPr>
        <w:t xml:space="preserve">guidance </w:t>
      </w:r>
      <w:r w:rsidR="00C944F1" w:rsidRPr="00E46894">
        <w:rPr>
          <w:rFonts w:eastAsia="Times New Roman"/>
          <w:sz w:val="22"/>
          <w:szCs w:val="22"/>
          <w:lang w:eastAsia="en-AU"/>
        </w:rPr>
        <w:t xml:space="preserve">titled </w:t>
      </w:r>
      <w:r w:rsidR="00C944F1" w:rsidRPr="00E46894">
        <w:rPr>
          <w:rFonts w:eastAsia="Times New Roman"/>
          <w:i/>
          <w:iCs/>
          <w:sz w:val="22"/>
          <w:szCs w:val="22"/>
          <w:lang w:eastAsia="en-AU"/>
        </w:rPr>
        <w:t xml:space="preserve">Special Access Scheme (SAS): Guidance for health practitioners accessing unapproved therapeutic goods </w:t>
      </w:r>
      <w:r w:rsidR="00C944F1" w:rsidRPr="00E46894">
        <w:rPr>
          <w:rFonts w:eastAsia="Times New Roman"/>
          <w:sz w:val="22"/>
          <w:szCs w:val="22"/>
          <w:lang w:eastAsia="en-AU"/>
        </w:rPr>
        <w:t>(Version 1.0, January 2023)</w:t>
      </w:r>
      <w:r w:rsidRPr="00E46894">
        <w:rPr>
          <w:color w:val="000000"/>
          <w:sz w:val="22"/>
          <w:szCs w:val="22"/>
        </w:rPr>
        <w:t>, as in force or existing on 1 January 2024.</w:t>
      </w:r>
      <w:bookmarkEnd w:id="10"/>
    </w:p>
    <w:p w14:paraId="7C1DD6EC" w14:textId="67709389" w:rsidR="001E51F5" w:rsidRPr="00E46894" w:rsidRDefault="001E51F5" w:rsidP="000C22F7">
      <w:pPr>
        <w:spacing w:after="0" w:line="240" w:lineRule="auto"/>
        <w:contextualSpacing/>
        <w:rPr>
          <w:sz w:val="22"/>
          <w:szCs w:val="22"/>
        </w:rPr>
      </w:pPr>
      <w:r w:rsidRPr="00E46894">
        <w:rPr>
          <w:rFonts w:eastAsia="Times New Roman"/>
          <w:bCs/>
          <w:sz w:val="22"/>
          <w:szCs w:val="22"/>
          <w:lang w:eastAsia="en-AU"/>
        </w:rPr>
        <w:br w:type="page"/>
      </w:r>
    </w:p>
    <w:p w14:paraId="15BB91ED" w14:textId="77777777" w:rsidR="00231AB7" w:rsidRPr="00E46894" w:rsidRDefault="00231AB7" w:rsidP="000C22F7">
      <w:pPr>
        <w:spacing w:after="0" w:line="240" w:lineRule="auto"/>
        <w:contextualSpacing/>
        <w:jc w:val="right"/>
        <w:rPr>
          <w:b/>
          <w:sz w:val="22"/>
          <w:szCs w:val="22"/>
        </w:rPr>
      </w:pPr>
      <w:bookmarkStart w:id="11" w:name="_Hlk147936984"/>
      <w:bookmarkStart w:id="12" w:name="_Hlk147935712"/>
      <w:r w:rsidRPr="00E46894">
        <w:rPr>
          <w:b/>
          <w:sz w:val="22"/>
          <w:szCs w:val="22"/>
        </w:rPr>
        <w:lastRenderedPageBreak/>
        <w:t>Attachment B</w:t>
      </w:r>
    </w:p>
    <w:p w14:paraId="57D9FF79" w14:textId="77777777" w:rsidR="00231AB7" w:rsidRPr="00E46894" w:rsidRDefault="00231AB7" w:rsidP="000C22F7">
      <w:pPr>
        <w:spacing w:after="0" w:line="240" w:lineRule="auto"/>
        <w:contextualSpacing/>
        <w:jc w:val="center"/>
        <w:rPr>
          <w:bCs/>
          <w:sz w:val="22"/>
          <w:szCs w:val="22"/>
        </w:rPr>
      </w:pPr>
    </w:p>
    <w:p w14:paraId="612A9EA5" w14:textId="77777777" w:rsidR="00231AB7" w:rsidRPr="00E46894" w:rsidRDefault="00231AB7" w:rsidP="000C22F7">
      <w:pPr>
        <w:spacing w:after="0" w:line="240" w:lineRule="auto"/>
        <w:contextualSpacing/>
        <w:jc w:val="center"/>
        <w:rPr>
          <w:b/>
          <w:sz w:val="22"/>
          <w:szCs w:val="22"/>
        </w:rPr>
      </w:pPr>
      <w:r w:rsidRPr="00E46894">
        <w:rPr>
          <w:b/>
          <w:sz w:val="22"/>
          <w:szCs w:val="22"/>
        </w:rPr>
        <w:t>Statement of Compatibility with Human Rights</w:t>
      </w:r>
    </w:p>
    <w:p w14:paraId="3B150A0A" w14:textId="77777777" w:rsidR="00231AB7" w:rsidRPr="00E46894" w:rsidRDefault="00231AB7" w:rsidP="000C22F7">
      <w:pPr>
        <w:spacing w:after="0" w:line="240" w:lineRule="auto"/>
        <w:contextualSpacing/>
        <w:rPr>
          <w:sz w:val="22"/>
          <w:szCs w:val="22"/>
        </w:rPr>
      </w:pPr>
    </w:p>
    <w:p w14:paraId="312F0344" w14:textId="77777777" w:rsidR="00231AB7" w:rsidRPr="00E46894" w:rsidRDefault="00231AB7" w:rsidP="000C22F7">
      <w:pPr>
        <w:spacing w:after="0" w:line="240" w:lineRule="auto"/>
        <w:contextualSpacing/>
        <w:jc w:val="center"/>
        <w:rPr>
          <w:sz w:val="22"/>
          <w:szCs w:val="22"/>
        </w:rPr>
      </w:pPr>
      <w:r w:rsidRPr="00E46894">
        <w:rPr>
          <w:sz w:val="22"/>
          <w:szCs w:val="22"/>
        </w:rPr>
        <w:t xml:space="preserve">Prepared in accordance with Part 3 of the </w:t>
      </w:r>
      <w:r w:rsidRPr="00E46894">
        <w:rPr>
          <w:i/>
          <w:sz w:val="22"/>
          <w:szCs w:val="22"/>
        </w:rPr>
        <w:t>Human Rights (Parliamentary Scrutiny) Act 2011</w:t>
      </w:r>
    </w:p>
    <w:bookmarkEnd w:id="11"/>
    <w:p w14:paraId="739D152D" w14:textId="77777777" w:rsidR="00231AB7" w:rsidRPr="00E46894" w:rsidRDefault="00231AB7" w:rsidP="000C22F7">
      <w:pPr>
        <w:spacing w:after="0" w:line="240" w:lineRule="auto"/>
        <w:contextualSpacing/>
        <w:jc w:val="center"/>
        <w:rPr>
          <w:bCs/>
          <w:sz w:val="22"/>
          <w:szCs w:val="22"/>
        </w:rPr>
      </w:pPr>
    </w:p>
    <w:bookmarkEnd w:id="12"/>
    <w:p w14:paraId="7B5C573F" w14:textId="031E1FA3" w:rsidR="00C16ACE" w:rsidRPr="00E46894" w:rsidRDefault="00C16ACE" w:rsidP="000C22F7">
      <w:pPr>
        <w:spacing w:after="0" w:line="240" w:lineRule="auto"/>
        <w:contextualSpacing/>
        <w:rPr>
          <w:rFonts w:eastAsia="Times New Roman"/>
          <w:b/>
          <w:bCs/>
          <w:i/>
          <w:sz w:val="22"/>
          <w:szCs w:val="22"/>
          <w:lang w:eastAsia="en-AU"/>
        </w:rPr>
      </w:pPr>
      <w:r w:rsidRPr="00E46894">
        <w:rPr>
          <w:rFonts w:eastAsia="Times New Roman"/>
          <w:b/>
          <w:bCs/>
          <w:i/>
          <w:sz w:val="22"/>
          <w:szCs w:val="22"/>
          <w:lang w:eastAsia="en-AU"/>
        </w:rPr>
        <w:t>Therapeutic Goods (Medicines—Authorised Supply) Amendment (Vaping) Rules 2023</w:t>
      </w:r>
    </w:p>
    <w:p w14:paraId="1D2A5E29" w14:textId="77777777" w:rsidR="00231AB7" w:rsidRPr="00E46894" w:rsidRDefault="00231AB7" w:rsidP="000C22F7">
      <w:pPr>
        <w:spacing w:after="0" w:line="240" w:lineRule="auto"/>
        <w:contextualSpacing/>
        <w:rPr>
          <w:rFonts w:eastAsia="Times New Roman"/>
          <w:sz w:val="22"/>
          <w:szCs w:val="22"/>
          <w:lang w:eastAsia="en-AU"/>
        </w:rPr>
      </w:pPr>
    </w:p>
    <w:p w14:paraId="3F0A2332" w14:textId="49109B80" w:rsidR="001E51F5" w:rsidRPr="00E46894" w:rsidRDefault="001E51F5" w:rsidP="000C22F7">
      <w:pPr>
        <w:spacing w:after="0" w:line="240" w:lineRule="auto"/>
        <w:contextualSpacing/>
        <w:rPr>
          <w:rFonts w:eastAsia="Times New Roman"/>
          <w:sz w:val="22"/>
          <w:szCs w:val="22"/>
          <w:lang w:eastAsia="en-AU"/>
        </w:rPr>
      </w:pPr>
      <w:r w:rsidRPr="00E46894">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E46894">
        <w:rPr>
          <w:rFonts w:eastAsia="Times New Roman"/>
          <w:i/>
          <w:sz w:val="22"/>
          <w:szCs w:val="22"/>
          <w:lang w:eastAsia="en-AU"/>
        </w:rPr>
        <w:t>Human Rights (Parliamentary Scrutiny) Act 2011</w:t>
      </w:r>
      <w:r w:rsidRPr="00E46894">
        <w:rPr>
          <w:rFonts w:eastAsia="Times New Roman"/>
          <w:sz w:val="22"/>
          <w:szCs w:val="22"/>
          <w:lang w:eastAsia="en-AU"/>
        </w:rPr>
        <w:t>.</w:t>
      </w:r>
    </w:p>
    <w:p w14:paraId="0E7EFF3C" w14:textId="77777777" w:rsidR="00231AB7" w:rsidRPr="00E46894" w:rsidRDefault="00231AB7" w:rsidP="000C22F7">
      <w:pPr>
        <w:spacing w:after="0" w:line="240" w:lineRule="auto"/>
        <w:contextualSpacing/>
        <w:rPr>
          <w:rFonts w:eastAsia="Times New Roman"/>
          <w:bCs/>
          <w:sz w:val="22"/>
          <w:szCs w:val="22"/>
          <w:lang w:eastAsia="en-AU"/>
        </w:rPr>
      </w:pPr>
    </w:p>
    <w:p w14:paraId="1016767A" w14:textId="7D6B0A81" w:rsidR="001E51F5" w:rsidRPr="00E46894" w:rsidRDefault="001E51F5" w:rsidP="00BB7279">
      <w:pPr>
        <w:keepNext/>
        <w:spacing w:after="0" w:line="240" w:lineRule="auto"/>
        <w:contextualSpacing/>
        <w:rPr>
          <w:rFonts w:eastAsia="Times New Roman"/>
          <w:b/>
          <w:sz w:val="22"/>
          <w:szCs w:val="22"/>
          <w:lang w:eastAsia="en-AU"/>
        </w:rPr>
      </w:pPr>
      <w:r w:rsidRPr="00E46894">
        <w:rPr>
          <w:rFonts w:eastAsia="Times New Roman"/>
          <w:b/>
          <w:sz w:val="22"/>
          <w:szCs w:val="22"/>
          <w:lang w:eastAsia="en-AU"/>
        </w:rPr>
        <w:t>Overview of legislative instrument</w:t>
      </w:r>
    </w:p>
    <w:p w14:paraId="12962C4F" w14:textId="77777777" w:rsidR="00231AB7" w:rsidRPr="00E46894" w:rsidRDefault="00231AB7" w:rsidP="00BB7279">
      <w:pPr>
        <w:keepNext/>
        <w:shd w:val="clear" w:color="auto" w:fill="FFFFFF"/>
        <w:spacing w:after="0" w:line="240" w:lineRule="auto"/>
        <w:contextualSpacing/>
        <w:rPr>
          <w:rFonts w:eastAsia="Times New Roman"/>
          <w:color w:val="000000"/>
          <w:sz w:val="22"/>
          <w:szCs w:val="22"/>
          <w:lang w:eastAsia="en-AU"/>
        </w:rPr>
      </w:pPr>
    </w:p>
    <w:p w14:paraId="1272D842" w14:textId="18DB4D22" w:rsidR="00DF1026" w:rsidRPr="00E46894" w:rsidRDefault="00DF1026" w:rsidP="00BB7279">
      <w:pPr>
        <w:keepNext/>
        <w:shd w:val="clear" w:color="auto" w:fill="FFFFFF"/>
        <w:spacing w:after="0" w:line="240" w:lineRule="auto"/>
        <w:contextualSpacing/>
        <w:rPr>
          <w:color w:val="000000"/>
          <w:sz w:val="22"/>
          <w:szCs w:val="22"/>
          <w:shd w:val="clear" w:color="auto" w:fill="FFFFFF"/>
        </w:rPr>
      </w:pPr>
      <w:r w:rsidRPr="00E46894">
        <w:rPr>
          <w:color w:val="000000"/>
          <w:sz w:val="22"/>
          <w:szCs w:val="22"/>
          <w:shd w:val="clear" w:color="auto" w:fill="FFFFFF"/>
        </w:rPr>
        <w:t>Subsection 19(7A) of the Act provides that the Minister may, by legislative instrument, make rules authorising classes of health practitioners to supply specified therapeutic goods</w:t>
      </w:r>
      <w:r w:rsidR="004F1509" w:rsidRPr="00E46894">
        <w:rPr>
          <w:color w:val="000000"/>
          <w:sz w:val="22"/>
          <w:szCs w:val="22"/>
          <w:shd w:val="clear" w:color="auto" w:fill="FFFFFF"/>
        </w:rPr>
        <w:t xml:space="preserve">, </w:t>
      </w:r>
      <w:r w:rsidRPr="00E46894">
        <w:rPr>
          <w:color w:val="000000"/>
          <w:sz w:val="22"/>
          <w:szCs w:val="22"/>
          <w:shd w:val="clear" w:color="auto" w:fill="FFFFFF"/>
        </w:rPr>
        <w:t>or classes of such goods</w:t>
      </w:r>
      <w:r w:rsidR="004F1509" w:rsidRPr="00E46894">
        <w:rPr>
          <w:color w:val="000000"/>
          <w:sz w:val="22"/>
          <w:szCs w:val="22"/>
          <w:shd w:val="clear" w:color="auto" w:fill="FFFFFF"/>
        </w:rPr>
        <w:t>,</w:t>
      </w:r>
      <w:r w:rsidRPr="00E46894">
        <w:rPr>
          <w:color w:val="000000"/>
          <w:sz w:val="22"/>
          <w:szCs w:val="22"/>
          <w:shd w:val="clear" w:color="auto" w:fill="FFFFFF"/>
        </w:rPr>
        <w:t xml:space="preserve"> for use in the treatment of specified recipients, provided the goods are supplied in specified circumstances and the specified conditions</w:t>
      </w:r>
      <w:r w:rsidR="004F1509" w:rsidRPr="00E46894">
        <w:rPr>
          <w:color w:val="000000"/>
          <w:sz w:val="22"/>
          <w:szCs w:val="22"/>
          <w:shd w:val="clear" w:color="auto" w:fill="FFFFFF"/>
        </w:rPr>
        <w:t>,</w:t>
      </w:r>
      <w:r w:rsidRPr="00E46894">
        <w:rPr>
          <w:color w:val="000000"/>
          <w:sz w:val="22"/>
          <w:szCs w:val="22"/>
          <w:shd w:val="clear" w:color="auto" w:fill="FFFFFF"/>
        </w:rPr>
        <w:t xml:space="preserve"> if any</w:t>
      </w:r>
      <w:r w:rsidR="004F1509" w:rsidRPr="00E46894">
        <w:rPr>
          <w:color w:val="000000"/>
          <w:sz w:val="22"/>
          <w:szCs w:val="22"/>
          <w:shd w:val="clear" w:color="auto" w:fill="FFFFFF"/>
        </w:rPr>
        <w:t>,</w:t>
      </w:r>
      <w:r w:rsidRPr="00E46894">
        <w:rPr>
          <w:color w:val="000000"/>
          <w:sz w:val="22"/>
          <w:szCs w:val="22"/>
          <w:shd w:val="clear" w:color="auto" w:fill="FFFFFF"/>
        </w:rPr>
        <w:t xml:space="preserve"> are satisfied.</w:t>
      </w:r>
    </w:p>
    <w:p w14:paraId="5ADF1A9E" w14:textId="77777777" w:rsidR="00DF1026" w:rsidRPr="00E46894" w:rsidRDefault="00DF1026" w:rsidP="000C22F7">
      <w:pPr>
        <w:shd w:val="clear" w:color="auto" w:fill="FFFFFF"/>
        <w:spacing w:after="0" w:line="240" w:lineRule="auto"/>
        <w:contextualSpacing/>
        <w:rPr>
          <w:color w:val="000000"/>
          <w:sz w:val="22"/>
          <w:szCs w:val="22"/>
          <w:shd w:val="clear" w:color="auto" w:fill="FFFFFF"/>
        </w:rPr>
      </w:pPr>
    </w:p>
    <w:p w14:paraId="3C0CF38B" w14:textId="77E41B9C" w:rsidR="00DF1026" w:rsidRPr="00E46894" w:rsidRDefault="00DF1026" w:rsidP="000C22F7">
      <w:pPr>
        <w:shd w:val="clear" w:color="auto" w:fill="FFFFFF"/>
        <w:spacing w:after="0" w:line="240" w:lineRule="auto"/>
        <w:contextualSpacing/>
        <w:rPr>
          <w:color w:val="000000"/>
          <w:sz w:val="22"/>
          <w:szCs w:val="22"/>
          <w:shd w:val="clear" w:color="auto" w:fill="FFFFFF"/>
        </w:rPr>
      </w:pPr>
      <w:r w:rsidRPr="00E46894">
        <w:rPr>
          <w:color w:val="000000"/>
          <w:sz w:val="22"/>
          <w:szCs w:val="22"/>
          <w:shd w:val="clear" w:color="auto" w:fill="FFFFFF"/>
        </w:rPr>
        <w:t>Subsection 19(7B) of the Act provides that, in making rules under subsection 19(7A), the Minister must comply with such requirements, restrictions or limitations</w:t>
      </w:r>
      <w:r w:rsidR="00EB24C9" w:rsidRPr="00E46894">
        <w:rPr>
          <w:color w:val="000000"/>
          <w:sz w:val="22"/>
          <w:szCs w:val="22"/>
          <w:shd w:val="clear" w:color="auto" w:fill="FFFFFF"/>
        </w:rPr>
        <w:t>,</w:t>
      </w:r>
      <w:r w:rsidRPr="00E46894">
        <w:rPr>
          <w:color w:val="000000"/>
          <w:sz w:val="22"/>
          <w:szCs w:val="22"/>
          <w:shd w:val="clear" w:color="auto" w:fill="FFFFFF"/>
        </w:rPr>
        <w:t xml:space="preserve"> if any</w:t>
      </w:r>
      <w:r w:rsidR="00EB24C9" w:rsidRPr="00E46894">
        <w:rPr>
          <w:color w:val="000000"/>
          <w:sz w:val="22"/>
          <w:szCs w:val="22"/>
          <w:shd w:val="clear" w:color="auto" w:fill="FFFFFF"/>
        </w:rPr>
        <w:t>,</w:t>
      </w:r>
      <w:r w:rsidRPr="00E46894">
        <w:rPr>
          <w:color w:val="000000"/>
          <w:sz w:val="22"/>
          <w:szCs w:val="22"/>
          <w:shd w:val="clear" w:color="auto" w:fill="FFFFFF"/>
        </w:rPr>
        <w:t xml:space="preserve"> prescribed in the regulations. </w:t>
      </w:r>
      <w:proofErr w:type="spellStart"/>
      <w:r w:rsidRPr="00E46894">
        <w:rPr>
          <w:color w:val="000000"/>
          <w:sz w:val="22"/>
          <w:szCs w:val="22"/>
          <w:shd w:val="clear" w:color="auto" w:fill="FFFFFF"/>
        </w:rPr>
        <w:t>Subregulation</w:t>
      </w:r>
      <w:proofErr w:type="spellEnd"/>
      <w:r w:rsidRPr="00E46894">
        <w:rPr>
          <w:color w:val="000000"/>
          <w:sz w:val="22"/>
          <w:szCs w:val="22"/>
          <w:shd w:val="clear" w:color="auto" w:fill="FFFFFF"/>
        </w:rPr>
        <w:t xml:space="preserve"> 12</w:t>
      </w:r>
      <w:proofErr w:type="gramStart"/>
      <w:r w:rsidRPr="00E46894">
        <w:rPr>
          <w:color w:val="000000"/>
          <w:sz w:val="22"/>
          <w:szCs w:val="22"/>
          <w:shd w:val="clear" w:color="auto" w:fill="FFFFFF"/>
        </w:rPr>
        <w:t>B(</w:t>
      </w:r>
      <w:proofErr w:type="gramEnd"/>
      <w:r w:rsidRPr="00E46894">
        <w:rPr>
          <w:color w:val="000000"/>
          <w:sz w:val="22"/>
          <w:szCs w:val="22"/>
          <w:shd w:val="clear" w:color="auto" w:fill="FFFFFF"/>
        </w:rPr>
        <w:t>5) of the </w:t>
      </w:r>
      <w:r w:rsidRPr="00E46894">
        <w:rPr>
          <w:i/>
          <w:iCs/>
          <w:color w:val="000000"/>
          <w:sz w:val="22"/>
          <w:szCs w:val="22"/>
          <w:shd w:val="clear" w:color="auto" w:fill="FFFFFF"/>
        </w:rPr>
        <w:t>Therapeutic Goods Regulations 1990 </w:t>
      </w:r>
      <w:r w:rsidRPr="00E46894">
        <w:rPr>
          <w:color w:val="000000"/>
          <w:sz w:val="22"/>
          <w:szCs w:val="22"/>
          <w:shd w:val="clear" w:color="auto" w:fill="FFFFFF"/>
        </w:rPr>
        <w:t>provides that rules made under subsection 19(7A) of the Act must not specify a medicine or a class of medicines if the medicine, or a medicine included in the class, contains a substance of a kind covered by an entry in Schedule</w:t>
      </w:r>
      <w:r w:rsidR="00EB24C9" w:rsidRPr="00E46894">
        <w:rPr>
          <w:color w:val="000000"/>
          <w:sz w:val="22"/>
          <w:szCs w:val="22"/>
          <w:shd w:val="clear" w:color="auto" w:fill="FFFFFF"/>
        </w:rPr>
        <w:t>s</w:t>
      </w:r>
      <w:r w:rsidRPr="00E46894">
        <w:rPr>
          <w:color w:val="000000"/>
          <w:sz w:val="22"/>
          <w:szCs w:val="22"/>
          <w:shd w:val="clear" w:color="auto" w:fill="FFFFFF"/>
        </w:rPr>
        <w:t xml:space="preserve"> 8, 9 or 10 to the Poisons Standard.</w:t>
      </w:r>
    </w:p>
    <w:p w14:paraId="57E7F4A9" w14:textId="77777777" w:rsidR="00DF1026" w:rsidRPr="00E46894" w:rsidRDefault="00DF1026" w:rsidP="000C22F7">
      <w:pPr>
        <w:shd w:val="clear" w:color="auto" w:fill="FFFFFF"/>
        <w:spacing w:after="0" w:line="240" w:lineRule="auto"/>
        <w:contextualSpacing/>
        <w:rPr>
          <w:color w:val="000000"/>
          <w:sz w:val="22"/>
          <w:szCs w:val="22"/>
          <w:shd w:val="clear" w:color="auto" w:fill="FFFFFF"/>
        </w:rPr>
      </w:pPr>
    </w:p>
    <w:p w14:paraId="78A1D713" w14:textId="05042B88" w:rsidR="00DF1026" w:rsidRPr="00E46894" w:rsidRDefault="00DF1026" w:rsidP="000C22F7">
      <w:pPr>
        <w:shd w:val="clear" w:color="auto" w:fill="FFFFFF"/>
        <w:spacing w:after="0" w:line="240" w:lineRule="auto"/>
        <w:contextualSpacing/>
        <w:rPr>
          <w:color w:val="000000"/>
          <w:sz w:val="22"/>
          <w:szCs w:val="22"/>
          <w:shd w:val="clear" w:color="auto" w:fill="FFFFFF"/>
        </w:rPr>
      </w:pPr>
      <w:r w:rsidRPr="00E46894">
        <w:rPr>
          <w:color w:val="000000"/>
          <w:sz w:val="22"/>
          <w:szCs w:val="22"/>
          <w:shd w:val="clear" w:color="auto" w:fill="FFFFFF"/>
        </w:rPr>
        <w:t>Health practitioners who supply therapeutic goods pursuant to rules made under subsection 19(7A) are required to notify the Secretary in accordance with subsections 19(7C) and 19(7D) of the Act.</w:t>
      </w:r>
    </w:p>
    <w:p w14:paraId="73C4F261" w14:textId="77777777" w:rsidR="00DF1026" w:rsidRPr="00E46894" w:rsidRDefault="00DF1026" w:rsidP="000C22F7">
      <w:pPr>
        <w:shd w:val="clear" w:color="auto" w:fill="FFFFFF"/>
        <w:spacing w:after="0" w:line="240" w:lineRule="auto"/>
        <w:contextualSpacing/>
        <w:rPr>
          <w:color w:val="000000"/>
          <w:sz w:val="22"/>
          <w:szCs w:val="22"/>
          <w:shd w:val="clear" w:color="auto" w:fill="FFFFFF"/>
        </w:rPr>
      </w:pPr>
    </w:p>
    <w:p w14:paraId="65936474" w14:textId="77777777" w:rsidR="00DF1026" w:rsidRPr="00E46894" w:rsidRDefault="00DF1026" w:rsidP="000C22F7">
      <w:pPr>
        <w:shd w:val="clear" w:color="auto" w:fill="FFFFFF"/>
        <w:spacing w:after="0" w:line="240" w:lineRule="auto"/>
        <w:contextualSpacing/>
        <w:rPr>
          <w:color w:val="000000"/>
          <w:sz w:val="22"/>
          <w:szCs w:val="22"/>
          <w:shd w:val="clear" w:color="auto" w:fill="FFFFFF"/>
        </w:rPr>
      </w:pPr>
      <w:r w:rsidRPr="00E46894">
        <w:rPr>
          <w:color w:val="000000"/>
          <w:sz w:val="22"/>
          <w:szCs w:val="22"/>
          <w:shd w:val="clear" w:color="auto" w:fill="FFFFFF"/>
        </w:rPr>
        <w:t>These provisions are mainly intended to facilitate access to therapeutic goods with an established history of use in Australia and overseas, in circumstances where those goods are not included in the Australian Register of Therapeutic Goods (“the Register”), or not otherwise the subject of an exemption, approval or authority under the Act.</w:t>
      </w:r>
    </w:p>
    <w:p w14:paraId="6281A1A9" w14:textId="77777777" w:rsidR="00DF1026" w:rsidRPr="00E46894" w:rsidRDefault="00DF1026" w:rsidP="000C22F7">
      <w:pPr>
        <w:shd w:val="clear" w:color="auto" w:fill="FFFFFF"/>
        <w:spacing w:after="0" w:line="240" w:lineRule="auto"/>
        <w:contextualSpacing/>
        <w:rPr>
          <w:color w:val="000000"/>
          <w:sz w:val="22"/>
          <w:szCs w:val="22"/>
          <w:shd w:val="clear" w:color="auto" w:fill="FFFFFF"/>
        </w:rPr>
      </w:pPr>
    </w:p>
    <w:p w14:paraId="2223C356" w14:textId="7A0B61FD" w:rsidR="00DF1026" w:rsidRPr="00E46894" w:rsidRDefault="00DF1026" w:rsidP="000C22F7">
      <w:pPr>
        <w:shd w:val="clear" w:color="auto" w:fill="FFFFFF"/>
        <w:spacing w:after="0" w:line="240" w:lineRule="auto"/>
        <w:contextualSpacing/>
        <w:rPr>
          <w:color w:val="000000"/>
          <w:sz w:val="22"/>
          <w:szCs w:val="22"/>
          <w:shd w:val="clear" w:color="auto" w:fill="FFFFFF"/>
        </w:rPr>
      </w:pPr>
      <w:r w:rsidRPr="00E46894">
        <w:rPr>
          <w:color w:val="000000"/>
          <w:sz w:val="22"/>
          <w:szCs w:val="22"/>
          <w:shd w:val="clear" w:color="auto" w:fill="FFFFFF"/>
        </w:rPr>
        <w:t>The </w:t>
      </w:r>
      <w:r w:rsidRPr="00E46894">
        <w:rPr>
          <w:i/>
          <w:iCs/>
          <w:color w:val="000000"/>
          <w:sz w:val="22"/>
          <w:szCs w:val="22"/>
          <w:shd w:val="clear" w:color="auto" w:fill="FFFFFF"/>
        </w:rPr>
        <w:t>Therapeutic Goods (Medicines—Authorised Supply) Rules 2022 </w:t>
      </w:r>
      <w:r w:rsidRPr="00E46894">
        <w:rPr>
          <w:color w:val="000000"/>
          <w:sz w:val="22"/>
          <w:szCs w:val="22"/>
          <w:shd w:val="clear" w:color="auto" w:fill="FFFFFF"/>
        </w:rPr>
        <w:t>(“the</w:t>
      </w:r>
      <w:r w:rsidR="00EB24C9" w:rsidRPr="00E46894">
        <w:rPr>
          <w:color w:val="000000"/>
          <w:sz w:val="22"/>
          <w:szCs w:val="22"/>
          <w:shd w:val="clear" w:color="auto" w:fill="FFFFFF"/>
        </w:rPr>
        <w:t xml:space="preserve"> Principal</w:t>
      </w:r>
      <w:r w:rsidRPr="00E46894">
        <w:rPr>
          <w:color w:val="000000"/>
          <w:sz w:val="22"/>
          <w:szCs w:val="22"/>
          <w:shd w:val="clear" w:color="auto" w:fill="FFFFFF"/>
        </w:rPr>
        <w:t xml:space="preserve"> Rules”) are made under subsection 19(7A) of the Act. The </w:t>
      </w:r>
      <w:r w:rsidR="00EB24C9" w:rsidRPr="00E46894">
        <w:rPr>
          <w:color w:val="000000"/>
          <w:sz w:val="22"/>
          <w:szCs w:val="22"/>
          <w:shd w:val="clear" w:color="auto" w:fill="FFFFFF"/>
        </w:rPr>
        <w:t xml:space="preserve">Principal </w:t>
      </w:r>
      <w:r w:rsidRPr="00E46894">
        <w:rPr>
          <w:color w:val="000000"/>
          <w:sz w:val="22"/>
          <w:szCs w:val="22"/>
          <w:shd w:val="clear" w:color="auto" w:fill="FFFFFF"/>
        </w:rPr>
        <w:t xml:space="preserve">Rules specify health practitioners, medicines, </w:t>
      </w:r>
      <w:proofErr w:type="gramStart"/>
      <w:r w:rsidRPr="00E46894">
        <w:rPr>
          <w:color w:val="000000"/>
          <w:sz w:val="22"/>
          <w:szCs w:val="22"/>
          <w:shd w:val="clear" w:color="auto" w:fill="FFFFFF"/>
        </w:rPr>
        <w:t>circumstances</w:t>
      </w:r>
      <w:proofErr w:type="gramEnd"/>
      <w:r w:rsidRPr="00E46894">
        <w:rPr>
          <w:color w:val="000000"/>
          <w:sz w:val="22"/>
          <w:szCs w:val="22"/>
          <w:shd w:val="clear" w:color="auto" w:fill="FFFFFF"/>
        </w:rPr>
        <w:t xml:space="preserve"> and conditions for the purposes of subsection 19(7A) of the Act.</w:t>
      </w:r>
    </w:p>
    <w:p w14:paraId="51098625" w14:textId="77777777" w:rsidR="00DF1026" w:rsidRPr="00E46894" w:rsidRDefault="00DF1026" w:rsidP="000C22F7">
      <w:pPr>
        <w:shd w:val="clear" w:color="auto" w:fill="FFFFFF"/>
        <w:spacing w:after="0" w:line="240" w:lineRule="auto"/>
        <w:contextualSpacing/>
        <w:rPr>
          <w:color w:val="000000"/>
          <w:sz w:val="22"/>
          <w:szCs w:val="22"/>
          <w:shd w:val="clear" w:color="auto" w:fill="FFFFFF"/>
        </w:rPr>
      </w:pPr>
    </w:p>
    <w:p w14:paraId="756C135A" w14:textId="26C2AC47" w:rsidR="00DF1026" w:rsidRPr="00E46894" w:rsidRDefault="00DF1026" w:rsidP="000C22F7">
      <w:pPr>
        <w:autoSpaceDE w:val="0"/>
        <w:autoSpaceDN w:val="0"/>
        <w:adjustRightInd w:val="0"/>
        <w:spacing w:after="0" w:line="240" w:lineRule="auto"/>
        <w:contextualSpacing/>
        <w:rPr>
          <w:color w:val="000000"/>
          <w:sz w:val="22"/>
          <w:szCs w:val="22"/>
          <w:shd w:val="clear" w:color="auto" w:fill="FFFFFF"/>
        </w:rPr>
      </w:pPr>
      <w:r w:rsidRPr="00E46894">
        <w:rPr>
          <w:color w:val="000000"/>
          <w:sz w:val="22"/>
          <w:szCs w:val="22"/>
          <w:shd w:val="clear" w:color="auto" w:fill="FFFFFF"/>
        </w:rPr>
        <w:t>The </w:t>
      </w:r>
      <w:r w:rsidRPr="00E46894">
        <w:rPr>
          <w:i/>
          <w:iCs/>
          <w:color w:val="000000"/>
          <w:sz w:val="22"/>
          <w:szCs w:val="22"/>
          <w:shd w:val="clear" w:color="auto" w:fill="FFFFFF"/>
        </w:rPr>
        <w:t xml:space="preserve">Therapeutic Goods (Medicines—Authorised Supply) Amendment (Vaping) Rules 2023 </w:t>
      </w:r>
      <w:r w:rsidRPr="00E46894">
        <w:rPr>
          <w:color w:val="000000"/>
          <w:sz w:val="22"/>
          <w:szCs w:val="22"/>
          <w:shd w:val="clear" w:color="auto" w:fill="FFFFFF"/>
        </w:rPr>
        <w:t xml:space="preserve">(“the Amendment Rules”) </w:t>
      </w:r>
      <w:r w:rsidR="00C57A4C" w:rsidRPr="00E46894">
        <w:rPr>
          <w:color w:val="000000"/>
          <w:sz w:val="22"/>
          <w:szCs w:val="22"/>
          <w:shd w:val="clear" w:color="auto" w:fill="FFFFFF"/>
        </w:rPr>
        <w:t xml:space="preserve">are </w:t>
      </w:r>
      <w:r w:rsidRPr="00E46894">
        <w:rPr>
          <w:color w:val="000000"/>
          <w:sz w:val="22"/>
          <w:szCs w:val="22"/>
          <w:shd w:val="clear" w:color="auto" w:fill="FFFFFF"/>
        </w:rPr>
        <w:t>made under subsections 19(7A), 32CM(7A) and 41</w:t>
      </w:r>
      <w:proofErr w:type="gramStart"/>
      <w:r w:rsidRPr="00E46894">
        <w:rPr>
          <w:color w:val="000000"/>
          <w:sz w:val="22"/>
          <w:szCs w:val="22"/>
          <w:shd w:val="clear" w:color="auto" w:fill="FFFFFF"/>
        </w:rPr>
        <w:t>HC(</w:t>
      </w:r>
      <w:proofErr w:type="gramEnd"/>
      <w:r w:rsidRPr="00E46894">
        <w:rPr>
          <w:color w:val="000000"/>
          <w:sz w:val="22"/>
          <w:szCs w:val="22"/>
          <w:shd w:val="clear" w:color="auto" w:fill="FFFFFF"/>
        </w:rPr>
        <w:t xml:space="preserve">6) of the Act. The Amendment Rules amend the </w:t>
      </w:r>
      <w:r w:rsidR="00EB24C9" w:rsidRPr="00E46894">
        <w:rPr>
          <w:color w:val="000000"/>
          <w:sz w:val="22"/>
          <w:szCs w:val="22"/>
          <w:shd w:val="clear" w:color="auto" w:fill="FFFFFF"/>
        </w:rPr>
        <w:t xml:space="preserve">Principal </w:t>
      </w:r>
      <w:r w:rsidRPr="00E46894">
        <w:rPr>
          <w:color w:val="000000"/>
          <w:sz w:val="22"/>
          <w:szCs w:val="22"/>
          <w:shd w:val="clear" w:color="auto" w:fill="FFFFFF"/>
        </w:rPr>
        <w:t xml:space="preserve">Rules to include the authorised supply of certain </w:t>
      </w:r>
      <w:r w:rsidR="00453460" w:rsidRPr="00E46894">
        <w:rPr>
          <w:color w:val="000000"/>
          <w:sz w:val="22"/>
          <w:szCs w:val="22"/>
          <w:shd w:val="clear" w:color="auto" w:fill="FFFFFF"/>
        </w:rPr>
        <w:t xml:space="preserve">therapeutic </w:t>
      </w:r>
      <w:r w:rsidRPr="00E46894">
        <w:rPr>
          <w:color w:val="000000"/>
          <w:sz w:val="22"/>
          <w:szCs w:val="22"/>
          <w:shd w:val="clear" w:color="auto" w:fill="FFFFFF"/>
        </w:rPr>
        <w:t xml:space="preserve">vaping goods by specified health practitioners under certain conditions, where supply is indicated for smoking cessation or the management of nicotine dependence. The Amendment Rules also make minor amendments to update the reference to the SAS Guidelines in the </w:t>
      </w:r>
      <w:r w:rsidR="00EB24C9" w:rsidRPr="00E46894">
        <w:rPr>
          <w:color w:val="000000"/>
          <w:sz w:val="22"/>
          <w:szCs w:val="22"/>
          <w:shd w:val="clear" w:color="auto" w:fill="FFFFFF"/>
        </w:rPr>
        <w:t xml:space="preserve">Principal </w:t>
      </w:r>
      <w:r w:rsidRPr="00E46894">
        <w:rPr>
          <w:color w:val="000000"/>
          <w:sz w:val="22"/>
          <w:szCs w:val="22"/>
          <w:shd w:val="clear" w:color="auto" w:fill="FFFFFF"/>
        </w:rPr>
        <w:t xml:space="preserve">Rules, the </w:t>
      </w:r>
      <w:r w:rsidRPr="00E46894">
        <w:rPr>
          <w:i/>
          <w:iCs/>
          <w:color w:val="000000"/>
          <w:sz w:val="22"/>
          <w:szCs w:val="22"/>
          <w:shd w:val="clear" w:color="auto" w:fill="FFFFFF"/>
        </w:rPr>
        <w:t>Therapeutic Goods (Biologicals—Authorised Supply) Rules 2022</w:t>
      </w:r>
      <w:r w:rsidRPr="00E46894">
        <w:rPr>
          <w:color w:val="000000"/>
          <w:sz w:val="22"/>
          <w:szCs w:val="22"/>
          <w:shd w:val="clear" w:color="auto" w:fill="FFFFFF"/>
        </w:rPr>
        <w:t xml:space="preserve"> and the </w:t>
      </w:r>
      <w:r w:rsidRPr="00E46894">
        <w:rPr>
          <w:i/>
          <w:iCs/>
          <w:color w:val="000000"/>
          <w:sz w:val="22"/>
          <w:szCs w:val="22"/>
          <w:shd w:val="clear" w:color="auto" w:fill="FFFFFF"/>
        </w:rPr>
        <w:t>Therapeutic Goods (Medical Devices—Authorised Supply) Rules 2022</w:t>
      </w:r>
      <w:r w:rsidRPr="00E46894">
        <w:rPr>
          <w:color w:val="000000"/>
          <w:sz w:val="22"/>
          <w:szCs w:val="22"/>
          <w:shd w:val="clear" w:color="auto" w:fill="FFFFFF"/>
        </w:rPr>
        <w:t>.</w:t>
      </w:r>
    </w:p>
    <w:p w14:paraId="4E2F62B3" w14:textId="77777777" w:rsidR="00DF1026" w:rsidRPr="00E46894" w:rsidRDefault="00DF1026" w:rsidP="000C22F7">
      <w:pPr>
        <w:autoSpaceDE w:val="0"/>
        <w:autoSpaceDN w:val="0"/>
        <w:adjustRightInd w:val="0"/>
        <w:spacing w:after="0" w:line="240" w:lineRule="auto"/>
        <w:contextualSpacing/>
        <w:rPr>
          <w:rFonts w:eastAsia="Times New Roman"/>
          <w:bCs/>
          <w:sz w:val="22"/>
          <w:szCs w:val="22"/>
          <w:lang w:eastAsia="en-AU"/>
        </w:rPr>
      </w:pPr>
    </w:p>
    <w:p w14:paraId="0AEA4260" w14:textId="77777777" w:rsidR="00DF1026" w:rsidRPr="00E46894" w:rsidRDefault="00DF1026" w:rsidP="00BB7279">
      <w:pPr>
        <w:keepNext/>
        <w:autoSpaceDE w:val="0"/>
        <w:autoSpaceDN w:val="0"/>
        <w:adjustRightInd w:val="0"/>
        <w:spacing w:after="0" w:line="240" w:lineRule="auto"/>
        <w:contextualSpacing/>
        <w:rPr>
          <w:rFonts w:eastAsia="Times New Roman"/>
          <w:b/>
          <w:sz w:val="22"/>
          <w:szCs w:val="22"/>
          <w:lang w:eastAsia="en-AU"/>
        </w:rPr>
      </w:pPr>
      <w:r w:rsidRPr="00E46894">
        <w:rPr>
          <w:rFonts w:eastAsia="Times New Roman"/>
          <w:b/>
          <w:sz w:val="22"/>
          <w:szCs w:val="22"/>
          <w:lang w:eastAsia="en-AU"/>
        </w:rPr>
        <w:t>Background</w:t>
      </w:r>
    </w:p>
    <w:p w14:paraId="58010C14" w14:textId="77777777" w:rsidR="00DF1026" w:rsidRPr="00E46894" w:rsidRDefault="00DF1026" w:rsidP="00BB7279">
      <w:pPr>
        <w:keepNext/>
        <w:autoSpaceDE w:val="0"/>
        <w:autoSpaceDN w:val="0"/>
        <w:adjustRightInd w:val="0"/>
        <w:spacing w:after="0" w:line="240" w:lineRule="auto"/>
        <w:contextualSpacing/>
        <w:rPr>
          <w:rFonts w:eastAsia="Times New Roman"/>
          <w:sz w:val="22"/>
          <w:szCs w:val="22"/>
          <w:lang w:eastAsia="en-AU"/>
        </w:rPr>
      </w:pPr>
    </w:p>
    <w:p w14:paraId="3B3945BD" w14:textId="77777777" w:rsidR="00DF1026" w:rsidRPr="00E46894" w:rsidRDefault="00DF1026" w:rsidP="00BB7279">
      <w:pPr>
        <w:keepNext/>
        <w:autoSpaceDE w:val="0"/>
        <w:autoSpaceDN w:val="0"/>
        <w:adjustRightInd w:val="0"/>
        <w:spacing w:after="0" w:line="240" w:lineRule="auto"/>
        <w:contextualSpacing/>
        <w:rPr>
          <w:rFonts w:eastAsia="Times New Roman"/>
          <w:i/>
          <w:iCs/>
          <w:sz w:val="22"/>
          <w:szCs w:val="22"/>
          <w:lang w:eastAsia="en-AU"/>
        </w:rPr>
      </w:pPr>
      <w:r w:rsidRPr="00E46894">
        <w:rPr>
          <w:rFonts w:eastAsia="Times New Roman"/>
          <w:i/>
          <w:iCs/>
          <w:sz w:val="22"/>
          <w:szCs w:val="22"/>
          <w:lang w:eastAsia="en-AU"/>
        </w:rPr>
        <w:t>The public health problem</w:t>
      </w:r>
    </w:p>
    <w:p w14:paraId="1F3541C6" w14:textId="77777777" w:rsidR="00DF1026" w:rsidRPr="00E46894" w:rsidRDefault="00DF1026" w:rsidP="00BB7279">
      <w:pPr>
        <w:keepNext/>
        <w:autoSpaceDE w:val="0"/>
        <w:autoSpaceDN w:val="0"/>
        <w:adjustRightInd w:val="0"/>
        <w:spacing w:after="0" w:line="240" w:lineRule="auto"/>
        <w:contextualSpacing/>
        <w:rPr>
          <w:rFonts w:eastAsia="Times New Roman"/>
          <w:sz w:val="22"/>
          <w:szCs w:val="22"/>
          <w:lang w:eastAsia="en-AU"/>
        </w:rPr>
      </w:pPr>
    </w:p>
    <w:p w14:paraId="5B3FD389" w14:textId="77777777" w:rsidR="00CD5C60" w:rsidRPr="00E46894" w:rsidRDefault="00CD5C60" w:rsidP="00CD5C60">
      <w:pPr>
        <w:spacing w:after="0" w:line="240" w:lineRule="auto"/>
        <w:rPr>
          <w:rFonts w:eastAsia="Times New Roman"/>
          <w:bCs/>
          <w:sz w:val="22"/>
          <w:szCs w:val="22"/>
          <w:lang w:eastAsia="en-AU"/>
        </w:rPr>
      </w:pPr>
      <w:r w:rsidRPr="00E46894">
        <w:rPr>
          <w:rFonts w:eastAsia="Times New Roman"/>
          <w:bCs/>
          <w:sz w:val="22"/>
          <w:szCs w:val="22"/>
          <w:lang w:eastAsia="en-AU"/>
        </w:rPr>
        <w:t xml:space="preserve">Vaping is rapidly increasing in Australia, particularly among youth and young adults. The latest available trend data shows that among young people aged 14 years and over, current use of an e-cigarette, defined as used at least once in the month prior to being surveyed, increased from 2.5% to 8.9% between 2020 and 2023. The increase was even more marked among people aged 18-24 years </w:t>
      </w:r>
      <w:r w:rsidRPr="00E46894">
        <w:rPr>
          <w:rFonts w:eastAsia="Times New Roman"/>
          <w:bCs/>
          <w:sz w:val="22"/>
          <w:szCs w:val="22"/>
          <w:lang w:eastAsia="en-AU"/>
        </w:rPr>
        <w:lastRenderedPageBreak/>
        <w:t>old, increasing from 5.6% in 2020 to 19.8% in 2023. These findings reinforce a widespread and serious concern among public health policy makers and practitioners at the increasing marketing and use of vapes in Australia.</w:t>
      </w:r>
    </w:p>
    <w:p w14:paraId="3AA3253B" w14:textId="77777777" w:rsidR="00CD5C60" w:rsidRPr="00E46894" w:rsidRDefault="00CD5C60" w:rsidP="00CD5C60">
      <w:pPr>
        <w:spacing w:after="0" w:line="240" w:lineRule="auto"/>
        <w:rPr>
          <w:rFonts w:eastAsia="Times New Roman"/>
          <w:bCs/>
          <w:sz w:val="22"/>
          <w:szCs w:val="22"/>
          <w:lang w:eastAsia="en-AU"/>
        </w:rPr>
      </w:pPr>
    </w:p>
    <w:p w14:paraId="1FD828F2" w14:textId="77777777" w:rsidR="00CD5C60" w:rsidRPr="00E46894" w:rsidRDefault="00CD5C60" w:rsidP="00CD5C60">
      <w:pPr>
        <w:spacing w:after="0" w:line="240" w:lineRule="auto"/>
        <w:rPr>
          <w:rFonts w:eastAsia="Times New Roman"/>
          <w:bCs/>
          <w:sz w:val="22"/>
          <w:szCs w:val="22"/>
          <w:lang w:eastAsia="en-AU"/>
        </w:rPr>
      </w:pPr>
      <w:r w:rsidRPr="00E46894">
        <w:rPr>
          <w:rFonts w:eastAsia="Times New Roman"/>
          <w:bCs/>
          <w:sz w:val="22"/>
          <w:szCs w:val="22"/>
          <w:lang w:eastAsia="en-AU"/>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w:t>
      </w:r>
      <w:proofErr w:type="spellStart"/>
      <w:r w:rsidRPr="00E46894">
        <w:rPr>
          <w:rFonts w:eastAsia="Times New Roman"/>
          <w:bCs/>
          <w:sz w:val="22"/>
          <w:szCs w:val="22"/>
          <w:lang w:eastAsia="en-AU"/>
        </w:rPr>
        <w:t>oromucosal</w:t>
      </w:r>
      <w:proofErr w:type="spellEnd"/>
      <w:r w:rsidRPr="00E46894">
        <w:rPr>
          <w:rFonts w:eastAsia="Times New Roman"/>
          <w:bCs/>
          <w:sz w:val="22"/>
          <w:szCs w:val="22"/>
          <w:lang w:eastAsia="en-AU"/>
        </w:rPr>
        <w:t xml:space="preserve"> or transdermal administration or tobacco smoking. These changes were intended to prevent youth and young adults from taking up vapes, while allowing current smokers access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are therefore needed to curb the increase in the rates of vaping, and to control the availability of vaping products that are being accessed by youth and young adults.</w:t>
      </w:r>
    </w:p>
    <w:p w14:paraId="42A77D97" w14:textId="77777777" w:rsidR="00CD5C60" w:rsidRPr="00E46894" w:rsidRDefault="00CD5C60" w:rsidP="00CD5C60">
      <w:pPr>
        <w:spacing w:after="0" w:line="240" w:lineRule="auto"/>
        <w:rPr>
          <w:rFonts w:eastAsia="Times New Roman"/>
          <w:bCs/>
          <w:sz w:val="22"/>
          <w:szCs w:val="22"/>
          <w:lang w:eastAsia="en-AU"/>
        </w:rPr>
      </w:pPr>
    </w:p>
    <w:p w14:paraId="4694CA2C" w14:textId="2BD925D6" w:rsidR="00DF1026" w:rsidRPr="00E46894" w:rsidRDefault="00CD5C60" w:rsidP="000C22F7">
      <w:pPr>
        <w:spacing w:after="0" w:line="240" w:lineRule="auto"/>
        <w:contextualSpacing/>
        <w:rPr>
          <w:rFonts w:eastAsia="Times New Roman"/>
          <w:bCs/>
          <w:sz w:val="22"/>
          <w:szCs w:val="22"/>
          <w:lang w:eastAsia="en-AU"/>
        </w:rPr>
      </w:pPr>
      <w:r w:rsidRPr="00E46894">
        <w:rPr>
          <w:rFonts w:eastAsia="Times New Roman"/>
          <w:bCs/>
          <w:sz w:val="22"/>
          <w:szCs w:val="22"/>
          <w:lang w:eastAsia="en-AU"/>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the long</w:t>
      </w:r>
      <w:r w:rsidR="00EB24C9" w:rsidRPr="00E46894">
        <w:rPr>
          <w:rFonts w:eastAsia="Times New Roman"/>
          <w:bCs/>
          <w:sz w:val="22"/>
          <w:szCs w:val="22"/>
          <w:lang w:eastAsia="en-AU"/>
        </w:rPr>
        <w:t>-</w:t>
      </w:r>
      <w:r w:rsidRPr="00E46894">
        <w:rPr>
          <w:rFonts w:eastAsia="Times New Roman"/>
          <w:bCs/>
          <w:sz w:val="22"/>
          <w:szCs w:val="22"/>
          <w:lang w:eastAsia="en-AU"/>
        </w:rPr>
        <w:t>term health risks of vaping are not yet known.</w:t>
      </w:r>
    </w:p>
    <w:p w14:paraId="551CD2A0" w14:textId="77777777" w:rsidR="00DF1026" w:rsidRPr="00E46894" w:rsidRDefault="00DF1026" w:rsidP="000C22F7">
      <w:pPr>
        <w:autoSpaceDE w:val="0"/>
        <w:autoSpaceDN w:val="0"/>
        <w:adjustRightInd w:val="0"/>
        <w:spacing w:after="0" w:line="240" w:lineRule="auto"/>
        <w:contextualSpacing/>
        <w:rPr>
          <w:rFonts w:eastAsia="Times New Roman"/>
          <w:sz w:val="22"/>
          <w:szCs w:val="22"/>
          <w:lang w:eastAsia="en-AU"/>
        </w:rPr>
      </w:pPr>
    </w:p>
    <w:p w14:paraId="4DC91965" w14:textId="77777777" w:rsidR="00DF1026" w:rsidRPr="00E46894" w:rsidRDefault="00DF1026" w:rsidP="00BB7279">
      <w:pPr>
        <w:keepNext/>
        <w:autoSpaceDE w:val="0"/>
        <w:autoSpaceDN w:val="0"/>
        <w:adjustRightInd w:val="0"/>
        <w:spacing w:after="0" w:line="240" w:lineRule="auto"/>
        <w:contextualSpacing/>
        <w:rPr>
          <w:rFonts w:eastAsia="Times New Roman"/>
          <w:i/>
          <w:iCs/>
          <w:sz w:val="22"/>
          <w:szCs w:val="22"/>
          <w:lang w:eastAsia="en-AU"/>
        </w:rPr>
      </w:pPr>
      <w:r w:rsidRPr="00E46894">
        <w:rPr>
          <w:rFonts w:eastAsia="Times New Roman"/>
          <w:i/>
          <w:iCs/>
          <w:sz w:val="22"/>
          <w:szCs w:val="22"/>
          <w:lang w:eastAsia="en-AU"/>
        </w:rPr>
        <w:t xml:space="preserve">Reforms to the regulation of </w:t>
      </w:r>
      <w:proofErr w:type="gramStart"/>
      <w:r w:rsidRPr="00E46894">
        <w:rPr>
          <w:rFonts w:eastAsia="Times New Roman"/>
          <w:i/>
          <w:iCs/>
          <w:sz w:val="22"/>
          <w:szCs w:val="22"/>
          <w:lang w:eastAsia="en-AU"/>
        </w:rPr>
        <w:t>vapes</w:t>
      </w:r>
      <w:proofErr w:type="gramEnd"/>
    </w:p>
    <w:p w14:paraId="36E0064B" w14:textId="77777777" w:rsidR="00DF1026" w:rsidRPr="00E46894" w:rsidRDefault="00DF1026" w:rsidP="00BB7279">
      <w:pPr>
        <w:keepNext/>
        <w:autoSpaceDE w:val="0"/>
        <w:autoSpaceDN w:val="0"/>
        <w:adjustRightInd w:val="0"/>
        <w:spacing w:after="0" w:line="240" w:lineRule="auto"/>
        <w:contextualSpacing/>
        <w:rPr>
          <w:rFonts w:eastAsia="Times New Roman"/>
          <w:sz w:val="22"/>
          <w:szCs w:val="22"/>
          <w:lang w:eastAsia="en-AU"/>
        </w:rPr>
      </w:pPr>
    </w:p>
    <w:p w14:paraId="48F1E4E2" w14:textId="2D8F068D" w:rsidR="00CD5C60" w:rsidRPr="00E46894" w:rsidRDefault="00CD5C60" w:rsidP="00CD5C60">
      <w:pPr>
        <w:keepNext/>
        <w:autoSpaceDE w:val="0"/>
        <w:autoSpaceDN w:val="0"/>
        <w:adjustRightInd w:val="0"/>
        <w:spacing w:after="0" w:line="240" w:lineRule="auto"/>
        <w:contextualSpacing/>
        <w:rPr>
          <w:rFonts w:eastAsia="Times New Roman"/>
          <w:sz w:val="22"/>
          <w:szCs w:val="22"/>
          <w:lang w:eastAsia="en-AU"/>
        </w:rPr>
      </w:pPr>
      <w:r w:rsidRPr="00E46894">
        <w:rPr>
          <w:rFonts w:eastAsia="Times New Roman"/>
          <w:sz w:val="22"/>
          <w:szCs w:val="22"/>
          <w:lang w:eastAsia="en-AU"/>
        </w:rPr>
        <w:t xml:space="preserve">The Australian Government is implementing reforms to the regulation of vapes to address the growing public health problem associated with vaping. The reforms are proposed to </w:t>
      </w:r>
      <w:r w:rsidR="00EB24C9" w:rsidRPr="00E46894">
        <w:rPr>
          <w:rFonts w:eastAsia="Times New Roman"/>
          <w:sz w:val="22"/>
          <w:szCs w:val="22"/>
          <w:lang w:eastAsia="en-AU"/>
        </w:rPr>
        <w:t xml:space="preserve">prohibit the importation, </w:t>
      </w:r>
      <w:proofErr w:type="gramStart"/>
      <w:r w:rsidR="00EB24C9" w:rsidRPr="00E46894">
        <w:rPr>
          <w:rFonts w:eastAsia="Times New Roman"/>
          <w:sz w:val="22"/>
          <w:szCs w:val="22"/>
          <w:lang w:eastAsia="en-AU"/>
        </w:rPr>
        <w:t>manufacture</w:t>
      </w:r>
      <w:proofErr w:type="gramEnd"/>
      <w:r w:rsidR="00EB24C9" w:rsidRPr="00E46894">
        <w:rPr>
          <w:rFonts w:eastAsia="Times New Roman"/>
          <w:sz w:val="22"/>
          <w:szCs w:val="22"/>
          <w:lang w:eastAsia="en-AU"/>
        </w:rPr>
        <w:t xml:space="preserve"> and supply of disposable single use and non-therapeutic vapes, while strengthening the regulatory controls of therapeutic vapes. This will be achieved through amendments to the </w:t>
      </w:r>
      <w:r w:rsidR="00EB24C9" w:rsidRPr="00E46894">
        <w:rPr>
          <w:rFonts w:eastAsia="Times New Roman"/>
          <w:i/>
          <w:iCs/>
          <w:sz w:val="22"/>
          <w:szCs w:val="22"/>
          <w:lang w:eastAsia="en-AU"/>
        </w:rPr>
        <w:t>Therapeutic Goods Act 1989</w:t>
      </w:r>
      <w:r w:rsidR="00EB24C9" w:rsidRPr="00E46894">
        <w:rPr>
          <w:rFonts w:eastAsia="Times New Roman"/>
          <w:sz w:val="22"/>
          <w:szCs w:val="22"/>
          <w:lang w:eastAsia="en-AU"/>
        </w:rPr>
        <w:t xml:space="preserve">, the </w:t>
      </w:r>
      <w:r w:rsidR="00EB24C9" w:rsidRPr="00E46894">
        <w:rPr>
          <w:rFonts w:eastAsia="Times New Roman"/>
          <w:i/>
          <w:iCs/>
          <w:sz w:val="22"/>
          <w:szCs w:val="22"/>
          <w:lang w:eastAsia="en-AU"/>
        </w:rPr>
        <w:t>Therapeutic Goods Regulations 1990</w:t>
      </w:r>
      <w:r w:rsidR="00EB24C9" w:rsidRPr="00E46894">
        <w:rPr>
          <w:rFonts w:eastAsia="Times New Roman"/>
          <w:sz w:val="22"/>
          <w:szCs w:val="22"/>
          <w:lang w:eastAsia="en-AU"/>
        </w:rPr>
        <w:t xml:space="preserve">, the </w:t>
      </w:r>
      <w:r w:rsidR="00EB24C9" w:rsidRPr="00E46894">
        <w:rPr>
          <w:rFonts w:eastAsia="Times New Roman"/>
          <w:i/>
          <w:iCs/>
          <w:sz w:val="22"/>
          <w:szCs w:val="22"/>
          <w:lang w:eastAsia="en-AU"/>
        </w:rPr>
        <w:t>Therapeutic Goods (Medical Devices) Regulations 2002</w:t>
      </w:r>
      <w:r w:rsidR="00EB24C9" w:rsidRPr="00E46894">
        <w:rPr>
          <w:rFonts w:eastAsia="Times New Roman"/>
          <w:sz w:val="22"/>
          <w:szCs w:val="22"/>
          <w:lang w:eastAsia="en-AU"/>
        </w:rPr>
        <w:t xml:space="preserve">, the </w:t>
      </w:r>
      <w:r w:rsidR="00EB24C9" w:rsidRPr="00E46894">
        <w:rPr>
          <w:rFonts w:eastAsia="Times New Roman"/>
          <w:i/>
          <w:iCs/>
          <w:sz w:val="22"/>
          <w:szCs w:val="22"/>
          <w:lang w:eastAsia="en-AU"/>
        </w:rPr>
        <w:t xml:space="preserve">Customs Act </w:t>
      </w:r>
      <w:proofErr w:type="gramStart"/>
      <w:r w:rsidR="00EB24C9" w:rsidRPr="00E46894">
        <w:rPr>
          <w:rFonts w:eastAsia="Times New Roman"/>
          <w:i/>
          <w:iCs/>
          <w:sz w:val="22"/>
          <w:szCs w:val="22"/>
          <w:lang w:eastAsia="en-AU"/>
        </w:rPr>
        <w:t>1901</w:t>
      </w:r>
      <w:proofErr w:type="gramEnd"/>
      <w:r w:rsidR="00EB24C9" w:rsidRPr="00E46894">
        <w:rPr>
          <w:rFonts w:eastAsia="Times New Roman"/>
          <w:i/>
          <w:iCs/>
          <w:sz w:val="22"/>
          <w:szCs w:val="22"/>
          <w:lang w:eastAsia="en-AU"/>
        </w:rPr>
        <w:t xml:space="preserve"> </w:t>
      </w:r>
      <w:r w:rsidR="00EB24C9" w:rsidRPr="00E46894">
        <w:rPr>
          <w:rFonts w:eastAsia="Times New Roman"/>
          <w:sz w:val="22"/>
          <w:szCs w:val="22"/>
          <w:lang w:eastAsia="en-AU"/>
        </w:rPr>
        <w:t xml:space="preserve">and the </w:t>
      </w:r>
      <w:r w:rsidR="00EB24C9" w:rsidRPr="00E46894">
        <w:rPr>
          <w:rFonts w:eastAsia="Times New Roman"/>
          <w:i/>
          <w:iCs/>
          <w:sz w:val="22"/>
          <w:szCs w:val="22"/>
          <w:lang w:eastAsia="en-AU"/>
        </w:rPr>
        <w:t>Customs (Prohibited Imports) Regulations 1956</w:t>
      </w:r>
      <w:r w:rsidRPr="00E46894">
        <w:rPr>
          <w:rFonts w:eastAsia="Times New Roman"/>
          <w:sz w:val="22"/>
          <w:szCs w:val="22"/>
          <w:lang w:eastAsia="en-AU"/>
        </w:rPr>
        <w:t xml:space="preserve">, as well </w:t>
      </w:r>
      <w:r w:rsidR="00EB24C9" w:rsidRPr="00E46894">
        <w:rPr>
          <w:rFonts w:eastAsia="Times New Roman"/>
          <w:sz w:val="22"/>
          <w:szCs w:val="22"/>
          <w:lang w:eastAsia="en-AU"/>
        </w:rPr>
        <w:t>as</w:t>
      </w:r>
      <w:r w:rsidRPr="00E46894">
        <w:rPr>
          <w:rFonts w:eastAsia="Times New Roman"/>
          <w:sz w:val="22"/>
          <w:szCs w:val="22"/>
          <w:lang w:eastAsia="en-AU"/>
        </w:rPr>
        <w:t xml:space="preserve"> new and amended delegated instruments under the Act. A transitional approach will apply to the commencement of the reforms, to allow a reasonable time for importers, </w:t>
      </w:r>
      <w:proofErr w:type="gramStart"/>
      <w:r w:rsidRPr="00E46894">
        <w:rPr>
          <w:rFonts w:eastAsia="Times New Roman"/>
          <w:sz w:val="22"/>
          <w:szCs w:val="22"/>
          <w:lang w:eastAsia="en-AU"/>
        </w:rPr>
        <w:t>manufacturers</w:t>
      </w:r>
      <w:proofErr w:type="gramEnd"/>
      <w:r w:rsidRPr="00E46894">
        <w:rPr>
          <w:rFonts w:eastAsia="Times New Roman"/>
          <w:sz w:val="22"/>
          <w:szCs w:val="22"/>
          <w:lang w:eastAsia="en-AU"/>
        </w:rPr>
        <w:t xml:space="preserve"> and suppliers to comply with enhanced regulation, while maintaining legitimate patient access to therapeutic vaping goods for smoking cessation or the management of nicotine dependence.</w:t>
      </w:r>
    </w:p>
    <w:p w14:paraId="02E682E1" w14:textId="77777777" w:rsidR="00CD5C60" w:rsidRPr="00E46894" w:rsidRDefault="00CD5C60" w:rsidP="00CD5C60">
      <w:pPr>
        <w:autoSpaceDE w:val="0"/>
        <w:autoSpaceDN w:val="0"/>
        <w:adjustRightInd w:val="0"/>
        <w:spacing w:after="0" w:line="240" w:lineRule="auto"/>
        <w:contextualSpacing/>
        <w:rPr>
          <w:rFonts w:eastAsia="Times New Roman"/>
          <w:sz w:val="22"/>
          <w:szCs w:val="22"/>
          <w:lang w:eastAsia="en-AU"/>
        </w:rPr>
      </w:pPr>
    </w:p>
    <w:p w14:paraId="60379DDF" w14:textId="62FB0FCF" w:rsidR="00CD5C60" w:rsidRPr="00E46894" w:rsidRDefault="00CD5C60" w:rsidP="00CD5C60">
      <w:p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The reforms are intended to address the risks posed by vaping to youth and young adults in Australia, the possible long term adverse health effects of vaping to Australians who use vapes, and the adverse health effects of toxic chemicals and other ingredients found in vapes. At the same time, the proposed amendment </w:t>
      </w:r>
      <w:r w:rsidR="00EB24C9" w:rsidRPr="00E46894">
        <w:rPr>
          <w:rFonts w:eastAsia="Times New Roman"/>
          <w:sz w:val="22"/>
          <w:szCs w:val="22"/>
          <w:lang w:eastAsia="en-AU"/>
        </w:rPr>
        <w:t>will</w:t>
      </w:r>
      <w:r w:rsidRPr="00E46894">
        <w:rPr>
          <w:rFonts w:eastAsia="Times New Roman"/>
          <w:sz w:val="22"/>
          <w:szCs w:val="22"/>
          <w:lang w:eastAsia="en-AU"/>
        </w:rPr>
        <w:t xml:space="preserve"> preserve patient access to therapeutic vapes under the supervision of relevant health practitioners. </w:t>
      </w:r>
    </w:p>
    <w:p w14:paraId="50B04D54" w14:textId="77777777" w:rsidR="00CD5C60" w:rsidRPr="00E46894" w:rsidRDefault="00CD5C60" w:rsidP="00CD5C60">
      <w:pPr>
        <w:autoSpaceDE w:val="0"/>
        <w:autoSpaceDN w:val="0"/>
        <w:adjustRightInd w:val="0"/>
        <w:spacing w:after="0" w:line="240" w:lineRule="auto"/>
        <w:contextualSpacing/>
        <w:rPr>
          <w:rFonts w:eastAsia="Times New Roman"/>
          <w:sz w:val="22"/>
          <w:szCs w:val="22"/>
          <w:lang w:eastAsia="en-AU"/>
        </w:rPr>
      </w:pPr>
    </w:p>
    <w:p w14:paraId="16936DC7" w14:textId="6ACF5C95" w:rsidR="00CD5C60" w:rsidRPr="00E46894" w:rsidRDefault="00CD5C60" w:rsidP="00CD5C60">
      <w:p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In broad terms, the </w:t>
      </w:r>
      <w:r w:rsidR="00EB24C9" w:rsidRPr="00E46894">
        <w:rPr>
          <w:rFonts w:eastAsia="Times New Roman"/>
          <w:sz w:val="22"/>
          <w:szCs w:val="22"/>
          <w:lang w:eastAsia="en-AU"/>
        </w:rPr>
        <w:t xml:space="preserve">first stage of the </w:t>
      </w:r>
      <w:r w:rsidRPr="00E46894">
        <w:rPr>
          <w:rFonts w:eastAsia="Times New Roman"/>
          <w:sz w:val="22"/>
          <w:szCs w:val="22"/>
          <w:lang w:eastAsia="en-AU"/>
        </w:rPr>
        <w:t>reforms will:</w:t>
      </w:r>
    </w:p>
    <w:p w14:paraId="30E7321A" w14:textId="77777777" w:rsidR="00CD5C60" w:rsidRPr="00E46894" w:rsidRDefault="00CD5C60" w:rsidP="00CD5C60">
      <w:pPr>
        <w:pStyle w:val="ListParagraph"/>
        <w:numPr>
          <w:ilvl w:val="0"/>
          <w:numId w:val="16"/>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prohibit the importation of disposable single use vapes, irrespective of therapeutic claims, subject to limited exceptions, from 1 January </w:t>
      </w:r>
      <w:proofErr w:type="gramStart"/>
      <w:r w:rsidRPr="00E46894">
        <w:rPr>
          <w:rFonts w:eastAsia="Times New Roman"/>
          <w:sz w:val="22"/>
          <w:szCs w:val="22"/>
          <w:lang w:eastAsia="en-AU"/>
        </w:rPr>
        <w:t>2024;</w:t>
      </w:r>
      <w:proofErr w:type="gramEnd"/>
    </w:p>
    <w:p w14:paraId="3079DBE0" w14:textId="77777777" w:rsidR="00CD5C60" w:rsidRPr="00E46894" w:rsidRDefault="00CD5C60" w:rsidP="00CD5C60">
      <w:pPr>
        <w:pStyle w:val="ListParagraph"/>
        <w:numPr>
          <w:ilvl w:val="0"/>
          <w:numId w:val="16"/>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prohibit the importation of non-therapeutic vapes, irrespective of nicotine content, subject to limited exceptions, from 1 March </w:t>
      </w:r>
      <w:proofErr w:type="gramStart"/>
      <w:r w:rsidRPr="00E46894">
        <w:rPr>
          <w:rFonts w:eastAsia="Times New Roman"/>
          <w:sz w:val="22"/>
          <w:szCs w:val="22"/>
          <w:lang w:eastAsia="en-AU"/>
        </w:rPr>
        <w:t>2024;</w:t>
      </w:r>
      <w:proofErr w:type="gramEnd"/>
    </w:p>
    <w:p w14:paraId="4DF4DE57" w14:textId="77777777" w:rsidR="00CD5C60" w:rsidRPr="00E46894" w:rsidRDefault="00CD5C60" w:rsidP="00CD5C60">
      <w:pPr>
        <w:pStyle w:val="ListParagraph"/>
        <w:numPr>
          <w:ilvl w:val="0"/>
          <w:numId w:val="16"/>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introduce the requirement for importers to obtain a customs licence and permit to import therapeutic vapes, subject to limited exceptions, from 1 March 2024, with applications to be enabled from 1 January </w:t>
      </w:r>
      <w:proofErr w:type="gramStart"/>
      <w:r w:rsidRPr="00E46894">
        <w:rPr>
          <w:rFonts w:eastAsia="Times New Roman"/>
          <w:sz w:val="22"/>
          <w:szCs w:val="22"/>
          <w:lang w:eastAsia="en-AU"/>
        </w:rPr>
        <w:t>2024;</w:t>
      </w:r>
      <w:proofErr w:type="gramEnd"/>
    </w:p>
    <w:p w14:paraId="460291C3" w14:textId="77777777" w:rsidR="00CD5C60" w:rsidRPr="00E46894" w:rsidRDefault="00CD5C60" w:rsidP="00CD5C60">
      <w:pPr>
        <w:pStyle w:val="ListParagraph"/>
        <w:numPr>
          <w:ilvl w:val="0"/>
          <w:numId w:val="16"/>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end the personal importation scheme for therapeutic vapes – the scheme will cease to operate on 1 March 2024, but the importation of disposable vapes will be prohibited from 1 January </w:t>
      </w:r>
      <w:proofErr w:type="gramStart"/>
      <w:r w:rsidRPr="00E46894">
        <w:rPr>
          <w:rFonts w:eastAsia="Times New Roman"/>
          <w:sz w:val="22"/>
          <w:szCs w:val="22"/>
          <w:lang w:eastAsia="en-AU"/>
        </w:rPr>
        <w:t>2024;</w:t>
      </w:r>
      <w:proofErr w:type="gramEnd"/>
    </w:p>
    <w:p w14:paraId="6B9EBDBA" w14:textId="77777777" w:rsidR="00CD5C60" w:rsidRPr="00E46894" w:rsidRDefault="00CD5C60" w:rsidP="00CD5C60">
      <w:pPr>
        <w:pStyle w:val="ListParagraph"/>
        <w:numPr>
          <w:ilvl w:val="0"/>
          <w:numId w:val="16"/>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retain a limited traveller’s exception that allows persons arriving in Australia by ship or plane to carry a limited quantity of vapes for their treatment or the treatment of someone travelling </w:t>
      </w:r>
      <w:r w:rsidRPr="00E46894">
        <w:rPr>
          <w:rFonts w:eastAsia="Times New Roman"/>
          <w:sz w:val="22"/>
          <w:szCs w:val="22"/>
          <w:lang w:eastAsia="en-AU"/>
        </w:rPr>
        <w:lastRenderedPageBreak/>
        <w:t xml:space="preserve">with them under their care – revisions to the traveller’s exemption will commence on 1 March 2024 with restrictions on disposable vapes commencing 1 January </w:t>
      </w:r>
      <w:proofErr w:type="gramStart"/>
      <w:r w:rsidRPr="00E46894">
        <w:rPr>
          <w:rFonts w:eastAsia="Times New Roman"/>
          <w:sz w:val="22"/>
          <w:szCs w:val="22"/>
          <w:lang w:eastAsia="en-AU"/>
        </w:rPr>
        <w:t>2024;</w:t>
      </w:r>
      <w:proofErr w:type="gramEnd"/>
    </w:p>
    <w:p w14:paraId="43E18B3F" w14:textId="77777777" w:rsidR="00CD5C60" w:rsidRPr="00E46894" w:rsidRDefault="00CD5C60" w:rsidP="00CD5C60">
      <w:pPr>
        <w:pStyle w:val="ListParagraph"/>
        <w:numPr>
          <w:ilvl w:val="0"/>
          <w:numId w:val="16"/>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introduce the requirement for importers and manufacturers to notify the Secretary that therapeutic vapes intended to be imported, or released for supply in Australia, comply with relevant product standards or essential principles, as the case may be – this requirement will commence on 1 March 2024, with notifications to be enabled from 1 January </w:t>
      </w:r>
      <w:proofErr w:type="gramStart"/>
      <w:r w:rsidRPr="00E46894">
        <w:rPr>
          <w:rFonts w:eastAsia="Times New Roman"/>
          <w:sz w:val="22"/>
          <w:szCs w:val="22"/>
          <w:lang w:eastAsia="en-AU"/>
        </w:rPr>
        <w:t>2024;</w:t>
      </w:r>
      <w:proofErr w:type="gramEnd"/>
    </w:p>
    <w:p w14:paraId="3EA7C156" w14:textId="77777777" w:rsidR="00CD5C60" w:rsidRPr="00E46894" w:rsidRDefault="00CD5C60" w:rsidP="00CD5C60">
      <w:pPr>
        <w:pStyle w:val="ListParagraph"/>
        <w:numPr>
          <w:ilvl w:val="0"/>
          <w:numId w:val="16"/>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modify the exemptions relating to unregistered therapeutic vapes to require such goods to be supplied through prescription medicine supply chains to patients for smoking cessation or the management of nicotine dependence – this requirement will commence on 1 March </w:t>
      </w:r>
      <w:proofErr w:type="gramStart"/>
      <w:r w:rsidRPr="00E46894">
        <w:rPr>
          <w:rFonts w:eastAsia="Times New Roman"/>
          <w:sz w:val="22"/>
          <w:szCs w:val="22"/>
          <w:lang w:eastAsia="en-AU"/>
        </w:rPr>
        <w:t>2024;</w:t>
      </w:r>
      <w:proofErr w:type="gramEnd"/>
    </w:p>
    <w:p w14:paraId="44B0C4BA" w14:textId="6D31DDF5" w:rsidR="00CD5C60" w:rsidRPr="00E46894" w:rsidRDefault="00CD5C60" w:rsidP="00CD5C60">
      <w:pPr>
        <w:pStyle w:val="ListParagraph"/>
        <w:numPr>
          <w:ilvl w:val="0"/>
          <w:numId w:val="16"/>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make minor changes to relevant product standards to facilitate the introduction of the notification and permit schemes, introduce restrictions on flavours and ensure minimum standards for </w:t>
      </w:r>
      <w:r w:rsidR="007726FF" w:rsidRPr="00E46894">
        <w:rPr>
          <w:rFonts w:eastAsia="Times New Roman"/>
          <w:sz w:val="22"/>
          <w:szCs w:val="22"/>
          <w:lang w:eastAsia="en-AU"/>
        </w:rPr>
        <w:t>device components</w:t>
      </w:r>
      <w:r w:rsidRPr="00E46894">
        <w:rPr>
          <w:rFonts w:eastAsia="Times New Roman"/>
          <w:sz w:val="22"/>
          <w:szCs w:val="22"/>
          <w:lang w:eastAsia="en-AU"/>
        </w:rPr>
        <w:t>; and</w:t>
      </w:r>
    </w:p>
    <w:p w14:paraId="4C77EE28" w14:textId="3DE3F495" w:rsidR="00CD5C60" w:rsidRPr="00E46894" w:rsidRDefault="00CD5C60" w:rsidP="00CD5C60">
      <w:pPr>
        <w:pStyle w:val="ListParagraph"/>
        <w:numPr>
          <w:ilvl w:val="0"/>
          <w:numId w:val="14"/>
        </w:num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 xml:space="preserve">enable therapeutic vapes to be accessed by patients under </w:t>
      </w:r>
      <w:r w:rsidR="00EB24C9" w:rsidRPr="00E46894">
        <w:rPr>
          <w:rFonts w:eastAsia="Times New Roman"/>
          <w:sz w:val="22"/>
          <w:szCs w:val="22"/>
          <w:lang w:eastAsia="en-AU"/>
        </w:rPr>
        <w:t>the SAS C pathway</w:t>
      </w:r>
      <w:r w:rsidRPr="00E46894">
        <w:rPr>
          <w:rFonts w:eastAsia="Times New Roman"/>
          <w:sz w:val="22"/>
          <w:szCs w:val="22"/>
          <w:lang w:eastAsia="en-AU"/>
        </w:rPr>
        <w:t xml:space="preserve"> to facilitate more timely access to unregistered therapeutic vapes and reduce regulatory burden on practitioners, while maintaining regulat</w:t>
      </w:r>
      <w:r w:rsidR="00EB24C9" w:rsidRPr="00E46894">
        <w:rPr>
          <w:rFonts w:eastAsia="Times New Roman"/>
          <w:sz w:val="22"/>
          <w:szCs w:val="22"/>
          <w:lang w:eastAsia="en-AU"/>
        </w:rPr>
        <w:t xml:space="preserve">ory oversight </w:t>
      </w:r>
      <w:r w:rsidRPr="00E46894">
        <w:rPr>
          <w:rFonts w:eastAsia="Times New Roman"/>
          <w:sz w:val="22"/>
          <w:szCs w:val="22"/>
          <w:lang w:eastAsia="en-AU"/>
        </w:rPr>
        <w:t>commensurate with the risk.</w:t>
      </w:r>
    </w:p>
    <w:p w14:paraId="2FF86586" w14:textId="77777777" w:rsidR="00CD5C60" w:rsidRPr="00E46894" w:rsidRDefault="00CD5C60" w:rsidP="00CD5C60">
      <w:pPr>
        <w:autoSpaceDE w:val="0"/>
        <w:autoSpaceDN w:val="0"/>
        <w:adjustRightInd w:val="0"/>
        <w:spacing w:after="0" w:line="240" w:lineRule="auto"/>
        <w:contextualSpacing/>
        <w:rPr>
          <w:rFonts w:eastAsia="Times New Roman"/>
          <w:sz w:val="22"/>
          <w:szCs w:val="22"/>
          <w:lang w:eastAsia="en-AU"/>
        </w:rPr>
      </w:pPr>
    </w:p>
    <w:p w14:paraId="1A741F18" w14:textId="77777777" w:rsidR="00EB24C9" w:rsidRPr="00E46894" w:rsidRDefault="00EB24C9" w:rsidP="00EB24C9">
      <w:pPr>
        <w:autoSpaceDE w:val="0"/>
        <w:autoSpaceDN w:val="0"/>
        <w:adjustRightInd w:val="0"/>
        <w:spacing w:after="0" w:line="240" w:lineRule="auto"/>
        <w:rPr>
          <w:rFonts w:eastAsia="Times New Roman"/>
          <w:sz w:val="22"/>
          <w:szCs w:val="22"/>
          <w:lang w:eastAsia="en-AU"/>
        </w:rPr>
      </w:pPr>
      <w:r w:rsidRPr="00E46894">
        <w:rPr>
          <w:rFonts w:eastAsia="Times New Roman"/>
          <w:sz w:val="22"/>
          <w:szCs w:val="22"/>
          <w:lang w:eastAsia="en-AU"/>
        </w:rPr>
        <w:t>These changes will be supplemented with amendments to the Act that are proposed to be introduced to Parliament next year. The amendments, if made, will strengthen domestic compliance and enforcement mechanisms to support the broader policy intent. Compliance and enforcement effort both within and between jurisdictions is essential to address the risk of vaping to population health.</w:t>
      </w:r>
    </w:p>
    <w:p w14:paraId="408508AE" w14:textId="77777777" w:rsidR="00CD5C60" w:rsidRPr="00E46894" w:rsidRDefault="00CD5C60" w:rsidP="00CD5C60">
      <w:pPr>
        <w:spacing w:after="0" w:line="240" w:lineRule="auto"/>
        <w:contextualSpacing/>
        <w:rPr>
          <w:rFonts w:eastAsia="Times New Roman"/>
          <w:sz w:val="22"/>
          <w:szCs w:val="22"/>
          <w:lang w:eastAsia="en-AU"/>
        </w:rPr>
      </w:pPr>
    </w:p>
    <w:p w14:paraId="599B7CEA" w14:textId="77777777" w:rsidR="00DF1026" w:rsidRPr="00E46894" w:rsidRDefault="00DF1026" w:rsidP="00BB7279">
      <w:pPr>
        <w:keepNext/>
        <w:spacing w:after="0" w:line="240" w:lineRule="auto"/>
        <w:contextualSpacing/>
        <w:rPr>
          <w:rFonts w:eastAsia="Times New Roman"/>
          <w:b/>
          <w:bCs/>
          <w:sz w:val="22"/>
          <w:szCs w:val="22"/>
          <w:lang w:eastAsia="en-AU"/>
        </w:rPr>
      </w:pPr>
      <w:r w:rsidRPr="00E46894">
        <w:rPr>
          <w:rFonts w:eastAsia="Times New Roman"/>
          <w:b/>
          <w:bCs/>
          <w:sz w:val="22"/>
          <w:szCs w:val="22"/>
          <w:lang w:eastAsia="en-AU"/>
        </w:rPr>
        <w:t>Purpose</w:t>
      </w:r>
    </w:p>
    <w:p w14:paraId="3D13FF77" w14:textId="77777777" w:rsidR="00DF1026" w:rsidRPr="00E46894" w:rsidRDefault="00DF1026" w:rsidP="00BB7279">
      <w:pPr>
        <w:keepNext/>
        <w:spacing w:after="0" w:line="240" w:lineRule="auto"/>
        <w:contextualSpacing/>
        <w:rPr>
          <w:rFonts w:eastAsia="Times New Roman"/>
          <w:sz w:val="22"/>
          <w:szCs w:val="22"/>
          <w:lang w:eastAsia="en-AU"/>
        </w:rPr>
      </w:pPr>
    </w:p>
    <w:p w14:paraId="433C45A2" w14:textId="41ECCE21" w:rsidR="00DF1026" w:rsidRPr="00E46894" w:rsidRDefault="00DF1026" w:rsidP="00BB7279">
      <w:pPr>
        <w:keepNext/>
        <w:spacing w:after="0" w:line="240" w:lineRule="auto"/>
        <w:contextualSpacing/>
        <w:rPr>
          <w:rFonts w:eastAsia="Times New Roman"/>
          <w:sz w:val="22"/>
          <w:szCs w:val="22"/>
          <w:lang w:eastAsia="en-AU"/>
        </w:rPr>
      </w:pPr>
      <w:r w:rsidRPr="00E46894">
        <w:rPr>
          <w:rFonts w:eastAsia="Times New Roman"/>
          <w:sz w:val="22"/>
          <w:szCs w:val="22"/>
          <w:lang w:eastAsia="en-AU"/>
        </w:rPr>
        <w:t xml:space="preserve">The </w:t>
      </w:r>
      <w:r w:rsidR="001442F2" w:rsidRPr="00E46894">
        <w:rPr>
          <w:rFonts w:eastAsia="Times New Roman"/>
          <w:sz w:val="22"/>
          <w:szCs w:val="22"/>
          <w:lang w:eastAsia="en-AU"/>
        </w:rPr>
        <w:t xml:space="preserve">Principal </w:t>
      </w:r>
      <w:r w:rsidRPr="00E46894">
        <w:rPr>
          <w:rFonts w:eastAsia="Times New Roman"/>
          <w:sz w:val="22"/>
          <w:szCs w:val="22"/>
          <w:lang w:eastAsia="en-AU"/>
        </w:rPr>
        <w:t xml:space="preserve">Rules are made under </w:t>
      </w:r>
      <w:r w:rsidRPr="00E46894">
        <w:rPr>
          <w:color w:val="000000"/>
          <w:sz w:val="22"/>
          <w:szCs w:val="22"/>
          <w:shd w:val="clear" w:color="auto" w:fill="FFFFFF"/>
        </w:rPr>
        <w:t xml:space="preserve">subsection 19(7A) of the Act. The </w:t>
      </w:r>
      <w:r w:rsidR="001442F2" w:rsidRPr="00E46894">
        <w:rPr>
          <w:color w:val="000000"/>
          <w:sz w:val="22"/>
          <w:szCs w:val="22"/>
          <w:shd w:val="clear" w:color="auto" w:fill="FFFFFF"/>
        </w:rPr>
        <w:t xml:space="preserve">Principal </w:t>
      </w:r>
      <w:r w:rsidRPr="00E46894">
        <w:rPr>
          <w:color w:val="000000"/>
          <w:sz w:val="22"/>
          <w:szCs w:val="22"/>
          <w:shd w:val="clear" w:color="auto" w:fill="FFFFFF"/>
        </w:rPr>
        <w:t xml:space="preserve">Rules specify health practitioners, medicines, </w:t>
      </w:r>
      <w:proofErr w:type="gramStart"/>
      <w:r w:rsidRPr="00E46894">
        <w:rPr>
          <w:color w:val="000000"/>
          <w:sz w:val="22"/>
          <w:szCs w:val="22"/>
          <w:shd w:val="clear" w:color="auto" w:fill="FFFFFF"/>
        </w:rPr>
        <w:t>circumstances</w:t>
      </w:r>
      <w:proofErr w:type="gramEnd"/>
      <w:r w:rsidRPr="00E46894">
        <w:rPr>
          <w:color w:val="000000"/>
          <w:sz w:val="22"/>
          <w:szCs w:val="22"/>
          <w:shd w:val="clear" w:color="auto" w:fill="FFFFFF"/>
        </w:rPr>
        <w:t xml:space="preserve"> and conditions for the purposes of subsection 19(7A) of the Act. The </w:t>
      </w:r>
      <w:r w:rsidR="001442F2" w:rsidRPr="00E46894">
        <w:rPr>
          <w:color w:val="000000"/>
          <w:sz w:val="22"/>
          <w:szCs w:val="22"/>
          <w:shd w:val="clear" w:color="auto" w:fill="FFFFFF"/>
        </w:rPr>
        <w:t xml:space="preserve">Principal </w:t>
      </w:r>
      <w:r w:rsidRPr="00E46894">
        <w:rPr>
          <w:color w:val="000000"/>
          <w:sz w:val="22"/>
          <w:szCs w:val="22"/>
          <w:shd w:val="clear" w:color="auto" w:fill="FFFFFF"/>
        </w:rPr>
        <w:t>Rules, and subsections 19(7A) to (7D), support the operation of the Special Access Scheme – Category C (</w:t>
      </w:r>
      <w:r w:rsidR="008949A6" w:rsidRPr="00E46894">
        <w:rPr>
          <w:color w:val="000000"/>
          <w:sz w:val="22"/>
          <w:szCs w:val="22"/>
          <w:shd w:val="clear" w:color="auto" w:fill="FFFFFF"/>
        </w:rPr>
        <w:t>“</w:t>
      </w:r>
      <w:r w:rsidRPr="00E46894">
        <w:rPr>
          <w:color w:val="000000"/>
          <w:sz w:val="22"/>
          <w:szCs w:val="22"/>
          <w:shd w:val="clear" w:color="auto" w:fill="FFFFFF"/>
        </w:rPr>
        <w:t>SAS C</w:t>
      </w:r>
      <w:r w:rsidR="008949A6" w:rsidRPr="00E46894">
        <w:rPr>
          <w:color w:val="000000"/>
          <w:sz w:val="22"/>
          <w:szCs w:val="22"/>
          <w:shd w:val="clear" w:color="auto" w:fill="FFFFFF"/>
        </w:rPr>
        <w:t>”</w:t>
      </w:r>
      <w:r w:rsidRPr="00E46894">
        <w:rPr>
          <w:color w:val="000000"/>
          <w:sz w:val="22"/>
          <w:szCs w:val="22"/>
          <w:shd w:val="clear" w:color="auto" w:fill="FFFFFF"/>
        </w:rPr>
        <w:t xml:space="preserve">) pathway. The SAS C </w:t>
      </w:r>
      <w:r w:rsidR="001442F2" w:rsidRPr="00E46894">
        <w:rPr>
          <w:color w:val="000000"/>
          <w:sz w:val="22"/>
          <w:szCs w:val="22"/>
          <w:shd w:val="clear" w:color="auto" w:fill="FFFFFF"/>
        </w:rPr>
        <w:t xml:space="preserve">pathway </w:t>
      </w:r>
      <w:r w:rsidRPr="00E46894">
        <w:rPr>
          <w:color w:val="000000"/>
          <w:sz w:val="22"/>
          <w:szCs w:val="22"/>
          <w:shd w:val="clear" w:color="auto" w:fill="FFFFFF"/>
        </w:rPr>
        <w:t>provides immediate access to unapproved therapeutic goods, where certain circumstances exist, and certain conditions are met. Supply of goods under the SAS C pathway must be notified to the TGA within 28 days of the supply.</w:t>
      </w:r>
    </w:p>
    <w:p w14:paraId="7A4823AD" w14:textId="77777777" w:rsidR="00DF1026" w:rsidRPr="00E46894" w:rsidRDefault="00DF1026" w:rsidP="000C22F7">
      <w:pPr>
        <w:spacing w:after="0" w:line="240" w:lineRule="auto"/>
        <w:contextualSpacing/>
        <w:rPr>
          <w:rFonts w:eastAsia="Times New Roman"/>
          <w:sz w:val="22"/>
          <w:szCs w:val="22"/>
          <w:lang w:eastAsia="en-AU"/>
        </w:rPr>
      </w:pPr>
    </w:p>
    <w:p w14:paraId="3C8D9D28" w14:textId="018BC87D" w:rsidR="00DF1026" w:rsidRPr="00E46894" w:rsidRDefault="00DF1026" w:rsidP="000C22F7">
      <w:pPr>
        <w:spacing w:after="0" w:line="240" w:lineRule="auto"/>
        <w:contextualSpacing/>
        <w:rPr>
          <w:rFonts w:eastAsia="Times New Roman"/>
          <w:sz w:val="22"/>
          <w:szCs w:val="22"/>
          <w:lang w:eastAsia="en-AU"/>
        </w:rPr>
      </w:pPr>
      <w:r w:rsidRPr="00E46894">
        <w:rPr>
          <w:rFonts w:eastAsia="Times New Roman"/>
          <w:sz w:val="22"/>
          <w:szCs w:val="22"/>
          <w:lang w:eastAsia="en-AU"/>
        </w:rPr>
        <w:t xml:space="preserve">The Amendment Rules amend the </w:t>
      </w:r>
      <w:r w:rsidR="001442F2" w:rsidRPr="00E46894">
        <w:rPr>
          <w:rFonts w:eastAsia="Times New Roman"/>
          <w:sz w:val="22"/>
          <w:szCs w:val="22"/>
          <w:lang w:eastAsia="en-AU"/>
        </w:rPr>
        <w:t xml:space="preserve">Principal </w:t>
      </w:r>
      <w:r w:rsidRPr="00E46894">
        <w:rPr>
          <w:rFonts w:eastAsia="Times New Roman"/>
          <w:sz w:val="22"/>
          <w:szCs w:val="22"/>
          <w:lang w:eastAsia="en-AU"/>
        </w:rPr>
        <w:t xml:space="preserve">Rules to enable medical practitioners and nurse practitioners to supply therapeutic vaping substances, therapeutic vaping substance accessories, therapeutic vaping kits, and goods in a therapeutic vaping pack to patients who are 16 years of age or over, for use </w:t>
      </w:r>
      <w:r w:rsidR="001442F2" w:rsidRPr="00E46894">
        <w:rPr>
          <w:rFonts w:eastAsia="Times New Roman"/>
          <w:sz w:val="22"/>
          <w:szCs w:val="22"/>
          <w:lang w:eastAsia="en-AU"/>
        </w:rPr>
        <w:t xml:space="preserve">in </w:t>
      </w:r>
      <w:r w:rsidRPr="00E46894">
        <w:rPr>
          <w:rFonts w:eastAsia="Times New Roman"/>
          <w:sz w:val="22"/>
          <w:szCs w:val="22"/>
          <w:lang w:eastAsia="en-AU"/>
        </w:rPr>
        <w:t xml:space="preserve">smoking </w:t>
      </w:r>
      <w:r w:rsidR="001442F2" w:rsidRPr="00E46894">
        <w:rPr>
          <w:rFonts w:eastAsia="Times New Roman"/>
          <w:sz w:val="22"/>
          <w:szCs w:val="22"/>
          <w:lang w:eastAsia="en-AU"/>
        </w:rPr>
        <w:t xml:space="preserve">cessation </w:t>
      </w:r>
      <w:r w:rsidRPr="00E46894">
        <w:rPr>
          <w:rFonts w:eastAsia="Times New Roman"/>
          <w:sz w:val="22"/>
          <w:szCs w:val="22"/>
          <w:lang w:eastAsia="en-AU"/>
        </w:rPr>
        <w:t xml:space="preserve">or the management of nicotine dependence. </w:t>
      </w:r>
      <w:r w:rsidR="001442F2" w:rsidRPr="00E46894">
        <w:rPr>
          <w:rFonts w:eastAsia="Times New Roman"/>
          <w:sz w:val="22"/>
          <w:szCs w:val="22"/>
          <w:lang w:eastAsia="en-AU"/>
        </w:rPr>
        <w:t xml:space="preserve">Such </w:t>
      </w:r>
      <w:r w:rsidRPr="00E46894">
        <w:rPr>
          <w:rFonts w:eastAsia="Times New Roman"/>
          <w:sz w:val="22"/>
          <w:szCs w:val="22"/>
          <w:lang w:eastAsia="en-AU"/>
        </w:rPr>
        <w:t>supply is subject to certain specified conditions, including that the practitioner informs the patient that the goods are not included in the Register, obtain</w:t>
      </w:r>
      <w:r w:rsidR="001442F2" w:rsidRPr="00E46894">
        <w:rPr>
          <w:rFonts w:eastAsia="Times New Roman"/>
          <w:sz w:val="22"/>
          <w:szCs w:val="22"/>
          <w:lang w:eastAsia="en-AU"/>
        </w:rPr>
        <w:t>s</w:t>
      </w:r>
      <w:r w:rsidRPr="00E46894">
        <w:rPr>
          <w:rFonts w:eastAsia="Times New Roman"/>
          <w:sz w:val="22"/>
          <w:szCs w:val="22"/>
          <w:lang w:eastAsia="en-AU"/>
        </w:rPr>
        <w:t xml:space="preserve"> informed consent </w:t>
      </w:r>
      <w:r w:rsidR="001442F2" w:rsidRPr="00E46894">
        <w:rPr>
          <w:rFonts w:eastAsia="Times New Roman"/>
          <w:sz w:val="22"/>
          <w:szCs w:val="22"/>
          <w:lang w:eastAsia="en-AU"/>
        </w:rPr>
        <w:t xml:space="preserve">from the </w:t>
      </w:r>
      <w:proofErr w:type="gramStart"/>
      <w:r w:rsidR="001442F2" w:rsidRPr="00E46894">
        <w:rPr>
          <w:rFonts w:eastAsia="Times New Roman"/>
          <w:sz w:val="22"/>
          <w:szCs w:val="22"/>
          <w:lang w:eastAsia="en-AU"/>
        </w:rPr>
        <w:t>patient</w:t>
      </w:r>
      <w:proofErr w:type="gramEnd"/>
      <w:r w:rsidR="001442F2" w:rsidRPr="00E46894">
        <w:rPr>
          <w:rFonts w:eastAsia="Times New Roman"/>
          <w:sz w:val="22"/>
          <w:szCs w:val="22"/>
          <w:lang w:eastAsia="en-AU"/>
        </w:rPr>
        <w:t xml:space="preserve"> </w:t>
      </w:r>
      <w:r w:rsidRPr="00E46894">
        <w:rPr>
          <w:rFonts w:eastAsia="Times New Roman"/>
          <w:sz w:val="22"/>
          <w:szCs w:val="22"/>
          <w:lang w:eastAsia="en-AU"/>
        </w:rPr>
        <w:t xml:space="preserve">and </w:t>
      </w:r>
      <w:r w:rsidR="001442F2" w:rsidRPr="00E46894">
        <w:rPr>
          <w:rFonts w:eastAsia="Times New Roman"/>
          <w:sz w:val="22"/>
          <w:szCs w:val="22"/>
          <w:lang w:eastAsia="en-AU"/>
        </w:rPr>
        <w:t>supplies the goods</w:t>
      </w:r>
      <w:r w:rsidRPr="00E46894">
        <w:rPr>
          <w:rFonts w:eastAsia="Times New Roman"/>
          <w:sz w:val="22"/>
          <w:szCs w:val="22"/>
          <w:lang w:eastAsia="en-AU"/>
        </w:rPr>
        <w:t xml:space="preserve"> in accordance with good medical practice.</w:t>
      </w:r>
    </w:p>
    <w:p w14:paraId="1FD2E45F" w14:textId="77777777" w:rsidR="00DF1026" w:rsidRPr="00E46894" w:rsidRDefault="00DF1026" w:rsidP="000C22F7">
      <w:pPr>
        <w:spacing w:after="0" w:line="240" w:lineRule="auto"/>
        <w:contextualSpacing/>
        <w:rPr>
          <w:rFonts w:eastAsia="Times New Roman"/>
          <w:sz w:val="22"/>
          <w:szCs w:val="22"/>
          <w:lang w:eastAsia="en-AU"/>
        </w:rPr>
      </w:pPr>
    </w:p>
    <w:p w14:paraId="788FC602" w14:textId="0E8706F4" w:rsidR="00DF1026" w:rsidRPr="00E46894" w:rsidRDefault="00DF1026" w:rsidP="000C22F7">
      <w:pPr>
        <w:spacing w:after="0" w:line="240" w:lineRule="auto"/>
        <w:contextualSpacing/>
        <w:rPr>
          <w:rFonts w:eastAsia="Times New Roman"/>
          <w:sz w:val="22"/>
          <w:szCs w:val="22"/>
          <w:lang w:eastAsia="en-AU"/>
        </w:rPr>
      </w:pPr>
      <w:r w:rsidRPr="00E46894">
        <w:rPr>
          <w:rFonts w:eastAsia="Times New Roman"/>
          <w:sz w:val="22"/>
          <w:szCs w:val="22"/>
          <w:lang w:eastAsia="en-AU"/>
        </w:rPr>
        <w:t xml:space="preserve">The goods that are specified </w:t>
      </w:r>
      <w:r w:rsidR="001442F2" w:rsidRPr="00E46894">
        <w:rPr>
          <w:rFonts w:eastAsia="Times New Roman"/>
          <w:sz w:val="22"/>
          <w:szCs w:val="22"/>
          <w:lang w:eastAsia="en-AU"/>
        </w:rPr>
        <w:t xml:space="preserve">in the Amendment Rules </w:t>
      </w:r>
      <w:r w:rsidRPr="00E46894">
        <w:rPr>
          <w:rFonts w:eastAsia="Times New Roman"/>
          <w:sz w:val="22"/>
          <w:szCs w:val="22"/>
          <w:lang w:eastAsia="en-AU"/>
        </w:rPr>
        <w:t>are those that are the subject of a noti</w:t>
      </w:r>
      <w:r w:rsidR="00D356C3" w:rsidRPr="00E46894">
        <w:rPr>
          <w:rFonts w:eastAsia="Times New Roman"/>
          <w:sz w:val="22"/>
          <w:szCs w:val="22"/>
          <w:lang w:eastAsia="en-AU"/>
        </w:rPr>
        <w:t>ce</w:t>
      </w:r>
      <w:r w:rsidRPr="00E46894">
        <w:rPr>
          <w:rFonts w:eastAsia="Times New Roman"/>
          <w:sz w:val="22"/>
          <w:szCs w:val="22"/>
          <w:lang w:eastAsia="en-AU"/>
        </w:rPr>
        <w:t xml:space="preserve"> under item 15 in Schedule 5A to the Regulations and are not the subject of a determination by the Secretary under item 15 in Schedule 5A to the Regulations. This is to ensure that the goods that are accessed through </w:t>
      </w:r>
      <w:r w:rsidR="001442F2" w:rsidRPr="00E46894">
        <w:rPr>
          <w:rFonts w:eastAsia="Times New Roman"/>
          <w:sz w:val="22"/>
          <w:szCs w:val="22"/>
          <w:lang w:eastAsia="en-AU"/>
        </w:rPr>
        <w:t xml:space="preserve">the </w:t>
      </w:r>
      <w:r w:rsidRPr="00E46894">
        <w:rPr>
          <w:rFonts w:eastAsia="Times New Roman"/>
          <w:sz w:val="22"/>
          <w:szCs w:val="22"/>
          <w:lang w:eastAsia="en-AU"/>
        </w:rPr>
        <w:t>SAS C pathway meet minimum standards for safety and quality.</w:t>
      </w:r>
    </w:p>
    <w:p w14:paraId="3EAC2F17" w14:textId="77777777" w:rsidR="00DF1026" w:rsidRPr="00E46894" w:rsidRDefault="00DF1026" w:rsidP="000C22F7">
      <w:pPr>
        <w:spacing w:after="0" w:line="240" w:lineRule="auto"/>
        <w:contextualSpacing/>
        <w:rPr>
          <w:rFonts w:eastAsia="Times New Roman"/>
          <w:sz w:val="22"/>
          <w:szCs w:val="22"/>
          <w:lang w:eastAsia="en-AU"/>
        </w:rPr>
      </w:pPr>
    </w:p>
    <w:p w14:paraId="6E9762A4" w14:textId="414479EC" w:rsidR="00DF1026" w:rsidRPr="00E46894" w:rsidRDefault="00DF1026" w:rsidP="000C22F7">
      <w:pPr>
        <w:spacing w:after="0" w:line="240" w:lineRule="auto"/>
        <w:contextualSpacing/>
        <w:rPr>
          <w:rFonts w:eastAsia="Times New Roman"/>
          <w:sz w:val="22"/>
          <w:szCs w:val="22"/>
          <w:lang w:eastAsia="en-AU"/>
        </w:rPr>
      </w:pPr>
      <w:r w:rsidRPr="00E46894">
        <w:rPr>
          <w:rFonts w:eastAsia="Times New Roman"/>
          <w:sz w:val="22"/>
          <w:szCs w:val="22"/>
          <w:lang w:eastAsia="en-AU"/>
        </w:rPr>
        <w:t>The effect of the Amendment Rules is to enable a medical practitioner or nurse practitioner to supply the specified goods to their patients</w:t>
      </w:r>
      <w:r w:rsidR="00392D78" w:rsidRPr="00E46894">
        <w:rPr>
          <w:rFonts w:eastAsia="Times New Roman"/>
          <w:sz w:val="22"/>
          <w:szCs w:val="22"/>
          <w:lang w:eastAsia="en-AU"/>
        </w:rPr>
        <w:t xml:space="preserve">, </w:t>
      </w:r>
      <w:r w:rsidRPr="00E46894">
        <w:rPr>
          <w:rFonts w:eastAsia="Times New Roman"/>
          <w:sz w:val="22"/>
          <w:szCs w:val="22"/>
          <w:lang w:eastAsia="en-AU"/>
        </w:rPr>
        <w:t>16 years of age or older</w:t>
      </w:r>
      <w:r w:rsidR="00392D78" w:rsidRPr="00E46894">
        <w:rPr>
          <w:rFonts w:eastAsia="Times New Roman"/>
          <w:sz w:val="22"/>
          <w:szCs w:val="22"/>
          <w:lang w:eastAsia="en-AU"/>
        </w:rPr>
        <w:t xml:space="preserve">, </w:t>
      </w:r>
      <w:r w:rsidR="001442F2" w:rsidRPr="00E46894">
        <w:rPr>
          <w:rFonts w:eastAsia="Times New Roman"/>
          <w:sz w:val="22"/>
          <w:szCs w:val="22"/>
          <w:lang w:eastAsia="en-AU"/>
        </w:rPr>
        <w:t>without pre-approval or authority from the Secretary</w:t>
      </w:r>
      <w:r w:rsidRPr="00E46894">
        <w:rPr>
          <w:rFonts w:eastAsia="Times New Roman"/>
          <w:sz w:val="22"/>
          <w:szCs w:val="22"/>
          <w:lang w:eastAsia="en-AU"/>
        </w:rPr>
        <w:t xml:space="preserve">. This facilitates </w:t>
      </w:r>
      <w:r w:rsidR="001442F2" w:rsidRPr="00E46894">
        <w:rPr>
          <w:rFonts w:eastAsia="Times New Roman"/>
          <w:sz w:val="22"/>
          <w:szCs w:val="22"/>
          <w:lang w:eastAsia="en-AU"/>
        </w:rPr>
        <w:t xml:space="preserve">legitimate patient </w:t>
      </w:r>
      <w:r w:rsidRPr="00E46894">
        <w:rPr>
          <w:rFonts w:eastAsia="Times New Roman"/>
          <w:sz w:val="22"/>
          <w:szCs w:val="22"/>
          <w:lang w:eastAsia="en-AU"/>
        </w:rPr>
        <w:t xml:space="preserve">access to goods </w:t>
      </w:r>
      <w:r w:rsidR="001442F2" w:rsidRPr="00E46894">
        <w:rPr>
          <w:rFonts w:eastAsia="Times New Roman"/>
          <w:sz w:val="22"/>
          <w:szCs w:val="22"/>
          <w:lang w:eastAsia="en-AU"/>
        </w:rPr>
        <w:t>for use in smoking cessation or the treatment of nicotine dependence</w:t>
      </w:r>
      <w:r w:rsidRPr="00E46894">
        <w:rPr>
          <w:rFonts w:eastAsia="Times New Roman"/>
          <w:sz w:val="22"/>
          <w:szCs w:val="22"/>
          <w:lang w:eastAsia="en-AU"/>
        </w:rPr>
        <w:t>.</w:t>
      </w:r>
    </w:p>
    <w:p w14:paraId="0176C681" w14:textId="77777777" w:rsidR="00171742" w:rsidRPr="00E46894" w:rsidRDefault="00171742" w:rsidP="000C22F7">
      <w:pPr>
        <w:spacing w:after="0" w:line="240" w:lineRule="auto"/>
        <w:contextualSpacing/>
        <w:rPr>
          <w:rFonts w:eastAsia="Times New Roman"/>
          <w:bCs/>
          <w:sz w:val="22"/>
          <w:szCs w:val="22"/>
          <w:lang w:eastAsia="en-AU"/>
        </w:rPr>
      </w:pPr>
    </w:p>
    <w:p w14:paraId="5BE6996A" w14:textId="77777777" w:rsidR="00231AB7" w:rsidRPr="00E46894" w:rsidRDefault="00231AB7" w:rsidP="00BB7279">
      <w:pPr>
        <w:keepNext/>
        <w:spacing w:after="0" w:line="240" w:lineRule="auto"/>
        <w:contextualSpacing/>
        <w:rPr>
          <w:rFonts w:eastAsia="Times New Roman"/>
          <w:b/>
          <w:sz w:val="22"/>
          <w:szCs w:val="22"/>
          <w:lang w:eastAsia="en-AU"/>
        </w:rPr>
      </w:pPr>
      <w:bookmarkStart w:id="13" w:name="_Hlk147935608"/>
      <w:r w:rsidRPr="00E46894">
        <w:rPr>
          <w:rFonts w:eastAsia="Times New Roman"/>
          <w:b/>
          <w:sz w:val="22"/>
          <w:szCs w:val="22"/>
          <w:lang w:eastAsia="en-AU"/>
        </w:rPr>
        <w:t>Human rights implications</w:t>
      </w:r>
    </w:p>
    <w:p w14:paraId="38984BCE" w14:textId="77777777" w:rsidR="00231AB7" w:rsidRPr="00E46894" w:rsidRDefault="00231AB7" w:rsidP="00BB7279">
      <w:pPr>
        <w:keepNext/>
        <w:spacing w:after="0" w:line="240" w:lineRule="auto"/>
        <w:contextualSpacing/>
        <w:rPr>
          <w:rFonts w:eastAsia="Times New Roman"/>
          <w:sz w:val="22"/>
          <w:szCs w:val="22"/>
          <w:lang w:eastAsia="en-AU"/>
        </w:rPr>
      </w:pPr>
    </w:p>
    <w:p w14:paraId="45A0DE93" w14:textId="2471BBEC" w:rsidR="00231AB7" w:rsidRPr="00E46894" w:rsidRDefault="00231AB7" w:rsidP="00BB7279">
      <w:pPr>
        <w:keepNext/>
        <w:spacing w:after="0" w:line="240" w:lineRule="auto"/>
        <w:contextualSpacing/>
        <w:rPr>
          <w:rFonts w:eastAsia="Times New Roman"/>
          <w:sz w:val="22"/>
          <w:szCs w:val="22"/>
          <w:lang w:eastAsia="en-AU"/>
        </w:rPr>
      </w:pPr>
      <w:bookmarkStart w:id="14" w:name="_Hlk148007247"/>
      <w:r w:rsidRPr="00E46894">
        <w:rPr>
          <w:rFonts w:eastAsia="Times New Roman"/>
          <w:sz w:val="22"/>
          <w:szCs w:val="22"/>
          <w:lang w:eastAsia="en-AU"/>
        </w:rPr>
        <w:t xml:space="preserve">The </w:t>
      </w:r>
      <w:r w:rsidR="00171742" w:rsidRPr="00E46894">
        <w:rPr>
          <w:rFonts w:eastAsia="Times New Roman"/>
          <w:sz w:val="22"/>
          <w:szCs w:val="22"/>
          <w:lang w:eastAsia="en-AU"/>
        </w:rPr>
        <w:t xml:space="preserve">Amendment Rules </w:t>
      </w:r>
      <w:r w:rsidRPr="00E46894">
        <w:rPr>
          <w:rFonts w:eastAsia="Times New Roman"/>
          <w:sz w:val="22"/>
          <w:szCs w:val="22"/>
          <w:lang w:eastAsia="en-AU"/>
        </w:rPr>
        <w:t xml:space="preserve">engage the right to health in Article 12 of the International Covenant on Economic, Social and Cultural rights (“the ICESCR”). Article 12 of the ICESCR promotes the right of all individuals to enjoy the highest attainable standards of physical and mental </w:t>
      </w:r>
      <w:proofErr w:type="gramStart"/>
      <w:r w:rsidRPr="00E46894">
        <w:rPr>
          <w:rFonts w:eastAsia="Times New Roman"/>
          <w:sz w:val="22"/>
          <w:szCs w:val="22"/>
          <w:lang w:eastAsia="en-AU"/>
        </w:rPr>
        <w:t>health</w:t>
      </w:r>
      <w:r w:rsidR="00171742" w:rsidRPr="00E46894">
        <w:rPr>
          <w:rFonts w:eastAsia="Times New Roman"/>
          <w:sz w:val="22"/>
          <w:szCs w:val="22"/>
          <w:lang w:eastAsia="en-AU"/>
        </w:rPr>
        <w:t>, and</w:t>
      </w:r>
      <w:proofErr w:type="gramEnd"/>
      <w:r w:rsidR="00171742" w:rsidRPr="00E46894">
        <w:rPr>
          <w:rFonts w:eastAsia="Times New Roman"/>
          <w:sz w:val="22"/>
          <w:szCs w:val="22"/>
          <w:lang w:eastAsia="en-AU"/>
        </w:rPr>
        <w:t xml:space="preserve"> includes </w:t>
      </w:r>
      <w:r w:rsidR="00171742" w:rsidRPr="00E46894">
        <w:rPr>
          <w:rFonts w:eastAsia="Times New Roman"/>
          <w:sz w:val="22"/>
          <w:szCs w:val="22"/>
          <w:lang w:eastAsia="en-AU"/>
        </w:rPr>
        <w:lastRenderedPageBreak/>
        <w:t>an obligation to take reasonable measures within available resources to progressively secure broader enjoyment of the right</w:t>
      </w:r>
      <w:r w:rsidRPr="00E46894">
        <w:rPr>
          <w:rFonts w:eastAsia="Times New Roman"/>
          <w:sz w:val="22"/>
          <w:szCs w:val="22"/>
          <w:lang w:eastAsia="en-AU"/>
        </w:rPr>
        <w:t>.</w:t>
      </w:r>
    </w:p>
    <w:p w14:paraId="478784D8" w14:textId="77777777" w:rsidR="00231AB7" w:rsidRPr="00E46894" w:rsidRDefault="00231AB7" w:rsidP="000C22F7">
      <w:pPr>
        <w:spacing w:after="0" w:line="240" w:lineRule="auto"/>
        <w:contextualSpacing/>
        <w:rPr>
          <w:rFonts w:eastAsia="Times New Roman"/>
          <w:sz w:val="22"/>
          <w:szCs w:val="22"/>
          <w:lang w:eastAsia="en-AU"/>
        </w:rPr>
      </w:pPr>
    </w:p>
    <w:p w14:paraId="1E372EE5" w14:textId="77777777" w:rsidR="00DF1026" w:rsidRPr="00E46894" w:rsidRDefault="00DF1026" w:rsidP="000C22F7">
      <w:pPr>
        <w:spacing w:after="0" w:line="240" w:lineRule="auto"/>
        <w:contextualSpacing/>
        <w:rPr>
          <w:rFonts w:eastAsia="Times New Roman"/>
          <w:sz w:val="22"/>
          <w:szCs w:val="22"/>
          <w:lang w:eastAsia="en-AU"/>
        </w:rPr>
      </w:pPr>
      <w:r w:rsidRPr="00E46894">
        <w:rPr>
          <w:sz w:val="22"/>
          <w:szCs w:val="22"/>
        </w:rPr>
        <w:t xml:space="preserve">In </w:t>
      </w:r>
      <w:r w:rsidRPr="00E46894">
        <w:rPr>
          <w:i/>
          <w:iCs/>
          <w:sz w:val="22"/>
          <w:szCs w:val="22"/>
        </w:rPr>
        <w:t xml:space="preserve">General Comment No. 14: The Right to the Highest Attainable Standard of Health </w:t>
      </w:r>
      <w:r w:rsidRPr="00E46894">
        <w:rPr>
          <w:sz w:val="22"/>
          <w:szCs w:val="22"/>
        </w:rPr>
        <w:t xml:space="preserve">(Art. 12) (2000), </w:t>
      </w:r>
      <w:r w:rsidRPr="00E46894">
        <w:rPr>
          <w:rFonts w:eastAsia="Times New Roman"/>
          <w:sz w:val="22"/>
          <w:szCs w:val="22"/>
          <w:lang w:eastAsia="en-AU"/>
        </w:rPr>
        <w:t>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460EB69F" w14:textId="77777777" w:rsidR="00DF1026" w:rsidRPr="00E46894" w:rsidRDefault="00DF1026" w:rsidP="000C22F7">
      <w:pPr>
        <w:spacing w:after="0" w:line="240" w:lineRule="auto"/>
        <w:contextualSpacing/>
        <w:rPr>
          <w:rFonts w:eastAsia="Times New Roman"/>
          <w:sz w:val="22"/>
          <w:szCs w:val="22"/>
          <w:lang w:eastAsia="en-AU"/>
        </w:rPr>
      </w:pPr>
    </w:p>
    <w:p w14:paraId="3D80CAC7" w14:textId="6AD9FA16" w:rsidR="00DF1026" w:rsidRPr="00E46894" w:rsidRDefault="00DF1026" w:rsidP="000C22F7">
      <w:pPr>
        <w:spacing w:after="0" w:line="240" w:lineRule="auto"/>
        <w:contextualSpacing/>
        <w:rPr>
          <w:sz w:val="22"/>
          <w:szCs w:val="22"/>
        </w:rPr>
      </w:pPr>
      <w:r w:rsidRPr="00E46894">
        <w:rPr>
          <w:sz w:val="22"/>
          <w:szCs w:val="22"/>
        </w:rPr>
        <w:t>Vaping has been associated with a range of short-term health risks and its long-term health effects</w:t>
      </w:r>
      <w:r w:rsidR="008949A6" w:rsidRPr="00E46894">
        <w:rPr>
          <w:sz w:val="22"/>
          <w:szCs w:val="22"/>
        </w:rPr>
        <w:t xml:space="preserve"> </w:t>
      </w:r>
      <w:r w:rsidRPr="00E46894">
        <w:rPr>
          <w:sz w:val="22"/>
          <w:szCs w:val="22"/>
        </w:rPr>
        <w:t>are still unknown. Vape marketing and use in the community has increased rapidly in recent years, particularly among young people and poses a major risk to population health and Australia’s success in tobacco control.</w:t>
      </w:r>
    </w:p>
    <w:p w14:paraId="10F0060B" w14:textId="77777777" w:rsidR="00DF1026" w:rsidRPr="00E46894" w:rsidRDefault="00DF1026" w:rsidP="000C22F7">
      <w:pPr>
        <w:spacing w:after="0" w:line="240" w:lineRule="auto"/>
        <w:contextualSpacing/>
        <w:rPr>
          <w:sz w:val="22"/>
          <w:szCs w:val="22"/>
        </w:rPr>
      </w:pPr>
    </w:p>
    <w:p w14:paraId="63248DFD" w14:textId="64CA02F6" w:rsidR="00DF1026" w:rsidRPr="00E46894" w:rsidRDefault="00DF1026" w:rsidP="000C22F7">
      <w:pPr>
        <w:spacing w:after="0" w:line="240" w:lineRule="auto"/>
        <w:contextualSpacing/>
        <w:rPr>
          <w:sz w:val="22"/>
          <w:szCs w:val="22"/>
        </w:rPr>
      </w:pPr>
      <w:r w:rsidRPr="00E46894">
        <w:rPr>
          <w:sz w:val="22"/>
          <w:szCs w:val="22"/>
        </w:rPr>
        <w:t xml:space="preserve">The </w:t>
      </w:r>
      <w:r w:rsidR="001442F2" w:rsidRPr="00E46894">
        <w:rPr>
          <w:sz w:val="22"/>
          <w:szCs w:val="22"/>
        </w:rPr>
        <w:t>Amendment Rules take</w:t>
      </w:r>
      <w:r w:rsidRPr="00E46894">
        <w:rPr>
          <w:sz w:val="22"/>
          <w:szCs w:val="22"/>
        </w:rPr>
        <w:t xml:space="preserve"> positive steps to promote the right to health by supporting </w:t>
      </w:r>
      <w:r w:rsidR="001442F2" w:rsidRPr="00E46894">
        <w:rPr>
          <w:sz w:val="22"/>
          <w:szCs w:val="22"/>
        </w:rPr>
        <w:t xml:space="preserve">the </w:t>
      </w:r>
      <w:r w:rsidRPr="00E46894">
        <w:rPr>
          <w:sz w:val="22"/>
          <w:szCs w:val="22"/>
        </w:rPr>
        <w:t xml:space="preserve">reforms to the regulation of vapes. These reforms support the availability of therapeutic vaping </w:t>
      </w:r>
      <w:r w:rsidR="001442F2" w:rsidRPr="00E46894">
        <w:rPr>
          <w:sz w:val="22"/>
          <w:szCs w:val="22"/>
        </w:rPr>
        <w:t xml:space="preserve">substances or therapeutic vaping substance accessories </w:t>
      </w:r>
      <w:r w:rsidRPr="00E46894">
        <w:rPr>
          <w:sz w:val="22"/>
          <w:szCs w:val="22"/>
        </w:rPr>
        <w:t xml:space="preserve">to persons who require </w:t>
      </w:r>
      <w:r w:rsidR="001442F2" w:rsidRPr="00E46894">
        <w:rPr>
          <w:sz w:val="22"/>
          <w:szCs w:val="22"/>
        </w:rPr>
        <w:t>such</w:t>
      </w:r>
      <w:r w:rsidRPr="00E46894">
        <w:rPr>
          <w:sz w:val="22"/>
          <w:szCs w:val="22"/>
        </w:rPr>
        <w:t xml:space="preserve"> goods </w:t>
      </w:r>
      <w:r w:rsidR="008949A6" w:rsidRPr="00E46894">
        <w:rPr>
          <w:sz w:val="22"/>
          <w:szCs w:val="22"/>
        </w:rPr>
        <w:t xml:space="preserve">for smoking cessation or the management of </w:t>
      </w:r>
      <w:r w:rsidRPr="00E46894">
        <w:rPr>
          <w:sz w:val="22"/>
          <w:szCs w:val="22"/>
        </w:rPr>
        <w:t>nicotine dependence</w:t>
      </w:r>
      <w:r w:rsidR="004638A0" w:rsidRPr="00E46894">
        <w:rPr>
          <w:sz w:val="22"/>
          <w:szCs w:val="22"/>
        </w:rPr>
        <w:t xml:space="preserve"> under the supervision of an appropriate health </w:t>
      </w:r>
      <w:proofErr w:type="gramStart"/>
      <w:r w:rsidR="004638A0" w:rsidRPr="00E46894">
        <w:rPr>
          <w:sz w:val="22"/>
          <w:szCs w:val="22"/>
        </w:rPr>
        <w:t>practitioner, and</w:t>
      </w:r>
      <w:proofErr w:type="gramEnd"/>
      <w:r w:rsidR="004638A0" w:rsidRPr="00E46894">
        <w:rPr>
          <w:sz w:val="22"/>
          <w:szCs w:val="22"/>
        </w:rPr>
        <w:t xml:space="preserve"> ensure the application of </w:t>
      </w:r>
      <w:r w:rsidRPr="00E46894">
        <w:rPr>
          <w:sz w:val="22"/>
          <w:szCs w:val="22"/>
        </w:rPr>
        <w:t xml:space="preserve">minimum </w:t>
      </w:r>
      <w:r w:rsidR="004638A0" w:rsidRPr="00E46894">
        <w:rPr>
          <w:sz w:val="22"/>
          <w:szCs w:val="22"/>
        </w:rPr>
        <w:t xml:space="preserve">quality and safety </w:t>
      </w:r>
      <w:r w:rsidRPr="00E46894">
        <w:rPr>
          <w:sz w:val="22"/>
          <w:szCs w:val="22"/>
        </w:rPr>
        <w:t xml:space="preserve">standards. </w:t>
      </w:r>
    </w:p>
    <w:p w14:paraId="0C681362" w14:textId="77777777" w:rsidR="00DF1026" w:rsidRPr="00E46894" w:rsidRDefault="00DF1026" w:rsidP="000C22F7">
      <w:pPr>
        <w:spacing w:after="0" w:line="240" w:lineRule="auto"/>
        <w:contextualSpacing/>
        <w:rPr>
          <w:sz w:val="22"/>
          <w:szCs w:val="22"/>
        </w:rPr>
      </w:pPr>
    </w:p>
    <w:p w14:paraId="0FBC3C5E" w14:textId="2A06DF32" w:rsidR="00DF1026" w:rsidRPr="00E46894" w:rsidRDefault="004638A0" w:rsidP="000C22F7">
      <w:pPr>
        <w:spacing w:after="0" w:line="240" w:lineRule="auto"/>
        <w:ind w:right="91"/>
        <w:contextualSpacing/>
        <w:rPr>
          <w:sz w:val="22"/>
          <w:szCs w:val="22"/>
        </w:rPr>
      </w:pPr>
      <w:r w:rsidRPr="00E46894">
        <w:rPr>
          <w:sz w:val="22"/>
          <w:szCs w:val="22"/>
        </w:rPr>
        <w:t>Collectively, t</w:t>
      </w:r>
      <w:r w:rsidR="00DF1026" w:rsidRPr="00E46894">
        <w:rPr>
          <w:sz w:val="22"/>
          <w:szCs w:val="22"/>
        </w:rPr>
        <w:t xml:space="preserve">he reforms </w:t>
      </w:r>
      <w:r w:rsidRPr="00E46894">
        <w:rPr>
          <w:sz w:val="22"/>
          <w:szCs w:val="22"/>
        </w:rPr>
        <w:t xml:space="preserve">are intended to </w:t>
      </w:r>
      <w:r w:rsidR="00DF1026" w:rsidRPr="00E46894">
        <w:rPr>
          <w:sz w:val="22"/>
          <w:szCs w:val="22"/>
        </w:rPr>
        <w:t xml:space="preserve">arrest the increasing uptake of recreational vaping, especially </w:t>
      </w:r>
      <w:r w:rsidRPr="00E46894">
        <w:rPr>
          <w:sz w:val="22"/>
          <w:szCs w:val="22"/>
        </w:rPr>
        <w:t xml:space="preserve">by </w:t>
      </w:r>
      <w:r w:rsidR="00DF1026" w:rsidRPr="00E46894">
        <w:rPr>
          <w:sz w:val="22"/>
          <w:szCs w:val="22"/>
        </w:rPr>
        <w:t>youth and young adults</w:t>
      </w:r>
      <w:r w:rsidRPr="00E46894">
        <w:rPr>
          <w:sz w:val="22"/>
          <w:szCs w:val="22"/>
        </w:rPr>
        <w:t xml:space="preserve">. Restricting the </w:t>
      </w:r>
      <w:r w:rsidR="00DF1026" w:rsidRPr="00E46894">
        <w:rPr>
          <w:sz w:val="22"/>
          <w:szCs w:val="22"/>
        </w:rPr>
        <w:t>domestic supply of non-therapeutic vapes</w:t>
      </w:r>
      <w:r w:rsidRPr="00E46894">
        <w:rPr>
          <w:sz w:val="22"/>
          <w:szCs w:val="22"/>
        </w:rPr>
        <w:t>,</w:t>
      </w:r>
      <w:r w:rsidR="00DF1026" w:rsidRPr="00E46894">
        <w:rPr>
          <w:sz w:val="22"/>
          <w:szCs w:val="22"/>
        </w:rPr>
        <w:t xml:space="preserve"> while still allowing for therapeutic use strikes an appropriate balance between the health concerns posed by vaping and the need to provide legitimate patient access to Australians combating smoking addiction or nicotine dependence. Ensuring vapes are only accessed under </w:t>
      </w:r>
      <w:r w:rsidRPr="00E46894">
        <w:rPr>
          <w:sz w:val="22"/>
          <w:szCs w:val="22"/>
        </w:rPr>
        <w:t xml:space="preserve">health practitioner </w:t>
      </w:r>
      <w:r w:rsidR="00DF1026" w:rsidRPr="00E46894">
        <w:rPr>
          <w:sz w:val="22"/>
          <w:szCs w:val="22"/>
        </w:rPr>
        <w:t xml:space="preserve">supervision provides an opportunity for users to receive appropriate advice from a health professional on the appropriateness of therapeutic vaping goods in relation to the condition that is being treated, the availability of other therapeutic goods to treat the specified condition, the risks associated with their use and the benefits of not smoking. This will enable Australians to make informed decisions </w:t>
      </w:r>
      <w:r w:rsidRPr="00E46894">
        <w:rPr>
          <w:sz w:val="22"/>
          <w:szCs w:val="22"/>
        </w:rPr>
        <w:t xml:space="preserve">about </w:t>
      </w:r>
      <w:r w:rsidR="00DF1026" w:rsidRPr="00E46894">
        <w:rPr>
          <w:sz w:val="22"/>
          <w:szCs w:val="22"/>
        </w:rPr>
        <w:t>their health.</w:t>
      </w:r>
    </w:p>
    <w:p w14:paraId="4364AA9B" w14:textId="77777777" w:rsidR="00DF1026" w:rsidRPr="00E46894" w:rsidRDefault="00DF1026" w:rsidP="000C22F7">
      <w:pPr>
        <w:spacing w:after="0" w:line="240" w:lineRule="auto"/>
        <w:contextualSpacing/>
        <w:rPr>
          <w:sz w:val="22"/>
          <w:szCs w:val="22"/>
        </w:rPr>
      </w:pPr>
    </w:p>
    <w:p w14:paraId="07F1C897" w14:textId="78332E36" w:rsidR="00DF1026" w:rsidRPr="00E46894" w:rsidRDefault="00610B30" w:rsidP="000C22F7">
      <w:pPr>
        <w:spacing w:after="0" w:line="240" w:lineRule="auto"/>
        <w:contextualSpacing/>
        <w:rPr>
          <w:sz w:val="22"/>
          <w:szCs w:val="22"/>
        </w:rPr>
      </w:pPr>
      <w:r w:rsidRPr="00E46894">
        <w:rPr>
          <w:sz w:val="22"/>
          <w:szCs w:val="22"/>
        </w:rPr>
        <w:t xml:space="preserve">The </w:t>
      </w:r>
      <w:r w:rsidR="004638A0" w:rsidRPr="00E46894">
        <w:rPr>
          <w:sz w:val="22"/>
          <w:szCs w:val="22"/>
        </w:rPr>
        <w:t xml:space="preserve">new framework </w:t>
      </w:r>
      <w:r w:rsidRPr="00E46894">
        <w:rPr>
          <w:sz w:val="22"/>
          <w:szCs w:val="22"/>
        </w:rPr>
        <w:t>will support the following public health objectives</w:t>
      </w:r>
      <w:r w:rsidR="00DF1026" w:rsidRPr="00E46894">
        <w:rPr>
          <w:sz w:val="22"/>
          <w:szCs w:val="22"/>
        </w:rPr>
        <w:t>:</w:t>
      </w:r>
    </w:p>
    <w:p w14:paraId="61A8F8E2" w14:textId="37395174" w:rsidR="00DF1026" w:rsidRPr="00E46894" w:rsidRDefault="004638A0" w:rsidP="000C22F7">
      <w:pPr>
        <w:pStyle w:val="ListParagraph"/>
        <w:numPr>
          <w:ilvl w:val="0"/>
          <w:numId w:val="12"/>
        </w:numPr>
        <w:spacing w:after="0" w:line="240" w:lineRule="auto"/>
        <w:rPr>
          <w:sz w:val="22"/>
          <w:szCs w:val="22"/>
        </w:rPr>
      </w:pPr>
      <w:r w:rsidRPr="00E46894">
        <w:rPr>
          <w:sz w:val="22"/>
          <w:szCs w:val="22"/>
        </w:rPr>
        <w:t xml:space="preserve">to </w:t>
      </w:r>
      <w:r w:rsidR="00DF1026" w:rsidRPr="00E46894">
        <w:rPr>
          <w:sz w:val="22"/>
          <w:szCs w:val="22"/>
        </w:rPr>
        <w:t>arrest the uptake of vapes, other than for therapeutic purposes, especially in youth and young adults</w:t>
      </w:r>
      <w:r w:rsidR="00AB66AA" w:rsidRPr="00E46894">
        <w:rPr>
          <w:sz w:val="22"/>
          <w:szCs w:val="22"/>
        </w:rPr>
        <w:t xml:space="preserve"> </w:t>
      </w:r>
      <w:r w:rsidR="00DF1026" w:rsidRPr="00E46894">
        <w:rPr>
          <w:sz w:val="22"/>
          <w:szCs w:val="22"/>
        </w:rPr>
        <w:t xml:space="preserve">aged below 25 </w:t>
      </w:r>
      <w:proofErr w:type="gramStart"/>
      <w:r w:rsidR="00DF1026" w:rsidRPr="00E46894">
        <w:rPr>
          <w:sz w:val="22"/>
          <w:szCs w:val="22"/>
        </w:rPr>
        <w:t>years;</w:t>
      </w:r>
      <w:proofErr w:type="gramEnd"/>
    </w:p>
    <w:p w14:paraId="2A60E080" w14:textId="61210D5B" w:rsidR="00DF1026" w:rsidRPr="00E46894" w:rsidRDefault="004638A0" w:rsidP="000C22F7">
      <w:pPr>
        <w:pStyle w:val="ListParagraph"/>
        <w:numPr>
          <w:ilvl w:val="0"/>
          <w:numId w:val="12"/>
        </w:numPr>
        <w:spacing w:after="0" w:line="240" w:lineRule="auto"/>
        <w:rPr>
          <w:sz w:val="22"/>
          <w:szCs w:val="22"/>
        </w:rPr>
      </w:pPr>
      <w:r w:rsidRPr="00E46894">
        <w:rPr>
          <w:sz w:val="22"/>
          <w:szCs w:val="22"/>
        </w:rPr>
        <w:t xml:space="preserve">to </w:t>
      </w:r>
      <w:r w:rsidR="00DF1026" w:rsidRPr="00E46894">
        <w:rPr>
          <w:sz w:val="22"/>
          <w:szCs w:val="22"/>
        </w:rPr>
        <w:t xml:space="preserve">counteract the marketing of vapes to youth and young adults, especially through product features such as flavours and </w:t>
      </w:r>
      <w:proofErr w:type="gramStart"/>
      <w:r w:rsidR="00DF1026" w:rsidRPr="00E46894">
        <w:rPr>
          <w:sz w:val="22"/>
          <w:szCs w:val="22"/>
        </w:rPr>
        <w:t>packaging;</w:t>
      </w:r>
      <w:proofErr w:type="gramEnd"/>
    </w:p>
    <w:p w14:paraId="619165A4" w14:textId="2C94E492" w:rsidR="00DF1026" w:rsidRPr="00E46894" w:rsidRDefault="004638A0" w:rsidP="000C22F7">
      <w:pPr>
        <w:pStyle w:val="ListParagraph"/>
        <w:numPr>
          <w:ilvl w:val="0"/>
          <w:numId w:val="12"/>
        </w:numPr>
        <w:spacing w:after="0" w:line="240" w:lineRule="auto"/>
        <w:rPr>
          <w:sz w:val="22"/>
          <w:szCs w:val="22"/>
        </w:rPr>
      </w:pPr>
      <w:r w:rsidRPr="00E46894">
        <w:rPr>
          <w:sz w:val="22"/>
          <w:szCs w:val="22"/>
        </w:rPr>
        <w:t xml:space="preserve">to reduce rates of </w:t>
      </w:r>
      <w:r w:rsidR="00DF1026" w:rsidRPr="00E46894">
        <w:rPr>
          <w:sz w:val="22"/>
          <w:szCs w:val="22"/>
        </w:rPr>
        <w:t>nicotine dependence and the risk of future tobacco use;</w:t>
      </w:r>
      <w:r w:rsidR="00AB66AA" w:rsidRPr="00E46894">
        <w:rPr>
          <w:sz w:val="22"/>
          <w:szCs w:val="22"/>
        </w:rPr>
        <w:t xml:space="preserve"> and</w:t>
      </w:r>
    </w:p>
    <w:p w14:paraId="56D9C73C" w14:textId="35940206" w:rsidR="00171742" w:rsidRPr="00E46894" w:rsidRDefault="004638A0" w:rsidP="007726FF">
      <w:pPr>
        <w:pStyle w:val="ListParagraph"/>
        <w:numPr>
          <w:ilvl w:val="0"/>
          <w:numId w:val="12"/>
        </w:numPr>
        <w:spacing w:after="0" w:line="240" w:lineRule="auto"/>
        <w:rPr>
          <w:sz w:val="22"/>
          <w:szCs w:val="22"/>
        </w:rPr>
      </w:pPr>
      <w:r w:rsidRPr="00E46894">
        <w:rPr>
          <w:sz w:val="22"/>
          <w:szCs w:val="22"/>
        </w:rPr>
        <w:t xml:space="preserve">to </w:t>
      </w:r>
      <w:r w:rsidR="00DF1026" w:rsidRPr="00E46894">
        <w:rPr>
          <w:sz w:val="22"/>
          <w:szCs w:val="22"/>
        </w:rPr>
        <w:t xml:space="preserve">safeguard public health </w:t>
      </w:r>
      <w:r w:rsidR="00392D78" w:rsidRPr="00E46894">
        <w:rPr>
          <w:rFonts w:eastAsia="Times New Roman"/>
          <w:sz w:val="22"/>
          <w:szCs w:val="22"/>
          <w:lang w:eastAsia="en-AU"/>
        </w:rPr>
        <w:t xml:space="preserve">by requiring </w:t>
      </w:r>
      <w:r w:rsidR="00C57A4C" w:rsidRPr="00E46894">
        <w:rPr>
          <w:rFonts w:eastAsia="Times New Roman"/>
          <w:sz w:val="22"/>
          <w:szCs w:val="22"/>
          <w:lang w:eastAsia="en-AU"/>
        </w:rPr>
        <w:t>unregistered</w:t>
      </w:r>
      <w:r w:rsidR="008F02E5" w:rsidRPr="00E46894">
        <w:rPr>
          <w:rFonts w:eastAsia="Times New Roman"/>
          <w:sz w:val="22"/>
          <w:szCs w:val="22"/>
          <w:lang w:eastAsia="en-AU"/>
        </w:rPr>
        <w:t xml:space="preserve"> </w:t>
      </w:r>
      <w:r w:rsidR="00392D78" w:rsidRPr="00E46894">
        <w:rPr>
          <w:rFonts w:eastAsia="Times New Roman"/>
          <w:sz w:val="22"/>
          <w:szCs w:val="22"/>
          <w:lang w:eastAsia="en-AU"/>
        </w:rPr>
        <w:t xml:space="preserve">therapeutic vapes to meet minimum </w:t>
      </w:r>
      <w:r w:rsidR="00DF1026" w:rsidRPr="00E46894">
        <w:rPr>
          <w:sz w:val="22"/>
          <w:szCs w:val="22"/>
        </w:rPr>
        <w:t>quality and safety standards.</w:t>
      </w:r>
    </w:p>
    <w:p w14:paraId="49DB9D0D" w14:textId="77777777" w:rsidR="00DF1026" w:rsidRPr="00E46894" w:rsidRDefault="00DF1026" w:rsidP="000C22F7">
      <w:pPr>
        <w:spacing w:after="0" w:line="240" w:lineRule="auto"/>
        <w:contextualSpacing/>
        <w:rPr>
          <w:rFonts w:eastAsia="Times New Roman"/>
          <w:sz w:val="22"/>
          <w:szCs w:val="22"/>
          <w:lang w:eastAsia="en-AU"/>
        </w:rPr>
      </w:pPr>
    </w:p>
    <w:p w14:paraId="633D0875" w14:textId="77777777" w:rsidR="004638A0" w:rsidRPr="00E46894" w:rsidRDefault="004638A0" w:rsidP="004638A0">
      <w:pPr>
        <w:spacing w:after="0" w:line="240" w:lineRule="auto"/>
        <w:contextualSpacing/>
        <w:rPr>
          <w:rFonts w:eastAsia="Times New Roman"/>
          <w:sz w:val="22"/>
          <w:szCs w:val="22"/>
          <w:lang w:eastAsia="en-AU"/>
        </w:rPr>
      </w:pPr>
      <w:r w:rsidRPr="00E46894">
        <w:rPr>
          <w:rFonts w:eastAsia="Times New Roman"/>
          <w:sz w:val="22"/>
          <w:szCs w:val="22"/>
          <w:lang w:eastAsia="en-AU"/>
        </w:rPr>
        <w:t>Importantly, the reforms will promote the Government’s broader objective to significantly reduce the use of tobacco and nicotine products in Australia by 2030, as outlined in the National Tobacco Strategy 2023-2030.</w:t>
      </w:r>
    </w:p>
    <w:p w14:paraId="3AFB3955" w14:textId="77777777" w:rsidR="004638A0" w:rsidRPr="00E46894" w:rsidRDefault="004638A0" w:rsidP="000C22F7">
      <w:pPr>
        <w:spacing w:after="0" w:line="240" w:lineRule="auto"/>
        <w:contextualSpacing/>
        <w:rPr>
          <w:rFonts w:eastAsia="Times New Roman"/>
          <w:sz w:val="22"/>
          <w:szCs w:val="22"/>
          <w:lang w:eastAsia="en-AU"/>
        </w:rPr>
      </w:pPr>
    </w:p>
    <w:p w14:paraId="343598E9" w14:textId="1BBDD474" w:rsidR="006078D1" w:rsidRPr="00E46894" w:rsidRDefault="00231AB7" w:rsidP="000C22F7">
      <w:pPr>
        <w:spacing w:after="0" w:line="240" w:lineRule="auto"/>
        <w:contextualSpacing/>
        <w:rPr>
          <w:color w:val="000000"/>
          <w:sz w:val="22"/>
          <w:szCs w:val="22"/>
          <w:shd w:val="clear" w:color="auto" w:fill="FFFFFF"/>
        </w:rPr>
      </w:pPr>
      <w:r w:rsidRPr="00E46894">
        <w:rPr>
          <w:rFonts w:eastAsia="Times New Roman"/>
          <w:sz w:val="22"/>
          <w:szCs w:val="22"/>
          <w:lang w:eastAsia="en-AU"/>
        </w:rPr>
        <w:t xml:space="preserve">The Amendment </w:t>
      </w:r>
      <w:r w:rsidR="00171742" w:rsidRPr="00E46894">
        <w:rPr>
          <w:rFonts w:eastAsia="Times New Roman"/>
          <w:sz w:val="22"/>
          <w:szCs w:val="22"/>
          <w:lang w:eastAsia="en-AU"/>
        </w:rPr>
        <w:t xml:space="preserve">Rules </w:t>
      </w:r>
      <w:r w:rsidRPr="00E46894">
        <w:rPr>
          <w:rFonts w:eastAsia="Times New Roman"/>
          <w:sz w:val="22"/>
          <w:szCs w:val="22"/>
          <w:lang w:eastAsia="en-AU"/>
        </w:rPr>
        <w:t>take positive steps to promote the right to health by</w:t>
      </w:r>
      <w:r w:rsidR="00171742" w:rsidRPr="00E46894">
        <w:rPr>
          <w:rFonts w:eastAsia="Times New Roman"/>
          <w:sz w:val="22"/>
          <w:szCs w:val="22"/>
          <w:lang w:eastAsia="en-AU"/>
        </w:rPr>
        <w:t xml:space="preserve"> enabling health practitioners to supply </w:t>
      </w:r>
      <w:r w:rsidR="004638A0" w:rsidRPr="00E46894">
        <w:rPr>
          <w:rFonts w:eastAsia="Times New Roman"/>
          <w:sz w:val="22"/>
          <w:szCs w:val="22"/>
          <w:lang w:eastAsia="en-AU"/>
        </w:rPr>
        <w:t xml:space="preserve">certain </w:t>
      </w:r>
      <w:r w:rsidR="00171742" w:rsidRPr="00E46894">
        <w:rPr>
          <w:rFonts w:eastAsia="Times New Roman"/>
          <w:sz w:val="22"/>
          <w:szCs w:val="22"/>
          <w:lang w:eastAsia="en-AU"/>
        </w:rPr>
        <w:t xml:space="preserve">therapeutic vaping </w:t>
      </w:r>
      <w:r w:rsidR="001F72D4" w:rsidRPr="00E46894">
        <w:rPr>
          <w:rFonts w:eastAsia="Times New Roman"/>
          <w:sz w:val="22"/>
          <w:szCs w:val="22"/>
          <w:lang w:eastAsia="en-AU"/>
        </w:rPr>
        <w:t>goods</w:t>
      </w:r>
      <w:r w:rsidR="00171742" w:rsidRPr="00E46894">
        <w:rPr>
          <w:rFonts w:eastAsia="Times New Roman"/>
          <w:sz w:val="22"/>
          <w:szCs w:val="22"/>
          <w:lang w:eastAsia="en-AU"/>
        </w:rPr>
        <w:t xml:space="preserve"> to patients </w:t>
      </w:r>
      <w:r w:rsidR="008949A6" w:rsidRPr="00E46894">
        <w:rPr>
          <w:rFonts w:eastAsia="Times New Roman"/>
          <w:sz w:val="22"/>
          <w:szCs w:val="22"/>
          <w:lang w:eastAsia="en-AU"/>
        </w:rPr>
        <w:t xml:space="preserve">for smoking cessation </w:t>
      </w:r>
      <w:r w:rsidR="00171742" w:rsidRPr="00E46894">
        <w:rPr>
          <w:rFonts w:eastAsia="Times New Roman"/>
          <w:sz w:val="22"/>
          <w:szCs w:val="22"/>
          <w:lang w:eastAsia="en-AU"/>
        </w:rPr>
        <w:t>or the</w:t>
      </w:r>
      <w:r w:rsidR="00FB05C7" w:rsidRPr="00E46894">
        <w:rPr>
          <w:rFonts w:eastAsia="Times New Roman"/>
          <w:sz w:val="22"/>
          <w:szCs w:val="22"/>
          <w:lang w:eastAsia="en-AU"/>
        </w:rPr>
        <w:t xml:space="preserve"> management</w:t>
      </w:r>
      <w:r w:rsidR="00171742" w:rsidRPr="00E46894">
        <w:rPr>
          <w:rFonts w:eastAsia="Times New Roman"/>
          <w:sz w:val="22"/>
          <w:szCs w:val="22"/>
          <w:lang w:eastAsia="en-AU"/>
        </w:rPr>
        <w:t xml:space="preserve"> of nicotine </w:t>
      </w:r>
      <w:r w:rsidR="00486D43" w:rsidRPr="00E46894">
        <w:rPr>
          <w:rFonts w:eastAsia="Times New Roman"/>
          <w:sz w:val="22"/>
          <w:szCs w:val="22"/>
          <w:lang w:eastAsia="en-AU"/>
        </w:rPr>
        <w:t>dependence</w:t>
      </w:r>
      <w:r w:rsidR="006078D1" w:rsidRPr="00E46894">
        <w:rPr>
          <w:rFonts w:eastAsia="Times New Roman"/>
          <w:sz w:val="22"/>
          <w:szCs w:val="22"/>
          <w:lang w:eastAsia="en-AU"/>
        </w:rPr>
        <w:t>.</w:t>
      </w:r>
      <w:r w:rsidR="00FB5C01" w:rsidRPr="00E46894">
        <w:rPr>
          <w:rFonts w:eastAsia="Times New Roman"/>
          <w:sz w:val="22"/>
          <w:szCs w:val="22"/>
          <w:lang w:eastAsia="en-AU"/>
        </w:rPr>
        <w:t xml:space="preserve"> </w:t>
      </w:r>
      <w:r w:rsidR="004638A0" w:rsidRPr="00E46894">
        <w:rPr>
          <w:rFonts w:eastAsia="Times New Roman"/>
          <w:sz w:val="22"/>
          <w:szCs w:val="22"/>
          <w:lang w:eastAsia="en-AU"/>
        </w:rPr>
        <w:t xml:space="preserve">This means that </w:t>
      </w:r>
      <w:r w:rsidR="00171742" w:rsidRPr="00E46894">
        <w:rPr>
          <w:rFonts w:eastAsia="Times New Roman"/>
          <w:sz w:val="22"/>
          <w:szCs w:val="22"/>
          <w:lang w:eastAsia="en-AU"/>
        </w:rPr>
        <w:t xml:space="preserve">a practitioner </w:t>
      </w:r>
      <w:r w:rsidR="004638A0" w:rsidRPr="00E46894">
        <w:rPr>
          <w:rFonts w:eastAsia="Times New Roman"/>
          <w:sz w:val="22"/>
          <w:szCs w:val="22"/>
          <w:lang w:eastAsia="en-AU"/>
        </w:rPr>
        <w:t>will be</w:t>
      </w:r>
      <w:r w:rsidR="00171742" w:rsidRPr="00E46894">
        <w:rPr>
          <w:rFonts w:eastAsia="Times New Roman"/>
          <w:sz w:val="22"/>
          <w:szCs w:val="22"/>
          <w:lang w:eastAsia="en-AU"/>
        </w:rPr>
        <w:t xml:space="preserve"> able to supply </w:t>
      </w:r>
      <w:r w:rsidR="004638A0" w:rsidRPr="00E46894">
        <w:rPr>
          <w:rFonts w:eastAsia="Times New Roman"/>
          <w:sz w:val="22"/>
          <w:szCs w:val="22"/>
          <w:lang w:eastAsia="en-AU"/>
        </w:rPr>
        <w:t xml:space="preserve">unregistered </w:t>
      </w:r>
      <w:r w:rsidR="00171742" w:rsidRPr="00E46894">
        <w:rPr>
          <w:rFonts w:eastAsia="Times New Roman"/>
          <w:sz w:val="22"/>
          <w:szCs w:val="22"/>
          <w:lang w:eastAsia="en-AU"/>
        </w:rPr>
        <w:t xml:space="preserve">therapeutic vaping </w:t>
      </w:r>
      <w:r w:rsidR="004638A0" w:rsidRPr="00E46894">
        <w:rPr>
          <w:rFonts w:eastAsia="Times New Roman"/>
          <w:sz w:val="22"/>
          <w:szCs w:val="22"/>
          <w:lang w:eastAsia="en-AU"/>
        </w:rPr>
        <w:t xml:space="preserve">substances or therapeutic vaping substance accessories </w:t>
      </w:r>
      <w:r w:rsidR="00171742" w:rsidRPr="00E46894">
        <w:rPr>
          <w:rFonts w:eastAsia="Times New Roman"/>
          <w:sz w:val="22"/>
          <w:szCs w:val="22"/>
          <w:lang w:eastAsia="en-AU"/>
        </w:rPr>
        <w:t xml:space="preserve">by way of notification </w:t>
      </w:r>
      <w:r w:rsidR="006078D1" w:rsidRPr="00E46894">
        <w:rPr>
          <w:rFonts w:eastAsia="Times New Roman"/>
          <w:sz w:val="22"/>
          <w:szCs w:val="22"/>
          <w:lang w:eastAsia="en-AU"/>
        </w:rPr>
        <w:t xml:space="preserve">(within 28 days after the supply) </w:t>
      </w:r>
      <w:r w:rsidR="00171742" w:rsidRPr="00E46894">
        <w:rPr>
          <w:rFonts w:eastAsia="Times New Roman"/>
          <w:sz w:val="22"/>
          <w:szCs w:val="22"/>
          <w:lang w:eastAsia="en-AU"/>
        </w:rPr>
        <w:t xml:space="preserve">rather than </w:t>
      </w:r>
      <w:r w:rsidR="006078D1" w:rsidRPr="00E46894">
        <w:rPr>
          <w:rFonts w:eastAsia="Times New Roman"/>
          <w:sz w:val="22"/>
          <w:szCs w:val="22"/>
          <w:lang w:eastAsia="en-AU"/>
        </w:rPr>
        <w:t xml:space="preserve">having to seek </w:t>
      </w:r>
      <w:r w:rsidR="00171742" w:rsidRPr="00E46894">
        <w:rPr>
          <w:rFonts w:eastAsia="Times New Roman"/>
          <w:sz w:val="22"/>
          <w:szCs w:val="22"/>
          <w:lang w:eastAsia="en-AU"/>
        </w:rPr>
        <w:t>approval</w:t>
      </w:r>
      <w:r w:rsidR="006078D1" w:rsidRPr="00E46894">
        <w:rPr>
          <w:rFonts w:eastAsia="Times New Roman"/>
          <w:sz w:val="22"/>
          <w:szCs w:val="22"/>
          <w:lang w:eastAsia="en-AU"/>
        </w:rPr>
        <w:t xml:space="preserve"> </w:t>
      </w:r>
      <w:r w:rsidR="004638A0" w:rsidRPr="00E46894">
        <w:rPr>
          <w:rFonts w:eastAsia="Times New Roman"/>
          <w:sz w:val="22"/>
          <w:szCs w:val="22"/>
          <w:lang w:eastAsia="en-AU"/>
        </w:rPr>
        <w:t xml:space="preserve">or authority </w:t>
      </w:r>
      <w:r w:rsidR="006078D1" w:rsidRPr="00E46894">
        <w:rPr>
          <w:rFonts w:eastAsia="Times New Roman"/>
          <w:sz w:val="22"/>
          <w:szCs w:val="22"/>
          <w:lang w:eastAsia="en-AU"/>
        </w:rPr>
        <w:t>prior to the supply</w:t>
      </w:r>
      <w:r w:rsidR="00171742" w:rsidRPr="00E46894">
        <w:rPr>
          <w:rFonts w:eastAsia="Times New Roman"/>
          <w:sz w:val="22"/>
          <w:szCs w:val="22"/>
          <w:lang w:eastAsia="en-AU"/>
        </w:rPr>
        <w:t xml:space="preserve">; </w:t>
      </w:r>
      <w:r w:rsidR="00186FD9" w:rsidRPr="00E46894">
        <w:rPr>
          <w:rFonts w:eastAsia="Times New Roman"/>
          <w:sz w:val="22"/>
          <w:szCs w:val="22"/>
          <w:lang w:eastAsia="en-AU"/>
        </w:rPr>
        <w:t>thus,</w:t>
      </w:r>
      <w:r w:rsidR="00171742" w:rsidRPr="00E46894">
        <w:rPr>
          <w:rFonts w:eastAsia="Times New Roman"/>
          <w:sz w:val="22"/>
          <w:szCs w:val="22"/>
          <w:lang w:eastAsia="en-AU"/>
        </w:rPr>
        <w:t xml:space="preserve"> </w:t>
      </w:r>
      <w:r w:rsidR="004638A0" w:rsidRPr="00E46894">
        <w:rPr>
          <w:rFonts w:eastAsia="Times New Roman"/>
          <w:sz w:val="22"/>
          <w:szCs w:val="22"/>
          <w:lang w:eastAsia="en-AU"/>
        </w:rPr>
        <w:t xml:space="preserve">facilitating </w:t>
      </w:r>
      <w:r w:rsidR="000348A6" w:rsidRPr="00E46894">
        <w:rPr>
          <w:rFonts w:eastAsia="Times New Roman"/>
          <w:sz w:val="22"/>
          <w:szCs w:val="22"/>
          <w:lang w:eastAsia="en-AU"/>
        </w:rPr>
        <w:t>timely</w:t>
      </w:r>
      <w:r w:rsidR="00171742" w:rsidRPr="00E46894">
        <w:rPr>
          <w:rFonts w:eastAsia="Times New Roman"/>
          <w:sz w:val="22"/>
          <w:szCs w:val="22"/>
          <w:lang w:eastAsia="en-AU"/>
        </w:rPr>
        <w:t xml:space="preserve"> availability to Australian patients.</w:t>
      </w:r>
      <w:r w:rsidR="006078D1" w:rsidRPr="00E46894">
        <w:rPr>
          <w:color w:val="000000"/>
          <w:sz w:val="22"/>
          <w:szCs w:val="22"/>
          <w:shd w:val="clear" w:color="auto" w:fill="FFFFFF"/>
        </w:rPr>
        <w:t xml:space="preserve"> Such supply is subject to certain conditions</w:t>
      </w:r>
      <w:r w:rsidR="004638A0" w:rsidRPr="00E46894">
        <w:rPr>
          <w:color w:val="000000"/>
          <w:sz w:val="22"/>
          <w:szCs w:val="22"/>
          <w:shd w:val="clear" w:color="auto" w:fill="FFFFFF"/>
        </w:rPr>
        <w:t>,</w:t>
      </w:r>
      <w:r w:rsidR="006078D1" w:rsidRPr="00E46894">
        <w:rPr>
          <w:color w:val="000000"/>
          <w:sz w:val="22"/>
          <w:szCs w:val="22"/>
          <w:shd w:val="clear" w:color="auto" w:fill="FFFFFF"/>
        </w:rPr>
        <w:t xml:space="preserve"> </w:t>
      </w:r>
      <w:r w:rsidR="006078D1" w:rsidRPr="00E46894">
        <w:rPr>
          <w:rFonts w:eastAsia="Times New Roman"/>
          <w:sz w:val="22"/>
          <w:szCs w:val="22"/>
          <w:lang w:eastAsia="en-AU"/>
        </w:rPr>
        <w:t>including that the practitioner informs the patient that the goods are not included in the Register, obtain</w:t>
      </w:r>
      <w:r w:rsidR="004638A0" w:rsidRPr="00E46894">
        <w:rPr>
          <w:rFonts w:eastAsia="Times New Roman"/>
          <w:sz w:val="22"/>
          <w:szCs w:val="22"/>
          <w:lang w:eastAsia="en-AU"/>
        </w:rPr>
        <w:t>s</w:t>
      </w:r>
      <w:r w:rsidR="006078D1" w:rsidRPr="00E46894">
        <w:rPr>
          <w:rFonts w:eastAsia="Times New Roman"/>
          <w:sz w:val="22"/>
          <w:szCs w:val="22"/>
          <w:lang w:eastAsia="en-AU"/>
        </w:rPr>
        <w:t xml:space="preserve"> informed </w:t>
      </w:r>
      <w:proofErr w:type="gramStart"/>
      <w:r w:rsidR="006078D1" w:rsidRPr="00E46894">
        <w:rPr>
          <w:rFonts w:eastAsia="Times New Roman"/>
          <w:sz w:val="22"/>
          <w:szCs w:val="22"/>
          <w:lang w:eastAsia="en-AU"/>
        </w:rPr>
        <w:t>consent</w:t>
      </w:r>
      <w:proofErr w:type="gramEnd"/>
      <w:r w:rsidR="006078D1" w:rsidRPr="00E46894">
        <w:rPr>
          <w:rFonts w:eastAsia="Times New Roman"/>
          <w:sz w:val="22"/>
          <w:szCs w:val="22"/>
          <w:lang w:eastAsia="en-AU"/>
        </w:rPr>
        <w:t xml:space="preserve"> and </w:t>
      </w:r>
      <w:r w:rsidR="004638A0" w:rsidRPr="00E46894">
        <w:rPr>
          <w:rFonts w:eastAsia="Times New Roman"/>
          <w:sz w:val="22"/>
          <w:szCs w:val="22"/>
          <w:lang w:eastAsia="en-AU"/>
        </w:rPr>
        <w:t>supplies</w:t>
      </w:r>
      <w:r w:rsidR="006078D1" w:rsidRPr="00E46894">
        <w:rPr>
          <w:rFonts w:eastAsia="Times New Roman"/>
          <w:sz w:val="22"/>
          <w:szCs w:val="22"/>
          <w:lang w:eastAsia="en-AU"/>
        </w:rPr>
        <w:t xml:space="preserve"> in accordance with good medical practice</w:t>
      </w:r>
      <w:r w:rsidR="00FB5C01" w:rsidRPr="00E46894">
        <w:rPr>
          <w:rFonts w:eastAsia="Times New Roman"/>
          <w:sz w:val="22"/>
          <w:szCs w:val="22"/>
          <w:lang w:eastAsia="en-AU"/>
        </w:rPr>
        <w:t>.</w:t>
      </w:r>
    </w:p>
    <w:bookmarkEnd w:id="13"/>
    <w:bookmarkEnd w:id="14"/>
    <w:p w14:paraId="2904B18B" w14:textId="77777777" w:rsidR="00231AB7" w:rsidRPr="00E46894" w:rsidRDefault="00231AB7" w:rsidP="000C22F7">
      <w:pPr>
        <w:spacing w:after="0" w:line="240" w:lineRule="auto"/>
        <w:contextualSpacing/>
        <w:rPr>
          <w:rFonts w:eastAsia="Times New Roman"/>
          <w:sz w:val="22"/>
          <w:szCs w:val="22"/>
          <w:lang w:eastAsia="en-AU"/>
        </w:rPr>
      </w:pPr>
    </w:p>
    <w:p w14:paraId="746863C2" w14:textId="651890CE" w:rsidR="001E51F5" w:rsidRPr="00E46894" w:rsidRDefault="001E51F5" w:rsidP="00BB7279">
      <w:pPr>
        <w:keepNext/>
        <w:spacing w:after="0" w:line="240" w:lineRule="auto"/>
        <w:contextualSpacing/>
        <w:rPr>
          <w:rFonts w:eastAsia="Times New Roman"/>
          <w:b/>
          <w:sz w:val="22"/>
          <w:szCs w:val="22"/>
          <w:lang w:eastAsia="en-AU"/>
        </w:rPr>
      </w:pPr>
      <w:r w:rsidRPr="00E46894">
        <w:rPr>
          <w:rFonts w:eastAsia="Times New Roman"/>
          <w:b/>
          <w:sz w:val="22"/>
          <w:szCs w:val="22"/>
          <w:lang w:eastAsia="en-AU"/>
        </w:rPr>
        <w:lastRenderedPageBreak/>
        <w:t>Conclusion</w:t>
      </w:r>
    </w:p>
    <w:p w14:paraId="6CAE4A23" w14:textId="77777777" w:rsidR="00231AB7" w:rsidRPr="00E46894" w:rsidRDefault="00231AB7" w:rsidP="00BB7279">
      <w:pPr>
        <w:keepNext/>
        <w:spacing w:after="0" w:line="240" w:lineRule="auto"/>
        <w:contextualSpacing/>
        <w:rPr>
          <w:rFonts w:eastAsia="Times New Roman"/>
          <w:sz w:val="22"/>
          <w:szCs w:val="22"/>
          <w:lang w:eastAsia="en-AU"/>
        </w:rPr>
      </w:pPr>
    </w:p>
    <w:p w14:paraId="760C2AD4" w14:textId="21E4B2F6" w:rsidR="00280050" w:rsidRPr="000C22F7" w:rsidRDefault="00171742" w:rsidP="00BB7279">
      <w:pPr>
        <w:keepNext/>
        <w:spacing w:after="0" w:line="240" w:lineRule="auto"/>
        <w:contextualSpacing/>
        <w:rPr>
          <w:sz w:val="22"/>
          <w:szCs w:val="22"/>
        </w:rPr>
      </w:pPr>
      <w:r w:rsidRPr="00E46894">
        <w:rPr>
          <w:rFonts w:eastAsia="Times New Roman"/>
          <w:sz w:val="22"/>
          <w:szCs w:val="22"/>
          <w:lang w:eastAsia="en-AU"/>
        </w:rPr>
        <w:t>The Amendment Rules</w:t>
      </w:r>
      <w:r w:rsidR="001E51F5" w:rsidRPr="00E46894">
        <w:rPr>
          <w:rFonts w:eastAsia="Times New Roman"/>
          <w:sz w:val="22"/>
          <w:szCs w:val="22"/>
          <w:lang w:eastAsia="en-AU"/>
        </w:rPr>
        <w:t xml:space="preserve"> </w:t>
      </w:r>
      <w:r w:rsidR="00415E36" w:rsidRPr="00E46894">
        <w:rPr>
          <w:rFonts w:eastAsia="Times New Roman"/>
          <w:sz w:val="22"/>
          <w:szCs w:val="22"/>
          <w:lang w:eastAsia="en-AU"/>
        </w:rPr>
        <w:t xml:space="preserve">are </w:t>
      </w:r>
      <w:r w:rsidR="001E51F5" w:rsidRPr="00E46894">
        <w:rPr>
          <w:rFonts w:eastAsia="Times New Roman"/>
          <w:sz w:val="22"/>
          <w:szCs w:val="22"/>
          <w:lang w:eastAsia="en-AU"/>
        </w:rPr>
        <w:t>compatible with human rights because it promotes the right to health in Article 12 of the ICESCR and does not raise any other human rights issues.</w:t>
      </w:r>
    </w:p>
    <w:sectPr w:rsidR="00280050" w:rsidRPr="000C22F7"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650D1" w14:textId="77777777" w:rsidR="0072249D" w:rsidRDefault="0072249D">
      <w:pPr>
        <w:spacing w:after="0" w:line="240" w:lineRule="auto"/>
      </w:pPr>
      <w:r>
        <w:separator/>
      </w:r>
    </w:p>
  </w:endnote>
  <w:endnote w:type="continuationSeparator" w:id="0">
    <w:p w14:paraId="4F356AFF" w14:textId="77777777" w:rsidR="0072249D" w:rsidRDefault="0072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6034D29B" w14:textId="25C7A896" w:rsidR="00464FC6" w:rsidRPr="00BF658A" w:rsidRDefault="00464FC6">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050390">
          <w:rPr>
            <w:noProof/>
            <w:sz w:val="22"/>
            <w:szCs w:val="22"/>
          </w:rPr>
          <w:t>13</w:t>
        </w:r>
        <w:r w:rsidRPr="00BF658A">
          <w:rPr>
            <w:noProof/>
            <w:sz w:val="22"/>
            <w:szCs w:val="22"/>
          </w:rPr>
          <w:fldChar w:fldCharType="end"/>
        </w:r>
      </w:p>
    </w:sdtContent>
  </w:sdt>
  <w:p w14:paraId="65807945" w14:textId="77777777" w:rsidR="00464FC6" w:rsidRPr="00877529" w:rsidRDefault="00464FC6"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4321" w14:textId="77777777" w:rsidR="00464FC6" w:rsidRDefault="00464FC6"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09F0" w14:textId="77777777" w:rsidR="0072249D" w:rsidRDefault="0072249D">
      <w:pPr>
        <w:spacing w:after="0" w:line="240" w:lineRule="auto"/>
      </w:pPr>
      <w:r>
        <w:separator/>
      </w:r>
    </w:p>
  </w:footnote>
  <w:footnote w:type="continuationSeparator" w:id="0">
    <w:p w14:paraId="6706E9C7" w14:textId="77777777" w:rsidR="0072249D" w:rsidRDefault="00722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0143" w14:textId="77777777" w:rsidR="00464FC6" w:rsidRDefault="00464FC6"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58400D" w14:textId="77777777" w:rsidR="00464FC6" w:rsidRDefault="00464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7BB5" w14:textId="77777777" w:rsidR="00464FC6" w:rsidRDefault="00464FC6"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095"/>
    <w:multiLevelType w:val="hybridMultilevel"/>
    <w:tmpl w:val="565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EF41A1"/>
    <w:multiLevelType w:val="hybridMultilevel"/>
    <w:tmpl w:val="C778E5F8"/>
    <w:lvl w:ilvl="0" w:tplc="74AA241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807493"/>
    <w:multiLevelType w:val="hybridMultilevel"/>
    <w:tmpl w:val="E6BC5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DD70EE"/>
    <w:multiLevelType w:val="hybridMultilevel"/>
    <w:tmpl w:val="53D8F620"/>
    <w:lvl w:ilvl="0" w:tplc="FFFFFFFF">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F21A37"/>
    <w:multiLevelType w:val="hybridMultilevel"/>
    <w:tmpl w:val="6FCA31C4"/>
    <w:lvl w:ilvl="0" w:tplc="05E6A55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280D53"/>
    <w:multiLevelType w:val="hybridMultilevel"/>
    <w:tmpl w:val="BC4C6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A730A47"/>
    <w:multiLevelType w:val="hybridMultilevel"/>
    <w:tmpl w:val="EBC4482E"/>
    <w:lvl w:ilvl="0" w:tplc="CCCEAAC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E359CD"/>
    <w:multiLevelType w:val="hybridMultilevel"/>
    <w:tmpl w:val="B16CF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FF6383"/>
    <w:multiLevelType w:val="hybridMultilevel"/>
    <w:tmpl w:val="AB1E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72420C8"/>
    <w:multiLevelType w:val="hybridMultilevel"/>
    <w:tmpl w:val="C39CD6BA"/>
    <w:lvl w:ilvl="0" w:tplc="35F42E8C">
      <w:start w:val="1"/>
      <w:numFmt w:val="bullet"/>
      <w:lvlText w:val=""/>
      <w:lvlJc w:val="left"/>
      <w:pPr>
        <w:ind w:left="720" w:hanging="360"/>
      </w:pPr>
      <w:rPr>
        <w:rFonts w:ascii="Symbol" w:hAnsi="Symbol"/>
      </w:rPr>
    </w:lvl>
    <w:lvl w:ilvl="1" w:tplc="314EE6F6">
      <w:start w:val="1"/>
      <w:numFmt w:val="bullet"/>
      <w:lvlText w:val=""/>
      <w:lvlJc w:val="left"/>
      <w:pPr>
        <w:ind w:left="720" w:hanging="360"/>
      </w:pPr>
      <w:rPr>
        <w:rFonts w:ascii="Symbol" w:hAnsi="Symbol"/>
      </w:rPr>
    </w:lvl>
    <w:lvl w:ilvl="2" w:tplc="01EC3DDA">
      <w:start w:val="1"/>
      <w:numFmt w:val="bullet"/>
      <w:lvlText w:val=""/>
      <w:lvlJc w:val="left"/>
      <w:pPr>
        <w:ind w:left="720" w:hanging="360"/>
      </w:pPr>
      <w:rPr>
        <w:rFonts w:ascii="Symbol" w:hAnsi="Symbol"/>
      </w:rPr>
    </w:lvl>
    <w:lvl w:ilvl="3" w:tplc="4CDC2A32">
      <w:start w:val="1"/>
      <w:numFmt w:val="bullet"/>
      <w:lvlText w:val=""/>
      <w:lvlJc w:val="left"/>
      <w:pPr>
        <w:ind w:left="720" w:hanging="360"/>
      </w:pPr>
      <w:rPr>
        <w:rFonts w:ascii="Symbol" w:hAnsi="Symbol"/>
      </w:rPr>
    </w:lvl>
    <w:lvl w:ilvl="4" w:tplc="274E3D26">
      <w:start w:val="1"/>
      <w:numFmt w:val="bullet"/>
      <w:lvlText w:val=""/>
      <w:lvlJc w:val="left"/>
      <w:pPr>
        <w:ind w:left="720" w:hanging="360"/>
      </w:pPr>
      <w:rPr>
        <w:rFonts w:ascii="Symbol" w:hAnsi="Symbol"/>
      </w:rPr>
    </w:lvl>
    <w:lvl w:ilvl="5" w:tplc="5D30919E">
      <w:start w:val="1"/>
      <w:numFmt w:val="bullet"/>
      <w:lvlText w:val=""/>
      <w:lvlJc w:val="left"/>
      <w:pPr>
        <w:ind w:left="720" w:hanging="360"/>
      </w:pPr>
      <w:rPr>
        <w:rFonts w:ascii="Symbol" w:hAnsi="Symbol"/>
      </w:rPr>
    </w:lvl>
    <w:lvl w:ilvl="6" w:tplc="03703252">
      <w:start w:val="1"/>
      <w:numFmt w:val="bullet"/>
      <w:lvlText w:val=""/>
      <w:lvlJc w:val="left"/>
      <w:pPr>
        <w:ind w:left="720" w:hanging="360"/>
      </w:pPr>
      <w:rPr>
        <w:rFonts w:ascii="Symbol" w:hAnsi="Symbol"/>
      </w:rPr>
    </w:lvl>
    <w:lvl w:ilvl="7" w:tplc="FB9A0444">
      <w:start w:val="1"/>
      <w:numFmt w:val="bullet"/>
      <w:lvlText w:val=""/>
      <w:lvlJc w:val="left"/>
      <w:pPr>
        <w:ind w:left="720" w:hanging="360"/>
      </w:pPr>
      <w:rPr>
        <w:rFonts w:ascii="Symbol" w:hAnsi="Symbol"/>
      </w:rPr>
    </w:lvl>
    <w:lvl w:ilvl="8" w:tplc="1EC4A928">
      <w:start w:val="1"/>
      <w:numFmt w:val="bullet"/>
      <w:lvlText w:val=""/>
      <w:lvlJc w:val="left"/>
      <w:pPr>
        <w:ind w:left="720" w:hanging="360"/>
      </w:pPr>
      <w:rPr>
        <w:rFonts w:ascii="Symbol" w:hAnsi="Symbol"/>
      </w:rPr>
    </w:lvl>
  </w:abstractNum>
  <w:abstractNum w:abstractNumId="13"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DB180D"/>
    <w:multiLevelType w:val="hybridMultilevel"/>
    <w:tmpl w:val="C6C64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7F7801"/>
    <w:multiLevelType w:val="hybridMultilevel"/>
    <w:tmpl w:val="389C1D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8517896">
    <w:abstractNumId w:val="13"/>
  </w:num>
  <w:num w:numId="2" w16cid:durableId="1260990044">
    <w:abstractNumId w:val="4"/>
  </w:num>
  <w:num w:numId="3" w16cid:durableId="823862327">
    <w:abstractNumId w:val="11"/>
  </w:num>
  <w:num w:numId="4" w16cid:durableId="352846585">
    <w:abstractNumId w:val="15"/>
  </w:num>
  <w:num w:numId="5" w16cid:durableId="603340090">
    <w:abstractNumId w:val="2"/>
  </w:num>
  <w:num w:numId="6" w16cid:durableId="2126268859">
    <w:abstractNumId w:val="5"/>
  </w:num>
  <w:num w:numId="7" w16cid:durableId="1360275463">
    <w:abstractNumId w:val="8"/>
  </w:num>
  <w:num w:numId="8" w16cid:durableId="1759866859">
    <w:abstractNumId w:val="7"/>
  </w:num>
  <w:num w:numId="9" w16cid:durableId="1344286769">
    <w:abstractNumId w:val="6"/>
  </w:num>
  <w:num w:numId="10" w16cid:durableId="384524868">
    <w:abstractNumId w:val="3"/>
  </w:num>
  <w:num w:numId="11" w16cid:durableId="741097776">
    <w:abstractNumId w:val="12"/>
  </w:num>
  <w:num w:numId="12" w16cid:durableId="1351684286">
    <w:abstractNumId w:val="9"/>
  </w:num>
  <w:num w:numId="13" w16cid:durableId="1231774529">
    <w:abstractNumId w:val="14"/>
  </w:num>
  <w:num w:numId="14" w16cid:durableId="630328992">
    <w:abstractNumId w:val="0"/>
  </w:num>
  <w:num w:numId="15" w16cid:durableId="843738888">
    <w:abstractNumId w:val="1"/>
  </w:num>
  <w:num w:numId="16" w16cid:durableId="309292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2A51"/>
    <w:rsid w:val="000042B8"/>
    <w:rsid w:val="0000647C"/>
    <w:rsid w:val="00022020"/>
    <w:rsid w:val="00027463"/>
    <w:rsid w:val="00030806"/>
    <w:rsid w:val="000329D2"/>
    <w:rsid w:val="000348A6"/>
    <w:rsid w:val="000409C7"/>
    <w:rsid w:val="00044E52"/>
    <w:rsid w:val="00050390"/>
    <w:rsid w:val="000572C9"/>
    <w:rsid w:val="000722DC"/>
    <w:rsid w:val="00082DBE"/>
    <w:rsid w:val="00093187"/>
    <w:rsid w:val="00096ADC"/>
    <w:rsid w:val="000A7D93"/>
    <w:rsid w:val="000C22F7"/>
    <w:rsid w:val="000C753B"/>
    <w:rsid w:val="000E1BDB"/>
    <w:rsid w:val="000E6B3C"/>
    <w:rsid w:val="000F58BA"/>
    <w:rsid w:val="000F7F51"/>
    <w:rsid w:val="0010316C"/>
    <w:rsid w:val="00116C62"/>
    <w:rsid w:val="00126D1D"/>
    <w:rsid w:val="00133D92"/>
    <w:rsid w:val="00140135"/>
    <w:rsid w:val="00141DE0"/>
    <w:rsid w:val="001434EC"/>
    <w:rsid w:val="001442F2"/>
    <w:rsid w:val="00145BDE"/>
    <w:rsid w:val="00150EA0"/>
    <w:rsid w:val="0015368D"/>
    <w:rsid w:val="00162545"/>
    <w:rsid w:val="0016345C"/>
    <w:rsid w:val="00171742"/>
    <w:rsid w:val="00183A2D"/>
    <w:rsid w:val="00185588"/>
    <w:rsid w:val="00186FD9"/>
    <w:rsid w:val="001B3E14"/>
    <w:rsid w:val="001B6C2C"/>
    <w:rsid w:val="001B6D2B"/>
    <w:rsid w:val="001C5975"/>
    <w:rsid w:val="001C5FD3"/>
    <w:rsid w:val="001C7DE0"/>
    <w:rsid w:val="001D7D3D"/>
    <w:rsid w:val="001E2882"/>
    <w:rsid w:val="001E4BA6"/>
    <w:rsid w:val="001E51F5"/>
    <w:rsid w:val="001E72EE"/>
    <w:rsid w:val="001F2FA0"/>
    <w:rsid w:val="001F72D4"/>
    <w:rsid w:val="0020695A"/>
    <w:rsid w:val="00220703"/>
    <w:rsid w:val="00225970"/>
    <w:rsid w:val="00231AB7"/>
    <w:rsid w:val="00234B72"/>
    <w:rsid w:val="00243199"/>
    <w:rsid w:val="002442FB"/>
    <w:rsid w:val="0024528B"/>
    <w:rsid w:val="002476DB"/>
    <w:rsid w:val="0024775A"/>
    <w:rsid w:val="00265BD8"/>
    <w:rsid w:val="00274E3F"/>
    <w:rsid w:val="00275BCD"/>
    <w:rsid w:val="00280050"/>
    <w:rsid w:val="00282E00"/>
    <w:rsid w:val="00283628"/>
    <w:rsid w:val="00291DA3"/>
    <w:rsid w:val="002B650B"/>
    <w:rsid w:val="002C13FD"/>
    <w:rsid w:val="002D2007"/>
    <w:rsid w:val="002D5BBD"/>
    <w:rsid w:val="002D7C08"/>
    <w:rsid w:val="002E4B51"/>
    <w:rsid w:val="002E6A4A"/>
    <w:rsid w:val="00310965"/>
    <w:rsid w:val="003131CF"/>
    <w:rsid w:val="00327E48"/>
    <w:rsid w:val="00334E5D"/>
    <w:rsid w:val="00342B6B"/>
    <w:rsid w:val="00352DA2"/>
    <w:rsid w:val="00363E80"/>
    <w:rsid w:val="00364C69"/>
    <w:rsid w:val="00366A3C"/>
    <w:rsid w:val="00374344"/>
    <w:rsid w:val="00375F1F"/>
    <w:rsid w:val="00380B62"/>
    <w:rsid w:val="00392D78"/>
    <w:rsid w:val="0039601E"/>
    <w:rsid w:val="003973AB"/>
    <w:rsid w:val="003A1337"/>
    <w:rsid w:val="003B7A5E"/>
    <w:rsid w:val="003C0D65"/>
    <w:rsid w:val="003C36B4"/>
    <w:rsid w:val="003D07BD"/>
    <w:rsid w:val="003E597E"/>
    <w:rsid w:val="003E6056"/>
    <w:rsid w:val="004001C9"/>
    <w:rsid w:val="00406FEC"/>
    <w:rsid w:val="00415E36"/>
    <w:rsid w:val="00441EA6"/>
    <w:rsid w:val="004512A1"/>
    <w:rsid w:val="00451D36"/>
    <w:rsid w:val="004521BA"/>
    <w:rsid w:val="00452C85"/>
    <w:rsid w:val="00453460"/>
    <w:rsid w:val="004638A0"/>
    <w:rsid w:val="00464FC6"/>
    <w:rsid w:val="00477E86"/>
    <w:rsid w:val="00486D43"/>
    <w:rsid w:val="004909E4"/>
    <w:rsid w:val="0049602F"/>
    <w:rsid w:val="004A4FC0"/>
    <w:rsid w:val="004A67CB"/>
    <w:rsid w:val="004D5950"/>
    <w:rsid w:val="004E03E0"/>
    <w:rsid w:val="004E41BC"/>
    <w:rsid w:val="004E7298"/>
    <w:rsid w:val="004F1509"/>
    <w:rsid w:val="00505E4C"/>
    <w:rsid w:val="005063FC"/>
    <w:rsid w:val="0051143F"/>
    <w:rsid w:val="00550BB2"/>
    <w:rsid w:val="00560C3F"/>
    <w:rsid w:val="005753F9"/>
    <w:rsid w:val="00582DB5"/>
    <w:rsid w:val="005B5FF4"/>
    <w:rsid w:val="005C1225"/>
    <w:rsid w:val="005C3704"/>
    <w:rsid w:val="005C6E1B"/>
    <w:rsid w:val="005D19CF"/>
    <w:rsid w:val="005F3D2F"/>
    <w:rsid w:val="00603459"/>
    <w:rsid w:val="006078D1"/>
    <w:rsid w:val="00610B30"/>
    <w:rsid w:val="006438A4"/>
    <w:rsid w:val="00654F1E"/>
    <w:rsid w:val="00657AA1"/>
    <w:rsid w:val="00683746"/>
    <w:rsid w:val="00685658"/>
    <w:rsid w:val="0069180A"/>
    <w:rsid w:val="006A5C0B"/>
    <w:rsid w:val="006B226E"/>
    <w:rsid w:val="006B4D5E"/>
    <w:rsid w:val="006D084D"/>
    <w:rsid w:val="006E31DD"/>
    <w:rsid w:val="006F1203"/>
    <w:rsid w:val="006F527A"/>
    <w:rsid w:val="00705D61"/>
    <w:rsid w:val="007131B9"/>
    <w:rsid w:val="0072249D"/>
    <w:rsid w:val="0073021F"/>
    <w:rsid w:val="0073354A"/>
    <w:rsid w:val="00740002"/>
    <w:rsid w:val="007436F9"/>
    <w:rsid w:val="00756760"/>
    <w:rsid w:val="0076454A"/>
    <w:rsid w:val="007726FF"/>
    <w:rsid w:val="0078238F"/>
    <w:rsid w:val="00782F6F"/>
    <w:rsid w:val="007917ED"/>
    <w:rsid w:val="007B1C63"/>
    <w:rsid w:val="007B723F"/>
    <w:rsid w:val="007C1DBF"/>
    <w:rsid w:val="007C457C"/>
    <w:rsid w:val="007C65B6"/>
    <w:rsid w:val="007E1774"/>
    <w:rsid w:val="007E3992"/>
    <w:rsid w:val="008056CA"/>
    <w:rsid w:val="0081149F"/>
    <w:rsid w:val="00811AD8"/>
    <w:rsid w:val="008121EF"/>
    <w:rsid w:val="008278DF"/>
    <w:rsid w:val="00836203"/>
    <w:rsid w:val="0084038F"/>
    <w:rsid w:val="00841DCB"/>
    <w:rsid w:val="00852ADF"/>
    <w:rsid w:val="00854175"/>
    <w:rsid w:val="00876C93"/>
    <w:rsid w:val="00886863"/>
    <w:rsid w:val="0089083C"/>
    <w:rsid w:val="008925C6"/>
    <w:rsid w:val="00893C05"/>
    <w:rsid w:val="008949A6"/>
    <w:rsid w:val="00896E6F"/>
    <w:rsid w:val="008A0002"/>
    <w:rsid w:val="008A08A5"/>
    <w:rsid w:val="008A648E"/>
    <w:rsid w:val="008B1074"/>
    <w:rsid w:val="008B6B34"/>
    <w:rsid w:val="008C2A0B"/>
    <w:rsid w:val="008E036E"/>
    <w:rsid w:val="008F02E5"/>
    <w:rsid w:val="00911487"/>
    <w:rsid w:val="009215CE"/>
    <w:rsid w:val="00922D1E"/>
    <w:rsid w:val="009374C4"/>
    <w:rsid w:val="00942C2B"/>
    <w:rsid w:val="00955D48"/>
    <w:rsid w:val="00956D27"/>
    <w:rsid w:val="0096232D"/>
    <w:rsid w:val="00965CEF"/>
    <w:rsid w:val="00970ACA"/>
    <w:rsid w:val="00974BA7"/>
    <w:rsid w:val="00977917"/>
    <w:rsid w:val="009933BA"/>
    <w:rsid w:val="00996764"/>
    <w:rsid w:val="009A4F1D"/>
    <w:rsid w:val="009B1D28"/>
    <w:rsid w:val="009B2F72"/>
    <w:rsid w:val="009B3821"/>
    <w:rsid w:val="009B3FCD"/>
    <w:rsid w:val="009C70F9"/>
    <w:rsid w:val="009D336F"/>
    <w:rsid w:val="009D5683"/>
    <w:rsid w:val="009F6AF8"/>
    <w:rsid w:val="00A06CEC"/>
    <w:rsid w:val="00A16C3F"/>
    <w:rsid w:val="00A324A8"/>
    <w:rsid w:val="00A44B9E"/>
    <w:rsid w:val="00A63E2A"/>
    <w:rsid w:val="00A86831"/>
    <w:rsid w:val="00AA0C9E"/>
    <w:rsid w:val="00AA0E0E"/>
    <w:rsid w:val="00AB0218"/>
    <w:rsid w:val="00AB4485"/>
    <w:rsid w:val="00AB6272"/>
    <w:rsid w:val="00AB66AA"/>
    <w:rsid w:val="00AC2800"/>
    <w:rsid w:val="00AD3965"/>
    <w:rsid w:val="00AF5F83"/>
    <w:rsid w:val="00B25C8F"/>
    <w:rsid w:val="00B34E44"/>
    <w:rsid w:val="00B35302"/>
    <w:rsid w:val="00B5474B"/>
    <w:rsid w:val="00B6399A"/>
    <w:rsid w:val="00B64B2E"/>
    <w:rsid w:val="00B75EE1"/>
    <w:rsid w:val="00B76450"/>
    <w:rsid w:val="00B778C5"/>
    <w:rsid w:val="00B814EC"/>
    <w:rsid w:val="00B92160"/>
    <w:rsid w:val="00BA32E5"/>
    <w:rsid w:val="00BB7279"/>
    <w:rsid w:val="00BC313A"/>
    <w:rsid w:val="00BD634A"/>
    <w:rsid w:val="00BE5A32"/>
    <w:rsid w:val="00C05411"/>
    <w:rsid w:val="00C070E7"/>
    <w:rsid w:val="00C16ACE"/>
    <w:rsid w:val="00C24838"/>
    <w:rsid w:val="00C24DD4"/>
    <w:rsid w:val="00C43DD6"/>
    <w:rsid w:val="00C5581C"/>
    <w:rsid w:val="00C55857"/>
    <w:rsid w:val="00C57702"/>
    <w:rsid w:val="00C57A4C"/>
    <w:rsid w:val="00C629A9"/>
    <w:rsid w:val="00C630D5"/>
    <w:rsid w:val="00C72299"/>
    <w:rsid w:val="00C75C51"/>
    <w:rsid w:val="00C8286A"/>
    <w:rsid w:val="00C944F1"/>
    <w:rsid w:val="00C9752F"/>
    <w:rsid w:val="00CD1B43"/>
    <w:rsid w:val="00CD5C60"/>
    <w:rsid w:val="00CE1625"/>
    <w:rsid w:val="00CE5FD4"/>
    <w:rsid w:val="00CF4BD2"/>
    <w:rsid w:val="00D305E4"/>
    <w:rsid w:val="00D322CC"/>
    <w:rsid w:val="00D356C3"/>
    <w:rsid w:val="00D40B4E"/>
    <w:rsid w:val="00D40D96"/>
    <w:rsid w:val="00D4372D"/>
    <w:rsid w:val="00D438C2"/>
    <w:rsid w:val="00D46208"/>
    <w:rsid w:val="00D52A87"/>
    <w:rsid w:val="00D55AFD"/>
    <w:rsid w:val="00D56822"/>
    <w:rsid w:val="00D80764"/>
    <w:rsid w:val="00D831C6"/>
    <w:rsid w:val="00DA2693"/>
    <w:rsid w:val="00DA42A9"/>
    <w:rsid w:val="00DA5FB9"/>
    <w:rsid w:val="00DC2501"/>
    <w:rsid w:val="00DC577F"/>
    <w:rsid w:val="00DC69AB"/>
    <w:rsid w:val="00DD0D55"/>
    <w:rsid w:val="00DD71DA"/>
    <w:rsid w:val="00DD7621"/>
    <w:rsid w:val="00DE2AF5"/>
    <w:rsid w:val="00DE6DAB"/>
    <w:rsid w:val="00DE728F"/>
    <w:rsid w:val="00DF1026"/>
    <w:rsid w:val="00DF44DA"/>
    <w:rsid w:val="00E1541A"/>
    <w:rsid w:val="00E325C9"/>
    <w:rsid w:val="00E43382"/>
    <w:rsid w:val="00E46894"/>
    <w:rsid w:val="00E6776F"/>
    <w:rsid w:val="00E74A90"/>
    <w:rsid w:val="00E80613"/>
    <w:rsid w:val="00EB24C9"/>
    <w:rsid w:val="00EC3C67"/>
    <w:rsid w:val="00EE64C5"/>
    <w:rsid w:val="00EF46E7"/>
    <w:rsid w:val="00F14D6C"/>
    <w:rsid w:val="00F255A5"/>
    <w:rsid w:val="00F369B9"/>
    <w:rsid w:val="00F46391"/>
    <w:rsid w:val="00F46F0B"/>
    <w:rsid w:val="00F50988"/>
    <w:rsid w:val="00F61EF1"/>
    <w:rsid w:val="00F7689F"/>
    <w:rsid w:val="00F86CA4"/>
    <w:rsid w:val="00F91839"/>
    <w:rsid w:val="00F95D37"/>
    <w:rsid w:val="00FA5F83"/>
    <w:rsid w:val="00FB048B"/>
    <w:rsid w:val="00FB05C7"/>
    <w:rsid w:val="00FB5C01"/>
    <w:rsid w:val="00FC6A0B"/>
    <w:rsid w:val="00FD7F28"/>
    <w:rsid w:val="00FE3024"/>
    <w:rsid w:val="00FE4159"/>
    <w:rsid w:val="00FE7215"/>
    <w:rsid w:val="00FF78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D1DF"/>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character" w:styleId="Hyperlink">
    <w:name w:val="Hyperlink"/>
    <w:basedOn w:val="DefaultParagraphFont"/>
    <w:uiPriority w:val="99"/>
    <w:unhideWhenUsed/>
    <w:rsid w:val="00282E00"/>
    <w:rPr>
      <w:color w:val="0000FF"/>
      <w:u w:val="single"/>
    </w:rPr>
  </w:style>
  <w:style w:type="character" w:styleId="UnresolvedMention">
    <w:name w:val="Unresolved Mention"/>
    <w:basedOn w:val="DefaultParagraphFont"/>
    <w:uiPriority w:val="99"/>
    <w:semiHidden/>
    <w:unhideWhenUsed/>
    <w:rsid w:val="00282E00"/>
    <w:rPr>
      <w:color w:val="605E5C"/>
      <w:shd w:val="clear" w:color="auto" w:fill="E1DFDD"/>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6B4D5E"/>
    <w:pPr>
      <w:ind w:left="720"/>
      <w:contextualSpacing/>
    </w:p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171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3131">
      <w:bodyDiv w:val="1"/>
      <w:marLeft w:val="0"/>
      <w:marRight w:val="0"/>
      <w:marTop w:val="0"/>
      <w:marBottom w:val="0"/>
      <w:divBdr>
        <w:top w:val="none" w:sz="0" w:space="0" w:color="auto"/>
        <w:left w:val="none" w:sz="0" w:space="0" w:color="auto"/>
        <w:bottom w:val="none" w:sz="0" w:space="0" w:color="auto"/>
        <w:right w:val="none" w:sz="0" w:space="0" w:color="auto"/>
      </w:divBdr>
    </w:div>
    <w:div w:id="186532227">
      <w:bodyDiv w:val="1"/>
      <w:marLeft w:val="0"/>
      <w:marRight w:val="0"/>
      <w:marTop w:val="0"/>
      <w:marBottom w:val="0"/>
      <w:divBdr>
        <w:top w:val="none" w:sz="0" w:space="0" w:color="auto"/>
        <w:left w:val="none" w:sz="0" w:space="0" w:color="auto"/>
        <w:bottom w:val="none" w:sz="0" w:space="0" w:color="auto"/>
        <w:right w:val="none" w:sz="0" w:space="0" w:color="auto"/>
      </w:divBdr>
    </w:div>
    <w:div w:id="351960976">
      <w:bodyDiv w:val="1"/>
      <w:marLeft w:val="0"/>
      <w:marRight w:val="0"/>
      <w:marTop w:val="0"/>
      <w:marBottom w:val="0"/>
      <w:divBdr>
        <w:top w:val="none" w:sz="0" w:space="0" w:color="auto"/>
        <w:left w:val="none" w:sz="0" w:space="0" w:color="auto"/>
        <w:bottom w:val="none" w:sz="0" w:space="0" w:color="auto"/>
        <w:right w:val="none" w:sz="0" w:space="0" w:color="auto"/>
      </w:divBdr>
    </w:div>
    <w:div w:id="628971359">
      <w:bodyDiv w:val="1"/>
      <w:marLeft w:val="0"/>
      <w:marRight w:val="0"/>
      <w:marTop w:val="0"/>
      <w:marBottom w:val="0"/>
      <w:divBdr>
        <w:top w:val="none" w:sz="0" w:space="0" w:color="auto"/>
        <w:left w:val="none" w:sz="0" w:space="0" w:color="auto"/>
        <w:bottom w:val="none" w:sz="0" w:space="0" w:color="auto"/>
        <w:right w:val="none" w:sz="0" w:space="0" w:color="auto"/>
      </w:divBdr>
    </w:div>
    <w:div w:id="902252483">
      <w:bodyDiv w:val="1"/>
      <w:marLeft w:val="0"/>
      <w:marRight w:val="0"/>
      <w:marTop w:val="0"/>
      <w:marBottom w:val="0"/>
      <w:divBdr>
        <w:top w:val="none" w:sz="0" w:space="0" w:color="auto"/>
        <w:left w:val="none" w:sz="0" w:space="0" w:color="auto"/>
        <w:bottom w:val="none" w:sz="0" w:space="0" w:color="auto"/>
        <w:right w:val="none" w:sz="0" w:space="0" w:color="auto"/>
      </w:divBdr>
    </w:div>
    <w:div w:id="982467000">
      <w:bodyDiv w:val="1"/>
      <w:marLeft w:val="0"/>
      <w:marRight w:val="0"/>
      <w:marTop w:val="0"/>
      <w:marBottom w:val="0"/>
      <w:divBdr>
        <w:top w:val="none" w:sz="0" w:space="0" w:color="auto"/>
        <w:left w:val="none" w:sz="0" w:space="0" w:color="auto"/>
        <w:bottom w:val="none" w:sz="0" w:space="0" w:color="auto"/>
        <w:right w:val="none" w:sz="0" w:space="0" w:color="auto"/>
      </w:divBdr>
    </w:div>
    <w:div w:id="1117797624">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534999831">
      <w:bodyDiv w:val="1"/>
      <w:marLeft w:val="0"/>
      <w:marRight w:val="0"/>
      <w:marTop w:val="0"/>
      <w:marBottom w:val="0"/>
      <w:divBdr>
        <w:top w:val="none" w:sz="0" w:space="0" w:color="auto"/>
        <w:left w:val="none" w:sz="0" w:space="0" w:color="auto"/>
        <w:bottom w:val="none" w:sz="0" w:space="0" w:color="auto"/>
        <w:right w:val="none" w:sz="0" w:space="0" w:color="auto"/>
      </w:divBdr>
    </w:div>
    <w:div w:id="1752579978">
      <w:bodyDiv w:val="1"/>
      <w:marLeft w:val="0"/>
      <w:marRight w:val="0"/>
      <w:marTop w:val="0"/>
      <w:marBottom w:val="0"/>
      <w:divBdr>
        <w:top w:val="none" w:sz="0" w:space="0" w:color="auto"/>
        <w:left w:val="none" w:sz="0" w:space="0" w:color="auto"/>
        <w:bottom w:val="none" w:sz="0" w:space="0" w:color="auto"/>
        <w:right w:val="none" w:sz="0" w:space="0" w:color="auto"/>
      </w:divBdr>
    </w:div>
    <w:div w:id="184728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41B8D-87EF-408C-8063-65D4B7F4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5656</Words>
  <Characters>32241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MCDONALD, Jess</cp:lastModifiedBy>
  <cp:revision>2</cp:revision>
  <dcterms:created xsi:type="dcterms:W3CDTF">2023-12-13T21:12:00Z</dcterms:created>
  <dcterms:modified xsi:type="dcterms:W3CDTF">2023-12-13T21:12:00Z</dcterms:modified>
</cp:coreProperties>
</file>