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AE703" w14:textId="77777777" w:rsidR="0048364F" w:rsidRDefault="00193461" w:rsidP="0020300C">
      <w:pPr>
        <w:rPr>
          <w:sz w:val="28"/>
        </w:rPr>
      </w:pPr>
      <w:r>
        <w:rPr>
          <w:noProof/>
          <w:lang w:eastAsia="en-AU"/>
        </w:rPr>
        <w:drawing>
          <wp:inline distT="0" distB="0" distL="0" distR="0" wp14:anchorId="5329B156" wp14:editId="20BAE80C">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693D2FAF" w14:textId="77777777" w:rsidR="0048364F" w:rsidRDefault="0048364F" w:rsidP="0048364F">
      <w:pPr>
        <w:rPr>
          <w:sz w:val="19"/>
        </w:rPr>
      </w:pPr>
    </w:p>
    <w:p w14:paraId="6B5B455B" w14:textId="77777777" w:rsidR="0048364F" w:rsidRDefault="006C297E" w:rsidP="0048364F">
      <w:pPr>
        <w:pStyle w:val="ShortT"/>
      </w:pPr>
      <w:bookmarkStart w:id="0" w:name="_Hlk152770822"/>
      <w:r w:rsidRPr="006C297E">
        <w:t>Industrial Chemicals Environmental Management (Register) Amendment (</w:t>
      </w:r>
      <w:r w:rsidR="000B1CD6">
        <w:t>2023</w:t>
      </w:r>
      <w:r w:rsidR="006817C6">
        <w:t xml:space="preserve"> Measures </w:t>
      </w:r>
      <w:r w:rsidRPr="006C297E">
        <w:t xml:space="preserve">No. </w:t>
      </w:r>
      <w:r w:rsidR="000B1CD6">
        <w:t>1</w:t>
      </w:r>
      <w:r w:rsidRPr="006C297E">
        <w:t xml:space="preserve">) Instrument </w:t>
      </w:r>
      <w:r w:rsidR="000B1CD6">
        <w:t>2023</w:t>
      </w:r>
    </w:p>
    <w:bookmarkEnd w:id="0"/>
    <w:p w14:paraId="2780ACC5" w14:textId="50C10BC2" w:rsidR="006C297E" w:rsidRPr="00001A63" w:rsidRDefault="006C297E" w:rsidP="003102B6">
      <w:pPr>
        <w:pStyle w:val="SignCoverPageStart"/>
        <w:rPr>
          <w:szCs w:val="22"/>
        </w:rPr>
      </w:pPr>
      <w:r w:rsidRPr="00001A63">
        <w:rPr>
          <w:szCs w:val="22"/>
        </w:rPr>
        <w:t>I,</w:t>
      </w:r>
      <w:r w:rsidR="000B1CD6">
        <w:rPr>
          <w:szCs w:val="22"/>
        </w:rPr>
        <w:t xml:space="preserve"> Rachel Burgess</w:t>
      </w:r>
      <w:r w:rsidRPr="00001A63">
        <w:rPr>
          <w:szCs w:val="22"/>
        </w:rPr>
        <w:t xml:space="preserve">, </w:t>
      </w:r>
      <w:r w:rsidR="009836D1">
        <w:rPr>
          <w:szCs w:val="22"/>
        </w:rPr>
        <w:t xml:space="preserve">delegate of the </w:t>
      </w:r>
      <w:r w:rsidR="00EA7072">
        <w:rPr>
          <w:szCs w:val="22"/>
        </w:rPr>
        <w:t>Minister for the Environment and Water</w:t>
      </w:r>
      <w:r w:rsidRPr="00001A63">
        <w:rPr>
          <w:szCs w:val="22"/>
        </w:rPr>
        <w:t xml:space="preserve">, make the following </w:t>
      </w:r>
      <w:r>
        <w:rPr>
          <w:szCs w:val="22"/>
        </w:rPr>
        <w:t>instrument</w:t>
      </w:r>
      <w:r w:rsidRPr="00001A63">
        <w:rPr>
          <w:szCs w:val="22"/>
        </w:rPr>
        <w:t>.</w:t>
      </w:r>
    </w:p>
    <w:p w14:paraId="0E70CD06" w14:textId="450C2EB3" w:rsidR="006C297E" w:rsidRPr="00001A63" w:rsidRDefault="006C297E" w:rsidP="003102B6">
      <w:pPr>
        <w:keepNext/>
        <w:spacing w:before="300" w:line="240" w:lineRule="atLeast"/>
        <w:ind w:right="397"/>
        <w:jc w:val="both"/>
        <w:rPr>
          <w:szCs w:val="22"/>
        </w:rPr>
      </w:pPr>
      <w:r>
        <w:rPr>
          <w:szCs w:val="22"/>
        </w:rPr>
        <w:t>Dated</w:t>
      </w:r>
      <w:r w:rsidRPr="00001A63">
        <w:rPr>
          <w:szCs w:val="22"/>
        </w:rPr>
        <w:tab/>
      </w:r>
      <w:r w:rsidR="00920E07">
        <w:rPr>
          <w:szCs w:val="22"/>
        </w:rPr>
        <w:t xml:space="preserve">12 December </w:t>
      </w:r>
      <w:r w:rsidR="0019639C" w:rsidRPr="000B1CD6">
        <w:rPr>
          <w:szCs w:val="22"/>
        </w:rPr>
        <w:t>2023</w:t>
      </w:r>
    </w:p>
    <w:p w14:paraId="18760F49" w14:textId="324E3A5C" w:rsidR="009836D1" w:rsidRPr="00C73A1C" w:rsidRDefault="000B1CD6" w:rsidP="009836D1">
      <w:pPr>
        <w:keepNext/>
        <w:tabs>
          <w:tab w:val="left" w:pos="3402"/>
        </w:tabs>
        <w:spacing w:before="1440" w:line="300" w:lineRule="atLeast"/>
        <w:ind w:right="397"/>
        <w:rPr>
          <w:szCs w:val="22"/>
        </w:rPr>
      </w:pPr>
      <w:r>
        <w:rPr>
          <w:szCs w:val="22"/>
        </w:rPr>
        <w:t>Rachel Burgess</w:t>
      </w:r>
      <w:r w:rsidR="009836D1" w:rsidRPr="00C73A1C">
        <w:t xml:space="preserve"> </w:t>
      </w:r>
    </w:p>
    <w:p w14:paraId="04352E87" w14:textId="6CC56A7D" w:rsidR="009836D1" w:rsidRPr="00C73A1C" w:rsidRDefault="00352A4C" w:rsidP="009836D1">
      <w:pPr>
        <w:pStyle w:val="SignCoverPageEnd"/>
        <w:rPr>
          <w:szCs w:val="22"/>
        </w:rPr>
      </w:pPr>
      <w:r>
        <w:rPr>
          <w:szCs w:val="22"/>
        </w:rPr>
        <w:t>Branch Head</w:t>
      </w:r>
      <w:r w:rsidR="009836D1" w:rsidRPr="000B1CD6">
        <w:rPr>
          <w:szCs w:val="22"/>
        </w:rPr>
        <w:t xml:space="preserve"> </w:t>
      </w:r>
      <w:r w:rsidR="009836D1" w:rsidRPr="00920E07">
        <w:rPr>
          <w:szCs w:val="22"/>
        </w:rPr>
        <w:br/>
      </w:r>
      <w:r w:rsidR="000B1CD6" w:rsidRPr="000B1CD6">
        <w:rPr>
          <w:szCs w:val="22"/>
        </w:rPr>
        <w:t>Chemicals and Atmosphere Branch</w:t>
      </w:r>
      <w:r w:rsidR="009836D1" w:rsidRPr="00920E07">
        <w:rPr>
          <w:szCs w:val="22"/>
        </w:rPr>
        <w:br/>
      </w:r>
      <w:r w:rsidR="009836D1" w:rsidRPr="006817C6">
        <w:rPr>
          <w:szCs w:val="22"/>
        </w:rPr>
        <w:t>Department of Climate Change, Energy, the Environment and Water</w:t>
      </w:r>
    </w:p>
    <w:p w14:paraId="07469DB4" w14:textId="77777777" w:rsidR="0048364F" w:rsidRDefault="0048364F" w:rsidP="0048364F">
      <w:pPr>
        <w:sectPr w:rsidR="0048364F" w:rsidSect="005E41A6">
          <w:headerReference w:type="even" r:id="rId12"/>
          <w:headerReference w:type="default" r:id="rId13"/>
          <w:footerReference w:type="even" r:id="rId14"/>
          <w:footerReference w:type="default" r:id="rId15"/>
          <w:headerReference w:type="first" r:id="rId16"/>
          <w:footerReference w:type="first" r:id="rId17"/>
          <w:pgSz w:w="11907" w:h="16839"/>
          <w:pgMar w:top="1440" w:right="1797" w:bottom="1440" w:left="1797" w:header="720" w:footer="709" w:gutter="0"/>
          <w:cols w:space="708"/>
          <w:docGrid w:linePitch="360"/>
        </w:sectPr>
      </w:pPr>
    </w:p>
    <w:p w14:paraId="3B1CBFC2" w14:textId="77777777" w:rsidR="00220A0C" w:rsidRDefault="0048364F" w:rsidP="0048364F">
      <w:pPr>
        <w:outlineLvl w:val="0"/>
        <w:rPr>
          <w:sz w:val="36"/>
        </w:rPr>
      </w:pPr>
      <w:r w:rsidRPr="007A1328">
        <w:rPr>
          <w:sz w:val="36"/>
        </w:rPr>
        <w:lastRenderedPageBreak/>
        <w:t>Contents</w:t>
      </w:r>
    </w:p>
    <w:p w14:paraId="58F54640" w14:textId="7673EADA" w:rsidR="00F55DCB" w:rsidRDefault="00F55DCB">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Name</w:t>
      </w:r>
      <w:r w:rsidRPr="00F55DCB">
        <w:rPr>
          <w:noProof/>
        </w:rPr>
        <w:tab/>
      </w:r>
      <w:r w:rsidRPr="00F55DCB">
        <w:rPr>
          <w:noProof/>
        </w:rPr>
        <w:fldChar w:fldCharType="begin"/>
      </w:r>
      <w:r w:rsidRPr="00F55DCB">
        <w:rPr>
          <w:noProof/>
        </w:rPr>
        <w:instrText xml:space="preserve"> PAGEREF _Toc146813952 \h </w:instrText>
      </w:r>
      <w:r w:rsidRPr="00F55DCB">
        <w:rPr>
          <w:noProof/>
        </w:rPr>
      </w:r>
      <w:r w:rsidRPr="00F55DCB">
        <w:rPr>
          <w:noProof/>
        </w:rPr>
        <w:fldChar w:fldCharType="separate"/>
      </w:r>
      <w:r w:rsidR="00E43366">
        <w:rPr>
          <w:noProof/>
        </w:rPr>
        <w:t>1</w:t>
      </w:r>
      <w:r w:rsidRPr="00F55DCB">
        <w:rPr>
          <w:noProof/>
        </w:rPr>
        <w:fldChar w:fldCharType="end"/>
      </w:r>
    </w:p>
    <w:p w14:paraId="5494D7BF" w14:textId="6C1F1C48" w:rsidR="00F55DCB" w:rsidRDefault="00F55DCB">
      <w:pPr>
        <w:pStyle w:val="TOC5"/>
        <w:rPr>
          <w:rFonts w:asciiTheme="minorHAnsi" w:eastAsiaTheme="minorEastAsia" w:hAnsiTheme="minorHAnsi" w:cstheme="minorBidi"/>
          <w:noProof/>
          <w:kern w:val="0"/>
          <w:sz w:val="22"/>
          <w:szCs w:val="22"/>
        </w:rPr>
      </w:pPr>
      <w:r>
        <w:rPr>
          <w:noProof/>
        </w:rPr>
        <w:t>2</w:t>
      </w:r>
      <w:r>
        <w:rPr>
          <w:noProof/>
        </w:rPr>
        <w:tab/>
        <w:t>Commencement</w:t>
      </w:r>
      <w:r w:rsidRPr="00F55DCB">
        <w:rPr>
          <w:noProof/>
        </w:rPr>
        <w:tab/>
      </w:r>
      <w:r w:rsidRPr="00F55DCB">
        <w:rPr>
          <w:noProof/>
        </w:rPr>
        <w:fldChar w:fldCharType="begin"/>
      </w:r>
      <w:r w:rsidRPr="00F55DCB">
        <w:rPr>
          <w:noProof/>
        </w:rPr>
        <w:instrText xml:space="preserve"> PAGEREF _Toc146813953 \h </w:instrText>
      </w:r>
      <w:r w:rsidRPr="00F55DCB">
        <w:rPr>
          <w:noProof/>
        </w:rPr>
      </w:r>
      <w:r w:rsidRPr="00F55DCB">
        <w:rPr>
          <w:noProof/>
        </w:rPr>
        <w:fldChar w:fldCharType="separate"/>
      </w:r>
      <w:r w:rsidR="00E43366">
        <w:rPr>
          <w:noProof/>
        </w:rPr>
        <w:t>1</w:t>
      </w:r>
      <w:r w:rsidRPr="00F55DCB">
        <w:rPr>
          <w:noProof/>
        </w:rPr>
        <w:fldChar w:fldCharType="end"/>
      </w:r>
    </w:p>
    <w:p w14:paraId="6D2593B3" w14:textId="36FFC558" w:rsidR="00F55DCB" w:rsidRDefault="00F55DCB">
      <w:pPr>
        <w:pStyle w:val="TOC5"/>
        <w:rPr>
          <w:rFonts w:asciiTheme="minorHAnsi" w:eastAsiaTheme="minorEastAsia" w:hAnsiTheme="minorHAnsi" w:cstheme="minorBidi"/>
          <w:noProof/>
          <w:kern w:val="0"/>
          <w:sz w:val="22"/>
          <w:szCs w:val="22"/>
        </w:rPr>
      </w:pPr>
      <w:r>
        <w:rPr>
          <w:noProof/>
        </w:rPr>
        <w:t>3</w:t>
      </w:r>
      <w:r>
        <w:rPr>
          <w:noProof/>
        </w:rPr>
        <w:tab/>
        <w:t>Authority</w:t>
      </w:r>
      <w:r w:rsidRPr="00F55DCB">
        <w:rPr>
          <w:noProof/>
        </w:rPr>
        <w:tab/>
      </w:r>
      <w:r w:rsidRPr="00F55DCB">
        <w:rPr>
          <w:noProof/>
        </w:rPr>
        <w:fldChar w:fldCharType="begin"/>
      </w:r>
      <w:r w:rsidRPr="00F55DCB">
        <w:rPr>
          <w:noProof/>
        </w:rPr>
        <w:instrText xml:space="preserve"> PAGEREF _Toc146813954 \h </w:instrText>
      </w:r>
      <w:r w:rsidRPr="00F55DCB">
        <w:rPr>
          <w:noProof/>
        </w:rPr>
      </w:r>
      <w:r w:rsidRPr="00F55DCB">
        <w:rPr>
          <w:noProof/>
        </w:rPr>
        <w:fldChar w:fldCharType="separate"/>
      </w:r>
      <w:r w:rsidR="00E43366">
        <w:rPr>
          <w:noProof/>
        </w:rPr>
        <w:t>1</w:t>
      </w:r>
      <w:r w:rsidRPr="00F55DCB">
        <w:rPr>
          <w:noProof/>
        </w:rPr>
        <w:fldChar w:fldCharType="end"/>
      </w:r>
    </w:p>
    <w:p w14:paraId="55A027A5" w14:textId="4F1FF580" w:rsidR="00F55DCB" w:rsidRDefault="00F55DCB">
      <w:pPr>
        <w:pStyle w:val="TOC5"/>
        <w:rPr>
          <w:rFonts w:asciiTheme="minorHAnsi" w:eastAsiaTheme="minorEastAsia" w:hAnsiTheme="minorHAnsi" w:cstheme="minorBidi"/>
          <w:noProof/>
          <w:kern w:val="0"/>
          <w:sz w:val="22"/>
          <w:szCs w:val="22"/>
        </w:rPr>
      </w:pPr>
      <w:r>
        <w:rPr>
          <w:noProof/>
        </w:rPr>
        <w:t>4</w:t>
      </w:r>
      <w:r>
        <w:rPr>
          <w:noProof/>
        </w:rPr>
        <w:tab/>
        <w:t>Schedules</w:t>
      </w:r>
      <w:r w:rsidRPr="00F55DCB">
        <w:rPr>
          <w:noProof/>
        </w:rPr>
        <w:tab/>
      </w:r>
      <w:r w:rsidRPr="00F55DCB">
        <w:rPr>
          <w:noProof/>
        </w:rPr>
        <w:fldChar w:fldCharType="begin"/>
      </w:r>
      <w:r w:rsidRPr="00F55DCB">
        <w:rPr>
          <w:noProof/>
        </w:rPr>
        <w:instrText xml:space="preserve"> PAGEREF _Toc146813955 \h </w:instrText>
      </w:r>
      <w:r w:rsidRPr="00F55DCB">
        <w:rPr>
          <w:noProof/>
        </w:rPr>
      </w:r>
      <w:r w:rsidRPr="00F55DCB">
        <w:rPr>
          <w:noProof/>
        </w:rPr>
        <w:fldChar w:fldCharType="separate"/>
      </w:r>
      <w:r w:rsidR="00E43366">
        <w:rPr>
          <w:noProof/>
        </w:rPr>
        <w:t>1</w:t>
      </w:r>
      <w:r w:rsidRPr="00F55DCB">
        <w:rPr>
          <w:noProof/>
        </w:rPr>
        <w:fldChar w:fldCharType="end"/>
      </w:r>
    </w:p>
    <w:p w14:paraId="7C1DDB40" w14:textId="386F7117" w:rsidR="00F55DCB" w:rsidRDefault="00F55DCB">
      <w:pPr>
        <w:pStyle w:val="TOC6"/>
        <w:rPr>
          <w:rFonts w:asciiTheme="minorHAnsi" w:eastAsiaTheme="minorEastAsia" w:hAnsiTheme="minorHAnsi" w:cstheme="minorBidi"/>
          <w:b w:val="0"/>
          <w:noProof/>
          <w:kern w:val="0"/>
          <w:sz w:val="22"/>
          <w:szCs w:val="22"/>
        </w:rPr>
      </w:pPr>
      <w:r>
        <w:rPr>
          <w:noProof/>
        </w:rPr>
        <w:t>Schedule 1—Amendments</w:t>
      </w:r>
      <w:r w:rsidRPr="00F55DCB">
        <w:rPr>
          <w:b w:val="0"/>
          <w:noProof/>
          <w:sz w:val="18"/>
        </w:rPr>
        <w:tab/>
      </w:r>
      <w:r w:rsidRPr="00F55DCB">
        <w:rPr>
          <w:b w:val="0"/>
          <w:noProof/>
          <w:sz w:val="18"/>
        </w:rPr>
        <w:fldChar w:fldCharType="begin"/>
      </w:r>
      <w:r w:rsidRPr="00F55DCB">
        <w:rPr>
          <w:b w:val="0"/>
          <w:noProof/>
          <w:sz w:val="18"/>
        </w:rPr>
        <w:instrText xml:space="preserve"> PAGEREF _Toc146813956 \h </w:instrText>
      </w:r>
      <w:r w:rsidRPr="00F55DCB">
        <w:rPr>
          <w:b w:val="0"/>
          <w:noProof/>
          <w:sz w:val="18"/>
        </w:rPr>
      </w:r>
      <w:r w:rsidRPr="00F55DCB">
        <w:rPr>
          <w:b w:val="0"/>
          <w:noProof/>
          <w:sz w:val="18"/>
        </w:rPr>
        <w:fldChar w:fldCharType="separate"/>
      </w:r>
      <w:r w:rsidR="00E43366">
        <w:rPr>
          <w:b w:val="0"/>
          <w:noProof/>
          <w:sz w:val="18"/>
        </w:rPr>
        <w:t>2</w:t>
      </w:r>
      <w:r w:rsidRPr="00F55DCB">
        <w:rPr>
          <w:b w:val="0"/>
          <w:noProof/>
          <w:sz w:val="18"/>
        </w:rPr>
        <w:fldChar w:fldCharType="end"/>
      </w:r>
    </w:p>
    <w:p w14:paraId="20711F30" w14:textId="3FEFA7F1" w:rsidR="00F55DCB" w:rsidRDefault="00F55DCB">
      <w:pPr>
        <w:pStyle w:val="TOC9"/>
        <w:rPr>
          <w:rFonts w:asciiTheme="minorHAnsi" w:eastAsiaTheme="minorEastAsia" w:hAnsiTheme="minorHAnsi" w:cstheme="minorBidi"/>
          <w:i w:val="0"/>
          <w:noProof/>
          <w:kern w:val="0"/>
          <w:sz w:val="22"/>
          <w:szCs w:val="22"/>
        </w:rPr>
      </w:pPr>
      <w:r>
        <w:rPr>
          <w:noProof/>
        </w:rPr>
        <w:t>Industrial Chemicals Environmental Management (Register) Instrument 2022</w:t>
      </w:r>
      <w:r w:rsidRPr="00F55DCB">
        <w:rPr>
          <w:i w:val="0"/>
          <w:noProof/>
          <w:sz w:val="18"/>
        </w:rPr>
        <w:tab/>
      </w:r>
      <w:r w:rsidRPr="00F55DCB">
        <w:rPr>
          <w:i w:val="0"/>
          <w:noProof/>
          <w:sz w:val="18"/>
        </w:rPr>
        <w:fldChar w:fldCharType="begin"/>
      </w:r>
      <w:r w:rsidRPr="00F55DCB">
        <w:rPr>
          <w:i w:val="0"/>
          <w:noProof/>
          <w:sz w:val="18"/>
        </w:rPr>
        <w:instrText xml:space="preserve"> PAGEREF _Toc146813957 \h </w:instrText>
      </w:r>
      <w:r w:rsidRPr="00F55DCB">
        <w:rPr>
          <w:i w:val="0"/>
          <w:noProof/>
          <w:sz w:val="18"/>
        </w:rPr>
      </w:r>
      <w:r w:rsidRPr="00F55DCB">
        <w:rPr>
          <w:i w:val="0"/>
          <w:noProof/>
          <w:sz w:val="18"/>
        </w:rPr>
        <w:fldChar w:fldCharType="separate"/>
      </w:r>
      <w:r w:rsidR="00E43366">
        <w:rPr>
          <w:i w:val="0"/>
          <w:noProof/>
          <w:sz w:val="18"/>
        </w:rPr>
        <w:t>2</w:t>
      </w:r>
      <w:r w:rsidRPr="00F55DCB">
        <w:rPr>
          <w:i w:val="0"/>
          <w:noProof/>
          <w:sz w:val="18"/>
        </w:rPr>
        <w:fldChar w:fldCharType="end"/>
      </w:r>
    </w:p>
    <w:p w14:paraId="2EC62E82" w14:textId="77777777" w:rsidR="0048364F" w:rsidRPr="007A1328" w:rsidRDefault="00F55DCB" w:rsidP="0048364F">
      <w:r>
        <w:fldChar w:fldCharType="end"/>
      </w:r>
    </w:p>
    <w:p w14:paraId="03F3024E" w14:textId="77777777" w:rsidR="0048364F" w:rsidRDefault="0048364F" w:rsidP="0048364F">
      <w:pPr>
        <w:sectPr w:rsidR="0048364F" w:rsidSect="005E41A6">
          <w:headerReference w:type="even" r:id="rId18"/>
          <w:headerReference w:type="default" r:id="rId19"/>
          <w:footerReference w:type="even" r:id="rId20"/>
          <w:footerReference w:type="default" r:id="rId21"/>
          <w:headerReference w:type="first" r:id="rId22"/>
          <w:pgSz w:w="11907" w:h="16839"/>
          <w:pgMar w:top="2093" w:right="1797" w:bottom="1440" w:left="1797" w:header="720" w:footer="709" w:gutter="0"/>
          <w:pgNumType w:fmt="lowerRoman" w:start="1"/>
          <w:cols w:space="708"/>
          <w:docGrid w:linePitch="360"/>
        </w:sectPr>
      </w:pPr>
    </w:p>
    <w:p w14:paraId="1CAC0BFB" w14:textId="77777777" w:rsidR="0048364F" w:rsidRDefault="0048364F" w:rsidP="0048364F">
      <w:pPr>
        <w:pStyle w:val="ActHead5"/>
      </w:pPr>
      <w:bookmarkStart w:id="1" w:name="_Toc146813952"/>
      <w:proofErr w:type="gramStart"/>
      <w:r w:rsidRPr="000132B5">
        <w:rPr>
          <w:rStyle w:val="CharSectno"/>
        </w:rPr>
        <w:lastRenderedPageBreak/>
        <w:t>1</w:t>
      </w:r>
      <w:r>
        <w:t xml:space="preserve">  </w:t>
      </w:r>
      <w:r w:rsidR="004F676E">
        <w:t>Name</w:t>
      </w:r>
      <w:bookmarkEnd w:id="1"/>
      <w:proofErr w:type="gramEnd"/>
    </w:p>
    <w:p w14:paraId="0F546504" w14:textId="77777777" w:rsidR="0048364F" w:rsidRDefault="0048364F" w:rsidP="0048364F">
      <w:pPr>
        <w:pStyle w:val="subsection"/>
      </w:pPr>
      <w:r>
        <w:tab/>
      </w:r>
      <w:r>
        <w:tab/>
      </w:r>
      <w:r w:rsidR="006C297E">
        <w:t>This instrument is</w:t>
      </w:r>
      <w:r>
        <w:t xml:space="preserve"> the </w:t>
      </w:r>
      <w:r w:rsidR="00FD14D0" w:rsidRPr="00FD14D0">
        <w:rPr>
          <w:i/>
        </w:rPr>
        <w:t>Industrial Chemicals Environmental Management (Register) Amendment (2023 Measures No. 1) Instrument 2023</w:t>
      </w:r>
      <w:r w:rsidR="00FD14D0">
        <w:rPr>
          <w:i/>
        </w:rPr>
        <w:t>.</w:t>
      </w:r>
    </w:p>
    <w:p w14:paraId="33B41336" w14:textId="77777777" w:rsidR="004F676E" w:rsidRDefault="0048364F" w:rsidP="005452CC">
      <w:pPr>
        <w:pStyle w:val="ActHead5"/>
      </w:pPr>
      <w:bookmarkStart w:id="2" w:name="_Toc146813953"/>
      <w:proofErr w:type="gramStart"/>
      <w:r w:rsidRPr="000132B5">
        <w:rPr>
          <w:rStyle w:val="CharSectno"/>
        </w:rPr>
        <w:t>2</w:t>
      </w:r>
      <w:r>
        <w:t xml:space="preserve">  Commencement</w:t>
      </w:r>
      <w:bookmarkEnd w:id="2"/>
      <w:proofErr w:type="gramEnd"/>
    </w:p>
    <w:p w14:paraId="1E51C068" w14:textId="77777777" w:rsidR="005452CC" w:rsidRDefault="005452CC" w:rsidP="003102B6">
      <w:pPr>
        <w:pStyle w:val="subsection"/>
      </w:pPr>
      <w:r>
        <w:tab/>
        <w:t>(1)</w:t>
      </w:r>
      <w:r>
        <w:tab/>
        <w:t xml:space="preserve">Each provision of </w:t>
      </w:r>
      <w:r w:rsidR="006C297E">
        <w:t>this instrument</w:t>
      </w:r>
      <w:r>
        <w:t xml:space="preserve"> specified in column 1 of the table commences, or is taken to have commenced, in accordance with column 2 of the table. Any other statement in column 2 has effect according to its terms.</w:t>
      </w:r>
    </w:p>
    <w:p w14:paraId="414F1BB1" w14:textId="77777777" w:rsidR="005452CC" w:rsidRDefault="005452CC" w:rsidP="003102B6">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5452CC" w14:paraId="20A04CCD" w14:textId="77777777" w:rsidTr="00AD7252">
        <w:trPr>
          <w:tblHeader/>
        </w:trPr>
        <w:tc>
          <w:tcPr>
            <w:tcW w:w="8364" w:type="dxa"/>
            <w:gridSpan w:val="3"/>
            <w:tcBorders>
              <w:top w:val="single" w:sz="12" w:space="0" w:color="auto"/>
              <w:bottom w:val="single" w:sz="6" w:space="0" w:color="auto"/>
            </w:tcBorders>
            <w:shd w:val="clear" w:color="auto" w:fill="auto"/>
            <w:hideMark/>
          </w:tcPr>
          <w:p w14:paraId="12E61AD6" w14:textId="77777777" w:rsidR="005452CC" w:rsidRPr="00416235" w:rsidRDefault="005452CC" w:rsidP="003102B6">
            <w:pPr>
              <w:pStyle w:val="TableHeading"/>
            </w:pPr>
            <w:r w:rsidRPr="00416235">
              <w:t>Commencement information</w:t>
            </w:r>
          </w:p>
        </w:tc>
      </w:tr>
      <w:tr w:rsidR="005452CC" w:rsidRPr="00416235" w14:paraId="714B35AF" w14:textId="77777777" w:rsidTr="00AD7252">
        <w:trPr>
          <w:tblHeader/>
        </w:trPr>
        <w:tc>
          <w:tcPr>
            <w:tcW w:w="2127" w:type="dxa"/>
            <w:tcBorders>
              <w:top w:val="single" w:sz="6" w:space="0" w:color="auto"/>
              <w:bottom w:val="single" w:sz="6" w:space="0" w:color="auto"/>
            </w:tcBorders>
            <w:shd w:val="clear" w:color="auto" w:fill="auto"/>
            <w:hideMark/>
          </w:tcPr>
          <w:p w14:paraId="40AF0BC5" w14:textId="77777777" w:rsidR="005452CC" w:rsidRPr="00416235" w:rsidRDefault="005452CC" w:rsidP="003102B6">
            <w:pPr>
              <w:pStyle w:val="TableHeading"/>
            </w:pPr>
            <w:r w:rsidRPr="00416235">
              <w:t>Column 1</w:t>
            </w:r>
          </w:p>
        </w:tc>
        <w:tc>
          <w:tcPr>
            <w:tcW w:w="4394" w:type="dxa"/>
            <w:tcBorders>
              <w:top w:val="single" w:sz="6" w:space="0" w:color="auto"/>
              <w:bottom w:val="single" w:sz="6" w:space="0" w:color="auto"/>
            </w:tcBorders>
            <w:shd w:val="clear" w:color="auto" w:fill="auto"/>
            <w:hideMark/>
          </w:tcPr>
          <w:p w14:paraId="1663605B" w14:textId="77777777" w:rsidR="005452CC" w:rsidRPr="00416235" w:rsidRDefault="005452CC" w:rsidP="003102B6">
            <w:pPr>
              <w:pStyle w:val="TableHeading"/>
            </w:pPr>
            <w:r w:rsidRPr="00416235">
              <w:t>Column 2</w:t>
            </w:r>
          </w:p>
        </w:tc>
        <w:tc>
          <w:tcPr>
            <w:tcW w:w="1843" w:type="dxa"/>
            <w:tcBorders>
              <w:top w:val="single" w:sz="6" w:space="0" w:color="auto"/>
              <w:bottom w:val="single" w:sz="6" w:space="0" w:color="auto"/>
            </w:tcBorders>
            <w:shd w:val="clear" w:color="auto" w:fill="auto"/>
            <w:hideMark/>
          </w:tcPr>
          <w:p w14:paraId="7D744A16" w14:textId="77777777" w:rsidR="005452CC" w:rsidRPr="00416235" w:rsidRDefault="005452CC" w:rsidP="003102B6">
            <w:pPr>
              <w:pStyle w:val="TableHeading"/>
            </w:pPr>
            <w:r w:rsidRPr="00416235">
              <w:t>Column 3</w:t>
            </w:r>
          </w:p>
        </w:tc>
      </w:tr>
      <w:tr w:rsidR="005452CC" w14:paraId="75F4DE61" w14:textId="77777777" w:rsidTr="00AD7252">
        <w:trPr>
          <w:tblHeader/>
        </w:trPr>
        <w:tc>
          <w:tcPr>
            <w:tcW w:w="2127" w:type="dxa"/>
            <w:tcBorders>
              <w:top w:val="single" w:sz="6" w:space="0" w:color="auto"/>
              <w:bottom w:val="single" w:sz="12" w:space="0" w:color="auto"/>
            </w:tcBorders>
            <w:shd w:val="clear" w:color="auto" w:fill="auto"/>
            <w:hideMark/>
          </w:tcPr>
          <w:p w14:paraId="6D5778FA" w14:textId="77777777" w:rsidR="005452CC" w:rsidRPr="00416235" w:rsidRDefault="005452CC" w:rsidP="003102B6">
            <w:pPr>
              <w:pStyle w:val="TableHeading"/>
            </w:pPr>
            <w:r w:rsidRPr="00416235">
              <w:t>Provisions</w:t>
            </w:r>
          </w:p>
        </w:tc>
        <w:tc>
          <w:tcPr>
            <w:tcW w:w="4394" w:type="dxa"/>
            <w:tcBorders>
              <w:top w:val="single" w:sz="6" w:space="0" w:color="auto"/>
              <w:bottom w:val="single" w:sz="12" w:space="0" w:color="auto"/>
            </w:tcBorders>
            <w:shd w:val="clear" w:color="auto" w:fill="auto"/>
            <w:hideMark/>
          </w:tcPr>
          <w:p w14:paraId="4FC8F925" w14:textId="77777777" w:rsidR="005452CC" w:rsidRPr="00416235" w:rsidRDefault="005452CC" w:rsidP="003102B6">
            <w:pPr>
              <w:pStyle w:val="TableHeading"/>
            </w:pPr>
            <w:r w:rsidRPr="00416235">
              <w:t>Commencement</w:t>
            </w:r>
          </w:p>
        </w:tc>
        <w:tc>
          <w:tcPr>
            <w:tcW w:w="1843" w:type="dxa"/>
            <w:tcBorders>
              <w:top w:val="single" w:sz="6" w:space="0" w:color="auto"/>
              <w:bottom w:val="single" w:sz="12" w:space="0" w:color="auto"/>
            </w:tcBorders>
            <w:shd w:val="clear" w:color="auto" w:fill="auto"/>
            <w:hideMark/>
          </w:tcPr>
          <w:p w14:paraId="6C0AD0B0" w14:textId="77777777" w:rsidR="005452CC" w:rsidRPr="00416235" w:rsidRDefault="005452CC" w:rsidP="003102B6">
            <w:pPr>
              <w:pStyle w:val="TableHeading"/>
            </w:pPr>
            <w:r w:rsidRPr="00416235">
              <w:t>Date/Details</w:t>
            </w:r>
          </w:p>
        </w:tc>
      </w:tr>
      <w:tr w:rsidR="005452CC" w14:paraId="42627FEF" w14:textId="77777777" w:rsidTr="00AD7252">
        <w:tc>
          <w:tcPr>
            <w:tcW w:w="2127" w:type="dxa"/>
            <w:tcBorders>
              <w:top w:val="single" w:sz="12" w:space="0" w:color="auto"/>
              <w:bottom w:val="single" w:sz="12" w:space="0" w:color="auto"/>
            </w:tcBorders>
            <w:shd w:val="clear" w:color="auto" w:fill="auto"/>
            <w:hideMark/>
          </w:tcPr>
          <w:p w14:paraId="4E04258D" w14:textId="77777777" w:rsidR="005452CC" w:rsidRDefault="005452CC" w:rsidP="00AD7252">
            <w:pPr>
              <w:pStyle w:val="Tabletext"/>
            </w:pPr>
            <w:r>
              <w:t xml:space="preserve">1.  </w:t>
            </w:r>
            <w:r w:rsidR="00AD7252">
              <w:t xml:space="preserve">The whole of </w:t>
            </w:r>
            <w:r w:rsidR="006C297E">
              <w:t>this instrument</w:t>
            </w:r>
          </w:p>
        </w:tc>
        <w:tc>
          <w:tcPr>
            <w:tcW w:w="4394" w:type="dxa"/>
            <w:tcBorders>
              <w:top w:val="single" w:sz="12" w:space="0" w:color="auto"/>
              <w:bottom w:val="single" w:sz="12" w:space="0" w:color="auto"/>
            </w:tcBorders>
            <w:shd w:val="clear" w:color="auto" w:fill="auto"/>
            <w:hideMark/>
          </w:tcPr>
          <w:p w14:paraId="102164DF" w14:textId="77777777" w:rsidR="005452CC" w:rsidRDefault="00FD14D0" w:rsidP="005452CC">
            <w:pPr>
              <w:pStyle w:val="Tabletext"/>
            </w:pPr>
            <w:r>
              <w:t xml:space="preserve">The day after this instrument is registered. </w:t>
            </w:r>
          </w:p>
        </w:tc>
        <w:tc>
          <w:tcPr>
            <w:tcW w:w="1843" w:type="dxa"/>
            <w:tcBorders>
              <w:top w:val="single" w:sz="12" w:space="0" w:color="auto"/>
              <w:bottom w:val="single" w:sz="12" w:space="0" w:color="auto"/>
            </w:tcBorders>
            <w:shd w:val="clear" w:color="auto" w:fill="auto"/>
          </w:tcPr>
          <w:p w14:paraId="6C277FE6" w14:textId="77777777" w:rsidR="005452CC" w:rsidRDefault="005452CC">
            <w:pPr>
              <w:pStyle w:val="Tabletext"/>
            </w:pPr>
          </w:p>
        </w:tc>
      </w:tr>
    </w:tbl>
    <w:p w14:paraId="57D2C485" w14:textId="77777777" w:rsidR="005452CC" w:rsidRPr="001E6DD6" w:rsidRDefault="005452CC" w:rsidP="003102B6">
      <w:pPr>
        <w:pStyle w:val="notetext"/>
      </w:pPr>
      <w:r w:rsidRPr="005F477A">
        <w:rPr>
          <w:snapToGrid w:val="0"/>
          <w:lang w:eastAsia="en-US"/>
        </w:rPr>
        <w:t>Note:</w:t>
      </w:r>
      <w:r w:rsidRPr="005F477A">
        <w:rPr>
          <w:snapToGrid w:val="0"/>
          <w:lang w:eastAsia="en-US"/>
        </w:rPr>
        <w:tab/>
        <w:t xml:space="preserve">This table relates only to the provisions of </w:t>
      </w:r>
      <w:r w:rsidR="006C297E">
        <w:rPr>
          <w:snapToGrid w:val="0"/>
          <w:lang w:eastAsia="en-US"/>
        </w:rPr>
        <w:t>this instrument</w:t>
      </w:r>
      <w:r>
        <w:t xml:space="preserve"> </w:t>
      </w:r>
      <w:r w:rsidRPr="005F477A">
        <w:rPr>
          <w:snapToGrid w:val="0"/>
          <w:lang w:eastAsia="en-US"/>
        </w:rPr>
        <w:t xml:space="preserve">as originally </w:t>
      </w:r>
      <w:r>
        <w:rPr>
          <w:snapToGrid w:val="0"/>
          <w:lang w:eastAsia="en-US"/>
        </w:rPr>
        <w:t>made</w:t>
      </w:r>
      <w:r w:rsidRPr="005F477A">
        <w:rPr>
          <w:snapToGrid w:val="0"/>
          <w:lang w:eastAsia="en-US"/>
        </w:rPr>
        <w:t xml:space="preserve">. It will not be amended to deal with any later amendments of </w:t>
      </w:r>
      <w:r w:rsidR="006C297E">
        <w:rPr>
          <w:snapToGrid w:val="0"/>
          <w:lang w:eastAsia="en-US"/>
        </w:rPr>
        <w:t>this instrument</w:t>
      </w:r>
      <w:r w:rsidRPr="005F477A">
        <w:rPr>
          <w:snapToGrid w:val="0"/>
          <w:lang w:eastAsia="en-US"/>
        </w:rPr>
        <w:t>.</w:t>
      </w:r>
    </w:p>
    <w:p w14:paraId="4BCA1435" w14:textId="77777777" w:rsidR="00AF7F58" w:rsidRDefault="005452CC" w:rsidP="00FD14D0">
      <w:pPr>
        <w:pStyle w:val="subsection"/>
      </w:pPr>
      <w:r>
        <w:tab/>
        <w:t>(2)</w:t>
      </w:r>
      <w:r>
        <w:tab/>
      </w:r>
      <w:r w:rsidRPr="005F477A">
        <w:t xml:space="preserve">Any information in </w:t>
      </w:r>
      <w:r>
        <w:t>c</w:t>
      </w:r>
      <w:r w:rsidRPr="005F477A">
        <w:t xml:space="preserve">olumn 3 of the table is not part of </w:t>
      </w:r>
      <w:r w:rsidR="006C297E">
        <w:t>this instrument</w:t>
      </w:r>
      <w:r w:rsidRPr="005F477A">
        <w:t xml:space="preserve">. Information may be inserted in this column, or information in it may be edited, in any published version of </w:t>
      </w:r>
      <w:r w:rsidR="006C297E">
        <w:t>this instrument</w:t>
      </w:r>
      <w:r w:rsidRPr="005F477A">
        <w:t>.</w:t>
      </w:r>
    </w:p>
    <w:p w14:paraId="227612B1" w14:textId="77777777" w:rsidR="00BF6650" w:rsidRDefault="00BF6650" w:rsidP="00AF7F58">
      <w:pPr>
        <w:pStyle w:val="ActHead5"/>
      </w:pPr>
      <w:bookmarkStart w:id="3" w:name="_Toc146813954"/>
      <w:proofErr w:type="gramStart"/>
      <w:r w:rsidRPr="000132B5">
        <w:rPr>
          <w:rStyle w:val="CharSectno"/>
        </w:rPr>
        <w:t>3</w:t>
      </w:r>
      <w:r>
        <w:t xml:space="preserve">  Authority</w:t>
      </w:r>
      <w:bookmarkEnd w:id="3"/>
      <w:proofErr w:type="gramEnd"/>
    </w:p>
    <w:p w14:paraId="26B7D72F" w14:textId="77777777" w:rsidR="00F502FC" w:rsidRPr="006817C6" w:rsidRDefault="00BF6650" w:rsidP="00F6601C">
      <w:pPr>
        <w:pStyle w:val="subsection"/>
      </w:pPr>
      <w:r>
        <w:tab/>
      </w:r>
      <w:r>
        <w:tab/>
      </w:r>
      <w:r w:rsidR="006C297E">
        <w:t>This instrument is</w:t>
      </w:r>
      <w:r>
        <w:t xml:space="preserve"> made under </w:t>
      </w:r>
      <w:r w:rsidR="005D421E">
        <w:t>subsection 2</w:t>
      </w:r>
      <w:r w:rsidR="00023D99">
        <w:t xml:space="preserve">2(1) of </w:t>
      </w:r>
      <w:r w:rsidRPr="00F6601C">
        <w:t>the</w:t>
      </w:r>
      <w:r w:rsidR="00F6601C" w:rsidRPr="00F6601C">
        <w:t xml:space="preserve"> </w:t>
      </w:r>
      <w:r w:rsidR="00F6601C" w:rsidRPr="00F6601C">
        <w:rPr>
          <w:i/>
        </w:rPr>
        <w:t>Industrial Chemicals Environmental Management (Register) Act 2021.</w:t>
      </w:r>
    </w:p>
    <w:p w14:paraId="75C6F977" w14:textId="77777777" w:rsidR="00F502FC" w:rsidRDefault="00F502FC" w:rsidP="00F502FC">
      <w:pPr>
        <w:pStyle w:val="ActHead5"/>
      </w:pPr>
      <w:bookmarkStart w:id="4" w:name="_Toc146813955"/>
      <w:proofErr w:type="gramStart"/>
      <w:r w:rsidRPr="000132B5">
        <w:rPr>
          <w:rStyle w:val="CharSectno"/>
        </w:rPr>
        <w:t>4</w:t>
      </w:r>
      <w:r>
        <w:t xml:space="preserve">  Schedules</w:t>
      </w:r>
      <w:bookmarkEnd w:id="4"/>
      <w:proofErr w:type="gramEnd"/>
    </w:p>
    <w:p w14:paraId="6D5D50CD" w14:textId="77777777" w:rsidR="00F502FC" w:rsidRDefault="00F502FC" w:rsidP="00F502FC">
      <w:pPr>
        <w:pStyle w:val="subsection"/>
      </w:pPr>
      <w:r>
        <w:tab/>
      </w:r>
      <w:r>
        <w:tab/>
        <w:t xml:space="preserve">Each instrument that is specified in a Schedule to this instrument is amended or repealed as set out in the applicable items </w:t>
      </w:r>
      <w:r w:rsidRPr="00083F48">
        <w:t xml:space="preserve">in the Schedule concerned, and any other item in a Schedule to </w:t>
      </w:r>
      <w:r>
        <w:t>this instrument</w:t>
      </w:r>
      <w:r w:rsidRPr="00083F48">
        <w:t xml:space="preserve"> has effect according to its terms.</w:t>
      </w:r>
    </w:p>
    <w:p w14:paraId="2FF1AB01" w14:textId="77777777" w:rsidR="00F502FC" w:rsidRPr="00C73A1C" w:rsidRDefault="00E71367" w:rsidP="00F55DCB">
      <w:pPr>
        <w:pStyle w:val="ActHead6"/>
        <w:pageBreakBefore/>
      </w:pPr>
      <w:bookmarkStart w:id="5" w:name="_Toc146813956"/>
      <w:r w:rsidRPr="000132B5">
        <w:rPr>
          <w:rStyle w:val="CharAmSchNo"/>
        </w:rPr>
        <w:lastRenderedPageBreak/>
        <w:t>Schedule 1</w:t>
      </w:r>
      <w:r w:rsidR="00F502FC" w:rsidRPr="00C73A1C">
        <w:t>—</w:t>
      </w:r>
      <w:r w:rsidR="00F502FC" w:rsidRPr="000132B5">
        <w:rPr>
          <w:rStyle w:val="CharAmSchText"/>
        </w:rPr>
        <w:t>Amendments</w:t>
      </w:r>
      <w:bookmarkEnd w:id="5"/>
    </w:p>
    <w:p w14:paraId="653A19CE" w14:textId="77777777" w:rsidR="00F502FC" w:rsidRDefault="002E07A1" w:rsidP="00F502FC">
      <w:pPr>
        <w:pStyle w:val="ActHead9"/>
      </w:pPr>
      <w:bookmarkStart w:id="6" w:name="_Toc146813957"/>
      <w:r>
        <w:t xml:space="preserve">Industrial Chemicals Environmental Management (Register) </w:t>
      </w:r>
      <w:r w:rsidR="00F719D8">
        <w:t>Instrument</w:t>
      </w:r>
      <w:r w:rsidR="00F502FC" w:rsidRPr="00C73A1C">
        <w:t> 202</w:t>
      </w:r>
      <w:r>
        <w:t>2</w:t>
      </w:r>
      <w:bookmarkEnd w:id="6"/>
    </w:p>
    <w:p w14:paraId="00FCE8E1" w14:textId="77777777" w:rsidR="00C955C7" w:rsidRPr="00C955C7" w:rsidRDefault="00725E58" w:rsidP="00C955C7">
      <w:pPr>
        <w:pStyle w:val="ItemHead"/>
      </w:pPr>
      <w:proofErr w:type="gramStart"/>
      <w:r>
        <w:t>1</w:t>
      </w:r>
      <w:r w:rsidR="002E07A1">
        <w:t xml:space="preserve">  </w:t>
      </w:r>
      <w:r w:rsidR="005D421E">
        <w:t>Section</w:t>
      </w:r>
      <w:proofErr w:type="gramEnd"/>
      <w:r w:rsidR="005D421E">
        <w:t> 4</w:t>
      </w:r>
    </w:p>
    <w:p w14:paraId="017EA894" w14:textId="77777777" w:rsidR="002E07A1" w:rsidRDefault="002E07A1" w:rsidP="002E07A1">
      <w:pPr>
        <w:pStyle w:val="Item"/>
      </w:pPr>
      <w:r>
        <w:t>Insert:</w:t>
      </w:r>
    </w:p>
    <w:p w14:paraId="1459240F" w14:textId="53EF8B46" w:rsidR="00985A2C" w:rsidRPr="00985A2C" w:rsidRDefault="00985A2C" w:rsidP="002E07A1">
      <w:pPr>
        <w:pStyle w:val="Definition"/>
        <w:rPr>
          <w:bCs/>
          <w:iCs/>
        </w:rPr>
      </w:pPr>
      <w:r>
        <w:rPr>
          <w:b/>
          <w:i/>
        </w:rPr>
        <w:t>hazardous waste permit</w:t>
      </w:r>
      <w:r>
        <w:rPr>
          <w:bCs/>
          <w:iCs/>
        </w:rPr>
        <w:t xml:space="preserve"> means a permit granted under the </w:t>
      </w:r>
      <w:r w:rsidRPr="00985A2C">
        <w:rPr>
          <w:bCs/>
          <w:i/>
        </w:rPr>
        <w:t>Hazardous Waste (Regulation of Exports and Imports) Act 1989</w:t>
      </w:r>
      <w:r>
        <w:rPr>
          <w:bCs/>
          <w:iCs/>
        </w:rPr>
        <w:t xml:space="preserve"> or the </w:t>
      </w:r>
      <w:r w:rsidRPr="00985A2C">
        <w:rPr>
          <w:bCs/>
          <w:i/>
        </w:rPr>
        <w:t>Hazardous Waste (Regulation of Export and Imports) (OECD Decision) Regulations 1996</w:t>
      </w:r>
      <w:r>
        <w:rPr>
          <w:bCs/>
          <w:iCs/>
        </w:rPr>
        <w:t>.</w:t>
      </w:r>
    </w:p>
    <w:p w14:paraId="51635C10" w14:textId="2647C71B" w:rsidR="00C955C7" w:rsidRDefault="00C955C7" w:rsidP="00C955C7">
      <w:pPr>
        <w:pStyle w:val="Definition"/>
      </w:pPr>
      <w:r>
        <w:rPr>
          <w:b/>
          <w:i/>
        </w:rPr>
        <w:t xml:space="preserve">unintentional trace contamination </w:t>
      </w:r>
      <w:r>
        <w:t xml:space="preserve">means circumstances where a chemical is present unintentionally and unavoidably below </w:t>
      </w:r>
      <w:r w:rsidR="00F541DD">
        <w:t>the</w:t>
      </w:r>
      <w:r w:rsidR="00B8006D">
        <w:t xml:space="preserve"> </w:t>
      </w:r>
      <w:r>
        <w:t xml:space="preserve">level </w:t>
      </w:r>
      <w:r w:rsidR="00F541DD">
        <w:t xml:space="preserve">specified in the </w:t>
      </w:r>
      <w:r w:rsidR="009F5B01">
        <w:t xml:space="preserve">entry for that chemical </w:t>
      </w:r>
      <w:r w:rsidR="00706513">
        <w:t xml:space="preserve">in this instrument </w:t>
      </w:r>
      <w:r>
        <w:t xml:space="preserve">at which the chemical cannot be meaningfully used. </w:t>
      </w:r>
    </w:p>
    <w:p w14:paraId="1BE175D9" w14:textId="77777777" w:rsidR="00D77D60" w:rsidRPr="00920E07" w:rsidRDefault="00D77D60" w:rsidP="00C955C7">
      <w:pPr>
        <w:pStyle w:val="notedraft"/>
        <w:ind w:left="0" w:firstLine="0"/>
      </w:pPr>
      <w:bookmarkStart w:id="7" w:name="OPCSB_AmendScheduleA4"/>
    </w:p>
    <w:p w14:paraId="3372BFC1" w14:textId="77777777" w:rsidR="00140BAD" w:rsidRPr="004E4351" w:rsidRDefault="00140BAD" w:rsidP="001D79EB">
      <w:pPr>
        <w:pStyle w:val="notedraft"/>
        <w:sectPr w:rsidR="00140BAD" w:rsidRPr="004E4351" w:rsidSect="005E41A6">
          <w:headerReference w:type="even" r:id="rId23"/>
          <w:headerReference w:type="default" r:id="rId24"/>
          <w:footerReference w:type="even" r:id="rId25"/>
          <w:footerReference w:type="default" r:id="rId26"/>
          <w:headerReference w:type="first" r:id="rId27"/>
          <w:footerReference w:type="first" r:id="rId28"/>
          <w:pgSz w:w="11907" w:h="16839" w:code="9"/>
          <w:pgMar w:top="1440" w:right="1797" w:bottom="1440" w:left="1797" w:header="720" w:footer="709" w:gutter="0"/>
          <w:pgNumType w:start="1"/>
          <w:cols w:space="720"/>
          <w:docGrid w:linePitch="299"/>
        </w:sectPr>
      </w:pPr>
    </w:p>
    <w:bookmarkEnd w:id="7"/>
    <w:p w14:paraId="54331240" w14:textId="77777777" w:rsidR="005B37FA" w:rsidRPr="00C955C7" w:rsidRDefault="005B37FA" w:rsidP="005B37FA">
      <w:pPr>
        <w:pStyle w:val="ItemHead"/>
      </w:pPr>
      <w:proofErr w:type="gramStart"/>
      <w:r>
        <w:lastRenderedPageBreak/>
        <w:t>2  Schedule</w:t>
      </w:r>
      <w:proofErr w:type="gramEnd"/>
      <w:r>
        <w:t xml:space="preserve"> 6</w:t>
      </w:r>
    </w:p>
    <w:p w14:paraId="464FF180" w14:textId="77777777" w:rsidR="005B37FA" w:rsidRDefault="005B37FA" w:rsidP="005B37FA">
      <w:pPr>
        <w:pStyle w:val="Item"/>
      </w:pPr>
      <w:r>
        <w:t>Repeal the Schedule, substitute:</w:t>
      </w:r>
    </w:p>
    <w:p w14:paraId="03F08396" w14:textId="77777777" w:rsidR="005B37FA" w:rsidRPr="00781A84" w:rsidRDefault="005B37FA" w:rsidP="005B37FA">
      <w:pPr>
        <w:pStyle w:val="ActHead1"/>
      </w:pPr>
      <w:r w:rsidRPr="00781A84">
        <w:rPr>
          <w:rStyle w:val="CharChapNo"/>
        </w:rPr>
        <w:t>Schedule </w:t>
      </w:r>
      <w:r w:rsidRPr="00AE7CF4">
        <w:rPr>
          <w:rStyle w:val="CharChapNo"/>
        </w:rPr>
        <w:t>6</w:t>
      </w:r>
      <w:r w:rsidRPr="00781A84">
        <w:t>—</w:t>
      </w:r>
      <w:r w:rsidRPr="00781A84">
        <w:rPr>
          <w:rStyle w:val="CharChapText"/>
        </w:rPr>
        <w:t xml:space="preserve">Relevant industrial chemicals that are likely to cause serious or irreversible harm to the environment with essential </w:t>
      </w:r>
      <w:proofErr w:type="gramStart"/>
      <w:r w:rsidRPr="00781A84">
        <w:rPr>
          <w:rStyle w:val="CharChapText"/>
        </w:rPr>
        <w:t>uses</w:t>
      </w:r>
      <w:proofErr w:type="gramEnd"/>
    </w:p>
    <w:p w14:paraId="3CF4BAEE" w14:textId="77777777" w:rsidR="005B37FA" w:rsidRPr="00137C4B" w:rsidRDefault="005B37FA" w:rsidP="005B37FA">
      <w:pPr>
        <w:pStyle w:val="notemargin"/>
      </w:pPr>
      <w:r w:rsidRPr="00137C4B">
        <w:t>Note:</w:t>
      </w:r>
      <w:r w:rsidRPr="00137C4B">
        <w:tab/>
        <w:t>See section 5.</w:t>
      </w:r>
    </w:p>
    <w:p w14:paraId="13B40119" w14:textId="77777777" w:rsidR="005B37FA" w:rsidRPr="00781A84" w:rsidRDefault="005B37FA" w:rsidP="005B37FA">
      <w:pPr>
        <w:pStyle w:val="ActHead5"/>
      </w:pPr>
      <w:proofErr w:type="gramStart"/>
      <w:r w:rsidRPr="00781A84">
        <w:rPr>
          <w:rStyle w:val="CharSectno"/>
        </w:rPr>
        <w:t>1</w:t>
      </w:r>
      <w:r w:rsidRPr="00781A84">
        <w:t xml:space="preserve">  Scheduling</w:t>
      </w:r>
      <w:proofErr w:type="gramEnd"/>
      <w:r w:rsidRPr="00781A84">
        <w:t xml:space="preserve"> decisions for relevant industrial chemicals that are likely to cause serious or irreversible harm to the environment with essential uses</w:t>
      </w:r>
    </w:p>
    <w:p w14:paraId="7B9ADE3E" w14:textId="77777777" w:rsidR="005B37FA" w:rsidRPr="00137C4B" w:rsidRDefault="005B37FA" w:rsidP="005B37FA">
      <w:pPr>
        <w:pStyle w:val="subsection"/>
      </w:pPr>
      <w:r w:rsidRPr="00137C4B">
        <w:tab/>
        <w:t>(1)</w:t>
      </w:r>
      <w:r w:rsidRPr="00137C4B">
        <w:tab/>
        <w:t>The following table sets out scheduling decisions for each relevant industrial chemical identified in column 1 of the table.</w:t>
      </w:r>
    </w:p>
    <w:p w14:paraId="7F4CD945" w14:textId="77777777" w:rsidR="005B37FA" w:rsidRPr="00137C4B" w:rsidRDefault="005B37FA" w:rsidP="005B37FA">
      <w:pPr>
        <w:pStyle w:val="notetext"/>
      </w:pPr>
      <w:r w:rsidRPr="00137C4B">
        <w:t>Note:</w:t>
      </w:r>
      <w:r w:rsidRPr="00137C4B">
        <w:tab/>
        <w:t>A relevant industrial chemical may be identified in a single way or 2 or more ways including, for example, by specifying the CAS number for the chemical. However, the AACN for the chemical must be used to identify the chemical in certain circumstances (see subsection 14(1) of the Act).</w:t>
      </w:r>
    </w:p>
    <w:p w14:paraId="423829DF" w14:textId="77777777" w:rsidR="005B37FA" w:rsidRPr="00137C4B" w:rsidRDefault="005B37FA" w:rsidP="005B37FA">
      <w:pPr>
        <w:pStyle w:val="subsection"/>
      </w:pPr>
      <w:r w:rsidRPr="00137C4B">
        <w:tab/>
        <w:t>(2)</w:t>
      </w:r>
      <w:r w:rsidRPr="00137C4B">
        <w:tab/>
        <w:t>Column 2 of the table specifies the following for each relevant industrial chemical identified in column 1 of the table:</w:t>
      </w:r>
    </w:p>
    <w:p w14:paraId="7FAB28F3" w14:textId="77777777" w:rsidR="005B37FA" w:rsidRPr="00137C4B" w:rsidRDefault="005B37FA" w:rsidP="005B37FA">
      <w:pPr>
        <w:pStyle w:val="paragraph"/>
      </w:pPr>
      <w:r w:rsidRPr="00137C4B">
        <w:tab/>
        <w:t>(a)</w:t>
      </w:r>
      <w:r w:rsidRPr="00137C4B">
        <w:tab/>
        <w:t xml:space="preserve">if subsection 14(2) of the Act applies in relation to the chemical—one or more generalised end uses for the </w:t>
      </w:r>
      <w:proofErr w:type="gramStart"/>
      <w:r w:rsidRPr="00137C4B">
        <w:t>chemical;</w:t>
      </w:r>
      <w:proofErr w:type="gramEnd"/>
    </w:p>
    <w:p w14:paraId="644EE36B" w14:textId="77777777" w:rsidR="005B37FA" w:rsidRPr="00137C4B" w:rsidRDefault="005B37FA" w:rsidP="005B37FA">
      <w:pPr>
        <w:pStyle w:val="paragraph"/>
      </w:pPr>
      <w:r w:rsidRPr="00137C4B">
        <w:tab/>
        <w:t>(b)</w:t>
      </w:r>
      <w:r w:rsidRPr="00137C4B">
        <w:tab/>
        <w:t>otherwise—one or more end uses for the chemical.</w:t>
      </w:r>
    </w:p>
    <w:p w14:paraId="41776480" w14:textId="77777777" w:rsidR="005B37FA" w:rsidRPr="00137C4B" w:rsidRDefault="005B37FA" w:rsidP="005B37FA">
      <w:pPr>
        <w:pStyle w:val="subsection"/>
      </w:pPr>
      <w:r w:rsidRPr="00137C4B">
        <w:tab/>
        <w:t>(3)</w:t>
      </w:r>
      <w:r w:rsidRPr="00137C4B">
        <w:tab/>
        <w:t>Column 3 of the table specifies:</w:t>
      </w:r>
    </w:p>
    <w:p w14:paraId="1C575A2B" w14:textId="77777777" w:rsidR="005B37FA" w:rsidRPr="00137C4B" w:rsidRDefault="005B37FA" w:rsidP="005B37FA">
      <w:pPr>
        <w:pStyle w:val="paragraph"/>
      </w:pPr>
      <w:r w:rsidRPr="00137C4B">
        <w:tab/>
        <w:t>(a)</w:t>
      </w:r>
      <w:r w:rsidRPr="00137C4B">
        <w:tab/>
        <w:t>prohibitions or restrictions relating to the following:</w:t>
      </w:r>
    </w:p>
    <w:p w14:paraId="5E2AEB07" w14:textId="77777777" w:rsidR="005B37FA" w:rsidRPr="00137C4B" w:rsidRDefault="005B37FA" w:rsidP="005B37FA">
      <w:pPr>
        <w:pStyle w:val="paragraphsub"/>
      </w:pPr>
      <w:r w:rsidRPr="00137C4B">
        <w:tab/>
        <w:t>(</w:t>
      </w:r>
      <w:proofErr w:type="spellStart"/>
      <w:r w:rsidRPr="00137C4B">
        <w:t>i</w:t>
      </w:r>
      <w:proofErr w:type="spellEnd"/>
      <w:r w:rsidRPr="00137C4B">
        <w:t>)</w:t>
      </w:r>
      <w:r w:rsidRPr="00137C4B">
        <w:tab/>
        <w:t xml:space="preserve">each relevant industrial chemical identified in column 1 of the </w:t>
      </w:r>
      <w:proofErr w:type="gramStart"/>
      <w:r w:rsidRPr="00137C4B">
        <w:t>table;</w:t>
      </w:r>
      <w:proofErr w:type="gramEnd"/>
    </w:p>
    <w:p w14:paraId="2F87495B" w14:textId="77777777" w:rsidR="005B37FA" w:rsidRPr="00137C4B" w:rsidRDefault="005B37FA" w:rsidP="005B37FA">
      <w:pPr>
        <w:pStyle w:val="paragraphsub"/>
        <w:rPr>
          <w:shd w:val="clear" w:color="auto" w:fill="FFFFFF"/>
        </w:rPr>
      </w:pPr>
      <w:r w:rsidRPr="00137C4B">
        <w:tab/>
        <w:t>(ii)</w:t>
      </w:r>
      <w:r w:rsidRPr="00137C4B">
        <w:tab/>
        <w:t>a product or arti</w:t>
      </w:r>
      <w:r w:rsidRPr="00137C4B">
        <w:rPr>
          <w:shd w:val="clear" w:color="auto" w:fill="FFFFFF"/>
        </w:rPr>
        <w:t>cle containing such a chemical; and</w:t>
      </w:r>
    </w:p>
    <w:p w14:paraId="7415EB6B" w14:textId="77777777" w:rsidR="005B37FA" w:rsidRPr="00137C4B" w:rsidRDefault="005B37FA" w:rsidP="005B37FA">
      <w:pPr>
        <w:pStyle w:val="paragraph"/>
      </w:pPr>
      <w:r w:rsidRPr="00137C4B">
        <w:tab/>
        <w:t>(b)</w:t>
      </w:r>
      <w:r w:rsidRPr="00137C4B">
        <w:tab/>
        <w:t>risk management measures for the following:</w:t>
      </w:r>
    </w:p>
    <w:p w14:paraId="07F54D07" w14:textId="77777777" w:rsidR="005B37FA" w:rsidRPr="00137C4B" w:rsidRDefault="005B37FA" w:rsidP="005B37FA">
      <w:pPr>
        <w:pStyle w:val="paragraphsub"/>
      </w:pPr>
      <w:r w:rsidRPr="00137C4B">
        <w:tab/>
        <w:t>(</w:t>
      </w:r>
      <w:proofErr w:type="spellStart"/>
      <w:r w:rsidRPr="00137C4B">
        <w:t>i</w:t>
      </w:r>
      <w:proofErr w:type="spellEnd"/>
      <w:r w:rsidRPr="00137C4B">
        <w:t>)</w:t>
      </w:r>
      <w:r w:rsidRPr="00137C4B">
        <w:tab/>
        <w:t xml:space="preserve">each relevant industrial chemical identified in column 1 of the </w:t>
      </w:r>
      <w:proofErr w:type="gramStart"/>
      <w:r w:rsidRPr="00137C4B">
        <w:t>table;</w:t>
      </w:r>
      <w:proofErr w:type="gramEnd"/>
    </w:p>
    <w:p w14:paraId="6898C169" w14:textId="77777777" w:rsidR="005B37FA" w:rsidRPr="00137C4B" w:rsidRDefault="005B37FA" w:rsidP="005B37FA">
      <w:pPr>
        <w:pStyle w:val="paragraphsub"/>
        <w:rPr>
          <w:shd w:val="clear" w:color="auto" w:fill="FFFFFF"/>
        </w:rPr>
      </w:pPr>
      <w:r w:rsidRPr="00137C4B">
        <w:tab/>
        <w:t>(ii)</w:t>
      </w:r>
      <w:r w:rsidRPr="00137C4B">
        <w:tab/>
        <w:t>a product or artic</w:t>
      </w:r>
      <w:r w:rsidRPr="00137C4B">
        <w:rPr>
          <w:shd w:val="clear" w:color="auto" w:fill="FFFFFF"/>
        </w:rPr>
        <w:t>le containing such a chemical.</w:t>
      </w:r>
    </w:p>
    <w:p w14:paraId="4740B801" w14:textId="77777777" w:rsidR="005B37FA" w:rsidRPr="00137C4B" w:rsidRDefault="005B37FA" w:rsidP="005B37FA">
      <w:pPr>
        <w:pStyle w:val="subsection"/>
      </w:pPr>
      <w:r w:rsidRPr="00137C4B">
        <w:tab/>
        <w:t>(4)</w:t>
      </w:r>
      <w:r w:rsidRPr="00137C4B">
        <w:tab/>
        <w:t>Column 4 of the table sets out any explanatory information relating to the scheduling decision for each relevant industrial chemical specified in column 1 of the table.</w:t>
      </w:r>
    </w:p>
    <w:p w14:paraId="18DFD68E" w14:textId="77777777" w:rsidR="005B37FA" w:rsidRPr="00137C4B" w:rsidRDefault="005B37FA" w:rsidP="005B37FA">
      <w:pPr>
        <w:pStyle w:val="Tabletext"/>
      </w:pPr>
    </w:p>
    <w:tbl>
      <w:tblPr>
        <w:tblpPr w:leftFromText="180" w:rightFromText="180" w:vertAnchor="text" w:tblpX="113" w:tblpY="1"/>
        <w:tblOverlap w:val="never"/>
        <w:tblW w:w="0" w:type="auto"/>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3311"/>
        <w:gridCol w:w="2354"/>
        <w:gridCol w:w="4962"/>
        <w:gridCol w:w="2617"/>
      </w:tblGrid>
      <w:tr w:rsidR="005B37FA" w:rsidRPr="00DD6562" w14:paraId="78F2981B" w14:textId="77777777" w:rsidTr="004F3ADE">
        <w:trPr>
          <w:tblHeader/>
        </w:trPr>
        <w:tc>
          <w:tcPr>
            <w:tcW w:w="13244" w:type="dxa"/>
            <w:gridSpan w:val="4"/>
            <w:tcBorders>
              <w:top w:val="single" w:sz="12" w:space="0" w:color="auto"/>
              <w:bottom w:val="single" w:sz="6" w:space="0" w:color="auto"/>
            </w:tcBorders>
            <w:shd w:val="clear" w:color="auto" w:fill="auto"/>
          </w:tcPr>
          <w:p w14:paraId="5E36D768" w14:textId="77777777" w:rsidR="005B37FA" w:rsidRPr="00137C4B" w:rsidRDefault="005B37FA">
            <w:pPr>
              <w:pStyle w:val="TableHeading"/>
            </w:pPr>
            <w:r w:rsidRPr="00137C4B">
              <w:lastRenderedPageBreak/>
              <w:t>Scheduling decisions for relevant industrial chemicals</w:t>
            </w:r>
          </w:p>
        </w:tc>
      </w:tr>
      <w:tr w:rsidR="005B37FA" w:rsidRPr="00DD6562" w14:paraId="794A7982" w14:textId="77777777" w:rsidTr="004F3ADE">
        <w:trPr>
          <w:tblHeader/>
        </w:trPr>
        <w:tc>
          <w:tcPr>
            <w:tcW w:w="3311" w:type="dxa"/>
            <w:tcBorders>
              <w:top w:val="single" w:sz="6" w:space="0" w:color="auto"/>
              <w:bottom w:val="single" w:sz="6" w:space="0" w:color="auto"/>
            </w:tcBorders>
            <w:shd w:val="clear" w:color="auto" w:fill="auto"/>
          </w:tcPr>
          <w:p w14:paraId="0DC23029" w14:textId="77777777" w:rsidR="005B37FA" w:rsidRPr="00137C4B" w:rsidRDefault="005B37FA">
            <w:pPr>
              <w:pStyle w:val="TableHeading"/>
            </w:pPr>
            <w:r w:rsidRPr="00137C4B">
              <w:t>Column 1</w:t>
            </w:r>
          </w:p>
        </w:tc>
        <w:tc>
          <w:tcPr>
            <w:tcW w:w="2354" w:type="dxa"/>
            <w:tcBorders>
              <w:top w:val="single" w:sz="6" w:space="0" w:color="auto"/>
              <w:bottom w:val="single" w:sz="6" w:space="0" w:color="auto"/>
            </w:tcBorders>
            <w:shd w:val="clear" w:color="auto" w:fill="auto"/>
          </w:tcPr>
          <w:p w14:paraId="6DBE3B2E" w14:textId="77777777" w:rsidR="005B37FA" w:rsidRPr="00137C4B" w:rsidRDefault="005B37FA">
            <w:pPr>
              <w:pStyle w:val="TableHeading"/>
            </w:pPr>
            <w:r w:rsidRPr="00137C4B">
              <w:t>Column 2</w:t>
            </w:r>
          </w:p>
        </w:tc>
        <w:tc>
          <w:tcPr>
            <w:tcW w:w="4962" w:type="dxa"/>
            <w:tcBorders>
              <w:top w:val="single" w:sz="6" w:space="0" w:color="auto"/>
              <w:bottom w:val="single" w:sz="6" w:space="0" w:color="auto"/>
            </w:tcBorders>
            <w:shd w:val="clear" w:color="auto" w:fill="auto"/>
          </w:tcPr>
          <w:p w14:paraId="35F14CF2" w14:textId="77777777" w:rsidR="005B37FA" w:rsidRPr="00137C4B" w:rsidRDefault="005B37FA">
            <w:pPr>
              <w:pStyle w:val="TableHeading"/>
            </w:pPr>
            <w:r w:rsidRPr="00137C4B">
              <w:t>Column 3</w:t>
            </w:r>
          </w:p>
        </w:tc>
        <w:tc>
          <w:tcPr>
            <w:tcW w:w="2617" w:type="dxa"/>
            <w:tcBorders>
              <w:top w:val="single" w:sz="6" w:space="0" w:color="auto"/>
              <w:bottom w:val="single" w:sz="6" w:space="0" w:color="auto"/>
            </w:tcBorders>
            <w:shd w:val="clear" w:color="auto" w:fill="auto"/>
          </w:tcPr>
          <w:p w14:paraId="0521B5DC" w14:textId="77777777" w:rsidR="005B37FA" w:rsidRPr="00137C4B" w:rsidRDefault="005B37FA">
            <w:pPr>
              <w:pStyle w:val="TableHeading"/>
            </w:pPr>
            <w:r w:rsidRPr="00137C4B">
              <w:t>Column 4</w:t>
            </w:r>
          </w:p>
        </w:tc>
      </w:tr>
      <w:tr w:rsidR="005B37FA" w:rsidRPr="00DD6562" w14:paraId="63654443" w14:textId="77777777" w:rsidTr="004F3ADE">
        <w:trPr>
          <w:tblHeader/>
        </w:trPr>
        <w:tc>
          <w:tcPr>
            <w:tcW w:w="3311" w:type="dxa"/>
            <w:tcBorders>
              <w:top w:val="single" w:sz="6" w:space="0" w:color="auto"/>
              <w:bottom w:val="single" w:sz="12" w:space="0" w:color="auto"/>
            </w:tcBorders>
            <w:shd w:val="clear" w:color="auto" w:fill="auto"/>
          </w:tcPr>
          <w:p w14:paraId="39246018" w14:textId="77777777" w:rsidR="005B37FA" w:rsidRPr="00137C4B" w:rsidRDefault="005B37FA">
            <w:pPr>
              <w:pStyle w:val="TableHeading"/>
            </w:pPr>
            <w:r w:rsidRPr="00137C4B">
              <w:t>Relevant industrial chemical</w:t>
            </w:r>
          </w:p>
        </w:tc>
        <w:tc>
          <w:tcPr>
            <w:tcW w:w="2354" w:type="dxa"/>
            <w:tcBorders>
              <w:top w:val="single" w:sz="6" w:space="0" w:color="auto"/>
              <w:bottom w:val="single" w:sz="12" w:space="0" w:color="auto"/>
            </w:tcBorders>
            <w:shd w:val="clear" w:color="auto" w:fill="auto"/>
          </w:tcPr>
          <w:p w14:paraId="438759E7" w14:textId="77777777" w:rsidR="005B37FA" w:rsidRPr="00137C4B" w:rsidRDefault="005B37FA">
            <w:pPr>
              <w:pStyle w:val="TableHeading"/>
            </w:pPr>
            <w:r w:rsidRPr="00137C4B">
              <w:t>End uses or generalised end uses</w:t>
            </w:r>
          </w:p>
        </w:tc>
        <w:tc>
          <w:tcPr>
            <w:tcW w:w="4962" w:type="dxa"/>
            <w:tcBorders>
              <w:top w:val="single" w:sz="6" w:space="0" w:color="auto"/>
              <w:bottom w:val="single" w:sz="12" w:space="0" w:color="auto"/>
            </w:tcBorders>
            <w:shd w:val="clear" w:color="auto" w:fill="auto"/>
          </w:tcPr>
          <w:p w14:paraId="3A90BCF3" w14:textId="7ED4D405" w:rsidR="005B37FA" w:rsidRPr="00137C4B" w:rsidRDefault="00CA2651">
            <w:pPr>
              <w:pStyle w:val="TableHeading"/>
            </w:pPr>
            <w:r>
              <w:t>R</w:t>
            </w:r>
            <w:r w:rsidR="005B37FA" w:rsidRPr="00137C4B">
              <w:t>isk management measures</w:t>
            </w:r>
            <w:r>
              <w:t>, including prohibitions and restrictions</w:t>
            </w:r>
          </w:p>
        </w:tc>
        <w:tc>
          <w:tcPr>
            <w:tcW w:w="2617" w:type="dxa"/>
            <w:tcBorders>
              <w:top w:val="single" w:sz="6" w:space="0" w:color="auto"/>
              <w:bottom w:val="single" w:sz="12" w:space="0" w:color="auto"/>
            </w:tcBorders>
            <w:shd w:val="clear" w:color="auto" w:fill="auto"/>
          </w:tcPr>
          <w:p w14:paraId="5DAD7B6F" w14:textId="77777777" w:rsidR="005B37FA" w:rsidRPr="00137C4B" w:rsidRDefault="005B37FA">
            <w:pPr>
              <w:pStyle w:val="TableHeading"/>
            </w:pPr>
            <w:r w:rsidRPr="00137C4B">
              <w:t>Explanatory information</w:t>
            </w:r>
          </w:p>
        </w:tc>
      </w:tr>
      <w:tr w:rsidR="005B37FA" w:rsidRPr="00DD6562" w14:paraId="42DD4EFC" w14:textId="77777777" w:rsidTr="004F3ADE">
        <w:tc>
          <w:tcPr>
            <w:tcW w:w="3311" w:type="dxa"/>
            <w:tcBorders>
              <w:top w:val="single" w:sz="2" w:space="0" w:color="auto"/>
              <w:bottom w:val="single" w:sz="12" w:space="0" w:color="auto"/>
            </w:tcBorders>
            <w:shd w:val="clear" w:color="auto" w:fill="auto"/>
          </w:tcPr>
          <w:p w14:paraId="3EF8B09B" w14:textId="77777777" w:rsidR="005B37FA" w:rsidRDefault="005B37FA">
            <w:pPr>
              <w:pStyle w:val="NormalWeb"/>
              <w:spacing w:line="252" w:lineRule="auto"/>
              <w:rPr>
                <w:sz w:val="20"/>
                <w:szCs w:val="18"/>
              </w:rPr>
            </w:pPr>
            <w:r>
              <w:rPr>
                <w:sz w:val="20"/>
                <w:szCs w:val="18"/>
              </w:rPr>
              <w:t>Class name:</w:t>
            </w:r>
          </w:p>
          <w:p w14:paraId="659C0438" w14:textId="77777777" w:rsidR="005B37FA" w:rsidRDefault="005B37FA">
            <w:pPr>
              <w:pStyle w:val="NormalWeb"/>
              <w:spacing w:after="240" w:line="252" w:lineRule="auto"/>
              <w:rPr>
                <w:sz w:val="20"/>
                <w:szCs w:val="18"/>
              </w:rPr>
            </w:pPr>
            <w:proofErr w:type="spellStart"/>
            <w:r w:rsidRPr="005B37FA">
              <w:rPr>
                <w:sz w:val="20"/>
                <w:szCs w:val="18"/>
              </w:rPr>
              <w:t>Decabromodiphenyl</w:t>
            </w:r>
            <w:proofErr w:type="spellEnd"/>
            <w:r w:rsidRPr="005B37FA">
              <w:rPr>
                <w:sz w:val="20"/>
                <w:szCs w:val="18"/>
              </w:rPr>
              <w:t xml:space="preserve"> ether and </w:t>
            </w:r>
            <w:proofErr w:type="spellStart"/>
            <w:r w:rsidRPr="005B37FA">
              <w:rPr>
                <w:sz w:val="20"/>
                <w:szCs w:val="18"/>
              </w:rPr>
              <w:t>nonabromodiphenyl</w:t>
            </w:r>
            <w:proofErr w:type="spellEnd"/>
            <w:r w:rsidRPr="005B37FA">
              <w:rPr>
                <w:sz w:val="20"/>
                <w:szCs w:val="18"/>
              </w:rPr>
              <w:t xml:space="preserve"> ether (all three congeners) (</w:t>
            </w:r>
            <w:proofErr w:type="spellStart"/>
            <w:r w:rsidRPr="005B37FA">
              <w:rPr>
                <w:sz w:val="20"/>
                <w:szCs w:val="18"/>
              </w:rPr>
              <w:t>decaBDE</w:t>
            </w:r>
            <w:proofErr w:type="spellEnd"/>
            <w:r w:rsidRPr="005B37FA">
              <w:rPr>
                <w:sz w:val="20"/>
                <w:szCs w:val="18"/>
              </w:rPr>
              <w:t xml:space="preserve"> and </w:t>
            </w:r>
            <w:proofErr w:type="spellStart"/>
            <w:r w:rsidRPr="005B37FA">
              <w:rPr>
                <w:sz w:val="20"/>
                <w:szCs w:val="18"/>
              </w:rPr>
              <w:t>nonaBDE</w:t>
            </w:r>
            <w:proofErr w:type="spellEnd"/>
            <w:r w:rsidRPr="005B37FA">
              <w:rPr>
                <w:sz w:val="20"/>
                <w:szCs w:val="18"/>
              </w:rPr>
              <w:t>)</w:t>
            </w:r>
          </w:p>
          <w:p w14:paraId="2D5AD759" w14:textId="77777777" w:rsidR="005B37FA" w:rsidRDefault="005B37FA">
            <w:pPr>
              <w:pStyle w:val="NormalWeb"/>
              <w:spacing w:line="252" w:lineRule="auto"/>
              <w:rPr>
                <w:color w:val="000000"/>
                <w:sz w:val="20"/>
                <w:shd w:val="clear" w:color="auto" w:fill="FFFFFF"/>
              </w:rPr>
            </w:pPr>
            <w:r w:rsidRPr="005B37FA">
              <w:rPr>
                <w:sz w:val="20"/>
                <w:szCs w:val="18"/>
              </w:rPr>
              <w:t>CAS numbers: 1163-19-5 (</w:t>
            </w:r>
            <w:proofErr w:type="spellStart"/>
            <w:r w:rsidRPr="005B37FA">
              <w:rPr>
                <w:sz w:val="20"/>
                <w:szCs w:val="18"/>
              </w:rPr>
              <w:t>decaBDE</w:t>
            </w:r>
            <w:proofErr w:type="spellEnd"/>
            <w:r w:rsidRPr="005B37FA">
              <w:rPr>
                <w:sz w:val="20"/>
                <w:szCs w:val="18"/>
              </w:rPr>
              <w:t>), 63936-56-1 (</w:t>
            </w:r>
            <w:proofErr w:type="spellStart"/>
            <w:r w:rsidRPr="005B37FA">
              <w:rPr>
                <w:sz w:val="20"/>
                <w:szCs w:val="18"/>
              </w:rPr>
              <w:t>nonaBDE</w:t>
            </w:r>
            <w:proofErr w:type="spellEnd"/>
            <w:r w:rsidRPr="005B37FA">
              <w:rPr>
                <w:sz w:val="20"/>
                <w:szCs w:val="18"/>
              </w:rPr>
              <w:t xml:space="preserve"> – unspecified congener(s)), 63387-28-0 (2,2’,3,3’,4,4’,5,5’,6-nonabromodiphenyl ether), 437701-79-6 (2,2’,3,3’,4,4’,5,6,6’-nonabromodiphenyl ether), 437701-78-5 (2,2’,3,3’,4,5,5’,6,6’-nonabromodiphenyl ether)</w:t>
            </w:r>
          </w:p>
        </w:tc>
        <w:tc>
          <w:tcPr>
            <w:tcW w:w="2354" w:type="dxa"/>
            <w:tcBorders>
              <w:top w:val="single" w:sz="2" w:space="0" w:color="auto"/>
              <w:bottom w:val="single" w:sz="12" w:space="0" w:color="auto"/>
            </w:tcBorders>
            <w:shd w:val="clear" w:color="auto" w:fill="auto"/>
          </w:tcPr>
          <w:p w14:paraId="1104469B" w14:textId="2A0B6A1D" w:rsidR="005B37FA" w:rsidRDefault="005B37FA">
            <w:pPr>
              <w:pStyle w:val="Tablea"/>
            </w:pPr>
          </w:p>
        </w:tc>
        <w:tc>
          <w:tcPr>
            <w:tcW w:w="4962" w:type="dxa"/>
            <w:tcBorders>
              <w:top w:val="single" w:sz="2" w:space="0" w:color="auto"/>
              <w:bottom w:val="single" w:sz="12" w:space="0" w:color="auto"/>
            </w:tcBorders>
            <w:shd w:val="clear" w:color="auto" w:fill="auto"/>
          </w:tcPr>
          <w:p w14:paraId="60C545B9" w14:textId="20AF1DFE" w:rsidR="006A4A1C" w:rsidRPr="00D711F8" w:rsidRDefault="00D711F8">
            <w:pPr>
              <w:rPr>
                <w:sz w:val="20"/>
              </w:rPr>
            </w:pPr>
            <w:r w:rsidRPr="00D711F8">
              <w:rPr>
                <w:sz w:val="20"/>
              </w:rPr>
              <w:t>(a</w:t>
            </w:r>
            <w:r>
              <w:rPr>
                <w:sz w:val="20"/>
              </w:rPr>
              <w:t xml:space="preserve">) </w:t>
            </w:r>
            <w:r w:rsidR="005B37FA" w:rsidRPr="00D711F8">
              <w:rPr>
                <w:sz w:val="20"/>
              </w:rPr>
              <w:t>This entry comes into effect on 1 July 2025.</w:t>
            </w:r>
          </w:p>
          <w:p w14:paraId="5085BC16" w14:textId="720C5AE3" w:rsidR="00F639C6" w:rsidRPr="00D711F8" w:rsidRDefault="00D711F8">
            <w:pPr>
              <w:rPr>
                <w:sz w:val="20"/>
              </w:rPr>
            </w:pPr>
            <w:r>
              <w:rPr>
                <w:sz w:val="20"/>
              </w:rPr>
              <w:t xml:space="preserve">(b) </w:t>
            </w:r>
            <w:r w:rsidR="005B37FA" w:rsidRPr="00D711F8">
              <w:rPr>
                <w:sz w:val="20"/>
              </w:rPr>
              <w:t xml:space="preserve">The import, </w:t>
            </w:r>
            <w:proofErr w:type="gramStart"/>
            <w:r w:rsidR="005B37FA" w:rsidRPr="00D711F8">
              <w:rPr>
                <w:sz w:val="20"/>
              </w:rPr>
              <w:t>export</w:t>
            </w:r>
            <w:proofErr w:type="gramEnd"/>
            <w:r w:rsidR="005B37FA" w:rsidRPr="00D711F8">
              <w:rPr>
                <w:sz w:val="20"/>
              </w:rPr>
              <w:t xml:space="preserve"> and manufacture of the class of chemicals (whether on its own or in mixtures or in articles) are prohibited except:</w:t>
            </w:r>
          </w:p>
          <w:p w14:paraId="5FFD0AE4" w14:textId="77777777" w:rsidR="00272047" w:rsidRDefault="00D711F8">
            <w:pPr>
              <w:ind w:left="357"/>
              <w:rPr>
                <w:sz w:val="20"/>
              </w:rPr>
            </w:pPr>
            <w:r w:rsidRPr="00D711F8">
              <w:rPr>
                <w:sz w:val="20"/>
              </w:rPr>
              <w:t>(</w:t>
            </w:r>
            <w:proofErr w:type="spellStart"/>
            <w:r w:rsidRPr="00D711F8">
              <w:rPr>
                <w:sz w:val="20"/>
              </w:rPr>
              <w:t>i</w:t>
            </w:r>
            <w:proofErr w:type="spellEnd"/>
            <w:r w:rsidRPr="00D711F8">
              <w:rPr>
                <w:sz w:val="20"/>
              </w:rPr>
              <w:t xml:space="preserve">) </w:t>
            </w:r>
            <w:r w:rsidR="005B37FA" w:rsidRPr="00D711F8">
              <w:rPr>
                <w:sz w:val="20"/>
              </w:rPr>
              <w:t>for chemical substances - in circumstances where the class of chemicals is present as unintentional trace contamination at the following levels (to be reviewed by the department by 1 July 2027):</w:t>
            </w:r>
          </w:p>
          <w:p w14:paraId="5F3B6235" w14:textId="77777777" w:rsidR="00272047" w:rsidRDefault="00272047">
            <w:pPr>
              <w:ind w:left="783"/>
              <w:rPr>
                <w:sz w:val="20"/>
                <w:szCs w:val="18"/>
              </w:rPr>
            </w:pPr>
            <w:r w:rsidRPr="00272047">
              <w:rPr>
                <w:sz w:val="20"/>
                <w:szCs w:val="18"/>
              </w:rPr>
              <w:t xml:space="preserve">(A) </w:t>
            </w:r>
            <w:r w:rsidR="005B37FA" w:rsidRPr="00272047">
              <w:rPr>
                <w:sz w:val="20"/>
                <w:szCs w:val="18"/>
              </w:rPr>
              <w:t xml:space="preserve">sum of all </w:t>
            </w:r>
            <w:proofErr w:type="spellStart"/>
            <w:r w:rsidR="005B37FA" w:rsidRPr="00272047">
              <w:rPr>
                <w:sz w:val="20"/>
                <w:szCs w:val="18"/>
              </w:rPr>
              <w:t>nonaBDE</w:t>
            </w:r>
            <w:proofErr w:type="spellEnd"/>
            <w:r w:rsidR="005B37FA" w:rsidRPr="00272047">
              <w:rPr>
                <w:sz w:val="20"/>
                <w:szCs w:val="18"/>
              </w:rPr>
              <w:t xml:space="preserve"> congeners: equal to or below 10 mg/kg; and</w:t>
            </w:r>
          </w:p>
          <w:p w14:paraId="2BAF370F" w14:textId="5E0881C2" w:rsidR="00A27CB3" w:rsidRPr="00193D37" w:rsidRDefault="00272047">
            <w:pPr>
              <w:ind w:left="783"/>
              <w:rPr>
                <w:rFonts w:eastAsia="Calibri" w:cs="Calibri"/>
                <w:sz w:val="20"/>
              </w:rPr>
            </w:pPr>
            <w:r w:rsidRPr="00193D37">
              <w:rPr>
                <w:sz w:val="20"/>
              </w:rPr>
              <w:t xml:space="preserve">(B) </w:t>
            </w:r>
            <w:proofErr w:type="spellStart"/>
            <w:r w:rsidR="005B37FA" w:rsidRPr="00193D37">
              <w:rPr>
                <w:sz w:val="20"/>
              </w:rPr>
              <w:t>decaBDE</w:t>
            </w:r>
            <w:proofErr w:type="spellEnd"/>
            <w:r w:rsidR="005B37FA" w:rsidRPr="00193D37">
              <w:rPr>
                <w:sz w:val="20"/>
              </w:rPr>
              <w:t>: equal to or below 10 mg/kg; or</w:t>
            </w:r>
          </w:p>
          <w:p w14:paraId="12ED25CF" w14:textId="5EB66C41" w:rsidR="00857F59" w:rsidRPr="00A27CB3" w:rsidRDefault="00193D37">
            <w:pPr>
              <w:pStyle w:val="Tablea"/>
              <w:ind w:left="357" w:firstLine="0"/>
              <w:rPr>
                <w:rFonts w:eastAsia="Calibri" w:cs="Calibri"/>
                <w:szCs w:val="22"/>
              </w:rPr>
            </w:pPr>
            <w:r>
              <w:rPr>
                <w:rFonts w:eastAsia="Calibri" w:cs="Calibri"/>
              </w:rPr>
              <w:t xml:space="preserve">(ii) </w:t>
            </w:r>
            <w:r w:rsidR="005B37FA" w:rsidRPr="00A27CB3">
              <w:rPr>
                <w:rFonts w:eastAsia="Calibri" w:cs="Calibri"/>
              </w:rPr>
              <w:t>for electrical and electronic equipment other than that referred to in (b)(vi)(</w:t>
            </w:r>
            <w:r w:rsidR="00F276E9">
              <w:rPr>
                <w:rFonts w:eastAsia="Calibri" w:cs="Calibri"/>
              </w:rPr>
              <w:t>D</w:t>
            </w:r>
            <w:r w:rsidR="005B37FA" w:rsidRPr="00A27CB3">
              <w:rPr>
                <w:rFonts w:eastAsia="Calibri" w:cs="Calibri"/>
              </w:rPr>
              <w:t xml:space="preserve">) – in circumstances where polybrominated diphenyl ethers (PBDEs) are present in homogeneous materials contained within such electrical and electronic equipment at a level equal to or below 1000 mg/kg as the sum of all mono- to </w:t>
            </w:r>
            <w:proofErr w:type="spellStart"/>
            <w:r w:rsidR="005B37FA" w:rsidRPr="00A27CB3">
              <w:rPr>
                <w:rFonts w:eastAsia="Calibri" w:cs="Calibri"/>
              </w:rPr>
              <w:t>decaBDE</w:t>
            </w:r>
            <w:proofErr w:type="spellEnd"/>
            <w:r w:rsidR="005B37FA" w:rsidRPr="00A27CB3">
              <w:rPr>
                <w:rFonts w:eastAsia="Calibri" w:cs="Calibri"/>
              </w:rPr>
              <w:t xml:space="preserve"> congeners inclusive (to be reviewed by the department by 1 July 2027); or</w:t>
            </w:r>
          </w:p>
          <w:p w14:paraId="3CC1B4E9" w14:textId="77777777" w:rsidR="00CF4CBE" w:rsidRDefault="008B6B04">
            <w:pPr>
              <w:pStyle w:val="Tablea"/>
              <w:ind w:left="360" w:firstLine="0"/>
              <w:rPr>
                <w:rFonts w:eastAsia="Calibri" w:cs="Calibri"/>
                <w:szCs w:val="22"/>
              </w:rPr>
            </w:pPr>
            <w:r>
              <w:t xml:space="preserve">(iii) </w:t>
            </w:r>
            <w:r w:rsidR="005B37FA" w:rsidRPr="005B37FA">
              <w:t xml:space="preserve">for articles other than those mentioned in subparagraph (b)(ii) </w:t>
            </w:r>
            <w:r w:rsidR="003C58EE">
              <w:t>–</w:t>
            </w:r>
            <w:r w:rsidR="005B37FA" w:rsidRPr="005B37FA">
              <w:t xml:space="preserve"> in circumstances where PBDEs are present in the article as unintentional trace contamination at a level equal to or below 500 mg/kg as the sum of all tetra-, penta-, hexa-, hepta-, octa-, </w:t>
            </w:r>
            <w:proofErr w:type="spellStart"/>
            <w:r w:rsidR="005B37FA" w:rsidRPr="005B37FA">
              <w:t>nona</w:t>
            </w:r>
            <w:proofErr w:type="spellEnd"/>
            <w:r w:rsidR="005B37FA" w:rsidRPr="005B37FA">
              <w:t xml:space="preserve">- and </w:t>
            </w:r>
            <w:proofErr w:type="spellStart"/>
            <w:r w:rsidR="005B37FA" w:rsidRPr="005B37FA">
              <w:t>decaBDE</w:t>
            </w:r>
            <w:proofErr w:type="spellEnd"/>
            <w:r w:rsidR="005B37FA" w:rsidRPr="005B37FA">
              <w:t xml:space="preserve"> congeners (to be reviewed by the department by 1 July 2027); or</w:t>
            </w:r>
          </w:p>
          <w:p w14:paraId="4A30A19D" w14:textId="77777777" w:rsidR="00CF4CBE" w:rsidRDefault="00CF4CBE">
            <w:pPr>
              <w:pStyle w:val="Tablea"/>
              <w:ind w:left="360" w:firstLine="0"/>
              <w:rPr>
                <w:rFonts w:eastAsia="Calibri" w:cs="Calibri"/>
                <w:szCs w:val="22"/>
              </w:rPr>
            </w:pPr>
            <w:r>
              <w:rPr>
                <w:rFonts w:eastAsia="Calibri" w:cs="Calibri"/>
                <w:szCs w:val="22"/>
              </w:rPr>
              <w:t xml:space="preserve">(iv) </w:t>
            </w:r>
            <w:r w:rsidR="005B37FA" w:rsidRPr="003C58EE">
              <w:rPr>
                <w:rFonts w:eastAsia="Calibri" w:cs="Calibri"/>
                <w:szCs w:val="22"/>
              </w:rPr>
              <w:t>for research or laboratory purposes; or</w:t>
            </w:r>
          </w:p>
          <w:p w14:paraId="704D2EDD" w14:textId="77777777" w:rsidR="00CF4CBE" w:rsidRDefault="00CF4CBE">
            <w:pPr>
              <w:pStyle w:val="Tablea"/>
              <w:ind w:left="360" w:firstLine="0"/>
              <w:rPr>
                <w:rFonts w:eastAsia="Calibri" w:cs="Calibri"/>
                <w:szCs w:val="22"/>
              </w:rPr>
            </w:pPr>
            <w:r>
              <w:rPr>
                <w:rFonts w:eastAsia="Calibri" w:cs="Calibri"/>
                <w:szCs w:val="22"/>
              </w:rPr>
              <w:lastRenderedPageBreak/>
              <w:t xml:space="preserve">(v) </w:t>
            </w:r>
            <w:r w:rsidR="005B37FA" w:rsidRPr="003C58EE">
              <w:rPr>
                <w:rFonts w:eastAsia="Calibri" w:cs="Calibri"/>
                <w:szCs w:val="22"/>
              </w:rPr>
              <w:t>if a hazardous waste permit authorises the import or export of the class of chemicals or a mixture or article containing the class of chemicals; or</w:t>
            </w:r>
          </w:p>
          <w:p w14:paraId="6140C992" w14:textId="77777777" w:rsidR="00CF4CBE" w:rsidRDefault="00CF4CBE">
            <w:pPr>
              <w:pStyle w:val="Tablea"/>
              <w:ind w:left="360" w:firstLine="0"/>
              <w:rPr>
                <w:rFonts w:eastAsia="Calibri" w:cs="Calibri"/>
                <w:szCs w:val="22"/>
              </w:rPr>
            </w:pPr>
            <w:r>
              <w:rPr>
                <w:rFonts w:eastAsia="Calibri" w:cs="Calibri"/>
                <w:szCs w:val="22"/>
              </w:rPr>
              <w:t xml:space="preserve">(vi) </w:t>
            </w:r>
            <w:r w:rsidR="005B37FA">
              <w:t>for the purpose of the following essential end uses:</w:t>
            </w:r>
          </w:p>
          <w:p w14:paraId="7BF69049" w14:textId="0195AF25" w:rsidR="00CF4CBE" w:rsidRDefault="00633503">
            <w:pPr>
              <w:pStyle w:val="Tablea"/>
              <w:ind w:left="720" w:firstLine="0"/>
              <w:rPr>
                <w:rFonts w:eastAsia="Calibri" w:cs="Calibri"/>
                <w:szCs w:val="22"/>
              </w:rPr>
            </w:pPr>
            <w:r w:rsidRPr="00633503">
              <w:rPr>
                <w:rFonts w:eastAsia="Calibri" w:cs="Calibri"/>
                <w:szCs w:val="22"/>
              </w:rPr>
              <w:t>(A</w:t>
            </w:r>
            <w:r>
              <w:t xml:space="preserve">) </w:t>
            </w:r>
            <w:r w:rsidR="005B37FA">
              <w:t>spare parts for aircraft that were manufactured prior to 1 January 2027 (until the end of the service life of the aircraft); or</w:t>
            </w:r>
          </w:p>
          <w:p w14:paraId="0E34C7D1" w14:textId="77777777" w:rsidR="00633503" w:rsidRDefault="00633503">
            <w:pPr>
              <w:pStyle w:val="Tablea"/>
              <w:ind w:left="720" w:firstLine="0"/>
              <w:rPr>
                <w:rFonts w:eastAsia="Calibri" w:cs="Calibri"/>
                <w:szCs w:val="22"/>
              </w:rPr>
            </w:pPr>
            <w:r>
              <w:t xml:space="preserve">(B) </w:t>
            </w:r>
            <w:r w:rsidR="005B37FA">
              <w:t>aircraft (until 1 January 2027,); or</w:t>
            </w:r>
          </w:p>
          <w:p w14:paraId="204A51FA" w14:textId="77777777" w:rsidR="00633503" w:rsidRDefault="00633503">
            <w:pPr>
              <w:pStyle w:val="Tablea"/>
              <w:ind w:left="720" w:firstLine="0"/>
              <w:rPr>
                <w:rFonts w:eastAsia="Calibri" w:cs="Calibri"/>
                <w:szCs w:val="22"/>
              </w:rPr>
            </w:pPr>
            <w:r>
              <w:rPr>
                <w:rFonts w:eastAsia="Calibri" w:cs="Calibri"/>
                <w:szCs w:val="22"/>
              </w:rPr>
              <w:t xml:space="preserve">(C) </w:t>
            </w:r>
            <w:r w:rsidR="005B37FA">
              <w:t>polyurethane foam for building insulation (until 1 January 2027); or</w:t>
            </w:r>
          </w:p>
          <w:p w14:paraId="4FCD8170" w14:textId="77777777" w:rsidR="00633503" w:rsidRDefault="00633503">
            <w:pPr>
              <w:pStyle w:val="Tablea"/>
              <w:ind w:left="720" w:firstLine="0"/>
              <w:rPr>
                <w:rFonts w:eastAsia="Calibri" w:cs="Calibri"/>
                <w:szCs w:val="22"/>
              </w:rPr>
            </w:pPr>
            <w:r>
              <w:rPr>
                <w:rFonts w:eastAsia="Calibri" w:cs="Calibri"/>
                <w:szCs w:val="22"/>
              </w:rPr>
              <w:t xml:space="preserve">(D) </w:t>
            </w:r>
            <w:r w:rsidR="005B37FA">
              <w:t>plastic housings and parts used for heating appliances, irons, fans, immersion heaters that contain or are in direct contact with electrical parts or are required to comply with fire retardancy standards, at concentrations lower than 10 per cent by weight of the part (until 1 January 2027); or</w:t>
            </w:r>
          </w:p>
          <w:p w14:paraId="1D81D279" w14:textId="77777777" w:rsidR="00633503" w:rsidRDefault="00633503">
            <w:pPr>
              <w:pStyle w:val="Tablea"/>
              <w:ind w:left="720" w:firstLine="0"/>
              <w:rPr>
                <w:rFonts w:eastAsia="Calibri" w:cs="Calibri"/>
                <w:szCs w:val="22"/>
              </w:rPr>
            </w:pPr>
            <w:r>
              <w:rPr>
                <w:rFonts w:eastAsia="Calibri" w:cs="Calibri"/>
                <w:szCs w:val="22"/>
              </w:rPr>
              <w:t xml:space="preserve">(E) </w:t>
            </w:r>
            <w:r w:rsidR="005B37FA">
              <w:t>spare parts for motor vehicles that were manufactured prior to 2019 (until 1 January 2036); or</w:t>
            </w:r>
          </w:p>
          <w:p w14:paraId="314E9825" w14:textId="7AA9D258" w:rsidR="005B37FA" w:rsidRPr="00633503" w:rsidRDefault="00633503">
            <w:pPr>
              <w:pStyle w:val="Tablea"/>
              <w:ind w:left="720" w:firstLine="0"/>
              <w:rPr>
                <w:rFonts w:eastAsia="Calibri" w:cs="Calibri"/>
                <w:szCs w:val="22"/>
              </w:rPr>
            </w:pPr>
            <w:r>
              <w:rPr>
                <w:rFonts w:eastAsia="Calibri" w:cs="Calibri"/>
                <w:szCs w:val="22"/>
              </w:rPr>
              <w:t xml:space="preserve">(F) </w:t>
            </w:r>
            <w:r w:rsidR="005B37FA">
              <w:t>textile products (other than clothing and toys) that require anti-flammable characteristics (until 1 January 2027).</w:t>
            </w:r>
          </w:p>
          <w:p w14:paraId="2F2F8010" w14:textId="77777777" w:rsidR="005B37FA" w:rsidRDefault="005B37FA">
            <w:pPr>
              <w:pStyle w:val="Tablea"/>
              <w:rPr>
                <w:rFonts w:eastAsia="Calibri" w:cs="Calibri"/>
                <w:szCs w:val="22"/>
              </w:rPr>
            </w:pPr>
            <w:r w:rsidRPr="006513D5">
              <w:rPr>
                <w:rFonts w:eastAsia="Calibri" w:cs="Calibri"/>
                <w:szCs w:val="22"/>
              </w:rPr>
              <w:t xml:space="preserve">(c) The use of the class of chemicals </w:t>
            </w:r>
            <w:r>
              <w:rPr>
                <w:rFonts w:eastAsia="Calibri" w:cs="Calibri"/>
                <w:szCs w:val="22"/>
              </w:rPr>
              <w:t>(whether on its own or in mixtures or in articles) is</w:t>
            </w:r>
            <w:r w:rsidRPr="006513D5">
              <w:rPr>
                <w:rFonts w:eastAsia="Calibri" w:cs="Calibri"/>
                <w:szCs w:val="22"/>
              </w:rPr>
              <w:t xml:space="preserve"> prohibited except:</w:t>
            </w:r>
          </w:p>
          <w:p w14:paraId="72743108" w14:textId="77777777" w:rsidR="00581BA3" w:rsidRDefault="005B37FA">
            <w:pPr>
              <w:pStyle w:val="Tablea"/>
              <w:ind w:left="568"/>
            </w:pPr>
            <w:r>
              <w:t>(</w:t>
            </w:r>
            <w:proofErr w:type="spellStart"/>
            <w:r>
              <w:t>i</w:t>
            </w:r>
            <w:proofErr w:type="spellEnd"/>
            <w:r>
              <w:t xml:space="preserve">) for chemical substances - in circumstances where the class of chemicals is present as unintentional </w:t>
            </w:r>
            <w:r>
              <w:lastRenderedPageBreak/>
              <w:t>trace contamination at the following levels (to be reviewed by the department by 1 July 2027):</w:t>
            </w:r>
          </w:p>
          <w:p w14:paraId="4E3A5958" w14:textId="74D6EA59" w:rsidR="005B37FA" w:rsidRDefault="00AF0FBE">
            <w:pPr>
              <w:pStyle w:val="Tablea"/>
              <w:ind w:left="852"/>
            </w:pPr>
            <w:r>
              <w:t xml:space="preserve">(A) </w:t>
            </w:r>
            <w:r w:rsidR="005B37FA">
              <w:t xml:space="preserve">sum of all </w:t>
            </w:r>
            <w:proofErr w:type="spellStart"/>
            <w:r w:rsidR="005B37FA">
              <w:t>nonaBDE</w:t>
            </w:r>
            <w:proofErr w:type="spellEnd"/>
            <w:r w:rsidR="005B37FA">
              <w:t xml:space="preserve"> congeners: equal to or below 10 mg/kg; and</w:t>
            </w:r>
          </w:p>
          <w:p w14:paraId="16CDBFD3" w14:textId="77777777" w:rsidR="00AF0FBE" w:rsidRDefault="005B37FA">
            <w:pPr>
              <w:pStyle w:val="Tablea"/>
              <w:ind w:left="852"/>
            </w:pPr>
            <w:r>
              <w:t>(</w:t>
            </w:r>
            <w:r w:rsidR="00AF0FBE">
              <w:t>B</w:t>
            </w:r>
            <w:r>
              <w:t xml:space="preserve">) </w:t>
            </w:r>
            <w:proofErr w:type="spellStart"/>
            <w:r>
              <w:t>decaBDE</w:t>
            </w:r>
            <w:proofErr w:type="spellEnd"/>
            <w:r>
              <w:t>: equal to or below 10 mg/kg; or</w:t>
            </w:r>
          </w:p>
          <w:p w14:paraId="7BA4B26D" w14:textId="54E1904C" w:rsidR="00180477" w:rsidRDefault="005B37FA">
            <w:pPr>
              <w:pStyle w:val="Tablea"/>
              <w:ind w:left="568"/>
            </w:pPr>
            <w:r w:rsidRPr="005B37FA">
              <w:t>(ii) for electrical and electronic equipment other than that referred to in (c)(vi)(</w:t>
            </w:r>
            <w:r w:rsidR="000A4688">
              <w:t>D</w:t>
            </w:r>
            <w:r w:rsidRPr="005B37FA">
              <w:t xml:space="preserve">)– in circumstances where PBDEs are present in homogeneous materials contained within such electrical and electronic equipment at a level equal to or below 1000 mg/kg as the sum of all mono- to </w:t>
            </w:r>
            <w:proofErr w:type="spellStart"/>
            <w:r w:rsidRPr="005B37FA">
              <w:t>decaBDE</w:t>
            </w:r>
            <w:proofErr w:type="spellEnd"/>
            <w:r w:rsidRPr="005B37FA">
              <w:t xml:space="preserve"> congeners inclusive (to be reviewed by the department by 1 July 2027); or</w:t>
            </w:r>
          </w:p>
          <w:p w14:paraId="09B965C7" w14:textId="715C8B61" w:rsidR="00180477" w:rsidRDefault="00180477">
            <w:pPr>
              <w:pStyle w:val="Tablea"/>
              <w:ind w:left="568"/>
            </w:pPr>
            <w:r>
              <w:t>(</w:t>
            </w:r>
            <w:r w:rsidR="005B37FA" w:rsidRPr="005B37FA">
              <w:t xml:space="preserve">iii) for articles other than those mentioned in subparagraph (c)(ii) - in circumstances where PBDEs are present in the article as an unintentional trace contaminant at a level equal to or below 500 mg/kg as the sum of all tetra-, penta-, hexa-, hepta-, octa-, </w:t>
            </w:r>
            <w:proofErr w:type="spellStart"/>
            <w:r w:rsidR="005B37FA" w:rsidRPr="005B37FA">
              <w:t>nona</w:t>
            </w:r>
            <w:proofErr w:type="spellEnd"/>
            <w:r w:rsidR="005B37FA" w:rsidRPr="005B37FA">
              <w:t xml:space="preserve">- and </w:t>
            </w:r>
            <w:proofErr w:type="spellStart"/>
            <w:r w:rsidR="005B37FA" w:rsidRPr="005B37FA">
              <w:t>decaBDE</w:t>
            </w:r>
            <w:proofErr w:type="spellEnd"/>
            <w:r w:rsidR="005B37FA" w:rsidRPr="005B37FA">
              <w:t xml:space="preserve"> congeners (to be reviewed by the department by 1 July 2027); or</w:t>
            </w:r>
          </w:p>
          <w:p w14:paraId="1E0A6B55" w14:textId="77777777" w:rsidR="00180477" w:rsidRDefault="005B37FA">
            <w:pPr>
              <w:pStyle w:val="Tablea"/>
              <w:ind w:left="568"/>
            </w:pPr>
            <w:r w:rsidRPr="0B795DD5">
              <w:rPr>
                <w:rFonts w:eastAsia="Calibri" w:cs="Calibri"/>
              </w:rPr>
              <w:t>(i</w:t>
            </w:r>
            <w:r>
              <w:rPr>
                <w:rFonts w:eastAsia="Calibri" w:cs="Calibri"/>
              </w:rPr>
              <w:t>v</w:t>
            </w:r>
            <w:r w:rsidRPr="0B795DD5">
              <w:rPr>
                <w:rFonts w:eastAsia="Calibri" w:cs="Calibri"/>
              </w:rPr>
              <w:t>) for research or laboratory purposes; or</w:t>
            </w:r>
          </w:p>
          <w:p w14:paraId="7C41C4DA" w14:textId="77777777" w:rsidR="00180477" w:rsidRDefault="005B37FA">
            <w:pPr>
              <w:pStyle w:val="Tablea"/>
              <w:ind w:left="568"/>
            </w:pPr>
            <w:r w:rsidRPr="006513D5">
              <w:rPr>
                <w:rFonts w:eastAsia="Calibri" w:cs="Calibri"/>
                <w:szCs w:val="22"/>
              </w:rPr>
              <w:t>(</w:t>
            </w:r>
            <w:r>
              <w:rPr>
                <w:rFonts w:eastAsia="Calibri" w:cs="Calibri"/>
                <w:szCs w:val="22"/>
              </w:rPr>
              <w:t>v</w:t>
            </w:r>
            <w:r w:rsidRPr="006513D5">
              <w:rPr>
                <w:rFonts w:eastAsia="Calibri" w:cs="Calibri"/>
                <w:szCs w:val="22"/>
              </w:rPr>
              <w:t>) in circumstances in which the article is already in use on or before 1 July 2025; or</w:t>
            </w:r>
          </w:p>
          <w:p w14:paraId="6A8AAD16" w14:textId="77777777" w:rsidR="00180477" w:rsidRDefault="005B37FA">
            <w:pPr>
              <w:pStyle w:val="Tablea"/>
              <w:ind w:left="568"/>
            </w:pPr>
            <w:r>
              <w:t>(vi) for the purpose of the following essential end uses:</w:t>
            </w:r>
          </w:p>
          <w:p w14:paraId="67415DD3" w14:textId="6C8518BC" w:rsidR="00180477" w:rsidRDefault="00180477">
            <w:pPr>
              <w:pStyle w:val="Tablea"/>
              <w:ind w:left="852"/>
            </w:pPr>
            <w:r w:rsidRPr="00180477">
              <w:t>(A</w:t>
            </w:r>
            <w:r>
              <w:t xml:space="preserve">) </w:t>
            </w:r>
            <w:r w:rsidR="005B37FA">
              <w:t>spare parts for aircraft that were manufactured prior to 1 January 2027 (until the end of the service life of the aircraft); or</w:t>
            </w:r>
          </w:p>
          <w:p w14:paraId="3A97DAFB" w14:textId="77777777" w:rsidR="00180477" w:rsidRDefault="00180477">
            <w:pPr>
              <w:pStyle w:val="Tablea"/>
              <w:ind w:left="852"/>
            </w:pPr>
            <w:r>
              <w:t xml:space="preserve">(B) </w:t>
            </w:r>
            <w:r w:rsidR="005B37FA">
              <w:t>aircraft (until 1 January 2027); or</w:t>
            </w:r>
          </w:p>
          <w:p w14:paraId="0F021EE0" w14:textId="77777777" w:rsidR="00180477" w:rsidRDefault="005B37FA">
            <w:pPr>
              <w:pStyle w:val="Tablea"/>
              <w:ind w:left="852"/>
            </w:pPr>
            <w:r>
              <w:lastRenderedPageBreak/>
              <w:t>(</w:t>
            </w:r>
            <w:r w:rsidR="00180477">
              <w:t>C</w:t>
            </w:r>
            <w:r>
              <w:t>) polyurethane foam for building insulation (until 1 January 2027); or</w:t>
            </w:r>
          </w:p>
          <w:p w14:paraId="4B734769" w14:textId="339B282D" w:rsidR="00180477" w:rsidRDefault="00180477">
            <w:pPr>
              <w:pStyle w:val="Tablea"/>
              <w:ind w:left="852"/>
            </w:pPr>
            <w:r>
              <w:t xml:space="preserve">(D) </w:t>
            </w:r>
            <w:r w:rsidR="005B37FA">
              <w:t>plastic housings and parts used for heating appliances, irons, fans, immersion heaters that contain or are in direct contact with electrical parts or are required to comply with fire retardancy standards, at concentrations lower than 10 per cent by weight of the part (until 1 January 2027); or</w:t>
            </w:r>
          </w:p>
          <w:p w14:paraId="7DC3B4DF" w14:textId="77777777" w:rsidR="00180477" w:rsidRDefault="005B37FA">
            <w:pPr>
              <w:pStyle w:val="Tablea"/>
              <w:ind w:left="852"/>
            </w:pPr>
            <w:r>
              <w:t>(</w:t>
            </w:r>
            <w:r w:rsidR="00180477">
              <w:t>E</w:t>
            </w:r>
            <w:r>
              <w:t>) spare parts for motor vehicles that were manufactured prior to 2019 (until 1 January 2036); or</w:t>
            </w:r>
          </w:p>
          <w:p w14:paraId="3C451620" w14:textId="77777777" w:rsidR="00180477" w:rsidRDefault="005B37FA">
            <w:pPr>
              <w:pStyle w:val="Tablea"/>
              <w:ind w:left="852"/>
            </w:pPr>
            <w:r>
              <w:t>(</w:t>
            </w:r>
            <w:r w:rsidR="00180477">
              <w:t>F</w:t>
            </w:r>
            <w:r>
              <w:t>) textile products (other than clothing and toys) that require anti-flammable characteristics (until 1 January 2027).</w:t>
            </w:r>
          </w:p>
          <w:p w14:paraId="283AD327" w14:textId="3245D690" w:rsidR="005B37FA" w:rsidRDefault="005B37FA">
            <w:pPr>
              <w:pStyle w:val="Tablea"/>
            </w:pPr>
            <w:r w:rsidRPr="005B37FA">
              <w:t xml:space="preserve">(d) The import, </w:t>
            </w:r>
            <w:proofErr w:type="gramStart"/>
            <w:r w:rsidRPr="005B37FA">
              <w:t>export</w:t>
            </w:r>
            <w:proofErr w:type="gramEnd"/>
            <w:r w:rsidRPr="005B37FA">
              <w:t xml:space="preserve"> and manufacture of the class of chemicals (whether on its own or in mixtures or articles) must adhere to applicable laws of the Commonwealth on the control of industrial chemicals.</w:t>
            </w:r>
          </w:p>
          <w:p w14:paraId="73C347B2" w14:textId="4E310093" w:rsidR="005B37FA" w:rsidRDefault="005B37FA">
            <w:pPr>
              <w:pStyle w:val="Tablea"/>
            </w:pPr>
            <w:r w:rsidRPr="005B37FA">
              <w:t>(e) The use of the class of chemicals (whether on its own or in mixtures or articles) must adhere to applicable laws of the Commonwealth or of the relevant State on the control of industrial chemicals.</w:t>
            </w:r>
          </w:p>
          <w:p w14:paraId="25A27146" w14:textId="77777777" w:rsidR="005B37FA" w:rsidRDefault="005B37FA">
            <w:pPr>
              <w:pStyle w:val="Tablea"/>
              <w:rPr>
                <w:rFonts w:eastAsia="Calibri" w:cs="Calibri"/>
                <w:szCs w:val="22"/>
              </w:rPr>
            </w:pPr>
            <w:r w:rsidRPr="006513D5">
              <w:rPr>
                <w:rFonts w:eastAsia="Calibri" w:cs="Calibri"/>
                <w:szCs w:val="22"/>
              </w:rPr>
              <w:t>(</w:t>
            </w:r>
            <w:r>
              <w:rPr>
                <w:rFonts w:eastAsia="Calibri" w:cs="Calibri"/>
                <w:szCs w:val="22"/>
              </w:rPr>
              <w:t>f</w:t>
            </w:r>
            <w:r w:rsidRPr="006513D5">
              <w:rPr>
                <w:rFonts w:eastAsia="Calibri" w:cs="Calibri"/>
                <w:szCs w:val="22"/>
              </w:rPr>
              <w:t xml:space="preserve">) Introducers (importers and manufacturers) must determine and provide information on the concentration by weight of </w:t>
            </w:r>
            <w:r w:rsidRPr="006513D5">
              <w:rPr>
                <w:rFonts w:cs="Calibri"/>
                <w:szCs w:val="22"/>
              </w:rPr>
              <w:t>the class of chemicals</w:t>
            </w:r>
            <w:r w:rsidRPr="006513D5">
              <w:rPr>
                <w:rFonts w:eastAsia="Calibri" w:cs="Calibri"/>
                <w:szCs w:val="22"/>
              </w:rPr>
              <w:t>, whether on its own, in a mixture, or in an article to the supply chain.</w:t>
            </w:r>
          </w:p>
          <w:p w14:paraId="63E05CC6" w14:textId="77777777" w:rsidR="005B37FA" w:rsidRDefault="005B37FA">
            <w:pPr>
              <w:pStyle w:val="Tablea"/>
            </w:pPr>
            <w:r>
              <w:t xml:space="preserve">(g) Introducers (importers and manufacturers) and users must keep the following information up-to-date and </w:t>
            </w:r>
            <w:r>
              <w:lastRenderedPageBreak/>
              <w:t xml:space="preserve">must produce this information if requested by a relevant agency: </w:t>
            </w:r>
          </w:p>
          <w:p w14:paraId="315409AC" w14:textId="77777777" w:rsidR="005B37FA" w:rsidRDefault="005B37FA">
            <w:pPr>
              <w:pStyle w:val="Tablea"/>
              <w:ind w:left="568"/>
            </w:pPr>
            <w:r>
              <w:t>(</w:t>
            </w:r>
            <w:proofErr w:type="spellStart"/>
            <w:r>
              <w:t>i</w:t>
            </w:r>
            <w:proofErr w:type="spellEnd"/>
            <w:r>
              <w:t>) information on the identity of the substances, the concentration by weight, and the products and articles they are used in; and</w:t>
            </w:r>
          </w:p>
          <w:p w14:paraId="0003DAFD" w14:textId="77777777" w:rsidR="005B37FA" w:rsidRDefault="005B37FA">
            <w:pPr>
              <w:pStyle w:val="Tablea"/>
              <w:ind w:left="568"/>
            </w:pPr>
            <w:r>
              <w:t>(ii) a justification for the use; and</w:t>
            </w:r>
          </w:p>
          <w:p w14:paraId="2EF4C4AC" w14:textId="77777777" w:rsidR="005B37FA" w:rsidRDefault="005B37FA">
            <w:pPr>
              <w:pStyle w:val="Tablea"/>
              <w:ind w:left="568"/>
            </w:pPr>
            <w:r>
              <w:t>(iii) details on the conditions of use and safe disposal.</w:t>
            </w:r>
          </w:p>
          <w:p w14:paraId="7F29CD21" w14:textId="77777777" w:rsidR="005B37FA" w:rsidRDefault="005B37FA">
            <w:pPr>
              <w:pStyle w:val="Tablea"/>
              <w:rPr>
                <w:rFonts w:eastAsia="Calibri" w:cs="Calibri"/>
                <w:szCs w:val="22"/>
              </w:rPr>
            </w:pPr>
            <w:r w:rsidRPr="006513D5">
              <w:rPr>
                <w:rFonts w:eastAsia="Calibri" w:cs="Calibri"/>
                <w:szCs w:val="22"/>
              </w:rPr>
              <w:t>(</w:t>
            </w:r>
            <w:r>
              <w:rPr>
                <w:rFonts w:eastAsia="Calibri" w:cs="Calibri"/>
                <w:szCs w:val="22"/>
              </w:rPr>
              <w:t>h</w:t>
            </w:r>
            <w:r w:rsidRPr="006513D5">
              <w:rPr>
                <w:rFonts w:eastAsia="Calibri" w:cs="Calibri"/>
                <w:szCs w:val="22"/>
              </w:rPr>
              <w:t>) Introducers (importers and manufacturers) must make t</w:t>
            </w:r>
            <w:r w:rsidRPr="006513D5">
              <w:rPr>
                <w:rFonts w:cs="Calibri"/>
                <w:szCs w:val="22"/>
              </w:rPr>
              <w:t>he identity and quantity of the class of chemicals placed on the Australian market publicly available</w:t>
            </w:r>
            <w:r>
              <w:rPr>
                <w:rFonts w:cs="Calibri"/>
                <w:szCs w:val="22"/>
              </w:rPr>
              <w:t xml:space="preserve"> and accessible</w:t>
            </w:r>
            <w:r w:rsidRPr="006513D5">
              <w:rPr>
                <w:rFonts w:cs="Calibri"/>
                <w:szCs w:val="22"/>
              </w:rPr>
              <w:t xml:space="preserve">. </w:t>
            </w:r>
            <w:r w:rsidRPr="006513D5">
              <w:rPr>
                <w:rFonts w:eastAsia="Calibri" w:cs="Calibri"/>
                <w:szCs w:val="22"/>
              </w:rPr>
              <w:t>This information must be updated every year.</w:t>
            </w:r>
          </w:p>
          <w:p w14:paraId="01AF6011" w14:textId="77777777" w:rsidR="005B37FA" w:rsidRDefault="005B37FA">
            <w:pPr>
              <w:pStyle w:val="Tablea"/>
            </w:pPr>
            <w:r w:rsidRPr="005B37FA">
              <w:t>(</w:t>
            </w:r>
            <w:proofErr w:type="spellStart"/>
            <w:r w:rsidRPr="005B37FA">
              <w:t>i</w:t>
            </w:r>
            <w:proofErr w:type="spellEnd"/>
            <w:r w:rsidRPr="005B37FA">
              <w:t xml:space="preserve">) Programmes and mechanisms, as considered appropriate by a relevant agency, must be </w:t>
            </w:r>
            <w:proofErr w:type="gramStart"/>
            <w:r w:rsidRPr="005B37FA">
              <w:t>established</w:t>
            </w:r>
            <w:proofErr w:type="gramEnd"/>
            <w:r w:rsidRPr="005B37FA">
              <w:t xml:space="preserve"> and maintained by manufacturers and users for the regular provision of monitoring data on the presence of the class of chemicals in the environment using the latest methods, techniques and equipment.</w:t>
            </w:r>
          </w:p>
          <w:p w14:paraId="40052BCA" w14:textId="77777777" w:rsidR="005B37FA" w:rsidRDefault="005B37FA">
            <w:pPr>
              <w:pStyle w:val="Tablea"/>
            </w:pPr>
            <w:r w:rsidRPr="005B37FA">
              <w:t xml:space="preserve">(j) Users, </w:t>
            </w:r>
            <w:proofErr w:type="gramStart"/>
            <w:r w:rsidRPr="005B37FA">
              <w:t>manufacturers</w:t>
            </w:r>
            <w:proofErr w:type="gramEnd"/>
            <w:r w:rsidRPr="005B37FA">
              <w:t xml:space="preserve"> and importers should participate in relevant codes of practice or product stewardship programs and hold documentation demonstrating participation which should be produced if requested by a relevant agency.</w:t>
            </w:r>
          </w:p>
          <w:p w14:paraId="216DC665" w14:textId="77777777" w:rsidR="005B37FA" w:rsidRDefault="005B37FA">
            <w:pPr>
              <w:pStyle w:val="Tablea"/>
            </w:pPr>
            <w:r w:rsidRPr="005B37FA">
              <w:t xml:space="preserve">(k) Producers and holders of waste must undertake all reasonably practicable measures to avoid contamination of waste not already containing </w:t>
            </w:r>
            <w:proofErr w:type="spellStart"/>
            <w:r w:rsidRPr="005B37FA">
              <w:t>nonaBDE</w:t>
            </w:r>
            <w:proofErr w:type="spellEnd"/>
            <w:r w:rsidRPr="005B37FA">
              <w:t xml:space="preserve"> and </w:t>
            </w:r>
            <w:proofErr w:type="spellStart"/>
            <w:r w:rsidRPr="005B37FA">
              <w:t>decaBDE</w:t>
            </w:r>
            <w:proofErr w:type="spellEnd"/>
            <w:r w:rsidRPr="005B37FA">
              <w:t xml:space="preserve"> with these substances and must not dilute </w:t>
            </w:r>
            <w:proofErr w:type="spellStart"/>
            <w:r w:rsidRPr="005B37FA">
              <w:t>nonaBDE</w:t>
            </w:r>
            <w:proofErr w:type="spellEnd"/>
            <w:r w:rsidRPr="005B37FA">
              <w:t xml:space="preserve"> and </w:t>
            </w:r>
            <w:proofErr w:type="spellStart"/>
            <w:r w:rsidRPr="005B37FA">
              <w:t>decaBDE</w:t>
            </w:r>
            <w:proofErr w:type="spellEnd"/>
            <w:r w:rsidRPr="005B37FA">
              <w:t xml:space="preserve"> waste to lower the concentration below relevant waste handling and disposal thresholds.</w:t>
            </w:r>
          </w:p>
          <w:p w14:paraId="0B60CB4A" w14:textId="77777777" w:rsidR="005B37FA" w:rsidRDefault="005B37FA">
            <w:pPr>
              <w:pStyle w:val="Tablea"/>
            </w:pPr>
            <w:r>
              <w:lastRenderedPageBreak/>
              <w:t xml:space="preserve">(l) Waste consisting of, </w:t>
            </w:r>
            <w:proofErr w:type="gramStart"/>
            <w:r>
              <w:t>containing</w:t>
            </w:r>
            <w:proofErr w:type="gramEnd"/>
            <w:r>
              <w:t xml:space="preserve"> or contaminated with, PBDEs at a concentration that is equal to, or greater than, 500 mg/kg for the sum of tetra-, penta-, hexa-, hepta-, octa-, </w:t>
            </w:r>
            <w:proofErr w:type="spellStart"/>
            <w:r>
              <w:t>nona</w:t>
            </w:r>
            <w:proofErr w:type="spellEnd"/>
            <w:r>
              <w:t xml:space="preserve">- and </w:t>
            </w:r>
            <w:proofErr w:type="spellStart"/>
            <w:r>
              <w:t>decaBDE</w:t>
            </w:r>
            <w:proofErr w:type="spellEnd"/>
            <w:r>
              <w:t xml:space="preserve"> congeners (to be reviewed by the department by 1 July 2027) must be either: </w:t>
            </w:r>
          </w:p>
          <w:p w14:paraId="1B638B02" w14:textId="77777777" w:rsidR="005B37FA" w:rsidRDefault="005B37FA">
            <w:pPr>
              <w:pStyle w:val="Tablea"/>
              <w:ind w:left="568"/>
            </w:pPr>
            <w:r>
              <w:t>(</w:t>
            </w:r>
            <w:proofErr w:type="spellStart"/>
            <w:r>
              <w:t>i</w:t>
            </w:r>
            <w:proofErr w:type="spellEnd"/>
            <w:r>
              <w:t>) treated in such a way as to ensure that the class of chemicals is destroyed or irreversibly transformed so that the remaining waste and environmental releases do not contain chemicals that exhibit Schedule 6 or Schedule 7 risk characteristics, or</w:t>
            </w:r>
          </w:p>
          <w:p w14:paraId="54D89D3F" w14:textId="77777777" w:rsidR="005B37FA" w:rsidRDefault="005B37FA">
            <w:pPr>
              <w:pStyle w:val="Tablea"/>
              <w:ind w:left="568"/>
            </w:pPr>
            <w:r>
              <w:t>(ii) managed or disposed of in an environmentally sound manner as authorised under a law of the Commonwealth or a law of a State, where treatment in accordance with subparagraph (</w:t>
            </w:r>
            <w:proofErr w:type="spellStart"/>
            <w:r>
              <w:t>i</w:t>
            </w:r>
            <w:proofErr w:type="spellEnd"/>
            <w:r>
              <w:t>) is not the environmentally preferable option.</w:t>
            </w:r>
          </w:p>
          <w:p w14:paraId="15156BB5" w14:textId="77777777" w:rsidR="005B37FA" w:rsidRDefault="005B37FA">
            <w:pPr>
              <w:pStyle w:val="Tablea"/>
            </w:pPr>
            <w:r w:rsidRPr="005B37FA">
              <w:t xml:space="preserve">(m) Waste consisting of, containing or contaminated with PBDEs at a concentration that is less than, 500 mg/kg for the sum of tetra-, penta-, hexa-, hepta-, octa-, </w:t>
            </w:r>
            <w:proofErr w:type="spellStart"/>
            <w:r w:rsidRPr="005B37FA">
              <w:t>nona</w:t>
            </w:r>
            <w:proofErr w:type="spellEnd"/>
            <w:r w:rsidRPr="005B37FA">
              <w:t xml:space="preserve">- and </w:t>
            </w:r>
            <w:proofErr w:type="spellStart"/>
            <w:r w:rsidRPr="005B37FA">
              <w:t>decaBDE</w:t>
            </w:r>
            <w:proofErr w:type="spellEnd"/>
            <w:r w:rsidRPr="005B37FA">
              <w:t xml:space="preserve"> congeners (to be reviewed by the department by 1 July 2027) must be managed or disposed of in an environmentally sound manner as authorised under a law of the Commonwealth or a law of a State.</w:t>
            </w:r>
          </w:p>
          <w:p w14:paraId="71D1AEDB" w14:textId="77777777" w:rsidR="005B37FA" w:rsidRDefault="005B37FA">
            <w:pPr>
              <w:pStyle w:val="Tablea"/>
            </w:pPr>
            <w:r w:rsidRPr="005B37FA">
              <w:t xml:space="preserve">(n) Disposal must not lead to recovery, recycling, </w:t>
            </w:r>
            <w:proofErr w:type="gramStart"/>
            <w:r w:rsidRPr="005B37FA">
              <w:t>reclamation</w:t>
            </w:r>
            <w:proofErr w:type="gramEnd"/>
            <w:r w:rsidRPr="005B37FA">
              <w:t xml:space="preserve"> or re-use of the class of chemicals, subject to paragraph (o).</w:t>
            </w:r>
          </w:p>
          <w:p w14:paraId="142DF8EE" w14:textId="77777777" w:rsidR="005B37FA" w:rsidRDefault="005B37FA">
            <w:pPr>
              <w:pStyle w:val="Tablea"/>
            </w:pPr>
            <w:r w:rsidRPr="005B37FA">
              <w:t xml:space="preserve">(o) In carrying out disposal, the class of chemicals may be isolated from the waste, </w:t>
            </w:r>
            <w:proofErr w:type="gramStart"/>
            <w:r w:rsidRPr="005B37FA">
              <w:t>provided that</w:t>
            </w:r>
            <w:proofErr w:type="gramEnd"/>
            <w:r w:rsidRPr="005B37FA">
              <w:t xml:space="preserve"> it is subsequently disposed of in accordance with paragraphs (l) and (m).</w:t>
            </w:r>
          </w:p>
          <w:p w14:paraId="42B36F31" w14:textId="77777777" w:rsidR="005B37FA" w:rsidRDefault="005B37FA">
            <w:pPr>
              <w:pStyle w:val="Tablea"/>
            </w:pPr>
            <w:r>
              <w:lastRenderedPageBreak/>
              <w:t>(p) If an activity in relation to the class of chemicals, or an article containing the class of chemicals, is not permitted under paragraph (b) or (c), a holder of a stockpile of the class of chemicals must:</w:t>
            </w:r>
          </w:p>
          <w:p w14:paraId="78BD957F" w14:textId="77777777" w:rsidR="005B37FA" w:rsidRDefault="005B37FA">
            <w:pPr>
              <w:pStyle w:val="Tablea"/>
              <w:ind w:left="568"/>
            </w:pPr>
            <w:r>
              <w:t>(</w:t>
            </w:r>
            <w:proofErr w:type="spellStart"/>
            <w:r>
              <w:t>i</w:t>
            </w:r>
            <w:proofErr w:type="spellEnd"/>
            <w:r>
              <w:t>) notify the relevant agency responsible for environmental protection of the nature and size of the stockpile; and</w:t>
            </w:r>
          </w:p>
          <w:p w14:paraId="1C1D1C27" w14:textId="77777777" w:rsidR="005B37FA" w:rsidRDefault="005B37FA">
            <w:pPr>
              <w:pStyle w:val="Tablea"/>
              <w:ind w:left="568"/>
            </w:pPr>
            <w:r>
              <w:t>(ii) manage that stockpile as waste in accordance with paragraphs (l) and (m); and</w:t>
            </w:r>
          </w:p>
          <w:p w14:paraId="23CDD71E" w14:textId="77777777" w:rsidR="005B37FA" w:rsidRDefault="005B37FA">
            <w:pPr>
              <w:pStyle w:val="Tablea"/>
              <w:ind w:left="568"/>
            </w:pPr>
            <w:r>
              <w:t>(iii) comply with all relevant laws that apply in the relevant jurisdiction.</w:t>
            </w:r>
          </w:p>
          <w:p w14:paraId="2AC2504C" w14:textId="77777777" w:rsidR="005B37FA" w:rsidRDefault="005B37FA">
            <w:pPr>
              <w:pStyle w:val="Tablea"/>
              <w:spacing w:after="240"/>
            </w:pPr>
            <w:r w:rsidRPr="005B37FA">
              <w:t xml:space="preserve">(q) The </w:t>
            </w:r>
            <w:proofErr w:type="spellStart"/>
            <w:r w:rsidRPr="005B37FA">
              <w:t>IChEMS</w:t>
            </w:r>
            <w:proofErr w:type="spellEnd"/>
            <w:r w:rsidRPr="005B37FA">
              <w:t xml:space="preserve"> Minimum Standards must be complied with.</w:t>
            </w:r>
          </w:p>
        </w:tc>
        <w:tc>
          <w:tcPr>
            <w:tcW w:w="2617" w:type="dxa"/>
            <w:tcBorders>
              <w:top w:val="single" w:sz="2" w:space="0" w:color="auto"/>
              <w:bottom w:val="single" w:sz="12" w:space="0" w:color="auto"/>
            </w:tcBorders>
            <w:shd w:val="clear" w:color="auto" w:fill="auto"/>
          </w:tcPr>
          <w:p w14:paraId="7B8F4880" w14:textId="72D40E22" w:rsidR="005B37FA" w:rsidRDefault="005B37FA">
            <w:pPr>
              <w:pStyle w:val="Tablea"/>
            </w:pPr>
          </w:p>
        </w:tc>
      </w:tr>
    </w:tbl>
    <w:p w14:paraId="53176196" w14:textId="13EFE946" w:rsidR="00985A2C" w:rsidRDefault="00CA2651" w:rsidP="006D7C86">
      <w:pPr>
        <w:pStyle w:val="ItemHead"/>
      </w:pPr>
      <w:r>
        <w:lastRenderedPageBreak/>
        <w:br w:type="textWrapping" w:clear="all"/>
      </w:r>
    </w:p>
    <w:p w14:paraId="1816B0BF" w14:textId="77777777" w:rsidR="00985A2C" w:rsidRDefault="00985A2C">
      <w:pPr>
        <w:spacing w:line="240" w:lineRule="auto"/>
        <w:rPr>
          <w:rFonts w:ascii="Arial" w:eastAsia="Times New Roman" w:hAnsi="Arial" w:cs="Times New Roman"/>
          <w:b/>
          <w:kern w:val="28"/>
          <w:sz w:val="24"/>
          <w:lang w:eastAsia="en-AU"/>
        </w:rPr>
      </w:pPr>
      <w:r>
        <w:br w:type="page"/>
      </w:r>
    </w:p>
    <w:p w14:paraId="3F2BF662" w14:textId="4307AA22" w:rsidR="006D7C86" w:rsidRPr="00C73A1C" w:rsidRDefault="00367959" w:rsidP="006D7C86">
      <w:pPr>
        <w:pStyle w:val="ItemHead"/>
      </w:pPr>
      <w:proofErr w:type="gramStart"/>
      <w:r>
        <w:lastRenderedPageBreak/>
        <w:t>3</w:t>
      </w:r>
      <w:r w:rsidR="006D7C86" w:rsidRPr="00C73A1C">
        <w:t xml:space="preserve">  </w:t>
      </w:r>
      <w:r w:rsidR="006D7C86">
        <w:t>Schedule</w:t>
      </w:r>
      <w:proofErr w:type="gramEnd"/>
      <w:r w:rsidR="006D7C86">
        <w:t> </w:t>
      </w:r>
      <w:r w:rsidR="005B37FA">
        <w:t>7</w:t>
      </w:r>
      <w:r w:rsidR="006D7C86" w:rsidRPr="00C73A1C">
        <w:t xml:space="preserve"> (table)</w:t>
      </w:r>
    </w:p>
    <w:p w14:paraId="1497E977" w14:textId="77777777" w:rsidR="006D7C86" w:rsidRDefault="006D7C86" w:rsidP="006D7C86">
      <w:pPr>
        <w:pStyle w:val="Item"/>
      </w:pPr>
      <w:r w:rsidRPr="00C73A1C">
        <w:t>Repeal the table, substitute:</w:t>
      </w:r>
    </w:p>
    <w:p w14:paraId="22E4483C" w14:textId="77777777" w:rsidR="005473B9" w:rsidRPr="00137C4B" w:rsidRDefault="005473B9" w:rsidP="005473B9">
      <w:pPr>
        <w:pStyle w:val="Tabletext"/>
      </w:pPr>
    </w:p>
    <w:tbl>
      <w:tblPr>
        <w:tblW w:w="13244" w:type="dxa"/>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3397"/>
        <w:gridCol w:w="2268"/>
        <w:gridCol w:w="4962"/>
        <w:gridCol w:w="2617"/>
      </w:tblGrid>
      <w:tr w:rsidR="005473B9" w:rsidRPr="00DD6562" w14:paraId="51247E48" w14:textId="77777777" w:rsidTr="00924BBF">
        <w:trPr>
          <w:tblHeader/>
        </w:trPr>
        <w:tc>
          <w:tcPr>
            <w:tcW w:w="13244" w:type="dxa"/>
            <w:gridSpan w:val="4"/>
            <w:tcBorders>
              <w:top w:val="single" w:sz="12" w:space="0" w:color="auto"/>
              <w:bottom w:val="single" w:sz="6" w:space="0" w:color="auto"/>
            </w:tcBorders>
            <w:shd w:val="clear" w:color="auto" w:fill="auto"/>
          </w:tcPr>
          <w:p w14:paraId="2AB3DCA5" w14:textId="77777777" w:rsidR="005473B9" w:rsidRPr="00137C4B" w:rsidRDefault="005473B9" w:rsidP="00473BFD">
            <w:pPr>
              <w:pStyle w:val="TableHeading"/>
            </w:pPr>
            <w:r w:rsidRPr="00137C4B">
              <w:t>Scheduling decisions for relevant industrial chemicals</w:t>
            </w:r>
          </w:p>
        </w:tc>
      </w:tr>
      <w:tr w:rsidR="005473B9" w:rsidRPr="00DD6562" w14:paraId="45FB0F7F" w14:textId="77777777" w:rsidTr="00924BBF">
        <w:trPr>
          <w:tblHeader/>
        </w:trPr>
        <w:tc>
          <w:tcPr>
            <w:tcW w:w="3397" w:type="dxa"/>
            <w:tcBorders>
              <w:top w:val="single" w:sz="6" w:space="0" w:color="auto"/>
              <w:bottom w:val="single" w:sz="6" w:space="0" w:color="auto"/>
            </w:tcBorders>
            <w:shd w:val="clear" w:color="auto" w:fill="auto"/>
          </w:tcPr>
          <w:p w14:paraId="000D6FEB" w14:textId="77777777" w:rsidR="005473B9" w:rsidRPr="00137C4B" w:rsidRDefault="005473B9" w:rsidP="00473BFD">
            <w:pPr>
              <w:pStyle w:val="TableHeading"/>
            </w:pPr>
            <w:r w:rsidRPr="00137C4B">
              <w:t>Column 1</w:t>
            </w:r>
          </w:p>
        </w:tc>
        <w:tc>
          <w:tcPr>
            <w:tcW w:w="2268" w:type="dxa"/>
            <w:tcBorders>
              <w:top w:val="single" w:sz="6" w:space="0" w:color="auto"/>
              <w:bottom w:val="single" w:sz="6" w:space="0" w:color="auto"/>
            </w:tcBorders>
            <w:shd w:val="clear" w:color="auto" w:fill="auto"/>
          </w:tcPr>
          <w:p w14:paraId="1E8B4318" w14:textId="77777777" w:rsidR="005473B9" w:rsidRPr="00137C4B" w:rsidRDefault="005473B9" w:rsidP="00473BFD">
            <w:pPr>
              <w:pStyle w:val="TableHeading"/>
            </w:pPr>
            <w:r w:rsidRPr="00137C4B">
              <w:t>Column 2</w:t>
            </w:r>
          </w:p>
        </w:tc>
        <w:tc>
          <w:tcPr>
            <w:tcW w:w="4962" w:type="dxa"/>
            <w:tcBorders>
              <w:top w:val="single" w:sz="6" w:space="0" w:color="auto"/>
              <w:bottom w:val="single" w:sz="6" w:space="0" w:color="auto"/>
            </w:tcBorders>
            <w:shd w:val="clear" w:color="auto" w:fill="auto"/>
          </w:tcPr>
          <w:p w14:paraId="5F99B673" w14:textId="77777777" w:rsidR="005473B9" w:rsidRPr="00137C4B" w:rsidRDefault="005473B9" w:rsidP="00473BFD">
            <w:pPr>
              <w:pStyle w:val="TableHeading"/>
            </w:pPr>
            <w:r w:rsidRPr="00137C4B">
              <w:t>Column 3</w:t>
            </w:r>
          </w:p>
        </w:tc>
        <w:tc>
          <w:tcPr>
            <w:tcW w:w="2617" w:type="dxa"/>
            <w:tcBorders>
              <w:top w:val="single" w:sz="6" w:space="0" w:color="auto"/>
              <w:bottom w:val="single" w:sz="6" w:space="0" w:color="auto"/>
            </w:tcBorders>
            <w:shd w:val="clear" w:color="auto" w:fill="auto"/>
          </w:tcPr>
          <w:p w14:paraId="26F9533D" w14:textId="77777777" w:rsidR="005473B9" w:rsidRPr="00137C4B" w:rsidRDefault="005473B9" w:rsidP="00473BFD">
            <w:pPr>
              <w:pStyle w:val="TableHeading"/>
            </w:pPr>
            <w:r w:rsidRPr="00137C4B">
              <w:t>Column 4</w:t>
            </w:r>
          </w:p>
        </w:tc>
      </w:tr>
      <w:tr w:rsidR="005473B9" w:rsidRPr="00DD6562" w14:paraId="116433DC" w14:textId="77777777" w:rsidTr="00924BBF">
        <w:trPr>
          <w:tblHeader/>
        </w:trPr>
        <w:tc>
          <w:tcPr>
            <w:tcW w:w="3397" w:type="dxa"/>
            <w:tcBorders>
              <w:top w:val="single" w:sz="6" w:space="0" w:color="auto"/>
              <w:bottom w:val="single" w:sz="12" w:space="0" w:color="auto"/>
            </w:tcBorders>
            <w:shd w:val="clear" w:color="auto" w:fill="auto"/>
          </w:tcPr>
          <w:p w14:paraId="4B8E47CA" w14:textId="77777777" w:rsidR="005473B9" w:rsidRPr="00137C4B" w:rsidRDefault="005473B9" w:rsidP="00473BFD">
            <w:pPr>
              <w:pStyle w:val="TableHeading"/>
            </w:pPr>
            <w:r w:rsidRPr="00137C4B">
              <w:t>Relevant industrial chemical</w:t>
            </w:r>
          </w:p>
        </w:tc>
        <w:tc>
          <w:tcPr>
            <w:tcW w:w="2268" w:type="dxa"/>
            <w:tcBorders>
              <w:top w:val="single" w:sz="6" w:space="0" w:color="auto"/>
              <w:bottom w:val="single" w:sz="12" w:space="0" w:color="auto"/>
            </w:tcBorders>
            <w:shd w:val="clear" w:color="auto" w:fill="auto"/>
          </w:tcPr>
          <w:p w14:paraId="2C64E341" w14:textId="77777777" w:rsidR="005473B9" w:rsidRPr="00137C4B" w:rsidRDefault="005473B9" w:rsidP="00473BFD">
            <w:pPr>
              <w:pStyle w:val="TableHeading"/>
            </w:pPr>
            <w:r w:rsidRPr="00137C4B">
              <w:t>End uses or generalised end uses</w:t>
            </w:r>
          </w:p>
        </w:tc>
        <w:tc>
          <w:tcPr>
            <w:tcW w:w="4962" w:type="dxa"/>
            <w:tcBorders>
              <w:top w:val="single" w:sz="6" w:space="0" w:color="auto"/>
              <w:bottom w:val="single" w:sz="12" w:space="0" w:color="auto"/>
            </w:tcBorders>
            <w:shd w:val="clear" w:color="auto" w:fill="auto"/>
          </w:tcPr>
          <w:p w14:paraId="356F0A68" w14:textId="3EFE24E7" w:rsidR="005473B9" w:rsidRPr="00137C4B" w:rsidRDefault="00CA4E97" w:rsidP="00473BFD">
            <w:pPr>
              <w:pStyle w:val="TableHeading"/>
            </w:pPr>
            <w:r>
              <w:t>R</w:t>
            </w:r>
            <w:r w:rsidR="002A3604">
              <w:t>isk management measures</w:t>
            </w:r>
            <w:r>
              <w:t>, including prohibitions and restrictions</w:t>
            </w:r>
          </w:p>
        </w:tc>
        <w:tc>
          <w:tcPr>
            <w:tcW w:w="2617" w:type="dxa"/>
            <w:tcBorders>
              <w:top w:val="single" w:sz="6" w:space="0" w:color="auto"/>
              <w:bottom w:val="single" w:sz="12" w:space="0" w:color="auto"/>
            </w:tcBorders>
            <w:shd w:val="clear" w:color="auto" w:fill="auto"/>
          </w:tcPr>
          <w:p w14:paraId="7FEF10CB" w14:textId="77777777" w:rsidR="005473B9" w:rsidRPr="00137C4B" w:rsidRDefault="005473B9" w:rsidP="00473BFD">
            <w:pPr>
              <w:pStyle w:val="TableHeading"/>
            </w:pPr>
            <w:r w:rsidRPr="00137C4B">
              <w:t>Explanatory information</w:t>
            </w:r>
          </w:p>
        </w:tc>
      </w:tr>
      <w:tr w:rsidR="002A3604" w:rsidRPr="00DD6562" w14:paraId="5674C1D4" w14:textId="77777777" w:rsidTr="00924BBF">
        <w:tc>
          <w:tcPr>
            <w:tcW w:w="3397" w:type="dxa"/>
            <w:tcBorders>
              <w:top w:val="single" w:sz="12" w:space="0" w:color="auto"/>
              <w:bottom w:val="single" w:sz="2" w:space="0" w:color="auto"/>
            </w:tcBorders>
            <w:shd w:val="clear" w:color="auto" w:fill="auto"/>
          </w:tcPr>
          <w:p w14:paraId="4C2638FE" w14:textId="77777777" w:rsidR="002A3604" w:rsidRDefault="002A3604" w:rsidP="002A3604">
            <w:pPr>
              <w:pStyle w:val="NormalWeb"/>
              <w:spacing w:line="252" w:lineRule="auto"/>
              <w:rPr>
                <w:rFonts w:cs="Times New Roman"/>
                <w:color w:val="000000"/>
                <w:sz w:val="20"/>
                <w:shd w:val="clear" w:color="auto" w:fill="FFFFFF"/>
              </w:rPr>
            </w:pPr>
            <w:r>
              <w:rPr>
                <w:rFonts w:cs="Times New Roman"/>
                <w:color w:val="000000"/>
                <w:sz w:val="20"/>
                <w:shd w:val="clear" w:color="auto" w:fill="FFFFFF"/>
              </w:rPr>
              <w:t>Chemical name:</w:t>
            </w:r>
          </w:p>
          <w:p w14:paraId="71653958" w14:textId="77777777" w:rsidR="002A3604" w:rsidRDefault="002A3604" w:rsidP="002A3604">
            <w:pPr>
              <w:pStyle w:val="NormalWeb"/>
              <w:spacing w:line="252" w:lineRule="auto"/>
              <w:rPr>
                <w:rFonts w:cs="Times New Roman"/>
                <w:color w:val="000000"/>
                <w:sz w:val="20"/>
                <w:shd w:val="clear" w:color="auto" w:fill="FFFFFF"/>
              </w:rPr>
            </w:pPr>
            <w:r>
              <w:rPr>
                <w:rFonts w:cs="Times New Roman"/>
                <w:color w:val="000000"/>
                <w:sz w:val="20"/>
                <w:shd w:val="clear" w:color="auto" w:fill="FFFFFF"/>
              </w:rPr>
              <w:t>1,3</w:t>
            </w:r>
            <w:r>
              <w:rPr>
                <w:rFonts w:cs="Times New Roman"/>
                <w:color w:val="000000"/>
                <w:sz w:val="20"/>
                <w:shd w:val="clear" w:color="auto" w:fill="FFFFFF"/>
              </w:rPr>
              <w:noBreakHyphen/>
              <w:t>Butadiene, 1,1,2,3,4,4</w:t>
            </w:r>
            <w:r>
              <w:rPr>
                <w:rFonts w:cs="Times New Roman"/>
                <w:color w:val="000000"/>
                <w:sz w:val="20"/>
                <w:shd w:val="clear" w:color="auto" w:fill="FFFFFF"/>
              </w:rPr>
              <w:noBreakHyphen/>
              <w:t>hexachloro</w:t>
            </w:r>
            <w:r>
              <w:rPr>
                <w:rFonts w:cs="Times New Roman"/>
                <w:color w:val="000000"/>
                <w:sz w:val="20"/>
                <w:shd w:val="clear" w:color="auto" w:fill="FFFFFF"/>
              </w:rPr>
              <w:noBreakHyphen/>
            </w:r>
          </w:p>
          <w:p w14:paraId="5355D356" w14:textId="77777777" w:rsidR="002A3604" w:rsidRDefault="002A3604" w:rsidP="002A3604">
            <w:pPr>
              <w:pStyle w:val="NormalWeb"/>
              <w:spacing w:line="252" w:lineRule="auto"/>
              <w:rPr>
                <w:rFonts w:cs="Times New Roman"/>
                <w:color w:val="000000"/>
                <w:sz w:val="20"/>
                <w:shd w:val="clear" w:color="auto" w:fill="FFFFFF"/>
              </w:rPr>
            </w:pPr>
          </w:p>
          <w:p w14:paraId="1E997983" w14:textId="77777777" w:rsidR="002A3604" w:rsidRDefault="002A3604" w:rsidP="002A3604">
            <w:pPr>
              <w:pStyle w:val="NormalWeb"/>
              <w:spacing w:line="252" w:lineRule="auto"/>
              <w:rPr>
                <w:rFonts w:cs="Times New Roman"/>
                <w:color w:val="000000"/>
                <w:sz w:val="20"/>
                <w:shd w:val="clear" w:color="auto" w:fill="FFFFFF"/>
              </w:rPr>
            </w:pPr>
            <w:r>
              <w:t>CAS number</w:t>
            </w:r>
            <w:r>
              <w:rPr>
                <w:rFonts w:cs="Times New Roman"/>
                <w:color w:val="000000"/>
                <w:sz w:val="20"/>
                <w:shd w:val="clear" w:color="auto" w:fill="FFFFFF"/>
              </w:rPr>
              <w:t>:</w:t>
            </w:r>
          </w:p>
          <w:p w14:paraId="00D76651" w14:textId="77777777" w:rsidR="002A3604" w:rsidRDefault="002A3604" w:rsidP="002A3604">
            <w:pPr>
              <w:pStyle w:val="Tabletext"/>
            </w:pPr>
            <w:r>
              <w:rPr>
                <w:color w:val="000000"/>
                <w:shd w:val="clear" w:color="auto" w:fill="FFFFFF"/>
              </w:rPr>
              <w:t>87</w:t>
            </w:r>
            <w:r>
              <w:rPr>
                <w:color w:val="000000"/>
                <w:shd w:val="clear" w:color="auto" w:fill="FFFFFF"/>
              </w:rPr>
              <w:noBreakHyphen/>
              <w:t>68</w:t>
            </w:r>
            <w:r>
              <w:rPr>
                <w:color w:val="000000"/>
                <w:shd w:val="clear" w:color="auto" w:fill="FFFFFF"/>
              </w:rPr>
              <w:noBreakHyphen/>
              <w:t>3</w:t>
            </w:r>
          </w:p>
        </w:tc>
        <w:tc>
          <w:tcPr>
            <w:tcW w:w="2268" w:type="dxa"/>
            <w:tcBorders>
              <w:top w:val="single" w:sz="12" w:space="0" w:color="auto"/>
              <w:bottom w:val="single" w:sz="2" w:space="0" w:color="auto"/>
            </w:tcBorders>
            <w:shd w:val="clear" w:color="auto" w:fill="auto"/>
          </w:tcPr>
          <w:p w14:paraId="627CEF17" w14:textId="77777777" w:rsidR="002A3604" w:rsidRPr="00920E07" w:rsidRDefault="002A3604" w:rsidP="005B37FA">
            <w:pPr>
              <w:pStyle w:val="Tabletext"/>
            </w:pPr>
          </w:p>
        </w:tc>
        <w:tc>
          <w:tcPr>
            <w:tcW w:w="4962" w:type="dxa"/>
            <w:tcBorders>
              <w:top w:val="single" w:sz="12" w:space="0" w:color="auto"/>
              <w:bottom w:val="single" w:sz="2" w:space="0" w:color="auto"/>
            </w:tcBorders>
            <w:shd w:val="clear" w:color="auto" w:fill="auto"/>
          </w:tcPr>
          <w:p w14:paraId="6DED3200" w14:textId="77777777" w:rsidR="002A3604" w:rsidRDefault="002A3604" w:rsidP="002A3604">
            <w:pPr>
              <w:pStyle w:val="Tablea"/>
              <w:rPr>
                <w:lang w:eastAsia="en-US"/>
              </w:rPr>
            </w:pPr>
            <w:r>
              <w:rPr>
                <w:lang w:eastAsia="en-US"/>
              </w:rPr>
              <w:t>(a) This entry comes into effect on 1 July 2023.</w:t>
            </w:r>
          </w:p>
          <w:p w14:paraId="3FA41DD7" w14:textId="77777777" w:rsidR="002A3604" w:rsidRDefault="002A3604" w:rsidP="002A3604">
            <w:pPr>
              <w:pStyle w:val="Tablea"/>
              <w:rPr>
                <w:lang w:eastAsia="en-US"/>
              </w:rPr>
            </w:pPr>
            <w:r>
              <w:rPr>
                <w:lang w:eastAsia="en-US"/>
              </w:rPr>
              <w:t>(b) The importation and manufacture of, and end uses for, the chemical (whether on its own or in mixtures) are prohibited except:</w:t>
            </w:r>
          </w:p>
          <w:p w14:paraId="1619940E" w14:textId="77777777" w:rsidR="002A3604" w:rsidRDefault="002A3604" w:rsidP="002A3604">
            <w:pPr>
              <w:pStyle w:val="Tablei"/>
              <w:rPr>
                <w:lang w:eastAsia="en-US"/>
              </w:rPr>
            </w:pPr>
            <w:r>
              <w:rPr>
                <w:lang w:eastAsia="en-US"/>
              </w:rPr>
              <w:t>(</w:t>
            </w:r>
            <w:proofErr w:type="spellStart"/>
            <w:r>
              <w:rPr>
                <w:lang w:eastAsia="en-US"/>
              </w:rPr>
              <w:t>i</w:t>
            </w:r>
            <w:proofErr w:type="spellEnd"/>
            <w:r>
              <w:rPr>
                <w:lang w:eastAsia="en-US"/>
              </w:rPr>
              <w:t>) in circumstances where the chemical is present unintentionally and unavoidably at a level at which the chemical cannot be meaningfully used; or</w:t>
            </w:r>
          </w:p>
          <w:p w14:paraId="6E51937B" w14:textId="77777777" w:rsidR="002A3604" w:rsidRDefault="002A3604" w:rsidP="002A3604">
            <w:pPr>
              <w:pStyle w:val="Tablei"/>
              <w:rPr>
                <w:lang w:eastAsia="en-US"/>
              </w:rPr>
            </w:pPr>
            <w:r>
              <w:rPr>
                <w:lang w:eastAsia="en-US"/>
              </w:rPr>
              <w:t>(ii) for research or laboratory purposes; or</w:t>
            </w:r>
          </w:p>
          <w:p w14:paraId="4A93D0F1" w14:textId="77777777" w:rsidR="002A3604" w:rsidRDefault="002A3604" w:rsidP="002A3604">
            <w:pPr>
              <w:pStyle w:val="Tablei"/>
              <w:rPr>
                <w:lang w:eastAsia="en-US"/>
              </w:rPr>
            </w:pPr>
            <w:r>
              <w:rPr>
                <w:lang w:eastAsia="en-US"/>
              </w:rPr>
              <w:t>(iii) if a hazardous waste import permit authorises the importation of the chemical.</w:t>
            </w:r>
          </w:p>
          <w:p w14:paraId="23C37FC0" w14:textId="77777777" w:rsidR="002A3604" w:rsidRDefault="002A3604" w:rsidP="002A3604">
            <w:pPr>
              <w:pStyle w:val="Tablea"/>
              <w:rPr>
                <w:lang w:eastAsia="en-US"/>
              </w:rPr>
            </w:pPr>
            <w:r>
              <w:rPr>
                <w:lang w:eastAsia="en-US"/>
              </w:rPr>
              <w:t>(c) The importation, manufacture and use of an article containing the chemical are prohibited except:</w:t>
            </w:r>
          </w:p>
          <w:p w14:paraId="1E08A632" w14:textId="77777777" w:rsidR="002A3604" w:rsidRDefault="002A3604" w:rsidP="002A3604">
            <w:pPr>
              <w:pStyle w:val="Tablei"/>
              <w:rPr>
                <w:lang w:eastAsia="en-US"/>
              </w:rPr>
            </w:pPr>
            <w:r>
              <w:rPr>
                <w:lang w:eastAsia="en-US"/>
              </w:rPr>
              <w:t>(</w:t>
            </w:r>
            <w:proofErr w:type="spellStart"/>
            <w:r>
              <w:rPr>
                <w:lang w:eastAsia="en-US"/>
              </w:rPr>
              <w:t>i</w:t>
            </w:r>
            <w:proofErr w:type="spellEnd"/>
            <w:r>
              <w:rPr>
                <w:lang w:eastAsia="en-US"/>
              </w:rPr>
              <w:t>) in circumstances where the chemical is present in the article unintentionally and unavoidably at a level at which the chemical cannot be meaningfully used; or</w:t>
            </w:r>
          </w:p>
          <w:p w14:paraId="4CDC7D8B" w14:textId="77777777" w:rsidR="002A3604" w:rsidRDefault="002A3604" w:rsidP="002A3604">
            <w:pPr>
              <w:pStyle w:val="Tablei"/>
              <w:rPr>
                <w:lang w:eastAsia="en-US"/>
              </w:rPr>
            </w:pPr>
            <w:r>
              <w:rPr>
                <w:lang w:eastAsia="en-US"/>
              </w:rPr>
              <w:t>(ii) for research or laboratory purposes; or</w:t>
            </w:r>
          </w:p>
          <w:p w14:paraId="41C90BDF" w14:textId="77777777" w:rsidR="002A3604" w:rsidRDefault="002A3604" w:rsidP="002A3604">
            <w:pPr>
              <w:pStyle w:val="Tablei"/>
              <w:rPr>
                <w:lang w:eastAsia="en-US"/>
              </w:rPr>
            </w:pPr>
            <w:r>
              <w:rPr>
                <w:lang w:eastAsia="en-US"/>
              </w:rPr>
              <w:t>(iii) if a hazardous waste import permit authorises the importation of the article; or</w:t>
            </w:r>
          </w:p>
          <w:p w14:paraId="58D943B3" w14:textId="77777777" w:rsidR="002A3604" w:rsidRDefault="002A3604" w:rsidP="002A3604">
            <w:pPr>
              <w:pStyle w:val="Tablei"/>
              <w:rPr>
                <w:lang w:eastAsia="en-US"/>
              </w:rPr>
            </w:pPr>
            <w:r>
              <w:rPr>
                <w:lang w:eastAsia="en-US"/>
              </w:rPr>
              <w:t>(iv) in circumstances in which the article is already in use on or before 1 July 2023.</w:t>
            </w:r>
          </w:p>
          <w:p w14:paraId="22071421" w14:textId="77777777" w:rsidR="002A3604" w:rsidRDefault="002A3604" w:rsidP="002A3604">
            <w:pPr>
              <w:pStyle w:val="Tablea"/>
              <w:rPr>
                <w:lang w:eastAsia="en-US"/>
              </w:rPr>
            </w:pPr>
            <w:r>
              <w:rPr>
                <w:lang w:eastAsia="en-US"/>
              </w:rPr>
              <w:t>(d) The exportation of the chemical (whether on its own or in mixtures), or an article containing the chemical, is prohibited except:</w:t>
            </w:r>
          </w:p>
          <w:p w14:paraId="049BF143" w14:textId="77777777" w:rsidR="002A3604" w:rsidRDefault="002A3604" w:rsidP="002A3604">
            <w:pPr>
              <w:pStyle w:val="Tablei"/>
              <w:rPr>
                <w:lang w:eastAsia="en-US"/>
              </w:rPr>
            </w:pPr>
            <w:r>
              <w:rPr>
                <w:lang w:eastAsia="en-US"/>
              </w:rPr>
              <w:lastRenderedPageBreak/>
              <w:t>(</w:t>
            </w:r>
            <w:proofErr w:type="spellStart"/>
            <w:r>
              <w:rPr>
                <w:lang w:eastAsia="en-US"/>
              </w:rPr>
              <w:t>i</w:t>
            </w:r>
            <w:proofErr w:type="spellEnd"/>
            <w:r>
              <w:rPr>
                <w:lang w:eastAsia="en-US"/>
              </w:rPr>
              <w:t>) for the chemical—in circumstances where the chemical is present unintentionally and unavoidably at a level at which the chemical cannot be meaningfully used; or</w:t>
            </w:r>
          </w:p>
          <w:p w14:paraId="6D833E73" w14:textId="77777777" w:rsidR="002A3604" w:rsidRDefault="002A3604" w:rsidP="002A3604">
            <w:pPr>
              <w:pStyle w:val="Tablei"/>
              <w:rPr>
                <w:lang w:eastAsia="en-US"/>
              </w:rPr>
            </w:pPr>
            <w:r>
              <w:rPr>
                <w:lang w:eastAsia="en-US"/>
              </w:rPr>
              <w:t>(ii) for the article—in circumstances where the chemical is present in the article unintentionally and unavoidably at a level at which the chemical cannot be meaningfully used; or</w:t>
            </w:r>
          </w:p>
          <w:p w14:paraId="5EFFBAEF" w14:textId="77777777" w:rsidR="002A3604" w:rsidRDefault="002A3604" w:rsidP="002A3604">
            <w:pPr>
              <w:pStyle w:val="Tablei"/>
              <w:rPr>
                <w:lang w:eastAsia="en-US"/>
              </w:rPr>
            </w:pPr>
            <w:r>
              <w:rPr>
                <w:lang w:eastAsia="en-US"/>
              </w:rPr>
              <w:t>(iii) if a hazardous waste export permit authorises the exportation of the chemical or the article.</w:t>
            </w:r>
          </w:p>
          <w:p w14:paraId="13B35817" w14:textId="77777777" w:rsidR="002A3604" w:rsidRDefault="002A3604" w:rsidP="002A3604">
            <w:pPr>
              <w:pStyle w:val="Tablea"/>
              <w:rPr>
                <w:lang w:eastAsia="en-US"/>
              </w:rPr>
            </w:pPr>
            <w:r>
              <w:rPr>
                <w:lang w:eastAsia="en-US"/>
              </w:rPr>
              <w:t>(e) Producers and holders of waste must undertake all reasonably practicable measures to avoid contamination of the waste with the chemical.</w:t>
            </w:r>
          </w:p>
          <w:p w14:paraId="62472818" w14:textId="77777777" w:rsidR="002A3604" w:rsidRDefault="002A3604" w:rsidP="002A3604">
            <w:pPr>
              <w:pStyle w:val="Tablea"/>
              <w:rPr>
                <w:lang w:eastAsia="en-US"/>
              </w:rPr>
            </w:pPr>
            <w:r>
              <w:rPr>
                <w:lang w:eastAsia="en-US"/>
              </w:rPr>
              <w:t xml:space="preserve">(f) Waste consisting of, </w:t>
            </w:r>
            <w:proofErr w:type="gramStart"/>
            <w:r>
              <w:rPr>
                <w:lang w:eastAsia="en-US"/>
              </w:rPr>
              <w:t>containing</w:t>
            </w:r>
            <w:proofErr w:type="gramEnd"/>
            <w:r>
              <w:rPr>
                <w:lang w:eastAsia="en-US"/>
              </w:rPr>
              <w:t xml:space="preserve"> or contaminated by the chemical at a concentration that is equal to, or greater than, 100 mg/kg must be disposed of, as soon as reasonably practicable, either:</w:t>
            </w:r>
          </w:p>
          <w:p w14:paraId="5EDA1455" w14:textId="77777777" w:rsidR="002A3604" w:rsidRDefault="002A3604" w:rsidP="002A3604">
            <w:pPr>
              <w:pStyle w:val="Tablei"/>
              <w:rPr>
                <w:lang w:eastAsia="en-US"/>
              </w:rPr>
            </w:pPr>
            <w:r>
              <w:rPr>
                <w:lang w:eastAsia="en-US"/>
              </w:rPr>
              <w:t>(</w:t>
            </w:r>
            <w:proofErr w:type="spellStart"/>
            <w:r>
              <w:rPr>
                <w:lang w:eastAsia="en-US"/>
              </w:rPr>
              <w:t>i</w:t>
            </w:r>
            <w:proofErr w:type="spellEnd"/>
            <w:r>
              <w:rPr>
                <w:lang w:eastAsia="en-US"/>
              </w:rPr>
              <w:t xml:space="preserve">) in such a way as to ensure that the chemical is destroyed or irreversibly transformed so that the remaining waste and environmental releases do not contain chemicals that have Schedule 6 risk characteristics or Schedule 7 risk </w:t>
            </w:r>
            <w:proofErr w:type="gramStart"/>
            <w:r>
              <w:rPr>
                <w:lang w:eastAsia="en-US"/>
              </w:rPr>
              <w:t>characteristics;</w:t>
            </w:r>
            <w:proofErr w:type="gramEnd"/>
            <w:r>
              <w:rPr>
                <w:lang w:eastAsia="en-US"/>
              </w:rPr>
              <w:t xml:space="preserve"> or</w:t>
            </w:r>
          </w:p>
          <w:p w14:paraId="6F4AE521" w14:textId="77777777" w:rsidR="002A3604" w:rsidRDefault="002A3604" w:rsidP="002A3604">
            <w:pPr>
              <w:pStyle w:val="Tablei"/>
              <w:rPr>
                <w:lang w:eastAsia="en-US"/>
              </w:rPr>
            </w:pPr>
            <w:r>
              <w:rPr>
                <w:lang w:eastAsia="en-US"/>
              </w:rPr>
              <w:t>(ii) as authorised under a law of the Commonwealth or a State, where treatment in accordance with subparagraph (</w:t>
            </w:r>
            <w:proofErr w:type="spellStart"/>
            <w:r>
              <w:rPr>
                <w:lang w:eastAsia="en-US"/>
              </w:rPr>
              <w:t>i</w:t>
            </w:r>
            <w:proofErr w:type="spellEnd"/>
            <w:r>
              <w:rPr>
                <w:lang w:eastAsia="en-US"/>
              </w:rPr>
              <w:t>) is not the environmentally preferable option.</w:t>
            </w:r>
          </w:p>
          <w:p w14:paraId="2745248B" w14:textId="77777777" w:rsidR="002A3604" w:rsidRDefault="002A3604" w:rsidP="002A3604">
            <w:pPr>
              <w:pStyle w:val="Tablea"/>
              <w:rPr>
                <w:lang w:eastAsia="en-US"/>
              </w:rPr>
            </w:pPr>
            <w:r>
              <w:rPr>
                <w:lang w:eastAsia="en-US"/>
              </w:rPr>
              <w:t xml:space="preserve">(g) Waste consisting of, </w:t>
            </w:r>
            <w:proofErr w:type="gramStart"/>
            <w:r>
              <w:rPr>
                <w:lang w:eastAsia="en-US"/>
              </w:rPr>
              <w:t>containing</w:t>
            </w:r>
            <w:proofErr w:type="gramEnd"/>
            <w:r>
              <w:rPr>
                <w:lang w:eastAsia="en-US"/>
              </w:rPr>
              <w:t xml:space="preserve"> or contaminated by the chemical at a concentration of less than 100 mg/kg must be disposed of, as soon as reasonably practicable, </w:t>
            </w:r>
            <w:r>
              <w:rPr>
                <w:lang w:eastAsia="en-US"/>
              </w:rPr>
              <w:lastRenderedPageBreak/>
              <w:t>in an environmentally sound manner as authorised under a law of the Commonwealth or a State.</w:t>
            </w:r>
          </w:p>
          <w:p w14:paraId="22979E39" w14:textId="77777777" w:rsidR="002A3604" w:rsidRDefault="002A3604" w:rsidP="002A3604">
            <w:pPr>
              <w:pStyle w:val="Tablea"/>
              <w:rPr>
                <w:lang w:eastAsia="en-US"/>
              </w:rPr>
            </w:pPr>
            <w:r>
              <w:rPr>
                <w:lang w:eastAsia="en-US"/>
              </w:rPr>
              <w:t xml:space="preserve">(h) Disposal must not lead to recovery, recycling, </w:t>
            </w:r>
            <w:proofErr w:type="gramStart"/>
            <w:r>
              <w:rPr>
                <w:lang w:eastAsia="en-US"/>
              </w:rPr>
              <w:t>reclamation</w:t>
            </w:r>
            <w:proofErr w:type="gramEnd"/>
            <w:r>
              <w:rPr>
                <w:lang w:eastAsia="en-US"/>
              </w:rPr>
              <w:t xml:space="preserve"> or re</w:t>
            </w:r>
            <w:r>
              <w:rPr>
                <w:lang w:eastAsia="en-US"/>
              </w:rPr>
              <w:noBreakHyphen/>
              <w:t>use of the chemical on its own, subject to paragraph (</w:t>
            </w:r>
            <w:proofErr w:type="spellStart"/>
            <w:r>
              <w:rPr>
                <w:lang w:eastAsia="en-US"/>
              </w:rPr>
              <w:t>i</w:t>
            </w:r>
            <w:proofErr w:type="spellEnd"/>
            <w:r>
              <w:rPr>
                <w:lang w:eastAsia="en-US"/>
              </w:rPr>
              <w:t>).</w:t>
            </w:r>
          </w:p>
          <w:p w14:paraId="2D9DAD40" w14:textId="77777777" w:rsidR="002A3604" w:rsidRDefault="002A3604" w:rsidP="002A3604">
            <w:pPr>
              <w:pStyle w:val="Tablea"/>
              <w:rPr>
                <w:lang w:eastAsia="en-US"/>
              </w:rPr>
            </w:pPr>
            <w:r>
              <w:rPr>
                <w:lang w:eastAsia="en-US"/>
              </w:rPr>
              <w:t>(</w:t>
            </w:r>
            <w:proofErr w:type="spellStart"/>
            <w:r>
              <w:rPr>
                <w:lang w:eastAsia="en-US"/>
              </w:rPr>
              <w:t>i</w:t>
            </w:r>
            <w:proofErr w:type="spellEnd"/>
            <w:r>
              <w:rPr>
                <w:lang w:eastAsia="en-US"/>
              </w:rPr>
              <w:t xml:space="preserve">) In carrying out disposal, the chemical may be isolated from the waste, </w:t>
            </w:r>
            <w:proofErr w:type="gramStart"/>
            <w:r>
              <w:rPr>
                <w:lang w:eastAsia="en-US"/>
              </w:rPr>
              <w:t>provided that</w:t>
            </w:r>
            <w:proofErr w:type="gramEnd"/>
            <w:r>
              <w:rPr>
                <w:lang w:eastAsia="en-US"/>
              </w:rPr>
              <w:t xml:space="preserve"> it is subsequently disposed of in accordance with paragraphs (f) and (g).</w:t>
            </w:r>
          </w:p>
          <w:p w14:paraId="150C411A" w14:textId="77777777" w:rsidR="002A3604" w:rsidRDefault="002A3604" w:rsidP="002A3604">
            <w:pPr>
              <w:pStyle w:val="Tablea"/>
              <w:rPr>
                <w:lang w:eastAsia="en-US"/>
              </w:rPr>
            </w:pPr>
            <w:r>
              <w:rPr>
                <w:lang w:eastAsia="en-US"/>
              </w:rPr>
              <w:t>(j) If an activity in relation to the chemical, or an article containing the chemical, is not permitted under paragraph (b), (c) or (d), a holder of a stockpile of the chemical must:</w:t>
            </w:r>
          </w:p>
          <w:p w14:paraId="122A358D" w14:textId="77777777" w:rsidR="002A3604" w:rsidRDefault="002A3604" w:rsidP="002A3604">
            <w:pPr>
              <w:pStyle w:val="Tablei"/>
              <w:rPr>
                <w:lang w:eastAsia="en-US"/>
              </w:rPr>
            </w:pPr>
            <w:r>
              <w:rPr>
                <w:lang w:eastAsia="en-US"/>
              </w:rPr>
              <w:t>(</w:t>
            </w:r>
            <w:proofErr w:type="spellStart"/>
            <w:r>
              <w:rPr>
                <w:lang w:eastAsia="en-US"/>
              </w:rPr>
              <w:t>i</w:t>
            </w:r>
            <w:proofErr w:type="spellEnd"/>
            <w:r>
              <w:rPr>
                <w:lang w:eastAsia="en-US"/>
              </w:rPr>
              <w:t>) notify the relevant agency responsible for environmental protection of the nature and size of the stockpile; and</w:t>
            </w:r>
          </w:p>
          <w:p w14:paraId="7855110D" w14:textId="77777777" w:rsidR="002A3604" w:rsidRDefault="002A3604" w:rsidP="002A3604">
            <w:pPr>
              <w:pStyle w:val="Tablei"/>
              <w:rPr>
                <w:lang w:eastAsia="en-US"/>
              </w:rPr>
            </w:pPr>
            <w:r>
              <w:rPr>
                <w:lang w:eastAsia="en-US"/>
              </w:rPr>
              <w:t>(ii) manage that stockpile as waste in accordance with paragraphs (f) and (g); and</w:t>
            </w:r>
          </w:p>
          <w:p w14:paraId="727C0DB7" w14:textId="77777777" w:rsidR="002A3604" w:rsidRDefault="002A3604" w:rsidP="002A3604">
            <w:pPr>
              <w:pStyle w:val="Tablei"/>
              <w:rPr>
                <w:lang w:eastAsia="en-US"/>
              </w:rPr>
            </w:pPr>
            <w:r>
              <w:rPr>
                <w:lang w:eastAsia="en-US"/>
              </w:rPr>
              <w:t>(iii) comply with laws relating to the chemical that apply in the relevant jurisdiction.</w:t>
            </w:r>
          </w:p>
          <w:p w14:paraId="1C271833" w14:textId="77777777" w:rsidR="002A3604" w:rsidRPr="009F5C76" w:rsidRDefault="002A3604" w:rsidP="006031CA">
            <w:pPr>
              <w:pStyle w:val="Tabletext"/>
              <w:spacing w:after="240"/>
            </w:pPr>
            <w:r>
              <w:rPr>
                <w:lang w:eastAsia="en-US"/>
              </w:rPr>
              <w:t xml:space="preserve">(k) The </w:t>
            </w:r>
            <w:proofErr w:type="spellStart"/>
            <w:r>
              <w:rPr>
                <w:lang w:eastAsia="en-US"/>
              </w:rPr>
              <w:t>IChEMS</w:t>
            </w:r>
            <w:proofErr w:type="spellEnd"/>
            <w:r>
              <w:rPr>
                <w:lang w:eastAsia="en-US"/>
              </w:rPr>
              <w:t xml:space="preserve"> Minimum Standards must be complied with.</w:t>
            </w:r>
          </w:p>
        </w:tc>
        <w:tc>
          <w:tcPr>
            <w:tcW w:w="2617" w:type="dxa"/>
            <w:tcBorders>
              <w:top w:val="single" w:sz="12" w:space="0" w:color="auto"/>
              <w:bottom w:val="single" w:sz="2" w:space="0" w:color="auto"/>
            </w:tcBorders>
            <w:shd w:val="clear" w:color="auto" w:fill="auto"/>
          </w:tcPr>
          <w:p w14:paraId="22D8139A" w14:textId="77777777" w:rsidR="002A3604" w:rsidRPr="00920E07" w:rsidRDefault="002A3604" w:rsidP="005B37FA">
            <w:pPr>
              <w:pStyle w:val="Tabletext"/>
            </w:pPr>
          </w:p>
        </w:tc>
      </w:tr>
      <w:tr w:rsidR="005B37FA" w:rsidRPr="00DD6562" w14:paraId="7130BF3C" w14:textId="77777777" w:rsidTr="00924BBF">
        <w:tc>
          <w:tcPr>
            <w:tcW w:w="3397" w:type="dxa"/>
            <w:tcBorders>
              <w:top w:val="single" w:sz="12" w:space="0" w:color="auto"/>
              <w:bottom w:val="single" w:sz="2" w:space="0" w:color="auto"/>
            </w:tcBorders>
            <w:shd w:val="clear" w:color="auto" w:fill="auto"/>
          </w:tcPr>
          <w:p w14:paraId="583CB569" w14:textId="77777777" w:rsidR="005B37FA" w:rsidRDefault="005B37FA" w:rsidP="005B37FA">
            <w:pPr>
              <w:pStyle w:val="Tabletext"/>
            </w:pPr>
            <w:r>
              <w:lastRenderedPageBreak/>
              <w:t xml:space="preserve">Chemical name: </w:t>
            </w:r>
          </w:p>
          <w:p w14:paraId="2C085D5B" w14:textId="77777777" w:rsidR="005B37FA" w:rsidRDefault="005B37FA" w:rsidP="005B37FA">
            <w:pPr>
              <w:pStyle w:val="Tabletext"/>
              <w:spacing w:before="0"/>
            </w:pPr>
            <w:r>
              <w:t>Benzene, 1,2,3,4,5-pentachloro-</w:t>
            </w:r>
          </w:p>
          <w:p w14:paraId="57F2283A" w14:textId="77777777" w:rsidR="005B37FA" w:rsidRDefault="005B37FA" w:rsidP="005B37FA">
            <w:pPr>
              <w:pStyle w:val="Tabletext"/>
            </w:pPr>
            <w:r>
              <w:t xml:space="preserve">CAS number: </w:t>
            </w:r>
          </w:p>
          <w:p w14:paraId="7FFE0D70" w14:textId="77777777" w:rsidR="005B37FA" w:rsidRPr="00137C4B" w:rsidRDefault="005B37FA" w:rsidP="005B37FA">
            <w:pPr>
              <w:pStyle w:val="Tabletext"/>
              <w:spacing w:before="0"/>
            </w:pPr>
            <w:r>
              <w:t>608-93-5</w:t>
            </w:r>
          </w:p>
        </w:tc>
        <w:tc>
          <w:tcPr>
            <w:tcW w:w="2268" w:type="dxa"/>
            <w:tcBorders>
              <w:top w:val="single" w:sz="12" w:space="0" w:color="auto"/>
              <w:bottom w:val="single" w:sz="2" w:space="0" w:color="auto"/>
            </w:tcBorders>
            <w:shd w:val="clear" w:color="auto" w:fill="auto"/>
          </w:tcPr>
          <w:p w14:paraId="50566FC2" w14:textId="7DFBCA6E" w:rsidR="005B37FA" w:rsidRPr="00137C4B" w:rsidRDefault="005B37FA" w:rsidP="005B37FA">
            <w:pPr>
              <w:pStyle w:val="Tabletext"/>
            </w:pPr>
          </w:p>
        </w:tc>
        <w:tc>
          <w:tcPr>
            <w:tcW w:w="4962" w:type="dxa"/>
            <w:tcBorders>
              <w:top w:val="single" w:sz="12" w:space="0" w:color="auto"/>
              <w:bottom w:val="single" w:sz="2" w:space="0" w:color="auto"/>
            </w:tcBorders>
            <w:shd w:val="clear" w:color="auto" w:fill="auto"/>
          </w:tcPr>
          <w:p w14:paraId="1F0A38E0" w14:textId="77777777" w:rsidR="005B37FA" w:rsidRDefault="005B37FA" w:rsidP="00E263F0">
            <w:pPr>
              <w:pStyle w:val="Tablea"/>
              <w:rPr>
                <w:lang w:eastAsia="en-US"/>
              </w:rPr>
            </w:pPr>
            <w:r w:rsidRPr="009F5C76">
              <w:rPr>
                <w:lang w:eastAsia="en-US"/>
              </w:rPr>
              <w:t>(a</w:t>
            </w:r>
            <w:r>
              <w:rPr>
                <w:lang w:eastAsia="en-US"/>
              </w:rPr>
              <w:t xml:space="preserve">) </w:t>
            </w:r>
            <w:r w:rsidRPr="009F5C76">
              <w:rPr>
                <w:lang w:eastAsia="en-US"/>
              </w:rPr>
              <w:t>This entry comes into effect on 1 July 2024.</w:t>
            </w:r>
          </w:p>
          <w:p w14:paraId="6634A338" w14:textId="77777777" w:rsidR="005B37FA" w:rsidRDefault="005B37FA" w:rsidP="00E263F0">
            <w:pPr>
              <w:pStyle w:val="Tablea"/>
              <w:rPr>
                <w:lang w:eastAsia="en-US"/>
              </w:rPr>
            </w:pPr>
            <w:r w:rsidRPr="009F5C76">
              <w:rPr>
                <w:lang w:eastAsia="en-US"/>
              </w:rPr>
              <w:t>(b) The import, export, and manufacture of the chemical (whether on its own or in mixtures or in articles) are prohibited except:</w:t>
            </w:r>
          </w:p>
          <w:p w14:paraId="0C667DE1" w14:textId="77777777" w:rsidR="005B37FA" w:rsidRDefault="005B37FA" w:rsidP="00432CE1">
            <w:pPr>
              <w:pStyle w:val="Tablea"/>
              <w:ind w:left="568"/>
              <w:rPr>
                <w:lang w:eastAsia="en-US"/>
              </w:rPr>
            </w:pPr>
            <w:r w:rsidRPr="009F5C76">
              <w:rPr>
                <w:lang w:eastAsia="en-US"/>
              </w:rPr>
              <w:t>(</w:t>
            </w:r>
            <w:proofErr w:type="spellStart"/>
            <w:r w:rsidRPr="009F5C76">
              <w:rPr>
                <w:lang w:eastAsia="en-US"/>
              </w:rPr>
              <w:t>i</w:t>
            </w:r>
            <w:proofErr w:type="spellEnd"/>
            <w:r w:rsidRPr="009F5C76">
              <w:rPr>
                <w:lang w:eastAsia="en-US"/>
              </w:rPr>
              <w:t>) in circumstances where the chemical is present as unintentional trace contamination at a level at which the chemical cannot be meaningfully used; or</w:t>
            </w:r>
          </w:p>
          <w:p w14:paraId="52F7CEBE" w14:textId="77777777" w:rsidR="005B37FA" w:rsidRDefault="005B37FA" w:rsidP="00432CE1">
            <w:pPr>
              <w:pStyle w:val="Tablea"/>
              <w:ind w:left="568"/>
              <w:rPr>
                <w:lang w:eastAsia="en-US"/>
              </w:rPr>
            </w:pPr>
            <w:r w:rsidRPr="009F5C76">
              <w:rPr>
                <w:lang w:eastAsia="en-US"/>
              </w:rPr>
              <w:lastRenderedPageBreak/>
              <w:t>(ii) for research or laboratory purposes; or</w:t>
            </w:r>
          </w:p>
          <w:p w14:paraId="07C33D19" w14:textId="77777777" w:rsidR="005B37FA" w:rsidRDefault="005B37FA" w:rsidP="00432CE1">
            <w:pPr>
              <w:pStyle w:val="Tablea"/>
              <w:ind w:left="568"/>
              <w:rPr>
                <w:lang w:eastAsia="en-US"/>
              </w:rPr>
            </w:pPr>
            <w:r w:rsidRPr="009F5C76">
              <w:rPr>
                <w:lang w:eastAsia="en-US"/>
              </w:rPr>
              <w:t>(iii) if a hazardous waste permit authorises the import or export of the chemical or an article containing the chemical.</w:t>
            </w:r>
          </w:p>
          <w:p w14:paraId="680B9509" w14:textId="77777777" w:rsidR="005B37FA" w:rsidRDefault="005B37FA" w:rsidP="00E263F0">
            <w:pPr>
              <w:pStyle w:val="Tablea"/>
              <w:rPr>
                <w:lang w:eastAsia="en-US"/>
              </w:rPr>
            </w:pPr>
            <w:r w:rsidRPr="009F5C76">
              <w:rPr>
                <w:lang w:eastAsia="en-US"/>
              </w:rPr>
              <w:t>(c) The use of the chemical (whether on its own or in mixtures on in articles) is prohibited except:</w:t>
            </w:r>
          </w:p>
          <w:p w14:paraId="4C97CF34" w14:textId="4911AB8A" w:rsidR="00026AC2" w:rsidRDefault="005B37FA" w:rsidP="00432CE1">
            <w:pPr>
              <w:pStyle w:val="Tablea"/>
              <w:ind w:left="568"/>
              <w:rPr>
                <w:lang w:eastAsia="en-US"/>
              </w:rPr>
            </w:pPr>
            <w:r w:rsidRPr="009F5C76">
              <w:rPr>
                <w:lang w:eastAsia="en-US"/>
              </w:rPr>
              <w:t>(</w:t>
            </w:r>
            <w:proofErr w:type="spellStart"/>
            <w:r w:rsidRPr="009F5C76">
              <w:rPr>
                <w:lang w:eastAsia="en-US"/>
              </w:rPr>
              <w:t>i</w:t>
            </w:r>
            <w:proofErr w:type="spellEnd"/>
            <w:r w:rsidRPr="009F5C76">
              <w:rPr>
                <w:lang w:eastAsia="en-US"/>
              </w:rPr>
              <w:t>) in circumstances where the chemical is present as unintentional trace contamination at a level at which the chemical cannot be meaningfully used; or</w:t>
            </w:r>
          </w:p>
          <w:p w14:paraId="798D46A9" w14:textId="45EEA0E7" w:rsidR="005B37FA" w:rsidRDefault="005B37FA" w:rsidP="00432CE1">
            <w:pPr>
              <w:pStyle w:val="Tablea"/>
              <w:ind w:left="568"/>
              <w:rPr>
                <w:lang w:eastAsia="en-US"/>
              </w:rPr>
            </w:pPr>
            <w:r w:rsidRPr="009F5C76">
              <w:rPr>
                <w:lang w:eastAsia="en-US"/>
              </w:rPr>
              <w:t>(ii) for the article - in circumstances in which the article is already in use on or before 1 July 2024.</w:t>
            </w:r>
          </w:p>
          <w:p w14:paraId="3BDCBBC1" w14:textId="77777777" w:rsidR="005B37FA" w:rsidRDefault="005B37FA" w:rsidP="00E263F0">
            <w:pPr>
              <w:pStyle w:val="Tablea"/>
              <w:rPr>
                <w:lang w:eastAsia="en-US"/>
              </w:rPr>
            </w:pPr>
            <w:r w:rsidRPr="009F5C76">
              <w:rPr>
                <w:lang w:eastAsia="en-US"/>
              </w:rPr>
              <w:t>(d) Producers and holders of waste must undertake all reasonably practicable measures to avoid contamination of non-</w:t>
            </w:r>
            <w:proofErr w:type="spellStart"/>
            <w:r w:rsidRPr="009F5C76">
              <w:rPr>
                <w:lang w:eastAsia="en-US"/>
              </w:rPr>
              <w:t>PeCB</w:t>
            </w:r>
            <w:proofErr w:type="spellEnd"/>
            <w:r w:rsidRPr="009F5C76">
              <w:rPr>
                <w:lang w:eastAsia="en-US"/>
              </w:rPr>
              <w:t xml:space="preserve"> waste with this chemical and must not dilute </w:t>
            </w:r>
            <w:proofErr w:type="spellStart"/>
            <w:r w:rsidRPr="009F5C76">
              <w:rPr>
                <w:lang w:eastAsia="en-US"/>
              </w:rPr>
              <w:t>PeCB</w:t>
            </w:r>
            <w:proofErr w:type="spellEnd"/>
            <w:r w:rsidRPr="009F5C76">
              <w:rPr>
                <w:lang w:eastAsia="en-US"/>
              </w:rPr>
              <w:t xml:space="preserve"> waste to lower the </w:t>
            </w:r>
            <w:proofErr w:type="spellStart"/>
            <w:r w:rsidRPr="009F5C76">
              <w:rPr>
                <w:lang w:eastAsia="en-US"/>
              </w:rPr>
              <w:t>PeCB</w:t>
            </w:r>
            <w:proofErr w:type="spellEnd"/>
            <w:r w:rsidRPr="009F5C76">
              <w:rPr>
                <w:lang w:eastAsia="en-US"/>
              </w:rPr>
              <w:t xml:space="preserve"> concentration below relevant waste handling and disposal thresholds.</w:t>
            </w:r>
          </w:p>
          <w:p w14:paraId="1E1BA66B" w14:textId="77777777" w:rsidR="005B37FA" w:rsidRDefault="005B37FA" w:rsidP="00E263F0">
            <w:pPr>
              <w:pStyle w:val="Tablea"/>
              <w:rPr>
                <w:lang w:eastAsia="en-US"/>
              </w:rPr>
            </w:pPr>
            <w:r w:rsidRPr="009F5C76">
              <w:rPr>
                <w:lang w:eastAsia="en-US"/>
              </w:rPr>
              <w:t xml:space="preserve">(e) Waste consisting of, </w:t>
            </w:r>
            <w:proofErr w:type="gramStart"/>
            <w:r w:rsidRPr="009F5C76">
              <w:rPr>
                <w:lang w:eastAsia="en-US"/>
              </w:rPr>
              <w:t>containing</w:t>
            </w:r>
            <w:proofErr w:type="gramEnd"/>
            <w:r w:rsidRPr="009F5C76">
              <w:rPr>
                <w:lang w:eastAsia="en-US"/>
              </w:rPr>
              <w:t xml:space="preserve"> or contaminated by the chemical at a concentration that is equal to, or greater than, 50 mg/kg must be either:</w:t>
            </w:r>
          </w:p>
          <w:p w14:paraId="25CC1F67" w14:textId="77777777" w:rsidR="005B37FA" w:rsidRDefault="005B37FA" w:rsidP="00432CE1">
            <w:pPr>
              <w:pStyle w:val="Tablea"/>
              <w:ind w:left="568"/>
              <w:rPr>
                <w:lang w:eastAsia="en-US"/>
              </w:rPr>
            </w:pPr>
            <w:r w:rsidRPr="009F5C76">
              <w:rPr>
                <w:lang w:eastAsia="en-US"/>
              </w:rPr>
              <w:t>(</w:t>
            </w:r>
            <w:proofErr w:type="spellStart"/>
            <w:r w:rsidRPr="009F5C76">
              <w:rPr>
                <w:lang w:eastAsia="en-US"/>
              </w:rPr>
              <w:t>i</w:t>
            </w:r>
            <w:proofErr w:type="spellEnd"/>
            <w:r w:rsidRPr="009F5C76">
              <w:rPr>
                <w:lang w:eastAsia="en-US"/>
              </w:rPr>
              <w:t>) treated in such a way as to ensure that the chemical is destroyed or irreversibly transformed so that the remaining waste and environmental releases do not contain chemicals that exhibit Schedule 6 or Schedule 7 risk characteristics, or</w:t>
            </w:r>
          </w:p>
          <w:p w14:paraId="22DD85AA" w14:textId="77777777" w:rsidR="005B37FA" w:rsidRDefault="005B37FA" w:rsidP="00432CE1">
            <w:pPr>
              <w:pStyle w:val="Tablea"/>
              <w:ind w:left="568"/>
              <w:rPr>
                <w:lang w:eastAsia="en-US"/>
              </w:rPr>
            </w:pPr>
            <w:r>
              <w:rPr>
                <w:lang w:eastAsia="en-US"/>
              </w:rPr>
              <w:t>(</w:t>
            </w:r>
            <w:r w:rsidRPr="009F5C76">
              <w:rPr>
                <w:lang w:eastAsia="en-US"/>
              </w:rPr>
              <w:t xml:space="preserve">ii) stored or disposed of in an environmentally sound manner as authorised under a law of the Commonwealth or a law of a State, where treatment </w:t>
            </w:r>
            <w:r w:rsidRPr="009F5C76">
              <w:rPr>
                <w:lang w:eastAsia="en-US"/>
              </w:rPr>
              <w:lastRenderedPageBreak/>
              <w:t>in accordance with subparagraph (</w:t>
            </w:r>
            <w:proofErr w:type="spellStart"/>
            <w:r w:rsidRPr="009F5C76">
              <w:rPr>
                <w:lang w:eastAsia="en-US"/>
              </w:rPr>
              <w:t>i</w:t>
            </w:r>
            <w:proofErr w:type="spellEnd"/>
            <w:r w:rsidRPr="009F5C76">
              <w:rPr>
                <w:lang w:eastAsia="en-US"/>
              </w:rPr>
              <w:t>) is not the environmentally preferable option.</w:t>
            </w:r>
          </w:p>
          <w:p w14:paraId="275D9D08" w14:textId="77777777" w:rsidR="005B37FA" w:rsidRDefault="005B37FA" w:rsidP="00E263F0">
            <w:pPr>
              <w:pStyle w:val="Tablea"/>
              <w:rPr>
                <w:lang w:eastAsia="en-US"/>
              </w:rPr>
            </w:pPr>
            <w:r w:rsidRPr="009F5C76">
              <w:rPr>
                <w:lang w:eastAsia="en-US"/>
              </w:rPr>
              <w:t>(f) Waste containing or contaminated by the chemical at a concentration of less than 50 mg/kg must be managed or disposed of, as soon as reasonably practicable, in an environmentally sound manner as authorised under a law of the Commonwealth or a law of a State.</w:t>
            </w:r>
          </w:p>
          <w:p w14:paraId="4D5E0051" w14:textId="77777777" w:rsidR="005B37FA" w:rsidRDefault="005B37FA" w:rsidP="00E263F0">
            <w:pPr>
              <w:pStyle w:val="Tablea"/>
              <w:rPr>
                <w:lang w:eastAsia="en-US"/>
              </w:rPr>
            </w:pPr>
            <w:r w:rsidRPr="009F5C76">
              <w:rPr>
                <w:lang w:eastAsia="en-US"/>
              </w:rPr>
              <w:t>(g) Disposal must not lead to recovery, recycling, reclamation, or re-use of the chemical, subject to paragraph (h).</w:t>
            </w:r>
          </w:p>
          <w:p w14:paraId="2A3EF70C" w14:textId="77777777" w:rsidR="005B37FA" w:rsidRDefault="005B37FA" w:rsidP="00E263F0">
            <w:pPr>
              <w:pStyle w:val="Tablea"/>
              <w:rPr>
                <w:lang w:eastAsia="en-US"/>
              </w:rPr>
            </w:pPr>
            <w:r w:rsidRPr="009F5C76">
              <w:rPr>
                <w:lang w:eastAsia="en-US"/>
              </w:rPr>
              <w:t xml:space="preserve">(h) In carrying out disposal, the chemical may be isolated from the waste, </w:t>
            </w:r>
            <w:proofErr w:type="gramStart"/>
            <w:r w:rsidRPr="009F5C76">
              <w:rPr>
                <w:lang w:eastAsia="en-US"/>
              </w:rPr>
              <w:t>provided that</w:t>
            </w:r>
            <w:proofErr w:type="gramEnd"/>
            <w:r w:rsidRPr="009F5C76">
              <w:rPr>
                <w:lang w:eastAsia="en-US"/>
              </w:rPr>
              <w:t xml:space="preserve"> it is subsequently disposed of in accordance with paragraphs (e) and (f).</w:t>
            </w:r>
          </w:p>
          <w:p w14:paraId="4C98561C" w14:textId="77777777" w:rsidR="005B37FA" w:rsidRDefault="005B37FA" w:rsidP="00E263F0">
            <w:pPr>
              <w:pStyle w:val="Tablea"/>
              <w:rPr>
                <w:lang w:eastAsia="en-US"/>
              </w:rPr>
            </w:pPr>
            <w:r w:rsidRPr="009F5C76">
              <w:rPr>
                <w:lang w:eastAsia="en-US"/>
              </w:rPr>
              <w:t>(</w:t>
            </w:r>
            <w:proofErr w:type="spellStart"/>
            <w:r w:rsidRPr="009F5C76">
              <w:rPr>
                <w:lang w:eastAsia="en-US"/>
              </w:rPr>
              <w:t>i</w:t>
            </w:r>
            <w:proofErr w:type="spellEnd"/>
            <w:r w:rsidRPr="009F5C76">
              <w:rPr>
                <w:lang w:eastAsia="en-US"/>
              </w:rPr>
              <w:t>) If an activity in relation to the chemical, or an article containing the chemical, is not permitted under paragraph (b) or (c), a holder of a stockpile of the chemical must:</w:t>
            </w:r>
          </w:p>
          <w:p w14:paraId="0B2C4658" w14:textId="77777777" w:rsidR="005B37FA" w:rsidRDefault="005B37FA" w:rsidP="00F0098B">
            <w:pPr>
              <w:pStyle w:val="Tablea"/>
              <w:ind w:left="568"/>
              <w:rPr>
                <w:lang w:eastAsia="en-US"/>
              </w:rPr>
            </w:pPr>
            <w:r w:rsidRPr="009F5C76">
              <w:rPr>
                <w:lang w:eastAsia="en-US"/>
              </w:rPr>
              <w:t>(</w:t>
            </w:r>
            <w:proofErr w:type="spellStart"/>
            <w:r w:rsidRPr="009F5C76">
              <w:rPr>
                <w:lang w:eastAsia="en-US"/>
              </w:rPr>
              <w:t>i</w:t>
            </w:r>
            <w:proofErr w:type="spellEnd"/>
            <w:r w:rsidRPr="009F5C76">
              <w:rPr>
                <w:lang w:eastAsia="en-US"/>
              </w:rPr>
              <w:t>) notify the relevant agency responsible for environmental protection of the nature and size of the stockpile; and</w:t>
            </w:r>
          </w:p>
          <w:p w14:paraId="3C934D19" w14:textId="77777777" w:rsidR="005B37FA" w:rsidRDefault="005B37FA" w:rsidP="00F0098B">
            <w:pPr>
              <w:pStyle w:val="Tablea"/>
              <w:ind w:left="568"/>
              <w:rPr>
                <w:lang w:eastAsia="en-US"/>
              </w:rPr>
            </w:pPr>
            <w:r w:rsidRPr="009F5C76">
              <w:rPr>
                <w:lang w:eastAsia="en-US"/>
              </w:rPr>
              <w:t>(ii) manage that stockpile as waste in accordance with paragraphs (e) and (f); and</w:t>
            </w:r>
          </w:p>
          <w:p w14:paraId="7A019B95" w14:textId="77777777" w:rsidR="005B37FA" w:rsidRDefault="005B37FA" w:rsidP="00F0098B">
            <w:pPr>
              <w:pStyle w:val="Tablea"/>
              <w:ind w:left="568"/>
              <w:rPr>
                <w:lang w:eastAsia="en-US"/>
              </w:rPr>
            </w:pPr>
            <w:r w:rsidRPr="009F5C76">
              <w:rPr>
                <w:lang w:eastAsia="en-US"/>
              </w:rPr>
              <w:t>(iii) comply with all relevant laws that apply in the relevant jurisdiction.</w:t>
            </w:r>
          </w:p>
          <w:p w14:paraId="2ABAABBA" w14:textId="77777777" w:rsidR="005B37FA" w:rsidRPr="00137C4B" w:rsidRDefault="005B37FA" w:rsidP="006031CA">
            <w:pPr>
              <w:pStyle w:val="Tablea"/>
              <w:spacing w:after="240"/>
              <w:rPr>
                <w:lang w:eastAsia="en-US"/>
              </w:rPr>
            </w:pPr>
            <w:r w:rsidRPr="009F5C76">
              <w:rPr>
                <w:lang w:eastAsia="en-US"/>
              </w:rPr>
              <w:t xml:space="preserve">(j) The </w:t>
            </w:r>
            <w:proofErr w:type="spellStart"/>
            <w:r w:rsidRPr="009F5C76">
              <w:rPr>
                <w:lang w:eastAsia="en-US"/>
              </w:rPr>
              <w:t>IChEMS</w:t>
            </w:r>
            <w:proofErr w:type="spellEnd"/>
            <w:r w:rsidRPr="009F5C76">
              <w:rPr>
                <w:lang w:eastAsia="en-US"/>
              </w:rPr>
              <w:t xml:space="preserve"> Minimum Standards must be complied with.</w:t>
            </w:r>
          </w:p>
        </w:tc>
        <w:tc>
          <w:tcPr>
            <w:tcW w:w="2617" w:type="dxa"/>
            <w:tcBorders>
              <w:top w:val="single" w:sz="12" w:space="0" w:color="auto"/>
              <w:bottom w:val="single" w:sz="2" w:space="0" w:color="auto"/>
            </w:tcBorders>
            <w:shd w:val="clear" w:color="auto" w:fill="auto"/>
          </w:tcPr>
          <w:p w14:paraId="565AB724" w14:textId="57AE0595" w:rsidR="005B37FA" w:rsidRPr="00137C4B" w:rsidRDefault="005B37FA" w:rsidP="005B37FA">
            <w:pPr>
              <w:pStyle w:val="Tabletext"/>
            </w:pPr>
          </w:p>
        </w:tc>
      </w:tr>
      <w:tr w:rsidR="002A3604" w:rsidRPr="00DD6562" w14:paraId="7D9E0870" w14:textId="77777777" w:rsidTr="00924BBF">
        <w:tc>
          <w:tcPr>
            <w:tcW w:w="3397" w:type="dxa"/>
            <w:tcBorders>
              <w:top w:val="single" w:sz="2" w:space="0" w:color="auto"/>
              <w:bottom w:val="single" w:sz="2" w:space="0" w:color="auto"/>
            </w:tcBorders>
            <w:shd w:val="clear" w:color="auto" w:fill="auto"/>
          </w:tcPr>
          <w:p w14:paraId="762554DC" w14:textId="77777777" w:rsidR="002A3604" w:rsidRDefault="002A3604" w:rsidP="002A3604">
            <w:pPr>
              <w:pStyle w:val="NormalWeb"/>
              <w:spacing w:line="252" w:lineRule="auto"/>
              <w:rPr>
                <w:rFonts w:cs="Times New Roman"/>
                <w:color w:val="000000"/>
                <w:sz w:val="20"/>
                <w:shd w:val="clear" w:color="auto" w:fill="FFFFFF"/>
              </w:rPr>
            </w:pPr>
            <w:r>
              <w:rPr>
                <w:rFonts w:cs="Times New Roman"/>
                <w:color w:val="000000"/>
                <w:sz w:val="20"/>
                <w:shd w:val="clear" w:color="auto" w:fill="FFFFFF"/>
              </w:rPr>
              <w:lastRenderedPageBreak/>
              <w:t>Class name:</w:t>
            </w:r>
          </w:p>
          <w:p w14:paraId="113563B3" w14:textId="77777777" w:rsidR="002A3604" w:rsidRDefault="002A3604" w:rsidP="002A3604">
            <w:pPr>
              <w:pStyle w:val="Tabletext"/>
            </w:pPr>
            <w:r>
              <w:rPr>
                <w:color w:val="000000"/>
                <w:shd w:val="clear" w:color="auto" w:fill="FFFFFF"/>
              </w:rPr>
              <w:lastRenderedPageBreak/>
              <w:t>Hexabromobiphenyl, being chemical compounds based on the biphenyl structural element, where 6 hydrogen atoms have been replaced by bromine atoms.</w:t>
            </w:r>
          </w:p>
        </w:tc>
        <w:tc>
          <w:tcPr>
            <w:tcW w:w="2268" w:type="dxa"/>
            <w:tcBorders>
              <w:top w:val="single" w:sz="2" w:space="0" w:color="auto"/>
              <w:bottom w:val="single" w:sz="2" w:space="0" w:color="auto"/>
            </w:tcBorders>
            <w:shd w:val="clear" w:color="auto" w:fill="auto"/>
          </w:tcPr>
          <w:p w14:paraId="483E9388" w14:textId="77777777" w:rsidR="002A3604" w:rsidRPr="00920E07" w:rsidRDefault="002A3604" w:rsidP="005B37FA">
            <w:pPr>
              <w:pStyle w:val="Tabletext"/>
            </w:pPr>
          </w:p>
        </w:tc>
        <w:tc>
          <w:tcPr>
            <w:tcW w:w="4962" w:type="dxa"/>
            <w:tcBorders>
              <w:top w:val="single" w:sz="2" w:space="0" w:color="auto"/>
              <w:bottom w:val="single" w:sz="2" w:space="0" w:color="auto"/>
            </w:tcBorders>
            <w:shd w:val="clear" w:color="auto" w:fill="auto"/>
          </w:tcPr>
          <w:p w14:paraId="23AEA984" w14:textId="77777777" w:rsidR="002A3604" w:rsidRDefault="002A3604" w:rsidP="002A3604">
            <w:pPr>
              <w:pStyle w:val="Tabletext"/>
            </w:pPr>
            <w:r>
              <w:t>(a) This entry comes into effect on 1 July 2023.</w:t>
            </w:r>
          </w:p>
          <w:p w14:paraId="7EA9F003" w14:textId="77777777" w:rsidR="002A3604" w:rsidRDefault="002A3604" w:rsidP="002A3604">
            <w:pPr>
              <w:pStyle w:val="Tabletext"/>
            </w:pPr>
            <w:r>
              <w:lastRenderedPageBreak/>
              <w:t>(b) The importation and manufacture of, and end uses for, the chemical (whether on its own or in mixtures) are prohibited except:</w:t>
            </w:r>
          </w:p>
          <w:p w14:paraId="586992BB" w14:textId="77777777" w:rsidR="002A3604" w:rsidRDefault="002A3604" w:rsidP="00187760">
            <w:pPr>
              <w:pStyle w:val="Tabletext"/>
              <w:ind w:left="641" w:hanging="284"/>
            </w:pPr>
            <w:r>
              <w:t>(</w:t>
            </w:r>
            <w:proofErr w:type="spellStart"/>
            <w:r>
              <w:t>i</w:t>
            </w:r>
            <w:proofErr w:type="spellEnd"/>
            <w:r>
              <w:t>) in circumstances where the chemical is present unintentionally and unavoidably at a level at which the chemical cannot be meaningfully used; or</w:t>
            </w:r>
          </w:p>
          <w:p w14:paraId="652F02A6" w14:textId="77777777" w:rsidR="002A3604" w:rsidRDefault="002A3604" w:rsidP="00187760">
            <w:pPr>
              <w:pStyle w:val="Tabletext"/>
              <w:ind w:left="357"/>
            </w:pPr>
            <w:r>
              <w:t>(ii) for research or laboratory purposes; or</w:t>
            </w:r>
          </w:p>
          <w:p w14:paraId="578577AA" w14:textId="77777777" w:rsidR="002A3604" w:rsidRDefault="002A3604" w:rsidP="00187760">
            <w:pPr>
              <w:pStyle w:val="Tabletext"/>
              <w:ind w:left="641" w:hanging="284"/>
            </w:pPr>
            <w:r>
              <w:t>(iii) if a hazardous waste import permit authorises the importation of the chemical.</w:t>
            </w:r>
          </w:p>
          <w:p w14:paraId="364C9B09" w14:textId="77777777" w:rsidR="002A3604" w:rsidRDefault="002A3604" w:rsidP="002A3604">
            <w:pPr>
              <w:pStyle w:val="Tabletext"/>
            </w:pPr>
            <w:r>
              <w:t>(c) The importation, manufacture and use of an article containing the chemical are prohibited except:</w:t>
            </w:r>
          </w:p>
          <w:p w14:paraId="33E47FC9" w14:textId="77777777" w:rsidR="002A3604" w:rsidRDefault="002A3604" w:rsidP="00187760">
            <w:pPr>
              <w:pStyle w:val="Tabletext"/>
              <w:ind w:left="641" w:hanging="284"/>
            </w:pPr>
            <w:r>
              <w:t>(</w:t>
            </w:r>
            <w:proofErr w:type="spellStart"/>
            <w:r>
              <w:t>i</w:t>
            </w:r>
            <w:proofErr w:type="spellEnd"/>
            <w:r>
              <w:t>) in circumstances where the chemical is present in the article unintentionally and unavoidably at a level at which the chemical cannot be meaningfully used; or</w:t>
            </w:r>
          </w:p>
          <w:p w14:paraId="600721DA" w14:textId="77777777" w:rsidR="002A3604" w:rsidRDefault="002A3604" w:rsidP="00187760">
            <w:pPr>
              <w:pStyle w:val="Tabletext"/>
              <w:ind w:left="357"/>
            </w:pPr>
            <w:r>
              <w:t>(ii) for research or laboratory purposes; or</w:t>
            </w:r>
          </w:p>
          <w:p w14:paraId="498E50B4" w14:textId="77777777" w:rsidR="00187760" w:rsidRDefault="002A3604" w:rsidP="00187760">
            <w:pPr>
              <w:pStyle w:val="Tabletext"/>
              <w:ind w:left="641" w:hanging="284"/>
            </w:pPr>
            <w:r>
              <w:t>(iii) if a hazardous waste import permit authorises the importation of the article; or</w:t>
            </w:r>
          </w:p>
          <w:p w14:paraId="061FEFDD" w14:textId="3EE09A5A" w:rsidR="002A3604" w:rsidRDefault="002A3604" w:rsidP="00187760">
            <w:pPr>
              <w:pStyle w:val="Tabletext"/>
              <w:ind w:left="641" w:hanging="284"/>
            </w:pPr>
            <w:r>
              <w:t>(iv) in circumstances in which the article is already in use on or before 1 July 2023.</w:t>
            </w:r>
          </w:p>
          <w:p w14:paraId="1241B71F" w14:textId="77777777" w:rsidR="002A3604" w:rsidRDefault="002A3604" w:rsidP="002A3604">
            <w:pPr>
              <w:pStyle w:val="Tabletext"/>
            </w:pPr>
            <w:r>
              <w:t>(d) The exportation of the chemical (whether on its own or in mixtures), or an article containing the chemical, is prohibited except:</w:t>
            </w:r>
          </w:p>
          <w:p w14:paraId="56AD7A12" w14:textId="77777777" w:rsidR="00C3352D" w:rsidRDefault="002A3604" w:rsidP="00C3352D">
            <w:pPr>
              <w:pStyle w:val="Tabletext"/>
              <w:ind w:left="641" w:hanging="284"/>
            </w:pPr>
            <w:r>
              <w:t>(</w:t>
            </w:r>
            <w:proofErr w:type="spellStart"/>
            <w:r>
              <w:t>i</w:t>
            </w:r>
            <w:proofErr w:type="spellEnd"/>
            <w:r>
              <w:t>) for the chemical—in circumstances where the chemical is present unintentionally and unavoidably at a level at which the chemical cannot be meaningfully used; or</w:t>
            </w:r>
          </w:p>
          <w:p w14:paraId="3E82DD70" w14:textId="77777777" w:rsidR="00C3352D" w:rsidRDefault="002A3604" w:rsidP="00C3352D">
            <w:pPr>
              <w:pStyle w:val="Tabletext"/>
              <w:ind w:left="641" w:hanging="284"/>
            </w:pPr>
            <w:r>
              <w:lastRenderedPageBreak/>
              <w:t>(ii) for the article—in circumstances where the chemical is present in the article unintentionally and unavoidably at a level at which the chemical cannot be meaningfully used; or</w:t>
            </w:r>
          </w:p>
          <w:p w14:paraId="12EF8D3D" w14:textId="7C35FEF4" w:rsidR="002A3604" w:rsidRDefault="002A3604" w:rsidP="00C3352D">
            <w:pPr>
              <w:pStyle w:val="Tabletext"/>
              <w:ind w:left="641" w:hanging="284"/>
            </w:pPr>
            <w:r>
              <w:t>(iii) if a hazardous waste export permit authorises the exportation of the chemical or the article.</w:t>
            </w:r>
          </w:p>
          <w:p w14:paraId="0B0A240C" w14:textId="77777777" w:rsidR="002A3604" w:rsidRDefault="002A3604" w:rsidP="002A3604">
            <w:pPr>
              <w:pStyle w:val="Tabletext"/>
            </w:pPr>
            <w:r>
              <w:t>(e) Producers and holders of waste must undertake all reasonably practicable measures to avoid contamination of the waste with the chemical.</w:t>
            </w:r>
          </w:p>
          <w:p w14:paraId="1183338A" w14:textId="77777777" w:rsidR="00C3352D" w:rsidRDefault="002A3604" w:rsidP="002A3604">
            <w:pPr>
              <w:pStyle w:val="Tabletext"/>
            </w:pPr>
            <w:r>
              <w:t xml:space="preserve">(f) Waste consisting of, </w:t>
            </w:r>
            <w:proofErr w:type="gramStart"/>
            <w:r>
              <w:t>containing</w:t>
            </w:r>
            <w:proofErr w:type="gramEnd"/>
            <w:r>
              <w:t xml:space="preserve"> or contaminated by the chemical at a concentration that is equal to, or greater than, 50 mg/kg must be disposed of, as soon as reasonably practicable, either:</w:t>
            </w:r>
          </w:p>
          <w:p w14:paraId="465DE98E" w14:textId="77777777" w:rsidR="006031CA" w:rsidRDefault="002A3604" w:rsidP="006031CA">
            <w:pPr>
              <w:pStyle w:val="Tabletext"/>
              <w:ind w:left="641" w:hanging="284"/>
            </w:pPr>
            <w:r>
              <w:t>(</w:t>
            </w:r>
            <w:proofErr w:type="spellStart"/>
            <w:r>
              <w:t>i</w:t>
            </w:r>
            <w:proofErr w:type="spellEnd"/>
            <w:r>
              <w:t xml:space="preserve">) in such a way as to ensure that the chemical is destroyed or irreversibly transformed so that the remaining waste and environmental releases do not contain chemicals that have Schedule 6 risk characteristics or Schedule 7 risk </w:t>
            </w:r>
            <w:proofErr w:type="gramStart"/>
            <w:r>
              <w:t>characteristics;</w:t>
            </w:r>
            <w:proofErr w:type="gramEnd"/>
            <w:r>
              <w:t xml:space="preserve"> or</w:t>
            </w:r>
          </w:p>
          <w:p w14:paraId="1AED0B4E" w14:textId="6C925F46" w:rsidR="002A3604" w:rsidRDefault="002A3604" w:rsidP="006031CA">
            <w:pPr>
              <w:pStyle w:val="Tabletext"/>
              <w:ind w:left="641" w:hanging="284"/>
            </w:pPr>
            <w:r>
              <w:t>(ii) as authorised under a law of the Commonwealth or a State, where treatment in accordance with subparagraph (</w:t>
            </w:r>
            <w:proofErr w:type="spellStart"/>
            <w:r>
              <w:t>i</w:t>
            </w:r>
            <w:proofErr w:type="spellEnd"/>
            <w:r>
              <w:t>) is not the environmentally preferable option.</w:t>
            </w:r>
          </w:p>
          <w:p w14:paraId="12D75D58" w14:textId="77777777" w:rsidR="002A3604" w:rsidRDefault="002A3604" w:rsidP="002A3604">
            <w:pPr>
              <w:pStyle w:val="Tabletext"/>
            </w:pPr>
            <w:r>
              <w:t xml:space="preserve">(g) Waste consisting of, </w:t>
            </w:r>
            <w:proofErr w:type="gramStart"/>
            <w:r>
              <w:t>containing</w:t>
            </w:r>
            <w:proofErr w:type="gramEnd"/>
            <w:r>
              <w:t xml:space="preserve"> or contaminated by the chemical at a concentration of less than 50 mg/kg must be disposed of, as soon as reasonably practicable, in an environmentally sound manner as authorised under a law of the Commonwealth or a State.</w:t>
            </w:r>
          </w:p>
          <w:p w14:paraId="6B24C0AC" w14:textId="77777777" w:rsidR="002A3604" w:rsidRDefault="002A3604" w:rsidP="002A3604">
            <w:pPr>
              <w:pStyle w:val="Tabletext"/>
            </w:pPr>
            <w:r>
              <w:lastRenderedPageBreak/>
              <w:t>(h) Disposal must not lead to recovery, recycling, reclamation or re use of the chemical on its own, subject to paragraph (</w:t>
            </w:r>
            <w:proofErr w:type="spellStart"/>
            <w:r>
              <w:t>i</w:t>
            </w:r>
            <w:proofErr w:type="spellEnd"/>
            <w:r>
              <w:t>).</w:t>
            </w:r>
          </w:p>
          <w:p w14:paraId="7C00802A" w14:textId="77777777" w:rsidR="002A3604" w:rsidRDefault="002A3604" w:rsidP="002A3604">
            <w:pPr>
              <w:pStyle w:val="Tabletext"/>
            </w:pPr>
            <w:r>
              <w:t>(</w:t>
            </w:r>
            <w:proofErr w:type="spellStart"/>
            <w:r>
              <w:t>i</w:t>
            </w:r>
            <w:proofErr w:type="spellEnd"/>
            <w:r>
              <w:t xml:space="preserve">) In carrying out disposal, the chemical may be isolated from the waste, </w:t>
            </w:r>
            <w:proofErr w:type="gramStart"/>
            <w:r>
              <w:t>provided that</w:t>
            </w:r>
            <w:proofErr w:type="gramEnd"/>
            <w:r>
              <w:t xml:space="preserve"> it is subsequently disposed of in accordance with paragraphs (f) and (g).</w:t>
            </w:r>
          </w:p>
          <w:p w14:paraId="3A41CADD" w14:textId="77777777" w:rsidR="002A3604" w:rsidRDefault="002A3604" w:rsidP="002A3604">
            <w:pPr>
              <w:pStyle w:val="Tabletext"/>
            </w:pPr>
            <w:r>
              <w:t>(j) If an activity in relation to the chemical, or an article containing the chemical, is not permitted under paragraph (b), (c) or (d), a holder of a stockpile of the chemical must:</w:t>
            </w:r>
          </w:p>
          <w:p w14:paraId="48DCF0D1" w14:textId="77777777" w:rsidR="006031CA" w:rsidRDefault="002A3604" w:rsidP="006031CA">
            <w:pPr>
              <w:pStyle w:val="Tabletext"/>
              <w:ind w:left="641" w:hanging="284"/>
            </w:pPr>
            <w:r>
              <w:t>(</w:t>
            </w:r>
            <w:proofErr w:type="spellStart"/>
            <w:r>
              <w:t>i</w:t>
            </w:r>
            <w:proofErr w:type="spellEnd"/>
            <w:r>
              <w:t>) notify the relevant agency responsible for environmental protection of the nature and size of the stockpile; and</w:t>
            </w:r>
          </w:p>
          <w:p w14:paraId="45CDD536" w14:textId="77777777" w:rsidR="006031CA" w:rsidRDefault="002A3604" w:rsidP="006031CA">
            <w:pPr>
              <w:pStyle w:val="Tabletext"/>
              <w:ind w:left="641" w:hanging="284"/>
            </w:pPr>
            <w:r>
              <w:t>(ii) manage that stockpile as waste in accordance with paragraphs (f) and (g); and</w:t>
            </w:r>
          </w:p>
          <w:p w14:paraId="6E904D2C" w14:textId="5A09D218" w:rsidR="002A3604" w:rsidRDefault="002A3604" w:rsidP="006031CA">
            <w:pPr>
              <w:pStyle w:val="Tabletext"/>
              <w:ind w:left="641" w:hanging="284"/>
            </w:pPr>
            <w:r>
              <w:t>(iii) comply with all relevant laws that apply in the relevant jurisdiction.</w:t>
            </w:r>
          </w:p>
          <w:p w14:paraId="30ED7949" w14:textId="77777777" w:rsidR="002A3604" w:rsidRDefault="002A3604" w:rsidP="006031CA">
            <w:pPr>
              <w:pStyle w:val="Tabletext"/>
              <w:spacing w:after="240"/>
            </w:pPr>
            <w:r>
              <w:t xml:space="preserve">(k) The </w:t>
            </w:r>
            <w:proofErr w:type="spellStart"/>
            <w:r>
              <w:t>IChEMS</w:t>
            </w:r>
            <w:proofErr w:type="spellEnd"/>
            <w:r>
              <w:t xml:space="preserve"> Minimum Standards must be complied with.</w:t>
            </w:r>
          </w:p>
        </w:tc>
        <w:tc>
          <w:tcPr>
            <w:tcW w:w="2617" w:type="dxa"/>
            <w:tcBorders>
              <w:top w:val="single" w:sz="2" w:space="0" w:color="auto"/>
              <w:bottom w:val="single" w:sz="2" w:space="0" w:color="auto"/>
            </w:tcBorders>
            <w:shd w:val="clear" w:color="auto" w:fill="auto"/>
          </w:tcPr>
          <w:p w14:paraId="2152B95E" w14:textId="77777777" w:rsidR="002A3604" w:rsidRPr="00920E07" w:rsidRDefault="002A3604" w:rsidP="005B37FA">
            <w:pPr>
              <w:pStyle w:val="Tabletext"/>
            </w:pPr>
          </w:p>
        </w:tc>
      </w:tr>
      <w:tr w:rsidR="008B2BDB" w:rsidRPr="00DD6562" w14:paraId="7FFC4A79" w14:textId="77777777" w:rsidTr="00924BBF">
        <w:tc>
          <w:tcPr>
            <w:tcW w:w="3397" w:type="dxa"/>
            <w:tcBorders>
              <w:top w:val="single" w:sz="2" w:space="0" w:color="auto"/>
              <w:bottom w:val="single" w:sz="2" w:space="0" w:color="auto"/>
            </w:tcBorders>
            <w:shd w:val="clear" w:color="auto" w:fill="auto"/>
          </w:tcPr>
          <w:p w14:paraId="3F95A938" w14:textId="77777777" w:rsidR="00005BCC" w:rsidRPr="00005BCC" w:rsidRDefault="00005BCC" w:rsidP="00005BCC">
            <w:pPr>
              <w:pStyle w:val="NormalWeb"/>
              <w:spacing w:line="252" w:lineRule="auto"/>
              <w:rPr>
                <w:rFonts w:cs="Times New Roman"/>
                <w:color w:val="000000"/>
                <w:sz w:val="20"/>
                <w:shd w:val="clear" w:color="auto" w:fill="FFFFFF"/>
              </w:rPr>
            </w:pPr>
            <w:r w:rsidRPr="00005BCC">
              <w:rPr>
                <w:rFonts w:cs="Times New Roman"/>
                <w:color w:val="000000"/>
                <w:sz w:val="20"/>
                <w:shd w:val="clear" w:color="auto" w:fill="FFFFFF"/>
              </w:rPr>
              <w:lastRenderedPageBreak/>
              <w:t xml:space="preserve">Chemical name: Hexabromocyclododecane, meaning 1,2,5,6,9,10-hexabromocyclododecane and including its main </w:t>
            </w:r>
            <w:proofErr w:type="spellStart"/>
            <w:r w:rsidRPr="00005BCC">
              <w:rPr>
                <w:rFonts w:cs="Times New Roman"/>
                <w:color w:val="000000"/>
                <w:sz w:val="20"/>
                <w:shd w:val="clear" w:color="auto" w:fill="FFFFFF"/>
              </w:rPr>
              <w:t>diastereoisomers</w:t>
            </w:r>
            <w:proofErr w:type="spellEnd"/>
            <w:r w:rsidRPr="00005BCC">
              <w:rPr>
                <w:rFonts w:cs="Times New Roman"/>
                <w:color w:val="000000"/>
                <w:sz w:val="20"/>
                <w:shd w:val="clear" w:color="auto" w:fill="FFFFFF"/>
              </w:rPr>
              <w:t>: alpha- hexabromocyclododecane; beta- hexabromocyclododecane; and gamma-</w:t>
            </w:r>
            <w:proofErr w:type="gramStart"/>
            <w:r w:rsidRPr="00005BCC">
              <w:rPr>
                <w:rFonts w:cs="Times New Roman"/>
                <w:color w:val="000000"/>
                <w:sz w:val="20"/>
                <w:shd w:val="clear" w:color="auto" w:fill="FFFFFF"/>
              </w:rPr>
              <w:t>hexabromocyclododecane</w:t>
            </w:r>
            <w:proofErr w:type="gramEnd"/>
          </w:p>
          <w:p w14:paraId="2734FD41" w14:textId="6B8995FE" w:rsidR="008B2BDB" w:rsidRDefault="00005BCC" w:rsidP="00005BCC">
            <w:pPr>
              <w:pStyle w:val="NormalWeb"/>
              <w:spacing w:before="240" w:line="252" w:lineRule="auto"/>
              <w:rPr>
                <w:rFonts w:cs="Times New Roman"/>
                <w:color w:val="000000"/>
                <w:sz w:val="20"/>
                <w:shd w:val="clear" w:color="auto" w:fill="FFFFFF"/>
              </w:rPr>
            </w:pPr>
            <w:r w:rsidRPr="00005BCC">
              <w:rPr>
                <w:rFonts w:cs="Times New Roman"/>
                <w:color w:val="000000"/>
                <w:sz w:val="20"/>
                <w:shd w:val="clear" w:color="auto" w:fill="FFFFFF"/>
              </w:rPr>
              <w:lastRenderedPageBreak/>
              <w:t>CAS numbers: 25637-99-4, 3194-55-6, 134237-50-6, 134237-51-7 and 134237-52-8</w:t>
            </w:r>
          </w:p>
        </w:tc>
        <w:tc>
          <w:tcPr>
            <w:tcW w:w="2268" w:type="dxa"/>
            <w:tcBorders>
              <w:top w:val="single" w:sz="2" w:space="0" w:color="auto"/>
              <w:bottom w:val="single" w:sz="2" w:space="0" w:color="auto"/>
            </w:tcBorders>
            <w:shd w:val="clear" w:color="auto" w:fill="auto"/>
          </w:tcPr>
          <w:p w14:paraId="36E47943" w14:textId="77777777" w:rsidR="008B2BDB" w:rsidRPr="00920E07" w:rsidRDefault="008B2BDB" w:rsidP="005B37FA">
            <w:pPr>
              <w:pStyle w:val="Tabletext"/>
            </w:pPr>
          </w:p>
        </w:tc>
        <w:tc>
          <w:tcPr>
            <w:tcW w:w="4962" w:type="dxa"/>
            <w:tcBorders>
              <w:top w:val="single" w:sz="2" w:space="0" w:color="auto"/>
              <w:bottom w:val="single" w:sz="2" w:space="0" w:color="auto"/>
            </w:tcBorders>
            <w:shd w:val="clear" w:color="auto" w:fill="auto"/>
          </w:tcPr>
          <w:p w14:paraId="1BF16D26" w14:textId="27EF2922" w:rsidR="008B2BDB" w:rsidRDefault="00BF074E" w:rsidP="00BF074E">
            <w:pPr>
              <w:pStyle w:val="Tabletext"/>
            </w:pPr>
            <w:r w:rsidRPr="00BF074E">
              <w:t>(a</w:t>
            </w:r>
            <w:r>
              <w:t xml:space="preserve">) </w:t>
            </w:r>
            <w:r w:rsidR="00DD4879" w:rsidRPr="00DD4879">
              <w:t>This entry comes into effect on 1 July 2024.</w:t>
            </w:r>
          </w:p>
          <w:p w14:paraId="0512BFBC" w14:textId="2F76C623" w:rsidR="00BF074E" w:rsidRDefault="005B3272" w:rsidP="00BF074E">
            <w:pPr>
              <w:pStyle w:val="Tabletext"/>
            </w:pPr>
            <w:r w:rsidRPr="005B3272">
              <w:t xml:space="preserve">(b) The import, </w:t>
            </w:r>
            <w:proofErr w:type="gramStart"/>
            <w:r w:rsidRPr="005B3272">
              <w:t>export</w:t>
            </w:r>
            <w:proofErr w:type="gramEnd"/>
            <w:r w:rsidRPr="005B3272">
              <w:t xml:space="preserve"> and manufacture of the chemical (whether on its own or in mixtures or in articles) are prohibited except:</w:t>
            </w:r>
          </w:p>
          <w:p w14:paraId="495776E7" w14:textId="77777777" w:rsidR="00DE7A0B" w:rsidRDefault="00497FEF" w:rsidP="00DE7A0B">
            <w:pPr>
              <w:pStyle w:val="Tabletext"/>
              <w:ind w:left="641" w:hanging="284"/>
            </w:pPr>
            <w:r w:rsidRPr="00497FEF">
              <w:t>(</w:t>
            </w:r>
            <w:proofErr w:type="spellStart"/>
            <w:r w:rsidRPr="00497FEF">
              <w:t>i</w:t>
            </w:r>
            <w:proofErr w:type="spellEnd"/>
            <w:r w:rsidRPr="00497FEF">
              <w:t>) in circumstances where the chemical is present as unintentional trace contamination at a level equal to or below 100 mg/kg (to be reviewed by the department by 1 July 2027); or</w:t>
            </w:r>
          </w:p>
          <w:p w14:paraId="1695285A" w14:textId="77777777" w:rsidR="00DE7A0B" w:rsidRDefault="00315AAA" w:rsidP="00DE7A0B">
            <w:pPr>
              <w:pStyle w:val="Tabletext"/>
              <w:ind w:left="641" w:hanging="284"/>
            </w:pPr>
            <w:r w:rsidRPr="00315AAA">
              <w:t>(ii) for research or laboratory purposes; or</w:t>
            </w:r>
          </w:p>
          <w:p w14:paraId="7CB378A8" w14:textId="2FBA3BCE" w:rsidR="001D615F" w:rsidRDefault="001D615F" w:rsidP="00DE7A0B">
            <w:pPr>
              <w:pStyle w:val="Tabletext"/>
              <w:ind w:left="641" w:hanging="284"/>
            </w:pPr>
            <w:r w:rsidRPr="001D615F">
              <w:lastRenderedPageBreak/>
              <w:t>(iii) if a hazardous waste permit authorises the import or export of the chemical.</w:t>
            </w:r>
          </w:p>
          <w:p w14:paraId="1E7207A6" w14:textId="2E6CA798" w:rsidR="008D7667" w:rsidRDefault="008D7667" w:rsidP="00BF074E">
            <w:pPr>
              <w:pStyle w:val="Tabletext"/>
            </w:pPr>
            <w:r w:rsidRPr="008D7667">
              <w:t>(c) The use of the chemical (whether on its own or in mixtures or in articles) is prohibited except:</w:t>
            </w:r>
          </w:p>
          <w:p w14:paraId="1790D9C6" w14:textId="77777777" w:rsidR="00DE7A0B" w:rsidRDefault="00D86E33" w:rsidP="00DE7A0B">
            <w:pPr>
              <w:pStyle w:val="Tabletext"/>
              <w:ind w:left="641" w:hanging="284"/>
            </w:pPr>
            <w:r w:rsidRPr="00D86E33">
              <w:t>(</w:t>
            </w:r>
            <w:proofErr w:type="spellStart"/>
            <w:r w:rsidRPr="00D86E33">
              <w:t>i</w:t>
            </w:r>
            <w:proofErr w:type="spellEnd"/>
            <w:r w:rsidRPr="00D86E33">
              <w:t>) in circumstances where the chemical is present as unintentional trace contamination at a level equal to or below 100 mg/kg (to be reviewed by the department by 1 July 2027); or</w:t>
            </w:r>
          </w:p>
          <w:p w14:paraId="59C2FE9D" w14:textId="77777777" w:rsidR="00DE7A0B" w:rsidRDefault="00CF02F4" w:rsidP="00DE7A0B">
            <w:pPr>
              <w:pStyle w:val="Tabletext"/>
              <w:ind w:left="641" w:hanging="284"/>
            </w:pPr>
            <w:r w:rsidRPr="00CF02F4">
              <w:t>(ii) for research or laboratory purposes; or</w:t>
            </w:r>
          </w:p>
          <w:p w14:paraId="2B1B75B4" w14:textId="3194D40F" w:rsidR="00CF02F4" w:rsidRDefault="00D43444" w:rsidP="00DE7A0B">
            <w:pPr>
              <w:pStyle w:val="Tabletext"/>
              <w:ind w:left="641" w:hanging="284"/>
            </w:pPr>
            <w:r w:rsidRPr="00D43444">
              <w:t xml:space="preserve">(iii) for articles </w:t>
            </w:r>
            <w:r w:rsidR="00DE7A0B">
              <w:t>–</w:t>
            </w:r>
            <w:r w:rsidRPr="00D43444">
              <w:t xml:space="preserve"> in circumstances in which the article is already in use on or before 1 July 2024.</w:t>
            </w:r>
          </w:p>
          <w:p w14:paraId="10FEAE5B" w14:textId="4C991F1F" w:rsidR="00AD3ABF" w:rsidRDefault="00AD3ABF" w:rsidP="00BF074E">
            <w:pPr>
              <w:pStyle w:val="Tabletext"/>
            </w:pPr>
            <w:r w:rsidRPr="00AD3ABF">
              <w:t>(d) Producers and holders of waste must undertake all reasonably practicable measures to avoid contamination of waste not already containing HBCDD with this chemical and must not dilute HBCDD waste to lower the HBCDD concentration below relevant waste handling and disposal thresholds.</w:t>
            </w:r>
          </w:p>
          <w:p w14:paraId="50FCA583" w14:textId="77777777" w:rsidR="005F20E9" w:rsidRDefault="005F20E9" w:rsidP="005F20E9">
            <w:pPr>
              <w:pStyle w:val="Tabletext"/>
            </w:pPr>
            <w:r>
              <w:t xml:space="preserve">(e) Waste consisting of, </w:t>
            </w:r>
            <w:proofErr w:type="gramStart"/>
            <w:r>
              <w:t>containing</w:t>
            </w:r>
            <w:proofErr w:type="gramEnd"/>
            <w:r>
              <w:t xml:space="preserve"> or contaminated by the chemical at a concentration that is equal to, or greater than, 500 mg/kg (this level to be reviewed by the department on or before 1 July 2027) must be either:</w:t>
            </w:r>
          </w:p>
          <w:p w14:paraId="5C5E567E" w14:textId="77777777" w:rsidR="00053654" w:rsidRDefault="005F20E9" w:rsidP="00053654">
            <w:pPr>
              <w:pStyle w:val="Tabletext"/>
              <w:ind w:left="641" w:hanging="284"/>
            </w:pPr>
            <w:r>
              <w:t>(</w:t>
            </w:r>
            <w:proofErr w:type="spellStart"/>
            <w:r>
              <w:t>i</w:t>
            </w:r>
            <w:proofErr w:type="spellEnd"/>
            <w:r>
              <w:t>) treated in such a way as to ensure that the chemical is destroyed or irreversibly transformed so that the remaining waste and environmental releases do not contain chemicals that exhibit Schedule 6 or Schedule 7 risk characteristics, or</w:t>
            </w:r>
          </w:p>
          <w:p w14:paraId="73081F7E" w14:textId="4FE9EE0D" w:rsidR="005F20E9" w:rsidRDefault="005F20E9" w:rsidP="00053654">
            <w:pPr>
              <w:pStyle w:val="Tabletext"/>
              <w:ind w:left="641" w:hanging="284"/>
            </w:pPr>
            <w:r>
              <w:t xml:space="preserve">(ii) managed or disposed of in an environmentally sound manner as authorised under a law of the Commonwealth or a law of a State, where </w:t>
            </w:r>
            <w:r>
              <w:lastRenderedPageBreak/>
              <w:t>treatment in accordance with subparagraph (</w:t>
            </w:r>
            <w:proofErr w:type="spellStart"/>
            <w:r>
              <w:t>i</w:t>
            </w:r>
            <w:proofErr w:type="spellEnd"/>
            <w:r>
              <w:t>) is not the environmentally preferable option.</w:t>
            </w:r>
          </w:p>
          <w:p w14:paraId="4353D965" w14:textId="30FA5F46" w:rsidR="00F26D0A" w:rsidRDefault="00F26D0A" w:rsidP="005F20E9">
            <w:pPr>
              <w:pStyle w:val="Tabletext"/>
            </w:pPr>
            <w:r w:rsidRPr="00F26D0A">
              <w:t xml:space="preserve">(f) Waste consisting of, </w:t>
            </w:r>
            <w:proofErr w:type="gramStart"/>
            <w:r w:rsidRPr="00F26D0A">
              <w:t>containing</w:t>
            </w:r>
            <w:proofErr w:type="gramEnd"/>
            <w:r w:rsidRPr="00F26D0A">
              <w:t xml:space="preserve"> or contaminated by the chemical at a concentration of less than 500 mg/kg must be managed or disposed of in an environmentally sound manner as authorised under a law of the Commonwealth or a law of a State.</w:t>
            </w:r>
          </w:p>
          <w:p w14:paraId="4C75E92E" w14:textId="063D67E5" w:rsidR="00C600EA" w:rsidRDefault="00C600EA" w:rsidP="005F20E9">
            <w:pPr>
              <w:pStyle w:val="Tabletext"/>
            </w:pPr>
            <w:r w:rsidRPr="00C600EA">
              <w:t xml:space="preserve">(g) Disposal of waste must not lead to recovery, recycling, </w:t>
            </w:r>
            <w:proofErr w:type="gramStart"/>
            <w:r w:rsidRPr="00C600EA">
              <w:t>reclamation</w:t>
            </w:r>
            <w:proofErr w:type="gramEnd"/>
            <w:r w:rsidRPr="00C600EA">
              <w:t xml:space="preserve"> or re-use of the chemical, subject to paragraph (h).</w:t>
            </w:r>
          </w:p>
          <w:p w14:paraId="1338C641" w14:textId="77777777" w:rsidR="001153D9" w:rsidRDefault="001153D9" w:rsidP="001153D9">
            <w:pPr>
              <w:pStyle w:val="Tabletext"/>
            </w:pPr>
            <w:r>
              <w:t>(</w:t>
            </w:r>
            <w:proofErr w:type="spellStart"/>
            <w:r>
              <w:t>i</w:t>
            </w:r>
            <w:proofErr w:type="spellEnd"/>
            <w:r>
              <w:t>) If an activity in relation to the chemical, or an article containing the chemical, is not permitted under paragraph (b) or (c), a holder of a stockpile of the chemical must:</w:t>
            </w:r>
          </w:p>
          <w:p w14:paraId="3161BFAD" w14:textId="77777777" w:rsidR="00053654" w:rsidRDefault="001153D9" w:rsidP="00053654">
            <w:pPr>
              <w:pStyle w:val="Tabletext"/>
              <w:ind w:left="641" w:hanging="284"/>
            </w:pPr>
            <w:r>
              <w:t>(</w:t>
            </w:r>
            <w:proofErr w:type="spellStart"/>
            <w:r>
              <w:t>i</w:t>
            </w:r>
            <w:proofErr w:type="spellEnd"/>
            <w:r>
              <w:t>) notify the relevant agency responsible for environmental protection of the nature and size of the stockpile; and</w:t>
            </w:r>
          </w:p>
          <w:p w14:paraId="1C6BFF8A" w14:textId="77777777" w:rsidR="00053654" w:rsidRDefault="001153D9" w:rsidP="00053654">
            <w:pPr>
              <w:pStyle w:val="Tabletext"/>
              <w:ind w:left="641" w:hanging="284"/>
            </w:pPr>
            <w:r>
              <w:t>(ii) manage that stockpile as waste in accordance with paragraphs (e) and (f); and</w:t>
            </w:r>
          </w:p>
          <w:p w14:paraId="02C821DF" w14:textId="0471CA56" w:rsidR="00C600EA" w:rsidRDefault="001153D9" w:rsidP="00053654">
            <w:pPr>
              <w:pStyle w:val="Tabletext"/>
              <w:ind w:left="641" w:hanging="284"/>
            </w:pPr>
            <w:r>
              <w:t>(iii) comply with all relevant laws that apply in the relevant jurisdiction.</w:t>
            </w:r>
          </w:p>
          <w:p w14:paraId="760CC03A" w14:textId="0D8F72C7" w:rsidR="00BF074E" w:rsidRDefault="00F92EBA" w:rsidP="006031CA">
            <w:pPr>
              <w:pStyle w:val="Tabletext"/>
              <w:spacing w:after="240"/>
            </w:pPr>
            <w:r w:rsidRPr="00F92EBA">
              <w:t xml:space="preserve">(j) The </w:t>
            </w:r>
            <w:proofErr w:type="spellStart"/>
            <w:r w:rsidRPr="00F92EBA">
              <w:t>IChEMS</w:t>
            </w:r>
            <w:proofErr w:type="spellEnd"/>
            <w:r w:rsidRPr="00F92EBA">
              <w:t xml:space="preserve"> Minimum Standards must be complied with.</w:t>
            </w:r>
          </w:p>
        </w:tc>
        <w:tc>
          <w:tcPr>
            <w:tcW w:w="2617" w:type="dxa"/>
            <w:tcBorders>
              <w:top w:val="single" w:sz="2" w:space="0" w:color="auto"/>
              <w:bottom w:val="single" w:sz="2" w:space="0" w:color="auto"/>
            </w:tcBorders>
            <w:shd w:val="clear" w:color="auto" w:fill="auto"/>
          </w:tcPr>
          <w:p w14:paraId="62375672" w14:textId="77777777" w:rsidR="008B2BDB" w:rsidRPr="00920E07" w:rsidRDefault="008B2BDB" w:rsidP="005B37FA">
            <w:pPr>
              <w:pStyle w:val="Tabletext"/>
            </w:pPr>
          </w:p>
        </w:tc>
      </w:tr>
      <w:tr w:rsidR="00732B5D" w:rsidRPr="00DD6562" w14:paraId="64D451DC" w14:textId="77777777" w:rsidTr="00924BBF">
        <w:tc>
          <w:tcPr>
            <w:tcW w:w="3397" w:type="dxa"/>
            <w:tcBorders>
              <w:top w:val="single" w:sz="2" w:space="0" w:color="auto"/>
              <w:bottom w:val="single" w:sz="2" w:space="0" w:color="auto"/>
            </w:tcBorders>
            <w:shd w:val="clear" w:color="auto" w:fill="auto"/>
          </w:tcPr>
          <w:p w14:paraId="284676B3" w14:textId="77777777" w:rsidR="007E78F4" w:rsidRDefault="007E78F4" w:rsidP="007E78F4">
            <w:pPr>
              <w:pStyle w:val="NormalWeb"/>
              <w:spacing w:line="252" w:lineRule="auto"/>
              <w:rPr>
                <w:rFonts w:cs="Times New Roman"/>
                <w:color w:val="000000"/>
                <w:sz w:val="20"/>
                <w:shd w:val="clear" w:color="auto" w:fill="FFFFFF"/>
              </w:rPr>
            </w:pPr>
            <w:r w:rsidRPr="007E78F4">
              <w:rPr>
                <w:rFonts w:cs="Times New Roman"/>
                <w:color w:val="000000"/>
                <w:sz w:val="20"/>
                <w:shd w:val="clear" w:color="auto" w:fill="FFFFFF"/>
              </w:rPr>
              <w:lastRenderedPageBreak/>
              <w:t xml:space="preserve">Class name: </w:t>
            </w:r>
          </w:p>
          <w:p w14:paraId="5DE85792" w14:textId="5ACA91C1" w:rsidR="007E78F4" w:rsidRPr="007E78F4" w:rsidRDefault="007E78F4" w:rsidP="007E78F4">
            <w:pPr>
              <w:pStyle w:val="NormalWeb"/>
              <w:spacing w:line="252" w:lineRule="auto"/>
              <w:rPr>
                <w:rFonts w:cs="Times New Roman"/>
                <w:color w:val="000000"/>
                <w:sz w:val="20"/>
                <w:shd w:val="clear" w:color="auto" w:fill="FFFFFF"/>
              </w:rPr>
            </w:pPr>
            <w:proofErr w:type="spellStart"/>
            <w:r w:rsidRPr="007E78F4">
              <w:rPr>
                <w:rFonts w:cs="Times New Roman"/>
                <w:color w:val="000000"/>
                <w:sz w:val="20"/>
                <w:shd w:val="clear" w:color="auto" w:fill="FFFFFF"/>
              </w:rPr>
              <w:t>Octabromodiphenyl</w:t>
            </w:r>
            <w:proofErr w:type="spellEnd"/>
            <w:r w:rsidRPr="007E78F4">
              <w:rPr>
                <w:rFonts w:cs="Times New Roman"/>
                <w:color w:val="000000"/>
                <w:sz w:val="20"/>
                <w:shd w:val="clear" w:color="auto" w:fill="FFFFFF"/>
              </w:rPr>
              <w:t xml:space="preserve"> ether, </w:t>
            </w:r>
            <w:proofErr w:type="spellStart"/>
            <w:r w:rsidRPr="007E78F4">
              <w:rPr>
                <w:rFonts w:cs="Times New Roman"/>
                <w:color w:val="000000"/>
                <w:sz w:val="20"/>
                <w:shd w:val="clear" w:color="auto" w:fill="FFFFFF"/>
              </w:rPr>
              <w:t>heptabromodiphenyl</w:t>
            </w:r>
            <w:proofErr w:type="spellEnd"/>
            <w:r w:rsidRPr="007E78F4">
              <w:rPr>
                <w:rFonts w:cs="Times New Roman"/>
                <w:color w:val="000000"/>
                <w:sz w:val="20"/>
                <w:shd w:val="clear" w:color="auto" w:fill="FFFFFF"/>
              </w:rPr>
              <w:t xml:space="preserve"> and </w:t>
            </w:r>
            <w:proofErr w:type="spellStart"/>
            <w:r w:rsidRPr="007E78F4">
              <w:rPr>
                <w:rFonts w:cs="Times New Roman"/>
                <w:color w:val="000000"/>
                <w:sz w:val="20"/>
                <w:shd w:val="clear" w:color="auto" w:fill="FFFFFF"/>
              </w:rPr>
              <w:t>hexabromodiphenyl</w:t>
            </w:r>
            <w:proofErr w:type="spellEnd"/>
            <w:r w:rsidRPr="007E78F4">
              <w:rPr>
                <w:rFonts w:cs="Times New Roman"/>
                <w:color w:val="000000"/>
                <w:sz w:val="20"/>
                <w:shd w:val="clear" w:color="auto" w:fill="FFFFFF"/>
              </w:rPr>
              <w:t xml:space="preserve"> ether (</w:t>
            </w:r>
            <w:proofErr w:type="spellStart"/>
            <w:r w:rsidRPr="007E78F4">
              <w:rPr>
                <w:rFonts w:cs="Times New Roman"/>
                <w:color w:val="000000"/>
                <w:sz w:val="20"/>
                <w:shd w:val="clear" w:color="auto" w:fill="FFFFFF"/>
              </w:rPr>
              <w:t>octaBDE</w:t>
            </w:r>
            <w:proofErr w:type="spellEnd"/>
            <w:r w:rsidRPr="007E78F4">
              <w:rPr>
                <w:rFonts w:cs="Times New Roman"/>
                <w:color w:val="000000"/>
                <w:sz w:val="20"/>
                <w:shd w:val="clear" w:color="auto" w:fill="FFFFFF"/>
              </w:rPr>
              <w:t xml:space="preserve">, </w:t>
            </w:r>
            <w:proofErr w:type="spellStart"/>
            <w:r w:rsidRPr="007E78F4">
              <w:rPr>
                <w:rFonts w:cs="Times New Roman"/>
                <w:color w:val="000000"/>
                <w:sz w:val="20"/>
                <w:shd w:val="clear" w:color="auto" w:fill="FFFFFF"/>
              </w:rPr>
              <w:t>heptaBDE</w:t>
            </w:r>
            <w:proofErr w:type="spellEnd"/>
            <w:r w:rsidRPr="007E78F4">
              <w:rPr>
                <w:rFonts w:cs="Times New Roman"/>
                <w:color w:val="000000"/>
                <w:sz w:val="20"/>
                <w:shd w:val="clear" w:color="auto" w:fill="FFFFFF"/>
              </w:rPr>
              <w:t xml:space="preserve"> and </w:t>
            </w:r>
            <w:proofErr w:type="spellStart"/>
            <w:r w:rsidRPr="007E78F4">
              <w:rPr>
                <w:rFonts w:cs="Times New Roman"/>
                <w:color w:val="000000"/>
                <w:sz w:val="20"/>
                <w:shd w:val="clear" w:color="auto" w:fill="FFFFFF"/>
              </w:rPr>
              <w:t>hexaBDE</w:t>
            </w:r>
            <w:proofErr w:type="spellEnd"/>
            <w:r w:rsidRPr="007E78F4">
              <w:rPr>
                <w:rFonts w:cs="Times New Roman"/>
                <w:color w:val="000000"/>
                <w:sz w:val="20"/>
                <w:shd w:val="clear" w:color="auto" w:fill="FFFFFF"/>
              </w:rPr>
              <w:t xml:space="preserve"> - all 12, 24 and 42 congeners respectively) </w:t>
            </w:r>
          </w:p>
          <w:p w14:paraId="1C3D046D" w14:textId="0944C80B" w:rsidR="00732B5D" w:rsidRPr="00005BCC" w:rsidRDefault="007E78F4" w:rsidP="007E78F4">
            <w:pPr>
              <w:pStyle w:val="NormalWeb"/>
              <w:spacing w:before="240" w:line="252" w:lineRule="auto"/>
              <w:rPr>
                <w:rFonts w:cs="Times New Roman"/>
                <w:color w:val="000000"/>
                <w:sz w:val="20"/>
                <w:shd w:val="clear" w:color="auto" w:fill="FFFFFF"/>
              </w:rPr>
            </w:pPr>
            <w:r w:rsidRPr="007E78F4">
              <w:rPr>
                <w:rFonts w:cs="Times New Roman"/>
                <w:color w:val="000000"/>
                <w:sz w:val="20"/>
                <w:shd w:val="clear" w:color="auto" w:fill="FFFFFF"/>
              </w:rPr>
              <w:lastRenderedPageBreak/>
              <w:t>CAS numbers: 32536-52-0, 68928-80-3 and 36483-60-0 for the octa-, hepta- and hexabromobiphenyl ether homologues respectively</w:t>
            </w:r>
            <w:r w:rsidR="001D687A">
              <w:rPr>
                <w:rFonts w:cs="Times New Roman"/>
                <w:color w:val="000000"/>
                <w:sz w:val="20"/>
                <w:shd w:val="clear" w:color="auto" w:fill="FFFFFF"/>
              </w:rPr>
              <w:t>.</w:t>
            </w:r>
          </w:p>
        </w:tc>
        <w:tc>
          <w:tcPr>
            <w:tcW w:w="2268" w:type="dxa"/>
            <w:tcBorders>
              <w:top w:val="single" w:sz="2" w:space="0" w:color="auto"/>
              <w:bottom w:val="single" w:sz="2" w:space="0" w:color="auto"/>
            </w:tcBorders>
            <w:shd w:val="clear" w:color="auto" w:fill="auto"/>
          </w:tcPr>
          <w:p w14:paraId="6BDF89A9" w14:textId="77777777" w:rsidR="00732B5D" w:rsidRPr="00920E07" w:rsidRDefault="00732B5D" w:rsidP="005B37FA">
            <w:pPr>
              <w:pStyle w:val="Tabletext"/>
            </w:pPr>
          </w:p>
        </w:tc>
        <w:tc>
          <w:tcPr>
            <w:tcW w:w="4962" w:type="dxa"/>
            <w:tcBorders>
              <w:top w:val="single" w:sz="2" w:space="0" w:color="auto"/>
              <w:bottom w:val="single" w:sz="2" w:space="0" w:color="auto"/>
            </w:tcBorders>
            <w:shd w:val="clear" w:color="auto" w:fill="auto"/>
          </w:tcPr>
          <w:p w14:paraId="7ECE5A20" w14:textId="03C45FFF" w:rsidR="00732B5D" w:rsidRDefault="00D825C9" w:rsidP="00D825C9">
            <w:pPr>
              <w:pStyle w:val="Tabletext"/>
            </w:pPr>
            <w:r w:rsidRPr="00D825C9">
              <w:t>(a</w:t>
            </w:r>
            <w:r>
              <w:t xml:space="preserve">) </w:t>
            </w:r>
            <w:r w:rsidRPr="00D825C9">
              <w:t>This entry comes into effect on 1 July 2024.</w:t>
            </w:r>
          </w:p>
          <w:p w14:paraId="7BFC1AAD" w14:textId="77777777" w:rsidR="00D825C9" w:rsidRDefault="005E0E5F" w:rsidP="00D825C9">
            <w:pPr>
              <w:pStyle w:val="Tabletext"/>
            </w:pPr>
            <w:r w:rsidRPr="005E0E5F">
              <w:t xml:space="preserve">(b) The import, </w:t>
            </w:r>
            <w:proofErr w:type="gramStart"/>
            <w:r w:rsidRPr="005E0E5F">
              <w:t>export</w:t>
            </w:r>
            <w:proofErr w:type="gramEnd"/>
            <w:r w:rsidRPr="005E0E5F">
              <w:t xml:space="preserve"> and manufacture of the class of chemicals (whether on its own or in mixtures or in articles) are prohibited except:</w:t>
            </w:r>
          </w:p>
          <w:p w14:paraId="2278E8FF" w14:textId="6AC1AFCA" w:rsidR="003F65EA" w:rsidRDefault="00CE2F6B" w:rsidP="003F65EA">
            <w:pPr>
              <w:pStyle w:val="Tabletext"/>
              <w:ind w:left="641" w:hanging="284"/>
            </w:pPr>
            <w:r>
              <w:lastRenderedPageBreak/>
              <w:t>(</w:t>
            </w:r>
            <w:proofErr w:type="spellStart"/>
            <w:r>
              <w:t>i</w:t>
            </w:r>
            <w:proofErr w:type="spellEnd"/>
            <w:r>
              <w:t xml:space="preserve">) for chemical substances </w:t>
            </w:r>
            <w:r w:rsidR="00FD2168">
              <w:t>–</w:t>
            </w:r>
            <w:r>
              <w:t xml:space="preserve"> in circumstances where the class of chemicals is present as unintentional trace contamination at the following levels (to be reviewed by the department by 1 July 2027)</w:t>
            </w:r>
            <w:r w:rsidR="003F65EA">
              <w:t>:</w:t>
            </w:r>
          </w:p>
          <w:p w14:paraId="164AB4CC" w14:textId="77777777" w:rsidR="003F65EA" w:rsidRDefault="00CE2F6B" w:rsidP="003F65EA">
            <w:pPr>
              <w:pStyle w:val="Tabletext"/>
              <w:ind w:left="925" w:hanging="284"/>
            </w:pPr>
            <w:r>
              <w:t>(</w:t>
            </w:r>
            <w:r w:rsidR="003F65EA">
              <w:t>A</w:t>
            </w:r>
            <w:r>
              <w:t xml:space="preserve">) sum of all </w:t>
            </w:r>
            <w:proofErr w:type="spellStart"/>
            <w:r>
              <w:t>hexaBDE</w:t>
            </w:r>
            <w:proofErr w:type="spellEnd"/>
            <w:r>
              <w:t xml:space="preserve"> congeners: equal to or below 10 mg/kg; and</w:t>
            </w:r>
          </w:p>
          <w:p w14:paraId="0D5371EE" w14:textId="77777777" w:rsidR="003F65EA" w:rsidRDefault="00CE2F6B" w:rsidP="003F65EA">
            <w:pPr>
              <w:pStyle w:val="Tabletext"/>
              <w:ind w:left="925" w:hanging="284"/>
            </w:pPr>
            <w:r>
              <w:t>(</w:t>
            </w:r>
            <w:r w:rsidR="003F65EA">
              <w:t>B</w:t>
            </w:r>
            <w:r>
              <w:t xml:space="preserve">) sum of all </w:t>
            </w:r>
            <w:proofErr w:type="spellStart"/>
            <w:r>
              <w:t>heptaBDE</w:t>
            </w:r>
            <w:proofErr w:type="spellEnd"/>
            <w:r>
              <w:t xml:space="preserve"> congeners: equal to or below 10 mg/kg; an</w:t>
            </w:r>
            <w:r w:rsidR="003F65EA">
              <w:t>d</w:t>
            </w:r>
          </w:p>
          <w:p w14:paraId="763555F9" w14:textId="77777777" w:rsidR="003F65EA" w:rsidRDefault="00CE2F6B" w:rsidP="003F65EA">
            <w:pPr>
              <w:pStyle w:val="Tabletext"/>
              <w:ind w:left="925" w:hanging="284"/>
            </w:pPr>
            <w:r>
              <w:t>(</w:t>
            </w:r>
            <w:r w:rsidR="003F65EA">
              <w:t>C</w:t>
            </w:r>
            <w:r>
              <w:t xml:space="preserve">) sum of all </w:t>
            </w:r>
            <w:proofErr w:type="spellStart"/>
            <w:r>
              <w:t>octaBDE</w:t>
            </w:r>
            <w:proofErr w:type="spellEnd"/>
            <w:r>
              <w:t xml:space="preserve"> congeners: equal to or below 10 mg/kg; or</w:t>
            </w:r>
          </w:p>
          <w:p w14:paraId="6E913803" w14:textId="5D3590AB" w:rsidR="00640BB3" w:rsidRDefault="006D63D5" w:rsidP="00640BB3">
            <w:pPr>
              <w:pStyle w:val="Tabletext"/>
              <w:ind w:left="641" w:hanging="284"/>
            </w:pPr>
            <w:r w:rsidRPr="006D63D5">
              <w:t xml:space="preserve">(ii) for electrical and electronic equipment </w:t>
            </w:r>
            <w:r w:rsidR="00FD2168">
              <w:t>–</w:t>
            </w:r>
            <w:r w:rsidRPr="006D63D5">
              <w:t xml:space="preserve"> in circumstances where polybrominated diphenyl ethers (PBDEs) are present in homogeneous materials contained within such electrical and electronic equipment at a level equal to or below 1000 mg/kg as the sum of all mono- to </w:t>
            </w:r>
            <w:proofErr w:type="spellStart"/>
            <w:r w:rsidRPr="006D63D5">
              <w:t>decaBDE</w:t>
            </w:r>
            <w:proofErr w:type="spellEnd"/>
            <w:r w:rsidRPr="006D63D5">
              <w:t xml:space="preserve"> congeners inclusive (to be reviewed by the department by 1 July 2027); or</w:t>
            </w:r>
          </w:p>
          <w:p w14:paraId="49C63C19" w14:textId="77777777" w:rsidR="005F52D8" w:rsidRDefault="00DF13B8" w:rsidP="005F52D8">
            <w:pPr>
              <w:pStyle w:val="Tabletext"/>
              <w:ind w:left="641" w:hanging="284"/>
            </w:pPr>
            <w:r w:rsidRPr="00DF13B8">
              <w:t xml:space="preserve">(iii) for articles other than those mentioned in subparagraph (b)(ii) - in circumstances where PBDEs are present in the article as an unintentional trace contaminant at a level equal to or below 500 mg/kg as the sum of all tetra-, penta-, hexa-, hepta-, octa-, </w:t>
            </w:r>
            <w:proofErr w:type="spellStart"/>
            <w:r w:rsidRPr="00DF13B8">
              <w:t>nona</w:t>
            </w:r>
            <w:proofErr w:type="spellEnd"/>
            <w:r w:rsidRPr="00DF13B8">
              <w:t xml:space="preserve">- and </w:t>
            </w:r>
            <w:proofErr w:type="spellStart"/>
            <w:r w:rsidRPr="00DF13B8">
              <w:t>decaBDE</w:t>
            </w:r>
            <w:proofErr w:type="spellEnd"/>
            <w:r w:rsidRPr="00DF13B8">
              <w:t xml:space="preserve"> congeners (to be reviewed by the department by 1 July 2027); or</w:t>
            </w:r>
          </w:p>
          <w:p w14:paraId="12A6D10F" w14:textId="77777777" w:rsidR="005F52D8" w:rsidRDefault="004655A1" w:rsidP="005F52D8">
            <w:pPr>
              <w:pStyle w:val="Tabletext"/>
              <w:ind w:left="641" w:hanging="284"/>
            </w:pPr>
            <w:r w:rsidRPr="004655A1">
              <w:t>(iv) for research or laboratory purposes; or</w:t>
            </w:r>
          </w:p>
          <w:p w14:paraId="27EA161B" w14:textId="77805E19" w:rsidR="00FF7BA5" w:rsidRDefault="00FF7BA5" w:rsidP="005F52D8">
            <w:pPr>
              <w:pStyle w:val="Tabletext"/>
              <w:ind w:left="641" w:hanging="284"/>
            </w:pPr>
            <w:r w:rsidRPr="00FF7BA5">
              <w:t>(v) if a hazardous waste permit authorises the import or export of the class of chemicals.</w:t>
            </w:r>
          </w:p>
          <w:p w14:paraId="05325D57" w14:textId="77777777" w:rsidR="00FD2168" w:rsidRDefault="00A5501A" w:rsidP="00087A9A">
            <w:pPr>
              <w:pStyle w:val="Tabletext"/>
            </w:pPr>
            <w:r w:rsidRPr="00A5501A">
              <w:lastRenderedPageBreak/>
              <w:t>(c) The use of the class of chemicals (whether on its own or in mixtures or in articles) is prohibited except:</w:t>
            </w:r>
          </w:p>
          <w:p w14:paraId="29DE816C" w14:textId="77777777" w:rsidR="00FD2168" w:rsidRDefault="00087A9A" w:rsidP="00FD2168">
            <w:pPr>
              <w:pStyle w:val="Tabletext"/>
              <w:ind w:left="641" w:hanging="284"/>
            </w:pPr>
            <w:r>
              <w:t>(</w:t>
            </w:r>
            <w:proofErr w:type="spellStart"/>
            <w:r>
              <w:t>i</w:t>
            </w:r>
            <w:proofErr w:type="spellEnd"/>
            <w:r>
              <w:t xml:space="preserve">) for chemical substances </w:t>
            </w:r>
            <w:r w:rsidR="00FD2168">
              <w:t>–</w:t>
            </w:r>
            <w:r>
              <w:t xml:space="preserve"> in circumstances where the class of chemicals is present as unintentional trace contamination at the following levels (to be reviewed by the department by 1 July 2027)</w:t>
            </w:r>
            <w:r w:rsidR="00FD2168">
              <w:t>:</w:t>
            </w:r>
          </w:p>
          <w:p w14:paraId="666F6EF4" w14:textId="77777777" w:rsidR="00FD2168" w:rsidRDefault="00087A9A" w:rsidP="00FD2168">
            <w:pPr>
              <w:pStyle w:val="Tabletext"/>
              <w:ind w:left="925" w:hanging="284"/>
            </w:pPr>
            <w:r>
              <w:t>(</w:t>
            </w:r>
            <w:r w:rsidR="00FD2168">
              <w:t>A</w:t>
            </w:r>
            <w:r>
              <w:t xml:space="preserve">) sum of all </w:t>
            </w:r>
            <w:proofErr w:type="spellStart"/>
            <w:r>
              <w:t>hexaBDE</w:t>
            </w:r>
            <w:proofErr w:type="spellEnd"/>
            <w:r>
              <w:t xml:space="preserve"> congeners: equal to or below 10 mg/kg; and</w:t>
            </w:r>
          </w:p>
          <w:p w14:paraId="574F224D" w14:textId="77777777" w:rsidR="00FD2168" w:rsidRDefault="00087A9A" w:rsidP="00FD2168">
            <w:pPr>
              <w:pStyle w:val="Tabletext"/>
              <w:ind w:left="925" w:hanging="284"/>
            </w:pPr>
            <w:r>
              <w:t>(</w:t>
            </w:r>
            <w:r w:rsidR="00FD2168">
              <w:t>B</w:t>
            </w:r>
            <w:r>
              <w:t xml:space="preserve">) sum of all </w:t>
            </w:r>
            <w:proofErr w:type="spellStart"/>
            <w:r>
              <w:t>heptaBDE</w:t>
            </w:r>
            <w:proofErr w:type="spellEnd"/>
            <w:r>
              <w:t xml:space="preserve"> congeners: equal to or below 10 mg/kg; and</w:t>
            </w:r>
          </w:p>
          <w:p w14:paraId="20CBBA23" w14:textId="77777777" w:rsidR="00FD2168" w:rsidRDefault="00087A9A" w:rsidP="00FD2168">
            <w:pPr>
              <w:pStyle w:val="Tabletext"/>
              <w:ind w:left="925" w:hanging="284"/>
            </w:pPr>
            <w:r>
              <w:t>(</w:t>
            </w:r>
            <w:r w:rsidR="00FD2168">
              <w:t>C</w:t>
            </w:r>
            <w:r>
              <w:t xml:space="preserve">) sum of all </w:t>
            </w:r>
            <w:proofErr w:type="spellStart"/>
            <w:r>
              <w:t>octaBDE</w:t>
            </w:r>
            <w:proofErr w:type="spellEnd"/>
            <w:r>
              <w:t xml:space="preserve"> congeners: equal to or below 10 mg/kg; or</w:t>
            </w:r>
          </w:p>
          <w:p w14:paraId="52C428B2" w14:textId="364BD30E" w:rsidR="00FD2168" w:rsidRDefault="00BD747F" w:rsidP="00FD2168">
            <w:pPr>
              <w:pStyle w:val="Tabletext"/>
              <w:ind w:left="641" w:hanging="284"/>
            </w:pPr>
            <w:r w:rsidRPr="00BD747F">
              <w:t xml:space="preserve">(ii) for electrical and electronic equipment </w:t>
            </w:r>
            <w:r w:rsidR="00FD2168">
              <w:t>–</w:t>
            </w:r>
            <w:r w:rsidRPr="00BD747F">
              <w:t xml:space="preserve"> in circumstances where PBDEs are present in homogeneous materials contained within such electrical and electronic equipment at a level equal to or below 1000 mg/kg as the sum of all mono- to </w:t>
            </w:r>
            <w:proofErr w:type="spellStart"/>
            <w:r w:rsidRPr="00BD747F">
              <w:t>decaBDE</w:t>
            </w:r>
            <w:proofErr w:type="spellEnd"/>
            <w:r w:rsidRPr="00BD747F">
              <w:t xml:space="preserve"> congeners inclusive (to be reviewed by the department by 1 July 2027); or</w:t>
            </w:r>
          </w:p>
          <w:p w14:paraId="73F0D76C" w14:textId="55C6878F" w:rsidR="00FD2168" w:rsidRDefault="004F2D9C" w:rsidP="00FD2168">
            <w:pPr>
              <w:pStyle w:val="Tabletext"/>
              <w:ind w:left="641" w:hanging="284"/>
            </w:pPr>
            <w:r w:rsidRPr="004F2D9C">
              <w:t xml:space="preserve">(iii) for articles other than those mentioned in subparagraph (c)(ii) </w:t>
            </w:r>
            <w:r w:rsidR="00FD2168">
              <w:t>–</w:t>
            </w:r>
            <w:r w:rsidRPr="004F2D9C">
              <w:t xml:space="preserve"> in circumstances where PBDEs are present in the article as an unintentional trace contaminant at a level equal to or below 500 mg/kg as the sum of all tetra-, penta-, hexa-, hepta-, octa-, </w:t>
            </w:r>
            <w:proofErr w:type="spellStart"/>
            <w:r w:rsidRPr="004F2D9C">
              <w:t>nona</w:t>
            </w:r>
            <w:proofErr w:type="spellEnd"/>
            <w:r w:rsidRPr="004F2D9C">
              <w:t xml:space="preserve">- and </w:t>
            </w:r>
            <w:proofErr w:type="spellStart"/>
            <w:r w:rsidRPr="004F2D9C">
              <w:t>decaBDE</w:t>
            </w:r>
            <w:proofErr w:type="spellEnd"/>
            <w:r w:rsidRPr="004F2D9C">
              <w:t xml:space="preserve"> congeners (to be reviewed by the department by 1 July 2027); or</w:t>
            </w:r>
          </w:p>
          <w:p w14:paraId="1BB2FE12" w14:textId="77777777" w:rsidR="00FD2168" w:rsidRDefault="0087198F" w:rsidP="00FD2168">
            <w:pPr>
              <w:pStyle w:val="Tabletext"/>
              <w:ind w:left="641" w:hanging="284"/>
            </w:pPr>
            <w:r w:rsidRPr="0087198F">
              <w:t>(iv) for research or laboratory purposes; or</w:t>
            </w:r>
          </w:p>
          <w:p w14:paraId="30D60B1B" w14:textId="55567F00" w:rsidR="00F450EC" w:rsidRDefault="00F450EC" w:rsidP="00FD2168">
            <w:pPr>
              <w:pStyle w:val="Tabletext"/>
              <w:ind w:left="641" w:hanging="284"/>
            </w:pPr>
            <w:r w:rsidRPr="00F450EC">
              <w:lastRenderedPageBreak/>
              <w:t xml:space="preserve">(v) for articles </w:t>
            </w:r>
            <w:r w:rsidR="00FD2168">
              <w:t>–</w:t>
            </w:r>
            <w:r w:rsidRPr="00F450EC">
              <w:t xml:space="preserve"> in circumstances in which the article is already in use on or before 1 July 2024.</w:t>
            </w:r>
          </w:p>
          <w:p w14:paraId="15ED3471" w14:textId="77777777" w:rsidR="00B669D3" w:rsidRDefault="00B669D3" w:rsidP="00087A9A">
            <w:pPr>
              <w:pStyle w:val="Tabletext"/>
            </w:pPr>
            <w:r w:rsidRPr="00B669D3">
              <w:t xml:space="preserve">(d) Producers and holders of waste must undertake all reasonably practicable measures to avoid contamination of waste not already containing </w:t>
            </w:r>
            <w:proofErr w:type="spellStart"/>
            <w:r w:rsidRPr="00B669D3">
              <w:t>hexaBDE</w:t>
            </w:r>
            <w:proofErr w:type="spellEnd"/>
            <w:r w:rsidRPr="00B669D3">
              <w:t xml:space="preserve">, </w:t>
            </w:r>
            <w:proofErr w:type="spellStart"/>
            <w:r w:rsidRPr="00B669D3">
              <w:t>heptaBDE</w:t>
            </w:r>
            <w:proofErr w:type="spellEnd"/>
            <w:r w:rsidRPr="00B669D3">
              <w:t xml:space="preserve"> and </w:t>
            </w:r>
            <w:proofErr w:type="spellStart"/>
            <w:r w:rsidRPr="00B669D3">
              <w:t>octaBDE</w:t>
            </w:r>
            <w:proofErr w:type="spellEnd"/>
            <w:r w:rsidRPr="00B669D3">
              <w:t xml:space="preserve"> with these substances and must not dilute </w:t>
            </w:r>
            <w:proofErr w:type="spellStart"/>
            <w:r w:rsidRPr="00B669D3">
              <w:t>hexaBDE</w:t>
            </w:r>
            <w:proofErr w:type="spellEnd"/>
            <w:r w:rsidRPr="00B669D3">
              <w:t xml:space="preserve">, </w:t>
            </w:r>
            <w:proofErr w:type="spellStart"/>
            <w:r w:rsidRPr="00B669D3">
              <w:t>heptaBDE</w:t>
            </w:r>
            <w:proofErr w:type="spellEnd"/>
            <w:r w:rsidRPr="00B669D3">
              <w:t xml:space="preserve"> and </w:t>
            </w:r>
            <w:proofErr w:type="spellStart"/>
            <w:r w:rsidRPr="00B669D3">
              <w:t>octaBDE</w:t>
            </w:r>
            <w:proofErr w:type="spellEnd"/>
            <w:r w:rsidRPr="00B669D3">
              <w:t xml:space="preserve"> waste to lower the concentrations below relevant waste handling and disposal thresholds.</w:t>
            </w:r>
          </w:p>
          <w:p w14:paraId="1D719774" w14:textId="77777777" w:rsidR="005E133E" w:rsidRDefault="005E133E" w:rsidP="005E133E">
            <w:pPr>
              <w:pStyle w:val="Tabletext"/>
            </w:pPr>
            <w:r>
              <w:t xml:space="preserve">(e) Waste consisting of, </w:t>
            </w:r>
            <w:proofErr w:type="gramStart"/>
            <w:r>
              <w:t>containing</w:t>
            </w:r>
            <w:proofErr w:type="gramEnd"/>
            <w:r>
              <w:t xml:space="preserve"> or contaminated with PBDEs at a concentration that is equal to, or greater than, 500 mg/kg as the sum of all tetra-, penta-, hexa-, hepta-, octa-, </w:t>
            </w:r>
            <w:proofErr w:type="spellStart"/>
            <w:r>
              <w:t>nona</w:t>
            </w:r>
            <w:proofErr w:type="spellEnd"/>
            <w:r>
              <w:t xml:space="preserve">- and </w:t>
            </w:r>
            <w:proofErr w:type="spellStart"/>
            <w:r>
              <w:t>decaBDE</w:t>
            </w:r>
            <w:proofErr w:type="spellEnd"/>
            <w:r>
              <w:t xml:space="preserve"> (to be reviewed by the department by 1 July 2027) must be either:</w:t>
            </w:r>
          </w:p>
          <w:p w14:paraId="1AEC52A0" w14:textId="77777777" w:rsidR="0006458B" w:rsidRDefault="005E133E" w:rsidP="0006458B">
            <w:pPr>
              <w:pStyle w:val="Tabletext"/>
              <w:ind w:left="641" w:hanging="284"/>
            </w:pPr>
            <w:r>
              <w:t>(</w:t>
            </w:r>
            <w:proofErr w:type="spellStart"/>
            <w:r>
              <w:t>i</w:t>
            </w:r>
            <w:proofErr w:type="spellEnd"/>
            <w:r>
              <w:t xml:space="preserve">) treated in such a way as to ensure that the class of chemicals is destroyed or irreversibly transformed so that the remaining waste and environmental releases do not contain chemicals that exhibit Schedule 6 or Schedule 7 risk </w:t>
            </w:r>
            <w:proofErr w:type="gramStart"/>
            <w:r>
              <w:t>characteristics;</w:t>
            </w:r>
            <w:proofErr w:type="gramEnd"/>
            <w:r>
              <w:t xml:space="preserve"> or</w:t>
            </w:r>
          </w:p>
          <w:p w14:paraId="20D69EA2" w14:textId="540D3D0F" w:rsidR="00B669D3" w:rsidRDefault="005E133E" w:rsidP="0006458B">
            <w:pPr>
              <w:pStyle w:val="Tabletext"/>
              <w:ind w:left="641" w:hanging="284"/>
            </w:pPr>
            <w:r>
              <w:t>(ii) managed or disposed of in an environmentally sound manner as authorised under a law of the Commonwealth or a law of a State, where treatment in accordance with subparagraph (</w:t>
            </w:r>
            <w:proofErr w:type="spellStart"/>
            <w:r>
              <w:t>i</w:t>
            </w:r>
            <w:proofErr w:type="spellEnd"/>
            <w:r>
              <w:t>) is not the environmentally preferable option.</w:t>
            </w:r>
          </w:p>
          <w:p w14:paraId="5E9EAAEC" w14:textId="77777777" w:rsidR="00C44E07" w:rsidRDefault="00C44E07" w:rsidP="005E133E">
            <w:pPr>
              <w:pStyle w:val="Tabletext"/>
            </w:pPr>
            <w:r w:rsidRPr="00C44E07">
              <w:t xml:space="preserve">(f) Waste consisting of, containing or contaminated with PBDEs the at a concentration of less than 500 mg/kg as the sum of all tetra-, penta-, hexa-, hepta-, octa-, </w:t>
            </w:r>
            <w:proofErr w:type="spellStart"/>
            <w:r w:rsidRPr="00C44E07">
              <w:t>nona</w:t>
            </w:r>
            <w:proofErr w:type="spellEnd"/>
            <w:r w:rsidRPr="00C44E07">
              <w:t xml:space="preserve">- and </w:t>
            </w:r>
            <w:proofErr w:type="spellStart"/>
            <w:r w:rsidRPr="00C44E07">
              <w:t>decaBDE</w:t>
            </w:r>
            <w:proofErr w:type="spellEnd"/>
            <w:r w:rsidRPr="00C44E07">
              <w:t xml:space="preserve"> congeners (to be reviewed by the department by 1 July 2027) must be managed or disposed of in an </w:t>
            </w:r>
            <w:r w:rsidRPr="00C44E07">
              <w:lastRenderedPageBreak/>
              <w:t>environmentally sound manner as authorised under a law of the Commonwealth or a law of a State.</w:t>
            </w:r>
          </w:p>
          <w:p w14:paraId="7374E19D" w14:textId="77777777" w:rsidR="00B10BB7" w:rsidRDefault="00B10BB7" w:rsidP="005E133E">
            <w:pPr>
              <w:pStyle w:val="Tabletext"/>
            </w:pPr>
            <w:r w:rsidRPr="00B10BB7">
              <w:t xml:space="preserve">(g) Disposal of waste must not lead to recovery, recycling, </w:t>
            </w:r>
            <w:proofErr w:type="gramStart"/>
            <w:r w:rsidRPr="00B10BB7">
              <w:t>reclamation</w:t>
            </w:r>
            <w:proofErr w:type="gramEnd"/>
            <w:r w:rsidRPr="00B10BB7">
              <w:t xml:space="preserve"> or re-use of the class of chemicals, subject to paragraph (h).</w:t>
            </w:r>
          </w:p>
          <w:p w14:paraId="5097A06A" w14:textId="77777777" w:rsidR="003A7358" w:rsidRDefault="003A7358" w:rsidP="005E133E">
            <w:pPr>
              <w:pStyle w:val="Tabletext"/>
            </w:pPr>
            <w:r w:rsidRPr="003A7358">
              <w:t xml:space="preserve">(h) In carrying out disposal, the class of chemicals may be isolated from the waste, </w:t>
            </w:r>
            <w:proofErr w:type="gramStart"/>
            <w:r w:rsidRPr="003A7358">
              <w:t>provided that</w:t>
            </w:r>
            <w:proofErr w:type="gramEnd"/>
            <w:r w:rsidRPr="003A7358">
              <w:t xml:space="preserve"> it is subsequently disposed of in accordance with paragraphs (e) and (f).</w:t>
            </w:r>
          </w:p>
          <w:p w14:paraId="6B2F5F88" w14:textId="77777777" w:rsidR="00122D41" w:rsidRDefault="00122D41" w:rsidP="00122D41">
            <w:pPr>
              <w:pStyle w:val="Tabletext"/>
            </w:pPr>
            <w:r>
              <w:t>(</w:t>
            </w:r>
            <w:proofErr w:type="spellStart"/>
            <w:r>
              <w:t>i</w:t>
            </w:r>
            <w:proofErr w:type="spellEnd"/>
            <w:r>
              <w:t>) If an activity in relation to the class of chemicals, or an article containing the class of chemicals, is not permitted under paragraph (b) or (c), a holder of a stockpile of the class of chemicals must:</w:t>
            </w:r>
          </w:p>
          <w:p w14:paraId="201EC7DC" w14:textId="4526F8D4" w:rsidR="001064F2" w:rsidRDefault="00122D41" w:rsidP="001064F2">
            <w:pPr>
              <w:pStyle w:val="Tabletext"/>
              <w:ind w:left="641" w:hanging="284"/>
            </w:pPr>
            <w:r>
              <w:t>(</w:t>
            </w:r>
            <w:proofErr w:type="spellStart"/>
            <w:r>
              <w:t>i</w:t>
            </w:r>
            <w:proofErr w:type="spellEnd"/>
            <w:r>
              <w:t>) notify the relevant agency responsible for</w:t>
            </w:r>
            <w:r w:rsidR="001064F2">
              <w:t xml:space="preserve"> </w:t>
            </w:r>
            <w:r>
              <w:t>environmental protection of the nature and size of the stockpile; and</w:t>
            </w:r>
          </w:p>
          <w:p w14:paraId="25580337" w14:textId="77777777" w:rsidR="001064F2" w:rsidRDefault="00122D41" w:rsidP="001064F2">
            <w:pPr>
              <w:pStyle w:val="Tabletext"/>
              <w:ind w:left="641" w:hanging="284"/>
            </w:pPr>
            <w:r>
              <w:t>(ii) manage that stockpile as waste in accordance with paragraphs (e) and (f); and</w:t>
            </w:r>
          </w:p>
          <w:p w14:paraId="7E02D8BF" w14:textId="12B42E11" w:rsidR="00122D41" w:rsidRDefault="00122D41" w:rsidP="001064F2">
            <w:pPr>
              <w:pStyle w:val="Tabletext"/>
              <w:ind w:left="641" w:hanging="284"/>
            </w:pPr>
            <w:r>
              <w:t>(iii) comply with all relevant laws that apply in the relevant jurisdiction.</w:t>
            </w:r>
          </w:p>
          <w:p w14:paraId="79B10C3B" w14:textId="6A251448" w:rsidR="00957BDE" w:rsidRPr="00BF074E" w:rsidRDefault="00957BDE" w:rsidP="00303181">
            <w:pPr>
              <w:pStyle w:val="Tabletext"/>
              <w:spacing w:after="240"/>
            </w:pPr>
            <w:r w:rsidRPr="00957BDE">
              <w:t xml:space="preserve">(j) The </w:t>
            </w:r>
            <w:proofErr w:type="spellStart"/>
            <w:r w:rsidRPr="00957BDE">
              <w:t>IChEMS</w:t>
            </w:r>
            <w:proofErr w:type="spellEnd"/>
            <w:r w:rsidRPr="00957BDE">
              <w:t xml:space="preserve"> Minimum Standards must be complied with.</w:t>
            </w:r>
          </w:p>
        </w:tc>
        <w:tc>
          <w:tcPr>
            <w:tcW w:w="2617" w:type="dxa"/>
            <w:tcBorders>
              <w:top w:val="single" w:sz="2" w:space="0" w:color="auto"/>
              <w:bottom w:val="single" w:sz="2" w:space="0" w:color="auto"/>
            </w:tcBorders>
            <w:shd w:val="clear" w:color="auto" w:fill="auto"/>
          </w:tcPr>
          <w:p w14:paraId="182F2CBF" w14:textId="77777777" w:rsidR="00732B5D" w:rsidRPr="00920E07" w:rsidRDefault="00732B5D" w:rsidP="005B37FA">
            <w:pPr>
              <w:pStyle w:val="Tabletext"/>
            </w:pPr>
          </w:p>
        </w:tc>
      </w:tr>
      <w:tr w:rsidR="00DF15D0" w:rsidRPr="00DD6562" w14:paraId="236E48F3" w14:textId="77777777" w:rsidTr="00924BBF">
        <w:tc>
          <w:tcPr>
            <w:tcW w:w="3397" w:type="dxa"/>
            <w:tcBorders>
              <w:top w:val="single" w:sz="2" w:space="0" w:color="auto"/>
              <w:bottom w:val="single" w:sz="2" w:space="0" w:color="auto"/>
            </w:tcBorders>
            <w:shd w:val="clear" w:color="auto" w:fill="auto"/>
          </w:tcPr>
          <w:p w14:paraId="0A457C80" w14:textId="77777777" w:rsidR="00196E95" w:rsidRDefault="00F75215" w:rsidP="00F75215">
            <w:pPr>
              <w:pStyle w:val="NormalWeb"/>
              <w:spacing w:line="252" w:lineRule="auto"/>
              <w:rPr>
                <w:rFonts w:cs="Times New Roman"/>
                <w:color w:val="000000"/>
                <w:sz w:val="20"/>
                <w:shd w:val="clear" w:color="auto" w:fill="FFFFFF"/>
              </w:rPr>
            </w:pPr>
            <w:r w:rsidRPr="00F75215">
              <w:rPr>
                <w:rFonts w:cs="Times New Roman"/>
                <w:color w:val="000000"/>
                <w:sz w:val="20"/>
                <w:shd w:val="clear" w:color="auto" w:fill="FFFFFF"/>
              </w:rPr>
              <w:lastRenderedPageBreak/>
              <w:t xml:space="preserve">Class name: </w:t>
            </w:r>
          </w:p>
          <w:p w14:paraId="069E4D9D" w14:textId="3D94A332" w:rsidR="00F75215" w:rsidRPr="00F75215" w:rsidRDefault="00F75215" w:rsidP="00F75215">
            <w:pPr>
              <w:pStyle w:val="NormalWeb"/>
              <w:spacing w:line="252" w:lineRule="auto"/>
              <w:rPr>
                <w:rFonts w:cs="Times New Roman"/>
                <w:color w:val="000000"/>
                <w:sz w:val="20"/>
                <w:shd w:val="clear" w:color="auto" w:fill="FFFFFF"/>
              </w:rPr>
            </w:pPr>
            <w:proofErr w:type="spellStart"/>
            <w:r w:rsidRPr="00F75215">
              <w:rPr>
                <w:rFonts w:cs="Times New Roman"/>
                <w:color w:val="000000"/>
                <w:sz w:val="20"/>
                <w:shd w:val="clear" w:color="auto" w:fill="FFFFFF"/>
              </w:rPr>
              <w:t>Pentabromodiphenyl</w:t>
            </w:r>
            <w:proofErr w:type="spellEnd"/>
            <w:r w:rsidRPr="00F75215">
              <w:rPr>
                <w:rFonts w:cs="Times New Roman"/>
                <w:color w:val="000000"/>
                <w:sz w:val="20"/>
                <w:shd w:val="clear" w:color="auto" w:fill="FFFFFF"/>
              </w:rPr>
              <w:t xml:space="preserve"> ether and </w:t>
            </w:r>
            <w:proofErr w:type="spellStart"/>
            <w:r w:rsidRPr="00F75215">
              <w:rPr>
                <w:rFonts w:cs="Times New Roman"/>
                <w:color w:val="000000"/>
                <w:sz w:val="20"/>
                <w:shd w:val="clear" w:color="auto" w:fill="FFFFFF"/>
              </w:rPr>
              <w:t>tetrabromodiphenyl</w:t>
            </w:r>
            <w:proofErr w:type="spellEnd"/>
            <w:r w:rsidRPr="00F75215">
              <w:rPr>
                <w:rFonts w:cs="Times New Roman"/>
                <w:color w:val="000000"/>
                <w:sz w:val="20"/>
                <w:shd w:val="clear" w:color="auto" w:fill="FFFFFF"/>
              </w:rPr>
              <w:t xml:space="preserve"> ether (</w:t>
            </w:r>
            <w:proofErr w:type="spellStart"/>
            <w:r w:rsidRPr="00F75215">
              <w:rPr>
                <w:rFonts w:cs="Times New Roman"/>
                <w:color w:val="000000"/>
                <w:sz w:val="20"/>
                <w:shd w:val="clear" w:color="auto" w:fill="FFFFFF"/>
              </w:rPr>
              <w:t>pentaBDE</w:t>
            </w:r>
            <w:proofErr w:type="spellEnd"/>
            <w:r w:rsidRPr="00F75215">
              <w:rPr>
                <w:rFonts w:cs="Times New Roman"/>
                <w:color w:val="000000"/>
                <w:sz w:val="20"/>
                <w:shd w:val="clear" w:color="auto" w:fill="FFFFFF"/>
              </w:rPr>
              <w:t xml:space="preserve"> and </w:t>
            </w:r>
            <w:proofErr w:type="spellStart"/>
            <w:r w:rsidRPr="00F75215">
              <w:rPr>
                <w:rFonts w:cs="Times New Roman"/>
                <w:color w:val="000000"/>
                <w:sz w:val="20"/>
                <w:shd w:val="clear" w:color="auto" w:fill="FFFFFF"/>
              </w:rPr>
              <w:t>tetraBDE</w:t>
            </w:r>
            <w:proofErr w:type="spellEnd"/>
            <w:r w:rsidRPr="00F75215">
              <w:rPr>
                <w:rFonts w:cs="Times New Roman"/>
                <w:color w:val="000000"/>
                <w:sz w:val="20"/>
                <w:shd w:val="clear" w:color="auto" w:fill="FFFFFF"/>
              </w:rPr>
              <w:t>)</w:t>
            </w:r>
          </w:p>
          <w:p w14:paraId="6C34757F" w14:textId="021437A3" w:rsidR="00DF15D0" w:rsidRPr="007E78F4" w:rsidRDefault="00F75215" w:rsidP="00196E95">
            <w:pPr>
              <w:pStyle w:val="NormalWeb"/>
              <w:spacing w:before="240" w:line="252" w:lineRule="auto"/>
              <w:rPr>
                <w:rFonts w:cs="Times New Roman"/>
                <w:color w:val="000000"/>
                <w:sz w:val="20"/>
                <w:shd w:val="clear" w:color="auto" w:fill="FFFFFF"/>
              </w:rPr>
            </w:pPr>
            <w:r w:rsidRPr="00F75215">
              <w:rPr>
                <w:rFonts w:cs="Times New Roman"/>
                <w:color w:val="000000"/>
                <w:sz w:val="20"/>
                <w:shd w:val="clear" w:color="auto" w:fill="FFFFFF"/>
              </w:rPr>
              <w:t>CAS numbers: 40088-47-9 (</w:t>
            </w:r>
            <w:proofErr w:type="spellStart"/>
            <w:r w:rsidRPr="00F75215">
              <w:rPr>
                <w:rFonts w:cs="Times New Roman"/>
                <w:color w:val="000000"/>
                <w:sz w:val="20"/>
                <w:shd w:val="clear" w:color="auto" w:fill="FFFFFF"/>
              </w:rPr>
              <w:t>tetrabromodiphenyl</w:t>
            </w:r>
            <w:proofErr w:type="spellEnd"/>
            <w:r w:rsidRPr="00F75215">
              <w:rPr>
                <w:rFonts w:cs="Times New Roman"/>
                <w:color w:val="000000"/>
                <w:sz w:val="20"/>
                <w:shd w:val="clear" w:color="auto" w:fill="FFFFFF"/>
              </w:rPr>
              <w:t xml:space="preserve"> ether – </w:t>
            </w:r>
            <w:r w:rsidRPr="00F75215">
              <w:rPr>
                <w:rFonts w:cs="Times New Roman"/>
                <w:color w:val="000000"/>
                <w:sz w:val="20"/>
                <w:shd w:val="clear" w:color="auto" w:fill="FFFFFF"/>
              </w:rPr>
              <w:lastRenderedPageBreak/>
              <w:t>unspecified congeners), 32534-81-9 (</w:t>
            </w:r>
            <w:proofErr w:type="spellStart"/>
            <w:r w:rsidRPr="00F75215">
              <w:rPr>
                <w:rFonts w:cs="Times New Roman"/>
                <w:color w:val="000000"/>
                <w:sz w:val="20"/>
                <w:shd w:val="clear" w:color="auto" w:fill="FFFFFF"/>
              </w:rPr>
              <w:t>pentabromodiphenyl</w:t>
            </w:r>
            <w:proofErr w:type="spellEnd"/>
            <w:r w:rsidRPr="00F75215">
              <w:rPr>
                <w:rFonts w:cs="Times New Roman"/>
                <w:color w:val="000000"/>
                <w:sz w:val="20"/>
                <w:shd w:val="clear" w:color="auto" w:fill="FFFFFF"/>
              </w:rPr>
              <w:t xml:space="preserve"> ether – unspecified congeners). All 46 </w:t>
            </w:r>
            <w:proofErr w:type="spellStart"/>
            <w:r w:rsidRPr="00F75215">
              <w:rPr>
                <w:rFonts w:cs="Times New Roman"/>
                <w:color w:val="000000"/>
                <w:sz w:val="20"/>
                <w:shd w:val="clear" w:color="auto" w:fill="FFFFFF"/>
              </w:rPr>
              <w:t>pentabrominated</w:t>
            </w:r>
            <w:proofErr w:type="spellEnd"/>
            <w:r w:rsidRPr="00F75215">
              <w:rPr>
                <w:rFonts w:cs="Times New Roman"/>
                <w:color w:val="000000"/>
                <w:sz w:val="20"/>
                <w:shd w:val="clear" w:color="auto" w:fill="FFFFFF"/>
              </w:rPr>
              <w:t xml:space="preserve"> congeners and all 42 tetrabrominated congeners are included in the definition.</w:t>
            </w:r>
          </w:p>
        </w:tc>
        <w:tc>
          <w:tcPr>
            <w:tcW w:w="2268" w:type="dxa"/>
            <w:tcBorders>
              <w:top w:val="single" w:sz="2" w:space="0" w:color="auto"/>
              <w:bottom w:val="single" w:sz="2" w:space="0" w:color="auto"/>
            </w:tcBorders>
            <w:shd w:val="clear" w:color="auto" w:fill="auto"/>
          </w:tcPr>
          <w:p w14:paraId="338C8824" w14:textId="77777777" w:rsidR="00DF15D0" w:rsidRPr="00920E07" w:rsidRDefault="00DF15D0" w:rsidP="005B37FA">
            <w:pPr>
              <w:pStyle w:val="Tabletext"/>
            </w:pPr>
          </w:p>
        </w:tc>
        <w:tc>
          <w:tcPr>
            <w:tcW w:w="4962" w:type="dxa"/>
            <w:tcBorders>
              <w:top w:val="single" w:sz="2" w:space="0" w:color="auto"/>
              <w:bottom w:val="single" w:sz="2" w:space="0" w:color="auto"/>
            </w:tcBorders>
            <w:shd w:val="clear" w:color="auto" w:fill="auto"/>
          </w:tcPr>
          <w:p w14:paraId="02E431B3" w14:textId="4D3E981F" w:rsidR="00DF15D0" w:rsidRDefault="007B4494" w:rsidP="007B4494">
            <w:pPr>
              <w:pStyle w:val="Tabletext"/>
            </w:pPr>
            <w:r w:rsidRPr="007B4494">
              <w:t>(a</w:t>
            </w:r>
            <w:r>
              <w:t xml:space="preserve">) </w:t>
            </w:r>
            <w:r w:rsidRPr="007B4494">
              <w:t>This entry comes into effect on 1 July 2024.</w:t>
            </w:r>
          </w:p>
          <w:p w14:paraId="5543DBD5" w14:textId="77777777" w:rsidR="007B4494" w:rsidRDefault="00A54A0A" w:rsidP="007B4494">
            <w:pPr>
              <w:pStyle w:val="Tabletext"/>
            </w:pPr>
            <w:r w:rsidRPr="00A54A0A">
              <w:t xml:space="preserve">(b) The import, </w:t>
            </w:r>
            <w:proofErr w:type="gramStart"/>
            <w:r w:rsidRPr="00A54A0A">
              <w:t>export</w:t>
            </w:r>
            <w:proofErr w:type="gramEnd"/>
            <w:r w:rsidRPr="00A54A0A">
              <w:t xml:space="preserve"> and manufacture of the class of chemicals (whether on its own or in mixtures or in articles) are prohibited except:</w:t>
            </w:r>
          </w:p>
          <w:p w14:paraId="3ACEC731" w14:textId="77777777" w:rsidR="00CE1809" w:rsidRDefault="006529F0" w:rsidP="00CE1809">
            <w:pPr>
              <w:pStyle w:val="Tabletext"/>
              <w:ind w:left="641" w:hanging="284"/>
            </w:pPr>
            <w:r>
              <w:t>(</w:t>
            </w:r>
            <w:proofErr w:type="spellStart"/>
            <w:r>
              <w:t>i</w:t>
            </w:r>
            <w:proofErr w:type="spellEnd"/>
            <w:r>
              <w:t xml:space="preserve">) for chemical substances - in circumstances where the class of chemicals is present as unintentional </w:t>
            </w:r>
            <w:r>
              <w:lastRenderedPageBreak/>
              <w:t>trace contamination at the following levels (to be reviewed by the department by 1 July 2027):</w:t>
            </w:r>
          </w:p>
          <w:p w14:paraId="5B366454" w14:textId="77777777" w:rsidR="00CE1809" w:rsidRDefault="006529F0" w:rsidP="00CE1809">
            <w:pPr>
              <w:pStyle w:val="Tabletext"/>
              <w:ind w:left="925" w:hanging="284"/>
            </w:pPr>
            <w:r>
              <w:t>(</w:t>
            </w:r>
            <w:r w:rsidR="00CE1809">
              <w:t>A</w:t>
            </w:r>
            <w:r>
              <w:t xml:space="preserve">) sum of all </w:t>
            </w:r>
            <w:proofErr w:type="spellStart"/>
            <w:r>
              <w:t>tetraBDE</w:t>
            </w:r>
            <w:proofErr w:type="spellEnd"/>
            <w:r>
              <w:t xml:space="preserve"> congeners: equal to or below 10 mg/kg; and</w:t>
            </w:r>
          </w:p>
          <w:p w14:paraId="500CBD0C" w14:textId="65E1FD36" w:rsidR="00A54A0A" w:rsidRDefault="006529F0" w:rsidP="00CE1809">
            <w:pPr>
              <w:pStyle w:val="Tabletext"/>
              <w:ind w:left="925" w:hanging="284"/>
            </w:pPr>
            <w:r>
              <w:t>(</w:t>
            </w:r>
            <w:r w:rsidR="00CE1809">
              <w:t>B</w:t>
            </w:r>
            <w:r>
              <w:t xml:space="preserve">) sum of all </w:t>
            </w:r>
            <w:proofErr w:type="spellStart"/>
            <w:r>
              <w:t>pentaBDE</w:t>
            </w:r>
            <w:proofErr w:type="spellEnd"/>
            <w:r>
              <w:t xml:space="preserve"> congeners: equal to or below 10 mg/kg; or</w:t>
            </w:r>
          </w:p>
          <w:p w14:paraId="482433E6" w14:textId="77777777" w:rsidR="00CE1809" w:rsidRDefault="00C674EB" w:rsidP="00CE1809">
            <w:pPr>
              <w:pStyle w:val="Tabletext"/>
              <w:ind w:left="641" w:hanging="284"/>
            </w:pPr>
            <w:r w:rsidRPr="00C674EB">
              <w:t xml:space="preserve">(ii) for electrical and electronic equipment – in circumstances where polybrominated diphenyl ethers (PBDEs) are present in homogeneous materials contained within such electrical and electronic equipment at a level equal to or below 1000 mg/kg as the sum of all mono- to </w:t>
            </w:r>
            <w:proofErr w:type="spellStart"/>
            <w:r w:rsidRPr="00C674EB">
              <w:t>decaBDE</w:t>
            </w:r>
            <w:proofErr w:type="spellEnd"/>
            <w:r w:rsidRPr="00C674EB">
              <w:t xml:space="preserve"> congeners inclusive (to be reviewed by the department by 1 July 2027); or</w:t>
            </w:r>
          </w:p>
          <w:p w14:paraId="4F7C2D70" w14:textId="77777777" w:rsidR="00CE1809" w:rsidRDefault="001B1C36" w:rsidP="00CE1809">
            <w:pPr>
              <w:pStyle w:val="Tabletext"/>
              <w:ind w:left="641" w:hanging="284"/>
            </w:pPr>
            <w:r w:rsidRPr="001B1C36">
              <w:t xml:space="preserve">(iii) for articles other than those mentioned in subparagraph (b)(ii) - in circumstances where PBDEs are present in the article as an unintentional trace contaminant at a level equal to or below 500 mg/kg as the sum of all tetra-, penta-, hexa-, hepta-, octa-, </w:t>
            </w:r>
            <w:proofErr w:type="spellStart"/>
            <w:r w:rsidRPr="001B1C36">
              <w:t>nona</w:t>
            </w:r>
            <w:proofErr w:type="spellEnd"/>
            <w:r w:rsidRPr="001B1C36">
              <w:t xml:space="preserve">- and </w:t>
            </w:r>
            <w:proofErr w:type="spellStart"/>
            <w:r w:rsidRPr="001B1C36">
              <w:t>decaBDE</w:t>
            </w:r>
            <w:proofErr w:type="spellEnd"/>
            <w:r w:rsidRPr="001B1C36">
              <w:t xml:space="preserve"> congeners (to be reviewed by the department by 1 July 2027); or</w:t>
            </w:r>
          </w:p>
          <w:p w14:paraId="7B3BA2E6" w14:textId="77777777" w:rsidR="00CE1809" w:rsidRDefault="00B50DB9" w:rsidP="00CE1809">
            <w:pPr>
              <w:pStyle w:val="Tabletext"/>
              <w:ind w:left="641" w:hanging="284"/>
            </w:pPr>
            <w:r w:rsidRPr="00B50DB9">
              <w:t>(iv) for research or laboratory purposes; or</w:t>
            </w:r>
          </w:p>
          <w:p w14:paraId="433CA0B2" w14:textId="63F9A4FE" w:rsidR="00B50DB9" w:rsidRDefault="00FA1932" w:rsidP="00CE1809">
            <w:pPr>
              <w:pStyle w:val="Tabletext"/>
              <w:ind w:left="641" w:hanging="284"/>
            </w:pPr>
            <w:r w:rsidRPr="00FA1932">
              <w:t>(v) if a hazardous waste permit authorises the import or export of the class of chemicals.</w:t>
            </w:r>
          </w:p>
          <w:p w14:paraId="78C7401E" w14:textId="77777777" w:rsidR="00FA1932" w:rsidRDefault="0035184F" w:rsidP="006529F0">
            <w:pPr>
              <w:pStyle w:val="Tabletext"/>
            </w:pPr>
            <w:r w:rsidRPr="0035184F">
              <w:t>(c) The use of the class of chemicals (whether on its own or in mixtures or in articles) is prohibited except:</w:t>
            </w:r>
          </w:p>
          <w:p w14:paraId="2D5BAE5D" w14:textId="29CC501A" w:rsidR="005625A7" w:rsidRDefault="005625A7" w:rsidP="00CE1809">
            <w:pPr>
              <w:pStyle w:val="Tabletext"/>
              <w:ind w:left="641" w:hanging="284"/>
            </w:pPr>
            <w:r>
              <w:t>(</w:t>
            </w:r>
            <w:proofErr w:type="spellStart"/>
            <w:r>
              <w:t>i</w:t>
            </w:r>
            <w:proofErr w:type="spellEnd"/>
            <w:r>
              <w:t xml:space="preserve">) for chemical substances </w:t>
            </w:r>
            <w:r w:rsidR="002C7F05">
              <w:t>–</w:t>
            </w:r>
            <w:r>
              <w:t xml:space="preserve"> in circumstances where the class of chemicals is present as unintentional </w:t>
            </w:r>
            <w:r>
              <w:lastRenderedPageBreak/>
              <w:t>trace contamination at the following levels (to be reviewed by the department by 1 July 2027):</w:t>
            </w:r>
          </w:p>
          <w:p w14:paraId="42811ABD" w14:textId="77777777" w:rsidR="00BD4E2D" w:rsidRDefault="005625A7" w:rsidP="00BD4E2D">
            <w:pPr>
              <w:pStyle w:val="Tabletext"/>
              <w:ind w:left="924" w:hanging="283"/>
            </w:pPr>
            <w:r>
              <w:t>(</w:t>
            </w:r>
            <w:r w:rsidR="00BD4E2D">
              <w:t>A</w:t>
            </w:r>
            <w:r>
              <w:t xml:space="preserve">) sum of all </w:t>
            </w:r>
            <w:proofErr w:type="spellStart"/>
            <w:r>
              <w:t>tetraBDE</w:t>
            </w:r>
            <w:proofErr w:type="spellEnd"/>
            <w:r>
              <w:t xml:space="preserve"> congeners: equal to or below 10 mg/kg; and</w:t>
            </w:r>
          </w:p>
          <w:p w14:paraId="0F3EFC4F" w14:textId="377299C0" w:rsidR="0035184F" w:rsidRDefault="005625A7" w:rsidP="00BD4E2D">
            <w:pPr>
              <w:pStyle w:val="Tabletext"/>
              <w:ind w:left="924" w:hanging="283"/>
            </w:pPr>
            <w:r>
              <w:t>(</w:t>
            </w:r>
            <w:r w:rsidR="00BD4E2D">
              <w:t>B</w:t>
            </w:r>
            <w:r>
              <w:t xml:space="preserve">) sum of all </w:t>
            </w:r>
            <w:proofErr w:type="spellStart"/>
            <w:r>
              <w:t>pentaBDE</w:t>
            </w:r>
            <w:proofErr w:type="spellEnd"/>
            <w:r>
              <w:t xml:space="preserve"> congeners: equal to or below 10 mg/kg; or</w:t>
            </w:r>
          </w:p>
          <w:p w14:paraId="6FAF7C03" w14:textId="77777777" w:rsidR="002C7F05" w:rsidRDefault="00325272" w:rsidP="002C7F05">
            <w:pPr>
              <w:pStyle w:val="Tabletext"/>
              <w:ind w:left="641" w:hanging="284"/>
            </w:pPr>
            <w:r w:rsidRPr="00325272">
              <w:t xml:space="preserve">(ii) for electrical and electronic equipment – in circumstances where PBDEs are present in homogeneous materials contained within such electrical and electronic equipment at a level equal to or below 1000 mg/kg as the sum of all mono- to </w:t>
            </w:r>
            <w:proofErr w:type="spellStart"/>
            <w:r w:rsidRPr="00325272">
              <w:t>decaBDE</w:t>
            </w:r>
            <w:proofErr w:type="spellEnd"/>
            <w:r w:rsidRPr="00325272">
              <w:t xml:space="preserve"> congeners inclusive (to be reviewed by the department by 1 July 2027); or</w:t>
            </w:r>
          </w:p>
          <w:p w14:paraId="7A19F31A" w14:textId="1ED05BC1" w:rsidR="002C7F05" w:rsidRDefault="0077439F" w:rsidP="002C7F05">
            <w:pPr>
              <w:pStyle w:val="Tabletext"/>
              <w:ind w:left="641" w:hanging="284"/>
            </w:pPr>
            <w:r w:rsidRPr="0077439F">
              <w:t xml:space="preserve">(iii) for articles other than those mentioned in subparagraph (c)(ii) </w:t>
            </w:r>
            <w:r w:rsidR="002C7F05">
              <w:t>–</w:t>
            </w:r>
            <w:r w:rsidRPr="0077439F">
              <w:t xml:space="preserve"> in circumstances where PBDEs are present in the article as an unintentional trace contaminant at a level equal to or below 500 mg/kg as the sum of all tetra-, penta-, hexa-, hepta-, octa-, </w:t>
            </w:r>
            <w:proofErr w:type="spellStart"/>
            <w:r w:rsidRPr="0077439F">
              <w:t>nona</w:t>
            </w:r>
            <w:proofErr w:type="spellEnd"/>
            <w:r w:rsidRPr="0077439F">
              <w:t xml:space="preserve">- and </w:t>
            </w:r>
            <w:proofErr w:type="spellStart"/>
            <w:r w:rsidRPr="0077439F">
              <w:t>decaBDE</w:t>
            </w:r>
            <w:proofErr w:type="spellEnd"/>
            <w:r w:rsidRPr="0077439F">
              <w:t xml:space="preserve"> congeners (to be reviewed by the department by 1 July 2027); or</w:t>
            </w:r>
          </w:p>
          <w:p w14:paraId="3408FD48" w14:textId="77777777" w:rsidR="002C7F05" w:rsidRDefault="00017E11" w:rsidP="002C7F05">
            <w:pPr>
              <w:pStyle w:val="Tabletext"/>
              <w:ind w:left="641" w:hanging="284"/>
            </w:pPr>
            <w:r w:rsidRPr="00017E11">
              <w:t>(iv) for research or laboratory purposes; or</w:t>
            </w:r>
          </w:p>
          <w:p w14:paraId="3E554E4A" w14:textId="11099FCB" w:rsidR="00E341CB" w:rsidRDefault="00E341CB" w:rsidP="002C7F05">
            <w:pPr>
              <w:pStyle w:val="Tabletext"/>
              <w:ind w:left="641" w:hanging="284"/>
            </w:pPr>
            <w:r w:rsidRPr="00E341CB">
              <w:t xml:space="preserve">(v) for articles </w:t>
            </w:r>
            <w:r w:rsidR="002C7F05">
              <w:t>–</w:t>
            </w:r>
            <w:r w:rsidRPr="00E341CB">
              <w:t xml:space="preserve"> in circumstances in which the article is already in use on or before 1 July 2024.</w:t>
            </w:r>
          </w:p>
          <w:p w14:paraId="327CD57F" w14:textId="77777777" w:rsidR="00E341CB" w:rsidRDefault="00A062CC" w:rsidP="005625A7">
            <w:pPr>
              <w:pStyle w:val="Tabletext"/>
            </w:pPr>
            <w:r w:rsidRPr="00A062CC">
              <w:t xml:space="preserve">(d) Producers and holders of waste must undertake all reasonably practicable measures to avoid contamination of waste not already containing </w:t>
            </w:r>
            <w:proofErr w:type="spellStart"/>
            <w:r w:rsidRPr="00A062CC">
              <w:t>tetraBDE</w:t>
            </w:r>
            <w:proofErr w:type="spellEnd"/>
            <w:r w:rsidRPr="00A062CC">
              <w:t xml:space="preserve"> and </w:t>
            </w:r>
            <w:proofErr w:type="spellStart"/>
            <w:r w:rsidRPr="00A062CC">
              <w:t>pentaBDE</w:t>
            </w:r>
            <w:proofErr w:type="spellEnd"/>
            <w:r w:rsidRPr="00A062CC">
              <w:t xml:space="preserve"> with these substances and must not dilute </w:t>
            </w:r>
            <w:proofErr w:type="spellStart"/>
            <w:r w:rsidRPr="00A062CC">
              <w:t>tetraBDE</w:t>
            </w:r>
            <w:proofErr w:type="spellEnd"/>
            <w:r w:rsidRPr="00A062CC">
              <w:t xml:space="preserve"> and </w:t>
            </w:r>
            <w:proofErr w:type="spellStart"/>
            <w:r w:rsidRPr="00A062CC">
              <w:lastRenderedPageBreak/>
              <w:t>pentaBDE</w:t>
            </w:r>
            <w:proofErr w:type="spellEnd"/>
            <w:r w:rsidRPr="00A062CC">
              <w:t xml:space="preserve"> waste to lower the concentrations below relevant waste handling and disposal thresholds.</w:t>
            </w:r>
          </w:p>
          <w:p w14:paraId="27FDEE59" w14:textId="77777777" w:rsidR="004526B1" w:rsidRDefault="004526B1" w:rsidP="004526B1">
            <w:pPr>
              <w:pStyle w:val="Tabletext"/>
            </w:pPr>
            <w:r>
              <w:t xml:space="preserve">(e) Waste consisting of, </w:t>
            </w:r>
            <w:proofErr w:type="gramStart"/>
            <w:r>
              <w:t>containing</w:t>
            </w:r>
            <w:proofErr w:type="gramEnd"/>
            <w:r>
              <w:t xml:space="preserve"> or contaminated with PBDEs at a concentration that is equal to, or greater than, 500 mg/kg as the sum of all tetra-, penta-, hexa-, hepta-, octa-, </w:t>
            </w:r>
            <w:proofErr w:type="spellStart"/>
            <w:r>
              <w:t>nona</w:t>
            </w:r>
            <w:proofErr w:type="spellEnd"/>
            <w:r>
              <w:t xml:space="preserve">- and </w:t>
            </w:r>
            <w:proofErr w:type="spellStart"/>
            <w:r>
              <w:t>decaBDE</w:t>
            </w:r>
            <w:proofErr w:type="spellEnd"/>
            <w:r>
              <w:t xml:space="preserve"> congeners (to be reviewed by the department by 1 July 2027) must be either: </w:t>
            </w:r>
          </w:p>
          <w:p w14:paraId="728ACD0C" w14:textId="77777777" w:rsidR="00421B0D" w:rsidRDefault="004526B1" w:rsidP="00421B0D">
            <w:pPr>
              <w:pStyle w:val="Tabletext"/>
              <w:ind w:left="641" w:hanging="284"/>
            </w:pPr>
            <w:r>
              <w:t>(</w:t>
            </w:r>
            <w:proofErr w:type="spellStart"/>
            <w:r>
              <w:t>i</w:t>
            </w:r>
            <w:proofErr w:type="spellEnd"/>
            <w:r>
              <w:t>) treated in such a way as to ensure that the class of chemicals is destroyed or irreversibly transformed so that the remaining waste and environmental releases do not contain chemicals that exhibit Schedule 6 or Schedule 7 risk characteristics, or</w:t>
            </w:r>
          </w:p>
          <w:p w14:paraId="4B7DCB86" w14:textId="248A8E88" w:rsidR="00A062CC" w:rsidRDefault="004526B1" w:rsidP="00421B0D">
            <w:pPr>
              <w:pStyle w:val="Tabletext"/>
              <w:ind w:left="641" w:hanging="284"/>
            </w:pPr>
            <w:r>
              <w:t>(ii) managed or disposed of in an environmentally sound manner as authorised under a law of the Commonwealth or a law of a State, where treatment in accordance with subparagraph (</w:t>
            </w:r>
            <w:proofErr w:type="spellStart"/>
            <w:r>
              <w:t>i</w:t>
            </w:r>
            <w:proofErr w:type="spellEnd"/>
            <w:r>
              <w:t>) is not the environmentally preferable option.</w:t>
            </w:r>
          </w:p>
          <w:p w14:paraId="303BA3AD" w14:textId="77777777" w:rsidR="004526B1" w:rsidRDefault="009267E6" w:rsidP="004526B1">
            <w:pPr>
              <w:pStyle w:val="Tabletext"/>
            </w:pPr>
            <w:r w:rsidRPr="009267E6">
              <w:t xml:space="preserve">(f) Waste consisting of, containing or contaminated with PBDEs at a concentration of less than 500 mg/kg as the sum of all tetra-, penta-, hexa-, hepta-, octa-, </w:t>
            </w:r>
            <w:proofErr w:type="spellStart"/>
            <w:r w:rsidRPr="009267E6">
              <w:t>nona</w:t>
            </w:r>
            <w:proofErr w:type="spellEnd"/>
            <w:r w:rsidRPr="009267E6">
              <w:t xml:space="preserve">- and </w:t>
            </w:r>
            <w:proofErr w:type="spellStart"/>
            <w:r w:rsidRPr="009267E6">
              <w:t>decaBDE</w:t>
            </w:r>
            <w:proofErr w:type="spellEnd"/>
            <w:r w:rsidRPr="009267E6">
              <w:t xml:space="preserve"> congeners (to be reviewed by the department by 1 July 2027) must be managed or disposed of in an environmentally sound manner as authorised under a law of the Commonwealth or a law of a State.</w:t>
            </w:r>
          </w:p>
          <w:p w14:paraId="3F0689B3" w14:textId="77777777" w:rsidR="00B84C19" w:rsidRDefault="00B84C19" w:rsidP="004526B1">
            <w:pPr>
              <w:pStyle w:val="Tabletext"/>
            </w:pPr>
            <w:r w:rsidRPr="00B84C19">
              <w:t xml:space="preserve">(g) Disposal must not lead to recovery, recycling, </w:t>
            </w:r>
            <w:proofErr w:type="gramStart"/>
            <w:r w:rsidRPr="00B84C19">
              <w:t>reclamation</w:t>
            </w:r>
            <w:proofErr w:type="gramEnd"/>
            <w:r w:rsidRPr="00B84C19">
              <w:t xml:space="preserve"> or re-use of the class of chemicals, subject to paragraph (h).</w:t>
            </w:r>
          </w:p>
          <w:p w14:paraId="422DCC93" w14:textId="77777777" w:rsidR="00C857E3" w:rsidRDefault="00C857E3" w:rsidP="004526B1">
            <w:pPr>
              <w:pStyle w:val="Tabletext"/>
            </w:pPr>
            <w:r w:rsidRPr="00C857E3">
              <w:lastRenderedPageBreak/>
              <w:t xml:space="preserve">(h) In carrying out disposal, the class of chemicals may be isolated from the waste, </w:t>
            </w:r>
            <w:proofErr w:type="gramStart"/>
            <w:r w:rsidRPr="00C857E3">
              <w:t>provided that</w:t>
            </w:r>
            <w:proofErr w:type="gramEnd"/>
            <w:r w:rsidRPr="00C857E3">
              <w:t xml:space="preserve"> it is subsequently disposed of in accordance with paragraphs (e) and (f).</w:t>
            </w:r>
          </w:p>
          <w:p w14:paraId="70D532AB" w14:textId="77777777" w:rsidR="00917BA1" w:rsidRDefault="00917BA1" w:rsidP="00917BA1">
            <w:pPr>
              <w:pStyle w:val="Tabletext"/>
            </w:pPr>
            <w:r>
              <w:t>(</w:t>
            </w:r>
            <w:proofErr w:type="spellStart"/>
            <w:r>
              <w:t>i</w:t>
            </w:r>
            <w:proofErr w:type="spellEnd"/>
            <w:r>
              <w:t>) If an activity in relation to the class of chemicals, or an article containing the class of chemicals, is not permitted under paragraph (b) or (c), a holder of a stockpile of the class of chemicals must:</w:t>
            </w:r>
          </w:p>
          <w:p w14:paraId="14B53012" w14:textId="77777777" w:rsidR="00421B0D" w:rsidRDefault="00917BA1" w:rsidP="00421B0D">
            <w:pPr>
              <w:pStyle w:val="Tabletext"/>
              <w:ind w:left="641" w:hanging="284"/>
            </w:pPr>
            <w:r>
              <w:t>(</w:t>
            </w:r>
            <w:proofErr w:type="spellStart"/>
            <w:r>
              <w:t>i</w:t>
            </w:r>
            <w:proofErr w:type="spellEnd"/>
            <w:r>
              <w:t>) notify the relevant agency responsible for environmental protection of the nature and size of the stockpile; and</w:t>
            </w:r>
          </w:p>
          <w:p w14:paraId="61B384C4" w14:textId="77777777" w:rsidR="00421B0D" w:rsidRDefault="00917BA1" w:rsidP="00421B0D">
            <w:pPr>
              <w:pStyle w:val="Tabletext"/>
              <w:ind w:left="641" w:hanging="284"/>
            </w:pPr>
            <w:r>
              <w:t>(ii) manage that stockpile as waste in accordance with paragraphs (e) and (f); and</w:t>
            </w:r>
          </w:p>
          <w:p w14:paraId="6F6D7EBA" w14:textId="6B7AD112" w:rsidR="00C857E3" w:rsidRDefault="00917BA1" w:rsidP="00421B0D">
            <w:pPr>
              <w:pStyle w:val="Tabletext"/>
              <w:ind w:left="641" w:hanging="284"/>
            </w:pPr>
            <w:r>
              <w:t>(iii) comply with all relevant laws that apply in the relevant jurisdiction.</w:t>
            </w:r>
          </w:p>
          <w:p w14:paraId="314FA26C" w14:textId="653DB2FB" w:rsidR="00917BA1" w:rsidRPr="00D825C9" w:rsidRDefault="00163C09" w:rsidP="00303181">
            <w:pPr>
              <w:pStyle w:val="Tabletext"/>
              <w:spacing w:after="240"/>
            </w:pPr>
            <w:r w:rsidRPr="00163C09">
              <w:t xml:space="preserve">(j) The </w:t>
            </w:r>
            <w:proofErr w:type="spellStart"/>
            <w:r w:rsidRPr="00163C09">
              <w:t>IChEMS</w:t>
            </w:r>
            <w:proofErr w:type="spellEnd"/>
            <w:r w:rsidRPr="00163C09">
              <w:t xml:space="preserve"> Minimum Standards must be complied with.</w:t>
            </w:r>
          </w:p>
        </w:tc>
        <w:tc>
          <w:tcPr>
            <w:tcW w:w="2617" w:type="dxa"/>
            <w:tcBorders>
              <w:top w:val="single" w:sz="2" w:space="0" w:color="auto"/>
              <w:bottom w:val="single" w:sz="2" w:space="0" w:color="auto"/>
            </w:tcBorders>
            <w:shd w:val="clear" w:color="auto" w:fill="auto"/>
          </w:tcPr>
          <w:p w14:paraId="5716DECD" w14:textId="77777777" w:rsidR="00DF15D0" w:rsidRPr="00920E07" w:rsidRDefault="00DF15D0" w:rsidP="005B37FA">
            <w:pPr>
              <w:pStyle w:val="Tabletext"/>
            </w:pPr>
          </w:p>
        </w:tc>
      </w:tr>
      <w:tr w:rsidR="005B37FA" w:rsidRPr="00DD6562" w14:paraId="6E0A026B" w14:textId="77777777" w:rsidTr="00924BBF">
        <w:tc>
          <w:tcPr>
            <w:tcW w:w="3397" w:type="dxa"/>
            <w:tcBorders>
              <w:top w:val="single" w:sz="2" w:space="0" w:color="auto"/>
              <w:bottom w:val="single" w:sz="2" w:space="0" w:color="auto"/>
            </w:tcBorders>
            <w:shd w:val="clear" w:color="auto" w:fill="auto"/>
          </w:tcPr>
          <w:p w14:paraId="32B6A0DB" w14:textId="77777777" w:rsidR="005B37FA" w:rsidRDefault="005B37FA" w:rsidP="005B37FA">
            <w:pPr>
              <w:pStyle w:val="Tabletext"/>
            </w:pPr>
            <w:r>
              <w:lastRenderedPageBreak/>
              <w:t xml:space="preserve">Class name: </w:t>
            </w:r>
          </w:p>
          <w:p w14:paraId="2345C841" w14:textId="77777777" w:rsidR="005B37FA" w:rsidRDefault="005B37FA" w:rsidP="005B37FA">
            <w:pPr>
              <w:pStyle w:val="Tabletext"/>
            </w:pPr>
            <w:proofErr w:type="spellStart"/>
            <w:r>
              <w:t>Perfluorohexanesulfonic</w:t>
            </w:r>
            <w:proofErr w:type="spellEnd"/>
            <w:r>
              <w:t xml:space="preserve"> acid (</w:t>
            </w:r>
            <w:proofErr w:type="spellStart"/>
            <w:r>
              <w:t>PFHxS</w:t>
            </w:r>
            <w:proofErr w:type="spellEnd"/>
            <w:r>
              <w:t xml:space="preserve">), including its linear and branched isomers, their salts and any substance containing a linear or branched </w:t>
            </w:r>
            <w:proofErr w:type="spellStart"/>
            <w:r>
              <w:t>perfluorohexylsulfonyl</w:t>
            </w:r>
            <w:proofErr w:type="spellEnd"/>
            <w:r>
              <w:t xml:space="preserve"> moiety that can degrade to </w:t>
            </w:r>
            <w:proofErr w:type="spellStart"/>
            <w:r>
              <w:t>PFHxS</w:t>
            </w:r>
            <w:proofErr w:type="spellEnd"/>
            <w:r>
              <w:t>.</w:t>
            </w:r>
          </w:p>
        </w:tc>
        <w:tc>
          <w:tcPr>
            <w:tcW w:w="2268" w:type="dxa"/>
            <w:tcBorders>
              <w:top w:val="single" w:sz="2" w:space="0" w:color="auto"/>
              <w:bottom w:val="single" w:sz="2" w:space="0" w:color="auto"/>
            </w:tcBorders>
            <w:shd w:val="clear" w:color="auto" w:fill="auto"/>
          </w:tcPr>
          <w:p w14:paraId="47201F28" w14:textId="132575BF" w:rsidR="005B37FA" w:rsidRDefault="005B37FA" w:rsidP="005B37FA">
            <w:pPr>
              <w:pStyle w:val="Tabletext"/>
            </w:pPr>
          </w:p>
        </w:tc>
        <w:tc>
          <w:tcPr>
            <w:tcW w:w="4962" w:type="dxa"/>
            <w:tcBorders>
              <w:top w:val="single" w:sz="2" w:space="0" w:color="auto"/>
              <w:bottom w:val="single" w:sz="2" w:space="0" w:color="auto"/>
            </w:tcBorders>
            <w:shd w:val="clear" w:color="auto" w:fill="auto"/>
          </w:tcPr>
          <w:p w14:paraId="36582E8E" w14:textId="77777777" w:rsidR="005B37FA" w:rsidRDefault="005B37FA" w:rsidP="005B37FA">
            <w:pPr>
              <w:pStyle w:val="Tabletext"/>
            </w:pPr>
            <w:r>
              <w:t xml:space="preserve">(a) </w:t>
            </w:r>
            <w:r w:rsidRPr="00663B8C">
              <w:t>This entry comes into effect on 1 July 2025.</w:t>
            </w:r>
          </w:p>
          <w:p w14:paraId="6FFEBC13" w14:textId="77777777" w:rsidR="005B37FA" w:rsidRDefault="005B37FA" w:rsidP="005B37FA">
            <w:pPr>
              <w:pStyle w:val="Tabletext"/>
            </w:pPr>
            <w:r>
              <w:t xml:space="preserve">(b) </w:t>
            </w:r>
            <w:r w:rsidRPr="00506B82">
              <w:t xml:space="preserve">The import, </w:t>
            </w:r>
            <w:proofErr w:type="gramStart"/>
            <w:r w:rsidRPr="00506B82">
              <w:t>export</w:t>
            </w:r>
            <w:proofErr w:type="gramEnd"/>
            <w:r w:rsidRPr="00506B82">
              <w:t xml:space="preserve"> and manufacture of the chemical (whether on its own or in mixtures or in articles) are prohibited except:</w:t>
            </w:r>
          </w:p>
          <w:p w14:paraId="77D96596" w14:textId="77777777" w:rsidR="00B60F9B" w:rsidRDefault="005B37FA" w:rsidP="00B60F9B">
            <w:pPr>
              <w:pStyle w:val="Tabletext"/>
              <w:ind w:left="641" w:hanging="284"/>
            </w:pPr>
            <w:r>
              <w:t>(</w:t>
            </w:r>
            <w:proofErr w:type="spellStart"/>
            <w:r>
              <w:t>i</w:t>
            </w:r>
            <w:proofErr w:type="spellEnd"/>
            <w:r>
              <w:t>) in circumstances where the chemical is present as unintentional trace contamination at the following levels (to be reviewed by the department by 1 July 2027):</w:t>
            </w:r>
          </w:p>
          <w:p w14:paraId="445B5F6E" w14:textId="77777777" w:rsidR="00B60F9B" w:rsidRDefault="005B37FA" w:rsidP="00B60F9B">
            <w:pPr>
              <w:pStyle w:val="Tabletext"/>
              <w:ind w:left="925" w:hanging="284"/>
            </w:pPr>
            <w:r>
              <w:t>(</w:t>
            </w:r>
            <w:r w:rsidR="00B60F9B">
              <w:t>A</w:t>
            </w:r>
            <w:r>
              <w:t xml:space="preserve">) a level equal to or below 0.025 mg/kg for </w:t>
            </w:r>
            <w:proofErr w:type="spellStart"/>
            <w:r>
              <w:t>PFHxS</w:t>
            </w:r>
            <w:proofErr w:type="spellEnd"/>
            <w:r>
              <w:t xml:space="preserve"> and its salts; or</w:t>
            </w:r>
          </w:p>
          <w:p w14:paraId="5EC25C2F" w14:textId="77777777" w:rsidR="006C7C02" w:rsidRDefault="005B37FA" w:rsidP="006C7C02">
            <w:pPr>
              <w:pStyle w:val="Tabletext"/>
              <w:ind w:left="925" w:hanging="284"/>
            </w:pPr>
            <w:r>
              <w:lastRenderedPageBreak/>
              <w:t>(</w:t>
            </w:r>
            <w:r w:rsidR="00B60F9B">
              <w:t>B</w:t>
            </w:r>
            <w:r>
              <w:t xml:space="preserve">) a level equal to or below 1 mg/kg for individual </w:t>
            </w:r>
            <w:proofErr w:type="spellStart"/>
            <w:r>
              <w:t>PFHxS</w:t>
            </w:r>
            <w:proofErr w:type="spellEnd"/>
            <w:r>
              <w:t>-related compounds or a combination of those compounds; or</w:t>
            </w:r>
          </w:p>
          <w:p w14:paraId="11D6BA80" w14:textId="77777777" w:rsidR="006C7C02" w:rsidRDefault="005B37FA" w:rsidP="006C7C02">
            <w:pPr>
              <w:pStyle w:val="Tabletext"/>
              <w:ind w:left="925" w:hanging="284"/>
            </w:pPr>
            <w:r>
              <w:t>(</w:t>
            </w:r>
            <w:r w:rsidR="006C7C02">
              <w:t>C</w:t>
            </w:r>
            <w:r>
              <w:t xml:space="preserve">) a level equal to or below 0.1 mg/kg for </w:t>
            </w:r>
            <w:proofErr w:type="spellStart"/>
            <w:r>
              <w:t>PFHxS</w:t>
            </w:r>
            <w:proofErr w:type="spellEnd"/>
            <w:r>
              <w:t xml:space="preserve"> and its salts present in fire-fighting foam for liquid fuel vapour suppression and liquid fuel fire (Class B fires) already installed in systems, including both mobile and fixed systems); or</w:t>
            </w:r>
          </w:p>
          <w:p w14:paraId="249A967C" w14:textId="77777777" w:rsidR="004C6460" w:rsidRDefault="005B37FA" w:rsidP="004C6460">
            <w:pPr>
              <w:pStyle w:val="Tabletext"/>
              <w:ind w:left="641" w:hanging="284"/>
            </w:pPr>
            <w:r w:rsidRPr="00506B82">
              <w:t>(ii) for research or laboratory purposes; or</w:t>
            </w:r>
          </w:p>
          <w:p w14:paraId="7C6A8107" w14:textId="7C3F5486" w:rsidR="005B37FA" w:rsidRDefault="005B37FA" w:rsidP="004C6460">
            <w:pPr>
              <w:pStyle w:val="Tabletext"/>
              <w:ind w:left="641" w:hanging="284"/>
            </w:pPr>
            <w:r w:rsidRPr="00506B82">
              <w:t>(iii) if a hazardous waste permit authorises the import or export of the chemical.</w:t>
            </w:r>
          </w:p>
          <w:p w14:paraId="7F034ACD" w14:textId="0AD37791" w:rsidR="006B57C8" w:rsidRDefault="004371C8" w:rsidP="005B37FA">
            <w:pPr>
              <w:pStyle w:val="Tabletext"/>
            </w:pPr>
            <w:r w:rsidRPr="004371C8">
              <w:t>(c) The use of the chemical (whether on its own or in mixtures or in articles) is prohibited except:</w:t>
            </w:r>
          </w:p>
          <w:p w14:paraId="27D55D82" w14:textId="77777777" w:rsidR="00046408" w:rsidRDefault="008E17DC" w:rsidP="00046408">
            <w:pPr>
              <w:pStyle w:val="Tabletext"/>
              <w:ind w:left="641" w:hanging="284"/>
            </w:pPr>
            <w:r>
              <w:t>(</w:t>
            </w:r>
            <w:proofErr w:type="spellStart"/>
            <w:r>
              <w:t>i</w:t>
            </w:r>
            <w:proofErr w:type="spellEnd"/>
            <w:r>
              <w:t>) in circumstances where the chemical is present in the article as unintentional trace contamination at the following levels (to be reviewed by the department by 1 July 2027):</w:t>
            </w:r>
          </w:p>
          <w:p w14:paraId="1E88B9D6" w14:textId="77777777" w:rsidR="00046408" w:rsidRDefault="008E17DC" w:rsidP="00046408">
            <w:pPr>
              <w:pStyle w:val="Tabletext"/>
              <w:ind w:left="925" w:hanging="284"/>
            </w:pPr>
            <w:r>
              <w:t>(</w:t>
            </w:r>
            <w:r w:rsidR="00046408">
              <w:t>A</w:t>
            </w:r>
            <w:r>
              <w:t xml:space="preserve">) a level equal to or below 0.025 mg/kg for </w:t>
            </w:r>
            <w:proofErr w:type="spellStart"/>
            <w:r>
              <w:t>PFHxS</w:t>
            </w:r>
            <w:proofErr w:type="spellEnd"/>
            <w:r>
              <w:t xml:space="preserve"> and its salts; or</w:t>
            </w:r>
          </w:p>
          <w:p w14:paraId="36340156" w14:textId="77777777" w:rsidR="00046408" w:rsidRDefault="008E17DC" w:rsidP="00046408">
            <w:pPr>
              <w:pStyle w:val="Tabletext"/>
              <w:ind w:left="925" w:hanging="284"/>
            </w:pPr>
            <w:r>
              <w:t>(</w:t>
            </w:r>
            <w:r w:rsidR="00046408">
              <w:t>B</w:t>
            </w:r>
            <w:r>
              <w:t xml:space="preserve">) a level equal to or below 1 mg/kg for individual </w:t>
            </w:r>
            <w:proofErr w:type="spellStart"/>
            <w:r>
              <w:t>PFHxS</w:t>
            </w:r>
            <w:proofErr w:type="spellEnd"/>
            <w:r>
              <w:t>-related compounds or a combination of those compounds; or</w:t>
            </w:r>
          </w:p>
          <w:p w14:paraId="53B70039" w14:textId="46C6082A" w:rsidR="004371C8" w:rsidRDefault="008E17DC" w:rsidP="00046408">
            <w:pPr>
              <w:pStyle w:val="Tabletext"/>
              <w:ind w:left="925" w:hanging="284"/>
            </w:pPr>
            <w:r>
              <w:t>(</w:t>
            </w:r>
            <w:r w:rsidR="00046408">
              <w:t>C</w:t>
            </w:r>
            <w:r>
              <w:t xml:space="preserve">) a level equal to or below 0.1 mg/kg for </w:t>
            </w:r>
            <w:proofErr w:type="spellStart"/>
            <w:r>
              <w:t>PFHxS</w:t>
            </w:r>
            <w:proofErr w:type="spellEnd"/>
            <w:r>
              <w:t xml:space="preserve"> and its salts present in fire-fighting foam for liquid fuel vapour suppression and liquid fuel fire (Class B fires) already installed in systems, including both mobile and fixed systems</w:t>
            </w:r>
            <w:proofErr w:type="gramStart"/>
            <w:r>
              <w:t>);</w:t>
            </w:r>
            <w:proofErr w:type="gramEnd"/>
          </w:p>
          <w:p w14:paraId="57B204AA" w14:textId="77777777" w:rsidR="00046408" w:rsidRDefault="007F231C" w:rsidP="00046408">
            <w:pPr>
              <w:pStyle w:val="Tabletext"/>
              <w:ind w:left="641" w:hanging="284"/>
            </w:pPr>
            <w:r w:rsidRPr="007F231C">
              <w:t>(ii) for research or laboratory purposes; or</w:t>
            </w:r>
          </w:p>
          <w:p w14:paraId="343A5FA9" w14:textId="335B7C08" w:rsidR="007F231C" w:rsidRDefault="00046408" w:rsidP="00046408">
            <w:pPr>
              <w:pStyle w:val="Tabletext"/>
              <w:ind w:left="641" w:hanging="284"/>
            </w:pPr>
            <w:r w:rsidRPr="00046408">
              <w:lastRenderedPageBreak/>
              <w:t>(iii) in circumstances in which the article is already in use on or before 1 July 2025.</w:t>
            </w:r>
          </w:p>
          <w:p w14:paraId="1CE4F211" w14:textId="7B156652" w:rsidR="005B37FA" w:rsidRDefault="005B37FA" w:rsidP="005B37FA">
            <w:pPr>
              <w:pStyle w:val="Tabletext"/>
            </w:pPr>
            <w:r w:rsidRPr="00506B82">
              <w:t>(d) Producers and holders of waste must undertake all reasonably practicable measures to avoid contamination of non-</w:t>
            </w:r>
            <w:proofErr w:type="spellStart"/>
            <w:r w:rsidRPr="00506B82">
              <w:t>PFHxS</w:t>
            </w:r>
            <w:proofErr w:type="spellEnd"/>
            <w:r w:rsidRPr="00506B82">
              <w:t xml:space="preserve"> waste with this chemical and must not dilute </w:t>
            </w:r>
            <w:proofErr w:type="spellStart"/>
            <w:r w:rsidRPr="00506B82">
              <w:t>PFHxS</w:t>
            </w:r>
            <w:proofErr w:type="spellEnd"/>
            <w:r w:rsidRPr="00506B82">
              <w:t xml:space="preserve"> waste to lower the </w:t>
            </w:r>
            <w:proofErr w:type="spellStart"/>
            <w:r w:rsidRPr="00506B82">
              <w:t>PFHxS</w:t>
            </w:r>
            <w:proofErr w:type="spellEnd"/>
            <w:r w:rsidRPr="00506B82">
              <w:t xml:space="preserve"> concentration below relevant waste handling and disposal thresholds.</w:t>
            </w:r>
          </w:p>
          <w:p w14:paraId="162727DB" w14:textId="77777777" w:rsidR="005B37FA" w:rsidRDefault="005B37FA" w:rsidP="005B37FA">
            <w:pPr>
              <w:pStyle w:val="Tabletext"/>
            </w:pPr>
            <w:r>
              <w:t xml:space="preserve">(e) Waste consisting of, </w:t>
            </w:r>
            <w:proofErr w:type="gramStart"/>
            <w:r>
              <w:t>containing</w:t>
            </w:r>
            <w:proofErr w:type="gramEnd"/>
            <w:r>
              <w:t xml:space="preserve"> or contaminated by the chemical at a concentration that is equal to, or greater than, 1 mg/kg for </w:t>
            </w:r>
            <w:proofErr w:type="spellStart"/>
            <w:r>
              <w:t>PFHxS</w:t>
            </w:r>
            <w:proofErr w:type="spellEnd"/>
            <w:r>
              <w:t xml:space="preserve"> and its salts or 40 mg/kg for the sum of </w:t>
            </w:r>
            <w:proofErr w:type="spellStart"/>
            <w:r>
              <w:t>PFHxS</w:t>
            </w:r>
            <w:proofErr w:type="spellEnd"/>
            <w:r>
              <w:t>-related compounds must be either:</w:t>
            </w:r>
          </w:p>
          <w:p w14:paraId="5C733BA1" w14:textId="77777777" w:rsidR="00046408" w:rsidRDefault="005B37FA" w:rsidP="00046408">
            <w:pPr>
              <w:pStyle w:val="Tabletext"/>
              <w:ind w:left="641" w:hanging="284"/>
            </w:pPr>
            <w:r>
              <w:t>(</w:t>
            </w:r>
            <w:proofErr w:type="spellStart"/>
            <w:r>
              <w:t>i</w:t>
            </w:r>
            <w:proofErr w:type="spellEnd"/>
            <w:r>
              <w:t>) treated in such a way as to ensure that the chemical is destroyed or irreversibly transformed so that the remaining waste and environmental releases do not contain chemicals that exhibit Schedule 6 or Schedule 7 risk characteristics, or</w:t>
            </w:r>
          </w:p>
          <w:p w14:paraId="24539E9F" w14:textId="39D93280" w:rsidR="005B37FA" w:rsidRDefault="005B37FA" w:rsidP="00046408">
            <w:pPr>
              <w:pStyle w:val="Tabletext"/>
              <w:ind w:left="641" w:hanging="284"/>
            </w:pPr>
            <w:r>
              <w:t>(ii) managed or disposed of in an environmentally sound manner as authorised under a law of the Commonwealth or a law of a State, where treatment in accordance with subparagraph (</w:t>
            </w:r>
            <w:proofErr w:type="spellStart"/>
            <w:r>
              <w:t>i</w:t>
            </w:r>
            <w:proofErr w:type="spellEnd"/>
            <w:r>
              <w:t>) is not the environmentally preferable option.</w:t>
            </w:r>
          </w:p>
          <w:p w14:paraId="36F8FF12" w14:textId="77777777" w:rsidR="005B37FA" w:rsidRDefault="005B37FA" w:rsidP="005B37FA">
            <w:pPr>
              <w:pStyle w:val="Tabletext"/>
            </w:pPr>
            <w:r w:rsidRPr="00506B82">
              <w:t xml:space="preserve">(f) Waste containing or contaminated by the chemical at a concentration of less than 1 mg/kg for </w:t>
            </w:r>
            <w:proofErr w:type="spellStart"/>
            <w:r w:rsidRPr="00506B82">
              <w:t>PFHxS</w:t>
            </w:r>
            <w:proofErr w:type="spellEnd"/>
            <w:r w:rsidRPr="00506B82">
              <w:t xml:space="preserve"> and its salts or 40 mg/kg for the sum of </w:t>
            </w:r>
            <w:proofErr w:type="spellStart"/>
            <w:r w:rsidRPr="00506B82">
              <w:t>PFHxS</w:t>
            </w:r>
            <w:proofErr w:type="spellEnd"/>
            <w:r w:rsidRPr="00506B82">
              <w:t>-related compounds must be managed or disposed of in an environmentally sound manner as authorised under a law of the Commonwealth or a law of a State.</w:t>
            </w:r>
          </w:p>
          <w:p w14:paraId="095E300E" w14:textId="77777777" w:rsidR="005B37FA" w:rsidRDefault="005B37FA" w:rsidP="005B37FA">
            <w:pPr>
              <w:pStyle w:val="Tabletext"/>
            </w:pPr>
            <w:r w:rsidRPr="00506B82">
              <w:lastRenderedPageBreak/>
              <w:t xml:space="preserve">(g) Disposal of waste must not lead to recovery, recycling, </w:t>
            </w:r>
            <w:proofErr w:type="gramStart"/>
            <w:r w:rsidRPr="00506B82">
              <w:t>reclamation</w:t>
            </w:r>
            <w:proofErr w:type="gramEnd"/>
            <w:r w:rsidRPr="00506B82">
              <w:t xml:space="preserve"> or re-use of the chemical, subject to paragraph (h).</w:t>
            </w:r>
          </w:p>
          <w:p w14:paraId="7D664CBE" w14:textId="77777777" w:rsidR="005B37FA" w:rsidRDefault="005B37FA" w:rsidP="005B37FA">
            <w:pPr>
              <w:pStyle w:val="Tabletext"/>
            </w:pPr>
            <w:r w:rsidRPr="00506B82">
              <w:t>(h) In carrying out disposal, the chemical may be isolated from the waste, provided that the chemical is subsequently disposed of in accordance with paragraphs (e) and (f).</w:t>
            </w:r>
          </w:p>
          <w:p w14:paraId="589B160C" w14:textId="77777777" w:rsidR="005B37FA" w:rsidRDefault="005B37FA" w:rsidP="005B37FA">
            <w:pPr>
              <w:pStyle w:val="Tabletext"/>
            </w:pPr>
            <w:r w:rsidRPr="00506B82">
              <w:t>(</w:t>
            </w:r>
            <w:proofErr w:type="spellStart"/>
            <w:r w:rsidRPr="00506B82">
              <w:t>i</w:t>
            </w:r>
            <w:proofErr w:type="spellEnd"/>
            <w:r w:rsidRPr="00506B82">
              <w:t>) If an activity in relation to the chemical, or an article containing the chemical, is not permitted under paragraph (b) or (c), a holder of a stockpile of the chemical must:</w:t>
            </w:r>
          </w:p>
          <w:p w14:paraId="2A412A15" w14:textId="77777777" w:rsidR="00046408" w:rsidRDefault="005B37FA" w:rsidP="00046408">
            <w:pPr>
              <w:pStyle w:val="Tabletext"/>
              <w:ind w:left="641" w:hanging="284"/>
            </w:pPr>
            <w:r>
              <w:t>(</w:t>
            </w:r>
            <w:proofErr w:type="spellStart"/>
            <w:r>
              <w:t>i</w:t>
            </w:r>
            <w:proofErr w:type="spellEnd"/>
            <w:r>
              <w:t>) notify the relevant agency responsible for environmental protection of the nature and size of the stockpile; and</w:t>
            </w:r>
          </w:p>
          <w:p w14:paraId="630F91F2" w14:textId="77777777" w:rsidR="00046408" w:rsidRDefault="005B37FA" w:rsidP="00046408">
            <w:pPr>
              <w:pStyle w:val="Tabletext"/>
              <w:ind w:left="641" w:hanging="284"/>
            </w:pPr>
            <w:r>
              <w:t>(ii) manage that stockpile as waste in accordance with paragraphs (e) and (f); and</w:t>
            </w:r>
          </w:p>
          <w:p w14:paraId="716C3BBE" w14:textId="038A1335" w:rsidR="005B37FA" w:rsidRDefault="005B37FA" w:rsidP="00046408">
            <w:pPr>
              <w:pStyle w:val="Tabletext"/>
              <w:ind w:left="641" w:hanging="284"/>
            </w:pPr>
            <w:r>
              <w:t>(iii) comply with all relevant laws that apply in the relevant jurisdiction.</w:t>
            </w:r>
          </w:p>
          <w:p w14:paraId="603CDA83" w14:textId="4A227E17" w:rsidR="005B37FA" w:rsidRDefault="005B37FA" w:rsidP="00303181">
            <w:pPr>
              <w:pStyle w:val="Tabletext"/>
              <w:spacing w:after="240"/>
            </w:pPr>
            <w:r w:rsidRPr="00506B82">
              <w:t>(</w:t>
            </w:r>
            <w:proofErr w:type="spellStart"/>
            <w:r w:rsidR="00CA2651">
              <w:t>j</w:t>
            </w:r>
            <w:r w:rsidRPr="00506B82">
              <w:t>The</w:t>
            </w:r>
            <w:proofErr w:type="spellEnd"/>
            <w:r w:rsidRPr="00506B82">
              <w:t xml:space="preserve"> </w:t>
            </w:r>
            <w:proofErr w:type="spellStart"/>
            <w:r w:rsidRPr="00506B82">
              <w:t>IChEMS</w:t>
            </w:r>
            <w:proofErr w:type="spellEnd"/>
            <w:r w:rsidRPr="00506B82">
              <w:t xml:space="preserve"> Minimum Standards must be complied with.</w:t>
            </w:r>
          </w:p>
        </w:tc>
        <w:tc>
          <w:tcPr>
            <w:tcW w:w="2617" w:type="dxa"/>
            <w:tcBorders>
              <w:top w:val="single" w:sz="2" w:space="0" w:color="auto"/>
              <w:bottom w:val="single" w:sz="2" w:space="0" w:color="auto"/>
            </w:tcBorders>
            <w:shd w:val="clear" w:color="auto" w:fill="auto"/>
          </w:tcPr>
          <w:p w14:paraId="1997C269" w14:textId="1912139E" w:rsidR="005B37FA" w:rsidRDefault="005B37FA" w:rsidP="005B37FA">
            <w:pPr>
              <w:pStyle w:val="Tabletext"/>
            </w:pPr>
          </w:p>
        </w:tc>
      </w:tr>
      <w:tr w:rsidR="00924BBF" w:rsidRPr="00DD6562" w14:paraId="169838AE" w14:textId="77777777" w:rsidTr="00924BBF">
        <w:tc>
          <w:tcPr>
            <w:tcW w:w="3397" w:type="dxa"/>
            <w:tcBorders>
              <w:top w:val="single" w:sz="2" w:space="0" w:color="auto"/>
              <w:bottom w:val="single" w:sz="2" w:space="0" w:color="auto"/>
            </w:tcBorders>
            <w:shd w:val="clear" w:color="auto" w:fill="auto"/>
          </w:tcPr>
          <w:p w14:paraId="13C493EB" w14:textId="77777777" w:rsidR="00924BBF" w:rsidRDefault="00924BBF" w:rsidP="00924BBF">
            <w:pPr>
              <w:pStyle w:val="Tabletext"/>
            </w:pPr>
            <w:r w:rsidRPr="00506B82">
              <w:lastRenderedPageBreak/>
              <w:t xml:space="preserve">Class name: </w:t>
            </w:r>
          </w:p>
          <w:p w14:paraId="4C8BCDCA" w14:textId="776B6447" w:rsidR="00924BBF" w:rsidRDefault="00924BBF" w:rsidP="00924BBF">
            <w:pPr>
              <w:pStyle w:val="Tabletext"/>
            </w:pPr>
            <w:proofErr w:type="spellStart"/>
            <w:r w:rsidRPr="00506B82">
              <w:t>Perfluorooctanesulfonic</w:t>
            </w:r>
            <w:proofErr w:type="spellEnd"/>
            <w:r w:rsidRPr="00506B82">
              <w:t xml:space="preserve"> acid (PFOS), including any of its branched isomers, its salts, </w:t>
            </w:r>
            <w:proofErr w:type="spellStart"/>
            <w:r w:rsidRPr="00506B82">
              <w:t>perfluorooctanesulfonyl</w:t>
            </w:r>
            <w:proofErr w:type="spellEnd"/>
            <w:r w:rsidRPr="00506B82">
              <w:t xml:space="preserve"> fluoride, and any substance containing a linear or branched </w:t>
            </w:r>
            <w:proofErr w:type="spellStart"/>
            <w:r w:rsidRPr="00506B82">
              <w:t>perfluorooctanesulfonyl</w:t>
            </w:r>
            <w:proofErr w:type="spellEnd"/>
            <w:r w:rsidRPr="00506B82">
              <w:t xml:space="preserve"> moiety and capable of degrading to PFOS (linear or branched).</w:t>
            </w:r>
          </w:p>
        </w:tc>
        <w:tc>
          <w:tcPr>
            <w:tcW w:w="2268" w:type="dxa"/>
            <w:tcBorders>
              <w:top w:val="single" w:sz="2" w:space="0" w:color="auto"/>
              <w:bottom w:val="single" w:sz="2" w:space="0" w:color="auto"/>
            </w:tcBorders>
            <w:shd w:val="clear" w:color="auto" w:fill="auto"/>
          </w:tcPr>
          <w:p w14:paraId="2A629CA5" w14:textId="063727CC" w:rsidR="00924BBF" w:rsidRPr="00920E07" w:rsidRDefault="00924BBF" w:rsidP="00924BBF">
            <w:pPr>
              <w:pStyle w:val="Tabletext"/>
            </w:pPr>
          </w:p>
        </w:tc>
        <w:tc>
          <w:tcPr>
            <w:tcW w:w="4962" w:type="dxa"/>
            <w:tcBorders>
              <w:top w:val="single" w:sz="2" w:space="0" w:color="auto"/>
              <w:bottom w:val="single" w:sz="2" w:space="0" w:color="auto"/>
            </w:tcBorders>
            <w:shd w:val="clear" w:color="auto" w:fill="auto"/>
          </w:tcPr>
          <w:p w14:paraId="1A15C65C" w14:textId="77777777" w:rsidR="00924BBF" w:rsidRDefault="00924BBF" w:rsidP="00924BBF">
            <w:pPr>
              <w:pStyle w:val="Tabletext"/>
            </w:pPr>
            <w:r w:rsidRPr="00506B82">
              <w:t>(a</w:t>
            </w:r>
            <w:r>
              <w:t xml:space="preserve">) </w:t>
            </w:r>
            <w:r w:rsidRPr="00506B82">
              <w:t>This entry comes into effect on 1 July 2025.</w:t>
            </w:r>
          </w:p>
          <w:p w14:paraId="50676ECB" w14:textId="77777777" w:rsidR="00924BBF" w:rsidRDefault="00924BBF" w:rsidP="00924BBF">
            <w:pPr>
              <w:pStyle w:val="Tabletext"/>
            </w:pPr>
            <w:r w:rsidRPr="00506B82">
              <w:t xml:space="preserve">(b) The import, </w:t>
            </w:r>
            <w:proofErr w:type="gramStart"/>
            <w:r w:rsidRPr="00506B82">
              <w:t>export</w:t>
            </w:r>
            <w:proofErr w:type="gramEnd"/>
            <w:r w:rsidRPr="00506B82">
              <w:t xml:space="preserve"> and manufacture of the chemical (whether on its own or in mixtures or in articles) are prohibited except:</w:t>
            </w:r>
          </w:p>
          <w:p w14:paraId="59F8D2C5" w14:textId="77777777" w:rsidR="009B7720" w:rsidRDefault="00924BBF" w:rsidP="009B7720">
            <w:pPr>
              <w:pStyle w:val="Tabletext"/>
              <w:ind w:left="641" w:hanging="284"/>
            </w:pPr>
            <w:r>
              <w:t>(</w:t>
            </w:r>
            <w:proofErr w:type="spellStart"/>
            <w:r>
              <w:t>i</w:t>
            </w:r>
            <w:proofErr w:type="spellEnd"/>
            <w:r>
              <w:t>) in circumstances where the chemical is present as unintentional trace contamination at the following levels (to be reviewed by the department by 1 July 2027):</w:t>
            </w:r>
          </w:p>
          <w:p w14:paraId="270F516F" w14:textId="77777777" w:rsidR="009B7720" w:rsidRDefault="00924BBF" w:rsidP="009B7720">
            <w:pPr>
              <w:pStyle w:val="Tabletext"/>
              <w:ind w:left="925" w:hanging="284"/>
            </w:pPr>
            <w:r>
              <w:lastRenderedPageBreak/>
              <w:t>(</w:t>
            </w:r>
            <w:r w:rsidR="009B7720">
              <w:t>A</w:t>
            </w:r>
            <w:r>
              <w:t>) a level equal to or below 0.025 mg/kg for PFOS and its salts; or</w:t>
            </w:r>
          </w:p>
          <w:p w14:paraId="2BB91676" w14:textId="77777777" w:rsidR="003C3CB8" w:rsidRDefault="00924BBF" w:rsidP="003C3CB8">
            <w:pPr>
              <w:pStyle w:val="Tabletext"/>
              <w:ind w:left="925" w:hanging="284"/>
            </w:pPr>
            <w:r>
              <w:t>(</w:t>
            </w:r>
            <w:r w:rsidR="009B7720">
              <w:t>B</w:t>
            </w:r>
            <w:r>
              <w:t>) a level equal to or below 1 mg/kg for any individual PFOS-related compound or a combination of PFOS-related compounds; or</w:t>
            </w:r>
          </w:p>
          <w:p w14:paraId="1930DDA9" w14:textId="03F366BD" w:rsidR="00924BBF" w:rsidRDefault="00924BBF" w:rsidP="003C3CB8">
            <w:pPr>
              <w:pStyle w:val="Tabletext"/>
              <w:ind w:left="925" w:hanging="284"/>
            </w:pPr>
            <w:r>
              <w:t>(</w:t>
            </w:r>
            <w:r w:rsidR="009B7720">
              <w:t>C</w:t>
            </w:r>
            <w:r>
              <w:t>) a level equal to or below 0.8 mg/kg for PFOS and its salts present in fire-fighting foam for liquid fuel vapour suppression and liquid fuel fire (Class B fires) already installed in systems, including both mobile and fixed systems); or</w:t>
            </w:r>
          </w:p>
          <w:p w14:paraId="1EBEAB1F" w14:textId="77777777" w:rsidR="003F6C64" w:rsidRDefault="00924BBF" w:rsidP="003F6C64">
            <w:pPr>
              <w:pStyle w:val="Tabletext"/>
              <w:ind w:firstLine="357"/>
            </w:pPr>
            <w:r w:rsidRPr="00506B82">
              <w:t>(ii) for research or laboratory purposes; or</w:t>
            </w:r>
          </w:p>
          <w:p w14:paraId="5E7C60BD" w14:textId="27A5CD38" w:rsidR="00924BBF" w:rsidRDefault="00924BBF" w:rsidP="003F6C64">
            <w:pPr>
              <w:pStyle w:val="Tabletext"/>
              <w:ind w:firstLine="357"/>
            </w:pPr>
            <w:r w:rsidRPr="00506B82">
              <w:t>(iii) if a hazardous waste permit authorises the import or export of the chemical.</w:t>
            </w:r>
          </w:p>
          <w:p w14:paraId="64980C46" w14:textId="77777777" w:rsidR="00924BBF" w:rsidRDefault="00924BBF" w:rsidP="00924BBF">
            <w:pPr>
              <w:pStyle w:val="Tabletext"/>
            </w:pPr>
            <w:r w:rsidRPr="00506B82">
              <w:t>(c) The use of the chemical (whether on its own or in mixtures or in articles) is prohibited except:</w:t>
            </w:r>
          </w:p>
          <w:p w14:paraId="381BD390" w14:textId="37B0D3DA" w:rsidR="00924BBF" w:rsidRDefault="00924BBF" w:rsidP="003F6C64">
            <w:pPr>
              <w:pStyle w:val="Tabletext"/>
              <w:ind w:left="641" w:hanging="284"/>
            </w:pPr>
            <w:r>
              <w:t>(</w:t>
            </w:r>
            <w:proofErr w:type="spellStart"/>
            <w:r>
              <w:t>i</w:t>
            </w:r>
            <w:proofErr w:type="spellEnd"/>
            <w:r>
              <w:t>) in circumstances where the chemical is present in the article as unintentional trace contamination at the following levels (to be reviewed by the department by 1 July 2027):</w:t>
            </w:r>
          </w:p>
          <w:p w14:paraId="5712D5C7" w14:textId="77777777" w:rsidR="00C93A17" w:rsidRDefault="00924BBF" w:rsidP="00C93A17">
            <w:pPr>
              <w:pStyle w:val="Tabletext"/>
              <w:ind w:left="924" w:hanging="283"/>
            </w:pPr>
            <w:r>
              <w:t>(</w:t>
            </w:r>
            <w:r w:rsidR="003F6C64">
              <w:t>A</w:t>
            </w:r>
            <w:r>
              <w:t>) a level equal to or below 0.025 mg/kg for PFOS and its salts; or</w:t>
            </w:r>
          </w:p>
          <w:p w14:paraId="3E0B2503" w14:textId="77777777" w:rsidR="00C93A17" w:rsidRDefault="00924BBF" w:rsidP="00C93A17">
            <w:pPr>
              <w:pStyle w:val="Tabletext"/>
              <w:ind w:left="924" w:hanging="283"/>
            </w:pPr>
            <w:r>
              <w:t>(</w:t>
            </w:r>
            <w:r w:rsidR="003F6C64">
              <w:t>B</w:t>
            </w:r>
            <w:r>
              <w:t>) a level equal to or below 1 mg/kg for any individual PFOS-related compound or a combination of PFOS-related compounds; or</w:t>
            </w:r>
          </w:p>
          <w:p w14:paraId="1E1FAB58" w14:textId="4D5E846D" w:rsidR="00924BBF" w:rsidRDefault="00924BBF" w:rsidP="00C93A17">
            <w:pPr>
              <w:pStyle w:val="Tabletext"/>
              <w:ind w:left="924" w:hanging="283"/>
            </w:pPr>
            <w:r>
              <w:t>(</w:t>
            </w:r>
            <w:r w:rsidR="003F6C64">
              <w:t>C</w:t>
            </w:r>
            <w:r>
              <w:t xml:space="preserve">) a level equal to or below 0.8 mg/kg for PFOS and its salts present in fire-fighting foam for liquid fuel vapour suppression and liquid fuel </w:t>
            </w:r>
            <w:r>
              <w:lastRenderedPageBreak/>
              <w:t>fire (Class B fires) already installed in systems, including both mobile and fixed systems); or</w:t>
            </w:r>
          </w:p>
          <w:p w14:paraId="3FFD0511" w14:textId="77777777" w:rsidR="00924BBF" w:rsidRDefault="00924BBF" w:rsidP="00C93A17">
            <w:pPr>
              <w:pStyle w:val="Tabletext"/>
              <w:ind w:left="641" w:hanging="284"/>
            </w:pPr>
            <w:r w:rsidRPr="00506B82">
              <w:t>(ii) for research or laboratory purposes; or</w:t>
            </w:r>
          </w:p>
          <w:p w14:paraId="68B83C8F" w14:textId="77777777" w:rsidR="00924BBF" w:rsidRDefault="00924BBF" w:rsidP="00C93A17">
            <w:pPr>
              <w:pStyle w:val="Tabletext"/>
              <w:ind w:left="641" w:hanging="284"/>
            </w:pPr>
            <w:r w:rsidRPr="00506B82">
              <w:t>(iii) for an article, in circumstances in which the article is already in use on or before 1 July 2025.</w:t>
            </w:r>
          </w:p>
          <w:p w14:paraId="7EF81C8D" w14:textId="77777777" w:rsidR="00924BBF" w:rsidRDefault="00924BBF" w:rsidP="00924BBF">
            <w:pPr>
              <w:pStyle w:val="Tabletext"/>
            </w:pPr>
            <w:r w:rsidRPr="00506B82">
              <w:t>(d) Producers and holders of waste must undertake all reasonably practicable measures to avoid contamination of non-PFOS waste with this chemical and must not dilute PFOS waste to lower the PFOS concentration below relevant waste handling and disposal thresholds.</w:t>
            </w:r>
          </w:p>
          <w:p w14:paraId="0F6C4EED" w14:textId="77777777" w:rsidR="00924BBF" w:rsidRDefault="00924BBF" w:rsidP="00924BBF">
            <w:pPr>
              <w:pStyle w:val="Tabletext"/>
            </w:pPr>
            <w:r>
              <w:t xml:space="preserve">(e) Waste consisting of, </w:t>
            </w:r>
            <w:proofErr w:type="gramStart"/>
            <w:r>
              <w:t>containing</w:t>
            </w:r>
            <w:proofErr w:type="gramEnd"/>
            <w:r>
              <w:t xml:space="preserve"> or contaminated by the chemical at a concentration that is equal to, or greater than, 1 mg/kg for PFOS and its salts or 40 mg/kg for the sum of PFOS-related compounds must be either:</w:t>
            </w:r>
          </w:p>
          <w:p w14:paraId="25D55631" w14:textId="77777777" w:rsidR="00C93A17" w:rsidRDefault="00924BBF" w:rsidP="00C93A17">
            <w:pPr>
              <w:pStyle w:val="Tabletext"/>
              <w:ind w:left="641" w:hanging="284"/>
            </w:pPr>
            <w:r>
              <w:t>(</w:t>
            </w:r>
            <w:proofErr w:type="spellStart"/>
            <w:r>
              <w:t>i</w:t>
            </w:r>
            <w:proofErr w:type="spellEnd"/>
            <w:r>
              <w:t>) treated in such a way as to ensure that the chemical is destroyed or irreversibly transformed so that the remaining waste and environmental releases do not contain chemicals that exhibit Schedule 6 or Schedule 7 risk characteristics, or</w:t>
            </w:r>
          </w:p>
          <w:p w14:paraId="69DCF623" w14:textId="5A59105B" w:rsidR="00924BBF" w:rsidRDefault="00924BBF" w:rsidP="00C93A17">
            <w:pPr>
              <w:pStyle w:val="Tabletext"/>
              <w:ind w:left="641" w:hanging="284"/>
            </w:pPr>
            <w:r>
              <w:t>(ii) managed or disposed of in an environmentally sound manner as authorised under a law of the Commonwealth or a law of a State, where treatment in accordance with subparagraph (</w:t>
            </w:r>
            <w:proofErr w:type="spellStart"/>
            <w:r>
              <w:t>i</w:t>
            </w:r>
            <w:proofErr w:type="spellEnd"/>
            <w:r>
              <w:t>) is not the environmentally preferable option.</w:t>
            </w:r>
          </w:p>
          <w:p w14:paraId="5CDB94AC" w14:textId="77777777" w:rsidR="00924BBF" w:rsidRDefault="00924BBF" w:rsidP="00924BBF">
            <w:pPr>
              <w:pStyle w:val="Tabletext"/>
            </w:pPr>
            <w:r w:rsidRPr="00506B82">
              <w:t xml:space="preserve">(f) Waste containing or contaminated by the chemical at a concentration of less than 1 mg/kg for PFOS and its salts or 40 mg/kg for the sum of PFOS-related compounds must be managed or disposed of in an environmentally sound </w:t>
            </w:r>
            <w:r w:rsidRPr="00506B82">
              <w:lastRenderedPageBreak/>
              <w:t>manner as authorised under a law of the Commonwealth or a law of a State.</w:t>
            </w:r>
          </w:p>
          <w:p w14:paraId="6EE38344" w14:textId="77777777" w:rsidR="00924BBF" w:rsidRDefault="00924BBF" w:rsidP="00924BBF">
            <w:pPr>
              <w:pStyle w:val="Tabletext"/>
            </w:pPr>
            <w:r w:rsidRPr="00506B82">
              <w:t xml:space="preserve">(g) Disposal of waste must not lead to recovery, recycling, </w:t>
            </w:r>
            <w:proofErr w:type="gramStart"/>
            <w:r w:rsidRPr="00506B82">
              <w:t>reclamation</w:t>
            </w:r>
            <w:proofErr w:type="gramEnd"/>
            <w:r w:rsidRPr="00506B82">
              <w:t xml:space="preserve"> or re-use of the chemical, subject to paragraph (h).</w:t>
            </w:r>
          </w:p>
          <w:p w14:paraId="292FC06A" w14:textId="77777777" w:rsidR="00924BBF" w:rsidRDefault="00924BBF" w:rsidP="00924BBF">
            <w:pPr>
              <w:pStyle w:val="Tabletext"/>
            </w:pPr>
            <w:r w:rsidRPr="00506B82">
              <w:t>(h) In carrying out disposal, the chemical may be isolated from the waste, provided that the chemical is subsequently disposed of in accordance with paragraphs (e) and (f).</w:t>
            </w:r>
          </w:p>
          <w:p w14:paraId="27F56DF6" w14:textId="77777777" w:rsidR="00924BBF" w:rsidRDefault="00924BBF" w:rsidP="00924BBF">
            <w:pPr>
              <w:pStyle w:val="Tabletext"/>
            </w:pPr>
            <w:r>
              <w:t>(</w:t>
            </w:r>
            <w:proofErr w:type="spellStart"/>
            <w:r>
              <w:t>i</w:t>
            </w:r>
            <w:proofErr w:type="spellEnd"/>
            <w:r>
              <w:t>) If an activity in relation to the chemical, or an article containing the chemical, is not permitted under paragraph (b) or (c), a holder of a stockpile of the chemical must:</w:t>
            </w:r>
          </w:p>
          <w:p w14:paraId="2FC33BB9" w14:textId="77777777" w:rsidR="00C93A17" w:rsidRDefault="00924BBF" w:rsidP="00C93A17">
            <w:pPr>
              <w:pStyle w:val="Tabletext"/>
              <w:ind w:left="641" w:hanging="284"/>
            </w:pPr>
            <w:r>
              <w:t>(</w:t>
            </w:r>
            <w:proofErr w:type="spellStart"/>
            <w:r>
              <w:t>i</w:t>
            </w:r>
            <w:proofErr w:type="spellEnd"/>
            <w:r>
              <w:t>) notify the relevant agency responsible for environmental protection of the nature and size of the stockpile; and</w:t>
            </w:r>
          </w:p>
          <w:p w14:paraId="118D2095" w14:textId="77777777" w:rsidR="00C93A17" w:rsidRDefault="00924BBF" w:rsidP="00C93A17">
            <w:pPr>
              <w:pStyle w:val="Tabletext"/>
              <w:ind w:left="641" w:hanging="284"/>
            </w:pPr>
            <w:r>
              <w:t>(ii) manage that stockpile as waste in accordance with paragraphs (e) and (f); and</w:t>
            </w:r>
          </w:p>
          <w:p w14:paraId="173D0A69" w14:textId="1E5DDA51" w:rsidR="00924BBF" w:rsidRDefault="00924BBF" w:rsidP="00C93A17">
            <w:pPr>
              <w:pStyle w:val="Tabletext"/>
              <w:ind w:left="641" w:hanging="284"/>
            </w:pPr>
            <w:r>
              <w:t>(iii) comply with all relevant laws that apply in the relevant jurisdiction.</w:t>
            </w:r>
          </w:p>
          <w:p w14:paraId="24202CC0" w14:textId="1BC51B83" w:rsidR="00924BBF" w:rsidRPr="00C955C7" w:rsidRDefault="00924BBF" w:rsidP="00924BBF">
            <w:pPr>
              <w:pStyle w:val="Tabletext"/>
            </w:pPr>
            <w:r w:rsidRPr="00506B82">
              <w:t xml:space="preserve">(j) The </w:t>
            </w:r>
            <w:proofErr w:type="spellStart"/>
            <w:r w:rsidRPr="00506B82">
              <w:t>IChEMS</w:t>
            </w:r>
            <w:proofErr w:type="spellEnd"/>
            <w:r w:rsidRPr="00506B82">
              <w:t xml:space="preserve"> Minimum Standards must be complied with.</w:t>
            </w:r>
          </w:p>
        </w:tc>
        <w:tc>
          <w:tcPr>
            <w:tcW w:w="2617" w:type="dxa"/>
            <w:tcBorders>
              <w:top w:val="single" w:sz="2" w:space="0" w:color="auto"/>
              <w:bottom w:val="single" w:sz="2" w:space="0" w:color="auto"/>
            </w:tcBorders>
            <w:shd w:val="clear" w:color="auto" w:fill="auto"/>
          </w:tcPr>
          <w:p w14:paraId="01618E2E" w14:textId="3354D1E0" w:rsidR="00924BBF" w:rsidRPr="00920E07" w:rsidRDefault="00924BBF" w:rsidP="00924BBF">
            <w:pPr>
              <w:pStyle w:val="Tabletext"/>
            </w:pPr>
          </w:p>
        </w:tc>
      </w:tr>
      <w:tr w:rsidR="00924BBF" w:rsidRPr="00DD6562" w14:paraId="35AE04CF" w14:textId="77777777" w:rsidTr="00924BBF">
        <w:tc>
          <w:tcPr>
            <w:tcW w:w="3397" w:type="dxa"/>
            <w:tcBorders>
              <w:top w:val="single" w:sz="2" w:space="0" w:color="auto"/>
              <w:bottom w:val="single" w:sz="2" w:space="0" w:color="auto"/>
            </w:tcBorders>
            <w:shd w:val="clear" w:color="auto" w:fill="auto"/>
          </w:tcPr>
          <w:p w14:paraId="110BBFA1" w14:textId="77777777" w:rsidR="00924BBF" w:rsidRDefault="00924BBF" w:rsidP="00924BBF">
            <w:pPr>
              <w:pStyle w:val="Tabletext"/>
            </w:pPr>
            <w:r>
              <w:lastRenderedPageBreak/>
              <w:t xml:space="preserve">Class name: </w:t>
            </w:r>
          </w:p>
          <w:p w14:paraId="0AC3479A" w14:textId="77777777" w:rsidR="00924BBF" w:rsidRDefault="00924BBF" w:rsidP="00924BBF">
            <w:pPr>
              <w:pStyle w:val="Tabletext"/>
            </w:pPr>
            <w:r>
              <w:t xml:space="preserve">Perfluorooctanoic acid (PFOA), including any of its branched isomers, its salts and any related compound that contains a linear or branched </w:t>
            </w:r>
            <w:proofErr w:type="spellStart"/>
            <w:r>
              <w:t>perfluoroheptyl</w:t>
            </w:r>
            <w:proofErr w:type="spellEnd"/>
            <w:r>
              <w:t xml:space="preserve"> (C7H15C) group and which can degrade to linear or branched PFOA. Notwithstanding the </w:t>
            </w:r>
            <w:r>
              <w:lastRenderedPageBreak/>
              <w:t xml:space="preserve">above, the following are not PFOA-related compounds: </w:t>
            </w:r>
          </w:p>
          <w:p w14:paraId="009E96B2" w14:textId="77777777" w:rsidR="00924BBF" w:rsidRDefault="00924BBF" w:rsidP="00924BBF">
            <w:pPr>
              <w:pStyle w:val="Tabletext"/>
            </w:pPr>
            <w:r>
              <w:t xml:space="preserve">(a) C8F17-X, where X = F, Cl, </w:t>
            </w:r>
            <w:proofErr w:type="gramStart"/>
            <w:r>
              <w:t>Br;</w:t>
            </w:r>
            <w:proofErr w:type="gramEnd"/>
          </w:p>
          <w:p w14:paraId="5F07E388" w14:textId="77777777" w:rsidR="00924BBF" w:rsidRDefault="00924BBF" w:rsidP="00924BBF">
            <w:pPr>
              <w:pStyle w:val="Tabletext"/>
            </w:pPr>
            <w:r>
              <w:t>(b) fluoropolymers that are covered by CF3 [CF</w:t>
            </w:r>
            <w:proofErr w:type="gramStart"/>
            <w:r>
              <w:t>2]n</w:t>
            </w:r>
            <w:proofErr w:type="gramEnd"/>
            <w:r>
              <w:t>-R’, where R’=any group, n &gt;16;</w:t>
            </w:r>
          </w:p>
          <w:p w14:paraId="4CB0D370" w14:textId="77777777" w:rsidR="00924BBF" w:rsidRDefault="00924BBF" w:rsidP="00924BBF">
            <w:pPr>
              <w:pStyle w:val="Tabletext"/>
            </w:pPr>
            <w:r>
              <w:t xml:space="preserve">(c) perfluoroalkyl carboxylic acids and their derivatives with ≥ 8 perfluorinated </w:t>
            </w:r>
            <w:proofErr w:type="gramStart"/>
            <w:r>
              <w:t>carbons;</w:t>
            </w:r>
            <w:proofErr w:type="gramEnd"/>
          </w:p>
          <w:p w14:paraId="36AC5EBB" w14:textId="77777777" w:rsidR="00924BBF" w:rsidRDefault="00924BBF" w:rsidP="00924BBF">
            <w:pPr>
              <w:pStyle w:val="Tabletext"/>
            </w:pPr>
            <w:r>
              <w:t xml:space="preserve">(d) </w:t>
            </w:r>
            <w:proofErr w:type="spellStart"/>
            <w:r>
              <w:t>perfluoroalkane</w:t>
            </w:r>
            <w:proofErr w:type="spellEnd"/>
            <w:r>
              <w:t xml:space="preserve"> sulfonic acids and perfluoro phosphonic acids and their derivatives with ≥ 9 perfluorinated </w:t>
            </w:r>
            <w:proofErr w:type="gramStart"/>
            <w:r>
              <w:t>carbons;</w:t>
            </w:r>
            <w:proofErr w:type="gramEnd"/>
            <w:r>
              <w:t xml:space="preserve"> </w:t>
            </w:r>
          </w:p>
          <w:p w14:paraId="0DBB0D1E" w14:textId="77777777" w:rsidR="00924BBF" w:rsidRDefault="00924BBF" w:rsidP="00924BBF">
            <w:pPr>
              <w:pStyle w:val="Tabletext"/>
            </w:pPr>
            <w:r>
              <w:t xml:space="preserve">(e) </w:t>
            </w:r>
            <w:proofErr w:type="spellStart"/>
            <w:r>
              <w:t>perfluorooctane</w:t>
            </w:r>
            <w:proofErr w:type="spellEnd"/>
            <w:r>
              <w:t xml:space="preserve"> sulfonic acid and its derivatives (PFOS), as listed in this register.</w:t>
            </w:r>
          </w:p>
        </w:tc>
        <w:tc>
          <w:tcPr>
            <w:tcW w:w="2268" w:type="dxa"/>
            <w:tcBorders>
              <w:top w:val="single" w:sz="2" w:space="0" w:color="auto"/>
              <w:bottom w:val="single" w:sz="2" w:space="0" w:color="auto"/>
            </w:tcBorders>
            <w:shd w:val="clear" w:color="auto" w:fill="auto"/>
          </w:tcPr>
          <w:p w14:paraId="5BF301ED" w14:textId="77777777" w:rsidR="00924BBF" w:rsidRPr="00920E07" w:rsidRDefault="00924BBF" w:rsidP="00924BBF">
            <w:pPr>
              <w:pStyle w:val="Tabletext"/>
            </w:pPr>
          </w:p>
        </w:tc>
        <w:tc>
          <w:tcPr>
            <w:tcW w:w="4962" w:type="dxa"/>
            <w:tcBorders>
              <w:top w:val="single" w:sz="2" w:space="0" w:color="auto"/>
              <w:bottom w:val="single" w:sz="2" w:space="0" w:color="auto"/>
            </w:tcBorders>
            <w:shd w:val="clear" w:color="auto" w:fill="auto"/>
          </w:tcPr>
          <w:p w14:paraId="149DCC9F" w14:textId="77777777" w:rsidR="00924BBF" w:rsidRDefault="00924BBF" w:rsidP="00924BBF">
            <w:pPr>
              <w:pStyle w:val="Tabletext"/>
            </w:pPr>
            <w:r w:rsidRPr="00C955C7">
              <w:t>(a</w:t>
            </w:r>
            <w:r>
              <w:t xml:space="preserve">) </w:t>
            </w:r>
            <w:r w:rsidRPr="00C955C7">
              <w:t>This entry comes into effect on 1 July 2025.</w:t>
            </w:r>
          </w:p>
          <w:p w14:paraId="04BFBC58" w14:textId="77777777" w:rsidR="00924BBF" w:rsidRDefault="00924BBF" w:rsidP="00924BBF">
            <w:pPr>
              <w:pStyle w:val="Tabletext"/>
            </w:pPr>
            <w:r w:rsidRPr="00C955C7">
              <w:t xml:space="preserve">(b) The import, </w:t>
            </w:r>
            <w:proofErr w:type="gramStart"/>
            <w:r w:rsidRPr="00C955C7">
              <w:t>export</w:t>
            </w:r>
            <w:proofErr w:type="gramEnd"/>
            <w:r w:rsidRPr="00C955C7">
              <w:t xml:space="preserve"> and manufacture of the chemical (whether on its own or in mixtures or in articles) are prohibited except:</w:t>
            </w:r>
          </w:p>
          <w:p w14:paraId="28860012" w14:textId="77777777" w:rsidR="00924BBF" w:rsidRDefault="00924BBF" w:rsidP="00924BBF">
            <w:pPr>
              <w:pStyle w:val="Tabletext"/>
              <w:ind w:left="641" w:hanging="284"/>
            </w:pPr>
            <w:r>
              <w:t>(</w:t>
            </w:r>
            <w:proofErr w:type="spellStart"/>
            <w:r>
              <w:t>i</w:t>
            </w:r>
            <w:proofErr w:type="spellEnd"/>
            <w:r>
              <w:t xml:space="preserve">) in circumstances where the chemical is present as unintentional trace contamination at the following levels (to be reviewed by the department by 1 July 2027): </w:t>
            </w:r>
          </w:p>
          <w:p w14:paraId="00DBBF0E" w14:textId="77777777" w:rsidR="00924BBF" w:rsidRDefault="00924BBF" w:rsidP="00924BBF">
            <w:pPr>
              <w:pStyle w:val="Tabletext"/>
              <w:ind w:left="925" w:hanging="284"/>
            </w:pPr>
            <w:r>
              <w:lastRenderedPageBreak/>
              <w:t>(A) a level equal to or below 0.025 mg/kg for PFOA and its salts; or</w:t>
            </w:r>
          </w:p>
          <w:p w14:paraId="1ACDDB72" w14:textId="77777777" w:rsidR="00924BBF" w:rsidRDefault="00924BBF" w:rsidP="00924BBF">
            <w:pPr>
              <w:pStyle w:val="Tabletext"/>
              <w:ind w:left="925" w:hanging="284"/>
            </w:pPr>
            <w:r>
              <w:t>(B) a level equal to or below 1 mg/kg for any individual PFOA-related compound or a combination of PFOA-related compounds; or</w:t>
            </w:r>
          </w:p>
          <w:p w14:paraId="060FF31E" w14:textId="6D98D26F" w:rsidR="00924BBF" w:rsidRDefault="00924BBF" w:rsidP="00924BBF">
            <w:pPr>
              <w:pStyle w:val="Tabletext"/>
              <w:ind w:left="925" w:hanging="284"/>
            </w:pPr>
            <w:r>
              <w:t>(C) a level equal to or below 0.8 mg/kg for PFOA and its salts present in fire-fighting foam for liquid fuel vapour suppression and liquid fuel fire (Class B fires) when already installed in systems, including both mobile and fixed systems; or</w:t>
            </w:r>
          </w:p>
          <w:p w14:paraId="2CEE6E23" w14:textId="77777777" w:rsidR="00924BBF" w:rsidRDefault="00924BBF" w:rsidP="00924BBF">
            <w:pPr>
              <w:pStyle w:val="Tabletext"/>
              <w:ind w:firstLine="357"/>
            </w:pPr>
            <w:r w:rsidRPr="00C955C7">
              <w:t>(ii) for research or laboratory purposes; or</w:t>
            </w:r>
          </w:p>
          <w:p w14:paraId="5203FCF2" w14:textId="77777777" w:rsidR="00924BBF" w:rsidRDefault="00924BBF" w:rsidP="00924BBF">
            <w:pPr>
              <w:pStyle w:val="Tabletext"/>
              <w:ind w:left="641" w:hanging="284"/>
            </w:pPr>
            <w:r w:rsidRPr="00C955C7">
              <w:t>(iii) if a hazardous waste permit authorises the import or export of the chemical.</w:t>
            </w:r>
          </w:p>
          <w:p w14:paraId="7E0BADA5" w14:textId="77777777" w:rsidR="00924BBF" w:rsidRDefault="00924BBF" w:rsidP="00924BBF">
            <w:pPr>
              <w:pStyle w:val="Tabletext"/>
            </w:pPr>
            <w:r w:rsidRPr="00C955C7">
              <w:t>(c) The use of the chemical (whether on its own or in mixtures or in articles), is prohibited except:</w:t>
            </w:r>
          </w:p>
          <w:p w14:paraId="2909DF64" w14:textId="77777777" w:rsidR="00924BBF" w:rsidRDefault="00924BBF" w:rsidP="00924BBF">
            <w:pPr>
              <w:pStyle w:val="Tabletext"/>
              <w:ind w:left="641" w:hanging="284"/>
            </w:pPr>
            <w:r>
              <w:t>(</w:t>
            </w:r>
            <w:proofErr w:type="spellStart"/>
            <w:r>
              <w:t>i</w:t>
            </w:r>
            <w:proofErr w:type="spellEnd"/>
            <w:r>
              <w:t xml:space="preserve">) in circumstances where the chemical is present as unintentional trace contamination at the following levels (to be reviewed by the department by 1 July 2027): </w:t>
            </w:r>
          </w:p>
          <w:p w14:paraId="5B50DBA3" w14:textId="77777777" w:rsidR="00924BBF" w:rsidRDefault="00924BBF" w:rsidP="00924BBF">
            <w:pPr>
              <w:pStyle w:val="Tabletext"/>
              <w:ind w:left="924" w:hanging="283"/>
            </w:pPr>
            <w:r>
              <w:t>(A) a level equal to or below 0.025 mg/kg for PFOA and its salts; or</w:t>
            </w:r>
          </w:p>
          <w:p w14:paraId="4FE844D9" w14:textId="77777777" w:rsidR="00924BBF" w:rsidRDefault="00924BBF" w:rsidP="00924BBF">
            <w:pPr>
              <w:pStyle w:val="Tabletext"/>
              <w:ind w:left="924" w:hanging="283"/>
            </w:pPr>
            <w:r>
              <w:t>(B) a level equal to or below 1 mg/kg for any individual PFOA-related compound or a combination of PFOA-related compounds; or</w:t>
            </w:r>
          </w:p>
          <w:p w14:paraId="1EFF1F3C" w14:textId="1BE589E8" w:rsidR="00924BBF" w:rsidRDefault="00924BBF" w:rsidP="00924BBF">
            <w:pPr>
              <w:pStyle w:val="Tabletext"/>
              <w:ind w:left="924" w:hanging="283"/>
            </w:pPr>
            <w:r>
              <w:t xml:space="preserve">(C) a level equal to or below 0.8 mg/kg for PFOA and its salts present in fire-fighting foam for liquid fuel vapour suppression and liquid fuel </w:t>
            </w:r>
            <w:r>
              <w:lastRenderedPageBreak/>
              <w:t>fire (Class B fires) when already installed in systems, including both mobile and fixed systems; or</w:t>
            </w:r>
          </w:p>
          <w:p w14:paraId="16871CA0" w14:textId="77777777" w:rsidR="00924BBF" w:rsidRDefault="00924BBF" w:rsidP="00924BBF">
            <w:pPr>
              <w:pStyle w:val="Tabletext"/>
              <w:ind w:left="641" w:hanging="284"/>
            </w:pPr>
            <w:r w:rsidRPr="00C955C7">
              <w:t>(ii) for research or laboratory purposes; or</w:t>
            </w:r>
          </w:p>
          <w:p w14:paraId="7FA122DC" w14:textId="632827AE" w:rsidR="00924BBF" w:rsidRDefault="00924BBF" w:rsidP="00924BBF">
            <w:pPr>
              <w:pStyle w:val="Tabletext"/>
              <w:ind w:left="641" w:hanging="284"/>
            </w:pPr>
            <w:r w:rsidRPr="00C955C7">
              <w:t>(iii) in circumstances in which the article is already in use on or before 1 July 2025.</w:t>
            </w:r>
          </w:p>
          <w:p w14:paraId="63C34F0D" w14:textId="77777777" w:rsidR="00924BBF" w:rsidRDefault="00924BBF" w:rsidP="00924BBF">
            <w:pPr>
              <w:pStyle w:val="Tabletext"/>
            </w:pPr>
            <w:r w:rsidRPr="00C955C7">
              <w:t>(d) Producers and holders of waste must undertake all reasonably practicable measures to avoid contamination of non-PFOA waste with this chemical and must not dilute PFOA waste to lower the PFOA concentration below relevant waste handling and disposal thresholds.</w:t>
            </w:r>
          </w:p>
          <w:p w14:paraId="56BC8CBF" w14:textId="77777777" w:rsidR="00924BBF" w:rsidRDefault="00924BBF" w:rsidP="00924BBF">
            <w:pPr>
              <w:pStyle w:val="Tabletext"/>
            </w:pPr>
            <w:r>
              <w:t xml:space="preserve">(e) Waste consisting of, </w:t>
            </w:r>
            <w:proofErr w:type="gramStart"/>
            <w:r>
              <w:t>containing</w:t>
            </w:r>
            <w:proofErr w:type="gramEnd"/>
            <w:r>
              <w:t xml:space="preserve"> or contaminated by the chemical at a concentration that is equal to, or greater than, 1 mg/kg for PFOA and its salts or 40 mg/kg for the sum of PFOA–related compounds must be either:</w:t>
            </w:r>
          </w:p>
          <w:p w14:paraId="009A7E94" w14:textId="77777777" w:rsidR="00924BBF" w:rsidRDefault="00924BBF" w:rsidP="00924BBF">
            <w:pPr>
              <w:pStyle w:val="Tabletext"/>
              <w:ind w:left="641" w:hanging="284"/>
            </w:pPr>
            <w:r>
              <w:t>(</w:t>
            </w:r>
            <w:proofErr w:type="spellStart"/>
            <w:r>
              <w:t>i</w:t>
            </w:r>
            <w:proofErr w:type="spellEnd"/>
            <w:r>
              <w:t>) treated in such a way as to ensure that the chemical is destroyed or irreversibly transformed so that the remaining waste and environmental releases do not contain chemicals that exhibit Schedule 6 or Schedule 7 risk characteristics, or</w:t>
            </w:r>
          </w:p>
          <w:p w14:paraId="66DAD1B1" w14:textId="5B0F9A2C" w:rsidR="00924BBF" w:rsidRDefault="00924BBF" w:rsidP="00924BBF">
            <w:pPr>
              <w:pStyle w:val="Tabletext"/>
              <w:ind w:left="641" w:hanging="284"/>
            </w:pPr>
            <w:r>
              <w:t>(ii) stored or disposed of in an environmentally sound manner as authorised under a law of the Commonwealth or a law of a State, where treatment in accordance with subparagraph (</w:t>
            </w:r>
            <w:proofErr w:type="spellStart"/>
            <w:r>
              <w:t>i</w:t>
            </w:r>
            <w:proofErr w:type="spellEnd"/>
            <w:r>
              <w:t>) is not the environmentally preferable option.</w:t>
            </w:r>
          </w:p>
          <w:p w14:paraId="73AB5D19" w14:textId="77777777" w:rsidR="00924BBF" w:rsidRDefault="00924BBF" w:rsidP="00924BBF">
            <w:pPr>
              <w:pStyle w:val="Tabletext"/>
            </w:pPr>
            <w:r w:rsidRPr="00C955C7">
              <w:t xml:space="preserve">(f) Waste containing or contaminated by the chemical at a concentration of less than 1 mg/kg for PFOA and its salts or 40 mg/kg for the sum of PFOA-related compounds must be managed or disposed of in an environmentally sound </w:t>
            </w:r>
            <w:r w:rsidRPr="00C955C7">
              <w:lastRenderedPageBreak/>
              <w:t>manner as authorised under a law of the Commonwealth or a law of a State.</w:t>
            </w:r>
          </w:p>
          <w:p w14:paraId="101F7435" w14:textId="77777777" w:rsidR="00924BBF" w:rsidRDefault="00924BBF" w:rsidP="00924BBF">
            <w:pPr>
              <w:pStyle w:val="Tabletext"/>
            </w:pPr>
            <w:r w:rsidRPr="00C955C7">
              <w:t xml:space="preserve">(g) Disposal of waste must not lead to recovery, recycling, </w:t>
            </w:r>
            <w:proofErr w:type="gramStart"/>
            <w:r w:rsidRPr="00C955C7">
              <w:t>reclamation</w:t>
            </w:r>
            <w:proofErr w:type="gramEnd"/>
            <w:r w:rsidRPr="00C955C7">
              <w:t xml:space="preserve"> or re-use of the chemical, subject to paragraph (h).</w:t>
            </w:r>
          </w:p>
          <w:p w14:paraId="21B9CCEE" w14:textId="77777777" w:rsidR="00924BBF" w:rsidRDefault="00924BBF" w:rsidP="00924BBF">
            <w:pPr>
              <w:pStyle w:val="Tabletext"/>
            </w:pPr>
            <w:r w:rsidRPr="00C955C7">
              <w:t>(h) In carrying out disposal, the chemical may be isolated from the waste, provided that the chemical is subsequently disposed of in accordance with paragraphs (e) and (f).</w:t>
            </w:r>
          </w:p>
          <w:p w14:paraId="6FF7785C" w14:textId="77777777" w:rsidR="00924BBF" w:rsidRDefault="00924BBF" w:rsidP="00924BBF">
            <w:pPr>
              <w:pStyle w:val="Tabletext"/>
            </w:pPr>
            <w:r>
              <w:t>(</w:t>
            </w:r>
            <w:proofErr w:type="spellStart"/>
            <w:r>
              <w:t>i</w:t>
            </w:r>
            <w:proofErr w:type="spellEnd"/>
            <w:r>
              <w:t>) If an activity in relation to the chemical, or an article containing the chemical, is not permitted under paragraph (b) or (c), a holder of a stockpile of the chemical must:</w:t>
            </w:r>
          </w:p>
          <w:p w14:paraId="3FE2C198" w14:textId="77777777" w:rsidR="00924BBF" w:rsidRDefault="00924BBF" w:rsidP="00924BBF">
            <w:pPr>
              <w:pStyle w:val="Tabletext"/>
              <w:ind w:left="641" w:hanging="284"/>
            </w:pPr>
            <w:r>
              <w:t>(</w:t>
            </w:r>
            <w:proofErr w:type="spellStart"/>
            <w:r>
              <w:t>i</w:t>
            </w:r>
            <w:proofErr w:type="spellEnd"/>
            <w:r>
              <w:t>) notify the relevant agency responsible for environmental protection of the nature and size of the stockpile; and</w:t>
            </w:r>
          </w:p>
          <w:p w14:paraId="176C96AC" w14:textId="77777777" w:rsidR="00924BBF" w:rsidRDefault="00924BBF" w:rsidP="00924BBF">
            <w:pPr>
              <w:pStyle w:val="Tabletext"/>
              <w:ind w:left="641" w:hanging="284"/>
            </w:pPr>
            <w:r>
              <w:t>(ii) manage that stockpile as waste in accordance with paragraphs (e) and (f); and</w:t>
            </w:r>
          </w:p>
          <w:p w14:paraId="58D668E6" w14:textId="4BE47BC2" w:rsidR="00924BBF" w:rsidRDefault="00924BBF" w:rsidP="00924BBF">
            <w:pPr>
              <w:pStyle w:val="Tabletext"/>
              <w:ind w:left="641" w:hanging="284"/>
            </w:pPr>
            <w:r>
              <w:t>(iii) comply with all relevant laws that apply in the relevant jurisdiction.</w:t>
            </w:r>
          </w:p>
          <w:p w14:paraId="34832AC7" w14:textId="77777777" w:rsidR="00924BBF" w:rsidRDefault="00924BBF" w:rsidP="00924BBF">
            <w:pPr>
              <w:pStyle w:val="Tabletext"/>
              <w:spacing w:after="240"/>
            </w:pPr>
            <w:r w:rsidRPr="00C955C7">
              <w:t xml:space="preserve">(j) The </w:t>
            </w:r>
            <w:proofErr w:type="spellStart"/>
            <w:r w:rsidRPr="00C955C7">
              <w:t>IChEMS</w:t>
            </w:r>
            <w:proofErr w:type="spellEnd"/>
            <w:r w:rsidRPr="00C955C7">
              <w:t xml:space="preserve"> Minimum Standards must be complied with.</w:t>
            </w:r>
          </w:p>
        </w:tc>
        <w:tc>
          <w:tcPr>
            <w:tcW w:w="2617" w:type="dxa"/>
            <w:tcBorders>
              <w:top w:val="single" w:sz="2" w:space="0" w:color="auto"/>
              <w:bottom w:val="single" w:sz="2" w:space="0" w:color="auto"/>
            </w:tcBorders>
            <w:shd w:val="clear" w:color="auto" w:fill="auto"/>
          </w:tcPr>
          <w:p w14:paraId="270CEB5D" w14:textId="77777777" w:rsidR="00924BBF" w:rsidRPr="00920E07" w:rsidRDefault="00924BBF" w:rsidP="00924BBF">
            <w:pPr>
              <w:pStyle w:val="Tabletext"/>
            </w:pPr>
          </w:p>
        </w:tc>
      </w:tr>
      <w:tr w:rsidR="00924BBF" w:rsidRPr="00DD6562" w14:paraId="2D41F8DE" w14:textId="77777777" w:rsidTr="00924BBF">
        <w:tc>
          <w:tcPr>
            <w:tcW w:w="3397" w:type="dxa"/>
            <w:tcBorders>
              <w:top w:val="single" w:sz="2" w:space="0" w:color="auto"/>
              <w:bottom w:val="single" w:sz="2" w:space="0" w:color="auto"/>
            </w:tcBorders>
            <w:shd w:val="clear" w:color="auto" w:fill="auto"/>
          </w:tcPr>
          <w:p w14:paraId="507D3299" w14:textId="77777777" w:rsidR="00924BBF" w:rsidRDefault="00924BBF" w:rsidP="00924BBF">
            <w:pPr>
              <w:pStyle w:val="NormalWeb"/>
              <w:spacing w:line="252" w:lineRule="auto"/>
              <w:rPr>
                <w:rFonts w:cs="Times New Roman"/>
                <w:color w:val="000000"/>
                <w:sz w:val="20"/>
                <w:shd w:val="clear" w:color="auto" w:fill="FFFFFF"/>
              </w:rPr>
            </w:pPr>
            <w:r>
              <w:rPr>
                <w:rFonts w:cs="Times New Roman"/>
                <w:color w:val="000000"/>
                <w:sz w:val="20"/>
                <w:shd w:val="clear" w:color="auto" w:fill="FFFFFF"/>
              </w:rPr>
              <w:lastRenderedPageBreak/>
              <w:t>Class name:</w:t>
            </w:r>
          </w:p>
          <w:p w14:paraId="6E0AF8D6" w14:textId="77777777" w:rsidR="00924BBF" w:rsidRPr="00506B82" w:rsidRDefault="00924BBF" w:rsidP="00924BBF">
            <w:pPr>
              <w:pStyle w:val="Tabletext"/>
            </w:pPr>
            <w:r>
              <w:rPr>
                <w:color w:val="000000"/>
                <w:shd w:val="clear" w:color="auto" w:fill="FFFFFF"/>
              </w:rPr>
              <w:t xml:space="preserve">Polychlorinated </w:t>
            </w:r>
            <w:proofErr w:type="spellStart"/>
            <w:r>
              <w:rPr>
                <w:color w:val="000000"/>
                <w:shd w:val="clear" w:color="auto" w:fill="FFFFFF"/>
              </w:rPr>
              <w:t>naphthalenes</w:t>
            </w:r>
            <w:proofErr w:type="spellEnd"/>
            <w:r>
              <w:t xml:space="preserve">, including </w:t>
            </w:r>
            <w:proofErr w:type="spellStart"/>
            <w:r>
              <w:t>dichlorinated</w:t>
            </w:r>
            <w:proofErr w:type="spellEnd"/>
            <w:r>
              <w:t xml:space="preserve"> </w:t>
            </w:r>
            <w:proofErr w:type="spellStart"/>
            <w:r>
              <w:t>naphthalenes</w:t>
            </w:r>
            <w:proofErr w:type="spellEnd"/>
            <w:r>
              <w:t xml:space="preserve">, </w:t>
            </w:r>
            <w:proofErr w:type="spellStart"/>
            <w:r>
              <w:t>trichlorinated</w:t>
            </w:r>
            <w:proofErr w:type="spellEnd"/>
            <w:r>
              <w:t xml:space="preserve"> </w:t>
            </w:r>
            <w:proofErr w:type="spellStart"/>
            <w:r>
              <w:t>naphthalenes</w:t>
            </w:r>
            <w:proofErr w:type="spellEnd"/>
            <w:r>
              <w:t xml:space="preserve">, </w:t>
            </w:r>
            <w:proofErr w:type="spellStart"/>
            <w:r>
              <w:t>tetrachlorinated</w:t>
            </w:r>
            <w:proofErr w:type="spellEnd"/>
            <w:r>
              <w:t xml:space="preserve"> </w:t>
            </w:r>
            <w:proofErr w:type="spellStart"/>
            <w:r>
              <w:t>naphthalenes</w:t>
            </w:r>
            <w:proofErr w:type="spellEnd"/>
            <w:r>
              <w:t xml:space="preserve">, </w:t>
            </w:r>
            <w:proofErr w:type="spellStart"/>
            <w:r>
              <w:t>pentachlorinated</w:t>
            </w:r>
            <w:proofErr w:type="spellEnd"/>
            <w:r>
              <w:t xml:space="preserve"> </w:t>
            </w:r>
            <w:proofErr w:type="spellStart"/>
            <w:r>
              <w:t>naphthalenes</w:t>
            </w:r>
            <w:proofErr w:type="spellEnd"/>
            <w:r>
              <w:t xml:space="preserve">, </w:t>
            </w:r>
            <w:proofErr w:type="spellStart"/>
            <w:r>
              <w:t>hexachlorinated</w:t>
            </w:r>
            <w:proofErr w:type="spellEnd"/>
            <w:r>
              <w:t xml:space="preserve"> </w:t>
            </w:r>
            <w:proofErr w:type="spellStart"/>
            <w:r>
              <w:t>naphthalenes</w:t>
            </w:r>
            <w:proofErr w:type="spellEnd"/>
            <w:r>
              <w:t xml:space="preserve">, </w:t>
            </w:r>
            <w:proofErr w:type="spellStart"/>
            <w:r>
              <w:t>heptachlorinated</w:t>
            </w:r>
            <w:proofErr w:type="spellEnd"/>
            <w:r>
              <w:t xml:space="preserve"> </w:t>
            </w:r>
            <w:proofErr w:type="spellStart"/>
            <w:r>
              <w:t>naphthalenes</w:t>
            </w:r>
            <w:proofErr w:type="spellEnd"/>
            <w:r>
              <w:t xml:space="preserve">, </w:t>
            </w:r>
            <w:proofErr w:type="spellStart"/>
            <w:r>
              <w:lastRenderedPageBreak/>
              <w:t>octachlorinated</w:t>
            </w:r>
            <w:proofErr w:type="spellEnd"/>
            <w:r>
              <w:t xml:space="preserve"> naphthalene and any combination of those chemicals.</w:t>
            </w:r>
          </w:p>
        </w:tc>
        <w:tc>
          <w:tcPr>
            <w:tcW w:w="2268" w:type="dxa"/>
            <w:tcBorders>
              <w:top w:val="single" w:sz="2" w:space="0" w:color="auto"/>
              <w:bottom w:val="single" w:sz="2" w:space="0" w:color="auto"/>
            </w:tcBorders>
            <w:shd w:val="clear" w:color="auto" w:fill="auto"/>
          </w:tcPr>
          <w:p w14:paraId="35F9211B" w14:textId="77777777" w:rsidR="00924BBF" w:rsidRPr="00920E07" w:rsidRDefault="00924BBF" w:rsidP="00924BBF">
            <w:pPr>
              <w:pStyle w:val="Tabletext"/>
            </w:pPr>
          </w:p>
        </w:tc>
        <w:tc>
          <w:tcPr>
            <w:tcW w:w="4962" w:type="dxa"/>
            <w:tcBorders>
              <w:top w:val="single" w:sz="2" w:space="0" w:color="auto"/>
              <w:bottom w:val="single" w:sz="2" w:space="0" w:color="auto"/>
            </w:tcBorders>
            <w:shd w:val="clear" w:color="auto" w:fill="auto"/>
          </w:tcPr>
          <w:p w14:paraId="3177C9EC" w14:textId="77777777" w:rsidR="00924BBF" w:rsidRDefault="00924BBF" w:rsidP="00924BBF">
            <w:pPr>
              <w:pStyle w:val="Tablea"/>
              <w:rPr>
                <w:lang w:eastAsia="en-US"/>
              </w:rPr>
            </w:pPr>
            <w:r>
              <w:rPr>
                <w:lang w:eastAsia="en-US"/>
              </w:rPr>
              <w:t>(a) This entry comes into effect on 1 July 2023.</w:t>
            </w:r>
          </w:p>
          <w:p w14:paraId="5B8A36A7" w14:textId="77777777" w:rsidR="00924BBF" w:rsidRDefault="00924BBF" w:rsidP="00924BBF">
            <w:pPr>
              <w:pStyle w:val="Tablea"/>
              <w:rPr>
                <w:lang w:eastAsia="en-US"/>
              </w:rPr>
            </w:pPr>
            <w:r>
              <w:rPr>
                <w:lang w:eastAsia="en-US"/>
              </w:rPr>
              <w:t>(b) The importation and manufacture of, and end uses for, the chemical (whether on its own or in mixtures) are prohibited except:</w:t>
            </w:r>
          </w:p>
          <w:p w14:paraId="605F8F4A" w14:textId="77777777" w:rsidR="00924BBF" w:rsidRDefault="00924BBF" w:rsidP="00924BBF">
            <w:pPr>
              <w:pStyle w:val="Tablei"/>
              <w:rPr>
                <w:lang w:eastAsia="en-US"/>
              </w:rPr>
            </w:pPr>
            <w:r>
              <w:rPr>
                <w:lang w:eastAsia="en-US"/>
              </w:rPr>
              <w:t>(</w:t>
            </w:r>
            <w:proofErr w:type="spellStart"/>
            <w:r>
              <w:rPr>
                <w:lang w:eastAsia="en-US"/>
              </w:rPr>
              <w:t>i</w:t>
            </w:r>
            <w:proofErr w:type="spellEnd"/>
            <w:r>
              <w:rPr>
                <w:lang w:eastAsia="en-US"/>
              </w:rPr>
              <w:t>) in circumstances where the chemical is present unintentionally and unavoidably at a level at which the chemical cannot be meaningfully used; or</w:t>
            </w:r>
          </w:p>
          <w:p w14:paraId="4D08F5EE" w14:textId="77777777" w:rsidR="00924BBF" w:rsidRDefault="00924BBF" w:rsidP="00924BBF">
            <w:pPr>
              <w:pStyle w:val="Tablei"/>
              <w:rPr>
                <w:lang w:eastAsia="en-US"/>
              </w:rPr>
            </w:pPr>
            <w:r>
              <w:rPr>
                <w:lang w:eastAsia="en-US"/>
              </w:rPr>
              <w:lastRenderedPageBreak/>
              <w:t>(ii) for research or laboratory purposes; or</w:t>
            </w:r>
          </w:p>
          <w:p w14:paraId="6BCF8273" w14:textId="77777777" w:rsidR="00924BBF" w:rsidRDefault="00924BBF" w:rsidP="00924BBF">
            <w:pPr>
              <w:pStyle w:val="Tablei"/>
              <w:rPr>
                <w:lang w:eastAsia="en-US"/>
              </w:rPr>
            </w:pPr>
            <w:r>
              <w:rPr>
                <w:lang w:eastAsia="en-US"/>
              </w:rPr>
              <w:t>(iii) if a hazardous waste import permit authorises the importation of the chemical.</w:t>
            </w:r>
          </w:p>
          <w:p w14:paraId="12CC7190" w14:textId="77777777" w:rsidR="00924BBF" w:rsidRDefault="00924BBF" w:rsidP="00924BBF">
            <w:pPr>
              <w:pStyle w:val="Tablea"/>
              <w:rPr>
                <w:lang w:eastAsia="en-US"/>
              </w:rPr>
            </w:pPr>
            <w:r>
              <w:rPr>
                <w:lang w:eastAsia="en-US"/>
              </w:rPr>
              <w:t>(c) The importation, manufacture and use of an article containing the chemical are prohibited except:</w:t>
            </w:r>
          </w:p>
          <w:p w14:paraId="482D577C" w14:textId="77777777" w:rsidR="00924BBF" w:rsidRDefault="00924BBF" w:rsidP="00924BBF">
            <w:pPr>
              <w:pStyle w:val="Tablei"/>
              <w:rPr>
                <w:lang w:eastAsia="en-US"/>
              </w:rPr>
            </w:pPr>
            <w:r>
              <w:rPr>
                <w:lang w:eastAsia="en-US"/>
              </w:rPr>
              <w:t>(</w:t>
            </w:r>
            <w:proofErr w:type="spellStart"/>
            <w:r>
              <w:rPr>
                <w:lang w:eastAsia="en-US"/>
              </w:rPr>
              <w:t>i</w:t>
            </w:r>
            <w:proofErr w:type="spellEnd"/>
            <w:r>
              <w:rPr>
                <w:lang w:eastAsia="en-US"/>
              </w:rPr>
              <w:t>) in circumstances where the chemical is present in the article unintentionally and unavoidably at a level at which the chemical cannot be meaningfully used; or</w:t>
            </w:r>
          </w:p>
          <w:p w14:paraId="0E821667" w14:textId="77777777" w:rsidR="00924BBF" w:rsidRDefault="00924BBF" w:rsidP="00924BBF">
            <w:pPr>
              <w:pStyle w:val="Tablei"/>
              <w:rPr>
                <w:lang w:eastAsia="en-US"/>
              </w:rPr>
            </w:pPr>
            <w:r>
              <w:rPr>
                <w:lang w:eastAsia="en-US"/>
              </w:rPr>
              <w:t>(ii) for research or laboratory purposes; or</w:t>
            </w:r>
          </w:p>
          <w:p w14:paraId="2FA2258A" w14:textId="77777777" w:rsidR="00924BBF" w:rsidRDefault="00924BBF" w:rsidP="00924BBF">
            <w:pPr>
              <w:pStyle w:val="Tablei"/>
              <w:rPr>
                <w:lang w:eastAsia="en-US"/>
              </w:rPr>
            </w:pPr>
            <w:r>
              <w:rPr>
                <w:lang w:eastAsia="en-US"/>
              </w:rPr>
              <w:t>(iii) if a hazardous waste import permit authorises the importation of the article; or</w:t>
            </w:r>
          </w:p>
          <w:p w14:paraId="7A86FAD7" w14:textId="77777777" w:rsidR="00924BBF" w:rsidRDefault="00924BBF" w:rsidP="00924BBF">
            <w:pPr>
              <w:pStyle w:val="Tablei"/>
              <w:rPr>
                <w:lang w:eastAsia="en-US"/>
              </w:rPr>
            </w:pPr>
            <w:r>
              <w:rPr>
                <w:lang w:eastAsia="en-US"/>
              </w:rPr>
              <w:t>(iv) in circumstances in which the article is already in use on or before 1 July 2023.</w:t>
            </w:r>
          </w:p>
          <w:p w14:paraId="275216E6" w14:textId="77777777" w:rsidR="00924BBF" w:rsidRDefault="00924BBF" w:rsidP="00924BBF">
            <w:pPr>
              <w:pStyle w:val="Tablea"/>
              <w:rPr>
                <w:lang w:eastAsia="en-US"/>
              </w:rPr>
            </w:pPr>
            <w:r>
              <w:rPr>
                <w:lang w:eastAsia="en-US"/>
              </w:rPr>
              <w:t>(d) The exportation of the chemical (whether on its own or in mixtures), or an article containing the chemical, is prohibited except:</w:t>
            </w:r>
          </w:p>
          <w:p w14:paraId="134534B9" w14:textId="77777777" w:rsidR="00924BBF" w:rsidRDefault="00924BBF" w:rsidP="00924BBF">
            <w:pPr>
              <w:pStyle w:val="Tablei"/>
              <w:rPr>
                <w:lang w:eastAsia="en-US"/>
              </w:rPr>
            </w:pPr>
            <w:r>
              <w:rPr>
                <w:lang w:eastAsia="en-US"/>
              </w:rPr>
              <w:t>(</w:t>
            </w:r>
            <w:proofErr w:type="spellStart"/>
            <w:r>
              <w:rPr>
                <w:lang w:eastAsia="en-US"/>
              </w:rPr>
              <w:t>i</w:t>
            </w:r>
            <w:proofErr w:type="spellEnd"/>
            <w:r>
              <w:rPr>
                <w:lang w:eastAsia="en-US"/>
              </w:rPr>
              <w:t>) for the chemical—in circumstances where the chemical is present unintentionally and unavoidably at a level at which the chemical cannot be meaningfully used; or</w:t>
            </w:r>
          </w:p>
          <w:p w14:paraId="61045567" w14:textId="77777777" w:rsidR="00924BBF" w:rsidRDefault="00924BBF" w:rsidP="00924BBF">
            <w:pPr>
              <w:pStyle w:val="Tablei"/>
              <w:rPr>
                <w:lang w:eastAsia="en-US"/>
              </w:rPr>
            </w:pPr>
            <w:r>
              <w:rPr>
                <w:lang w:eastAsia="en-US"/>
              </w:rPr>
              <w:t>(ii) for the article—in circumstances where the chemical is present in the article unintentionally and unavoidably at a level at which the chemical cannot be meaningfully used; or</w:t>
            </w:r>
          </w:p>
          <w:p w14:paraId="7E4D3318" w14:textId="77777777" w:rsidR="00924BBF" w:rsidRDefault="00924BBF" w:rsidP="00924BBF">
            <w:pPr>
              <w:pStyle w:val="Tablei"/>
              <w:rPr>
                <w:lang w:eastAsia="en-US"/>
              </w:rPr>
            </w:pPr>
            <w:r>
              <w:rPr>
                <w:lang w:eastAsia="en-US"/>
              </w:rPr>
              <w:t>(iii) if a hazardous waste export permit authorises the exportation of the chemical or the article.</w:t>
            </w:r>
          </w:p>
          <w:p w14:paraId="72AE2863" w14:textId="77777777" w:rsidR="00924BBF" w:rsidRDefault="00924BBF" w:rsidP="00924BBF">
            <w:pPr>
              <w:pStyle w:val="Tablea"/>
              <w:rPr>
                <w:lang w:eastAsia="en-US"/>
              </w:rPr>
            </w:pPr>
            <w:r>
              <w:rPr>
                <w:lang w:eastAsia="en-US"/>
              </w:rPr>
              <w:t>(e) Producers and holders of waste must undertake all reasonably practicable measures to avoid contamination of the waste with the chemical.</w:t>
            </w:r>
          </w:p>
          <w:p w14:paraId="1E5043CB" w14:textId="77777777" w:rsidR="00924BBF" w:rsidRDefault="00924BBF" w:rsidP="00924BBF">
            <w:pPr>
              <w:pStyle w:val="Tablea"/>
              <w:rPr>
                <w:lang w:eastAsia="en-US"/>
              </w:rPr>
            </w:pPr>
            <w:r>
              <w:rPr>
                <w:lang w:eastAsia="en-US"/>
              </w:rPr>
              <w:lastRenderedPageBreak/>
              <w:t xml:space="preserve">(f) Waste consisting of, </w:t>
            </w:r>
            <w:proofErr w:type="gramStart"/>
            <w:r>
              <w:rPr>
                <w:lang w:eastAsia="en-US"/>
              </w:rPr>
              <w:t>containing</w:t>
            </w:r>
            <w:proofErr w:type="gramEnd"/>
            <w:r>
              <w:rPr>
                <w:lang w:eastAsia="en-US"/>
              </w:rPr>
              <w:t xml:space="preserve"> or contaminated by the chemical at a concentration that is equal to, or greater than, 10 mg/kg must be disposed of, as soon as reasonably practicable, either:</w:t>
            </w:r>
          </w:p>
          <w:p w14:paraId="084596E5" w14:textId="77777777" w:rsidR="00924BBF" w:rsidRDefault="00924BBF" w:rsidP="00924BBF">
            <w:pPr>
              <w:pStyle w:val="Tablei"/>
              <w:rPr>
                <w:lang w:eastAsia="en-US"/>
              </w:rPr>
            </w:pPr>
            <w:r>
              <w:rPr>
                <w:lang w:eastAsia="en-US"/>
              </w:rPr>
              <w:t>(</w:t>
            </w:r>
            <w:proofErr w:type="spellStart"/>
            <w:r>
              <w:rPr>
                <w:lang w:eastAsia="en-US"/>
              </w:rPr>
              <w:t>i</w:t>
            </w:r>
            <w:proofErr w:type="spellEnd"/>
            <w:r>
              <w:rPr>
                <w:lang w:eastAsia="en-US"/>
              </w:rPr>
              <w:t xml:space="preserve">) in such a way as to ensure that the chemical is destroyed or irreversibly transformed so that the remaining waste and environmental releases do not contain chemicals that have Schedule 6 risk characteristics or Schedule 7 risk </w:t>
            </w:r>
            <w:proofErr w:type="gramStart"/>
            <w:r>
              <w:rPr>
                <w:lang w:eastAsia="en-US"/>
              </w:rPr>
              <w:t>characteristics;</w:t>
            </w:r>
            <w:proofErr w:type="gramEnd"/>
            <w:r>
              <w:rPr>
                <w:lang w:eastAsia="en-US"/>
              </w:rPr>
              <w:t xml:space="preserve"> or</w:t>
            </w:r>
          </w:p>
          <w:p w14:paraId="70BA81FD" w14:textId="77777777" w:rsidR="00924BBF" w:rsidRDefault="00924BBF" w:rsidP="00924BBF">
            <w:pPr>
              <w:pStyle w:val="Tablei"/>
              <w:rPr>
                <w:lang w:eastAsia="en-US"/>
              </w:rPr>
            </w:pPr>
            <w:r>
              <w:rPr>
                <w:lang w:eastAsia="en-US"/>
              </w:rPr>
              <w:t>(ii) as authorised under a law of the Commonwealth or a State, where treatment in accordance with subparagraph (</w:t>
            </w:r>
            <w:proofErr w:type="spellStart"/>
            <w:r>
              <w:rPr>
                <w:lang w:eastAsia="en-US"/>
              </w:rPr>
              <w:t>i</w:t>
            </w:r>
            <w:proofErr w:type="spellEnd"/>
            <w:r>
              <w:rPr>
                <w:lang w:eastAsia="en-US"/>
              </w:rPr>
              <w:t>) is not the environmentally preferable option.</w:t>
            </w:r>
          </w:p>
          <w:p w14:paraId="3E19CCF5" w14:textId="77777777" w:rsidR="00924BBF" w:rsidRDefault="00924BBF" w:rsidP="00924BBF">
            <w:pPr>
              <w:pStyle w:val="Tablea"/>
              <w:rPr>
                <w:lang w:eastAsia="en-US"/>
              </w:rPr>
            </w:pPr>
            <w:r>
              <w:rPr>
                <w:lang w:eastAsia="en-US"/>
              </w:rPr>
              <w:t xml:space="preserve">(g) Waste consisting of, </w:t>
            </w:r>
            <w:proofErr w:type="gramStart"/>
            <w:r>
              <w:rPr>
                <w:lang w:eastAsia="en-US"/>
              </w:rPr>
              <w:t>containing</w:t>
            </w:r>
            <w:proofErr w:type="gramEnd"/>
            <w:r>
              <w:rPr>
                <w:lang w:eastAsia="en-US"/>
              </w:rPr>
              <w:t xml:space="preserve"> or contaminated by the chemical at a concentration of less than 10 mg/kg must be disposed of, as soon as reasonably practicable, in an environmentally sound manner as authorised under a law of the Commonwealth or a State.</w:t>
            </w:r>
          </w:p>
          <w:p w14:paraId="7ED8AB31" w14:textId="77777777" w:rsidR="00924BBF" w:rsidRDefault="00924BBF" w:rsidP="00924BBF">
            <w:pPr>
              <w:pStyle w:val="Tablea"/>
              <w:rPr>
                <w:lang w:eastAsia="en-US"/>
              </w:rPr>
            </w:pPr>
            <w:r>
              <w:rPr>
                <w:lang w:eastAsia="en-US"/>
              </w:rPr>
              <w:t xml:space="preserve">(h) Disposal must not lead to recovery, recycling, </w:t>
            </w:r>
            <w:proofErr w:type="gramStart"/>
            <w:r>
              <w:rPr>
                <w:lang w:eastAsia="en-US"/>
              </w:rPr>
              <w:t>reclamation</w:t>
            </w:r>
            <w:proofErr w:type="gramEnd"/>
            <w:r>
              <w:rPr>
                <w:lang w:eastAsia="en-US"/>
              </w:rPr>
              <w:t xml:space="preserve"> or re</w:t>
            </w:r>
            <w:r>
              <w:rPr>
                <w:lang w:eastAsia="en-US"/>
              </w:rPr>
              <w:noBreakHyphen/>
              <w:t>use of the chemical on its own, subject to paragraph (</w:t>
            </w:r>
            <w:proofErr w:type="spellStart"/>
            <w:r>
              <w:rPr>
                <w:lang w:eastAsia="en-US"/>
              </w:rPr>
              <w:t>i</w:t>
            </w:r>
            <w:proofErr w:type="spellEnd"/>
            <w:r>
              <w:rPr>
                <w:lang w:eastAsia="en-US"/>
              </w:rPr>
              <w:t>).</w:t>
            </w:r>
          </w:p>
          <w:p w14:paraId="592C6EFC" w14:textId="77777777" w:rsidR="00924BBF" w:rsidRDefault="00924BBF" w:rsidP="00924BBF">
            <w:pPr>
              <w:pStyle w:val="Tablea"/>
              <w:rPr>
                <w:lang w:eastAsia="en-US"/>
              </w:rPr>
            </w:pPr>
            <w:r>
              <w:rPr>
                <w:lang w:eastAsia="en-US"/>
              </w:rPr>
              <w:t>(</w:t>
            </w:r>
            <w:proofErr w:type="spellStart"/>
            <w:r>
              <w:rPr>
                <w:lang w:eastAsia="en-US"/>
              </w:rPr>
              <w:t>i</w:t>
            </w:r>
            <w:proofErr w:type="spellEnd"/>
            <w:r>
              <w:rPr>
                <w:lang w:eastAsia="en-US"/>
              </w:rPr>
              <w:t xml:space="preserve">) In carrying out disposal, the chemical may be isolated from the waste, </w:t>
            </w:r>
            <w:proofErr w:type="gramStart"/>
            <w:r>
              <w:rPr>
                <w:lang w:eastAsia="en-US"/>
              </w:rPr>
              <w:t>provided that</w:t>
            </w:r>
            <w:proofErr w:type="gramEnd"/>
            <w:r>
              <w:rPr>
                <w:lang w:eastAsia="en-US"/>
              </w:rPr>
              <w:t xml:space="preserve"> it is subsequently disposed of in accordance with paragraphs (f) and (g).</w:t>
            </w:r>
          </w:p>
          <w:p w14:paraId="18AAA0E0" w14:textId="77777777" w:rsidR="00924BBF" w:rsidRDefault="00924BBF" w:rsidP="00924BBF">
            <w:pPr>
              <w:pStyle w:val="Tablea"/>
              <w:rPr>
                <w:lang w:eastAsia="en-US"/>
              </w:rPr>
            </w:pPr>
            <w:r>
              <w:rPr>
                <w:lang w:eastAsia="en-US"/>
              </w:rPr>
              <w:t>(j) If an activity in relation to the chemical, or an article containing the chemical, is not permitted under paragraph (b), (c) or (d), a holder of a stockpile of the chemical must:</w:t>
            </w:r>
          </w:p>
          <w:p w14:paraId="64EA775B" w14:textId="77777777" w:rsidR="00924BBF" w:rsidRDefault="00924BBF" w:rsidP="00924BBF">
            <w:pPr>
              <w:pStyle w:val="Tablei"/>
              <w:rPr>
                <w:lang w:eastAsia="en-US"/>
              </w:rPr>
            </w:pPr>
            <w:r>
              <w:rPr>
                <w:lang w:eastAsia="en-US"/>
              </w:rPr>
              <w:lastRenderedPageBreak/>
              <w:t>(</w:t>
            </w:r>
            <w:proofErr w:type="spellStart"/>
            <w:r>
              <w:rPr>
                <w:lang w:eastAsia="en-US"/>
              </w:rPr>
              <w:t>i</w:t>
            </w:r>
            <w:proofErr w:type="spellEnd"/>
            <w:r>
              <w:rPr>
                <w:lang w:eastAsia="en-US"/>
              </w:rPr>
              <w:t>) notify the relevant agency responsible for environmental protection of the nature and size of the stockpile; and</w:t>
            </w:r>
          </w:p>
          <w:p w14:paraId="11F1D0ED" w14:textId="77777777" w:rsidR="00924BBF" w:rsidRDefault="00924BBF" w:rsidP="00924BBF">
            <w:pPr>
              <w:pStyle w:val="Tablei"/>
              <w:rPr>
                <w:lang w:eastAsia="en-US"/>
              </w:rPr>
            </w:pPr>
            <w:r>
              <w:rPr>
                <w:lang w:eastAsia="en-US"/>
              </w:rPr>
              <w:t>(ii) manage that stockpile as waste in accordance with paragraphs (f) and (g); and</w:t>
            </w:r>
          </w:p>
          <w:p w14:paraId="04E8D909" w14:textId="77777777" w:rsidR="00924BBF" w:rsidRDefault="00924BBF" w:rsidP="00924BBF">
            <w:pPr>
              <w:pStyle w:val="Tablei"/>
              <w:rPr>
                <w:lang w:eastAsia="en-US"/>
              </w:rPr>
            </w:pPr>
            <w:r>
              <w:rPr>
                <w:lang w:eastAsia="en-US"/>
              </w:rPr>
              <w:t>(iii) comply with laws relating to the chemical that apply in the relevant jurisdiction.</w:t>
            </w:r>
          </w:p>
          <w:p w14:paraId="73DAE5F0" w14:textId="77777777" w:rsidR="00924BBF" w:rsidRPr="00506B82" w:rsidRDefault="00924BBF" w:rsidP="006D5D16">
            <w:pPr>
              <w:pStyle w:val="Tabletext"/>
              <w:spacing w:after="240"/>
            </w:pPr>
            <w:r>
              <w:rPr>
                <w:lang w:eastAsia="en-US"/>
              </w:rPr>
              <w:t xml:space="preserve">(k) The </w:t>
            </w:r>
            <w:proofErr w:type="spellStart"/>
            <w:r>
              <w:rPr>
                <w:lang w:eastAsia="en-US"/>
              </w:rPr>
              <w:t>IChEMS</w:t>
            </w:r>
            <w:proofErr w:type="spellEnd"/>
            <w:r>
              <w:rPr>
                <w:lang w:eastAsia="en-US"/>
              </w:rPr>
              <w:t xml:space="preserve"> Minimum Standards must be complied with.</w:t>
            </w:r>
          </w:p>
        </w:tc>
        <w:tc>
          <w:tcPr>
            <w:tcW w:w="2617" w:type="dxa"/>
            <w:tcBorders>
              <w:top w:val="single" w:sz="2" w:space="0" w:color="auto"/>
              <w:bottom w:val="single" w:sz="2" w:space="0" w:color="auto"/>
            </w:tcBorders>
            <w:shd w:val="clear" w:color="auto" w:fill="auto"/>
          </w:tcPr>
          <w:p w14:paraId="2FB426D1" w14:textId="77777777" w:rsidR="00924BBF" w:rsidRPr="00920E07" w:rsidRDefault="00924BBF" w:rsidP="00924BBF">
            <w:pPr>
              <w:pStyle w:val="Tabletext"/>
            </w:pPr>
          </w:p>
        </w:tc>
      </w:tr>
      <w:tr w:rsidR="00924BBF" w:rsidRPr="00DD6562" w14:paraId="1D426CFD" w14:textId="77777777" w:rsidTr="00924BBF">
        <w:tc>
          <w:tcPr>
            <w:tcW w:w="3397" w:type="dxa"/>
            <w:tcBorders>
              <w:top w:val="single" w:sz="2" w:space="0" w:color="auto"/>
              <w:bottom w:val="single" w:sz="12" w:space="0" w:color="auto"/>
            </w:tcBorders>
            <w:shd w:val="clear" w:color="auto" w:fill="auto"/>
          </w:tcPr>
          <w:p w14:paraId="56F5276D" w14:textId="77777777" w:rsidR="00924BBF" w:rsidRDefault="00924BBF" w:rsidP="00924BBF">
            <w:pPr>
              <w:pStyle w:val="Tabletext"/>
            </w:pPr>
            <w:r>
              <w:lastRenderedPageBreak/>
              <w:t xml:space="preserve">Class name: </w:t>
            </w:r>
          </w:p>
          <w:p w14:paraId="15F66514" w14:textId="5135220A" w:rsidR="00924BBF" w:rsidRDefault="00924BBF" w:rsidP="00924BBF">
            <w:pPr>
              <w:pStyle w:val="Tabletext"/>
            </w:pPr>
            <w:r>
              <w:t xml:space="preserve">Short chain chlorinated paraffins (alkanes, C10-13, </w:t>
            </w:r>
            <w:proofErr w:type="spellStart"/>
            <w:r>
              <w:t>chloro</w:t>
            </w:r>
            <w:proofErr w:type="spellEnd"/>
            <w:r>
              <w:t xml:space="preserve">), which are straight chain chlorinated alkanes with chain lengths ranges from C10 to C13 and a chlorine content of greater than 48% by weight. </w:t>
            </w:r>
          </w:p>
          <w:p w14:paraId="289079FF" w14:textId="77777777" w:rsidR="00924BBF" w:rsidRDefault="00924BBF" w:rsidP="00924BBF">
            <w:pPr>
              <w:pStyle w:val="Tabletext"/>
            </w:pPr>
            <w:r>
              <w:t xml:space="preserve">CAS numbers: </w:t>
            </w:r>
          </w:p>
          <w:p w14:paraId="49A4FB49" w14:textId="77777777" w:rsidR="00924BBF" w:rsidRDefault="00924BBF" w:rsidP="00924BBF">
            <w:pPr>
              <w:pStyle w:val="Tabletext"/>
              <w:spacing w:before="0"/>
            </w:pPr>
            <w:r>
              <w:t xml:space="preserve">85535-84-8. </w:t>
            </w:r>
          </w:p>
          <w:p w14:paraId="5948FC94" w14:textId="77777777" w:rsidR="00924BBF" w:rsidRPr="00506B82" w:rsidRDefault="00924BBF" w:rsidP="00924BBF">
            <w:pPr>
              <w:pStyle w:val="Tabletext"/>
            </w:pPr>
            <w:r>
              <w:t>In addition, the chemical substances with the following CAS numbers will contain a proportion of short chain chlorinated paraffins: 68920-70-7, 71011-12-6, 85536-22-7, 85681-73-8, 108171-26-2</w:t>
            </w:r>
          </w:p>
        </w:tc>
        <w:tc>
          <w:tcPr>
            <w:tcW w:w="2268" w:type="dxa"/>
            <w:tcBorders>
              <w:top w:val="single" w:sz="2" w:space="0" w:color="auto"/>
              <w:bottom w:val="single" w:sz="12" w:space="0" w:color="auto"/>
            </w:tcBorders>
            <w:shd w:val="clear" w:color="auto" w:fill="auto"/>
          </w:tcPr>
          <w:p w14:paraId="600EAA88" w14:textId="77777777" w:rsidR="00924BBF" w:rsidRPr="00920E07" w:rsidRDefault="00924BBF" w:rsidP="00924BBF">
            <w:pPr>
              <w:pStyle w:val="Tabletext"/>
            </w:pPr>
          </w:p>
        </w:tc>
        <w:tc>
          <w:tcPr>
            <w:tcW w:w="4962" w:type="dxa"/>
            <w:tcBorders>
              <w:top w:val="single" w:sz="2" w:space="0" w:color="auto"/>
              <w:bottom w:val="single" w:sz="12" w:space="0" w:color="auto"/>
            </w:tcBorders>
            <w:shd w:val="clear" w:color="auto" w:fill="auto"/>
          </w:tcPr>
          <w:p w14:paraId="2DB10B68" w14:textId="77777777" w:rsidR="00924BBF" w:rsidRDefault="00924BBF" w:rsidP="00924BBF">
            <w:pPr>
              <w:pStyle w:val="Tabletext"/>
            </w:pPr>
            <w:r w:rsidRPr="005B37FA">
              <w:t>(a) This entry comes into effect on 1 July 2024.</w:t>
            </w:r>
          </w:p>
          <w:p w14:paraId="7C0F731D" w14:textId="77777777" w:rsidR="00924BBF" w:rsidRDefault="00924BBF" w:rsidP="00924BBF">
            <w:pPr>
              <w:pStyle w:val="Tabletext"/>
            </w:pPr>
            <w:r w:rsidRPr="005B37FA">
              <w:t xml:space="preserve">(b) The import, </w:t>
            </w:r>
            <w:proofErr w:type="gramStart"/>
            <w:r w:rsidRPr="005B37FA">
              <w:t>export</w:t>
            </w:r>
            <w:proofErr w:type="gramEnd"/>
            <w:r w:rsidRPr="005B37FA">
              <w:t xml:space="preserve"> and manufacture of the class of chemicals (whether on its own or in mixtures or in articles) are prohibited except:</w:t>
            </w:r>
          </w:p>
          <w:p w14:paraId="7A2A9199" w14:textId="77777777" w:rsidR="00DB1398" w:rsidRDefault="00924BBF" w:rsidP="00DB1398">
            <w:pPr>
              <w:pStyle w:val="Tabletext"/>
              <w:ind w:left="783" w:hanging="284"/>
            </w:pPr>
            <w:r w:rsidRPr="005B37FA">
              <w:t>(</w:t>
            </w:r>
            <w:proofErr w:type="spellStart"/>
            <w:r w:rsidRPr="005B37FA">
              <w:t>i</w:t>
            </w:r>
            <w:proofErr w:type="spellEnd"/>
            <w:r w:rsidRPr="005B37FA">
              <w:t>) for chemical substances - in circumstances where the class of chemicals is present as unintentional trace contamination at a level of 1% w/w (10000 ppm/10 g/kg) or below (to be reviewed by the department by 1 July 2027)</w:t>
            </w:r>
          </w:p>
          <w:p w14:paraId="70C53F4B" w14:textId="77777777" w:rsidR="00DB1398" w:rsidRDefault="00924BBF" w:rsidP="00DB1398">
            <w:pPr>
              <w:pStyle w:val="Tabletext"/>
              <w:ind w:left="783" w:hanging="284"/>
            </w:pPr>
            <w:r w:rsidRPr="005B37FA">
              <w:t>(ii) for articles - in circumstances where the class of chemicals present in the article as unintentional trace contamination at a level equal to or below 0.15% w/w (1500 ppm/1500 mg/kg) or below (to be reviewed by the department by 1 July 2027); or</w:t>
            </w:r>
          </w:p>
          <w:p w14:paraId="58230498" w14:textId="77777777" w:rsidR="00DB1398" w:rsidRDefault="00924BBF" w:rsidP="00DB1398">
            <w:pPr>
              <w:pStyle w:val="Tabletext"/>
              <w:ind w:left="783" w:hanging="284"/>
            </w:pPr>
            <w:r w:rsidRPr="005B37FA">
              <w:t>(iii) for research or laboratory purposes; or</w:t>
            </w:r>
          </w:p>
          <w:p w14:paraId="1411C54D" w14:textId="7AB04A65" w:rsidR="00924BBF" w:rsidRDefault="00924BBF" w:rsidP="00DB1398">
            <w:pPr>
              <w:pStyle w:val="Tabletext"/>
              <w:ind w:left="783" w:hanging="284"/>
            </w:pPr>
            <w:r w:rsidRPr="005B37FA">
              <w:t>(iv) if a hazardous waste permit authorises the import or export of the class of chemicals.</w:t>
            </w:r>
          </w:p>
          <w:p w14:paraId="08CADAE4" w14:textId="77777777" w:rsidR="00924BBF" w:rsidRDefault="00924BBF" w:rsidP="00924BBF">
            <w:pPr>
              <w:pStyle w:val="Tabletext"/>
            </w:pPr>
            <w:r w:rsidRPr="005B37FA">
              <w:lastRenderedPageBreak/>
              <w:t>(c) The use of the class of chemicals (whether on its own or in mixtures or in articles) is prohibited except:</w:t>
            </w:r>
          </w:p>
          <w:p w14:paraId="5F0829B8" w14:textId="68B2E2B2" w:rsidR="00DB1398" w:rsidRDefault="00924BBF" w:rsidP="00DB1398">
            <w:pPr>
              <w:pStyle w:val="Tabletext"/>
              <w:ind w:left="783" w:hanging="284"/>
            </w:pPr>
            <w:r w:rsidRPr="005B37FA">
              <w:t>(</w:t>
            </w:r>
            <w:proofErr w:type="spellStart"/>
            <w:r w:rsidRPr="005B37FA">
              <w:t>i</w:t>
            </w:r>
            <w:proofErr w:type="spellEnd"/>
            <w:r w:rsidRPr="005B37FA">
              <w:t xml:space="preserve">) for chemical substances </w:t>
            </w:r>
            <w:r w:rsidR="00303184">
              <w:t>–</w:t>
            </w:r>
            <w:r w:rsidRPr="005B37FA">
              <w:t xml:space="preserve"> in circumstances where the class of chemicals is present as unintentional trace contamination at a level of 1% w/w (10000 ppm/10 g/kg) or below (to be reviewed by the department by 1 July 2027)</w:t>
            </w:r>
          </w:p>
          <w:p w14:paraId="65D133E5" w14:textId="531CD3D7" w:rsidR="00DB1398" w:rsidRDefault="00924BBF" w:rsidP="00DB1398">
            <w:pPr>
              <w:pStyle w:val="Tabletext"/>
              <w:ind w:left="783" w:hanging="284"/>
            </w:pPr>
            <w:r w:rsidRPr="005B37FA">
              <w:t xml:space="preserve">(ii) for articles </w:t>
            </w:r>
            <w:r w:rsidR="00303184">
              <w:t>–</w:t>
            </w:r>
            <w:r w:rsidRPr="005B37FA">
              <w:t xml:space="preserve"> in circumstances where the class of chemicals present in the article as unintentional trace contamination at a level equal to or below 0.15% w/w (1500 ppm/1500 mg/kg) or below (to be reviewed by the department by 1 July 2027); or</w:t>
            </w:r>
          </w:p>
          <w:p w14:paraId="033680B0" w14:textId="77777777" w:rsidR="00DB1398" w:rsidRDefault="00924BBF" w:rsidP="00DB1398">
            <w:pPr>
              <w:pStyle w:val="Tabletext"/>
              <w:ind w:left="783" w:hanging="284"/>
            </w:pPr>
            <w:r w:rsidRPr="005B37FA">
              <w:t>(iii) for research or laboratory purposes; or</w:t>
            </w:r>
          </w:p>
          <w:p w14:paraId="0322C6D8" w14:textId="089C3948" w:rsidR="00924BBF" w:rsidRDefault="00924BBF" w:rsidP="00DB1398">
            <w:pPr>
              <w:pStyle w:val="Tabletext"/>
              <w:ind w:left="783" w:hanging="284"/>
            </w:pPr>
            <w:r w:rsidRPr="005B37FA">
              <w:t xml:space="preserve">(iv) for articles </w:t>
            </w:r>
            <w:r w:rsidR="00DB1398">
              <w:t>–</w:t>
            </w:r>
            <w:r w:rsidRPr="005B37FA">
              <w:t xml:space="preserve"> in circumstances in which the article is already in use on or before 1 July 2024.</w:t>
            </w:r>
          </w:p>
          <w:p w14:paraId="6832EBF0" w14:textId="77777777" w:rsidR="00924BBF" w:rsidRDefault="00924BBF" w:rsidP="00924BBF">
            <w:pPr>
              <w:pStyle w:val="Tabletext"/>
            </w:pPr>
            <w:r w:rsidRPr="005B37FA">
              <w:t>(d) Producers and holders of waste must undertake all reasonably practicable measures to avoid contamination of waste not already containing SCCPs with SCCPs and must not dilute SCCPs waste to lower the concentrations below relevant waste handling and disposal thresholds.</w:t>
            </w:r>
          </w:p>
          <w:p w14:paraId="04923B1F" w14:textId="77777777" w:rsidR="00924BBF" w:rsidRDefault="00924BBF" w:rsidP="00924BBF">
            <w:pPr>
              <w:pStyle w:val="Tabletext"/>
            </w:pPr>
            <w:r>
              <w:t>(e) Waste consisting of, containing, or contaminated with SCCPs at a concentration that is equal to, or greater than, 0.15% w/w (1500 ppm/1500 mg/kg) (to be reviewed by the department by 1 July 2027) must be either:</w:t>
            </w:r>
          </w:p>
          <w:p w14:paraId="3E3119E6" w14:textId="77777777" w:rsidR="00AB4C25" w:rsidRDefault="00924BBF" w:rsidP="00AB4C25">
            <w:pPr>
              <w:pStyle w:val="Tabletext"/>
              <w:ind w:left="783" w:hanging="284"/>
            </w:pPr>
            <w:r>
              <w:t>(</w:t>
            </w:r>
            <w:proofErr w:type="spellStart"/>
            <w:r>
              <w:t>i</w:t>
            </w:r>
            <w:proofErr w:type="spellEnd"/>
            <w:r>
              <w:t xml:space="preserve">) treated in such a way as to ensure that the class of chemicals is destroyed or irreversibly transformed so that the remaining waste and environmental releases do not contain chemicals </w:t>
            </w:r>
            <w:r>
              <w:lastRenderedPageBreak/>
              <w:t>that exhibit Schedule 6 or Schedule 7 risk characteristics, or</w:t>
            </w:r>
          </w:p>
          <w:p w14:paraId="16721D7D" w14:textId="5D69C82C" w:rsidR="00924BBF" w:rsidRDefault="00924BBF" w:rsidP="00AB4C25">
            <w:pPr>
              <w:pStyle w:val="Tabletext"/>
              <w:ind w:left="783" w:hanging="284"/>
            </w:pPr>
            <w:r>
              <w:t>(ii) managed or disposed of in an environmentally sound manner as authorised under a law of the Commonwealth or a law of a State, where treatment in accordance with subparagraph (</w:t>
            </w:r>
            <w:proofErr w:type="spellStart"/>
            <w:r>
              <w:t>i</w:t>
            </w:r>
            <w:proofErr w:type="spellEnd"/>
            <w:r>
              <w:t>) is not the environmentally preferable option.</w:t>
            </w:r>
          </w:p>
          <w:p w14:paraId="32E1FE2E" w14:textId="77777777" w:rsidR="00924BBF" w:rsidRDefault="00924BBF" w:rsidP="00924BBF">
            <w:pPr>
              <w:pStyle w:val="Tabletext"/>
            </w:pPr>
            <w:r w:rsidRPr="005B37FA">
              <w:t xml:space="preserve">(f) Waste consisting of, </w:t>
            </w:r>
            <w:proofErr w:type="gramStart"/>
            <w:r w:rsidRPr="005B37FA">
              <w:t>containing</w:t>
            </w:r>
            <w:proofErr w:type="gramEnd"/>
            <w:r w:rsidRPr="005B37FA">
              <w:t xml:space="preserve"> or contaminated with SCCPs at a concentration of less than 0.15% w/w (1500 ppm/1500 mg/kg) (to be reviewed by the department by 1 July 2027) must be managed or disposed of in an environmentally sound manner as authorised under a law of the Commonwealth or a law of a State.</w:t>
            </w:r>
          </w:p>
          <w:p w14:paraId="22E10647" w14:textId="77777777" w:rsidR="00924BBF" w:rsidRDefault="00924BBF" w:rsidP="00924BBF">
            <w:pPr>
              <w:pStyle w:val="Tabletext"/>
            </w:pPr>
            <w:r>
              <w:t>(</w:t>
            </w:r>
            <w:r w:rsidRPr="005B37FA">
              <w:t>g) Disposal of waste must not lead to recovery, recycling, reclamation, or re-use of the class of chemicals, subject to paragraph (h).</w:t>
            </w:r>
          </w:p>
          <w:p w14:paraId="2DBA83EC" w14:textId="77777777" w:rsidR="00924BBF" w:rsidRDefault="00924BBF" w:rsidP="00924BBF">
            <w:pPr>
              <w:pStyle w:val="Tabletext"/>
            </w:pPr>
            <w:r w:rsidRPr="005B37FA">
              <w:t>(h) In carrying out disposal, the class of chemicals may be isolated from the waste, if it is subsequently disposed of in accordance with paragraphs (e) and (f).</w:t>
            </w:r>
            <w:r>
              <w:br/>
              <w:t>(</w:t>
            </w:r>
            <w:proofErr w:type="spellStart"/>
            <w:r>
              <w:t>i</w:t>
            </w:r>
            <w:proofErr w:type="spellEnd"/>
            <w:r>
              <w:t>) If an activity in relation to the class of chemicals, or an article containing the class of chemicals, is not permitted under paragraph (b) or (c), a holder of a stockpile of the class of chemicals must:</w:t>
            </w:r>
          </w:p>
          <w:p w14:paraId="0DA84215" w14:textId="77777777" w:rsidR="00AB4C25" w:rsidRDefault="00924BBF" w:rsidP="00AB4C25">
            <w:pPr>
              <w:pStyle w:val="Tabletext"/>
              <w:ind w:left="783" w:hanging="284"/>
            </w:pPr>
            <w:r>
              <w:t>(</w:t>
            </w:r>
            <w:proofErr w:type="spellStart"/>
            <w:r>
              <w:t>i</w:t>
            </w:r>
            <w:proofErr w:type="spellEnd"/>
            <w:r>
              <w:t>) notify the relevant agency responsible for environmental protection of the nature and size of the stockpile; and</w:t>
            </w:r>
          </w:p>
          <w:p w14:paraId="70A72C1D" w14:textId="77777777" w:rsidR="00AB4C25" w:rsidRDefault="00924BBF" w:rsidP="00AB4C25">
            <w:pPr>
              <w:pStyle w:val="Tabletext"/>
              <w:ind w:left="783" w:hanging="284"/>
            </w:pPr>
            <w:r>
              <w:t>(ii) manage that stockpile as waste in accordance with paragraphs (e) and (f); and</w:t>
            </w:r>
          </w:p>
          <w:p w14:paraId="4B711A4C" w14:textId="3FE9351B" w:rsidR="00924BBF" w:rsidRDefault="00924BBF" w:rsidP="00AB4C25">
            <w:pPr>
              <w:pStyle w:val="Tabletext"/>
              <w:ind w:left="783" w:hanging="284"/>
            </w:pPr>
            <w:r>
              <w:lastRenderedPageBreak/>
              <w:t>(iii) comply with all relevant laws that apply in the relevant jurisdiction.</w:t>
            </w:r>
          </w:p>
          <w:p w14:paraId="4D0ABA8A" w14:textId="77777777" w:rsidR="00924BBF" w:rsidRPr="00506B82" w:rsidRDefault="00924BBF" w:rsidP="00924BBF">
            <w:pPr>
              <w:pStyle w:val="Tabletext"/>
            </w:pPr>
            <w:r w:rsidRPr="005B37FA">
              <w:t xml:space="preserve">(j) The </w:t>
            </w:r>
            <w:proofErr w:type="spellStart"/>
            <w:r w:rsidRPr="005B37FA">
              <w:t>IChEMS</w:t>
            </w:r>
            <w:proofErr w:type="spellEnd"/>
            <w:r w:rsidRPr="005B37FA">
              <w:t xml:space="preserve"> Minimum Standards must be complied with.</w:t>
            </w:r>
          </w:p>
        </w:tc>
        <w:tc>
          <w:tcPr>
            <w:tcW w:w="2617" w:type="dxa"/>
            <w:tcBorders>
              <w:top w:val="single" w:sz="2" w:space="0" w:color="auto"/>
              <w:bottom w:val="single" w:sz="12" w:space="0" w:color="auto"/>
            </w:tcBorders>
            <w:shd w:val="clear" w:color="auto" w:fill="auto"/>
          </w:tcPr>
          <w:p w14:paraId="2FA30D4F" w14:textId="77777777" w:rsidR="00924BBF" w:rsidRPr="00920E07" w:rsidRDefault="00924BBF" w:rsidP="00924BBF">
            <w:pPr>
              <w:pStyle w:val="Tabletext"/>
            </w:pPr>
          </w:p>
        </w:tc>
      </w:tr>
    </w:tbl>
    <w:p w14:paraId="185BDEDC" w14:textId="77777777" w:rsidR="005E41A6" w:rsidRDefault="005E41A6" w:rsidP="005E41A6"/>
    <w:p w14:paraId="17815333" w14:textId="77777777" w:rsidR="005E41A6" w:rsidRPr="00A6796E" w:rsidRDefault="005E41A6" w:rsidP="005E41A6">
      <w:pPr>
        <w:sectPr w:rsidR="005E41A6" w:rsidRPr="00A6796E" w:rsidSect="005E41A6">
          <w:headerReference w:type="even" r:id="rId29"/>
          <w:headerReference w:type="default" r:id="rId30"/>
          <w:footerReference w:type="even" r:id="rId31"/>
          <w:footerReference w:type="default" r:id="rId32"/>
          <w:pgSz w:w="16839" w:h="11907" w:orient="landscape"/>
          <w:pgMar w:top="1675" w:right="1797" w:bottom="1440" w:left="1797" w:header="720" w:footer="709" w:gutter="0"/>
          <w:cols w:space="708"/>
          <w:docGrid w:linePitch="360"/>
        </w:sectPr>
      </w:pPr>
    </w:p>
    <w:p w14:paraId="5761849F" w14:textId="4E37930C" w:rsidR="005E41A6" w:rsidRDefault="005E41A6" w:rsidP="005E41A6"/>
    <w:p w14:paraId="34EA1D5F" w14:textId="77777777" w:rsidR="007C2966" w:rsidRPr="007C2966" w:rsidRDefault="007C2966" w:rsidP="007C2966"/>
    <w:p w14:paraId="006C05FE" w14:textId="77777777" w:rsidR="007C2966" w:rsidRPr="007C2966" w:rsidRDefault="007C2966" w:rsidP="007C2966"/>
    <w:p w14:paraId="52613A34" w14:textId="77777777" w:rsidR="007C2966" w:rsidRPr="007C2966" w:rsidRDefault="007C2966" w:rsidP="007C2966"/>
    <w:p w14:paraId="3D515F4E" w14:textId="77777777" w:rsidR="007C2966" w:rsidRPr="007C2966" w:rsidRDefault="007C2966" w:rsidP="007C2966"/>
    <w:p w14:paraId="30C545EB" w14:textId="77777777" w:rsidR="007C2966" w:rsidRPr="007C2966" w:rsidRDefault="007C2966" w:rsidP="007C2966"/>
    <w:p w14:paraId="0486EA17" w14:textId="77777777" w:rsidR="007C2966" w:rsidRPr="007C2966" w:rsidRDefault="007C2966" w:rsidP="007C2966"/>
    <w:p w14:paraId="157419D4" w14:textId="77777777" w:rsidR="007C2966" w:rsidRPr="007C2966" w:rsidRDefault="007C2966" w:rsidP="007C2966"/>
    <w:p w14:paraId="4AB0E110" w14:textId="77777777" w:rsidR="007C2966" w:rsidRPr="007C2966" w:rsidRDefault="007C2966" w:rsidP="007C2966"/>
    <w:p w14:paraId="501B00E7" w14:textId="77777777" w:rsidR="007C2966" w:rsidRPr="007C2966" w:rsidRDefault="007C2966" w:rsidP="007C2966"/>
    <w:p w14:paraId="5E757A6B" w14:textId="77777777" w:rsidR="007C2966" w:rsidRPr="007C2966" w:rsidRDefault="007C2966" w:rsidP="007C2966"/>
    <w:p w14:paraId="2C441BFA" w14:textId="77777777" w:rsidR="007C2966" w:rsidRPr="007C2966" w:rsidRDefault="007C2966" w:rsidP="007C2966"/>
    <w:p w14:paraId="2031850A" w14:textId="77777777" w:rsidR="007C2966" w:rsidRPr="007C2966" w:rsidRDefault="007C2966" w:rsidP="007C2966"/>
    <w:p w14:paraId="1C28B47C" w14:textId="77777777" w:rsidR="007C2966" w:rsidRPr="007C2966" w:rsidRDefault="007C2966" w:rsidP="007C2966"/>
    <w:p w14:paraId="1026D56C" w14:textId="77777777" w:rsidR="007C2966" w:rsidRPr="007C2966" w:rsidRDefault="007C2966" w:rsidP="007C2966"/>
    <w:p w14:paraId="045A9E7F" w14:textId="77777777" w:rsidR="007C2966" w:rsidRPr="007C2966" w:rsidRDefault="007C2966" w:rsidP="007C2966"/>
    <w:p w14:paraId="61D437B4" w14:textId="77777777" w:rsidR="007C2966" w:rsidRPr="007C2966" w:rsidRDefault="007C2966" w:rsidP="007C2966"/>
    <w:p w14:paraId="677B3AB5" w14:textId="77777777" w:rsidR="007C2966" w:rsidRPr="007C2966" w:rsidRDefault="007C2966" w:rsidP="007C2966"/>
    <w:p w14:paraId="692001A5" w14:textId="77777777" w:rsidR="007C2966" w:rsidRPr="007C2966" w:rsidRDefault="007C2966" w:rsidP="007C2966"/>
    <w:p w14:paraId="7877D82F" w14:textId="77777777" w:rsidR="007C2966" w:rsidRPr="007C2966" w:rsidRDefault="007C2966" w:rsidP="007C2966"/>
    <w:p w14:paraId="216FE51D" w14:textId="77777777" w:rsidR="007C2966" w:rsidRPr="007C2966" w:rsidRDefault="007C2966" w:rsidP="007C2966"/>
    <w:p w14:paraId="3348275A" w14:textId="77777777" w:rsidR="007C2966" w:rsidRPr="007C2966" w:rsidRDefault="007C2966" w:rsidP="007C2966"/>
    <w:p w14:paraId="7E63D0E0" w14:textId="77777777" w:rsidR="007C2966" w:rsidRPr="007C2966" w:rsidRDefault="007C2966" w:rsidP="007C2966"/>
    <w:p w14:paraId="03A423F2" w14:textId="77777777" w:rsidR="007C2966" w:rsidRPr="007C2966" w:rsidRDefault="007C2966" w:rsidP="007C2966"/>
    <w:p w14:paraId="65E473E8" w14:textId="77777777" w:rsidR="007C2966" w:rsidRPr="007C2966" w:rsidRDefault="007C2966" w:rsidP="007C2966"/>
    <w:p w14:paraId="043F3A9E" w14:textId="77777777" w:rsidR="007C2966" w:rsidRPr="007C2966" w:rsidRDefault="007C2966" w:rsidP="007C2966"/>
    <w:p w14:paraId="26ABB218" w14:textId="77777777" w:rsidR="007C2966" w:rsidRPr="007C2966" w:rsidRDefault="007C2966" w:rsidP="007C2966"/>
    <w:p w14:paraId="49864211" w14:textId="77777777" w:rsidR="007C2966" w:rsidRDefault="007C2966" w:rsidP="007C2966"/>
    <w:p w14:paraId="3FA73F32" w14:textId="77777777" w:rsidR="007C2966" w:rsidRDefault="007C2966" w:rsidP="007C2966"/>
    <w:p w14:paraId="6597243B" w14:textId="297ABECD" w:rsidR="007C2966" w:rsidRPr="007C2966" w:rsidRDefault="007C2966" w:rsidP="007C2966"/>
    <w:sectPr w:rsidR="007C2966" w:rsidRPr="007C2966" w:rsidSect="00152159">
      <w:headerReference w:type="even" r:id="rId33"/>
      <w:headerReference w:type="default" r:id="rId34"/>
      <w:footerReference w:type="even" r:id="rId35"/>
      <w:footerReference w:type="default" r:id="rId36"/>
      <w:headerReference w:type="first" r:id="rId37"/>
      <w:footerReference w:type="first" r:id="rId38"/>
      <w:pgSz w:w="11907" w:h="16839"/>
      <w:pgMar w:top="167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FEB14" w14:textId="77777777" w:rsidR="00700E0D" w:rsidRDefault="00700E0D" w:rsidP="0048364F">
      <w:pPr>
        <w:spacing w:line="240" w:lineRule="auto"/>
      </w:pPr>
      <w:r>
        <w:separator/>
      </w:r>
    </w:p>
  </w:endnote>
  <w:endnote w:type="continuationSeparator" w:id="0">
    <w:p w14:paraId="6E9097EF" w14:textId="77777777" w:rsidR="00700E0D" w:rsidRDefault="00700E0D"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EFF05" w14:textId="77777777" w:rsidR="004F6543" w:rsidRPr="005F1388" w:rsidRDefault="004F6543" w:rsidP="005E41A6">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FE4E9" w14:textId="77777777" w:rsidR="004F6543" w:rsidRPr="002B0EA5" w:rsidRDefault="004F6543" w:rsidP="005E41A6">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0871"/>
      <w:gridCol w:w="861"/>
    </w:tblGrid>
    <w:tr w:rsidR="004F6543" w14:paraId="11405F9F" w14:textId="77777777" w:rsidTr="005E41A6">
      <w:tc>
        <w:tcPr>
          <w:tcW w:w="571" w:type="pct"/>
        </w:tcPr>
        <w:p w14:paraId="388DBBDA" w14:textId="77777777" w:rsidR="004F6543" w:rsidRDefault="004F6543" w:rsidP="005E41A6">
          <w:pPr>
            <w:spacing w:line="0" w:lineRule="atLeast"/>
            <w:rPr>
              <w:sz w:val="18"/>
            </w:rPr>
          </w:pPr>
        </w:p>
      </w:tc>
      <w:tc>
        <w:tcPr>
          <w:tcW w:w="4104" w:type="pct"/>
        </w:tcPr>
        <w:p w14:paraId="306C61C1" w14:textId="31D00EAC" w:rsidR="004F6543" w:rsidRDefault="004F6543" w:rsidP="005E41A6">
          <w:pPr>
            <w:spacing w:line="0" w:lineRule="atLeast"/>
            <w:jc w:val="center"/>
            <w:rPr>
              <w:sz w:val="18"/>
            </w:rPr>
          </w:pPr>
          <w:r w:rsidRPr="007A1328">
            <w:rPr>
              <w:i/>
              <w:sz w:val="18"/>
            </w:rPr>
            <w:fldChar w:fldCharType="begin"/>
          </w:r>
          <w:r w:rsidR="00067DFF">
            <w:rPr>
              <w:i/>
              <w:sz w:val="18"/>
            </w:rPr>
            <w:instrText xml:space="preserve"> STYLEREF ShortT \* MERGEFORMAT</w:instrText>
          </w:r>
          <w:r w:rsidRPr="007A1328">
            <w:rPr>
              <w:i/>
              <w:sz w:val="18"/>
            </w:rPr>
            <w:fldChar w:fldCharType="separate"/>
          </w:r>
          <w:r w:rsidR="00920E07">
            <w:rPr>
              <w:i/>
              <w:noProof/>
              <w:sz w:val="18"/>
            </w:rPr>
            <w:t>Industrial Chemicals Environmental Management (Register) Amendment (2023 Measures No. 1) Instrument 2023</w:t>
          </w:r>
          <w:r w:rsidRPr="007A1328">
            <w:rPr>
              <w:i/>
              <w:sz w:val="18"/>
            </w:rPr>
            <w:fldChar w:fldCharType="end"/>
          </w:r>
        </w:p>
      </w:tc>
      <w:tc>
        <w:tcPr>
          <w:tcW w:w="325" w:type="pct"/>
        </w:tcPr>
        <w:p w14:paraId="48EEEE7F" w14:textId="77777777" w:rsidR="004F6543" w:rsidRDefault="004F6543" w:rsidP="005E41A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w:t>
          </w:r>
          <w:r w:rsidRPr="00ED79B6">
            <w:rPr>
              <w:i/>
              <w:sz w:val="18"/>
            </w:rPr>
            <w:fldChar w:fldCharType="end"/>
          </w:r>
        </w:p>
      </w:tc>
    </w:tr>
  </w:tbl>
  <w:p w14:paraId="6DA1164C" w14:textId="77777777" w:rsidR="004F6543" w:rsidRPr="00ED79B6" w:rsidRDefault="004F6543" w:rsidP="005E41A6">
    <w:pPr>
      <w:rPr>
        <w:i/>
        <w:sz w:val="1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A4D3" w14:textId="77777777" w:rsidR="004F6543" w:rsidRPr="00E33C1C" w:rsidRDefault="004F6543" w:rsidP="005E41A6">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4F6543" w14:paraId="071EF6F8" w14:textId="77777777" w:rsidTr="00067DFF">
      <w:tc>
        <w:tcPr>
          <w:tcW w:w="709" w:type="dxa"/>
          <w:tcBorders>
            <w:top w:val="nil"/>
            <w:left w:val="nil"/>
            <w:bottom w:val="nil"/>
            <w:right w:val="nil"/>
          </w:tcBorders>
        </w:tcPr>
        <w:p w14:paraId="36E3F99C" w14:textId="77777777" w:rsidR="004F6543" w:rsidRDefault="004F6543" w:rsidP="003102B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62EBB009" w14:textId="599A547E" w:rsidR="004F6543" w:rsidRDefault="004F6543" w:rsidP="003102B6">
          <w:pPr>
            <w:spacing w:line="0" w:lineRule="atLeast"/>
            <w:jc w:val="center"/>
            <w:rPr>
              <w:sz w:val="18"/>
            </w:rPr>
          </w:pPr>
          <w:r w:rsidRPr="007A1328">
            <w:rPr>
              <w:i/>
              <w:sz w:val="18"/>
            </w:rPr>
            <w:fldChar w:fldCharType="begin"/>
          </w:r>
          <w:r w:rsidR="00067DFF">
            <w:rPr>
              <w:i/>
              <w:sz w:val="18"/>
            </w:rPr>
            <w:instrText xml:space="preserve"> STYLEREF ShortT \* MERGEFORMAT</w:instrText>
          </w:r>
          <w:r w:rsidRPr="007A1328">
            <w:rPr>
              <w:i/>
              <w:sz w:val="18"/>
            </w:rPr>
            <w:fldChar w:fldCharType="separate"/>
          </w:r>
          <w:r w:rsidR="00920E07">
            <w:rPr>
              <w:i/>
              <w:noProof/>
              <w:sz w:val="18"/>
            </w:rPr>
            <w:t>Industrial Chemicals Environmental Management (Register) Amendment (2023 Measures No. 1) Instrument 2023</w:t>
          </w:r>
          <w:r w:rsidRPr="007A1328">
            <w:rPr>
              <w:i/>
              <w:sz w:val="18"/>
            </w:rPr>
            <w:fldChar w:fldCharType="end"/>
          </w:r>
        </w:p>
      </w:tc>
      <w:tc>
        <w:tcPr>
          <w:tcW w:w="1384" w:type="dxa"/>
          <w:tcBorders>
            <w:top w:val="nil"/>
            <w:left w:val="nil"/>
            <w:bottom w:val="nil"/>
            <w:right w:val="nil"/>
          </w:tcBorders>
        </w:tcPr>
        <w:p w14:paraId="06CD255C" w14:textId="77777777" w:rsidR="004F6543" w:rsidRDefault="004F6543" w:rsidP="003102B6">
          <w:pPr>
            <w:spacing w:line="0" w:lineRule="atLeast"/>
            <w:jc w:val="right"/>
            <w:rPr>
              <w:sz w:val="18"/>
            </w:rPr>
          </w:pPr>
        </w:p>
      </w:tc>
    </w:tr>
  </w:tbl>
  <w:p w14:paraId="49F53294" w14:textId="77777777" w:rsidR="004F6543" w:rsidRPr="00ED79B6" w:rsidRDefault="004F6543" w:rsidP="00A136F5">
    <w:pPr>
      <w:rPr>
        <w:i/>
        <w:sz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779A1" w14:textId="77777777" w:rsidR="004F6543" w:rsidRPr="00E33C1C" w:rsidRDefault="004F6543" w:rsidP="005E41A6">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4F6543" w14:paraId="3E4C671E" w14:textId="77777777" w:rsidTr="003102B6">
      <w:tc>
        <w:tcPr>
          <w:tcW w:w="1384" w:type="dxa"/>
          <w:tcBorders>
            <w:top w:val="nil"/>
            <w:left w:val="nil"/>
            <w:bottom w:val="nil"/>
            <w:right w:val="nil"/>
          </w:tcBorders>
        </w:tcPr>
        <w:p w14:paraId="4411DD1F" w14:textId="77777777" w:rsidR="004F6543" w:rsidRDefault="004F6543" w:rsidP="003102B6">
          <w:pPr>
            <w:spacing w:line="0" w:lineRule="atLeast"/>
            <w:rPr>
              <w:sz w:val="18"/>
            </w:rPr>
          </w:pPr>
        </w:p>
      </w:tc>
      <w:tc>
        <w:tcPr>
          <w:tcW w:w="6379" w:type="dxa"/>
          <w:tcBorders>
            <w:top w:val="nil"/>
            <w:left w:val="nil"/>
            <w:bottom w:val="nil"/>
            <w:right w:val="nil"/>
          </w:tcBorders>
        </w:tcPr>
        <w:p w14:paraId="7C5CBA9C" w14:textId="552A52AF" w:rsidR="004F6543" w:rsidRDefault="004F6543" w:rsidP="003102B6">
          <w:pPr>
            <w:spacing w:line="0" w:lineRule="atLeast"/>
            <w:jc w:val="center"/>
            <w:rPr>
              <w:sz w:val="18"/>
            </w:rPr>
          </w:pPr>
          <w:r w:rsidRPr="007A1328">
            <w:rPr>
              <w:i/>
              <w:sz w:val="18"/>
            </w:rPr>
            <w:fldChar w:fldCharType="begin"/>
          </w:r>
          <w:r w:rsidR="00067DFF">
            <w:rPr>
              <w:i/>
              <w:sz w:val="18"/>
            </w:rPr>
            <w:instrText xml:space="preserve"> STYLEREF ShortT \* MERGEFORMAT</w:instrText>
          </w:r>
          <w:r w:rsidRPr="007A1328">
            <w:rPr>
              <w:i/>
              <w:sz w:val="18"/>
            </w:rPr>
            <w:fldChar w:fldCharType="separate"/>
          </w:r>
          <w:r w:rsidR="00E43366">
            <w:rPr>
              <w:i/>
              <w:noProof/>
              <w:sz w:val="18"/>
            </w:rPr>
            <w:t>Industrial Chemicals Environmental Management (Register) Amendment (2023 Measures No. 1) Instrument 2023</w:t>
          </w:r>
          <w:r w:rsidRPr="007A1328">
            <w:rPr>
              <w:i/>
              <w:sz w:val="18"/>
            </w:rPr>
            <w:fldChar w:fldCharType="end"/>
          </w:r>
        </w:p>
      </w:tc>
      <w:tc>
        <w:tcPr>
          <w:tcW w:w="709" w:type="dxa"/>
          <w:tcBorders>
            <w:top w:val="nil"/>
            <w:left w:val="nil"/>
            <w:bottom w:val="nil"/>
            <w:right w:val="nil"/>
          </w:tcBorders>
        </w:tcPr>
        <w:p w14:paraId="0C6FF666" w14:textId="77777777" w:rsidR="004F6543" w:rsidRDefault="004F6543" w:rsidP="003102B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141CCF5B" w14:textId="77777777" w:rsidR="004F6543" w:rsidRPr="00ED79B6" w:rsidRDefault="004F6543" w:rsidP="007A6863">
    <w:pPr>
      <w:rPr>
        <w:i/>
        <w:sz w:val="1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38D32" w14:textId="77777777" w:rsidR="004F6543" w:rsidRPr="00E33C1C" w:rsidRDefault="004F6543"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4F6543" w14:paraId="093D78F4" w14:textId="77777777" w:rsidTr="007A6863">
      <w:tc>
        <w:tcPr>
          <w:tcW w:w="1384" w:type="dxa"/>
          <w:tcBorders>
            <w:top w:val="nil"/>
            <w:left w:val="nil"/>
            <w:bottom w:val="nil"/>
            <w:right w:val="nil"/>
          </w:tcBorders>
        </w:tcPr>
        <w:p w14:paraId="791C7979" w14:textId="77777777" w:rsidR="004F6543" w:rsidRDefault="004F6543" w:rsidP="003102B6">
          <w:pPr>
            <w:spacing w:line="0" w:lineRule="atLeast"/>
            <w:rPr>
              <w:sz w:val="18"/>
            </w:rPr>
          </w:pPr>
        </w:p>
      </w:tc>
      <w:tc>
        <w:tcPr>
          <w:tcW w:w="6379" w:type="dxa"/>
          <w:tcBorders>
            <w:top w:val="nil"/>
            <w:left w:val="nil"/>
            <w:bottom w:val="nil"/>
            <w:right w:val="nil"/>
          </w:tcBorders>
        </w:tcPr>
        <w:p w14:paraId="546D0DA4" w14:textId="11748B35" w:rsidR="004F6543" w:rsidRDefault="004F6543" w:rsidP="003102B6">
          <w:pPr>
            <w:spacing w:line="0" w:lineRule="atLeast"/>
            <w:jc w:val="center"/>
            <w:rPr>
              <w:sz w:val="18"/>
            </w:rPr>
          </w:pPr>
          <w:r w:rsidRPr="007A1328">
            <w:rPr>
              <w:i/>
              <w:sz w:val="18"/>
            </w:rPr>
            <w:fldChar w:fldCharType="begin"/>
          </w:r>
          <w:r w:rsidR="00067DFF">
            <w:rPr>
              <w:i/>
              <w:sz w:val="18"/>
            </w:rPr>
            <w:instrText xml:space="preserve"> STYLEREF ShortT \* MERGEFORMAT</w:instrText>
          </w:r>
          <w:r w:rsidRPr="007A1328">
            <w:rPr>
              <w:i/>
              <w:sz w:val="18"/>
            </w:rPr>
            <w:fldChar w:fldCharType="separate"/>
          </w:r>
          <w:r w:rsidR="00E43366">
            <w:rPr>
              <w:i/>
              <w:noProof/>
              <w:sz w:val="18"/>
            </w:rPr>
            <w:t>Industrial Chemicals Environmental Management (Register) Amendment (2023 Measures No. 1) Instrument 2023</w:t>
          </w:r>
          <w:r w:rsidRPr="007A1328">
            <w:rPr>
              <w:i/>
              <w:sz w:val="18"/>
            </w:rPr>
            <w:fldChar w:fldCharType="end"/>
          </w:r>
        </w:p>
      </w:tc>
      <w:tc>
        <w:tcPr>
          <w:tcW w:w="709" w:type="dxa"/>
          <w:tcBorders>
            <w:top w:val="nil"/>
            <w:left w:val="nil"/>
            <w:bottom w:val="nil"/>
            <w:right w:val="nil"/>
          </w:tcBorders>
        </w:tcPr>
        <w:p w14:paraId="76B141FD" w14:textId="77777777" w:rsidR="004F6543" w:rsidRDefault="004F6543" w:rsidP="003102B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r>
  </w:tbl>
  <w:p w14:paraId="1655EDCD" w14:textId="77777777" w:rsidR="004F6543" w:rsidRPr="00ED79B6" w:rsidRDefault="004F6543" w:rsidP="00A136F5">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7163B" w14:textId="77777777" w:rsidR="004F6543" w:rsidRDefault="004F6543" w:rsidP="005E41A6">
    <w:pPr>
      <w:spacing w:before="120"/>
    </w:pPr>
  </w:p>
  <w:p w14:paraId="0A8CA4A3" w14:textId="77777777" w:rsidR="004F6543" w:rsidRPr="00E97334" w:rsidRDefault="004F6543" w:rsidP="00E9733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D1A99" w14:textId="77777777" w:rsidR="004F6543" w:rsidRPr="00ED79B6" w:rsidRDefault="004F6543" w:rsidP="00685F42">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C1FD" w14:textId="77777777" w:rsidR="004F6543" w:rsidRPr="00E33C1C" w:rsidRDefault="004F6543" w:rsidP="005E41A6">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4F6543" w14:paraId="12B89B80" w14:textId="77777777" w:rsidTr="00067DFF">
      <w:tc>
        <w:tcPr>
          <w:tcW w:w="709" w:type="dxa"/>
          <w:tcBorders>
            <w:top w:val="nil"/>
            <w:left w:val="nil"/>
            <w:bottom w:val="nil"/>
            <w:right w:val="nil"/>
          </w:tcBorders>
        </w:tcPr>
        <w:p w14:paraId="01C2B944" w14:textId="77777777" w:rsidR="004F6543" w:rsidRDefault="004F6543" w:rsidP="003102B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264A1B94" w14:textId="7630EBD8" w:rsidR="004F6543" w:rsidRDefault="004F6543" w:rsidP="003102B6">
          <w:pPr>
            <w:spacing w:line="0" w:lineRule="atLeast"/>
            <w:jc w:val="center"/>
            <w:rPr>
              <w:sz w:val="18"/>
            </w:rPr>
          </w:pPr>
          <w:r w:rsidRPr="007A1328">
            <w:rPr>
              <w:i/>
              <w:sz w:val="18"/>
            </w:rPr>
            <w:fldChar w:fldCharType="begin"/>
          </w:r>
          <w:r w:rsidR="00067DFF">
            <w:rPr>
              <w:i/>
              <w:sz w:val="18"/>
            </w:rPr>
            <w:instrText xml:space="preserve"> STYLEREF ShortT \* MERGEFORMAT</w:instrText>
          </w:r>
          <w:r w:rsidRPr="007A1328">
            <w:rPr>
              <w:i/>
              <w:sz w:val="18"/>
            </w:rPr>
            <w:fldChar w:fldCharType="separate"/>
          </w:r>
          <w:r w:rsidR="00E43366">
            <w:rPr>
              <w:i/>
              <w:noProof/>
              <w:sz w:val="18"/>
            </w:rPr>
            <w:t>Industrial Chemicals Environmental Management (Register) Amendment (2023 Measures No. 1) Instrument 2023</w:t>
          </w:r>
          <w:r w:rsidRPr="007A1328">
            <w:rPr>
              <w:i/>
              <w:sz w:val="18"/>
            </w:rPr>
            <w:fldChar w:fldCharType="end"/>
          </w:r>
        </w:p>
      </w:tc>
      <w:tc>
        <w:tcPr>
          <w:tcW w:w="1384" w:type="dxa"/>
          <w:tcBorders>
            <w:top w:val="nil"/>
            <w:left w:val="nil"/>
            <w:bottom w:val="nil"/>
            <w:right w:val="nil"/>
          </w:tcBorders>
        </w:tcPr>
        <w:p w14:paraId="0410C740" w14:textId="77777777" w:rsidR="004F6543" w:rsidRDefault="004F6543" w:rsidP="003102B6">
          <w:pPr>
            <w:spacing w:line="0" w:lineRule="atLeast"/>
            <w:jc w:val="right"/>
            <w:rPr>
              <w:sz w:val="18"/>
            </w:rPr>
          </w:pPr>
        </w:p>
      </w:tc>
    </w:tr>
  </w:tbl>
  <w:p w14:paraId="4F322849" w14:textId="77777777" w:rsidR="004F6543" w:rsidRPr="00ED79B6" w:rsidRDefault="004F6543" w:rsidP="00A136F5">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397DA" w14:textId="77777777" w:rsidR="004F6543" w:rsidRPr="00E33C1C" w:rsidRDefault="004F6543" w:rsidP="005E41A6">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4F6543" w14:paraId="13FFDEBF" w14:textId="77777777" w:rsidTr="00067DFF">
      <w:tc>
        <w:tcPr>
          <w:tcW w:w="1383" w:type="dxa"/>
          <w:tcBorders>
            <w:top w:val="nil"/>
            <w:left w:val="nil"/>
            <w:bottom w:val="nil"/>
            <w:right w:val="nil"/>
          </w:tcBorders>
        </w:tcPr>
        <w:p w14:paraId="2FE528F7" w14:textId="77777777" w:rsidR="004F6543" w:rsidRDefault="004F6543" w:rsidP="003102B6">
          <w:pPr>
            <w:spacing w:line="0" w:lineRule="atLeast"/>
            <w:rPr>
              <w:sz w:val="18"/>
            </w:rPr>
          </w:pPr>
        </w:p>
      </w:tc>
      <w:tc>
        <w:tcPr>
          <w:tcW w:w="6379" w:type="dxa"/>
          <w:tcBorders>
            <w:top w:val="nil"/>
            <w:left w:val="nil"/>
            <w:bottom w:val="nil"/>
            <w:right w:val="nil"/>
          </w:tcBorders>
        </w:tcPr>
        <w:p w14:paraId="05614A00" w14:textId="7C02FDD9" w:rsidR="004F6543" w:rsidRDefault="004F6543" w:rsidP="003102B6">
          <w:pPr>
            <w:spacing w:line="0" w:lineRule="atLeast"/>
            <w:jc w:val="center"/>
            <w:rPr>
              <w:sz w:val="18"/>
            </w:rPr>
          </w:pPr>
          <w:r w:rsidRPr="007A1328">
            <w:rPr>
              <w:i/>
              <w:sz w:val="18"/>
            </w:rPr>
            <w:fldChar w:fldCharType="begin"/>
          </w:r>
          <w:r w:rsidR="00067DFF">
            <w:rPr>
              <w:i/>
              <w:sz w:val="18"/>
            </w:rPr>
            <w:instrText xml:space="preserve"> STYLEREF ShortT \* MERGEFORMAT</w:instrText>
          </w:r>
          <w:r w:rsidRPr="007A1328">
            <w:rPr>
              <w:i/>
              <w:sz w:val="18"/>
            </w:rPr>
            <w:fldChar w:fldCharType="separate"/>
          </w:r>
          <w:r w:rsidR="00920E07">
            <w:rPr>
              <w:i/>
              <w:noProof/>
              <w:sz w:val="18"/>
            </w:rPr>
            <w:t>Industrial Chemicals Environmental Management (Register) Amendment (2023 Measures No. 1) Instrument 2023</w:t>
          </w:r>
          <w:r w:rsidRPr="007A1328">
            <w:rPr>
              <w:i/>
              <w:sz w:val="18"/>
            </w:rPr>
            <w:fldChar w:fldCharType="end"/>
          </w:r>
        </w:p>
      </w:tc>
      <w:tc>
        <w:tcPr>
          <w:tcW w:w="710" w:type="dxa"/>
          <w:tcBorders>
            <w:top w:val="nil"/>
            <w:left w:val="nil"/>
            <w:bottom w:val="nil"/>
            <w:right w:val="nil"/>
          </w:tcBorders>
        </w:tcPr>
        <w:p w14:paraId="0060934F" w14:textId="77777777" w:rsidR="004F6543" w:rsidRDefault="004F6543" w:rsidP="003102B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5A10FCD5" w14:textId="77777777" w:rsidR="004F6543" w:rsidRPr="00ED79B6" w:rsidRDefault="004F6543" w:rsidP="00A136F5">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FE8A" w14:textId="77777777" w:rsidR="004F6543" w:rsidRPr="00EF5531" w:rsidRDefault="004F6543" w:rsidP="005E41A6">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4F6543" w14:paraId="72B44410" w14:textId="77777777" w:rsidTr="00067DFF">
      <w:tc>
        <w:tcPr>
          <w:tcW w:w="709" w:type="dxa"/>
          <w:tcBorders>
            <w:top w:val="nil"/>
            <w:left w:val="nil"/>
            <w:bottom w:val="nil"/>
            <w:right w:val="nil"/>
          </w:tcBorders>
        </w:tcPr>
        <w:p w14:paraId="3FF9F54F" w14:textId="77777777" w:rsidR="004F6543" w:rsidRDefault="004F6543" w:rsidP="005E41A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7344B73B" w14:textId="66E13DC2" w:rsidR="004F6543" w:rsidRDefault="004F6543" w:rsidP="005E41A6">
          <w:pPr>
            <w:spacing w:line="0" w:lineRule="atLeast"/>
            <w:jc w:val="center"/>
            <w:rPr>
              <w:sz w:val="18"/>
            </w:rPr>
          </w:pPr>
          <w:r w:rsidRPr="007A1328">
            <w:rPr>
              <w:i/>
              <w:sz w:val="18"/>
            </w:rPr>
            <w:fldChar w:fldCharType="begin"/>
          </w:r>
          <w:r w:rsidR="00067DFF">
            <w:rPr>
              <w:i/>
              <w:sz w:val="18"/>
            </w:rPr>
            <w:instrText xml:space="preserve"> STYLEREF ShortT \* MERGEFORMAT</w:instrText>
          </w:r>
          <w:r w:rsidRPr="007A1328">
            <w:rPr>
              <w:i/>
              <w:sz w:val="18"/>
            </w:rPr>
            <w:fldChar w:fldCharType="separate"/>
          </w:r>
          <w:r w:rsidR="00920E07">
            <w:rPr>
              <w:i/>
              <w:noProof/>
              <w:sz w:val="18"/>
            </w:rPr>
            <w:t>Industrial Chemicals Environmental Management (Register) Amendment (2023 Measures No. 1) Instrument 2023</w:t>
          </w:r>
          <w:r w:rsidRPr="007A1328">
            <w:rPr>
              <w:i/>
              <w:sz w:val="18"/>
            </w:rPr>
            <w:fldChar w:fldCharType="end"/>
          </w:r>
        </w:p>
      </w:tc>
      <w:tc>
        <w:tcPr>
          <w:tcW w:w="1384" w:type="dxa"/>
          <w:tcBorders>
            <w:top w:val="nil"/>
            <w:left w:val="nil"/>
            <w:bottom w:val="nil"/>
            <w:right w:val="nil"/>
          </w:tcBorders>
        </w:tcPr>
        <w:p w14:paraId="2E3642FA" w14:textId="77777777" w:rsidR="004F6543" w:rsidRDefault="004F6543" w:rsidP="005E41A6">
          <w:pPr>
            <w:spacing w:line="0" w:lineRule="atLeast"/>
            <w:jc w:val="right"/>
            <w:rPr>
              <w:sz w:val="18"/>
            </w:rPr>
          </w:pPr>
        </w:p>
      </w:tc>
    </w:tr>
  </w:tbl>
  <w:p w14:paraId="08A41273" w14:textId="77777777" w:rsidR="004F6543" w:rsidRPr="00EF5531" w:rsidRDefault="004F6543" w:rsidP="005E41A6">
    <w:pPr>
      <w:rPr>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E6CD" w14:textId="77777777" w:rsidR="004F6543" w:rsidRPr="00A41F52" w:rsidRDefault="004F6543" w:rsidP="005E41A6">
    <w:pPr>
      <w:pBdr>
        <w:top w:val="single" w:sz="6" w:space="1" w:color="auto"/>
      </w:pBdr>
      <w:spacing w:before="120" w:line="0" w:lineRule="atLeast"/>
      <w:rPr>
        <w:sz w:val="16"/>
        <w:szCs w:val="16"/>
      </w:rPr>
    </w:pPr>
  </w:p>
  <w:tbl>
    <w:tblPr>
      <w:tblStyle w:val="TableGrid"/>
      <w:tblW w:w="8472" w:type="dxa"/>
      <w:tblLook w:val="04A0" w:firstRow="1" w:lastRow="0" w:firstColumn="1" w:lastColumn="0" w:noHBand="0" w:noVBand="1"/>
    </w:tblPr>
    <w:tblGrid>
      <w:gridCol w:w="1384"/>
      <w:gridCol w:w="6379"/>
      <w:gridCol w:w="709"/>
    </w:tblGrid>
    <w:tr w:rsidR="004F6543" w14:paraId="0EAD88DA" w14:textId="77777777" w:rsidTr="005E41A6">
      <w:tc>
        <w:tcPr>
          <w:tcW w:w="1384" w:type="dxa"/>
          <w:tcBorders>
            <w:top w:val="nil"/>
            <w:left w:val="nil"/>
            <w:bottom w:val="nil"/>
            <w:right w:val="nil"/>
          </w:tcBorders>
        </w:tcPr>
        <w:p w14:paraId="66720CFA" w14:textId="77777777" w:rsidR="004F6543" w:rsidRDefault="004F6543" w:rsidP="005E41A6">
          <w:pPr>
            <w:spacing w:line="0" w:lineRule="atLeast"/>
            <w:rPr>
              <w:sz w:val="18"/>
            </w:rPr>
          </w:pPr>
        </w:p>
      </w:tc>
      <w:tc>
        <w:tcPr>
          <w:tcW w:w="6379" w:type="dxa"/>
          <w:tcBorders>
            <w:top w:val="nil"/>
            <w:left w:val="nil"/>
            <w:bottom w:val="nil"/>
            <w:right w:val="nil"/>
          </w:tcBorders>
        </w:tcPr>
        <w:p w14:paraId="4068D01A" w14:textId="42E317B9" w:rsidR="004F6543" w:rsidRDefault="004F6543" w:rsidP="005E41A6">
          <w:pPr>
            <w:spacing w:line="0" w:lineRule="atLeast"/>
            <w:jc w:val="center"/>
            <w:rPr>
              <w:sz w:val="18"/>
            </w:rPr>
          </w:pPr>
          <w:r w:rsidRPr="007A1328">
            <w:rPr>
              <w:i/>
              <w:sz w:val="18"/>
            </w:rPr>
            <w:fldChar w:fldCharType="begin"/>
          </w:r>
          <w:r w:rsidR="00067DFF">
            <w:rPr>
              <w:i/>
              <w:sz w:val="18"/>
            </w:rPr>
            <w:instrText xml:space="preserve"> STYLEREF ShortT \* MERGEFORMAT</w:instrText>
          </w:r>
          <w:r w:rsidRPr="007A1328">
            <w:rPr>
              <w:i/>
              <w:sz w:val="18"/>
            </w:rPr>
            <w:fldChar w:fldCharType="separate"/>
          </w:r>
          <w:r w:rsidR="00920E07">
            <w:rPr>
              <w:i/>
              <w:noProof/>
              <w:sz w:val="18"/>
            </w:rPr>
            <w:t>Industrial Chemicals Environmental Management (Register) Amendment (2023 Measures No. 1) Instrument 2023</w:t>
          </w:r>
          <w:r w:rsidRPr="007A1328">
            <w:rPr>
              <w:i/>
              <w:sz w:val="18"/>
            </w:rPr>
            <w:fldChar w:fldCharType="end"/>
          </w:r>
        </w:p>
      </w:tc>
      <w:tc>
        <w:tcPr>
          <w:tcW w:w="709" w:type="dxa"/>
          <w:tcBorders>
            <w:top w:val="nil"/>
            <w:left w:val="nil"/>
            <w:bottom w:val="nil"/>
            <w:right w:val="nil"/>
          </w:tcBorders>
        </w:tcPr>
        <w:p w14:paraId="100443E6" w14:textId="77777777" w:rsidR="004F6543" w:rsidRDefault="004F6543" w:rsidP="005E41A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3267D2D0" w14:textId="77777777" w:rsidR="004F6543" w:rsidRPr="00A41F52" w:rsidRDefault="004F6543" w:rsidP="005E41A6">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FEE7" w14:textId="77777777" w:rsidR="004F6543" w:rsidRPr="00E33C1C" w:rsidRDefault="004F6543" w:rsidP="005E41A6">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4F6543" w14:paraId="018541D9" w14:textId="77777777" w:rsidTr="005E41A6">
      <w:tc>
        <w:tcPr>
          <w:tcW w:w="1384" w:type="dxa"/>
          <w:tcBorders>
            <w:top w:val="nil"/>
            <w:left w:val="nil"/>
            <w:bottom w:val="nil"/>
            <w:right w:val="nil"/>
          </w:tcBorders>
        </w:tcPr>
        <w:p w14:paraId="42F38915" w14:textId="77777777" w:rsidR="004F6543" w:rsidRDefault="004F6543" w:rsidP="005E41A6">
          <w:pPr>
            <w:spacing w:line="0" w:lineRule="atLeast"/>
            <w:rPr>
              <w:sz w:val="18"/>
            </w:rPr>
          </w:pPr>
        </w:p>
      </w:tc>
      <w:tc>
        <w:tcPr>
          <w:tcW w:w="6379" w:type="dxa"/>
          <w:tcBorders>
            <w:top w:val="nil"/>
            <w:left w:val="nil"/>
            <w:bottom w:val="nil"/>
            <w:right w:val="nil"/>
          </w:tcBorders>
        </w:tcPr>
        <w:p w14:paraId="13DEC811" w14:textId="341D1CF1" w:rsidR="004F6543" w:rsidRDefault="004F6543" w:rsidP="005E41A6">
          <w:pPr>
            <w:spacing w:line="0" w:lineRule="atLeast"/>
            <w:jc w:val="center"/>
            <w:rPr>
              <w:sz w:val="18"/>
            </w:rPr>
          </w:pPr>
          <w:r w:rsidRPr="007A1328">
            <w:rPr>
              <w:i/>
              <w:sz w:val="18"/>
            </w:rPr>
            <w:fldChar w:fldCharType="begin"/>
          </w:r>
          <w:r w:rsidR="00067DFF">
            <w:rPr>
              <w:i/>
              <w:sz w:val="18"/>
            </w:rPr>
            <w:instrText xml:space="preserve"> STYLEREF ShortT \* MERGEFORMAT</w:instrText>
          </w:r>
          <w:r w:rsidRPr="007A1328">
            <w:rPr>
              <w:i/>
              <w:sz w:val="18"/>
            </w:rPr>
            <w:fldChar w:fldCharType="separate"/>
          </w:r>
          <w:r w:rsidR="00E43366">
            <w:rPr>
              <w:i/>
              <w:noProof/>
              <w:sz w:val="18"/>
            </w:rPr>
            <w:t>Industrial Chemicals Environmental Management (Register) Amendment (2023 Measures No. 1) Instrument 2023</w:t>
          </w:r>
          <w:r w:rsidRPr="007A1328">
            <w:rPr>
              <w:i/>
              <w:sz w:val="18"/>
            </w:rPr>
            <w:fldChar w:fldCharType="end"/>
          </w:r>
        </w:p>
      </w:tc>
      <w:tc>
        <w:tcPr>
          <w:tcW w:w="709" w:type="dxa"/>
          <w:tcBorders>
            <w:top w:val="nil"/>
            <w:left w:val="nil"/>
            <w:bottom w:val="nil"/>
            <w:right w:val="nil"/>
          </w:tcBorders>
        </w:tcPr>
        <w:p w14:paraId="64ADFB0E" w14:textId="77777777" w:rsidR="004F6543" w:rsidRDefault="004F6543" w:rsidP="005E41A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sz w:val="18"/>
            </w:rPr>
            <w:t>1</w:t>
          </w:r>
          <w:r w:rsidRPr="00ED79B6">
            <w:rPr>
              <w:i/>
              <w:sz w:val="18"/>
            </w:rPr>
            <w:fldChar w:fldCharType="end"/>
          </w:r>
        </w:p>
      </w:tc>
    </w:tr>
  </w:tbl>
  <w:p w14:paraId="703BDBAD" w14:textId="77777777" w:rsidR="004F6543" w:rsidRPr="00ED79B6" w:rsidRDefault="004F6543" w:rsidP="005E41A6">
    <w:pPr>
      <w:rPr>
        <w:i/>
        <w:sz w:val="18"/>
      </w:rPr>
    </w:pPr>
  </w:p>
  <w:p w14:paraId="43675E61" w14:textId="77777777" w:rsidR="004F6543" w:rsidRPr="005E41A6" w:rsidRDefault="004F6543" w:rsidP="005E41A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A26D" w14:textId="77777777" w:rsidR="004F6543" w:rsidRPr="002B0EA5" w:rsidRDefault="004F6543" w:rsidP="005E41A6">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
      <w:gridCol w:w="6950"/>
      <w:gridCol w:w="855"/>
    </w:tblGrid>
    <w:tr w:rsidR="004F6543" w14:paraId="4EDDD7F3" w14:textId="77777777" w:rsidTr="005E41A6">
      <w:tc>
        <w:tcPr>
          <w:tcW w:w="306" w:type="pct"/>
        </w:tcPr>
        <w:p w14:paraId="7848028A" w14:textId="77777777" w:rsidR="004F6543" w:rsidRDefault="004F6543" w:rsidP="005E41A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w:t>
          </w:r>
          <w:r w:rsidRPr="00ED79B6">
            <w:rPr>
              <w:i/>
              <w:sz w:val="18"/>
            </w:rPr>
            <w:fldChar w:fldCharType="end"/>
          </w:r>
        </w:p>
      </w:tc>
      <w:tc>
        <w:tcPr>
          <w:tcW w:w="4180" w:type="pct"/>
        </w:tcPr>
        <w:p w14:paraId="7D966B41" w14:textId="1C2541DE" w:rsidR="004F6543" w:rsidRDefault="004F6543" w:rsidP="005E41A6">
          <w:pPr>
            <w:spacing w:line="0" w:lineRule="atLeast"/>
            <w:jc w:val="center"/>
            <w:rPr>
              <w:sz w:val="18"/>
            </w:rPr>
          </w:pPr>
          <w:r w:rsidRPr="007A1328">
            <w:rPr>
              <w:i/>
              <w:sz w:val="18"/>
            </w:rPr>
            <w:fldChar w:fldCharType="begin"/>
          </w:r>
          <w:r w:rsidR="00067DFF">
            <w:rPr>
              <w:i/>
              <w:sz w:val="18"/>
            </w:rPr>
            <w:instrText xml:space="preserve"> STYLEREF ShortT \* MERGEFORMAT</w:instrText>
          </w:r>
          <w:r w:rsidRPr="007A1328">
            <w:rPr>
              <w:i/>
              <w:sz w:val="18"/>
            </w:rPr>
            <w:fldChar w:fldCharType="separate"/>
          </w:r>
          <w:r w:rsidR="00920E07">
            <w:rPr>
              <w:i/>
              <w:noProof/>
              <w:sz w:val="18"/>
            </w:rPr>
            <w:t>Industrial Chemicals Environmental Management (Register) Amendment (2023 Measures No. 1) Instrument 2023</w:t>
          </w:r>
          <w:r w:rsidRPr="007A1328">
            <w:rPr>
              <w:i/>
              <w:sz w:val="18"/>
            </w:rPr>
            <w:fldChar w:fldCharType="end"/>
          </w:r>
        </w:p>
      </w:tc>
      <w:tc>
        <w:tcPr>
          <w:tcW w:w="514" w:type="pct"/>
        </w:tcPr>
        <w:p w14:paraId="0E9D9806" w14:textId="77777777" w:rsidR="004F6543" w:rsidRDefault="004F6543" w:rsidP="005E41A6">
          <w:pPr>
            <w:spacing w:line="0" w:lineRule="atLeast"/>
            <w:jc w:val="right"/>
            <w:rPr>
              <w:sz w:val="18"/>
            </w:rPr>
          </w:pPr>
        </w:p>
      </w:tc>
    </w:tr>
  </w:tbl>
  <w:p w14:paraId="2FB260D7" w14:textId="77777777" w:rsidR="004F6543" w:rsidRPr="00ED79B6" w:rsidRDefault="004F6543" w:rsidP="005E41A6">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AB2E4" w14:textId="77777777" w:rsidR="00700E0D" w:rsidRDefault="00700E0D" w:rsidP="0048364F">
      <w:pPr>
        <w:spacing w:line="240" w:lineRule="auto"/>
      </w:pPr>
      <w:r>
        <w:separator/>
      </w:r>
    </w:p>
  </w:footnote>
  <w:footnote w:type="continuationSeparator" w:id="0">
    <w:p w14:paraId="69D29D63" w14:textId="77777777" w:rsidR="00700E0D" w:rsidRDefault="00700E0D"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19BEC" w14:textId="77777777" w:rsidR="004F6543" w:rsidRPr="005F1388" w:rsidRDefault="004F6543" w:rsidP="0048364F">
    <w:pPr>
      <w:pStyle w:val="Header"/>
      <w:tabs>
        <w:tab w:val="clear" w:pos="4150"/>
        <w:tab w:val="clear" w:pos="8307"/>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F4B55" w14:textId="77777777" w:rsidR="004F6543" w:rsidRPr="00A961C4" w:rsidRDefault="004F6543" w:rsidP="005E41A6">
    <w:pPr>
      <w:rPr>
        <w:sz w:val="20"/>
      </w:rPr>
    </w:pPr>
  </w:p>
  <w:p w14:paraId="0569DC9D" w14:textId="77777777" w:rsidR="004F6543" w:rsidRPr="00A961C4" w:rsidRDefault="004F6543" w:rsidP="005E41A6">
    <w:pPr>
      <w:rPr>
        <w:b/>
        <w:sz w:val="20"/>
      </w:rPr>
    </w:pPr>
  </w:p>
  <w:p w14:paraId="4941399E" w14:textId="77777777" w:rsidR="004F6543" w:rsidRPr="000B5E62" w:rsidRDefault="004F6543" w:rsidP="005E41A6">
    <w:pPr>
      <w:pBdr>
        <w:bottom w:val="single" w:sz="6" w:space="1" w:color="auto"/>
      </w:pBdr>
      <w:spacing w:after="120"/>
      <w:rPr>
        <w:sz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FADA" w14:textId="77777777" w:rsidR="004F6543" w:rsidRPr="00A961C4" w:rsidRDefault="004F6543" w:rsidP="005E41A6">
    <w:pPr>
      <w:jc w:val="right"/>
      <w:rPr>
        <w:b/>
        <w:sz w:val="20"/>
      </w:rPr>
    </w:pPr>
  </w:p>
  <w:p w14:paraId="558637DD" w14:textId="77777777" w:rsidR="004F6543" w:rsidRPr="00A961C4" w:rsidRDefault="004F6543" w:rsidP="005E41A6">
    <w:pPr>
      <w:jc w:val="right"/>
      <w:rPr>
        <w:b/>
        <w:sz w:val="20"/>
      </w:rPr>
    </w:pPr>
  </w:p>
  <w:p w14:paraId="1919FBBE" w14:textId="77777777" w:rsidR="004F6543" w:rsidRPr="000B5E62" w:rsidRDefault="004F6543" w:rsidP="005E41A6">
    <w:pPr>
      <w:pBdr>
        <w:bottom w:val="single" w:sz="6" w:space="1" w:color="auto"/>
      </w:pBdr>
      <w:spacing w:after="120"/>
      <w:jc w:val="right"/>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383D" w14:textId="77777777" w:rsidR="004F6543" w:rsidRPr="00A961C4" w:rsidRDefault="004F6543" w:rsidP="0048364F">
    <w:pPr>
      <w:rPr>
        <w:b/>
        <w:sz w:val="20"/>
      </w:rPr>
    </w:pPr>
  </w:p>
  <w:p w14:paraId="299A674F" w14:textId="77777777" w:rsidR="004F6543" w:rsidRPr="00A961C4" w:rsidRDefault="004F6543" w:rsidP="0048364F">
    <w:pPr>
      <w:rPr>
        <w:b/>
        <w:sz w:val="20"/>
      </w:rPr>
    </w:pPr>
  </w:p>
  <w:p w14:paraId="237A11F3" w14:textId="77777777" w:rsidR="004F6543" w:rsidRPr="00A961C4" w:rsidRDefault="004F6543" w:rsidP="005E41A6">
    <w:pPr>
      <w:pBdr>
        <w:bottom w:val="single" w:sz="6" w:space="1" w:color="auto"/>
      </w:pBdr>
      <w:spacing w:after="12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A1C38" w14:textId="77777777" w:rsidR="004F6543" w:rsidRPr="00A961C4" w:rsidRDefault="004F6543" w:rsidP="0048364F">
    <w:pPr>
      <w:jc w:val="right"/>
      <w:rPr>
        <w:sz w:val="20"/>
      </w:rPr>
    </w:pPr>
  </w:p>
  <w:p w14:paraId="71A97B57" w14:textId="77777777" w:rsidR="004F6543" w:rsidRPr="00A961C4" w:rsidRDefault="004F6543" w:rsidP="0048364F">
    <w:pPr>
      <w:jc w:val="right"/>
      <w:rPr>
        <w:b/>
        <w:sz w:val="20"/>
      </w:rPr>
    </w:pPr>
  </w:p>
  <w:p w14:paraId="0DEDA122" w14:textId="77777777" w:rsidR="004F6543" w:rsidRPr="00A961C4" w:rsidRDefault="004F6543" w:rsidP="005E41A6">
    <w:pPr>
      <w:pBdr>
        <w:bottom w:val="single" w:sz="6" w:space="1" w:color="auto"/>
      </w:pBdr>
      <w:spacing w:after="120"/>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E252" w14:textId="77777777" w:rsidR="004F6543" w:rsidRPr="00A961C4" w:rsidRDefault="004F6543" w:rsidP="004836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005A" w14:textId="77777777" w:rsidR="004F6543" w:rsidRPr="005F1388" w:rsidRDefault="004F6543"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1C5C" w14:textId="77777777" w:rsidR="004F6543" w:rsidRPr="005F1388" w:rsidRDefault="004F6543"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43ED" w14:textId="77777777" w:rsidR="004F6543" w:rsidRPr="00ED79B6" w:rsidRDefault="004F6543" w:rsidP="00220A0C">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46E5" w14:textId="77777777" w:rsidR="004F6543" w:rsidRPr="00ED79B6" w:rsidRDefault="004F6543" w:rsidP="00220A0C">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136D1" w14:textId="77777777" w:rsidR="004F6543" w:rsidRPr="00ED79B6" w:rsidRDefault="004F6543"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AA09" w14:textId="77777777" w:rsidR="004F6543" w:rsidRPr="00A961C4" w:rsidRDefault="004F6543" w:rsidP="00F55DCB">
    <w:pPr>
      <w:jc w:val="right"/>
      <w:rPr>
        <w:b/>
        <w:sz w:val="20"/>
      </w:rPr>
    </w:pPr>
  </w:p>
  <w:p w14:paraId="4E02E4B3" w14:textId="77777777" w:rsidR="004F6543" w:rsidRPr="00A961C4" w:rsidRDefault="004F6543" w:rsidP="00F55DCB">
    <w:pPr>
      <w:jc w:val="right"/>
      <w:rPr>
        <w:b/>
        <w:sz w:val="20"/>
      </w:rPr>
    </w:pPr>
  </w:p>
  <w:p w14:paraId="600C812A" w14:textId="77777777" w:rsidR="004F6543" w:rsidRPr="004B2502" w:rsidRDefault="004F6543" w:rsidP="005E41A6">
    <w:pPr>
      <w:pBdr>
        <w:bottom w:val="single" w:sz="6" w:space="1" w:color="auto"/>
      </w:pBdr>
      <w:spacing w:after="120"/>
      <w:rPr>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548BE" w14:textId="77777777" w:rsidR="004F6543" w:rsidRPr="00A961C4" w:rsidRDefault="004F6543" w:rsidP="00F55DCB">
    <w:pPr>
      <w:jc w:val="right"/>
      <w:rPr>
        <w:b/>
        <w:sz w:val="20"/>
      </w:rPr>
    </w:pPr>
  </w:p>
  <w:p w14:paraId="274470C0" w14:textId="77777777" w:rsidR="004F6543" w:rsidRPr="00A961C4" w:rsidRDefault="004F6543" w:rsidP="00F55DCB">
    <w:pPr>
      <w:jc w:val="right"/>
      <w:rPr>
        <w:b/>
        <w:sz w:val="20"/>
      </w:rPr>
    </w:pPr>
  </w:p>
  <w:p w14:paraId="07A6336B" w14:textId="77777777" w:rsidR="004F6543" w:rsidRPr="004B2502" w:rsidRDefault="004F6543" w:rsidP="005E41A6">
    <w:pPr>
      <w:pBdr>
        <w:bottom w:val="single" w:sz="6" w:space="1" w:color="auto"/>
      </w:pBdr>
      <w:spacing w:after="120"/>
      <w:jc w:val="right"/>
      <w:rPr>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8835" w14:textId="77777777" w:rsidR="004F6543" w:rsidRPr="004B2502" w:rsidRDefault="004F6543">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A5494"/>
    <w:multiLevelType w:val="hybridMultilevel"/>
    <w:tmpl w:val="2E9EB56E"/>
    <w:lvl w:ilvl="0" w:tplc="DF7071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5E313CE"/>
    <w:multiLevelType w:val="hybridMultilevel"/>
    <w:tmpl w:val="1F3CAEE6"/>
    <w:lvl w:ilvl="0" w:tplc="3C3E63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7296EE8"/>
    <w:multiLevelType w:val="multilevel"/>
    <w:tmpl w:val="362461AA"/>
    <w:lvl w:ilvl="0">
      <w:start w:val="1"/>
      <w:numFmt w:val="lowerLetter"/>
      <w:lvlText w:val="(%1)"/>
      <w:lvlJc w:val="left"/>
      <w:pPr>
        <w:ind w:left="720" w:hanging="360"/>
      </w:pPr>
      <w:rPr>
        <w:rFonts w:ascii="Times New Roman" w:eastAsia="Calibri" w:hAnsi="Times New Roman" w:cs="Calibri"/>
      </w:rPr>
    </w:lvl>
    <w:lvl w:ilvl="1">
      <w:start w:val="1"/>
      <w:numFmt w:val="none"/>
      <w:suff w:val="space"/>
      <w:lvlText w:val="(i)"/>
      <w:lvlJc w:val="left"/>
      <w:pPr>
        <w:ind w:left="1440" w:hanging="360"/>
      </w:pPr>
      <w:rPr>
        <w:rFonts w:hint="default"/>
      </w:rPr>
    </w:lvl>
    <w:lvl w:ilvl="2">
      <w:start w:val="1"/>
      <w:numFmt w:val="none"/>
      <w:suff w:val="space"/>
      <w:lvlText w:val="(A)"/>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88B67A2"/>
    <w:multiLevelType w:val="hybridMultilevel"/>
    <w:tmpl w:val="A664E7C0"/>
    <w:lvl w:ilvl="0" w:tplc="21F04C3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A42A5E"/>
    <w:multiLevelType w:val="hybridMultilevel"/>
    <w:tmpl w:val="CF569A9A"/>
    <w:lvl w:ilvl="0" w:tplc="88A8FEC8">
      <w:start w:val="2"/>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13A732F"/>
    <w:multiLevelType w:val="hybridMultilevel"/>
    <w:tmpl w:val="54E2E1F6"/>
    <w:lvl w:ilvl="0" w:tplc="C57A5D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567F16"/>
    <w:multiLevelType w:val="hybridMultilevel"/>
    <w:tmpl w:val="563A4A8A"/>
    <w:lvl w:ilvl="0" w:tplc="264EFC86">
      <w:start w:val="3"/>
      <w:numFmt w:val="lowerRoman"/>
      <w:lvlText w:val="(%1)"/>
      <w:lvlJc w:val="left"/>
      <w:pPr>
        <w:ind w:left="1080" w:hanging="720"/>
      </w:pPr>
      <w:rPr>
        <w:rFonts w:eastAsia="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33D2574"/>
    <w:multiLevelType w:val="hybridMultilevel"/>
    <w:tmpl w:val="4C6E9DD6"/>
    <w:lvl w:ilvl="0" w:tplc="AAD4F6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F226771"/>
    <w:multiLevelType w:val="hybridMultilevel"/>
    <w:tmpl w:val="A16C187A"/>
    <w:lvl w:ilvl="0" w:tplc="C57A5D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2AF1D4D"/>
    <w:multiLevelType w:val="hybridMultilevel"/>
    <w:tmpl w:val="0BAAF7A6"/>
    <w:lvl w:ilvl="0" w:tplc="2B4090F2">
      <w:start w:val="3"/>
      <w:numFmt w:val="lowerRoman"/>
      <w:lvlText w:val="(%1)"/>
      <w:lvlJc w:val="left"/>
      <w:pPr>
        <w:ind w:left="1080" w:hanging="720"/>
      </w:pPr>
      <w:rPr>
        <w:rFonts w:eastAsia="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78075A5"/>
    <w:multiLevelType w:val="multilevel"/>
    <w:tmpl w:val="F98E5E32"/>
    <w:lvl w:ilvl="0">
      <w:start w:val="1"/>
      <w:numFmt w:val="lowerLetter"/>
      <w:lvlText w:val="(%1)"/>
      <w:lvlJc w:val="left"/>
      <w:pPr>
        <w:ind w:left="720" w:hanging="360"/>
      </w:pPr>
      <w:rPr>
        <w:rFonts w:ascii="Times New Roman" w:eastAsia="Calibri" w:hAnsi="Times New Roman" w:cs="Calibri"/>
      </w:rPr>
    </w:lvl>
    <w:lvl w:ilvl="1">
      <w:start w:val="1"/>
      <w:numFmt w:val="none"/>
      <w:suff w:val="space"/>
      <w:lvlText w:val="(i)"/>
      <w:lvlJc w:val="left"/>
      <w:pPr>
        <w:ind w:left="1440" w:hanging="360"/>
      </w:pPr>
      <w:rPr>
        <w:rFonts w:hint="default"/>
      </w:rPr>
    </w:lvl>
    <w:lvl w:ilvl="2">
      <w:start w:val="1"/>
      <w:numFmt w:val="none"/>
      <w:suff w:val="space"/>
      <w:lvlText w:val="(A)"/>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7"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3F2F38FF"/>
    <w:multiLevelType w:val="hybridMultilevel"/>
    <w:tmpl w:val="D8A0EF76"/>
    <w:lvl w:ilvl="0" w:tplc="FFFFFFFF">
      <w:start w:val="1"/>
      <w:numFmt w:val="lowerLetter"/>
      <w:lvlText w:val="(%1)"/>
      <w:lvlJc w:val="left"/>
      <w:pPr>
        <w:ind w:left="720" w:hanging="360"/>
      </w:pPr>
      <w:rPr>
        <w:rFonts w:ascii="Times New Roman" w:eastAsia="Times New Roman" w:hAnsi="Times New Roman" w:cs="Times New Roman"/>
      </w:rPr>
    </w:lvl>
    <w:lvl w:ilvl="1" w:tplc="FFFFFFFF">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0" w15:restartNumberingAfterBreak="0">
    <w:nsid w:val="4D4B7935"/>
    <w:multiLevelType w:val="hybridMultilevel"/>
    <w:tmpl w:val="C5A83EF8"/>
    <w:lvl w:ilvl="0" w:tplc="97BC98E2">
      <w:start w:val="1"/>
      <w:numFmt w:val="upp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1" w15:restartNumberingAfterBreak="0">
    <w:nsid w:val="563567B9"/>
    <w:multiLevelType w:val="hybridMultilevel"/>
    <w:tmpl w:val="93A2327A"/>
    <w:lvl w:ilvl="0" w:tplc="FE4C6248">
      <w:start w:val="1"/>
      <w:numFmt w:val="lowerLetter"/>
      <w:lvlText w:val="(%1)"/>
      <w:lvlJc w:val="left"/>
      <w:pPr>
        <w:ind w:left="720" w:hanging="360"/>
      </w:pPr>
      <w:rPr>
        <w:rFonts w:ascii="Times New Roman" w:eastAsia="Times New Roman" w:hAnsi="Times New Roman" w:cs="Times New Roman"/>
      </w:rPr>
    </w:lvl>
    <w:lvl w:ilvl="1" w:tplc="EC169AD6">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CB01FC5"/>
    <w:multiLevelType w:val="hybridMultilevel"/>
    <w:tmpl w:val="D786E7EE"/>
    <w:lvl w:ilvl="0" w:tplc="3FD43C4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6BF6F6C"/>
    <w:multiLevelType w:val="hybridMultilevel"/>
    <w:tmpl w:val="7C08AAE4"/>
    <w:lvl w:ilvl="0" w:tplc="C57A5D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7641BAB"/>
    <w:multiLevelType w:val="hybridMultilevel"/>
    <w:tmpl w:val="CC2677FC"/>
    <w:lvl w:ilvl="0" w:tplc="D32A7E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CEB0D9D"/>
    <w:multiLevelType w:val="hybridMultilevel"/>
    <w:tmpl w:val="0F06A308"/>
    <w:lvl w:ilvl="0" w:tplc="1E0C0730">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63140997">
    <w:abstractNumId w:val="9"/>
  </w:num>
  <w:num w:numId="2" w16cid:durableId="111755803">
    <w:abstractNumId w:val="7"/>
  </w:num>
  <w:num w:numId="3" w16cid:durableId="640765660">
    <w:abstractNumId w:val="6"/>
  </w:num>
  <w:num w:numId="4" w16cid:durableId="566963720">
    <w:abstractNumId w:val="5"/>
  </w:num>
  <w:num w:numId="5" w16cid:durableId="679545014">
    <w:abstractNumId w:val="4"/>
  </w:num>
  <w:num w:numId="6" w16cid:durableId="152844381">
    <w:abstractNumId w:val="8"/>
  </w:num>
  <w:num w:numId="7" w16cid:durableId="667755906">
    <w:abstractNumId w:val="3"/>
  </w:num>
  <w:num w:numId="8" w16cid:durableId="1488551060">
    <w:abstractNumId w:val="2"/>
  </w:num>
  <w:num w:numId="9" w16cid:durableId="317614288">
    <w:abstractNumId w:val="1"/>
  </w:num>
  <w:num w:numId="10" w16cid:durableId="1029381224">
    <w:abstractNumId w:val="0"/>
  </w:num>
  <w:num w:numId="11" w16cid:durableId="22177046">
    <w:abstractNumId w:val="26"/>
  </w:num>
  <w:num w:numId="12" w16cid:durableId="133256683">
    <w:abstractNumId w:val="13"/>
  </w:num>
  <w:num w:numId="13" w16cid:durableId="32271224">
    <w:abstractNumId w:val="16"/>
  </w:num>
  <w:num w:numId="14" w16cid:durableId="1103114645">
    <w:abstractNumId w:val="19"/>
  </w:num>
  <w:num w:numId="15" w16cid:durableId="275330569">
    <w:abstractNumId w:val="17"/>
  </w:num>
  <w:num w:numId="16" w16cid:durableId="1507358393">
    <w:abstractNumId w:val="11"/>
  </w:num>
  <w:num w:numId="17" w16cid:durableId="1594896535">
    <w:abstractNumId w:val="29"/>
  </w:num>
  <w:num w:numId="18" w16cid:durableId="1521046995">
    <w:abstractNumId w:val="27"/>
  </w:num>
  <w:num w:numId="19" w16cid:durableId="1788624017">
    <w:abstractNumId w:val="31"/>
  </w:num>
  <w:num w:numId="20" w16cid:durableId="1453131564">
    <w:abstractNumId w:val="28"/>
  </w:num>
  <w:num w:numId="21" w16cid:durableId="268320366">
    <w:abstractNumId w:val="22"/>
  </w:num>
  <w:num w:numId="22" w16cid:durableId="356393659">
    <w:abstractNumId w:val="32"/>
  </w:num>
  <w:num w:numId="23" w16cid:durableId="1144007332">
    <w:abstractNumId w:val="15"/>
  </w:num>
  <w:num w:numId="24" w16cid:durableId="2025552212">
    <w:abstractNumId w:val="34"/>
  </w:num>
  <w:num w:numId="25" w16cid:durableId="997660402">
    <w:abstractNumId w:val="10"/>
  </w:num>
  <w:num w:numId="26" w16cid:durableId="725450634">
    <w:abstractNumId w:val="12"/>
  </w:num>
  <w:num w:numId="27" w16cid:durableId="561912638">
    <w:abstractNumId w:val="23"/>
  </w:num>
  <w:num w:numId="28" w16cid:durableId="1794711017">
    <w:abstractNumId w:val="20"/>
  </w:num>
  <w:num w:numId="29" w16cid:durableId="1656491739">
    <w:abstractNumId w:val="14"/>
  </w:num>
  <w:num w:numId="30" w16cid:durableId="520707672">
    <w:abstractNumId w:val="25"/>
  </w:num>
  <w:num w:numId="31" w16cid:durableId="1460875244">
    <w:abstractNumId w:val="33"/>
  </w:num>
  <w:num w:numId="32" w16cid:durableId="668366547">
    <w:abstractNumId w:val="18"/>
  </w:num>
  <w:num w:numId="33" w16cid:durableId="662582675">
    <w:abstractNumId w:val="24"/>
  </w:num>
  <w:num w:numId="34" w16cid:durableId="704910654">
    <w:abstractNumId w:val="21"/>
  </w:num>
  <w:num w:numId="35" w16cid:durableId="766928993">
    <w:abstractNumId w:val="35"/>
  </w:num>
  <w:num w:numId="36" w16cid:durableId="142380081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969"/>
    <w:rsid w:val="00000263"/>
    <w:rsid w:val="00005BCC"/>
    <w:rsid w:val="000111CE"/>
    <w:rsid w:val="000113BC"/>
    <w:rsid w:val="000132B5"/>
    <w:rsid w:val="000136AF"/>
    <w:rsid w:val="00017E11"/>
    <w:rsid w:val="00023D99"/>
    <w:rsid w:val="00026AC2"/>
    <w:rsid w:val="00036E24"/>
    <w:rsid w:val="0004044E"/>
    <w:rsid w:val="00046408"/>
    <w:rsid w:val="00046F47"/>
    <w:rsid w:val="0005120E"/>
    <w:rsid w:val="00053654"/>
    <w:rsid w:val="00054577"/>
    <w:rsid w:val="000549B0"/>
    <w:rsid w:val="000614BF"/>
    <w:rsid w:val="0006458B"/>
    <w:rsid w:val="00067DFF"/>
    <w:rsid w:val="00070874"/>
    <w:rsid w:val="0007169C"/>
    <w:rsid w:val="00077593"/>
    <w:rsid w:val="00083F48"/>
    <w:rsid w:val="00087A9A"/>
    <w:rsid w:val="000A41C3"/>
    <w:rsid w:val="000A4688"/>
    <w:rsid w:val="000A7DF9"/>
    <w:rsid w:val="000B1CD6"/>
    <w:rsid w:val="000C6B70"/>
    <w:rsid w:val="000C6F96"/>
    <w:rsid w:val="000D05EF"/>
    <w:rsid w:val="000D5485"/>
    <w:rsid w:val="000E020F"/>
    <w:rsid w:val="000E12D7"/>
    <w:rsid w:val="000E74E4"/>
    <w:rsid w:val="000F21C1"/>
    <w:rsid w:val="000F2ED6"/>
    <w:rsid w:val="001012E5"/>
    <w:rsid w:val="00105D72"/>
    <w:rsid w:val="001060A5"/>
    <w:rsid w:val="001064F2"/>
    <w:rsid w:val="0010664B"/>
    <w:rsid w:val="0010745C"/>
    <w:rsid w:val="001139F8"/>
    <w:rsid w:val="001153D9"/>
    <w:rsid w:val="00117277"/>
    <w:rsid w:val="0012235E"/>
    <w:rsid w:val="00122D41"/>
    <w:rsid w:val="001406B1"/>
    <w:rsid w:val="00140BAD"/>
    <w:rsid w:val="0014373F"/>
    <w:rsid w:val="00152159"/>
    <w:rsid w:val="00155873"/>
    <w:rsid w:val="00160BD7"/>
    <w:rsid w:val="00161F2A"/>
    <w:rsid w:val="00163C09"/>
    <w:rsid w:val="001643C9"/>
    <w:rsid w:val="00165568"/>
    <w:rsid w:val="00166082"/>
    <w:rsid w:val="00166C2F"/>
    <w:rsid w:val="001716C9"/>
    <w:rsid w:val="0017359F"/>
    <w:rsid w:val="00176DBB"/>
    <w:rsid w:val="00180477"/>
    <w:rsid w:val="001829E8"/>
    <w:rsid w:val="0018391F"/>
    <w:rsid w:val="00184261"/>
    <w:rsid w:val="00187760"/>
    <w:rsid w:val="00190BA1"/>
    <w:rsid w:val="00190DF5"/>
    <w:rsid w:val="00191815"/>
    <w:rsid w:val="00193461"/>
    <w:rsid w:val="001939E1"/>
    <w:rsid w:val="00193D37"/>
    <w:rsid w:val="00195342"/>
    <w:rsid w:val="00195382"/>
    <w:rsid w:val="0019639C"/>
    <w:rsid w:val="00196E95"/>
    <w:rsid w:val="001A21C5"/>
    <w:rsid w:val="001A3B9F"/>
    <w:rsid w:val="001A4302"/>
    <w:rsid w:val="001A65C0"/>
    <w:rsid w:val="001B1C36"/>
    <w:rsid w:val="001B1EAC"/>
    <w:rsid w:val="001B6456"/>
    <w:rsid w:val="001B7A5D"/>
    <w:rsid w:val="001C69C4"/>
    <w:rsid w:val="001D615F"/>
    <w:rsid w:val="001D687A"/>
    <w:rsid w:val="001D79EB"/>
    <w:rsid w:val="001E0A8D"/>
    <w:rsid w:val="001E3590"/>
    <w:rsid w:val="001E7407"/>
    <w:rsid w:val="001F304D"/>
    <w:rsid w:val="00201D27"/>
    <w:rsid w:val="002025B5"/>
    <w:rsid w:val="0020300C"/>
    <w:rsid w:val="00211067"/>
    <w:rsid w:val="00212BE7"/>
    <w:rsid w:val="00220A0C"/>
    <w:rsid w:val="002233DF"/>
    <w:rsid w:val="00223E4A"/>
    <w:rsid w:val="00230144"/>
    <w:rsid w:val="002302EA"/>
    <w:rsid w:val="00240749"/>
    <w:rsid w:val="002468D7"/>
    <w:rsid w:val="00252C61"/>
    <w:rsid w:val="00263886"/>
    <w:rsid w:val="00272047"/>
    <w:rsid w:val="00274F15"/>
    <w:rsid w:val="00281531"/>
    <w:rsid w:val="00285CDD"/>
    <w:rsid w:val="00291167"/>
    <w:rsid w:val="00292070"/>
    <w:rsid w:val="002945FC"/>
    <w:rsid w:val="00297ECB"/>
    <w:rsid w:val="002A1C27"/>
    <w:rsid w:val="002A3604"/>
    <w:rsid w:val="002C152A"/>
    <w:rsid w:val="002C3840"/>
    <w:rsid w:val="002C7F05"/>
    <w:rsid w:val="002D043A"/>
    <w:rsid w:val="002D5510"/>
    <w:rsid w:val="002E07A1"/>
    <w:rsid w:val="002E17C0"/>
    <w:rsid w:val="00303181"/>
    <w:rsid w:val="00303184"/>
    <w:rsid w:val="003102B6"/>
    <w:rsid w:val="003139B3"/>
    <w:rsid w:val="00315AAA"/>
    <w:rsid w:val="0031713F"/>
    <w:rsid w:val="00321913"/>
    <w:rsid w:val="00324EE6"/>
    <w:rsid w:val="00325272"/>
    <w:rsid w:val="003272E1"/>
    <w:rsid w:val="003316DC"/>
    <w:rsid w:val="00332E0D"/>
    <w:rsid w:val="00337455"/>
    <w:rsid w:val="003415D3"/>
    <w:rsid w:val="00346335"/>
    <w:rsid w:val="0035184F"/>
    <w:rsid w:val="00352A4C"/>
    <w:rsid w:val="00352B0F"/>
    <w:rsid w:val="003561B0"/>
    <w:rsid w:val="00367959"/>
    <w:rsid w:val="00367960"/>
    <w:rsid w:val="003801CD"/>
    <w:rsid w:val="0038141C"/>
    <w:rsid w:val="003849BD"/>
    <w:rsid w:val="003A15AC"/>
    <w:rsid w:val="003A56EB"/>
    <w:rsid w:val="003A7358"/>
    <w:rsid w:val="003B0627"/>
    <w:rsid w:val="003B72D2"/>
    <w:rsid w:val="003C208C"/>
    <w:rsid w:val="003C3CB8"/>
    <w:rsid w:val="003C58EE"/>
    <w:rsid w:val="003C5F2B"/>
    <w:rsid w:val="003D0BFE"/>
    <w:rsid w:val="003D5700"/>
    <w:rsid w:val="003D7A63"/>
    <w:rsid w:val="003E7F21"/>
    <w:rsid w:val="003F0F5A"/>
    <w:rsid w:val="003F65EA"/>
    <w:rsid w:val="003F6C64"/>
    <w:rsid w:val="00400A30"/>
    <w:rsid w:val="004022CA"/>
    <w:rsid w:val="00410050"/>
    <w:rsid w:val="00410E0B"/>
    <w:rsid w:val="004116CD"/>
    <w:rsid w:val="00414043"/>
    <w:rsid w:val="00414676"/>
    <w:rsid w:val="00414ADE"/>
    <w:rsid w:val="004213EA"/>
    <w:rsid w:val="00421B0D"/>
    <w:rsid w:val="00424CA9"/>
    <w:rsid w:val="004257BB"/>
    <w:rsid w:val="004261D9"/>
    <w:rsid w:val="00432CE1"/>
    <w:rsid w:val="004371C8"/>
    <w:rsid w:val="0044291A"/>
    <w:rsid w:val="00450519"/>
    <w:rsid w:val="004526B1"/>
    <w:rsid w:val="00460499"/>
    <w:rsid w:val="0046241F"/>
    <w:rsid w:val="004655A1"/>
    <w:rsid w:val="0047259E"/>
    <w:rsid w:val="00473BFD"/>
    <w:rsid w:val="00474835"/>
    <w:rsid w:val="004819C7"/>
    <w:rsid w:val="0048364F"/>
    <w:rsid w:val="00490F2E"/>
    <w:rsid w:val="00496DB3"/>
    <w:rsid w:val="00496F97"/>
    <w:rsid w:val="00497FEF"/>
    <w:rsid w:val="004A53EA"/>
    <w:rsid w:val="004B5521"/>
    <w:rsid w:val="004B7499"/>
    <w:rsid w:val="004C6460"/>
    <w:rsid w:val="004C77E9"/>
    <w:rsid w:val="004E3964"/>
    <w:rsid w:val="004F1FAC"/>
    <w:rsid w:val="004F2D9C"/>
    <w:rsid w:val="004F3ADE"/>
    <w:rsid w:val="004F6543"/>
    <w:rsid w:val="004F676E"/>
    <w:rsid w:val="004F6B29"/>
    <w:rsid w:val="00505ABF"/>
    <w:rsid w:val="00506B82"/>
    <w:rsid w:val="00511CFD"/>
    <w:rsid w:val="00516B8D"/>
    <w:rsid w:val="00516CFF"/>
    <w:rsid w:val="00524C7E"/>
    <w:rsid w:val="00524E30"/>
    <w:rsid w:val="0052686F"/>
    <w:rsid w:val="0052756C"/>
    <w:rsid w:val="00530230"/>
    <w:rsid w:val="00530CC9"/>
    <w:rsid w:val="0053233A"/>
    <w:rsid w:val="00535894"/>
    <w:rsid w:val="00536C73"/>
    <w:rsid w:val="00537FBC"/>
    <w:rsid w:val="00541D73"/>
    <w:rsid w:val="00543469"/>
    <w:rsid w:val="00543E1E"/>
    <w:rsid w:val="005452CC"/>
    <w:rsid w:val="00546FA3"/>
    <w:rsid w:val="005473B9"/>
    <w:rsid w:val="00554243"/>
    <w:rsid w:val="00557C7A"/>
    <w:rsid w:val="005611C3"/>
    <w:rsid w:val="005625A7"/>
    <w:rsid w:val="00562A58"/>
    <w:rsid w:val="005706AB"/>
    <w:rsid w:val="00581211"/>
    <w:rsid w:val="0058161B"/>
    <w:rsid w:val="00581BA3"/>
    <w:rsid w:val="00584811"/>
    <w:rsid w:val="0059107A"/>
    <w:rsid w:val="00593AA6"/>
    <w:rsid w:val="00594161"/>
    <w:rsid w:val="00594512"/>
    <w:rsid w:val="00594749"/>
    <w:rsid w:val="00594BD1"/>
    <w:rsid w:val="005A46F6"/>
    <w:rsid w:val="005A482B"/>
    <w:rsid w:val="005A5AF5"/>
    <w:rsid w:val="005B3272"/>
    <w:rsid w:val="005B37FA"/>
    <w:rsid w:val="005B4067"/>
    <w:rsid w:val="005C36E0"/>
    <w:rsid w:val="005C3F41"/>
    <w:rsid w:val="005C487A"/>
    <w:rsid w:val="005C524C"/>
    <w:rsid w:val="005D15F1"/>
    <w:rsid w:val="005D168D"/>
    <w:rsid w:val="005D421E"/>
    <w:rsid w:val="005D5EA1"/>
    <w:rsid w:val="005E0E5F"/>
    <w:rsid w:val="005E133E"/>
    <w:rsid w:val="005E41A6"/>
    <w:rsid w:val="005E61D3"/>
    <w:rsid w:val="005F20E9"/>
    <w:rsid w:val="005F2502"/>
    <w:rsid w:val="005F4840"/>
    <w:rsid w:val="005F52D8"/>
    <w:rsid w:val="005F7738"/>
    <w:rsid w:val="00600219"/>
    <w:rsid w:val="006031CA"/>
    <w:rsid w:val="00613EAD"/>
    <w:rsid w:val="006158AC"/>
    <w:rsid w:val="0062027A"/>
    <w:rsid w:val="00623BE8"/>
    <w:rsid w:val="00633503"/>
    <w:rsid w:val="0063370A"/>
    <w:rsid w:val="00640402"/>
    <w:rsid w:val="00640BB3"/>
    <w:rsid w:val="00640F78"/>
    <w:rsid w:val="00646E7B"/>
    <w:rsid w:val="00652122"/>
    <w:rsid w:val="006529F0"/>
    <w:rsid w:val="00655D6A"/>
    <w:rsid w:val="00655DA4"/>
    <w:rsid w:val="00656DE9"/>
    <w:rsid w:val="00656F9C"/>
    <w:rsid w:val="0066108D"/>
    <w:rsid w:val="00663B8C"/>
    <w:rsid w:val="006654FD"/>
    <w:rsid w:val="00677CC2"/>
    <w:rsid w:val="006817C6"/>
    <w:rsid w:val="00685E1B"/>
    <w:rsid w:val="00685F42"/>
    <w:rsid w:val="006866A1"/>
    <w:rsid w:val="0069207B"/>
    <w:rsid w:val="006944BC"/>
    <w:rsid w:val="00697CB7"/>
    <w:rsid w:val="006A4309"/>
    <w:rsid w:val="006A4A1C"/>
    <w:rsid w:val="006B0E55"/>
    <w:rsid w:val="006B57C8"/>
    <w:rsid w:val="006B7006"/>
    <w:rsid w:val="006C297E"/>
    <w:rsid w:val="006C7C02"/>
    <w:rsid w:val="006C7F8C"/>
    <w:rsid w:val="006D5D16"/>
    <w:rsid w:val="006D63D5"/>
    <w:rsid w:val="006D7AB9"/>
    <w:rsid w:val="006D7C86"/>
    <w:rsid w:val="00700B2C"/>
    <w:rsid w:val="00700E0D"/>
    <w:rsid w:val="00706513"/>
    <w:rsid w:val="007070B6"/>
    <w:rsid w:val="00713084"/>
    <w:rsid w:val="00720FC2"/>
    <w:rsid w:val="00725E58"/>
    <w:rsid w:val="00731E00"/>
    <w:rsid w:val="00732B5D"/>
    <w:rsid w:val="00732E9D"/>
    <w:rsid w:val="0073491A"/>
    <w:rsid w:val="007440B7"/>
    <w:rsid w:val="00747993"/>
    <w:rsid w:val="00762BA4"/>
    <w:rsid w:val="007634AD"/>
    <w:rsid w:val="007715C9"/>
    <w:rsid w:val="00772939"/>
    <w:rsid w:val="0077439F"/>
    <w:rsid w:val="00774EDD"/>
    <w:rsid w:val="007757EC"/>
    <w:rsid w:val="00776D0C"/>
    <w:rsid w:val="00790426"/>
    <w:rsid w:val="007A115D"/>
    <w:rsid w:val="007A35E6"/>
    <w:rsid w:val="007A392F"/>
    <w:rsid w:val="007A6863"/>
    <w:rsid w:val="007B4494"/>
    <w:rsid w:val="007C2966"/>
    <w:rsid w:val="007C5292"/>
    <w:rsid w:val="007D26CF"/>
    <w:rsid w:val="007D45C1"/>
    <w:rsid w:val="007E12F6"/>
    <w:rsid w:val="007E18D8"/>
    <w:rsid w:val="007E78F4"/>
    <w:rsid w:val="007E7D4A"/>
    <w:rsid w:val="007F231C"/>
    <w:rsid w:val="007F31F9"/>
    <w:rsid w:val="007F48ED"/>
    <w:rsid w:val="007F7947"/>
    <w:rsid w:val="008073F6"/>
    <w:rsid w:val="00812F45"/>
    <w:rsid w:val="00823B55"/>
    <w:rsid w:val="008371E6"/>
    <w:rsid w:val="0084172C"/>
    <w:rsid w:val="00846F31"/>
    <w:rsid w:val="00856A31"/>
    <w:rsid w:val="00857F59"/>
    <w:rsid w:val="00870849"/>
    <w:rsid w:val="0087198F"/>
    <w:rsid w:val="00874A25"/>
    <w:rsid w:val="00875254"/>
    <w:rsid w:val="008754D0"/>
    <w:rsid w:val="00877D48"/>
    <w:rsid w:val="008816F0"/>
    <w:rsid w:val="0088345B"/>
    <w:rsid w:val="0089146E"/>
    <w:rsid w:val="008A16A5"/>
    <w:rsid w:val="008B2BDB"/>
    <w:rsid w:val="008B5D42"/>
    <w:rsid w:val="008B6B04"/>
    <w:rsid w:val="008C2B5D"/>
    <w:rsid w:val="008D0EE0"/>
    <w:rsid w:val="008D59FB"/>
    <w:rsid w:val="008D5B99"/>
    <w:rsid w:val="008D7667"/>
    <w:rsid w:val="008D7A27"/>
    <w:rsid w:val="008E0388"/>
    <w:rsid w:val="008E17DC"/>
    <w:rsid w:val="008E44A4"/>
    <w:rsid w:val="008E4702"/>
    <w:rsid w:val="008E69AA"/>
    <w:rsid w:val="008F4F1C"/>
    <w:rsid w:val="008F788A"/>
    <w:rsid w:val="009070CC"/>
    <w:rsid w:val="00917BA1"/>
    <w:rsid w:val="00920E07"/>
    <w:rsid w:val="00922764"/>
    <w:rsid w:val="00924BBF"/>
    <w:rsid w:val="00925C1D"/>
    <w:rsid w:val="009267E6"/>
    <w:rsid w:val="00930B3F"/>
    <w:rsid w:val="00932377"/>
    <w:rsid w:val="009332A6"/>
    <w:rsid w:val="00937E7C"/>
    <w:rsid w:val="009408EA"/>
    <w:rsid w:val="00943102"/>
    <w:rsid w:val="00943E9E"/>
    <w:rsid w:val="0094523D"/>
    <w:rsid w:val="00946696"/>
    <w:rsid w:val="009559E6"/>
    <w:rsid w:val="00957BDE"/>
    <w:rsid w:val="00976A63"/>
    <w:rsid w:val="00983419"/>
    <w:rsid w:val="009836D1"/>
    <w:rsid w:val="00985A2C"/>
    <w:rsid w:val="00994821"/>
    <w:rsid w:val="00994F23"/>
    <w:rsid w:val="009B6B5A"/>
    <w:rsid w:val="009B7720"/>
    <w:rsid w:val="009C3431"/>
    <w:rsid w:val="009C4C35"/>
    <w:rsid w:val="009C5989"/>
    <w:rsid w:val="009C63B8"/>
    <w:rsid w:val="009D08DA"/>
    <w:rsid w:val="009D6DE1"/>
    <w:rsid w:val="009E01C8"/>
    <w:rsid w:val="009E37A2"/>
    <w:rsid w:val="009F548F"/>
    <w:rsid w:val="009F5B01"/>
    <w:rsid w:val="009F5C76"/>
    <w:rsid w:val="00A062CC"/>
    <w:rsid w:val="00A06860"/>
    <w:rsid w:val="00A136F5"/>
    <w:rsid w:val="00A231E2"/>
    <w:rsid w:val="00A2550D"/>
    <w:rsid w:val="00A25FC6"/>
    <w:rsid w:val="00A2753D"/>
    <w:rsid w:val="00A27623"/>
    <w:rsid w:val="00A27CB3"/>
    <w:rsid w:val="00A312CD"/>
    <w:rsid w:val="00A31B9E"/>
    <w:rsid w:val="00A350DA"/>
    <w:rsid w:val="00A4169B"/>
    <w:rsid w:val="00A445F2"/>
    <w:rsid w:val="00A47A19"/>
    <w:rsid w:val="00A50D55"/>
    <w:rsid w:val="00A5165B"/>
    <w:rsid w:val="00A52FDA"/>
    <w:rsid w:val="00A54A0A"/>
    <w:rsid w:val="00A5501A"/>
    <w:rsid w:val="00A64912"/>
    <w:rsid w:val="00A70A74"/>
    <w:rsid w:val="00A7111B"/>
    <w:rsid w:val="00A90EA8"/>
    <w:rsid w:val="00AA0343"/>
    <w:rsid w:val="00AA2A5C"/>
    <w:rsid w:val="00AA7C2A"/>
    <w:rsid w:val="00AB0F94"/>
    <w:rsid w:val="00AB4C25"/>
    <w:rsid w:val="00AB78E9"/>
    <w:rsid w:val="00AC34A3"/>
    <w:rsid w:val="00AC6EEB"/>
    <w:rsid w:val="00AD3467"/>
    <w:rsid w:val="00AD3ABF"/>
    <w:rsid w:val="00AD5641"/>
    <w:rsid w:val="00AD7252"/>
    <w:rsid w:val="00AE0F9B"/>
    <w:rsid w:val="00AE7CF4"/>
    <w:rsid w:val="00AF0969"/>
    <w:rsid w:val="00AF0FBE"/>
    <w:rsid w:val="00AF55FF"/>
    <w:rsid w:val="00AF7F58"/>
    <w:rsid w:val="00B009CD"/>
    <w:rsid w:val="00B032D8"/>
    <w:rsid w:val="00B10BB7"/>
    <w:rsid w:val="00B2155A"/>
    <w:rsid w:val="00B33B3C"/>
    <w:rsid w:val="00B40D74"/>
    <w:rsid w:val="00B50DB9"/>
    <w:rsid w:val="00B52663"/>
    <w:rsid w:val="00B56DCB"/>
    <w:rsid w:val="00B60F9B"/>
    <w:rsid w:val="00B62913"/>
    <w:rsid w:val="00B6433F"/>
    <w:rsid w:val="00B669D3"/>
    <w:rsid w:val="00B770D2"/>
    <w:rsid w:val="00B8006D"/>
    <w:rsid w:val="00B84C19"/>
    <w:rsid w:val="00B93D2C"/>
    <w:rsid w:val="00B94F68"/>
    <w:rsid w:val="00BA47A3"/>
    <w:rsid w:val="00BA5026"/>
    <w:rsid w:val="00BB0107"/>
    <w:rsid w:val="00BB58EC"/>
    <w:rsid w:val="00BB6E79"/>
    <w:rsid w:val="00BC62B2"/>
    <w:rsid w:val="00BD4E2D"/>
    <w:rsid w:val="00BD747F"/>
    <w:rsid w:val="00BE3B31"/>
    <w:rsid w:val="00BE719A"/>
    <w:rsid w:val="00BE720A"/>
    <w:rsid w:val="00BF074E"/>
    <w:rsid w:val="00BF6650"/>
    <w:rsid w:val="00BF719F"/>
    <w:rsid w:val="00BF74B3"/>
    <w:rsid w:val="00C059D4"/>
    <w:rsid w:val="00C067E5"/>
    <w:rsid w:val="00C14E10"/>
    <w:rsid w:val="00C164CA"/>
    <w:rsid w:val="00C22373"/>
    <w:rsid w:val="00C3352D"/>
    <w:rsid w:val="00C42BF8"/>
    <w:rsid w:val="00C44E07"/>
    <w:rsid w:val="00C460AE"/>
    <w:rsid w:val="00C47003"/>
    <w:rsid w:val="00C50043"/>
    <w:rsid w:val="00C50A0F"/>
    <w:rsid w:val="00C600EA"/>
    <w:rsid w:val="00C674EB"/>
    <w:rsid w:val="00C7573B"/>
    <w:rsid w:val="00C76CF3"/>
    <w:rsid w:val="00C807DD"/>
    <w:rsid w:val="00C857E3"/>
    <w:rsid w:val="00C93A17"/>
    <w:rsid w:val="00C953BD"/>
    <w:rsid w:val="00C955C7"/>
    <w:rsid w:val="00CA2651"/>
    <w:rsid w:val="00CA4E97"/>
    <w:rsid w:val="00CA7844"/>
    <w:rsid w:val="00CB2E53"/>
    <w:rsid w:val="00CB58EF"/>
    <w:rsid w:val="00CB6416"/>
    <w:rsid w:val="00CE022C"/>
    <w:rsid w:val="00CE1809"/>
    <w:rsid w:val="00CE2F6B"/>
    <w:rsid w:val="00CE6AF2"/>
    <w:rsid w:val="00CE7D64"/>
    <w:rsid w:val="00CF02F4"/>
    <w:rsid w:val="00CF0BB2"/>
    <w:rsid w:val="00CF4CBE"/>
    <w:rsid w:val="00D11D49"/>
    <w:rsid w:val="00D13441"/>
    <w:rsid w:val="00D20665"/>
    <w:rsid w:val="00D243A3"/>
    <w:rsid w:val="00D3200B"/>
    <w:rsid w:val="00D33440"/>
    <w:rsid w:val="00D41633"/>
    <w:rsid w:val="00D43444"/>
    <w:rsid w:val="00D52EFE"/>
    <w:rsid w:val="00D56A0D"/>
    <w:rsid w:val="00D5767F"/>
    <w:rsid w:val="00D63EF6"/>
    <w:rsid w:val="00D66518"/>
    <w:rsid w:val="00D70DFB"/>
    <w:rsid w:val="00D711F8"/>
    <w:rsid w:val="00D71EEA"/>
    <w:rsid w:val="00D735CD"/>
    <w:rsid w:val="00D766DF"/>
    <w:rsid w:val="00D77D60"/>
    <w:rsid w:val="00D825C9"/>
    <w:rsid w:val="00D86E33"/>
    <w:rsid w:val="00D92E99"/>
    <w:rsid w:val="00D95891"/>
    <w:rsid w:val="00D96DFC"/>
    <w:rsid w:val="00DB1398"/>
    <w:rsid w:val="00DB5CB4"/>
    <w:rsid w:val="00DB750F"/>
    <w:rsid w:val="00DD4879"/>
    <w:rsid w:val="00DE149E"/>
    <w:rsid w:val="00DE7A0B"/>
    <w:rsid w:val="00DF13B8"/>
    <w:rsid w:val="00DF15D0"/>
    <w:rsid w:val="00E01181"/>
    <w:rsid w:val="00E043DA"/>
    <w:rsid w:val="00E04CFF"/>
    <w:rsid w:val="00E05704"/>
    <w:rsid w:val="00E12F1A"/>
    <w:rsid w:val="00E15561"/>
    <w:rsid w:val="00E21CFB"/>
    <w:rsid w:val="00E22935"/>
    <w:rsid w:val="00E263F0"/>
    <w:rsid w:val="00E3348B"/>
    <w:rsid w:val="00E341CB"/>
    <w:rsid w:val="00E43366"/>
    <w:rsid w:val="00E47BFB"/>
    <w:rsid w:val="00E54292"/>
    <w:rsid w:val="00E5630B"/>
    <w:rsid w:val="00E57F64"/>
    <w:rsid w:val="00E60191"/>
    <w:rsid w:val="00E71367"/>
    <w:rsid w:val="00E74DC7"/>
    <w:rsid w:val="00E81525"/>
    <w:rsid w:val="00E82EF8"/>
    <w:rsid w:val="00E86745"/>
    <w:rsid w:val="00E87699"/>
    <w:rsid w:val="00E92E27"/>
    <w:rsid w:val="00E9586B"/>
    <w:rsid w:val="00E97066"/>
    <w:rsid w:val="00E97334"/>
    <w:rsid w:val="00EA0D36"/>
    <w:rsid w:val="00EA1359"/>
    <w:rsid w:val="00EA7072"/>
    <w:rsid w:val="00ED4928"/>
    <w:rsid w:val="00EE3749"/>
    <w:rsid w:val="00EE6190"/>
    <w:rsid w:val="00EF2E3A"/>
    <w:rsid w:val="00EF6402"/>
    <w:rsid w:val="00EF7666"/>
    <w:rsid w:val="00EF7ADD"/>
    <w:rsid w:val="00F0098B"/>
    <w:rsid w:val="00F025DF"/>
    <w:rsid w:val="00F047E2"/>
    <w:rsid w:val="00F04D57"/>
    <w:rsid w:val="00F078DC"/>
    <w:rsid w:val="00F13E86"/>
    <w:rsid w:val="00F26D0A"/>
    <w:rsid w:val="00F276E9"/>
    <w:rsid w:val="00F32FCB"/>
    <w:rsid w:val="00F36E23"/>
    <w:rsid w:val="00F450EC"/>
    <w:rsid w:val="00F502FC"/>
    <w:rsid w:val="00F541DD"/>
    <w:rsid w:val="00F55DCB"/>
    <w:rsid w:val="00F639C6"/>
    <w:rsid w:val="00F6601C"/>
    <w:rsid w:val="00F6709F"/>
    <w:rsid w:val="00F677A9"/>
    <w:rsid w:val="00F719D8"/>
    <w:rsid w:val="00F723BD"/>
    <w:rsid w:val="00F732EA"/>
    <w:rsid w:val="00F75215"/>
    <w:rsid w:val="00F75ED5"/>
    <w:rsid w:val="00F84CF5"/>
    <w:rsid w:val="00F8612E"/>
    <w:rsid w:val="00F92EBA"/>
    <w:rsid w:val="00FA1932"/>
    <w:rsid w:val="00FA420B"/>
    <w:rsid w:val="00FA6E02"/>
    <w:rsid w:val="00FD14D0"/>
    <w:rsid w:val="00FD2168"/>
    <w:rsid w:val="00FE0781"/>
    <w:rsid w:val="00FF39DE"/>
    <w:rsid w:val="00FF7B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6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132B5"/>
    <w:pPr>
      <w:spacing w:line="260" w:lineRule="atLeast"/>
    </w:pPr>
    <w:rPr>
      <w:sz w:val="22"/>
    </w:rPr>
  </w:style>
  <w:style w:type="paragraph" w:styleId="Heading1">
    <w:name w:val="heading 1"/>
    <w:basedOn w:val="Normal"/>
    <w:next w:val="Normal"/>
    <w:link w:val="Heading1Char"/>
    <w:uiPriority w:val="9"/>
    <w:qFormat/>
    <w:rsid w:val="000132B5"/>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B5"/>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32B5"/>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132B5"/>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132B5"/>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132B5"/>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132B5"/>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132B5"/>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0132B5"/>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0132B5"/>
  </w:style>
  <w:style w:type="paragraph" w:customStyle="1" w:styleId="OPCParaBase">
    <w:name w:val="OPCParaBase"/>
    <w:qFormat/>
    <w:rsid w:val="000132B5"/>
    <w:pPr>
      <w:spacing w:line="260" w:lineRule="atLeast"/>
    </w:pPr>
    <w:rPr>
      <w:rFonts w:eastAsia="Times New Roman" w:cs="Times New Roman"/>
      <w:sz w:val="22"/>
      <w:lang w:eastAsia="en-AU"/>
    </w:rPr>
  </w:style>
  <w:style w:type="paragraph" w:customStyle="1" w:styleId="ShortT">
    <w:name w:val="ShortT"/>
    <w:basedOn w:val="OPCParaBase"/>
    <w:next w:val="Normal"/>
    <w:qFormat/>
    <w:rsid w:val="000132B5"/>
    <w:pPr>
      <w:spacing w:line="240" w:lineRule="auto"/>
    </w:pPr>
    <w:rPr>
      <w:b/>
      <w:sz w:val="40"/>
    </w:rPr>
  </w:style>
  <w:style w:type="paragraph" w:customStyle="1" w:styleId="ActHead1">
    <w:name w:val="ActHead 1"/>
    <w:aliases w:val="c"/>
    <w:basedOn w:val="OPCParaBase"/>
    <w:next w:val="Normal"/>
    <w:qFormat/>
    <w:rsid w:val="000132B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132B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132B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132B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0132B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132B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132B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132B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132B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132B5"/>
  </w:style>
  <w:style w:type="paragraph" w:customStyle="1" w:styleId="Blocks">
    <w:name w:val="Blocks"/>
    <w:aliases w:val="bb"/>
    <w:basedOn w:val="OPCParaBase"/>
    <w:qFormat/>
    <w:rsid w:val="000132B5"/>
    <w:pPr>
      <w:spacing w:line="240" w:lineRule="auto"/>
    </w:pPr>
    <w:rPr>
      <w:sz w:val="24"/>
    </w:rPr>
  </w:style>
  <w:style w:type="paragraph" w:customStyle="1" w:styleId="BoxText">
    <w:name w:val="BoxText"/>
    <w:aliases w:val="bt"/>
    <w:basedOn w:val="OPCParaBase"/>
    <w:qFormat/>
    <w:rsid w:val="000132B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132B5"/>
    <w:rPr>
      <w:b/>
    </w:rPr>
  </w:style>
  <w:style w:type="paragraph" w:customStyle="1" w:styleId="BoxHeadItalic">
    <w:name w:val="BoxHeadItalic"/>
    <w:aliases w:val="bhi"/>
    <w:basedOn w:val="BoxText"/>
    <w:next w:val="BoxStep"/>
    <w:qFormat/>
    <w:rsid w:val="000132B5"/>
    <w:rPr>
      <w:i/>
    </w:rPr>
  </w:style>
  <w:style w:type="paragraph" w:customStyle="1" w:styleId="BoxList">
    <w:name w:val="BoxList"/>
    <w:aliases w:val="bl"/>
    <w:basedOn w:val="BoxText"/>
    <w:qFormat/>
    <w:rsid w:val="000132B5"/>
    <w:pPr>
      <w:ind w:left="1559" w:hanging="425"/>
    </w:pPr>
  </w:style>
  <w:style w:type="paragraph" w:customStyle="1" w:styleId="BoxNote">
    <w:name w:val="BoxNote"/>
    <w:aliases w:val="bn"/>
    <w:basedOn w:val="BoxText"/>
    <w:qFormat/>
    <w:rsid w:val="000132B5"/>
    <w:pPr>
      <w:tabs>
        <w:tab w:val="left" w:pos="1985"/>
      </w:tabs>
      <w:spacing w:before="122" w:line="198" w:lineRule="exact"/>
      <w:ind w:left="2948" w:hanging="1814"/>
    </w:pPr>
    <w:rPr>
      <w:sz w:val="18"/>
    </w:rPr>
  </w:style>
  <w:style w:type="paragraph" w:customStyle="1" w:styleId="BoxPara">
    <w:name w:val="BoxPara"/>
    <w:aliases w:val="bp"/>
    <w:basedOn w:val="BoxText"/>
    <w:qFormat/>
    <w:rsid w:val="000132B5"/>
    <w:pPr>
      <w:tabs>
        <w:tab w:val="right" w:pos="2268"/>
      </w:tabs>
      <w:ind w:left="2552" w:hanging="1418"/>
    </w:pPr>
  </w:style>
  <w:style w:type="paragraph" w:customStyle="1" w:styleId="BoxStep">
    <w:name w:val="BoxStep"/>
    <w:aliases w:val="bs"/>
    <w:basedOn w:val="BoxText"/>
    <w:qFormat/>
    <w:rsid w:val="000132B5"/>
    <w:pPr>
      <w:ind w:left="1985" w:hanging="851"/>
    </w:pPr>
  </w:style>
  <w:style w:type="character" w:customStyle="1" w:styleId="CharAmPartNo">
    <w:name w:val="CharAmPartNo"/>
    <w:basedOn w:val="OPCCharBase"/>
    <w:qFormat/>
    <w:rsid w:val="000132B5"/>
  </w:style>
  <w:style w:type="character" w:customStyle="1" w:styleId="CharAmPartText">
    <w:name w:val="CharAmPartText"/>
    <w:basedOn w:val="OPCCharBase"/>
    <w:qFormat/>
    <w:rsid w:val="000132B5"/>
  </w:style>
  <w:style w:type="character" w:customStyle="1" w:styleId="CharAmSchNo">
    <w:name w:val="CharAmSchNo"/>
    <w:basedOn w:val="OPCCharBase"/>
    <w:qFormat/>
    <w:rsid w:val="000132B5"/>
  </w:style>
  <w:style w:type="character" w:customStyle="1" w:styleId="CharAmSchText">
    <w:name w:val="CharAmSchText"/>
    <w:basedOn w:val="OPCCharBase"/>
    <w:qFormat/>
    <w:rsid w:val="000132B5"/>
  </w:style>
  <w:style w:type="character" w:customStyle="1" w:styleId="CharBoldItalic">
    <w:name w:val="CharBoldItalic"/>
    <w:basedOn w:val="OPCCharBase"/>
    <w:uiPriority w:val="1"/>
    <w:qFormat/>
    <w:rsid w:val="000132B5"/>
    <w:rPr>
      <w:b/>
      <w:i/>
    </w:rPr>
  </w:style>
  <w:style w:type="character" w:customStyle="1" w:styleId="CharChapNo">
    <w:name w:val="CharChapNo"/>
    <w:basedOn w:val="OPCCharBase"/>
    <w:uiPriority w:val="1"/>
    <w:qFormat/>
    <w:rsid w:val="000132B5"/>
  </w:style>
  <w:style w:type="character" w:customStyle="1" w:styleId="CharChapText">
    <w:name w:val="CharChapText"/>
    <w:basedOn w:val="OPCCharBase"/>
    <w:uiPriority w:val="1"/>
    <w:qFormat/>
    <w:rsid w:val="000132B5"/>
  </w:style>
  <w:style w:type="character" w:customStyle="1" w:styleId="CharDivNo">
    <w:name w:val="CharDivNo"/>
    <w:basedOn w:val="OPCCharBase"/>
    <w:uiPriority w:val="1"/>
    <w:qFormat/>
    <w:rsid w:val="000132B5"/>
  </w:style>
  <w:style w:type="character" w:customStyle="1" w:styleId="CharDivText">
    <w:name w:val="CharDivText"/>
    <w:basedOn w:val="OPCCharBase"/>
    <w:uiPriority w:val="1"/>
    <w:qFormat/>
    <w:rsid w:val="000132B5"/>
  </w:style>
  <w:style w:type="character" w:customStyle="1" w:styleId="CharItalic">
    <w:name w:val="CharItalic"/>
    <w:basedOn w:val="OPCCharBase"/>
    <w:uiPriority w:val="1"/>
    <w:qFormat/>
    <w:rsid w:val="000132B5"/>
    <w:rPr>
      <w:i/>
    </w:rPr>
  </w:style>
  <w:style w:type="character" w:customStyle="1" w:styleId="CharPartNo">
    <w:name w:val="CharPartNo"/>
    <w:basedOn w:val="OPCCharBase"/>
    <w:uiPriority w:val="1"/>
    <w:qFormat/>
    <w:rsid w:val="000132B5"/>
  </w:style>
  <w:style w:type="character" w:customStyle="1" w:styleId="CharPartText">
    <w:name w:val="CharPartText"/>
    <w:basedOn w:val="OPCCharBase"/>
    <w:uiPriority w:val="1"/>
    <w:qFormat/>
    <w:rsid w:val="000132B5"/>
  </w:style>
  <w:style w:type="character" w:customStyle="1" w:styleId="CharSectno">
    <w:name w:val="CharSectno"/>
    <w:basedOn w:val="OPCCharBase"/>
    <w:uiPriority w:val="1"/>
    <w:qFormat/>
    <w:rsid w:val="000132B5"/>
  </w:style>
  <w:style w:type="character" w:customStyle="1" w:styleId="CharSubdNo">
    <w:name w:val="CharSubdNo"/>
    <w:basedOn w:val="OPCCharBase"/>
    <w:uiPriority w:val="1"/>
    <w:qFormat/>
    <w:rsid w:val="000132B5"/>
  </w:style>
  <w:style w:type="character" w:customStyle="1" w:styleId="CharSubdText">
    <w:name w:val="CharSubdText"/>
    <w:basedOn w:val="OPCCharBase"/>
    <w:uiPriority w:val="1"/>
    <w:qFormat/>
    <w:rsid w:val="000132B5"/>
  </w:style>
  <w:style w:type="paragraph" w:customStyle="1" w:styleId="CTA--">
    <w:name w:val="CTA --"/>
    <w:basedOn w:val="OPCParaBase"/>
    <w:next w:val="Normal"/>
    <w:rsid w:val="000132B5"/>
    <w:pPr>
      <w:spacing w:before="60" w:line="240" w:lineRule="atLeast"/>
      <w:ind w:left="142" w:hanging="142"/>
    </w:pPr>
    <w:rPr>
      <w:sz w:val="20"/>
    </w:rPr>
  </w:style>
  <w:style w:type="paragraph" w:customStyle="1" w:styleId="CTA-">
    <w:name w:val="CTA -"/>
    <w:basedOn w:val="OPCParaBase"/>
    <w:rsid w:val="000132B5"/>
    <w:pPr>
      <w:spacing w:before="60" w:line="240" w:lineRule="atLeast"/>
      <w:ind w:left="85" w:hanging="85"/>
    </w:pPr>
    <w:rPr>
      <w:sz w:val="20"/>
    </w:rPr>
  </w:style>
  <w:style w:type="paragraph" w:customStyle="1" w:styleId="CTA---">
    <w:name w:val="CTA ---"/>
    <w:basedOn w:val="OPCParaBase"/>
    <w:next w:val="Normal"/>
    <w:rsid w:val="000132B5"/>
    <w:pPr>
      <w:spacing w:before="60" w:line="240" w:lineRule="atLeast"/>
      <w:ind w:left="198" w:hanging="198"/>
    </w:pPr>
    <w:rPr>
      <w:sz w:val="20"/>
    </w:rPr>
  </w:style>
  <w:style w:type="paragraph" w:customStyle="1" w:styleId="CTA----">
    <w:name w:val="CTA ----"/>
    <w:basedOn w:val="OPCParaBase"/>
    <w:next w:val="Normal"/>
    <w:rsid w:val="000132B5"/>
    <w:pPr>
      <w:spacing w:before="60" w:line="240" w:lineRule="atLeast"/>
      <w:ind w:left="255" w:hanging="255"/>
    </w:pPr>
    <w:rPr>
      <w:sz w:val="20"/>
    </w:rPr>
  </w:style>
  <w:style w:type="paragraph" w:customStyle="1" w:styleId="CTA1a">
    <w:name w:val="CTA 1(a)"/>
    <w:basedOn w:val="OPCParaBase"/>
    <w:rsid w:val="000132B5"/>
    <w:pPr>
      <w:tabs>
        <w:tab w:val="right" w:pos="414"/>
      </w:tabs>
      <w:spacing w:before="40" w:line="240" w:lineRule="atLeast"/>
      <w:ind w:left="675" w:hanging="675"/>
    </w:pPr>
    <w:rPr>
      <w:sz w:val="20"/>
    </w:rPr>
  </w:style>
  <w:style w:type="paragraph" w:customStyle="1" w:styleId="CTA1ai">
    <w:name w:val="CTA 1(a)(i)"/>
    <w:basedOn w:val="OPCParaBase"/>
    <w:rsid w:val="000132B5"/>
    <w:pPr>
      <w:tabs>
        <w:tab w:val="right" w:pos="1004"/>
      </w:tabs>
      <w:spacing w:before="40" w:line="240" w:lineRule="atLeast"/>
      <w:ind w:left="1253" w:hanging="1253"/>
    </w:pPr>
    <w:rPr>
      <w:sz w:val="20"/>
    </w:rPr>
  </w:style>
  <w:style w:type="paragraph" w:customStyle="1" w:styleId="CTA2a">
    <w:name w:val="CTA 2(a)"/>
    <w:basedOn w:val="OPCParaBase"/>
    <w:rsid w:val="000132B5"/>
    <w:pPr>
      <w:tabs>
        <w:tab w:val="right" w:pos="482"/>
      </w:tabs>
      <w:spacing w:before="40" w:line="240" w:lineRule="atLeast"/>
      <w:ind w:left="748" w:hanging="748"/>
    </w:pPr>
    <w:rPr>
      <w:sz w:val="20"/>
    </w:rPr>
  </w:style>
  <w:style w:type="paragraph" w:customStyle="1" w:styleId="CTA2ai">
    <w:name w:val="CTA 2(a)(i)"/>
    <w:basedOn w:val="OPCParaBase"/>
    <w:rsid w:val="000132B5"/>
    <w:pPr>
      <w:tabs>
        <w:tab w:val="right" w:pos="1089"/>
      </w:tabs>
      <w:spacing w:before="40" w:line="240" w:lineRule="atLeast"/>
      <w:ind w:left="1327" w:hanging="1327"/>
    </w:pPr>
    <w:rPr>
      <w:sz w:val="20"/>
    </w:rPr>
  </w:style>
  <w:style w:type="paragraph" w:customStyle="1" w:styleId="CTA3a">
    <w:name w:val="CTA 3(a)"/>
    <w:basedOn w:val="OPCParaBase"/>
    <w:rsid w:val="000132B5"/>
    <w:pPr>
      <w:tabs>
        <w:tab w:val="right" w:pos="556"/>
      </w:tabs>
      <w:spacing w:before="40" w:line="240" w:lineRule="atLeast"/>
      <w:ind w:left="805" w:hanging="805"/>
    </w:pPr>
    <w:rPr>
      <w:sz w:val="20"/>
    </w:rPr>
  </w:style>
  <w:style w:type="paragraph" w:customStyle="1" w:styleId="CTA3ai">
    <w:name w:val="CTA 3(a)(i)"/>
    <w:basedOn w:val="OPCParaBase"/>
    <w:rsid w:val="000132B5"/>
    <w:pPr>
      <w:tabs>
        <w:tab w:val="right" w:pos="1140"/>
      </w:tabs>
      <w:spacing w:before="40" w:line="240" w:lineRule="atLeast"/>
      <w:ind w:left="1361" w:hanging="1361"/>
    </w:pPr>
    <w:rPr>
      <w:sz w:val="20"/>
    </w:rPr>
  </w:style>
  <w:style w:type="paragraph" w:customStyle="1" w:styleId="CTA4a">
    <w:name w:val="CTA 4(a)"/>
    <w:basedOn w:val="OPCParaBase"/>
    <w:rsid w:val="000132B5"/>
    <w:pPr>
      <w:tabs>
        <w:tab w:val="right" w:pos="624"/>
      </w:tabs>
      <w:spacing w:before="40" w:line="240" w:lineRule="atLeast"/>
      <w:ind w:left="873" w:hanging="873"/>
    </w:pPr>
    <w:rPr>
      <w:sz w:val="20"/>
    </w:rPr>
  </w:style>
  <w:style w:type="paragraph" w:customStyle="1" w:styleId="CTA4ai">
    <w:name w:val="CTA 4(a)(i)"/>
    <w:basedOn w:val="OPCParaBase"/>
    <w:rsid w:val="000132B5"/>
    <w:pPr>
      <w:tabs>
        <w:tab w:val="right" w:pos="1213"/>
      </w:tabs>
      <w:spacing w:before="40" w:line="240" w:lineRule="atLeast"/>
      <w:ind w:left="1452" w:hanging="1452"/>
    </w:pPr>
    <w:rPr>
      <w:sz w:val="20"/>
    </w:rPr>
  </w:style>
  <w:style w:type="paragraph" w:customStyle="1" w:styleId="CTACAPS">
    <w:name w:val="CTA CAPS"/>
    <w:basedOn w:val="OPCParaBase"/>
    <w:rsid w:val="000132B5"/>
    <w:pPr>
      <w:spacing w:before="60" w:line="240" w:lineRule="atLeast"/>
    </w:pPr>
    <w:rPr>
      <w:sz w:val="20"/>
    </w:rPr>
  </w:style>
  <w:style w:type="paragraph" w:customStyle="1" w:styleId="CTAright">
    <w:name w:val="CTA right"/>
    <w:basedOn w:val="OPCParaBase"/>
    <w:rsid w:val="000132B5"/>
    <w:pPr>
      <w:spacing w:before="60" w:line="240" w:lineRule="auto"/>
      <w:jc w:val="right"/>
    </w:pPr>
    <w:rPr>
      <w:sz w:val="20"/>
    </w:rPr>
  </w:style>
  <w:style w:type="paragraph" w:customStyle="1" w:styleId="subsection">
    <w:name w:val="subsection"/>
    <w:aliases w:val="ss"/>
    <w:basedOn w:val="OPCParaBase"/>
    <w:link w:val="subsectionChar"/>
    <w:rsid w:val="000132B5"/>
    <w:pPr>
      <w:tabs>
        <w:tab w:val="right" w:pos="1021"/>
      </w:tabs>
      <w:spacing w:before="180" w:line="240" w:lineRule="auto"/>
      <w:ind w:left="1134" w:hanging="1134"/>
    </w:pPr>
  </w:style>
  <w:style w:type="paragraph" w:customStyle="1" w:styleId="Definition">
    <w:name w:val="Definition"/>
    <w:aliases w:val="dd"/>
    <w:basedOn w:val="OPCParaBase"/>
    <w:rsid w:val="000132B5"/>
    <w:pPr>
      <w:spacing w:before="180" w:line="240" w:lineRule="auto"/>
      <w:ind w:left="1134"/>
    </w:pPr>
  </w:style>
  <w:style w:type="paragraph" w:customStyle="1" w:styleId="ETAsubitem">
    <w:name w:val="ETA(subitem)"/>
    <w:basedOn w:val="OPCParaBase"/>
    <w:rsid w:val="000132B5"/>
    <w:pPr>
      <w:tabs>
        <w:tab w:val="right" w:pos="340"/>
      </w:tabs>
      <w:spacing w:before="60" w:line="240" w:lineRule="auto"/>
      <w:ind w:left="454" w:hanging="454"/>
    </w:pPr>
    <w:rPr>
      <w:sz w:val="20"/>
    </w:rPr>
  </w:style>
  <w:style w:type="paragraph" w:customStyle="1" w:styleId="ETApara">
    <w:name w:val="ETA(para)"/>
    <w:basedOn w:val="OPCParaBase"/>
    <w:rsid w:val="000132B5"/>
    <w:pPr>
      <w:tabs>
        <w:tab w:val="right" w:pos="754"/>
      </w:tabs>
      <w:spacing w:before="60" w:line="240" w:lineRule="auto"/>
      <w:ind w:left="828" w:hanging="828"/>
    </w:pPr>
    <w:rPr>
      <w:sz w:val="20"/>
    </w:rPr>
  </w:style>
  <w:style w:type="paragraph" w:customStyle="1" w:styleId="ETAsubpara">
    <w:name w:val="ETA(subpara)"/>
    <w:basedOn w:val="OPCParaBase"/>
    <w:rsid w:val="000132B5"/>
    <w:pPr>
      <w:tabs>
        <w:tab w:val="right" w:pos="1083"/>
      </w:tabs>
      <w:spacing w:before="60" w:line="240" w:lineRule="auto"/>
      <w:ind w:left="1191" w:hanging="1191"/>
    </w:pPr>
    <w:rPr>
      <w:sz w:val="20"/>
    </w:rPr>
  </w:style>
  <w:style w:type="paragraph" w:customStyle="1" w:styleId="ETAsub-subpara">
    <w:name w:val="ETA(sub-subpara)"/>
    <w:basedOn w:val="OPCParaBase"/>
    <w:rsid w:val="000132B5"/>
    <w:pPr>
      <w:tabs>
        <w:tab w:val="right" w:pos="1412"/>
      </w:tabs>
      <w:spacing w:before="60" w:line="240" w:lineRule="auto"/>
      <w:ind w:left="1525" w:hanging="1525"/>
    </w:pPr>
    <w:rPr>
      <w:sz w:val="20"/>
    </w:rPr>
  </w:style>
  <w:style w:type="paragraph" w:customStyle="1" w:styleId="Formula">
    <w:name w:val="Formula"/>
    <w:basedOn w:val="OPCParaBase"/>
    <w:rsid w:val="000132B5"/>
    <w:pPr>
      <w:spacing w:line="240" w:lineRule="auto"/>
      <w:ind w:left="1134"/>
    </w:pPr>
    <w:rPr>
      <w:sz w:val="20"/>
    </w:rPr>
  </w:style>
  <w:style w:type="paragraph" w:styleId="Header">
    <w:name w:val="header"/>
    <w:basedOn w:val="OPCParaBase"/>
    <w:link w:val="HeaderChar"/>
    <w:unhideWhenUsed/>
    <w:rsid w:val="000132B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0132B5"/>
    <w:rPr>
      <w:rFonts w:eastAsia="Times New Roman" w:cs="Times New Roman"/>
      <w:sz w:val="16"/>
      <w:lang w:eastAsia="en-AU"/>
    </w:rPr>
  </w:style>
  <w:style w:type="paragraph" w:customStyle="1" w:styleId="House">
    <w:name w:val="House"/>
    <w:basedOn w:val="OPCParaBase"/>
    <w:rsid w:val="000132B5"/>
    <w:pPr>
      <w:spacing w:line="240" w:lineRule="auto"/>
    </w:pPr>
    <w:rPr>
      <w:sz w:val="28"/>
    </w:rPr>
  </w:style>
  <w:style w:type="paragraph" w:customStyle="1" w:styleId="Item">
    <w:name w:val="Item"/>
    <w:aliases w:val="i"/>
    <w:basedOn w:val="OPCParaBase"/>
    <w:next w:val="ItemHead"/>
    <w:rsid w:val="000132B5"/>
    <w:pPr>
      <w:keepLines/>
      <w:spacing w:before="80" w:line="240" w:lineRule="auto"/>
      <w:ind w:left="709"/>
    </w:pPr>
  </w:style>
  <w:style w:type="paragraph" w:customStyle="1" w:styleId="ItemHead">
    <w:name w:val="ItemHead"/>
    <w:aliases w:val="ih"/>
    <w:basedOn w:val="OPCParaBase"/>
    <w:next w:val="Item"/>
    <w:rsid w:val="000132B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132B5"/>
    <w:pPr>
      <w:spacing w:line="240" w:lineRule="auto"/>
    </w:pPr>
    <w:rPr>
      <w:b/>
      <w:sz w:val="32"/>
    </w:rPr>
  </w:style>
  <w:style w:type="paragraph" w:customStyle="1" w:styleId="notedraft">
    <w:name w:val="note(draft)"/>
    <w:aliases w:val="nd"/>
    <w:basedOn w:val="OPCParaBase"/>
    <w:rsid w:val="000132B5"/>
    <w:pPr>
      <w:spacing w:before="240" w:line="240" w:lineRule="auto"/>
      <w:ind w:left="284" w:hanging="284"/>
    </w:pPr>
    <w:rPr>
      <w:i/>
      <w:sz w:val="24"/>
    </w:rPr>
  </w:style>
  <w:style w:type="paragraph" w:customStyle="1" w:styleId="notemargin">
    <w:name w:val="note(margin)"/>
    <w:aliases w:val="nm"/>
    <w:basedOn w:val="OPCParaBase"/>
    <w:rsid w:val="000132B5"/>
    <w:pPr>
      <w:tabs>
        <w:tab w:val="left" w:pos="709"/>
      </w:tabs>
      <w:spacing w:before="122" w:line="198" w:lineRule="exact"/>
      <w:ind w:left="709" w:hanging="709"/>
    </w:pPr>
    <w:rPr>
      <w:sz w:val="18"/>
    </w:rPr>
  </w:style>
  <w:style w:type="paragraph" w:customStyle="1" w:styleId="noteToPara">
    <w:name w:val="noteToPara"/>
    <w:aliases w:val="ntp"/>
    <w:basedOn w:val="OPCParaBase"/>
    <w:rsid w:val="000132B5"/>
    <w:pPr>
      <w:spacing w:before="122" w:line="198" w:lineRule="exact"/>
      <w:ind w:left="2353" w:hanging="709"/>
    </w:pPr>
    <w:rPr>
      <w:sz w:val="18"/>
    </w:rPr>
  </w:style>
  <w:style w:type="paragraph" w:customStyle="1" w:styleId="noteParlAmend">
    <w:name w:val="note(ParlAmend)"/>
    <w:aliases w:val="npp"/>
    <w:basedOn w:val="OPCParaBase"/>
    <w:next w:val="ParlAmend"/>
    <w:rsid w:val="000132B5"/>
    <w:pPr>
      <w:spacing w:line="240" w:lineRule="auto"/>
      <w:jc w:val="right"/>
    </w:pPr>
    <w:rPr>
      <w:rFonts w:ascii="Arial" w:hAnsi="Arial"/>
      <w:b/>
      <w:i/>
    </w:rPr>
  </w:style>
  <w:style w:type="paragraph" w:customStyle="1" w:styleId="Page1">
    <w:name w:val="Page1"/>
    <w:basedOn w:val="OPCParaBase"/>
    <w:rsid w:val="000132B5"/>
    <w:pPr>
      <w:spacing w:before="5600" w:line="240" w:lineRule="auto"/>
    </w:pPr>
    <w:rPr>
      <w:b/>
      <w:sz w:val="32"/>
    </w:rPr>
  </w:style>
  <w:style w:type="paragraph" w:customStyle="1" w:styleId="PageBreak">
    <w:name w:val="PageBreak"/>
    <w:aliases w:val="pb"/>
    <w:basedOn w:val="OPCParaBase"/>
    <w:rsid w:val="000132B5"/>
    <w:pPr>
      <w:spacing w:line="240" w:lineRule="auto"/>
    </w:pPr>
    <w:rPr>
      <w:sz w:val="20"/>
    </w:rPr>
  </w:style>
  <w:style w:type="paragraph" w:customStyle="1" w:styleId="paragraphsub">
    <w:name w:val="paragraph(sub)"/>
    <w:aliases w:val="aa"/>
    <w:basedOn w:val="OPCParaBase"/>
    <w:rsid w:val="000132B5"/>
    <w:pPr>
      <w:tabs>
        <w:tab w:val="right" w:pos="1985"/>
      </w:tabs>
      <w:spacing w:before="40" w:line="240" w:lineRule="auto"/>
      <w:ind w:left="2098" w:hanging="2098"/>
    </w:pPr>
  </w:style>
  <w:style w:type="paragraph" w:customStyle="1" w:styleId="paragraphsub-sub">
    <w:name w:val="paragraph(sub-sub)"/>
    <w:aliases w:val="aaa"/>
    <w:basedOn w:val="OPCParaBase"/>
    <w:rsid w:val="000132B5"/>
    <w:pPr>
      <w:tabs>
        <w:tab w:val="right" w:pos="2722"/>
      </w:tabs>
      <w:spacing w:before="40" w:line="240" w:lineRule="auto"/>
      <w:ind w:left="2835" w:hanging="2835"/>
    </w:pPr>
  </w:style>
  <w:style w:type="paragraph" w:customStyle="1" w:styleId="paragraph">
    <w:name w:val="paragraph"/>
    <w:aliases w:val="a"/>
    <w:basedOn w:val="OPCParaBase"/>
    <w:rsid w:val="000132B5"/>
    <w:pPr>
      <w:tabs>
        <w:tab w:val="right" w:pos="1531"/>
      </w:tabs>
      <w:spacing w:before="40" w:line="240" w:lineRule="auto"/>
      <w:ind w:left="1644" w:hanging="1644"/>
    </w:pPr>
  </w:style>
  <w:style w:type="paragraph" w:customStyle="1" w:styleId="ParlAmend">
    <w:name w:val="ParlAmend"/>
    <w:aliases w:val="pp"/>
    <w:basedOn w:val="OPCParaBase"/>
    <w:rsid w:val="000132B5"/>
    <w:pPr>
      <w:spacing w:before="240" w:line="240" w:lineRule="atLeast"/>
      <w:ind w:hanging="567"/>
    </w:pPr>
    <w:rPr>
      <w:sz w:val="24"/>
    </w:rPr>
  </w:style>
  <w:style w:type="paragraph" w:customStyle="1" w:styleId="Penalty">
    <w:name w:val="Penalty"/>
    <w:basedOn w:val="OPCParaBase"/>
    <w:rsid w:val="000132B5"/>
    <w:pPr>
      <w:tabs>
        <w:tab w:val="left" w:pos="2977"/>
      </w:tabs>
      <w:spacing w:before="180" w:line="240" w:lineRule="auto"/>
      <w:ind w:left="1985" w:hanging="851"/>
    </w:pPr>
  </w:style>
  <w:style w:type="paragraph" w:customStyle="1" w:styleId="Portfolio">
    <w:name w:val="Portfolio"/>
    <w:basedOn w:val="OPCParaBase"/>
    <w:rsid w:val="000132B5"/>
    <w:pPr>
      <w:spacing w:line="240" w:lineRule="auto"/>
    </w:pPr>
    <w:rPr>
      <w:i/>
      <w:sz w:val="20"/>
    </w:rPr>
  </w:style>
  <w:style w:type="paragraph" w:customStyle="1" w:styleId="Preamble">
    <w:name w:val="Preamble"/>
    <w:basedOn w:val="OPCParaBase"/>
    <w:next w:val="Normal"/>
    <w:rsid w:val="000132B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132B5"/>
    <w:pPr>
      <w:spacing w:line="240" w:lineRule="auto"/>
    </w:pPr>
    <w:rPr>
      <w:i/>
      <w:sz w:val="20"/>
    </w:rPr>
  </w:style>
  <w:style w:type="paragraph" w:customStyle="1" w:styleId="Session">
    <w:name w:val="Session"/>
    <w:basedOn w:val="OPCParaBase"/>
    <w:rsid w:val="000132B5"/>
    <w:pPr>
      <w:spacing w:line="240" w:lineRule="auto"/>
    </w:pPr>
    <w:rPr>
      <w:sz w:val="28"/>
    </w:rPr>
  </w:style>
  <w:style w:type="paragraph" w:customStyle="1" w:styleId="Sponsor">
    <w:name w:val="Sponsor"/>
    <w:basedOn w:val="OPCParaBase"/>
    <w:rsid w:val="000132B5"/>
    <w:pPr>
      <w:spacing w:line="240" w:lineRule="auto"/>
    </w:pPr>
    <w:rPr>
      <w:i/>
    </w:rPr>
  </w:style>
  <w:style w:type="paragraph" w:customStyle="1" w:styleId="Subitem">
    <w:name w:val="Subitem"/>
    <w:aliases w:val="iss"/>
    <w:basedOn w:val="OPCParaBase"/>
    <w:rsid w:val="000132B5"/>
    <w:pPr>
      <w:spacing w:before="180" w:line="240" w:lineRule="auto"/>
      <w:ind w:left="709" w:hanging="709"/>
    </w:pPr>
  </w:style>
  <w:style w:type="paragraph" w:customStyle="1" w:styleId="SubitemHead">
    <w:name w:val="SubitemHead"/>
    <w:aliases w:val="issh"/>
    <w:basedOn w:val="OPCParaBase"/>
    <w:rsid w:val="000132B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132B5"/>
    <w:pPr>
      <w:spacing w:before="40" w:line="240" w:lineRule="auto"/>
      <w:ind w:left="1134"/>
    </w:pPr>
  </w:style>
  <w:style w:type="paragraph" w:customStyle="1" w:styleId="SubsectionHead">
    <w:name w:val="SubsectionHead"/>
    <w:aliases w:val="ssh"/>
    <w:basedOn w:val="OPCParaBase"/>
    <w:next w:val="subsection"/>
    <w:rsid w:val="000132B5"/>
    <w:pPr>
      <w:keepNext/>
      <w:keepLines/>
      <w:spacing w:before="240" w:line="240" w:lineRule="auto"/>
      <w:ind w:left="1134"/>
    </w:pPr>
    <w:rPr>
      <w:i/>
    </w:rPr>
  </w:style>
  <w:style w:type="paragraph" w:customStyle="1" w:styleId="Tablea">
    <w:name w:val="Table(a)"/>
    <w:aliases w:val="ta"/>
    <w:basedOn w:val="OPCParaBase"/>
    <w:rsid w:val="000132B5"/>
    <w:pPr>
      <w:spacing w:before="60" w:line="240" w:lineRule="auto"/>
      <w:ind w:left="284" w:hanging="284"/>
    </w:pPr>
    <w:rPr>
      <w:sz w:val="20"/>
    </w:rPr>
  </w:style>
  <w:style w:type="paragraph" w:customStyle="1" w:styleId="TableAA">
    <w:name w:val="Table(AA)"/>
    <w:aliases w:val="taaa"/>
    <w:basedOn w:val="OPCParaBase"/>
    <w:rsid w:val="000132B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132B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132B5"/>
    <w:pPr>
      <w:spacing w:before="60" w:line="240" w:lineRule="atLeast"/>
    </w:pPr>
    <w:rPr>
      <w:sz w:val="20"/>
    </w:rPr>
  </w:style>
  <w:style w:type="paragraph" w:customStyle="1" w:styleId="TLPBoxTextnote">
    <w:name w:val="TLPBoxText(note"/>
    <w:aliases w:val="right)"/>
    <w:basedOn w:val="OPCParaBase"/>
    <w:rsid w:val="000132B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132B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132B5"/>
    <w:pPr>
      <w:spacing w:before="122" w:line="198" w:lineRule="exact"/>
      <w:ind w:left="1985" w:hanging="851"/>
      <w:jc w:val="right"/>
    </w:pPr>
    <w:rPr>
      <w:sz w:val="18"/>
    </w:rPr>
  </w:style>
  <w:style w:type="paragraph" w:customStyle="1" w:styleId="TLPTableBullet">
    <w:name w:val="TLPTableBullet"/>
    <w:aliases w:val="ttb"/>
    <w:basedOn w:val="OPCParaBase"/>
    <w:rsid w:val="000132B5"/>
    <w:pPr>
      <w:spacing w:line="240" w:lineRule="exact"/>
      <w:ind w:left="284" w:hanging="284"/>
    </w:pPr>
    <w:rPr>
      <w:sz w:val="20"/>
    </w:rPr>
  </w:style>
  <w:style w:type="paragraph" w:styleId="TOC1">
    <w:name w:val="toc 1"/>
    <w:basedOn w:val="Normal"/>
    <w:next w:val="Normal"/>
    <w:uiPriority w:val="39"/>
    <w:unhideWhenUsed/>
    <w:rsid w:val="000132B5"/>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0132B5"/>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0132B5"/>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0132B5"/>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0132B5"/>
    <w:pPr>
      <w:keepLines/>
      <w:tabs>
        <w:tab w:val="right" w:leader="dot" w:pos="8278"/>
      </w:tabs>
      <w:spacing w:before="40" w:line="240" w:lineRule="auto"/>
      <w:ind w:left="2098" w:right="567" w:hanging="567"/>
    </w:pPr>
    <w:rPr>
      <w:rFonts w:eastAsia="Times New Roman" w:cs="Times New Roman"/>
      <w:kern w:val="28"/>
      <w:sz w:val="18"/>
      <w:lang w:eastAsia="en-AU"/>
    </w:rPr>
  </w:style>
  <w:style w:type="paragraph" w:styleId="TOC6">
    <w:name w:val="toc 6"/>
    <w:basedOn w:val="Normal"/>
    <w:next w:val="Normal"/>
    <w:uiPriority w:val="39"/>
    <w:unhideWhenUsed/>
    <w:rsid w:val="000132B5"/>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0132B5"/>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0132B5"/>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0132B5"/>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0132B5"/>
    <w:pPr>
      <w:keepLines/>
      <w:spacing w:before="240" w:after="120" w:line="240" w:lineRule="auto"/>
      <w:ind w:left="794"/>
    </w:pPr>
    <w:rPr>
      <w:b/>
      <w:kern w:val="28"/>
      <w:sz w:val="20"/>
    </w:rPr>
  </w:style>
  <w:style w:type="paragraph" w:customStyle="1" w:styleId="TofSectsHeading">
    <w:name w:val="TofSects(Heading)"/>
    <w:basedOn w:val="OPCParaBase"/>
    <w:rsid w:val="000132B5"/>
    <w:pPr>
      <w:spacing w:before="240" w:after="120" w:line="240" w:lineRule="auto"/>
    </w:pPr>
    <w:rPr>
      <w:b/>
      <w:sz w:val="24"/>
    </w:rPr>
  </w:style>
  <w:style w:type="paragraph" w:customStyle="1" w:styleId="TofSectsSection">
    <w:name w:val="TofSects(Section)"/>
    <w:basedOn w:val="OPCParaBase"/>
    <w:rsid w:val="000132B5"/>
    <w:pPr>
      <w:keepLines/>
      <w:spacing w:before="40" w:line="240" w:lineRule="auto"/>
      <w:ind w:left="1588" w:hanging="794"/>
    </w:pPr>
    <w:rPr>
      <w:kern w:val="28"/>
      <w:sz w:val="18"/>
    </w:rPr>
  </w:style>
  <w:style w:type="paragraph" w:customStyle="1" w:styleId="TofSectsSubdiv">
    <w:name w:val="TofSects(Subdiv)"/>
    <w:basedOn w:val="OPCParaBase"/>
    <w:rsid w:val="000132B5"/>
    <w:pPr>
      <w:keepLines/>
      <w:spacing w:before="80" w:line="240" w:lineRule="auto"/>
      <w:ind w:left="1588" w:hanging="794"/>
    </w:pPr>
    <w:rPr>
      <w:kern w:val="28"/>
    </w:rPr>
  </w:style>
  <w:style w:type="paragraph" w:customStyle="1" w:styleId="WRStyle">
    <w:name w:val="WR Style"/>
    <w:aliases w:val="WR"/>
    <w:basedOn w:val="OPCParaBase"/>
    <w:rsid w:val="000132B5"/>
    <w:pPr>
      <w:spacing w:before="240" w:line="240" w:lineRule="auto"/>
      <w:ind w:left="284" w:hanging="284"/>
    </w:pPr>
    <w:rPr>
      <w:b/>
      <w:i/>
      <w:kern w:val="28"/>
      <w:sz w:val="24"/>
    </w:rPr>
  </w:style>
  <w:style w:type="paragraph" w:customStyle="1" w:styleId="notepara">
    <w:name w:val="note(para)"/>
    <w:aliases w:val="na"/>
    <w:basedOn w:val="OPCParaBase"/>
    <w:rsid w:val="000132B5"/>
    <w:pPr>
      <w:spacing w:before="40" w:line="198" w:lineRule="exact"/>
      <w:ind w:left="2354" w:hanging="369"/>
    </w:pPr>
    <w:rPr>
      <w:sz w:val="18"/>
    </w:rPr>
  </w:style>
  <w:style w:type="paragraph" w:styleId="Footer">
    <w:name w:val="footer"/>
    <w:link w:val="FooterChar"/>
    <w:rsid w:val="000132B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0132B5"/>
    <w:rPr>
      <w:rFonts w:eastAsia="Times New Roman" w:cs="Times New Roman"/>
      <w:sz w:val="22"/>
      <w:szCs w:val="24"/>
      <w:lang w:eastAsia="en-AU"/>
    </w:rPr>
  </w:style>
  <w:style w:type="character" w:styleId="LineNumber">
    <w:name w:val="line number"/>
    <w:basedOn w:val="OPCCharBase"/>
    <w:uiPriority w:val="99"/>
    <w:unhideWhenUsed/>
    <w:rsid w:val="000132B5"/>
    <w:rPr>
      <w:sz w:val="16"/>
    </w:rPr>
  </w:style>
  <w:style w:type="table" w:customStyle="1" w:styleId="CFlag">
    <w:name w:val="CFlag"/>
    <w:basedOn w:val="TableNormal"/>
    <w:uiPriority w:val="99"/>
    <w:rsid w:val="000132B5"/>
    <w:rPr>
      <w:rFonts w:eastAsia="Times New Roman" w:cs="Times New Roman"/>
      <w:lang w:eastAsia="en-AU"/>
    </w:rPr>
    <w:tblPr/>
  </w:style>
  <w:style w:type="paragraph" w:styleId="BalloonText">
    <w:name w:val="Balloon Text"/>
    <w:basedOn w:val="Normal"/>
    <w:link w:val="BalloonTextChar"/>
    <w:uiPriority w:val="99"/>
    <w:unhideWhenUsed/>
    <w:rsid w:val="000132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132B5"/>
    <w:rPr>
      <w:rFonts w:ascii="Tahoma" w:hAnsi="Tahoma" w:cs="Tahoma"/>
      <w:sz w:val="16"/>
      <w:szCs w:val="16"/>
    </w:rPr>
  </w:style>
  <w:style w:type="table" w:styleId="TableGrid">
    <w:name w:val="Table Grid"/>
    <w:basedOn w:val="TableNormal"/>
    <w:uiPriority w:val="59"/>
    <w:rsid w:val="00013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0132B5"/>
    <w:rPr>
      <w:b/>
      <w:sz w:val="28"/>
      <w:szCs w:val="32"/>
    </w:rPr>
  </w:style>
  <w:style w:type="paragraph" w:customStyle="1" w:styleId="LegislationMadeUnder">
    <w:name w:val="LegislationMadeUnder"/>
    <w:basedOn w:val="OPCParaBase"/>
    <w:next w:val="Normal"/>
    <w:rsid w:val="000132B5"/>
    <w:rPr>
      <w:i/>
      <w:sz w:val="32"/>
      <w:szCs w:val="32"/>
    </w:rPr>
  </w:style>
  <w:style w:type="paragraph" w:customStyle="1" w:styleId="SignCoverPageEnd">
    <w:name w:val="SignCoverPageEnd"/>
    <w:basedOn w:val="OPCParaBase"/>
    <w:next w:val="Normal"/>
    <w:rsid w:val="000132B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132B5"/>
    <w:pPr>
      <w:pBdr>
        <w:top w:val="single" w:sz="4" w:space="1" w:color="auto"/>
      </w:pBdr>
      <w:spacing w:before="360"/>
      <w:ind w:right="397"/>
      <w:jc w:val="both"/>
    </w:pPr>
  </w:style>
  <w:style w:type="paragraph" w:customStyle="1" w:styleId="NotesHeading1">
    <w:name w:val="NotesHeading 1"/>
    <w:basedOn w:val="OPCParaBase"/>
    <w:next w:val="Normal"/>
    <w:rsid w:val="000132B5"/>
    <w:rPr>
      <w:b/>
      <w:sz w:val="28"/>
      <w:szCs w:val="28"/>
    </w:rPr>
  </w:style>
  <w:style w:type="paragraph" w:customStyle="1" w:styleId="NotesHeading2">
    <w:name w:val="NotesHeading 2"/>
    <w:basedOn w:val="OPCParaBase"/>
    <w:next w:val="Normal"/>
    <w:rsid w:val="000132B5"/>
    <w:rPr>
      <w:b/>
      <w:sz w:val="28"/>
      <w:szCs w:val="28"/>
    </w:rPr>
  </w:style>
  <w:style w:type="paragraph" w:customStyle="1" w:styleId="ENotesText">
    <w:name w:val="ENotesText"/>
    <w:aliases w:val="Ent"/>
    <w:basedOn w:val="OPCParaBase"/>
    <w:next w:val="Normal"/>
    <w:rsid w:val="000132B5"/>
    <w:pPr>
      <w:spacing w:before="120"/>
    </w:pPr>
  </w:style>
  <w:style w:type="paragraph" w:customStyle="1" w:styleId="CompiledActNo">
    <w:name w:val="CompiledActNo"/>
    <w:basedOn w:val="OPCParaBase"/>
    <w:next w:val="Normal"/>
    <w:rsid w:val="000132B5"/>
    <w:rPr>
      <w:b/>
      <w:sz w:val="24"/>
      <w:szCs w:val="24"/>
    </w:rPr>
  </w:style>
  <w:style w:type="paragraph" w:customStyle="1" w:styleId="CompiledMadeUnder">
    <w:name w:val="CompiledMadeUnder"/>
    <w:basedOn w:val="OPCParaBase"/>
    <w:next w:val="Normal"/>
    <w:rsid w:val="000132B5"/>
    <w:rPr>
      <w:i/>
      <w:sz w:val="24"/>
      <w:szCs w:val="24"/>
    </w:rPr>
  </w:style>
  <w:style w:type="paragraph" w:customStyle="1" w:styleId="Paragraphsub-sub-sub">
    <w:name w:val="Paragraph(sub-sub-sub)"/>
    <w:aliases w:val="aaaa"/>
    <w:basedOn w:val="OPCParaBase"/>
    <w:rsid w:val="000132B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132B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132B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132B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132B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132B5"/>
    <w:pPr>
      <w:spacing w:before="60" w:line="240" w:lineRule="auto"/>
    </w:pPr>
    <w:rPr>
      <w:rFonts w:cs="Arial"/>
      <w:sz w:val="20"/>
      <w:szCs w:val="22"/>
    </w:rPr>
  </w:style>
  <w:style w:type="paragraph" w:customStyle="1" w:styleId="NoteToSubpara">
    <w:name w:val="NoteToSubpara"/>
    <w:aliases w:val="nts"/>
    <w:basedOn w:val="OPCParaBase"/>
    <w:rsid w:val="000132B5"/>
    <w:pPr>
      <w:spacing w:before="40" w:line="198" w:lineRule="exact"/>
      <w:ind w:left="2835" w:hanging="709"/>
    </w:pPr>
    <w:rPr>
      <w:sz w:val="18"/>
    </w:rPr>
  </w:style>
  <w:style w:type="paragraph" w:customStyle="1" w:styleId="ENoteTableHeading">
    <w:name w:val="ENoteTableHeading"/>
    <w:aliases w:val="enth"/>
    <w:basedOn w:val="OPCParaBase"/>
    <w:rsid w:val="000132B5"/>
    <w:pPr>
      <w:keepNext/>
      <w:spacing w:before="60" w:line="240" w:lineRule="atLeast"/>
    </w:pPr>
    <w:rPr>
      <w:rFonts w:ascii="Arial" w:hAnsi="Arial"/>
      <w:b/>
      <w:sz w:val="16"/>
    </w:rPr>
  </w:style>
  <w:style w:type="paragraph" w:customStyle="1" w:styleId="ENoteTTi">
    <w:name w:val="ENoteTTi"/>
    <w:aliases w:val="entti"/>
    <w:basedOn w:val="OPCParaBase"/>
    <w:rsid w:val="000132B5"/>
    <w:pPr>
      <w:keepNext/>
      <w:spacing w:before="60" w:line="240" w:lineRule="atLeast"/>
      <w:ind w:left="170"/>
    </w:pPr>
    <w:rPr>
      <w:sz w:val="16"/>
    </w:rPr>
  </w:style>
  <w:style w:type="paragraph" w:customStyle="1" w:styleId="ENotesHeading1">
    <w:name w:val="ENotesHeading 1"/>
    <w:aliases w:val="Enh1"/>
    <w:basedOn w:val="OPCParaBase"/>
    <w:next w:val="Normal"/>
    <w:rsid w:val="000132B5"/>
    <w:pPr>
      <w:spacing w:before="120"/>
      <w:outlineLvl w:val="1"/>
    </w:pPr>
    <w:rPr>
      <w:b/>
      <w:sz w:val="28"/>
      <w:szCs w:val="28"/>
    </w:rPr>
  </w:style>
  <w:style w:type="paragraph" w:customStyle="1" w:styleId="ENotesHeading2">
    <w:name w:val="ENotesHeading 2"/>
    <w:aliases w:val="Enh2"/>
    <w:basedOn w:val="OPCParaBase"/>
    <w:next w:val="Normal"/>
    <w:rsid w:val="000132B5"/>
    <w:pPr>
      <w:spacing w:before="120" w:after="120"/>
      <w:outlineLvl w:val="2"/>
    </w:pPr>
    <w:rPr>
      <w:b/>
      <w:sz w:val="24"/>
      <w:szCs w:val="28"/>
    </w:rPr>
  </w:style>
  <w:style w:type="paragraph" w:customStyle="1" w:styleId="ENoteTTIndentHeading">
    <w:name w:val="ENoteTTIndentHeading"/>
    <w:aliases w:val="enTTHi"/>
    <w:basedOn w:val="OPCParaBase"/>
    <w:rsid w:val="000132B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132B5"/>
    <w:pPr>
      <w:spacing w:before="60" w:line="240" w:lineRule="atLeast"/>
    </w:pPr>
    <w:rPr>
      <w:sz w:val="16"/>
    </w:rPr>
  </w:style>
  <w:style w:type="paragraph" w:customStyle="1" w:styleId="MadeunderText">
    <w:name w:val="MadeunderText"/>
    <w:basedOn w:val="OPCParaBase"/>
    <w:next w:val="Normal"/>
    <w:rsid w:val="000132B5"/>
    <w:pPr>
      <w:spacing w:before="240"/>
    </w:pPr>
    <w:rPr>
      <w:sz w:val="24"/>
      <w:szCs w:val="24"/>
    </w:rPr>
  </w:style>
  <w:style w:type="paragraph" w:customStyle="1" w:styleId="ENotesHeading3">
    <w:name w:val="ENotesHeading 3"/>
    <w:aliases w:val="Enh3"/>
    <w:basedOn w:val="OPCParaBase"/>
    <w:next w:val="Normal"/>
    <w:rsid w:val="000132B5"/>
    <w:pPr>
      <w:keepNext/>
      <w:spacing w:before="120" w:line="240" w:lineRule="auto"/>
      <w:outlineLvl w:val="4"/>
    </w:pPr>
    <w:rPr>
      <w:b/>
      <w:szCs w:val="24"/>
    </w:rPr>
  </w:style>
  <w:style w:type="character" w:customStyle="1" w:styleId="CharSubPartTextCASA">
    <w:name w:val="CharSubPartText(CASA)"/>
    <w:basedOn w:val="OPCCharBase"/>
    <w:uiPriority w:val="1"/>
    <w:rsid w:val="000132B5"/>
  </w:style>
  <w:style w:type="character" w:customStyle="1" w:styleId="CharSubPartNoCASA">
    <w:name w:val="CharSubPartNo(CASA)"/>
    <w:basedOn w:val="OPCCharBase"/>
    <w:uiPriority w:val="1"/>
    <w:rsid w:val="000132B5"/>
  </w:style>
  <w:style w:type="paragraph" w:customStyle="1" w:styleId="ENoteTTIndentHeadingSub">
    <w:name w:val="ENoteTTIndentHeadingSub"/>
    <w:aliases w:val="enTTHis"/>
    <w:basedOn w:val="OPCParaBase"/>
    <w:rsid w:val="000132B5"/>
    <w:pPr>
      <w:keepNext/>
      <w:spacing w:before="60" w:line="240" w:lineRule="atLeast"/>
      <w:ind w:left="340"/>
    </w:pPr>
    <w:rPr>
      <w:b/>
      <w:sz w:val="16"/>
    </w:rPr>
  </w:style>
  <w:style w:type="paragraph" w:customStyle="1" w:styleId="ENoteTTiSub">
    <w:name w:val="ENoteTTiSub"/>
    <w:aliases w:val="enttis"/>
    <w:basedOn w:val="OPCParaBase"/>
    <w:rsid w:val="000132B5"/>
    <w:pPr>
      <w:keepNext/>
      <w:spacing w:before="60" w:line="240" w:lineRule="atLeast"/>
      <w:ind w:left="340"/>
    </w:pPr>
    <w:rPr>
      <w:sz w:val="16"/>
    </w:rPr>
  </w:style>
  <w:style w:type="paragraph" w:customStyle="1" w:styleId="SubDivisionMigration">
    <w:name w:val="SubDivisionMigration"/>
    <w:aliases w:val="sdm"/>
    <w:basedOn w:val="OPCParaBase"/>
    <w:rsid w:val="000132B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132B5"/>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0132B5"/>
    <w:pPr>
      <w:spacing w:before="122" w:line="240" w:lineRule="auto"/>
      <w:ind w:left="1985" w:hanging="851"/>
    </w:pPr>
    <w:rPr>
      <w:sz w:val="18"/>
    </w:rPr>
  </w:style>
  <w:style w:type="paragraph" w:customStyle="1" w:styleId="FreeForm">
    <w:name w:val="FreeForm"/>
    <w:rsid w:val="000132B5"/>
    <w:rPr>
      <w:rFonts w:ascii="Arial" w:hAnsi="Arial"/>
      <w:sz w:val="22"/>
    </w:rPr>
  </w:style>
  <w:style w:type="paragraph" w:customStyle="1" w:styleId="SOText">
    <w:name w:val="SO Text"/>
    <w:aliases w:val="sot"/>
    <w:link w:val="SOTextChar"/>
    <w:rsid w:val="000132B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132B5"/>
    <w:rPr>
      <w:sz w:val="22"/>
    </w:rPr>
  </w:style>
  <w:style w:type="paragraph" w:customStyle="1" w:styleId="SOTextNote">
    <w:name w:val="SO TextNote"/>
    <w:aliases w:val="sont"/>
    <w:basedOn w:val="SOText"/>
    <w:qFormat/>
    <w:rsid w:val="000132B5"/>
    <w:pPr>
      <w:spacing w:before="122" w:line="198" w:lineRule="exact"/>
      <w:ind w:left="1843" w:hanging="709"/>
    </w:pPr>
    <w:rPr>
      <w:sz w:val="18"/>
    </w:rPr>
  </w:style>
  <w:style w:type="paragraph" w:customStyle="1" w:styleId="SOPara">
    <w:name w:val="SO Para"/>
    <w:aliases w:val="soa"/>
    <w:basedOn w:val="SOText"/>
    <w:link w:val="SOParaChar"/>
    <w:qFormat/>
    <w:rsid w:val="000132B5"/>
    <w:pPr>
      <w:tabs>
        <w:tab w:val="right" w:pos="1786"/>
      </w:tabs>
      <w:spacing w:before="40"/>
      <w:ind w:left="2070" w:hanging="936"/>
    </w:pPr>
  </w:style>
  <w:style w:type="character" w:customStyle="1" w:styleId="SOParaChar">
    <w:name w:val="SO Para Char"/>
    <w:aliases w:val="soa Char"/>
    <w:basedOn w:val="DefaultParagraphFont"/>
    <w:link w:val="SOPara"/>
    <w:rsid w:val="000132B5"/>
    <w:rPr>
      <w:sz w:val="22"/>
    </w:rPr>
  </w:style>
  <w:style w:type="paragraph" w:customStyle="1" w:styleId="FileName">
    <w:name w:val="FileName"/>
    <w:basedOn w:val="Normal"/>
    <w:rsid w:val="000132B5"/>
  </w:style>
  <w:style w:type="paragraph" w:customStyle="1" w:styleId="TableHeading">
    <w:name w:val="TableHeading"/>
    <w:aliases w:val="th"/>
    <w:basedOn w:val="OPCParaBase"/>
    <w:next w:val="Tabletext"/>
    <w:rsid w:val="000132B5"/>
    <w:pPr>
      <w:keepNext/>
      <w:spacing w:before="60" w:line="240" w:lineRule="atLeast"/>
    </w:pPr>
    <w:rPr>
      <w:b/>
      <w:sz w:val="20"/>
    </w:rPr>
  </w:style>
  <w:style w:type="paragraph" w:customStyle="1" w:styleId="SOHeadBold">
    <w:name w:val="SO HeadBold"/>
    <w:aliases w:val="sohb"/>
    <w:basedOn w:val="SOText"/>
    <w:next w:val="SOText"/>
    <w:link w:val="SOHeadBoldChar"/>
    <w:qFormat/>
    <w:rsid w:val="000132B5"/>
    <w:rPr>
      <w:b/>
    </w:rPr>
  </w:style>
  <w:style w:type="character" w:customStyle="1" w:styleId="SOHeadBoldChar">
    <w:name w:val="SO HeadBold Char"/>
    <w:aliases w:val="sohb Char"/>
    <w:basedOn w:val="DefaultParagraphFont"/>
    <w:link w:val="SOHeadBold"/>
    <w:rsid w:val="000132B5"/>
    <w:rPr>
      <w:b/>
      <w:sz w:val="22"/>
    </w:rPr>
  </w:style>
  <w:style w:type="paragraph" w:customStyle="1" w:styleId="SOHeadItalic">
    <w:name w:val="SO HeadItalic"/>
    <w:aliases w:val="sohi"/>
    <w:basedOn w:val="SOText"/>
    <w:next w:val="SOText"/>
    <w:link w:val="SOHeadItalicChar"/>
    <w:qFormat/>
    <w:rsid w:val="000132B5"/>
    <w:rPr>
      <w:i/>
    </w:rPr>
  </w:style>
  <w:style w:type="character" w:customStyle="1" w:styleId="SOHeadItalicChar">
    <w:name w:val="SO HeadItalic Char"/>
    <w:aliases w:val="sohi Char"/>
    <w:basedOn w:val="DefaultParagraphFont"/>
    <w:link w:val="SOHeadItalic"/>
    <w:rsid w:val="000132B5"/>
    <w:rPr>
      <w:i/>
      <w:sz w:val="22"/>
    </w:rPr>
  </w:style>
  <w:style w:type="paragraph" w:customStyle="1" w:styleId="SOBullet">
    <w:name w:val="SO Bullet"/>
    <w:aliases w:val="sotb"/>
    <w:basedOn w:val="SOText"/>
    <w:link w:val="SOBulletChar"/>
    <w:qFormat/>
    <w:rsid w:val="000132B5"/>
    <w:pPr>
      <w:ind w:left="1559" w:hanging="425"/>
    </w:pPr>
  </w:style>
  <w:style w:type="character" w:customStyle="1" w:styleId="SOBulletChar">
    <w:name w:val="SO Bullet Char"/>
    <w:aliases w:val="sotb Char"/>
    <w:basedOn w:val="DefaultParagraphFont"/>
    <w:link w:val="SOBullet"/>
    <w:rsid w:val="000132B5"/>
    <w:rPr>
      <w:sz w:val="22"/>
    </w:rPr>
  </w:style>
  <w:style w:type="paragraph" w:customStyle="1" w:styleId="SOBulletNote">
    <w:name w:val="SO BulletNote"/>
    <w:aliases w:val="sonb"/>
    <w:basedOn w:val="SOTextNote"/>
    <w:link w:val="SOBulletNoteChar"/>
    <w:qFormat/>
    <w:rsid w:val="000132B5"/>
    <w:pPr>
      <w:tabs>
        <w:tab w:val="left" w:pos="1560"/>
      </w:tabs>
      <w:ind w:left="2268" w:hanging="1134"/>
    </w:pPr>
  </w:style>
  <w:style w:type="character" w:customStyle="1" w:styleId="SOBulletNoteChar">
    <w:name w:val="SO BulletNote Char"/>
    <w:aliases w:val="sonb Char"/>
    <w:basedOn w:val="DefaultParagraphFont"/>
    <w:link w:val="SOBulletNote"/>
    <w:rsid w:val="000132B5"/>
    <w:rPr>
      <w:sz w:val="18"/>
    </w:rPr>
  </w:style>
  <w:style w:type="paragraph" w:customStyle="1" w:styleId="SOText2">
    <w:name w:val="SO Text2"/>
    <w:aliases w:val="sot2"/>
    <w:basedOn w:val="Normal"/>
    <w:next w:val="SOText"/>
    <w:link w:val="SOText2Char"/>
    <w:rsid w:val="000132B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0132B5"/>
    <w:rPr>
      <w:sz w:val="22"/>
    </w:rPr>
  </w:style>
  <w:style w:type="paragraph" w:customStyle="1" w:styleId="SubPartCASA">
    <w:name w:val="SubPart(CASA)"/>
    <w:aliases w:val="csp"/>
    <w:basedOn w:val="OPCParaBase"/>
    <w:next w:val="ActHead3"/>
    <w:rsid w:val="000132B5"/>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0132B5"/>
    <w:rPr>
      <w:rFonts w:eastAsia="Times New Roman" w:cs="Times New Roman"/>
      <w:sz w:val="22"/>
      <w:lang w:eastAsia="en-AU"/>
    </w:rPr>
  </w:style>
  <w:style w:type="character" w:customStyle="1" w:styleId="notetextChar">
    <w:name w:val="note(text) Char"/>
    <w:aliases w:val="n Char"/>
    <w:basedOn w:val="DefaultParagraphFont"/>
    <w:link w:val="notetext"/>
    <w:rsid w:val="000132B5"/>
    <w:rPr>
      <w:rFonts w:eastAsia="Times New Roman" w:cs="Times New Roman"/>
      <w:sz w:val="18"/>
      <w:lang w:eastAsia="en-AU"/>
    </w:rPr>
  </w:style>
  <w:style w:type="character" w:customStyle="1" w:styleId="Heading1Char">
    <w:name w:val="Heading 1 Char"/>
    <w:basedOn w:val="DefaultParagraphFont"/>
    <w:link w:val="Heading1"/>
    <w:uiPriority w:val="9"/>
    <w:rsid w:val="000132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32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32B5"/>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0132B5"/>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0132B5"/>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0132B5"/>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0132B5"/>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0132B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132B5"/>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0132B5"/>
  </w:style>
  <w:style w:type="character" w:customStyle="1" w:styleId="charlegsubtitle1">
    <w:name w:val="charlegsubtitle1"/>
    <w:basedOn w:val="DefaultParagraphFont"/>
    <w:rsid w:val="000132B5"/>
    <w:rPr>
      <w:rFonts w:ascii="Arial" w:hAnsi="Arial" w:cs="Arial" w:hint="default"/>
      <w:b/>
      <w:bCs/>
      <w:sz w:val="28"/>
      <w:szCs w:val="28"/>
    </w:rPr>
  </w:style>
  <w:style w:type="paragraph" w:styleId="Index1">
    <w:name w:val="index 1"/>
    <w:basedOn w:val="Normal"/>
    <w:next w:val="Normal"/>
    <w:autoRedefine/>
    <w:rsid w:val="000132B5"/>
    <w:pPr>
      <w:ind w:left="240" w:hanging="240"/>
    </w:pPr>
  </w:style>
  <w:style w:type="paragraph" w:styleId="Index2">
    <w:name w:val="index 2"/>
    <w:basedOn w:val="Normal"/>
    <w:next w:val="Normal"/>
    <w:autoRedefine/>
    <w:rsid w:val="000132B5"/>
    <w:pPr>
      <w:ind w:left="480" w:hanging="240"/>
    </w:pPr>
  </w:style>
  <w:style w:type="paragraph" w:styleId="Index3">
    <w:name w:val="index 3"/>
    <w:basedOn w:val="Normal"/>
    <w:next w:val="Normal"/>
    <w:autoRedefine/>
    <w:rsid w:val="000132B5"/>
    <w:pPr>
      <w:ind w:left="720" w:hanging="240"/>
    </w:pPr>
  </w:style>
  <w:style w:type="paragraph" w:styleId="Index4">
    <w:name w:val="index 4"/>
    <w:basedOn w:val="Normal"/>
    <w:next w:val="Normal"/>
    <w:autoRedefine/>
    <w:rsid w:val="000132B5"/>
    <w:pPr>
      <w:ind w:left="960" w:hanging="240"/>
    </w:pPr>
  </w:style>
  <w:style w:type="paragraph" w:styleId="Index5">
    <w:name w:val="index 5"/>
    <w:basedOn w:val="Normal"/>
    <w:next w:val="Normal"/>
    <w:autoRedefine/>
    <w:rsid w:val="000132B5"/>
    <w:pPr>
      <w:ind w:left="1200" w:hanging="240"/>
    </w:pPr>
  </w:style>
  <w:style w:type="paragraph" w:styleId="Index6">
    <w:name w:val="index 6"/>
    <w:basedOn w:val="Normal"/>
    <w:next w:val="Normal"/>
    <w:autoRedefine/>
    <w:rsid w:val="000132B5"/>
    <w:pPr>
      <w:ind w:left="1440" w:hanging="240"/>
    </w:pPr>
  </w:style>
  <w:style w:type="paragraph" w:styleId="Index7">
    <w:name w:val="index 7"/>
    <w:basedOn w:val="Normal"/>
    <w:next w:val="Normal"/>
    <w:autoRedefine/>
    <w:rsid w:val="000132B5"/>
    <w:pPr>
      <w:ind w:left="1680" w:hanging="240"/>
    </w:pPr>
  </w:style>
  <w:style w:type="paragraph" w:styleId="Index8">
    <w:name w:val="index 8"/>
    <w:basedOn w:val="Normal"/>
    <w:next w:val="Normal"/>
    <w:autoRedefine/>
    <w:rsid w:val="000132B5"/>
    <w:pPr>
      <w:ind w:left="1920" w:hanging="240"/>
    </w:pPr>
  </w:style>
  <w:style w:type="paragraph" w:styleId="Index9">
    <w:name w:val="index 9"/>
    <w:basedOn w:val="Normal"/>
    <w:next w:val="Normal"/>
    <w:autoRedefine/>
    <w:rsid w:val="000132B5"/>
    <w:pPr>
      <w:ind w:left="2160" w:hanging="240"/>
    </w:pPr>
  </w:style>
  <w:style w:type="paragraph" w:styleId="NormalIndent">
    <w:name w:val="Normal Indent"/>
    <w:basedOn w:val="Normal"/>
    <w:rsid w:val="000132B5"/>
    <w:pPr>
      <w:ind w:left="720"/>
    </w:pPr>
  </w:style>
  <w:style w:type="paragraph" w:styleId="FootnoteText">
    <w:name w:val="footnote text"/>
    <w:basedOn w:val="Normal"/>
    <w:link w:val="FootnoteTextChar"/>
    <w:rsid w:val="000132B5"/>
    <w:rPr>
      <w:sz w:val="20"/>
    </w:rPr>
  </w:style>
  <w:style w:type="character" w:customStyle="1" w:styleId="FootnoteTextChar">
    <w:name w:val="Footnote Text Char"/>
    <w:basedOn w:val="DefaultParagraphFont"/>
    <w:link w:val="FootnoteText"/>
    <w:rsid w:val="000132B5"/>
  </w:style>
  <w:style w:type="paragraph" w:styleId="CommentText">
    <w:name w:val="annotation text"/>
    <w:basedOn w:val="Normal"/>
    <w:link w:val="CommentTextChar"/>
    <w:rsid w:val="000132B5"/>
    <w:rPr>
      <w:sz w:val="20"/>
    </w:rPr>
  </w:style>
  <w:style w:type="character" w:customStyle="1" w:styleId="CommentTextChar">
    <w:name w:val="Comment Text Char"/>
    <w:basedOn w:val="DefaultParagraphFont"/>
    <w:link w:val="CommentText"/>
    <w:rsid w:val="000132B5"/>
  </w:style>
  <w:style w:type="paragraph" w:styleId="IndexHeading">
    <w:name w:val="index heading"/>
    <w:basedOn w:val="Normal"/>
    <w:next w:val="Index1"/>
    <w:rsid w:val="000132B5"/>
    <w:rPr>
      <w:rFonts w:ascii="Arial" w:hAnsi="Arial" w:cs="Arial"/>
      <w:b/>
      <w:bCs/>
    </w:rPr>
  </w:style>
  <w:style w:type="paragraph" w:styleId="Caption">
    <w:name w:val="caption"/>
    <w:basedOn w:val="Normal"/>
    <w:next w:val="Normal"/>
    <w:qFormat/>
    <w:rsid w:val="000132B5"/>
    <w:pPr>
      <w:spacing w:before="120" w:after="120"/>
    </w:pPr>
    <w:rPr>
      <w:b/>
      <w:bCs/>
      <w:sz w:val="20"/>
    </w:rPr>
  </w:style>
  <w:style w:type="paragraph" w:styleId="TableofFigures">
    <w:name w:val="table of figures"/>
    <w:basedOn w:val="Normal"/>
    <w:next w:val="Normal"/>
    <w:rsid w:val="000132B5"/>
    <w:pPr>
      <w:ind w:left="480" w:hanging="480"/>
    </w:pPr>
  </w:style>
  <w:style w:type="paragraph" w:styleId="EnvelopeAddress">
    <w:name w:val="envelope address"/>
    <w:basedOn w:val="Normal"/>
    <w:rsid w:val="000132B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132B5"/>
    <w:rPr>
      <w:rFonts w:ascii="Arial" w:hAnsi="Arial" w:cs="Arial"/>
      <w:sz w:val="20"/>
    </w:rPr>
  </w:style>
  <w:style w:type="character" w:styleId="FootnoteReference">
    <w:name w:val="footnote reference"/>
    <w:basedOn w:val="DefaultParagraphFont"/>
    <w:rsid w:val="000132B5"/>
    <w:rPr>
      <w:rFonts w:ascii="Times New Roman" w:hAnsi="Times New Roman"/>
      <w:sz w:val="20"/>
      <w:vertAlign w:val="superscript"/>
    </w:rPr>
  </w:style>
  <w:style w:type="character" w:styleId="CommentReference">
    <w:name w:val="annotation reference"/>
    <w:basedOn w:val="DefaultParagraphFont"/>
    <w:rsid w:val="000132B5"/>
    <w:rPr>
      <w:sz w:val="16"/>
      <w:szCs w:val="16"/>
    </w:rPr>
  </w:style>
  <w:style w:type="character" w:styleId="PageNumber">
    <w:name w:val="page number"/>
    <w:basedOn w:val="DefaultParagraphFont"/>
    <w:rsid w:val="000132B5"/>
  </w:style>
  <w:style w:type="character" w:styleId="EndnoteReference">
    <w:name w:val="endnote reference"/>
    <w:basedOn w:val="DefaultParagraphFont"/>
    <w:rsid w:val="000132B5"/>
    <w:rPr>
      <w:vertAlign w:val="superscript"/>
    </w:rPr>
  </w:style>
  <w:style w:type="paragraph" w:styleId="EndnoteText">
    <w:name w:val="endnote text"/>
    <w:basedOn w:val="Normal"/>
    <w:link w:val="EndnoteTextChar"/>
    <w:rsid w:val="000132B5"/>
    <w:rPr>
      <w:sz w:val="20"/>
    </w:rPr>
  </w:style>
  <w:style w:type="character" w:customStyle="1" w:styleId="EndnoteTextChar">
    <w:name w:val="Endnote Text Char"/>
    <w:basedOn w:val="DefaultParagraphFont"/>
    <w:link w:val="EndnoteText"/>
    <w:rsid w:val="000132B5"/>
  </w:style>
  <w:style w:type="paragraph" w:styleId="TableofAuthorities">
    <w:name w:val="table of authorities"/>
    <w:basedOn w:val="Normal"/>
    <w:next w:val="Normal"/>
    <w:rsid w:val="000132B5"/>
    <w:pPr>
      <w:ind w:left="240" w:hanging="240"/>
    </w:pPr>
  </w:style>
  <w:style w:type="paragraph" w:styleId="MacroText">
    <w:name w:val="macro"/>
    <w:link w:val="MacroTextChar"/>
    <w:rsid w:val="000132B5"/>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0132B5"/>
    <w:rPr>
      <w:rFonts w:ascii="Courier New" w:eastAsia="Times New Roman" w:hAnsi="Courier New" w:cs="Courier New"/>
      <w:lang w:eastAsia="en-AU"/>
    </w:rPr>
  </w:style>
  <w:style w:type="paragraph" w:styleId="TOAHeading">
    <w:name w:val="toa heading"/>
    <w:basedOn w:val="Normal"/>
    <w:next w:val="Normal"/>
    <w:rsid w:val="000132B5"/>
    <w:pPr>
      <w:spacing w:before="120"/>
    </w:pPr>
    <w:rPr>
      <w:rFonts w:ascii="Arial" w:hAnsi="Arial" w:cs="Arial"/>
      <w:b/>
      <w:bCs/>
    </w:rPr>
  </w:style>
  <w:style w:type="paragraph" w:styleId="List">
    <w:name w:val="List"/>
    <w:basedOn w:val="Normal"/>
    <w:rsid w:val="000132B5"/>
    <w:pPr>
      <w:ind w:left="283" w:hanging="283"/>
    </w:pPr>
  </w:style>
  <w:style w:type="paragraph" w:styleId="ListBullet">
    <w:name w:val="List Bullet"/>
    <w:basedOn w:val="Normal"/>
    <w:autoRedefine/>
    <w:rsid w:val="000132B5"/>
    <w:pPr>
      <w:tabs>
        <w:tab w:val="num" w:pos="360"/>
      </w:tabs>
      <w:ind w:left="360" w:hanging="360"/>
    </w:pPr>
  </w:style>
  <w:style w:type="paragraph" w:styleId="ListNumber">
    <w:name w:val="List Number"/>
    <w:basedOn w:val="Normal"/>
    <w:rsid w:val="000132B5"/>
    <w:pPr>
      <w:tabs>
        <w:tab w:val="num" w:pos="360"/>
      </w:tabs>
      <w:ind w:left="360" w:hanging="360"/>
    </w:pPr>
  </w:style>
  <w:style w:type="paragraph" w:styleId="List2">
    <w:name w:val="List 2"/>
    <w:basedOn w:val="Normal"/>
    <w:rsid w:val="000132B5"/>
    <w:pPr>
      <w:ind w:left="566" w:hanging="283"/>
    </w:pPr>
  </w:style>
  <w:style w:type="paragraph" w:styleId="List3">
    <w:name w:val="List 3"/>
    <w:basedOn w:val="Normal"/>
    <w:rsid w:val="000132B5"/>
    <w:pPr>
      <w:ind w:left="849" w:hanging="283"/>
    </w:pPr>
  </w:style>
  <w:style w:type="paragraph" w:styleId="List4">
    <w:name w:val="List 4"/>
    <w:basedOn w:val="Normal"/>
    <w:rsid w:val="000132B5"/>
    <w:pPr>
      <w:ind w:left="1132" w:hanging="283"/>
    </w:pPr>
  </w:style>
  <w:style w:type="paragraph" w:styleId="List5">
    <w:name w:val="List 5"/>
    <w:basedOn w:val="Normal"/>
    <w:rsid w:val="000132B5"/>
    <w:pPr>
      <w:ind w:left="1415" w:hanging="283"/>
    </w:pPr>
  </w:style>
  <w:style w:type="paragraph" w:styleId="ListBullet2">
    <w:name w:val="List Bullet 2"/>
    <w:basedOn w:val="Normal"/>
    <w:autoRedefine/>
    <w:rsid w:val="000132B5"/>
    <w:pPr>
      <w:tabs>
        <w:tab w:val="num" w:pos="360"/>
      </w:tabs>
    </w:pPr>
  </w:style>
  <w:style w:type="paragraph" w:styleId="ListBullet3">
    <w:name w:val="List Bullet 3"/>
    <w:basedOn w:val="Normal"/>
    <w:autoRedefine/>
    <w:rsid w:val="000132B5"/>
    <w:pPr>
      <w:tabs>
        <w:tab w:val="num" w:pos="926"/>
      </w:tabs>
      <w:ind w:left="926" w:hanging="360"/>
    </w:pPr>
  </w:style>
  <w:style w:type="paragraph" w:styleId="ListBullet4">
    <w:name w:val="List Bullet 4"/>
    <w:basedOn w:val="Normal"/>
    <w:autoRedefine/>
    <w:rsid w:val="000132B5"/>
    <w:pPr>
      <w:tabs>
        <w:tab w:val="num" w:pos="1209"/>
      </w:tabs>
      <w:ind w:left="1209" w:hanging="360"/>
    </w:pPr>
  </w:style>
  <w:style w:type="paragraph" w:styleId="ListBullet5">
    <w:name w:val="List Bullet 5"/>
    <w:basedOn w:val="Normal"/>
    <w:autoRedefine/>
    <w:rsid w:val="000132B5"/>
    <w:pPr>
      <w:tabs>
        <w:tab w:val="num" w:pos="1492"/>
      </w:tabs>
      <w:ind w:left="1492" w:hanging="360"/>
    </w:pPr>
  </w:style>
  <w:style w:type="paragraph" w:styleId="ListNumber2">
    <w:name w:val="List Number 2"/>
    <w:basedOn w:val="Normal"/>
    <w:rsid w:val="000132B5"/>
    <w:pPr>
      <w:tabs>
        <w:tab w:val="num" w:pos="643"/>
      </w:tabs>
      <w:ind w:left="643" w:hanging="360"/>
    </w:pPr>
  </w:style>
  <w:style w:type="paragraph" w:styleId="ListNumber3">
    <w:name w:val="List Number 3"/>
    <w:basedOn w:val="Normal"/>
    <w:rsid w:val="000132B5"/>
    <w:pPr>
      <w:tabs>
        <w:tab w:val="num" w:pos="926"/>
      </w:tabs>
      <w:ind w:left="926" w:hanging="360"/>
    </w:pPr>
  </w:style>
  <w:style w:type="paragraph" w:styleId="ListNumber4">
    <w:name w:val="List Number 4"/>
    <w:basedOn w:val="Normal"/>
    <w:rsid w:val="000132B5"/>
    <w:pPr>
      <w:tabs>
        <w:tab w:val="num" w:pos="1209"/>
      </w:tabs>
      <w:ind w:left="1209" w:hanging="360"/>
    </w:pPr>
  </w:style>
  <w:style w:type="paragraph" w:styleId="ListNumber5">
    <w:name w:val="List Number 5"/>
    <w:basedOn w:val="Normal"/>
    <w:rsid w:val="000132B5"/>
    <w:pPr>
      <w:tabs>
        <w:tab w:val="num" w:pos="1492"/>
      </w:tabs>
      <w:ind w:left="1492" w:hanging="360"/>
    </w:pPr>
  </w:style>
  <w:style w:type="paragraph" w:styleId="Title">
    <w:name w:val="Title"/>
    <w:basedOn w:val="Normal"/>
    <w:link w:val="TitleChar"/>
    <w:qFormat/>
    <w:rsid w:val="000132B5"/>
    <w:pPr>
      <w:spacing w:before="240" w:after="60"/>
    </w:pPr>
    <w:rPr>
      <w:rFonts w:ascii="Arial" w:hAnsi="Arial" w:cs="Arial"/>
      <w:b/>
      <w:bCs/>
      <w:sz w:val="40"/>
      <w:szCs w:val="40"/>
    </w:rPr>
  </w:style>
  <w:style w:type="character" w:customStyle="1" w:styleId="TitleChar">
    <w:name w:val="Title Char"/>
    <w:basedOn w:val="DefaultParagraphFont"/>
    <w:link w:val="Title"/>
    <w:rsid w:val="000132B5"/>
    <w:rPr>
      <w:rFonts w:ascii="Arial" w:hAnsi="Arial" w:cs="Arial"/>
      <w:b/>
      <w:bCs/>
      <w:sz w:val="40"/>
      <w:szCs w:val="40"/>
    </w:rPr>
  </w:style>
  <w:style w:type="paragraph" w:styleId="Closing">
    <w:name w:val="Closing"/>
    <w:basedOn w:val="Normal"/>
    <w:link w:val="ClosingChar"/>
    <w:rsid w:val="000132B5"/>
    <w:pPr>
      <w:ind w:left="4252"/>
    </w:pPr>
  </w:style>
  <w:style w:type="character" w:customStyle="1" w:styleId="ClosingChar">
    <w:name w:val="Closing Char"/>
    <w:basedOn w:val="DefaultParagraphFont"/>
    <w:link w:val="Closing"/>
    <w:rsid w:val="000132B5"/>
    <w:rPr>
      <w:sz w:val="22"/>
    </w:rPr>
  </w:style>
  <w:style w:type="paragraph" w:styleId="Signature">
    <w:name w:val="Signature"/>
    <w:basedOn w:val="Normal"/>
    <w:link w:val="SignatureChar"/>
    <w:rsid w:val="000132B5"/>
    <w:pPr>
      <w:ind w:left="4252"/>
    </w:pPr>
  </w:style>
  <w:style w:type="character" w:customStyle="1" w:styleId="SignatureChar">
    <w:name w:val="Signature Char"/>
    <w:basedOn w:val="DefaultParagraphFont"/>
    <w:link w:val="Signature"/>
    <w:rsid w:val="000132B5"/>
    <w:rPr>
      <w:sz w:val="22"/>
    </w:rPr>
  </w:style>
  <w:style w:type="paragraph" w:styleId="BodyText">
    <w:name w:val="Body Text"/>
    <w:basedOn w:val="Normal"/>
    <w:link w:val="BodyTextChar"/>
    <w:rsid w:val="000132B5"/>
    <w:pPr>
      <w:spacing w:after="120"/>
    </w:pPr>
  </w:style>
  <w:style w:type="character" w:customStyle="1" w:styleId="BodyTextChar">
    <w:name w:val="Body Text Char"/>
    <w:basedOn w:val="DefaultParagraphFont"/>
    <w:link w:val="BodyText"/>
    <w:rsid w:val="000132B5"/>
    <w:rPr>
      <w:sz w:val="22"/>
    </w:rPr>
  </w:style>
  <w:style w:type="paragraph" w:styleId="BodyTextIndent">
    <w:name w:val="Body Text Indent"/>
    <w:basedOn w:val="Normal"/>
    <w:link w:val="BodyTextIndentChar"/>
    <w:rsid w:val="000132B5"/>
    <w:pPr>
      <w:spacing w:after="120"/>
      <w:ind w:left="283"/>
    </w:pPr>
  </w:style>
  <w:style w:type="character" w:customStyle="1" w:styleId="BodyTextIndentChar">
    <w:name w:val="Body Text Indent Char"/>
    <w:basedOn w:val="DefaultParagraphFont"/>
    <w:link w:val="BodyTextIndent"/>
    <w:rsid w:val="000132B5"/>
    <w:rPr>
      <w:sz w:val="22"/>
    </w:rPr>
  </w:style>
  <w:style w:type="paragraph" w:styleId="ListContinue">
    <w:name w:val="List Continue"/>
    <w:basedOn w:val="Normal"/>
    <w:rsid w:val="000132B5"/>
    <w:pPr>
      <w:spacing w:after="120"/>
      <w:ind w:left="283"/>
    </w:pPr>
  </w:style>
  <w:style w:type="paragraph" w:styleId="ListContinue2">
    <w:name w:val="List Continue 2"/>
    <w:basedOn w:val="Normal"/>
    <w:rsid w:val="000132B5"/>
    <w:pPr>
      <w:spacing w:after="120"/>
      <w:ind w:left="566"/>
    </w:pPr>
  </w:style>
  <w:style w:type="paragraph" w:styleId="ListContinue3">
    <w:name w:val="List Continue 3"/>
    <w:basedOn w:val="Normal"/>
    <w:rsid w:val="000132B5"/>
    <w:pPr>
      <w:spacing w:after="120"/>
      <w:ind w:left="849"/>
    </w:pPr>
  </w:style>
  <w:style w:type="paragraph" w:styleId="ListContinue4">
    <w:name w:val="List Continue 4"/>
    <w:basedOn w:val="Normal"/>
    <w:rsid w:val="000132B5"/>
    <w:pPr>
      <w:spacing w:after="120"/>
      <w:ind w:left="1132"/>
    </w:pPr>
  </w:style>
  <w:style w:type="paragraph" w:styleId="ListContinue5">
    <w:name w:val="List Continue 5"/>
    <w:basedOn w:val="Normal"/>
    <w:rsid w:val="000132B5"/>
    <w:pPr>
      <w:spacing w:after="120"/>
      <w:ind w:left="1415"/>
    </w:pPr>
  </w:style>
  <w:style w:type="paragraph" w:styleId="MessageHeader">
    <w:name w:val="Message Header"/>
    <w:basedOn w:val="Normal"/>
    <w:link w:val="MessageHeaderChar"/>
    <w:rsid w:val="000132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0132B5"/>
    <w:rPr>
      <w:rFonts w:ascii="Arial" w:hAnsi="Arial" w:cs="Arial"/>
      <w:sz w:val="22"/>
      <w:shd w:val="pct20" w:color="auto" w:fill="auto"/>
    </w:rPr>
  </w:style>
  <w:style w:type="paragraph" w:styleId="Subtitle">
    <w:name w:val="Subtitle"/>
    <w:basedOn w:val="Normal"/>
    <w:link w:val="SubtitleChar"/>
    <w:qFormat/>
    <w:rsid w:val="000132B5"/>
    <w:pPr>
      <w:spacing w:after="60"/>
      <w:jc w:val="center"/>
      <w:outlineLvl w:val="1"/>
    </w:pPr>
    <w:rPr>
      <w:rFonts w:ascii="Arial" w:hAnsi="Arial" w:cs="Arial"/>
    </w:rPr>
  </w:style>
  <w:style w:type="character" w:customStyle="1" w:styleId="SubtitleChar">
    <w:name w:val="Subtitle Char"/>
    <w:basedOn w:val="DefaultParagraphFont"/>
    <w:link w:val="Subtitle"/>
    <w:rsid w:val="000132B5"/>
    <w:rPr>
      <w:rFonts w:ascii="Arial" w:hAnsi="Arial" w:cs="Arial"/>
      <w:sz w:val="22"/>
    </w:rPr>
  </w:style>
  <w:style w:type="paragraph" w:styleId="Salutation">
    <w:name w:val="Salutation"/>
    <w:basedOn w:val="Normal"/>
    <w:next w:val="Normal"/>
    <w:link w:val="SalutationChar"/>
    <w:rsid w:val="000132B5"/>
  </w:style>
  <w:style w:type="character" w:customStyle="1" w:styleId="SalutationChar">
    <w:name w:val="Salutation Char"/>
    <w:basedOn w:val="DefaultParagraphFont"/>
    <w:link w:val="Salutation"/>
    <w:rsid w:val="000132B5"/>
    <w:rPr>
      <w:sz w:val="22"/>
    </w:rPr>
  </w:style>
  <w:style w:type="paragraph" w:styleId="Date">
    <w:name w:val="Date"/>
    <w:basedOn w:val="Normal"/>
    <w:next w:val="Normal"/>
    <w:link w:val="DateChar"/>
    <w:rsid w:val="000132B5"/>
  </w:style>
  <w:style w:type="character" w:customStyle="1" w:styleId="DateChar">
    <w:name w:val="Date Char"/>
    <w:basedOn w:val="DefaultParagraphFont"/>
    <w:link w:val="Date"/>
    <w:rsid w:val="000132B5"/>
    <w:rPr>
      <w:sz w:val="22"/>
    </w:rPr>
  </w:style>
  <w:style w:type="paragraph" w:styleId="BodyTextFirstIndent">
    <w:name w:val="Body Text First Indent"/>
    <w:basedOn w:val="BodyText"/>
    <w:link w:val="BodyTextFirstIndentChar"/>
    <w:rsid w:val="000132B5"/>
    <w:pPr>
      <w:ind w:firstLine="210"/>
    </w:pPr>
  </w:style>
  <w:style w:type="character" w:customStyle="1" w:styleId="BodyTextFirstIndentChar">
    <w:name w:val="Body Text First Indent Char"/>
    <w:basedOn w:val="BodyTextChar"/>
    <w:link w:val="BodyTextFirstIndent"/>
    <w:rsid w:val="000132B5"/>
    <w:rPr>
      <w:sz w:val="22"/>
    </w:rPr>
  </w:style>
  <w:style w:type="paragraph" w:styleId="BodyTextFirstIndent2">
    <w:name w:val="Body Text First Indent 2"/>
    <w:basedOn w:val="BodyTextIndent"/>
    <w:link w:val="BodyTextFirstIndent2Char"/>
    <w:rsid w:val="000132B5"/>
    <w:pPr>
      <w:ind w:firstLine="210"/>
    </w:pPr>
  </w:style>
  <w:style w:type="character" w:customStyle="1" w:styleId="BodyTextFirstIndent2Char">
    <w:name w:val="Body Text First Indent 2 Char"/>
    <w:basedOn w:val="BodyTextIndentChar"/>
    <w:link w:val="BodyTextFirstIndent2"/>
    <w:rsid w:val="000132B5"/>
    <w:rPr>
      <w:sz w:val="22"/>
    </w:rPr>
  </w:style>
  <w:style w:type="paragraph" w:styleId="BodyText2">
    <w:name w:val="Body Text 2"/>
    <w:basedOn w:val="Normal"/>
    <w:link w:val="BodyText2Char"/>
    <w:rsid w:val="000132B5"/>
    <w:pPr>
      <w:spacing w:after="120" w:line="480" w:lineRule="auto"/>
    </w:pPr>
  </w:style>
  <w:style w:type="character" w:customStyle="1" w:styleId="BodyText2Char">
    <w:name w:val="Body Text 2 Char"/>
    <w:basedOn w:val="DefaultParagraphFont"/>
    <w:link w:val="BodyText2"/>
    <w:rsid w:val="000132B5"/>
    <w:rPr>
      <w:sz w:val="22"/>
    </w:rPr>
  </w:style>
  <w:style w:type="paragraph" w:styleId="BodyText3">
    <w:name w:val="Body Text 3"/>
    <w:basedOn w:val="Normal"/>
    <w:link w:val="BodyText3Char"/>
    <w:rsid w:val="000132B5"/>
    <w:pPr>
      <w:spacing w:after="120"/>
    </w:pPr>
    <w:rPr>
      <w:sz w:val="16"/>
      <w:szCs w:val="16"/>
    </w:rPr>
  </w:style>
  <w:style w:type="character" w:customStyle="1" w:styleId="BodyText3Char">
    <w:name w:val="Body Text 3 Char"/>
    <w:basedOn w:val="DefaultParagraphFont"/>
    <w:link w:val="BodyText3"/>
    <w:rsid w:val="000132B5"/>
    <w:rPr>
      <w:sz w:val="16"/>
      <w:szCs w:val="16"/>
    </w:rPr>
  </w:style>
  <w:style w:type="paragraph" w:styleId="BodyTextIndent2">
    <w:name w:val="Body Text Indent 2"/>
    <w:basedOn w:val="Normal"/>
    <w:link w:val="BodyTextIndent2Char"/>
    <w:rsid w:val="000132B5"/>
    <w:pPr>
      <w:spacing w:after="120" w:line="480" w:lineRule="auto"/>
      <w:ind w:left="283"/>
    </w:pPr>
  </w:style>
  <w:style w:type="character" w:customStyle="1" w:styleId="BodyTextIndent2Char">
    <w:name w:val="Body Text Indent 2 Char"/>
    <w:basedOn w:val="DefaultParagraphFont"/>
    <w:link w:val="BodyTextIndent2"/>
    <w:rsid w:val="000132B5"/>
    <w:rPr>
      <w:sz w:val="22"/>
    </w:rPr>
  </w:style>
  <w:style w:type="paragraph" w:styleId="BodyTextIndent3">
    <w:name w:val="Body Text Indent 3"/>
    <w:basedOn w:val="Normal"/>
    <w:link w:val="BodyTextIndent3Char"/>
    <w:rsid w:val="000132B5"/>
    <w:pPr>
      <w:spacing w:after="120"/>
      <w:ind w:left="283"/>
    </w:pPr>
    <w:rPr>
      <w:sz w:val="16"/>
      <w:szCs w:val="16"/>
    </w:rPr>
  </w:style>
  <w:style w:type="character" w:customStyle="1" w:styleId="BodyTextIndent3Char">
    <w:name w:val="Body Text Indent 3 Char"/>
    <w:basedOn w:val="DefaultParagraphFont"/>
    <w:link w:val="BodyTextIndent3"/>
    <w:rsid w:val="000132B5"/>
    <w:rPr>
      <w:sz w:val="16"/>
      <w:szCs w:val="16"/>
    </w:rPr>
  </w:style>
  <w:style w:type="paragraph" w:styleId="BlockText">
    <w:name w:val="Block Text"/>
    <w:basedOn w:val="Normal"/>
    <w:rsid w:val="000132B5"/>
    <w:pPr>
      <w:spacing w:after="120"/>
      <w:ind w:left="1440" w:right="1440"/>
    </w:pPr>
  </w:style>
  <w:style w:type="character" w:styleId="Hyperlink">
    <w:name w:val="Hyperlink"/>
    <w:basedOn w:val="DefaultParagraphFont"/>
    <w:rsid w:val="000132B5"/>
    <w:rPr>
      <w:color w:val="0000FF"/>
      <w:u w:val="single"/>
    </w:rPr>
  </w:style>
  <w:style w:type="character" w:styleId="FollowedHyperlink">
    <w:name w:val="FollowedHyperlink"/>
    <w:basedOn w:val="DefaultParagraphFont"/>
    <w:rsid w:val="000132B5"/>
    <w:rPr>
      <w:color w:val="800080"/>
      <w:u w:val="single"/>
    </w:rPr>
  </w:style>
  <w:style w:type="character" w:styleId="Strong">
    <w:name w:val="Strong"/>
    <w:basedOn w:val="DefaultParagraphFont"/>
    <w:qFormat/>
    <w:rsid w:val="000132B5"/>
    <w:rPr>
      <w:b/>
      <w:bCs/>
    </w:rPr>
  </w:style>
  <w:style w:type="character" w:styleId="Emphasis">
    <w:name w:val="Emphasis"/>
    <w:basedOn w:val="DefaultParagraphFont"/>
    <w:qFormat/>
    <w:rsid w:val="000132B5"/>
    <w:rPr>
      <w:i/>
      <w:iCs/>
    </w:rPr>
  </w:style>
  <w:style w:type="paragraph" w:styleId="DocumentMap">
    <w:name w:val="Document Map"/>
    <w:basedOn w:val="Normal"/>
    <w:link w:val="DocumentMapChar"/>
    <w:rsid w:val="000132B5"/>
    <w:pPr>
      <w:shd w:val="clear" w:color="auto" w:fill="000080"/>
    </w:pPr>
    <w:rPr>
      <w:rFonts w:ascii="Tahoma" w:hAnsi="Tahoma" w:cs="Tahoma"/>
    </w:rPr>
  </w:style>
  <w:style w:type="character" w:customStyle="1" w:styleId="DocumentMapChar">
    <w:name w:val="Document Map Char"/>
    <w:basedOn w:val="DefaultParagraphFont"/>
    <w:link w:val="DocumentMap"/>
    <w:rsid w:val="000132B5"/>
    <w:rPr>
      <w:rFonts w:ascii="Tahoma" w:hAnsi="Tahoma" w:cs="Tahoma"/>
      <w:sz w:val="22"/>
      <w:shd w:val="clear" w:color="auto" w:fill="000080"/>
    </w:rPr>
  </w:style>
  <w:style w:type="paragraph" w:styleId="PlainText">
    <w:name w:val="Plain Text"/>
    <w:basedOn w:val="Normal"/>
    <w:link w:val="PlainTextChar"/>
    <w:rsid w:val="000132B5"/>
    <w:rPr>
      <w:rFonts w:ascii="Courier New" w:hAnsi="Courier New" w:cs="Courier New"/>
      <w:sz w:val="20"/>
    </w:rPr>
  </w:style>
  <w:style w:type="character" w:customStyle="1" w:styleId="PlainTextChar">
    <w:name w:val="Plain Text Char"/>
    <w:basedOn w:val="DefaultParagraphFont"/>
    <w:link w:val="PlainText"/>
    <w:rsid w:val="000132B5"/>
    <w:rPr>
      <w:rFonts w:ascii="Courier New" w:hAnsi="Courier New" w:cs="Courier New"/>
    </w:rPr>
  </w:style>
  <w:style w:type="paragraph" w:styleId="E-mailSignature">
    <w:name w:val="E-mail Signature"/>
    <w:basedOn w:val="Normal"/>
    <w:link w:val="E-mailSignatureChar"/>
    <w:rsid w:val="000132B5"/>
  </w:style>
  <w:style w:type="character" w:customStyle="1" w:styleId="E-mailSignatureChar">
    <w:name w:val="E-mail Signature Char"/>
    <w:basedOn w:val="DefaultParagraphFont"/>
    <w:link w:val="E-mailSignature"/>
    <w:rsid w:val="000132B5"/>
    <w:rPr>
      <w:sz w:val="22"/>
    </w:rPr>
  </w:style>
  <w:style w:type="paragraph" w:styleId="NormalWeb">
    <w:name w:val="Normal (Web)"/>
    <w:basedOn w:val="Normal"/>
    <w:rsid w:val="000132B5"/>
  </w:style>
  <w:style w:type="character" w:styleId="HTMLAcronym">
    <w:name w:val="HTML Acronym"/>
    <w:basedOn w:val="DefaultParagraphFont"/>
    <w:rsid w:val="000132B5"/>
  </w:style>
  <w:style w:type="paragraph" w:styleId="HTMLAddress">
    <w:name w:val="HTML Address"/>
    <w:basedOn w:val="Normal"/>
    <w:link w:val="HTMLAddressChar"/>
    <w:rsid w:val="000132B5"/>
    <w:rPr>
      <w:i/>
      <w:iCs/>
    </w:rPr>
  </w:style>
  <w:style w:type="character" w:customStyle="1" w:styleId="HTMLAddressChar">
    <w:name w:val="HTML Address Char"/>
    <w:basedOn w:val="DefaultParagraphFont"/>
    <w:link w:val="HTMLAddress"/>
    <w:rsid w:val="000132B5"/>
    <w:rPr>
      <w:i/>
      <w:iCs/>
      <w:sz w:val="22"/>
    </w:rPr>
  </w:style>
  <w:style w:type="character" w:styleId="HTMLCite">
    <w:name w:val="HTML Cite"/>
    <w:basedOn w:val="DefaultParagraphFont"/>
    <w:rsid w:val="000132B5"/>
    <w:rPr>
      <w:i/>
      <w:iCs/>
    </w:rPr>
  </w:style>
  <w:style w:type="character" w:styleId="HTMLCode">
    <w:name w:val="HTML Code"/>
    <w:basedOn w:val="DefaultParagraphFont"/>
    <w:rsid w:val="000132B5"/>
    <w:rPr>
      <w:rFonts w:ascii="Courier New" w:hAnsi="Courier New" w:cs="Courier New"/>
      <w:sz w:val="20"/>
      <w:szCs w:val="20"/>
    </w:rPr>
  </w:style>
  <w:style w:type="character" w:styleId="HTMLDefinition">
    <w:name w:val="HTML Definition"/>
    <w:basedOn w:val="DefaultParagraphFont"/>
    <w:rsid w:val="000132B5"/>
    <w:rPr>
      <w:i/>
      <w:iCs/>
    </w:rPr>
  </w:style>
  <w:style w:type="character" w:styleId="HTMLKeyboard">
    <w:name w:val="HTML Keyboard"/>
    <w:basedOn w:val="DefaultParagraphFont"/>
    <w:rsid w:val="000132B5"/>
    <w:rPr>
      <w:rFonts w:ascii="Courier New" w:hAnsi="Courier New" w:cs="Courier New"/>
      <w:sz w:val="20"/>
      <w:szCs w:val="20"/>
    </w:rPr>
  </w:style>
  <w:style w:type="paragraph" w:styleId="HTMLPreformatted">
    <w:name w:val="HTML Preformatted"/>
    <w:basedOn w:val="Normal"/>
    <w:link w:val="HTMLPreformattedChar"/>
    <w:rsid w:val="000132B5"/>
    <w:rPr>
      <w:rFonts w:ascii="Courier New" w:hAnsi="Courier New" w:cs="Courier New"/>
      <w:sz w:val="20"/>
    </w:rPr>
  </w:style>
  <w:style w:type="character" w:customStyle="1" w:styleId="HTMLPreformattedChar">
    <w:name w:val="HTML Preformatted Char"/>
    <w:basedOn w:val="DefaultParagraphFont"/>
    <w:link w:val="HTMLPreformatted"/>
    <w:rsid w:val="000132B5"/>
    <w:rPr>
      <w:rFonts w:ascii="Courier New" w:hAnsi="Courier New" w:cs="Courier New"/>
    </w:rPr>
  </w:style>
  <w:style w:type="character" w:styleId="HTMLSample">
    <w:name w:val="HTML Sample"/>
    <w:basedOn w:val="DefaultParagraphFont"/>
    <w:rsid w:val="000132B5"/>
    <w:rPr>
      <w:rFonts w:ascii="Courier New" w:hAnsi="Courier New" w:cs="Courier New"/>
    </w:rPr>
  </w:style>
  <w:style w:type="character" w:styleId="HTMLTypewriter">
    <w:name w:val="HTML Typewriter"/>
    <w:basedOn w:val="DefaultParagraphFont"/>
    <w:rsid w:val="000132B5"/>
    <w:rPr>
      <w:rFonts w:ascii="Courier New" w:hAnsi="Courier New" w:cs="Courier New"/>
      <w:sz w:val="20"/>
      <w:szCs w:val="20"/>
    </w:rPr>
  </w:style>
  <w:style w:type="character" w:styleId="HTMLVariable">
    <w:name w:val="HTML Variable"/>
    <w:basedOn w:val="DefaultParagraphFont"/>
    <w:rsid w:val="000132B5"/>
    <w:rPr>
      <w:i/>
      <w:iCs/>
    </w:rPr>
  </w:style>
  <w:style w:type="paragraph" w:styleId="CommentSubject">
    <w:name w:val="annotation subject"/>
    <w:basedOn w:val="CommentText"/>
    <w:next w:val="CommentText"/>
    <w:link w:val="CommentSubjectChar"/>
    <w:rsid w:val="000132B5"/>
    <w:rPr>
      <w:b/>
      <w:bCs/>
    </w:rPr>
  </w:style>
  <w:style w:type="character" w:customStyle="1" w:styleId="CommentSubjectChar">
    <w:name w:val="Comment Subject Char"/>
    <w:basedOn w:val="CommentTextChar"/>
    <w:link w:val="CommentSubject"/>
    <w:rsid w:val="000132B5"/>
    <w:rPr>
      <w:b/>
      <w:bCs/>
    </w:rPr>
  </w:style>
  <w:style w:type="numbering" w:styleId="1ai">
    <w:name w:val="Outline List 1"/>
    <w:basedOn w:val="NoList"/>
    <w:rsid w:val="000132B5"/>
    <w:pPr>
      <w:numPr>
        <w:numId w:val="14"/>
      </w:numPr>
    </w:pPr>
  </w:style>
  <w:style w:type="numbering" w:styleId="111111">
    <w:name w:val="Outline List 2"/>
    <w:basedOn w:val="NoList"/>
    <w:rsid w:val="000132B5"/>
    <w:pPr>
      <w:numPr>
        <w:numId w:val="15"/>
      </w:numPr>
    </w:pPr>
  </w:style>
  <w:style w:type="numbering" w:styleId="ArticleSection">
    <w:name w:val="Outline List 3"/>
    <w:basedOn w:val="NoList"/>
    <w:rsid w:val="000132B5"/>
    <w:pPr>
      <w:numPr>
        <w:numId w:val="17"/>
      </w:numPr>
    </w:pPr>
  </w:style>
  <w:style w:type="table" w:styleId="TableSimple1">
    <w:name w:val="Table Simple 1"/>
    <w:basedOn w:val="TableNormal"/>
    <w:rsid w:val="000132B5"/>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132B5"/>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132B5"/>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0132B5"/>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132B5"/>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132B5"/>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132B5"/>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132B5"/>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132B5"/>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132B5"/>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132B5"/>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132B5"/>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132B5"/>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132B5"/>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132B5"/>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0132B5"/>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132B5"/>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132B5"/>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132B5"/>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132B5"/>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132B5"/>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132B5"/>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132B5"/>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132B5"/>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132B5"/>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132B5"/>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132B5"/>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132B5"/>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132B5"/>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132B5"/>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132B5"/>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0132B5"/>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132B5"/>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132B5"/>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0132B5"/>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132B5"/>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0132B5"/>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132B5"/>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132B5"/>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0132B5"/>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132B5"/>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132B5"/>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0132B5"/>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0132B5"/>
    <w:rPr>
      <w:rFonts w:eastAsia="Times New Roman" w:cs="Times New Roman"/>
      <w:b/>
      <w:kern w:val="28"/>
      <w:sz w:val="24"/>
      <w:lang w:eastAsia="en-AU"/>
    </w:rPr>
  </w:style>
  <w:style w:type="paragraph" w:styleId="ListParagraph">
    <w:name w:val="List Paragraph"/>
    <w:basedOn w:val="Normal"/>
    <w:uiPriority w:val="34"/>
    <w:qFormat/>
    <w:rsid w:val="00D711F8"/>
    <w:pPr>
      <w:ind w:left="720"/>
      <w:contextualSpacing/>
    </w:pPr>
  </w:style>
  <w:style w:type="paragraph" w:styleId="Revision">
    <w:name w:val="Revision"/>
    <w:hidden/>
    <w:uiPriority w:val="99"/>
    <w:semiHidden/>
    <w:rsid w:val="009D6DE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2916">
      <w:bodyDiv w:val="1"/>
      <w:marLeft w:val="0"/>
      <w:marRight w:val="0"/>
      <w:marTop w:val="0"/>
      <w:marBottom w:val="0"/>
      <w:divBdr>
        <w:top w:val="none" w:sz="0" w:space="0" w:color="auto"/>
        <w:left w:val="none" w:sz="0" w:space="0" w:color="auto"/>
        <w:bottom w:val="none" w:sz="0" w:space="0" w:color="auto"/>
        <w:right w:val="none" w:sz="0" w:space="0" w:color="auto"/>
      </w:divBdr>
    </w:div>
    <w:div w:id="206845304">
      <w:bodyDiv w:val="1"/>
      <w:marLeft w:val="0"/>
      <w:marRight w:val="0"/>
      <w:marTop w:val="0"/>
      <w:marBottom w:val="0"/>
      <w:divBdr>
        <w:top w:val="none" w:sz="0" w:space="0" w:color="auto"/>
        <w:left w:val="none" w:sz="0" w:space="0" w:color="auto"/>
        <w:bottom w:val="none" w:sz="0" w:space="0" w:color="auto"/>
        <w:right w:val="none" w:sz="0" w:space="0" w:color="auto"/>
      </w:divBdr>
    </w:div>
    <w:div w:id="911428057">
      <w:bodyDiv w:val="1"/>
      <w:marLeft w:val="0"/>
      <w:marRight w:val="0"/>
      <w:marTop w:val="0"/>
      <w:marBottom w:val="0"/>
      <w:divBdr>
        <w:top w:val="none" w:sz="0" w:space="0" w:color="auto"/>
        <w:left w:val="none" w:sz="0" w:space="0" w:color="auto"/>
        <w:bottom w:val="none" w:sz="0" w:space="0" w:color="auto"/>
        <w:right w:val="none" w:sz="0" w:space="0" w:color="auto"/>
      </w:divBdr>
    </w:div>
    <w:div w:id="1482846844">
      <w:bodyDiv w:val="1"/>
      <w:marLeft w:val="0"/>
      <w:marRight w:val="0"/>
      <w:marTop w:val="0"/>
      <w:marBottom w:val="0"/>
      <w:divBdr>
        <w:top w:val="none" w:sz="0" w:space="0" w:color="auto"/>
        <w:left w:val="none" w:sz="0" w:space="0" w:color="auto"/>
        <w:bottom w:val="none" w:sz="0" w:space="0" w:color="auto"/>
        <w:right w:val="none" w:sz="0" w:space="0" w:color="auto"/>
      </w:divBdr>
    </w:div>
    <w:div w:id="1790397785">
      <w:bodyDiv w:val="1"/>
      <w:marLeft w:val="0"/>
      <w:marRight w:val="0"/>
      <w:marTop w:val="0"/>
      <w:marBottom w:val="0"/>
      <w:divBdr>
        <w:top w:val="none" w:sz="0" w:space="0" w:color="auto"/>
        <w:left w:val="none" w:sz="0" w:space="0" w:color="auto"/>
        <w:bottom w:val="none" w:sz="0" w:space="0" w:color="auto"/>
        <w:right w:val="none" w:sz="0" w:space="0" w:color="auto"/>
      </w:divBdr>
    </w:div>
    <w:div w:id="200778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fontTable" Target="fontTable.xml"/><Relationship Id="rId21" Type="http://schemas.openxmlformats.org/officeDocument/2006/relationships/footer" Target="footer5.xml"/><Relationship Id="rId34" Type="http://schemas.openxmlformats.org/officeDocument/2006/relationships/header" Target="header1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eader" Target="header12.xml"/><Relationship Id="rId38"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oter" Target="footer11.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0015\OneDrive%20-%20Agriculture\Documents\Chemicals\ICEMR%20Amendment%202023%20no%201%20instrument%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04827F88-EC2F-40E3-832B-6C108D63CA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DMS Document" ma:contentTypeID="0x010100266966F133664895A6EE3632470D45F500B5854187899C1940830A6EF2E1423155" ma:contentTypeVersion="" ma:contentTypeDescription="PDMS Document Site Content Type" ma:contentTypeScope="" ma:versionID="8a0b0585ac1be677afd39d2400918adf">
  <xsd:schema xmlns:xsd="http://www.w3.org/2001/XMLSchema" xmlns:xs="http://www.w3.org/2001/XMLSchema" xmlns:p="http://schemas.microsoft.com/office/2006/metadata/properties" xmlns:ns2="04827F88-EC2F-40E3-832B-6C108D63CA0D" targetNamespace="http://schemas.microsoft.com/office/2006/metadata/properties" ma:root="true" ma:fieldsID="7376ede28e208cdd6d1374775ffa26fe" ns2:_="">
    <xsd:import namespace="04827F88-EC2F-40E3-832B-6C108D63CA0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27F88-EC2F-40E3-832B-6C108D63CA0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EF0AE0-8421-4EC4-B03E-121046EAE1E7}">
  <ds:schemaRefs>
    <ds:schemaRef ds:uri="http://schemas.openxmlformats.org/officeDocument/2006/bibliography"/>
  </ds:schemaRefs>
</ds:datastoreItem>
</file>

<file path=customXml/itemProps2.xml><?xml version="1.0" encoding="utf-8"?>
<ds:datastoreItem xmlns:ds="http://schemas.openxmlformats.org/officeDocument/2006/customXml" ds:itemID="{6B31AD3D-E3E0-4D0C-93C8-64E60942A1AB}">
  <ds:schemaRef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 ds:uri="http://purl.org/dc/dcmitype/"/>
    <ds:schemaRef ds:uri="http://schemas.openxmlformats.org/package/2006/metadata/core-properties"/>
    <ds:schemaRef ds:uri="04827F88-EC2F-40E3-832B-6C108D63CA0D"/>
  </ds:schemaRefs>
</ds:datastoreItem>
</file>

<file path=customXml/itemProps3.xml><?xml version="1.0" encoding="utf-8"?>
<ds:datastoreItem xmlns:ds="http://schemas.openxmlformats.org/officeDocument/2006/customXml" ds:itemID="{495611E0-5D0A-49CA-A93C-DD404F756E06}">
  <ds:schemaRefs>
    <ds:schemaRef ds:uri="http://schemas.microsoft.com/sharepoint/v3/contenttype/forms"/>
  </ds:schemaRefs>
</ds:datastoreItem>
</file>

<file path=customXml/itemProps4.xml><?xml version="1.0" encoding="utf-8"?>
<ds:datastoreItem xmlns:ds="http://schemas.openxmlformats.org/officeDocument/2006/customXml" ds:itemID="{791E7AEA-BBC9-46B7-9D31-36ABADFCF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27F88-EC2F-40E3-832B-6C108D63C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ICEMR Amendment 2023 no 1 instrument </Template>
  <TotalTime>0</TotalTime>
  <Pages>48</Pages>
  <Words>8566</Words>
  <Characters>48830</Characters>
  <Application>Microsoft Office Word</Application>
  <DocSecurity>4</DocSecurity>
  <PresentationFormat/>
  <Lines>406</Lines>
  <Paragraphs>114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2023-12-14T00:48:00Z</dcterms:created>
  <dcterms:modified xsi:type="dcterms:W3CDTF">2023-12-14T00:48:00Z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0x010100266966F133664895A6EE3632470D45F500B5854187899C1940830A6EF2E1423155</vt:lpwstr>
  </property>
</Properties>
</file>