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69DE" w14:textId="518AB98D" w:rsidR="00A36118" w:rsidRDefault="00A36118" w:rsidP="00A36118">
      <w:pPr>
        <w:jc w:val="center"/>
        <w:rPr>
          <w:rFonts w:ascii="Times New Roman" w:eastAsia="Times New Roman" w:hAnsi="Times New Roman" w:cs="Times New Roman"/>
          <w:b/>
          <w:bCs/>
          <w:sz w:val="28"/>
          <w:szCs w:val="28"/>
          <w:u w:val="single"/>
        </w:rPr>
      </w:pPr>
      <w:r w:rsidRPr="00A36118">
        <w:rPr>
          <w:rFonts w:ascii="Times New Roman" w:eastAsia="Times New Roman" w:hAnsi="Times New Roman" w:cs="Times New Roman"/>
          <w:b/>
          <w:bCs/>
          <w:sz w:val="28"/>
          <w:szCs w:val="28"/>
          <w:u w:val="single"/>
        </w:rPr>
        <w:t>Work Health and Safety Amendment (</w:t>
      </w:r>
      <w:r w:rsidR="004F340A">
        <w:rPr>
          <w:rFonts w:ascii="Times New Roman" w:eastAsia="Times New Roman" w:hAnsi="Times New Roman" w:cs="Times New Roman"/>
          <w:b/>
          <w:bCs/>
          <w:sz w:val="28"/>
          <w:szCs w:val="28"/>
          <w:u w:val="single"/>
        </w:rPr>
        <w:t>C</w:t>
      </w:r>
      <w:r w:rsidRPr="00A36118">
        <w:rPr>
          <w:rFonts w:ascii="Times New Roman" w:eastAsia="Times New Roman" w:hAnsi="Times New Roman" w:cs="Times New Roman"/>
          <w:b/>
          <w:bCs/>
          <w:sz w:val="28"/>
          <w:szCs w:val="28"/>
          <w:u w:val="single"/>
        </w:rPr>
        <w:t>hemical</w:t>
      </w:r>
      <w:r w:rsidR="00385568">
        <w:rPr>
          <w:rFonts w:ascii="Times New Roman" w:eastAsia="Times New Roman" w:hAnsi="Times New Roman" w:cs="Times New Roman"/>
          <w:b/>
          <w:bCs/>
          <w:sz w:val="28"/>
          <w:szCs w:val="28"/>
          <w:u w:val="single"/>
        </w:rPr>
        <w:t>s</w:t>
      </w:r>
      <w:r w:rsidRPr="00A36118">
        <w:rPr>
          <w:rFonts w:ascii="Times New Roman" w:eastAsia="Times New Roman" w:hAnsi="Times New Roman" w:cs="Times New Roman"/>
          <w:b/>
          <w:bCs/>
          <w:sz w:val="28"/>
          <w:szCs w:val="28"/>
          <w:u w:val="single"/>
        </w:rPr>
        <w:t xml:space="preserve"> </w:t>
      </w:r>
      <w:r w:rsidR="004F340A">
        <w:rPr>
          <w:rFonts w:ascii="Times New Roman" w:eastAsia="Times New Roman" w:hAnsi="Times New Roman" w:cs="Times New Roman"/>
          <w:b/>
          <w:bCs/>
          <w:sz w:val="28"/>
          <w:szCs w:val="28"/>
          <w:u w:val="single"/>
        </w:rPr>
        <w:t>L</w:t>
      </w:r>
      <w:r w:rsidRPr="00A36118">
        <w:rPr>
          <w:rFonts w:ascii="Times New Roman" w:eastAsia="Times New Roman" w:hAnsi="Times New Roman" w:cs="Times New Roman"/>
          <w:b/>
          <w:bCs/>
          <w:sz w:val="28"/>
          <w:szCs w:val="28"/>
          <w:u w:val="single"/>
        </w:rPr>
        <w:t>abelling) Regulations</w:t>
      </w:r>
      <w:r w:rsidR="00AF5DF2">
        <w:rPr>
          <w:rFonts w:ascii="Times New Roman" w:eastAsia="Times New Roman" w:hAnsi="Times New Roman" w:cs="Times New Roman"/>
          <w:b/>
          <w:bCs/>
          <w:sz w:val="28"/>
          <w:szCs w:val="28"/>
          <w:u w:val="single"/>
        </w:rPr>
        <w:t> </w:t>
      </w:r>
      <w:r w:rsidRPr="00A36118">
        <w:rPr>
          <w:rFonts w:ascii="Times New Roman" w:eastAsia="Times New Roman" w:hAnsi="Times New Roman" w:cs="Times New Roman"/>
          <w:b/>
          <w:bCs/>
          <w:sz w:val="28"/>
          <w:szCs w:val="28"/>
          <w:u w:val="single"/>
        </w:rPr>
        <w:t>2023</w:t>
      </w:r>
    </w:p>
    <w:p w14:paraId="41BB1CBC" w14:textId="7B49D196" w:rsidR="00A36118" w:rsidRDefault="00A36118" w:rsidP="00A36118">
      <w:pPr>
        <w:jc w:val="center"/>
        <w:rPr>
          <w:rFonts w:ascii="Times New Roman" w:eastAsia="Times New Roman" w:hAnsi="Times New Roman" w:cs="Times New Roman"/>
          <w:b/>
          <w:bCs/>
          <w:sz w:val="28"/>
          <w:szCs w:val="28"/>
          <w:u w:val="single"/>
        </w:rPr>
      </w:pPr>
      <w:r w:rsidRPr="5D70810D">
        <w:rPr>
          <w:rFonts w:ascii="Times New Roman" w:eastAsia="Times New Roman" w:hAnsi="Times New Roman" w:cs="Times New Roman"/>
          <w:b/>
          <w:bCs/>
          <w:sz w:val="28"/>
          <w:szCs w:val="28"/>
          <w:u w:val="single"/>
        </w:rPr>
        <w:t>EXPLANATORY STATEMENT</w:t>
      </w:r>
      <w:r w:rsidRPr="5D70810D">
        <w:rPr>
          <w:rFonts w:ascii="Times New Roman" w:eastAsia="Times New Roman" w:hAnsi="Times New Roman" w:cs="Times New Roman"/>
          <w:b/>
          <w:bCs/>
          <w:sz w:val="28"/>
          <w:szCs w:val="28"/>
        </w:rPr>
        <w:t xml:space="preserve"> </w:t>
      </w:r>
    </w:p>
    <w:p w14:paraId="281388E6" w14:textId="77777777" w:rsidR="000524C5" w:rsidRDefault="000524C5" w:rsidP="000524C5">
      <w:pPr>
        <w:rPr>
          <w:rFonts w:ascii="Times New Roman" w:eastAsia="Times New Roman" w:hAnsi="Times New Roman" w:cs="Times New Roman"/>
          <w:b/>
          <w:bCs/>
          <w:sz w:val="24"/>
          <w:szCs w:val="24"/>
        </w:rPr>
      </w:pPr>
      <w:r w:rsidRPr="65BA0ACF">
        <w:rPr>
          <w:rFonts w:ascii="Times New Roman" w:eastAsia="Times New Roman" w:hAnsi="Times New Roman" w:cs="Times New Roman"/>
          <w:b/>
          <w:bCs/>
          <w:sz w:val="24"/>
          <w:szCs w:val="24"/>
        </w:rPr>
        <w:t>PURPOSE AND OPERATION OF THE INSTRUMENT</w:t>
      </w:r>
    </w:p>
    <w:p w14:paraId="14565BF2" w14:textId="5E15B509" w:rsidR="007C5328" w:rsidRPr="00AC26FD" w:rsidRDefault="00594CBC" w:rsidP="00AC26FD">
      <w:pPr>
        <w:rPr>
          <w:rFonts w:ascii="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iCs/>
          <w:sz w:val="24"/>
          <w:szCs w:val="24"/>
        </w:rPr>
        <w:t>Work Health and Safety Amendment (</w:t>
      </w:r>
      <w:r w:rsidR="002474CB">
        <w:rPr>
          <w:rFonts w:ascii="Times New Roman" w:eastAsia="Times New Roman" w:hAnsi="Times New Roman" w:cs="Times New Roman"/>
          <w:i/>
          <w:iCs/>
          <w:sz w:val="24"/>
          <w:szCs w:val="24"/>
        </w:rPr>
        <w:t>C</w:t>
      </w:r>
      <w:r w:rsidR="00176CA6">
        <w:rPr>
          <w:rFonts w:ascii="Times New Roman" w:eastAsia="Times New Roman" w:hAnsi="Times New Roman" w:cs="Times New Roman"/>
          <w:i/>
          <w:iCs/>
          <w:sz w:val="24"/>
          <w:szCs w:val="24"/>
        </w:rPr>
        <w:t>hemical</w:t>
      </w:r>
      <w:r w:rsidR="00B85151">
        <w:rPr>
          <w:rFonts w:ascii="Times New Roman" w:eastAsia="Times New Roman" w:hAnsi="Times New Roman" w:cs="Times New Roman"/>
          <w:i/>
          <w:iCs/>
          <w:sz w:val="24"/>
          <w:szCs w:val="24"/>
        </w:rPr>
        <w:t>s</w:t>
      </w:r>
      <w:r w:rsidR="00176CA6">
        <w:rPr>
          <w:rFonts w:ascii="Times New Roman" w:eastAsia="Times New Roman" w:hAnsi="Times New Roman" w:cs="Times New Roman"/>
          <w:i/>
          <w:iCs/>
          <w:sz w:val="24"/>
          <w:szCs w:val="24"/>
        </w:rPr>
        <w:t xml:space="preserve"> </w:t>
      </w:r>
      <w:r w:rsidR="00B85151">
        <w:rPr>
          <w:rFonts w:ascii="Times New Roman" w:eastAsia="Times New Roman" w:hAnsi="Times New Roman" w:cs="Times New Roman"/>
          <w:i/>
          <w:iCs/>
          <w:sz w:val="24"/>
          <w:szCs w:val="24"/>
        </w:rPr>
        <w:t>L</w:t>
      </w:r>
      <w:r w:rsidR="00176CA6">
        <w:rPr>
          <w:rFonts w:ascii="Times New Roman" w:eastAsia="Times New Roman" w:hAnsi="Times New Roman" w:cs="Times New Roman"/>
          <w:i/>
          <w:iCs/>
          <w:sz w:val="24"/>
          <w:szCs w:val="24"/>
        </w:rPr>
        <w:t xml:space="preserve">abelling) Regulations </w:t>
      </w:r>
      <w:r w:rsidR="00176CA6" w:rsidRPr="00305183">
        <w:rPr>
          <w:rFonts w:ascii="Times New Roman" w:eastAsia="Times New Roman" w:hAnsi="Times New Roman" w:cs="Times New Roman"/>
          <w:i/>
          <w:iCs/>
          <w:sz w:val="24"/>
          <w:szCs w:val="24"/>
        </w:rPr>
        <w:t>2023</w:t>
      </w:r>
      <w:r w:rsidR="00176CA6" w:rsidRPr="00305183">
        <w:rPr>
          <w:rFonts w:ascii="Times New Roman" w:eastAsia="Times New Roman" w:hAnsi="Times New Roman" w:cs="Times New Roman"/>
          <w:sz w:val="24"/>
          <w:szCs w:val="24"/>
        </w:rPr>
        <w:t xml:space="preserve"> (Amendment Regulations) </w:t>
      </w:r>
      <w:r w:rsidR="0040495F" w:rsidRPr="00305183">
        <w:rPr>
          <w:rFonts w:ascii="Times New Roman" w:eastAsia="Times New Roman" w:hAnsi="Times New Roman" w:cs="Times New Roman"/>
          <w:sz w:val="24"/>
          <w:szCs w:val="24"/>
        </w:rPr>
        <w:t xml:space="preserve">amend the </w:t>
      </w:r>
      <w:r w:rsidR="0040495F" w:rsidRPr="00305183">
        <w:rPr>
          <w:rFonts w:ascii="Times New Roman" w:eastAsia="Times New Roman" w:hAnsi="Times New Roman" w:cs="Times New Roman"/>
          <w:i/>
          <w:iCs/>
          <w:sz w:val="24"/>
          <w:szCs w:val="24"/>
        </w:rPr>
        <w:t xml:space="preserve">Work Health and Safety </w:t>
      </w:r>
      <w:r w:rsidR="00EB698B" w:rsidRPr="00305183">
        <w:rPr>
          <w:rFonts w:ascii="Times New Roman" w:eastAsia="Times New Roman" w:hAnsi="Times New Roman" w:cs="Times New Roman"/>
          <w:i/>
          <w:iCs/>
          <w:sz w:val="24"/>
          <w:szCs w:val="24"/>
        </w:rPr>
        <w:t>Regulations 2011</w:t>
      </w:r>
      <w:r w:rsidR="00EB698B" w:rsidRPr="00305183">
        <w:rPr>
          <w:rFonts w:ascii="Times New Roman" w:eastAsia="Times New Roman" w:hAnsi="Times New Roman" w:cs="Times New Roman"/>
          <w:sz w:val="24"/>
          <w:szCs w:val="24"/>
        </w:rPr>
        <w:t xml:space="preserve"> (Principal Regulations) to</w:t>
      </w:r>
      <w:r w:rsidR="003D7020" w:rsidRPr="00305183">
        <w:rPr>
          <w:rFonts w:ascii="Times New Roman" w:eastAsia="Times New Roman" w:hAnsi="Times New Roman" w:cs="Times New Roman"/>
          <w:sz w:val="24"/>
          <w:szCs w:val="24"/>
        </w:rPr>
        <w:t xml:space="preserve"> r</w:t>
      </w:r>
      <w:r w:rsidR="008A59EB" w:rsidRPr="00AC26FD">
        <w:rPr>
          <w:rFonts w:ascii="Times New Roman" w:hAnsi="Times New Roman" w:cs="Times New Roman"/>
          <w:sz w:val="24"/>
          <w:szCs w:val="24"/>
        </w:rPr>
        <w:t>emove</w:t>
      </w:r>
      <w:r w:rsidR="007C5328" w:rsidRPr="00AC26FD">
        <w:rPr>
          <w:rFonts w:ascii="Times New Roman" w:hAnsi="Times New Roman" w:cs="Times New Roman"/>
          <w:sz w:val="24"/>
          <w:szCs w:val="24"/>
        </w:rPr>
        <w:t xml:space="preserve"> </w:t>
      </w:r>
      <w:r w:rsidR="001E440B">
        <w:rPr>
          <w:rFonts w:ascii="Times New Roman" w:hAnsi="Times New Roman" w:cs="Times New Roman"/>
          <w:sz w:val="24"/>
          <w:szCs w:val="24"/>
        </w:rPr>
        <w:t xml:space="preserve">‘sunsetting’ </w:t>
      </w:r>
      <w:r w:rsidR="00DF00D0">
        <w:rPr>
          <w:rFonts w:ascii="Times New Roman" w:hAnsi="Times New Roman" w:cs="Times New Roman"/>
          <w:sz w:val="24"/>
          <w:szCs w:val="24"/>
        </w:rPr>
        <w:t>provisions</w:t>
      </w:r>
      <w:r w:rsidR="00956B19">
        <w:rPr>
          <w:rFonts w:ascii="Times New Roman" w:hAnsi="Times New Roman" w:cs="Times New Roman"/>
          <w:sz w:val="24"/>
          <w:szCs w:val="24"/>
        </w:rPr>
        <w:t xml:space="preserve"> which would have the effect of </w:t>
      </w:r>
      <w:r w:rsidR="00482E9A">
        <w:rPr>
          <w:rFonts w:ascii="Times New Roman" w:hAnsi="Times New Roman" w:cs="Times New Roman"/>
          <w:sz w:val="24"/>
          <w:szCs w:val="24"/>
        </w:rPr>
        <w:t>amending existin</w:t>
      </w:r>
      <w:r w:rsidR="00371E9E">
        <w:rPr>
          <w:rFonts w:ascii="Times New Roman" w:hAnsi="Times New Roman" w:cs="Times New Roman"/>
          <w:sz w:val="24"/>
          <w:szCs w:val="24"/>
        </w:rPr>
        <w:t>g</w:t>
      </w:r>
      <w:r w:rsidR="00137D4B">
        <w:rPr>
          <w:rFonts w:ascii="Times New Roman" w:hAnsi="Times New Roman" w:cs="Times New Roman"/>
          <w:sz w:val="24"/>
          <w:szCs w:val="24"/>
        </w:rPr>
        <w:t xml:space="preserve"> </w:t>
      </w:r>
      <w:r w:rsidR="008305BB">
        <w:rPr>
          <w:rFonts w:ascii="Times New Roman" w:hAnsi="Times New Roman" w:cs="Times New Roman"/>
          <w:sz w:val="24"/>
          <w:szCs w:val="24"/>
        </w:rPr>
        <w:t>provisions relating to</w:t>
      </w:r>
      <w:r w:rsidR="00371E9E">
        <w:rPr>
          <w:rFonts w:ascii="Times New Roman" w:hAnsi="Times New Roman" w:cs="Times New Roman"/>
          <w:sz w:val="24"/>
          <w:szCs w:val="24"/>
        </w:rPr>
        <w:t xml:space="preserve"> </w:t>
      </w:r>
      <w:r w:rsidR="00956B19">
        <w:rPr>
          <w:rFonts w:ascii="Times New Roman" w:hAnsi="Times New Roman" w:cs="Times New Roman"/>
          <w:sz w:val="24"/>
          <w:szCs w:val="24"/>
        </w:rPr>
        <w:t>hazardous chemicals labelling.</w:t>
      </w:r>
      <w:r w:rsidR="00E817C7">
        <w:rPr>
          <w:rFonts w:ascii="Times New Roman" w:hAnsi="Times New Roman" w:cs="Times New Roman"/>
          <w:sz w:val="24"/>
          <w:szCs w:val="24"/>
        </w:rPr>
        <w:t xml:space="preserve"> </w:t>
      </w:r>
      <w:r w:rsidR="004412A2">
        <w:rPr>
          <w:rFonts w:ascii="Times New Roman" w:hAnsi="Times New Roman" w:cs="Times New Roman"/>
          <w:sz w:val="24"/>
          <w:szCs w:val="24"/>
        </w:rPr>
        <w:t xml:space="preserve">The provisions which would ‘sunset’ provide for additional circumstances where a hazardous chemical is correctly labelled, for example where it complies with the requirements </w:t>
      </w:r>
      <w:r w:rsidR="00525E90">
        <w:rPr>
          <w:rFonts w:ascii="Times New Roman" w:hAnsi="Times New Roman" w:cs="Times New Roman"/>
          <w:sz w:val="24"/>
          <w:szCs w:val="24"/>
        </w:rPr>
        <w:t xml:space="preserve">of another </w:t>
      </w:r>
      <w:r w:rsidR="00597AEC">
        <w:rPr>
          <w:rFonts w:ascii="Times New Roman" w:hAnsi="Times New Roman" w:cs="Times New Roman"/>
          <w:sz w:val="24"/>
          <w:szCs w:val="24"/>
        </w:rPr>
        <w:t>Commonwealth</w:t>
      </w:r>
      <w:r w:rsidR="00525E90">
        <w:rPr>
          <w:rFonts w:ascii="Times New Roman" w:hAnsi="Times New Roman" w:cs="Times New Roman"/>
          <w:sz w:val="24"/>
          <w:szCs w:val="24"/>
        </w:rPr>
        <w:t xml:space="preserve"> law and the</w:t>
      </w:r>
      <w:r w:rsidR="00597AEC">
        <w:rPr>
          <w:rFonts w:ascii="Times New Roman" w:hAnsi="Times New Roman" w:cs="Times New Roman"/>
          <w:sz w:val="24"/>
          <w:szCs w:val="24"/>
        </w:rPr>
        <w:t xml:space="preserve"> content is substantially the same as that </w:t>
      </w:r>
      <w:r w:rsidR="0097112A">
        <w:rPr>
          <w:rFonts w:ascii="Times New Roman" w:hAnsi="Times New Roman" w:cs="Times New Roman"/>
          <w:sz w:val="24"/>
          <w:szCs w:val="24"/>
        </w:rPr>
        <w:t xml:space="preserve">required </w:t>
      </w:r>
      <w:r w:rsidR="00CD7DC5">
        <w:rPr>
          <w:rFonts w:ascii="Times New Roman" w:hAnsi="Times New Roman" w:cs="Times New Roman"/>
          <w:sz w:val="24"/>
          <w:szCs w:val="24"/>
        </w:rPr>
        <w:t>by the Principal Regulations.</w:t>
      </w:r>
      <w:r w:rsidR="004412A2">
        <w:rPr>
          <w:rFonts w:ascii="Times New Roman" w:hAnsi="Times New Roman" w:cs="Times New Roman"/>
          <w:sz w:val="24"/>
          <w:szCs w:val="24"/>
        </w:rPr>
        <w:t xml:space="preserve"> </w:t>
      </w:r>
      <w:r w:rsidR="00DF00D0">
        <w:rPr>
          <w:rFonts w:ascii="Times New Roman" w:hAnsi="Times New Roman" w:cs="Times New Roman"/>
          <w:sz w:val="24"/>
          <w:szCs w:val="24"/>
        </w:rPr>
        <w:t xml:space="preserve"> </w:t>
      </w:r>
      <w:r w:rsidR="00C641F1" w:rsidRPr="00AC26FD">
        <w:rPr>
          <w:rFonts w:ascii="Times New Roman" w:hAnsi="Times New Roman" w:cs="Times New Roman"/>
          <w:sz w:val="24"/>
          <w:szCs w:val="24"/>
        </w:rPr>
        <w:t xml:space="preserve"> </w:t>
      </w:r>
    </w:p>
    <w:p w14:paraId="7D36A134" w14:textId="78DD5786" w:rsidR="00956B19" w:rsidRPr="00AC26FD" w:rsidRDefault="002A1A77" w:rsidP="00956B19">
      <w:pPr>
        <w:rPr>
          <w:rFonts w:ascii="Times New Roman" w:hAnsi="Times New Roman" w:cs="Times New Roman"/>
          <w:sz w:val="24"/>
          <w:szCs w:val="24"/>
        </w:rPr>
      </w:pPr>
      <w:r>
        <w:rPr>
          <w:rFonts w:ascii="Times New Roman" w:eastAsia="Times New Roman" w:hAnsi="Times New Roman" w:cs="Times New Roman"/>
          <w:sz w:val="24"/>
          <w:szCs w:val="24"/>
        </w:rPr>
        <w:t xml:space="preserve">The purpose of the </w:t>
      </w:r>
      <w:r w:rsidR="005935F0">
        <w:rPr>
          <w:rFonts w:ascii="Times New Roman" w:eastAsia="Times New Roman" w:hAnsi="Times New Roman" w:cs="Times New Roman"/>
          <w:sz w:val="24"/>
          <w:szCs w:val="24"/>
        </w:rPr>
        <w:t xml:space="preserve">Amendment Regulations is to </w:t>
      </w:r>
      <w:r w:rsidR="00A70924">
        <w:rPr>
          <w:rFonts w:ascii="Times New Roman" w:eastAsia="Times New Roman" w:hAnsi="Times New Roman" w:cs="Times New Roman"/>
          <w:sz w:val="24"/>
          <w:szCs w:val="24"/>
        </w:rPr>
        <w:t xml:space="preserve">ensure consistency across the Commonwealth, state and territory work health and safety laws. </w:t>
      </w:r>
      <w:r w:rsidR="001E05F4">
        <w:rPr>
          <w:rFonts w:ascii="Times New Roman" w:eastAsia="Times New Roman" w:hAnsi="Times New Roman" w:cs="Times New Roman"/>
          <w:sz w:val="24"/>
          <w:szCs w:val="24"/>
        </w:rPr>
        <w:t xml:space="preserve">Allowing the </w:t>
      </w:r>
      <w:r w:rsidR="00E817C7">
        <w:rPr>
          <w:rFonts w:ascii="Times New Roman" w:eastAsia="Times New Roman" w:hAnsi="Times New Roman" w:cs="Times New Roman"/>
          <w:sz w:val="24"/>
          <w:szCs w:val="24"/>
        </w:rPr>
        <w:t>amendments to take effect</w:t>
      </w:r>
      <w:r w:rsidR="001E05F4">
        <w:rPr>
          <w:rFonts w:ascii="Times New Roman" w:eastAsia="Times New Roman" w:hAnsi="Times New Roman" w:cs="Times New Roman"/>
          <w:sz w:val="24"/>
          <w:szCs w:val="24"/>
        </w:rPr>
        <w:t xml:space="preserve"> </w:t>
      </w:r>
      <w:r w:rsidR="00956B19" w:rsidRPr="00AC26FD">
        <w:rPr>
          <w:rFonts w:ascii="Times New Roman" w:hAnsi="Times New Roman" w:cs="Times New Roman"/>
          <w:sz w:val="24"/>
          <w:szCs w:val="24"/>
        </w:rPr>
        <w:t xml:space="preserve">would result in inconsistent hazardous chemical labelling requirements </w:t>
      </w:r>
      <w:r w:rsidR="00D8582A">
        <w:rPr>
          <w:rFonts w:ascii="Times New Roman" w:hAnsi="Times New Roman" w:cs="Times New Roman"/>
          <w:sz w:val="24"/>
          <w:szCs w:val="24"/>
        </w:rPr>
        <w:t>across</w:t>
      </w:r>
      <w:r w:rsidR="00956B19" w:rsidRPr="00AC26FD">
        <w:rPr>
          <w:rFonts w:ascii="Times New Roman" w:hAnsi="Times New Roman" w:cs="Times New Roman"/>
          <w:sz w:val="24"/>
          <w:szCs w:val="24"/>
        </w:rPr>
        <w:t xml:space="preserve"> Commonwealth </w:t>
      </w:r>
      <w:r w:rsidR="00956B19">
        <w:rPr>
          <w:rFonts w:ascii="Times New Roman" w:hAnsi="Times New Roman" w:cs="Times New Roman"/>
          <w:sz w:val="24"/>
          <w:szCs w:val="24"/>
        </w:rPr>
        <w:t>work health and safety l</w:t>
      </w:r>
      <w:r w:rsidR="00D8582A">
        <w:rPr>
          <w:rFonts w:ascii="Times New Roman" w:hAnsi="Times New Roman" w:cs="Times New Roman"/>
          <w:sz w:val="24"/>
          <w:szCs w:val="24"/>
        </w:rPr>
        <w:t>egislation</w:t>
      </w:r>
      <w:r w:rsidR="00956B19">
        <w:rPr>
          <w:rFonts w:ascii="Times New Roman" w:hAnsi="Times New Roman" w:cs="Times New Roman"/>
          <w:sz w:val="24"/>
          <w:szCs w:val="24"/>
        </w:rPr>
        <w:t xml:space="preserve"> </w:t>
      </w:r>
      <w:r w:rsidR="00956B19" w:rsidRPr="00AC26FD">
        <w:rPr>
          <w:rFonts w:ascii="Times New Roman" w:hAnsi="Times New Roman" w:cs="Times New Roman"/>
          <w:sz w:val="24"/>
          <w:szCs w:val="24"/>
        </w:rPr>
        <w:t xml:space="preserve">and </w:t>
      </w:r>
      <w:r w:rsidR="00956B19">
        <w:rPr>
          <w:rFonts w:ascii="Times New Roman" w:hAnsi="Times New Roman" w:cs="Times New Roman"/>
          <w:sz w:val="24"/>
          <w:szCs w:val="24"/>
        </w:rPr>
        <w:t>corresponding laws in the</w:t>
      </w:r>
      <w:r w:rsidR="00956B19" w:rsidRPr="00AC26FD">
        <w:rPr>
          <w:rFonts w:ascii="Times New Roman" w:hAnsi="Times New Roman" w:cs="Times New Roman"/>
          <w:sz w:val="24"/>
          <w:szCs w:val="24"/>
        </w:rPr>
        <w:t xml:space="preserve"> states and territories.</w:t>
      </w:r>
    </w:p>
    <w:p w14:paraId="13E3EF84" w14:textId="0DD87611" w:rsidR="00470B60" w:rsidRDefault="00470B60" w:rsidP="007C5328">
      <w:pPr>
        <w:rPr>
          <w:rFonts w:ascii="Times New Roman" w:eastAsia="Times New Roman" w:hAnsi="Times New Roman" w:cs="Times New Roman"/>
          <w:sz w:val="24"/>
          <w:szCs w:val="24"/>
        </w:rPr>
      </w:pPr>
      <w:r w:rsidRPr="007D2B29">
        <w:rPr>
          <w:rFonts w:ascii="Times New Roman" w:eastAsia="Times New Roman" w:hAnsi="Times New Roman" w:cs="Times New Roman"/>
          <w:sz w:val="24"/>
          <w:szCs w:val="24"/>
        </w:rPr>
        <w:t>Subsection 276(1) of the</w:t>
      </w:r>
      <w:r>
        <w:rPr>
          <w:rFonts w:ascii="Times New Roman" w:eastAsia="Times New Roman" w:hAnsi="Times New Roman" w:cs="Times New Roman"/>
          <w:sz w:val="24"/>
          <w:szCs w:val="24"/>
        </w:rPr>
        <w:t xml:space="preserve"> </w:t>
      </w:r>
      <w:r w:rsidRPr="00D8487A">
        <w:rPr>
          <w:rFonts w:ascii="Times New Roman" w:eastAsia="Times New Roman" w:hAnsi="Times New Roman" w:cs="Times New Roman"/>
          <w:i/>
          <w:iCs/>
          <w:sz w:val="24"/>
          <w:szCs w:val="24"/>
        </w:rPr>
        <w:t xml:space="preserve">Work Health and Safety Act </w:t>
      </w:r>
      <w:r w:rsidR="00D8487A" w:rsidRPr="00D8487A">
        <w:rPr>
          <w:rFonts w:ascii="Times New Roman" w:eastAsia="Times New Roman" w:hAnsi="Times New Roman" w:cs="Times New Roman"/>
          <w:i/>
          <w:iCs/>
          <w:sz w:val="24"/>
          <w:szCs w:val="24"/>
        </w:rPr>
        <w:t>2011</w:t>
      </w:r>
      <w:r w:rsidR="00D848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(WHS Act)</w:t>
      </w:r>
      <w:r w:rsidRPr="007D2B29">
        <w:rPr>
          <w:rFonts w:ascii="Times New Roman" w:eastAsia="Times New Roman" w:hAnsi="Times New Roman" w:cs="Times New Roman"/>
          <w:sz w:val="24"/>
          <w:szCs w:val="24"/>
        </w:rPr>
        <w:t xml:space="preserve"> provides that the Governor-General may make regulations in relation to any matter relating to </w:t>
      </w:r>
      <w:r w:rsidR="00A64210">
        <w:rPr>
          <w:rFonts w:ascii="Times New Roman" w:eastAsia="Times New Roman" w:hAnsi="Times New Roman" w:cs="Times New Roman"/>
          <w:sz w:val="24"/>
          <w:szCs w:val="24"/>
        </w:rPr>
        <w:t>work health and safety</w:t>
      </w:r>
      <w:r w:rsidRPr="007D2B29">
        <w:rPr>
          <w:rFonts w:ascii="Times New Roman" w:eastAsia="Times New Roman" w:hAnsi="Times New Roman" w:cs="Times New Roman"/>
          <w:sz w:val="24"/>
          <w:szCs w:val="24"/>
        </w:rPr>
        <w:t xml:space="preserve"> and any matter or thing required or permitted by the WHS Act to be prescribed or that is necessary or convenient to be prescribed to give effect to the WHS Act.</w:t>
      </w:r>
    </w:p>
    <w:p w14:paraId="1D3D5289" w14:textId="1916CD46" w:rsidR="001978B5" w:rsidRDefault="001978B5" w:rsidP="009D0BE1">
      <w:pPr>
        <w:pStyle w:val="xmsonormal"/>
        <w:spacing w:afterLines="160" w:after="384"/>
        <w:rPr>
          <w:rFonts w:ascii="Times New Roman" w:hAnsi="Times New Roman" w:cs="Times New Roman"/>
          <w:i/>
          <w:iCs/>
          <w:sz w:val="24"/>
          <w:szCs w:val="24"/>
        </w:rPr>
      </w:pPr>
      <w:r>
        <w:rPr>
          <w:rFonts w:ascii="Times New Roman" w:hAnsi="Times New Roman" w:cs="Times New Roman"/>
          <w:i/>
          <w:iCs/>
          <w:sz w:val="24"/>
          <w:szCs w:val="24"/>
        </w:rPr>
        <w:t>Sunsetting</w:t>
      </w:r>
    </w:p>
    <w:p w14:paraId="4DFEAF08" w14:textId="721D181E" w:rsidR="001978B5" w:rsidRDefault="001978B5" w:rsidP="009D0BE1">
      <w:pPr>
        <w:pStyle w:val="xmsonormal"/>
        <w:spacing w:afterLines="160" w:after="384"/>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Legislation (Exemptions and Other Matters) Regulation 2015</w:t>
      </w:r>
      <w:r>
        <w:rPr>
          <w:rFonts w:ascii="Times New Roman" w:hAnsi="Times New Roman" w:cs="Times New Roman"/>
          <w:sz w:val="24"/>
          <w:szCs w:val="24"/>
        </w:rPr>
        <w:t xml:space="preserve"> at regulation 12, item 68, provides that a regulation made under WHS Act</w:t>
      </w:r>
      <w:r>
        <w:rPr>
          <w:rFonts w:ascii="Times New Roman" w:hAnsi="Times New Roman" w:cs="Times New Roman"/>
          <w:i/>
          <w:iCs/>
          <w:sz w:val="24"/>
          <w:szCs w:val="24"/>
        </w:rPr>
        <w:t xml:space="preserve"> </w:t>
      </w:r>
      <w:r>
        <w:rPr>
          <w:rFonts w:ascii="Times New Roman" w:hAnsi="Times New Roman" w:cs="Times New Roman"/>
          <w:sz w:val="24"/>
          <w:szCs w:val="24"/>
        </w:rPr>
        <w:t xml:space="preserve">is a legislative instrument that is not subject to sunsetting. The Amendment Regulations </w:t>
      </w:r>
      <w:r w:rsidR="00DF00D0">
        <w:rPr>
          <w:rFonts w:ascii="Times New Roman" w:hAnsi="Times New Roman" w:cs="Times New Roman"/>
          <w:sz w:val="24"/>
          <w:szCs w:val="24"/>
        </w:rPr>
        <w:t xml:space="preserve">are </w:t>
      </w:r>
      <w:r>
        <w:rPr>
          <w:rFonts w:ascii="Times New Roman" w:hAnsi="Times New Roman" w:cs="Times New Roman"/>
          <w:sz w:val="24"/>
          <w:szCs w:val="24"/>
        </w:rPr>
        <w:t>a legislative instrument made under the WHS Act and is therefore exempt</w:t>
      </w:r>
      <w:r w:rsidR="00EC083B">
        <w:rPr>
          <w:rFonts w:ascii="Times New Roman" w:hAnsi="Times New Roman" w:cs="Times New Roman"/>
          <w:sz w:val="24"/>
          <w:szCs w:val="24"/>
        </w:rPr>
        <w:t xml:space="preserve"> from sunsetting</w:t>
      </w:r>
      <w:r>
        <w:rPr>
          <w:rFonts w:ascii="Times New Roman" w:hAnsi="Times New Roman" w:cs="Times New Roman"/>
          <w:sz w:val="24"/>
          <w:szCs w:val="24"/>
        </w:rPr>
        <w:t xml:space="preserve">. </w:t>
      </w:r>
    </w:p>
    <w:p w14:paraId="1CC3FF3E" w14:textId="0B1A4CD4" w:rsidR="001978B5" w:rsidRDefault="00BE249B" w:rsidP="009D0BE1">
      <w:pPr>
        <w:pStyle w:val="xmsonormal"/>
        <w:spacing w:afterLines="160" w:after="384"/>
        <w:rPr>
          <w:rFonts w:ascii="Times New Roman" w:hAnsi="Times New Roman" w:cs="Times New Roman"/>
          <w:sz w:val="24"/>
          <w:szCs w:val="24"/>
        </w:rPr>
      </w:pPr>
      <w:r>
        <w:rPr>
          <w:rFonts w:ascii="Times New Roman" w:hAnsi="Times New Roman" w:cs="Times New Roman"/>
          <w:sz w:val="24"/>
          <w:szCs w:val="24"/>
        </w:rPr>
        <w:t>Regulations made under the WHS Act</w:t>
      </w:r>
      <w:r w:rsidR="001978B5">
        <w:rPr>
          <w:rFonts w:ascii="Times New Roman" w:hAnsi="Times New Roman" w:cs="Times New Roman"/>
          <w:sz w:val="24"/>
          <w:szCs w:val="24"/>
        </w:rPr>
        <w:t xml:space="preserve"> are exempt from sunsetting because they form part of an intergovernmental scheme for a nationally consistent framework to secure the health and safety of workers and workplaces. They are part of a system of nationally harmonised </w:t>
      </w:r>
      <w:r w:rsidR="00DD077B">
        <w:rPr>
          <w:rFonts w:ascii="Times New Roman" w:hAnsi="Times New Roman" w:cs="Times New Roman"/>
          <w:sz w:val="24"/>
          <w:szCs w:val="24"/>
        </w:rPr>
        <w:t>WHS</w:t>
      </w:r>
      <w:r w:rsidR="001978B5">
        <w:rPr>
          <w:rFonts w:ascii="Times New Roman" w:hAnsi="Times New Roman" w:cs="Times New Roman"/>
          <w:sz w:val="24"/>
          <w:szCs w:val="24"/>
        </w:rPr>
        <w:t xml:space="preserve"> laws. The Commonwealth and all states and territories formally committed to the harmonisation of WHS laws by signing the </w:t>
      </w:r>
      <w:r w:rsidR="008343FD">
        <w:rPr>
          <w:rFonts w:ascii="Times New Roman" w:eastAsia="Times New Roman" w:hAnsi="Times New Roman" w:cs="Times New Roman"/>
          <w:color w:val="000000" w:themeColor="text1"/>
          <w:sz w:val="24"/>
          <w:szCs w:val="24"/>
        </w:rPr>
        <w:t>Intergovernmental Agreement</w:t>
      </w:r>
      <w:r w:rsidR="001978B5">
        <w:rPr>
          <w:rFonts w:ascii="Times New Roman" w:hAnsi="Times New Roman" w:cs="Times New Roman"/>
          <w:sz w:val="24"/>
          <w:szCs w:val="24"/>
        </w:rPr>
        <w:t xml:space="preserve">. </w:t>
      </w:r>
    </w:p>
    <w:p w14:paraId="220FA8B6" w14:textId="77777777" w:rsidR="00E3025C" w:rsidRDefault="00E3025C" w:rsidP="009D3392">
      <w:pPr>
        <w:keepNext/>
        <w:rPr>
          <w:rFonts w:ascii="Times New Roman" w:eastAsia="Times New Roman" w:hAnsi="Times New Roman" w:cs="Times New Roman"/>
          <w:b/>
          <w:bCs/>
          <w:color w:val="000000" w:themeColor="text1"/>
          <w:sz w:val="24"/>
          <w:szCs w:val="24"/>
          <w:lang w:val="en-AU"/>
        </w:rPr>
      </w:pPr>
      <w:r w:rsidRPr="5D70810D">
        <w:rPr>
          <w:rFonts w:ascii="Times New Roman" w:eastAsia="Times New Roman" w:hAnsi="Times New Roman" w:cs="Times New Roman"/>
          <w:b/>
          <w:bCs/>
          <w:color w:val="000000" w:themeColor="text1"/>
          <w:sz w:val="24"/>
          <w:szCs w:val="24"/>
          <w:lang w:val="en-AU"/>
        </w:rPr>
        <w:t>CONSULTATION</w:t>
      </w:r>
    </w:p>
    <w:p w14:paraId="2FE87A9B" w14:textId="34FF2DCB" w:rsidR="00711F9B" w:rsidRDefault="00711F9B" w:rsidP="00711F9B">
      <w:pPr>
        <w:rPr>
          <w:rFonts w:ascii="Times New Roman" w:eastAsia="Times New Roman" w:hAnsi="Times New Roman" w:cs="Times New Roman"/>
          <w:color w:val="000000" w:themeColor="text1"/>
          <w:sz w:val="24"/>
          <w:szCs w:val="24"/>
          <w:lang w:val="en-AU"/>
        </w:rPr>
      </w:pPr>
      <w:r w:rsidRPr="502B1272">
        <w:rPr>
          <w:rFonts w:ascii="Times New Roman" w:eastAsia="Times New Roman" w:hAnsi="Times New Roman" w:cs="Times New Roman"/>
          <w:color w:val="000000" w:themeColor="text1"/>
          <w:sz w:val="24"/>
          <w:szCs w:val="24"/>
          <w:lang w:val="en-AU"/>
        </w:rPr>
        <w:t xml:space="preserve">Section 17 of the </w:t>
      </w:r>
      <w:r w:rsidRPr="502B1272">
        <w:rPr>
          <w:rFonts w:ascii="Times New Roman" w:eastAsia="Times New Roman" w:hAnsi="Times New Roman" w:cs="Times New Roman"/>
          <w:i/>
          <w:iCs/>
          <w:color w:val="000000" w:themeColor="text1"/>
          <w:sz w:val="24"/>
          <w:szCs w:val="24"/>
          <w:lang w:val="en-AU"/>
        </w:rPr>
        <w:t>Legislation Act 2003</w:t>
      </w:r>
      <w:r w:rsidRPr="502B1272">
        <w:rPr>
          <w:rFonts w:ascii="Times New Roman" w:eastAsia="Times New Roman" w:hAnsi="Times New Roman" w:cs="Times New Roman"/>
          <w:color w:val="000000" w:themeColor="text1"/>
          <w:sz w:val="24"/>
          <w:szCs w:val="24"/>
          <w:lang w:val="en-AU"/>
        </w:rPr>
        <w:t xml:space="preserve"> requires the </w:t>
      </w:r>
      <w:r w:rsidR="00241C57">
        <w:rPr>
          <w:rFonts w:ascii="Times New Roman" w:eastAsia="Times New Roman" w:hAnsi="Times New Roman" w:cs="Times New Roman"/>
          <w:color w:val="000000" w:themeColor="text1"/>
          <w:sz w:val="24"/>
          <w:szCs w:val="24"/>
          <w:lang w:val="en-AU"/>
        </w:rPr>
        <w:t>Minister</w:t>
      </w:r>
      <w:r w:rsidRPr="502B1272">
        <w:rPr>
          <w:rFonts w:ascii="Times New Roman" w:eastAsia="Times New Roman" w:hAnsi="Times New Roman" w:cs="Times New Roman"/>
          <w:color w:val="000000" w:themeColor="text1"/>
          <w:sz w:val="24"/>
          <w:szCs w:val="24"/>
          <w:lang w:val="en-AU"/>
        </w:rPr>
        <w:t xml:space="preserve"> to be satisfied that any consultation considered to be appropriate, and that is reasonably practicable to undertake, has been undertaken before making the instrument.</w:t>
      </w:r>
    </w:p>
    <w:p w14:paraId="1B904265" w14:textId="473D750A" w:rsidR="001A26E5" w:rsidRPr="00304313" w:rsidRDefault="001A26E5" w:rsidP="009D3392">
      <w:pPr>
        <w:autoSpaceDE w:val="0"/>
        <w:autoSpaceDN w:val="0"/>
        <w:spacing w:line="280" w:lineRule="atLeast"/>
        <w:rPr>
          <w:rFonts w:ascii="Franklin Gothic Book" w:hAnsi="Franklin Gothic Book"/>
          <w:color w:val="22282A"/>
          <w:sz w:val="20"/>
          <w:szCs w:val="20"/>
        </w:rPr>
      </w:pPr>
      <w:r w:rsidRPr="00304313">
        <w:rPr>
          <w:rFonts w:ascii="Times New Roman" w:hAnsi="Times New Roman" w:cs="Times New Roman"/>
          <w:sz w:val="24"/>
          <w:szCs w:val="24"/>
        </w:rPr>
        <w:t xml:space="preserve">The explanatory statement for the </w:t>
      </w:r>
      <w:r w:rsidRPr="00304313">
        <w:rPr>
          <w:rFonts w:ascii="Times New Roman" w:hAnsi="Times New Roman" w:cs="Times New Roman"/>
          <w:i/>
          <w:iCs/>
          <w:sz w:val="24"/>
          <w:szCs w:val="24"/>
        </w:rPr>
        <w:t xml:space="preserve">Work Health and Safety Amendment (Labelling of Hazardous Chemicals) Regulations 2018, </w:t>
      </w:r>
      <w:r w:rsidRPr="00304313">
        <w:rPr>
          <w:rFonts w:ascii="Times New Roman" w:hAnsi="Times New Roman" w:cs="Times New Roman"/>
          <w:sz w:val="24"/>
          <w:szCs w:val="24"/>
        </w:rPr>
        <w:t xml:space="preserve">which inserted the provisions being removed, states that they were included to ensure that the provisions which would ‘sunset’ are reviewed after </w:t>
      </w:r>
      <w:r w:rsidR="008A0003" w:rsidRPr="00304313">
        <w:rPr>
          <w:rFonts w:ascii="Times New Roman" w:hAnsi="Times New Roman" w:cs="Times New Roman"/>
          <w:sz w:val="24"/>
          <w:szCs w:val="24"/>
        </w:rPr>
        <w:t>five</w:t>
      </w:r>
      <w:r w:rsidRPr="00304313">
        <w:rPr>
          <w:rFonts w:ascii="Times New Roman" w:hAnsi="Times New Roman" w:cs="Times New Roman"/>
          <w:sz w:val="24"/>
          <w:szCs w:val="24"/>
        </w:rPr>
        <w:t xml:space="preserve"> years. </w:t>
      </w:r>
    </w:p>
    <w:p w14:paraId="084FE168" w14:textId="5FB1F15D" w:rsidR="001A26E5" w:rsidRPr="00304313" w:rsidRDefault="001A26E5" w:rsidP="001A26E5">
      <w:p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lastRenderedPageBreak/>
        <w:t>The Department of Employment and Workplace Relations undertook tripartite consultation with relevant departments,</w:t>
      </w:r>
      <w:r w:rsidRPr="00304313">
        <w:t xml:space="preserve"> </w:t>
      </w:r>
      <w:r w:rsidRPr="00304313">
        <w:rPr>
          <w:rFonts w:ascii="Times New Roman" w:hAnsi="Times New Roman" w:cs="Times New Roman"/>
          <w:sz w:val="24"/>
          <w:szCs w:val="24"/>
        </w:rPr>
        <w:t xml:space="preserve">union and industry bodies </w:t>
      </w:r>
      <w:r w:rsidR="00934022">
        <w:rPr>
          <w:rFonts w:ascii="Times New Roman" w:hAnsi="Times New Roman" w:cs="Times New Roman"/>
          <w:sz w:val="24"/>
          <w:szCs w:val="24"/>
        </w:rPr>
        <w:t>including</w:t>
      </w:r>
      <w:r w:rsidRPr="00304313">
        <w:rPr>
          <w:rFonts w:ascii="Times New Roman" w:hAnsi="Times New Roman" w:cs="Times New Roman"/>
          <w:sz w:val="24"/>
          <w:szCs w:val="24"/>
        </w:rPr>
        <w:t>:</w:t>
      </w:r>
    </w:p>
    <w:p w14:paraId="7B86F58B" w14:textId="32FF9D99"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Animal Medicines Australia</w:t>
      </w:r>
    </w:p>
    <w:p w14:paraId="0386E07E" w14:textId="28B22E65"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Australian Chamber of Commerce and Industry</w:t>
      </w:r>
    </w:p>
    <w:p w14:paraId="685EF326" w14:textId="6A933F7A"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Australian Council of Trade Unions</w:t>
      </w:r>
    </w:p>
    <w:p w14:paraId="1DA2ED8C" w14:textId="7BC9A251"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Australian Industry Group</w:t>
      </w:r>
    </w:p>
    <w:p w14:paraId="0E7FC730" w14:textId="1AAD97E0"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Australian Pesticides and Veterinary Medicines Authority</w:t>
      </w:r>
    </w:p>
    <w:p w14:paraId="5709402C" w14:textId="1F059269"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Comcare</w:t>
      </w:r>
    </w:p>
    <w:p w14:paraId="18EFB99E" w14:textId="16C72036"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Crop Life</w:t>
      </w:r>
    </w:p>
    <w:p w14:paraId="3FB0AFE0" w14:textId="5E574098"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 xml:space="preserve">Department of Agriculture, Fisheries and Forestry </w:t>
      </w:r>
    </w:p>
    <w:p w14:paraId="7857F72B" w14:textId="52A8D85B"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 xml:space="preserve">Department of Climate Change, Energy, the Environment and Water </w:t>
      </w:r>
    </w:p>
    <w:p w14:paraId="61B221CF" w14:textId="1B8FE714" w:rsidR="001A26E5" w:rsidRPr="00304313"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Department of Defence</w:t>
      </w:r>
    </w:p>
    <w:p w14:paraId="5F145749" w14:textId="77777777" w:rsidR="009D3392" w:rsidRPr="002E0A70" w:rsidRDefault="001A26E5" w:rsidP="001A26E5">
      <w:pPr>
        <w:pStyle w:val="ListParagraph"/>
        <w:numPr>
          <w:ilvl w:val="0"/>
          <w:numId w:val="19"/>
        </w:numPr>
        <w:autoSpaceDE w:val="0"/>
        <w:autoSpaceDN w:val="0"/>
        <w:spacing w:line="280" w:lineRule="atLeast"/>
        <w:rPr>
          <w:rFonts w:ascii="Times New Roman" w:hAnsi="Times New Roman" w:cs="Times New Roman"/>
          <w:sz w:val="24"/>
          <w:szCs w:val="24"/>
        </w:rPr>
      </w:pPr>
      <w:r w:rsidRPr="00304313">
        <w:rPr>
          <w:rFonts w:ascii="Times New Roman" w:hAnsi="Times New Roman" w:cs="Times New Roman"/>
          <w:sz w:val="24"/>
          <w:szCs w:val="24"/>
        </w:rPr>
        <w:t xml:space="preserve">Indigenous Land and </w:t>
      </w:r>
      <w:r w:rsidRPr="002E0A70">
        <w:rPr>
          <w:rFonts w:ascii="Times New Roman" w:hAnsi="Times New Roman" w:cs="Times New Roman"/>
          <w:sz w:val="24"/>
          <w:szCs w:val="24"/>
        </w:rPr>
        <w:t>Sea Corporation</w:t>
      </w:r>
    </w:p>
    <w:p w14:paraId="29643636" w14:textId="49911D0D" w:rsidR="009D3392" w:rsidRPr="002E0A70" w:rsidRDefault="001A26E5" w:rsidP="009D3392">
      <w:pPr>
        <w:pStyle w:val="ListParagraph"/>
        <w:numPr>
          <w:ilvl w:val="0"/>
          <w:numId w:val="19"/>
        </w:numPr>
        <w:autoSpaceDE w:val="0"/>
        <w:autoSpaceDN w:val="0"/>
        <w:spacing w:line="280" w:lineRule="atLeast"/>
        <w:rPr>
          <w:rFonts w:ascii="Times New Roman" w:hAnsi="Times New Roman" w:cs="Times New Roman"/>
          <w:sz w:val="24"/>
          <w:szCs w:val="24"/>
        </w:rPr>
      </w:pPr>
      <w:r w:rsidRPr="002E0A70">
        <w:rPr>
          <w:rFonts w:ascii="Times New Roman" w:hAnsi="Times New Roman" w:cs="Times New Roman"/>
          <w:sz w:val="24"/>
          <w:szCs w:val="24"/>
        </w:rPr>
        <w:t>Therapeutic Goods Administration</w:t>
      </w:r>
      <w:r w:rsidR="00514FC8" w:rsidRPr="002E0A70">
        <w:rPr>
          <w:rFonts w:ascii="Times New Roman" w:hAnsi="Times New Roman" w:cs="Times New Roman"/>
          <w:sz w:val="24"/>
          <w:szCs w:val="24"/>
        </w:rPr>
        <w:t xml:space="preserve">. </w:t>
      </w:r>
    </w:p>
    <w:p w14:paraId="62C3E5EA" w14:textId="3475E1CD" w:rsidR="001A26E5" w:rsidRPr="002E0A70" w:rsidRDefault="001A26E5" w:rsidP="009D3392">
      <w:pPr>
        <w:autoSpaceDE w:val="0"/>
        <w:autoSpaceDN w:val="0"/>
        <w:spacing w:line="280" w:lineRule="atLeast"/>
        <w:rPr>
          <w:rFonts w:ascii="Times New Roman" w:hAnsi="Times New Roman" w:cs="Times New Roman"/>
          <w:sz w:val="24"/>
          <w:szCs w:val="24"/>
        </w:rPr>
      </w:pPr>
      <w:r w:rsidRPr="002E0A70">
        <w:rPr>
          <w:rFonts w:ascii="Times New Roman" w:hAnsi="Times New Roman" w:cs="Times New Roman"/>
          <w:sz w:val="24"/>
          <w:szCs w:val="24"/>
        </w:rPr>
        <w:t xml:space="preserve">Feedback </w:t>
      </w:r>
      <w:r w:rsidR="00514FC8" w:rsidRPr="002E0A70">
        <w:rPr>
          <w:rFonts w:ascii="Times New Roman" w:hAnsi="Times New Roman" w:cs="Times New Roman"/>
          <w:sz w:val="24"/>
          <w:szCs w:val="24"/>
        </w:rPr>
        <w:t>supported</w:t>
      </w:r>
      <w:r w:rsidRPr="002E0A70">
        <w:rPr>
          <w:rFonts w:ascii="Times New Roman" w:hAnsi="Times New Roman" w:cs="Times New Roman"/>
          <w:sz w:val="24"/>
          <w:szCs w:val="24"/>
        </w:rPr>
        <w:t xml:space="preserve"> remov</w:t>
      </w:r>
      <w:r w:rsidR="00514FC8" w:rsidRPr="002E0A70">
        <w:rPr>
          <w:rFonts w:ascii="Times New Roman" w:hAnsi="Times New Roman" w:cs="Times New Roman"/>
          <w:sz w:val="24"/>
          <w:szCs w:val="24"/>
        </w:rPr>
        <w:t>al of</w:t>
      </w:r>
      <w:r w:rsidRPr="002E0A70">
        <w:rPr>
          <w:rFonts w:ascii="Times New Roman" w:hAnsi="Times New Roman" w:cs="Times New Roman"/>
          <w:sz w:val="24"/>
          <w:szCs w:val="24"/>
        </w:rPr>
        <w:t xml:space="preserve"> the </w:t>
      </w:r>
      <w:r w:rsidR="00514FC8" w:rsidRPr="002E0A70">
        <w:rPr>
          <w:rFonts w:ascii="Times New Roman" w:hAnsi="Times New Roman" w:cs="Times New Roman"/>
          <w:sz w:val="24"/>
          <w:szCs w:val="24"/>
        </w:rPr>
        <w:t>‘</w:t>
      </w:r>
      <w:r w:rsidRPr="002E0A70">
        <w:rPr>
          <w:rFonts w:ascii="Times New Roman" w:hAnsi="Times New Roman" w:cs="Times New Roman"/>
          <w:sz w:val="24"/>
          <w:szCs w:val="24"/>
        </w:rPr>
        <w:t>sunsetting provisions</w:t>
      </w:r>
      <w:r w:rsidR="00514FC8" w:rsidRPr="002E0A70">
        <w:rPr>
          <w:rFonts w:ascii="Times New Roman" w:hAnsi="Times New Roman" w:cs="Times New Roman"/>
          <w:sz w:val="24"/>
          <w:szCs w:val="24"/>
        </w:rPr>
        <w:t>’</w:t>
      </w:r>
      <w:r w:rsidRPr="002E0A70">
        <w:rPr>
          <w:rFonts w:ascii="Times New Roman" w:hAnsi="Times New Roman" w:cs="Times New Roman"/>
          <w:sz w:val="24"/>
          <w:szCs w:val="24"/>
        </w:rPr>
        <w:t xml:space="preserve">, that the current exceptions were appropriate with no known work health and safety concerns, and significant disruption would occur if the provisions ceased to operate. </w:t>
      </w:r>
    </w:p>
    <w:p w14:paraId="39CB3151" w14:textId="276BCFD4" w:rsidR="001D2E76" w:rsidRDefault="00580E66">
      <w:pPr>
        <w:rPr>
          <w:rFonts w:ascii="Times New Roman" w:eastAsia="Times New Roman" w:hAnsi="Times New Roman" w:cs="Times New Roman"/>
          <w:b/>
          <w:bCs/>
          <w:color w:val="000000" w:themeColor="text1"/>
          <w:sz w:val="24"/>
          <w:szCs w:val="24"/>
          <w:lang w:val="en-AU"/>
        </w:rPr>
      </w:pPr>
      <w:r w:rsidRPr="65BA0ACF">
        <w:rPr>
          <w:rFonts w:ascii="Times New Roman" w:eastAsia="Times New Roman" w:hAnsi="Times New Roman" w:cs="Times New Roman"/>
          <w:b/>
          <w:bCs/>
          <w:color w:val="000000" w:themeColor="text1"/>
          <w:sz w:val="24"/>
          <w:szCs w:val="24"/>
          <w:lang w:val="en-AU"/>
        </w:rPr>
        <w:t>REGULATION IMPACT STATEMENT</w:t>
      </w:r>
    </w:p>
    <w:p w14:paraId="7E80D33E" w14:textId="0F3EDA52" w:rsidR="00E67176" w:rsidRPr="00E67176" w:rsidRDefault="00B4476E">
      <w:pPr>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 xml:space="preserve">The </w:t>
      </w:r>
      <w:r w:rsidR="00E67176" w:rsidRPr="00E67176">
        <w:rPr>
          <w:rFonts w:ascii="Times New Roman" w:eastAsia="Times New Roman" w:hAnsi="Times New Roman" w:cs="Times New Roman"/>
          <w:color w:val="000000" w:themeColor="text1"/>
          <w:sz w:val="24"/>
          <w:szCs w:val="24"/>
          <w:lang w:val="en-AU"/>
        </w:rPr>
        <w:t>O</w:t>
      </w:r>
      <w:r>
        <w:rPr>
          <w:rFonts w:ascii="Times New Roman" w:eastAsia="Times New Roman" w:hAnsi="Times New Roman" w:cs="Times New Roman"/>
          <w:color w:val="000000" w:themeColor="text1"/>
          <w:sz w:val="24"/>
          <w:szCs w:val="24"/>
          <w:lang w:val="en-AU"/>
        </w:rPr>
        <w:t xml:space="preserve">ffice of </w:t>
      </w:r>
      <w:r w:rsidR="00E67176" w:rsidRPr="00E67176">
        <w:rPr>
          <w:rFonts w:ascii="Times New Roman" w:eastAsia="Times New Roman" w:hAnsi="Times New Roman" w:cs="Times New Roman"/>
          <w:color w:val="000000" w:themeColor="text1"/>
          <w:sz w:val="24"/>
          <w:szCs w:val="24"/>
          <w:lang w:val="en-AU"/>
        </w:rPr>
        <w:t>I</w:t>
      </w:r>
      <w:r>
        <w:rPr>
          <w:rFonts w:ascii="Times New Roman" w:eastAsia="Times New Roman" w:hAnsi="Times New Roman" w:cs="Times New Roman"/>
          <w:color w:val="000000" w:themeColor="text1"/>
          <w:sz w:val="24"/>
          <w:szCs w:val="24"/>
          <w:lang w:val="en-AU"/>
        </w:rPr>
        <w:t xml:space="preserve">mpact </w:t>
      </w:r>
      <w:r w:rsidR="00E67176" w:rsidRPr="00E67176">
        <w:rPr>
          <w:rFonts w:ascii="Times New Roman" w:eastAsia="Times New Roman" w:hAnsi="Times New Roman" w:cs="Times New Roman"/>
          <w:color w:val="000000" w:themeColor="text1"/>
          <w:sz w:val="24"/>
          <w:szCs w:val="24"/>
          <w:lang w:val="en-AU"/>
        </w:rPr>
        <w:t>A</w:t>
      </w:r>
      <w:r w:rsidR="005E0E58">
        <w:rPr>
          <w:rFonts w:ascii="Times New Roman" w:eastAsia="Times New Roman" w:hAnsi="Times New Roman" w:cs="Times New Roman"/>
          <w:color w:val="000000" w:themeColor="text1"/>
          <w:sz w:val="24"/>
          <w:szCs w:val="24"/>
          <w:lang w:val="en-AU"/>
        </w:rPr>
        <w:t>nalysis</w:t>
      </w:r>
      <w:r w:rsidR="00E67176" w:rsidRPr="00E67176">
        <w:rPr>
          <w:rFonts w:ascii="Times New Roman" w:eastAsia="Times New Roman" w:hAnsi="Times New Roman" w:cs="Times New Roman"/>
          <w:color w:val="000000" w:themeColor="text1"/>
          <w:sz w:val="24"/>
          <w:szCs w:val="24"/>
          <w:lang w:val="en-AU"/>
        </w:rPr>
        <w:t xml:space="preserve"> considers the proposal is unlikely to have more than a minor impact</w:t>
      </w:r>
      <w:r w:rsidR="00276923">
        <w:rPr>
          <w:rFonts w:ascii="Times New Roman" w:eastAsia="Times New Roman" w:hAnsi="Times New Roman" w:cs="Times New Roman"/>
          <w:color w:val="000000" w:themeColor="text1"/>
          <w:sz w:val="24"/>
          <w:szCs w:val="24"/>
          <w:lang w:val="en-AU"/>
        </w:rPr>
        <w:t xml:space="preserve"> and </w:t>
      </w:r>
      <w:r w:rsidR="00E67176" w:rsidRPr="00E67176">
        <w:rPr>
          <w:rFonts w:ascii="Times New Roman" w:eastAsia="Times New Roman" w:hAnsi="Times New Roman" w:cs="Times New Roman"/>
          <w:color w:val="000000" w:themeColor="text1"/>
          <w:sz w:val="24"/>
          <w:szCs w:val="24"/>
          <w:lang w:val="en-AU"/>
        </w:rPr>
        <w:t xml:space="preserve">no </w:t>
      </w:r>
      <w:r w:rsidR="000423FA">
        <w:rPr>
          <w:rFonts w:ascii="Times New Roman" w:eastAsia="Times New Roman" w:hAnsi="Times New Roman" w:cs="Times New Roman"/>
          <w:color w:val="000000" w:themeColor="text1"/>
          <w:sz w:val="24"/>
          <w:szCs w:val="24"/>
          <w:lang w:val="en-AU"/>
        </w:rPr>
        <w:t>impact</w:t>
      </w:r>
      <w:r w:rsidR="00E67176" w:rsidRPr="00E67176">
        <w:rPr>
          <w:rFonts w:ascii="Times New Roman" w:eastAsia="Times New Roman" w:hAnsi="Times New Roman" w:cs="Times New Roman"/>
          <w:color w:val="000000" w:themeColor="text1"/>
          <w:sz w:val="24"/>
          <w:szCs w:val="24"/>
          <w:lang w:val="en-AU"/>
        </w:rPr>
        <w:t xml:space="preserve"> analysis</w:t>
      </w:r>
      <w:r w:rsidR="000423FA">
        <w:rPr>
          <w:rFonts w:ascii="Times New Roman" w:eastAsia="Times New Roman" w:hAnsi="Times New Roman" w:cs="Times New Roman"/>
          <w:color w:val="000000" w:themeColor="text1"/>
          <w:sz w:val="24"/>
          <w:szCs w:val="24"/>
          <w:lang w:val="en-AU"/>
        </w:rPr>
        <w:t xml:space="preserve"> is </w:t>
      </w:r>
      <w:r w:rsidR="000423FA" w:rsidRPr="004307D7">
        <w:rPr>
          <w:rFonts w:ascii="Times New Roman" w:eastAsia="Times New Roman" w:hAnsi="Times New Roman" w:cs="Times New Roman"/>
          <w:color w:val="000000" w:themeColor="text1"/>
          <w:sz w:val="24"/>
          <w:szCs w:val="24"/>
          <w:lang w:val="en-AU"/>
        </w:rPr>
        <w:t>required</w:t>
      </w:r>
      <w:r w:rsidR="00E8723F" w:rsidRPr="004307D7">
        <w:rPr>
          <w:rFonts w:ascii="Times New Roman" w:eastAsia="Times New Roman" w:hAnsi="Times New Roman" w:cs="Times New Roman"/>
          <w:color w:val="000000" w:themeColor="text1"/>
          <w:sz w:val="24"/>
          <w:szCs w:val="24"/>
          <w:lang w:val="en-AU"/>
        </w:rPr>
        <w:t xml:space="preserve"> (ref </w:t>
      </w:r>
      <w:r w:rsidR="00E8723F" w:rsidRPr="004307D7">
        <w:rPr>
          <w:rFonts w:ascii="Times New Roman" w:eastAsia="Times New Roman" w:hAnsi="Times New Roman" w:cs="Times New Roman"/>
          <w:sz w:val="24"/>
          <w:szCs w:val="24"/>
        </w:rPr>
        <w:t>OIA23-05855)</w:t>
      </w:r>
      <w:r w:rsidR="00E67176" w:rsidRPr="004307D7">
        <w:rPr>
          <w:rFonts w:ascii="Times New Roman" w:eastAsia="Times New Roman" w:hAnsi="Times New Roman" w:cs="Times New Roman"/>
          <w:color w:val="000000" w:themeColor="text1"/>
          <w:sz w:val="24"/>
          <w:szCs w:val="24"/>
          <w:lang w:val="en-AU"/>
        </w:rPr>
        <w:t>.</w:t>
      </w:r>
    </w:p>
    <w:p w14:paraId="4F084FBE" w14:textId="77777777" w:rsidR="0034644E" w:rsidRDefault="0034644E" w:rsidP="0034644E">
      <w:pPr>
        <w:keepNext/>
        <w:rPr>
          <w:rFonts w:ascii="Times New Roman" w:eastAsia="Times New Roman" w:hAnsi="Times New Roman" w:cs="Times New Roman"/>
          <w:b/>
          <w:bCs/>
          <w:sz w:val="24"/>
          <w:szCs w:val="24"/>
        </w:rPr>
      </w:pPr>
      <w:r w:rsidRPr="483E9A66">
        <w:rPr>
          <w:rFonts w:ascii="Times New Roman" w:eastAsia="Times New Roman" w:hAnsi="Times New Roman" w:cs="Times New Roman"/>
          <w:b/>
          <w:bCs/>
          <w:sz w:val="24"/>
          <w:szCs w:val="24"/>
        </w:rPr>
        <w:t>STATEMENT OF COMPATIBILITY WITH HUMAN RIGHTS</w:t>
      </w:r>
    </w:p>
    <w:p w14:paraId="5C290699" w14:textId="61032290" w:rsidR="00BE5CFA" w:rsidRDefault="00EE3E15" w:rsidP="001E7D3E">
      <w:pPr>
        <w:tabs>
          <w:tab w:val="left" w:pos="6521"/>
        </w:tabs>
        <w:spacing w:after="0"/>
        <w:rPr>
          <w:rFonts w:ascii="Times New Roman" w:eastAsia="Times New Roman" w:hAnsi="Times New Roman" w:cs="Times New Roman"/>
          <w:color w:val="000000" w:themeColor="text1"/>
          <w:sz w:val="24"/>
          <w:szCs w:val="24"/>
          <w:u w:val="single"/>
        </w:rPr>
      </w:pPr>
      <w:r w:rsidRPr="483E9A66">
        <w:rPr>
          <w:rFonts w:ascii="Times New Roman" w:eastAsia="Times New Roman" w:hAnsi="Times New Roman" w:cs="Times New Roman"/>
          <w:color w:val="000000" w:themeColor="text1"/>
          <w:sz w:val="24"/>
          <w:szCs w:val="24"/>
        </w:rPr>
        <w:t>The Amendment Regulations are compatible with the human rights and freedoms recognised or declared in the international instruments listed in Part 3 of the</w:t>
      </w:r>
      <w:r w:rsidRPr="483E9A66">
        <w:rPr>
          <w:rFonts w:ascii="Times New Roman" w:eastAsia="Times New Roman" w:hAnsi="Times New Roman" w:cs="Times New Roman"/>
          <w:i/>
          <w:iCs/>
          <w:color w:val="000000" w:themeColor="text1"/>
          <w:sz w:val="24"/>
          <w:szCs w:val="24"/>
        </w:rPr>
        <w:t xml:space="preserve"> Human Rights (Parliamentary Scrutiny) Act 2011</w:t>
      </w:r>
      <w:r w:rsidRPr="483E9A66">
        <w:rPr>
          <w:rFonts w:ascii="Times New Roman" w:eastAsia="Times New Roman" w:hAnsi="Times New Roman" w:cs="Times New Roman"/>
          <w:color w:val="000000" w:themeColor="text1"/>
          <w:sz w:val="24"/>
          <w:szCs w:val="24"/>
        </w:rPr>
        <w:t xml:space="preserve">. A Statement of Compatibility with Human Rights is set out at </w:t>
      </w:r>
      <w:r w:rsidRPr="483E9A66">
        <w:rPr>
          <w:rFonts w:ascii="Times New Roman" w:eastAsia="Times New Roman" w:hAnsi="Times New Roman" w:cs="Times New Roman"/>
          <w:color w:val="000000" w:themeColor="text1"/>
          <w:sz w:val="24"/>
          <w:szCs w:val="24"/>
          <w:u w:val="single"/>
        </w:rPr>
        <w:t xml:space="preserve">Attachment </w:t>
      </w:r>
      <w:r w:rsidR="003C740B">
        <w:rPr>
          <w:rFonts w:ascii="Times New Roman" w:eastAsia="Times New Roman" w:hAnsi="Times New Roman" w:cs="Times New Roman"/>
          <w:color w:val="000000" w:themeColor="text1"/>
          <w:sz w:val="24"/>
          <w:szCs w:val="24"/>
          <w:u w:val="single"/>
        </w:rPr>
        <w:t>B</w:t>
      </w:r>
      <w:r>
        <w:rPr>
          <w:rFonts w:ascii="Times New Roman" w:eastAsia="Times New Roman" w:hAnsi="Times New Roman" w:cs="Times New Roman"/>
          <w:color w:val="000000" w:themeColor="text1"/>
          <w:sz w:val="24"/>
          <w:szCs w:val="24"/>
          <w:u w:val="single"/>
        </w:rPr>
        <w:t>.</w:t>
      </w:r>
    </w:p>
    <w:p w14:paraId="760B25C5" w14:textId="1F60B5BE" w:rsidR="002751C8" w:rsidRDefault="002751C8" w:rsidP="004307D7">
      <w:pPr>
        <w:tabs>
          <w:tab w:val="left" w:pos="6521"/>
        </w:tabs>
        <w:spacing w:after="0"/>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br w:type="page"/>
      </w:r>
    </w:p>
    <w:p w14:paraId="458A3E79" w14:textId="352C753B" w:rsidR="00A35740" w:rsidRDefault="004C1DF0" w:rsidP="00E67176">
      <w:pPr>
        <w:jc w:val="righ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u w:val="single"/>
        </w:rPr>
        <w:lastRenderedPageBreak/>
        <w:t>ATTACHMENT A</w:t>
      </w:r>
    </w:p>
    <w:p w14:paraId="1F609360" w14:textId="77777777" w:rsidR="00DE1729" w:rsidRDefault="00DE1729" w:rsidP="00DE1729">
      <w:pPr>
        <w:rPr>
          <w:rFonts w:ascii="Times New Roman" w:eastAsia="Times New Roman" w:hAnsi="Times New Roman" w:cs="Times New Roman"/>
          <w:b/>
          <w:bCs/>
          <w:color w:val="000000" w:themeColor="text1"/>
          <w:sz w:val="24"/>
          <w:szCs w:val="24"/>
        </w:rPr>
      </w:pPr>
      <w:r w:rsidRPr="5D70810D">
        <w:rPr>
          <w:rFonts w:ascii="Times New Roman" w:eastAsia="Times New Roman" w:hAnsi="Times New Roman" w:cs="Times New Roman"/>
          <w:b/>
          <w:bCs/>
          <w:color w:val="000000" w:themeColor="text1"/>
          <w:sz w:val="24"/>
          <w:szCs w:val="24"/>
        </w:rPr>
        <w:t>NOTES ON SECTIONS</w:t>
      </w:r>
    </w:p>
    <w:p w14:paraId="26A963F7" w14:textId="77777777" w:rsidR="005864CA" w:rsidRDefault="005864CA" w:rsidP="005864CA">
      <w:pPr>
        <w:spacing w:after="200" w:line="276" w:lineRule="exact"/>
      </w:pPr>
      <w:r>
        <w:rPr>
          <w:rFonts w:ascii="Times New Roman" w:eastAsia="Times New Roman" w:hAnsi="Times New Roman" w:cs="Times New Roman"/>
          <w:color w:val="000000" w:themeColor="text1"/>
          <w:sz w:val="24"/>
          <w:szCs w:val="24"/>
          <w:lang w:val="en-AU"/>
        </w:rPr>
        <w:t xml:space="preserve">In these notes on sections, the following abbreviations are </w:t>
      </w:r>
      <w:proofErr w:type="gramStart"/>
      <w:r>
        <w:rPr>
          <w:rFonts w:ascii="Times New Roman" w:eastAsia="Times New Roman" w:hAnsi="Times New Roman" w:cs="Times New Roman"/>
          <w:color w:val="000000" w:themeColor="text1"/>
          <w:sz w:val="24"/>
          <w:szCs w:val="24"/>
          <w:lang w:val="en-AU"/>
        </w:rPr>
        <w:t>used</w:t>
      </w:r>
      <w:proofErr w:type="gramEnd"/>
    </w:p>
    <w:tbl>
      <w:tblPr>
        <w:tblStyle w:val="TableGrid"/>
        <w:tblW w:w="9016" w:type="dxa"/>
        <w:tblInd w:w="0" w:type="dxa"/>
        <w:tblLayout w:type="fixed"/>
        <w:tblLook w:val="06A0" w:firstRow="1" w:lastRow="0" w:firstColumn="1" w:lastColumn="0" w:noHBand="1" w:noVBand="1"/>
      </w:tblPr>
      <w:tblGrid>
        <w:gridCol w:w="4508"/>
        <w:gridCol w:w="4508"/>
      </w:tblGrid>
      <w:tr w:rsidR="005864CA" w14:paraId="50648EF9" w14:textId="77777777" w:rsidTr="003E4FB7">
        <w:trPr>
          <w:trHeight w:val="300"/>
        </w:trPr>
        <w:tc>
          <w:tcPr>
            <w:tcW w:w="4508" w:type="dxa"/>
            <w:tcBorders>
              <w:top w:val="single" w:sz="8" w:space="0" w:color="auto"/>
              <w:left w:val="single" w:sz="8" w:space="0" w:color="auto"/>
              <w:bottom w:val="single" w:sz="8" w:space="0" w:color="auto"/>
              <w:right w:val="single" w:sz="8" w:space="0" w:color="auto"/>
            </w:tcBorders>
            <w:hideMark/>
          </w:tcPr>
          <w:p w14:paraId="4B6CD0D3" w14:textId="77777777" w:rsidR="005864CA" w:rsidRDefault="005864CA">
            <w:pPr>
              <w:spacing w:after="200" w:line="276" w:lineRule="exact"/>
            </w:pPr>
            <w:r>
              <w:rPr>
                <w:rFonts w:ascii="Times New Roman" w:eastAsia="Times New Roman" w:hAnsi="Times New Roman" w:cs="Times New Roman"/>
                <w:b/>
                <w:bCs/>
                <w:color w:val="000000" w:themeColor="text1"/>
                <w:sz w:val="24"/>
                <w:szCs w:val="24"/>
                <w:lang w:val="en-AU"/>
              </w:rPr>
              <w:t>Abbreviation</w:t>
            </w:r>
          </w:p>
        </w:tc>
        <w:tc>
          <w:tcPr>
            <w:tcW w:w="4508" w:type="dxa"/>
            <w:tcBorders>
              <w:top w:val="single" w:sz="8" w:space="0" w:color="auto"/>
              <w:left w:val="single" w:sz="8" w:space="0" w:color="auto"/>
              <w:bottom w:val="single" w:sz="8" w:space="0" w:color="auto"/>
              <w:right w:val="single" w:sz="8" w:space="0" w:color="auto"/>
            </w:tcBorders>
            <w:hideMark/>
          </w:tcPr>
          <w:p w14:paraId="2893FD2E" w14:textId="77777777" w:rsidR="005864CA" w:rsidRDefault="005864CA">
            <w:pPr>
              <w:spacing w:after="200" w:line="276" w:lineRule="exact"/>
            </w:pPr>
            <w:r>
              <w:rPr>
                <w:rFonts w:ascii="Times New Roman" w:eastAsia="Times New Roman" w:hAnsi="Times New Roman" w:cs="Times New Roman"/>
                <w:b/>
                <w:bCs/>
                <w:color w:val="000000" w:themeColor="text1"/>
                <w:sz w:val="24"/>
                <w:szCs w:val="24"/>
                <w:lang w:val="en-AU"/>
              </w:rPr>
              <w:t>Definition</w:t>
            </w:r>
          </w:p>
        </w:tc>
      </w:tr>
      <w:tr w:rsidR="005864CA" w14:paraId="067AE6DA" w14:textId="77777777" w:rsidTr="003E4FB7">
        <w:trPr>
          <w:trHeight w:val="300"/>
        </w:trPr>
        <w:tc>
          <w:tcPr>
            <w:tcW w:w="4508" w:type="dxa"/>
            <w:tcBorders>
              <w:top w:val="single" w:sz="8" w:space="0" w:color="auto"/>
              <w:left w:val="single" w:sz="8" w:space="0" w:color="auto"/>
              <w:bottom w:val="single" w:sz="8" w:space="0" w:color="auto"/>
              <w:right w:val="single" w:sz="8" w:space="0" w:color="auto"/>
            </w:tcBorders>
            <w:hideMark/>
          </w:tcPr>
          <w:p w14:paraId="3CCDC850" w14:textId="77777777" w:rsidR="005864CA" w:rsidRDefault="005864CA">
            <w:pPr>
              <w:spacing w:after="200" w:line="276" w:lineRule="exact"/>
            </w:pPr>
            <w:r>
              <w:rPr>
                <w:rFonts w:ascii="Times New Roman" w:eastAsia="Times New Roman" w:hAnsi="Times New Roman" w:cs="Times New Roman"/>
                <w:color w:val="000000" w:themeColor="text1"/>
                <w:sz w:val="24"/>
                <w:szCs w:val="24"/>
                <w:lang w:val="en-AU"/>
              </w:rPr>
              <w:t>WHS</w:t>
            </w:r>
          </w:p>
        </w:tc>
        <w:tc>
          <w:tcPr>
            <w:tcW w:w="4508" w:type="dxa"/>
            <w:tcBorders>
              <w:top w:val="single" w:sz="8" w:space="0" w:color="auto"/>
              <w:left w:val="single" w:sz="8" w:space="0" w:color="auto"/>
              <w:bottom w:val="single" w:sz="8" w:space="0" w:color="auto"/>
              <w:right w:val="single" w:sz="8" w:space="0" w:color="auto"/>
            </w:tcBorders>
            <w:hideMark/>
          </w:tcPr>
          <w:p w14:paraId="3D8A8772" w14:textId="52EA455D" w:rsidR="005864CA" w:rsidRDefault="00B15C38">
            <w:pPr>
              <w:spacing w:after="200" w:line="276" w:lineRule="exact"/>
            </w:pPr>
            <w:r>
              <w:rPr>
                <w:rFonts w:ascii="Times New Roman" w:eastAsia="Times New Roman" w:hAnsi="Times New Roman" w:cs="Times New Roman"/>
                <w:color w:val="000000" w:themeColor="text1"/>
                <w:sz w:val="24"/>
                <w:szCs w:val="24"/>
                <w:lang w:val="en-AU"/>
              </w:rPr>
              <w:t>w</w:t>
            </w:r>
            <w:r w:rsidR="005864CA">
              <w:rPr>
                <w:rFonts w:ascii="Times New Roman" w:eastAsia="Times New Roman" w:hAnsi="Times New Roman" w:cs="Times New Roman"/>
                <w:color w:val="000000" w:themeColor="text1"/>
                <w:sz w:val="24"/>
                <w:szCs w:val="24"/>
                <w:lang w:val="en-AU"/>
              </w:rPr>
              <w:t>ork health and safety</w:t>
            </w:r>
          </w:p>
        </w:tc>
      </w:tr>
      <w:tr w:rsidR="005864CA" w14:paraId="0374C25B" w14:textId="77777777" w:rsidTr="003E4FB7">
        <w:trPr>
          <w:trHeight w:val="300"/>
        </w:trPr>
        <w:tc>
          <w:tcPr>
            <w:tcW w:w="4508" w:type="dxa"/>
            <w:tcBorders>
              <w:top w:val="single" w:sz="8" w:space="0" w:color="auto"/>
              <w:left w:val="single" w:sz="8" w:space="0" w:color="auto"/>
              <w:bottom w:val="single" w:sz="8" w:space="0" w:color="auto"/>
              <w:right w:val="single" w:sz="8" w:space="0" w:color="auto"/>
            </w:tcBorders>
            <w:hideMark/>
          </w:tcPr>
          <w:p w14:paraId="33F6E2C8" w14:textId="77777777" w:rsidR="005864CA" w:rsidRDefault="005864CA">
            <w:pPr>
              <w:spacing w:after="200" w:line="276" w:lineRule="exac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WHS Act</w:t>
            </w:r>
          </w:p>
        </w:tc>
        <w:tc>
          <w:tcPr>
            <w:tcW w:w="4508" w:type="dxa"/>
            <w:tcBorders>
              <w:top w:val="single" w:sz="8" w:space="0" w:color="auto"/>
              <w:left w:val="single" w:sz="8" w:space="0" w:color="auto"/>
              <w:bottom w:val="single" w:sz="8" w:space="0" w:color="auto"/>
              <w:right w:val="single" w:sz="8" w:space="0" w:color="auto"/>
            </w:tcBorders>
            <w:hideMark/>
          </w:tcPr>
          <w:p w14:paraId="2166E53B" w14:textId="77777777" w:rsidR="005864CA" w:rsidRDefault="005864CA">
            <w:pPr>
              <w:spacing w:after="200" w:line="276" w:lineRule="exact"/>
            </w:pPr>
            <w:r>
              <w:rPr>
                <w:rFonts w:ascii="Times New Roman" w:eastAsia="Times New Roman" w:hAnsi="Times New Roman" w:cs="Times New Roman"/>
                <w:i/>
                <w:iCs/>
                <w:color w:val="000000" w:themeColor="text1"/>
                <w:sz w:val="24"/>
                <w:szCs w:val="24"/>
                <w:lang w:val="en-AU"/>
              </w:rPr>
              <w:t>Work Health and Safety Act 2011</w:t>
            </w:r>
          </w:p>
        </w:tc>
      </w:tr>
      <w:tr w:rsidR="005864CA" w14:paraId="7FEC565B" w14:textId="77777777" w:rsidTr="003E4FB7">
        <w:trPr>
          <w:trHeight w:val="300"/>
        </w:trPr>
        <w:tc>
          <w:tcPr>
            <w:tcW w:w="4508" w:type="dxa"/>
            <w:tcBorders>
              <w:top w:val="single" w:sz="8" w:space="0" w:color="auto"/>
              <w:left w:val="single" w:sz="8" w:space="0" w:color="auto"/>
              <w:bottom w:val="single" w:sz="8" w:space="0" w:color="auto"/>
              <w:right w:val="single" w:sz="8" w:space="0" w:color="auto"/>
            </w:tcBorders>
            <w:hideMark/>
          </w:tcPr>
          <w:p w14:paraId="6DE4D0A7" w14:textId="77777777" w:rsidR="005864CA" w:rsidRDefault="005864CA">
            <w:pPr>
              <w:spacing w:after="200" w:line="276" w:lineRule="exact"/>
            </w:pPr>
            <w:r>
              <w:rPr>
                <w:rFonts w:ascii="Times New Roman" w:eastAsia="Times New Roman" w:hAnsi="Times New Roman" w:cs="Times New Roman"/>
                <w:color w:val="000000" w:themeColor="text1"/>
                <w:sz w:val="24"/>
                <w:szCs w:val="24"/>
                <w:lang w:val="en-AU"/>
              </w:rPr>
              <w:t>Principal Regulations</w:t>
            </w:r>
          </w:p>
        </w:tc>
        <w:tc>
          <w:tcPr>
            <w:tcW w:w="4508" w:type="dxa"/>
            <w:tcBorders>
              <w:top w:val="single" w:sz="8" w:space="0" w:color="auto"/>
              <w:left w:val="single" w:sz="8" w:space="0" w:color="auto"/>
              <w:bottom w:val="single" w:sz="8" w:space="0" w:color="auto"/>
              <w:right w:val="single" w:sz="8" w:space="0" w:color="auto"/>
            </w:tcBorders>
            <w:hideMark/>
          </w:tcPr>
          <w:p w14:paraId="7E2581AA" w14:textId="77777777" w:rsidR="005864CA" w:rsidRDefault="005864CA">
            <w:pPr>
              <w:spacing w:after="200" w:line="276" w:lineRule="exact"/>
            </w:pPr>
            <w:r>
              <w:rPr>
                <w:rFonts w:ascii="Times New Roman" w:eastAsia="Times New Roman" w:hAnsi="Times New Roman" w:cs="Times New Roman"/>
                <w:i/>
                <w:iCs/>
                <w:color w:val="000000" w:themeColor="text1"/>
                <w:sz w:val="24"/>
                <w:szCs w:val="24"/>
                <w:lang w:val="en-AU"/>
              </w:rPr>
              <w:t>Work Health and Safety Regulations 2011</w:t>
            </w:r>
          </w:p>
        </w:tc>
      </w:tr>
      <w:tr w:rsidR="005864CA" w14:paraId="0263E68C" w14:textId="77777777" w:rsidTr="003E4FB7">
        <w:trPr>
          <w:trHeight w:val="300"/>
        </w:trPr>
        <w:tc>
          <w:tcPr>
            <w:tcW w:w="4508" w:type="dxa"/>
            <w:tcBorders>
              <w:top w:val="single" w:sz="8" w:space="0" w:color="auto"/>
              <w:left w:val="single" w:sz="8" w:space="0" w:color="auto"/>
              <w:bottom w:val="single" w:sz="8" w:space="0" w:color="auto"/>
              <w:right w:val="single" w:sz="8" w:space="0" w:color="auto"/>
            </w:tcBorders>
            <w:hideMark/>
          </w:tcPr>
          <w:p w14:paraId="28B9EE26" w14:textId="77777777" w:rsidR="005864CA" w:rsidRDefault="005864CA">
            <w:pPr>
              <w:spacing w:line="276" w:lineRule="exact"/>
              <w:rPr>
                <w:rFonts w:ascii="Times New Roman" w:eastAsia="Times New Roman" w:hAnsi="Times New Roman" w:cs="Times New Roman"/>
                <w:color w:val="000000" w:themeColor="text1"/>
                <w:sz w:val="24"/>
                <w:szCs w:val="24"/>
                <w:lang w:val="en-AU"/>
              </w:rPr>
            </w:pPr>
            <w:r>
              <w:rPr>
                <w:rFonts w:ascii="Times New Roman" w:eastAsia="Times New Roman" w:hAnsi="Times New Roman" w:cs="Times New Roman"/>
                <w:color w:val="000000" w:themeColor="text1"/>
                <w:sz w:val="24"/>
                <w:szCs w:val="24"/>
                <w:lang w:val="en-AU"/>
              </w:rPr>
              <w:t>Amendment Regulations</w:t>
            </w:r>
          </w:p>
        </w:tc>
        <w:tc>
          <w:tcPr>
            <w:tcW w:w="4508" w:type="dxa"/>
            <w:tcBorders>
              <w:top w:val="single" w:sz="8" w:space="0" w:color="auto"/>
              <w:left w:val="single" w:sz="8" w:space="0" w:color="auto"/>
              <w:bottom w:val="single" w:sz="8" w:space="0" w:color="auto"/>
              <w:right w:val="single" w:sz="8" w:space="0" w:color="auto"/>
            </w:tcBorders>
            <w:hideMark/>
          </w:tcPr>
          <w:p w14:paraId="7FF202D7" w14:textId="6E32E337" w:rsidR="005864CA" w:rsidRDefault="00E10BB9">
            <w:pPr>
              <w:rPr>
                <w:rFonts w:ascii="Times New Roman" w:eastAsia="Times New Roman" w:hAnsi="Times New Roman" w:cs="Times New Roman"/>
                <w:i/>
                <w:iCs/>
                <w:color w:val="000000" w:themeColor="text1"/>
                <w:sz w:val="24"/>
                <w:szCs w:val="24"/>
              </w:rPr>
            </w:pPr>
            <w:r>
              <w:rPr>
                <w:rFonts w:ascii="Times New Roman" w:eastAsia="Times New Roman" w:hAnsi="Times New Roman" w:cs="Times New Roman"/>
                <w:i/>
                <w:iCs/>
                <w:sz w:val="24"/>
                <w:szCs w:val="24"/>
              </w:rPr>
              <w:t>Work Health and Safety Amendment (</w:t>
            </w:r>
            <w:r w:rsidR="00A70924">
              <w:rPr>
                <w:rFonts w:ascii="Times New Roman" w:eastAsia="Times New Roman" w:hAnsi="Times New Roman" w:cs="Times New Roman"/>
                <w:i/>
                <w:iCs/>
                <w:sz w:val="24"/>
                <w:szCs w:val="24"/>
              </w:rPr>
              <w:t>C</w:t>
            </w:r>
            <w:r>
              <w:rPr>
                <w:rFonts w:ascii="Times New Roman" w:eastAsia="Times New Roman" w:hAnsi="Times New Roman" w:cs="Times New Roman"/>
                <w:i/>
                <w:iCs/>
                <w:sz w:val="24"/>
                <w:szCs w:val="24"/>
              </w:rPr>
              <w:t xml:space="preserve">hemical </w:t>
            </w:r>
            <w:r w:rsidR="00A70924">
              <w:rPr>
                <w:rFonts w:ascii="Times New Roman" w:eastAsia="Times New Roman" w:hAnsi="Times New Roman" w:cs="Times New Roman"/>
                <w:i/>
                <w:iCs/>
                <w:sz w:val="24"/>
                <w:szCs w:val="24"/>
              </w:rPr>
              <w:t>L</w:t>
            </w:r>
            <w:r>
              <w:rPr>
                <w:rFonts w:ascii="Times New Roman" w:eastAsia="Times New Roman" w:hAnsi="Times New Roman" w:cs="Times New Roman"/>
                <w:i/>
                <w:iCs/>
                <w:sz w:val="24"/>
                <w:szCs w:val="24"/>
              </w:rPr>
              <w:t>abelling) Regulations 2023</w:t>
            </w:r>
          </w:p>
        </w:tc>
      </w:tr>
      <w:tr w:rsidR="005864CA" w14:paraId="394B6A18" w14:textId="77777777" w:rsidTr="003E4FB7">
        <w:trPr>
          <w:trHeight w:val="300"/>
        </w:trPr>
        <w:tc>
          <w:tcPr>
            <w:tcW w:w="4508" w:type="dxa"/>
            <w:tcBorders>
              <w:top w:val="single" w:sz="8" w:space="0" w:color="auto"/>
              <w:left w:val="single" w:sz="8" w:space="0" w:color="auto"/>
              <w:bottom w:val="single" w:sz="8" w:space="0" w:color="auto"/>
              <w:right w:val="single" w:sz="8" w:space="0" w:color="auto"/>
            </w:tcBorders>
            <w:hideMark/>
          </w:tcPr>
          <w:p w14:paraId="4D9046D3" w14:textId="77777777" w:rsidR="005864CA" w:rsidRDefault="005864CA">
            <w:pPr>
              <w:spacing w:after="200" w:line="276" w:lineRule="exact"/>
            </w:pPr>
            <w:r>
              <w:rPr>
                <w:rFonts w:ascii="Times New Roman" w:eastAsia="Times New Roman" w:hAnsi="Times New Roman" w:cs="Times New Roman"/>
                <w:color w:val="000000" w:themeColor="text1"/>
                <w:sz w:val="24"/>
                <w:szCs w:val="24"/>
                <w:lang w:val="en-AU"/>
              </w:rPr>
              <w:t>PCBU</w:t>
            </w:r>
          </w:p>
        </w:tc>
        <w:tc>
          <w:tcPr>
            <w:tcW w:w="4508" w:type="dxa"/>
            <w:tcBorders>
              <w:top w:val="single" w:sz="8" w:space="0" w:color="auto"/>
              <w:left w:val="single" w:sz="8" w:space="0" w:color="auto"/>
              <w:bottom w:val="single" w:sz="8" w:space="0" w:color="auto"/>
              <w:right w:val="single" w:sz="8" w:space="0" w:color="auto"/>
            </w:tcBorders>
            <w:hideMark/>
          </w:tcPr>
          <w:p w14:paraId="32F9EED0" w14:textId="30EBB578" w:rsidR="005864CA" w:rsidRDefault="00777346">
            <w:pPr>
              <w:spacing w:after="200" w:line="276" w:lineRule="exact"/>
            </w:pPr>
            <w:r>
              <w:rPr>
                <w:rFonts w:ascii="Times New Roman" w:eastAsia="Times New Roman" w:hAnsi="Times New Roman" w:cs="Times New Roman"/>
                <w:color w:val="000000" w:themeColor="text1"/>
                <w:sz w:val="24"/>
                <w:szCs w:val="24"/>
                <w:lang w:val="en-AU"/>
              </w:rPr>
              <w:t>p</w:t>
            </w:r>
            <w:r w:rsidR="005864CA">
              <w:rPr>
                <w:rFonts w:ascii="Times New Roman" w:eastAsia="Times New Roman" w:hAnsi="Times New Roman" w:cs="Times New Roman"/>
                <w:color w:val="000000" w:themeColor="text1"/>
                <w:sz w:val="24"/>
                <w:szCs w:val="24"/>
                <w:lang w:val="en-AU"/>
              </w:rPr>
              <w:t>erson conducting a business or undertaking</w:t>
            </w:r>
          </w:p>
        </w:tc>
      </w:tr>
    </w:tbl>
    <w:p w14:paraId="5440BBC4" w14:textId="77777777" w:rsidR="005864CA" w:rsidRDefault="005864CA" w:rsidP="00A35740">
      <w:pPr>
        <w:tabs>
          <w:tab w:val="left" w:pos="6521"/>
        </w:tabs>
        <w:spacing w:after="0"/>
        <w:rPr>
          <w:rFonts w:ascii="Times New Roman" w:eastAsia="Times New Roman" w:hAnsi="Times New Roman" w:cs="Times New Roman"/>
          <w:color w:val="000000" w:themeColor="text1"/>
          <w:sz w:val="24"/>
          <w:szCs w:val="24"/>
          <w:u w:val="single"/>
        </w:rPr>
      </w:pPr>
    </w:p>
    <w:p w14:paraId="7A6C7BDD" w14:textId="54B238FA" w:rsidR="00A35740" w:rsidRDefault="00A35740" w:rsidP="009D0BE1">
      <w:pPr>
        <w:tabs>
          <w:tab w:val="left" w:pos="6521"/>
        </w:tabs>
        <w:spacing w:afterLines="160" w:after="384"/>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Section 1 – Name</w:t>
      </w:r>
    </w:p>
    <w:p w14:paraId="777A5B1C" w14:textId="5FF8A728" w:rsidR="00DB729E" w:rsidRPr="009D0BE1" w:rsidRDefault="00DB729E" w:rsidP="009D0BE1">
      <w:pPr>
        <w:pStyle w:val="ListParagraph"/>
        <w:numPr>
          <w:ilvl w:val="0"/>
          <w:numId w:val="4"/>
        </w:numPr>
        <w:spacing w:afterLines="160" w:after="384"/>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This section provides that the title of the instrument is </w:t>
      </w:r>
      <w:r w:rsidRPr="00A6358D">
        <w:rPr>
          <w:rFonts w:ascii="Times New Roman" w:eastAsia="Times New Roman" w:hAnsi="Times New Roman" w:cs="Times New Roman"/>
          <w:i/>
          <w:iCs/>
          <w:color w:val="000000" w:themeColor="text1"/>
          <w:sz w:val="24"/>
          <w:szCs w:val="24"/>
        </w:rPr>
        <w:t>Work Health and Safety Amendment (</w:t>
      </w:r>
      <w:r w:rsidR="00A70924">
        <w:rPr>
          <w:rFonts w:ascii="Times New Roman" w:eastAsia="Times New Roman" w:hAnsi="Times New Roman" w:cs="Times New Roman"/>
          <w:i/>
          <w:iCs/>
          <w:color w:val="000000" w:themeColor="text1"/>
          <w:sz w:val="24"/>
          <w:szCs w:val="24"/>
        </w:rPr>
        <w:t>C</w:t>
      </w:r>
      <w:r w:rsidRPr="00A6358D">
        <w:rPr>
          <w:rFonts w:ascii="Times New Roman" w:eastAsia="Times New Roman" w:hAnsi="Times New Roman" w:cs="Times New Roman"/>
          <w:i/>
          <w:iCs/>
          <w:color w:val="000000" w:themeColor="text1"/>
          <w:sz w:val="24"/>
          <w:szCs w:val="24"/>
        </w:rPr>
        <w:t xml:space="preserve">hemical </w:t>
      </w:r>
      <w:r w:rsidR="00A70924">
        <w:rPr>
          <w:rFonts w:ascii="Times New Roman" w:eastAsia="Times New Roman" w:hAnsi="Times New Roman" w:cs="Times New Roman"/>
          <w:i/>
          <w:iCs/>
          <w:color w:val="000000" w:themeColor="text1"/>
          <w:sz w:val="24"/>
          <w:szCs w:val="24"/>
        </w:rPr>
        <w:t>L</w:t>
      </w:r>
      <w:r w:rsidRPr="00A6358D">
        <w:rPr>
          <w:rFonts w:ascii="Times New Roman" w:eastAsia="Times New Roman" w:hAnsi="Times New Roman" w:cs="Times New Roman"/>
          <w:i/>
          <w:iCs/>
          <w:color w:val="000000" w:themeColor="text1"/>
          <w:sz w:val="24"/>
          <w:szCs w:val="24"/>
        </w:rPr>
        <w:t>abelling) Regulations 2023</w:t>
      </w:r>
      <w:r w:rsidRPr="009D0BE1">
        <w:rPr>
          <w:rFonts w:ascii="Times New Roman" w:eastAsia="Times New Roman" w:hAnsi="Times New Roman" w:cs="Times New Roman"/>
          <w:color w:val="000000" w:themeColor="text1"/>
          <w:sz w:val="24"/>
          <w:szCs w:val="24"/>
        </w:rPr>
        <w:t xml:space="preserve">. </w:t>
      </w:r>
    </w:p>
    <w:p w14:paraId="53A63A86" w14:textId="7EFECD9C" w:rsidR="00DB729E" w:rsidRDefault="00DB729E" w:rsidP="009D0BE1">
      <w:pPr>
        <w:tabs>
          <w:tab w:val="left" w:pos="6521"/>
        </w:tabs>
        <w:spacing w:afterLines="160" w:after="384"/>
        <w:rPr>
          <w:rFonts w:ascii="Times New Roman" w:eastAsia="Times New Roman" w:hAnsi="Times New Roman" w:cs="Times New Roman"/>
          <w:color w:val="000000" w:themeColor="text1"/>
          <w:sz w:val="24"/>
          <w:szCs w:val="24"/>
          <w:u w:val="single"/>
        </w:rPr>
      </w:pPr>
      <w:r>
        <w:rPr>
          <w:rFonts w:ascii="Times New Roman" w:eastAsia="Times New Roman" w:hAnsi="Times New Roman" w:cs="Times New Roman"/>
          <w:color w:val="000000" w:themeColor="text1"/>
          <w:sz w:val="24"/>
          <w:szCs w:val="24"/>
          <w:u w:val="single"/>
        </w:rPr>
        <w:t>Section 2 – Commencement</w:t>
      </w:r>
    </w:p>
    <w:p w14:paraId="2DC320B8" w14:textId="77777777" w:rsidR="0026487C" w:rsidRPr="008D0C42" w:rsidRDefault="0026487C" w:rsidP="009D0BE1">
      <w:pPr>
        <w:pStyle w:val="ListParagraph"/>
        <w:numPr>
          <w:ilvl w:val="0"/>
          <w:numId w:val="4"/>
        </w:numPr>
        <w:spacing w:afterLines="160" w:after="384" w:line="276" w:lineRule="auto"/>
        <w:rPr>
          <w:rFonts w:ascii="Times New Roman" w:eastAsia="Times New Roman" w:hAnsi="Times New Roman" w:cs="Times New Roman"/>
          <w:color w:val="000000" w:themeColor="text1"/>
          <w:sz w:val="24"/>
          <w:szCs w:val="24"/>
          <w:lang w:val="en-AU"/>
        </w:rPr>
      </w:pPr>
      <w:r w:rsidRPr="008D0C42">
        <w:rPr>
          <w:rFonts w:ascii="Times New Roman" w:eastAsia="Times New Roman" w:hAnsi="Times New Roman" w:cs="Times New Roman"/>
          <w:color w:val="000000" w:themeColor="text1"/>
          <w:sz w:val="24"/>
          <w:szCs w:val="24"/>
        </w:rPr>
        <w:t xml:space="preserve">The table in this section sets out when the provisions of the instrument commence. The instrument </w:t>
      </w:r>
      <w:r w:rsidRPr="008D0C42">
        <w:rPr>
          <w:rFonts w:ascii="Times New Roman" w:eastAsia="Times New Roman" w:hAnsi="Times New Roman" w:cs="Times New Roman"/>
          <w:color w:val="000000" w:themeColor="text1"/>
          <w:sz w:val="24"/>
          <w:szCs w:val="24"/>
          <w:lang w:val="en-AU"/>
        </w:rPr>
        <w:t>commences on the day after registration on the Federal Register of Legislation.</w:t>
      </w:r>
    </w:p>
    <w:p w14:paraId="1C581AD5" w14:textId="77777777" w:rsidR="005F1CBC" w:rsidRDefault="005F1CBC" w:rsidP="009D0BE1">
      <w:pPr>
        <w:spacing w:afterLines="160" w:after="384" w:line="276" w:lineRule="auto"/>
        <w:rPr>
          <w:rFonts w:ascii="Times New Roman" w:eastAsia="Times New Roman" w:hAnsi="Times New Roman" w:cs="Times New Roman"/>
          <w:color w:val="000000" w:themeColor="text1"/>
          <w:sz w:val="24"/>
          <w:szCs w:val="24"/>
          <w:u w:val="single"/>
        </w:rPr>
      </w:pPr>
      <w:r w:rsidRPr="7ABAF3D9">
        <w:rPr>
          <w:rFonts w:ascii="Times New Roman" w:eastAsia="Times New Roman" w:hAnsi="Times New Roman" w:cs="Times New Roman"/>
          <w:color w:val="000000" w:themeColor="text1"/>
          <w:sz w:val="24"/>
          <w:szCs w:val="24"/>
          <w:u w:val="single"/>
        </w:rPr>
        <w:t>Section 3 – Authority</w:t>
      </w:r>
      <w:r w:rsidRPr="7ABAF3D9">
        <w:rPr>
          <w:rFonts w:ascii="Times New Roman" w:eastAsia="Times New Roman" w:hAnsi="Times New Roman" w:cs="Times New Roman"/>
          <w:color w:val="000000" w:themeColor="text1"/>
          <w:sz w:val="24"/>
          <w:szCs w:val="24"/>
        </w:rPr>
        <w:t xml:space="preserve"> </w:t>
      </w:r>
    </w:p>
    <w:p w14:paraId="7B0A1C77" w14:textId="77777777" w:rsidR="005F1CBC" w:rsidRPr="008D0C42" w:rsidRDefault="005F1CBC" w:rsidP="009D0BE1">
      <w:pPr>
        <w:pStyle w:val="ListParagraph"/>
        <w:numPr>
          <w:ilvl w:val="0"/>
          <w:numId w:val="4"/>
        </w:numPr>
        <w:spacing w:afterLines="160" w:after="384"/>
        <w:rPr>
          <w:rFonts w:ascii="Times New Roman" w:eastAsia="Times New Roman" w:hAnsi="Times New Roman" w:cs="Times New Roman"/>
          <w:color w:val="000000" w:themeColor="text1"/>
          <w:sz w:val="24"/>
          <w:szCs w:val="24"/>
        </w:rPr>
      </w:pPr>
      <w:r w:rsidRPr="008D0C42">
        <w:rPr>
          <w:rFonts w:ascii="Times New Roman" w:eastAsia="Times New Roman" w:hAnsi="Times New Roman" w:cs="Times New Roman"/>
          <w:color w:val="000000" w:themeColor="text1"/>
          <w:sz w:val="24"/>
          <w:szCs w:val="24"/>
        </w:rPr>
        <w:t xml:space="preserve">This section provides that the instrument is made under the </w:t>
      </w:r>
      <w:r w:rsidRPr="008D0C42">
        <w:rPr>
          <w:rFonts w:ascii="Times New Roman" w:eastAsia="Times New Roman" w:hAnsi="Times New Roman" w:cs="Times New Roman"/>
          <w:i/>
          <w:iCs/>
          <w:color w:val="000000" w:themeColor="text1"/>
          <w:sz w:val="24"/>
          <w:szCs w:val="24"/>
        </w:rPr>
        <w:t>Work Health and Safety Act 2011.</w:t>
      </w:r>
    </w:p>
    <w:p w14:paraId="389B76F8" w14:textId="77777777" w:rsidR="005E203F" w:rsidRDefault="005E203F" w:rsidP="009D0BE1">
      <w:pPr>
        <w:spacing w:afterLines="160" w:after="384"/>
        <w:rPr>
          <w:rFonts w:ascii="Times New Roman" w:eastAsia="Times New Roman" w:hAnsi="Times New Roman" w:cs="Times New Roman"/>
          <w:color w:val="000000" w:themeColor="text1"/>
          <w:sz w:val="24"/>
          <w:szCs w:val="24"/>
          <w:u w:val="single"/>
        </w:rPr>
      </w:pPr>
      <w:r w:rsidRPr="4E1F4C59">
        <w:rPr>
          <w:rFonts w:ascii="Times New Roman" w:eastAsia="Times New Roman" w:hAnsi="Times New Roman" w:cs="Times New Roman"/>
          <w:color w:val="000000" w:themeColor="text1"/>
          <w:sz w:val="24"/>
          <w:szCs w:val="24"/>
          <w:u w:val="single"/>
        </w:rPr>
        <w:t>Section 4 – Schedules</w:t>
      </w:r>
    </w:p>
    <w:p w14:paraId="3F2FE874" w14:textId="77777777" w:rsidR="005E203F" w:rsidRPr="009D0BE1" w:rsidRDefault="005E203F" w:rsidP="009008F0">
      <w:pPr>
        <w:pStyle w:val="ListParagraph"/>
        <w:numPr>
          <w:ilvl w:val="0"/>
          <w:numId w:val="4"/>
        </w:numPr>
        <w:spacing w:afterLines="160" w:after="384"/>
        <w:rPr>
          <w:rFonts w:ascii="Times New Roman" w:eastAsia="Times New Roman" w:hAnsi="Times New Roman" w:cs="Times New Roman"/>
          <w:sz w:val="24"/>
          <w:szCs w:val="24"/>
        </w:rPr>
      </w:pPr>
      <w:r w:rsidRPr="008D0C42">
        <w:rPr>
          <w:rFonts w:ascii="Times New Roman" w:eastAsia="Times New Roman" w:hAnsi="Times New Roman" w:cs="Times New Roman"/>
          <w:color w:val="000000" w:themeColor="text1"/>
          <w:sz w:val="24"/>
          <w:szCs w:val="24"/>
        </w:rPr>
        <w:t>This section provides that each instrument that is specified in a Schedule to the instrument is amended or repealed as set out in the applicable items in the Schedule concerned, and any other item in a Schedule to the instrument has effect according to its terms.</w:t>
      </w:r>
    </w:p>
    <w:p w14:paraId="180E76FC" w14:textId="77777777" w:rsidR="00C7046B" w:rsidRPr="009D0BE1" w:rsidRDefault="00C7046B" w:rsidP="009D0BE1">
      <w:pPr>
        <w:spacing w:afterLines="160" w:after="384"/>
        <w:rPr>
          <w:rFonts w:ascii="Times New Roman" w:eastAsia="Times New Roman" w:hAnsi="Times New Roman" w:cs="Times New Roman"/>
          <w:sz w:val="24"/>
          <w:szCs w:val="24"/>
        </w:rPr>
      </w:pPr>
    </w:p>
    <w:p w14:paraId="19C51783" w14:textId="77777777" w:rsidR="00C7046B" w:rsidRDefault="00C7046B" w:rsidP="00120EFD">
      <w:pPr>
        <w:spacing w:afterLines="160" w:after="384"/>
        <w:rPr>
          <w:rFonts w:ascii="Times New Roman" w:eastAsia="Times New Roman" w:hAnsi="Times New Roman" w:cs="Times New Roman"/>
          <w:sz w:val="24"/>
          <w:szCs w:val="24"/>
        </w:rPr>
        <w:sectPr w:rsidR="00C7046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p w14:paraId="7B3E0D9F" w14:textId="14307B39" w:rsidR="00DE65BB" w:rsidRDefault="005E203F" w:rsidP="006753F0">
      <w:pPr>
        <w:keepNext/>
        <w:spacing w:afterLines="160" w:after="384"/>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color w:val="000000" w:themeColor="text1"/>
          <w:sz w:val="24"/>
          <w:szCs w:val="24"/>
          <w:u w:val="single"/>
        </w:rPr>
        <w:lastRenderedPageBreak/>
        <w:t>Schedule 1 – Amendment</w:t>
      </w:r>
      <w:r w:rsidR="00CF68DD">
        <w:rPr>
          <w:rFonts w:ascii="Times New Roman" w:eastAsia="Times New Roman" w:hAnsi="Times New Roman" w:cs="Times New Roman"/>
          <w:color w:val="000000" w:themeColor="text1"/>
          <w:sz w:val="24"/>
          <w:szCs w:val="24"/>
          <w:u w:val="single"/>
        </w:rPr>
        <w:t>s</w:t>
      </w:r>
    </w:p>
    <w:p w14:paraId="2155BAE9" w14:textId="45B6F37C" w:rsidR="006835DA" w:rsidRPr="000F1843" w:rsidRDefault="000942D5" w:rsidP="006835DA">
      <w:pPr>
        <w:spacing w:afterLines="160" w:after="384"/>
        <w:rPr>
          <w:rFonts w:ascii="Times New Roman" w:eastAsia="Times New Roman" w:hAnsi="Times New Roman" w:cs="Times New Roman"/>
          <w:i/>
          <w:iCs/>
          <w:sz w:val="24"/>
          <w:szCs w:val="24"/>
        </w:rPr>
      </w:pPr>
      <w:r w:rsidRPr="000F1843">
        <w:rPr>
          <w:rFonts w:ascii="Times New Roman" w:eastAsia="Times New Roman" w:hAnsi="Times New Roman" w:cs="Times New Roman"/>
          <w:i/>
          <w:iCs/>
          <w:color w:val="000000" w:themeColor="text1"/>
          <w:sz w:val="24"/>
          <w:szCs w:val="24"/>
        </w:rPr>
        <w:t xml:space="preserve">Part 1 – </w:t>
      </w:r>
      <w:r w:rsidR="00581830" w:rsidRPr="000F1843">
        <w:rPr>
          <w:rFonts w:ascii="Times New Roman" w:eastAsia="Times New Roman" w:hAnsi="Times New Roman" w:cs="Times New Roman"/>
          <w:i/>
          <w:iCs/>
          <w:sz w:val="24"/>
          <w:szCs w:val="24"/>
        </w:rPr>
        <w:t>Hazardous chemical</w:t>
      </w:r>
      <w:r w:rsidR="00A77828" w:rsidRPr="000F1843">
        <w:rPr>
          <w:rFonts w:ascii="Times New Roman" w:eastAsia="Times New Roman" w:hAnsi="Times New Roman" w:cs="Times New Roman"/>
          <w:i/>
          <w:iCs/>
          <w:sz w:val="24"/>
          <w:szCs w:val="24"/>
        </w:rPr>
        <w:t>s</w:t>
      </w:r>
      <w:r w:rsidR="006835DA" w:rsidRPr="000F1843">
        <w:rPr>
          <w:rFonts w:ascii="Times New Roman" w:eastAsia="Times New Roman" w:hAnsi="Times New Roman" w:cs="Times New Roman"/>
          <w:i/>
          <w:iCs/>
          <w:color w:val="000000" w:themeColor="text1"/>
          <w:sz w:val="24"/>
          <w:szCs w:val="24"/>
        </w:rPr>
        <w:t xml:space="preserve"> </w:t>
      </w:r>
    </w:p>
    <w:p w14:paraId="2CBD0B81" w14:textId="080A3175" w:rsidR="00721124" w:rsidRDefault="00781D5A" w:rsidP="00C9614D">
      <w:pPr>
        <w:pStyle w:val="xmsonormal"/>
        <w:numPr>
          <w:ilvl w:val="0"/>
          <w:numId w:val="4"/>
        </w:numPr>
        <w:spacing w:afterLines="160" w:after="384"/>
        <w:rPr>
          <w:rFonts w:ascii="Times New Roman" w:hAnsi="Times New Roman" w:cs="Times New Roman"/>
          <w:sz w:val="24"/>
          <w:szCs w:val="24"/>
        </w:rPr>
      </w:pPr>
      <w:r>
        <w:rPr>
          <w:rFonts w:ascii="Times New Roman" w:hAnsi="Times New Roman" w:cs="Times New Roman"/>
          <w:sz w:val="24"/>
          <w:szCs w:val="24"/>
        </w:rPr>
        <w:t xml:space="preserve">This Part amends the </w:t>
      </w:r>
      <w:r w:rsidR="00E8031E">
        <w:rPr>
          <w:rFonts w:ascii="Times New Roman" w:hAnsi="Times New Roman" w:cs="Times New Roman"/>
          <w:sz w:val="24"/>
          <w:szCs w:val="24"/>
        </w:rPr>
        <w:t xml:space="preserve">Principal Regulations to </w:t>
      </w:r>
      <w:r w:rsidR="00B73976">
        <w:rPr>
          <w:rFonts w:ascii="Times New Roman" w:hAnsi="Times New Roman" w:cs="Times New Roman"/>
          <w:sz w:val="24"/>
          <w:szCs w:val="24"/>
        </w:rPr>
        <w:t>remove</w:t>
      </w:r>
      <w:r w:rsidR="00C9614D" w:rsidRPr="00AB4B9A">
        <w:rPr>
          <w:rFonts w:ascii="Times New Roman" w:hAnsi="Times New Roman" w:cs="Times New Roman"/>
          <w:sz w:val="24"/>
          <w:szCs w:val="24"/>
        </w:rPr>
        <w:t xml:space="preserve"> </w:t>
      </w:r>
      <w:r w:rsidR="00DF00D0">
        <w:rPr>
          <w:rFonts w:ascii="Times New Roman" w:hAnsi="Times New Roman" w:cs="Times New Roman"/>
          <w:sz w:val="24"/>
          <w:szCs w:val="24"/>
        </w:rPr>
        <w:t xml:space="preserve">five </w:t>
      </w:r>
      <w:proofErr w:type="spellStart"/>
      <w:r w:rsidR="00550241">
        <w:rPr>
          <w:rFonts w:ascii="Times New Roman" w:hAnsi="Times New Roman" w:cs="Times New Roman"/>
          <w:sz w:val="24"/>
          <w:szCs w:val="24"/>
        </w:rPr>
        <w:t>subregulations</w:t>
      </w:r>
      <w:proofErr w:type="spellEnd"/>
      <w:r w:rsidR="00550241">
        <w:rPr>
          <w:rFonts w:ascii="Times New Roman" w:hAnsi="Times New Roman" w:cs="Times New Roman"/>
          <w:sz w:val="24"/>
          <w:szCs w:val="24"/>
        </w:rPr>
        <w:t xml:space="preserve"> </w:t>
      </w:r>
      <w:r w:rsidR="00577B2F">
        <w:rPr>
          <w:rFonts w:ascii="Times New Roman" w:hAnsi="Times New Roman" w:cs="Times New Roman"/>
          <w:sz w:val="24"/>
          <w:szCs w:val="24"/>
        </w:rPr>
        <w:t>from Division 2 of Part 7.1.</w:t>
      </w:r>
      <w:r w:rsidR="00D0561B">
        <w:rPr>
          <w:rFonts w:ascii="Times New Roman" w:hAnsi="Times New Roman" w:cs="Times New Roman"/>
          <w:sz w:val="24"/>
          <w:szCs w:val="24"/>
        </w:rPr>
        <w:t xml:space="preserve"> These </w:t>
      </w:r>
      <w:proofErr w:type="spellStart"/>
      <w:r w:rsidR="00B73903">
        <w:rPr>
          <w:rFonts w:ascii="Times New Roman" w:hAnsi="Times New Roman" w:cs="Times New Roman"/>
          <w:sz w:val="24"/>
          <w:szCs w:val="24"/>
        </w:rPr>
        <w:t>subregulations</w:t>
      </w:r>
      <w:proofErr w:type="spellEnd"/>
      <w:r w:rsidR="00B42D50">
        <w:rPr>
          <w:rFonts w:ascii="Times New Roman" w:hAnsi="Times New Roman" w:cs="Times New Roman"/>
          <w:sz w:val="24"/>
          <w:szCs w:val="24"/>
        </w:rPr>
        <w:t xml:space="preserve"> </w:t>
      </w:r>
      <w:r w:rsidR="00A70924">
        <w:rPr>
          <w:rFonts w:ascii="Times New Roman" w:hAnsi="Times New Roman" w:cs="Times New Roman"/>
          <w:sz w:val="24"/>
          <w:szCs w:val="24"/>
        </w:rPr>
        <w:t xml:space="preserve">provide that </w:t>
      </w:r>
      <w:r w:rsidR="00550241">
        <w:rPr>
          <w:rFonts w:ascii="Times New Roman" w:hAnsi="Times New Roman" w:cs="Times New Roman"/>
          <w:sz w:val="24"/>
          <w:szCs w:val="24"/>
        </w:rPr>
        <w:t xml:space="preserve">existing </w:t>
      </w:r>
      <w:r w:rsidR="001778CE">
        <w:rPr>
          <w:rFonts w:ascii="Times New Roman" w:hAnsi="Times New Roman" w:cs="Times New Roman"/>
          <w:sz w:val="24"/>
          <w:szCs w:val="24"/>
        </w:rPr>
        <w:t xml:space="preserve">provisions </w:t>
      </w:r>
      <w:r w:rsidR="00DF00D0">
        <w:rPr>
          <w:rFonts w:ascii="Times New Roman" w:hAnsi="Times New Roman" w:cs="Times New Roman"/>
          <w:sz w:val="24"/>
          <w:szCs w:val="24"/>
        </w:rPr>
        <w:t xml:space="preserve">relating </w:t>
      </w:r>
      <w:r w:rsidR="00373365">
        <w:rPr>
          <w:rFonts w:ascii="Times New Roman" w:hAnsi="Times New Roman" w:cs="Times New Roman"/>
          <w:sz w:val="24"/>
          <w:szCs w:val="24"/>
        </w:rPr>
        <w:t xml:space="preserve">to hazardous chemical labelling requirements </w:t>
      </w:r>
      <w:r w:rsidR="00DF00D0">
        <w:rPr>
          <w:rFonts w:ascii="Times New Roman" w:hAnsi="Times New Roman" w:cs="Times New Roman"/>
          <w:sz w:val="24"/>
          <w:szCs w:val="24"/>
        </w:rPr>
        <w:t>cease to be in force at the end of 31 December 2023.</w:t>
      </w:r>
      <w:r w:rsidR="00550241">
        <w:rPr>
          <w:rFonts w:ascii="Times New Roman" w:hAnsi="Times New Roman" w:cs="Times New Roman"/>
          <w:sz w:val="24"/>
          <w:szCs w:val="24"/>
        </w:rPr>
        <w:t xml:space="preserve"> </w:t>
      </w:r>
    </w:p>
    <w:p w14:paraId="6B262500" w14:textId="77777777" w:rsidR="00C04A3C" w:rsidRPr="00D31AA0" w:rsidRDefault="00721124" w:rsidP="00823117">
      <w:pPr>
        <w:pStyle w:val="xmsonormal"/>
        <w:numPr>
          <w:ilvl w:val="0"/>
          <w:numId w:val="4"/>
        </w:numPr>
        <w:spacing w:afterLines="160" w:after="384"/>
        <w:rPr>
          <w:rFonts w:ascii="Times New Roman" w:hAnsi="Times New Roman" w:cs="Times New Roman"/>
          <w:sz w:val="24"/>
          <w:szCs w:val="24"/>
        </w:rPr>
      </w:pPr>
      <w:r w:rsidRPr="00C04A3C">
        <w:rPr>
          <w:rFonts w:ascii="Times New Roman" w:hAnsi="Times New Roman" w:cs="Times New Roman"/>
          <w:sz w:val="24"/>
          <w:szCs w:val="24"/>
        </w:rPr>
        <w:t xml:space="preserve">The </w:t>
      </w:r>
      <w:r w:rsidR="00447D87" w:rsidRPr="00C04A3C">
        <w:rPr>
          <w:rFonts w:ascii="Times New Roman" w:hAnsi="Times New Roman" w:cs="Times New Roman"/>
          <w:sz w:val="24"/>
          <w:szCs w:val="24"/>
        </w:rPr>
        <w:t xml:space="preserve">Principal Regulations </w:t>
      </w:r>
      <w:r w:rsidR="005E6112" w:rsidRPr="00D31AA0">
        <w:rPr>
          <w:rFonts w:ascii="Times New Roman" w:hAnsi="Times New Roman" w:cs="Times New Roman"/>
          <w:sz w:val="24"/>
          <w:szCs w:val="24"/>
        </w:rPr>
        <w:t xml:space="preserve">require the manufacturer or importer of a hazardous chemical to ensure that the hazardous chemical is correctly labelled as soon as practicable after manufacturing or importing the hazardous chemical. </w:t>
      </w:r>
      <w:proofErr w:type="gramStart"/>
      <w:r w:rsidR="008A311B" w:rsidRPr="00C04A3C">
        <w:rPr>
          <w:rFonts w:ascii="Times New Roman" w:hAnsi="Times New Roman" w:cs="Times New Roman"/>
          <w:sz w:val="24"/>
          <w:szCs w:val="24"/>
        </w:rPr>
        <w:t>As a general rule</w:t>
      </w:r>
      <w:proofErr w:type="gramEnd"/>
      <w:r w:rsidR="008A311B" w:rsidRPr="00C04A3C">
        <w:rPr>
          <w:rFonts w:ascii="Times New Roman" w:hAnsi="Times New Roman" w:cs="Times New Roman"/>
          <w:sz w:val="24"/>
          <w:szCs w:val="24"/>
        </w:rPr>
        <w:t xml:space="preserve">, </w:t>
      </w:r>
      <w:r w:rsidR="008A311B" w:rsidRPr="00D31AA0">
        <w:rPr>
          <w:rFonts w:ascii="Times New Roman" w:hAnsi="Times New Roman" w:cs="Times New Roman"/>
          <w:color w:val="000000"/>
          <w:sz w:val="24"/>
          <w:szCs w:val="24"/>
        </w:rPr>
        <w:t>a hazardous chemical can be correctly labelled if the selection and use of label elements is in accordance with the Globally Harmonised Syste</w:t>
      </w:r>
      <w:r w:rsidR="00C04A3C">
        <w:rPr>
          <w:rFonts w:ascii="Times New Roman" w:hAnsi="Times New Roman" w:cs="Times New Roman"/>
          <w:color w:val="000000"/>
          <w:sz w:val="24"/>
          <w:szCs w:val="24"/>
        </w:rPr>
        <w:t>m</w:t>
      </w:r>
      <w:r w:rsidR="008A311B" w:rsidRPr="00D31AA0">
        <w:rPr>
          <w:rFonts w:ascii="Times New Roman" w:hAnsi="Times New Roman" w:cs="Times New Roman"/>
          <w:color w:val="000000"/>
          <w:sz w:val="24"/>
          <w:szCs w:val="24"/>
        </w:rPr>
        <w:t xml:space="preserve">, and it complies with Part 3 of Schedule 9. </w:t>
      </w:r>
    </w:p>
    <w:p w14:paraId="0D331CDE" w14:textId="0510CAA1" w:rsidR="005E6112" w:rsidRDefault="00823117" w:rsidP="00823117">
      <w:pPr>
        <w:pStyle w:val="xmsonormal"/>
        <w:numPr>
          <w:ilvl w:val="0"/>
          <w:numId w:val="4"/>
        </w:numPr>
        <w:spacing w:afterLines="160" w:after="384"/>
        <w:rPr>
          <w:rFonts w:ascii="Times New Roman" w:hAnsi="Times New Roman" w:cs="Times New Roman"/>
          <w:sz w:val="24"/>
          <w:szCs w:val="24"/>
        </w:rPr>
      </w:pPr>
      <w:proofErr w:type="spellStart"/>
      <w:r w:rsidRPr="00C04A3C">
        <w:rPr>
          <w:rFonts w:ascii="Times New Roman" w:hAnsi="Times New Roman" w:cs="Times New Roman"/>
          <w:sz w:val="24"/>
          <w:szCs w:val="24"/>
        </w:rPr>
        <w:t>S</w:t>
      </w:r>
      <w:r w:rsidR="005E6112" w:rsidRPr="00D31AA0">
        <w:rPr>
          <w:rFonts w:ascii="Times New Roman" w:hAnsi="Times New Roman" w:cs="Times New Roman"/>
          <w:sz w:val="24"/>
          <w:szCs w:val="24"/>
        </w:rPr>
        <w:t>ubregulation</w:t>
      </w:r>
      <w:proofErr w:type="spellEnd"/>
      <w:r w:rsidR="005E6112" w:rsidRPr="00D31AA0">
        <w:rPr>
          <w:rFonts w:ascii="Times New Roman" w:hAnsi="Times New Roman" w:cs="Times New Roman"/>
          <w:sz w:val="24"/>
          <w:szCs w:val="24"/>
        </w:rPr>
        <w:t xml:space="preserve"> 335(2A) sets out another way a hazardous chemical can be correctly labelled. </w:t>
      </w:r>
      <w:r w:rsidR="00C04A3C">
        <w:rPr>
          <w:rFonts w:ascii="Times New Roman" w:hAnsi="Times New Roman" w:cs="Times New Roman"/>
          <w:sz w:val="24"/>
          <w:szCs w:val="24"/>
        </w:rPr>
        <w:t xml:space="preserve">A </w:t>
      </w:r>
      <w:r w:rsidR="005E6112" w:rsidRPr="00D31AA0">
        <w:rPr>
          <w:rFonts w:ascii="Times New Roman" w:hAnsi="Times New Roman" w:cs="Times New Roman"/>
          <w:sz w:val="24"/>
          <w:szCs w:val="24"/>
        </w:rPr>
        <w:t xml:space="preserve">hazardous chemical is also correctly labelled if the label includes content that complies with another labelling requirement imposed by the </w:t>
      </w:r>
      <w:r w:rsidR="003A26A0">
        <w:rPr>
          <w:rFonts w:ascii="Times New Roman" w:hAnsi="Times New Roman" w:cs="Times New Roman"/>
          <w:sz w:val="24"/>
          <w:szCs w:val="24"/>
        </w:rPr>
        <w:t xml:space="preserve">Principal </w:t>
      </w:r>
      <w:r w:rsidR="00D31AA0">
        <w:rPr>
          <w:rFonts w:ascii="Times New Roman" w:hAnsi="Times New Roman" w:cs="Times New Roman"/>
          <w:sz w:val="24"/>
          <w:szCs w:val="24"/>
        </w:rPr>
        <w:t>Regulations</w:t>
      </w:r>
      <w:r w:rsidR="005E6112" w:rsidRPr="00D31AA0">
        <w:rPr>
          <w:rFonts w:ascii="Times New Roman" w:hAnsi="Times New Roman" w:cs="Times New Roman"/>
          <w:sz w:val="24"/>
          <w:szCs w:val="24"/>
        </w:rPr>
        <w:t xml:space="preserve"> or by another law of the Commonwealth, provided the content is the same, or substantially the same, as the content that is required by Part 3 of Schedule 9. In cases where some, but not all, elements of a label are the same, or substantially the same, as the content required by Part 3 of Schedule 9, only those elements that are not already included on the label are required to be added.</w:t>
      </w:r>
    </w:p>
    <w:p w14:paraId="578AC14B" w14:textId="703A2E2B" w:rsidR="000F6CB4" w:rsidRDefault="000F6CB4" w:rsidP="00823117">
      <w:pPr>
        <w:pStyle w:val="xmsonormal"/>
        <w:numPr>
          <w:ilvl w:val="0"/>
          <w:numId w:val="4"/>
        </w:numPr>
        <w:spacing w:afterLines="160" w:after="384"/>
        <w:rPr>
          <w:rFonts w:ascii="Times New Roman" w:hAnsi="Times New Roman" w:cs="Times New Roman"/>
          <w:sz w:val="24"/>
          <w:szCs w:val="24"/>
        </w:rPr>
      </w:pPr>
      <w:r>
        <w:rPr>
          <w:rFonts w:ascii="Times New Roman" w:hAnsi="Times New Roman" w:cs="Times New Roman"/>
          <w:sz w:val="24"/>
          <w:szCs w:val="24"/>
        </w:rPr>
        <w:t>Th</w:t>
      </w:r>
      <w:r w:rsidR="00390CA2">
        <w:rPr>
          <w:rFonts w:ascii="Times New Roman" w:hAnsi="Times New Roman" w:cs="Times New Roman"/>
          <w:sz w:val="24"/>
          <w:szCs w:val="24"/>
        </w:rPr>
        <w:t xml:space="preserve">e reason for the </w:t>
      </w:r>
      <w:r w:rsidR="007759E0">
        <w:rPr>
          <w:rFonts w:ascii="Times New Roman" w:hAnsi="Times New Roman" w:cs="Times New Roman"/>
          <w:sz w:val="24"/>
          <w:szCs w:val="24"/>
        </w:rPr>
        <w:t>additional accepted labelling</w:t>
      </w:r>
      <w:r w:rsidR="00390CA2">
        <w:rPr>
          <w:rFonts w:ascii="Times New Roman" w:hAnsi="Times New Roman" w:cs="Times New Roman"/>
          <w:sz w:val="24"/>
          <w:szCs w:val="24"/>
        </w:rPr>
        <w:t xml:space="preserve"> </w:t>
      </w:r>
      <w:r w:rsidR="00AB7BF7">
        <w:rPr>
          <w:rFonts w:ascii="Times New Roman" w:hAnsi="Times New Roman" w:cs="Times New Roman"/>
          <w:sz w:val="24"/>
          <w:szCs w:val="24"/>
        </w:rPr>
        <w:t xml:space="preserve">in </w:t>
      </w:r>
      <w:proofErr w:type="spellStart"/>
      <w:r w:rsidR="00AB7BF7">
        <w:rPr>
          <w:rFonts w:ascii="Times New Roman" w:hAnsi="Times New Roman" w:cs="Times New Roman"/>
          <w:sz w:val="24"/>
          <w:szCs w:val="24"/>
        </w:rPr>
        <w:t>subregulation</w:t>
      </w:r>
      <w:proofErr w:type="spellEnd"/>
      <w:r w:rsidR="00AB7BF7">
        <w:rPr>
          <w:rFonts w:ascii="Times New Roman" w:hAnsi="Times New Roman" w:cs="Times New Roman"/>
          <w:sz w:val="24"/>
          <w:szCs w:val="24"/>
        </w:rPr>
        <w:t xml:space="preserve"> 335(2A) </w:t>
      </w:r>
      <w:r w:rsidR="00390CA2">
        <w:rPr>
          <w:rFonts w:ascii="Times New Roman" w:hAnsi="Times New Roman" w:cs="Times New Roman"/>
          <w:sz w:val="24"/>
          <w:szCs w:val="24"/>
        </w:rPr>
        <w:t xml:space="preserve">is to minimise </w:t>
      </w:r>
      <w:r w:rsidR="00E762D5">
        <w:rPr>
          <w:rFonts w:ascii="Times New Roman" w:hAnsi="Times New Roman" w:cs="Times New Roman"/>
          <w:sz w:val="24"/>
          <w:szCs w:val="24"/>
        </w:rPr>
        <w:t>unnecessary re-labelling</w:t>
      </w:r>
      <w:r w:rsidR="00EC4670">
        <w:rPr>
          <w:rFonts w:ascii="Times New Roman" w:hAnsi="Times New Roman" w:cs="Times New Roman"/>
          <w:sz w:val="24"/>
          <w:szCs w:val="24"/>
        </w:rPr>
        <w:t>, particularly for the agricultural and veterinary industries which have industry specific labelling requirements.</w:t>
      </w:r>
      <w:r w:rsidR="00390CA2">
        <w:rPr>
          <w:rFonts w:ascii="Times New Roman" w:hAnsi="Times New Roman" w:cs="Times New Roman"/>
          <w:sz w:val="24"/>
          <w:szCs w:val="24"/>
        </w:rPr>
        <w:t xml:space="preserve"> Retaining this exception will ensure that labelling requirements remain consistent across all Australian jurisdictions. This is particularly important for the Commonwealth laws because of the application of the WHS Act and Principal Regulations in all states and territories. The legislation applies to the Commonwealth, public </w:t>
      </w:r>
      <w:proofErr w:type="gramStart"/>
      <w:r w:rsidR="00390CA2">
        <w:rPr>
          <w:rFonts w:ascii="Times New Roman" w:hAnsi="Times New Roman" w:cs="Times New Roman"/>
          <w:sz w:val="24"/>
          <w:szCs w:val="24"/>
        </w:rPr>
        <w:t>authorities</w:t>
      </w:r>
      <w:proofErr w:type="gramEnd"/>
      <w:r w:rsidR="00390CA2">
        <w:rPr>
          <w:rFonts w:ascii="Times New Roman" w:hAnsi="Times New Roman" w:cs="Times New Roman"/>
          <w:sz w:val="24"/>
          <w:szCs w:val="24"/>
        </w:rPr>
        <w:t xml:space="preserve"> and non-Commonwealth licensees rather than a geographical area which results in significant interaction between Commonwealth and state and territory work health and safety laws.</w:t>
      </w:r>
    </w:p>
    <w:p w14:paraId="2A232491" w14:textId="69295035" w:rsidR="00B27276" w:rsidRDefault="00B27276" w:rsidP="00823117">
      <w:pPr>
        <w:pStyle w:val="xmsonormal"/>
        <w:numPr>
          <w:ilvl w:val="0"/>
          <w:numId w:val="4"/>
        </w:numPr>
        <w:spacing w:afterLines="160" w:after="384"/>
        <w:rPr>
          <w:rFonts w:ascii="Times New Roman" w:hAnsi="Times New Roman" w:cs="Times New Roman"/>
          <w:sz w:val="24"/>
          <w:szCs w:val="24"/>
        </w:rPr>
      </w:pPr>
      <w:r>
        <w:rPr>
          <w:rFonts w:ascii="Times New Roman" w:hAnsi="Times New Roman" w:cs="Times New Roman"/>
          <w:sz w:val="24"/>
          <w:szCs w:val="24"/>
        </w:rPr>
        <w:t>For completeness</w:t>
      </w:r>
      <w:r w:rsidR="004873B7">
        <w:rPr>
          <w:rFonts w:ascii="Times New Roman" w:hAnsi="Times New Roman" w:cs="Times New Roman"/>
          <w:sz w:val="24"/>
          <w:szCs w:val="24"/>
        </w:rPr>
        <w:t xml:space="preserve"> and consistency within the Principal Regulations</w:t>
      </w:r>
      <w:r>
        <w:rPr>
          <w:rFonts w:ascii="Times New Roman" w:hAnsi="Times New Roman" w:cs="Times New Roman"/>
          <w:sz w:val="24"/>
          <w:szCs w:val="24"/>
        </w:rPr>
        <w:t xml:space="preserve">, the Amendment </w:t>
      </w:r>
      <w:r w:rsidR="004873B7">
        <w:rPr>
          <w:rFonts w:ascii="Times New Roman" w:hAnsi="Times New Roman" w:cs="Times New Roman"/>
          <w:sz w:val="24"/>
          <w:szCs w:val="24"/>
        </w:rPr>
        <w:t>R</w:t>
      </w:r>
      <w:r>
        <w:rPr>
          <w:rFonts w:ascii="Times New Roman" w:hAnsi="Times New Roman" w:cs="Times New Roman"/>
          <w:sz w:val="24"/>
          <w:szCs w:val="24"/>
        </w:rPr>
        <w:t>egulation</w:t>
      </w:r>
      <w:r w:rsidR="004873B7">
        <w:rPr>
          <w:rFonts w:ascii="Times New Roman" w:hAnsi="Times New Roman" w:cs="Times New Roman"/>
          <w:sz w:val="24"/>
          <w:szCs w:val="24"/>
        </w:rPr>
        <w:t>s</w:t>
      </w:r>
      <w:r>
        <w:rPr>
          <w:rFonts w:ascii="Times New Roman" w:hAnsi="Times New Roman" w:cs="Times New Roman"/>
          <w:sz w:val="24"/>
          <w:szCs w:val="24"/>
        </w:rPr>
        <w:t xml:space="preserve"> also remove similar provisions for ‘sunsetting’ in </w:t>
      </w:r>
      <w:r w:rsidR="00E653A7">
        <w:rPr>
          <w:rFonts w:ascii="Times New Roman" w:hAnsi="Times New Roman" w:cs="Times New Roman"/>
          <w:sz w:val="24"/>
          <w:szCs w:val="24"/>
        </w:rPr>
        <w:t xml:space="preserve">regulation </w:t>
      </w:r>
      <w:r w:rsidR="008C7BEA">
        <w:rPr>
          <w:rFonts w:ascii="Times New Roman" w:hAnsi="Times New Roman" w:cs="Times New Roman"/>
          <w:sz w:val="24"/>
          <w:szCs w:val="24"/>
        </w:rPr>
        <w:t>3</w:t>
      </w:r>
      <w:r w:rsidR="00E653A7">
        <w:rPr>
          <w:rFonts w:ascii="Times New Roman" w:hAnsi="Times New Roman" w:cs="Times New Roman"/>
          <w:sz w:val="24"/>
          <w:szCs w:val="24"/>
        </w:rPr>
        <w:t xml:space="preserve">41 and </w:t>
      </w:r>
      <w:r w:rsidR="008C7BEA">
        <w:rPr>
          <w:rFonts w:ascii="Times New Roman" w:hAnsi="Times New Roman" w:cs="Times New Roman"/>
          <w:sz w:val="24"/>
          <w:szCs w:val="24"/>
        </w:rPr>
        <w:t>3</w:t>
      </w:r>
      <w:r w:rsidR="00E653A7">
        <w:rPr>
          <w:rFonts w:ascii="Times New Roman" w:hAnsi="Times New Roman" w:cs="Times New Roman"/>
          <w:sz w:val="24"/>
          <w:szCs w:val="24"/>
        </w:rPr>
        <w:t xml:space="preserve">42. These </w:t>
      </w:r>
      <w:r w:rsidR="004873B7">
        <w:rPr>
          <w:rFonts w:ascii="Times New Roman" w:hAnsi="Times New Roman" w:cs="Times New Roman"/>
          <w:sz w:val="24"/>
          <w:szCs w:val="24"/>
        </w:rPr>
        <w:t>provisions</w:t>
      </w:r>
      <w:r w:rsidR="00E653A7">
        <w:rPr>
          <w:rFonts w:ascii="Times New Roman" w:hAnsi="Times New Roman" w:cs="Times New Roman"/>
          <w:sz w:val="24"/>
          <w:szCs w:val="24"/>
        </w:rPr>
        <w:t xml:space="preserve"> would have little work to do in 2023 because they</w:t>
      </w:r>
      <w:r w:rsidR="006D47E3">
        <w:rPr>
          <w:rFonts w:ascii="Times New Roman" w:hAnsi="Times New Roman" w:cs="Times New Roman"/>
          <w:sz w:val="24"/>
          <w:szCs w:val="24"/>
        </w:rPr>
        <w:t xml:space="preserve"> </w:t>
      </w:r>
      <w:r w:rsidR="00D746BA">
        <w:rPr>
          <w:rFonts w:ascii="Times New Roman" w:hAnsi="Times New Roman" w:cs="Times New Roman"/>
          <w:sz w:val="24"/>
          <w:szCs w:val="24"/>
        </w:rPr>
        <w:t xml:space="preserve">apply to hazardous chemicals manufactured, </w:t>
      </w:r>
      <w:r w:rsidR="00C21966">
        <w:rPr>
          <w:rFonts w:ascii="Times New Roman" w:hAnsi="Times New Roman" w:cs="Times New Roman"/>
          <w:sz w:val="24"/>
          <w:szCs w:val="24"/>
        </w:rPr>
        <w:t>transferred,</w:t>
      </w:r>
      <w:r w:rsidR="00D746BA">
        <w:rPr>
          <w:rFonts w:ascii="Times New Roman" w:hAnsi="Times New Roman" w:cs="Times New Roman"/>
          <w:sz w:val="24"/>
          <w:szCs w:val="24"/>
        </w:rPr>
        <w:t xml:space="preserve"> or decanted from </w:t>
      </w:r>
      <w:r w:rsidR="00041ACF">
        <w:rPr>
          <w:rFonts w:ascii="Times New Roman" w:hAnsi="Times New Roman" w:cs="Times New Roman"/>
          <w:sz w:val="24"/>
          <w:szCs w:val="24"/>
        </w:rPr>
        <w:t>their</w:t>
      </w:r>
      <w:r w:rsidR="00D746BA">
        <w:rPr>
          <w:rFonts w:ascii="Times New Roman" w:hAnsi="Times New Roman" w:cs="Times New Roman"/>
          <w:sz w:val="24"/>
          <w:szCs w:val="24"/>
        </w:rPr>
        <w:t xml:space="preserve"> original container at the workplace before 1 January 2017.</w:t>
      </w:r>
      <w:r w:rsidR="008C7B0F">
        <w:rPr>
          <w:rFonts w:ascii="Times New Roman" w:hAnsi="Times New Roman" w:cs="Times New Roman"/>
          <w:sz w:val="24"/>
          <w:szCs w:val="24"/>
        </w:rPr>
        <w:t xml:space="preserve"> Most</w:t>
      </w:r>
      <w:r w:rsidR="00FC272C">
        <w:rPr>
          <w:rFonts w:ascii="Times New Roman" w:hAnsi="Times New Roman" w:cs="Times New Roman"/>
          <w:sz w:val="24"/>
          <w:szCs w:val="24"/>
        </w:rPr>
        <w:t>,</w:t>
      </w:r>
      <w:r w:rsidR="008C7B0F">
        <w:rPr>
          <w:rFonts w:ascii="Times New Roman" w:hAnsi="Times New Roman" w:cs="Times New Roman"/>
          <w:sz w:val="24"/>
          <w:szCs w:val="24"/>
        </w:rPr>
        <w:t xml:space="preserve"> if not all</w:t>
      </w:r>
      <w:r w:rsidR="00FC272C">
        <w:rPr>
          <w:rFonts w:ascii="Times New Roman" w:hAnsi="Times New Roman" w:cs="Times New Roman"/>
          <w:sz w:val="24"/>
          <w:szCs w:val="24"/>
        </w:rPr>
        <w:t>,</w:t>
      </w:r>
      <w:r w:rsidR="008C7B0F">
        <w:rPr>
          <w:rFonts w:ascii="Times New Roman" w:hAnsi="Times New Roman" w:cs="Times New Roman"/>
          <w:sz w:val="24"/>
          <w:szCs w:val="24"/>
        </w:rPr>
        <w:t xml:space="preserve"> of these chemicals would have been used or disposed of</w:t>
      </w:r>
      <w:r w:rsidR="00885C29">
        <w:rPr>
          <w:rFonts w:ascii="Times New Roman" w:hAnsi="Times New Roman" w:cs="Times New Roman"/>
          <w:sz w:val="24"/>
          <w:szCs w:val="24"/>
        </w:rPr>
        <w:t xml:space="preserve"> in the intervening years.</w:t>
      </w:r>
    </w:p>
    <w:p w14:paraId="6644BE63" w14:textId="2CC265D4" w:rsidR="00885C29" w:rsidRPr="00D31AA0" w:rsidRDefault="00885C29" w:rsidP="00D31AA0">
      <w:pPr>
        <w:pStyle w:val="xmsonormal"/>
        <w:numPr>
          <w:ilvl w:val="0"/>
          <w:numId w:val="4"/>
        </w:numPr>
        <w:spacing w:afterLines="160" w:after="384"/>
        <w:rPr>
          <w:rFonts w:ascii="Times New Roman" w:hAnsi="Times New Roman" w:cs="Times New Roman"/>
          <w:sz w:val="24"/>
          <w:szCs w:val="24"/>
        </w:rPr>
      </w:pPr>
      <w:r>
        <w:rPr>
          <w:rFonts w:ascii="Times New Roman" w:hAnsi="Times New Roman" w:cs="Times New Roman"/>
          <w:sz w:val="24"/>
          <w:szCs w:val="24"/>
        </w:rPr>
        <w:t>The Department</w:t>
      </w:r>
      <w:r w:rsidR="00B93DA2">
        <w:rPr>
          <w:rFonts w:ascii="Times New Roman" w:hAnsi="Times New Roman" w:cs="Times New Roman"/>
          <w:sz w:val="24"/>
          <w:szCs w:val="24"/>
        </w:rPr>
        <w:t xml:space="preserve"> of Employment and Workplace Relations</w:t>
      </w:r>
      <w:r>
        <w:rPr>
          <w:rFonts w:ascii="Times New Roman" w:hAnsi="Times New Roman" w:cs="Times New Roman"/>
          <w:sz w:val="24"/>
          <w:szCs w:val="24"/>
        </w:rPr>
        <w:t xml:space="preserve"> </w:t>
      </w:r>
      <w:r w:rsidRPr="00AC0E32">
        <w:rPr>
          <w:rFonts w:ascii="Times New Roman" w:hAnsi="Times New Roman" w:cs="Times New Roman"/>
          <w:sz w:val="24"/>
          <w:szCs w:val="24"/>
        </w:rPr>
        <w:t>consul</w:t>
      </w:r>
      <w:r w:rsidR="00B93DA2">
        <w:rPr>
          <w:rFonts w:ascii="Times New Roman" w:hAnsi="Times New Roman" w:cs="Times New Roman"/>
          <w:sz w:val="24"/>
          <w:szCs w:val="24"/>
        </w:rPr>
        <w:t>ted stakeholders on the proposed amendments. This consultation</w:t>
      </w:r>
      <w:r w:rsidRPr="00AC0E32">
        <w:rPr>
          <w:rFonts w:ascii="Times New Roman" w:hAnsi="Times New Roman" w:cs="Times New Roman"/>
          <w:sz w:val="24"/>
          <w:szCs w:val="24"/>
        </w:rPr>
        <w:t xml:space="preserve"> did not identify a reason to</w:t>
      </w:r>
      <w:r w:rsidR="0069689A" w:rsidRPr="00AC0E32">
        <w:rPr>
          <w:rFonts w:ascii="Times New Roman" w:hAnsi="Times New Roman" w:cs="Times New Roman"/>
          <w:sz w:val="24"/>
          <w:szCs w:val="24"/>
        </w:rPr>
        <w:t xml:space="preserve"> </w:t>
      </w:r>
      <w:r w:rsidR="00D65FC2">
        <w:rPr>
          <w:rFonts w:ascii="Times New Roman" w:hAnsi="Times New Roman" w:cs="Times New Roman"/>
          <w:sz w:val="24"/>
          <w:szCs w:val="24"/>
        </w:rPr>
        <w:t>‘sunset’ the relevant provisions in regulations 335,</w:t>
      </w:r>
      <w:r w:rsidR="0028376B" w:rsidRPr="00AC0E32">
        <w:rPr>
          <w:rFonts w:ascii="Times New Roman" w:hAnsi="Times New Roman" w:cs="Times New Roman"/>
          <w:sz w:val="24"/>
          <w:szCs w:val="24"/>
        </w:rPr>
        <w:t xml:space="preserve"> 341 and 342</w:t>
      </w:r>
      <w:r w:rsidR="001E48B2" w:rsidRPr="00AC0E32">
        <w:rPr>
          <w:rFonts w:ascii="Times New Roman" w:hAnsi="Times New Roman" w:cs="Times New Roman"/>
          <w:sz w:val="24"/>
          <w:szCs w:val="24"/>
        </w:rPr>
        <w:t>.</w:t>
      </w:r>
      <w:r w:rsidR="001E48B2">
        <w:rPr>
          <w:rFonts w:ascii="Times New Roman" w:hAnsi="Times New Roman" w:cs="Times New Roman"/>
          <w:sz w:val="24"/>
          <w:szCs w:val="24"/>
        </w:rPr>
        <w:t xml:space="preserve"> If anything, requiring workplaces to re</w:t>
      </w:r>
      <w:r w:rsidR="00CD3EF9">
        <w:rPr>
          <w:rFonts w:ascii="Times New Roman" w:hAnsi="Times New Roman" w:cs="Times New Roman"/>
          <w:sz w:val="24"/>
          <w:szCs w:val="24"/>
        </w:rPr>
        <w:t>-</w:t>
      </w:r>
      <w:r w:rsidR="001E48B2">
        <w:rPr>
          <w:rFonts w:ascii="Times New Roman" w:hAnsi="Times New Roman" w:cs="Times New Roman"/>
          <w:sz w:val="24"/>
          <w:szCs w:val="24"/>
        </w:rPr>
        <w:t>label hazardous chemicals now</w:t>
      </w:r>
      <w:r w:rsidR="00CD3EF9">
        <w:rPr>
          <w:rFonts w:ascii="Times New Roman" w:hAnsi="Times New Roman" w:cs="Times New Roman"/>
          <w:sz w:val="24"/>
          <w:szCs w:val="24"/>
        </w:rPr>
        <w:t xml:space="preserve"> would present a risk to workers. Retaining the exception</w:t>
      </w:r>
      <w:r w:rsidR="00D65FC2">
        <w:rPr>
          <w:rFonts w:ascii="Times New Roman" w:hAnsi="Times New Roman" w:cs="Times New Roman"/>
          <w:sz w:val="24"/>
          <w:szCs w:val="24"/>
        </w:rPr>
        <w:t>s</w:t>
      </w:r>
      <w:r w:rsidR="000E288B">
        <w:rPr>
          <w:rFonts w:ascii="Times New Roman" w:hAnsi="Times New Roman" w:cs="Times New Roman"/>
          <w:sz w:val="24"/>
          <w:szCs w:val="24"/>
        </w:rPr>
        <w:t xml:space="preserve"> will ensure the Commonwealth labelling requirements remain aligned with</w:t>
      </w:r>
      <w:r w:rsidR="006D18A1">
        <w:rPr>
          <w:rFonts w:ascii="Times New Roman" w:hAnsi="Times New Roman" w:cs="Times New Roman"/>
          <w:sz w:val="24"/>
          <w:szCs w:val="24"/>
        </w:rPr>
        <w:t xml:space="preserve"> the </w:t>
      </w:r>
      <w:r w:rsidR="00052504">
        <w:rPr>
          <w:rFonts w:ascii="Times New Roman" w:hAnsi="Times New Roman" w:cs="Times New Roman"/>
          <w:sz w:val="24"/>
          <w:szCs w:val="24"/>
        </w:rPr>
        <w:t>m</w:t>
      </w:r>
      <w:r w:rsidR="006D18A1">
        <w:rPr>
          <w:rFonts w:ascii="Times New Roman" w:hAnsi="Times New Roman" w:cs="Times New Roman"/>
          <w:sz w:val="24"/>
          <w:szCs w:val="24"/>
        </w:rPr>
        <w:t xml:space="preserve">odel WHS </w:t>
      </w:r>
      <w:r w:rsidR="006D18A1">
        <w:rPr>
          <w:rFonts w:ascii="Times New Roman" w:hAnsi="Times New Roman" w:cs="Times New Roman"/>
          <w:sz w:val="24"/>
          <w:szCs w:val="24"/>
        </w:rPr>
        <w:lastRenderedPageBreak/>
        <w:t xml:space="preserve">Regulations and </w:t>
      </w:r>
      <w:proofErr w:type="gramStart"/>
      <w:r w:rsidR="006D18A1">
        <w:rPr>
          <w:rFonts w:ascii="Times New Roman" w:hAnsi="Times New Roman" w:cs="Times New Roman"/>
          <w:sz w:val="24"/>
          <w:szCs w:val="24"/>
        </w:rPr>
        <w:t>the majority of</w:t>
      </w:r>
      <w:proofErr w:type="gramEnd"/>
      <w:r w:rsidR="006D18A1">
        <w:rPr>
          <w:rFonts w:ascii="Times New Roman" w:hAnsi="Times New Roman" w:cs="Times New Roman"/>
          <w:sz w:val="24"/>
          <w:szCs w:val="24"/>
        </w:rPr>
        <w:t xml:space="preserve"> </w:t>
      </w:r>
      <w:r w:rsidR="00052504">
        <w:rPr>
          <w:rFonts w:ascii="Times New Roman" w:hAnsi="Times New Roman" w:cs="Times New Roman"/>
          <w:sz w:val="24"/>
          <w:szCs w:val="24"/>
        </w:rPr>
        <w:t>all st</w:t>
      </w:r>
      <w:r w:rsidR="006D18A1">
        <w:rPr>
          <w:rFonts w:ascii="Times New Roman" w:hAnsi="Times New Roman" w:cs="Times New Roman"/>
          <w:sz w:val="24"/>
          <w:szCs w:val="24"/>
        </w:rPr>
        <w:t>ate and territory jurisdictions that have maintained this exception</w:t>
      </w:r>
      <w:r w:rsidR="00207CF5">
        <w:rPr>
          <w:rFonts w:ascii="Times New Roman" w:hAnsi="Times New Roman" w:cs="Times New Roman"/>
          <w:sz w:val="24"/>
          <w:szCs w:val="24"/>
        </w:rPr>
        <w:t>.</w:t>
      </w:r>
    </w:p>
    <w:p w14:paraId="7F9A21E3" w14:textId="32EDABE0" w:rsidR="00592839" w:rsidRPr="008E0FC0" w:rsidRDefault="008E0FC0" w:rsidP="004307D7">
      <w:pPr>
        <w:pStyle w:val="ListParagraph"/>
        <w:numPr>
          <w:ilvl w:val="0"/>
          <w:numId w:val="4"/>
        </w:numPr>
        <w:spacing w:afterLines="160" w:after="384"/>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These items repeal </w:t>
      </w:r>
      <w:proofErr w:type="spellStart"/>
      <w:r>
        <w:rPr>
          <w:rFonts w:ascii="Times New Roman" w:eastAsia="Times New Roman" w:hAnsi="Times New Roman" w:cs="Times New Roman"/>
          <w:color w:val="000000" w:themeColor="text1"/>
          <w:sz w:val="24"/>
          <w:szCs w:val="24"/>
        </w:rPr>
        <w:t>subregulations</w:t>
      </w:r>
      <w:proofErr w:type="spellEnd"/>
      <w:r>
        <w:rPr>
          <w:rFonts w:ascii="Times New Roman" w:eastAsia="Times New Roman" w:hAnsi="Times New Roman" w:cs="Times New Roman"/>
          <w:color w:val="000000" w:themeColor="text1"/>
          <w:sz w:val="24"/>
          <w:szCs w:val="24"/>
        </w:rPr>
        <w:t xml:space="preserve"> which, if they applied on 31 December 2023, would result in the sunsetting of other </w:t>
      </w:r>
      <w:proofErr w:type="spellStart"/>
      <w:r>
        <w:rPr>
          <w:rFonts w:ascii="Times New Roman" w:eastAsia="Times New Roman" w:hAnsi="Times New Roman" w:cs="Times New Roman"/>
          <w:color w:val="000000" w:themeColor="text1"/>
          <w:sz w:val="24"/>
          <w:szCs w:val="24"/>
        </w:rPr>
        <w:t>subregulations</w:t>
      </w:r>
      <w:proofErr w:type="spellEnd"/>
      <w:r>
        <w:rPr>
          <w:rFonts w:ascii="Times New Roman" w:eastAsia="Times New Roman" w:hAnsi="Times New Roman" w:cs="Times New Roman"/>
          <w:color w:val="000000" w:themeColor="text1"/>
          <w:sz w:val="24"/>
          <w:szCs w:val="24"/>
        </w:rPr>
        <w:t xml:space="preserve"> setting out exceptions to the hazardous chemical labelling requirements.</w:t>
      </w:r>
    </w:p>
    <w:p w14:paraId="3CDAE31C" w14:textId="2323DEA8" w:rsidR="004917AD" w:rsidRDefault="004917AD" w:rsidP="004917AD">
      <w:pPr>
        <w:keepNext/>
        <w:spacing w:afterLines="160" w:after="384"/>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Item [</w:t>
      </w:r>
      <w:r w:rsidR="000F1843">
        <w:rPr>
          <w:rFonts w:ascii="Times New Roman" w:eastAsia="Times New Roman" w:hAnsi="Times New Roman" w:cs="Times New Roman"/>
          <w:b/>
          <w:bCs/>
          <w:color w:val="000000" w:themeColor="text1"/>
          <w:sz w:val="24"/>
          <w:szCs w:val="24"/>
        </w:rPr>
        <w:t>1</w:t>
      </w:r>
      <w:r>
        <w:rPr>
          <w:rFonts w:ascii="Times New Roman" w:eastAsia="Times New Roman" w:hAnsi="Times New Roman" w:cs="Times New Roman"/>
          <w:b/>
          <w:bCs/>
          <w:color w:val="000000" w:themeColor="text1"/>
          <w:sz w:val="24"/>
          <w:szCs w:val="24"/>
        </w:rPr>
        <w:t xml:space="preserve">] – </w:t>
      </w:r>
      <w:proofErr w:type="spellStart"/>
      <w:r w:rsidR="00D250C0">
        <w:rPr>
          <w:rFonts w:ascii="Times New Roman" w:eastAsia="Times New Roman" w:hAnsi="Times New Roman" w:cs="Times New Roman"/>
          <w:b/>
          <w:bCs/>
          <w:color w:val="000000" w:themeColor="text1"/>
          <w:sz w:val="24"/>
          <w:szCs w:val="24"/>
        </w:rPr>
        <w:t>Subregulations</w:t>
      </w:r>
      <w:proofErr w:type="spellEnd"/>
      <w:r w:rsidR="00D250C0">
        <w:rPr>
          <w:rFonts w:ascii="Times New Roman" w:eastAsia="Times New Roman" w:hAnsi="Times New Roman" w:cs="Times New Roman"/>
          <w:b/>
          <w:bCs/>
          <w:color w:val="000000" w:themeColor="text1"/>
          <w:sz w:val="24"/>
          <w:szCs w:val="24"/>
        </w:rPr>
        <w:t xml:space="preserve"> 335(2</w:t>
      </w:r>
      <w:r w:rsidR="000F1843">
        <w:rPr>
          <w:rFonts w:ascii="Times New Roman" w:eastAsia="Times New Roman" w:hAnsi="Times New Roman" w:cs="Times New Roman"/>
          <w:b/>
          <w:bCs/>
          <w:color w:val="000000" w:themeColor="text1"/>
          <w:sz w:val="24"/>
          <w:szCs w:val="24"/>
        </w:rPr>
        <w:t>B</w:t>
      </w:r>
      <w:r w:rsidR="00D250C0">
        <w:rPr>
          <w:rFonts w:ascii="Times New Roman" w:eastAsia="Times New Roman" w:hAnsi="Times New Roman" w:cs="Times New Roman"/>
          <w:b/>
          <w:bCs/>
          <w:color w:val="000000" w:themeColor="text1"/>
          <w:sz w:val="24"/>
          <w:szCs w:val="24"/>
        </w:rPr>
        <w:t>) and (8)</w:t>
      </w:r>
    </w:p>
    <w:p w14:paraId="6946C3EF" w14:textId="0E28D8E4" w:rsidR="00767866" w:rsidRPr="00C6417B" w:rsidRDefault="00767866" w:rsidP="00C6417B">
      <w:pPr>
        <w:pStyle w:val="xmsonormal"/>
        <w:numPr>
          <w:ilvl w:val="0"/>
          <w:numId w:val="4"/>
        </w:numPr>
        <w:spacing w:afterLines="160" w:after="384"/>
        <w:rPr>
          <w:rFonts w:ascii="Times New Roman" w:hAnsi="Times New Roman" w:cs="Times New Roman"/>
          <w:sz w:val="24"/>
          <w:szCs w:val="24"/>
        </w:rPr>
      </w:pPr>
      <w:r w:rsidRPr="00C6417B">
        <w:rPr>
          <w:rFonts w:ascii="Times New Roman" w:hAnsi="Times New Roman" w:cs="Times New Roman"/>
          <w:sz w:val="24"/>
          <w:szCs w:val="24"/>
        </w:rPr>
        <w:t>This item</w:t>
      </w:r>
      <w:r w:rsidR="00F857F5" w:rsidRPr="00C6417B">
        <w:rPr>
          <w:rFonts w:ascii="Times New Roman" w:hAnsi="Times New Roman" w:cs="Times New Roman"/>
          <w:sz w:val="24"/>
          <w:szCs w:val="24"/>
        </w:rPr>
        <w:t xml:space="preserve"> </w:t>
      </w:r>
      <w:r w:rsidRPr="00C6417B">
        <w:rPr>
          <w:rFonts w:ascii="Times New Roman" w:hAnsi="Times New Roman" w:cs="Times New Roman"/>
          <w:sz w:val="24"/>
          <w:szCs w:val="24"/>
        </w:rPr>
        <w:t>repeal</w:t>
      </w:r>
      <w:r w:rsidR="00F857F5" w:rsidRPr="00C6417B">
        <w:rPr>
          <w:rFonts w:ascii="Times New Roman" w:hAnsi="Times New Roman" w:cs="Times New Roman"/>
          <w:sz w:val="24"/>
          <w:szCs w:val="24"/>
        </w:rPr>
        <w:t>s</w:t>
      </w:r>
      <w:r w:rsidRPr="00C6417B">
        <w:rPr>
          <w:rFonts w:ascii="Times New Roman" w:hAnsi="Times New Roman" w:cs="Times New Roman"/>
          <w:sz w:val="24"/>
          <w:szCs w:val="24"/>
        </w:rPr>
        <w:t xml:space="preserve"> </w:t>
      </w:r>
      <w:proofErr w:type="spellStart"/>
      <w:r w:rsidRPr="00C6417B">
        <w:rPr>
          <w:rFonts w:ascii="Times New Roman" w:hAnsi="Times New Roman" w:cs="Times New Roman"/>
          <w:sz w:val="24"/>
          <w:szCs w:val="24"/>
        </w:rPr>
        <w:t>subregulations</w:t>
      </w:r>
      <w:proofErr w:type="spellEnd"/>
      <w:r w:rsidRPr="00C6417B">
        <w:rPr>
          <w:rFonts w:ascii="Times New Roman" w:hAnsi="Times New Roman" w:cs="Times New Roman"/>
          <w:sz w:val="24"/>
          <w:szCs w:val="24"/>
        </w:rPr>
        <w:t xml:space="preserve"> 335(2B) and (8) which, if not repealed, would result in </w:t>
      </w:r>
      <w:proofErr w:type="spellStart"/>
      <w:r w:rsidRPr="00C6417B">
        <w:rPr>
          <w:rFonts w:ascii="Times New Roman" w:hAnsi="Times New Roman" w:cs="Times New Roman"/>
          <w:sz w:val="24"/>
          <w:szCs w:val="24"/>
        </w:rPr>
        <w:t>subregulations</w:t>
      </w:r>
      <w:proofErr w:type="spellEnd"/>
      <w:r w:rsidRPr="00C6417B">
        <w:rPr>
          <w:rFonts w:ascii="Times New Roman" w:hAnsi="Times New Roman" w:cs="Times New Roman"/>
          <w:sz w:val="24"/>
          <w:szCs w:val="24"/>
        </w:rPr>
        <w:t xml:space="preserve"> 335(2A) and (7) ceasing to be in force at the end of 31 December 2023. </w:t>
      </w:r>
    </w:p>
    <w:p w14:paraId="5AD78569" w14:textId="61E3B4FA" w:rsidR="00767866" w:rsidRPr="00C6417B" w:rsidRDefault="00767866" w:rsidP="00C6417B">
      <w:pPr>
        <w:pStyle w:val="xmsonormal"/>
        <w:numPr>
          <w:ilvl w:val="0"/>
          <w:numId w:val="4"/>
        </w:numPr>
        <w:spacing w:afterLines="160" w:after="384"/>
        <w:rPr>
          <w:rFonts w:ascii="Times New Roman" w:hAnsi="Times New Roman" w:cs="Times New Roman"/>
          <w:sz w:val="24"/>
          <w:szCs w:val="24"/>
        </w:rPr>
      </w:pP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335(2A) provides an exception to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335(1) – that the manufacturer or importer of a hazardous chemical must ensure that the hazardous chemical is correctly labelled as soon as practicable after manufacturing or importing the hazardous chemical. It provides that a hazardous chemical is correctly labelled if the label includes content that complies with another labelling requirement imposed by the Principal Regulations or another law of the Commonwealth and is the same or substantially the same as the content required by the correct labelling requirements in Part 3 of Schedule 9 to the Principal Regulations.</w:t>
      </w:r>
    </w:p>
    <w:p w14:paraId="1925E1F7" w14:textId="25240B60" w:rsidR="00767866" w:rsidRPr="00C6417B" w:rsidRDefault="00767866" w:rsidP="00C6417B">
      <w:pPr>
        <w:pStyle w:val="xmsonormal"/>
        <w:numPr>
          <w:ilvl w:val="0"/>
          <w:numId w:val="4"/>
        </w:numPr>
        <w:spacing w:afterLines="160" w:after="384"/>
        <w:rPr>
          <w:rFonts w:ascii="Times New Roman" w:hAnsi="Times New Roman" w:cs="Times New Roman"/>
          <w:sz w:val="24"/>
          <w:szCs w:val="24"/>
        </w:rPr>
      </w:pP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335(7) provides that the requirements in regulation 335 do not apply to a hazardous chemical that is a veterinary chemical product within the meaning of the </w:t>
      </w:r>
      <w:proofErr w:type="spellStart"/>
      <w:r w:rsidRPr="00C6417B">
        <w:rPr>
          <w:rFonts w:ascii="Times New Roman" w:hAnsi="Times New Roman" w:cs="Times New Roman"/>
          <w:sz w:val="24"/>
          <w:szCs w:val="24"/>
        </w:rPr>
        <w:t>Agvet</w:t>
      </w:r>
      <w:proofErr w:type="spellEnd"/>
      <w:r w:rsidRPr="00C6417B">
        <w:rPr>
          <w:rFonts w:ascii="Times New Roman" w:hAnsi="Times New Roman" w:cs="Times New Roman"/>
          <w:sz w:val="24"/>
          <w:szCs w:val="24"/>
        </w:rPr>
        <w:t xml:space="preserve"> Code and is listed in Part 4 of Schedule 4 to the Poisons Standard if it is packaged and supplied in a form intended for direct administration to an animal for therapeutic purposes or is listed in Part 4 of Schedule 8 to the Poisons Standard.</w:t>
      </w:r>
    </w:p>
    <w:p w14:paraId="4E7E40B1" w14:textId="3D63F88B" w:rsidR="00D250C0" w:rsidRDefault="00D250C0" w:rsidP="00D250C0">
      <w:pPr>
        <w:keepNext/>
        <w:spacing w:afterLines="160" w:after="384"/>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Item [</w:t>
      </w:r>
      <w:r w:rsidR="0082231A">
        <w:rPr>
          <w:rFonts w:ascii="Times New Roman" w:eastAsia="Times New Roman" w:hAnsi="Times New Roman" w:cs="Times New Roman"/>
          <w:b/>
          <w:bCs/>
          <w:color w:val="000000" w:themeColor="text1"/>
          <w:sz w:val="24"/>
          <w:szCs w:val="24"/>
        </w:rPr>
        <w:t>2</w:t>
      </w:r>
      <w:r>
        <w:rPr>
          <w:rFonts w:ascii="Times New Roman" w:eastAsia="Times New Roman" w:hAnsi="Times New Roman" w:cs="Times New Roman"/>
          <w:b/>
          <w:bCs/>
          <w:color w:val="000000" w:themeColor="text1"/>
          <w:sz w:val="24"/>
          <w:szCs w:val="24"/>
        </w:rPr>
        <w:t xml:space="preserve">] – </w:t>
      </w:r>
      <w:proofErr w:type="spellStart"/>
      <w:r>
        <w:rPr>
          <w:rFonts w:ascii="Times New Roman" w:eastAsia="Times New Roman" w:hAnsi="Times New Roman" w:cs="Times New Roman"/>
          <w:b/>
          <w:bCs/>
          <w:color w:val="000000" w:themeColor="text1"/>
          <w:sz w:val="24"/>
          <w:szCs w:val="24"/>
        </w:rPr>
        <w:t>Subregulation</w:t>
      </w:r>
      <w:proofErr w:type="spellEnd"/>
      <w:r w:rsidR="00EB6F71">
        <w:rPr>
          <w:rFonts w:ascii="Times New Roman" w:eastAsia="Times New Roman" w:hAnsi="Times New Roman" w:cs="Times New Roman"/>
          <w:b/>
          <w:bCs/>
          <w:color w:val="000000" w:themeColor="text1"/>
          <w:sz w:val="24"/>
          <w:szCs w:val="24"/>
        </w:rPr>
        <w:t xml:space="preserve"> 341(3)</w:t>
      </w:r>
    </w:p>
    <w:p w14:paraId="748140F3" w14:textId="1E9D9368" w:rsidR="008E0FC0" w:rsidRPr="00C6417B" w:rsidRDefault="008E0FC0" w:rsidP="00C6417B">
      <w:pPr>
        <w:pStyle w:val="xmsonormal"/>
        <w:numPr>
          <w:ilvl w:val="0"/>
          <w:numId w:val="4"/>
        </w:numPr>
        <w:spacing w:afterLines="160" w:after="384"/>
        <w:rPr>
          <w:rFonts w:ascii="Times New Roman" w:hAnsi="Times New Roman" w:cs="Times New Roman"/>
          <w:sz w:val="24"/>
          <w:szCs w:val="24"/>
        </w:rPr>
      </w:pPr>
      <w:r w:rsidRPr="00C6417B">
        <w:rPr>
          <w:rFonts w:ascii="Times New Roman" w:hAnsi="Times New Roman" w:cs="Times New Roman"/>
          <w:sz w:val="24"/>
          <w:szCs w:val="24"/>
        </w:rPr>
        <w:t>This item</w:t>
      </w:r>
      <w:r w:rsidR="00332CCC" w:rsidRPr="00C6417B">
        <w:rPr>
          <w:rFonts w:ascii="Times New Roman" w:hAnsi="Times New Roman" w:cs="Times New Roman"/>
          <w:sz w:val="24"/>
          <w:szCs w:val="24"/>
        </w:rPr>
        <w:t xml:space="preserve"> </w:t>
      </w:r>
      <w:r w:rsidRPr="00C6417B">
        <w:rPr>
          <w:rFonts w:ascii="Times New Roman" w:hAnsi="Times New Roman" w:cs="Times New Roman"/>
          <w:sz w:val="24"/>
          <w:szCs w:val="24"/>
        </w:rPr>
        <w:t>repeal</w:t>
      </w:r>
      <w:r w:rsidR="00332CCC" w:rsidRPr="00C6417B">
        <w:rPr>
          <w:rFonts w:ascii="Times New Roman" w:hAnsi="Times New Roman" w:cs="Times New Roman"/>
          <w:sz w:val="24"/>
          <w:szCs w:val="24"/>
        </w:rPr>
        <w:t>s</w:t>
      </w:r>
      <w:r w:rsidRPr="00C6417B">
        <w:rPr>
          <w:rFonts w:ascii="Times New Roman" w:hAnsi="Times New Roman" w:cs="Times New Roman"/>
          <w:sz w:val="24"/>
          <w:szCs w:val="24"/>
        </w:rPr>
        <w:t xml:space="preserve">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341(3) which, if not repealed, would result in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341(2) ceasing to be in force at the end of 31 December 2023. </w:t>
      </w:r>
    </w:p>
    <w:p w14:paraId="19ABF275" w14:textId="681EE332" w:rsidR="008E0FC0" w:rsidRPr="00C6417B" w:rsidRDefault="008E0FC0" w:rsidP="00C6417B">
      <w:pPr>
        <w:pStyle w:val="xmsonormal"/>
        <w:numPr>
          <w:ilvl w:val="0"/>
          <w:numId w:val="4"/>
        </w:numPr>
        <w:spacing w:afterLines="160" w:after="384"/>
        <w:rPr>
          <w:rFonts w:ascii="Times New Roman" w:hAnsi="Times New Roman" w:cs="Times New Roman"/>
          <w:sz w:val="24"/>
          <w:szCs w:val="24"/>
        </w:rPr>
      </w:pP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341(2) provides an exception to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341(1) – that a person conducting a business or undertaking at a workplace must ensure that a hazardous chemical used, </w:t>
      </w:r>
      <w:proofErr w:type="gramStart"/>
      <w:r w:rsidRPr="00C6417B">
        <w:rPr>
          <w:rFonts w:ascii="Times New Roman" w:hAnsi="Times New Roman" w:cs="Times New Roman"/>
          <w:sz w:val="24"/>
          <w:szCs w:val="24"/>
        </w:rPr>
        <w:t>handled</w:t>
      </w:r>
      <w:proofErr w:type="gramEnd"/>
      <w:r w:rsidRPr="00C6417B">
        <w:rPr>
          <w:rFonts w:ascii="Times New Roman" w:hAnsi="Times New Roman" w:cs="Times New Roman"/>
          <w:sz w:val="24"/>
          <w:szCs w:val="24"/>
        </w:rPr>
        <w:t xml:space="preserve"> or stored at the workplace is correctly labelled in accordance with regulation 335. It provides that the requirements in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341(1) do not apply to a hazardous chemical if it was manufactured or imported before 1 January 2017 and was, at the time it was manufactured or imported, labelled in accordance with the National Code of Practice for the Labelling of Workplace Substances as in force at that time.</w:t>
      </w:r>
    </w:p>
    <w:p w14:paraId="019C7F91" w14:textId="4B843D49" w:rsidR="00D250C0" w:rsidRDefault="00D250C0" w:rsidP="00D250C0">
      <w:pPr>
        <w:keepNext/>
        <w:spacing w:afterLines="160" w:after="384"/>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Item [</w:t>
      </w:r>
      <w:r w:rsidR="0082231A">
        <w:rPr>
          <w:rFonts w:ascii="Times New Roman" w:eastAsia="Times New Roman" w:hAnsi="Times New Roman" w:cs="Times New Roman"/>
          <w:b/>
          <w:bCs/>
          <w:color w:val="000000" w:themeColor="text1"/>
          <w:sz w:val="24"/>
          <w:szCs w:val="24"/>
        </w:rPr>
        <w:t>3</w:t>
      </w:r>
      <w:r>
        <w:rPr>
          <w:rFonts w:ascii="Times New Roman" w:eastAsia="Times New Roman" w:hAnsi="Times New Roman" w:cs="Times New Roman"/>
          <w:b/>
          <w:bCs/>
          <w:color w:val="000000" w:themeColor="text1"/>
          <w:sz w:val="24"/>
          <w:szCs w:val="24"/>
        </w:rPr>
        <w:t xml:space="preserve">] – </w:t>
      </w:r>
      <w:proofErr w:type="spellStart"/>
      <w:r>
        <w:rPr>
          <w:rFonts w:ascii="Times New Roman" w:eastAsia="Times New Roman" w:hAnsi="Times New Roman" w:cs="Times New Roman"/>
          <w:b/>
          <w:bCs/>
          <w:color w:val="000000" w:themeColor="text1"/>
          <w:sz w:val="24"/>
          <w:szCs w:val="24"/>
        </w:rPr>
        <w:t>Subregulations</w:t>
      </w:r>
      <w:proofErr w:type="spellEnd"/>
      <w:r>
        <w:rPr>
          <w:rFonts w:ascii="Times New Roman" w:eastAsia="Times New Roman" w:hAnsi="Times New Roman" w:cs="Times New Roman"/>
          <w:b/>
          <w:bCs/>
          <w:color w:val="000000" w:themeColor="text1"/>
          <w:sz w:val="24"/>
          <w:szCs w:val="24"/>
        </w:rPr>
        <w:t xml:space="preserve"> </w:t>
      </w:r>
      <w:r w:rsidR="00EB6F71">
        <w:rPr>
          <w:rFonts w:ascii="Times New Roman" w:eastAsia="Times New Roman" w:hAnsi="Times New Roman" w:cs="Times New Roman"/>
          <w:b/>
          <w:bCs/>
          <w:color w:val="000000" w:themeColor="text1"/>
          <w:sz w:val="24"/>
          <w:szCs w:val="24"/>
        </w:rPr>
        <w:t>342(1B) and (2B)</w:t>
      </w:r>
    </w:p>
    <w:p w14:paraId="1F3FEBDF" w14:textId="4554CD30" w:rsidR="00BD77BA" w:rsidRPr="00C6417B" w:rsidRDefault="00BD77BA" w:rsidP="00C6417B">
      <w:pPr>
        <w:pStyle w:val="xmsonormal"/>
        <w:numPr>
          <w:ilvl w:val="0"/>
          <w:numId w:val="4"/>
        </w:numPr>
        <w:spacing w:afterLines="160" w:after="384"/>
        <w:rPr>
          <w:rFonts w:ascii="Times New Roman" w:hAnsi="Times New Roman" w:cs="Times New Roman"/>
          <w:sz w:val="24"/>
          <w:szCs w:val="24"/>
        </w:rPr>
      </w:pPr>
      <w:r w:rsidRPr="00C6417B">
        <w:rPr>
          <w:rFonts w:ascii="Times New Roman" w:hAnsi="Times New Roman" w:cs="Times New Roman"/>
          <w:sz w:val="24"/>
          <w:szCs w:val="24"/>
        </w:rPr>
        <w:t>This item repeal</w:t>
      </w:r>
      <w:r w:rsidR="00FF5AAC" w:rsidRPr="00C6417B">
        <w:rPr>
          <w:rFonts w:ascii="Times New Roman" w:hAnsi="Times New Roman" w:cs="Times New Roman"/>
          <w:sz w:val="24"/>
          <w:szCs w:val="24"/>
        </w:rPr>
        <w:t>s</w:t>
      </w:r>
      <w:r w:rsidRPr="00C6417B">
        <w:rPr>
          <w:rFonts w:ascii="Times New Roman" w:hAnsi="Times New Roman" w:cs="Times New Roman"/>
          <w:sz w:val="24"/>
          <w:szCs w:val="24"/>
        </w:rPr>
        <w:t xml:space="preserve"> </w:t>
      </w:r>
      <w:proofErr w:type="spellStart"/>
      <w:r w:rsidRPr="00C6417B">
        <w:rPr>
          <w:rFonts w:ascii="Times New Roman" w:hAnsi="Times New Roman" w:cs="Times New Roman"/>
          <w:sz w:val="24"/>
          <w:szCs w:val="24"/>
        </w:rPr>
        <w:t>subregulations</w:t>
      </w:r>
      <w:proofErr w:type="spellEnd"/>
      <w:r w:rsidRPr="00C6417B">
        <w:rPr>
          <w:rFonts w:ascii="Times New Roman" w:hAnsi="Times New Roman" w:cs="Times New Roman"/>
          <w:sz w:val="24"/>
          <w:szCs w:val="24"/>
        </w:rPr>
        <w:t xml:space="preserve"> 342(1B) and (2B) which, if not repealed, would result in </w:t>
      </w:r>
      <w:proofErr w:type="spellStart"/>
      <w:r w:rsidRPr="00C6417B">
        <w:rPr>
          <w:rFonts w:ascii="Times New Roman" w:hAnsi="Times New Roman" w:cs="Times New Roman"/>
          <w:sz w:val="24"/>
          <w:szCs w:val="24"/>
        </w:rPr>
        <w:t>subregulations</w:t>
      </w:r>
      <w:proofErr w:type="spellEnd"/>
      <w:r w:rsidRPr="00C6417B">
        <w:rPr>
          <w:rFonts w:ascii="Times New Roman" w:hAnsi="Times New Roman" w:cs="Times New Roman"/>
          <w:sz w:val="24"/>
          <w:szCs w:val="24"/>
        </w:rPr>
        <w:t xml:space="preserve"> 342(1A) and (2A) ceasing to be in force at the end of 31 December 2023. </w:t>
      </w:r>
    </w:p>
    <w:p w14:paraId="72487EC2" w14:textId="58A460B6" w:rsidR="00BD77BA" w:rsidRPr="00DE2A0B" w:rsidRDefault="00BD77BA" w:rsidP="00C6417B">
      <w:pPr>
        <w:pStyle w:val="xmsonormal"/>
        <w:numPr>
          <w:ilvl w:val="0"/>
          <w:numId w:val="4"/>
        </w:numPr>
        <w:spacing w:afterLines="160" w:after="384"/>
        <w:rPr>
          <w:rFonts w:ascii="Times New Roman" w:eastAsia="Times New Roman" w:hAnsi="Times New Roman" w:cs="Times New Roman"/>
          <w:color w:val="000000" w:themeColor="text1"/>
          <w:sz w:val="24"/>
          <w:szCs w:val="24"/>
        </w:rPr>
      </w:pPr>
      <w:proofErr w:type="spellStart"/>
      <w:r w:rsidRPr="00C6417B">
        <w:rPr>
          <w:rFonts w:ascii="Times New Roman" w:hAnsi="Times New Roman" w:cs="Times New Roman"/>
          <w:sz w:val="24"/>
          <w:szCs w:val="24"/>
        </w:rPr>
        <w:lastRenderedPageBreak/>
        <w:t>Subregulation</w:t>
      </w:r>
      <w:proofErr w:type="spellEnd"/>
      <w:r w:rsidRPr="00C6417B">
        <w:rPr>
          <w:rFonts w:ascii="Times New Roman" w:hAnsi="Times New Roman" w:cs="Times New Roman"/>
          <w:sz w:val="24"/>
          <w:szCs w:val="24"/>
        </w:rPr>
        <w:t xml:space="preserve"> 342(1A) provides an exception to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342(1) – that a person conducting a business or undertaking at a workplace must ensure that a hazardous chemical is correctly labelled in accordance with regulation 335 if it is manufactured at the workplace or transferred or decanted from its original container at the workplace. It provides that the requirements in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342(1) do not apply to a hazardous</w:t>
      </w:r>
      <w:r w:rsidRPr="00DE2A0B">
        <w:rPr>
          <w:rFonts w:ascii="Times New Roman" w:eastAsia="Times New Roman" w:hAnsi="Times New Roman" w:cs="Times New Roman"/>
          <w:color w:val="000000" w:themeColor="text1"/>
          <w:sz w:val="24"/>
          <w:szCs w:val="24"/>
        </w:rPr>
        <w:t xml:space="preserve"> chemical if it was manufactured, or transferred or decanted from its original container at the workplace before 1 January 2017 and was at the time it was manufactured, or transferred or decanted from its original container at the workplace, labelled in accordance with the National Code of Practice for the Labelling of Workplace Substances as in force at that time.</w:t>
      </w:r>
    </w:p>
    <w:p w14:paraId="6591A240" w14:textId="499B4B82" w:rsidR="00541425" w:rsidRPr="00DE2A0B" w:rsidRDefault="00BD77BA" w:rsidP="00C6417B">
      <w:pPr>
        <w:pStyle w:val="xmsonormal"/>
        <w:numPr>
          <w:ilvl w:val="0"/>
          <w:numId w:val="4"/>
        </w:numPr>
        <w:spacing w:afterLines="160" w:after="384"/>
        <w:rPr>
          <w:rFonts w:ascii="Times New Roman" w:eastAsia="Times New Roman" w:hAnsi="Times New Roman" w:cs="Times New Roman"/>
          <w:color w:val="000000" w:themeColor="text1"/>
          <w:sz w:val="24"/>
          <w:szCs w:val="24"/>
        </w:rPr>
      </w:pP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342(2A) provides an exception to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342(2) – that a person conducting a business or undertaking at a workplace must ensure, so far as is reasonably practicable, that a container that store</w:t>
      </w:r>
      <w:r w:rsidR="009232FD">
        <w:rPr>
          <w:rFonts w:ascii="Times New Roman" w:hAnsi="Times New Roman" w:cs="Times New Roman"/>
          <w:sz w:val="24"/>
          <w:szCs w:val="24"/>
        </w:rPr>
        <w:t>s</w:t>
      </w:r>
      <w:r w:rsidRPr="00C6417B">
        <w:rPr>
          <w:rFonts w:ascii="Times New Roman" w:hAnsi="Times New Roman" w:cs="Times New Roman"/>
          <w:sz w:val="24"/>
          <w:szCs w:val="24"/>
        </w:rPr>
        <w:t xml:space="preserve"> a hazardous chemical is correctly labelled in accordance with regulation 335 while it contains the hazardous chemical. It provides that the requirements in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342(2) do not apply to a container that stores a hazardous chemical if the container is labelled as mentioned in either </w:t>
      </w:r>
      <w:proofErr w:type="spellStart"/>
      <w:r w:rsidRPr="00C6417B">
        <w:rPr>
          <w:rFonts w:ascii="Times New Roman" w:hAnsi="Times New Roman" w:cs="Times New Roman"/>
          <w:sz w:val="24"/>
          <w:szCs w:val="24"/>
        </w:rPr>
        <w:t>subregulation</w:t>
      </w:r>
      <w:proofErr w:type="spellEnd"/>
      <w:r w:rsidRPr="00C6417B">
        <w:rPr>
          <w:rFonts w:ascii="Times New Roman" w:hAnsi="Times New Roman" w:cs="Times New Roman"/>
          <w:sz w:val="24"/>
          <w:szCs w:val="24"/>
        </w:rPr>
        <w:t xml:space="preserve"> 341(2) or 342(1A) if those </w:t>
      </w:r>
      <w:proofErr w:type="spellStart"/>
      <w:r w:rsidRPr="00C6417B">
        <w:rPr>
          <w:rFonts w:ascii="Times New Roman" w:hAnsi="Times New Roman" w:cs="Times New Roman"/>
          <w:sz w:val="24"/>
          <w:szCs w:val="24"/>
        </w:rPr>
        <w:t>subregulations</w:t>
      </w:r>
      <w:proofErr w:type="spellEnd"/>
      <w:r w:rsidRPr="00C6417B">
        <w:rPr>
          <w:rFonts w:ascii="Times New Roman" w:hAnsi="Times New Roman" w:cs="Times New Roman"/>
          <w:sz w:val="24"/>
          <w:szCs w:val="24"/>
        </w:rPr>
        <w:t xml:space="preserve"> apply.</w:t>
      </w:r>
      <w:r w:rsidR="00A35032" w:rsidRPr="00DE2A0B">
        <w:rPr>
          <w:rFonts w:ascii="Times New Roman" w:eastAsia="Times New Roman" w:hAnsi="Times New Roman" w:cs="Times New Roman"/>
          <w:b/>
          <w:sz w:val="24"/>
          <w:szCs w:val="24"/>
        </w:rPr>
        <w:br w:type="page"/>
      </w:r>
    </w:p>
    <w:p w14:paraId="409E401D" w14:textId="544F7C64" w:rsidR="00541425" w:rsidRDefault="00541425" w:rsidP="009D0BE1">
      <w:pPr>
        <w:jc w:val="right"/>
        <w:rPr>
          <w:rFonts w:ascii="Times New Roman" w:eastAsia="Times New Roman" w:hAnsi="Times New Roman" w:cs="Times New Roman"/>
          <w:b/>
          <w:sz w:val="24"/>
          <w:szCs w:val="24"/>
        </w:rPr>
      </w:pPr>
      <w:r>
        <w:rPr>
          <w:rFonts w:ascii="Times New Roman" w:eastAsia="Times New Roman" w:hAnsi="Times New Roman" w:cs="Times New Roman"/>
          <w:color w:val="000000" w:themeColor="text1"/>
          <w:sz w:val="24"/>
          <w:szCs w:val="24"/>
          <w:u w:val="single"/>
        </w:rPr>
        <w:lastRenderedPageBreak/>
        <w:t>ATTACHMENT B</w:t>
      </w:r>
    </w:p>
    <w:p w14:paraId="20470AFC" w14:textId="2F6A85D0" w:rsidR="001009EA" w:rsidRDefault="00800FA5" w:rsidP="009D0BE1">
      <w:pPr>
        <w:spacing w:afterLines="160" w:after="384"/>
        <w:jc w:val="center"/>
      </w:pPr>
      <w:r w:rsidRPr="00800FA5">
        <w:rPr>
          <w:rFonts w:ascii="Times New Roman" w:eastAsia="Times New Roman" w:hAnsi="Times New Roman" w:cs="Times New Roman"/>
          <w:b/>
          <w:sz w:val="24"/>
          <w:szCs w:val="24"/>
        </w:rPr>
        <w:t>S</w:t>
      </w:r>
      <w:r w:rsidR="00CB3164">
        <w:rPr>
          <w:rFonts w:ascii="Times New Roman" w:eastAsia="Times New Roman" w:hAnsi="Times New Roman" w:cs="Times New Roman"/>
          <w:b/>
          <w:bCs/>
          <w:sz w:val="24"/>
          <w:szCs w:val="24"/>
        </w:rPr>
        <w:t>tatement</w:t>
      </w:r>
      <w:r w:rsidRPr="00800FA5">
        <w:rPr>
          <w:rFonts w:ascii="Times New Roman" w:eastAsia="Times New Roman" w:hAnsi="Times New Roman" w:cs="Times New Roman"/>
          <w:b/>
          <w:bCs/>
          <w:sz w:val="24"/>
          <w:szCs w:val="24"/>
        </w:rPr>
        <w:t xml:space="preserve"> </w:t>
      </w:r>
      <w:r w:rsidR="00CB3164">
        <w:rPr>
          <w:rFonts w:ascii="Times New Roman" w:eastAsia="Times New Roman" w:hAnsi="Times New Roman" w:cs="Times New Roman"/>
          <w:b/>
          <w:bCs/>
          <w:sz w:val="24"/>
          <w:szCs w:val="24"/>
        </w:rPr>
        <w:t xml:space="preserve">of </w:t>
      </w:r>
      <w:r w:rsidRPr="00800FA5">
        <w:rPr>
          <w:rFonts w:ascii="Times New Roman" w:eastAsia="Times New Roman" w:hAnsi="Times New Roman" w:cs="Times New Roman"/>
          <w:b/>
          <w:bCs/>
          <w:sz w:val="24"/>
          <w:szCs w:val="24"/>
        </w:rPr>
        <w:t>C</w:t>
      </w:r>
      <w:r w:rsidR="00CB3164">
        <w:rPr>
          <w:rFonts w:ascii="Times New Roman" w:eastAsia="Times New Roman" w:hAnsi="Times New Roman" w:cs="Times New Roman"/>
          <w:b/>
          <w:bCs/>
          <w:sz w:val="24"/>
          <w:szCs w:val="24"/>
        </w:rPr>
        <w:t>ompatibility</w:t>
      </w:r>
      <w:r w:rsidRPr="00800FA5">
        <w:rPr>
          <w:rFonts w:ascii="Times New Roman" w:eastAsia="Times New Roman" w:hAnsi="Times New Roman" w:cs="Times New Roman"/>
          <w:b/>
          <w:bCs/>
          <w:sz w:val="24"/>
          <w:szCs w:val="24"/>
        </w:rPr>
        <w:t xml:space="preserve"> </w:t>
      </w:r>
      <w:r w:rsidR="005665CD">
        <w:rPr>
          <w:rFonts w:ascii="Times New Roman" w:eastAsia="Times New Roman" w:hAnsi="Times New Roman" w:cs="Times New Roman"/>
          <w:b/>
          <w:bCs/>
          <w:sz w:val="24"/>
          <w:szCs w:val="24"/>
        </w:rPr>
        <w:t>with</w:t>
      </w:r>
      <w:r w:rsidRPr="00800FA5">
        <w:rPr>
          <w:rFonts w:ascii="Times New Roman" w:eastAsia="Times New Roman" w:hAnsi="Times New Roman" w:cs="Times New Roman"/>
          <w:b/>
          <w:bCs/>
          <w:sz w:val="24"/>
          <w:szCs w:val="24"/>
        </w:rPr>
        <w:t xml:space="preserve"> </w:t>
      </w:r>
      <w:r w:rsidR="006C3196">
        <w:rPr>
          <w:rFonts w:ascii="Times New Roman" w:eastAsia="Times New Roman" w:hAnsi="Times New Roman" w:cs="Times New Roman"/>
          <w:b/>
          <w:bCs/>
          <w:sz w:val="24"/>
          <w:szCs w:val="24"/>
        </w:rPr>
        <w:t>H</w:t>
      </w:r>
      <w:r w:rsidR="00CB3164" w:rsidRPr="00800FA5">
        <w:rPr>
          <w:rFonts w:ascii="Times New Roman" w:eastAsia="Times New Roman" w:hAnsi="Times New Roman" w:cs="Times New Roman"/>
          <w:b/>
          <w:bCs/>
          <w:sz w:val="24"/>
          <w:szCs w:val="24"/>
        </w:rPr>
        <w:t xml:space="preserve">uman </w:t>
      </w:r>
      <w:r w:rsidRPr="00800FA5">
        <w:rPr>
          <w:rFonts w:ascii="Times New Roman" w:eastAsia="Times New Roman" w:hAnsi="Times New Roman" w:cs="Times New Roman"/>
          <w:b/>
          <w:bCs/>
          <w:sz w:val="24"/>
          <w:szCs w:val="24"/>
        </w:rPr>
        <w:t>R</w:t>
      </w:r>
      <w:r w:rsidR="00135EAA">
        <w:rPr>
          <w:rFonts w:ascii="Times New Roman" w:eastAsia="Times New Roman" w:hAnsi="Times New Roman" w:cs="Times New Roman"/>
          <w:b/>
          <w:bCs/>
          <w:sz w:val="24"/>
          <w:szCs w:val="24"/>
        </w:rPr>
        <w:t>ights</w:t>
      </w:r>
      <w:r w:rsidR="001009EA" w:rsidRPr="5D70810D">
        <w:rPr>
          <w:rFonts w:ascii="Times New Roman" w:eastAsia="Times New Roman" w:hAnsi="Times New Roman" w:cs="Times New Roman"/>
          <w:sz w:val="24"/>
          <w:szCs w:val="24"/>
        </w:rPr>
        <w:t xml:space="preserve"> </w:t>
      </w:r>
    </w:p>
    <w:p w14:paraId="3ABCE6C6" w14:textId="71AC3246" w:rsidR="001009EA" w:rsidRDefault="001009EA" w:rsidP="009D0BE1">
      <w:pPr>
        <w:spacing w:afterLines="160" w:after="384"/>
        <w:jc w:val="center"/>
      </w:pPr>
      <w:r w:rsidRPr="5D70810D">
        <w:rPr>
          <w:rFonts w:ascii="Times New Roman" w:eastAsia="Times New Roman" w:hAnsi="Times New Roman" w:cs="Times New Roman"/>
          <w:color w:val="000000" w:themeColor="text1"/>
          <w:sz w:val="24"/>
          <w:szCs w:val="24"/>
        </w:rPr>
        <w:t xml:space="preserve">Issued by the </w:t>
      </w:r>
      <w:r w:rsidRPr="5D70810D">
        <w:rPr>
          <w:rFonts w:ascii="Times New Roman" w:eastAsia="Times New Roman" w:hAnsi="Times New Roman" w:cs="Times New Roman"/>
          <w:color w:val="000000" w:themeColor="text1"/>
          <w:sz w:val="24"/>
          <w:szCs w:val="24"/>
          <w:lang w:val="en"/>
        </w:rPr>
        <w:t>Minister for Employment and Workplace Relations</w:t>
      </w:r>
    </w:p>
    <w:p w14:paraId="7720223F" w14:textId="7B42F23C" w:rsidR="001009EA" w:rsidRDefault="001009EA" w:rsidP="009D0BE1">
      <w:pPr>
        <w:spacing w:afterLines="160" w:after="384"/>
        <w:jc w:val="center"/>
      </w:pPr>
      <w:r w:rsidRPr="5D70810D">
        <w:rPr>
          <w:rFonts w:ascii="Times New Roman" w:eastAsia="Times New Roman" w:hAnsi="Times New Roman" w:cs="Times New Roman"/>
          <w:i/>
          <w:iCs/>
          <w:sz w:val="24"/>
          <w:szCs w:val="24"/>
        </w:rPr>
        <w:t>Prepared in accordance with Part 3 of the Human Rights (Parliamentary Scrutiny) Act 2011</w:t>
      </w:r>
    </w:p>
    <w:p w14:paraId="6269B01B" w14:textId="050E572C" w:rsidR="001009EA" w:rsidRDefault="00E10BB9" w:rsidP="009D0BE1">
      <w:pPr>
        <w:spacing w:afterLines="160" w:after="384"/>
        <w:jc w:val="center"/>
        <w:rPr>
          <w:rFonts w:ascii="Times New Roman" w:eastAsia="Times New Roman" w:hAnsi="Times New Roman" w:cs="Times New Roman"/>
          <w:color w:val="000000" w:themeColor="text1"/>
          <w:sz w:val="24"/>
          <w:szCs w:val="24"/>
          <w:lang w:val="en-AU"/>
        </w:rPr>
      </w:pPr>
      <w:r w:rsidRPr="009D0BE1">
        <w:rPr>
          <w:rFonts w:ascii="Times New Roman" w:eastAsia="Times New Roman" w:hAnsi="Times New Roman" w:cs="Times New Roman"/>
          <w:b/>
          <w:bCs/>
          <w:i/>
          <w:iCs/>
          <w:sz w:val="24"/>
          <w:szCs w:val="24"/>
        </w:rPr>
        <w:t>Work Health and Safety Amendment (</w:t>
      </w:r>
      <w:r w:rsidR="00B87AAF">
        <w:rPr>
          <w:rFonts w:ascii="Times New Roman" w:eastAsia="Times New Roman" w:hAnsi="Times New Roman" w:cs="Times New Roman"/>
          <w:b/>
          <w:bCs/>
          <w:i/>
          <w:iCs/>
          <w:sz w:val="24"/>
          <w:szCs w:val="24"/>
        </w:rPr>
        <w:t>C</w:t>
      </w:r>
      <w:r w:rsidRPr="009D0BE1">
        <w:rPr>
          <w:rFonts w:ascii="Times New Roman" w:eastAsia="Times New Roman" w:hAnsi="Times New Roman" w:cs="Times New Roman"/>
          <w:b/>
          <w:bCs/>
          <w:i/>
          <w:iCs/>
          <w:sz w:val="24"/>
          <w:szCs w:val="24"/>
        </w:rPr>
        <w:t xml:space="preserve">hemical </w:t>
      </w:r>
      <w:r w:rsidR="00B87AAF">
        <w:rPr>
          <w:rFonts w:ascii="Times New Roman" w:eastAsia="Times New Roman" w:hAnsi="Times New Roman" w:cs="Times New Roman"/>
          <w:b/>
          <w:bCs/>
          <w:i/>
          <w:iCs/>
          <w:sz w:val="24"/>
          <w:szCs w:val="24"/>
        </w:rPr>
        <w:t>L</w:t>
      </w:r>
      <w:r w:rsidRPr="009D0BE1">
        <w:rPr>
          <w:rFonts w:ascii="Times New Roman" w:eastAsia="Times New Roman" w:hAnsi="Times New Roman" w:cs="Times New Roman"/>
          <w:b/>
          <w:bCs/>
          <w:i/>
          <w:iCs/>
          <w:sz w:val="24"/>
          <w:szCs w:val="24"/>
        </w:rPr>
        <w:t>abelling) Regulations 2023</w:t>
      </w:r>
      <w:r w:rsidRPr="009D0BE1">
        <w:rPr>
          <w:rFonts w:ascii="Times New Roman" w:eastAsia="Times New Roman" w:hAnsi="Times New Roman" w:cs="Times New Roman"/>
          <w:b/>
          <w:bCs/>
          <w:sz w:val="24"/>
          <w:szCs w:val="24"/>
        </w:rPr>
        <w:t xml:space="preserve"> </w:t>
      </w:r>
    </w:p>
    <w:p w14:paraId="115F8E61" w14:textId="12C62DE2" w:rsidR="001009EA" w:rsidRDefault="001009EA" w:rsidP="009D0BE1">
      <w:pPr>
        <w:spacing w:afterLines="160" w:after="384"/>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 xml:space="preserve">This Disallowable Legislative Instrument is compatible with human rights and freedoms recognised or declared in the international instruments listed in section 3 of the </w:t>
      </w:r>
      <w:r w:rsidRPr="5D70810D">
        <w:rPr>
          <w:rFonts w:ascii="Times New Roman" w:eastAsia="Times New Roman" w:hAnsi="Times New Roman" w:cs="Times New Roman"/>
          <w:i/>
          <w:iCs/>
          <w:color w:val="000000" w:themeColor="text1"/>
          <w:sz w:val="24"/>
          <w:szCs w:val="24"/>
          <w:lang w:val="en-AU"/>
        </w:rPr>
        <w:t xml:space="preserve">Human Rights (Parliamentary Scrutiny) Act 2011. </w:t>
      </w:r>
    </w:p>
    <w:p w14:paraId="02C53F20" w14:textId="641E06BC" w:rsidR="00A741ED" w:rsidRDefault="001009EA" w:rsidP="00E67176">
      <w:pPr>
        <w:spacing w:afterLines="160" w:after="384"/>
        <w:rPr>
          <w:rFonts w:ascii="Times New Roman" w:eastAsia="Times New Roman" w:hAnsi="Times New Roman" w:cs="Times New Roman"/>
          <w:b/>
          <w:bCs/>
          <w:color w:val="000000" w:themeColor="text1"/>
          <w:sz w:val="24"/>
          <w:szCs w:val="24"/>
          <w:lang w:val="en-AU"/>
        </w:rPr>
      </w:pPr>
      <w:r w:rsidRPr="5D70810D">
        <w:rPr>
          <w:rFonts w:ascii="Times New Roman" w:eastAsia="Times New Roman" w:hAnsi="Times New Roman" w:cs="Times New Roman"/>
          <w:b/>
          <w:bCs/>
          <w:color w:val="000000" w:themeColor="text1"/>
          <w:sz w:val="24"/>
          <w:szCs w:val="24"/>
          <w:lang w:val="en-AU"/>
        </w:rPr>
        <w:t>Overview of the Legislative Instrument</w:t>
      </w:r>
    </w:p>
    <w:p w14:paraId="2AA27918" w14:textId="584C7B49" w:rsidR="00DA3302" w:rsidRPr="00AC26FD" w:rsidRDefault="00DA3302" w:rsidP="00DA3302">
      <w:pPr>
        <w:rPr>
          <w:rFonts w:ascii="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iCs/>
          <w:sz w:val="24"/>
          <w:szCs w:val="24"/>
        </w:rPr>
        <w:t xml:space="preserve">Work Health and Safety Amendment (Chemicals Labelling) Regulations </w:t>
      </w:r>
      <w:r w:rsidRPr="00305183">
        <w:rPr>
          <w:rFonts w:ascii="Times New Roman" w:eastAsia="Times New Roman" w:hAnsi="Times New Roman" w:cs="Times New Roman"/>
          <w:i/>
          <w:iCs/>
          <w:sz w:val="24"/>
          <w:szCs w:val="24"/>
        </w:rPr>
        <w:t>2023</w:t>
      </w:r>
      <w:r w:rsidRPr="00305183">
        <w:rPr>
          <w:rFonts w:ascii="Times New Roman" w:eastAsia="Times New Roman" w:hAnsi="Times New Roman" w:cs="Times New Roman"/>
          <w:sz w:val="24"/>
          <w:szCs w:val="24"/>
        </w:rPr>
        <w:t xml:space="preserve"> (Amendment Regulations) amend the </w:t>
      </w:r>
      <w:r w:rsidRPr="00305183">
        <w:rPr>
          <w:rFonts w:ascii="Times New Roman" w:eastAsia="Times New Roman" w:hAnsi="Times New Roman" w:cs="Times New Roman"/>
          <w:i/>
          <w:iCs/>
          <w:sz w:val="24"/>
          <w:szCs w:val="24"/>
        </w:rPr>
        <w:t>Work Health and Safety Regulations 2011</w:t>
      </w:r>
      <w:r w:rsidRPr="00305183">
        <w:rPr>
          <w:rFonts w:ascii="Times New Roman" w:eastAsia="Times New Roman" w:hAnsi="Times New Roman" w:cs="Times New Roman"/>
          <w:sz w:val="24"/>
          <w:szCs w:val="24"/>
        </w:rPr>
        <w:t xml:space="preserve"> (Principal Regulations) to r</w:t>
      </w:r>
      <w:r w:rsidRPr="00AC26FD">
        <w:rPr>
          <w:rFonts w:ascii="Times New Roman" w:hAnsi="Times New Roman" w:cs="Times New Roman"/>
          <w:sz w:val="24"/>
          <w:szCs w:val="24"/>
        </w:rPr>
        <w:t xml:space="preserve">emove </w:t>
      </w:r>
      <w:r>
        <w:rPr>
          <w:rFonts w:ascii="Times New Roman" w:hAnsi="Times New Roman" w:cs="Times New Roman"/>
          <w:sz w:val="24"/>
          <w:szCs w:val="24"/>
        </w:rPr>
        <w:t xml:space="preserve">‘sunsetting’ provisions which would have the effect of amending existing provisions relating to hazardous chemicals labelling. The provisions which would ‘sunset’ provide for additional circumstances where a hazardous chemical is correctly labelled, for example where it complies with the requirements of another Commonwealth law and the content is substantially the same as that required by the Principal Regulations.  </w:t>
      </w:r>
      <w:r w:rsidRPr="00AC26FD">
        <w:rPr>
          <w:rFonts w:ascii="Times New Roman" w:hAnsi="Times New Roman" w:cs="Times New Roman"/>
          <w:sz w:val="24"/>
          <w:szCs w:val="24"/>
        </w:rPr>
        <w:t xml:space="preserve"> </w:t>
      </w:r>
    </w:p>
    <w:p w14:paraId="360C5CFE" w14:textId="77777777" w:rsidR="00DA3302" w:rsidRPr="00AC26FD" w:rsidRDefault="00DA3302" w:rsidP="00DA3302">
      <w:pPr>
        <w:rPr>
          <w:rFonts w:ascii="Times New Roman" w:hAnsi="Times New Roman" w:cs="Times New Roman"/>
          <w:sz w:val="24"/>
          <w:szCs w:val="24"/>
        </w:rPr>
      </w:pPr>
      <w:r>
        <w:rPr>
          <w:rFonts w:ascii="Times New Roman" w:eastAsia="Times New Roman" w:hAnsi="Times New Roman" w:cs="Times New Roman"/>
          <w:sz w:val="24"/>
          <w:szCs w:val="24"/>
        </w:rPr>
        <w:t xml:space="preserve">The purpose of the Amendment Regulations is to ensure consistency across the Commonwealth, state and territory work health and safety laws. Allowing the amendments to take effect </w:t>
      </w:r>
      <w:r w:rsidRPr="00AC26FD">
        <w:rPr>
          <w:rFonts w:ascii="Times New Roman" w:hAnsi="Times New Roman" w:cs="Times New Roman"/>
          <w:sz w:val="24"/>
          <w:szCs w:val="24"/>
        </w:rPr>
        <w:t xml:space="preserve">would result in inconsistent hazardous chemical labelling requirements </w:t>
      </w:r>
      <w:r>
        <w:rPr>
          <w:rFonts w:ascii="Times New Roman" w:hAnsi="Times New Roman" w:cs="Times New Roman"/>
          <w:sz w:val="24"/>
          <w:szCs w:val="24"/>
        </w:rPr>
        <w:t>across</w:t>
      </w:r>
      <w:r w:rsidRPr="00AC26FD">
        <w:rPr>
          <w:rFonts w:ascii="Times New Roman" w:hAnsi="Times New Roman" w:cs="Times New Roman"/>
          <w:sz w:val="24"/>
          <w:szCs w:val="24"/>
        </w:rPr>
        <w:t xml:space="preserve"> Commonwealth </w:t>
      </w:r>
      <w:r>
        <w:rPr>
          <w:rFonts w:ascii="Times New Roman" w:hAnsi="Times New Roman" w:cs="Times New Roman"/>
          <w:sz w:val="24"/>
          <w:szCs w:val="24"/>
        </w:rPr>
        <w:t xml:space="preserve">work health and safety legislation </w:t>
      </w:r>
      <w:r w:rsidRPr="00AC26FD">
        <w:rPr>
          <w:rFonts w:ascii="Times New Roman" w:hAnsi="Times New Roman" w:cs="Times New Roman"/>
          <w:sz w:val="24"/>
          <w:szCs w:val="24"/>
        </w:rPr>
        <w:t xml:space="preserve">and </w:t>
      </w:r>
      <w:r>
        <w:rPr>
          <w:rFonts w:ascii="Times New Roman" w:hAnsi="Times New Roman" w:cs="Times New Roman"/>
          <w:sz w:val="24"/>
          <w:szCs w:val="24"/>
        </w:rPr>
        <w:t>corresponding laws in the</w:t>
      </w:r>
      <w:r w:rsidRPr="00AC26FD">
        <w:rPr>
          <w:rFonts w:ascii="Times New Roman" w:hAnsi="Times New Roman" w:cs="Times New Roman"/>
          <w:sz w:val="24"/>
          <w:szCs w:val="24"/>
        </w:rPr>
        <w:t xml:space="preserve"> states and territories.</w:t>
      </w:r>
    </w:p>
    <w:p w14:paraId="13585CDC" w14:textId="7A7FF12A" w:rsidR="00DA3302" w:rsidRPr="00E8723F" w:rsidRDefault="00DA3302" w:rsidP="00DA3302">
      <w:pPr>
        <w:autoSpaceDE w:val="0"/>
        <w:autoSpaceDN w:val="0"/>
        <w:spacing w:line="280" w:lineRule="atLeast"/>
        <w:rPr>
          <w:rFonts w:ascii="Franklin Gothic Book" w:hAnsi="Franklin Gothic Book"/>
          <w:color w:val="22282A"/>
          <w:sz w:val="20"/>
          <w:szCs w:val="20"/>
        </w:rPr>
      </w:pPr>
      <w:r>
        <w:rPr>
          <w:rFonts w:ascii="Times New Roman" w:hAnsi="Times New Roman" w:cs="Times New Roman"/>
          <w:sz w:val="24"/>
          <w:szCs w:val="24"/>
        </w:rPr>
        <w:t xml:space="preserve">The explanatory statement for the </w:t>
      </w:r>
      <w:r w:rsidRPr="0096285A">
        <w:rPr>
          <w:rFonts w:ascii="Times New Roman" w:hAnsi="Times New Roman" w:cs="Times New Roman"/>
          <w:i/>
          <w:iCs/>
          <w:sz w:val="24"/>
          <w:szCs w:val="24"/>
        </w:rPr>
        <w:t>Work Health and Safety Amendment (Labelling of Hazardous Chemicals) Regulations 2018</w:t>
      </w:r>
      <w:r>
        <w:rPr>
          <w:rFonts w:ascii="Times New Roman" w:hAnsi="Times New Roman" w:cs="Times New Roman"/>
          <w:i/>
          <w:iCs/>
          <w:sz w:val="24"/>
          <w:szCs w:val="24"/>
        </w:rPr>
        <w:t xml:space="preserve">, </w:t>
      </w:r>
      <w:r>
        <w:rPr>
          <w:rFonts w:ascii="Times New Roman" w:hAnsi="Times New Roman" w:cs="Times New Roman"/>
          <w:sz w:val="24"/>
          <w:szCs w:val="24"/>
        </w:rPr>
        <w:t xml:space="preserve">which inserted the provisions being removed, states that they were included to ensure that the provisions which would ‘sunset’ are reviewed </w:t>
      </w:r>
      <w:r w:rsidR="00AC745B">
        <w:rPr>
          <w:rFonts w:ascii="Times New Roman" w:hAnsi="Times New Roman" w:cs="Times New Roman"/>
          <w:sz w:val="24"/>
          <w:szCs w:val="24"/>
        </w:rPr>
        <w:t>within</w:t>
      </w:r>
      <w:r>
        <w:rPr>
          <w:rFonts w:ascii="Times New Roman" w:hAnsi="Times New Roman" w:cs="Times New Roman"/>
          <w:sz w:val="24"/>
          <w:szCs w:val="24"/>
        </w:rPr>
        <w:t xml:space="preserve"> 5 years. The Department of Employment and Workplace Relations undertook consultation with rel</w:t>
      </w:r>
      <w:r w:rsidR="00FF336E">
        <w:rPr>
          <w:rFonts w:ascii="Times New Roman" w:hAnsi="Times New Roman" w:cs="Times New Roman"/>
          <w:sz w:val="24"/>
          <w:szCs w:val="24"/>
        </w:rPr>
        <w:t>evant agencies</w:t>
      </w:r>
      <w:r>
        <w:rPr>
          <w:rFonts w:ascii="Times New Roman" w:hAnsi="Times New Roman" w:cs="Times New Roman"/>
          <w:sz w:val="24"/>
          <w:szCs w:val="24"/>
        </w:rPr>
        <w:t xml:space="preserve"> such as the </w:t>
      </w:r>
      <w:r w:rsidRPr="00E8723F">
        <w:rPr>
          <w:rFonts w:ascii="Times New Roman" w:hAnsi="Times New Roman" w:cs="Times New Roman"/>
          <w:sz w:val="24"/>
          <w:szCs w:val="24"/>
        </w:rPr>
        <w:t>Australian Pesticides and Veterinary Medicines Authority</w:t>
      </w:r>
      <w:r>
        <w:rPr>
          <w:rFonts w:ascii="Times New Roman" w:hAnsi="Times New Roman" w:cs="Times New Roman"/>
          <w:sz w:val="24"/>
          <w:szCs w:val="24"/>
        </w:rPr>
        <w:t>, the regulator Comcare, and industry. Feedback indicated that the current exceptions were appropriate, there are no known work health and safety concerns, and that significant disruption would occur if the provisions ceased to operate.</w:t>
      </w:r>
    </w:p>
    <w:p w14:paraId="5E57B742" w14:textId="77777777" w:rsidR="007D2DBC" w:rsidRDefault="007D2DBC" w:rsidP="00E67176">
      <w:pPr>
        <w:spacing w:afterLines="160" w:after="384"/>
        <w:rPr>
          <w:rFonts w:ascii="Times New Roman" w:eastAsia="Times New Roman" w:hAnsi="Times New Roman" w:cs="Times New Roman"/>
          <w:b/>
          <w:bCs/>
          <w:color w:val="000000" w:themeColor="text1"/>
          <w:sz w:val="24"/>
          <w:szCs w:val="24"/>
          <w:lang w:val="en-AU"/>
        </w:rPr>
      </w:pPr>
      <w:r w:rsidRPr="00AAD3CD">
        <w:rPr>
          <w:rFonts w:ascii="Times New Roman" w:eastAsia="Times New Roman" w:hAnsi="Times New Roman" w:cs="Times New Roman"/>
          <w:b/>
          <w:bCs/>
          <w:color w:val="000000" w:themeColor="text1"/>
          <w:sz w:val="24"/>
          <w:szCs w:val="24"/>
          <w:lang w:val="en-AU"/>
        </w:rPr>
        <w:t>Human rights implications</w:t>
      </w:r>
    </w:p>
    <w:p w14:paraId="05CD295F" w14:textId="77777777" w:rsidR="00E1113B" w:rsidRDefault="00E1113B" w:rsidP="00314D48">
      <w:pPr>
        <w:spacing w:afterLines="160" w:after="384"/>
        <w:rPr>
          <w:rFonts w:ascii="Times New Roman" w:eastAsia="Times New Roman" w:hAnsi="Times New Roman" w:cs="Times New Roman"/>
          <w:color w:val="000000" w:themeColor="text1"/>
          <w:sz w:val="24"/>
          <w:szCs w:val="24"/>
          <w:lang w:val="en-AU"/>
        </w:rPr>
      </w:pPr>
      <w:r w:rsidRPr="5D70810D">
        <w:rPr>
          <w:rFonts w:ascii="Times New Roman" w:eastAsia="Times New Roman" w:hAnsi="Times New Roman" w:cs="Times New Roman"/>
          <w:color w:val="000000" w:themeColor="text1"/>
          <w:sz w:val="24"/>
          <w:szCs w:val="24"/>
          <w:lang w:val="en-AU"/>
        </w:rPr>
        <w:t>This Disallowable Legislative Instrument engages the following human rights:</w:t>
      </w:r>
    </w:p>
    <w:p w14:paraId="63CBD9D3" w14:textId="4A42F753" w:rsidR="00467DD3" w:rsidRPr="00EB584F" w:rsidRDefault="00467DD3" w:rsidP="00314D48">
      <w:pPr>
        <w:pStyle w:val="EMfirstbullet"/>
        <w:numPr>
          <w:ilvl w:val="0"/>
          <w:numId w:val="6"/>
        </w:numPr>
        <w:spacing w:afterLines="160" w:after="384"/>
        <w:rPr>
          <w:rFonts w:eastAsia="Times New Roman"/>
          <w:color w:val="000000" w:themeColor="text1"/>
          <w:sz w:val="24"/>
          <w:szCs w:val="24"/>
          <w:lang w:val="en-AU"/>
        </w:rPr>
      </w:pPr>
      <w:r w:rsidRPr="7ABAF3D9">
        <w:rPr>
          <w:rFonts w:eastAsia="Times New Roman"/>
          <w:color w:val="000000" w:themeColor="text1"/>
          <w:sz w:val="24"/>
          <w:szCs w:val="24"/>
          <w:lang w:val="en-AU"/>
        </w:rPr>
        <w:t xml:space="preserve">The right </w:t>
      </w:r>
      <w:r w:rsidR="001320FF">
        <w:rPr>
          <w:rFonts w:eastAsia="Times New Roman"/>
          <w:color w:val="000000" w:themeColor="text1"/>
          <w:sz w:val="24"/>
          <w:szCs w:val="24"/>
          <w:lang w:val="en-AU"/>
        </w:rPr>
        <w:t xml:space="preserve">to </w:t>
      </w:r>
      <w:r>
        <w:rPr>
          <w:rFonts w:eastAsia="Times New Roman"/>
          <w:color w:val="000000" w:themeColor="text1"/>
          <w:sz w:val="24"/>
          <w:szCs w:val="24"/>
          <w:lang w:val="en-AU"/>
        </w:rPr>
        <w:t>safe and health</w:t>
      </w:r>
      <w:r w:rsidR="009746F0">
        <w:rPr>
          <w:rFonts w:eastAsia="Times New Roman"/>
          <w:color w:val="000000" w:themeColor="text1"/>
          <w:sz w:val="24"/>
          <w:szCs w:val="24"/>
          <w:lang w:val="en-AU"/>
        </w:rPr>
        <w:t>y</w:t>
      </w:r>
      <w:r>
        <w:rPr>
          <w:rFonts w:eastAsia="Times New Roman"/>
          <w:color w:val="000000" w:themeColor="text1"/>
          <w:sz w:val="24"/>
          <w:szCs w:val="24"/>
          <w:lang w:val="en-AU"/>
        </w:rPr>
        <w:t xml:space="preserve"> working conditions </w:t>
      </w:r>
      <w:r w:rsidR="004C1DB1">
        <w:rPr>
          <w:rFonts w:eastAsia="Times New Roman"/>
          <w:color w:val="000000" w:themeColor="text1"/>
          <w:sz w:val="24"/>
          <w:szCs w:val="24"/>
          <w:lang w:val="en-AU"/>
        </w:rPr>
        <w:t>under</w:t>
      </w:r>
      <w:r w:rsidRPr="7ABAF3D9">
        <w:rPr>
          <w:rFonts w:eastAsia="Times New Roman"/>
          <w:color w:val="000000" w:themeColor="text1"/>
          <w:sz w:val="24"/>
          <w:szCs w:val="24"/>
          <w:lang w:val="en-AU"/>
        </w:rPr>
        <w:t xml:space="preserve"> Article 7 of the International Covenant on Economic Social and Cultural Rights (ICESCR)</w:t>
      </w:r>
      <w:r w:rsidR="00C428BA">
        <w:rPr>
          <w:rFonts w:eastAsia="Times New Roman"/>
          <w:color w:val="000000" w:themeColor="text1"/>
          <w:sz w:val="24"/>
          <w:szCs w:val="24"/>
          <w:lang w:val="en-AU"/>
        </w:rPr>
        <w:t>.</w:t>
      </w:r>
    </w:p>
    <w:p w14:paraId="78326D67" w14:textId="1E188CB8" w:rsidR="00E1113B" w:rsidRPr="00DF5200" w:rsidRDefault="00DF5200" w:rsidP="00E67176">
      <w:pPr>
        <w:keepNext/>
        <w:spacing w:afterLines="160" w:after="384"/>
        <w:rPr>
          <w:rFonts w:ascii="Times New Roman" w:eastAsia="Times New Roman" w:hAnsi="Times New Roman" w:cs="Times New Roman"/>
          <w:color w:val="000000" w:themeColor="text1"/>
          <w:sz w:val="24"/>
          <w:szCs w:val="24"/>
          <w:u w:val="single"/>
          <w:lang w:val="en-AU"/>
        </w:rPr>
      </w:pPr>
      <w:r w:rsidRPr="00DF5200">
        <w:rPr>
          <w:rFonts w:ascii="Times New Roman" w:eastAsia="Times New Roman" w:hAnsi="Times New Roman" w:cs="Times New Roman"/>
          <w:color w:val="000000" w:themeColor="text1"/>
          <w:sz w:val="24"/>
          <w:szCs w:val="24"/>
          <w:u w:val="single"/>
          <w:lang w:val="en-AU"/>
        </w:rPr>
        <w:lastRenderedPageBreak/>
        <w:t>Right to enjoyment of just and favourable conditions of work</w:t>
      </w:r>
    </w:p>
    <w:p w14:paraId="14C8D9D0" w14:textId="30E5611F" w:rsidR="005700A6" w:rsidRDefault="0006323C" w:rsidP="00E67176">
      <w:pPr>
        <w:spacing w:afterLines="160" w:after="384"/>
        <w:rPr>
          <w:rFonts w:ascii="Times New Roman" w:hAnsi="Times New Roman" w:cs="Times New Roman"/>
          <w:sz w:val="24"/>
          <w:szCs w:val="24"/>
        </w:rPr>
      </w:pPr>
      <w:r w:rsidRPr="0006323C">
        <w:rPr>
          <w:rFonts w:ascii="Times New Roman" w:hAnsi="Times New Roman" w:cs="Times New Roman"/>
          <w:sz w:val="24"/>
          <w:szCs w:val="24"/>
        </w:rPr>
        <w:t>Article 7 of the ICESCR provides that everyone has the right to the ‘enjoyment of just and favourable conditions of work, which ensure, in particular…[s]</w:t>
      </w:r>
      <w:proofErr w:type="spellStart"/>
      <w:r w:rsidRPr="0006323C">
        <w:rPr>
          <w:rFonts w:ascii="Times New Roman" w:hAnsi="Times New Roman" w:cs="Times New Roman"/>
          <w:sz w:val="24"/>
          <w:szCs w:val="24"/>
        </w:rPr>
        <w:t>afe</w:t>
      </w:r>
      <w:proofErr w:type="spellEnd"/>
      <w:r w:rsidRPr="0006323C">
        <w:rPr>
          <w:rFonts w:ascii="Times New Roman" w:hAnsi="Times New Roman" w:cs="Times New Roman"/>
          <w:sz w:val="24"/>
          <w:szCs w:val="24"/>
        </w:rPr>
        <w:t xml:space="preserve"> and healthy working </w:t>
      </w:r>
      <w:proofErr w:type="gramStart"/>
      <w:r w:rsidRPr="0006323C">
        <w:rPr>
          <w:rFonts w:ascii="Times New Roman" w:hAnsi="Times New Roman" w:cs="Times New Roman"/>
          <w:sz w:val="24"/>
          <w:szCs w:val="24"/>
        </w:rPr>
        <w:t>conditions’</w:t>
      </w:r>
      <w:proofErr w:type="gramEnd"/>
      <w:r w:rsidRPr="0006323C">
        <w:rPr>
          <w:rFonts w:ascii="Times New Roman" w:hAnsi="Times New Roman" w:cs="Times New Roman"/>
          <w:sz w:val="24"/>
          <w:szCs w:val="24"/>
        </w:rPr>
        <w:t>.</w:t>
      </w:r>
    </w:p>
    <w:p w14:paraId="229F2033" w14:textId="02548AA4" w:rsidR="00470045" w:rsidRDefault="00144E54" w:rsidP="00AD3D19">
      <w:pPr>
        <w:pStyle w:val="SCHRnumbers"/>
        <w:numPr>
          <w:ilvl w:val="0"/>
          <w:numId w:val="0"/>
        </w:numPr>
        <w:spacing w:afterLines="160" w:after="384"/>
      </w:pPr>
      <w:r w:rsidRPr="5D70810D">
        <w:rPr>
          <w:rFonts w:ascii="Times New Roman" w:eastAsia="Times New Roman" w:hAnsi="Times New Roman" w:cs="Times New Roman"/>
          <w:color w:val="000000" w:themeColor="text1"/>
          <w:sz w:val="24"/>
          <w:szCs w:val="24"/>
          <w:lang w:val="en-AU"/>
        </w:rPr>
        <w:t xml:space="preserve">The content of the right to just and favourable conditions of work can be informed by specific obligations in treaties of the International Labour Organization, including, the </w:t>
      </w:r>
      <w:r w:rsidRPr="5D70810D">
        <w:rPr>
          <w:rFonts w:ascii="Times New Roman" w:eastAsia="Times New Roman" w:hAnsi="Times New Roman" w:cs="Times New Roman"/>
          <w:i/>
          <w:iCs/>
          <w:color w:val="000000" w:themeColor="text1"/>
          <w:sz w:val="24"/>
          <w:szCs w:val="24"/>
          <w:lang w:val="en-AU"/>
        </w:rPr>
        <w:t>Occupational Safety and Health Convention 1981</w:t>
      </w:r>
      <w:r w:rsidRPr="5D70810D">
        <w:rPr>
          <w:rFonts w:ascii="Times New Roman" w:eastAsia="Times New Roman" w:hAnsi="Times New Roman" w:cs="Times New Roman"/>
          <w:color w:val="000000" w:themeColor="text1"/>
          <w:sz w:val="24"/>
          <w:szCs w:val="24"/>
          <w:lang w:val="en-AU"/>
        </w:rPr>
        <w:t xml:space="preserve"> (No. 155) which requires the adoption of a coherent national policy on occupational safety, occupational </w:t>
      </w:r>
      <w:proofErr w:type="gramStart"/>
      <w:r w:rsidRPr="5D70810D">
        <w:rPr>
          <w:rFonts w:ascii="Times New Roman" w:eastAsia="Times New Roman" w:hAnsi="Times New Roman" w:cs="Times New Roman"/>
          <w:color w:val="000000" w:themeColor="text1"/>
          <w:sz w:val="24"/>
          <w:szCs w:val="24"/>
          <w:lang w:val="en-AU"/>
        </w:rPr>
        <w:t>health</w:t>
      </w:r>
      <w:proofErr w:type="gramEnd"/>
      <w:r w:rsidRPr="5D70810D">
        <w:rPr>
          <w:rFonts w:ascii="Times New Roman" w:eastAsia="Times New Roman" w:hAnsi="Times New Roman" w:cs="Times New Roman"/>
          <w:color w:val="000000" w:themeColor="text1"/>
          <w:sz w:val="24"/>
          <w:szCs w:val="24"/>
          <w:lang w:val="en-AU"/>
        </w:rPr>
        <w:t xml:space="preserve"> and the working environment.</w:t>
      </w:r>
      <w:r w:rsidR="00F66ABF">
        <w:rPr>
          <w:rFonts w:ascii="Times New Roman" w:eastAsia="Times New Roman" w:hAnsi="Times New Roman" w:cs="Times New Roman"/>
          <w:color w:val="000000" w:themeColor="text1"/>
          <w:sz w:val="24"/>
          <w:szCs w:val="24"/>
          <w:lang w:val="en-AU"/>
        </w:rPr>
        <w:t xml:space="preserve"> </w:t>
      </w:r>
      <w:r w:rsidR="001E4DA9" w:rsidRPr="5D70810D">
        <w:rPr>
          <w:rFonts w:ascii="Times New Roman" w:eastAsia="Times New Roman" w:hAnsi="Times New Roman" w:cs="Times New Roman"/>
          <w:color w:val="000000" w:themeColor="text1"/>
          <w:sz w:val="24"/>
          <w:szCs w:val="24"/>
        </w:rPr>
        <w:t>Australia</w:t>
      </w:r>
      <w:r w:rsidR="001E4DA9" w:rsidRPr="5D70810D" w:rsidDel="003F4FF5">
        <w:rPr>
          <w:rFonts w:ascii="Times New Roman" w:eastAsia="Times New Roman" w:hAnsi="Times New Roman" w:cs="Times New Roman"/>
          <w:color w:val="000000" w:themeColor="text1"/>
          <w:sz w:val="24"/>
          <w:szCs w:val="24"/>
        </w:rPr>
        <w:t xml:space="preserve"> </w:t>
      </w:r>
      <w:r w:rsidR="001E4DA9" w:rsidRPr="5D70810D">
        <w:rPr>
          <w:rFonts w:ascii="Times New Roman" w:eastAsia="Times New Roman" w:hAnsi="Times New Roman" w:cs="Times New Roman"/>
          <w:color w:val="000000" w:themeColor="text1"/>
          <w:sz w:val="24"/>
          <w:szCs w:val="24"/>
        </w:rPr>
        <w:t xml:space="preserve">complies with its obligation under Article 7 of the ICESCR through the harmonised system of Commonwealth, state and territory </w:t>
      </w:r>
      <w:r w:rsidR="009D3902">
        <w:rPr>
          <w:rFonts w:ascii="Times New Roman" w:eastAsia="Times New Roman" w:hAnsi="Times New Roman" w:cs="Times New Roman"/>
          <w:color w:val="000000" w:themeColor="text1"/>
          <w:sz w:val="24"/>
          <w:szCs w:val="24"/>
        </w:rPr>
        <w:t>work health and safety</w:t>
      </w:r>
      <w:r w:rsidR="001E4DA9" w:rsidRPr="5D70810D">
        <w:rPr>
          <w:rFonts w:ascii="Times New Roman" w:eastAsia="Times New Roman" w:hAnsi="Times New Roman" w:cs="Times New Roman"/>
          <w:color w:val="000000" w:themeColor="text1"/>
          <w:sz w:val="24"/>
          <w:szCs w:val="24"/>
        </w:rPr>
        <w:t xml:space="preserve"> laws (including the Principal Regulations)</w:t>
      </w:r>
      <w:r w:rsidR="001E4DA9">
        <w:rPr>
          <w:rFonts w:ascii="Times New Roman" w:eastAsia="Times New Roman" w:hAnsi="Times New Roman" w:cs="Times New Roman"/>
          <w:color w:val="000000" w:themeColor="text1"/>
          <w:sz w:val="24"/>
          <w:szCs w:val="24"/>
        </w:rPr>
        <w:t xml:space="preserve"> which </w:t>
      </w:r>
      <w:r w:rsidR="00E00CB0">
        <w:rPr>
          <w:rFonts w:ascii="Times New Roman" w:eastAsia="Times New Roman" w:hAnsi="Times New Roman" w:cs="Times New Roman"/>
          <w:color w:val="000000" w:themeColor="text1"/>
          <w:sz w:val="24"/>
          <w:szCs w:val="24"/>
        </w:rPr>
        <w:t>are designed to ensure consistency in requirements across jurisdictions</w:t>
      </w:r>
      <w:r w:rsidR="004F54C2">
        <w:rPr>
          <w:rFonts w:ascii="Times New Roman" w:eastAsia="Times New Roman" w:hAnsi="Times New Roman" w:cs="Times New Roman"/>
          <w:color w:val="000000" w:themeColor="text1"/>
          <w:sz w:val="24"/>
          <w:szCs w:val="24"/>
        </w:rPr>
        <w:t>.</w:t>
      </w:r>
      <w:r w:rsidR="00F578E5">
        <w:rPr>
          <w:rFonts w:ascii="Times New Roman" w:eastAsia="Times New Roman" w:hAnsi="Times New Roman" w:cs="Times New Roman"/>
          <w:color w:val="000000" w:themeColor="text1"/>
          <w:sz w:val="24"/>
          <w:szCs w:val="24"/>
        </w:rPr>
        <w:t xml:space="preserve"> </w:t>
      </w:r>
    </w:p>
    <w:p w14:paraId="7A431589" w14:textId="353DA850" w:rsidR="00E05809" w:rsidRPr="00E05809" w:rsidRDefault="00634921" w:rsidP="00E05809">
      <w:pPr>
        <w:rPr>
          <w:rFonts w:ascii="Times New Roman" w:eastAsiaTheme="minorEastAsia" w:hAnsi="Times New Roman" w:cs="Times New Roman"/>
          <w:sz w:val="24"/>
          <w:szCs w:val="24"/>
        </w:rPr>
      </w:pPr>
      <w:r>
        <w:rPr>
          <w:rFonts w:ascii="Times New Roman" w:eastAsia="Times New Roman" w:hAnsi="Times New Roman" w:cs="Times New Roman"/>
          <w:color w:val="000000" w:themeColor="text1"/>
          <w:sz w:val="24"/>
          <w:szCs w:val="24"/>
          <w:lang w:val="en-AU"/>
        </w:rPr>
        <w:t xml:space="preserve">Removing the sunsetting provisions to maintain </w:t>
      </w:r>
      <w:r w:rsidR="00E9798C">
        <w:rPr>
          <w:rFonts w:ascii="Times New Roman" w:eastAsia="Times New Roman" w:hAnsi="Times New Roman" w:cs="Times New Roman"/>
          <w:color w:val="000000" w:themeColor="text1"/>
          <w:sz w:val="24"/>
          <w:szCs w:val="24"/>
          <w:lang w:val="en-AU"/>
        </w:rPr>
        <w:t xml:space="preserve">a harmonised approach </w:t>
      </w:r>
      <w:r w:rsidR="00106D34">
        <w:rPr>
          <w:rFonts w:ascii="Times New Roman" w:eastAsia="Times New Roman" w:hAnsi="Times New Roman" w:cs="Times New Roman"/>
          <w:color w:val="000000" w:themeColor="text1"/>
          <w:sz w:val="24"/>
          <w:szCs w:val="24"/>
        </w:rPr>
        <w:t>Australia’s hazardous chemicals labelling scheme promotes the right to a safe work environment as</w:t>
      </w:r>
      <w:r w:rsidR="0053298A">
        <w:rPr>
          <w:rFonts w:ascii="Times New Roman" w:eastAsia="Times New Roman" w:hAnsi="Times New Roman" w:cs="Times New Roman"/>
          <w:color w:val="000000" w:themeColor="text1"/>
          <w:sz w:val="24"/>
          <w:szCs w:val="24"/>
        </w:rPr>
        <w:t xml:space="preserve"> it ensures th</w:t>
      </w:r>
      <w:r w:rsidR="00CE1255">
        <w:rPr>
          <w:rFonts w:ascii="Times New Roman" w:eastAsia="Times New Roman" w:hAnsi="Times New Roman" w:cs="Times New Roman"/>
          <w:color w:val="000000" w:themeColor="text1"/>
          <w:sz w:val="24"/>
          <w:szCs w:val="24"/>
        </w:rPr>
        <w:t xml:space="preserve">at duty holders and </w:t>
      </w:r>
      <w:proofErr w:type="gramStart"/>
      <w:r w:rsidR="00CE1255">
        <w:rPr>
          <w:rFonts w:ascii="Times New Roman" w:eastAsia="Times New Roman" w:hAnsi="Times New Roman" w:cs="Times New Roman"/>
          <w:color w:val="000000" w:themeColor="text1"/>
          <w:sz w:val="24"/>
          <w:szCs w:val="24"/>
        </w:rPr>
        <w:t>those</w:t>
      </w:r>
      <w:proofErr w:type="gramEnd"/>
      <w:r w:rsidR="00CE1255">
        <w:rPr>
          <w:rFonts w:ascii="Times New Roman" w:eastAsia="Times New Roman" w:hAnsi="Times New Roman" w:cs="Times New Roman"/>
          <w:color w:val="000000" w:themeColor="text1"/>
          <w:sz w:val="24"/>
          <w:szCs w:val="24"/>
        </w:rPr>
        <w:t xml:space="preserve"> they owe a duty to clearly understand hazardous chemical labelling requirements under the </w:t>
      </w:r>
      <w:r w:rsidR="00CE1255" w:rsidRPr="00917667">
        <w:rPr>
          <w:rFonts w:ascii="Times New Roman" w:eastAsia="Times New Roman" w:hAnsi="Times New Roman" w:cs="Times New Roman"/>
          <w:i/>
          <w:iCs/>
          <w:color w:val="000000" w:themeColor="text1"/>
          <w:sz w:val="24"/>
          <w:szCs w:val="24"/>
        </w:rPr>
        <w:t>W</w:t>
      </w:r>
      <w:r w:rsidR="008C4C49" w:rsidRPr="00917667">
        <w:rPr>
          <w:rFonts w:ascii="Times New Roman" w:eastAsia="Times New Roman" w:hAnsi="Times New Roman" w:cs="Times New Roman"/>
          <w:i/>
          <w:iCs/>
          <w:color w:val="000000" w:themeColor="text1"/>
          <w:sz w:val="24"/>
          <w:szCs w:val="24"/>
        </w:rPr>
        <w:t xml:space="preserve">ork </w:t>
      </w:r>
      <w:r w:rsidR="00CE1255" w:rsidRPr="00917667">
        <w:rPr>
          <w:rFonts w:ascii="Times New Roman" w:eastAsia="Times New Roman" w:hAnsi="Times New Roman" w:cs="Times New Roman"/>
          <w:i/>
          <w:iCs/>
          <w:color w:val="000000" w:themeColor="text1"/>
          <w:sz w:val="24"/>
          <w:szCs w:val="24"/>
        </w:rPr>
        <w:t>H</w:t>
      </w:r>
      <w:r w:rsidR="008C4C49" w:rsidRPr="00917667">
        <w:rPr>
          <w:rFonts w:ascii="Times New Roman" w:eastAsia="Times New Roman" w:hAnsi="Times New Roman" w:cs="Times New Roman"/>
          <w:i/>
          <w:iCs/>
          <w:color w:val="000000" w:themeColor="text1"/>
          <w:sz w:val="24"/>
          <w:szCs w:val="24"/>
        </w:rPr>
        <w:t xml:space="preserve">ealth and </w:t>
      </w:r>
      <w:r w:rsidR="00CE1255" w:rsidRPr="00917667">
        <w:rPr>
          <w:rFonts w:ascii="Times New Roman" w:eastAsia="Times New Roman" w:hAnsi="Times New Roman" w:cs="Times New Roman"/>
          <w:i/>
          <w:iCs/>
          <w:color w:val="000000" w:themeColor="text1"/>
          <w:sz w:val="24"/>
          <w:szCs w:val="24"/>
        </w:rPr>
        <w:t>S</w:t>
      </w:r>
      <w:r w:rsidR="008C4C49" w:rsidRPr="00917667">
        <w:rPr>
          <w:rFonts w:ascii="Times New Roman" w:eastAsia="Times New Roman" w:hAnsi="Times New Roman" w:cs="Times New Roman"/>
          <w:i/>
          <w:iCs/>
          <w:color w:val="000000" w:themeColor="text1"/>
          <w:sz w:val="24"/>
          <w:szCs w:val="24"/>
        </w:rPr>
        <w:t>afety</w:t>
      </w:r>
      <w:r w:rsidR="00CE1255" w:rsidRPr="00917667">
        <w:rPr>
          <w:rFonts w:ascii="Times New Roman" w:eastAsia="Times New Roman" w:hAnsi="Times New Roman" w:cs="Times New Roman"/>
          <w:i/>
          <w:iCs/>
          <w:color w:val="000000" w:themeColor="text1"/>
          <w:sz w:val="24"/>
          <w:szCs w:val="24"/>
        </w:rPr>
        <w:t xml:space="preserve"> Act</w:t>
      </w:r>
      <w:r w:rsidR="00D56EDB" w:rsidRPr="00917667">
        <w:rPr>
          <w:rFonts w:ascii="Times New Roman" w:eastAsia="Times New Roman" w:hAnsi="Times New Roman" w:cs="Times New Roman"/>
          <w:i/>
          <w:iCs/>
          <w:color w:val="000000" w:themeColor="text1"/>
          <w:sz w:val="24"/>
          <w:szCs w:val="24"/>
        </w:rPr>
        <w:t xml:space="preserve"> 2011</w:t>
      </w:r>
      <w:r w:rsidR="00106D34">
        <w:rPr>
          <w:rFonts w:ascii="Times New Roman" w:eastAsia="Times New Roman" w:hAnsi="Times New Roman" w:cs="Times New Roman"/>
          <w:color w:val="000000" w:themeColor="text1"/>
          <w:sz w:val="24"/>
          <w:szCs w:val="24"/>
        </w:rPr>
        <w:t>.</w:t>
      </w:r>
      <w:r w:rsidR="00937088">
        <w:rPr>
          <w:rFonts w:ascii="Times New Roman" w:eastAsia="Times New Roman" w:hAnsi="Times New Roman" w:cs="Times New Roman"/>
          <w:color w:val="000000" w:themeColor="text1"/>
          <w:sz w:val="24"/>
          <w:szCs w:val="24"/>
        </w:rPr>
        <w:t xml:space="preserve"> Clear, consistent requirements are more likely to be adhered to and the provisions are more likely to </w:t>
      </w:r>
      <w:r w:rsidR="00041FBC">
        <w:rPr>
          <w:rFonts w:ascii="Times New Roman" w:eastAsia="Times New Roman" w:hAnsi="Times New Roman" w:cs="Times New Roman"/>
          <w:color w:val="000000" w:themeColor="text1"/>
          <w:sz w:val="24"/>
          <w:szCs w:val="24"/>
        </w:rPr>
        <w:t>continue to have their intended effect.</w:t>
      </w:r>
    </w:p>
    <w:p w14:paraId="48E032A3" w14:textId="3FA083D4" w:rsidR="00072157" w:rsidRDefault="00072157" w:rsidP="00AD3D19">
      <w:pPr>
        <w:keepNext/>
        <w:spacing w:afterLines="160" w:after="384"/>
        <w:rPr>
          <w:rFonts w:ascii="Times New Roman" w:hAnsi="Times New Roman" w:cs="Times New Roman"/>
          <w:b/>
          <w:bCs/>
          <w:sz w:val="24"/>
          <w:szCs w:val="24"/>
        </w:rPr>
      </w:pPr>
      <w:r>
        <w:rPr>
          <w:rFonts w:ascii="Times New Roman" w:hAnsi="Times New Roman" w:cs="Times New Roman"/>
          <w:b/>
          <w:bCs/>
          <w:sz w:val="24"/>
          <w:szCs w:val="24"/>
        </w:rPr>
        <w:t>Conclusion</w:t>
      </w:r>
    </w:p>
    <w:p w14:paraId="4E3353D1" w14:textId="21505CDF" w:rsidR="009430BF" w:rsidRDefault="00072157" w:rsidP="00E67176">
      <w:pPr>
        <w:spacing w:afterLines="160" w:after="384"/>
        <w:rPr>
          <w:rFonts w:ascii="Times New Roman" w:hAnsi="Times New Roman" w:cs="Times New Roman"/>
          <w:sz w:val="24"/>
          <w:szCs w:val="24"/>
        </w:rPr>
      </w:pPr>
      <w:r>
        <w:rPr>
          <w:rFonts w:ascii="Times New Roman" w:hAnsi="Times New Roman" w:cs="Times New Roman"/>
          <w:sz w:val="24"/>
          <w:szCs w:val="24"/>
        </w:rPr>
        <w:t xml:space="preserve">This Legislative Instrument is compatible with human rights </w:t>
      </w:r>
      <w:r w:rsidR="00D7724D">
        <w:rPr>
          <w:rFonts w:ascii="Times New Roman" w:hAnsi="Times New Roman" w:cs="Times New Roman"/>
          <w:sz w:val="24"/>
          <w:szCs w:val="24"/>
        </w:rPr>
        <w:t>and</w:t>
      </w:r>
      <w:r>
        <w:rPr>
          <w:rFonts w:ascii="Times New Roman" w:hAnsi="Times New Roman" w:cs="Times New Roman"/>
          <w:sz w:val="24"/>
          <w:szCs w:val="24"/>
        </w:rPr>
        <w:t xml:space="preserve"> promote</w:t>
      </w:r>
      <w:r w:rsidR="00D7724D">
        <w:rPr>
          <w:rFonts w:ascii="Times New Roman" w:hAnsi="Times New Roman" w:cs="Times New Roman"/>
          <w:sz w:val="24"/>
          <w:szCs w:val="24"/>
        </w:rPr>
        <w:t>s</w:t>
      </w:r>
      <w:r>
        <w:rPr>
          <w:rFonts w:ascii="Times New Roman" w:hAnsi="Times New Roman" w:cs="Times New Roman"/>
          <w:sz w:val="24"/>
          <w:szCs w:val="24"/>
        </w:rPr>
        <w:t xml:space="preserve"> the right to safe and health working conditions</w:t>
      </w:r>
      <w:r w:rsidR="00E21A43">
        <w:rPr>
          <w:rFonts w:ascii="Times New Roman" w:hAnsi="Times New Roman" w:cs="Times New Roman"/>
          <w:sz w:val="24"/>
          <w:szCs w:val="24"/>
        </w:rPr>
        <w:t>.</w:t>
      </w:r>
      <w:r w:rsidR="00951437">
        <w:rPr>
          <w:rFonts w:ascii="Times New Roman" w:hAnsi="Times New Roman" w:cs="Times New Roman"/>
          <w:sz w:val="24"/>
          <w:szCs w:val="24"/>
        </w:rPr>
        <w:t xml:space="preserve"> </w:t>
      </w:r>
    </w:p>
    <w:sectPr w:rsidR="009430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2525" w14:textId="77777777" w:rsidR="004E316D" w:rsidRDefault="004E316D" w:rsidP="00421B16">
      <w:pPr>
        <w:spacing w:after="0" w:line="240" w:lineRule="auto"/>
      </w:pPr>
      <w:r>
        <w:separator/>
      </w:r>
    </w:p>
  </w:endnote>
  <w:endnote w:type="continuationSeparator" w:id="0">
    <w:p w14:paraId="2BA4DC4E" w14:textId="77777777" w:rsidR="004E316D" w:rsidRDefault="004E316D" w:rsidP="00421B16">
      <w:pPr>
        <w:spacing w:after="0" w:line="240" w:lineRule="auto"/>
      </w:pPr>
      <w:r>
        <w:continuationSeparator/>
      </w:r>
    </w:p>
  </w:endnote>
  <w:endnote w:type="continuationNotice" w:id="1">
    <w:p w14:paraId="31C1A2C9" w14:textId="77777777" w:rsidR="004E316D" w:rsidRDefault="004E31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D6CC9" w14:textId="442A79EE" w:rsidR="00421B16" w:rsidRDefault="00421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715C" w14:textId="29E91158" w:rsidR="00421B16" w:rsidRDefault="00421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7B9B4" w14:textId="5AD46BD5" w:rsidR="00421B16" w:rsidRDefault="00421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E63F" w14:textId="77777777" w:rsidR="004E316D" w:rsidRDefault="004E316D" w:rsidP="00421B16">
      <w:pPr>
        <w:spacing w:after="0" w:line="240" w:lineRule="auto"/>
      </w:pPr>
      <w:r>
        <w:separator/>
      </w:r>
    </w:p>
  </w:footnote>
  <w:footnote w:type="continuationSeparator" w:id="0">
    <w:p w14:paraId="521E6139" w14:textId="77777777" w:rsidR="004E316D" w:rsidRDefault="004E316D" w:rsidP="00421B16">
      <w:pPr>
        <w:spacing w:after="0" w:line="240" w:lineRule="auto"/>
      </w:pPr>
      <w:r>
        <w:continuationSeparator/>
      </w:r>
    </w:p>
  </w:footnote>
  <w:footnote w:type="continuationNotice" w:id="1">
    <w:p w14:paraId="671933CD" w14:textId="77777777" w:rsidR="004E316D" w:rsidRDefault="004E31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DE9B" w14:textId="666E0DCE" w:rsidR="00421B16" w:rsidRDefault="00421B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07B26" w14:textId="11B7B539" w:rsidR="00421B16" w:rsidRDefault="00421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7E347" w14:textId="31BCD1B5" w:rsidR="00421B16" w:rsidRDefault="00421B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60076"/>
    <w:multiLevelType w:val="hybridMultilevel"/>
    <w:tmpl w:val="DE44606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27003C45"/>
    <w:multiLevelType w:val="hybridMultilevel"/>
    <w:tmpl w:val="9CE22E3C"/>
    <w:lvl w:ilvl="0" w:tplc="0CE4E5C8">
      <w:start w:val="26"/>
      <w:numFmt w:val="decimal"/>
      <w:pStyle w:val="SCHRnumbers"/>
      <w:lvlText w:val="%1."/>
      <w:lvlJc w:val="left"/>
      <w:pPr>
        <w:ind w:left="720" w:hanging="360"/>
      </w:pPr>
    </w:lvl>
    <w:lvl w:ilvl="1" w:tplc="E2FEEAEC">
      <w:start w:val="1"/>
      <w:numFmt w:val="lowerLetter"/>
      <w:lvlText w:val="%2."/>
      <w:lvlJc w:val="left"/>
      <w:pPr>
        <w:ind w:left="1440" w:hanging="360"/>
      </w:pPr>
    </w:lvl>
    <w:lvl w:ilvl="2" w:tplc="1A547E6C">
      <w:start w:val="1"/>
      <w:numFmt w:val="lowerRoman"/>
      <w:lvlText w:val="%3."/>
      <w:lvlJc w:val="right"/>
      <w:pPr>
        <w:ind w:left="2160" w:hanging="180"/>
      </w:pPr>
    </w:lvl>
    <w:lvl w:ilvl="3" w:tplc="537ACC3E">
      <w:start w:val="1"/>
      <w:numFmt w:val="decimal"/>
      <w:lvlText w:val="%4."/>
      <w:lvlJc w:val="left"/>
      <w:pPr>
        <w:ind w:left="2880" w:hanging="360"/>
      </w:pPr>
    </w:lvl>
    <w:lvl w:ilvl="4" w:tplc="F8B86C98">
      <w:start w:val="1"/>
      <w:numFmt w:val="lowerLetter"/>
      <w:lvlText w:val="%5."/>
      <w:lvlJc w:val="left"/>
      <w:pPr>
        <w:ind w:left="3600" w:hanging="360"/>
      </w:pPr>
    </w:lvl>
    <w:lvl w:ilvl="5" w:tplc="77BCC708">
      <w:start w:val="1"/>
      <w:numFmt w:val="lowerRoman"/>
      <w:lvlText w:val="%6."/>
      <w:lvlJc w:val="right"/>
      <w:pPr>
        <w:ind w:left="4320" w:hanging="180"/>
      </w:pPr>
    </w:lvl>
    <w:lvl w:ilvl="6" w:tplc="366641A4">
      <w:start w:val="1"/>
      <w:numFmt w:val="decimal"/>
      <w:lvlText w:val="%7."/>
      <w:lvlJc w:val="left"/>
      <w:pPr>
        <w:ind w:left="5040" w:hanging="360"/>
      </w:pPr>
    </w:lvl>
    <w:lvl w:ilvl="7" w:tplc="9ADC8CA4">
      <w:start w:val="1"/>
      <w:numFmt w:val="lowerLetter"/>
      <w:lvlText w:val="%8."/>
      <w:lvlJc w:val="left"/>
      <w:pPr>
        <w:ind w:left="5760" w:hanging="360"/>
      </w:pPr>
    </w:lvl>
    <w:lvl w:ilvl="8" w:tplc="DEF6014E">
      <w:start w:val="1"/>
      <w:numFmt w:val="lowerRoman"/>
      <w:lvlText w:val="%9."/>
      <w:lvlJc w:val="right"/>
      <w:pPr>
        <w:ind w:left="6480" w:hanging="180"/>
      </w:pPr>
    </w:lvl>
  </w:abstractNum>
  <w:abstractNum w:abstractNumId="2" w15:restartNumberingAfterBreak="0">
    <w:nsid w:val="280218E7"/>
    <w:multiLevelType w:val="hybridMultilevel"/>
    <w:tmpl w:val="71CE77E0"/>
    <w:lvl w:ilvl="0" w:tplc="563C90FA">
      <w:start w:val="1"/>
      <w:numFmt w:val="decimal"/>
      <w:lvlText w:val="%1."/>
      <w:lvlJc w:val="left"/>
      <w:pPr>
        <w:ind w:left="360" w:hanging="360"/>
      </w:pPr>
      <w:rPr>
        <w:b w:val="0"/>
        <w:bCs w:val="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28B262A0"/>
    <w:multiLevelType w:val="hybridMultilevel"/>
    <w:tmpl w:val="E3E6A65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2D533B64"/>
    <w:multiLevelType w:val="hybridMultilevel"/>
    <w:tmpl w:val="65781BBE"/>
    <w:lvl w:ilvl="0" w:tplc="96CC86A6">
      <w:start w:val="1"/>
      <w:numFmt w:val="bullet"/>
      <w:pStyle w:val="EMfirstbullet"/>
      <w:lvlText w:val=""/>
      <w:lvlJc w:val="left"/>
      <w:pPr>
        <w:ind w:left="927" w:hanging="360"/>
      </w:pPr>
      <w:rPr>
        <w:rFonts w:ascii="Symbol" w:hAnsi="Symbol" w:hint="default"/>
      </w:rPr>
    </w:lvl>
    <w:lvl w:ilvl="1" w:tplc="186AF42C">
      <w:start w:val="1"/>
      <w:numFmt w:val="bullet"/>
      <w:lvlText w:val="o"/>
      <w:lvlJc w:val="left"/>
      <w:pPr>
        <w:ind w:left="1440" w:hanging="360"/>
      </w:pPr>
      <w:rPr>
        <w:rFonts w:ascii="Courier New" w:hAnsi="Courier New" w:hint="default"/>
      </w:rPr>
    </w:lvl>
    <w:lvl w:ilvl="2" w:tplc="E9C4BBF0">
      <w:start w:val="1"/>
      <w:numFmt w:val="bullet"/>
      <w:lvlText w:val=""/>
      <w:lvlJc w:val="left"/>
      <w:pPr>
        <w:ind w:left="2160" w:hanging="360"/>
      </w:pPr>
      <w:rPr>
        <w:rFonts w:ascii="Wingdings" w:hAnsi="Wingdings" w:hint="default"/>
      </w:rPr>
    </w:lvl>
    <w:lvl w:ilvl="3" w:tplc="800496DA">
      <w:start w:val="1"/>
      <w:numFmt w:val="bullet"/>
      <w:lvlText w:val=""/>
      <w:lvlJc w:val="left"/>
      <w:pPr>
        <w:ind w:left="2880" w:hanging="360"/>
      </w:pPr>
      <w:rPr>
        <w:rFonts w:ascii="Symbol" w:hAnsi="Symbol" w:hint="default"/>
      </w:rPr>
    </w:lvl>
    <w:lvl w:ilvl="4" w:tplc="B9B85F68">
      <w:start w:val="1"/>
      <w:numFmt w:val="bullet"/>
      <w:lvlText w:val="o"/>
      <w:lvlJc w:val="left"/>
      <w:pPr>
        <w:ind w:left="3600" w:hanging="360"/>
      </w:pPr>
      <w:rPr>
        <w:rFonts w:ascii="Courier New" w:hAnsi="Courier New" w:hint="default"/>
      </w:rPr>
    </w:lvl>
    <w:lvl w:ilvl="5" w:tplc="9BA4630E">
      <w:start w:val="1"/>
      <w:numFmt w:val="bullet"/>
      <w:lvlText w:val=""/>
      <w:lvlJc w:val="left"/>
      <w:pPr>
        <w:ind w:left="4320" w:hanging="360"/>
      </w:pPr>
      <w:rPr>
        <w:rFonts w:ascii="Wingdings" w:hAnsi="Wingdings" w:hint="default"/>
      </w:rPr>
    </w:lvl>
    <w:lvl w:ilvl="6" w:tplc="95A4357C">
      <w:start w:val="1"/>
      <w:numFmt w:val="bullet"/>
      <w:lvlText w:val=""/>
      <w:lvlJc w:val="left"/>
      <w:pPr>
        <w:ind w:left="5040" w:hanging="360"/>
      </w:pPr>
      <w:rPr>
        <w:rFonts w:ascii="Symbol" w:hAnsi="Symbol" w:hint="default"/>
      </w:rPr>
    </w:lvl>
    <w:lvl w:ilvl="7" w:tplc="23C0038A">
      <w:start w:val="1"/>
      <w:numFmt w:val="bullet"/>
      <w:lvlText w:val="o"/>
      <w:lvlJc w:val="left"/>
      <w:pPr>
        <w:ind w:left="5760" w:hanging="360"/>
      </w:pPr>
      <w:rPr>
        <w:rFonts w:ascii="Courier New" w:hAnsi="Courier New" w:hint="default"/>
      </w:rPr>
    </w:lvl>
    <w:lvl w:ilvl="8" w:tplc="004A76C0">
      <w:start w:val="1"/>
      <w:numFmt w:val="bullet"/>
      <w:lvlText w:val=""/>
      <w:lvlJc w:val="left"/>
      <w:pPr>
        <w:ind w:left="6480" w:hanging="360"/>
      </w:pPr>
      <w:rPr>
        <w:rFonts w:ascii="Wingdings" w:hAnsi="Wingdings" w:hint="default"/>
      </w:rPr>
    </w:lvl>
  </w:abstractNum>
  <w:abstractNum w:abstractNumId="5" w15:restartNumberingAfterBreak="0">
    <w:nsid w:val="359C6612"/>
    <w:multiLevelType w:val="hybridMultilevel"/>
    <w:tmpl w:val="113A4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08A016E"/>
    <w:multiLevelType w:val="hybridMultilevel"/>
    <w:tmpl w:val="27D0A9EA"/>
    <w:lvl w:ilvl="0" w:tplc="E6888904">
      <w:start w:val="1"/>
      <w:numFmt w:val="bullet"/>
      <w:lvlText w:val=""/>
      <w:lvlJc w:val="left"/>
      <w:pPr>
        <w:ind w:left="780" w:hanging="360"/>
      </w:pPr>
      <w:rPr>
        <w:rFonts w:ascii="Symbol" w:hAnsi="Symbol" w:hint="default"/>
        <w:color w:val="auto"/>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7" w15:restartNumberingAfterBreak="0">
    <w:nsid w:val="5DE721B2"/>
    <w:multiLevelType w:val="hybridMultilevel"/>
    <w:tmpl w:val="E5AA2DD4"/>
    <w:lvl w:ilvl="0" w:tplc="89783C48">
      <w:start w:val="1"/>
      <w:numFmt w:val="bullet"/>
      <w:lvlText w:val=""/>
      <w:lvlJc w:val="left"/>
      <w:pPr>
        <w:ind w:left="720" w:hanging="360"/>
      </w:pPr>
      <w:rPr>
        <w:rFonts w:ascii="Symbol" w:hAnsi="Symbol" w:hint="default"/>
      </w:rPr>
    </w:lvl>
    <w:lvl w:ilvl="1" w:tplc="03EA619A">
      <w:start w:val="1"/>
      <w:numFmt w:val="bullet"/>
      <w:lvlText w:val="o"/>
      <w:lvlJc w:val="left"/>
      <w:pPr>
        <w:ind w:left="1440" w:hanging="360"/>
      </w:pPr>
      <w:rPr>
        <w:rFonts w:ascii="Courier New" w:hAnsi="Courier New" w:hint="default"/>
      </w:rPr>
    </w:lvl>
    <w:lvl w:ilvl="2" w:tplc="C3ECE576">
      <w:start w:val="1"/>
      <w:numFmt w:val="bullet"/>
      <w:lvlText w:val=""/>
      <w:lvlJc w:val="left"/>
      <w:pPr>
        <w:ind w:left="2160" w:hanging="360"/>
      </w:pPr>
      <w:rPr>
        <w:rFonts w:ascii="Wingdings" w:hAnsi="Wingdings" w:hint="default"/>
      </w:rPr>
    </w:lvl>
    <w:lvl w:ilvl="3" w:tplc="61D0E654">
      <w:start w:val="1"/>
      <w:numFmt w:val="bullet"/>
      <w:lvlText w:val=""/>
      <w:lvlJc w:val="left"/>
      <w:pPr>
        <w:ind w:left="2880" w:hanging="360"/>
      </w:pPr>
      <w:rPr>
        <w:rFonts w:ascii="Symbol" w:hAnsi="Symbol" w:hint="default"/>
      </w:rPr>
    </w:lvl>
    <w:lvl w:ilvl="4" w:tplc="A0AA418E">
      <w:start w:val="1"/>
      <w:numFmt w:val="bullet"/>
      <w:lvlText w:val="o"/>
      <w:lvlJc w:val="left"/>
      <w:pPr>
        <w:ind w:left="3600" w:hanging="360"/>
      </w:pPr>
      <w:rPr>
        <w:rFonts w:ascii="Courier New" w:hAnsi="Courier New" w:hint="default"/>
      </w:rPr>
    </w:lvl>
    <w:lvl w:ilvl="5" w:tplc="39E462B8">
      <w:start w:val="1"/>
      <w:numFmt w:val="bullet"/>
      <w:lvlText w:val=""/>
      <w:lvlJc w:val="left"/>
      <w:pPr>
        <w:ind w:left="4320" w:hanging="360"/>
      </w:pPr>
      <w:rPr>
        <w:rFonts w:ascii="Wingdings" w:hAnsi="Wingdings" w:hint="default"/>
      </w:rPr>
    </w:lvl>
    <w:lvl w:ilvl="6" w:tplc="CD32ACF8">
      <w:start w:val="1"/>
      <w:numFmt w:val="bullet"/>
      <w:lvlText w:val=""/>
      <w:lvlJc w:val="left"/>
      <w:pPr>
        <w:ind w:left="5040" w:hanging="360"/>
      </w:pPr>
      <w:rPr>
        <w:rFonts w:ascii="Symbol" w:hAnsi="Symbol" w:hint="default"/>
      </w:rPr>
    </w:lvl>
    <w:lvl w:ilvl="7" w:tplc="2EF4AD34">
      <w:start w:val="1"/>
      <w:numFmt w:val="bullet"/>
      <w:lvlText w:val="o"/>
      <w:lvlJc w:val="left"/>
      <w:pPr>
        <w:ind w:left="5760" w:hanging="360"/>
      </w:pPr>
      <w:rPr>
        <w:rFonts w:ascii="Courier New" w:hAnsi="Courier New" w:hint="default"/>
      </w:rPr>
    </w:lvl>
    <w:lvl w:ilvl="8" w:tplc="0E1A721C">
      <w:start w:val="1"/>
      <w:numFmt w:val="bullet"/>
      <w:lvlText w:val=""/>
      <w:lvlJc w:val="left"/>
      <w:pPr>
        <w:ind w:left="6480" w:hanging="360"/>
      </w:pPr>
      <w:rPr>
        <w:rFonts w:ascii="Wingdings" w:hAnsi="Wingdings" w:hint="default"/>
      </w:rPr>
    </w:lvl>
  </w:abstractNum>
  <w:abstractNum w:abstractNumId="8" w15:restartNumberingAfterBreak="0">
    <w:nsid w:val="5FB55BCF"/>
    <w:multiLevelType w:val="hybridMultilevel"/>
    <w:tmpl w:val="CFEC2E0A"/>
    <w:lvl w:ilvl="0" w:tplc="B5A6337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FF680F"/>
    <w:multiLevelType w:val="hybridMultilevel"/>
    <w:tmpl w:val="CD501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9C1651E"/>
    <w:multiLevelType w:val="hybridMultilevel"/>
    <w:tmpl w:val="1DD24450"/>
    <w:lvl w:ilvl="0" w:tplc="B5A63370">
      <w:numFmt w:val="bullet"/>
      <w:lvlText w:val="•"/>
      <w:lvlJc w:val="left"/>
      <w:pPr>
        <w:ind w:left="1080" w:hanging="72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44663452">
    <w:abstractNumId w:val="5"/>
  </w:num>
  <w:num w:numId="2" w16cid:durableId="36443109">
    <w:abstractNumId w:val="9"/>
  </w:num>
  <w:num w:numId="3" w16cid:durableId="1958683665">
    <w:abstractNumId w:val="8"/>
  </w:num>
  <w:num w:numId="4" w16cid:durableId="2009404306">
    <w:abstractNumId w:val="2"/>
  </w:num>
  <w:num w:numId="5" w16cid:durableId="1896700936">
    <w:abstractNumId w:val="10"/>
  </w:num>
  <w:num w:numId="6" w16cid:durableId="287203803">
    <w:abstractNumId w:val="7"/>
  </w:num>
  <w:num w:numId="7" w16cid:durableId="1770195749">
    <w:abstractNumId w:val="4"/>
  </w:num>
  <w:num w:numId="8" w16cid:durableId="544605730">
    <w:abstractNumId w:val="1"/>
  </w:num>
  <w:num w:numId="9" w16cid:durableId="240220241">
    <w:abstractNumId w:val="0"/>
  </w:num>
  <w:num w:numId="10" w16cid:durableId="1957521926">
    <w:abstractNumId w:val="3"/>
  </w:num>
  <w:num w:numId="11" w16cid:durableId="270288508">
    <w:abstractNumId w:val="4"/>
  </w:num>
  <w:num w:numId="12" w16cid:durableId="383330414">
    <w:abstractNumId w:val="4"/>
  </w:num>
  <w:num w:numId="13" w16cid:durableId="1657418279">
    <w:abstractNumId w:val="4"/>
  </w:num>
  <w:num w:numId="14" w16cid:durableId="406853408">
    <w:abstractNumId w:val="4"/>
  </w:num>
  <w:num w:numId="15" w16cid:durableId="430471210">
    <w:abstractNumId w:val="4"/>
  </w:num>
  <w:num w:numId="16" w16cid:durableId="744842519">
    <w:abstractNumId w:val="4"/>
  </w:num>
  <w:num w:numId="17" w16cid:durableId="1540821556">
    <w:abstractNumId w:val="4"/>
  </w:num>
  <w:num w:numId="18" w16cid:durableId="66147344">
    <w:abstractNumId w:val="4"/>
  </w:num>
  <w:num w:numId="19" w16cid:durableId="18294011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0A6"/>
    <w:rsid w:val="000056E0"/>
    <w:rsid w:val="00013026"/>
    <w:rsid w:val="00014415"/>
    <w:rsid w:val="00015F82"/>
    <w:rsid w:val="00016493"/>
    <w:rsid w:val="00020C6E"/>
    <w:rsid w:val="000255BA"/>
    <w:rsid w:val="00026F9A"/>
    <w:rsid w:val="000360C7"/>
    <w:rsid w:val="000401A2"/>
    <w:rsid w:val="00041ACF"/>
    <w:rsid w:val="00041FBC"/>
    <w:rsid w:val="000423FA"/>
    <w:rsid w:val="00047CE7"/>
    <w:rsid w:val="000524C5"/>
    <w:rsid w:val="00052504"/>
    <w:rsid w:val="00057BB8"/>
    <w:rsid w:val="000615AD"/>
    <w:rsid w:val="00062813"/>
    <w:rsid w:val="0006323C"/>
    <w:rsid w:val="00063770"/>
    <w:rsid w:val="00063B31"/>
    <w:rsid w:val="00066E2F"/>
    <w:rsid w:val="00071E09"/>
    <w:rsid w:val="000720A5"/>
    <w:rsid w:val="00072157"/>
    <w:rsid w:val="00072D45"/>
    <w:rsid w:val="00080CE4"/>
    <w:rsid w:val="00080DF7"/>
    <w:rsid w:val="000827DE"/>
    <w:rsid w:val="00082C82"/>
    <w:rsid w:val="00085534"/>
    <w:rsid w:val="00086528"/>
    <w:rsid w:val="00092B3E"/>
    <w:rsid w:val="000933EC"/>
    <w:rsid w:val="00093D18"/>
    <w:rsid w:val="000942D5"/>
    <w:rsid w:val="000950CE"/>
    <w:rsid w:val="000A0A8B"/>
    <w:rsid w:val="000A6044"/>
    <w:rsid w:val="000A7AED"/>
    <w:rsid w:val="000A7CED"/>
    <w:rsid w:val="000B4098"/>
    <w:rsid w:val="000C6C56"/>
    <w:rsid w:val="000D45BA"/>
    <w:rsid w:val="000D493B"/>
    <w:rsid w:val="000D6536"/>
    <w:rsid w:val="000D6D43"/>
    <w:rsid w:val="000E2824"/>
    <w:rsid w:val="000E288B"/>
    <w:rsid w:val="000E4A0D"/>
    <w:rsid w:val="000E64B1"/>
    <w:rsid w:val="000F1843"/>
    <w:rsid w:val="000F19DF"/>
    <w:rsid w:val="000F632A"/>
    <w:rsid w:val="000F6CB4"/>
    <w:rsid w:val="001009EA"/>
    <w:rsid w:val="00100FDC"/>
    <w:rsid w:val="001015A3"/>
    <w:rsid w:val="00102707"/>
    <w:rsid w:val="00104518"/>
    <w:rsid w:val="00106D34"/>
    <w:rsid w:val="001073DA"/>
    <w:rsid w:val="001125A7"/>
    <w:rsid w:val="00115979"/>
    <w:rsid w:val="001169AB"/>
    <w:rsid w:val="0011799D"/>
    <w:rsid w:val="001202B7"/>
    <w:rsid w:val="00120EFD"/>
    <w:rsid w:val="00122687"/>
    <w:rsid w:val="00123B0E"/>
    <w:rsid w:val="00124B9B"/>
    <w:rsid w:val="00125351"/>
    <w:rsid w:val="001320FF"/>
    <w:rsid w:val="00135D51"/>
    <w:rsid w:val="00135EAA"/>
    <w:rsid w:val="0013766C"/>
    <w:rsid w:val="00137D4B"/>
    <w:rsid w:val="00137DEA"/>
    <w:rsid w:val="00141BA1"/>
    <w:rsid w:val="0014386F"/>
    <w:rsid w:val="00144689"/>
    <w:rsid w:val="00144E54"/>
    <w:rsid w:val="0014532C"/>
    <w:rsid w:val="001466E4"/>
    <w:rsid w:val="00146C9F"/>
    <w:rsid w:val="00147314"/>
    <w:rsid w:val="00150082"/>
    <w:rsid w:val="0015572F"/>
    <w:rsid w:val="0016386D"/>
    <w:rsid w:val="001715F2"/>
    <w:rsid w:val="00172D1F"/>
    <w:rsid w:val="0017495D"/>
    <w:rsid w:val="00176701"/>
    <w:rsid w:val="00176CA6"/>
    <w:rsid w:val="001778CE"/>
    <w:rsid w:val="00177D87"/>
    <w:rsid w:val="00180E7E"/>
    <w:rsid w:val="00181C76"/>
    <w:rsid w:val="00192EDC"/>
    <w:rsid w:val="00193EE4"/>
    <w:rsid w:val="001978B5"/>
    <w:rsid w:val="001A269A"/>
    <w:rsid w:val="001A26E5"/>
    <w:rsid w:val="001A2E2C"/>
    <w:rsid w:val="001A37BE"/>
    <w:rsid w:val="001A5298"/>
    <w:rsid w:val="001A56CC"/>
    <w:rsid w:val="001A66DF"/>
    <w:rsid w:val="001B0883"/>
    <w:rsid w:val="001B1FB2"/>
    <w:rsid w:val="001B4AAB"/>
    <w:rsid w:val="001C0950"/>
    <w:rsid w:val="001C5F0A"/>
    <w:rsid w:val="001D2889"/>
    <w:rsid w:val="001D2E76"/>
    <w:rsid w:val="001D3445"/>
    <w:rsid w:val="001D34CE"/>
    <w:rsid w:val="001E05F4"/>
    <w:rsid w:val="001E0C66"/>
    <w:rsid w:val="001E440B"/>
    <w:rsid w:val="001E48B2"/>
    <w:rsid w:val="001E4DA9"/>
    <w:rsid w:val="001E525A"/>
    <w:rsid w:val="001E7D3E"/>
    <w:rsid w:val="001F35C2"/>
    <w:rsid w:val="001F4053"/>
    <w:rsid w:val="001F4A43"/>
    <w:rsid w:val="001F595A"/>
    <w:rsid w:val="0020112B"/>
    <w:rsid w:val="002026F8"/>
    <w:rsid w:val="00204A7F"/>
    <w:rsid w:val="0020756B"/>
    <w:rsid w:val="00207CF5"/>
    <w:rsid w:val="00207E02"/>
    <w:rsid w:val="00210818"/>
    <w:rsid w:val="00212BE1"/>
    <w:rsid w:val="002149C9"/>
    <w:rsid w:val="00215AC2"/>
    <w:rsid w:val="00226684"/>
    <w:rsid w:val="002300B7"/>
    <w:rsid w:val="0023308E"/>
    <w:rsid w:val="00233B4D"/>
    <w:rsid w:val="002356DA"/>
    <w:rsid w:val="00241925"/>
    <w:rsid w:val="00241C57"/>
    <w:rsid w:val="0024397C"/>
    <w:rsid w:val="00243BE1"/>
    <w:rsid w:val="002474CB"/>
    <w:rsid w:val="00254BB3"/>
    <w:rsid w:val="00257EF6"/>
    <w:rsid w:val="00261AA2"/>
    <w:rsid w:val="0026418B"/>
    <w:rsid w:val="0026487C"/>
    <w:rsid w:val="002659AD"/>
    <w:rsid w:val="00267D0F"/>
    <w:rsid w:val="0027008E"/>
    <w:rsid w:val="002710AF"/>
    <w:rsid w:val="00271B1A"/>
    <w:rsid w:val="0027365D"/>
    <w:rsid w:val="00273C8A"/>
    <w:rsid w:val="002751C8"/>
    <w:rsid w:val="00275F6E"/>
    <w:rsid w:val="00276923"/>
    <w:rsid w:val="0028376B"/>
    <w:rsid w:val="002843E8"/>
    <w:rsid w:val="002849B3"/>
    <w:rsid w:val="00284E96"/>
    <w:rsid w:val="00290C04"/>
    <w:rsid w:val="002A1A77"/>
    <w:rsid w:val="002A3F6A"/>
    <w:rsid w:val="002A5AF8"/>
    <w:rsid w:val="002A69A4"/>
    <w:rsid w:val="002A6BB9"/>
    <w:rsid w:val="002B0FE0"/>
    <w:rsid w:val="002B1ABC"/>
    <w:rsid w:val="002B553A"/>
    <w:rsid w:val="002C579F"/>
    <w:rsid w:val="002D13EE"/>
    <w:rsid w:val="002D2CC0"/>
    <w:rsid w:val="002D6B7C"/>
    <w:rsid w:val="002D72A9"/>
    <w:rsid w:val="002E0A70"/>
    <w:rsid w:val="002E3C4D"/>
    <w:rsid w:val="002E75C2"/>
    <w:rsid w:val="002E77CF"/>
    <w:rsid w:val="002F44C8"/>
    <w:rsid w:val="002F7E24"/>
    <w:rsid w:val="00304313"/>
    <w:rsid w:val="00304BB7"/>
    <w:rsid w:val="00305183"/>
    <w:rsid w:val="00305F7A"/>
    <w:rsid w:val="003075F4"/>
    <w:rsid w:val="00311520"/>
    <w:rsid w:val="00314D48"/>
    <w:rsid w:val="00316DE8"/>
    <w:rsid w:val="00320265"/>
    <w:rsid w:val="00322DD3"/>
    <w:rsid w:val="003230F7"/>
    <w:rsid w:val="003236E4"/>
    <w:rsid w:val="00326773"/>
    <w:rsid w:val="00327888"/>
    <w:rsid w:val="00332CCC"/>
    <w:rsid w:val="00333355"/>
    <w:rsid w:val="00334A0C"/>
    <w:rsid w:val="00334AB4"/>
    <w:rsid w:val="003351C9"/>
    <w:rsid w:val="00335CBC"/>
    <w:rsid w:val="00340096"/>
    <w:rsid w:val="003411AF"/>
    <w:rsid w:val="00342939"/>
    <w:rsid w:val="00342CF1"/>
    <w:rsid w:val="0034644E"/>
    <w:rsid w:val="00350DA7"/>
    <w:rsid w:val="003535DF"/>
    <w:rsid w:val="00353890"/>
    <w:rsid w:val="00355199"/>
    <w:rsid w:val="003567E8"/>
    <w:rsid w:val="00356FA0"/>
    <w:rsid w:val="0036093E"/>
    <w:rsid w:val="00361EAF"/>
    <w:rsid w:val="00364468"/>
    <w:rsid w:val="00364C24"/>
    <w:rsid w:val="00370B30"/>
    <w:rsid w:val="00371085"/>
    <w:rsid w:val="00371E9E"/>
    <w:rsid w:val="00373365"/>
    <w:rsid w:val="00374D17"/>
    <w:rsid w:val="003750DF"/>
    <w:rsid w:val="0037752C"/>
    <w:rsid w:val="00380A08"/>
    <w:rsid w:val="00385568"/>
    <w:rsid w:val="003865B2"/>
    <w:rsid w:val="0039076F"/>
    <w:rsid w:val="00390CA2"/>
    <w:rsid w:val="00394078"/>
    <w:rsid w:val="003A26A0"/>
    <w:rsid w:val="003A64EF"/>
    <w:rsid w:val="003B2945"/>
    <w:rsid w:val="003B3025"/>
    <w:rsid w:val="003B34AE"/>
    <w:rsid w:val="003B3E51"/>
    <w:rsid w:val="003C223F"/>
    <w:rsid w:val="003C2675"/>
    <w:rsid w:val="003C740B"/>
    <w:rsid w:val="003C7582"/>
    <w:rsid w:val="003D190D"/>
    <w:rsid w:val="003D22B1"/>
    <w:rsid w:val="003D7020"/>
    <w:rsid w:val="003E0D3A"/>
    <w:rsid w:val="003E33B1"/>
    <w:rsid w:val="003E39C9"/>
    <w:rsid w:val="003E4FB7"/>
    <w:rsid w:val="003E6FE5"/>
    <w:rsid w:val="003F25EA"/>
    <w:rsid w:val="003F59B7"/>
    <w:rsid w:val="004012E0"/>
    <w:rsid w:val="0040495F"/>
    <w:rsid w:val="00405DB6"/>
    <w:rsid w:val="004073ED"/>
    <w:rsid w:val="00410F09"/>
    <w:rsid w:val="00413755"/>
    <w:rsid w:val="00413BAF"/>
    <w:rsid w:val="00420510"/>
    <w:rsid w:val="004215E5"/>
    <w:rsid w:val="00421625"/>
    <w:rsid w:val="00421B16"/>
    <w:rsid w:val="0042587B"/>
    <w:rsid w:val="00426879"/>
    <w:rsid w:val="004307D7"/>
    <w:rsid w:val="0043131B"/>
    <w:rsid w:val="004316A9"/>
    <w:rsid w:val="00431F4A"/>
    <w:rsid w:val="0044010D"/>
    <w:rsid w:val="004412A2"/>
    <w:rsid w:val="004413E2"/>
    <w:rsid w:val="004427A2"/>
    <w:rsid w:val="00442CF8"/>
    <w:rsid w:val="00444F70"/>
    <w:rsid w:val="00445491"/>
    <w:rsid w:val="004455D4"/>
    <w:rsid w:val="00447D87"/>
    <w:rsid w:val="0045013B"/>
    <w:rsid w:val="00452AEB"/>
    <w:rsid w:val="00456A8F"/>
    <w:rsid w:val="004625DD"/>
    <w:rsid w:val="004647AF"/>
    <w:rsid w:val="0046543A"/>
    <w:rsid w:val="0046631D"/>
    <w:rsid w:val="004671C4"/>
    <w:rsid w:val="00467DD3"/>
    <w:rsid w:val="00470045"/>
    <w:rsid w:val="00470B60"/>
    <w:rsid w:val="00476350"/>
    <w:rsid w:val="00480DD7"/>
    <w:rsid w:val="00481297"/>
    <w:rsid w:val="004819D5"/>
    <w:rsid w:val="00482E9A"/>
    <w:rsid w:val="004834B7"/>
    <w:rsid w:val="00485DD3"/>
    <w:rsid w:val="004867E4"/>
    <w:rsid w:val="004873B7"/>
    <w:rsid w:val="004917AD"/>
    <w:rsid w:val="00493981"/>
    <w:rsid w:val="00493C6D"/>
    <w:rsid w:val="00493CF8"/>
    <w:rsid w:val="004A0653"/>
    <w:rsid w:val="004A38D2"/>
    <w:rsid w:val="004A47FB"/>
    <w:rsid w:val="004B12F4"/>
    <w:rsid w:val="004B2AED"/>
    <w:rsid w:val="004B388A"/>
    <w:rsid w:val="004C1DB1"/>
    <w:rsid w:val="004C1DF0"/>
    <w:rsid w:val="004C511B"/>
    <w:rsid w:val="004D0D6F"/>
    <w:rsid w:val="004D3D31"/>
    <w:rsid w:val="004D65C2"/>
    <w:rsid w:val="004D7733"/>
    <w:rsid w:val="004E316D"/>
    <w:rsid w:val="004F2DC9"/>
    <w:rsid w:val="004F340A"/>
    <w:rsid w:val="004F4B06"/>
    <w:rsid w:val="004F54C2"/>
    <w:rsid w:val="004F7217"/>
    <w:rsid w:val="004F76DB"/>
    <w:rsid w:val="00501673"/>
    <w:rsid w:val="005024AD"/>
    <w:rsid w:val="00502846"/>
    <w:rsid w:val="00510D67"/>
    <w:rsid w:val="00511368"/>
    <w:rsid w:val="0051395A"/>
    <w:rsid w:val="00514FC8"/>
    <w:rsid w:val="00517B8D"/>
    <w:rsid w:val="00524828"/>
    <w:rsid w:val="00524CE5"/>
    <w:rsid w:val="00524DB7"/>
    <w:rsid w:val="00525E90"/>
    <w:rsid w:val="00527920"/>
    <w:rsid w:val="00530D18"/>
    <w:rsid w:val="0053231F"/>
    <w:rsid w:val="0053298A"/>
    <w:rsid w:val="00541425"/>
    <w:rsid w:val="005433EE"/>
    <w:rsid w:val="00544061"/>
    <w:rsid w:val="00545E78"/>
    <w:rsid w:val="00550241"/>
    <w:rsid w:val="005517DF"/>
    <w:rsid w:val="0055349F"/>
    <w:rsid w:val="005560BB"/>
    <w:rsid w:val="005634FC"/>
    <w:rsid w:val="005638D1"/>
    <w:rsid w:val="005665CD"/>
    <w:rsid w:val="005700A6"/>
    <w:rsid w:val="00570F55"/>
    <w:rsid w:val="005725AA"/>
    <w:rsid w:val="00576BBD"/>
    <w:rsid w:val="00577B2F"/>
    <w:rsid w:val="00580E66"/>
    <w:rsid w:val="00581830"/>
    <w:rsid w:val="005823D6"/>
    <w:rsid w:val="005864CA"/>
    <w:rsid w:val="005871DA"/>
    <w:rsid w:val="005904CE"/>
    <w:rsid w:val="005918DB"/>
    <w:rsid w:val="005925DF"/>
    <w:rsid w:val="00592839"/>
    <w:rsid w:val="005935F0"/>
    <w:rsid w:val="00593648"/>
    <w:rsid w:val="00594CBC"/>
    <w:rsid w:val="00597AEC"/>
    <w:rsid w:val="00597D5F"/>
    <w:rsid w:val="005A0EEA"/>
    <w:rsid w:val="005A46EC"/>
    <w:rsid w:val="005A6234"/>
    <w:rsid w:val="005A6616"/>
    <w:rsid w:val="005A7BBB"/>
    <w:rsid w:val="005A7FC1"/>
    <w:rsid w:val="005B105B"/>
    <w:rsid w:val="005B3B72"/>
    <w:rsid w:val="005B7857"/>
    <w:rsid w:val="005C02D9"/>
    <w:rsid w:val="005C4593"/>
    <w:rsid w:val="005C54F3"/>
    <w:rsid w:val="005C5AB8"/>
    <w:rsid w:val="005C5ADE"/>
    <w:rsid w:val="005D3B54"/>
    <w:rsid w:val="005D3FF3"/>
    <w:rsid w:val="005E0E58"/>
    <w:rsid w:val="005E203F"/>
    <w:rsid w:val="005E5923"/>
    <w:rsid w:val="005E6112"/>
    <w:rsid w:val="005E67EF"/>
    <w:rsid w:val="005F1CBC"/>
    <w:rsid w:val="005F3320"/>
    <w:rsid w:val="005F35A6"/>
    <w:rsid w:val="005F3681"/>
    <w:rsid w:val="005F3931"/>
    <w:rsid w:val="005F7766"/>
    <w:rsid w:val="0060084E"/>
    <w:rsid w:val="00602059"/>
    <w:rsid w:val="006055D1"/>
    <w:rsid w:val="00610212"/>
    <w:rsid w:val="00612717"/>
    <w:rsid w:val="00621B96"/>
    <w:rsid w:val="00622394"/>
    <w:rsid w:val="00622B00"/>
    <w:rsid w:val="00624F91"/>
    <w:rsid w:val="00625CB3"/>
    <w:rsid w:val="00626E63"/>
    <w:rsid w:val="0062714B"/>
    <w:rsid w:val="006317DF"/>
    <w:rsid w:val="00633F6F"/>
    <w:rsid w:val="00634921"/>
    <w:rsid w:val="006370C5"/>
    <w:rsid w:val="0064564F"/>
    <w:rsid w:val="00645A00"/>
    <w:rsid w:val="006501DB"/>
    <w:rsid w:val="00653C31"/>
    <w:rsid w:val="00653EE9"/>
    <w:rsid w:val="00663DE8"/>
    <w:rsid w:val="006647B3"/>
    <w:rsid w:val="006668C9"/>
    <w:rsid w:val="006753F0"/>
    <w:rsid w:val="006773A1"/>
    <w:rsid w:val="006814DF"/>
    <w:rsid w:val="00682507"/>
    <w:rsid w:val="006835DA"/>
    <w:rsid w:val="00683B65"/>
    <w:rsid w:val="00691BDC"/>
    <w:rsid w:val="006955B2"/>
    <w:rsid w:val="0069689A"/>
    <w:rsid w:val="006A3F9F"/>
    <w:rsid w:val="006A454C"/>
    <w:rsid w:val="006A45F8"/>
    <w:rsid w:val="006A4759"/>
    <w:rsid w:val="006A7F03"/>
    <w:rsid w:val="006B4163"/>
    <w:rsid w:val="006C3196"/>
    <w:rsid w:val="006C5D80"/>
    <w:rsid w:val="006C6653"/>
    <w:rsid w:val="006D18A1"/>
    <w:rsid w:val="006D1C58"/>
    <w:rsid w:val="006D2422"/>
    <w:rsid w:val="006D2C27"/>
    <w:rsid w:val="006D2DC9"/>
    <w:rsid w:val="006D47E3"/>
    <w:rsid w:val="006D5DC9"/>
    <w:rsid w:val="006D5F70"/>
    <w:rsid w:val="006F08E8"/>
    <w:rsid w:val="006F0D0F"/>
    <w:rsid w:val="006F4868"/>
    <w:rsid w:val="006F590A"/>
    <w:rsid w:val="00702AD8"/>
    <w:rsid w:val="00704BFA"/>
    <w:rsid w:val="007107C4"/>
    <w:rsid w:val="00711F9B"/>
    <w:rsid w:val="00721124"/>
    <w:rsid w:val="00724F0A"/>
    <w:rsid w:val="007257E5"/>
    <w:rsid w:val="00730DAF"/>
    <w:rsid w:val="007335BA"/>
    <w:rsid w:val="00737B75"/>
    <w:rsid w:val="00742AB4"/>
    <w:rsid w:val="00747A87"/>
    <w:rsid w:val="0075004F"/>
    <w:rsid w:val="0075558E"/>
    <w:rsid w:val="00761444"/>
    <w:rsid w:val="00767866"/>
    <w:rsid w:val="00771346"/>
    <w:rsid w:val="0077161B"/>
    <w:rsid w:val="007759E0"/>
    <w:rsid w:val="00777346"/>
    <w:rsid w:val="00777B0A"/>
    <w:rsid w:val="007818AF"/>
    <w:rsid w:val="00781D5A"/>
    <w:rsid w:val="007876DB"/>
    <w:rsid w:val="00790915"/>
    <w:rsid w:val="0079109D"/>
    <w:rsid w:val="00795AB8"/>
    <w:rsid w:val="00796D00"/>
    <w:rsid w:val="00797F5D"/>
    <w:rsid w:val="007A0496"/>
    <w:rsid w:val="007A08AD"/>
    <w:rsid w:val="007A376F"/>
    <w:rsid w:val="007A47D5"/>
    <w:rsid w:val="007B18E2"/>
    <w:rsid w:val="007B2719"/>
    <w:rsid w:val="007B4DF6"/>
    <w:rsid w:val="007B7046"/>
    <w:rsid w:val="007C5328"/>
    <w:rsid w:val="007C61EE"/>
    <w:rsid w:val="007C7C26"/>
    <w:rsid w:val="007D1509"/>
    <w:rsid w:val="007D1F3F"/>
    <w:rsid w:val="007D2B29"/>
    <w:rsid w:val="007D2DBC"/>
    <w:rsid w:val="007D3850"/>
    <w:rsid w:val="007D6E2F"/>
    <w:rsid w:val="007E369C"/>
    <w:rsid w:val="007E5C7F"/>
    <w:rsid w:val="007E6BBC"/>
    <w:rsid w:val="007E71F1"/>
    <w:rsid w:val="007F1124"/>
    <w:rsid w:val="007F5F75"/>
    <w:rsid w:val="007F745D"/>
    <w:rsid w:val="00800FA5"/>
    <w:rsid w:val="00801CF4"/>
    <w:rsid w:val="00802D45"/>
    <w:rsid w:val="00802D4E"/>
    <w:rsid w:val="008114E2"/>
    <w:rsid w:val="00814CD9"/>
    <w:rsid w:val="0081794E"/>
    <w:rsid w:val="0082231A"/>
    <w:rsid w:val="008229F1"/>
    <w:rsid w:val="00823117"/>
    <w:rsid w:val="008253D1"/>
    <w:rsid w:val="008263CE"/>
    <w:rsid w:val="008305BB"/>
    <w:rsid w:val="008343FD"/>
    <w:rsid w:val="00836BBA"/>
    <w:rsid w:val="00837647"/>
    <w:rsid w:val="00842C97"/>
    <w:rsid w:val="00844228"/>
    <w:rsid w:val="00845D49"/>
    <w:rsid w:val="00846DAA"/>
    <w:rsid w:val="0084756A"/>
    <w:rsid w:val="00861A67"/>
    <w:rsid w:val="00861CC8"/>
    <w:rsid w:val="00863830"/>
    <w:rsid w:val="008704C2"/>
    <w:rsid w:val="00875C05"/>
    <w:rsid w:val="008803F3"/>
    <w:rsid w:val="00880A5F"/>
    <w:rsid w:val="0088144A"/>
    <w:rsid w:val="008831C9"/>
    <w:rsid w:val="008849FC"/>
    <w:rsid w:val="00885C29"/>
    <w:rsid w:val="00891DEC"/>
    <w:rsid w:val="008A0003"/>
    <w:rsid w:val="008A1F57"/>
    <w:rsid w:val="008A311B"/>
    <w:rsid w:val="008A3B9C"/>
    <w:rsid w:val="008A57A5"/>
    <w:rsid w:val="008A59EB"/>
    <w:rsid w:val="008B36B6"/>
    <w:rsid w:val="008B3F0F"/>
    <w:rsid w:val="008B5DF0"/>
    <w:rsid w:val="008B672F"/>
    <w:rsid w:val="008C4BBF"/>
    <w:rsid w:val="008C4C49"/>
    <w:rsid w:val="008C66EC"/>
    <w:rsid w:val="008C7B0F"/>
    <w:rsid w:val="008C7BEA"/>
    <w:rsid w:val="008D1635"/>
    <w:rsid w:val="008D4D6A"/>
    <w:rsid w:val="008D5657"/>
    <w:rsid w:val="008E05EF"/>
    <w:rsid w:val="008E0FC0"/>
    <w:rsid w:val="008E31CE"/>
    <w:rsid w:val="008F11F3"/>
    <w:rsid w:val="009008F0"/>
    <w:rsid w:val="009026C3"/>
    <w:rsid w:val="009028ED"/>
    <w:rsid w:val="009044C9"/>
    <w:rsid w:val="00910D3E"/>
    <w:rsid w:val="00911918"/>
    <w:rsid w:val="0091256E"/>
    <w:rsid w:val="00913A7E"/>
    <w:rsid w:val="009153D6"/>
    <w:rsid w:val="00917667"/>
    <w:rsid w:val="00920F7D"/>
    <w:rsid w:val="00921940"/>
    <w:rsid w:val="00922706"/>
    <w:rsid w:val="00922FAC"/>
    <w:rsid w:val="009232FD"/>
    <w:rsid w:val="009318D5"/>
    <w:rsid w:val="00932C0E"/>
    <w:rsid w:val="00934022"/>
    <w:rsid w:val="00935316"/>
    <w:rsid w:val="00937088"/>
    <w:rsid w:val="0094067C"/>
    <w:rsid w:val="00942677"/>
    <w:rsid w:val="0094270E"/>
    <w:rsid w:val="009430BF"/>
    <w:rsid w:val="00944DF6"/>
    <w:rsid w:val="00951437"/>
    <w:rsid w:val="00951C32"/>
    <w:rsid w:val="00954352"/>
    <w:rsid w:val="00955789"/>
    <w:rsid w:val="00956B19"/>
    <w:rsid w:val="00960A01"/>
    <w:rsid w:val="0096772A"/>
    <w:rsid w:val="0097112A"/>
    <w:rsid w:val="00971DAB"/>
    <w:rsid w:val="0097460E"/>
    <w:rsid w:val="009746F0"/>
    <w:rsid w:val="00977191"/>
    <w:rsid w:val="00983C8E"/>
    <w:rsid w:val="009851E2"/>
    <w:rsid w:val="00993FB5"/>
    <w:rsid w:val="009978F0"/>
    <w:rsid w:val="009A5159"/>
    <w:rsid w:val="009A5CBD"/>
    <w:rsid w:val="009B0284"/>
    <w:rsid w:val="009B4014"/>
    <w:rsid w:val="009B6626"/>
    <w:rsid w:val="009B7C8F"/>
    <w:rsid w:val="009C24AE"/>
    <w:rsid w:val="009C30AE"/>
    <w:rsid w:val="009C49C4"/>
    <w:rsid w:val="009D0BE1"/>
    <w:rsid w:val="009D1959"/>
    <w:rsid w:val="009D330A"/>
    <w:rsid w:val="009D3392"/>
    <w:rsid w:val="009D3902"/>
    <w:rsid w:val="009D3F6B"/>
    <w:rsid w:val="009E5B7A"/>
    <w:rsid w:val="009F2F7C"/>
    <w:rsid w:val="009F36A6"/>
    <w:rsid w:val="009F509E"/>
    <w:rsid w:val="00A02D06"/>
    <w:rsid w:val="00A03275"/>
    <w:rsid w:val="00A05A40"/>
    <w:rsid w:val="00A05F5F"/>
    <w:rsid w:val="00A1001E"/>
    <w:rsid w:val="00A15680"/>
    <w:rsid w:val="00A16300"/>
    <w:rsid w:val="00A334FC"/>
    <w:rsid w:val="00A340F7"/>
    <w:rsid w:val="00A34E2B"/>
    <w:rsid w:val="00A35032"/>
    <w:rsid w:val="00A35122"/>
    <w:rsid w:val="00A35740"/>
    <w:rsid w:val="00A36118"/>
    <w:rsid w:val="00A3629B"/>
    <w:rsid w:val="00A367D9"/>
    <w:rsid w:val="00A36C60"/>
    <w:rsid w:val="00A37847"/>
    <w:rsid w:val="00A42CA4"/>
    <w:rsid w:val="00A46979"/>
    <w:rsid w:val="00A57044"/>
    <w:rsid w:val="00A6358D"/>
    <w:rsid w:val="00A64210"/>
    <w:rsid w:val="00A66210"/>
    <w:rsid w:val="00A70924"/>
    <w:rsid w:val="00A72621"/>
    <w:rsid w:val="00A741ED"/>
    <w:rsid w:val="00A77828"/>
    <w:rsid w:val="00A82AFB"/>
    <w:rsid w:val="00A8449D"/>
    <w:rsid w:val="00A85F49"/>
    <w:rsid w:val="00A91CE4"/>
    <w:rsid w:val="00A93DD7"/>
    <w:rsid w:val="00AA368A"/>
    <w:rsid w:val="00AA63D8"/>
    <w:rsid w:val="00AB23B0"/>
    <w:rsid w:val="00AB3843"/>
    <w:rsid w:val="00AB4B9A"/>
    <w:rsid w:val="00AB7810"/>
    <w:rsid w:val="00AB7BF7"/>
    <w:rsid w:val="00AC0E32"/>
    <w:rsid w:val="00AC17EF"/>
    <w:rsid w:val="00AC26FD"/>
    <w:rsid w:val="00AC5A8F"/>
    <w:rsid w:val="00AC6C03"/>
    <w:rsid w:val="00AC6D92"/>
    <w:rsid w:val="00AC745B"/>
    <w:rsid w:val="00AC77FA"/>
    <w:rsid w:val="00AD3D19"/>
    <w:rsid w:val="00AD6FE2"/>
    <w:rsid w:val="00AE2183"/>
    <w:rsid w:val="00AE45F5"/>
    <w:rsid w:val="00AE587C"/>
    <w:rsid w:val="00AE6DAC"/>
    <w:rsid w:val="00AF2A7A"/>
    <w:rsid w:val="00AF5DF2"/>
    <w:rsid w:val="00B037AD"/>
    <w:rsid w:val="00B04441"/>
    <w:rsid w:val="00B0478E"/>
    <w:rsid w:val="00B0568A"/>
    <w:rsid w:val="00B1102F"/>
    <w:rsid w:val="00B13C61"/>
    <w:rsid w:val="00B15C38"/>
    <w:rsid w:val="00B1695A"/>
    <w:rsid w:val="00B16E13"/>
    <w:rsid w:val="00B17D7B"/>
    <w:rsid w:val="00B21C30"/>
    <w:rsid w:val="00B21D3B"/>
    <w:rsid w:val="00B27276"/>
    <w:rsid w:val="00B27FAD"/>
    <w:rsid w:val="00B31898"/>
    <w:rsid w:val="00B32F06"/>
    <w:rsid w:val="00B37FC2"/>
    <w:rsid w:val="00B4260C"/>
    <w:rsid w:val="00B42D50"/>
    <w:rsid w:val="00B4476E"/>
    <w:rsid w:val="00B50787"/>
    <w:rsid w:val="00B52F2A"/>
    <w:rsid w:val="00B53ED2"/>
    <w:rsid w:val="00B56C08"/>
    <w:rsid w:val="00B57552"/>
    <w:rsid w:val="00B66049"/>
    <w:rsid w:val="00B67A0E"/>
    <w:rsid w:val="00B7285E"/>
    <w:rsid w:val="00B7320D"/>
    <w:rsid w:val="00B73903"/>
    <w:rsid w:val="00B73976"/>
    <w:rsid w:val="00B7425A"/>
    <w:rsid w:val="00B744DE"/>
    <w:rsid w:val="00B76681"/>
    <w:rsid w:val="00B77969"/>
    <w:rsid w:val="00B8295E"/>
    <w:rsid w:val="00B8387D"/>
    <w:rsid w:val="00B84D27"/>
    <w:rsid w:val="00B85151"/>
    <w:rsid w:val="00B856D9"/>
    <w:rsid w:val="00B87AAF"/>
    <w:rsid w:val="00B90B18"/>
    <w:rsid w:val="00B93005"/>
    <w:rsid w:val="00B93804"/>
    <w:rsid w:val="00B93DA2"/>
    <w:rsid w:val="00B9738F"/>
    <w:rsid w:val="00BA114B"/>
    <w:rsid w:val="00BB13AA"/>
    <w:rsid w:val="00BB6D69"/>
    <w:rsid w:val="00BC1E43"/>
    <w:rsid w:val="00BC1EB0"/>
    <w:rsid w:val="00BC285C"/>
    <w:rsid w:val="00BC5E22"/>
    <w:rsid w:val="00BC6DEE"/>
    <w:rsid w:val="00BD5C19"/>
    <w:rsid w:val="00BD5F37"/>
    <w:rsid w:val="00BD6A48"/>
    <w:rsid w:val="00BD77BA"/>
    <w:rsid w:val="00BE249B"/>
    <w:rsid w:val="00BE5CFA"/>
    <w:rsid w:val="00BF03E7"/>
    <w:rsid w:val="00C0134F"/>
    <w:rsid w:val="00C03ED8"/>
    <w:rsid w:val="00C04A3C"/>
    <w:rsid w:val="00C05267"/>
    <w:rsid w:val="00C079F7"/>
    <w:rsid w:val="00C1104B"/>
    <w:rsid w:val="00C117D0"/>
    <w:rsid w:val="00C140D6"/>
    <w:rsid w:val="00C16772"/>
    <w:rsid w:val="00C17716"/>
    <w:rsid w:val="00C2135E"/>
    <w:rsid w:val="00C21966"/>
    <w:rsid w:val="00C33336"/>
    <w:rsid w:val="00C36F3E"/>
    <w:rsid w:val="00C428BA"/>
    <w:rsid w:val="00C43CA7"/>
    <w:rsid w:val="00C5143A"/>
    <w:rsid w:val="00C51AE1"/>
    <w:rsid w:val="00C55CFF"/>
    <w:rsid w:val="00C571C4"/>
    <w:rsid w:val="00C6417B"/>
    <w:rsid w:val="00C641F1"/>
    <w:rsid w:val="00C6575D"/>
    <w:rsid w:val="00C67954"/>
    <w:rsid w:val="00C67C51"/>
    <w:rsid w:val="00C7046B"/>
    <w:rsid w:val="00C738EA"/>
    <w:rsid w:val="00C853BD"/>
    <w:rsid w:val="00C92276"/>
    <w:rsid w:val="00C94CA9"/>
    <w:rsid w:val="00C94D9A"/>
    <w:rsid w:val="00C957C2"/>
    <w:rsid w:val="00C9614D"/>
    <w:rsid w:val="00C9714F"/>
    <w:rsid w:val="00C97A35"/>
    <w:rsid w:val="00CA2BC9"/>
    <w:rsid w:val="00CA5175"/>
    <w:rsid w:val="00CA620F"/>
    <w:rsid w:val="00CA7F33"/>
    <w:rsid w:val="00CB3153"/>
    <w:rsid w:val="00CB3164"/>
    <w:rsid w:val="00CB78ED"/>
    <w:rsid w:val="00CB7F22"/>
    <w:rsid w:val="00CC14BA"/>
    <w:rsid w:val="00CC2A65"/>
    <w:rsid w:val="00CC35FC"/>
    <w:rsid w:val="00CC3EC8"/>
    <w:rsid w:val="00CC442E"/>
    <w:rsid w:val="00CC50A6"/>
    <w:rsid w:val="00CC6ADC"/>
    <w:rsid w:val="00CD1D88"/>
    <w:rsid w:val="00CD20B9"/>
    <w:rsid w:val="00CD24D3"/>
    <w:rsid w:val="00CD3EF9"/>
    <w:rsid w:val="00CD5213"/>
    <w:rsid w:val="00CD7DC5"/>
    <w:rsid w:val="00CE1255"/>
    <w:rsid w:val="00CE28FF"/>
    <w:rsid w:val="00CE29AC"/>
    <w:rsid w:val="00CF1564"/>
    <w:rsid w:val="00CF2EC9"/>
    <w:rsid w:val="00CF5862"/>
    <w:rsid w:val="00CF6868"/>
    <w:rsid w:val="00CF68DD"/>
    <w:rsid w:val="00D01851"/>
    <w:rsid w:val="00D028A6"/>
    <w:rsid w:val="00D0561B"/>
    <w:rsid w:val="00D06828"/>
    <w:rsid w:val="00D07D8F"/>
    <w:rsid w:val="00D15B68"/>
    <w:rsid w:val="00D23526"/>
    <w:rsid w:val="00D250C0"/>
    <w:rsid w:val="00D271C2"/>
    <w:rsid w:val="00D2760F"/>
    <w:rsid w:val="00D307A6"/>
    <w:rsid w:val="00D31AA0"/>
    <w:rsid w:val="00D36086"/>
    <w:rsid w:val="00D36560"/>
    <w:rsid w:val="00D4433A"/>
    <w:rsid w:val="00D51B7A"/>
    <w:rsid w:val="00D55356"/>
    <w:rsid w:val="00D56AA5"/>
    <w:rsid w:val="00D56EDB"/>
    <w:rsid w:val="00D6009D"/>
    <w:rsid w:val="00D62DC8"/>
    <w:rsid w:val="00D65D13"/>
    <w:rsid w:val="00D65FC2"/>
    <w:rsid w:val="00D669C1"/>
    <w:rsid w:val="00D66CF4"/>
    <w:rsid w:val="00D727C1"/>
    <w:rsid w:val="00D73E14"/>
    <w:rsid w:val="00D746BA"/>
    <w:rsid w:val="00D75E85"/>
    <w:rsid w:val="00D76494"/>
    <w:rsid w:val="00D7724D"/>
    <w:rsid w:val="00D8176C"/>
    <w:rsid w:val="00D81C69"/>
    <w:rsid w:val="00D8487A"/>
    <w:rsid w:val="00D8582A"/>
    <w:rsid w:val="00D87E7F"/>
    <w:rsid w:val="00D94D10"/>
    <w:rsid w:val="00D965D5"/>
    <w:rsid w:val="00DA123E"/>
    <w:rsid w:val="00DA2754"/>
    <w:rsid w:val="00DA3302"/>
    <w:rsid w:val="00DA653B"/>
    <w:rsid w:val="00DB17A7"/>
    <w:rsid w:val="00DB729E"/>
    <w:rsid w:val="00DC0F1F"/>
    <w:rsid w:val="00DC13AD"/>
    <w:rsid w:val="00DC5076"/>
    <w:rsid w:val="00DC59F0"/>
    <w:rsid w:val="00DC7F97"/>
    <w:rsid w:val="00DD077B"/>
    <w:rsid w:val="00DD622E"/>
    <w:rsid w:val="00DD7E50"/>
    <w:rsid w:val="00DD7F55"/>
    <w:rsid w:val="00DE1729"/>
    <w:rsid w:val="00DE18AE"/>
    <w:rsid w:val="00DE2A0B"/>
    <w:rsid w:val="00DE65BB"/>
    <w:rsid w:val="00DE65D7"/>
    <w:rsid w:val="00DF00D0"/>
    <w:rsid w:val="00DF1BEB"/>
    <w:rsid w:val="00DF2DF0"/>
    <w:rsid w:val="00DF3EED"/>
    <w:rsid w:val="00DF5200"/>
    <w:rsid w:val="00DF559D"/>
    <w:rsid w:val="00DF6B50"/>
    <w:rsid w:val="00E001DB"/>
    <w:rsid w:val="00E00CB0"/>
    <w:rsid w:val="00E01377"/>
    <w:rsid w:val="00E05474"/>
    <w:rsid w:val="00E05809"/>
    <w:rsid w:val="00E05BDD"/>
    <w:rsid w:val="00E076AF"/>
    <w:rsid w:val="00E07841"/>
    <w:rsid w:val="00E10BB9"/>
    <w:rsid w:val="00E1113B"/>
    <w:rsid w:val="00E11E07"/>
    <w:rsid w:val="00E11E7E"/>
    <w:rsid w:val="00E131BA"/>
    <w:rsid w:val="00E17B08"/>
    <w:rsid w:val="00E200FA"/>
    <w:rsid w:val="00E2047A"/>
    <w:rsid w:val="00E21A43"/>
    <w:rsid w:val="00E24AB4"/>
    <w:rsid w:val="00E2748E"/>
    <w:rsid w:val="00E3025C"/>
    <w:rsid w:val="00E33564"/>
    <w:rsid w:val="00E35BCA"/>
    <w:rsid w:val="00E35DFA"/>
    <w:rsid w:val="00E41060"/>
    <w:rsid w:val="00E45C7B"/>
    <w:rsid w:val="00E50C21"/>
    <w:rsid w:val="00E52AA5"/>
    <w:rsid w:val="00E533F5"/>
    <w:rsid w:val="00E53626"/>
    <w:rsid w:val="00E53A3B"/>
    <w:rsid w:val="00E5550C"/>
    <w:rsid w:val="00E57825"/>
    <w:rsid w:val="00E638B2"/>
    <w:rsid w:val="00E653A7"/>
    <w:rsid w:val="00E66CFD"/>
    <w:rsid w:val="00E67176"/>
    <w:rsid w:val="00E67AD6"/>
    <w:rsid w:val="00E7087A"/>
    <w:rsid w:val="00E70E52"/>
    <w:rsid w:val="00E72531"/>
    <w:rsid w:val="00E749CF"/>
    <w:rsid w:val="00E762D5"/>
    <w:rsid w:val="00E76321"/>
    <w:rsid w:val="00E800E0"/>
    <w:rsid w:val="00E8031E"/>
    <w:rsid w:val="00E817C7"/>
    <w:rsid w:val="00E821B9"/>
    <w:rsid w:val="00E82E20"/>
    <w:rsid w:val="00E83699"/>
    <w:rsid w:val="00E852AC"/>
    <w:rsid w:val="00E8713E"/>
    <w:rsid w:val="00E8723F"/>
    <w:rsid w:val="00E92F25"/>
    <w:rsid w:val="00E9518D"/>
    <w:rsid w:val="00E9746D"/>
    <w:rsid w:val="00E9798C"/>
    <w:rsid w:val="00EA0183"/>
    <w:rsid w:val="00EA1102"/>
    <w:rsid w:val="00EA1115"/>
    <w:rsid w:val="00EA6F5A"/>
    <w:rsid w:val="00EB02DD"/>
    <w:rsid w:val="00EB4C06"/>
    <w:rsid w:val="00EB698B"/>
    <w:rsid w:val="00EB6F71"/>
    <w:rsid w:val="00EC050A"/>
    <w:rsid w:val="00EC083B"/>
    <w:rsid w:val="00EC10A0"/>
    <w:rsid w:val="00EC1911"/>
    <w:rsid w:val="00EC20AA"/>
    <w:rsid w:val="00EC4670"/>
    <w:rsid w:val="00EC691C"/>
    <w:rsid w:val="00ED69E9"/>
    <w:rsid w:val="00ED7998"/>
    <w:rsid w:val="00EE0B3D"/>
    <w:rsid w:val="00EE0D96"/>
    <w:rsid w:val="00EE336C"/>
    <w:rsid w:val="00EE350F"/>
    <w:rsid w:val="00EE3E15"/>
    <w:rsid w:val="00EE465C"/>
    <w:rsid w:val="00EE5759"/>
    <w:rsid w:val="00EE6100"/>
    <w:rsid w:val="00EE6159"/>
    <w:rsid w:val="00EF1CD5"/>
    <w:rsid w:val="00EF3951"/>
    <w:rsid w:val="00EF52CC"/>
    <w:rsid w:val="00EF7D1E"/>
    <w:rsid w:val="00F00F7B"/>
    <w:rsid w:val="00F0580D"/>
    <w:rsid w:val="00F05D2D"/>
    <w:rsid w:val="00F10558"/>
    <w:rsid w:val="00F10BDE"/>
    <w:rsid w:val="00F11A5B"/>
    <w:rsid w:val="00F126E7"/>
    <w:rsid w:val="00F15879"/>
    <w:rsid w:val="00F16400"/>
    <w:rsid w:val="00F24D41"/>
    <w:rsid w:val="00F252AC"/>
    <w:rsid w:val="00F30272"/>
    <w:rsid w:val="00F31DAE"/>
    <w:rsid w:val="00F346D1"/>
    <w:rsid w:val="00F36A84"/>
    <w:rsid w:val="00F37F48"/>
    <w:rsid w:val="00F41734"/>
    <w:rsid w:val="00F429E4"/>
    <w:rsid w:val="00F42F9A"/>
    <w:rsid w:val="00F450A5"/>
    <w:rsid w:val="00F518A1"/>
    <w:rsid w:val="00F518C9"/>
    <w:rsid w:val="00F53D03"/>
    <w:rsid w:val="00F56303"/>
    <w:rsid w:val="00F578E5"/>
    <w:rsid w:val="00F63638"/>
    <w:rsid w:val="00F641B7"/>
    <w:rsid w:val="00F64F86"/>
    <w:rsid w:val="00F656D0"/>
    <w:rsid w:val="00F66ABF"/>
    <w:rsid w:val="00F71A26"/>
    <w:rsid w:val="00F80B00"/>
    <w:rsid w:val="00F857F5"/>
    <w:rsid w:val="00F91834"/>
    <w:rsid w:val="00F95225"/>
    <w:rsid w:val="00F95FE7"/>
    <w:rsid w:val="00F96ABE"/>
    <w:rsid w:val="00FA129B"/>
    <w:rsid w:val="00FA5506"/>
    <w:rsid w:val="00FA7D60"/>
    <w:rsid w:val="00FB342E"/>
    <w:rsid w:val="00FB6782"/>
    <w:rsid w:val="00FB6851"/>
    <w:rsid w:val="00FC1619"/>
    <w:rsid w:val="00FC1DBF"/>
    <w:rsid w:val="00FC272C"/>
    <w:rsid w:val="00FC3E17"/>
    <w:rsid w:val="00FC5C53"/>
    <w:rsid w:val="00FC6A49"/>
    <w:rsid w:val="00FD1987"/>
    <w:rsid w:val="00FD19F7"/>
    <w:rsid w:val="00FD36C1"/>
    <w:rsid w:val="00FD6587"/>
    <w:rsid w:val="00FD6DAC"/>
    <w:rsid w:val="00FE0519"/>
    <w:rsid w:val="00FE06F3"/>
    <w:rsid w:val="00FE2C44"/>
    <w:rsid w:val="00FE3F10"/>
    <w:rsid w:val="00FE51A6"/>
    <w:rsid w:val="00FF2115"/>
    <w:rsid w:val="00FF2D5A"/>
    <w:rsid w:val="00FF336E"/>
    <w:rsid w:val="00FF5476"/>
    <w:rsid w:val="00FF5A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54393"/>
  <w15:chartTrackingRefBased/>
  <w15:docId w15:val="{7C1BFE70-9216-415D-9F8A-E6BAACC36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118"/>
    <w:rPr>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B16"/>
    <w:pPr>
      <w:tabs>
        <w:tab w:val="center" w:pos="4513"/>
        <w:tab w:val="right" w:pos="9026"/>
      </w:tabs>
      <w:spacing w:after="0" w:line="240" w:lineRule="auto"/>
    </w:pPr>
    <w:rPr>
      <w:kern w:val="2"/>
      <w:lang w:val="en-AU"/>
      <w14:ligatures w14:val="standardContextual"/>
    </w:rPr>
  </w:style>
  <w:style w:type="character" w:customStyle="1" w:styleId="HeaderChar">
    <w:name w:val="Header Char"/>
    <w:basedOn w:val="DefaultParagraphFont"/>
    <w:link w:val="Header"/>
    <w:uiPriority w:val="99"/>
    <w:rsid w:val="00421B16"/>
  </w:style>
  <w:style w:type="paragraph" w:styleId="Footer">
    <w:name w:val="footer"/>
    <w:basedOn w:val="Normal"/>
    <w:link w:val="FooterChar"/>
    <w:uiPriority w:val="99"/>
    <w:unhideWhenUsed/>
    <w:rsid w:val="00421B16"/>
    <w:pPr>
      <w:tabs>
        <w:tab w:val="center" w:pos="4513"/>
        <w:tab w:val="right" w:pos="9026"/>
      </w:tabs>
      <w:spacing w:after="0" w:line="240" w:lineRule="auto"/>
    </w:pPr>
    <w:rPr>
      <w:kern w:val="2"/>
      <w:lang w:val="en-AU"/>
      <w14:ligatures w14:val="standardContextual"/>
    </w:rPr>
  </w:style>
  <w:style w:type="character" w:customStyle="1" w:styleId="FooterChar">
    <w:name w:val="Footer Char"/>
    <w:basedOn w:val="DefaultParagraphFont"/>
    <w:link w:val="Footer"/>
    <w:uiPriority w:val="99"/>
    <w:rsid w:val="00421B16"/>
  </w:style>
  <w:style w:type="paragraph" w:styleId="Title">
    <w:name w:val="Title"/>
    <w:basedOn w:val="Normal"/>
    <w:next w:val="Normal"/>
    <w:link w:val="TitleChar"/>
    <w:uiPriority w:val="10"/>
    <w:qFormat/>
    <w:rsid w:val="00AF2A7A"/>
    <w:pPr>
      <w:spacing w:after="0" w:line="240" w:lineRule="auto"/>
      <w:contextualSpacing/>
    </w:pPr>
    <w:rPr>
      <w:rFonts w:asciiTheme="majorHAnsi" w:eastAsiaTheme="majorEastAsia" w:hAnsiTheme="majorHAnsi" w:cstheme="majorBidi"/>
      <w:spacing w:val="-10"/>
      <w:kern w:val="28"/>
      <w:sz w:val="56"/>
      <w:szCs w:val="56"/>
      <w:lang w:val="en-AU"/>
      <w14:ligatures w14:val="standardContextual"/>
    </w:rPr>
  </w:style>
  <w:style w:type="character" w:customStyle="1" w:styleId="TitleChar">
    <w:name w:val="Title Char"/>
    <w:basedOn w:val="DefaultParagraphFont"/>
    <w:link w:val="Title"/>
    <w:uiPriority w:val="10"/>
    <w:rsid w:val="00AF2A7A"/>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EB698B"/>
    <w:pPr>
      <w:ind w:left="720"/>
      <w:contextualSpacing/>
    </w:pPr>
  </w:style>
  <w:style w:type="paragraph" w:customStyle="1" w:styleId="xmsonormal">
    <w:name w:val="x_msonormal"/>
    <w:basedOn w:val="Normal"/>
    <w:rsid w:val="005F35A6"/>
    <w:pPr>
      <w:spacing w:after="0" w:line="240" w:lineRule="auto"/>
    </w:pPr>
    <w:rPr>
      <w:rFonts w:ascii="Calibri" w:hAnsi="Calibri" w:cs="Calibri"/>
      <w:lang w:val="en-AU" w:eastAsia="en-AU"/>
    </w:rPr>
  </w:style>
  <w:style w:type="character" w:styleId="CommentReference">
    <w:name w:val="annotation reference"/>
    <w:basedOn w:val="DefaultParagraphFont"/>
    <w:uiPriority w:val="99"/>
    <w:semiHidden/>
    <w:unhideWhenUsed/>
    <w:rsid w:val="00F42F9A"/>
    <w:rPr>
      <w:sz w:val="16"/>
      <w:szCs w:val="16"/>
    </w:rPr>
  </w:style>
  <w:style w:type="paragraph" w:styleId="CommentText">
    <w:name w:val="annotation text"/>
    <w:basedOn w:val="Normal"/>
    <w:link w:val="CommentTextChar"/>
    <w:uiPriority w:val="99"/>
    <w:unhideWhenUsed/>
    <w:rsid w:val="00F42F9A"/>
    <w:pPr>
      <w:spacing w:line="240" w:lineRule="auto"/>
    </w:pPr>
    <w:rPr>
      <w:sz w:val="20"/>
      <w:szCs w:val="20"/>
    </w:rPr>
  </w:style>
  <w:style w:type="character" w:customStyle="1" w:styleId="CommentTextChar">
    <w:name w:val="Comment Text Char"/>
    <w:basedOn w:val="DefaultParagraphFont"/>
    <w:link w:val="CommentText"/>
    <w:uiPriority w:val="99"/>
    <w:rsid w:val="00F42F9A"/>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F42F9A"/>
    <w:rPr>
      <w:b/>
      <w:bCs/>
    </w:rPr>
  </w:style>
  <w:style w:type="character" w:customStyle="1" w:styleId="CommentSubjectChar">
    <w:name w:val="Comment Subject Char"/>
    <w:basedOn w:val="CommentTextChar"/>
    <w:link w:val="CommentSubject"/>
    <w:uiPriority w:val="99"/>
    <w:semiHidden/>
    <w:rsid w:val="00F42F9A"/>
    <w:rPr>
      <w:b/>
      <w:bCs/>
      <w:kern w:val="0"/>
      <w:sz w:val="20"/>
      <w:szCs w:val="20"/>
      <w:lang w:val="en-GB"/>
      <w14:ligatures w14:val="none"/>
    </w:rPr>
  </w:style>
  <w:style w:type="paragraph" w:customStyle="1" w:styleId="EMfirstbullet">
    <w:name w:val="EM first bullet"/>
    <w:basedOn w:val="Normal"/>
    <w:link w:val="EMfirstbulletChar"/>
    <w:uiPriority w:val="1"/>
    <w:qFormat/>
    <w:rsid w:val="00467DD3"/>
    <w:pPr>
      <w:numPr>
        <w:numId w:val="7"/>
      </w:numPr>
    </w:pPr>
    <w:rPr>
      <w:rFonts w:ascii="Times New Roman" w:eastAsiaTheme="minorEastAsia" w:hAnsi="Times New Roman" w:cs="Times New Roman"/>
    </w:rPr>
  </w:style>
  <w:style w:type="character" w:customStyle="1" w:styleId="EMfirstbulletChar">
    <w:name w:val="EM first bullet Char"/>
    <w:basedOn w:val="DefaultParagraphFont"/>
    <w:link w:val="EMfirstbullet"/>
    <w:uiPriority w:val="1"/>
    <w:rsid w:val="00467DD3"/>
    <w:rPr>
      <w:rFonts w:ascii="Times New Roman" w:eastAsiaTheme="minorEastAsia" w:hAnsi="Times New Roman" w:cs="Times New Roman"/>
      <w:kern w:val="0"/>
      <w:lang w:val="en-GB"/>
      <w14:ligatures w14:val="none"/>
    </w:rPr>
  </w:style>
  <w:style w:type="paragraph" w:customStyle="1" w:styleId="SCHRnumbers">
    <w:name w:val="SCHR numbers"/>
    <w:basedOn w:val="Normal"/>
    <w:link w:val="SCHRnumbersChar"/>
    <w:uiPriority w:val="1"/>
    <w:qFormat/>
    <w:rsid w:val="00144E54"/>
    <w:pPr>
      <w:numPr>
        <w:numId w:val="8"/>
      </w:numPr>
      <w:spacing w:after="120"/>
    </w:pPr>
  </w:style>
  <w:style w:type="character" w:customStyle="1" w:styleId="SCHRnumbersChar">
    <w:name w:val="SCHR numbers Char"/>
    <w:basedOn w:val="DefaultParagraphFont"/>
    <w:link w:val="SCHRnumbers"/>
    <w:uiPriority w:val="1"/>
    <w:rsid w:val="00144E54"/>
    <w:rPr>
      <w:kern w:val="0"/>
      <w:lang w:val="en-GB"/>
      <w14:ligatures w14:val="none"/>
    </w:rPr>
  </w:style>
  <w:style w:type="paragraph" w:styleId="Revision">
    <w:name w:val="Revision"/>
    <w:hidden/>
    <w:uiPriority w:val="99"/>
    <w:semiHidden/>
    <w:rsid w:val="000D493B"/>
    <w:pPr>
      <w:spacing w:after="0" w:line="240" w:lineRule="auto"/>
    </w:pPr>
    <w:rPr>
      <w:kern w:val="0"/>
      <w:lang w:val="en-GB"/>
      <w14:ligatures w14:val="none"/>
    </w:rPr>
  </w:style>
  <w:style w:type="table" w:styleId="TableGrid">
    <w:name w:val="Table Grid"/>
    <w:basedOn w:val="TableNormal"/>
    <w:uiPriority w:val="59"/>
    <w:rsid w:val="005864CA"/>
    <w:pPr>
      <w:spacing w:after="0" w:line="240" w:lineRule="auto"/>
    </w:pPr>
    <w:rPr>
      <w:kern w:val="0"/>
      <w:lang w:val="en-GB"/>
      <w14:ligatures w14:val="none"/>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8344">
      <w:bodyDiv w:val="1"/>
      <w:marLeft w:val="0"/>
      <w:marRight w:val="0"/>
      <w:marTop w:val="0"/>
      <w:marBottom w:val="0"/>
      <w:divBdr>
        <w:top w:val="none" w:sz="0" w:space="0" w:color="auto"/>
        <w:left w:val="none" w:sz="0" w:space="0" w:color="auto"/>
        <w:bottom w:val="none" w:sz="0" w:space="0" w:color="auto"/>
        <w:right w:val="none" w:sz="0" w:space="0" w:color="auto"/>
      </w:divBdr>
    </w:div>
    <w:div w:id="838734875">
      <w:bodyDiv w:val="1"/>
      <w:marLeft w:val="0"/>
      <w:marRight w:val="0"/>
      <w:marTop w:val="0"/>
      <w:marBottom w:val="0"/>
      <w:divBdr>
        <w:top w:val="none" w:sz="0" w:space="0" w:color="auto"/>
        <w:left w:val="none" w:sz="0" w:space="0" w:color="auto"/>
        <w:bottom w:val="none" w:sz="0" w:space="0" w:color="auto"/>
        <w:right w:val="none" w:sz="0" w:space="0" w:color="auto"/>
      </w:divBdr>
    </w:div>
    <w:div w:id="959259360">
      <w:bodyDiv w:val="1"/>
      <w:marLeft w:val="0"/>
      <w:marRight w:val="0"/>
      <w:marTop w:val="0"/>
      <w:marBottom w:val="0"/>
      <w:divBdr>
        <w:top w:val="none" w:sz="0" w:space="0" w:color="auto"/>
        <w:left w:val="none" w:sz="0" w:space="0" w:color="auto"/>
        <w:bottom w:val="none" w:sz="0" w:space="0" w:color="auto"/>
        <w:right w:val="none" w:sz="0" w:space="0" w:color="auto"/>
      </w:divBdr>
    </w:div>
    <w:div w:id="1262488254">
      <w:bodyDiv w:val="1"/>
      <w:marLeft w:val="0"/>
      <w:marRight w:val="0"/>
      <w:marTop w:val="0"/>
      <w:marBottom w:val="0"/>
      <w:divBdr>
        <w:top w:val="none" w:sz="0" w:space="0" w:color="auto"/>
        <w:left w:val="none" w:sz="0" w:space="0" w:color="auto"/>
        <w:bottom w:val="none" w:sz="0" w:space="0" w:color="auto"/>
        <w:right w:val="none" w:sz="0" w:space="0" w:color="auto"/>
      </w:divBdr>
    </w:div>
    <w:div w:id="1462916314">
      <w:bodyDiv w:val="1"/>
      <w:marLeft w:val="0"/>
      <w:marRight w:val="0"/>
      <w:marTop w:val="0"/>
      <w:marBottom w:val="0"/>
      <w:divBdr>
        <w:top w:val="none" w:sz="0" w:space="0" w:color="auto"/>
        <w:left w:val="none" w:sz="0" w:space="0" w:color="auto"/>
        <w:bottom w:val="none" w:sz="0" w:space="0" w:color="auto"/>
        <w:right w:val="none" w:sz="0" w:space="0" w:color="auto"/>
      </w:divBdr>
    </w:div>
    <w:div w:id="1763335284">
      <w:bodyDiv w:val="1"/>
      <w:marLeft w:val="0"/>
      <w:marRight w:val="0"/>
      <w:marTop w:val="0"/>
      <w:marBottom w:val="0"/>
      <w:divBdr>
        <w:top w:val="none" w:sz="0" w:space="0" w:color="auto"/>
        <w:left w:val="none" w:sz="0" w:space="0" w:color="auto"/>
        <w:bottom w:val="none" w:sz="0" w:space="0" w:color="auto"/>
        <w:right w:val="none" w:sz="0" w:space="0" w:color="auto"/>
      </w:divBdr>
    </w:div>
    <w:div w:id="179340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C9F468EC-38E8-4918-AB85-48FF2E547CE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2F1160A0BAAA74A92DC3EB9DFB0E34D" ma:contentTypeVersion="" ma:contentTypeDescription="PDMS Document Site Content Type" ma:contentTypeScope="" ma:versionID="6e3d9c8b8a731f6f35ad40560cc0ee76">
  <xsd:schema xmlns:xsd="http://www.w3.org/2001/XMLSchema" xmlns:xs="http://www.w3.org/2001/XMLSchema" xmlns:p="http://schemas.microsoft.com/office/2006/metadata/properties" xmlns:ns2="C9F468EC-38E8-4918-AB85-48FF2E547CE5" targetNamespace="http://schemas.microsoft.com/office/2006/metadata/properties" ma:root="true" ma:fieldsID="d46000f843580de4bad1511eb5bc94ab" ns2:_="">
    <xsd:import namespace="C9F468EC-38E8-4918-AB85-48FF2E547CE5"/>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68EC-38E8-4918-AB85-48FF2E547CE5"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0518D8-76FF-4F68-AC63-900A2BF4E5B5}">
  <ds:schemaRefs>
    <ds:schemaRef ds:uri="http://schemas.microsoft.com/sharepoint/v3/contenttype/forms"/>
  </ds:schemaRefs>
</ds:datastoreItem>
</file>

<file path=customXml/itemProps2.xml><?xml version="1.0" encoding="utf-8"?>
<ds:datastoreItem xmlns:ds="http://schemas.openxmlformats.org/officeDocument/2006/customXml" ds:itemID="{115EA6DB-B823-4E75-B8BB-A41D6F9575D5}">
  <ds:schemaRefs>
    <ds:schemaRef ds:uri="http://www.w3.org/XML/1998/namespace"/>
    <ds:schemaRef ds:uri="http://purl.org/dc/elements/1.1/"/>
    <ds:schemaRef ds:uri="http://purl.org/dc/dcmitype/"/>
    <ds:schemaRef ds:uri="http://purl.org/dc/terms/"/>
    <ds:schemaRef ds:uri="http://schemas.microsoft.com/office/infopath/2007/PartnerControls"/>
    <ds:schemaRef ds:uri="C9F468EC-38E8-4918-AB85-48FF2E547CE5"/>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DF6C694D-8774-49E6-9DA8-FAA8634C360E}">
  <ds:schemaRefs>
    <ds:schemaRef ds:uri="http://schemas.openxmlformats.org/officeDocument/2006/bibliography"/>
  </ds:schemaRefs>
</ds:datastoreItem>
</file>

<file path=customXml/itemProps4.xml><?xml version="1.0" encoding="utf-8"?>
<ds:datastoreItem xmlns:ds="http://schemas.openxmlformats.org/officeDocument/2006/customXml" ds:itemID="{F0BE1750-A86F-4FFE-89D8-6A5D87554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F468EC-38E8-4918-AB85-48FF2E547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BONNAY,Louy</dc:creator>
  <cp:keywords/>
  <dc:description/>
  <cp:lastModifiedBy>WHITE,Jacqueline</cp:lastModifiedBy>
  <cp:revision>3</cp:revision>
  <dcterms:created xsi:type="dcterms:W3CDTF">2023-12-14T03:10:00Z</dcterms:created>
  <dcterms:modified xsi:type="dcterms:W3CDTF">2023-12-14T23:57:00Z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0x010100266966F133664895A6EE3632470D45F50012F1160A0BAAA74A92DC3EB9DFB0E34D</vt:lpwstr>
  </property>
  <property fmtid="{D5CDD505-2E9C-101B-9397-08002B2CF9AE}" pid="3" name="MSIP_Label_79d889eb-932f-4752-8739-64d25806ef64_Enabled">
    <vt:lpwstr>true</vt:lpwstr>
  </property>
  <property fmtid="{D5CDD505-2E9C-101B-9397-08002B2CF9AE}" pid="4" name="MSIP_Label_79d889eb-932f-4752-8739-64d25806ef64_SetDate">
    <vt:lpwstr>2023-12-14T23:57:06Z</vt:lpwstr>
  </property>
  <property fmtid="{D5CDD505-2E9C-101B-9397-08002B2CF9AE}" pid="5" name="MSIP_Label_79d889eb-932f-4752-8739-64d25806ef64_Method">
    <vt:lpwstr>Privileged</vt:lpwstr>
  </property>
  <property fmtid="{D5CDD505-2E9C-101B-9397-08002B2CF9AE}" pid="6" name="MSIP_Label_79d889eb-932f-4752-8739-64d25806ef64_Name">
    <vt:lpwstr>79d889eb-932f-4752-8739-64d25806ef64</vt:lpwstr>
  </property>
  <property fmtid="{D5CDD505-2E9C-101B-9397-08002B2CF9AE}" pid="7" name="MSIP_Label_79d889eb-932f-4752-8739-64d25806ef64_SiteId">
    <vt:lpwstr>dd0cfd15-4558-4b12-8bad-ea26984fc417</vt:lpwstr>
  </property>
  <property fmtid="{D5CDD505-2E9C-101B-9397-08002B2CF9AE}" pid="8" name="MSIP_Label_79d889eb-932f-4752-8739-64d25806ef64_ActionId">
    <vt:lpwstr>b0fe6175-0080-4a06-ad02-81370972de70</vt:lpwstr>
  </property>
  <property fmtid="{D5CDD505-2E9C-101B-9397-08002B2CF9AE}" pid="9" name="MSIP_Label_79d889eb-932f-4752-8739-64d25806ef64_ContentBits">
    <vt:lpwstr>0</vt:lpwstr>
  </property>
</Properties>
</file>