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943F9F" w14:textId="77777777" w:rsidR="00A96A07" w:rsidRPr="00D502DA" w:rsidRDefault="00A96A07" w:rsidP="00A96A07">
      <w:pPr>
        <w:pStyle w:val="Title"/>
      </w:pPr>
      <w:r w:rsidRPr="00D502DA">
        <w:t>EXPLANATORY STATEMENT</w:t>
      </w:r>
    </w:p>
    <w:p w14:paraId="1B54AA37" w14:textId="09AB79D7" w:rsidR="00A96A07" w:rsidRDefault="00A96A07" w:rsidP="00A96A07">
      <w:pPr>
        <w:pStyle w:val="Heading1"/>
        <w:jc w:val="center"/>
      </w:pPr>
      <w:r>
        <w:t>Issued by the authority of the Minister for Skills and Training</w:t>
      </w:r>
    </w:p>
    <w:p w14:paraId="1B1713C5" w14:textId="3E619C16" w:rsidR="00A96A07" w:rsidRDefault="00A96A07" w:rsidP="00A96A07">
      <w:pPr>
        <w:jc w:val="center"/>
        <w:rPr>
          <w:rFonts w:asciiTheme="minorHAnsi" w:hAnsiTheme="minorHAnsi" w:cstheme="minorHAnsi"/>
          <w:b/>
          <w:bCs/>
          <w:i/>
          <w:iCs/>
        </w:rPr>
      </w:pPr>
      <w:r>
        <w:rPr>
          <w:rFonts w:asciiTheme="minorHAnsi" w:hAnsiTheme="minorHAnsi" w:cstheme="minorHAnsi"/>
          <w:b/>
          <w:bCs/>
          <w:i/>
          <w:iCs/>
        </w:rPr>
        <w:t>Australian Apprenticeship Support Loans Act 2014</w:t>
      </w:r>
    </w:p>
    <w:p w14:paraId="41A2F4AF" w14:textId="18F987E8" w:rsidR="00A96A07" w:rsidRPr="00A96A07" w:rsidRDefault="00A96A07" w:rsidP="00A96A07">
      <w:pPr>
        <w:jc w:val="center"/>
        <w:rPr>
          <w:rFonts w:asciiTheme="minorHAnsi" w:hAnsiTheme="minorHAnsi" w:cstheme="minorHAnsi"/>
          <w:b/>
          <w:bCs/>
          <w:i/>
          <w:iCs/>
        </w:rPr>
      </w:pPr>
      <w:r>
        <w:rPr>
          <w:rFonts w:asciiTheme="minorHAnsi" w:hAnsiTheme="minorHAnsi" w:cstheme="minorHAnsi"/>
          <w:b/>
          <w:bCs/>
          <w:i/>
          <w:iCs/>
        </w:rPr>
        <w:t>Australian Apprenticeship Support Loans (Australian Apprenticeships Priority List) Determination 2023</w:t>
      </w:r>
    </w:p>
    <w:p w14:paraId="0D895931" w14:textId="69130FDE" w:rsidR="00A96A07" w:rsidRPr="00D502DA" w:rsidRDefault="00A96A07" w:rsidP="00A96A07">
      <w:pPr>
        <w:pStyle w:val="Heading1"/>
      </w:pPr>
      <w:r>
        <w:t>BACKGROUND</w:t>
      </w:r>
    </w:p>
    <w:p w14:paraId="692F6691" w14:textId="60A656C5" w:rsidR="00A96A07" w:rsidRDefault="00A96A07" w:rsidP="6AEBD72D">
      <w:pPr>
        <w:shd w:val="clear" w:color="auto" w:fill="FFFFFF" w:themeFill="background1"/>
        <w:spacing w:after="240"/>
        <w:rPr>
          <w:rFonts w:asciiTheme="minorHAnsi" w:eastAsia="Times New Roman" w:hAnsiTheme="minorHAnsi"/>
          <w:color w:val="000000"/>
          <w:lang w:eastAsia="en-AU"/>
        </w:rPr>
      </w:pPr>
      <w:r w:rsidRPr="6AEBD72D">
        <w:rPr>
          <w:rFonts w:asciiTheme="minorHAnsi" w:eastAsia="Times New Roman" w:hAnsiTheme="minorHAnsi"/>
          <w:color w:val="000000" w:themeColor="text1"/>
          <w:lang w:eastAsia="en-AU"/>
        </w:rPr>
        <w:t xml:space="preserve">The </w:t>
      </w:r>
      <w:r w:rsidRPr="6AEBD72D">
        <w:rPr>
          <w:rFonts w:asciiTheme="minorHAnsi" w:eastAsia="Times New Roman" w:hAnsiTheme="minorHAnsi"/>
          <w:i/>
          <w:iCs/>
          <w:color w:val="000000" w:themeColor="text1"/>
          <w:lang w:eastAsia="en-AU"/>
        </w:rPr>
        <w:t xml:space="preserve">Trade Support Loans Act 2014 </w:t>
      </w:r>
      <w:r w:rsidRPr="6AEBD72D">
        <w:rPr>
          <w:rFonts w:asciiTheme="minorHAnsi" w:eastAsia="Times New Roman" w:hAnsiTheme="minorHAnsi"/>
          <w:color w:val="000000" w:themeColor="text1"/>
          <w:lang w:eastAsia="en-AU"/>
        </w:rPr>
        <w:t>establishes the Trade Support Loans program, which presently aims to increase the number of people completing apprenticeships leading to priority trade occupations by providing financial support to eligible people to assist them with the costs of living and learning while undertaking an apprenticeship. This is achieved by offering eligible people concessional income contingent loans (up to a lifetime maximum of $24,492 for the 2023</w:t>
      </w:r>
      <w:r w:rsidR="771A016A" w:rsidRPr="6AEBD72D">
        <w:rPr>
          <w:rFonts w:asciiTheme="minorHAnsi" w:eastAsia="Times New Roman" w:hAnsiTheme="minorHAnsi"/>
          <w:color w:val="000000" w:themeColor="text1"/>
          <w:lang w:eastAsia="en-AU"/>
        </w:rPr>
        <w:t>-</w:t>
      </w:r>
      <w:r w:rsidRPr="6AEBD72D">
        <w:rPr>
          <w:rFonts w:asciiTheme="minorHAnsi" w:eastAsia="Times New Roman" w:hAnsiTheme="minorHAnsi"/>
          <w:color w:val="000000" w:themeColor="text1"/>
          <w:lang w:eastAsia="en-AU"/>
        </w:rPr>
        <w:t>24 income year), which are paid back when the taxable income of the person reaches the repayment threshold. For the 2023-24 income year, the compulsory repayment threshold is $51,550.</w:t>
      </w:r>
    </w:p>
    <w:p w14:paraId="5A7ECA9A" w14:textId="49214DC3" w:rsidR="00A96A07" w:rsidRDefault="00A96A07" w:rsidP="00A96A07">
      <w:p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Trade support loan is currently only available to a person who is undertaking an apprenticeship through which the person is undertaking a qualification that leads to an occupation or qualification specified on the TSL Priority List, a legislative instrument made under section 105 of the Trade Support Loans Act. Because the Trade Support Loans program has, to date, been about ‘trade’ support, the TSL Priority List has only ever specified priority occupations, or qualifications leading to priority occupations, in the Australian and New Zealand Standard Classification of Occupations (</w:t>
      </w:r>
      <w:r w:rsidRPr="00542A98">
        <w:rPr>
          <w:rFonts w:asciiTheme="minorHAnsi" w:eastAsia="Times New Roman" w:hAnsiTheme="minorHAnsi" w:cstheme="minorHAnsi"/>
          <w:b/>
          <w:bCs/>
          <w:color w:val="000000"/>
          <w:szCs w:val="24"/>
          <w:lang w:eastAsia="en-AU"/>
        </w:rPr>
        <w:t>ANZSCO</w:t>
      </w:r>
      <w:r>
        <w:rPr>
          <w:rFonts w:asciiTheme="minorHAnsi" w:eastAsia="Times New Roman" w:hAnsiTheme="minorHAnsi" w:cstheme="minorHAnsi"/>
          <w:color w:val="000000"/>
          <w:szCs w:val="24"/>
          <w:lang w:eastAsia="en-AU"/>
        </w:rPr>
        <w:t xml:space="preserve">) ‘technicians and trade workers’ major group (in </w:t>
      </w:r>
      <w:r w:rsidR="00845A07">
        <w:rPr>
          <w:rFonts w:asciiTheme="minorHAnsi" w:eastAsia="Times New Roman" w:hAnsiTheme="minorHAnsi" w:cstheme="minorHAnsi"/>
          <w:color w:val="000000"/>
          <w:szCs w:val="24"/>
          <w:lang w:eastAsia="en-AU"/>
        </w:rPr>
        <w:t xml:space="preserve">December </w:t>
      </w:r>
      <w:r>
        <w:rPr>
          <w:rFonts w:asciiTheme="minorHAnsi" w:eastAsia="Times New Roman" w:hAnsiTheme="minorHAnsi" w:cstheme="minorHAnsi"/>
          <w:color w:val="000000"/>
          <w:szCs w:val="24"/>
          <w:lang w:eastAsia="en-AU"/>
        </w:rPr>
        <w:t xml:space="preserve">2023, the ANZSCO could be accessed at: </w:t>
      </w:r>
      <w:r w:rsidRPr="00F1420A">
        <w:rPr>
          <w:rFonts w:asciiTheme="minorHAnsi" w:eastAsia="Times New Roman" w:hAnsiTheme="minorHAnsi" w:cstheme="minorHAnsi"/>
          <w:color w:val="000000"/>
          <w:szCs w:val="24"/>
          <w:u w:val="single"/>
          <w:lang w:eastAsia="en-AU"/>
        </w:rPr>
        <w:t>www.abs.gov.au/statistics/classifications/anzsco-australian-and-new-zealand-standard-classification-occupations</w:t>
      </w:r>
      <w:r>
        <w:rPr>
          <w:rFonts w:asciiTheme="minorHAnsi" w:eastAsia="Times New Roman" w:hAnsiTheme="minorHAnsi" w:cstheme="minorHAnsi"/>
          <w:color w:val="000000"/>
          <w:szCs w:val="24"/>
          <w:lang w:eastAsia="en-AU"/>
        </w:rPr>
        <w:t xml:space="preserve">). </w:t>
      </w:r>
    </w:p>
    <w:p w14:paraId="4D2F4E6F" w14:textId="3206FAEE" w:rsidR="00A96A07" w:rsidRDefault="00A96A07" w:rsidP="00A96A07">
      <w:p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On 23 November 2023, the Governor-General fixed, by Proclamation, 1 January 2024 as the day on which the </w:t>
      </w:r>
      <w:r w:rsidRPr="006C1BFE">
        <w:rPr>
          <w:rFonts w:asciiTheme="minorHAnsi" w:eastAsia="Times New Roman" w:hAnsiTheme="minorHAnsi" w:cstheme="minorHAnsi"/>
          <w:i/>
          <w:iCs/>
          <w:color w:val="000000"/>
          <w:szCs w:val="24"/>
          <w:lang w:eastAsia="en-AU"/>
        </w:rPr>
        <w:t>Trade Support Loans Amendment Act</w:t>
      </w:r>
      <w:r>
        <w:rPr>
          <w:rFonts w:asciiTheme="minorHAnsi" w:eastAsia="Times New Roman" w:hAnsiTheme="minorHAnsi" w:cstheme="minorHAnsi"/>
          <w:i/>
          <w:iCs/>
          <w:color w:val="000000"/>
          <w:szCs w:val="24"/>
          <w:lang w:eastAsia="en-AU"/>
        </w:rPr>
        <w:t xml:space="preserve"> 2023 </w:t>
      </w:r>
      <w:r>
        <w:rPr>
          <w:rFonts w:asciiTheme="minorHAnsi" w:eastAsia="Times New Roman" w:hAnsiTheme="minorHAnsi" w:cstheme="minorHAnsi"/>
          <w:color w:val="000000"/>
          <w:szCs w:val="24"/>
          <w:lang w:eastAsia="en-AU"/>
        </w:rPr>
        <w:t>(</w:t>
      </w:r>
      <w:r w:rsidRPr="00CE6A33">
        <w:rPr>
          <w:rFonts w:asciiTheme="minorHAnsi" w:eastAsia="Times New Roman" w:hAnsiTheme="minorHAnsi" w:cstheme="minorHAnsi"/>
          <w:b/>
          <w:bCs/>
          <w:color w:val="000000"/>
          <w:szCs w:val="24"/>
          <w:lang w:eastAsia="en-AU"/>
        </w:rPr>
        <w:t>Amendment Act</w:t>
      </w:r>
      <w:r>
        <w:rPr>
          <w:rFonts w:asciiTheme="minorHAnsi" w:eastAsia="Times New Roman" w:hAnsiTheme="minorHAnsi" w:cstheme="minorHAnsi"/>
          <w:color w:val="000000"/>
          <w:szCs w:val="24"/>
          <w:lang w:eastAsia="en-AU"/>
        </w:rPr>
        <w:t>) commences. The Amendment Act will expand the Trade Support Loans program to people undertaking apprenticeships and traineeships leading to a broader range of priority occupations, including non-trade occupations in other ANZSCO major groups (for example, in the ‘community and personal service workers’ major group). To reflect this expansion, the program will be renamed the Australian Apprenticeship Support Loans program.</w:t>
      </w:r>
    </w:p>
    <w:p w14:paraId="2AE0E605" w14:textId="77777777" w:rsidR="00A96A07" w:rsidRDefault="00A96A07" w:rsidP="00A96A07">
      <w:p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The Amendment Act will facilitate this expansion by, among other things:</w:t>
      </w:r>
    </w:p>
    <w:p w14:paraId="10E524A9" w14:textId="77777777" w:rsidR="00A96A07" w:rsidRDefault="00A96A07" w:rsidP="00977294">
      <w:pPr>
        <w:pStyle w:val="ListParagraph"/>
        <w:numPr>
          <w:ilvl w:val="0"/>
          <w:numId w:val="60"/>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repealing subsection 105(1) and causing the TSL Priority List to lapse; and</w:t>
      </w:r>
    </w:p>
    <w:p w14:paraId="41BC2EE0" w14:textId="77777777" w:rsidR="00A96A07" w:rsidRDefault="00A96A07" w:rsidP="00977294">
      <w:pPr>
        <w:pStyle w:val="ListParagraph"/>
        <w:numPr>
          <w:ilvl w:val="0"/>
          <w:numId w:val="60"/>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replacing subsection 105(1) with new subsection 105(1), which will empower the Minister to, by legislative instrument, determine a list (the </w:t>
      </w:r>
      <w:r w:rsidRPr="00DF1BBF">
        <w:rPr>
          <w:rFonts w:asciiTheme="minorHAnsi" w:eastAsia="Times New Roman" w:hAnsiTheme="minorHAnsi" w:cstheme="minorHAnsi"/>
          <w:b/>
          <w:bCs/>
          <w:color w:val="000000"/>
          <w:szCs w:val="24"/>
          <w:lang w:eastAsia="en-AU"/>
        </w:rPr>
        <w:t>Australian Apprenticeships Priority List</w:t>
      </w:r>
      <w:r>
        <w:rPr>
          <w:rFonts w:asciiTheme="minorHAnsi" w:eastAsia="Times New Roman" w:hAnsiTheme="minorHAnsi" w:cstheme="minorHAnsi"/>
          <w:color w:val="000000"/>
          <w:szCs w:val="24"/>
          <w:lang w:eastAsia="en-AU"/>
        </w:rPr>
        <w:t>) specifying occupations for which, or qualifications leading to occupations for which, in the opinion of the Minister, skilled persons are a priority.</w:t>
      </w:r>
    </w:p>
    <w:p w14:paraId="6B5F2C27" w14:textId="77777777" w:rsidR="00A96A07" w:rsidRDefault="00A96A07" w:rsidP="00A96A07">
      <w:p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lastRenderedPageBreak/>
        <w:t xml:space="preserve">The Trade Support Loans Act as amended by the Amendment Act (the </w:t>
      </w:r>
      <w:r>
        <w:rPr>
          <w:rFonts w:asciiTheme="minorHAnsi" w:eastAsia="Times New Roman" w:hAnsiTheme="minorHAnsi" w:cstheme="minorHAnsi"/>
          <w:b/>
          <w:bCs/>
          <w:i/>
          <w:iCs/>
          <w:color w:val="000000"/>
          <w:szCs w:val="24"/>
          <w:lang w:eastAsia="en-AU"/>
        </w:rPr>
        <w:t xml:space="preserve">Australian Apprenticeship Support Loans Act 2014 </w:t>
      </w:r>
      <w:r>
        <w:rPr>
          <w:rFonts w:asciiTheme="minorHAnsi" w:eastAsia="Times New Roman" w:hAnsiTheme="minorHAnsi" w:cstheme="minorHAnsi"/>
          <w:color w:val="000000"/>
          <w:szCs w:val="24"/>
          <w:lang w:eastAsia="en-AU"/>
        </w:rPr>
        <w:t xml:space="preserve">or the </w:t>
      </w:r>
      <w:r>
        <w:rPr>
          <w:rFonts w:asciiTheme="minorHAnsi" w:eastAsia="Times New Roman" w:hAnsiTheme="minorHAnsi" w:cstheme="minorHAnsi"/>
          <w:b/>
          <w:bCs/>
          <w:color w:val="000000"/>
          <w:szCs w:val="24"/>
          <w:lang w:eastAsia="en-AU"/>
        </w:rPr>
        <w:t>Act</w:t>
      </w:r>
      <w:r>
        <w:rPr>
          <w:rFonts w:asciiTheme="minorHAnsi" w:eastAsia="Times New Roman" w:hAnsiTheme="minorHAnsi" w:cstheme="minorHAnsi"/>
          <w:color w:val="000000"/>
          <w:szCs w:val="24"/>
          <w:lang w:eastAsia="en-AU"/>
        </w:rPr>
        <w:t>) will require the Minister to:</w:t>
      </w:r>
    </w:p>
    <w:p w14:paraId="3D2DB9C5" w14:textId="3D944B73" w:rsidR="00A96A07" w:rsidRDefault="00A96A07" w:rsidP="00977294">
      <w:pPr>
        <w:pStyle w:val="ListParagraph"/>
        <w:numPr>
          <w:ilvl w:val="0"/>
          <w:numId w:val="61"/>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take all reasonable steps to ensure that a legislative instrument is always in force under subsection 105(1)</w:t>
      </w:r>
      <w:r w:rsidR="001D1197">
        <w:rPr>
          <w:rFonts w:asciiTheme="minorHAnsi" w:eastAsia="Times New Roman" w:hAnsiTheme="minorHAnsi" w:cstheme="minorHAnsi"/>
          <w:color w:val="000000"/>
          <w:szCs w:val="24"/>
          <w:lang w:eastAsia="en-AU"/>
        </w:rPr>
        <w:t xml:space="preserve"> of the Act</w:t>
      </w:r>
      <w:r>
        <w:rPr>
          <w:rFonts w:asciiTheme="minorHAnsi" w:eastAsia="Times New Roman" w:hAnsiTheme="minorHAnsi" w:cstheme="minorHAnsi"/>
          <w:color w:val="000000"/>
          <w:szCs w:val="24"/>
          <w:lang w:eastAsia="en-AU"/>
        </w:rPr>
        <w:t>; and</w:t>
      </w:r>
    </w:p>
    <w:p w14:paraId="1E3CA019" w14:textId="77777777" w:rsidR="00A96A07" w:rsidRDefault="00A96A07" w:rsidP="00977294">
      <w:pPr>
        <w:pStyle w:val="ListParagraph"/>
        <w:numPr>
          <w:ilvl w:val="0"/>
          <w:numId w:val="61"/>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in determining the Australian Apprenticeships Priority List, have regard to any relevant advice given to the Minister by Jobs and Skills Australia under section 9 of the </w:t>
      </w:r>
      <w:r>
        <w:rPr>
          <w:rFonts w:asciiTheme="minorHAnsi" w:eastAsia="Times New Roman" w:hAnsiTheme="minorHAnsi" w:cstheme="minorHAnsi"/>
          <w:i/>
          <w:iCs/>
          <w:color w:val="000000"/>
          <w:szCs w:val="24"/>
          <w:lang w:eastAsia="en-AU"/>
        </w:rPr>
        <w:t xml:space="preserve">Jobs and Skills Australia Act 2022 </w:t>
      </w:r>
      <w:r>
        <w:rPr>
          <w:rFonts w:asciiTheme="minorHAnsi" w:eastAsia="Times New Roman" w:hAnsiTheme="minorHAnsi" w:cstheme="minorHAnsi"/>
          <w:color w:val="000000"/>
          <w:szCs w:val="24"/>
          <w:lang w:eastAsia="en-AU"/>
        </w:rPr>
        <w:t xml:space="preserve">in relation to either Australia’s current and emerging labour market (including advice on workforce needs and priorities) or Australia’s current, emerging and future skills and training needs and priorities. </w:t>
      </w:r>
    </w:p>
    <w:p w14:paraId="16D69748" w14:textId="77777777" w:rsidR="00A96A07" w:rsidRPr="00D502DA" w:rsidRDefault="00A96A07" w:rsidP="00A96A07">
      <w:pPr>
        <w:pStyle w:val="Heading1"/>
      </w:pPr>
      <w:r>
        <w:t>PURPOSE AND OPERATION</w:t>
      </w:r>
    </w:p>
    <w:p w14:paraId="41766179" w14:textId="77777777" w:rsidR="00A96A07" w:rsidRDefault="00A96A07" w:rsidP="00A96A07">
      <w:pP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For the purposes of the Act, a qualifying apprenticeship is, among other things, an apprenticeship through which a person is undertaking a qualification that leads to an occupation or qualification specified on the Australian Apprenticeships Priority List.</w:t>
      </w:r>
    </w:p>
    <w:p w14:paraId="75864143" w14:textId="28E63303" w:rsidR="00A96A07" w:rsidRDefault="00B30078" w:rsidP="00A96A07">
      <w:pP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Part 2 of t</w:t>
      </w:r>
      <w:r w:rsidR="00A96A07">
        <w:rPr>
          <w:rFonts w:asciiTheme="minorHAnsi" w:eastAsia="Times New Roman" w:hAnsiTheme="minorHAnsi" w:cstheme="minorHAnsi"/>
          <w:color w:val="000000"/>
          <w:szCs w:val="24"/>
          <w:lang w:eastAsia="en-AU"/>
        </w:rPr>
        <w:t xml:space="preserve">he </w:t>
      </w:r>
      <w:r w:rsidR="00A96A07">
        <w:rPr>
          <w:rFonts w:asciiTheme="minorHAnsi" w:eastAsia="Times New Roman" w:hAnsiTheme="minorHAnsi" w:cstheme="minorHAnsi"/>
          <w:i/>
          <w:iCs/>
          <w:color w:val="000000"/>
          <w:szCs w:val="24"/>
          <w:lang w:eastAsia="en-AU"/>
        </w:rPr>
        <w:t xml:space="preserve">Australian Apprenticeship Support Loans (Australian Apprenticeships Priority List) Determination 2023 </w:t>
      </w:r>
      <w:r w:rsidR="00A96A07">
        <w:rPr>
          <w:rFonts w:asciiTheme="minorHAnsi" w:eastAsia="Times New Roman" w:hAnsiTheme="minorHAnsi" w:cstheme="minorHAnsi"/>
          <w:color w:val="000000"/>
          <w:szCs w:val="24"/>
          <w:lang w:eastAsia="en-AU"/>
        </w:rPr>
        <w:t>(</w:t>
      </w:r>
      <w:r w:rsidR="00A96A07" w:rsidRPr="00C04345">
        <w:rPr>
          <w:rFonts w:asciiTheme="minorHAnsi" w:eastAsia="Times New Roman" w:hAnsiTheme="minorHAnsi" w:cstheme="minorHAnsi"/>
          <w:b/>
          <w:bCs/>
          <w:color w:val="000000"/>
          <w:szCs w:val="24"/>
          <w:lang w:eastAsia="en-AU"/>
        </w:rPr>
        <w:t>this determination</w:t>
      </w:r>
      <w:r w:rsidR="00A96A07">
        <w:rPr>
          <w:rFonts w:asciiTheme="minorHAnsi" w:eastAsia="Times New Roman" w:hAnsiTheme="minorHAnsi" w:cstheme="minorHAnsi"/>
          <w:color w:val="000000"/>
          <w:szCs w:val="24"/>
          <w:lang w:eastAsia="en-AU"/>
        </w:rPr>
        <w:t xml:space="preserve">) is the Australian Apprenticeships Priority List. </w:t>
      </w:r>
      <w:r w:rsidR="00E036BD">
        <w:rPr>
          <w:rFonts w:asciiTheme="minorHAnsi" w:eastAsia="Times New Roman" w:hAnsiTheme="minorHAnsi" w:cstheme="minorHAnsi"/>
          <w:color w:val="000000"/>
          <w:szCs w:val="24"/>
          <w:lang w:eastAsia="en-AU"/>
        </w:rPr>
        <w:t>Section 6 of t</w:t>
      </w:r>
      <w:r w:rsidR="00A96A07">
        <w:rPr>
          <w:rFonts w:asciiTheme="minorHAnsi" w:eastAsia="Times New Roman" w:hAnsiTheme="minorHAnsi" w:cstheme="minorHAnsi"/>
          <w:color w:val="000000"/>
          <w:szCs w:val="24"/>
          <w:lang w:eastAsia="en-AU"/>
        </w:rPr>
        <w:t>his determination specifies, for the purposes of paragraph 105(1)(a) of the Act, occupations for which, in the opinion of the Minister, skilled persons are a priority. The occupations specified in this determination are all in the ANZSCO ‘technicians and trade workers’ or ‘community and personal service workers’ major groups.</w:t>
      </w:r>
    </w:p>
    <w:p w14:paraId="3A828D2B" w14:textId="223FC1E0" w:rsidR="00A96A07" w:rsidRDefault="00A96A07" w:rsidP="00A96A07">
      <w:pP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The Minister has made </w:t>
      </w:r>
      <w:r w:rsidR="003D2851">
        <w:rPr>
          <w:rFonts w:asciiTheme="minorHAnsi" w:eastAsia="Times New Roman" w:hAnsiTheme="minorHAnsi" w:cstheme="minorHAnsi"/>
          <w:color w:val="000000"/>
          <w:szCs w:val="24"/>
          <w:lang w:eastAsia="en-AU"/>
        </w:rPr>
        <w:t xml:space="preserve">Part 2 of </w:t>
      </w:r>
      <w:r>
        <w:rPr>
          <w:rFonts w:asciiTheme="minorHAnsi" w:eastAsia="Times New Roman" w:hAnsiTheme="minorHAnsi" w:cstheme="minorHAnsi"/>
          <w:color w:val="000000"/>
          <w:szCs w:val="24"/>
          <w:lang w:eastAsia="en-AU"/>
        </w:rPr>
        <w:t>this determination having had regard to advice given</w:t>
      </w:r>
      <w:r w:rsidR="00393619">
        <w:rPr>
          <w:rFonts w:asciiTheme="minorHAnsi" w:eastAsia="Times New Roman" w:hAnsiTheme="minorHAnsi" w:cstheme="minorHAnsi"/>
          <w:color w:val="000000"/>
          <w:szCs w:val="24"/>
          <w:lang w:eastAsia="en-AU"/>
        </w:rPr>
        <w:t xml:space="preserve"> to the Minister</w:t>
      </w:r>
      <w:r>
        <w:rPr>
          <w:rFonts w:asciiTheme="minorHAnsi" w:eastAsia="Times New Roman" w:hAnsiTheme="minorHAnsi" w:cstheme="minorHAnsi"/>
          <w:color w:val="000000"/>
          <w:szCs w:val="24"/>
          <w:lang w:eastAsia="en-AU"/>
        </w:rPr>
        <w:t xml:space="preserve"> under paragraph 9(a) of the Jobs and Skills Australia Act. That advice is reflected in Jobs and Skills Australia’s 2023 Skills Priority List (which, in </w:t>
      </w:r>
      <w:r w:rsidR="00845A07">
        <w:rPr>
          <w:rFonts w:asciiTheme="minorHAnsi" w:eastAsia="Times New Roman" w:hAnsiTheme="minorHAnsi" w:cstheme="minorHAnsi"/>
          <w:color w:val="000000"/>
          <w:szCs w:val="24"/>
          <w:lang w:eastAsia="en-AU"/>
        </w:rPr>
        <w:t xml:space="preserve">December </w:t>
      </w:r>
      <w:r>
        <w:rPr>
          <w:rFonts w:asciiTheme="minorHAnsi" w:eastAsia="Times New Roman" w:hAnsiTheme="minorHAnsi" w:cstheme="minorHAnsi"/>
          <w:color w:val="000000"/>
          <w:szCs w:val="24"/>
          <w:lang w:eastAsia="en-AU"/>
        </w:rPr>
        <w:t xml:space="preserve">2023, could be accessed at: </w:t>
      </w:r>
      <w:r w:rsidRPr="00920D28">
        <w:rPr>
          <w:rFonts w:asciiTheme="minorHAnsi" w:eastAsia="Times New Roman" w:hAnsiTheme="minorHAnsi" w:cstheme="minorHAnsi"/>
          <w:color w:val="000000"/>
          <w:szCs w:val="24"/>
          <w:u w:val="single"/>
          <w:lang w:eastAsia="en-AU"/>
        </w:rPr>
        <w:t>www.jobsandskills.gov.au/data/skills-priority-list</w:t>
      </w:r>
      <w:r>
        <w:rPr>
          <w:rFonts w:asciiTheme="minorHAnsi" w:eastAsia="Times New Roman" w:hAnsiTheme="minorHAnsi" w:cstheme="minorHAnsi"/>
          <w:color w:val="000000"/>
          <w:szCs w:val="24"/>
          <w:lang w:eastAsia="en-AU"/>
        </w:rPr>
        <w:t xml:space="preserve">). </w:t>
      </w:r>
    </w:p>
    <w:p w14:paraId="3D6E7EC4" w14:textId="77777777" w:rsidR="00A96A07" w:rsidRDefault="00A96A07" w:rsidP="00A96A07">
      <w:pP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This determination will operate to support the delivery of the Australian Apprenticeship Support Loans program. The effect of this determination, read with the Act and with section 8 of the </w:t>
      </w:r>
      <w:r>
        <w:rPr>
          <w:rFonts w:asciiTheme="minorHAnsi" w:eastAsia="Times New Roman" w:hAnsiTheme="minorHAnsi" w:cstheme="minorHAnsi"/>
          <w:i/>
          <w:iCs/>
          <w:color w:val="000000"/>
          <w:szCs w:val="24"/>
          <w:lang w:eastAsia="en-AU"/>
        </w:rPr>
        <w:t>Australian Apprenticeship Support Loans Rules 2023</w:t>
      </w:r>
      <w:r>
        <w:rPr>
          <w:rFonts w:asciiTheme="minorHAnsi" w:eastAsia="Times New Roman" w:hAnsiTheme="minorHAnsi" w:cstheme="minorHAnsi"/>
          <w:color w:val="000000"/>
          <w:szCs w:val="24"/>
          <w:lang w:eastAsia="en-AU"/>
        </w:rPr>
        <w:t>, is that a qualifying apprenticeship is an apprenticeship or traineeship through which a person is undertaking a qualification:</w:t>
      </w:r>
    </w:p>
    <w:p w14:paraId="4078FC5A" w14:textId="47F155AD" w:rsidR="006856C8" w:rsidRDefault="00A96A07" w:rsidP="00977294">
      <w:pPr>
        <w:pStyle w:val="ListParagraph"/>
        <w:numPr>
          <w:ilvl w:val="0"/>
          <w:numId w:val="62"/>
        </w:numPr>
        <w:spacing w:after="20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at level 3, level 4, level 5 or level 6 in the Australian Qualifications Framework (which, in </w:t>
      </w:r>
      <w:r w:rsidR="00845A07">
        <w:rPr>
          <w:rFonts w:asciiTheme="minorHAnsi" w:eastAsia="Times New Roman" w:hAnsiTheme="minorHAnsi" w:cstheme="minorHAnsi"/>
          <w:color w:val="000000"/>
          <w:szCs w:val="24"/>
          <w:lang w:eastAsia="en-AU"/>
        </w:rPr>
        <w:t xml:space="preserve">December </w:t>
      </w:r>
      <w:r>
        <w:rPr>
          <w:rFonts w:asciiTheme="minorHAnsi" w:eastAsia="Times New Roman" w:hAnsiTheme="minorHAnsi" w:cstheme="minorHAnsi"/>
          <w:color w:val="000000"/>
          <w:szCs w:val="24"/>
          <w:lang w:eastAsia="en-AU"/>
        </w:rPr>
        <w:t xml:space="preserve">2023, could be accessed at: </w:t>
      </w:r>
      <w:r w:rsidRPr="00261F48">
        <w:rPr>
          <w:rFonts w:asciiTheme="minorHAnsi" w:eastAsia="Times New Roman" w:hAnsiTheme="minorHAnsi" w:cstheme="minorHAnsi"/>
          <w:color w:val="000000"/>
          <w:szCs w:val="24"/>
          <w:u w:val="single"/>
          <w:lang w:eastAsia="en-AU"/>
        </w:rPr>
        <w:t>www.aqf.edu.au/framework/australian-qualifications-framework</w:t>
      </w:r>
      <w:r>
        <w:rPr>
          <w:rFonts w:asciiTheme="minorHAnsi" w:eastAsia="Times New Roman" w:hAnsiTheme="minorHAnsi" w:cstheme="minorHAnsi"/>
          <w:color w:val="000000"/>
          <w:szCs w:val="24"/>
          <w:lang w:eastAsia="en-AU"/>
        </w:rPr>
        <w:t xml:space="preserve">); </w:t>
      </w:r>
    </w:p>
    <w:p w14:paraId="5301FE5E" w14:textId="7AF43559" w:rsidR="00A96A07" w:rsidRDefault="006856C8" w:rsidP="00977294">
      <w:pPr>
        <w:pStyle w:val="ListParagraph"/>
        <w:numPr>
          <w:ilvl w:val="0"/>
          <w:numId w:val="62"/>
        </w:numPr>
        <w:spacing w:after="20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that is included on the National Register (</w:t>
      </w:r>
      <w:r w:rsidR="00320805" w:rsidRPr="00320805">
        <w:rPr>
          <w:rFonts w:asciiTheme="minorHAnsi" w:eastAsia="Times New Roman" w:hAnsiTheme="minorHAnsi" w:cstheme="minorHAnsi"/>
          <w:color w:val="000000"/>
          <w:szCs w:val="24"/>
          <w:u w:val="single"/>
          <w:lang w:eastAsia="en-AU"/>
        </w:rPr>
        <w:t>www.training.gov.au</w:t>
      </w:r>
      <w:r w:rsidR="00512175">
        <w:rPr>
          <w:rFonts w:asciiTheme="minorHAnsi" w:eastAsia="Times New Roman" w:hAnsiTheme="minorHAnsi" w:cstheme="minorHAnsi"/>
          <w:color w:val="000000"/>
          <w:szCs w:val="24"/>
          <w:lang w:eastAsia="en-AU"/>
        </w:rPr>
        <w:t xml:space="preserve">); </w:t>
      </w:r>
      <w:r w:rsidR="00A96A07" w:rsidRPr="00512175">
        <w:rPr>
          <w:rFonts w:asciiTheme="minorHAnsi" w:eastAsia="Times New Roman" w:hAnsiTheme="minorHAnsi" w:cstheme="minorHAnsi"/>
          <w:color w:val="000000"/>
          <w:szCs w:val="24"/>
          <w:lang w:eastAsia="en-AU"/>
        </w:rPr>
        <w:t>and</w:t>
      </w:r>
      <w:r w:rsidR="00A96A07">
        <w:rPr>
          <w:rFonts w:asciiTheme="minorHAnsi" w:eastAsia="Times New Roman" w:hAnsiTheme="minorHAnsi" w:cstheme="minorHAnsi"/>
          <w:color w:val="000000"/>
          <w:szCs w:val="24"/>
          <w:lang w:eastAsia="en-AU"/>
        </w:rPr>
        <w:t xml:space="preserve"> </w:t>
      </w:r>
    </w:p>
    <w:p w14:paraId="0E883BD6" w14:textId="7624519A" w:rsidR="00A96A07" w:rsidRDefault="00A96A07" w:rsidP="00977294">
      <w:pPr>
        <w:pStyle w:val="ListParagraph"/>
        <w:numPr>
          <w:ilvl w:val="0"/>
          <w:numId w:val="62"/>
        </w:numPr>
        <w:spacing w:after="20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leading to an occupation specified in </w:t>
      </w:r>
      <w:r w:rsidR="00BE5381">
        <w:rPr>
          <w:rFonts w:asciiTheme="minorHAnsi" w:eastAsia="Times New Roman" w:hAnsiTheme="minorHAnsi" w:cstheme="minorHAnsi"/>
          <w:color w:val="000000"/>
          <w:szCs w:val="24"/>
          <w:lang w:eastAsia="en-AU"/>
        </w:rPr>
        <w:t>Part 2</w:t>
      </w:r>
      <w:r>
        <w:rPr>
          <w:rFonts w:asciiTheme="minorHAnsi" w:eastAsia="Times New Roman" w:hAnsiTheme="minorHAnsi" w:cstheme="minorHAnsi"/>
          <w:color w:val="000000"/>
          <w:szCs w:val="24"/>
          <w:lang w:eastAsia="en-AU"/>
        </w:rPr>
        <w:t xml:space="preserve"> of this determination.</w:t>
      </w:r>
    </w:p>
    <w:p w14:paraId="57106B4D" w14:textId="2BD2B5B7" w:rsidR="00F139B0" w:rsidRPr="00F139B0" w:rsidRDefault="00F139B0" w:rsidP="00F139B0">
      <w:pPr>
        <w:spacing w:after="20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This determination also sets out</w:t>
      </w:r>
      <w:r w:rsidR="00285EE7">
        <w:rPr>
          <w:rFonts w:asciiTheme="minorHAnsi" w:eastAsia="Times New Roman" w:hAnsiTheme="minorHAnsi" w:cstheme="minorHAnsi"/>
          <w:color w:val="000000"/>
          <w:szCs w:val="24"/>
          <w:lang w:eastAsia="en-AU"/>
        </w:rPr>
        <w:t xml:space="preserve"> </w:t>
      </w:r>
      <w:r>
        <w:rPr>
          <w:rFonts w:asciiTheme="minorHAnsi" w:eastAsia="Times New Roman" w:hAnsiTheme="minorHAnsi" w:cstheme="minorHAnsi"/>
          <w:color w:val="000000"/>
          <w:szCs w:val="24"/>
          <w:lang w:eastAsia="en-AU"/>
        </w:rPr>
        <w:t xml:space="preserve">transitional arrangements </w:t>
      </w:r>
      <w:r w:rsidR="000F3320">
        <w:rPr>
          <w:rFonts w:asciiTheme="minorHAnsi" w:eastAsia="Times New Roman" w:hAnsiTheme="minorHAnsi" w:cstheme="minorHAnsi"/>
          <w:color w:val="000000"/>
          <w:szCs w:val="24"/>
          <w:lang w:eastAsia="en-AU"/>
        </w:rPr>
        <w:t xml:space="preserve">for a person who, before the commencement of this determination, was undertaking a qualification leading </w:t>
      </w:r>
      <w:r w:rsidR="00EA7DFB">
        <w:rPr>
          <w:rFonts w:asciiTheme="minorHAnsi" w:eastAsia="Times New Roman" w:hAnsiTheme="minorHAnsi" w:cstheme="minorHAnsi"/>
          <w:color w:val="000000"/>
          <w:szCs w:val="24"/>
          <w:lang w:eastAsia="en-AU"/>
        </w:rPr>
        <w:t>to an</w:t>
      </w:r>
      <w:r>
        <w:rPr>
          <w:rFonts w:asciiTheme="minorHAnsi" w:eastAsia="Times New Roman" w:hAnsiTheme="minorHAnsi" w:cstheme="minorHAnsi"/>
          <w:color w:val="000000"/>
          <w:szCs w:val="24"/>
          <w:lang w:eastAsia="en-AU"/>
        </w:rPr>
        <w:t xml:space="preserve"> occupation </w:t>
      </w:r>
      <w:r w:rsidR="00EA7DFB">
        <w:rPr>
          <w:rFonts w:asciiTheme="minorHAnsi" w:eastAsia="Times New Roman" w:hAnsiTheme="minorHAnsi" w:cstheme="minorHAnsi"/>
          <w:color w:val="000000"/>
          <w:szCs w:val="24"/>
          <w:lang w:eastAsia="en-AU"/>
        </w:rPr>
        <w:t>or</w:t>
      </w:r>
      <w:r>
        <w:rPr>
          <w:rFonts w:asciiTheme="minorHAnsi" w:eastAsia="Times New Roman" w:hAnsiTheme="minorHAnsi" w:cstheme="minorHAnsi"/>
          <w:color w:val="000000"/>
          <w:szCs w:val="24"/>
          <w:lang w:eastAsia="en-AU"/>
        </w:rPr>
        <w:t xml:space="preserve"> qualification that w</w:t>
      </w:r>
      <w:r w:rsidR="00EA7DFB">
        <w:rPr>
          <w:rFonts w:asciiTheme="minorHAnsi" w:eastAsia="Times New Roman" w:hAnsiTheme="minorHAnsi" w:cstheme="minorHAnsi"/>
          <w:color w:val="000000"/>
          <w:szCs w:val="24"/>
          <w:lang w:eastAsia="en-AU"/>
        </w:rPr>
        <w:t>as</w:t>
      </w:r>
      <w:r>
        <w:rPr>
          <w:rFonts w:asciiTheme="minorHAnsi" w:eastAsia="Times New Roman" w:hAnsiTheme="minorHAnsi" w:cstheme="minorHAnsi"/>
          <w:color w:val="000000"/>
          <w:szCs w:val="24"/>
          <w:lang w:eastAsia="en-AU"/>
        </w:rPr>
        <w:t xml:space="preserve"> specified on the TSL Priority List. </w:t>
      </w:r>
      <w:r w:rsidR="00EA7DFB">
        <w:rPr>
          <w:rFonts w:asciiTheme="minorHAnsi" w:eastAsia="Times New Roman" w:hAnsiTheme="minorHAnsi" w:cstheme="minorHAnsi"/>
          <w:color w:val="000000"/>
          <w:szCs w:val="24"/>
          <w:lang w:eastAsia="en-AU"/>
        </w:rPr>
        <w:t xml:space="preserve">The </w:t>
      </w:r>
      <w:r w:rsidR="00EA7DFB" w:rsidRPr="00992256">
        <w:rPr>
          <w:rFonts w:asciiTheme="minorHAnsi" w:eastAsia="Times New Roman" w:hAnsiTheme="minorHAnsi" w:cstheme="minorHAnsi"/>
          <w:color w:val="000000"/>
          <w:szCs w:val="24"/>
          <w:lang w:eastAsia="en-AU"/>
        </w:rPr>
        <w:t>Australian Apprenticeship Support Loans Rules</w:t>
      </w:r>
      <w:r w:rsidR="00EA7DFB">
        <w:rPr>
          <w:rFonts w:asciiTheme="minorHAnsi" w:eastAsia="Times New Roman" w:hAnsiTheme="minorHAnsi" w:cstheme="minorHAnsi"/>
          <w:i/>
          <w:iCs/>
          <w:color w:val="000000"/>
          <w:szCs w:val="24"/>
          <w:lang w:eastAsia="en-AU"/>
        </w:rPr>
        <w:t xml:space="preserve"> </w:t>
      </w:r>
      <w:r w:rsidR="001D1197">
        <w:rPr>
          <w:rFonts w:asciiTheme="minorHAnsi" w:eastAsia="Times New Roman" w:hAnsiTheme="minorHAnsi" w:cstheme="minorHAnsi"/>
          <w:color w:val="000000"/>
          <w:szCs w:val="24"/>
          <w:lang w:eastAsia="en-AU"/>
        </w:rPr>
        <w:t>also set out</w:t>
      </w:r>
      <w:r w:rsidR="00EA7DFB">
        <w:rPr>
          <w:rFonts w:asciiTheme="minorHAnsi" w:eastAsia="Times New Roman" w:hAnsiTheme="minorHAnsi" w:cstheme="minorHAnsi"/>
          <w:color w:val="000000"/>
          <w:szCs w:val="24"/>
          <w:lang w:eastAsia="en-AU"/>
        </w:rPr>
        <w:t xml:space="preserve"> transitional arrangements for such a person</w:t>
      </w:r>
      <w:r w:rsidR="001D1197">
        <w:rPr>
          <w:rFonts w:asciiTheme="minorHAnsi" w:eastAsia="Times New Roman" w:hAnsiTheme="minorHAnsi" w:cstheme="minorHAnsi"/>
          <w:color w:val="000000"/>
          <w:szCs w:val="24"/>
          <w:lang w:eastAsia="en-AU"/>
        </w:rPr>
        <w:t>.</w:t>
      </w:r>
    </w:p>
    <w:p w14:paraId="1B6C327F" w14:textId="77777777" w:rsidR="00A96A07" w:rsidRPr="00D502DA" w:rsidRDefault="00A96A07" w:rsidP="00A96A07">
      <w:pPr>
        <w:pStyle w:val="Heading1"/>
      </w:pPr>
      <w:r>
        <w:lastRenderedPageBreak/>
        <w:t>CONSULTATION</w:t>
      </w:r>
    </w:p>
    <w:p w14:paraId="20D9FCFE" w14:textId="5FA7B0F3" w:rsidR="00A96A07" w:rsidRDefault="00A96A07" w:rsidP="00A96A07">
      <w:pP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Jobs and Skills Australia’s 2023 Skills Priority List informed </w:t>
      </w:r>
      <w:r w:rsidR="00737553">
        <w:rPr>
          <w:rFonts w:asciiTheme="minorHAnsi" w:eastAsia="Times New Roman" w:hAnsiTheme="minorHAnsi" w:cstheme="minorHAnsi"/>
          <w:color w:val="000000"/>
          <w:szCs w:val="24"/>
          <w:lang w:eastAsia="en-AU"/>
        </w:rPr>
        <w:t>the occupations</w:t>
      </w:r>
      <w:r>
        <w:rPr>
          <w:rFonts w:asciiTheme="minorHAnsi" w:eastAsia="Times New Roman" w:hAnsiTheme="minorHAnsi" w:cstheme="minorHAnsi"/>
          <w:color w:val="000000"/>
          <w:szCs w:val="24"/>
          <w:lang w:eastAsia="en-AU"/>
        </w:rPr>
        <w:t xml:space="preserve"> specified in </w:t>
      </w:r>
      <w:r w:rsidR="001C5330">
        <w:rPr>
          <w:rFonts w:asciiTheme="minorHAnsi" w:eastAsia="Times New Roman" w:hAnsiTheme="minorHAnsi" w:cstheme="minorHAnsi"/>
          <w:color w:val="000000"/>
          <w:szCs w:val="24"/>
          <w:lang w:eastAsia="en-AU"/>
        </w:rPr>
        <w:t>Part</w:t>
      </w:r>
      <w:r w:rsidR="001D1197">
        <w:rPr>
          <w:rFonts w:asciiTheme="minorHAnsi" w:eastAsia="Times New Roman" w:hAnsiTheme="minorHAnsi" w:cstheme="minorHAnsi"/>
          <w:color w:val="000000"/>
          <w:szCs w:val="24"/>
          <w:lang w:eastAsia="en-AU"/>
        </w:rPr>
        <w:t> </w:t>
      </w:r>
      <w:r w:rsidR="001C5330">
        <w:rPr>
          <w:rFonts w:asciiTheme="minorHAnsi" w:eastAsia="Times New Roman" w:hAnsiTheme="minorHAnsi" w:cstheme="minorHAnsi"/>
          <w:color w:val="000000"/>
          <w:szCs w:val="24"/>
          <w:lang w:eastAsia="en-AU"/>
        </w:rPr>
        <w:t>2</w:t>
      </w:r>
      <w:r>
        <w:rPr>
          <w:rFonts w:asciiTheme="minorHAnsi" w:eastAsia="Times New Roman" w:hAnsiTheme="minorHAnsi" w:cstheme="minorHAnsi"/>
          <w:color w:val="000000"/>
          <w:szCs w:val="24"/>
          <w:lang w:eastAsia="en-AU"/>
        </w:rPr>
        <w:t xml:space="preserve"> of this determination. Jobs and Skills Australia consulted extensively in the development of that list, including with industry associations, employer groups, employee groups and individuals. That consultation was considered appropriate for the purposes of making this determination. </w:t>
      </w:r>
    </w:p>
    <w:p w14:paraId="65CB615B" w14:textId="77777777" w:rsidR="00A96A07" w:rsidRPr="00D502DA" w:rsidRDefault="00A96A07" w:rsidP="00A96A07">
      <w:pPr>
        <w:pStyle w:val="Heading1"/>
      </w:pPr>
      <w:r>
        <w:t>IMPACT ANALYSIS</w:t>
      </w:r>
    </w:p>
    <w:p w14:paraId="4662CC08" w14:textId="46D02BFD" w:rsidR="00A96A07" w:rsidRDefault="00A96A07" w:rsidP="00A96A07">
      <w:pP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An impact analysis related to the reforms the Amendment Act will implement appears</w:t>
      </w:r>
      <w:r w:rsidR="00D34AEF">
        <w:rPr>
          <w:rFonts w:asciiTheme="minorHAnsi" w:eastAsia="Times New Roman" w:hAnsiTheme="minorHAnsi" w:cstheme="minorHAnsi"/>
          <w:color w:val="000000"/>
          <w:szCs w:val="24"/>
          <w:lang w:eastAsia="en-AU"/>
        </w:rPr>
        <w:t xml:space="preserve"> as an </w:t>
      </w:r>
      <w:r w:rsidR="00DD2438">
        <w:rPr>
          <w:rFonts w:asciiTheme="minorHAnsi" w:eastAsia="Times New Roman" w:hAnsiTheme="minorHAnsi" w:cstheme="minorHAnsi"/>
          <w:color w:val="000000"/>
          <w:szCs w:val="24"/>
          <w:lang w:eastAsia="en-AU"/>
        </w:rPr>
        <w:t>a</w:t>
      </w:r>
      <w:r w:rsidR="00D34AEF">
        <w:rPr>
          <w:rFonts w:asciiTheme="minorHAnsi" w:eastAsia="Times New Roman" w:hAnsiTheme="minorHAnsi" w:cstheme="minorHAnsi"/>
          <w:color w:val="000000"/>
          <w:szCs w:val="24"/>
          <w:lang w:eastAsia="en-AU"/>
        </w:rPr>
        <w:t>ppendix</w:t>
      </w:r>
      <w:r>
        <w:rPr>
          <w:rFonts w:asciiTheme="minorHAnsi" w:eastAsia="Times New Roman" w:hAnsiTheme="minorHAnsi" w:cstheme="minorHAnsi"/>
          <w:color w:val="000000"/>
          <w:szCs w:val="24"/>
          <w:lang w:eastAsia="en-AU"/>
        </w:rPr>
        <w:t xml:space="preserve"> at the end of this explanatory statement. The reforms relevant to the Amendment Act and this determination are summarised on page 31 of that analysis.</w:t>
      </w:r>
    </w:p>
    <w:p w14:paraId="573A1EEE" w14:textId="77777777" w:rsidR="00A96A07" w:rsidRDefault="00A96A07" w:rsidP="00A96A07">
      <w:pPr>
        <w:rPr>
          <w:rFonts w:asciiTheme="minorHAnsi" w:hAnsiTheme="minorHAnsi" w:cstheme="minorHAnsi"/>
          <w:b/>
          <w:szCs w:val="24"/>
        </w:rPr>
      </w:pPr>
      <w:r>
        <w:br w:type="page"/>
      </w:r>
    </w:p>
    <w:p w14:paraId="6BC169FF" w14:textId="77777777" w:rsidR="00A96A07" w:rsidRDefault="00A96A07" w:rsidP="00A96A07">
      <w:pPr>
        <w:pStyle w:val="Heading1"/>
        <w:jc w:val="center"/>
      </w:pPr>
      <w:r>
        <w:lastRenderedPageBreak/>
        <w:t>STATEMENT OF COMPATIBILITY WITH HUMAN RIGHTS</w:t>
      </w:r>
    </w:p>
    <w:p w14:paraId="760C5E29" w14:textId="77777777" w:rsidR="00A96A07" w:rsidRDefault="00A96A07" w:rsidP="00A96A07">
      <w:pPr>
        <w:spacing w:after="0"/>
        <w:jc w:val="center"/>
        <w:rPr>
          <w:rFonts w:asciiTheme="minorHAnsi" w:hAnsiTheme="minorHAnsi" w:cstheme="minorHAnsi"/>
          <w:i/>
          <w:iCs/>
        </w:rPr>
      </w:pPr>
      <w:r>
        <w:rPr>
          <w:rFonts w:asciiTheme="minorHAnsi" w:hAnsiTheme="minorHAnsi" w:cstheme="minorHAnsi"/>
          <w:i/>
          <w:iCs/>
        </w:rPr>
        <w:t>Prepared in accordance with Part 3 of the Human Rights (Parliamentary Scrutiny) Act 2011</w:t>
      </w:r>
    </w:p>
    <w:p w14:paraId="538534EB" w14:textId="77777777" w:rsidR="00A96A07" w:rsidRDefault="00A96A07" w:rsidP="00A96A07">
      <w:pPr>
        <w:spacing w:after="0"/>
        <w:rPr>
          <w:rFonts w:asciiTheme="minorHAnsi" w:hAnsiTheme="minorHAnsi" w:cstheme="minorHAnsi"/>
          <w:b/>
          <w:bCs/>
          <w:i/>
          <w:iCs/>
        </w:rPr>
      </w:pPr>
    </w:p>
    <w:p w14:paraId="384BF61C" w14:textId="77777777" w:rsidR="00A96A07" w:rsidRPr="004F2EDB" w:rsidRDefault="00A96A07" w:rsidP="00A96A07">
      <w:pPr>
        <w:spacing w:after="0"/>
        <w:jc w:val="center"/>
        <w:rPr>
          <w:rFonts w:asciiTheme="minorHAnsi" w:hAnsiTheme="minorHAnsi" w:cstheme="minorHAnsi"/>
          <w:b/>
          <w:bCs/>
          <w:i/>
          <w:iCs/>
        </w:rPr>
      </w:pPr>
      <w:r>
        <w:rPr>
          <w:rFonts w:asciiTheme="minorHAnsi" w:hAnsiTheme="minorHAnsi" w:cstheme="minorHAnsi"/>
          <w:b/>
          <w:bCs/>
          <w:i/>
          <w:iCs/>
        </w:rPr>
        <w:t>Australian Apprenticeship Support Loans (Australian Apprenticeships Priority List) Determination 2023</w:t>
      </w:r>
    </w:p>
    <w:p w14:paraId="552D68BC" w14:textId="77777777" w:rsidR="00A96A07" w:rsidRDefault="00A96A07" w:rsidP="00A96A07">
      <w:pPr>
        <w:spacing w:after="0"/>
        <w:jc w:val="center"/>
        <w:rPr>
          <w:rFonts w:asciiTheme="minorHAnsi" w:hAnsiTheme="minorHAnsi" w:cstheme="minorHAnsi"/>
        </w:rPr>
      </w:pPr>
    </w:p>
    <w:p w14:paraId="4A17E8F6" w14:textId="77777777" w:rsidR="00A96A07" w:rsidRDefault="00A96A07" w:rsidP="00A96A07">
      <w:pPr>
        <w:spacing w:after="0"/>
        <w:jc w:val="center"/>
        <w:rPr>
          <w:rFonts w:asciiTheme="minorHAnsi" w:hAnsiTheme="minorHAnsi" w:cstheme="minorHAnsi"/>
        </w:rPr>
      </w:pPr>
      <w:r>
        <w:rPr>
          <w:rFonts w:asciiTheme="minorHAnsi" w:hAnsiTheme="minorHAnsi" w:cstheme="minorHAnsi"/>
        </w:rPr>
        <w:t xml:space="preserve">This disallowable legislative instrument is compatible with the human rights and freedoms recognised or declared in the international instruments listed in section 3 of the </w:t>
      </w:r>
      <w:r>
        <w:rPr>
          <w:rFonts w:asciiTheme="minorHAnsi" w:hAnsiTheme="minorHAnsi" w:cstheme="minorHAnsi"/>
          <w:i/>
          <w:iCs/>
        </w:rPr>
        <w:t>Human Rights (Parliamentary Scrutiny) Act 2011</w:t>
      </w:r>
      <w:r>
        <w:rPr>
          <w:rFonts w:asciiTheme="minorHAnsi" w:hAnsiTheme="minorHAnsi" w:cstheme="minorHAnsi"/>
        </w:rPr>
        <w:t>.</w:t>
      </w:r>
    </w:p>
    <w:p w14:paraId="1250F817" w14:textId="77777777" w:rsidR="00A96A07" w:rsidRDefault="00A96A07" w:rsidP="00A96A07">
      <w:pPr>
        <w:spacing w:after="0"/>
        <w:jc w:val="center"/>
        <w:rPr>
          <w:rFonts w:asciiTheme="minorHAnsi" w:hAnsiTheme="minorHAnsi" w:cstheme="minorHAnsi"/>
        </w:rPr>
      </w:pPr>
    </w:p>
    <w:p w14:paraId="474A5236" w14:textId="77777777" w:rsidR="00A96A07" w:rsidRDefault="00A96A07" w:rsidP="00A96A07">
      <w:pPr>
        <w:rPr>
          <w:rFonts w:asciiTheme="minorHAnsi" w:hAnsiTheme="minorHAnsi" w:cstheme="minorHAnsi"/>
          <w:b/>
          <w:bCs/>
        </w:rPr>
      </w:pPr>
      <w:r>
        <w:rPr>
          <w:rFonts w:asciiTheme="minorHAnsi" w:hAnsiTheme="minorHAnsi" w:cstheme="minorHAnsi"/>
          <w:b/>
          <w:bCs/>
        </w:rPr>
        <w:t>Overview of this disallowable legislative instrument</w:t>
      </w:r>
    </w:p>
    <w:p w14:paraId="0940C2E1" w14:textId="2FCDD5A6" w:rsidR="00A96A07" w:rsidRDefault="00A96A07" w:rsidP="027CAC9B">
      <w:pPr>
        <w:shd w:val="clear" w:color="auto" w:fill="FFFFFF" w:themeFill="background1"/>
        <w:spacing w:after="240"/>
        <w:rPr>
          <w:rFonts w:asciiTheme="minorHAnsi" w:eastAsia="Times New Roman" w:hAnsiTheme="minorHAnsi"/>
          <w:color w:val="000000"/>
          <w:lang w:eastAsia="en-AU"/>
        </w:rPr>
      </w:pPr>
      <w:r w:rsidRPr="027CAC9B">
        <w:rPr>
          <w:rFonts w:asciiTheme="minorHAnsi" w:eastAsia="Times New Roman" w:hAnsiTheme="minorHAnsi"/>
          <w:color w:val="000000" w:themeColor="text1"/>
          <w:lang w:eastAsia="en-AU"/>
        </w:rPr>
        <w:t xml:space="preserve">The </w:t>
      </w:r>
      <w:r w:rsidRPr="027CAC9B">
        <w:rPr>
          <w:rFonts w:asciiTheme="minorHAnsi" w:eastAsia="Times New Roman" w:hAnsiTheme="minorHAnsi"/>
          <w:i/>
          <w:iCs/>
          <w:color w:val="000000" w:themeColor="text1"/>
          <w:lang w:eastAsia="en-AU"/>
        </w:rPr>
        <w:t xml:space="preserve">Trade Support Loans Act 2014 </w:t>
      </w:r>
      <w:r w:rsidRPr="027CAC9B">
        <w:rPr>
          <w:rFonts w:asciiTheme="minorHAnsi" w:eastAsia="Times New Roman" w:hAnsiTheme="minorHAnsi"/>
          <w:color w:val="000000" w:themeColor="text1"/>
          <w:lang w:eastAsia="en-AU"/>
        </w:rPr>
        <w:t>establishes the Trade Support Loans program, which presently aims to increase the number of people completing apprenticeships leading to priority trade occupations by providing financial support to eligible people to assist them with the costs of living and learning while undertaking an apprenticeship. This is achieved by offering eligible people concessional income contingent loans (up to a lifetime maximum of $24,492 for the 2023</w:t>
      </w:r>
      <w:r w:rsidR="19B66C98" w:rsidRPr="027CAC9B">
        <w:rPr>
          <w:rFonts w:asciiTheme="minorHAnsi" w:eastAsia="Times New Roman" w:hAnsiTheme="minorHAnsi"/>
          <w:color w:val="000000" w:themeColor="text1"/>
          <w:lang w:eastAsia="en-AU"/>
        </w:rPr>
        <w:t>-</w:t>
      </w:r>
      <w:r w:rsidRPr="027CAC9B">
        <w:rPr>
          <w:rFonts w:asciiTheme="minorHAnsi" w:eastAsia="Times New Roman" w:hAnsiTheme="minorHAnsi"/>
          <w:color w:val="000000" w:themeColor="text1"/>
          <w:lang w:eastAsia="en-AU"/>
        </w:rPr>
        <w:t>24 income year), which are paid back when the taxable income of the person reaches the repayment threshold. For the 2023-24 income year, the compulsory repayment threshold is $51,550.</w:t>
      </w:r>
    </w:p>
    <w:p w14:paraId="1480DC60" w14:textId="4DB7848A" w:rsidR="00A96A07" w:rsidRDefault="00A96A07" w:rsidP="00A96A07">
      <w:p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On 23 November 2023, the Governor-General fixed, by Proclamation, 1 January 2024 as the day on which the </w:t>
      </w:r>
      <w:r w:rsidRPr="006C1BFE">
        <w:rPr>
          <w:rFonts w:asciiTheme="minorHAnsi" w:eastAsia="Times New Roman" w:hAnsiTheme="minorHAnsi" w:cstheme="minorHAnsi"/>
          <w:i/>
          <w:iCs/>
          <w:color w:val="000000"/>
          <w:szCs w:val="24"/>
          <w:lang w:eastAsia="en-AU"/>
        </w:rPr>
        <w:t>Trade Support Loans Amendment Act</w:t>
      </w:r>
      <w:r>
        <w:rPr>
          <w:rFonts w:asciiTheme="minorHAnsi" w:eastAsia="Times New Roman" w:hAnsiTheme="minorHAnsi" w:cstheme="minorHAnsi"/>
          <w:i/>
          <w:iCs/>
          <w:color w:val="000000"/>
          <w:szCs w:val="24"/>
          <w:lang w:eastAsia="en-AU"/>
        </w:rPr>
        <w:t xml:space="preserve"> 2023 </w:t>
      </w:r>
      <w:r>
        <w:rPr>
          <w:rFonts w:asciiTheme="minorHAnsi" w:eastAsia="Times New Roman" w:hAnsiTheme="minorHAnsi" w:cstheme="minorHAnsi"/>
          <w:color w:val="000000"/>
          <w:szCs w:val="24"/>
          <w:lang w:eastAsia="en-AU"/>
        </w:rPr>
        <w:t>(</w:t>
      </w:r>
      <w:r w:rsidRPr="00CE6A33">
        <w:rPr>
          <w:rFonts w:asciiTheme="minorHAnsi" w:eastAsia="Times New Roman" w:hAnsiTheme="minorHAnsi" w:cstheme="minorHAnsi"/>
          <w:b/>
          <w:bCs/>
          <w:color w:val="000000"/>
          <w:szCs w:val="24"/>
          <w:lang w:eastAsia="en-AU"/>
        </w:rPr>
        <w:t>Amendment Act</w:t>
      </w:r>
      <w:r>
        <w:rPr>
          <w:rFonts w:asciiTheme="minorHAnsi" w:eastAsia="Times New Roman" w:hAnsiTheme="minorHAnsi" w:cstheme="minorHAnsi"/>
          <w:color w:val="000000"/>
          <w:szCs w:val="24"/>
          <w:lang w:eastAsia="en-AU"/>
        </w:rPr>
        <w:t xml:space="preserve">) commences. The Amendment Act will expand the Trade Support Loans program to people undertaking apprenticeships and traineeships leading to a broader range of priority occupations, including non-trade occupations in other ANZSCO major groups (for example, in the ‘community and personal service workers’ major group) (in </w:t>
      </w:r>
      <w:r w:rsidR="00845A07">
        <w:rPr>
          <w:rFonts w:asciiTheme="minorHAnsi" w:eastAsia="Times New Roman" w:hAnsiTheme="minorHAnsi" w:cstheme="minorHAnsi"/>
          <w:color w:val="000000"/>
          <w:szCs w:val="24"/>
          <w:lang w:eastAsia="en-AU"/>
        </w:rPr>
        <w:t xml:space="preserve">December </w:t>
      </w:r>
      <w:r>
        <w:rPr>
          <w:rFonts w:asciiTheme="minorHAnsi" w:eastAsia="Times New Roman" w:hAnsiTheme="minorHAnsi" w:cstheme="minorHAnsi"/>
          <w:color w:val="000000"/>
          <w:szCs w:val="24"/>
          <w:lang w:eastAsia="en-AU"/>
        </w:rPr>
        <w:t xml:space="preserve">2023, the ANZSCO could be accessed at: </w:t>
      </w:r>
      <w:r w:rsidRPr="00F1420A">
        <w:rPr>
          <w:rFonts w:asciiTheme="minorHAnsi" w:eastAsia="Times New Roman" w:hAnsiTheme="minorHAnsi" w:cstheme="minorHAnsi"/>
          <w:color w:val="000000"/>
          <w:szCs w:val="24"/>
          <w:u w:val="single"/>
          <w:lang w:eastAsia="en-AU"/>
        </w:rPr>
        <w:t>www.abs.gov.au/statistics/classifications/anzsco-australian-and-new-zealand-standard-classification-occupations</w:t>
      </w:r>
      <w:r>
        <w:rPr>
          <w:rFonts w:asciiTheme="minorHAnsi" w:eastAsia="Times New Roman" w:hAnsiTheme="minorHAnsi" w:cstheme="minorHAnsi"/>
          <w:color w:val="000000"/>
          <w:szCs w:val="24"/>
          <w:lang w:eastAsia="en-AU"/>
        </w:rPr>
        <w:t>). To reflect this expansion, the program will be renamed the Australian Apprenticeship Support Loans program.</w:t>
      </w:r>
    </w:p>
    <w:p w14:paraId="2E930FEA" w14:textId="77777777" w:rsidR="00A96A07" w:rsidRDefault="00A96A07" w:rsidP="00A96A07">
      <w:p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The Amendment Act will facilitate this expansion by, among other things:</w:t>
      </w:r>
    </w:p>
    <w:p w14:paraId="5AD650F5" w14:textId="77777777" w:rsidR="00A96A07" w:rsidRDefault="00A96A07" w:rsidP="00977294">
      <w:pPr>
        <w:pStyle w:val="ListParagraph"/>
        <w:numPr>
          <w:ilvl w:val="0"/>
          <w:numId w:val="60"/>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repealing subsection 105(1) and causing the TSL Priority List to lapse;</w:t>
      </w:r>
    </w:p>
    <w:p w14:paraId="6AECB5BF" w14:textId="77777777" w:rsidR="00A96A07" w:rsidRDefault="00A96A07" w:rsidP="00977294">
      <w:pPr>
        <w:pStyle w:val="ListParagraph"/>
        <w:numPr>
          <w:ilvl w:val="0"/>
          <w:numId w:val="60"/>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replacing subsection 105(1) with new subsection 105(1), which will empower the Minister to, by legislative instrument, determine a list (the </w:t>
      </w:r>
      <w:r w:rsidRPr="00DF1BBF">
        <w:rPr>
          <w:rFonts w:asciiTheme="minorHAnsi" w:eastAsia="Times New Roman" w:hAnsiTheme="minorHAnsi" w:cstheme="minorHAnsi"/>
          <w:b/>
          <w:bCs/>
          <w:color w:val="000000"/>
          <w:szCs w:val="24"/>
          <w:lang w:eastAsia="en-AU"/>
        </w:rPr>
        <w:t>Australian Apprenticeships Priority List</w:t>
      </w:r>
      <w:r>
        <w:rPr>
          <w:rFonts w:asciiTheme="minorHAnsi" w:eastAsia="Times New Roman" w:hAnsiTheme="minorHAnsi" w:cstheme="minorHAnsi"/>
          <w:color w:val="000000"/>
          <w:szCs w:val="24"/>
          <w:lang w:eastAsia="en-AU"/>
        </w:rPr>
        <w:t>) specifying occupations for which, or qualifications leading to occupations for which, in the opinion of the Minister, skilled persons are a priority.</w:t>
      </w:r>
    </w:p>
    <w:p w14:paraId="16054C10" w14:textId="77777777" w:rsidR="00A96A07" w:rsidRDefault="00A96A07" w:rsidP="00A96A07">
      <w:p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The Trade Support Loans Act as amended by the Amendment Act (the </w:t>
      </w:r>
      <w:r>
        <w:rPr>
          <w:rFonts w:asciiTheme="minorHAnsi" w:eastAsia="Times New Roman" w:hAnsiTheme="minorHAnsi" w:cstheme="minorHAnsi"/>
          <w:b/>
          <w:bCs/>
          <w:i/>
          <w:iCs/>
          <w:color w:val="000000"/>
          <w:szCs w:val="24"/>
          <w:lang w:eastAsia="en-AU"/>
        </w:rPr>
        <w:t xml:space="preserve">Australian Apprenticeship Support Loans Act 2014 </w:t>
      </w:r>
      <w:r>
        <w:rPr>
          <w:rFonts w:asciiTheme="minorHAnsi" w:eastAsia="Times New Roman" w:hAnsiTheme="minorHAnsi" w:cstheme="minorHAnsi"/>
          <w:color w:val="000000"/>
          <w:szCs w:val="24"/>
          <w:lang w:eastAsia="en-AU"/>
        </w:rPr>
        <w:t xml:space="preserve">or the </w:t>
      </w:r>
      <w:r>
        <w:rPr>
          <w:rFonts w:asciiTheme="minorHAnsi" w:eastAsia="Times New Roman" w:hAnsiTheme="minorHAnsi" w:cstheme="minorHAnsi"/>
          <w:b/>
          <w:bCs/>
          <w:color w:val="000000"/>
          <w:szCs w:val="24"/>
          <w:lang w:eastAsia="en-AU"/>
        </w:rPr>
        <w:t>Act</w:t>
      </w:r>
      <w:r>
        <w:rPr>
          <w:rFonts w:asciiTheme="minorHAnsi" w:eastAsia="Times New Roman" w:hAnsiTheme="minorHAnsi" w:cstheme="minorHAnsi"/>
          <w:color w:val="000000"/>
          <w:szCs w:val="24"/>
          <w:lang w:eastAsia="en-AU"/>
        </w:rPr>
        <w:t>) will require the Minister to:</w:t>
      </w:r>
    </w:p>
    <w:p w14:paraId="6443B609" w14:textId="496FE73E" w:rsidR="00A96A07" w:rsidRDefault="00A96A07" w:rsidP="00977294">
      <w:pPr>
        <w:pStyle w:val="ListParagraph"/>
        <w:numPr>
          <w:ilvl w:val="0"/>
          <w:numId w:val="61"/>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lastRenderedPageBreak/>
        <w:t>take all reasonable steps to ensure that a legislative instrument is always in force under subsection 105(1)</w:t>
      </w:r>
      <w:r w:rsidR="001D1197">
        <w:rPr>
          <w:rFonts w:asciiTheme="minorHAnsi" w:eastAsia="Times New Roman" w:hAnsiTheme="minorHAnsi" w:cstheme="minorHAnsi"/>
          <w:color w:val="000000"/>
          <w:szCs w:val="24"/>
          <w:lang w:eastAsia="en-AU"/>
        </w:rPr>
        <w:t xml:space="preserve"> of the Act</w:t>
      </w:r>
      <w:r>
        <w:rPr>
          <w:rFonts w:asciiTheme="minorHAnsi" w:eastAsia="Times New Roman" w:hAnsiTheme="minorHAnsi" w:cstheme="minorHAnsi"/>
          <w:color w:val="000000"/>
          <w:szCs w:val="24"/>
          <w:lang w:eastAsia="en-AU"/>
        </w:rPr>
        <w:t>; and</w:t>
      </w:r>
    </w:p>
    <w:p w14:paraId="14AB6844" w14:textId="77777777" w:rsidR="00A96A07" w:rsidRDefault="00A96A07" w:rsidP="00977294">
      <w:pPr>
        <w:pStyle w:val="ListParagraph"/>
        <w:numPr>
          <w:ilvl w:val="0"/>
          <w:numId w:val="61"/>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in determining the Australian Apprenticeships Priority List, have regard to any relevant advice given to the Minister by Jobs and Skills Australia under section 9 of the </w:t>
      </w:r>
      <w:r>
        <w:rPr>
          <w:rFonts w:asciiTheme="minorHAnsi" w:eastAsia="Times New Roman" w:hAnsiTheme="minorHAnsi" w:cstheme="minorHAnsi"/>
          <w:i/>
          <w:iCs/>
          <w:color w:val="000000"/>
          <w:szCs w:val="24"/>
          <w:lang w:eastAsia="en-AU"/>
        </w:rPr>
        <w:t xml:space="preserve">Jobs and Skills Australia Act 2022 </w:t>
      </w:r>
      <w:r>
        <w:rPr>
          <w:rFonts w:asciiTheme="minorHAnsi" w:eastAsia="Times New Roman" w:hAnsiTheme="minorHAnsi" w:cstheme="minorHAnsi"/>
          <w:color w:val="000000"/>
          <w:szCs w:val="24"/>
          <w:lang w:eastAsia="en-AU"/>
        </w:rPr>
        <w:t>in relation to either Australia’s current and emerging labour market (including advice on workforce needs and priorities) or Australia’s current, emerging and future skills and training needs and priorities.</w:t>
      </w:r>
    </w:p>
    <w:p w14:paraId="0ECBA8E3" w14:textId="77777777" w:rsidR="00A96A07" w:rsidRDefault="00A96A07" w:rsidP="00A96A07">
      <w:pP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For the purposes of the Act, a qualifying apprenticeship is, among other things, an apprenticeship through which a person is undertaking a qualification that leads to an occupation or qualification specified on the Australian Apprenticeships Priority List.</w:t>
      </w:r>
    </w:p>
    <w:p w14:paraId="361AB813" w14:textId="2D90BDE9" w:rsidR="00A96A07" w:rsidRDefault="00E71E6D" w:rsidP="00A96A07">
      <w:pP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Part 2 of t</w:t>
      </w:r>
      <w:r w:rsidR="00A96A07">
        <w:rPr>
          <w:rFonts w:asciiTheme="minorHAnsi" w:eastAsia="Times New Roman" w:hAnsiTheme="minorHAnsi" w:cstheme="minorHAnsi"/>
          <w:color w:val="000000"/>
          <w:szCs w:val="24"/>
          <w:lang w:eastAsia="en-AU"/>
        </w:rPr>
        <w:t xml:space="preserve">he </w:t>
      </w:r>
      <w:r w:rsidR="00A96A07">
        <w:rPr>
          <w:rFonts w:asciiTheme="minorHAnsi" w:eastAsia="Times New Roman" w:hAnsiTheme="minorHAnsi" w:cstheme="minorHAnsi"/>
          <w:i/>
          <w:iCs/>
          <w:color w:val="000000"/>
          <w:szCs w:val="24"/>
          <w:lang w:eastAsia="en-AU"/>
        </w:rPr>
        <w:t xml:space="preserve">Australian Apprenticeship Support Loans (Australian Apprenticeships Priority List) Determination 2023 </w:t>
      </w:r>
      <w:r w:rsidR="00A96A07">
        <w:rPr>
          <w:rFonts w:asciiTheme="minorHAnsi" w:eastAsia="Times New Roman" w:hAnsiTheme="minorHAnsi" w:cstheme="minorHAnsi"/>
          <w:color w:val="000000"/>
          <w:szCs w:val="24"/>
          <w:lang w:eastAsia="en-AU"/>
        </w:rPr>
        <w:t>(</w:t>
      </w:r>
      <w:r w:rsidR="00A96A07" w:rsidRPr="00C04345">
        <w:rPr>
          <w:rFonts w:asciiTheme="minorHAnsi" w:eastAsia="Times New Roman" w:hAnsiTheme="minorHAnsi" w:cstheme="minorHAnsi"/>
          <w:b/>
          <w:bCs/>
          <w:color w:val="000000"/>
          <w:szCs w:val="24"/>
          <w:lang w:eastAsia="en-AU"/>
        </w:rPr>
        <w:t>this determination</w:t>
      </w:r>
      <w:r w:rsidR="00A96A07">
        <w:rPr>
          <w:rFonts w:asciiTheme="minorHAnsi" w:eastAsia="Times New Roman" w:hAnsiTheme="minorHAnsi" w:cstheme="minorHAnsi"/>
          <w:color w:val="000000"/>
          <w:szCs w:val="24"/>
          <w:lang w:eastAsia="en-AU"/>
        </w:rPr>
        <w:t xml:space="preserve">) is the Australian Apprenticeships Priority List. </w:t>
      </w:r>
      <w:r>
        <w:rPr>
          <w:rFonts w:asciiTheme="minorHAnsi" w:eastAsia="Times New Roman" w:hAnsiTheme="minorHAnsi" w:cstheme="minorHAnsi"/>
          <w:color w:val="000000"/>
          <w:szCs w:val="24"/>
          <w:lang w:eastAsia="en-AU"/>
        </w:rPr>
        <w:t>Section 6 of t</w:t>
      </w:r>
      <w:r w:rsidR="00A96A07">
        <w:rPr>
          <w:rFonts w:asciiTheme="minorHAnsi" w:eastAsia="Times New Roman" w:hAnsiTheme="minorHAnsi" w:cstheme="minorHAnsi"/>
          <w:color w:val="000000"/>
          <w:szCs w:val="24"/>
          <w:lang w:eastAsia="en-AU"/>
        </w:rPr>
        <w:t>his determination specifies, for the purposes of paragraph 105(1)(a) of the Act, occupations for which, in the opinion of the Minister, skilled persons are a priority. The occupations specified in this determination are all in the ANZSCO ‘technicians and trade workers’ or ‘community and personal service workers’ major groups.</w:t>
      </w:r>
    </w:p>
    <w:p w14:paraId="3A147FCD" w14:textId="32B926B7" w:rsidR="00A96A07" w:rsidRDefault="00A96A07" w:rsidP="00A96A07">
      <w:pP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The Minister has made</w:t>
      </w:r>
      <w:r w:rsidR="00BE5381">
        <w:rPr>
          <w:rFonts w:asciiTheme="minorHAnsi" w:eastAsia="Times New Roman" w:hAnsiTheme="minorHAnsi" w:cstheme="minorHAnsi"/>
          <w:color w:val="000000"/>
          <w:szCs w:val="24"/>
          <w:lang w:eastAsia="en-AU"/>
        </w:rPr>
        <w:t xml:space="preserve"> Part 2 of</w:t>
      </w:r>
      <w:r>
        <w:rPr>
          <w:rFonts w:asciiTheme="minorHAnsi" w:eastAsia="Times New Roman" w:hAnsiTheme="minorHAnsi" w:cstheme="minorHAnsi"/>
          <w:color w:val="000000"/>
          <w:szCs w:val="24"/>
          <w:lang w:eastAsia="en-AU"/>
        </w:rPr>
        <w:t xml:space="preserve"> this determination having had regard to advice given</w:t>
      </w:r>
      <w:r w:rsidR="00E71E6D">
        <w:rPr>
          <w:rFonts w:asciiTheme="minorHAnsi" w:eastAsia="Times New Roman" w:hAnsiTheme="minorHAnsi" w:cstheme="minorHAnsi"/>
          <w:color w:val="000000"/>
          <w:szCs w:val="24"/>
          <w:lang w:eastAsia="en-AU"/>
        </w:rPr>
        <w:t xml:space="preserve"> to the Minister</w:t>
      </w:r>
      <w:r>
        <w:rPr>
          <w:rFonts w:asciiTheme="minorHAnsi" w:eastAsia="Times New Roman" w:hAnsiTheme="minorHAnsi" w:cstheme="minorHAnsi"/>
          <w:color w:val="000000"/>
          <w:szCs w:val="24"/>
          <w:lang w:eastAsia="en-AU"/>
        </w:rPr>
        <w:t xml:space="preserve"> under paragraph 9(a) of the Jobs and Skills Australia Act. That advice is reflected in Jobs and Skills Australia’s 2023 Skills Priority List (which, in </w:t>
      </w:r>
      <w:r w:rsidR="00845A07">
        <w:rPr>
          <w:rFonts w:asciiTheme="minorHAnsi" w:eastAsia="Times New Roman" w:hAnsiTheme="minorHAnsi" w:cstheme="minorHAnsi"/>
          <w:color w:val="000000"/>
          <w:szCs w:val="24"/>
          <w:lang w:eastAsia="en-AU"/>
        </w:rPr>
        <w:t>December</w:t>
      </w:r>
      <w:r>
        <w:rPr>
          <w:rFonts w:asciiTheme="minorHAnsi" w:eastAsia="Times New Roman" w:hAnsiTheme="minorHAnsi" w:cstheme="minorHAnsi"/>
          <w:color w:val="000000"/>
          <w:szCs w:val="24"/>
          <w:lang w:eastAsia="en-AU"/>
        </w:rPr>
        <w:t xml:space="preserve"> 2023, could be accessed at: </w:t>
      </w:r>
      <w:r w:rsidRPr="00920D28">
        <w:rPr>
          <w:rFonts w:asciiTheme="minorHAnsi" w:eastAsia="Times New Roman" w:hAnsiTheme="minorHAnsi" w:cstheme="minorHAnsi"/>
          <w:color w:val="000000"/>
          <w:szCs w:val="24"/>
          <w:u w:val="single"/>
          <w:lang w:eastAsia="en-AU"/>
        </w:rPr>
        <w:t>www.jobsandskills.gov.au/data/skills-priority-list</w:t>
      </w:r>
      <w:r>
        <w:rPr>
          <w:rFonts w:asciiTheme="minorHAnsi" w:eastAsia="Times New Roman" w:hAnsiTheme="minorHAnsi" w:cstheme="minorHAnsi"/>
          <w:color w:val="000000"/>
          <w:szCs w:val="24"/>
          <w:lang w:eastAsia="en-AU"/>
        </w:rPr>
        <w:t xml:space="preserve">). </w:t>
      </w:r>
    </w:p>
    <w:p w14:paraId="3F77BF94" w14:textId="77777777" w:rsidR="00A96A07" w:rsidRDefault="00A96A07" w:rsidP="00A96A07">
      <w:pP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This determination will operate to support the delivery of the Australian Apprenticeship Support Loans program. The effect of this determination, read with the Act and with section 8 of the </w:t>
      </w:r>
      <w:r>
        <w:rPr>
          <w:rFonts w:asciiTheme="minorHAnsi" w:eastAsia="Times New Roman" w:hAnsiTheme="minorHAnsi" w:cstheme="minorHAnsi"/>
          <w:i/>
          <w:iCs/>
          <w:color w:val="000000"/>
          <w:szCs w:val="24"/>
          <w:lang w:eastAsia="en-AU"/>
        </w:rPr>
        <w:t>Australian Apprenticeship Support Loans Rules 2023</w:t>
      </w:r>
      <w:r>
        <w:rPr>
          <w:rFonts w:asciiTheme="minorHAnsi" w:eastAsia="Times New Roman" w:hAnsiTheme="minorHAnsi" w:cstheme="minorHAnsi"/>
          <w:color w:val="000000"/>
          <w:szCs w:val="24"/>
          <w:lang w:eastAsia="en-AU"/>
        </w:rPr>
        <w:t>, is that a qualifying apprenticeship is an apprenticeship or traineeship through which a person is undertaking a qualification:</w:t>
      </w:r>
    </w:p>
    <w:p w14:paraId="65EED580" w14:textId="040F184B" w:rsidR="006856C8" w:rsidRDefault="00A96A07" w:rsidP="00977294">
      <w:pPr>
        <w:pStyle w:val="ListParagraph"/>
        <w:numPr>
          <w:ilvl w:val="0"/>
          <w:numId w:val="62"/>
        </w:numPr>
        <w:spacing w:after="20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at level 3, level 4, level 5 or level 6 in the Australian Qualifications Framework (which, in </w:t>
      </w:r>
      <w:r w:rsidR="00845A07">
        <w:rPr>
          <w:rFonts w:asciiTheme="minorHAnsi" w:eastAsia="Times New Roman" w:hAnsiTheme="minorHAnsi" w:cstheme="minorHAnsi"/>
          <w:color w:val="000000"/>
          <w:szCs w:val="24"/>
          <w:lang w:eastAsia="en-AU"/>
        </w:rPr>
        <w:t xml:space="preserve">December </w:t>
      </w:r>
      <w:r>
        <w:rPr>
          <w:rFonts w:asciiTheme="minorHAnsi" w:eastAsia="Times New Roman" w:hAnsiTheme="minorHAnsi" w:cstheme="minorHAnsi"/>
          <w:color w:val="000000"/>
          <w:szCs w:val="24"/>
          <w:lang w:eastAsia="en-AU"/>
        </w:rPr>
        <w:t xml:space="preserve">2023, could be accessed at: </w:t>
      </w:r>
      <w:r w:rsidRPr="00261F48">
        <w:rPr>
          <w:rFonts w:asciiTheme="minorHAnsi" w:eastAsia="Times New Roman" w:hAnsiTheme="minorHAnsi" w:cstheme="minorHAnsi"/>
          <w:color w:val="000000"/>
          <w:szCs w:val="24"/>
          <w:u w:val="single"/>
          <w:lang w:eastAsia="en-AU"/>
        </w:rPr>
        <w:t>www.aqf.edu.au/framework/australian-qualifications-framework</w:t>
      </w:r>
      <w:r>
        <w:rPr>
          <w:rFonts w:asciiTheme="minorHAnsi" w:eastAsia="Times New Roman" w:hAnsiTheme="minorHAnsi" w:cstheme="minorHAnsi"/>
          <w:color w:val="000000"/>
          <w:szCs w:val="24"/>
          <w:lang w:eastAsia="en-AU"/>
        </w:rPr>
        <w:t xml:space="preserve">); </w:t>
      </w:r>
    </w:p>
    <w:p w14:paraId="6FFD5E04" w14:textId="4D792DB4" w:rsidR="00A96A07" w:rsidRDefault="006856C8" w:rsidP="00977294">
      <w:pPr>
        <w:pStyle w:val="ListParagraph"/>
        <w:numPr>
          <w:ilvl w:val="0"/>
          <w:numId w:val="62"/>
        </w:numPr>
        <w:spacing w:after="20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that is included on the National Register (</w:t>
      </w:r>
      <w:r w:rsidR="006371FA" w:rsidRPr="006371FA">
        <w:rPr>
          <w:rFonts w:asciiTheme="minorHAnsi" w:eastAsia="Times New Roman" w:hAnsiTheme="minorHAnsi" w:cstheme="minorHAnsi"/>
          <w:color w:val="000000"/>
          <w:szCs w:val="24"/>
          <w:u w:val="single"/>
          <w:lang w:eastAsia="en-AU"/>
        </w:rPr>
        <w:t>www.training.gov.au</w:t>
      </w:r>
      <w:r>
        <w:rPr>
          <w:rFonts w:asciiTheme="minorHAnsi" w:eastAsia="Times New Roman" w:hAnsiTheme="minorHAnsi" w:cstheme="minorHAnsi"/>
          <w:color w:val="000000"/>
          <w:szCs w:val="24"/>
          <w:lang w:eastAsia="en-AU"/>
        </w:rPr>
        <w:t xml:space="preserve">); </w:t>
      </w:r>
      <w:r w:rsidR="00A96A07" w:rsidRPr="006856C8">
        <w:rPr>
          <w:rFonts w:asciiTheme="minorHAnsi" w:eastAsia="Times New Roman" w:hAnsiTheme="minorHAnsi" w:cstheme="minorHAnsi"/>
          <w:color w:val="000000"/>
          <w:szCs w:val="24"/>
          <w:lang w:eastAsia="en-AU"/>
        </w:rPr>
        <w:t>and</w:t>
      </w:r>
      <w:r w:rsidR="00A96A07">
        <w:rPr>
          <w:rFonts w:asciiTheme="minorHAnsi" w:eastAsia="Times New Roman" w:hAnsiTheme="minorHAnsi" w:cstheme="minorHAnsi"/>
          <w:color w:val="000000"/>
          <w:szCs w:val="24"/>
          <w:lang w:eastAsia="en-AU"/>
        </w:rPr>
        <w:t xml:space="preserve"> </w:t>
      </w:r>
    </w:p>
    <w:p w14:paraId="660CA3B5" w14:textId="5223B89B" w:rsidR="00A96A07" w:rsidRDefault="00A96A07" w:rsidP="00977294">
      <w:pPr>
        <w:pStyle w:val="ListParagraph"/>
        <w:numPr>
          <w:ilvl w:val="0"/>
          <w:numId w:val="62"/>
        </w:numPr>
        <w:spacing w:after="20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leading to an occupation specified in </w:t>
      </w:r>
      <w:r w:rsidR="0074507C">
        <w:rPr>
          <w:rFonts w:asciiTheme="minorHAnsi" w:eastAsia="Times New Roman" w:hAnsiTheme="minorHAnsi" w:cstheme="minorHAnsi"/>
          <w:color w:val="000000"/>
          <w:szCs w:val="24"/>
          <w:lang w:eastAsia="en-AU"/>
        </w:rPr>
        <w:t>Part 2</w:t>
      </w:r>
      <w:r>
        <w:rPr>
          <w:rFonts w:asciiTheme="minorHAnsi" w:eastAsia="Times New Roman" w:hAnsiTheme="minorHAnsi" w:cstheme="minorHAnsi"/>
          <w:color w:val="000000"/>
          <w:szCs w:val="24"/>
          <w:lang w:eastAsia="en-AU"/>
        </w:rPr>
        <w:t xml:space="preserve"> of this determination.</w:t>
      </w:r>
    </w:p>
    <w:p w14:paraId="3562FC82" w14:textId="4133A8C2" w:rsidR="001D1197" w:rsidRPr="00F139B0" w:rsidRDefault="001D1197" w:rsidP="00737553">
      <w:pPr>
        <w:spacing w:after="20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This determination also sets out transitional arrangements for a person who, before the commencement of this determination, was undertaking a qualification leading to an occupation or qualification that was specified on the TSL Priority List. The </w:t>
      </w:r>
      <w:r w:rsidRPr="00992256">
        <w:rPr>
          <w:rFonts w:asciiTheme="minorHAnsi" w:eastAsia="Times New Roman" w:hAnsiTheme="minorHAnsi" w:cstheme="minorHAnsi"/>
          <w:color w:val="000000"/>
          <w:szCs w:val="24"/>
          <w:lang w:eastAsia="en-AU"/>
        </w:rPr>
        <w:t>Australian Apprenticeship Support Loans Rules</w:t>
      </w:r>
      <w:r>
        <w:rPr>
          <w:rFonts w:asciiTheme="minorHAnsi" w:eastAsia="Times New Roman" w:hAnsiTheme="minorHAnsi" w:cstheme="minorHAnsi"/>
          <w:i/>
          <w:iCs/>
          <w:color w:val="000000"/>
          <w:szCs w:val="24"/>
          <w:lang w:eastAsia="en-AU"/>
        </w:rPr>
        <w:t xml:space="preserve"> </w:t>
      </w:r>
      <w:r>
        <w:rPr>
          <w:rFonts w:asciiTheme="minorHAnsi" w:eastAsia="Times New Roman" w:hAnsiTheme="minorHAnsi" w:cstheme="minorHAnsi"/>
          <w:color w:val="000000"/>
          <w:szCs w:val="24"/>
          <w:lang w:eastAsia="en-AU"/>
        </w:rPr>
        <w:t>also set out transitional arrangements for such a person.</w:t>
      </w:r>
    </w:p>
    <w:p w14:paraId="0DF13218" w14:textId="77777777" w:rsidR="00A96A07" w:rsidRPr="00DF25A4" w:rsidRDefault="00A96A07" w:rsidP="00A96A07">
      <w:pPr>
        <w:rPr>
          <w:rFonts w:asciiTheme="minorHAnsi" w:hAnsiTheme="minorHAnsi" w:cstheme="minorHAnsi"/>
          <w:b/>
          <w:bCs/>
        </w:rPr>
      </w:pPr>
      <w:r>
        <w:rPr>
          <w:rFonts w:asciiTheme="minorHAnsi" w:hAnsiTheme="minorHAnsi" w:cstheme="minorHAnsi"/>
          <w:b/>
          <w:bCs/>
        </w:rPr>
        <w:t>Human rights implications</w:t>
      </w:r>
    </w:p>
    <w:p w14:paraId="791B864D" w14:textId="77777777" w:rsidR="00A96A07" w:rsidRDefault="00A96A07" w:rsidP="00A96A07">
      <w:pPr>
        <w:rPr>
          <w:rFonts w:asciiTheme="minorHAnsi" w:hAnsiTheme="minorHAnsi" w:cstheme="minorHAnsi"/>
          <w:bCs/>
          <w:szCs w:val="24"/>
        </w:rPr>
      </w:pPr>
      <w:r>
        <w:rPr>
          <w:rFonts w:asciiTheme="minorHAnsi" w:hAnsiTheme="minorHAnsi" w:cstheme="minorHAnsi"/>
          <w:bCs/>
          <w:szCs w:val="24"/>
        </w:rPr>
        <w:t>This disallowable legislative instrument engages the following rights:</w:t>
      </w:r>
    </w:p>
    <w:p w14:paraId="2FFC3208" w14:textId="77777777" w:rsidR="00A96A07" w:rsidRDefault="00A96A07" w:rsidP="00977294">
      <w:pPr>
        <w:pStyle w:val="ListParagraph"/>
        <w:numPr>
          <w:ilvl w:val="0"/>
          <w:numId w:val="63"/>
        </w:numPr>
        <w:rPr>
          <w:rFonts w:asciiTheme="minorHAnsi" w:hAnsiTheme="minorHAnsi" w:cstheme="minorHAnsi"/>
          <w:bCs/>
          <w:szCs w:val="24"/>
        </w:rPr>
      </w:pPr>
      <w:r>
        <w:rPr>
          <w:rFonts w:asciiTheme="minorHAnsi" w:hAnsiTheme="minorHAnsi" w:cstheme="minorHAnsi"/>
          <w:bCs/>
          <w:szCs w:val="24"/>
        </w:rPr>
        <w:lastRenderedPageBreak/>
        <w:t>the right to work; and</w:t>
      </w:r>
    </w:p>
    <w:p w14:paraId="791832B2" w14:textId="77777777" w:rsidR="00A96A07" w:rsidRDefault="00A96A07" w:rsidP="00977294">
      <w:pPr>
        <w:pStyle w:val="ListParagraph"/>
        <w:numPr>
          <w:ilvl w:val="0"/>
          <w:numId w:val="63"/>
        </w:numPr>
        <w:rPr>
          <w:rFonts w:asciiTheme="minorHAnsi" w:hAnsiTheme="minorHAnsi" w:cstheme="minorHAnsi"/>
          <w:bCs/>
          <w:szCs w:val="24"/>
        </w:rPr>
      </w:pPr>
      <w:r>
        <w:rPr>
          <w:rFonts w:asciiTheme="minorHAnsi" w:hAnsiTheme="minorHAnsi" w:cstheme="minorHAnsi"/>
          <w:bCs/>
          <w:szCs w:val="24"/>
        </w:rPr>
        <w:t>the right to education.</w:t>
      </w:r>
    </w:p>
    <w:p w14:paraId="305DD60B" w14:textId="77777777" w:rsidR="00A96A07" w:rsidRPr="0006005C" w:rsidRDefault="00A96A07" w:rsidP="00A96A07">
      <w:pPr>
        <w:rPr>
          <w:rFonts w:asciiTheme="minorHAnsi" w:hAnsiTheme="minorHAnsi" w:cstheme="minorHAnsi"/>
          <w:u w:val="single"/>
        </w:rPr>
      </w:pPr>
      <w:r w:rsidRPr="0006005C">
        <w:rPr>
          <w:rFonts w:asciiTheme="minorHAnsi" w:hAnsiTheme="minorHAnsi" w:cstheme="minorHAnsi"/>
          <w:u w:val="single"/>
        </w:rPr>
        <w:t>Right to work</w:t>
      </w:r>
    </w:p>
    <w:p w14:paraId="1AE935BF" w14:textId="77777777" w:rsidR="00A96A07" w:rsidRDefault="00A96A07" w:rsidP="00A96A07">
      <w:pPr>
        <w:rPr>
          <w:rFonts w:asciiTheme="minorHAnsi" w:hAnsiTheme="minorHAnsi" w:cstheme="minorHAnsi"/>
        </w:rPr>
      </w:pPr>
      <w:r>
        <w:rPr>
          <w:rFonts w:asciiTheme="minorHAnsi" w:hAnsiTheme="minorHAnsi" w:cstheme="minorHAnsi"/>
        </w:rPr>
        <w:t>Article 6 of the International Covenant on Economic, Social and Cultural Rights (</w:t>
      </w:r>
      <w:r w:rsidRPr="00485E95">
        <w:rPr>
          <w:rFonts w:asciiTheme="minorHAnsi" w:hAnsiTheme="minorHAnsi" w:cstheme="minorHAnsi"/>
          <w:b/>
          <w:bCs/>
        </w:rPr>
        <w:t>ICESCR</w:t>
      </w:r>
      <w:r>
        <w:rPr>
          <w:rFonts w:asciiTheme="minorHAnsi" w:hAnsiTheme="minorHAnsi" w:cstheme="minorHAnsi"/>
        </w:rPr>
        <w:t xml:space="preserve">) states that States Parties will recognise the right to work (which includes the right of everyone to the opportunity to gain their living by work which they freely choose or accept) and to take appropriate steps to safeguard that right. </w:t>
      </w:r>
    </w:p>
    <w:p w14:paraId="7FBF9A61" w14:textId="77777777" w:rsidR="00A96A07" w:rsidRDefault="00A96A07" w:rsidP="00A96A07">
      <w:pPr>
        <w:rPr>
          <w:rFonts w:asciiTheme="minorHAnsi" w:hAnsiTheme="minorHAnsi" w:cstheme="minorHAnsi"/>
        </w:rPr>
      </w:pPr>
      <w:r>
        <w:rPr>
          <w:rFonts w:asciiTheme="minorHAnsi" w:hAnsiTheme="minorHAnsi" w:cstheme="minorHAnsi"/>
        </w:rPr>
        <w:t>That article sets out the steps States Parties must take to achieve the full realisation of the right to work, including providing technical and vocational guidance and training programs, policies and techniques to achieve steady economic, social and cultural development, and full and productive employment under conditions safeguarding fundamental political and economic freedom to the individual. The obligation to fulfill the right to work requires States Parties to, among other things, take positive measures to enable and assist individuals to enjoy the right to work and to implement technical and vocational education plans to facilitate access to employment.</w:t>
      </w:r>
    </w:p>
    <w:p w14:paraId="74926BB4" w14:textId="77777777" w:rsidR="00A96A07" w:rsidRDefault="00A96A07" w:rsidP="00A96A07">
      <w:pPr>
        <w:rPr>
          <w:rFonts w:asciiTheme="minorHAnsi" w:hAnsiTheme="minorHAnsi" w:cstheme="minorHAnsi"/>
        </w:rPr>
      </w:pPr>
      <w:r>
        <w:rPr>
          <w:rFonts w:asciiTheme="minorHAnsi" w:hAnsiTheme="minorHAnsi" w:cstheme="minorHAnsi"/>
        </w:rPr>
        <w:t>This disallowable legislative instrument engages the right to work because it operates to support the delivery of an expanded Australian Apprenticeship Support Loans program. The Australian Apprenticeship Support Loans program will allow more people to, amid rises in the cost of living and learning, access immediate financial support to help them undertake apprenticeships and traineeships to gain a living by work they freely choose. The Australian Apprenticeship Support Loans program also represents a positive measure to facilitate access to employment in priority occupations.</w:t>
      </w:r>
    </w:p>
    <w:p w14:paraId="303ACAF5" w14:textId="77777777" w:rsidR="00A96A07" w:rsidRDefault="00A96A07" w:rsidP="00A96A07">
      <w:pPr>
        <w:rPr>
          <w:rFonts w:asciiTheme="minorHAnsi" w:hAnsiTheme="minorHAnsi" w:cstheme="minorHAnsi"/>
          <w:u w:val="single"/>
        </w:rPr>
      </w:pPr>
      <w:r>
        <w:rPr>
          <w:rFonts w:asciiTheme="minorHAnsi" w:hAnsiTheme="minorHAnsi" w:cstheme="minorHAnsi"/>
          <w:u w:val="single"/>
        </w:rPr>
        <w:t>Right to education</w:t>
      </w:r>
    </w:p>
    <w:p w14:paraId="5A88E880" w14:textId="77777777" w:rsidR="00A96A07" w:rsidRDefault="00A96A07" w:rsidP="00A96A07">
      <w:pPr>
        <w:rPr>
          <w:rFonts w:asciiTheme="minorHAnsi" w:hAnsiTheme="minorHAnsi" w:cstheme="minorHAnsi"/>
        </w:rPr>
      </w:pPr>
      <w:r>
        <w:rPr>
          <w:rFonts w:asciiTheme="minorHAnsi" w:hAnsiTheme="minorHAnsi" w:cstheme="minorHAnsi"/>
        </w:rPr>
        <w:t xml:space="preserve">Article 13 of the ICESCR states that secondary education in its different forms, including technical and vocational secondary education, shall be made generally available and accessible to all by every appropriate means, and in particular by the progressive introduction of free education. Further, technical and vocational education as facilitated by States Parties should enable students to acquire knowledge and skills which contribute to their employability and enhance their productivity. </w:t>
      </w:r>
    </w:p>
    <w:p w14:paraId="514C6BFD" w14:textId="31F7D214" w:rsidR="00A96A07" w:rsidRDefault="00A96A07" w:rsidP="00A96A07">
      <w:pPr>
        <w:rPr>
          <w:rFonts w:asciiTheme="minorHAnsi" w:hAnsiTheme="minorHAnsi" w:cstheme="minorHAnsi"/>
        </w:rPr>
      </w:pPr>
      <w:r>
        <w:rPr>
          <w:rFonts w:asciiTheme="minorHAnsi" w:hAnsiTheme="minorHAnsi" w:cstheme="minorHAnsi"/>
        </w:rPr>
        <w:t xml:space="preserve">This disallowable legislative instrument engages the right to </w:t>
      </w:r>
      <w:r w:rsidR="00D430F7">
        <w:rPr>
          <w:rFonts w:asciiTheme="minorHAnsi" w:hAnsiTheme="minorHAnsi" w:cstheme="minorHAnsi"/>
        </w:rPr>
        <w:t xml:space="preserve">education </w:t>
      </w:r>
      <w:r>
        <w:rPr>
          <w:rFonts w:asciiTheme="minorHAnsi" w:hAnsiTheme="minorHAnsi" w:cstheme="minorHAnsi"/>
        </w:rPr>
        <w:t>because it operates to support the delivery of an expanded Australian Apprenticeship Support Loans program. The Australian Apprenticeship Support Loans program will allow more people to, amid rises in the cost of living and learning, access immediate financial support to enable them to acquire knowledge and skills which contribute to their employability and enhance productivity. The Australian Apprenticeship Support Loans program also represents a positive measure to further the availability and accessibility of technical and vocational secondary education.</w:t>
      </w:r>
    </w:p>
    <w:p w14:paraId="7BD79B8E" w14:textId="77777777" w:rsidR="00A96A07" w:rsidRPr="00DF25A4" w:rsidRDefault="00A96A07" w:rsidP="00A96A07">
      <w:pPr>
        <w:rPr>
          <w:rFonts w:asciiTheme="minorHAnsi" w:hAnsiTheme="minorHAnsi" w:cstheme="minorHAnsi"/>
          <w:b/>
          <w:bCs/>
        </w:rPr>
      </w:pPr>
      <w:r>
        <w:rPr>
          <w:rFonts w:asciiTheme="minorHAnsi" w:hAnsiTheme="minorHAnsi" w:cstheme="minorHAnsi"/>
          <w:b/>
          <w:bCs/>
        </w:rPr>
        <w:t>Conclusion</w:t>
      </w:r>
    </w:p>
    <w:p w14:paraId="19777DD7" w14:textId="77777777" w:rsidR="00A96A07" w:rsidRDefault="00A96A07" w:rsidP="00A96A07">
      <w:pPr>
        <w:rPr>
          <w:rFonts w:asciiTheme="minorHAnsi" w:hAnsiTheme="minorHAnsi" w:cstheme="minorHAnsi"/>
        </w:rPr>
      </w:pPr>
      <w:r>
        <w:rPr>
          <w:rFonts w:asciiTheme="minorHAnsi" w:hAnsiTheme="minorHAnsi" w:cstheme="minorHAnsi"/>
        </w:rPr>
        <w:lastRenderedPageBreak/>
        <w:t>This disallowable legislative instrument is compatible with human rights because it promotes the protection of human rights.</w:t>
      </w:r>
    </w:p>
    <w:p w14:paraId="18236046" w14:textId="77777777" w:rsidR="00A96A07" w:rsidRDefault="00A96A07" w:rsidP="00A96A07">
      <w:pPr>
        <w:rPr>
          <w:rFonts w:asciiTheme="minorHAnsi" w:hAnsiTheme="minorHAnsi" w:cstheme="minorHAnsi"/>
        </w:rPr>
      </w:pPr>
    </w:p>
    <w:p w14:paraId="1E422A25" w14:textId="19092665" w:rsidR="00A96A07" w:rsidRDefault="00A96A07" w:rsidP="004E71E8">
      <w:pPr>
        <w:jc w:val="center"/>
        <w:rPr>
          <w:rFonts w:asciiTheme="minorHAnsi" w:hAnsiTheme="minorHAnsi" w:cstheme="minorHAnsi"/>
          <w:b/>
          <w:szCs w:val="24"/>
        </w:rPr>
      </w:pPr>
      <w:r>
        <w:rPr>
          <w:rFonts w:asciiTheme="minorHAnsi" w:hAnsiTheme="minorHAnsi" w:cstheme="minorHAnsi"/>
          <w:b/>
          <w:bCs/>
        </w:rPr>
        <w:t>Minister for Skills and Training, the Hon Brend</w:t>
      </w:r>
      <w:r w:rsidR="0049268C">
        <w:rPr>
          <w:rFonts w:asciiTheme="minorHAnsi" w:hAnsiTheme="minorHAnsi" w:cstheme="minorHAnsi"/>
          <w:b/>
          <w:bCs/>
        </w:rPr>
        <w:t>a</w:t>
      </w:r>
      <w:r>
        <w:rPr>
          <w:rFonts w:asciiTheme="minorHAnsi" w:hAnsiTheme="minorHAnsi" w:cstheme="minorHAnsi"/>
          <w:b/>
          <w:bCs/>
        </w:rPr>
        <w:t>n O’Connor MP</w:t>
      </w:r>
      <w:r>
        <w:br w:type="page"/>
      </w:r>
    </w:p>
    <w:p w14:paraId="6B578CE7" w14:textId="77777777" w:rsidR="00A96A07" w:rsidRDefault="00A96A07" w:rsidP="00A96A07">
      <w:pPr>
        <w:pStyle w:val="Heading1"/>
        <w:jc w:val="center"/>
      </w:pPr>
      <w:r>
        <w:lastRenderedPageBreak/>
        <w:t>EXPLANATION OF PROVISIONS</w:t>
      </w:r>
    </w:p>
    <w:p w14:paraId="18C5745B" w14:textId="77777777" w:rsidR="00A96A07" w:rsidRPr="000B401C" w:rsidRDefault="00A96A07" w:rsidP="00A96A07">
      <w:pPr>
        <w:rPr>
          <w:rFonts w:asciiTheme="minorHAnsi" w:hAnsiTheme="minorHAnsi" w:cstheme="minorHAnsi"/>
          <w:b/>
          <w:bCs/>
        </w:rPr>
      </w:pPr>
      <w:r w:rsidRPr="000B401C">
        <w:rPr>
          <w:rFonts w:asciiTheme="minorHAnsi" w:hAnsiTheme="minorHAnsi" w:cstheme="minorHAnsi"/>
          <w:b/>
          <w:bCs/>
        </w:rPr>
        <w:t xml:space="preserve">Part 1—Preliminary </w:t>
      </w:r>
    </w:p>
    <w:p w14:paraId="6A0D730A" w14:textId="77777777" w:rsidR="00A96A07" w:rsidRPr="00C842F7" w:rsidRDefault="00A96A07" w:rsidP="00A96A07">
      <w:pPr>
        <w:rPr>
          <w:rFonts w:asciiTheme="minorHAnsi" w:hAnsiTheme="minorHAnsi" w:cstheme="minorHAnsi"/>
          <w:b/>
          <w:bCs/>
        </w:rPr>
      </w:pPr>
      <w:r>
        <w:rPr>
          <w:rFonts w:asciiTheme="minorHAnsi" w:hAnsiTheme="minorHAnsi" w:cstheme="minorHAnsi"/>
          <w:b/>
          <w:bCs/>
        </w:rPr>
        <w:t>Section 1</w:t>
      </w:r>
      <w:r>
        <w:rPr>
          <w:rFonts w:asciiTheme="minorHAnsi" w:hAnsiTheme="minorHAnsi" w:cstheme="minorHAnsi"/>
          <w:b/>
          <w:bCs/>
        </w:rPr>
        <w:tab/>
        <w:t>Name</w:t>
      </w:r>
    </w:p>
    <w:p w14:paraId="21033860" w14:textId="77777777" w:rsidR="00A96A07" w:rsidRDefault="00A96A07" w:rsidP="00977294">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Section 1 provides that this determination is the </w:t>
      </w:r>
      <w:r>
        <w:rPr>
          <w:rFonts w:asciiTheme="minorHAnsi" w:eastAsia="Times New Roman" w:hAnsiTheme="minorHAnsi" w:cstheme="minorHAnsi"/>
          <w:i/>
          <w:iCs/>
          <w:color w:val="000000"/>
          <w:szCs w:val="24"/>
          <w:lang w:eastAsia="en-AU"/>
        </w:rPr>
        <w:t>Australian Apprenticeship Support Loans (Australian Apprenticeships Priority List) Determination 2023</w:t>
      </w:r>
      <w:r>
        <w:rPr>
          <w:rFonts w:asciiTheme="minorHAnsi" w:eastAsia="Times New Roman" w:hAnsiTheme="minorHAnsi" w:cstheme="minorHAnsi"/>
          <w:color w:val="000000"/>
          <w:szCs w:val="24"/>
          <w:lang w:eastAsia="en-AU"/>
        </w:rPr>
        <w:t>.</w:t>
      </w:r>
    </w:p>
    <w:p w14:paraId="13968A61" w14:textId="77777777" w:rsidR="00A96A07" w:rsidRPr="00020615" w:rsidRDefault="00A96A07" w:rsidP="00A96A07">
      <w:pPr>
        <w:shd w:val="clear" w:color="auto" w:fill="FFFFFF"/>
        <w:spacing w:after="240"/>
        <w:rPr>
          <w:rFonts w:asciiTheme="minorHAnsi" w:eastAsia="Times New Roman" w:hAnsiTheme="minorHAnsi" w:cstheme="minorHAnsi"/>
          <w:b/>
          <w:bCs/>
          <w:color w:val="000000"/>
          <w:szCs w:val="24"/>
          <w:lang w:eastAsia="en-AU"/>
        </w:rPr>
      </w:pPr>
      <w:r>
        <w:rPr>
          <w:rFonts w:asciiTheme="minorHAnsi" w:eastAsia="Times New Roman" w:hAnsiTheme="minorHAnsi" w:cstheme="minorHAnsi"/>
          <w:b/>
          <w:bCs/>
          <w:color w:val="000000"/>
          <w:szCs w:val="24"/>
          <w:lang w:eastAsia="en-AU"/>
        </w:rPr>
        <w:t>Section 2</w:t>
      </w:r>
      <w:r>
        <w:rPr>
          <w:rFonts w:asciiTheme="minorHAnsi" w:eastAsia="Times New Roman" w:hAnsiTheme="minorHAnsi" w:cstheme="minorHAnsi"/>
          <w:b/>
          <w:bCs/>
          <w:color w:val="000000"/>
          <w:szCs w:val="24"/>
          <w:lang w:eastAsia="en-AU"/>
        </w:rPr>
        <w:tab/>
        <w:t>Commencement</w:t>
      </w:r>
    </w:p>
    <w:p w14:paraId="11475401" w14:textId="77777777" w:rsidR="00A96A07" w:rsidRDefault="00A96A07" w:rsidP="00977294">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Section 2 provides for the commencement of each provision in this determination, as set out in the table in subsection 2(1). The table provides that the whole of this determination commences at the same time the Amendment Act commences or at the start of the day on the day after this determination is registered, whichever occurs later.</w:t>
      </w:r>
    </w:p>
    <w:p w14:paraId="786E56A5" w14:textId="77777777" w:rsidR="00A96A07" w:rsidRPr="00F46687" w:rsidRDefault="00A96A07" w:rsidP="00A96A07">
      <w:pPr>
        <w:shd w:val="clear" w:color="auto" w:fill="FFFFFF"/>
        <w:spacing w:after="240"/>
        <w:rPr>
          <w:rFonts w:asciiTheme="minorHAnsi" w:eastAsia="Times New Roman" w:hAnsiTheme="minorHAnsi" w:cstheme="minorHAnsi"/>
          <w:b/>
          <w:bCs/>
          <w:color w:val="000000"/>
          <w:szCs w:val="24"/>
          <w:lang w:eastAsia="en-AU"/>
        </w:rPr>
      </w:pPr>
      <w:r>
        <w:rPr>
          <w:rFonts w:asciiTheme="minorHAnsi" w:eastAsia="Times New Roman" w:hAnsiTheme="minorHAnsi" w:cstheme="minorHAnsi"/>
          <w:b/>
          <w:bCs/>
          <w:color w:val="000000"/>
          <w:szCs w:val="24"/>
          <w:lang w:eastAsia="en-AU"/>
        </w:rPr>
        <w:t>Section 3</w:t>
      </w:r>
      <w:r>
        <w:rPr>
          <w:rFonts w:asciiTheme="minorHAnsi" w:eastAsia="Times New Roman" w:hAnsiTheme="minorHAnsi" w:cstheme="minorHAnsi"/>
          <w:b/>
          <w:bCs/>
          <w:color w:val="000000"/>
          <w:szCs w:val="24"/>
          <w:lang w:eastAsia="en-AU"/>
        </w:rPr>
        <w:tab/>
        <w:t>Authority</w:t>
      </w:r>
    </w:p>
    <w:p w14:paraId="3BFEDF31" w14:textId="2B8A5273" w:rsidR="00A96A07" w:rsidRDefault="00A96A07" w:rsidP="00977294">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Section 3 provides that this determination is made under section 105 of the </w:t>
      </w:r>
      <w:r>
        <w:rPr>
          <w:rFonts w:asciiTheme="minorHAnsi" w:eastAsia="Times New Roman" w:hAnsiTheme="minorHAnsi" w:cstheme="minorHAnsi"/>
          <w:i/>
          <w:iCs/>
          <w:color w:val="000000"/>
          <w:szCs w:val="24"/>
          <w:lang w:eastAsia="en-AU"/>
        </w:rPr>
        <w:t>Australian Apprenticeship Support Loans Act 2014</w:t>
      </w:r>
      <w:r>
        <w:rPr>
          <w:rFonts w:asciiTheme="minorHAnsi" w:eastAsia="Times New Roman" w:hAnsiTheme="minorHAnsi" w:cstheme="minorHAnsi"/>
          <w:color w:val="000000"/>
          <w:szCs w:val="24"/>
          <w:lang w:eastAsia="en-AU"/>
        </w:rPr>
        <w:t>.</w:t>
      </w:r>
    </w:p>
    <w:p w14:paraId="3BC54054" w14:textId="77777777" w:rsidR="00A96A07" w:rsidRDefault="00A96A07" w:rsidP="00A96A0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1941B514" w14:textId="77777777" w:rsidR="00A96A07" w:rsidRPr="00D06E6E" w:rsidRDefault="00A96A07" w:rsidP="00977294">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The Amendment Act will repeal and replace subsection 105(1) of the Act when it commences on 1 January 2024. Consistent with section 4 of the </w:t>
      </w:r>
      <w:r>
        <w:rPr>
          <w:rFonts w:asciiTheme="minorHAnsi" w:eastAsia="Times New Roman" w:hAnsiTheme="minorHAnsi" w:cstheme="minorHAnsi"/>
          <w:i/>
          <w:iCs/>
          <w:color w:val="000000"/>
          <w:szCs w:val="24"/>
          <w:lang w:eastAsia="en-AU"/>
        </w:rPr>
        <w:t>Acts Interpretation Act 1901</w:t>
      </w:r>
      <w:r>
        <w:rPr>
          <w:rFonts w:asciiTheme="minorHAnsi" w:eastAsia="Times New Roman" w:hAnsiTheme="minorHAnsi" w:cstheme="minorHAnsi"/>
          <w:color w:val="000000"/>
          <w:szCs w:val="24"/>
          <w:lang w:eastAsia="en-AU"/>
        </w:rPr>
        <w:t>, this determination is made in advance of the Amendment Act’s commencement.</w:t>
      </w:r>
    </w:p>
    <w:p w14:paraId="08CC7C96" w14:textId="77777777" w:rsidR="00A96A07" w:rsidRDefault="00A96A07" w:rsidP="00A96A0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27D44270" w14:textId="77777777" w:rsidR="00A96A07" w:rsidRDefault="00A96A07" w:rsidP="00977294">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AB55AC">
        <w:rPr>
          <w:rFonts w:asciiTheme="minorHAnsi" w:eastAsia="Times New Roman" w:hAnsiTheme="minorHAnsi" w:cstheme="minorHAnsi"/>
          <w:color w:val="000000"/>
          <w:szCs w:val="24"/>
          <w:lang w:eastAsia="en-AU"/>
        </w:rPr>
        <w:t>Subsection 10</w:t>
      </w:r>
      <w:r>
        <w:rPr>
          <w:rFonts w:asciiTheme="minorHAnsi" w:eastAsia="Times New Roman" w:hAnsiTheme="minorHAnsi" w:cstheme="minorHAnsi"/>
          <w:color w:val="000000"/>
          <w:szCs w:val="24"/>
          <w:lang w:eastAsia="en-AU"/>
        </w:rPr>
        <w:t>5</w:t>
      </w:r>
      <w:r w:rsidRPr="00AB55AC">
        <w:rPr>
          <w:rFonts w:asciiTheme="minorHAnsi" w:eastAsia="Times New Roman" w:hAnsiTheme="minorHAnsi" w:cstheme="minorHAnsi"/>
          <w:color w:val="000000"/>
          <w:szCs w:val="24"/>
          <w:lang w:eastAsia="en-AU"/>
        </w:rPr>
        <w:t xml:space="preserve">(1) of the Act will provide that the Minister may, by legislative instrument, </w:t>
      </w:r>
      <w:r>
        <w:rPr>
          <w:rFonts w:asciiTheme="minorHAnsi" w:eastAsia="Times New Roman" w:hAnsiTheme="minorHAnsi" w:cstheme="minorHAnsi"/>
          <w:color w:val="000000"/>
          <w:szCs w:val="24"/>
          <w:lang w:eastAsia="en-AU"/>
        </w:rPr>
        <w:t>determine a list (the Australian Apprenticeships Priority List) specifying:</w:t>
      </w:r>
    </w:p>
    <w:p w14:paraId="15058228" w14:textId="77777777" w:rsidR="00A96A07" w:rsidRPr="00432DFA" w:rsidRDefault="00A96A07" w:rsidP="00A96A07">
      <w:pPr>
        <w:pStyle w:val="ListParagraph"/>
        <w:rPr>
          <w:rFonts w:asciiTheme="minorHAnsi" w:eastAsia="Times New Roman" w:hAnsiTheme="minorHAnsi" w:cstheme="minorHAnsi"/>
          <w:color w:val="000000"/>
          <w:szCs w:val="24"/>
          <w:lang w:eastAsia="en-AU"/>
        </w:rPr>
      </w:pPr>
    </w:p>
    <w:p w14:paraId="0F5EE63E" w14:textId="77777777" w:rsidR="00A96A07" w:rsidRDefault="00A96A07" w:rsidP="00977294">
      <w:pPr>
        <w:pStyle w:val="ListParagraph"/>
        <w:numPr>
          <w:ilvl w:val="0"/>
          <w:numId w:val="65"/>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occupations for which; or</w:t>
      </w:r>
    </w:p>
    <w:p w14:paraId="46B3845B" w14:textId="77777777" w:rsidR="00A96A07" w:rsidRPr="0043658E" w:rsidRDefault="00A96A07" w:rsidP="00977294">
      <w:pPr>
        <w:pStyle w:val="ListParagraph"/>
        <w:numPr>
          <w:ilvl w:val="0"/>
          <w:numId w:val="65"/>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qualifications leading to occupations for which;</w:t>
      </w:r>
    </w:p>
    <w:p w14:paraId="6FE97ADC" w14:textId="77777777" w:rsidR="00A96A07" w:rsidRPr="00432DFA" w:rsidRDefault="00A96A07" w:rsidP="00A96A07">
      <w:pPr>
        <w:pStyle w:val="ListParagraph"/>
        <w:rPr>
          <w:rFonts w:asciiTheme="minorHAnsi" w:eastAsia="Times New Roman" w:hAnsiTheme="minorHAnsi" w:cstheme="minorHAnsi"/>
          <w:color w:val="000000"/>
          <w:szCs w:val="24"/>
          <w:lang w:eastAsia="en-AU"/>
        </w:rPr>
      </w:pPr>
    </w:p>
    <w:p w14:paraId="6B1B4806" w14:textId="77777777" w:rsidR="00A96A07" w:rsidRDefault="00A96A07" w:rsidP="00A96A07">
      <w:pPr>
        <w:pStyle w:val="ListParagraph"/>
        <w:shd w:val="clear" w:color="auto" w:fill="FFFFFF"/>
        <w:spacing w:after="240"/>
        <w:ind w:left="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in the opinion of the Minister, skilled persons are a priority.</w:t>
      </w:r>
    </w:p>
    <w:p w14:paraId="10A702FF" w14:textId="77777777" w:rsidR="00A96A07" w:rsidRDefault="00A96A07" w:rsidP="00A96A0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722AAB01" w14:textId="77777777" w:rsidR="00A96A07" w:rsidRDefault="00A96A07" w:rsidP="00977294">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Subsection 105(7) of the Act will require the Minister to have regard to any relevant advice given to the Minister by Jobs and Skills Australia under section 9 of the Jobs and Skills Australia Act in relation to either of the following matters:</w:t>
      </w:r>
    </w:p>
    <w:p w14:paraId="69EF324F" w14:textId="77777777" w:rsidR="00A96A07" w:rsidRDefault="00A96A07" w:rsidP="00A96A0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1869DEBD" w14:textId="77777777" w:rsidR="00A96A07" w:rsidRDefault="00A96A07" w:rsidP="00977294">
      <w:pPr>
        <w:pStyle w:val="ListParagraph"/>
        <w:numPr>
          <w:ilvl w:val="0"/>
          <w:numId w:val="66"/>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Australia’s current and emerging labour market, including advice on workforce needs and priorities; or</w:t>
      </w:r>
    </w:p>
    <w:p w14:paraId="3092AA90" w14:textId="77777777" w:rsidR="00A96A07" w:rsidRPr="0085050E" w:rsidRDefault="00A96A07" w:rsidP="00977294">
      <w:pPr>
        <w:pStyle w:val="ListParagraph"/>
        <w:numPr>
          <w:ilvl w:val="0"/>
          <w:numId w:val="66"/>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Australia’s current, emerging and future skills and training needs and priorities.</w:t>
      </w:r>
    </w:p>
    <w:p w14:paraId="05A62F1B" w14:textId="77777777" w:rsidR="00A96A07" w:rsidRDefault="00A96A07" w:rsidP="00A96A0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5369DBA6" w14:textId="554A46BC" w:rsidR="00A96A07" w:rsidRDefault="00A96A07" w:rsidP="00977294">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5912C4">
        <w:rPr>
          <w:rFonts w:asciiTheme="minorHAnsi" w:eastAsia="Times New Roman" w:hAnsiTheme="minorHAnsi" w:cstheme="minorHAnsi"/>
          <w:color w:val="000000"/>
          <w:szCs w:val="24"/>
          <w:lang w:eastAsia="en-AU"/>
        </w:rPr>
        <w:t xml:space="preserve">The Minister has made this determination having had regard to </w:t>
      </w:r>
      <w:r>
        <w:rPr>
          <w:rFonts w:asciiTheme="minorHAnsi" w:eastAsia="Times New Roman" w:hAnsiTheme="minorHAnsi" w:cstheme="minorHAnsi"/>
          <w:color w:val="000000"/>
          <w:szCs w:val="24"/>
          <w:lang w:eastAsia="en-AU"/>
        </w:rPr>
        <w:t xml:space="preserve">such </w:t>
      </w:r>
      <w:r w:rsidRPr="005912C4">
        <w:rPr>
          <w:rFonts w:asciiTheme="minorHAnsi" w:eastAsia="Times New Roman" w:hAnsiTheme="minorHAnsi" w:cstheme="minorHAnsi"/>
          <w:color w:val="000000"/>
          <w:szCs w:val="24"/>
          <w:lang w:eastAsia="en-AU"/>
        </w:rPr>
        <w:t xml:space="preserve">advice. That advice is reflected in Jobs and Skills Australia’s 2023 Skills Priority List (which, in </w:t>
      </w:r>
      <w:r w:rsidR="00845A07">
        <w:rPr>
          <w:rFonts w:asciiTheme="minorHAnsi" w:eastAsia="Times New Roman" w:hAnsiTheme="minorHAnsi" w:cstheme="minorHAnsi"/>
          <w:color w:val="000000"/>
          <w:szCs w:val="24"/>
          <w:lang w:eastAsia="en-AU"/>
        </w:rPr>
        <w:lastRenderedPageBreak/>
        <w:t>December</w:t>
      </w:r>
      <w:r w:rsidR="00845A07" w:rsidRPr="005912C4">
        <w:rPr>
          <w:rFonts w:asciiTheme="minorHAnsi" w:eastAsia="Times New Roman" w:hAnsiTheme="minorHAnsi" w:cstheme="minorHAnsi"/>
          <w:color w:val="000000"/>
          <w:szCs w:val="24"/>
          <w:lang w:eastAsia="en-AU"/>
        </w:rPr>
        <w:t xml:space="preserve"> </w:t>
      </w:r>
      <w:r w:rsidRPr="005912C4">
        <w:rPr>
          <w:rFonts w:asciiTheme="minorHAnsi" w:eastAsia="Times New Roman" w:hAnsiTheme="minorHAnsi" w:cstheme="minorHAnsi"/>
          <w:color w:val="000000"/>
          <w:szCs w:val="24"/>
          <w:lang w:eastAsia="en-AU"/>
        </w:rPr>
        <w:t xml:space="preserve">2023, could be accessed at: </w:t>
      </w:r>
      <w:r w:rsidRPr="005912C4">
        <w:rPr>
          <w:rFonts w:asciiTheme="minorHAnsi" w:eastAsia="Times New Roman" w:hAnsiTheme="minorHAnsi" w:cstheme="minorHAnsi"/>
          <w:color w:val="000000"/>
          <w:szCs w:val="24"/>
          <w:u w:val="single"/>
          <w:lang w:eastAsia="en-AU"/>
        </w:rPr>
        <w:t>www.jobsandskills.gov.au/data/skills-priority-list</w:t>
      </w:r>
      <w:r w:rsidRPr="005912C4">
        <w:rPr>
          <w:rFonts w:asciiTheme="minorHAnsi" w:eastAsia="Times New Roman" w:hAnsiTheme="minorHAnsi" w:cstheme="minorHAnsi"/>
          <w:color w:val="000000"/>
          <w:szCs w:val="24"/>
          <w:lang w:eastAsia="en-AU"/>
        </w:rPr>
        <w:t xml:space="preserve">). </w:t>
      </w:r>
    </w:p>
    <w:p w14:paraId="1F1C5C07" w14:textId="77777777" w:rsidR="00A96A07" w:rsidRPr="009A75C5" w:rsidRDefault="00A96A07" w:rsidP="00A96A07">
      <w:pPr>
        <w:shd w:val="clear" w:color="auto" w:fill="FFFFFF"/>
        <w:spacing w:after="240"/>
        <w:rPr>
          <w:rFonts w:asciiTheme="minorHAnsi" w:eastAsia="Times New Roman" w:hAnsiTheme="minorHAnsi" w:cstheme="minorHAnsi"/>
          <w:b/>
          <w:bCs/>
          <w:color w:val="000000"/>
          <w:szCs w:val="24"/>
          <w:lang w:eastAsia="en-AU"/>
        </w:rPr>
      </w:pPr>
      <w:r w:rsidRPr="009A75C5">
        <w:rPr>
          <w:rFonts w:asciiTheme="minorHAnsi" w:eastAsia="Times New Roman" w:hAnsiTheme="minorHAnsi" w:cstheme="minorHAnsi"/>
          <w:b/>
          <w:bCs/>
          <w:color w:val="000000"/>
          <w:szCs w:val="24"/>
          <w:lang w:eastAsia="en-AU"/>
        </w:rPr>
        <w:t>Section 4</w:t>
      </w:r>
      <w:r w:rsidRPr="009A75C5">
        <w:rPr>
          <w:rFonts w:asciiTheme="minorHAnsi" w:eastAsia="Times New Roman" w:hAnsiTheme="minorHAnsi" w:cstheme="minorHAnsi"/>
          <w:b/>
          <w:bCs/>
          <w:color w:val="000000"/>
          <w:szCs w:val="24"/>
          <w:lang w:eastAsia="en-AU"/>
        </w:rPr>
        <w:tab/>
        <w:t>Definitions</w:t>
      </w:r>
    </w:p>
    <w:p w14:paraId="1E034187" w14:textId="77777777" w:rsidR="00A96A07" w:rsidRDefault="00A96A07" w:rsidP="00977294">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Section 4 provides that, in this instrument:</w:t>
      </w:r>
    </w:p>
    <w:p w14:paraId="7DF5885E" w14:textId="77777777" w:rsidR="00A96A07" w:rsidRDefault="00A96A07" w:rsidP="00A96A0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4F7D846B" w14:textId="77777777" w:rsidR="00A96A07" w:rsidRDefault="00A96A07" w:rsidP="00977294">
      <w:pPr>
        <w:pStyle w:val="ListParagraph"/>
        <w:numPr>
          <w:ilvl w:val="0"/>
          <w:numId w:val="67"/>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w:t>
      </w:r>
      <w:r>
        <w:rPr>
          <w:rFonts w:asciiTheme="minorHAnsi" w:eastAsia="Times New Roman" w:hAnsiTheme="minorHAnsi" w:cstheme="minorHAnsi"/>
          <w:b/>
          <w:bCs/>
          <w:color w:val="000000"/>
          <w:szCs w:val="24"/>
          <w:lang w:eastAsia="en-AU"/>
        </w:rPr>
        <w:t>Act</w:t>
      </w:r>
      <w:r>
        <w:rPr>
          <w:rFonts w:asciiTheme="minorHAnsi" w:eastAsia="Times New Roman" w:hAnsiTheme="minorHAnsi" w:cstheme="minorHAnsi"/>
          <w:color w:val="000000"/>
          <w:szCs w:val="24"/>
          <w:lang w:eastAsia="en-AU"/>
        </w:rPr>
        <w:t xml:space="preserve">’ means the </w:t>
      </w:r>
      <w:r>
        <w:rPr>
          <w:rFonts w:asciiTheme="minorHAnsi" w:eastAsia="Times New Roman" w:hAnsiTheme="minorHAnsi" w:cstheme="minorHAnsi"/>
          <w:i/>
          <w:iCs/>
          <w:color w:val="000000"/>
          <w:szCs w:val="24"/>
          <w:lang w:eastAsia="en-AU"/>
        </w:rPr>
        <w:t>Australian Apprenticeship Support Loans Act 2014</w:t>
      </w:r>
      <w:r>
        <w:rPr>
          <w:rFonts w:asciiTheme="minorHAnsi" w:eastAsia="Times New Roman" w:hAnsiTheme="minorHAnsi" w:cstheme="minorHAnsi"/>
          <w:color w:val="000000"/>
          <w:szCs w:val="24"/>
          <w:lang w:eastAsia="en-AU"/>
        </w:rPr>
        <w:t>; and</w:t>
      </w:r>
    </w:p>
    <w:p w14:paraId="1D4DE9E5" w14:textId="19AA7FDF" w:rsidR="00A96A07" w:rsidRDefault="00A96A07" w:rsidP="00977294">
      <w:pPr>
        <w:pStyle w:val="ListParagraph"/>
        <w:numPr>
          <w:ilvl w:val="0"/>
          <w:numId w:val="67"/>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w:t>
      </w:r>
      <w:r>
        <w:rPr>
          <w:rFonts w:asciiTheme="minorHAnsi" w:eastAsia="Times New Roman" w:hAnsiTheme="minorHAnsi" w:cstheme="minorHAnsi"/>
          <w:b/>
          <w:bCs/>
          <w:color w:val="000000"/>
          <w:szCs w:val="24"/>
          <w:lang w:eastAsia="en-AU"/>
        </w:rPr>
        <w:t>ANZSCO</w:t>
      </w:r>
      <w:r>
        <w:rPr>
          <w:rFonts w:asciiTheme="minorHAnsi" w:eastAsia="Times New Roman" w:hAnsiTheme="minorHAnsi" w:cstheme="minorHAnsi"/>
          <w:color w:val="000000"/>
          <w:szCs w:val="24"/>
          <w:lang w:eastAsia="en-AU"/>
        </w:rPr>
        <w:t>’ means the “Australian and New Zealand Standard Classification of Occupations”</w:t>
      </w:r>
      <w:r w:rsidR="00EA5AA8">
        <w:rPr>
          <w:rFonts w:asciiTheme="minorHAnsi" w:eastAsia="Times New Roman" w:hAnsiTheme="minorHAnsi" w:cstheme="minorHAnsi"/>
          <w:color w:val="000000"/>
          <w:szCs w:val="24"/>
          <w:lang w:eastAsia="en-AU"/>
        </w:rPr>
        <w:t>, which was released on 22 November 2022</w:t>
      </w:r>
      <w:r w:rsidRPr="008A5E8C">
        <w:rPr>
          <w:rFonts w:asciiTheme="minorHAnsi" w:eastAsia="Times New Roman" w:hAnsiTheme="minorHAnsi" w:cstheme="minorHAnsi"/>
          <w:color w:val="000000"/>
          <w:szCs w:val="24"/>
          <w:lang w:eastAsia="en-AU"/>
        </w:rPr>
        <w:t>.</w:t>
      </w:r>
    </w:p>
    <w:p w14:paraId="11F5FBAB" w14:textId="77777777" w:rsidR="00666943" w:rsidRDefault="00666943" w:rsidP="00AF2FCF">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p>
    <w:p w14:paraId="4B612345" w14:textId="5728274C" w:rsidR="00666943" w:rsidRDefault="00EE2EF3" w:rsidP="00666943">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A note at the end of section 4 explains that, in 2023, the ANZSCO could be accessed at:</w:t>
      </w:r>
      <w:r w:rsidR="00EA5AA8">
        <w:rPr>
          <w:rFonts w:asciiTheme="minorHAnsi" w:eastAsia="Times New Roman" w:hAnsiTheme="minorHAnsi" w:cstheme="minorHAnsi"/>
          <w:color w:val="000000"/>
          <w:szCs w:val="24"/>
          <w:lang w:eastAsia="en-AU"/>
        </w:rPr>
        <w:t xml:space="preserve"> </w:t>
      </w:r>
      <w:r w:rsidR="00EA5AA8" w:rsidRPr="001D1197">
        <w:rPr>
          <w:rFonts w:asciiTheme="minorHAnsi" w:eastAsia="Times New Roman" w:hAnsiTheme="minorHAnsi" w:cstheme="minorHAnsi"/>
          <w:color w:val="000000"/>
          <w:szCs w:val="24"/>
          <w:u w:val="single"/>
          <w:lang w:eastAsia="en-AU"/>
        </w:rPr>
        <w:t>www.abs.gov.au/statistics/classification/anzsco-australian-and-new-zealand-standard-classification-occupations/2022</w:t>
      </w:r>
      <w:r w:rsidR="00EA5AA8">
        <w:rPr>
          <w:rFonts w:asciiTheme="minorHAnsi" w:eastAsia="Times New Roman" w:hAnsiTheme="minorHAnsi" w:cstheme="minorHAnsi"/>
          <w:color w:val="000000"/>
          <w:szCs w:val="24"/>
          <w:lang w:eastAsia="en-AU"/>
        </w:rPr>
        <w:t>.</w:t>
      </w:r>
    </w:p>
    <w:p w14:paraId="5112B4AE" w14:textId="21CB0068" w:rsidR="00A96A07" w:rsidRDefault="00A96A07" w:rsidP="00A96A07">
      <w:pPr>
        <w:shd w:val="clear" w:color="auto" w:fill="FFFFFF"/>
        <w:spacing w:after="240"/>
        <w:rPr>
          <w:rFonts w:asciiTheme="minorHAnsi" w:eastAsia="Times New Roman" w:hAnsiTheme="minorHAnsi" w:cstheme="minorHAnsi"/>
          <w:b/>
          <w:bCs/>
          <w:color w:val="000000"/>
          <w:szCs w:val="24"/>
          <w:lang w:eastAsia="en-AU"/>
        </w:rPr>
      </w:pPr>
      <w:r>
        <w:rPr>
          <w:rFonts w:asciiTheme="minorHAnsi" w:eastAsia="Times New Roman" w:hAnsiTheme="minorHAnsi" w:cstheme="minorHAnsi"/>
          <w:b/>
          <w:bCs/>
          <w:color w:val="000000"/>
          <w:szCs w:val="24"/>
          <w:lang w:eastAsia="en-AU"/>
        </w:rPr>
        <w:t>Part 2—Australian Apprenticeships Priority List</w:t>
      </w:r>
    </w:p>
    <w:p w14:paraId="428136F3" w14:textId="5FE30F20" w:rsidR="00D53CEA" w:rsidRPr="008A5E8C" w:rsidRDefault="00D53CEA" w:rsidP="00D53CEA">
      <w:pPr>
        <w:shd w:val="clear" w:color="auto" w:fill="FFFFFF"/>
        <w:spacing w:after="240"/>
        <w:rPr>
          <w:rFonts w:asciiTheme="minorHAnsi" w:eastAsia="Times New Roman" w:hAnsiTheme="minorHAnsi" w:cstheme="minorHAnsi"/>
          <w:b/>
          <w:bCs/>
          <w:color w:val="000000"/>
          <w:szCs w:val="24"/>
          <w:lang w:eastAsia="en-AU"/>
        </w:rPr>
      </w:pPr>
      <w:r>
        <w:rPr>
          <w:rFonts w:asciiTheme="minorHAnsi" w:eastAsia="Times New Roman" w:hAnsiTheme="minorHAnsi" w:cstheme="minorHAnsi"/>
          <w:b/>
          <w:bCs/>
          <w:color w:val="000000"/>
          <w:szCs w:val="24"/>
          <w:lang w:eastAsia="en-AU"/>
        </w:rPr>
        <w:t>Section 5</w:t>
      </w:r>
      <w:r>
        <w:rPr>
          <w:rFonts w:asciiTheme="minorHAnsi" w:eastAsia="Times New Roman" w:hAnsiTheme="minorHAnsi" w:cstheme="minorHAnsi"/>
          <w:b/>
          <w:bCs/>
          <w:color w:val="000000"/>
          <w:szCs w:val="24"/>
          <w:lang w:eastAsia="en-AU"/>
        </w:rPr>
        <w:tab/>
        <w:t>Purpose of this Part</w:t>
      </w:r>
    </w:p>
    <w:p w14:paraId="7225D826" w14:textId="0BD379DE" w:rsidR="00D53CEA" w:rsidRDefault="00D53CEA" w:rsidP="00D53CE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Section 5 provides that </w:t>
      </w:r>
      <w:r w:rsidR="00223705">
        <w:rPr>
          <w:rFonts w:asciiTheme="minorHAnsi" w:eastAsia="Times New Roman" w:hAnsiTheme="minorHAnsi" w:cstheme="minorHAnsi"/>
          <w:color w:val="000000"/>
          <w:szCs w:val="24"/>
          <w:lang w:eastAsia="en-AU"/>
        </w:rPr>
        <w:t>Part 2 is made for the purposes of subsection 105(1) of the Act.</w:t>
      </w:r>
      <w:r w:rsidR="009A7D80">
        <w:rPr>
          <w:rFonts w:asciiTheme="minorHAnsi" w:eastAsia="Times New Roman" w:hAnsiTheme="minorHAnsi" w:cstheme="minorHAnsi"/>
          <w:color w:val="000000"/>
          <w:szCs w:val="24"/>
          <w:lang w:eastAsia="en-AU"/>
        </w:rPr>
        <w:t xml:space="preserve"> </w:t>
      </w:r>
      <w:r w:rsidR="00255296">
        <w:rPr>
          <w:rFonts w:asciiTheme="minorHAnsi" w:eastAsia="Times New Roman" w:hAnsiTheme="minorHAnsi" w:cstheme="minorHAnsi"/>
          <w:color w:val="000000"/>
          <w:szCs w:val="24"/>
          <w:lang w:eastAsia="en-AU"/>
        </w:rPr>
        <w:t>Subsection 105(1) of the Act provides that the Minister may, by legislative instrument, determine a list (the Australian Apprenticeships Priority List) specifying:</w:t>
      </w:r>
    </w:p>
    <w:p w14:paraId="615C60E9" w14:textId="77777777" w:rsidR="00255296" w:rsidRDefault="00255296" w:rsidP="00255296">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p>
    <w:p w14:paraId="2BD621F0" w14:textId="2538C423" w:rsidR="00255296" w:rsidRDefault="00255296" w:rsidP="00255296">
      <w:pPr>
        <w:pStyle w:val="ListParagraph"/>
        <w:numPr>
          <w:ilvl w:val="0"/>
          <w:numId w:val="70"/>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occupations for which; or </w:t>
      </w:r>
    </w:p>
    <w:p w14:paraId="21C144DA" w14:textId="79388750" w:rsidR="00255296" w:rsidRDefault="00255296" w:rsidP="00255296">
      <w:pPr>
        <w:pStyle w:val="ListParagraph"/>
        <w:numPr>
          <w:ilvl w:val="0"/>
          <w:numId w:val="70"/>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qualifications leading to occupations for which;</w:t>
      </w:r>
    </w:p>
    <w:p w14:paraId="7820CF04" w14:textId="77777777" w:rsidR="00255296" w:rsidRDefault="00255296" w:rsidP="00AA73A3">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p>
    <w:p w14:paraId="4FD8C9A2" w14:textId="0B5B3591" w:rsidR="00255296" w:rsidRDefault="00AA73A3" w:rsidP="00AA73A3">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in the opinion of the Minister, skilled persons are a priority.</w:t>
      </w:r>
    </w:p>
    <w:p w14:paraId="03B353EF" w14:textId="77777777" w:rsidR="00AA73A3" w:rsidRDefault="00AA73A3" w:rsidP="00AA73A3">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p>
    <w:p w14:paraId="5C9E517A" w14:textId="2EF28D79" w:rsidR="00AA73A3" w:rsidRDefault="002D3B09" w:rsidP="00D53CE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Subsection 105(6) of the Act requires the Minister to take all reasonable steps to ensure that an instrument is always in force under subsection 105(1) of the Act.</w:t>
      </w:r>
    </w:p>
    <w:p w14:paraId="55AA63C8" w14:textId="69BC1DF6" w:rsidR="00A96A07" w:rsidRPr="008A5E8C" w:rsidRDefault="00A96A07" w:rsidP="00A96A07">
      <w:pPr>
        <w:shd w:val="clear" w:color="auto" w:fill="FFFFFF"/>
        <w:spacing w:after="240"/>
        <w:rPr>
          <w:rFonts w:asciiTheme="minorHAnsi" w:eastAsia="Times New Roman" w:hAnsiTheme="minorHAnsi" w:cstheme="minorHAnsi"/>
          <w:b/>
          <w:bCs/>
          <w:color w:val="000000"/>
          <w:szCs w:val="24"/>
          <w:lang w:eastAsia="en-AU"/>
        </w:rPr>
      </w:pPr>
      <w:r>
        <w:rPr>
          <w:rFonts w:asciiTheme="minorHAnsi" w:eastAsia="Times New Roman" w:hAnsiTheme="minorHAnsi" w:cstheme="minorHAnsi"/>
          <w:b/>
          <w:bCs/>
          <w:color w:val="000000"/>
          <w:szCs w:val="24"/>
          <w:lang w:eastAsia="en-AU"/>
        </w:rPr>
        <w:t xml:space="preserve">Section </w:t>
      </w:r>
      <w:r w:rsidR="006658B1">
        <w:rPr>
          <w:rFonts w:asciiTheme="minorHAnsi" w:eastAsia="Times New Roman" w:hAnsiTheme="minorHAnsi" w:cstheme="minorHAnsi"/>
          <w:b/>
          <w:bCs/>
          <w:color w:val="000000"/>
          <w:szCs w:val="24"/>
          <w:lang w:eastAsia="en-AU"/>
        </w:rPr>
        <w:t>6</w:t>
      </w:r>
      <w:r>
        <w:rPr>
          <w:rFonts w:asciiTheme="minorHAnsi" w:eastAsia="Times New Roman" w:hAnsiTheme="minorHAnsi" w:cstheme="minorHAnsi"/>
          <w:b/>
          <w:bCs/>
          <w:color w:val="000000"/>
          <w:szCs w:val="24"/>
          <w:lang w:eastAsia="en-AU"/>
        </w:rPr>
        <w:tab/>
        <w:t>Australian Apprenticeships Priority List</w:t>
      </w:r>
    </w:p>
    <w:p w14:paraId="04C2D111" w14:textId="2A00EF7B" w:rsidR="00A96A07" w:rsidRDefault="00A96A07" w:rsidP="00977294">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Section </w:t>
      </w:r>
      <w:r w:rsidR="00223705">
        <w:rPr>
          <w:rFonts w:asciiTheme="minorHAnsi" w:eastAsia="Times New Roman" w:hAnsiTheme="minorHAnsi" w:cstheme="minorHAnsi"/>
          <w:color w:val="000000"/>
          <w:szCs w:val="24"/>
          <w:lang w:eastAsia="en-AU"/>
        </w:rPr>
        <w:t>6</w:t>
      </w:r>
      <w:r>
        <w:rPr>
          <w:rFonts w:asciiTheme="minorHAnsi" w:eastAsia="Times New Roman" w:hAnsiTheme="minorHAnsi" w:cstheme="minorHAnsi"/>
          <w:color w:val="000000"/>
          <w:szCs w:val="24"/>
          <w:lang w:eastAsia="en-AU"/>
        </w:rPr>
        <w:t xml:space="preserve"> provides that, for the purposes of paragraph 105(1)(a) of the Act, the occupations in the table in section </w:t>
      </w:r>
      <w:r w:rsidR="00223705">
        <w:rPr>
          <w:rFonts w:asciiTheme="minorHAnsi" w:eastAsia="Times New Roman" w:hAnsiTheme="minorHAnsi" w:cstheme="minorHAnsi"/>
          <w:color w:val="000000"/>
          <w:szCs w:val="24"/>
          <w:lang w:eastAsia="en-AU"/>
        </w:rPr>
        <w:t>6</w:t>
      </w:r>
      <w:r>
        <w:rPr>
          <w:rFonts w:asciiTheme="minorHAnsi" w:eastAsia="Times New Roman" w:hAnsiTheme="minorHAnsi" w:cstheme="minorHAnsi"/>
          <w:color w:val="000000"/>
          <w:szCs w:val="24"/>
          <w:lang w:eastAsia="en-AU"/>
        </w:rPr>
        <w:t xml:space="preserve"> are specified. </w:t>
      </w:r>
      <w:r w:rsidRPr="00580984">
        <w:rPr>
          <w:rFonts w:asciiTheme="minorHAnsi" w:eastAsia="Times New Roman" w:hAnsiTheme="minorHAnsi" w:cstheme="minorHAnsi"/>
          <w:color w:val="000000"/>
          <w:szCs w:val="24"/>
          <w:lang w:eastAsia="en-AU"/>
        </w:rPr>
        <w:t>These are occupations for which, in the opinion of the Minister</w:t>
      </w:r>
      <w:r>
        <w:rPr>
          <w:rFonts w:asciiTheme="minorHAnsi" w:eastAsia="Times New Roman" w:hAnsiTheme="minorHAnsi" w:cstheme="minorHAnsi"/>
          <w:color w:val="000000"/>
          <w:szCs w:val="24"/>
          <w:lang w:eastAsia="en-AU"/>
        </w:rPr>
        <w:t xml:space="preserve"> after having had regard to advice from Jobs and Skills Australia</w:t>
      </w:r>
      <w:r w:rsidRPr="00580984">
        <w:rPr>
          <w:rFonts w:asciiTheme="minorHAnsi" w:eastAsia="Times New Roman" w:hAnsiTheme="minorHAnsi" w:cstheme="minorHAnsi"/>
          <w:color w:val="000000"/>
          <w:szCs w:val="24"/>
          <w:lang w:eastAsia="en-AU"/>
        </w:rPr>
        <w:t>, skilled persons are a priority. The occupations specified</w:t>
      </w:r>
      <w:r>
        <w:rPr>
          <w:rFonts w:asciiTheme="minorHAnsi" w:eastAsia="Times New Roman" w:hAnsiTheme="minorHAnsi" w:cstheme="minorHAnsi"/>
          <w:color w:val="000000"/>
          <w:szCs w:val="24"/>
          <w:lang w:eastAsia="en-AU"/>
        </w:rPr>
        <w:t xml:space="preserve"> in section </w:t>
      </w:r>
      <w:r w:rsidR="00223705">
        <w:rPr>
          <w:rFonts w:asciiTheme="minorHAnsi" w:eastAsia="Times New Roman" w:hAnsiTheme="minorHAnsi" w:cstheme="minorHAnsi"/>
          <w:color w:val="000000"/>
          <w:szCs w:val="24"/>
          <w:lang w:eastAsia="en-AU"/>
        </w:rPr>
        <w:t>6</w:t>
      </w:r>
      <w:r w:rsidRPr="00580984">
        <w:rPr>
          <w:rFonts w:asciiTheme="minorHAnsi" w:eastAsia="Times New Roman" w:hAnsiTheme="minorHAnsi" w:cstheme="minorHAnsi"/>
          <w:color w:val="000000"/>
          <w:szCs w:val="24"/>
          <w:lang w:eastAsia="en-AU"/>
        </w:rPr>
        <w:t xml:space="preserve"> are all in the ANZSCO ‘technicians and trade workers’ </w:t>
      </w:r>
      <w:r>
        <w:rPr>
          <w:rFonts w:asciiTheme="minorHAnsi" w:eastAsia="Times New Roman" w:hAnsiTheme="minorHAnsi" w:cstheme="minorHAnsi"/>
          <w:color w:val="000000"/>
          <w:szCs w:val="24"/>
          <w:lang w:eastAsia="en-AU"/>
        </w:rPr>
        <w:t>or</w:t>
      </w:r>
      <w:r w:rsidRPr="00580984">
        <w:rPr>
          <w:rFonts w:asciiTheme="minorHAnsi" w:eastAsia="Times New Roman" w:hAnsiTheme="minorHAnsi" w:cstheme="minorHAnsi"/>
          <w:color w:val="000000"/>
          <w:szCs w:val="24"/>
          <w:lang w:eastAsia="en-AU"/>
        </w:rPr>
        <w:t xml:space="preserve"> ‘community and personal service workers’ major groups.</w:t>
      </w:r>
    </w:p>
    <w:p w14:paraId="40DB31BF" w14:textId="77777777" w:rsidR="00A96A07" w:rsidRPr="00580984" w:rsidRDefault="00A96A07" w:rsidP="00A96A0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34104B8C" w14:textId="359643BA" w:rsidR="00A96A07" w:rsidRDefault="00A96A07" w:rsidP="00977294">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AF55F5">
        <w:rPr>
          <w:rFonts w:asciiTheme="minorHAnsi" w:eastAsia="Times New Roman" w:hAnsiTheme="minorHAnsi" w:cstheme="minorHAnsi"/>
          <w:color w:val="000000"/>
          <w:szCs w:val="24"/>
          <w:lang w:eastAsia="en-AU"/>
        </w:rPr>
        <w:t>For the purposes of the Act, a qualifying apprenticeship is, among other things, an apprenticeship through which a person is undertaking a qualification that leads to an occupation or qualification specified on the Australian Apprenticeships Priority List.</w:t>
      </w:r>
      <w:r>
        <w:rPr>
          <w:rFonts w:asciiTheme="minorHAnsi" w:eastAsia="Times New Roman" w:hAnsiTheme="minorHAnsi" w:cstheme="minorHAnsi"/>
          <w:color w:val="000000"/>
          <w:szCs w:val="24"/>
          <w:lang w:eastAsia="en-AU"/>
        </w:rPr>
        <w:t xml:space="preserve"> </w:t>
      </w:r>
      <w:r w:rsidRPr="00AF55F5">
        <w:rPr>
          <w:rFonts w:asciiTheme="minorHAnsi" w:eastAsia="Times New Roman" w:hAnsiTheme="minorHAnsi" w:cstheme="minorHAnsi"/>
          <w:color w:val="000000"/>
          <w:szCs w:val="24"/>
          <w:lang w:eastAsia="en-AU"/>
        </w:rPr>
        <w:lastRenderedPageBreak/>
        <w:t xml:space="preserve">The effect of this determination, read with the Act and section 8 of the </w:t>
      </w:r>
      <w:r w:rsidRPr="00EF6E2A">
        <w:rPr>
          <w:rFonts w:asciiTheme="minorHAnsi" w:eastAsia="Times New Roman" w:hAnsiTheme="minorHAnsi" w:cstheme="minorHAnsi"/>
          <w:color w:val="000000"/>
          <w:szCs w:val="24"/>
          <w:lang w:eastAsia="en-AU"/>
        </w:rPr>
        <w:t>Australian Apprenticeship Support Loans Rules</w:t>
      </w:r>
      <w:r w:rsidRPr="00AF55F5">
        <w:rPr>
          <w:rFonts w:asciiTheme="minorHAnsi" w:eastAsia="Times New Roman" w:hAnsiTheme="minorHAnsi" w:cstheme="minorHAnsi"/>
          <w:color w:val="000000"/>
          <w:szCs w:val="24"/>
          <w:lang w:eastAsia="en-AU"/>
        </w:rPr>
        <w:t>, is that a qualifying apprenticeship is an apprenticeship or traineeship through which a person is undertaking a qualification:</w:t>
      </w:r>
    </w:p>
    <w:p w14:paraId="702F078F" w14:textId="77777777" w:rsidR="00A96A07" w:rsidRPr="00AF55F5" w:rsidRDefault="00A96A07" w:rsidP="00A96A07">
      <w:pPr>
        <w:pStyle w:val="ListParagraph"/>
        <w:rPr>
          <w:rFonts w:asciiTheme="minorHAnsi" w:eastAsia="Times New Roman" w:hAnsiTheme="minorHAnsi" w:cstheme="minorHAnsi"/>
          <w:color w:val="000000"/>
          <w:szCs w:val="24"/>
          <w:lang w:eastAsia="en-AU"/>
        </w:rPr>
      </w:pPr>
    </w:p>
    <w:p w14:paraId="4D9DE0BC" w14:textId="77777777" w:rsidR="00223705" w:rsidRDefault="00A96A07" w:rsidP="00977294">
      <w:pPr>
        <w:pStyle w:val="ListParagraph"/>
        <w:numPr>
          <w:ilvl w:val="0"/>
          <w:numId w:val="68"/>
        </w:numPr>
        <w:shd w:val="clear" w:color="auto" w:fill="FFFFFF"/>
        <w:spacing w:after="240" w:line="276" w:lineRule="auto"/>
        <w:rPr>
          <w:rFonts w:asciiTheme="minorHAnsi" w:eastAsia="Times New Roman" w:hAnsiTheme="minorHAnsi" w:cstheme="minorHAnsi"/>
          <w:color w:val="000000"/>
          <w:szCs w:val="24"/>
          <w:lang w:eastAsia="en-AU"/>
        </w:rPr>
      </w:pPr>
      <w:r w:rsidRPr="00AF55F5">
        <w:rPr>
          <w:rFonts w:asciiTheme="minorHAnsi" w:eastAsia="Times New Roman" w:hAnsiTheme="minorHAnsi" w:cstheme="minorHAnsi"/>
          <w:color w:val="000000"/>
          <w:szCs w:val="24"/>
          <w:lang w:eastAsia="en-AU"/>
        </w:rPr>
        <w:t>at level 3, level 4, level 5 or level 6 in the Australian Qualifications Framework;</w:t>
      </w:r>
    </w:p>
    <w:p w14:paraId="5741E0A6" w14:textId="55849F84" w:rsidR="00A96A07" w:rsidRDefault="00223705" w:rsidP="00977294">
      <w:pPr>
        <w:pStyle w:val="ListParagraph"/>
        <w:numPr>
          <w:ilvl w:val="0"/>
          <w:numId w:val="68"/>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that is included on the National Register (</w:t>
      </w:r>
      <w:r w:rsidR="006371FA" w:rsidRPr="006371FA">
        <w:rPr>
          <w:rFonts w:asciiTheme="minorHAnsi" w:eastAsia="Times New Roman" w:hAnsiTheme="minorHAnsi" w:cstheme="minorHAnsi"/>
          <w:color w:val="000000"/>
          <w:szCs w:val="24"/>
          <w:u w:val="single"/>
          <w:lang w:eastAsia="en-AU"/>
        </w:rPr>
        <w:t>www.training.gov.au</w:t>
      </w:r>
      <w:r>
        <w:rPr>
          <w:rFonts w:asciiTheme="minorHAnsi" w:eastAsia="Times New Roman" w:hAnsiTheme="minorHAnsi" w:cstheme="minorHAnsi"/>
          <w:color w:val="000000"/>
          <w:szCs w:val="24"/>
          <w:lang w:eastAsia="en-AU"/>
        </w:rPr>
        <w:t>);</w:t>
      </w:r>
      <w:r w:rsidR="00A96A07" w:rsidRPr="00AF55F5">
        <w:rPr>
          <w:rFonts w:asciiTheme="minorHAnsi" w:eastAsia="Times New Roman" w:hAnsiTheme="minorHAnsi" w:cstheme="minorHAnsi"/>
          <w:color w:val="000000"/>
          <w:szCs w:val="24"/>
          <w:lang w:eastAsia="en-AU"/>
        </w:rPr>
        <w:t xml:space="preserve"> and </w:t>
      </w:r>
    </w:p>
    <w:p w14:paraId="15542922" w14:textId="6CDCF3A7" w:rsidR="00A96A07" w:rsidRPr="00AF55F5" w:rsidRDefault="00A96A07" w:rsidP="00977294">
      <w:pPr>
        <w:pStyle w:val="ListParagraph"/>
        <w:numPr>
          <w:ilvl w:val="0"/>
          <w:numId w:val="68"/>
        </w:numPr>
        <w:shd w:val="clear" w:color="auto" w:fill="FFFFFF"/>
        <w:spacing w:after="240" w:line="276" w:lineRule="auto"/>
        <w:rPr>
          <w:rFonts w:asciiTheme="minorHAnsi" w:eastAsia="Times New Roman" w:hAnsiTheme="minorHAnsi" w:cstheme="minorHAnsi"/>
          <w:color w:val="000000"/>
          <w:szCs w:val="24"/>
          <w:lang w:eastAsia="en-AU"/>
        </w:rPr>
      </w:pPr>
      <w:r w:rsidRPr="00AF55F5">
        <w:rPr>
          <w:rFonts w:asciiTheme="minorHAnsi" w:eastAsia="Times New Roman" w:hAnsiTheme="minorHAnsi" w:cstheme="minorHAnsi"/>
          <w:color w:val="000000"/>
          <w:szCs w:val="24"/>
          <w:lang w:eastAsia="en-AU"/>
        </w:rPr>
        <w:t xml:space="preserve">leading to an occupation specified </w:t>
      </w:r>
      <w:r>
        <w:rPr>
          <w:rFonts w:asciiTheme="minorHAnsi" w:eastAsia="Times New Roman" w:hAnsiTheme="minorHAnsi" w:cstheme="minorHAnsi"/>
          <w:color w:val="000000"/>
          <w:szCs w:val="24"/>
          <w:lang w:eastAsia="en-AU"/>
        </w:rPr>
        <w:t xml:space="preserve">the table in </w:t>
      </w:r>
      <w:r w:rsidR="003E1A3E">
        <w:rPr>
          <w:rFonts w:asciiTheme="minorHAnsi" w:eastAsia="Times New Roman" w:hAnsiTheme="minorHAnsi" w:cstheme="minorHAnsi"/>
          <w:color w:val="000000"/>
          <w:szCs w:val="24"/>
          <w:lang w:eastAsia="en-AU"/>
        </w:rPr>
        <w:t>Part 2</w:t>
      </w:r>
      <w:r>
        <w:rPr>
          <w:rFonts w:asciiTheme="minorHAnsi" w:eastAsia="Times New Roman" w:hAnsiTheme="minorHAnsi" w:cstheme="minorHAnsi"/>
          <w:color w:val="000000"/>
          <w:szCs w:val="24"/>
          <w:lang w:eastAsia="en-AU"/>
        </w:rPr>
        <w:t xml:space="preserve"> of this determination</w:t>
      </w:r>
      <w:r w:rsidRPr="00AF55F5">
        <w:rPr>
          <w:rFonts w:asciiTheme="minorHAnsi" w:eastAsia="Times New Roman" w:hAnsiTheme="minorHAnsi" w:cstheme="minorHAnsi"/>
          <w:color w:val="000000"/>
          <w:szCs w:val="24"/>
          <w:lang w:eastAsia="en-AU"/>
        </w:rPr>
        <w:t>.</w:t>
      </w:r>
    </w:p>
    <w:p w14:paraId="58BAB53F" w14:textId="77777777" w:rsidR="00A96A07" w:rsidRDefault="00A96A07" w:rsidP="00A96A0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0DC81F10" w14:textId="77777777" w:rsidR="00A96A07" w:rsidRDefault="00A96A07" w:rsidP="00977294">
      <w:pPr>
        <w:pStyle w:val="ListParagraph"/>
        <w:numPr>
          <w:ilvl w:val="0"/>
          <w:numId w:val="64"/>
        </w:numPr>
        <w:shd w:val="clear" w:color="auto" w:fill="FFFFFF"/>
        <w:ind w:left="567" w:hanging="567"/>
        <w:rPr>
          <w:rFonts w:asciiTheme="minorHAnsi" w:eastAsia="Times New Roman" w:hAnsiTheme="minorHAnsi" w:cstheme="minorHAnsi"/>
          <w:color w:val="000000"/>
          <w:szCs w:val="24"/>
          <w:lang w:eastAsia="en-AU"/>
        </w:rPr>
      </w:pPr>
      <w:r w:rsidRPr="00CA2DA9">
        <w:rPr>
          <w:rFonts w:asciiTheme="minorHAnsi" w:eastAsia="Times New Roman" w:hAnsiTheme="minorHAnsi" w:cstheme="minorHAnsi"/>
          <w:color w:val="000000"/>
          <w:szCs w:val="24"/>
          <w:lang w:eastAsia="en-AU"/>
        </w:rPr>
        <w:t>An occupation in column 1 of a particular item in the table is a specified occupation. The ANZSCO code number in column 2 of an item is included to assist with the identification of a specified occupation.</w:t>
      </w:r>
    </w:p>
    <w:p w14:paraId="515C4EE0" w14:textId="77777777" w:rsidR="00A96A07" w:rsidRDefault="00A96A07" w:rsidP="00A96A07">
      <w:pPr>
        <w:pStyle w:val="ListParagraph"/>
        <w:shd w:val="clear" w:color="auto" w:fill="FFFFFF"/>
        <w:ind w:left="567"/>
        <w:rPr>
          <w:rFonts w:asciiTheme="minorHAnsi" w:eastAsia="Times New Roman" w:hAnsiTheme="minorHAnsi" w:cstheme="minorHAnsi"/>
          <w:color w:val="000000"/>
          <w:szCs w:val="24"/>
          <w:lang w:eastAsia="en-AU"/>
        </w:rPr>
      </w:pPr>
    </w:p>
    <w:p w14:paraId="01E37D38" w14:textId="35B0746D" w:rsidR="00473583" w:rsidRDefault="00362530" w:rsidP="00C86C1B">
      <w:pPr>
        <w:pStyle w:val="ListParagraph"/>
        <w:numPr>
          <w:ilvl w:val="0"/>
          <w:numId w:val="64"/>
        </w:numPr>
        <w:shd w:val="clear" w:color="auto" w:fill="FFFFFF" w:themeFill="background1"/>
        <w:ind w:left="567" w:hanging="567"/>
        <w:rPr>
          <w:rFonts w:asciiTheme="minorHAnsi" w:hAnsiTheme="minorHAnsi" w:cstheme="minorHAnsi"/>
          <w:b/>
          <w:bCs/>
          <w:szCs w:val="24"/>
        </w:rPr>
      </w:pPr>
      <w:r w:rsidRPr="004C54E6">
        <w:rPr>
          <w:rFonts w:asciiTheme="minorHAnsi" w:eastAsia="Times New Roman" w:hAnsiTheme="minorHAnsi"/>
          <w:color w:val="000000" w:themeColor="text1"/>
          <w:lang w:eastAsia="en-AU"/>
        </w:rPr>
        <w:t>The intent is that an apprentice or trainee who is eligible for financial assistance by way of the Australian Apprenticeships Incentive System program would also be completing a qualifying apprenticeship for the purposes of the Australian Apprenticeships Support Loans program. The Australian Apprenticeships Incentive System program provides funding, including to apprentices and trainees, to encourage and support the commencement and completion of apprenticeships and traineeships</w:t>
      </w:r>
      <w:r w:rsidR="002222BE" w:rsidRPr="00605D32">
        <w:rPr>
          <w:rFonts w:asciiTheme="minorHAnsi" w:eastAsia="Times New Roman" w:hAnsiTheme="minorHAnsi"/>
          <w:color w:val="000000" w:themeColor="text1"/>
          <w:lang w:eastAsia="en-AU"/>
        </w:rPr>
        <w:t>.</w:t>
      </w:r>
      <w:r w:rsidR="04648295" w:rsidRPr="00605D32">
        <w:rPr>
          <w:rFonts w:asciiTheme="minorHAnsi" w:eastAsia="Times New Roman" w:hAnsiTheme="minorHAnsi"/>
          <w:color w:val="000000" w:themeColor="text1"/>
          <w:lang w:eastAsia="en-AU"/>
        </w:rPr>
        <w:t xml:space="preserve"> </w:t>
      </w:r>
      <w:r w:rsidR="00605D32" w:rsidRPr="004C54E6">
        <w:rPr>
          <w:rFonts w:asciiTheme="minorHAnsi" w:eastAsia="Times New Roman" w:hAnsiTheme="minorHAnsi"/>
          <w:color w:val="000000" w:themeColor="text1"/>
          <w:lang w:eastAsia="en-AU"/>
        </w:rPr>
        <w:t xml:space="preserve">In </w:t>
      </w:r>
      <w:r w:rsidR="00845A07">
        <w:rPr>
          <w:rFonts w:asciiTheme="minorHAnsi" w:eastAsia="Times New Roman" w:hAnsiTheme="minorHAnsi"/>
          <w:color w:val="000000" w:themeColor="text1"/>
          <w:lang w:eastAsia="en-AU"/>
        </w:rPr>
        <w:t>December</w:t>
      </w:r>
      <w:r w:rsidR="00605D32" w:rsidRPr="004C54E6">
        <w:rPr>
          <w:rFonts w:asciiTheme="minorHAnsi" w:eastAsia="Times New Roman" w:hAnsiTheme="minorHAnsi"/>
          <w:color w:val="000000" w:themeColor="text1"/>
          <w:lang w:eastAsia="en-AU"/>
        </w:rPr>
        <w:t xml:space="preserve"> 2023, the list that determined eligibility for financial assistance by way of the Australian Apprenticeships Incentive System program could be accessed at:</w:t>
      </w:r>
      <w:r w:rsidR="00605D32" w:rsidRPr="00605D32">
        <w:rPr>
          <w:rFonts w:asciiTheme="minorHAnsi" w:eastAsia="Times New Roman" w:hAnsiTheme="minorHAnsi"/>
          <w:i/>
          <w:iCs/>
          <w:color w:val="000000" w:themeColor="text1"/>
          <w:lang w:eastAsia="en-AU"/>
        </w:rPr>
        <w:t xml:space="preserve"> </w:t>
      </w:r>
      <w:r w:rsidR="00093074" w:rsidRPr="00093074">
        <w:rPr>
          <w:rFonts w:asciiTheme="minorHAnsi" w:eastAsia="Times New Roman" w:hAnsiTheme="minorHAnsi"/>
          <w:color w:val="000000" w:themeColor="text1"/>
          <w:u w:val="single"/>
          <w:lang w:eastAsia="en-AU"/>
        </w:rPr>
        <w:t>www.apprenticeships.gov.au/support-and-resources/financial-support-apprentices-priority-occupations</w:t>
      </w:r>
      <w:r w:rsidR="00605D32">
        <w:rPr>
          <w:rFonts w:asciiTheme="minorHAnsi" w:eastAsia="Times New Roman" w:hAnsiTheme="minorHAnsi"/>
          <w:color w:val="000000" w:themeColor="text1"/>
          <w:lang w:eastAsia="en-AU"/>
        </w:rPr>
        <w:t>.</w:t>
      </w:r>
    </w:p>
    <w:p w14:paraId="2CA0BCDD" w14:textId="00A992A1" w:rsidR="00C86317" w:rsidRPr="004C54E6" w:rsidRDefault="00C86317" w:rsidP="004C54E6">
      <w:pPr>
        <w:shd w:val="clear" w:color="auto" w:fill="FFFFFF" w:themeFill="background1"/>
        <w:rPr>
          <w:rFonts w:asciiTheme="minorHAnsi" w:hAnsiTheme="minorHAnsi" w:cstheme="minorHAnsi"/>
          <w:b/>
          <w:bCs/>
          <w:szCs w:val="24"/>
        </w:rPr>
      </w:pPr>
      <w:r w:rsidRPr="004C54E6">
        <w:rPr>
          <w:rFonts w:asciiTheme="minorHAnsi" w:hAnsiTheme="minorHAnsi" w:cstheme="minorHAnsi"/>
          <w:b/>
          <w:bCs/>
          <w:szCs w:val="24"/>
        </w:rPr>
        <w:t>Part 3—Transitional provisions</w:t>
      </w:r>
    </w:p>
    <w:p w14:paraId="2625AE46" w14:textId="30123ECB" w:rsidR="009A7D80" w:rsidRPr="008A5E8C" w:rsidRDefault="009A7D80" w:rsidP="009A7D80">
      <w:pPr>
        <w:shd w:val="clear" w:color="auto" w:fill="FFFFFF"/>
        <w:spacing w:after="240"/>
        <w:rPr>
          <w:rFonts w:asciiTheme="minorHAnsi" w:eastAsia="Times New Roman" w:hAnsiTheme="minorHAnsi" w:cstheme="minorHAnsi"/>
          <w:b/>
          <w:bCs/>
          <w:color w:val="000000"/>
          <w:szCs w:val="24"/>
          <w:lang w:eastAsia="en-AU"/>
        </w:rPr>
      </w:pPr>
      <w:r>
        <w:rPr>
          <w:rFonts w:asciiTheme="minorHAnsi" w:eastAsia="Times New Roman" w:hAnsiTheme="minorHAnsi" w:cstheme="minorHAnsi"/>
          <w:b/>
          <w:bCs/>
          <w:color w:val="000000"/>
          <w:szCs w:val="24"/>
          <w:lang w:eastAsia="en-AU"/>
        </w:rPr>
        <w:t xml:space="preserve">Section </w:t>
      </w:r>
      <w:r w:rsidR="003D1C7B">
        <w:rPr>
          <w:rFonts w:asciiTheme="minorHAnsi" w:eastAsia="Times New Roman" w:hAnsiTheme="minorHAnsi" w:cstheme="minorHAnsi"/>
          <w:b/>
          <w:bCs/>
          <w:color w:val="000000"/>
          <w:szCs w:val="24"/>
          <w:lang w:eastAsia="en-AU"/>
        </w:rPr>
        <w:t>7</w:t>
      </w:r>
      <w:r>
        <w:rPr>
          <w:rFonts w:asciiTheme="minorHAnsi" w:eastAsia="Times New Roman" w:hAnsiTheme="minorHAnsi" w:cstheme="minorHAnsi"/>
          <w:b/>
          <w:bCs/>
          <w:color w:val="000000"/>
          <w:szCs w:val="24"/>
          <w:lang w:eastAsia="en-AU"/>
        </w:rPr>
        <w:tab/>
        <w:t>Purpose of this Part</w:t>
      </w:r>
    </w:p>
    <w:p w14:paraId="722235F1" w14:textId="417B7FFD" w:rsidR="003D1C7B" w:rsidRPr="00977294" w:rsidRDefault="009A7D80" w:rsidP="003D1C7B">
      <w:pPr>
        <w:pStyle w:val="ListParagraph"/>
        <w:numPr>
          <w:ilvl w:val="0"/>
          <w:numId w:val="64"/>
        </w:numPr>
        <w:shd w:val="clear" w:color="auto" w:fill="FFFFFF"/>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Section </w:t>
      </w:r>
      <w:r w:rsidR="003D1C7B">
        <w:rPr>
          <w:rFonts w:asciiTheme="minorHAnsi" w:eastAsia="Times New Roman" w:hAnsiTheme="minorHAnsi" w:cstheme="minorHAnsi"/>
          <w:color w:val="000000"/>
          <w:szCs w:val="24"/>
          <w:lang w:eastAsia="en-AU"/>
        </w:rPr>
        <w:t>7</w:t>
      </w:r>
      <w:r>
        <w:rPr>
          <w:rFonts w:asciiTheme="minorHAnsi" w:eastAsia="Times New Roman" w:hAnsiTheme="minorHAnsi" w:cstheme="minorHAnsi"/>
          <w:color w:val="000000"/>
          <w:szCs w:val="24"/>
          <w:lang w:eastAsia="en-AU"/>
        </w:rPr>
        <w:t xml:space="preserve"> provides that Part </w:t>
      </w:r>
      <w:r w:rsidR="003D1C7B">
        <w:rPr>
          <w:rFonts w:asciiTheme="minorHAnsi" w:eastAsia="Times New Roman" w:hAnsiTheme="minorHAnsi" w:cstheme="minorHAnsi"/>
          <w:color w:val="000000"/>
          <w:szCs w:val="24"/>
          <w:lang w:eastAsia="en-AU"/>
        </w:rPr>
        <w:t>3</w:t>
      </w:r>
      <w:r>
        <w:rPr>
          <w:rFonts w:asciiTheme="minorHAnsi" w:eastAsia="Times New Roman" w:hAnsiTheme="minorHAnsi" w:cstheme="minorHAnsi"/>
          <w:color w:val="000000"/>
          <w:szCs w:val="24"/>
          <w:lang w:eastAsia="en-AU"/>
        </w:rPr>
        <w:t xml:space="preserve"> is made for the purposes of subsection 105(</w:t>
      </w:r>
      <w:r w:rsidR="003D1C7B">
        <w:rPr>
          <w:rFonts w:asciiTheme="minorHAnsi" w:eastAsia="Times New Roman" w:hAnsiTheme="minorHAnsi" w:cstheme="minorHAnsi"/>
          <w:color w:val="000000"/>
          <w:szCs w:val="24"/>
          <w:lang w:eastAsia="en-AU"/>
        </w:rPr>
        <w:t>4</w:t>
      </w:r>
      <w:r>
        <w:rPr>
          <w:rFonts w:asciiTheme="minorHAnsi" w:eastAsia="Times New Roman" w:hAnsiTheme="minorHAnsi" w:cstheme="minorHAnsi"/>
          <w:color w:val="000000"/>
          <w:szCs w:val="24"/>
          <w:lang w:eastAsia="en-AU"/>
        </w:rPr>
        <w:t>) of the Act.</w:t>
      </w:r>
      <w:r w:rsidR="003D1C7B" w:rsidRPr="003D1C7B">
        <w:rPr>
          <w:rFonts w:asciiTheme="minorHAnsi" w:eastAsia="Times New Roman" w:hAnsiTheme="minorHAnsi"/>
          <w:color w:val="000000" w:themeColor="text1"/>
          <w:lang w:eastAsia="en-AU"/>
        </w:rPr>
        <w:t xml:space="preserve"> </w:t>
      </w:r>
      <w:r w:rsidR="003D1C7B" w:rsidRPr="027CAC9B">
        <w:rPr>
          <w:rFonts w:asciiTheme="minorHAnsi" w:eastAsia="Times New Roman" w:hAnsiTheme="minorHAnsi"/>
          <w:color w:val="000000" w:themeColor="text1"/>
          <w:lang w:eastAsia="en-AU"/>
        </w:rPr>
        <w:t>Subsection 105(4) of the Act allows the Australian Apprenticeships Priority List to make provision for matters of an application or transitional nature in relation to the addition, removal or modification of specified occupations or qualifications.</w:t>
      </w:r>
    </w:p>
    <w:p w14:paraId="3D68D3A0" w14:textId="39E9DD89" w:rsidR="005A6097" w:rsidRDefault="005A6097">
      <w:pPr>
        <w:rPr>
          <w:rFonts w:asciiTheme="minorHAnsi" w:hAnsiTheme="minorHAnsi" w:cstheme="minorHAnsi"/>
          <w:b/>
          <w:bCs/>
          <w:szCs w:val="24"/>
        </w:rPr>
      </w:pPr>
      <w:r>
        <w:rPr>
          <w:rFonts w:asciiTheme="minorHAnsi" w:hAnsiTheme="minorHAnsi" w:cstheme="minorHAnsi"/>
          <w:b/>
          <w:bCs/>
          <w:szCs w:val="24"/>
        </w:rPr>
        <w:t xml:space="preserve">Section </w:t>
      </w:r>
      <w:r w:rsidR="000F6ADD">
        <w:rPr>
          <w:rFonts w:asciiTheme="minorHAnsi" w:hAnsiTheme="minorHAnsi" w:cstheme="minorHAnsi"/>
          <w:b/>
          <w:bCs/>
          <w:szCs w:val="24"/>
        </w:rPr>
        <w:t>8</w:t>
      </w:r>
      <w:r w:rsidR="00C86317">
        <w:rPr>
          <w:rFonts w:asciiTheme="minorHAnsi" w:hAnsiTheme="minorHAnsi" w:cstheme="minorHAnsi"/>
          <w:b/>
          <w:bCs/>
          <w:szCs w:val="24"/>
        </w:rPr>
        <w:tab/>
        <w:t>Transitional—pre-commencement apprenticeships</w:t>
      </w:r>
    </w:p>
    <w:p w14:paraId="1DE1F545" w14:textId="57ABD6B7" w:rsidR="005A6097" w:rsidRPr="00977294" w:rsidRDefault="00002E32" w:rsidP="00977294">
      <w:pPr>
        <w:pStyle w:val="ListParagraph"/>
        <w:numPr>
          <w:ilvl w:val="0"/>
          <w:numId w:val="64"/>
        </w:numPr>
        <w:shd w:val="clear" w:color="auto" w:fill="FFFFFF"/>
        <w:ind w:left="567" w:hanging="567"/>
        <w:rPr>
          <w:rFonts w:asciiTheme="minorHAnsi" w:eastAsia="Times New Roman" w:hAnsiTheme="minorHAnsi" w:cstheme="minorHAnsi"/>
          <w:color w:val="000000"/>
          <w:szCs w:val="24"/>
          <w:lang w:eastAsia="en-AU"/>
        </w:rPr>
      </w:pPr>
      <w:r w:rsidRPr="027CAC9B">
        <w:rPr>
          <w:rFonts w:asciiTheme="minorHAnsi" w:hAnsiTheme="minorHAnsi"/>
        </w:rPr>
        <w:t xml:space="preserve">Subsection </w:t>
      </w:r>
      <w:r w:rsidR="00E84C7A">
        <w:rPr>
          <w:rFonts w:asciiTheme="minorHAnsi" w:hAnsiTheme="minorHAnsi"/>
        </w:rPr>
        <w:t>8</w:t>
      </w:r>
      <w:r w:rsidRPr="027CAC9B">
        <w:rPr>
          <w:rFonts w:asciiTheme="minorHAnsi" w:hAnsiTheme="minorHAnsi"/>
        </w:rPr>
        <w:t xml:space="preserve">(1) provides that section </w:t>
      </w:r>
      <w:r w:rsidR="00E84C7A">
        <w:rPr>
          <w:rFonts w:asciiTheme="minorHAnsi" w:hAnsiTheme="minorHAnsi"/>
        </w:rPr>
        <w:t>8</w:t>
      </w:r>
      <w:r w:rsidR="00C86317" w:rsidRPr="027CAC9B">
        <w:rPr>
          <w:rFonts w:asciiTheme="minorHAnsi" w:hAnsiTheme="minorHAnsi"/>
        </w:rPr>
        <w:t xml:space="preserve"> applies </w:t>
      </w:r>
      <w:r w:rsidRPr="027CAC9B">
        <w:rPr>
          <w:rFonts w:asciiTheme="minorHAnsi" w:hAnsiTheme="minorHAnsi"/>
        </w:rPr>
        <w:t>to a person if:</w:t>
      </w:r>
    </w:p>
    <w:p w14:paraId="279DD928" w14:textId="77777777" w:rsidR="00002E32" w:rsidRDefault="00002E32" w:rsidP="00002E32">
      <w:pPr>
        <w:pStyle w:val="ListParagraph"/>
        <w:shd w:val="clear" w:color="auto" w:fill="FFFFFF"/>
        <w:ind w:left="567"/>
        <w:rPr>
          <w:rFonts w:asciiTheme="minorHAnsi" w:hAnsiTheme="minorHAnsi" w:cstheme="minorHAnsi"/>
          <w:szCs w:val="24"/>
        </w:rPr>
      </w:pPr>
    </w:p>
    <w:p w14:paraId="0B95C2C0" w14:textId="76591327" w:rsidR="00002E32" w:rsidRDefault="00002E32" w:rsidP="00977294">
      <w:pPr>
        <w:pStyle w:val="ListParagraph"/>
        <w:numPr>
          <w:ilvl w:val="0"/>
          <w:numId w:val="69"/>
        </w:numPr>
        <w:shd w:val="clear" w:color="auto" w:fill="FFFFFF"/>
        <w:rPr>
          <w:rFonts w:asciiTheme="minorHAnsi" w:hAnsiTheme="minorHAnsi" w:cstheme="minorHAnsi"/>
          <w:szCs w:val="24"/>
        </w:rPr>
      </w:pPr>
      <w:r>
        <w:rPr>
          <w:rFonts w:asciiTheme="minorHAnsi" w:hAnsiTheme="minorHAnsi" w:cstheme="minorHAnsi"/>
          <w:szCs w:val="24"/>
        </w:rPr>
        <w:t xml:space="preserve">immediately before the commencement of section </w:t>
      </w:r>
      <w:r w:rsidR="002A78DD">
        <w:rPr>
          <w:rFonts w:asciiTheme="minorHAnsi" w:hAnsiTheme="minorHAnsi" w:cstheme="minorHAnsi"/>
          <w:szCs w:val="24"/>
        </w:rPr>
        <w:t>8</w:t>
      </w:r>
      <w:r>
        <w:rPr>
          <w:rFonts w:asciiTheme="minorHAnsi" w:hAnsiTheme="minorHAnsi" w:cstheme="minorHAnsi"/>
          <w:szCs w:val="24"/>
        </w:rPr>
        <w:t>, the person was undertaking an apprenticeship through which the person was undertaking a qualification:</w:t>
      </w:r>
    </w:p>
    <w:p w14:paraId="15D65015" w14:textId="7A244C68" w:rsidR="00002E32" w:rsidRDefault="00002E32" w:rsidP="00977294">
      <w:pPr>
        <w:pStyle w:val="ListParagraph"/>
        <w:numPr>
          <w:ilvl w:val="0"/>
          <w:numId w:val="3"/>
        </w:numPr>
        <w:shd w:val="clear" w:color="auto" w:fill="FFFFFF"/>
        <w:rPr>
          <w:rFonts w:asciiTheme="minorHAnsi" w:hAnsiTheme="minorHAnsi" w:cstheme="minorHAnsi"/>
          <w:szCs w:val="24"/>
        </w:rPr>
      </w:pPr>
      <w:r>
        <w:rPr>
          <w:rFonts w:asciiTheme="minorHAnsi" w:hAnsiTheme="minorHAnsi" w:cstheme="minorHAnsi"/>
          <w:szCs w:val="24"/>
        </w:rPr>
        <w:t xml:space="preserve">at a level prescribed by the </w:t>
      </w:r>
      <w:r w:rsidRPr="000702F3">
        <w:rPr>
          <w:rFonts w:asciiTheme="minorHAnsi" w:hAnsiTheme="minorHAnsi" w:cstheme="minorHAnsi"/>
          <w:i/>
          <w:iCs/>
          <w:szCs w:val="24"/>
        </w:rPr>
        <w:t>Trade Support Loans Rules</w:t>
      </w:r>
      <w:r w:rsidR="000702F3" w:rsidRPr="000702F3">
        <w:rPr>
          <w:rFonts w:asciiTheme="minorHAnsi" w:hAnsiTheme="minorHAnsi" w:cstheme="minorHAnsi"/>
          <w:i/>
          <w:iCs/>
          <w:szCs w:val="24"/>
        </w:rPr>
        <w:t xml:space="preserve"> 2014</w:t>
      </w:r>
      <w:r>
        <w:rPr>
          <w:rFonts w:asciiTheme="minorHAnsi" w:hAnsiTheme="minorHAnsi" w:cstheme="minorHAnsi"/>
          <w:szCs w:val="24"/>
        </w:rPr>
        <w:t>; and</w:t>
      </w:r>
    </w:p>
    <w:p w14:paraId="095BB08D" w14:textId="5A1D905E" w:rsidR="00002E32" w:rsidRDefault="00002E32" w:rsidP="00977294">
      <w:pPr>
        <w:pStyle w:val="ListParagraph"/>
        <w:numPr>
          <w:ilvl w:val="0"/>
          <w:numId w:val="3"/>
        </w:numPr>
        <w:shd w:val="clear" w:color="auto" w:fill="FFFFFF"/>
        <w:rPr>
          <w:rFonts w:asciiTheme="minorHAnsi" w:hAnsiTheme="minorHAnsi" w:cstheme="minorHAnsi"/>
          <w:szCs w:val="24"/>
        </w:rPr>
      </w:pPr>
      <w:r>
        <w:rPr>
          <w:rFonts w:asciiTheme="minorHAnsi" w:hAnsiTheme="minorHAnsi" w:cstheme="minorHAnsi"/>
          <w:szCs w:val="24"/>
        </w:rPr>
        <w:t>leading to an occupation or a qualification specified on the TSL Priority List; and</w:t>
      </w:r>
    </w:p>
    <w:p w14:paraId="3709A114" w14:textId="0E440F1E" w:rsidR="00002E32" w:rsidRDefault="00002E32" w:rsidP="00977294">
      <w:pPr>
        <w:pStyle w:val="ListParagraph"/>
        <w:numPr>
          <w:ilvl w:val="0"/>
          <w:numId w:val="3"/>
        </w:numPr>
        <w:shd w:val="clear" w:color="auto" w:fill="FFFFFF"/>
        <w:rPr>
          <w:rFonts w:asciiTheme="minorHAnsi" w:hAnsiTheme="minorHAnsi" w:cstheme="minorHAnsi"/>
          <w:szCs w:val="24"/>
        </w:rPr>
      </w:pPr>
      <w:r>
        <w:rPr>
          <w:rFonts w:asciiTheme="minorHAnsi" w:hAnsiTheme="minorHAnsi" w:cstheme="minorHAnsi"/>
          <w:szCs w:val="24"/>
        </w:rPr>
        <w:t>which met any other requirements prescribed by the Trade Support Loans Rules; and</w:t>
      </w:r>
    </w:p>
    <w:p w14:paraId="560B618D" w14:textId="488618A2" w:rsidR="00002E32" w:rsidRDefault="00002E32" w:rsidP="00977294">
      <w:pPr>
        <w:pStyle w:val="ListParagraph"/>
        <w:numPr>
          <w:ilvl w:val="0"/>
          <w:numId w:val="69"/>
        </w:numPr>
        <w:shd w:val="clear" w:color="auto" w:fill="FFFFFF"/>
        <w:rPr>
          <w:rFonts w:asciiTheme="minorHAnsi" w:hAnsiTheme="minorHAnsi" w:cstheme="minorHAnsi"/>
          <w:szCs w:val="24"/>
        </w:rPr>
      </w:pPr>
      <w:r>
        <w:rPr>
          <w:rFonts w:asciiTheme="minorHAnsi" w:hAnsiTheme="minorHAnsi" w:cstheme="minorHAnsi"/>
          <w:szCs w:val="24"/>
        </w:rPr>
        <w:lastRenderedPageBreak/>
        <w:t xml:space="preserve">immediately after the commencement of section </w:t>
      </w:r>
      <w:r w:rsidR="002A78DD">
        <w:rPr>
          <w:rFonts w:asciiTheme="minorHAnsi" w:hAnsiTheme="minorHAnsi" w:cstheme="minorHAnsi"/>
          <w:szCs w:val="24"/>
        </w:rPr>
        <w:t>8</w:t>
      </w:r>
      <w:r>
        <w:rPr>
          <w:rFonts w:asciiTheme="minorHAnsi" w:hAnsiTheme="minorHAnsi" w:cstheme="minorHAnsi"/>
          <w:szCs w:val="24"/>
        </w:rPr>
        <w:t xml:space="preserve">, the occupation or qualification is not specified in </w:t>
      </w:r>
      <w:r w:rsidR="002A78DD">
        <w:rPr>
          <w:rFonts w:asciiTheme="minorHAnsi" w:hAnsiTheme="minorHAnsi" w:cstheme="minorHAnsi"/>
          <w:szCs w:val="24"/>
        </w:rPr>
        <w:t>Part 2</w:t>
      </w:r>
      <w:r>
        <w:rPr>
          <w:rFonts w:asciiTheme="minorHAnsi" w:hAnsiTheme="minorHAnsi" w:cstheme="minorHAnsi"/>
          <w:szCs w:val="24"/>
        </w:rPr>
        <w:t xml:space="preserve"> of this determination; and</w:t>
      </w:r>
    </w:p>
    <w:p w14:paraId="4C9D0479" w14:textId="5B6BDC70" w:rsidR="00002E32" w:rsidRDefault="00002E32" w:rsidP="00977294">
      <w:pPr>
        <w:pStyle w:val="ListParagraph"/>
        <w:numPr>
          <w:ilvl w:val="0"/>
          <w:numId w:val="69"/>
        </w:numPr>
        <w:shd w:val="clear" w:color="auto" w:fill="FFFFFF"/>
        <w:rPr>
          <w:rFonts w:asciiTheme="minorHAnsi" w:hAnsiTheme="minorHAnsi" w:cstheme="minorHAnsi"/>
          <w:szCs w:val="24"/>
        </w:rPr>
      </w:pPr>
      <w:r>
        <w:rPr>
          <w:rFonts w:asciiTheme="minorHAnsi" w:hAnsiTheme="minorHAnsi" w:cstheme="minorHAnsi"/>
          <w:szCs w:val="24"/>
        </w:rPr>
        <w:t xml:space="preserve">before the commencement of section </w:t>
      </w:r>
      <w:r w:rsidR="002A78DD">
        <w:rPr>
          <w:rFonts w:asciiTheme="minorHAnsi" w:hAnsiTheme="minorHAnsi" w:cstheme="minorHAnsi"/>
          <w:szCs w:val="24"/>
        </w:rPr>
        <w:t>8</w:t>
      </w:r>
      <w:r>
        <w:rPr>
          <w:rFonts w:asciiTheme="minorHAnsi" w:hAnsiTheme="minorHAnsi" w:cstheme="minorHAnsi"/>
          <w:szCs w:val="24"/>
        </w:rPr>
        <w:t xml:space="preserve">, a determination granting the person’s application for trade support loan in relation to the apprenticeship had ceased to have effect. </w:t>
      </w:r>
    </w:p>
    <w:p w14:paraId="7F57C588" w14:textId="77777777" w:rsidR="00002E32" w:rsidRPr="00977294" w:rsidRDefault="00002E32" w:rsidP="00977294">
      <w:pPr>
        <w:pStyle w:val="ListParagraph"/>
        <w:shd w:val="clear" w:color="auto" w:fill="FFFFFF"/>
        <w:ind w:left="567"/>
        <w:rPr>
          <w:rFonts w:asciiTheme="minorHAnsi" w:eastAsia="Times New Roman" w:hAnsiTheme="minorHAnsi" w:cstheme="minorHAnsi"/>
          <w:color w:val="000000"/>
          <w:szCs w:val="24"/>
          <w:lang w:eastAsia="en-AU"/>
        </w:rPr>
      </w:pPr>
    </w:p>
    <w:p w14:paraId="402262FA" w14:textId="674C0B61" w:rsidR="00002E32" w:rsidRDefault="00002E32" w:rsidP="00977294">
      <w:pPr>
        <w:pStyle w:val="ListParagraph"/>
        <w:numPr>
          <w:ilvl w:val="0"/>
          <w:numId w:val="64"/>
        </w:numPr>
        <w:shd w:val="clear" w:color="auto" w:fill="FFFFFF"/>
        <w:ind w:left="567" w:hanging="567"/>
        <w:rPr>
          <w:rFonts w:asciiTheme="minorHAnsi" w:eastAsia="Times New Roman" w:hAnsiTheme="minorHAnsi" w:cstheme="minorHAnsi"/>
          <w:color w:val="000000"/>
          <w:szCs w:val="24"/>
          <w:lang w:eastAsia="en-AU"/>
        </w:rPr>
      </w:pPr>
      <w:r w:rsidRPr="027CAC9B">
        <w:rPr>
          <w:rFonts w:asciiTheme="minorHAnsi" w:eastAsia="Times New Roman" w:hAnsiTheme="minorHAnsi"/>
          <w:color w:val="000000" w:themeColor="text1"/>
          <w:lang w:eastAsia="en-AU"/>
        </w:rPr>
        <w:t xml:space="preserve">Subsection </w:t>
      </w:r>
      <w:r w:rsidR="00E84C7A">
        <w:rPr>
          <w:rFonts w:asciiTheme="minorHAnsi" w:eastAsia="Times New Roman" w:hAnsiTheme="minorHAnsi"/>
          <w:color w:val="000000" w:themeColor="text1"/>
          <w:lang w:eastAsia="en-AU"/>
        </w:rPr>
        <w:t>8</w:t>
      </w:r>
      <w:r w:rsidRPr="027CAC9B">
        <w:rPr>
          <w:rFonts w:asciiTheme="minorHAnsi" w:eastAsia="Times New Roman" w:hAnsiTheme="minorHAnsi"/>
          <w:color w:val="000000" w:themeColor="text1"/>
          <w:lang w:eastAsia="en-AU"/>
        </w:rPr>
        <w:t>(2) provides that</w:t>
      </w:r>
      <w:r w:rsidR="00FF5909" w:rsidRPr="027CAC9B">
        <w:rPr>
          <w:rFonts w:asciiTheme="minorHAnsi" w:eastAsia="Times New Roman" w:hAnsiTheme="minorHAnsi"/>
          <w:color w:val="000000" w:themeColor="text1"/>
          <w:lang w:eastAsia="en-AU"/>
        </w:rPr>
        <w:t>,</w:t>
      </w:r>
      <w:r w:rsidRPr="027CAC9B">
        <w:rPr>
          <w:rFonts w:asciiTheme="minorHAnsi" w:eastAsia="Times New Roman" w:hAnsiTheme="minorHAnsi"/>
          <w:color w:val="000000" w:themeColor="text1"/>
          <w:lang w:eastAsia="en-AU"/>
        </w:rPr>
        <w:t xml:space="preserve"> in those circumstances</w:t>
      </w:r>
      <w:r w:rsidR="00FF5909" w:rsidRPr="027CAC9B">
        <w:rPr>
          <w:rFonts w:asciiTheme="minorHAnsi" w:eastAsia="Times New Roman" w:hAnsiTheme="minorHAnsi"/>
          <w:color w:val="000000" w:themeColor="text1"/>
          <w:lang w:eastAsia="en-AU"/>
        </w:rPr>
        <w:t xml:space="preserve">, </w:t>
      </w:r>
      <w:r w:rsidRPr="027CAC9B">
        <w:rPr>
          <w:rFonts w:asciiTheme="minorHAnsi" w:eastAsia="Times New Roman" w:hAnsiTheme="minorHAnsi"/>
          <w:color w:val="000000" w:themeColor="text1"/>
          <w:lang w:eastAsia="en-AU"/>
        </w:rPr>
        <w:t xml:space="preserve">the Act has effect, in relation to the person, as if the occupation or qualification </w:t>
      </w:r>
      <w:r w:rsidR="00FF5909" w:rsidRPr="027CAC9B">
        <w:rPr>
          <w:rFonts w:asciiTheme="minorHAnsi" w:eastAsia="Times New Roman" w:hAnsiTheme="minorHAnsi"/>
          <w:color w:val="000000" w:themeColor="text1"/>
          <w:lang w:eastAsia="en-AU"/>
        </w:rPr>
        <w:t xml:space="preserve">were specified in </w:t>
      </w:r>
      <w:r w:rsidR="00E84C7A">
        <w:rPr>
          <w:rFonts w:asciiTheme="minorHAnsi" w:eastAsia="Times New Roman" w:hAnsiTheme="minorHAnsi"/>
          <w:color w:val="000000" w:themeColor="text1"/>
          <w:lang w:eastAsia="en-AU"/>
        </w:rPr>
        <w:t>Part 2</w:t>
      </w:r>
      <w:r w:rsidR="00FF5909" w:rsidRPr="027CAC9B">
        <w:rPr>
          <w:rFonts w:asciiTheme="minorHAnsi" w:eastAsia="Times New Roman" w:hAnsiTheme="minorHAnsi"/>
          <w:color w:val="000000" w:themeColor="text1"/>
          <w:lang w:eastAsia="en-AU"/>
        </w:rPr>
        <w:t xml:space="preserve"> of this determination.</w:t>
      </w:r>
    </w:p>
    <w:p w14:paraId="2B511E77" w14:textId="77777777" w:rsidR="00FF5909" w:rsidRDefault="00FF5909" w:rsidP="00977294">
      <w:pPr>
        <w:pStyle w:val="ListParagraph"/>
        <w:shd w:val="clear" w:color="auto" w:fill="FFFFFF"/>
        <w:ind w:left="567"/>
        <w:rPr>
          <w:rFonts w:asciiTheme="minorHAnsi" w:eastAsia="Times New Roman" w:hAnsiTheme="minorHAnsi" w:cstheme="minorHAnsi"/>
          <w:color w:val="000000"/>
          <w:szCs w:val="24"/>
          <w:lang w:eastAsia="en-AU"/>
        </w:rPr>
      </w:pPr>
    </w:p>
    <w:p w14:paraId="781E8A68" w14:textId="5A0C2F7B" w:rsidR="00FF5909" w:rsidRPr="00C322DB" w:rsidRDefault="00FF5909" w:rsidP="00977294">
      <w:pPr>
        <w:pStyle w:val="ListParagraph"/>
        <w:numPr>
          <w:ilvl w:val="0"/>
          <w:numId w:val="64"/>
        </w:numPr>
        <w:shd w:val="clear" w:color="auto" w:fill="FFFFFF"/>
        <w:ind w:left="567" w:hanging="567"/>
        <w:rPr>
          <w:rFonts w:asciiTheme="minorHAnsi" w:eastAsia="Times New Roman" w:hAnsiTheme="minorHAnsi" w:cstheme="minorHAnsi"/>
          <w:color w:val="000000"/>
          <w:szCs w:val="24"/>
          <w:lang w:eastAsia="en-AU"/>
        </w:rPr>
      </w:pPr>
      <w:r w:rsidRPr="027CAC9B">
        <w:rPr>
          <w:rFonts w:asciiTheme="minorHAnsi" w:eastAsia="Times New Roman" w:hAnsiTheme="minorHAnsi"/>
          <w:color w:val="000000" w:themeColor="text1"/>
          <w:lang w:eastAsia="en-AU"/>
        </w:rPr>
        <w:t xml:space="preserve">For example, </w:t>
      </w:r>
      <w:r w:rsidR="00FE4B50">
        <w:rPr>
          <w:rFonts w:asciiTheme="minorHAnsi" w:eastAsia="Times New Roman" w:hAnsiTheme="minorHAnsi"/>
          <w:color w:val="000000" w:themeColor="text1"/>
          <w:lang w:eastAsia="en-AU"/>
        </w:rPr>
        <w:t>‘</w:t>
      </w:r>
      <w:r w:rsidR="00093074">
        <w:rPr>
          <w:rFonts w:asciiTheme="minorHAnsi" w:eastAsia="Times New Roman" w:hAnsiTheme="minorHAnsi"/>
          <w:color w:val="000000" w:themeColor="text1"/>
          <w:lang w:eastAsia="en-AU"/>
        </w:rPr>
        <w:t>signwriter</w:t>
      </w:r>
      <w:r w:rsidR="00D655C5">
        <w:rPr>
          <w:rFonts w:asciiTheme="minorHAnsi" w:eastAsia="Times New Roman" w:hAnsiTheme="minorHAnsi"/>
          <w:color w:val="000000" w:themeColor="text1"/>
          <w:lang w:eastAsia="en-AU"/>
        </w:rPr>
        <w:t>’</w:t>
      </w:r>
      <w:r w:rsidR="00916157" w:rsidRPr="027CAC9B">
        <w:rPr>
          <w:rFonts w:asciiTheme="minorHAnsi" w:eastAsia="Times New Roman" w:hAnsiTheme="minorHAnsi"/>
          <w:color w:val="000000" w:themeColor="text1"/>
          <w:lang w:eastAsia="en-AU"/>
        </w:rPr>
        <w:t xml:space="preserve"> </w:t>
      </w:r>
      <w:r w:rsidR="007D72CF" w:rsidRPr="027CAC9B">
        <w:rPr>
          <w:rFonts w:asciiTheme="minorHAnsi" w:eastAsia="Times New Roman" w:hAnsiTheme="minorHAnsi"/>
          <w:color w:val="000000" w:themeColor="text1"/>
          <w:lang w:eastAsia="en-AU"/>
        </w:rPr>
        <w:t xml:space="preserve">is an occupation specified on the TSL Priority List. In January 2023, Person </w:t>
      </w:r>
      <w:r w:rsidR="0042637C" w:rsidRPr="027CAC9B">
        <w:rPr>
          <w:rFonts w:asciiTheme="minorHAnsi" w:eastAsia="Times New Roman" w:hAnsiTheme="minorHAnsi"/>
          <w:color w:val="000000" w:themeColor="text1"/>
          <w:lang w:eastAsia="en-AU"/>
        </w:rPr>
        <w:t>A</w:t>
      </w:r>
      <w:r w:rsidR="007D72CF" w:rsidRPr="027CAC9B">
        <w:rPr>
          <w:rFonts w:asciiTheme="minorHAnsi" w:eastAsia="Times New Roman" w:hAnsiTheme="minorHAnsi"/>
          <w:color w:val="000000" w:themeColor="text1"/>
          <w:lang w:eastAsia="en-AU"/>
        </w:rPr>
        <w:t xml:space="preserve"> </w:t>
      </w:r>
      <w:r w:rsidR="00B76CED" w:rsidRPr="027CAC9B">
        <w:rPr>
          <w:rFonts w:asciiTheme="minorHAnsi" w:eastAsia="Times New Roman" w:hAnsiTheme="minorHAnsi"/>
          <w:color w:val="000000" w:themeColor="text1"/>
          <w:lang w:eastAsia="en-AU"/>
        </w:rPr>
        <w:t>begins</w:t>
      </w:r>
      <w:r w:rsidR="007D72CF" w:rsidRPr="027CAC9B">
        <w:rPr>
          <w:rFonts w:asciiTheme="minorHAnsi" w:eastAsia="Times New Roman" w:hAnsiTheme="minorHAnsi"/>
          <w:color w:val="000000" w:themeColor="text1"/>
          <w:lang w:eastAsia="en-AU"/>
        </w:rPr>
        <w:t xml:space="preserve"> undertaking an apprenticeship through which Person </w:t>
      </w:r>
      <w:r w:rsidR="0042637C" w:rsidRPr="027CAC9B">
        <w:rPr>
          <w:rFonts w:asciiTheme="minorHAnsi" w:eastAsia="Times New Roman" w:hAnsiTheme="minorHAnsi"/>
          <w:color w:val="000000" w:themeColor="text1"/>
          <w:lang w:eastAsia="en-AU"/>
        </w:rPr>
        <w:t>A</w:t>
      </w:r>
      <w:r w:rsidR="007D72CF" w:rsidRPr="027CAC9B">
        <w:rPr>
          <w:rFonts w:asciiTheme="minorHAnsi" w:eastAsia="Times New Roman" w:hAnsiTheme="minorHAnsi"/>
          <w:color w:val="000000" w:themeColor="text1"/>
          <w:lang w:eastAsia="en-AU"/>
        </w:rPr>
        <w:t xml:space="preserve"> is undertaking a qualification leading to</w:t>
      </w:r>
      <w:r w:rsidR="00B76CED" w:rsidRPr="027CAC9B">
        <w:rPr>
          <w:rFonts w:asciiTheme="minorHAnsi" w:eastAsia="Times New Roman" w:hAnsiTheme="minorHAnsi"/>
          <w:color w:val="000000" w:themeColor="text1"/>
          <w:lang w:eastAsia="en-AU"/>
        </w:rPr>
        <w:t xml:space="preserve"> </w:t>
      </w:r>
      <w:r w:rsidR="00B76CED" w:rsidRPr="027CAC9B">
        <w:rPr>
          <w:rFonts w:asciiTheme="minorHAnsi" w:hAnsiTheme="minorHAnsi"/>
        </w:rPr>
        <w:t xml:space="preserve">an occupation as a </w:t>
      </w:r>
      <w:r w:rsidR="00093074">
        <w:rPr>
          <w:rFonts w:asciiTheme="minorHAnsi" w:hAnsiTheme="minorHAnsi"/>
        </w:rPr>
        <w:t>signwriter</w:t>
      </w:r>
      <w:r w:rsidR="00B76CED" w:rsidRPr="027CAC9B">
        <w:rPr>
          <w:rFonts w:asciiTheme="minorHAnsi" w:hAnsiTheme="minorHAnsi"/>
        </w:rPr>
        <w:t xml:space="preserve">. In March 2023, Person </w:t>
      </w:r>
      <w:r w:rsidR="0042637C" w:rsidRPr="027CAC9B">
        <w:rPr>
          <w:rFonts w:asciiTheme="minorHAnsi" w:hAnsiTheme="minorHAnsi"/>
        </w:rPr>
        <w:t>A</w:t>
      </w:r>
      <w:r w:rsidR="00B76CED" w:rsidRPr="027CAC9B">
        <w:rPr>
          <w:rFonts w:asciiTheme="minorHAnsi" w:hAnsiTheme="minorHAnsi"/>
        </w:rPr>
        <w:t xml:space="preserve"> made an application for trade support loan and the Secretary </w:t>
      </w:r>
      <w:proofErr w:type="gramStart"/>
      <w:r w:rsidR="00B76CED" w:rsidRPr="027CAC9B">
        <w:rPr>
          <w:rFonts w:asciiTheme="minorHAnsi" w:hAnsiTheme="minorHAnsi"/>
        </w:rPr>
        <w:t>made a determination</w:t>
      </w:r>
      <w:proofErr w:type="gramEnd"/>
      <w:r w:rsidR="00B76CED" w:rsidRPr="027CAC9B">
        <w:rPr>
          <w:rFonts w:asciiTheme="minorHAnsi" w:hAnsiTheme="minorHAnsi"/>
        </w:rPr>
        <w:t xml:space="preserve"> granting the application. </w:t>
      </w:r>
      <w:r w:rsidR="00DF62A7" w:rsidRPr="027CAC9B">
        <w:rPr>
          <w:rFonts w:asciiTheme="minorHAnsi" w:hAnsiTheme="minorHAnsi"/>
        </w:rPr>
        <w:t xml:space="preserve">In September 2023, that determination ceased to have effect and Person </w:t>
      </w:r>
      <w:r w:rsidR="0042637C" w:rsidRPr="027CAC9B">
        <w:rPr>
          <w:rFonts w:asciiTheme="minorHAnsi" w:hAnsiTheme="minorHAnsi"/>
        </w:rPr>
        <w:t>A</w:t>
      </w:r>
      <w:r w:rsidR="00DF62A7" w:rsidRPr="027CAC9B">
        <w:rPr>
          <w:rFonts w:asciiTheme="minorHAnsi" w:hAnsiTheme="minorHAnsi"/>
        </w:rPr>
        <w:t xml:space="preserve"> did not </w:t>
      </w:r>
      <w:r w:rsidR="003454DC" w:rsidRPr="027CAC9B">
        <w:rPr>
          <w:rFonts w:asciiTheme="minorHAnsi" w:hAnsiTheme="minorHAnsi"/>
        </w:rPr>
        <w:t xml:space="preserve">reapply </w:t>
      </w:r>
      <w:r w:rsidR="001D1197">
        <w:rPr>
          <w:rFonts w:asciiTheme="minorHAnsi" w:hAnsiTheme="minorHAnsi"/>
        </w:rPr>
        <w:t>(</w:t>
      </w:r>
      <w:r w:rsidR="00DF62A7" w:rsidRPr="027CAC9B">
        <w:rPr>
          <w:rFonts w:asciiTheme="minorHAnsi" w:hAnsiTheme="minorHAnsi"/>
        </w:rPr>
        <w:t>‘opt in’</w:t>
      </w:r>
      <w:r w:rsidR="001D1197">
        <w:rPr>
          <w:rFonts w:asciiTheme="minorHAnsi" w:hAnsiTheme="minorHAnsi"/>
        </w:rPr>
        <w:t>)</w:t>
      </w:r>
      <w:r w:rsidR="00DF62A7" w:rsidRPr="027CAC9B">
        <w:rPr>
          <w:rFonts w:asciiTheme="minorHAnsi" w:hAnsiTheme="minorHAnsi"/>
        </w:rPr>
        <w:t xml:space="preserve"> to continue to receive trade support loan. </w:t>
      </w:r>
      <w:r w:rsidR="007C6775">
        <w:rPr>
          <w:rFonts w:asciiTheme="minorHAnsi" w:hAnsiTheme="minorHAnsi"/>
        </w:rPr>
        <w:t>On 1</w:t>
      </w:r>
      <w:r w:rsidR="007C6775" w:rsidRPr="027CAC9B">
        <w:rPr>
          <w:rFonts w:asciiTheme="minorHAnsi" w:hAnsiTheme="minorHAnsi"/>
        </w:rPr>
        <w:t xml:space="preserve"> </w:t>
      </w:r>
      <w:r w:rsidR="00DF62A7" w:rsidRPr="027CAC9B">
        <w:rPr>
          <w:rFonts w:asciiTheme="minorHAnsi" w:hAnsiTheme="minorHAnsi"/>
        </w:rPr>
        <w:t>January 2024, the TSL Priority List lapses and this determination</w:t>
      </w:r>
      <w:r w:rsidR="00977294" w:rsidRPr="027CAC9B">
        <w:rPr>
          <w:rFonts w:asciiTheme="minorHAnsi" w:hAnsiTheme="minorHAnsi"/>
        </w:rPr>
        <w:t xml:space="preserve"> commences. </w:t>
      </w:r>
      <w:r w:rsidR="00894DB0">
        <w:rPr>
          <w:rFonts w:asciiTheme="minorHAnsi" w:hAnsiTheme="minorHAnsi"/>
        </w:rPr>
        <w:t>‘</w:t>
      </w:r>
      <w:r w:rsidR="00093074">
        <w:rPr>
          <w:rFonts w:asciiTheme="minorHAnsi" w:hAnsiTheme="minorHAnsi"/>
        </w:rPr>
        <w:t>Signwriter’</w:t>
      </w:r>
      <w:r w:rsidR="00093074" w:rsidRPr="027CAC9B">
        <w:rPr>
          <w:rFonts w:asciiTheme="minorHAnsi" w:hAnsiTheme="minorHAnsi"/>
        </w:rPr>
        <w:t xml:space="preserve"> </w:t>
      </w:r>
      <w:r w:rsidR="00977294" w:rsidRPr="027CAC9B">
        <w:rPr>
          <w:rFonts w:asciiTheme="minorHAnsi" w:hAnsiTheme="minorHAnsi"/>
        </w:rPr>
        <w:t xml:space="preserve">is not specified in </w:t>
      </w:r>
      <w:r w:rsidR="001C5330">
        <w:rPr>
          <w:rFonts w:asciiTheme="minorHAnsi" w:hAnsiTheme="minorHAnsi"/>
        </w:rPr>
        <w:t>Part 2</w:t>
      </w:r>
      <w:r w:rsidR="00977294" w:rsidRPr="027CAC9B">
        <w:rPr>
          <w:rFonts w:asciiTheme="minorHAnsi" w:hAnsiTheme="minorHAnsi"/>
        </w:rPr>
        <w:t xml:space="preserve"> of this determination</w:t>
      </w:r>
      <w:r w:rsidR="00661786" w:rsidRPr="027CAC9B">
        <w:rPr>
          <w:rFonts w:asciiTheme="minorHAnsi" w:hAnsiTheme="minorHAnsi"/>
        </w:rPr>
        <w:t xml:space="preserve"> as</w:t>
      </w:r>
      <w:r w:rsidR="00845A07">
        <w:rPr>
          <w:rFonts w:asciiTheme="minorHAnsi" w:hAnsiTheme="minorHAnsi"/>
        </w:rPr>
        <w:t>,</w:t>
      </w:r>
      <w:r w:rsidR="00661786" w:rsidRPr="027CAC9B">
        <w:rPr>
          <w:rFonts w:asciiTheme="minorHAnsi" w:hAnsiTheme="minorHAnsi"/>
        </w:rPr>
        <w:t xml:space="preserve"> in</w:t>
      </w:r>
      <w:r w:rsidR="00845A07">
        <w:rPr>
          <w:rFonts w:asciiTheme="minorHAnsi" w:hAnsiTheme="minorHAnsi"/>
        </w:rPr>
        <w:t xml:space="preserve"> the opinion of the Minister,</w:t>
      </w:r>
      <w:r w:rsidR="00661786" w:rsidRPr="027CAC9B">
        <w:rPr>
          <w:rFonts w:asciiTheme="minorHAnsi" w:hAnsiTheme="minorHAnsi"/>
        </w:rPr>
        <w:t xml:space="preserve"> it is not </w:t>
      </w:r>
      <w:r w:rsidR="00845A07">
        <w:rPr>
          <w:rFonts w:asciiTheme="minorHAnsi" w:hAnsiTheme="minorHAnsi"/>
        </w:rPr>
        <w:t>an occupation for which skilled persons are a priority</w:t>
      </w:r>
      <w:r w:rsidR="00977294" w:rsidRPr="027CAC9B">
        <w:rPr>
          <w:rFonts w:asciiTheme="minorHAnsi" w:hAnsiTheme="minorHAnsi"/>
        </w:rPr>
        <w:t xml:space="preserve">. In March 2024, Person </w:t>
      </w:r>
      <w:r w:rsidR="0042637C" w:rsidRPr="027CAC9B">
        <w:rPr>
          <w:rFonts w:asciiTheme="minorHAnsi" w:hAnsiTheme="minorHAnsi"/>
        </w:rPr>
        <w:t>A</w:t>
      </w:r>
      <w:r w:rsidR="00977294" w:rsidRPr="027CAC9B">
        <w:rPr>
          <w:rFonts w:asciiTheme="minorHAnsi" w:hAnsiTheme="minorHAnsi"/>
        </w:rPr>
        <w:t xml:space="preserve"> </w:t>
      </w:r>
      <w:r w:rsidR="000A137D">
        <w:rPr>
          <w:rFonts w:asciiTheme="minorHAnsi" w:hAnsiTheme="minorHAnsi"/>
        </w:rPr>
        <w:t>makes an application</w:t>
      </w:r>
      <w:r w:rsidR="000A137D" w:rsidRPr="027CAC9B">
        <w:rPr>
          <w:rFonts w:asciiTheme="minorHAnsi" w:hAnsiTheme="minorHAnsi"/>
        </w:rPr>
        <w:t xml:space="preserve"> </w:t>
      </w:r>
      <w:r w:rsidR="00977294" w:rsidRPr="027CAC9B">
        <w:rPr>
          <w:rFonts w:asciiTheme="minorHAnsi" w:hAnsiTheme="minorHAnsi"/>
        </w:rPr>
        <w:t xml:space="preserve">to </w:t>
      </w:r>
      <w:r w:rsidR="000A137D">
        <w:rPr>
          <w:rFonts w:asciiTheme="minorHAnsi" w:hAnsiTheme="minorHAnsi"/>
        </w:rPr>
        <w:t>receive further instalments of</w:t>
      </w:r>
      <w:r w:rsidR="00977294" w:rsidRPr="027CAC9B">
        <w:rPr>
          <w:rFonts w:asciiTheme="minorHAnsi" w:hAnsiTheme="minorHAnsi"/>
        </w:rPr>
        <w:t xml:space="preserve"> Australian apprenticeship support loan. Because subsection </w:t>
      </w:r>
      <w:r w:rsidR="003465C6">
        <w:rPr>
          <w:rFonts w:asciiTheme="minorHAnsi" w:hAnsiTheme="minorHAnsi"/>
        </w:rPr>
        <w:t>8</w:t>
      </w:r>
      <w:r w:rsidR="00977294" w:rsidRPr="027CAC9B">
        <w:rPr>
          <w:rFonts w:asciiTheme="minorHAnsi" w:hAnsiTheme="minorHAnsi"/>
        </w:rPr>
        <w:t>(2) provides that the Act has effect, in relation to Person </w:t>
      </w:r>
      <w:r w:rsidR="0042637C" w:rsidRPr="027CAC9B">
        <w:rPr>
          <w:rFonts w:asciiTheme="minorHAnsi" w:hAnsiTheme="minorHAnsi"/>
        </w:rPr>
        <w:t>A</w:t>
      </w:r>
      <w:r w:rsidR="00977294" w:rsidRPr="027CAC9B">
        <w:rPr>
          <w:rFonts w:asciiTheme="minorHAnsi" w:hAnsiTheme="minorHAnsi"/>
        </w:rPr>
        <w:t xml:space="preserve">, as if </w:t>
      </w:r>
      <w:r w:rsidR="00093074">
        <w:rPr>
          <w:rFonts w:asciiTheme="minorHAnsi" w:hAnsiTheme="minorHAnsi"/>
        </w:rPr>
        <w:t>‘signwriter</w:t>
      </w:r>
      <w:r w:rsidR="00845A07">
        <w:rPr>
          <w:rFonts w:asciiTheme="minorHAnsi" w:hAnsiTheme="minorHAnsi"/>
        </w:rPr>
        <w:t>’</w:t>
      </w:r>
      <w:r w:rsidR="00977294" w:rsidRPr="027CAC9B">
        <w:rPr>
          <w:rFonts w:asciiTheme="minorHAnsi" w:hAnsiTheme="minorHAnsi"/>
        </w:rPr>
        <w:t xml:space="preserve"> was specified on the Australian Apprenticeships Priority List, Person </w:t>
      </w:r>
      <w:r w:rsidR="0042637C" w:rsidRPr="027CAC9B">
        <w:rPr>
          <w:rFonts w:asciiTheme="minorHAnsi" w:hAnsiTheme="minorHAnsi"/>
        </w:rPr>
        <w:t>A</w:t>
      </w:r>
      <w:r w:rsidR="00977294" w:rsidRPr="027CAC9B">
        <w:rPr>
          <w:rFonts w:asciiTheme="minorHAnsi" w:hAnsiTheme="minorHAnsi"/>
        </w:rPr>
        <w:t xml:space="preserve"> is still taken to be undertaking a qualifying apprenticeship. Person </w:t>
      </w:r>
      <w:r w:rsidR="0042637C" w:rsidRPr="027CAC9B">
        <w:rPr>
          <w:rFonts w:asciiTheme="minorHAnsi" w:hAnsiTheme="minorHAnsi"/>
        </w:rPr>
        <w:t>A</w:t>
      </w:r>
      <w:r w:rsidR="00977294" w:rsidRPr="027CAC9B">
        <w:rPr>
          <w:rFonts w:asciiTheme="minorHAnsi" w:hAnsiTheme="minorHAnsi"/>
        </w:rPr>
        <w:t xml:space="preserve"> can continue to reapply (‘opt in’) to receive Australian apprenticeship support loan and, provided Person </w:t>
      </w:r>
      <w:r w:rsidR="0042637C" w:rsidRPr="027CAC9B">
        <w:rPr>
          <w:rFonts w:asciiTheme="minorHAnsi" w:hAnsiTheme="minorHAnsi"/>
        </w:rPr>
        <w:t>A</w:t>
      </w:r>
      <w:r w:rsidR="00977294" w:rsidRPr="027CAC9B">
        <w:rPr>
          <w:rFonts w:asciiTheme="minorHAnsi" w:hAnsiTheme="minorHAnsi"/>
        </w:rPr>
        <w:t xml:space="preserve"> does so and continues to be qualified for Australian apprenticeship support loan, Person </w:t>
      </w:r>
      <w:r w:rsidR="0042637C" w:rsidRPr="027CAC9B">
        <w:rPr>
          <w:rFonts w:asciiTheme="minorHAnsi" w:hAnsiTheme="minorHAnsi"/>
        </w:rPr>
        <w:t>A</w:t>
      </w:r>
      <w:r w:rsidR="00977294" w:rsidRPr="027CAC9B">
        <w:rPr>
          <w:rFonts w:asciiTheme="minorHAnsi" w:hAnsiTheme="minorHAnsi"/>
        </w:rPr>
        <w:t xml:space="preserve"> can receive Australian apprenticeship support loan up to the lifetime limit. To avoid doubt, Person </w:t>
      </w:r>
      <w:r w:rsidR="0042637C" w:rsidRPr="027CAC9B">
        <w:rPr>
          <w:rFonts w:asciiTheme="minorHAnsi" w:hAnsiTheme="minorHAnsi"/>
        </w:rPr>
        <w:t>A</w:t>
      </w:r>
      <w:r w:rsidR="00977294" w:rsidRPr="027CAC9B">
        <w:rPr>
          <w:rFonts w:asciiTheme="minorHAnsi" w:hAnsiTheme="minorHAnsi"/>
        </w:rPr>
        <w:t xml:space="preserve"> is only taken to be undertaking a qualifying apprenticeship because a determination in relation to the apprenticeship had</w:t>
      </w:r>
      <w:r w:rsidR="0059455B" w:rsidRPr="027CAC9B">
        <w:rPr>
          <w:rFonts w:asciiTheme="minorHAnsi" w:hAnsiTheme="minorHAnsi"/>
        </w:rPr>
        <w:t xml:space="preserve"> previously</w:t>
      </w:r>
      <w:r w:rsidR="00977294" w:rsidRPr="027CAC9B">
        <w:rPr>
          <w:rFonts w:asciiTheme="minorHAnsi" w:hAnsiTheme="minorHAnsi"/>
        </w:rPr>
        <w:t xml:space="preserve"> been in effect.</w:t>
      </w:r>
    </w:p>
    <w:p w14:paraId="5392A6F3" w14:textId="77777777" w:rsidR="00C322DB" w:rsidRPr="00BA54E2" w:rsidRDefault="00C322DB" w:rsidP="00C322DB">
      <w:pPr>
        <w:pStyle w:val="ListParagraph"/>
        <w:rPr>
          <w:rFonts w:asciiTheme="minorHAnsi" w:eastAsia="Times New Roman" w:hAnsiTheme="minorHAnsi" w:cstheme="minorHAnsi"/>
          <w:color w:val="000000"/>
          <w:szCs w:val="24"/>
          <w:lang w:eastAsia="en-AU"/>
        </w:rPr>
      </w:pPr>
    </w:p>
    <w:p w14:paraId="3C1B9F9B" w14:textId="5C0724B6" w:rsidR="00C322DB" w:rsidRDefault="00C00DD8" w:rsidP="00C322DB">
      <w:pPr>
        <w:pStyle w:val="ListParagraph"/>
        <w:numPr>
          <w:ilvl w:val="0"/>
          <w:numId w:val="64"/>
        </w:numPr>
        <w:shd w:val="clear" w:color="auto" w:fill="FFFFFF"/>
        <w:ind w:left="567" w:hanging="567"/>
        <w:rPr>
          <w:rFonts w:asciiTheme="minorHAnsi" w:eastAsia="Times New Roman" w:hAnsiTheme="minorHAnsi" w:cstheme="minorHAnsi"/>
          <w:color w:val="000000"/>
          <w:szCs w:val="24"/>
          <w:lang w:eastAsia="en-AU"/>
        </w:rPr>
      </w:pPr>
      <w:r>
        <w:rPr>
          <w:rFonts w:asciiTheme="minorHAnsi" w:eastAsia="Times New Roman" w:hAnsiTheme="minorHAnsi"/>
          <w:color w:val="000000" w:themeColor="text1"/>
          <w:lang w:eastAsia="en-AU"/>
        </w:rPr>
        <w:t>The first note</w:t>
      </w:r>
      <w:r w:rsidR="00C322DB" w:rsidRPr="027CAC9B">
        <w:rPr>
          <w:rFonts w:asciiTheme="minorHAnsi" w:eastAsia="Times New Roman" w:hAnsiTheme="minorHAnsi"/>
          <w:color w:val="000000" w:themeColor="text1"/>
          <w:lang w:eastAsia="en-AU"/>
        </w:rPr>
        <w:t xml:space="preserve"> at the end of section </w:t>
      </w:r>
      <w:r w:rsidR="00D949B8">
        <w:rPr>
          <w:rFonts w:asciiTheme="minorHAnsi" w:eastAsia="Times New Roman" w:hAnsiTheme="minorHAnsi"/>
          <w:color w:val="000000" w:themeColor="text1"/>
          <w:lang w:eastAsia="en-AU"/>
        </w:rPr>
        <w:t>8</w:t>
      </w:r>
      <w:r w:rsidR="00C322DB" w:rsidRPr="027CAC9B">
        <w:rPr>
          <w:rFonts w:asciiTheme="minorHAnsi" w:eastAsia="Times New Roman" w:hAnsiTheme="minorHAnsi"/>
          <w:color w:val="000000" w:themeColor="text1"/>
          <w:lang w:eastAsia="en-AU"/>
        </w:rPr>
        <w:t xml:space="preserve"> explains that </w:t>
      </w:r>
      <w:r w:rsidR="0042637C" w:rsidRPr="027CAC9B">
        <w:rPr>
          <w:rFonts w:asciiTheme="minorHAnsi" w:eastAsia="Times New Roman" w:hAnsiTheme="minorHAnsi"/>
          <w:color w:val="000000" w:themeColor="text1"/>
          <w:lang w:eastAsia="en-AU"/>
        </w:rPr>
        <w:t xml:space="preserve">item 164 </w:t>
      </w:r>
      <w:r w:rsidR="00737553" w:rsidRPr="027CAC9B">
        <w:rPr>
          <w:rFonts w:asciiTheme="minorHAnsi" w:eastAsia="Times New Roman" w:hAnsiTheme="minorHAnsi"/>
          <w:color w:val="000000" w:themeColor="text1"/>
          <w:lang w:eastAsia="en-AU"/>
        </w:rPr>
        <w:t xml:space="preserve">of </w:t>
      </w:r>
      <w:r w:rsidR="0042637C" w:rsidRPr="027CAC9B">
        <w:rPr>
          <w:rFonts w:asciiTheme="minorHAnsi" w:eastAsia="Times New Roman" w:hAnsiTheme="minorHAnsi"/>
          <w:color w:val="000000" w:themeColor="text1"/>
          <w:lang w:eastAsia="en-AU"/>
        </w:rPr>
        <w:t>Schedule 1 to the Amendment Act sets out transitional arrangements for a person if, immediately before the commencement of that item, a determination was in effect granting the person’s application for trade support loan</w:t>
      </w:r>
      <w:r w:rsidR="00C322DB" w:rsidRPr="027CAC9B">
        <w:rPr>
          <w:rFonts w:asciiTheme="minorHAnsi" w:eastAsia="Times New Roman" w:hAnsiTheme="minorHAnsi"/>
          <w:color w:val="000000" w:themeColor="text1"/>
          <w:lang w:eastAsia="en-AU"/>
        </w:rPr>
        <w:t xml:space="preserve">. </w:t>
      </w:r>
    </w:p>
    <w:p w14:paraId="0AC6C34C" w14:textId="77777777" w:rsidR="00C322DB" w:rsidRPr="00C86317" w:rsidRDefault="00C322DB" w:rsidP="00C322DB">
      <w:pPr>
        <w:pStyle w:val="ListParagraph"/>
        <w:rPr>
          <w:rFonts w:asciiTheme="minorHAnsi" w:eastAsia="Times New Roman" w:hAnsiTheme="minorHAnsi" w:cstheme="minorHAnsi"/>
          <w:color w:val="000000"/>
          <w:szCs w:val="24"/>
          <w:lang w:eastAsia="en-AU"/>
        </w:rPr>
      </w:pPr>
    </w:p>
    <w:p w14:paraId="063EE0C0" w14:textId="77777777" w:rsidR="00C322DB" w:rsidRPr="00D351D6" w:rsidRDefault="00C322DB" w:rsidP="00C322DB">
      <w:pPr>
        <w:pStyle w:val="ListParagraph"/>
        <w:numPr>
          <w:ilvl w:val="0"/>
          <w:numId w:val="64"/>
        </w:numPr>
        <w:shd w:val="clear" w:color="auto" w:fill="FFFFFF"/>
        <w:ind w:left="567" w:hanging="567"/>
        <w:rPr>
          <w:rFonts w:asciiTheme="minorHAnsi" w:eastAsia="Times New Roman" w:hAnsiTheme="minorHAnsi" w:cstheme="minorHAnsi"/>
          <w:color w:val="000000"/>
          <w:szCs w:val="24"/>
          <w:lang w:eastAsia="en-AU"/>
        </w:rPr>
      </w:pPr>
      <w:r w:rsidRPr="027CAC9B">
        <w:rPr>
          <w:rFonts w:asciiTheme="minorHAnsi" w:eastAsia="Times New Roman" w:hAnsiTheme="minorHAnsi"/>
          <w:color w:val="000000" w:themeColor="text1"/>
          <w:lang w:eastAsia="en-AU"/>
        </w:rPr>
        <w:t>Subitem 164(1) of Part 3 of Schedule 1 to the Amendment Act provides that item 164 of that Part</w:t>
      </w:r>
      <w:r w:rsidRPr="027CAC9B">
        <w:rPr>
          <w:rFonts w:asciiTheme="minorHAnsi" w:hAnsiTheme="minorHAnsi"/>
        </w:rPr>
        <w:t xml:space="preserve"> applies to a person if:</w:t>
      </w:r>
    </w:p>
    <w:p w14:paraId="3540EAAF" w14:textId="77777777" w:rsidR="00C322DB" w:rsidRPr="005F5709" w:rsidRDefault="00C322DB" w:rsidP="00C322DB">
      <w:pPr>
        <w:pStyle w:val="ListParagraph"/>
        <w:spacing w:before="360" w:after="120"/>
        <w:ind w:left="567"/>
        <w:rPr>
          <w:rFonts w:asciiTheme="minorHAnsi" w:hAnsiTheme="minorHAnsi" w:cstheme="minorHAnsi"/>
          <w:szCs w:val="24"/>
        </w:rPr>
      </w:pPr>
    </w:p>
    <w:p w14:paraId="1678199D" w14:textId="77777777" w:rsidR="00C322DB" w:rsidRPr="005F5709" w:rsidRDefault="00C322DB" w:rsidP="00C322DB">
      <w:pPr>
        <w:pStyle w:val="ListParagraph"/>
        <w:numPr>
          <w:ilvl w:val="0"/>
          <w:numId w:val="2"/>
        </w:numPr>
        <w:spacing w:before="360" w:after="120"/>
        <w:rPr>
          <w:rFonts w:asciiTheme="minorHAnsi" w:hAnsiTheme="minorHAnsi" w:cstheme="minorHAnsi"/>
          <w:szCs w:val="24"/>
        </w:rPr>
      </w:pPr>
      <w:r w:rsidRPr="005F5709">
        <w:rPr>
          <w:rFonts w:asciiTheme="minorHAnsi" w:hAnsiTheme="minorHAnsi" w:cstheme="minorHAnsi"/>
          <w:szCs w:val="24"/>
        </w:rPr>
        <w:t>immediately before the commencement of item</w:t>
      </w:r>
      <w:r>
        <w:rPr>
          <w:rFonts w:asciiTheme="minorHAnsi" w:hAnsiTheme="minorHAnsi" w:cstheme="minorHAnsi"/>
          <w:szCs w:val="24"/>
        </w:rPr>
        <w:t xml:space="preserve"> 164</w:t>
      </w:r>
      <w:r w:rsidRPr="005F5709">
        <w:rPr>
          <w:rFonts w:asciiTheme="minorHAnsi" w:hAnsiTheme="minorHAnsi" w:cstheme="minorHAnsi"/>
          <w:szCs w:val="24"/>
        </w:rPr>
        <w:t>, the person was undertaking an apprenticeship through which the person was undertaking a qualification:</w:t>
      </w:r>
    </w:p>
    <w:p w14:paraId="187B4DF1" w14:textId="2AF21FA8" w:rsidR="00C322DB" w:rsidRPr="005F5709" w:rsidRDefault="00C322DB" w:rsidP="00C322DB">
      <w:pPr>
        <w:pStyle w:val="ListParagraph"/>
        <w:numPr>
          <w:ilvl w:val="0"/>
          <w:numId w:val="3"/>
        </w:numPr>
        <w:spacing w:before="360" w:after="120"/>
        <w:rPr>
          <w:rFonts w:asciiTheme="minorHAnsi" w:hAnsiTheme="minorHAnsi" w:cstheme="minorHAnsi"/>
          <w:szCs w:val="24"/>
        </w:rPr>
      </w:pPr>
      <w:r w:rsidRPr="005F5709">
        <w:rPr>
          <w:rFonts w:asciiTheme="minorHAnsi" w:hAnsiTheme="minorHAnsi" w:cstheme="minorHAnsi"/>
          <w:szCs w:val="24"/>
        </w:rPr>
        <w:t xml:space="preserve">at a level prescribed by the </w:t>
      </w:r>
      <w:r w:rsidRPr="006B7FAA">
        <w:rPr>
          <w:rFonts w:asciiTheme="minorHAnsi" w:hAnsiTheme="minorHAnsi" w:cstheme="minorHAnsi"/>
          <w:szCs w:val="24"/>
        </w:rPr>
        <w:t>Trade Support Loans Rules</w:t>
      </w:r>
      <w:r w:rsidRPr="005F5709">
        <w:rPr>
          <w:rFonts w:asciiTheme="minorHAnsi" w:hAnsiTheme="minorHAnsi" w:cstheme="minorHAnsi"/>
          <w:szCs w:val="24"/>
        </w:rPr>
        <w:t>; and</w:t>
      </w:r>
    </w:p>
    <w:p w14:paraId="4D69C8FA" w14:textId="77777777" w:rsidR="00C322DB" w:rsidRPr="005F5709" w:rsidRDefault="00C322DB" w:rsidP="00C322DB">
      <w:pPr>
        <w:pStyle w:val="ListParagraph"/>
        <w:numPr>
          <w:ilvl w:val="0"/>
          <w:numId w:val="3"/>
        </w:numPr>
        <w:spacing w:before="360" w:after="120"/>
        <w:rPr>
          <w:rFonts w:asciiTheme="minorHAnsi" w:hAnsiTheme="minorHAnsi" w:cstheme="minorHAnsi"/>
          <w:szCs w:val="24"/>
        </w:rPr>
      </w:pPr>
      <w:r w:rsidRPr="005F5709">
        <w:rPr>
          <w:rFonts w:asciiTheme="minorHAnsi" w:hAnsiTheme="minorHAnsi" w:cstheme="minorHAnsi"/>
          <w:szCs w:val="24"/>
        </w:rPr>
        <w:t xml:space="preserve">leading to an occupation or a qualification specified on the </w:t>
      </w:r>
      <w:r w:rsidRPr="00D351D6">
        <w:rPr>
          <w:rFonts w:asciiTheme="minorHAnsi" w:hAnsiTheme="minorHAnsi" w:cstheme="minorHAnsi"/>
          <w:szCs w:val="24"/>
        </w:rPr>
        <w:t>TSL Priority List</w:t>
      </w:r>
      <w:r w:rsidRPr="005F5709">
        <w:rPr>
          <w:rFonts w:asciiTheme="minorHAnsi" w:hAnsiTheme="minorHAnsi" w:cstheme="minorHAnsi"/>
          <w:szCs w:val="24"/>
        </w:rPr>
        <w:t>; and</w:t>
      </w:r>
    </w:p>
    <w:p w14:paraId="6E500206" w14:textId="77777777" w:rsidR="00C322DB" w:rsidRPr="005F5709" w:rsidRDefault="00C322DB" w:rsidP="00C322DB">
      <w:pPr>
        <w:pStyle w:val="ListParagraph"/>
        <w:numPr>
          <w:ilvl w:val="0"/>
          <w:numId w:val="3"/>
        </w:numPr>
        <w:spacing w:before="360" w:after="120"/>
        <w:rPr>
          <w:rFonts w:asciiTheme="minorHAnsi" w:hAnsiTheme="minorHAnsi" w:cstheme="minorHAnsi"/>
          <w:szCs w:val="24"/>
        </w:rPr>
      </w:pPr>
      <w:r w:rsidRPr="005F5709">
        <w:rPr>
          <w:rFonts w:asciiTheme="minorHAnsi" w:hAnsiTheme="minorHAnsi" w:cstheme="minorHAnsi"/>
          <w:szCs w:val="24"/>
        </w:rPr>
        <w:lastRenderedPageBreak/>
        <w:t xml:space="preserve">which met any other requirements prescribed by the </w:t>
      </w:r>
      <w:r>
        <w:rPr>
          <w:rFonts w:asciiTheme="minorHAnsi" w:hAnsiTheme="minorHAnsi" w:cstheme="minorHAnsi"/>
          <w:szCs w:val="24"/>
        </w:rPr>
        <w:t>Trade Support Loans Rules</w:t>
      </w:r>
      <w:r w:rsidRPr="005F5709">
        <w:rPr>
          <w:rFonts w:asciiTheme="minorHAnsi" w:hAnsiTheme="minorHAnsi" w:cstheme="minorHAnsi"/>
          <w:szCs w:val="24"/>
        </w:rPr>
        <w:t>; and</w:t>
      </w:r>
    </w:p>
    <w:p w14:paraId="0E6A8CE7" w14:textId="77777777" w:rsidR="00C322DB" w:rsidRPr="005F5709" w:rsidRDefault="00C322DB" w:rsidP="00C322DB">
      <w:pPr>
        <w:pStyle w:val="ListParagraph"/>
        <w:numPr>
          <w:ilvl w:val="0"/>
          <w:numId w:val="2"/>
        </w:numPr>
        <w:spacing w:before="360" w:after="120"/>
        <w:rPr>
          <w:rFonts w:asciiTheme="minorHAnsi" w:hAnsiTheme="minorHAnsi" w:cstheme="minorHAnsi"/>
          <w:szCs w:val="24"/>
        </w:rPr>
      </w:pPr>
      <w:r w:rsidRPr="005F5709">
        <w:rPr>
          <w:rFonts w:asciiTheme="minorHAnsi" w:hAnsiTheme="minorHAnsi" w:cstheme="minorHAnsi"/>
          <w:szCs w:val="24"/>
        </w:rPr>
        <w:t xml:space="preserve">immediately after the commencement of </w:t>
      </w:r>
      <w:r>
        <w:rPr>
          <w:rFonts w:asciiTheme="minorHAnsi" w:hAnsiTheme="minorHAnsi" w:cstheme="minorHAnsi"/>
          <w:szCs w:val="24"/>
        </w:rPr>
        <w:t>the</w:t>
      </w:r>
      <w:r w:rsidRPr="005F5709">
        <w:rPr>
          <w:rFonts w:asciiTheme="minorHAnsi" w:hAnsiTheme="minorHAnsi" w:cstheme="minorHAnsi"/>
          <w:szCs w:val="24"/>
        </w:rPr>
        <w:t xml:space="preserve"> first Australian Apprenticeships Priority List</w:t>
      </w:r>
      <w:r>
        <w:rPr>
          <w:rFonts w:asciiTheme="minorHAnsi" w:hAnsiTheme="minorHAnsi" w:cstheme="minorHAnsi"/>
          <w:szCs w:val="24"/>
        </w:rPr>
        <w:t xml:space="preserve"> (this determination),</w:t>
      </w:r>
      <w:r w:rsidRPr="005F5709">
        <w:rPr>
          <w:rFonts w:asciiTheme="minorHAnsi" w:hAnsiTheme="minorHAnsi" w:cstheme="minorHAnsi"/>
          <w:szCs w:val="24"/>
        </w:rPr>
        <w:t xml:space="preserve"> the occupation or qualification is not specified on that list; and</w:t>
      </w:r>
    </w:p>
    <w:p w14:paraId="28AC42FA" w14:textId="77777777" w:rsidR="00C322DB" w:rsidRPr="005F5709" w:rsidRDefault="00C322DB" w:rsidP="00C322DB">
      <w:pPr>
        <w:pStyle w:val="ListParagraph"/>
        <w:numPr>
          <w:ilvl w:val="0"/>
          <w:numId w:val="2"/>
        </w:numPr>
        <w:spacing w:before="360" w:after="120"/>
        <w:rPr>
          <w:rFonts w:asciiTheme="minorHAnsi" w:hAnsiTheme="minorHAnsi" w:cstheme="minorHAnsi"/>
          <w:szCs w:val="24"/>
        </w:rPr>
      </w:pPr>
      <w:r w:rsidRPr="005F5709">
        <w:rPr>
          <w:rFonts w:asciiTheme="minorHAnsi" w:hAnsiTheme="minorHAnsi" w:cstheme="minorHAnsi"/>
          <w:szCs w:val="24"/>
        </w:rPr>
        <w:t xml:space="preserve">immediately before the commencement of </w:t>
      </w:r>
      <w:r>
        <w:rPr>
          <w:rFonts w:asciiTheme="minorHAnsi" w:hAnsiTheme="minorHAnsi" w:cstheme="minorHAnsi"/>
          <w:szCs w:val="24"/>
        </w:rPr>
        <w:t>item 164</w:t>
      </w:r>
      <w:r w:rsidRPr="005F5709">
        <w:rPr>
          <w:rFonts w:asciiTheme="minorHAnsi" w:hAnsiTheme="minorHAnsi" w:cstheme="minorHAnsi"/>
          <w:szCs w:val="24"/>
        </w:rPr>
        <w:t>, a determination was in effect granting the person’s application for trade support loan in relation to the apprenticeship.</w:t>
      </w:r>
    </w:p>
    <w:p w14:paraId="7392281D" w14:textId="77777777" w:rsidR="00C322DB" w:rsidRPr="005F5709" w:rsidRDefault="00C322DB" w:rsidP="00C322DB">
      <w:pPr>
        <w:pStyle w:val="ListParagraph"/>
        <w:spacing w:before="360" w:after="120"/>
        <w:ind w:left="567"/>
        <w:rPr>
          <w:rFonts w:asciiTheme="minorHAnsi" w:hAnsiTheme="minorHAnsi" w:cstheme="minorHAnsi"/>
          <w:szCs w:val="24"/>
        </w:rPr>
      </w:pPr>
    </w:p>
    <w:p w14:paraId="4919E2AF" w14:textId="4D2E4695" w:rsidR="00C322DB" w:rsidRPr="00695CC8" w:rsidRDefault="00C322DB" w:rsidP="00C322DB">
      <w:pPr>
        <w:pStyle w:val="ListParagraph"/>
        <w:numPr>
          <w:ilvl w:val="0"/>
          <w:numId w:val="64"/>
        </w:numPr>
        <w:shd w:val="clear" w:color="auto" w:fill="FFFFFF"/>
        <w:ind w:left="567" w:hanging="567"/>
        <w:rPr>
          <w:rFonts w:asciiTheme="minorHAnsi" w:eastAsia="Times New Roman" w:hAnsiTheme="minorHAnsi" w:cstheme="minorHAnsi"/>
          <w:color w:val="000000"/>
          <w:szCs w:val="24"/>
          <w:lang w:eastAsia="en-AU"/>
        </w:rPr>
      </w:pPr>
      <w:r w:rsidRPr="027CAC9B">
        <w:rPr>
          <w:rFonts w:asciiTheme="minorHAnsi" w:hAnsiTheme="minorHAnsi"/>
        </w:rPr>
        <w:t xml:space="preserve">Subitem 164(2) of Part 3 of Schedule 1 to the Amendment Act provides that, in those circumstances, the Act has effect, in relation to the person, as if that occupation or qualification were specified in </w:t>
      </w:r>
      <w:r w:rsidR="001C5330">
        <w:rPr>
          <w:rFonts w:asciiTheme="minorHAnsi" w:hAnsiTheme="minorHAnsi"/>
        </w:rPr>
        <w:t>Part 2</w:t>
      </w:r>
      <w:r w:rsidRPr="027CAC9B">
        <w:rPr>
          <w:rFonts w:asciiTheme="minorHAnsi" w:hAnsiTheme="minorHAnsi"/>
        </w:rPr>
        <w:t xml:space="preserve"> of this determination.</w:t>
      </w:r>
    </w:p>
    <w:p w14:paraId="011A410C" w14:textId="77777777" w:rsidR="00C322DB" w:rsidRPr="00CC1B38" w:rsidRDefault="00C322DB" w:rsidP="00C322DB">
      <w:pPr>
        <w:pStyle w:val="ListParagraph"/>
        <w:rPr>
          <w:rFonts w:asciiTheme="minorHAnsi" w:eastAsia="Times New Roman" w:hAnsiTheme="minorHAnsi" w:cstheme="minorHAnsi"/>
          <w:color w:val="000000"/>
          <w:szCs w:val="24"/>
          <w:lang w:eastAsia="en-AU"/>
        </w:rPr>
      </w:pPr>
    </w:p>
    <w:p w14:paraId="3BF8627A" w14:textId="1642FFFB" w:rsidR="00A6676C" w:rsidRPr="00C00DD8" w:rsidRDefault="0042637C" w:rsidP="00A6676C">
      <w:pPr>
        <w:pStyle w:val="ListParagraph"/>
        <w:numPr>
          <w:ilvl w:val="0"/>
          <w:numId w:val="64"/>
        </w:numPr>
        <w:shd w:val="clear" w:color="auto" w:fill="FFFFFF"/>
        <w:ind w:left="567" w:hanging="567"/>
        <w:rPr>
          <w:rFonts w:asciiTheme="minorHAnsi" w:eastAsia="Times New Roman" w:hAnsiTheme="minorHAnsi" w:cstheme="minorHAnsi"/>
          <w:color w:val="000000"/>
          <w:szCs w:val="24"/>
          <w:lang w:eastAsia="en-AU"/>
        </w:rPr>
      </w:pPr>
      <w:r w:rsidRPr="027CAC9B">
        <w:rPr>
          <w:rFonts w:asciiTheme="minorHAnsi" w:eastAsia="Times New Roman" w:hAnsiTheme="minorHAnsi"/>
          <w:color w:val="000000" w:themeColor="text1"/>
          <w:lang w:eastAsia="en-AU"/>
        </w:rPr>
        <w:t xml:space="preserve">The explanatory memorandum to the Amendment Act’s originating bill includes examples, at paragraph 176, </w:t>
      </w:r>
      <w:r w:rsidR="00602081">
        <w:rPr>
          <w:rFonts w:asciiTheme="minorHAnsi" w:eastAsia="Times New Roman" w:hAnsiTheme="minorHAnsi"/>
          <w:color w:val="000000" w:themeColor="text1"/>
          <w:lang w:eastAsia="en-AU"/>
        </w:rPr>
        <w:t>of</w:t>
      </w:r>
      <w:r w:rsidR="00A6676C" w:rsidRPr="027CAC9B">
        <w:rPr>
          <w:rFonts w:asciiTheme="minorHAnsi" w:eastAsia="Times New Roman" w:hAnsiTheme="minorHAnsi"/>
          <w:color w:val="000000" w:themeColor="text1"/>
          <w:lang w:eastAsia="en-AU"/>
        </w:rPr>
        <w:t xml:space="preserve"> item 164’s operation. In </w:t>
      </w:r>
      <w:r w:rsidR="00845A07">
        <w:rPr>
          <w:rFonts w:asciiTheme="minorHAnsi" w:eastAsia="Times New Roman" w:hAnsiTheme="minorHAnsi"/>
          <w:color w:val="000000" w:themeColor="text1"/>
          <w:lang w:eastAsia="en-AU"/>
        </w:rPr>
        <w:t>December</w:t>
      </w:r>
      <w:r w:rsidR="00845A07" w:rsidRPr="027CAC9B">
        <w:rPr>
          <w:rFonts w:asciiTheme="minorHAnsi" w:eastAsia="Times New Roman" w:hAnsiTheme="minorHAnsi"/>
          <w:color w:val="000000" w:themeColor="text1"/>
          <w:lang w:eastAsia="en-AU"/>
        </w:rPr>
        <w:t xml:space="preserve"> </w:t>
      </w:r>
      <w:r w:rsidR="00A6676C" w:rsidRPr="027CAC9B">
        <w:rPr>
          <w:rFonts w:asciiTheme="minorHAnsi" w:eastAsia="Times New Roman" w:hAnsiTheme="minorHAnsi"/>
          <w:color w:val="000000" w:themeColor="text1"/>
          <w:lang w:eastAsia="en-AU"/>
        </w:rPr>
        <w:t xml:space="preserve">2023, that explanatory memorandum could be accessed at: </w:t>
      </w:r>
      <w:r w:rsidR="00845A07" w:rsidRPr="006856C8">
        <w:rPr>
          <w:rFonts w:asciiTheme="minorHAnsi" w:eastAsia="Times New Roman" w:hAnsiTheme="minorHAnsi"/>
          <w:color w:val="000000" w:themeColor="text1"/>
          <w:u w:val="single"/>
          <w:lang w:eastAsia="en-AU"/>
        </w:rPr>
        <w:t>www.legislation.gov.au/Details/C2023B00084/Explanatory%20Memorandum/Text</w:t>
      </w:r>
      <w:r w:rsidR="00A6676C" w:rsidRPr="027CAC9B">
        <w:rPr>
          <w:rFonts w:asciiTheme="minorHAnsi" w:eastAsia="Times New Roman" w:hAnsiTheme="minorHAnsi"/>
          <w:color w:val="000000" w:themeColor="text1"/>
          <w:lang w:eastAsia="en-AU"/>
        </w:rPr>
        <w:t>.</w:t>
      </w:r>
    </w:p>
    <w:p w14:paraId="6EFE105A" w14:textId="77777777" w:rsidR="00C00DD8" w:rsidRPr="00C00DD8" w:rsidRDefault="00C00DD8" w:rsidP="00C00DD8">
      <w:pPr>
        <w:pStyle w:val="ListParagraph"/>
        <w:rPr>
          <w:rFonts w:asciiTheme="minorHAnsi" w:eastAsia="Times New Roman" w:hAnsiTheme="minorHAnsi" w:cstheme="minorHAnsi"/>
          <w:color w:val="000000"/>
          <w:szCs w:val="24"/>
          <w:lang w:eastAsia="en-AU"/>
        </w:rPr>
      </w:pPr>
    </w:p>
    <w:p w14:paraId="3144489D" w14:textId="09EE35ED" w:rsidR="00C00DD8" w:rsidRPr="00C00DD8" w:rsidRDefault="00C00DD8" w:rsidP="00C00DD8">
      <w:pPr>
        <w:pStyle w:val="ListParagraph"/>
        <w:numPr>
          <w:ilvl w:val="0"/>
          <w:numId w:val="64"/>
        </w:numPr>
        <w:shd w:val="clear" w:color="auto" w:fill="FFFFFF"/>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The second note at the end of section 8 explains that section 29 of the Australian Apprenticeship Support Loans Rules set out transitional arrangements for a person if, before the commencement of that section, the person was, on their commencement date, undertaking a qualification leading to an occupation or qualification specified on the TSL Priority List.</w:t>
      </w:r>
    </w:p>
    <w:p w14:paraId="376E5E9C" w14:textId="77777777" w:rsidR="00916157" w:rsidRPr="006856C8" w:rsidRDefault="00916157" w:rsidP="006856C8">
      <w:pPr>
        <w:pStyle w:val="ListParagraph"/>
        <w:rPr>
          <w:rFonts w:asciiTheme="minorHAnsi" w:eastAsia="Times New Roman" w:hAnsiTheme="minorHAnsi" w:cstheme="minorHAnsi"/>
          <w:color w:val="000000"/>
          <w:szCs w:val="24"/>
          <w:lang w:eastAsia="en-AU"/>
        </w:rPr>
      </w:pPr>
    </w:p>
    <w:p w14:paraId="1531156A" w14:textId="0C12972A" w:rsidR="00A431AF" w:rsidRPr="0069746D" w:rsidRDefault="00916157" w:rsidP="0069746D">
      <w:pP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br w:type="page"/>
      </w:r>
      <w:r w:rsidR="00D81A0D" w:rsidRPr="005F5709">
        <w:rPr>
          <w:rFonts w:asciiTheme="minorHAnsi" w:hAnsiTheme="minorHAnsi" w:cstheme="minorHAnsi"/>
          <w:noProof/>
          <w:color w:val="FFFFFF" w:themeColor="background1"/>
          <w:sz w:val="60"/>
          <w:szCs w:val="60"/>
          <w:lang w:eastAsia="en-AU"/>
        </w:rPr>
        <mc:AlternateContent>
          <mc:Choice Requires="wps">
            <w:drawing>
              <wp:anchor distT="45720" distB="45720" distL="114300" distR="114300" simplePos="0" relativeHeight="251661312" behindDoc="0" locked="0" layoutInCell="1" allowOverlap="1" wp14:anchorId="443BDE16" wp14:editId="28C40804">
                <wp:simplePos x="0" y="0"/>
                <wp:positionH relativeFrom="margin">
                  <wp:posOffset>3990975</wp:posOffset>
                </wp:positionH>
                <wp:positionV relativeFrom="paragraph">
                  <wp:posOffset>297815</wp:posOffset>
                </wp:positionV>
                <wp:extent cx="1717675" cy="1404620"/>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675" cy="1404620"/>
                        </a:xfrm>
                        <a:prstGeom prst="rect">
                          <a:avLst/>
                        </a:prstGeom>
                        <a:noFill/>
                        <a:ln w="9525">
                          <a:noFill/>
                          <a:miter lim="800000"/>
                          <a:headEnd/>
                          <a:tailEnd/>
                        </a:ln>
                      </wps:spPr>
                      <wps:txbx>
                        <w:txbxContent>
                          <w:p w14:paraId="320E10FB" w14:textId="3303C84E" w:rsidR="00A431AF" w:rsidRPr="00D81A0D" w:rsidRDefault="00A431AF" w:rsidP="00D81A0D">
                            <w:pPr>
                              <w:pStyle w:val="Heading2"/>
                              <w:rPr>
                                <w:color w:val="FFFFFF" w:themeColor="background1"/>
                                <w:sz w:val="56"/>
                                <w:szCs w:val="56"/>
                              </w:rPr>
                            </w:pPr>
                            <w:bookmarkStart w:id="0" w:name="_APPENDIX"/>
                            <w:bookmarkEnd w:id="0"/>
                            <w:r w:rsidRPr="00D81A0D">
                              <w:rPr>
                                <w:color w:val="FFFFFF" w:themeColor="background1"/>
                                <w:sz w:val="56"/>
                                <w:szCs w:val="56"/>
                              </w:rPr>
                              <w:t>APPENDIX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43BDE16" id="_x0000_t202" coordsize="21600,21600" o:spt="202" path="m,l,21600r21600,l21600,xe">
                <v:stroke joinstyle="miter"/>
                <v:path gradientshapeok="t" o:connecttype="rect"/>
              </v:shapetype>
              <v:shape id="Text Box 2" o:spid="_x0000_s1026" type="#_x0000_t202" style="position:absolute;margin-left:314.25pt;margin-top:23.45pt;width:135.25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" filled="f" stroked="f">
                <v:textbox style="mso-fit-shape-to-text:t">
                  <w:txbxContent>
                    <w:p w14:paraId="320E10FB" w14:textId="3303C84E" w:rsidR="00A431AF" w:rsidRPr="00D81A0D" w:rsidRDefault="00A431AF" w:rsidP="00D81A0D">
                      <w:pPr>
                        <w:pStyle w:val="Heading2"/>
                        <w:rPr>
                          <w:color w:val="FFFFFF" w:themeColor="background1"/>
                          <w:sz w:val="56"/>
                          <w:szCs w:val="56"/>
                        </w:rPr>
                      </w:pPr>
                      <w:bookmarkStart w:id="1" w:name="_APPENDIX"/>
                      <w:bookmarkEnd w:id="1"/>
                      <w:r w:rsidRPr="00D81A0D">
                        <w:rPr>
                          <w:color w:val="FFFFFF" w:themeColor="background1"/>
                          <w:sz w:val="56"/>
                          <w:szCs w:val="56"/>
                        </w:rPr>
                        <w:t>APPENDIX</w:t>
                      </w:r>
                    </w:p>
                  </w:txbxContent>
                </v:textbox>
                <w10:wrap type="square" anchorx="margin"/>
              </v:shape>
            </w:pict>
          </mc:Fallback>
        </mc:AlternateContent>
      </w:r>
    </w:p>
    <w:p w14:paraId="2759B719" w14:textId="77777777" w:rsidR="0069746D" w:rsidRPr="005F5709" w:rsidRDefault="0069746D" w:rsidP="0069746D">
      <w:pPr>
        <w:tabs>
          <w:tab w:val="left" w:pos="3645"/>
        </w:tabs>
        <w:jc w:val="center"/>
        <w:rPr>
          <w:rFonts w:asciiTheme="minorHAnsi" w:hAnsiTheme="minorHAnsi" w:cstheme="minorHAnsi"/>
          <w:szCs w:val="24"/>
        </w:rPr>
      </w:pPr>
      <w:r w:rsidRPr="00E47121">
        <w:rPr>
          <w:rFonts w:asciiTheme="minorHAnsi" w:hAnsiTheme="minorHAnsi" w:cstheme="minorHAnsi"/>
          <w:noProof/>
        </w:rPr>
        <w:lastRenderedPageBreak/>
        <w:drawing>
          <wp:inline distT="0" distB="0" distL="0" distR="0" wp14:anchorId="0FE606D5" wp14:editId="34215AED">
            <wp:extent cx="5986094" cy="7836348"/>
            <wp:effectExtent l="0" t="0" r="0" b="0"/>
            <wp:docPr id="1112663859" name="Picture 1" descr="Image displaying text which reads &quot;Appendix - Australian Apprenticeship Incentives System Reform - Regulation Impact State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63859" name="Picture 1" descr="Image displaying text which reads &quot;Appendix - Australian Apprenticeship Incentives System Reform - Regulation Impact Statement&quot;"/>
                    <pic:cNvPicPr/>
                  </pic:nvPicPr>
                  <pic:blipFill>
                    <a:blip r:embed="rId11"/>
                    <a:stretch>
                      <a:fillRect/>
                    </a:stretch>
                  </pic:blipFill>
                  <pic:spPr>
                    <a:xfrm>
                      <a:off x="0" y="0"/>
                      <a:ext cx="5986094" cy="7836348"/>
                    </a:xfrm>
                    <a:prstGeom prst="rect">
                      <a:avLst/>
                    </a:prstGeom>
                  </pic:spPr>
                </pic:pic>
              </a:graphicData>
            </a:graphic>
          </wp:inline>
        </w:drawing>
      </w:r>
    </w:p>
    <w:p w14:paraId="11A46F4B" w14:textId="47C9E82A" w:rsidR="00BD1D88" w:rsidRPr="0069746D" w:rsidRDefault="0069746D" w:rsidP="0069746D">
      <w:pPr>
        <w:rPr>
          <w:rFonts w:asciiTheme="minorHAnsi" w:hAnsiTheme="minorHAnsi" w:cstheme="minorHAnsi"/>
          <w:szCs w:val="24"/>
        </w:rPr>
        <w:sectPr w:rsidR="00BD1D88" w:rsidRPr="0069746D" w:rsidSect="00A96A07">
          <w:headerReference w:type="even" r:id="rId12"/>
          <w:headerReference w:type="default" r:id="rId13"/>
          <w:footerReference w:type="even" r:id="rId14"/>
          <w:footerReference w:type="default" r:id="rId15"/>
          <w:headerReference w:type="first" r:id="rId16"/>
          <w:footerReference w:type="first" r:id="rId17"/>
          <w:pgSz w:w="11906" w:h="16838"/>
          <w:pgMar w:top="1440" w:right="1440" w:bottom="1440" w:left="1440" w:header="708" w:footer="708" w:gutter="0"/>
          <w:pgNumType w:start="1"/>
          <w:cols w:space="708"/>
          <w:docGrid w:linePitch="360"/>
        </w:sectPr>
      </w:pPr>
      <w:r>
        <w:rPr>
          <w:rFonts w:asciiTheme="minorHAnsi" w:hAnsiTheme="minorHAnsi" w:cstheme="minorHAnsi"/>
          <w:szCs w:val="24"/>
        </w:rPr>
        <w:br/>
      </w:r>
      <w:bookmarkStart w:id="1" w:name="_Toc88575264"/>
    </w:p>
    <w:p w14:paraId="6C4E3F86" w14:textId="77777777" w:rsidR="00BD1D88" w:rsidRPr="005F5709" w:rsidRDefault="00BD1D88" w:rsidP="00C566B1">
      <w:pPr>
        <w:tabs>
          <w:tab w:val="left" w:pos="5856"/>
        </w:tabs>
        <w:spacing w:before="8400"/>
        <w:rPr>
          <w:rFonts w:asciiTheme="minorHAnsi" w:hAnsiTheme="minorHAnsi" w:cstheme="minorHAnsi"/>
        </w:rPr>
      </w:pPr>
    </w:p>
    <w:p w14:paraId="10E7E920" w14:textId="77777777" w:rsidR="00BD1D88" w:rsidRPr="005F5709" w:rsidRDefault="00BD1D88" w:rsidP="00C566B1">
      <w:pPr>
        <w:pStyle w:val="numberedpara"/>
        <w:numPr>
          <w:ilvl w:val="0"/>
          <w:numId w:val="0"/>
        </w:numPr>
        <w:rPr>
          <w:rFonts w:asciiTheme="minorHAnsi" w:hAnsiTheme="minorHAnsi" w:cstheme="minorHAnsi"/>
        </w:rPr>
      </w:pPr>
      <w:r w:rsidRPr="005F5709">
        <w:rPr>
          <w:rFonts w:asciiTheme="minorHAnsi" w:hAnsiTheme="minorHAnsi" w:cstheme="minorHAnsi"/>
          <w:noProof/>
        </w:rPr>
        <w:drawing>
          <wp:inline distT="0" distB="0" distL="0" distR="0" wp14:anchorId="1D857D55" wp14:editId="2525F455">
            <wp:extent cx="847725" cy="285750"/>
            <wp:effectExtent l="0" t="0" r="9525" b="0"/>
            <wp:docPr id="20" name="Picture 1" descr="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C5B5E.C6C84990"/>
                    <pic:cNvPicPr>
                      <a:picLocks noChangeAspect="1" noChangeArrowheads="1"/>
                    </pic:cNvPicPr>
                  </pic:nvPicPr>
                  <pic:blipFill>
                    <a:blip r:embed="rId18" r:link="rId19" cstate="print"/>
                    <a:srcRect/>
                    <a:stretch>
                      <a:fillRect/>
                    </a:stretch>
                  </pic:blipFill>
                  <pic:spPr bwMode="auto">
                    <a:xfrm>
                      <a:off x="0" y="0"/>
                      <a:ext cx="847725" cy="285750"/>
                    </a:xfrm>
                    <a:prstGeom prst="rect">
                      <a:avLst/>
                    </a:prstGeom>
                    <a:noFill/>
                    <a:ln w="9525">
                      <a:noFill/>
                      <a:miter lim="800000"/>
                      <a:headEnd/>
                      <a:tailEnd/>
                    </a:ln>
                  </pic:spPr>
                </pic:pic>
              </a:graphicData>
            </a:graphic>
          </wp:inline>
        </w:drawing>
      </w:r>
    </w:p>
    <w:p w14:paraId="2BE72467" w14:textId="77777777" w:rsidR="00BD1D88" w:rsidRPr="005F5709" w:rsidRDefault="00BD1D88" w:rsidP="00C566B1">
      <w:pPr>
        <w:rPr>
          <w:rFonts w:asciiTheme="minorHAnsi" w:hAnsiTheme="minorHAnsi" w:cstheme="minorHAnsi"/>
        </w:rPr>
      </w:pPr>
      <w:r w:rsidRPr="005F5709">
        <w:rPr>
          <w:rFonts w:asciiTheme="minorHAnsi" w:hAnsiTheme="minorHAnsi" w:cstheme="minorHAnsi"/>
        </w:rPr>
        <w:t xml:space="preserve">With the exception of the Commonwealth Coat of Arms, the Department’s logo, any material protected by a trade mark and where otherwise noted all material presented in this document is provided under a </w:t>
      </w:r>
      <w:hyperlink r:id="rId20" w:history="1">
        <w:r w:rsidRPr="005F5709">
          <w:rPr>
            <w:rStyle w:val="Hyperlink"/>
            <w:rFonts w:asciiTheme="minorHAnsi" w:hAnsiTheme="minorHAnsi" w:cstheme="minorHAnsi"/>
            <w:color w:val="44546A" w:themeColor="text2"/>
          </w:rPr>
          <w:t>Creative Commons Attribution 4.0 Australia</w:t>
        </w:r>
      </w:hyperlink>
      <w:r w:rsidRPr="005F5709">
        <w:rPr>
          <w:rFonts w:asciiTheme="minorHAnsi" w:hAnsiTheme="minorHAnsi" w:cstheme="minorHAnsi"/>
        </w:rPr>
        <w:t xml:space="preserve"> licence.</w:t>
      </w:r>
      <w:r w:rsidRPr="005F5709">
        <w:rPr>
          <w:rFonts w:asciiTheme="minorHAnsi" w:hAnsiTheme="minorHAnsi" w:cstheme="minorHAnsi"/>
        </w:rPr>
        <w:br/>
        <w:t xml:space="preserve">The details of the relevant licence conditions are available on the Creative Commons website (accessible using the links provided) as is the full legal code for the </w:t>
      </w:r>
      <w:hyperlink r:id="rId21" w:history="1">
        <w:r w:rsidRPr="005F5709">
          <w:rPr>
            <w:rStyle w:val="Hyperlink"/>
            <w:rFonts w:asciiTheme="minorHAnsi" w:hAnsiTheme="minorHAnsi" w:cstheme="minorHAnsi"/>
            <w:color w:val="44546A" w:themeColor="text2"/>
          </w:rPr>
          <w:t>CC BY 4.0 AU licence</w:t>
        </w:r>
      </w:hyperlink>
      <w:r w:rsidRPr="005F5709">
        <w:rPr>
          <w:rFonts w:asciiTheme="minorHAnsi" w:hAnsiTheme="minorHAnsi" w:cstheme="minorHAnsi"/>
        </w:rPr>
        <w:t>.</w:t>
      </w:r>
    </w:p>
    <w:p w14:paraId="5D6C4A99" w14:textId="77777777" w:rsidR="00BD1D88" w:rsidRPr="005F5709" w:rsidRDefault="00BD1D88" w:rsidP="00C566B1">
      <w:pPr>
        <w:rPr>
          <w:rFonts w:asciiTheme="minorHAnsi" w:hAnsiTheme="minorHAnsi" w:cstheme="minorHAnsi"/>
        </w:rPr>
      </w:pPr>
      <w:r w:rsidRPr="005F5709">
        <w:rPr>
          <w:rFonts w:asciiTheme="minorHAnsi" w:hAnsiTheme="minorHAnsi" w:cstheme="minorHAnsi"/>
        </w:rPr>
        <w:t>The document must be attributed as the (Australian Apprenticeships Incentives Reforms – Regulatory Impact Statement).</w:t>
      </w:r>
    </w:p>
    <w:p w14:paraId="1E76BEDA" w14:textId="77777777" w:rsidR="00BD1D88" w:rsidRPr="005F5709" w:rsidRDefault="00BD1D88" w:rsidP="00C566B1">
      <w:pPr>
        <w:rPr>
          <w:rFonts w:asciiTheme="minorHAnsi" w:hAnsiTheme="minorHAnsi" w:cstheme="minorHAnsi"/>
        </w:rPr>
        <w:sectPr w:rsidR="00BD1D88" w:rsidRPr="005F5709" w:rsidSect="001F4E9B">
          <w:pgSz w:w="11906" w:h="16838"/>
          <w:pgMar w:top="2268" w:right="1440" w:bottom="1440" w:left="1440" w:header="709" w:footer="709" w:gutter="0"/>
          <w:cols w:space="708"/>
          <w:titlePg/>
          <w:docGrid w:linePitch="360"/>
        </w:sectPr>
      </w:pPr>
    </w:p>
    <w:p w14:paraId="1FC91723" w14:textId="406E47AC" w:rsidR="00A94478" w:rsidRPr="00A94478" w:rsidRDefault="00A94478" w:rsidP="00A042F8">
      <w:pPr>
        <w:pStyle w:val="TOC2"/>
        <w:rPr>
          <w:rFonts w:eastAsiaTheme="minorEastAsia" w:cstheme="minorBidi"/>
          <w:noProof/>
          <w:sz w:val="22"/>
          <w:szCs w:val="22"/>
          <w:lang w:eastAsia="en-AU"/>
        </w:rPr>
      </w:pPr>
      <w:r w:rsidRPr="00A94478">
        <w:rPr>
          <w:sz w:val="22"/>
          <w:szCs w:val="22"/>
        </w:rPr>
        <w:lastRenderedPageBreak/>
        <w:t>CONTENTS</w:t>
      </w:r>
      <w:r>
        <w:fldChar w:fldCharType="begin"/>
      </w:r>
      <w:r w:rsidRPr="00A94478">
        <w:instrText xml:space="preserve"> TOC \o "1-3" \h \z \u </w:instrText>
      </w:r>
      <w:r>
        <w:fldChar w:fldCharType="separate"/>
      </w:r>
    </w:p>
    <w:p w14:paraId="50F0A170" w14:textId="2CC09FCC" w:rsidR="00A94478" w:rsidRDefault="00C11E37" w:rsidP="00B93CF9">
      <w:pPr>
        <w:pStyle w:val="TOC1"/>
        <w:rPr>
          <w:rFonts w:eastAsiaTheme="minorEastAsia" w:cstheme="minorBidi"/>
          <w:noProof/>
          <w:sz w:val="22"/>
          <w:szCs w:val="22"/>
          <w:lang w:eastAsia="en-AU"/>
        </w:rPr>
      </w:pPr>
      <w:hyperlink w:anchor="_Toc113022161" w:history="1">
        <w:r w:rsidR="00A94478" w:rsidRPr="00E41A53">
          <w:rPr>
            <w:rStyle w:val="Hyperlink"/>
            <w:noProof/>
          </w:rPr>
          <w:t>Glossary</w:t>
        </w:r>
        <w:r w:rsidR="00A94478">
          <w:rPr>
            <w:noProof/>
            <w:webHidden/>
          </w:rPr>
          <w:tab/>
        </w:r>
        <w:r w:rsidR="00A94478">
          <w:rPr>
            <w:noProof/>
            <w:webHidden/>
          </w:rPr>
          <w:fldChar w:fldCharType="begin"/>
        </w:r>
        <w:r w:rsidR="00A94478">
          <w:rPr>
            <w:noProof/>
            <w:webHidden/>
          </w:rPr>
          <w:instrText xml:space="preserve"> PAGEREF _Toc113022161 \h </w:instrText>
        </w:r>
        <w:r w:rsidR="00A94478">
          <w:rPr>
            <w:noProof/>
            <w:webHidden/>
          </w:rPr>
        </w:r>
        <w:r w:rsidR="00A94478">
          <w:rPr>
            <w:noProof/>
            <w:webHidden/>
          </w:rPr>
          <w:fldChar w:fldCharType="separate"/>
        </w:r>
        <w:r w:rsidR="007C7C20">
          <w:rPr>
            <w:noProof/>
            <w:webHidden/>
          </w:rPr>
          <w:t>4</w:t>
        </w:r>
        <w:r w:rsidR="00A94478">
          <w:rPr>
            <w:noProof/>
            <w:webHidden/>
          </w:rPr>
          <w:fldChar w:fldCharType="end"/>
        </w:r>
      </w:hyperlink>
    </w:p>
    <w:p w14:paraId="3A6E36FB" w14:textId="62CCD0BA" w:rsidR="00A94478" w:rsidRDefault="00C11E37" w:rsidP="00B93CF9">
      <w:pPr>
        <w:pStyle w:val="TOC1"/>
        <w:rPr>
          <w:rFonts w:eastAsiaTheme="minorEastAsia" w:cstheme="minorBidi"/>
          <w:noProof/>
          <w:sz w:val="22"/>
          <w:szCs w:val="22"/>
          <w:lang w:eastAsia="en-AU"/>
        </w:rPr>
      </w:pPr>
      <w:hyperlink w:anchor="_Toc113022162" w:history="1">
        <w:r w:rsidR="00A94478" w:rsidRPr="00E41A53">
          <w:rPr>
            <w:rStyle w:val="Hyperlink"/>
            <w:noProof/>
          </w:rPr>
          <w:t>Executive Summary</w:t>
        </w:r>
        <w:r w:rsidR="00A94478">
          <w:rPr>
            <w:noProof/>
            <w:webHidden/>
          </w:rPr>
          <w:tab/>
        </w:r>
        <w:r w:rsidR="00A94478">
          <w:rPr>
            <w:noProof/>
            <w:webHidden/>
          </w:rPr>
          <w:fldChar w:fldCharType="begin"/>
        </w:r>
        <w:r w:rsidR="00A94478">
          <w:rPr>
            <w:noProof/>
            <w:webHidden/>
          </w:rPr>
          <w:instrText xml:space="preserve"> PAGEREF _Toc113022162 \h </w:instrText>
        </w:r>
        <w:r w:rsidR="00A94478">
          <w:rPr>
            <w:noProof/>
            <w:webHidden/>
          </w:rPr>
        </w:r>
        <w:r w:rsidR="00A94478">
          <w:rPr>
            <w:noProof/>
            <w:webHidden/>
          </w:rPr>
          <w:fldChar w:fldCharType="separate"/>
        </w:r>
        <w:r w:rsidR="007C7C20">
          <w:rPr>
            <w:noProof/>
            <w:webHidden/>
          </w:rPr>
          <w:t>5</w:t>
        </w:r>
        <w:r w:rsidR="00A94478">
          <w:rPr>
            <w:noProof/>
            <w:webHidden/>
          </w:rPr>
          <w:fldChar w:fldCharType="end"/>
        </w:r>
      </w:hyperlink>
    </w:p>
    <w:p w14:paraId="3140073D" w14:textId="7FED6E16" w:rsidR="00A94478" w:rsidRDefault="00C11E37" w:rsidP="00B93CF9">
      <w:pPr>
        <w:pStyle w:val="TOC1"/>
        <w:rPr>
          <w:rFonts w:eastAsiaTheme="minorEastAsia" w:cstheme="minorBidi"/>
          <w:noProof/>
          <w:sz w:val="22"/>
          <w:szCs w:val="22"/>
          <w:lang w:eastAsia="en-AU"/>
        </w:rPr>
      </w:pPr>
      <w:hyperlink w:anchor="_Toc113022163" w:history="1">
        <w:r w:rsidR="00A94478" w:rsidRPr="00E41A53">
          <w:rPr>
            <w:rStyle w:val="Hyperlink"/>
            <w:noProof/>
          </w:rPr>
          <w:t>Chapter One: Introduction and Context</w:t>
        </w:r>
        <w:r w:rsidR="00A94478">
          <w:rPr>
            <w:noProof/>
            <w:webHidden/>
          </w:rPr>
          <w:tab/>
        </w:r>
        <w:r w:rsidR="00A94478">
          <w:rPr>
            <w:noProof/>
            <w:webHidden/>
          </w:rPr>
          <w:fldChar w:fldCharType="begin"/>
        </w:r>
        <w:r w:rsidR="00A94478">
          <w:rPr>
            <w:noProof/>
            <w:webHidden/>
          </w:rPr>
          <w:instrText xml:space="preserve"> PAGEREF _Toc113022163 \h </w:instrText>
        </w:r>
        <w:r w:rsidR="00A94478">
          <w:rPr>
            <w:noProof/>
            <w:webHidden/>
          </w:rPr>
        </w:r>
        <w:r w:rsidR="00A94478">
          <w:rPr>
            <w:noProof/>
            <w:webHidden/>
          </w:rPr>
          <w:fldChar w:fldCharType="separate"/>
        </w:r>
        <w:r w:rsidR="007C7C20">
          <w:rPr>
            <w:noProof/>
            <w:webHidden/>
          </w:rPr>
          <w:t>7</w:t>
        </w:r>
        <w:r w:rsidR="00A94478">
          <w:rPr>
            <w:noProof/>
            <w:webHidden/>
          </w:rPr>
          <w:fldChar w:fldCharType="end"/>
        </w:r>
      </w:hyperlink>
    </w:p>
    <w:p w14:paraId="006270A7" w14:textId="25ECAC50" w:rsidR="00A94478" w:rsidRDefault="00C11E37" w:rsidP="00A042F8">
      <w:pPr>
        <w:pStyle w:val="TOC2"/>
        <w:rPr>
          <w:rFonts w:eastAsiaTheme="minorEastAsia" w:cstheme="minorBidi"/>
          <w:i/>
          <w:iCs/>
          <w:noProof/>
          <w:lang w:eastAsia="en-AU"/>
        </w:rPr>
      </w:pPr>
      <w:hyperlink w:anchor="_Toc113022164" w:history="1">
        <w:r w:rsidR="00A94478" w:rsidRPr="00E41A53">
          <w:rPr>
            <w:rStyle w:val="Hyperlink"/>
            <w:noProof/>
          </w:rPr>
          <w:t>1.1 What is an Australian Apprenticeship?</w:t>
        </w:r>
        <w:r w:rsidR="00A94478">
          <w:rPr>
            <w:noProof/>
            <w:webHidden/>
          </w:rPr>
          <w:tab/>
        </w:r>
        <w:r w:rsidR="00A94478">
          <w:rPr>
            <w:noProof/>
            <w:webHidden/>
          </w:rPr>
          <w:fldChar w:fldCharType="begin"/>
        </w:r>
        <w:r w:rsidR="00A94478">
          <w:rPr>
            <w:noProof/>
            <w:webHidden/>
          </w:rPr>
          <w:instrText xml:space="preserve"> PAGEREF _Toc113022164 \h </w:instrText>
        </w:r>
        <w:r w:rsidR="00A94478">
          <w:rPr>
            <w:noProof/>
            <w:webHidden/>
          </w:rPr>
        </w:r>
        <w:r w:rsidR="00A94478">
          <w:rPr>
            <w:noProof/>
            <w:webHidden/>
          </w:rPr>
          <w:fldChar w:fldCharType="separate"/>
        </w:r>
        <w:r w:rsidR="007C7C20">
          <w:rPr>
            <w:noProof/>
            <w:webHidden/>
          </w:rPr>
          <w:t>7</w:t>
        </w:r>
        <w:r w:rsidR="00A94478">
          <w:rPr>
            <w:noProof/>
            <w:webHidden/>
          </w:rPr>
          <w:fldChar w:fldCharType="end"/>
        </w:r>
      </w:hyperlink>
    </w:p>
    <w:p w14:paraId="5B8860B4" w14:textId="774FAA87" w:rsidR="00A94478" w:rsidRDefault="00C11E37" w:rsidP="00A042F8">
      <w:pPr>
        <w:pStyle w:val="TOC2"/>
        <w:rPr>
          <w:rFonts w:eastAsiaTheme="minorEastAsia" w:cstheme="minorBidi"/>
          <w:i/>
          <w:iCs/>
          <w:noProof/>
          <w:lang w:eastAsia="en-AU"/>
        </w:rPr>
      </w:pPr>
      <w:hyperlink w:anchor="_Toc113022165" w:history="1">
        <w:r w:rsidR="00A94478" w:rsidRPr="00E41A53">
          <w:rPr>
            <w:rStyle w:val="Hyperlink"/>
            <w:noProof/>
          </w:rPr>
          <w:t>1.2 Who are Australian Apprentices?</w:t>
        </w:r>
        <w:r w:rsidR="00A94478">
          <w:rPr>
            <w:noProof/>
            <w:webHidden/>
          </w:rPr>
          <w:tab/>
        </w:r>
        <w:r w:rsidR="00A94478">
          <w:rPr>
            <w:noProof/>
            <w:webHidden/>
          </w:rPr>
          <w:fldChar w:fldCharType="begin"/>
        </w:r>
        <w:r w:rsidR="00A94478">
          <w:rPr>
            <w:noProof/>
            <w:webHidden/>
          </w:rPr>
          <w:instrText xml:space="preserve"> PAGEREF _Toc113022165 \h </w:instrText>
        </w:r>
        <w:r w:rsidR="00A94478">
          <w:rPr>
            <w:noProof/>
            <w:webHidden/>
          </w:rPr>
        </w:r>
        <w:r w:rsidR="00A94478">
          <w:rPr>
            <w:noProof/>
            <w:webHidden/>
          </w:rPr>
          <w:fldChar w:fldCharType="separate"/>
        </w:r>
        <w:r w:rsidR="007C7C20">
          <w:rPr>
            <w:noProof/>
            <w:webHidden/>
          </w:rPr>
          <w:t>7</w:t>
        </w:r>
        <w:r w:rsidR="00A94478">
          <w:rPr>
            <w:noProof/>
            <w:webHidden/>
          </w:rPr>
          <w:fldChar w:fldCharType="end"/>
        </w:r>
      </w:hyperlink>
    </w:p>
    <w:p w14:paraId="19F2AF6A" w14:textId="395247B3" w:rsidR="00A94478" w:rsidRDefault="00C11E37" w:rsidP="00A042F8">
      <w:pPr>
        <w:pStyle w:val="TOC2"/>
        <w:rPr>
          <w:rFonts w:eastAsiaTheme="minorEastAsia" w:cstheme="minorBidi"/>
          <w:i/>
          <w:iCs/>
          <w:noProof/>
          <w:lang w:eastAsia="en-AU"/>
        </w:rPr>
      </w:pPr>
      <w:hyperlink w:anchor="_Toc113022166" w:history="1">
        <w:r w:rsidR="00A94478" w:rsidRPr="00E41A53">
          <w:rPr>
            <w:rStyle w:val="Hyperlink"/>
            <w:noProof/>
          </w:rPr>
          <w:t>1.3 Delivery of Australian Apprenticeships</w:t>
        </w:r>
        <w:r w:rsidR="00A94478">
          <w:rPr>
            <w:noProof/>
            <w:webHidden/>
          </w:rPr>
          <w:tab/>
        </w:r>
        <w:r w:rsidR="00A94478">
          <w:rPr>
            <w:noProof/>
            <w:webHidden/>
          </w:rPr>
          <w:fldChar w:fldCharType="begin"/>
        </w:r>
        <w:r w:rsidR="00A94478">
          <w:rPr>
            <w:noProof/>
            <w:webHidden/>
          </w:rPr>
          <w:instrText xml:space="preserve"> PAGEREF _Toc113022166 \h </w:instrText>
        </w:r>
        <w:r w:rsidR="00A94478">
          <w:rPr>
            <w:noProof/>
            <w:webHidden/>
          </w:rPr>
        </w:r>
        <w:r w:rsidR="00A94478">
          <w:rPr>
            <w:noProof/>
            <w:webHidden/>
          </w:rPr>
          <w:fldChar w:fldCharType="separate"/>
        </w:r>
        <w:r w:rsidR="007C7C20">
          <w:rPr>
            <w:noProof/>
            <w:webHidden/>
          </w:rPr>
          <w:t>8</w:t>
        </w:r>
        <w:r w:rsidR="00A94478">
          <w:rPr>
            <w:noProof/>
            <w:webHidden/>
          </w:rPr>
          <w:fldChar w:fldCharType="end"/>
        </w:r>
      </w:hyperlink>
    </w:p>
    <w:p w14:paraId="0E402517" w14:textId="1543EFE7" w:rsidR="00A94478" w:rsidRDefault="00C11E37">
      <w:pPr>
        <w:pStyle w:val="TOC3"/>
        <w:tabs>
          <w:tab w:val="right" w:pos="9016"/>
        </w:tabs>
        <w:rPr>
          <w:rFonts w:eastAsiaTheme="minorEastAsia" w:cstheme="minorBidi"/>
          <w:noProof/>
          <w:sz w:val="22"/>
          <w:szCs w:val="22"/>
          <w:lang w:eastAsia="en-AU"/>
        </w:rPr>
      </w:pPr>
      <w:hyperlink w:anchor="_Toc113022167" w:history="1">
        <w:r w:rsidR="00A94478" w:rsidRPr="00E41A53">
          <w:rPr>
            <w:rStyle w:val="Hyperlink"/>
            <w:noProof/>
          </w:rPr>
          <w:t>Current regulatory and administrative framework</w:t>
        </w:r>
        <w:r w:rsidR="00A94478">
          <w:rPr>
            <w:noProof/>
            <w:webHidden/>
          </w:rPr>
          <w:tab/>
        </w:r>
        <w:r w:rsidR="00A94478">
          <w:rPr>
            <w:noProof/>
            <w:webHidden/>
          </w:rPr>
          <w:fldChar w:fldCharType="begin"/>
        </w:r>
        <w:r w:rsidR="00A94478">
          <w:rPr>
            <w:noProof/>
            <w:webHidden/>
          </w:rPr>
          <w:instrText xml:space="preserve"> PAGEREF _Toc113022167 \h </w:instrText>
        </w:r>
        <w:r w:rsidR="00A94478">
          <w:rPr>
            <w:noProof/>
            <w:webHidden/>
          </w:rPr>
        </w:r>
        <w:r w:rsidR="00A94478">
          <w:rPr>
            <w:noProof/>
            <w:webHidden/>
          </w:rPr>
          <w:fldChar w:fldCharType="separate"/>
        </w:r>
        <w:r w:rsidR="007C7C20">
          <w:rPr>
            <w:noProof/>
            <w:webHidden/>
          </w:rPr>
          <w:t>9</w:t>
        </w:r>
        <w:r w:rsidR="00A94478">
          <w:rPr>
            <w:noProof/>
            <w:webHidden/>
          </w:rPr>
          <w:fldChar w:fldCharType="end"/>
        </w:r>
      </w:hyperlink>
    </w:p>
    <w:p w14:paraId="4DDBA3F1" w14:textId="2AFF752B" w:rsidR="00A94478" w:rsidRDefault="00C11E37" w:rsidP="00A042F8">
      <w:pPr>
        <w:pStyle w:val="TOC2"/>
        <w:rPr>
          <w:rFonts w:eastAsiaTheme="minorEastAsia" w:cstheme="minorBidi"/>
          <w:i/>
          <w:iCs/>
          <w:noProof/>
          <w:lang w:eastAsia="en-AU"/>
        </w:rPr>
      </w:pPr>
      <w:hyperlink w:anchor="_Toc113022168" w:history="1">
        <w:r w:rsidR="00A94478" w:rsidRPr="00E41A53">
          <w:rPr>
            <w:rStyle w:val="Hyperlink"/>
            <w:noProof/>
          </w:rPr>
          <w:t>1.4 Programs across the Department</w:t>
        </w:r>
        <w:r w:rsidR="00A94478">
          <w:rPr>
            <w:noProof/>
            <w:webHidden/>
          </w:rPr>
          <w:tab/>
        </w:r>
        <w:r w:rsidR="00A94478">
          <w:rPr>
            <w:noProof/>
            <w:webHidden/>
          </w:rPr>
          <w:fldChar w:fldCharType="begin"/>
        </w:r>
        <w:r w:rsidR="00A94478">
          <w:rPr>
            <w:noProof/>
            <w:webHidden/>
          </w:rPr>
          <w:instrText xml:space="preserve"> PAGEREF _Toc113022168 \h </w:instrText>
        </w:r>
        <w:r w:rsidR="00A94478">
          <w:rPr>
            <w:noProof/>
            <w:webHidden/>
          </w:rPr>
        </w:r>
        <w:r w:rsidR="00A94478">
          <w:rPr>
            <w:noProof/>
            <w:webHidden/>
          </w:rPr>
          <w:fldChar w:fldCharType="separate"/>
        </w:r>
        <w:r w:rsidR="007C7C20">
          <w:rPr>
            <w:noProof/>
            <w:webHidden/>
          </w:rPr>
          <w:t>11</w:t>
        </w:r>
        <w:r w:rsidR="00A94478">
          <w:rPr>
            <w:noProof/>
            <w:webHidden/>
          </w:rPr>
          <w:fldChar w:fldCharType="end"/>
        </w:r>
      </w:hyperlink>
    </w:p>
    <w:p w14:paraId="7E2D446A" w14:textId="730BD57F" w:rsidR="00A94478" w:rsidRDefault="00C11E37" w:rsidP="00A042F8">
      <w:pPr>
        <w:pStyle w:val="TOC2"/>
        <w:rPr>
          <w:rFonts w:eastAsiaTheme="minorEastAsia" w:cstheme="minorBidi"/>
          <w:i/>
          <w:iCs/>
          <w:noProof/>
          <w:lang w:eastAsia="en-AU"/>
        </w:rPr>
      </w:pPr>
      <w:hyperlink w:anchor="_Toc113022169" w:history="1">
        <w:r w:rsidR="00A94478" w:rsidRPr="00E41A53">
          <w:rPr>
            <w:rStyle w:val="Hyperlink"/>
            <w:noProof/>
          </w:rPr>
          <w:t>1.5 Incentives for Australian Apprenticeships</w:t>
        </w:r>
        <w:r w:rsidR="00A94478">
          <w:rPr>
            <w:noProof/>
            <w:webHidden/>
          </w:rPr>
          <w:tab/>
        </w:r>
        <w:r w:rsidR="00A94478">
          <w:rPr>
            <w:noProof/>
            <w:webHidden/>
          </w:rPr>
          <w:fldChar w:fldCharType="begin"/>
        </w:r>
        <w:r w:rsidR="00A94478">
          <w:rPr>
            <w:noProof/>
            <w:webHidden/>
          </w:rPr>
          <w:instrText xml:space="preserve"> PAGEREF _Toc113022169 \h </w:instrText>
        </w:r>
        <w:r w:rsidR="00A94478">
          <w:rPr>
            <w:noProof/>
            <w:webHidden/>
          </w:rPr>
        </w:r>
        <w:r w:rsidR="00A94478">
          <w:rPr>
            <w:noProof/>
            <w:webHidden/>
          </w:rPr>
          <w:fldChar w:fldCharType="separate"/>
        </w:r>
        <w:r w:rsidR="007C7C20">
          <w:rPr>
            <w:noProof/>
            <w:webHidden/>
          </w:rPr>
          <w:t>11</w:t>
        </w:r>
        <w:r w:rsidR="00A94478">
          <w:rPr>
            <w:noProof/>
            <w:webHidden/>
          </w:rPr>
          <w:fldChar w:fldCharType="end"/>
        </w:r>
      </w:hyperlink>
    </w:p>
    <w:p w14:paraId="29A69DFB" w14:textId="30DCF2C6" w:rsidR="00A94478" w:rsidRDefault="00C11E37">
      <w:pPr>
        <w:pStyle w:val="TOC3"/>
        <w:tabs>
          <w:tab w:val="right" w:pos="9016"/>
        </w:tabs>
        <w:rPr>
          <w:rFonts w:eastAsiaTheme="minorEastAsia" w:cstheme="minorBidi"/>
          <w:noProof/>
          <w:sz w:val="22"/>
          <w:szCs w:val="22"/>
          <w:lang w:eastAsia="en-AU"/>
        </w:rPr>
      </w:pPr>
      <w:hyperlink w:anchor="_Toc113022170" w:history="1">
        <w:r w:rsidR="00A94478" w:rsidRPr="00E41A53">
          <w:rPr>
            <w:rStyle w:val="Hyperlink"/>
            <w:noProof/>
          </w:rPr>
          <w:t>Australian Apprenticeships Incentives Program</w:t>
        </w:r>
        <w:r w:rsidR="00A94478">
          <w:rPr>
            <w:noProof/>
            <w:webHidden/>
          </w:rPr>
          <w:tab/>
        </w:r>
        <w:r w:rsidR="00A94478">
          <w:rPr>
            <w:noProof/>
            <w:webHidden/>
          </w:rPr>
          <w:fldChar w:fldCharType="begin"/>
        </w:r>
        <w:r w:rsidR="00A94478">
          <w:rPr>
            <w:noProof/>
            <w:webHidden/>
          </w:rPr>
          <w:instrText xml:space="preserve"> PAGEREF _Toc113022170 \h </w:instrText>
        </w:r>
        <w:r w:rsidR="00A94478">
          <w:rPr>
            <w:noProof/>
            <w:webHidden/>
          </w:rPr>
        </w:r>
        <w:r w:rsidR="00A94478">
          <w:rPr>
            <w:noProof/>
            <w:webHidden/>
          </w:rPr>
          <w:fldChar w:fldCharType="separate"/>
        </w:r>
        <w:r w:rsidR="007C7C20">
          <w:rPr>
            <w:noProof/>
            <w:webHidden/>
          </w:rPr>
          <w:t>12</w:t>
        </w:r>
        <w:r w:rsidR="00A94478">
          <w:rPr>
            <w:noProof/>
            <w:webHidden/>
          </w:rPr>
          <w:fldChar w:fldCharType="end"/>
        </w:r>
      </w:hyperlink>
    </w:p>
    <w:p w14:paraId="7807693E" w14:textId="4FC1754E" w:rsidR="00A94478" w:rsidRDefault="00C11E37">
      <w:pPr>
        <w:pStyle w:val="TOC3"/>
        <w:tabs>
          <w:tab w:val="right" w:pos="9016"/>
        </w:tabs>
        <w:rPr>
          <w:rFonts w:eastAsiaTheme="minorEastAsia" w:cstheme="minorBidi"/>
          <w:noProof/>
          <w:sz w:val="22"/>
          <w:szCs w:val="22"/>
          <w:lang w:eastAsia="en-AU"/>
        </w:rPr>
      </w:pPr>
      <w:hyperlink w:anchor="_Toc113022171" w:history="1">
        <w:r w:rsidR="00A94478" w:rsidRPr="00E41A53">
          <w:rPr>
            <w:rStyle w:val="Hyperlink"/>
            <w:noProof/>
          </w:rPr>
          <w:t>The incoming Incentives for Australian Apprenticeships program</w:t>
        </w:r>
        <w:r w:rsidR="00A94478">
          <w:rPr>
            <w:noProof/>
            <w:webHidden/>
          </w:rPr>
          <w:tab/>
        </w:r>
        <w:r w:rsidR="00A94478">
          <w:rPr>
            <w:noProof/>
            <w:webHidden/>
          </w:rPr>
          <w:fldChar w:fldCharType="begin"/>
        </w:r>
        <w:r w:rsidR="00A94478">
          <w:rPr>
            <w:noProof/>
            <w:webHidden/>
          </w:rPr>
          <w:instrText xml:space="preserve"> PAGEREF _Toc113022171 \h </w:instrText>
        </w:r>
        <w:r w:rsidR="00A94478">
          <w:rPr>
            <w:noProof/>
            <w:webHidden/>
          </w:rPr>
        </w:r>
        <w:r w:rsidR="00A94478">
          <w:rPr>
            <w:noProof/>
            <w:webHidden/>
          </w:rPr>
          <w:fldChar w:fldCharType="separate"/>
        </w:r>
        <w:r w:rsidR="007C7C20">
          <w:rPr>
            <w:noProof/>
            <w:webHidden/>
          </w:rPr>
          <w:t>14</w:t>
        </w:r>
        <w:r w:rsidR="00A94478">
          <w:rPr>
            <w:noProof/>
            <w:webHidden/>
          </w:rPr>
          <w:fldChar w:fldCharType="end"/>
        </w:r>
      </w:hyperlink>
    </w:p>
    <w:p w14:paraId="4F5D5F2A" w14:textId="535DFEED" w:rsidR="00A94478" w:rsidRDefault="00C11E37" w:rsidP="00B93CF9">
      <w:pPr>
        <w:pStyle w:val="TOC1"/>
        <w:rPr>
          <w:rFonts w:eastAsiaTheme="minorEastAsia" w:cstheme="minorBidi"/>
          <w:noProof/>
          <w:sz w:val="22"/>
          <w:szCs w:val="22"/>
          <w:lang w:eastAsia="en-AU"/>
        </w:rPr>
      </w:pPr>
      <w:hyperlink w:anchor="_Toc113022172" w:history="1">
        <w:r w:rsidR="00A94478" w:rsidRPr="00E41A53">
          <w:rPr>
            <w:rStyle w:val="Hyperlink"/>
            <w:noProof/>
          </w:rPr>
          <w:t>Chapter Two: Statement of the Problem</w:t>
        </w:r>
        <w:r w:rsidR="00A94478">
          <w:rPr>
            <w:noProof/>
            <w:webHidden/>
          </w:rPr>
          <w:tab/>
        </w:r>
        <w:r w:rsidR="00A94478">
          <w:rPr>
            <w:noProof/>
            <w:webHidden/>
          </w:rPr>
          <w:fldChar w:fldCharType="begin"/>
        </w:r>
        <w:r w:rsidR="00A94478">
          <w:rPr>
            <w:noProof/>
            <w:webHidden/>
          </w:rPr>
          <w:instrText xml:space="preserve"> PAGEREF _Toc113022172 \h </w:instrText>
        </w:r>
        <w:r w:rsidR="00A94478">
          <w:rPr>
            <w:noProof/>
            <w:webHidden/>
          </w:rPr>
        </w:r>
        <w:r w:rsidR="00A94478">
          <w:rPr>
            <w:noProof/>
            <w:webHidden/>
          </w:rPr>
          <w:fldChar w:fldCharType="separate"/>
        </w:r>
        <w:r w:rsidR="007C7C20">
          <w:rPr>
            <w:noProof/>
            <w:webHidden/>
          </w:rPr>
          <w:t>7</w:t>
        </w:r>
        <w:r w:rsidR="00A94478">
          <w:rPr>
            <w:noProof/>
            <w:webHidden/>
          </w:rPr>
          <w:fldChar w:fldCharType="end"/>
        </w:r>
      </w:hyperlink>
    </w:p>
    <w:p w14:paraId="4C18C0F9" w14:textId="060B128B" w:rsidR="00A94478" w:rsidRDefault="00C11E37" w:rsidP="00A042F8">
      <w:pPr>
        <w:pStyle w:val="TOC2"/>
        <w:rPr>
          <w:rFonts w:eastAsiaTheme="minorEastAsia" w:cstheme="minorBidi"/>
          <w:i/>
          <w:iCs/>
          <w:noProof/>
          <w:lang w:eastAsia="en-AU"/>
        </w:rPr>
      </w:pPr>
      <w:hyperlink w:anchor="_Toc113022173" w:history="1">
        <w:r w:rsidR="00A94478" w:rsidRPr="00E41A53">
          <w:rPr>
            <w:rStyle w:val="Hyperlink"/>
            <w:noProof/>
          </w:rPr>
          <w:t>2.1 Apprenticeships are important to both the individual and the economy</w:t>
        </w:r>
        <w:r w:rsidR="00A94478">
          <w:rPr>
            <w:noProof/>
            <w:webHidden/>
          </w:rPr>
          <w:tab/>
        </w:r>
        <w:r w:rsidR="00A94478">
          <w:rPr>
            <w:noProof/>
            <w:webHidden/>
          </w:rPr>
          <w:fldChar w:fldCharType="begin"/>
        </w:r>
        <w:r w:rsidR="00A94478">
          <w:rPr>
            <w:noProof/>
            <w:webHidden/>
          </w:rPr>
          <w:instrText xml:space="preserve"> PAGEREF _Toc113022173 \h </w:instrText>
        </w:r>
        <w:r w:rsidR="00A94478">
          <w:rPr>
            <w:noProof/>
            <w:webHidden/>
          </w:rPr>
        </w:r>
        <w:r w:rsidR="00A94478">
          <w:rPr>
            <w:noProof/>
            <w:webHidden/>
          </w:rPr>
          <w:fldChar w:fldCharType="separate"/>
        </w:r>
        <w:r w:rsidR="007C7C20">
          <w:rPr>
            <w:noProof/>
            <w:webHidden/>
          </w:rPr>
          <w:t>7</w:t>
        </w:r>
        <w:r w:rsidR="00A94478">
          <w:rPr>
            <w:noProof/>
            <w:webHidden/>
          </w:rPr>
          <w:fldChar w:fldCharType="end"/>
        </w:r>
      </w:hyperlink>
    </w:p>
    <w:p w14:paraId="6CAFEDD1" w14:textId="48F5342C" w:rsidR="00A94478" w:rsidRDefault="00C11E37" w:rsidP="00A042F8">
      <w:pPr>
        <w:pStyle w:val="TOC2"/>
        <w:rPr>
          <w:rFonts w:eastAsiaTheme="minorEastAsia" w:cstheme="minorBidi"/>
          <w:i/>
          <w:iCs/>
          <w:noProof/>
          <w:lang w:eastAsia="en-AU"/>
        </w:rPr>
      </w:pPr>
      <w:hyperlink w:anchor="_Toc113022174" w:history="1">
        <w:r w:rsidR="00A94478" w:rsidRPr="00E41A53">
          <w:rPr>
            <w:rStyle w:val="Hyperlink"/>
            <w:noProof/>
          </w:rPr>
          <w:t>2.2 There are barriers to the uptake and completion of Australian Apprenticeships</w:t>
        </w:r>
        <w:r w:rsidR="00A94478">
          <w:rPr>
            <w:noProof/>
            <w:webHidden/>
          </w:rPr>
          <w:tab/>
        </w:r>
        <w:r w:rsidR="00A94478">
          <w:rPr>
            <w:noProof/>
            <w:webHidden/>
          </w:rPr>
          <w:fldChar w:fldCharType="begin"/>
        </w:r>
        <w:r w:rsidR="00A94478">
          <w:rPr>
            <w:noProof/>
            <w:webHidden/>
          </w:rPr>
          <w:instrText xml:space="preserve"> PAGEREF _Toc113022174 \h </w:instrText>
        </w:r>
        <w:r w:rsidR="00A94478">
          <w:rPr>
            <w:noProof/>
            <w:webHidden/>
          </w:rPr>
        </w:r>
        <w:r w:rsidR="00A94478">
          <w:rPr>
            <w:noProof/>
            <w:webHidden/>
          </w:rPr>
          <w:fldChar w:fldCharType="separate"/>
        </w:r>
        <w:r w:rsidR="007C7C20">
          <w:rPr>
            <w:noProof/>
            <w:webHidden/>
          </w:rPr>
          <w:t>10</w:t>
        </w:r>
        <w:r w:rsidR="00A94478">
          <w:rPr>
            <w:noProof/>
            <w:webHidden/>
          </w:rPr>
          <w:fldChar w:fldCharType="end"/>
        </w:r>
      </w:hyperlink>
    </w:p>
    <w:p w14:paraId="34435134" w14:textId="70F4C56C" w:rsidR="00A94478" w:rsidRDefault="00C11E37">
      <w:pPr>
        <w:pStyle w:val="TOC3"/>
        <w:tabs>
          <w:tab w:val="right" w:pos="9016"/>
        </w:tabs>
        <w:rPr>
          <w:rFonts w:eastAsiaTheme="minorEastAsia" w:cstheme="minorBidi"/>
          <w:noProof/>
          <w:sz w:val="22"/>
          <w:szCs w:val="22"/>
          <w:lang w:eastAsia="en-AU"/>
        </w:rPr>
      </w:pPr>
      <w:hyperlink w:anchor="_Toc113022175" w:history="1">
        <w:r w:rsidR="00A94478" w:rsidRPr="00E41A53">
          <w:rPr>
            <w:rStyle w:val="Hyperlink"/>
            <w:noProof/>
          </w:rPr>
          <w:t>The decline in commencements and completions before COVID-19 economic response measures</w:t>
        </w:r>
        <w:r w:rsidR="00A94478">
          <w:rPr>
            <w:noProof/>
            <w:webHidden/>
          </w:rPr>
          <w:tab/>
        </w:r>
        <w:r w:rsidR="00A94478">
          <w:rPr>
            <w:noProof/>
            <w:webHidden/>
          </w:rPr>
          <w:fldChar w:fldCharType="begin"/>
        </w:r>
        <w:r w:rsidR="00A94478">
          <w:rPr>
            <w:noProof/>
            <w:webHidden/>
          </w:rPr>
          <w:instrText xml:space="preserve"> PAGEREF _Toc113022175 \h </w:instrText>
        </w:r>
        <w:r w:rsidR="00A94478">
          <w:rPr>
            <w:noProof/>
            <w:webHidden/>
          </w:rPr>
        </w:r>
        <w:r w:rsidR="00A94478">
          <w:rPr>
            <w:noProof/>
            <w:webHidden/>
          </w:rPr>
          <w:fldChar w:fldCharType="separate"/>
        </w:r>
        <w:r w:rsidR="007C7C20">
          <w:rPr>
            <w:noProof/>
            <w:webHidden/>
          </w:rPr>
          <w:t>10</w:t>
        </w:r>
        <w:r w:rsidR="00A94478">
          <w:rPr>
            <w:noProof/>
            <w:webHidden/>
          </w:rPr>
          <w:fldChar w:fldCharType="end"/>
        </w:r>
      </w:hyperlink>
    </w:p>
    <w:p w14:paraId="158F0F7C" w14:textId="2AECAA61" w:rsidR="00A94478" w:rsidRDefault="00C11E37">
      <w:pPr>
        <w:pStyle w:val="TOC3"/>
        <w:tabs>
          <w:tab w:val="right" w:pos="9016"/>
        </w:tabs>
        <w:rPr>
          <w:rFonts w:eastAsiaTheme="minorEastAsia" w:cstheme="minorBidi"/>
          <w:noProof/>
          <w:sz w:val="22"/>
          <w:szCs w:val="22"/>
          <w:lang w:eastAsia="en-AU"/>
        </w:rPr>
      </w:pPr>
      <w:hyperlink w:anchor="_Toc113022176" w:history="1">
        <w:r w:rsidR="00A94478" w:rsidRPr="00E41A53">
          <w:rPr>
            <w:rStyle w:val="Hyperlink"/>
            <w:noProof/>
          </w:rPr>
          <w:t>Barriers for the employer</w:t>
        </w:r>
        <w:r w:rsidR="00A94478">
          <w:rPr>
            <w:noProof/>
            <w:webHidden/>
          </w:rPr>
          <w:tab/>
        </w:r>
        <w:r w:rsidR="00A94478">
          <w:rPr>
            <w:noProof/>
            <w:webHidden/>
          </w:rPr>
          <w:fldChar w:fldCharType="begin"/>
        </w:r>
        <w:r w:rsidR="00A94478">
          <w:rPr>
            <w:noProof/>
            <w:webHidden/>
          </w:rPr>
          <w:instrText xml:space="preserve"> PAGEREF _Toc113022176 \h </w:instrText>
        </w:r>
        <w:r w:rsidR="00A94478">
          <w:rPr>
            <w:noProof/>
            <w:webHidden/>
          </w:rPr>
        </w:r>
        <w:r w:rsidR="00A94478">
          <w:rPr>
            <w:noProof/>
            <w:webHidden/>
          </w:rPr>
          <w:fldChar w:fldCharType="separate"/>
        </w:r>
        <w:r w:rsidR="007C7C20">
          <w:rPr>
            <w:noProof/>
            <w:webHidden/>
          </w:rPr>
          <w:t>11</w:t>
        </w:r>
        <w:r w:rsidR="00A94478">
          <w:rPr>
            <w:noProof/>
            <w:webHidden/>
          </w:rPr>
          <w:fldChar w:fldCharType="end"/>
        </w:r>
      </w:hyperlink>
    </w:p>
    <w:p w14:paraId="2C51C87D" w14:textId="47C3450B" w:rsidR="00A94478" w:rsidRDefault="00C11E37">
      <w:pPr>
        <w:pStyle w:val="TOC3"/>
        <w:tabs>
          <w:tab w:val="right" w:pos="9016"/>
        </w:tabs>
        <w:rPr>
          <w:rFonts w:eastAsiaTheme="minorEastAsia" w:cstheme="minorBidi"/>
          <w:noProof/>
          <w:sz w:val="22"/>
          <w:szCs w:val="22"/>
          <w:lang w:eastAsia="en-AU"/>
        </w:rPr>
      </w:pPr>
      <w:hyperlink w:anchor="_Toc113022177" w:history="1">
        <w:r w:rsidR="00A94478" w:rsidRPr="00E41A53">
          <w:rPr>
            <w:rStyle w:val="Hyperlink"/>
            <w:noProof/>
          </w:rPr>
          <w:t>Barriers for the apprentice</w:t>
        </w:r>
        <w:r w:rsidR="00A94478">
          <w:rPr>
            <w:noProof/>
            <w:webHidden/>
          </w:rPr>
          <w:tab/>
        </w:r>
        <w:r w:rsidR="00A94478">
          <w:rPr>
            <w:noProof/>
            <w:webHidden/>
          </w:rPr>
          <w:fldChar w:fldCharType="begin"/>
        </w:r>
        <w:r w:rsidR="00A94478">
          <w:rPr>
            <w:noProof/>
            <w:webHidden/>
          </w:rPr>
          <w:instrText xml:space="preserve"> PAGEREF _Toc113022177 \h </w:instrText>
        </w:r>
        <w:r w:rsidR="00A94478">
          <w:rPr>
            <w:noProof/>
            <w:webHidden/>
          </w:rPr>
        </w:r>
        <w:r w:rsidR="00A94478">
          <w:rPr>
            <w:noProof/>
            <w:webHidden/>
          </w:rPr>
          <w:fldChar w:fldCharType="separate"/>
        </w:r>
        <w:r w:rsidR="007C7C20">
          <w:rPr>
            <w:noProof/>
            <w:webHidden/>
          </w:rPr>
          <w:t>13</w:t>
        </w:r>
        <w:r w:rsidR="00A94478">
          <w:rPr>
            <w:noProof/>
            <w:webHidden/>
          </w:rPr>
          <w:fldChar w:fldCharType="end"/>
        </w:r>
      </w:hyperlink>
    </w:p>
    <w:p w14:paraId="58851EFA" w14:textId="110F1021" w:rsidR="00A94478" w:rsidRDefault="00C11E37" w:rsidP="00A042F8">
      <w:pPr>
        <w:pStyle w:val="TOC2"/>
        <w:rPr>
          <w:rFonts w:eastAsiaTheme="minorEastAsia" w:cstheme="minorBidi"/>
          <w:i/>
          <w:iCs/>
          <w:noProof/>
          <w:lang w:eastAsia="en-AU"/>
        </w:rPr>
      </w:pPr>
      <w:hyperlink w:anchor="_Toc113022178" w:history="1">
        <w:r w:rsidR="00A94478" w:rsidRPr="00E41A53">
          <w:rPr>
            <w:rStyle w:val="Hyperlink"/>
            <w:noProof/>
          </w:rPr>
          <w:t>2.3 The objective of Australian Government incentives</w:t>
        </w:r>
        <w:r w:rsidR="00A94478">
          <w:rPr>
            <w:noProof/>
            <w:webHidden/>
          </w:rPr>
          <w:tab/>
        </w:r>
        <w:r w:rsidR="00A94478">
          <w:rPr>
            <w:noProof/>
            <w:webHidden/>
          </w:rPr>
          <w:fldChar w:fldCharType="begin"/>
        </w:r>
        <w:r w:rsidR="00A94478">
          <w:rPr>
            <w:noProof/>
            <w:webHidden/>
          </w:rPr>
          <w:instrText xml:space="preserve"> PAGEREF _Toc113022178 \h </w:instrText>
        </w:r>
        <w:r w:rsidR="00A94478">
          <w:rPr>
            <w:noProof/>
            <w:webHidden/>
          </w:rPr>
        </w:r>
        <w:r w:rsidR="00A94478">
          <w:rPr>
            <w:noProof/>
            <w:webHidden/>
          </w:rPr>
          <w:fldChar w:fldCharType="separate"/>
        </w:r>
        <w:r w:rsidR="007C7C20">
          <w:rPr>
            <w:noProof/>
            <w:webHidden/>
          </w:rPr>
          <w:t>16</w:t>
        </w:r>
        <w:r w:rsidR="00A94478">
          <w:rPr>
            <w:noProof/>
            <w:webHidden/>
          </w:rPr>
          <w:fldChar w:fldCharType="end"/>
        </w:r>
      </w:hyperlink>
    </w:p>
    <w:p w14:paraId="0602462C" w14:textId="01B7B2C5" w:rsidR="00A94478" w:rsidRDefault="00C11E37" w:rsidP="00A042F8">
      <w:pPr>
        <w:pStyle w:val="TOC2"/>
        <w:rPr>
          <w:rFonts w:eastAsiaTheme="minorEastAsia" w:cstheme="minorBidi"/>
          <w:i/>
          <w:iCs/>
          <w:noProof/>
          <w:lang w:eastAsia="en-AU"/>
        </w:rPr>
      </w:pPr>
      <w:hyperlink w:anchor="_Toc113022179" w:history="1">
        <w:r w:rsidR="00A94478" w:rsidRPr="00E41A53">
          <w:rPr>
            <w:rStyle w:val="Hyperlink"/>
            <w:noProof/>
          </w:rPr>
          <w:t>2.4 How much should the Australian Government intervene?</w:t>
        </w:r>
        <w:r w:rsidR="00A94478">
          <w:rPr>
            <w:noProof/>
            <w:webHidden/>
          </w:rPr>
          <w:tab/>
        </w:r>
        <w:r w:rsidR="00A94478">
          <w:rPr>
            <w:noProof/>
            <w:webHidden/>
          </w:rPr>
          <w:fldChar w:fldCharType="begin"/>
        </w:r>
        <w:r w:rsidR="00A94478">
          <w:rPr>
            <w:noProof/>
            <w:webHidden/>
          </w:rPr>
          <w:instrText xml:space="preserve"> PAGEREF _Toc113022179 \h </w:instrText>
        </w:r>
        <w:r w:rsidR="00A94478">
          <w:rPr>
            <w:noProof/>
            <w:webHidden/>
          </w:rPr>
        </w:r>
        <w:r w:rsidR="00A94478">
          <w:rPr>
            <w:noProof/>
            <w:webHidden/>
          </w:rPr>
          <w:fldChar w:fldCharType="separate"/>
        </w:r>
        <w:r w:rsidR="007C7C20">
          <w:rPr>
            <w:noProof/>
            <w:webHidden/>
          </w:rPr>
          <w:t>16</w:t>
        </w:r>
        <w:r w:rsidR="00A94478">
          <w:rPr>
            <w:noProof/>
            <w:webHidden/>
          </w:rPr>
          <w:fldChar w:fldCharType="end"/>
        </w:r>
      </w:hyperlink>
    </w:p>
    <w:p w14:paraId="204AC84C" w14:textId="03912DE6" w:rsidR="00A94478" w:rsidRDefault="00C11E37" w:rsidP="00A042F8">
      <w:pPr>
        <w:pStyle w:val="TOC2"/>
        <w:rPr>
          <w:rFonts w:eastAsiaTheme="minorEastAsia" w:cstheme="minorBidi"/>
          <w:i/>
          <w:iCs/>
          <w:noProof/>
          <w:lang w:eastAsia="en-AU"/>
        </w:rPr>
      </w:pPr>
      <w:hyperlink w:anchor="_Toc113022180" w:history="1">
        <w:r w:rsidR="00A94478" w:rsidRPr="00E41A53">
          <w:rPr>
            <w:rStyle w:val="Hyperlink"/>
            <w:noProof/>
          </w:rPr>
          <w:t>2.5 The current state of Australian Government incentives</w:t>
        </w:r>
        <w:r w:rsidR="00A94478">
          <w:rPr>
            <w:noProof/>
            <w:webHidden/>
          </w:rPr>
          <w:tab/>
        </w:r>
        <w:r w:rsidR="00A94478">
          <w:rPr>
            <w:noProof/>
            <w:webHidden/>
          </w:rPr>
          <w:fldChar w:fldCharType="begin"/>
        </w:r>
        <w:r w:rsidR="00A94478">
          <w:rPr>
            <w:noProof/>
            <w:webHidden/>
          </w:rPr>
          <w:instrText xml:space="preserve"> PAGEREF _Toc113022180 \h </w:instrText>
        </w:r>
        <w:r w:rsidR="00A94478">
          <w:rPr>
            <w:noProof/>
            <w:webHidden/>
          </w:rPr>
        </w:r>
        <w:r w:rsidR="00A94478">
          <w:rPr>
            <w:noProof/>
            <w:webHidden/>
          </w:rPr>
          <w:fldChar w:fldCharType="separate"/>
        </w:r>
        <w:r w:rsidR="007C7C20">
          <w:rPr>
            <w:noProof/>
            <w:webHidden/>
          </w:rPr>
          <w:t>17</w:t>
        </w:r>
        <w:r w:rsidR="00A94478">
          <w:rPr>
            <w:noProof/>
            <w:webHidden/>
          </w:rPr>
          <w:fldChar w:fldCharType="end"/>
        </w:r>
      </w:hyperlink>
    </w:p>
    <w:p w14:paraId="6FF2DBEE" w14:textId="09777C34" w:rsidR="00A94478" w:rsidRDefault="00C11E37">
      <w:pPr>
        <w:pStyle w:val="TOC3"/>
        <w:tabs>
          <w:tab w:val="left" w:pos="960"/>
          <w:tab w:val="right" w:pos="9016"/>
        </w:tabs>
        <w:rPr>
          <w:rFonts w:eastAsiaTheme="minorEastAsia" w:cstheme="minorBidi"/>
          <w:noProof/>
          <w:sz w:val="22"/>
          <w:szCs w:val="22"/>
          <w:lang w:eastAsia="en-AU"/>
        </w:rPr>
      </w:pPr>
      <w:hyperlink w:anchor="_Toc113022181" w:history="1">
        <w:r w:rsidR="00A94478" w:rsidRPr="00E41A53">
          <w:rPr>
            <w:rStyle w:val="Hyperlink"/>
            <w:noProof/>
          </w:rPr>
          <w:t>1.</w:t>
        </w:r>
        <w:r w:rsidR="00A94478">
          <w:rPr>
            <w:rFonts w:eastAsiaTheme="minorEastAsia" w:cstheme="minorBidi"/>
            <w:noProof/>
            <w:sz w:val="22"/>
            <w:szCs w:val="22"/>
            <w:lang w:eastAsia="en-AU"/>
          </w:rPr>
          <w:tab/>
        </w:r>
        <w:r w:rsidR="00A94478" w:rsidRPr="00E41A53">
          <w:rPr>
            <w:rStyle w:val="Hyperlink"/>
            <w:noProof/>
          </w:rPr>
          <w:t>Incentives should be targeted to address skill shortages</w:t>
        </w:r>
        <w:r w:rsidR="00A94478">
          <w:rPr>
            <w:noProof/>
            <w:webHidden/>
          </w:rPr>
          <w:tab/>
        </w:r>
        <w:r w:rsidR="00A94478">
          <w:rPr>
            <w:noProof/>
            <w:webHidden/>
          </w:rPr>
          <w:fldChar w:fldCharType="begin"/>
        </w:r>
        <w:r w:rsidR="00A94478">
          <w:rPr>
            <w:noProof/>
            <w:webHidden/>
          </w:rPr>
          <w:instrText xml:space="preserve"> PAGEREF _Toc113022181 \h </w:instrText>
        </w:r>
        <w:r w:rsidR="00A94478">
          <w:rPr>
            <w:noProof/>
            <w:webHidden/>
          </w:rPr>
        </w:r>
        <w:r w:rsidR="00A94478">
          <w:rPr>
            <w:noProof/>
            <w:webHidden/>
          </w:rPr>
          <w:fldChar w:fldCharType="separate"/>
        </w:r>
        <w:r w:rsidR="007C7C20">
          <w:rPr>
            <w:noProof/>
            <w:webHidden/>
          </w:rPr>
          <w:t>17</w:t>
        </w:r>
        <w:r w:rsidR="00A94478">
          <w:rPr>
            <w:noProof/>
            <w:webHidden/>
          </w:rPr>
          <w:fldChar w:fldCharType="end"/>
        </w:r>
      </w:hyperlink>
    </w:p>
    <w:p w14:paraId="52EC2EDF" w14:textId="259D09D2" w:rsidR="00A94478" w:rsidRDefault="00C11E37">
      <w:pPr>
        <w:pStyle w:val="TOC3"/>
        <w:tabs>
          <w:tab w:val="left" w:pos="960"/>
          <w:tab w:val="right" w:pos="9016"/>
        </w:tabs>
        <w:rPr>
          <w:rFonts w:eastAsiaTheme="minorEastAsia" w:cstheme="minorBidi"/>
          <w:noProof/>
          <w:sz w:val="22"/>
          <w:szCs w:val="22"/>
          <w:lang w:eastAsia="en-AU"/>
        </w:rPr>
      </w:pPr>
      <w:hyperlink w:anchor="_Toc113022182" w:history="1">
        <w:r w:rsidR="00A94478" w:rsidRPr="00E41A53">
          <w:rPr>
            <w:rStyle w:val="Hyperlink"/>
            <w:noProof/>
          </w:rPr>
          <w:t>2.</w:t>
        </w:r>
        <w:r w:rsidR="00A94478">
          <w:rPr>
            <w:rFonts w:eastAsiaTheme="minorEastAsia" w:cstheme="minorBidi"/>
            <w:noProof/>
            <w:sz w:val="22"/>
            <w:szCs w:val="22"/>
            <w:lang w:eastAsia="en-AU"/>
          </w:rPr>
          <w:tab/>
        </w:r>
        <w:r w:rsidR="00A94478" w:rsidRPr="00E41A53">
          <w:rPr>
            <w:rStyle w:val="Hyperlink"/>
            <w:noProof/>
          </w:rPr>
          <w:t>Incentives should respond to high and increasing costs</w:t>
        </w:r>
        <w:r w:rsidR="00A94478">
          <w:rPr>
            <w:noProof/>
            <w:webHidden/>
          </w:rPr>
          <w:tab/>
        </w:r>
        <w:r w:rsidR="00A94478">
          <w:rPr>
            <w:noProof/>
            <w:webHidden/>
          </w:rPr>
          <w:fldChar w:fldCharType="begin"/>
        </w:r>
        <w:r w:rsidR="00A94478">
          <w:rPr>
            <w:noProof/>
            <w:webHidden/>
          </w:rPr>
          <w:instrText xml:space="preserve"> PAGEREF _Toc113022182 \h </w:instrText>
        </w:r>
        <w:r w:rsidR="00A94478">
          <w:rPr>
            <w:noProof/>
            <w:webHidden/>
          </w:rPr>
        </w:r>
        <w:r w:rsidR="00A94478">
          <w:rPr>
            <w:noProof/>
            <w:webHidden/>
          </w:rPr>
          <w:fldChar w:fldCharType="separate"/>
        </w:r>
        <w:r w:rsidR="007C7C20">
          <w:rPr>
            <w:noProof/>
            <w:webHidden/>
          </w:rPr>
          <w:t>19</w:t>
        </w:r>
        <w:r w:rsidR="00A94478">
          <w:rPr>
            <w:noProof/>
            <w:webHidden/>
          </w:rPr>
          <w:fldChar w:fldCharType="end"/>
        </w:r>
      </w:hyperlink>
    </w:p>
    <w:p w14:paraId="49CF1321" w14:textId="3D375F70" w:rsidR="00A94478" w:rsidRDefault="00C11E37">
      <w:pPr>
        <w:pStyle w:val="TOC3"/>
        <w:tabs>
          <w:tab w:val="left" w:pos="960"/>
          <w:tab w:val="right" w:pos="9016"/>
        </w:tabs>
        <w:rPr>
          <w:rFonts w:eastAsiaTheme="minorEastAsia" w:cstheme="minorBidi"/>
          <w:noProof/>
          <w:sz w:val="22"/>
          <w:szCs w:val="22"/>
          <w:lang w:eastAsia="en-AU"/>
        </w:rPr>
      </w:pPr>
      <w:hyperlink w:anchor="_Toc113022183" w:history="1">
        <w:r w:rsidR="00A94478" w:rsidRPr="00E41A53">
          <w:rPr>
            <w:rStyle w:val="Hyperlink"/>
            <w:noProof/>
          </w:rPr>
          <w:t>3.</w:t>
        </w:r>
        <w:r w:rsidR="00A94478">
          <w:rPr>
            <w:rFonts w:eastAsiaTheme="minorEastAsia" w:cstheme="minorBidi"/>
            <w:noProof/>
            <w:sz w:val="22"/>
            <w:szCs w:val="22"/>
            <w:lang w:eastAsia="en-AU"/>
          </w:rPr>
          <w:tab/>
        </w:r>
        <w:r w:rsidR="00A94478" w:rsidRPr="00E41A53">
          <w:rPr>
            <w:rStyle w:val="Hyperlink"/>
            <w:noProof/>
          </w:rPr>
          <w:t>Incentives should focus on the decision maker</w:t>
        </w:r>
        <w:r w:rsidR="00A94478">
          <w:rPr>
            <w:noProof/>
            <w:webHidden/>
          </w:rPr>
          <w:tab/>
        </w:r>
        <w:r w:rsidR="00A94478">
          <w:rPr>
            <w:noProof/>
            <w:webHidden/>
          </w:rPr>
          <w:fldChar w:fldCharType="begin"/>
        </w:r>
        <w:r w:rsidR="00A94478">
          <w:rPr>
            <w:noProof/>
            <w:webHidden/>
          </w:rPr>
          <w:instrText xml:space="preserve"> PAGEREF _Toc113022183 \h </w:instrText>
        </w:r>
        <w:r w:rsidR="00A94478">
          <w:rPr>
            <w:noProof/>
            <w:webHidden/>
          </w:rPr>
        </w:r>
        <w:r w:rsidR="00A94478">
          <w:rPr>
            <w:noProof/>
            <w:webHidden/>
          </w:rPr>
          <w:fldChar w:fldCharType="separate"/>
        </w:r>
        <w:r w:rsidR="007C7C20">
          <w:rPr>
            <w:noProof/>
            <w:webHidden/>
          </w:rPr>
          <w:t>19</w:t>
        </w:r>
        <w:r w:rsidR="00A94478">
          <w:rPr>
            <w:noProof/>
            <w:webHidden/>
          </w:rPr>
          <w:fldChar w:fldCharType="end"/>
        </w:r>
      </w:hyperlink>
    </w:p>
    <w:p w14:paraId="281DA4F8" w14:textId="2B711608" w:rsidR="00A94478" w:rsidRDefault="00C11E37">
      <w:pPr>
        <w:pStyle w:val="TOC3"/>
        <w:tabs>
          <w:tab w:val="left" w:pos="960"/>
          <w:tab w:val="right" w:pos="9016"/>
        </w:tabs>
        <w:rPr>
          <w:rFonts w:eastAsiaTheme="minorEastAsia" w:cstheme="minorBidi"/>
          <w:noProof/>
          <w:sz w:val="22"/>
          <w:szCs w:val="22"/>
          <w:lang w:eastAsia="en-AU"/>
        </w:rPr>
      </w:pPr>
      <w:hyperlink w:anchor="_Toc113022184" w:history="1">
        <w:r w:rsidR="00A94478" w:rsidRPr="00E41A53">
          <w:rPr>
            <w:rStyle w:val="Hyperlink"/>
            <w:noProof/>
          </w:rPr>
          <w:t>4.</w:t>
        </w:r>
        <w:r w:rsidR="00A94478">
          <w:rPr>
            <w:rFonts w:eastAsiaTheme="minorEastAsia" w:cstheme="minorBidi"/>
            <w:noProof/>
            <w:sz w:val="22"/>
            <w:szCs w:val="22"/>
            <w:lang w:eastAsia="en-AU"/>
          </w:rPr>
          <w:tab/>
        </w:r>
        <w:r w:rsidR="00A94478" w:rsidRPr="00E41A53">
          <w:rPr>
            <w:rStyle w:val="Hyperlink"/>
            <w:noProof/>
          </w:rPr>
          <w:t>Incentives should be easy to navigate and understand</w:t>
        </w:r>
        <w:r w:rsidR="00A94478">
          <w:rPr>
            <w:noProof/>
            <w:webHidden/>
          </w:rPr>
          <w:tab/>
        </w:r>
        <w:r w:rsidR="00A94478">
          <w:rPr>
            <w:noProof/>
            <w:webHidden/>
          </w:rPr>
          <w:fldChar w:fldCharType="begin"/>
        </w:r>
        <w:r w:rsidR="00A94478">
          <w:rPr>
            <w:noProof/>
            <w:webHidden/>
          </w:rPr>
          <w:instrText xml:space="preserve"> PAGEREF _Toc113022184 \h </w:instrText>
        </w:r>
        <w:r w:rsidR="00A94478">
          <w:rPr>
            <w:noProof/>
            <w:webHidden/>
          </w:rPr>
        </w:r>
        <w:r w:rsidR="00A94478">
          <w:rPr>
            <w:noProof/>
            <w:webHidden/>
          </w:rPr>
          <w:fldChar w:fldCharType="separate"/>
        </w:r>
        <w:r w:rsidR="007C7C20">
          <w:rPr>
            <w:noProof/>
            <w:webHidden/>
          </w:rPr>
          <w:t>20</w:t>
        </w:r>
        <w:r w:rsidR="00A94478">
          <w:rPr>
            <w:noProof/>
            <w:webHidden/>
          </w:rPr>
          <w:fldChar w:fldCharType="end"/>
        </w:r>
      </w:hyperlink>
    </w:p>
    <w:p w14:paraId="144E789E" w14:textId="0362891F" w:rsidR="00A94478" w:rsidRDefault="00C11E37">
      <w:pPr>
        <w:pStyle w:val="TOC3"/>
        <w:tabs>
          <w:tab w:val="left" w:pos="960"/>
          <w:tab w:val="right" w:pos="9016"/>
        </w:tabs>
        <w:rPr>
          <w:rFonts w:eastAsiaTheme="minorEastAsia" w:cstheme="minorBidi"/>
          <w:noProof/>
          <w:sz w:val="22"/>
          <w:szCs w:val="22"/>
          <w:lang w:eastAsia="en-AU"/>
        </w:rPr>
      </w:pPr>
      <w:hyperlink w:anchor="_Toc113022185" w:history="1">
        <w:r w:rsidR="00A94478" w:rsidRPr="00E41A53">
          <w:rPr>
            <w:rStyle w:val="Hyperlink"/>
            <w:noProof/>
          </w:rPr>
          <w:t>5.</w:t>
        </w:r>
        <w:r w:rsidR="00A94478">
          <w:rPr>
            <w:rFonts w:eastAsiaTheme="minorEastAsia" w:cstheme="minorBidi"/>
            <w:noProof/>
            <w:sz w:val="22"/>
            <w:szCs w:val="22"/>
            <w:lang w:eastAsia="en-AU"/>
          </w:rPr>
          <w:tab/>
        </w:r>
        <w:r w:rsidR="00A94478" w:rsidRPr="00E41A53">
          <w:rPr>
            <w:rStyle w:val="Hyperlink"/>
            <w:noProof/>
          </w:rPr>
          <w:t>Non-financial support should be provided</w:t>
        </w:r>
        <w:r w:rsidR="00A94478">
          <w:rPr>
            <w:noProof/>
            <w:webHidden/>
          </w:rPr>
          <w:tab/>
        </w:r>
        <w:r w:rsidR="00A94478">
          <w:rPr>
            <w:noProof/>
            <w:webHidden/>
          </w:rPr>
          <w:fldChar w:fldCharType="begin"/>
        </w:r>
        <w:r w:rsidR="00A94478">
          <w:rPr>
            <w:noProof/>
            <w:webHidden/>
          </w:rPr>
          <w:instrText xml:space="preserve"> PAGEREF _Toc113022185 \h </w:instrText>
        </w:r>
        <w:r w:rsidR="00A94478">
          <w:rPr>
            <w:noProof/>
            <w:webHidden/>
          </w:rPr>
        </w:r>
        <w:r w:rsidR="00A94478">
          <w:rPr>
            <w:noProof/>
            <w:webHidden/>
          </w:rPr>
          <w:fldChar w:fldCharType="separate"/>
        </w:r>
        <w:r w:rsidR="007C7C20">
          <w:rPr>
            <w:noProof/>
            <w:webHidden/>
          </w:rPr>
          <w:t>20</w:t>
        </w:r>
        <w:r w:rsidR="00A94478">
          <w:rPr>
            <w:noProof/>
            <w:webHidden/>
          </w:rPr>
          <w:fldChar w:fldCharType="end"/>
        </w:r>
      </w:hyperlink>
    </w:p>
    <w:p w14:paraId="2175F38E" w14:textId="2167B494" w:rsidR="00A94478" w:rsidRDefault="00C11E37" w:rsidP="00B93CF9">
      <w:pPr>
        <w:pStyle w:val="TOC1"/>
        <w:rPr>
          <w:rFonts w:eastAsiaTheme="minorEastAsia" w:cstheme="minorBidi"/>
          <w:noProof/>
          <w:sz w:val="22"/>
          <w:szCs w:val="22"/>
          <w:lang w:eastAsia="en-AU"/>
        </w:rPr>
      </w:pPr>
      <w:hyperlink w:anchor="_Toc113022186" w:history="1">
        <w:r w:rsidR="00A94478" w:rsidRPr="00E41A53">
          <w:rPr>
            <w:rStyle w:val="Hyperlink"/>
            <w:noProof/>
          </w:rPr>
          <w:t>Chapter Three: Need for Australian Government action</w:t>
        </w:r>
        <w:r w:rsidR="00A94478">
          <w:rPr>
            <w:noProof/>
            <w:webHidden/>
          </w:rPr>
          <w:tab/>
        </w:r>
        <w:r w:rsidR="00A94478">
          <w:rPr>
            <w:noProof/>
            <w:webHidden/>
          </w:rPr>
          <w:fldChar w:fldCharType="begin"/>
        </w:r>
        <w:r w:rsidR="00A94478">
          <w:rPr>
            <w:noProof/>
            <w:webHidden/>
          </w:rPr>
          <w:instrText xml:space="preserve"> PAGEREF _Toc113022186 \h </w:instrText>
        </w:r>
        <w:r w:rsidR="00A94478">
          <w:rPr>
            <w:noProof/>
            <w:webHidden/>
          </w:rPr>
        </w:r>
        <w:r w:rsidR="00A94478">
          <w:rPr>
            <w:noProof/>
            <w:webHidden/>
          </w:rPr>
          <w:fldChar w:fldCharType="separate"/>
        </w:r>
        <w:r w:rsidR="007C7C20">
          <w:rPr>
            <w:noProof/>
            <w:webHidden/>
          </w:rPr>
          <w:t>22</w:t>
        </w:r>
        <w:r w:rsidR="00A94478">
          <w:rPr>
            <w:noProof/>
            <w:webHidden/>
          </w:rPr>
          <w:fldChar w:fldCharType="end"/>
        </w:r>
      </w:hyperlink>
    </w:p>
    <w:p w14:paraId="450D643B" w14:textId="3A83ACAE" w:rsidR="00A94478" w:rsidRDefault="00C11E37" w:rsidP="00A042F8">
      <w:pPr>
        <w:pStyle w:val="TOC2"/>
        <w:rPr>
          <w:rFonts w:eastAsiaTheme="minorEastAsia" w:cstheme="minorBidi"/>
          <w:i/>
          <w:iCs/>
          <w:noProof/>
          <w:lang w:eastAsia="en-AU"/>
        </w:rPr>
      </w:pPr>
      <w:hyperlink w:anchor="_Toc113022187" w:history="1">
        <w:r w:rsidR="00A94478" w:rsidRPr="00E41A53">
          <w:rPr>
            <w:rStyle w:val="Hyperlink"/>
            <w:noProof/>
          </w:rPr>
          <w:t>3.1 The Incentives for Australian Apprenticeships will help but more can be done</w:t>
        </w:r>
        <w:r w:rsidR="00A94478">
          <w:rPr>
            <w:noProof/>
            <w:webHidden/>
          </w:rPr>
          <w:tab/>
        </w:r>
        <w:r w:rsidR="00A94478">
          <w:rPr>
            <w:noProof/>
            <w:webHidden/>
          </w:rPr>
          <w:fldChar w:fldCharType="begin"/>
        </w:r>
        <w:r w:rsidR="00A94478">
          <w:rPr>
            <w:noProof/>
            <w:webHidden/>
          </w:rPr>
          <w:instrText xml:space="preserve"> PAGEREF _Toc113022187 \h </w:instrText>
        </w:r>
        <w:r w:rsidR="00A94478">
          <w:rPr>
            <w:noProof/>
            <w:webHidden/>
          </w:rPr>
        </w:r>
        <w:r w:rsidR="00A94478">
          <w:rPr>
            <w:noProof/>
            <w:webHidden/>
          </w:rPr>
          <w:fldChar w:fldCharType="separate"/>
        </w:r>
        <w:r w:rsidR="007C7C20">
          <w:rPr>
            <w:noProof/>
            <w:webHidden/>
          </w:rPr>
          <w:t>22</w:t>
        </w:r>
        <w:r w:rsidR="00A94478">
          <w:rPr>
            <w:noProof/>
            <w:webHidden/>
          </w:rPr>
          <w:fldChar w:fldCharType="end"/>
        </w:r>
      </w:hyperlink>
    </w:p>
    <w:p w14:paraId="2DCAF683" w14:textId="3835469F" w:rsidR="00A94478" w:rsidRDefault="00C11E37" w:rsidP="00A042F8">
      <w:pPr>
        <w:pStyle w:val="TOC2"/>
        <w:rPr>
          <w:rFonts w:eastAsiaTheme="minorEastAsia" w:cstheme="minorBidi"/>
          <w:i/>
          <w:iCs/>
          <w:noProof/>
          <w:lang w:eastAsia="en-AU"/>
        </w:rPr>
      </w:pPr>
      <w:hyperlink w:anchor="_Toc113022188" w:history="1">
        <w:r w:rsidR="00A94478" w:rsidRPr="00E41A53">
          <w:rPr>
            <w:rStyle w:val="Hyperlink"/>
            <w:noProof/>
          </w:rPr>
          <w:t>3.2 Economic conditions</w:t>
        </w:r>
        <w:r w:rsidR="00A94478">
          <w:rPr>
            <w:noProof/>
            <w:webHidden/>
          </w:rPr>
          <w:tab/>
        </w:r>
        <w:r w:rsidR="00A94478">
          <w:rPr>
            <w:noProof/>
            <w:webHidden/>
          </w:rPr>
          <w:fldChar w:fldCharType="begin"/>
        </w:r>
        <w:r w:rsidR="00A94478">
          <w:rPr>
            <w:noProof/>
            <w:webHidden/>
          </w:rPr>
          <w:instrText xml:space="preserve"> PAGEREF _Toc113022188 \h </w:instrText>
        </w:r>
        <w:r w:rsidR="00A94478">
          <w:rPr>
            <w:noProof/>
            <w:webHidden/>
          </w:rPr>
        </w:r>
        <w:r w:rsidR="00A94478">
          <w:rPr>
            <w:noProof/>
            <w:webHidden/>
          </w:rPr>
          <w:fldChar w:fldCharType="separate"/>
        </w:r>
        <w:r w:rsidR="007C7C20">
          <w:rPr>
            <w:noProof/>
            <w:webHidden/>
          </w:rPr>
          <w:t>23</w:t>
        </w:r>
        <w:r w:rsidR="00A94478">
          <w:rPr>
            <w:noProof/>
            <w:webHidden/>
          </w:rPr>
          <w:fldChar w:fldCharType="end"/>
        </w:r>
      </w:hyperlink>
    </w:p>
    <w:p w14:paraId="5E5FD994" w14:textId="1B2DA308" w:rsidR="00A94478" w:rsidRDefault="00C11E37" w:rsidP="00A042F8">
      <w:pPr>
        <w:pStyle w:val="TOC2"/>
        <w:rPr>
          <w:rFonts w:eastAsiaTheme="minorEastAsia" w:cstheme="minorBidi"/>
          <w:i/>
          <w:iCs/>
          <w:noProof/>
          <w:lang w:eastAsia="en-AU"/>
        </w:rPr>
      </w:pPr>
      <w:hyperlink w:anchor="_Toc113022189" w:history="1">
        <w:r w:rsidR="00A94478" w:rsidRPr="00E41A53">
          <w:rPr>
            <w:rStyle w:val="Hyperlink"/>
            <w:noProof/>
          </w:rPr>
          <w:t>3.3 What happens if we do nothing?</w:t>
        </w:r>
        <w:r w:rsidR="00A94478">
          <w:rPr>
            <w:noProof/>
            <w:webHidden/>
          </w:rPr>
          <w:tab/>
        </w:r>
        <w:r w:rsidR="00A94478">
          <w:rPr>
            <w:noProof/>
            <w:webHidden/>
          </w:rPr>
          <w:fldChar w:fldCharType="begin"/>
        </w:r>
        <w:r w:rsidR="00A94478">
          <w:rPr>
            <w:noProof/>
            <w:webHidden/>
          </w:rPr>
          <w:instrText xml:space="preserve"> PAGEREF _Toc113022189 \h </w:instrText>
        </w:r>
        <w:r w:rsidR="00A94478">
          <w:rPr>
            <w:noProof/>
            <w:webHidden/>
          </w:rPr>
        </w:r>
        <w:r w:rsidR="00A94478">
          <w:rPr>
            <w:noProof/>
            <w:webHidden/>
          </w:rPr>
          <w:fldChar w:fldCharType="separate"/>
        </w:r>
        <w:r w:rsidR="007C7C20">
          <w:rPr>
            <w:noProof/>
            <w:webHidden/>
          </w:rPr>
          <w:t>23</w:t>
        </w:r>
        <w:r w:rsidR="00A94478">
          <w:rPr>
            <w:noProof/>
            <w:webHidden/>
          </w:rPr>
          <w:fldChar w:fldCharType="end"/>
        </w:r>
      </w:hyperlink>
    </w:p>
    <w:p w14:paraId="1E2AE260" w14:textId="26AB70ED" w:rsidR="00A94478" w:rsidRDefault="00C11E37" w:rsidP="00B93CF9">
      <w:pPr>
        <w:pStyle w:val="TOC1"/>
        <w:rPr>
          <w:rFonts w:eastAsiaTheme="minorEastAsia" w:cstheme="minorBidi"/>
          <w:noProof/>
          <w:sz w:val="22"/>
          <w:szCs w:val="22"/>
          <w:lang w:eastAsia="en-AU"/>
        </w:rPr>
      </w:pPr>
      <w:hyperlink w:anchor="_Toc113022190" w:history="1">
        <w:r w:rsidR="00A94478" w:rsidRPr="00E41A53">
          <w:rPr>
            <w:rStyle w:val="Hyperlink"/>
            <w:noProof/>
          </w:rPr>
          <w:t>Chapter Four: Policy Options</w:t>
        </w:r>
        <w:r w:rsidR="00A94478">
          <w:rPr>
            <w:noProof/>
            <w:webHidden/>
          </w:rPr>
          <w:tab/>
        </w:r>
        <w:r w:rsidR="00A94478">
          <w:rPr>
            <w:noProof/>
            <w:webHidden/>
          </w:rPr>
          <w:fldChar w:fldCharType="begin"/>
        </w:r>
        <w:r w:rsidR="00A94478">
          <w:rPr>
            <w:noProof/>
            <w:webHidden/>
          </w:rPr>
          <w:instrText xml:space="preserve"> PAGEREF _Toc113022190 \h </w:instrText>
        </w:r>
        <w:r w:rsidR="00A94478">
          <w:rPr>
            <w:noProof/>
            <w:webHidden/>
          </w:rPr>
        </w:r>
        <w:r w:rsidR="00A94478">
          <w:rPr>
            <w:noProof/>
            <w:webHidden/>
          </w:rPr>
          <w:fldChar w:fldCharType="separate"/>
        </w:r>
        <w:r w:rsidR="007C7C20">
          <w:rPr>
            <w:noProof/>
            <w:webHidden/>
          </w:rPr>
          <w:t>24</w:t>
        </w:r>
        <w:r w:rsidR="00A94478">
          <w:rPr>
            <w:noProof/>
            <w:webHidden/>
          </w:rPr>
          <w:fldChar w:fldCharType="end"/>
        </w:r>
      </w:hyperlink>
    </w:p>
    <w:p w14:paraId="6E3B4E05" w14:textId="2779C642" w:rsidR="00A94478" w:rsidRDefault="00C11E37" w:rsidP="00A042F8">
      <w:pPr>
        <w:pStyle w:val="TOC2"/>
        <w:rPr>
          <w:rFonts w:eastAsiaTheme="minorEastAsia" w:cstheme="minorBidi"/>
          <w:i/>
          <w:iCs/>
          <w:noProof/>
          <w:lang w:eastAsia="en-AU"/>
        </w:rPr>
      </w:pPr>
      <w:hyperlink w:anchor="_Toc113022191" w:history="1">
        <w:r w:rsidR="00A94478" w:rsidRPr="00E41A53">
          <w:rPr>
            <w:rStyle w:val="Hyperlink"/>
            <w:noProof/>
          </w:rPr>
          <w:t>4.1 Option 1: Introduce the Incentives for Australian Apprenticeships (no further reform)</w:t>
        </w:r>
        <w:r w:rsidR="00A94478">
          <w:rPr>
            <w:noProof/>
            <w:webHidden/>
          </w:rPr>
          <w:tab/>
        </w:r>
        <w:r w:rsidR="00A94478">
          <w:rPr>
            <w:noProof/>
            <w:webHidden/>
          </w:rPr>
          <w:fldChar w:fldCharType="begin"/>
        </w:r>
        <w:r w:rsidR="00A94478">
          <w:rPr>
            <w:noProof/>
            <w:webHidden/>
          </w:rPr>
          <w:instrText xml:space="preserve"> PAGEREF _Toc113022191 \h </w:instrText>
        </w:r>
        <w:r w:rsidR="00A94478">
          <w:rPr>
            <w:noProof/>
            <w:webHidden/>
          </w:rPr>
        </w:r>
        <w:r w:rsidR="00A94478">
          <w:rPr>
            <w:noProof/>
            <w:webHidden/>
          </w:rPr>
          <w:fldChar w:fldCharType="separate"/>
        </w:r>
        <w:r w:rsidR="007C7C20">
          <w:rPr>
            <w:noProof/>
            <w:webHidden/>
          </w:rPr>
          <w:t>28</w:t>
        </w:r>
        <w:r w:rsidR="00A94478">
          <w:rPr>
            <w:noProof/>
            <w:webHidden/>
          </w:rPr>
          <w:fldChar w:fldCharType="end"/>
        </w:r>
      </w:hyperlink>
    </w:p>
    <w:p w14:paraId="742D0B27" w14:textId="70365A64" w:rsidR="00A94478" w:rsidRDefault="00C11E37">
      <w:pPr>
        <w:pStyle w:val="TOC3"/>
        <w:tabs>
          <w:tab w:val="right" w:pos="9016"/>
        </w:tabs>
        <w:rPr>
          <w:rFonts w:eastAsiaTheme="minorEastAsia" w:cstheme="minorBidi"/>
          <w:noProof/>
          <w:sz w:val="22"/>
          <w:szCs w:val="22"/>
          <w:lang w:eastAsia="en-AU"/>
        </w:rPr>
      </w:pPr>
      <w:hyperlink w:anchor="_Toc113022192" w:history="1">
        <w:r w:rsidR="00A94478" w:rsidRPr="00E41A53">
          <w:rPr>
            <w:rStyle w:val="Hyperlink"/>
            <w:noProof/>
          </w:rPr>
          <w:t>Features of this option</w:t>
        </w:r>
        <w:r w:rsidR="00A94478">
          <w:rPr>
            <w:noProof/>
            <w:webHidden/>
          </w:rPr>
          <w:tab/>
        </w:r>
        <w:r w:rsidR="00A94478">
          <w:rPr>
            <w:noProof/>
            <w:webHidden/>
          </w:rPr>
          <w:fldChar w:fldCharType="begin"/>
        </w:r>
        <w:r w:rsidR="00A94478">
          <w:rPr>
            <w:noProof/>
            <w:webHidden/>
          </w:rPr>
          <w:instrText xml:space="preserve"> PAGEREF _Toc113022192 \h </w:instrText>
        </w:r>
        <w:r w:rsidR="00A94478">
          <w:rPr>
            <w:noProof/>
            <w:webHidden/>
          </w:rPr>
        </w:r>
        <w:r w:rsidR="00A94478">
          <w:rPr>
            <w:noProof/>
            <w:webHidden/>
          </w:rPr>
          <w:fldChar w:fldCharType="separate"/>
        </w:r>
        <w:r w:rsidR="007C7C20">
          <w:rPr>
            <w:noProof/>
            <w:webHidden/>
          </w:rPr>
          <w:t>28</w:t>
        </w:r>
        <w:r w:rsidR="00A94478">
          <w:rPr>
            <w:noProof/>
            <w:webHidden/>
          </w:rPr>
          <w:fldChar w:fldCharType="end"/>
        </w:r>
      </w:hyperlink>
    </w:p>
    <w:p w14:paraId="7F11C263" w14:textId="7B683972" w:rsidR="00A94478" w:rsidRDefault="00C11E37">
      <w:pPr>
        <w:pStyle w:val="TOC3"/>
        <w:tabs>
          <w:tab w:val="right" w:pos="9016"/>
        </w:tabs>
        <w:rPr>
          <w:rFonts w:eastAsiaTheme="minorEastAsia" w:cstheme="minorBidi"/>
          <w:noProof/>
          <w:sz w:val="22"/>
          <w:szCs w:val="22"/>
          <w:lang w:eastAsia="en-AU"/>
        </w:rPr>
      </w:pPr>
      <w:hyperlink w:anchor="_Toc113022193" w:history="1">
        <w:r w:rsidR="00A94478" w:rsidRPr="00E41A53">
          <w:rPr>
            <w:rStyle w:val="Hyperlink"/>
            <w:noProof/>
          </w:rPr>
          <w:t>Implementation of this option</w:t>
        </w:r>
        <w:r w:rsidR="00A94478">
          <w:rPr>
            <w:noProof/>
            <w:webHidden/>
          </w:rPr>
          <w:tab/>
        </w:r>
        <w:r w:rsidR="00A94478">
          <w:rPr>
            <w:noProof/>
            <w:webHidden/>
          </w:rPr>
          <w:fldChar w:fldCharType="begin"/>
        </w:r>
        <w:r w:rsidR="00A94478">
          <w:rPr>
            <w:noProof/>
            <w:webHidden/>
          </w:rPr>
          <w:instrText xml:space="preserve"> PAGEREF _Toc113022193 \h </w:instrText>
        </w:r>
        <w:r w:rsidR="00A94478">
          <w:rPr>
            <w:noProof/>
            <w:webHidden/>
          </w:rPr>
        </w:r>
        <w:r w:rsidR="00A94478">
          <w:rPr>
            <w:noProof/>
            <w:webHidden/>
          </w:rPr>
          <w:fldChar w:fldCharType="separate"/>
        </w:r>
        <w:r w:rsidR="007C7C20">
          <w:rPr>
            <w:noProof/>
            <w:webHidden/>
          </w:rPr>
          <w:t>29</w:t>
        </w:r>
        <w:r w:rsidR="00A94478">
          <w:rPr>
            <w:noProof/>
            <w:webHidden/>
          </w:rPr>
          <w:fldChar w:fldCharType="end"/>
        </w:r>
      </w:hyperlink>
    </w:p>
    <w:p w14:paraId="675B4D78" w14:textId="486AB48B" w:rsidR="00A94478" w:rsidRDefault="00C11E37" w:rsidP="00A042F8">
      <w:pPr>
        <w:pStyle w:val="TOC2"/>
        <w:rPr>
          <w:rFonts w:eastAsiaTheme="minorEastAsia" w:cstheme="minorBidi"/>
          <w:i/>
          <w:iCs/>
          <w:noProof/>
          <w:lang w:eastAsia="en-AU"/>
        </w:rPr>
      </w:pPr>
      <w:hyperlink w:anchor="_Toc113022194" w:history="1">
        <w:r w:rsidR="00A94478" w:rsidRPr="00E41A53">
          <w:rPr>
            <w:rStyle w:val="Hyperlink"/>
            <w:noProof/>
          </w:rPr>
          <w:t>4.2 Option 2: Employer hiring incentive (priority occupations)</w:t>
        </w:r>
        <w:r w:rsidR="00A94478">
          <w:rPr>
            <w:noProof/>
            <w:webHidden/>
          </w:rPr>
          <w:tab/>
        </w:r>
        <w:r w:rsidR="00A94478">
          <w:rPr>
            <w:noProof/>
            <w:webHidden/>
          </w:rPr>
          <w:fldChar w:fldCharType="begin"/>
        </w:r>
        <w:r w:rsidR="00A94478">
          <w:rPr>
            <w:noProof/>
            <w:webHidden/>
          </w:rPr>
          <w:instrText xml:space="preserve"> PAGEREF _Toc113022194 \h </w:instrText>
        </w:r>
        <w:r w:rsidR="00A94478">
          <w:rPr>
            <w:noProof/>
            <w:webHidden/>
          </w:rPr>
        </w:r>
        <w:r w:rsidR="00A94478">
          <w:rPr>
            <w:noProof/>
            <w:webHidden/>
          </w:rPr>
          <w:fldChar w:fldCharType="separate"/>
        </w:r>
        <w:r w:rsidR="007C7C20">
          <w:rPr>
            <w:noProof/>
            <w:webHidden/>
          </w:rPr>
          <w:t>30</w:t>
        </w:r>
        <w:r w:rsidR="00A94478">
          <w:rPr>
            <w:noProof/>
            <w:webHidden/>
          </w:rPr>
          <w:fldChar w:fldCharType="end"/>
        </w:r>
      </w:hyperlink>
    </w:p>
    <w:p w14:paraId="34B7D806" w14:textId="66760C29" w:rsidR="00A94478" w:rsidRDefault="00C11E37">
      <w:pPr>
        <w:pStyle w:val="TOC3"/>
        <w:tabs>
          <w:tab w:val="right" w:pos="9016"/>
        </w:tabs>
        <w:rPr>
          <w:rFonts w:eastAsiaTheme="minorEastAsia" w:cstheme="minorBidi"/>
          <w:noProof/>
          <w:sz w:val="22"/>
          <w:szCs w:val="22"/>
          <w:lang w:eastAsia="en-AU"/>
        </w:rPr>
      </w:pPr>
      <w:hyperlink w:anchor="_Toc113022195" w:history="1">
        <w:r w:rsidR="00A94478" w:rsidRPr="00E41A53">
          <w:rPr>
            <w:rStyle w:val="Hyperlink"/>
            <w:noProof/>
          </w:rPr>
          <w:t>Features of this option</w:t>
        </w:r>
        <w:r w:rsidR="00A94478">
          <w:rPr>
            <w:noProof/>
            <w:webHidden/>
          </w:rPr>
          <w:tab/>
        </w:r>
        <w:r w:rsidR="00A94478">
          <w:rPr>
            <w:noProof/>
            <w:webHidden/>
          </w:rPr>
          <w:fldChar w:fldCharType="begin"/>
        </w:r>
        <w:r w:rsidR="00A94478">
          <w:rPr>
            <w:noProof/>
            <w:webHidden/>
          </w:rPr>
          <w:instrText xml:space="preserve"> PAGEREF _Toc113022195 \h </w:instrText>
        </w:r>
        <w:r w:rsidR="00A94478">
          <w:rPr>
            <w:noProof/>
            <w:webHidden/>
          </w:rPr>
        </w:r>
        <w:r w:rsidR="00A94478">
          <w:rPr>
            <w:noProof/>
            <w:webHidden/>
          </w:rPr>
          <w:fldChar w:fldCharType="separate"/>
        </w:r>
        <w:r w:rsidR="007C7C20">
          <w:rPr>
            <w:noProof/>
            <w:webHidden/>
          </w:rPr>
          <w:t>30</w:t>
        </w:r>
        <w:r w:rsidR="00A94478">
          <w:rPr>
            <w:noProof/>
            <w:webHidden/>
          </w:rPr>
          <w:fldChar w:fldCharType="end"/>
        </w:r>
      </w:hyperlink>
    </w:p>
    <w:p w14:paraId="0BE73972" w14:textId="52AD34AE" w:rsidR="00A94478" w:rsidRDefault="00C11E37">
      <w:pPr>
        <w:pStyle w:val="TOC3"/>
        <w:tabs>
          <w:tab w:val="right" w:pos="9016"/>
        </w:tabs>
        <w:rPr>
          <w:rFonts w:eastAsiaTheme="minorEastAsia" w:cstheme="minorBidi"/>
          <w:noProof/>
          <w:sz w:val="22"/>
          <w:szCs w:val="22"/>
          <w:lang w:eastAsia="en-AU"/>
        </w:rPr>
      </w:pPr>
      <w:hyperlink w:anchor="_Toc113022196" w:history="1">
        <w:r w:rsidR="00A94478" w:rsidRPr="00E41A53">
          <w:rPr>
            <w:rStyle w:val="Hyperlink"/>
            <w:noProof/>
          </w:rPr>
          <w:t>Implementation of this option</w:t>
        </w:r>
        <w:r w:rsidR="00A94478">
          <w:rPr>
            <w:noProof/>
            <w:webHidden/>
          </w:rPr>
          <w:tab/>
        </w:r>
        <w:r w:rsidR="00A94478">
          <w:rPr>
            <w:noProof/>
            <w:webHidden/>
          </w:rPr>
          <w:fldChar w:fldCharType="begin"/>
        </w:r>
        <w:r w:rsidR="00A94478">
          <w:rPr>
            <w:noProof/>
            <w:webHidden/>
          </w:rPr>
          <w:instrText xml:space="preserve"> PAGEREF _Toc113022196 \h </w:instrText>
        </w:r>
        <w:r w:rsidR="00A94478">
          <w:rPr>
            <w:noProof/>
            <w:webHidden/>
          </w:rPr>
        </w:r>
        <w:r w:rsidR="00A94478">
          <w:rPr>
            <w:noProof/>
            <w:webHidden/>
          </w:rPr>
          <w:fldChar w:fldCharType="separate"/>
        </w:r>
        <w:r w:rsidR="007C7C20">
          <w:rPr>
            <w:noProof/>
            <w:webHidden/>
          </w:rPr>
          <w:t>32</w:t>
        </w:r>
        <w:r w:rsidR="00A94478">
          <w:rPr>
            <w:noProof/>
            <w:webHidden/>
          </w:rPr>
          <w:fldChar w:fldCharType="end"/>
        </w:r>
      </w:hyperlink>
    </w:p>
    <w:p w14:paraId="40938708" w14:textId="569CFC0E" w:rsidR="00A94478" w:rsidRDefault="00C11E37" w:rsidP="00A042F8">
      <w:pPr>
        <w:pStyle w:val="TOC2"/>
        <w:rPr>
          <w:rFonts w:eastAsiaTheme="minorEastAsia" w:cstheme="minorBidi"/>
          <w:i/>
          <w:iCs/>
          <w:noProof/>
          <w:lang w:eastAsia="en-AU"/>
        </w:rPr>
      </w:pPr>
      <w:hyperlink w:anchor="_Toc113022197" w:history="1">
        <w:r w:rsidR="00A94478" w:rsidRPr="00E41A53">
          <w:rPr>
            <w:rStyle w:val="Hyperlink"/>
            <w:noProof/>
          </w:rPr>
          <w:t>4.3 Option 3: A phased option of the Australian Apprenticeships Incentive System with the flexibility to respond to economic conditions</w:t>
        </w:r>
        <w:r w:rsidR="00A94478">
          <w:rPr>
            <w:noProof/>
            <w:webHidden/>
          </w:rPr>
          <w:tab/>
        </w:r>
        <w:r w:rsidR="00A94478">
          <w:rPr>
            <w:noProof/>
            <w:webHidden/>
          </w:rPr>
          <w:fldChar w:fldCharType="begin"/>
        </w:r>
        <w:r w:rsidR="00A94478">
          <w:rPr>
            <w:noProof/>
            <w:webHidden/>
          </w:rPr>
          <w:instrText xml:space="preserve"> PAGEREF _Toc113022197 \h </w:instrText>
        </w:r>
        <w:r w:rsidR="00A94478">
          <w:rPr>
            <w:noProof/>
            <w:webHidden/>
          </w:rPr>
        </w:r>
        <w:r w:rsidR="00A94478">
          <w:rPr>
            <w:noProof/>
            <w:webHidden/>
          </w:rPr>
          <w:fldChar w:fldCharType="separate"/>
        </w:r>
        <w:r w:rsidR="007C7C20">
          <w:rPr>
            <w:noProof/>
            <w:webHidden/>
          </w:rPr>
          <w:t>34</w:t>
        </w:r>
        <w:r w:rsidR="00A94478">
          <w:rPr>
            <w:noProof/>
            <w:webHidden/>
          </w:rPr>
          <w:fldChar w:fldCharType="end"/>
        </w:r>
      </w:hyperlink>
    </w:p>
    <w:p w14:paraId="76B015B8" w14:textId="145C2A50" w:rsidR="00A94478" w:rsidRDefault="00C11E37">
      <w:pPr>
        <w:pStyle w:val="TOC3"/>
        <w:tabs>
          <w:tab w:val="right" w:pos="9016"/>
        </w:tabs>
        <w:rPr>
          <w:rFonts w:eastAsiaTheme="minorEastAsia" w:cstheme="minorBidi"/>
          <w:noProof/>
          <w:sz w:val="22"/>
          <w:szCs w:val="22"/>
          <w:lang w:eastAsia="en-AU"/>
        </w:rPr>
      </w:pPr>
      <w:hyperlink w:anchor="_Toc113022198" w:history="1">
        <w:r w:rsidR="00A94478" w:rsidRPr="00E41A53">
          <w:rPr>
            <w:rStyle w:val="Hyperlink"/>
            <w:noProof/>
          </w:rPr>
          <w:t>Features of this option (phase one)</w:t>
        </w:r>
        <w:r w:rsidR="00A94478">
          <w:rPr>
            <w:noProof/>
            <w:webHidden/>
          </w:rPr>
          <w:tab/>
        </w:r>
        <w:r w:rsidR="00A94478">
          <w:rPr>
            <w:noProof/>
            <w:webHidden/>
          </w:rPr>
          <w:fldChar w:fldCharType="begin"/>
        </w:r>
        <w:r w:rsidR="00A94478">
          <w:rPr>
            <w:noProof/>
            <w:webHidden/>
          </w:rPr>
          <w:instrText xml:space="preserve"> PAGEREF _Toc113022198 \h </w:instrText>
        </w:r>
        <w:r w:rsidR="00A94478">
          <w:rPr>
            <w:noProof/>
            <w:webHidden/>
          </w:rPr>
        </w:r>
        <w:r w:rsidR="00A94478">
          <w:rPr>
            <w:noProof/>
            <w:webHidden/>
          </w:rPr>
          <w:fldChar w:fldCharType="separate"/>
        </w:r>
        <w:r w:rsidR="007C7C20">
          <w:rPr>
            <w:noProof/>
            <w:webHidden/>
          </w:rPr>
          <w:t>34</w:t>
        </w:r>
        <w:r w:rsidR="00A94478">
          <w:rPr>
            <w:noProof/>
            <w:webHidden/>
          </w:rPr>
          <w:fldChar w:fldCharType="end"/>
        </w:r>
      </w:hyperlink>
    </w:p>
    <w:p w14:paraId="5C3E2F8D" w14:textId="7D642999" w:rsidR="00A94478" w:rsidRDefault="00C11E37">
      <w:pPr>
        <w:pStyle w:val="TOC3"/>
        <w:tabs>
          <w:tab w:val="right" w:pos="9016"/>
        </w:tabs>
        <w:rPr>
          <w:rFonts w:eastAsiaTheme="minorEastAsia" w:cstheme="minorBidi"/>
          <w:noProof/>
          <w:sz w:val="22"/>
          <w:szCs w:val="22"/>
          <w:lang w:eastAsia="en-AU"/>
        </w:rPr>
      </w:pPr>
      <w:hyperlink w:anchor="_Toc113022199" w:history="1">
        <w:r w:rsidR="00A94478" w:rsidRPr="00E41A53">
          <w:rPr>
            <w:rStyle w:val="Hyperlink"/>
            <w:noProof/>
          </w:rPr>
          <w:t>Features of this option (phase two)</w:t>
        </w:r>
        <w:r w:rsidR="00A94478">
          <w:rPr>
            <w:noProof/>
            <w:webHidden/>
          </w:rPr>
          <w:tab/>
        </w:r>
        <w:r w:rsidR="00A94478">
          <w:rPr>
            <w:noProof/>
            <w:webHidden/>
          </w:rPr>
          <w:fldChar w:fldCharType="begin"/>
        </w:r>
        <w:r w:rsidR="00A94478">
          <w:rPr>
            <w:noProof/>
            <w:webHidden/>
          </w:rPr>
          <w:instrText xml:space="preserve"> PAGEREF _Toc113022199 \h </w:instrText>
        </w:r>
        <w:r w:rsidR="00A94478">
          <w:rPr>
            <w:noProof/>
            <w:webHidden/>
          </w:rPr>
        </w:r>
        <w:r w:rsidR="00A94478">
          <w:rPr>
            <w:noProof/>
            <w:webHidden/>
          </w:rPr>
          <w:fldChar w:fldCharType="separate"/>
        </w:r>
        <w:r w:rsidR="007C7C20">
          <w:rPr>
            <w:noProof/>
            <w:webHidden/>
          </w:rPr>
          <w:t>35</w:t>
        </w:r>
        <w:r w:rsidR="00A94478">
          <w:rPr>
            <w:noProof/>
            <w:webHidden/>
          </w:rPr>
          <w:fldChar w:fldCharType="end"/>
        </w:r>
      </w:hyperlink>
    </w:p>
    <w:p w14:paraId="58B309DD" w14:textId="4AB0CAEF" w:rsidR="00A94478" w:rsidRDefault="00C11E37">
      <w:pPr>
        <w:pStyle w:val="TOC3"/>
        <w:tabs>
          <w:tab w:val="right" w:pos="9016"/>
        </w:tabs>
        <w:rPr>
          <w:rFonts w:eastAsiaTheme="minorEastAsia" w:cstheme="minorBidi"/>
          <w:noProof/>
          <w:sz w:val="22"/>
          <w:szCs w:val="22"/>
          <w:lang w:eastAsia="en-AU"/>
        </w:rPr>
      </w:pPr>
      <w:hyperlink w:anchor="_Toc113022200" w:history="1">
        <w:r w:rsidR="00A94478" w:rsidRPr="00E41A53">
          <w:rPr>
            <w:rStyle w:val="Hyperlink"/>
            <w:noProof/>
          </w:rPr>
          <w:t>Implementation of this option</w:t>
        </w:r>
        <w:r w:rsidR="00A94478">
          <w:rPr>
            <w:noProof/>
            <w:webHidden/>
          </w:rPr>
          <w:tab/>
        </w:r>
        <w:r w:rsidR="00A94478">
          <w:rPr>
            <w:noProof/>
            <w:webHidden/>
          </w:rPr>
          <w:fldChar w:fldCharType="begin"/>
        </w:r>
        <w:r w:rsidR="00A94478">
          <w:rPr>
            <w:noProof/>
            <w:webHidden/>
          </w:rPr>
          <w:instrText xml:space="preserve"> PAGEREF _Toc113022200 \h </w:instrText>
        </w:r>
        <w:r w:rsidR="00A94478">
          <w:rPr>
            <w:noProof/>
            <w:webHidden/>
          </w:rPr>
        </w:r>
        <w:r w:rsidR="00A94478">
          <w:rPr>
            <w:noProof/>
            <w:webHidden/>
          </w:rPr>
          <w:fldChar w:fldCharType="separate"/>
        </w:r>
        <w:r w:rsidR="007C7C20">
          <w:rPr>
            <w:noProof/>
            <w:webHidden/>
          </w:rPr>
          <w:t>35</w:t>
        </w:r>
        <w:r w:rsidR="00A94478">
          <w:rPr>
            <w:noProof/>
            <w:webHidden/>
          </w:rPr>
          <w:fldChar w:fldCharType="end"/>
        </w:r>
      </w:hyperlink>
    </w:p>
    <w:p w14:paraId="678E54B9" w14:textId="15CCBE40" w:rsidR="00A94478" w:rsidRDefault="00C11E37" w:rsidP="00B93CF9">
      <w:pPr>
        <w:pStyle w:val="TOC1"/>
        <w:rPr>
          <w:rFonts w:eastAsiaTheme="minorEastAsia" w:cstheme="minorBidi"/>
          <w:noProof/>
          <w:sz w:val="22"/>
          <w:szCs w:val="22"/>
          <w:lang w:eastAsia="en-AU"/>
        </w:rPr>
      </w:pPr>
      <w:hyperlink w:anchor="_Toc113022201" w:history="1">
        <w:r w:rsidR="00A94478" w:rsidRPr="00E41A53">
          <w:rPr>
            <w:rStyle w:val="Hyperlink"/>
            <w:noProof/>
          </w:rPr>
          <w:t>Chapter Five: Net Benefit of the Options</w:t>
        </w:r>
        <w:r w:rsidR="00A94478">
          <w:rPr>
            <w:noProof/>
            <w:webHidden/>
          </w:rPr>
          <w:tab/>
        </w:r>
        <w:r w:rsidR="00A94478">
          <w:rPr>
            <w:noProof/>
            <w:webHidden/>
          </w:rPr>
          <w:fldChar w:fldCharType="begin"/>
        </w:r>
        <w:r w:rsidR="00A94478">
          <w:rPr>
            <w:noProof/>
            <w:webHidden/>
          </w:rPr>
          <w:instrText xml:space="preserve"> PAGEREF _Toc113022201 \h </w:instrText>
        </w:r>
        <w:r w:rsidR="00A94478">
          <w:rPr>
            <w:noProof/>
            <w:webHidden/>
          </w:rPr>
        </w:r>
        <w:r w:rsidR="00A94478">
          <w:rPr>
            <w:noProof/>
            <w:webHidden/>
          </w:rPr>
          <w:fldChar w:fldCharType="separate"/>
        </w:r>
        <w:r w:rsidR="007C7C20">
          <w:rPr>
            <w:noProof/>
            <w:webHidden/>
          </w:rPr>
          <w:t>37</w:t>
        </w:r>
        <w:r w:rsidR="00A94478">
          <w:rPr>
            <w:noProof/>
            <w:webHidden/>
          </w:rPr>
          <w:fldChar w:fldCharType="end"/>
        </w:r>
      </w:hyperlink>
    </w:p>
    <w:p w14:paraId="5A553D8F" w14:textId="4B5B6930" w:rsidR="00A94478" w:rsidRDefault="00C11E37" w:rsidP="00A042F8">
      <w:pPr>
        <w:pStyle w:val="TOC2"/>
        <w:rPr>
          <w:rFonts w:eastAsiaTheme="minorEastAsia" w:cstheme="minorBidi"/>
          <w:i/>
          <w:iCs/>
          <w:noProof/>
          <w:lang w:eastAsia="en-AU"/>
        </w:rPr>
      </w:pPr>
      <w:hyperlink w:anchor="_Toc113022202" w:history="1">
        <w:r w:rsidR="00A94478" w:rsidRPr="00E41A53">
          <w:rPr>
            <w:rStyle w:val="Hyperlink"/>
            <w:noProof/>
          </w:rPr>
          <w:t>5.1 Option 1: Implement the IAA as announced (no further reform)</w:t>
        </w:r>
        <w:r w:rsidR="00A94478">
          <w:rPr>
            <w:noProof/>
            <w:webHidden/>
          </w:rPr>
          <w:tab/>
        </w:r>
        <w:r w:rsidR="00A94478">
          <w:rPr>
            <w:noProof/>
            <w:webHidden/>
          </w:rPr>
          <w:fldChar w:fldCharType="begin"/>
        </w:r>
        <w:r w:rsidR="00A94478">
          <w:rPr>
            <w:noProof/>
            <w:webHidden/>
          </w:rPr>
          <w:instrText xml:space="preserve"> PAGEREF _Toc113022202 \h </w:instrText>
        </w:r>
        <w:r w:rsidR="00A94478">
          <w:rPr>
            <w:noProof/>
            <w:webHidden/>
          </w:rPr>
        </w:r>
        <w:r w:rsidR="00A94478">
          <w:rPr>
            <w:noProof/>
            <w:webHidden/>
          </w:rPr>
          <w:fldChar w:fldCharType="separate"/>
        </w:r>
        <w:r w:rsidR="007C7C20">
          <w:rPr>
            <w:noProof/>
            <w:webHidden/>
          </w:rPr>
          <w:t>37</w:t>
        </w:r>
        <w:r w:rsidR="00A94478">
          <w:rPr>
            <w:noProof/>
            <w:webHidden/>
          </w:rPr>
          <w:fldChar w:fldCharType="end"/>
        </w:r>
      </w:hyperlink>
    </w:p>
    <w:p w14:paraId="13277690" w14:textId="695764F2" w:rsidR="00A94478" w:rsidRDefault="00C11E37">
      <w:pPr>
        <w:pStyle w:val="TOC3"/>
        <w:tabs>
          <w:tab w:val="right" w:pos="9016"/>
        </w:tabs>
        <w:rPr>
          <w:rFonts w:eastAsiaTheme="minorEastAsia" w:cstheme="minorBidi"/>
          <w:noProof/>
          <w:sz w:val="22"/>
          <w:szCs w:val="22"/>
          <w:lang w:eastAsia="en-AU"/>
        </w:rPr>
      </w:pPr>
      <w:hyperlink w:anchor="_Toc113022203" w:history="1">
        <w:r w:rsidR="00A94478" w:rsidRPr="00E41A53">
          <w:rPr>
            <w:rStyle w:val="Hyperlink"/>
            <w:noProof/>
          </w:rPr>
          <w:t>Who would this option impact?</w:t>
        </w:r>
        <w:r w:rsidR="00A94478">
          <w:rPr>
            <w:noProof/>
            <w:webHidden/>
          </w:rPr>
          <w:tab/>
        </w:r>
        <w:r w:rsidR="00A94478">
          <w:rPr>
            <w:noProof/>
            <w:webHidden/>
          </w:rPr>
          <w:fldChar w:fldCharType="begin"/>
        </w:r>
        <w:r w:rsidR="00A94478">
          <w:rPr>
            <w:noProof/>
            <w:webHidden/>
          </w:rPr>
          <w:instrText xml:space="preserve"> PAGEREF _Toc113022203 \h </w:instrText>
        </w:r>
        <w:r w:rsidR="00A94478">
          <w:rPr>
            <w:noProof/>
            <w:webHidden/>
          </w:rPr>
        </w:r>
        <w:r w:rsidR="00A94478">
          <w:rPr>
            <w:noProof/>
            <w:webHidden/>
          </w:rPr>
          <w:fldChar w:fldCharType="separate"/>
        </w:r>
        <w:r w:rsidR="007C7C20">
          <w:rPr>
            <w:noProof/>
            <w:webHidden/>
          </w:rPr>
          <w:t>37</w:t>
        </w:r>
        <w:r w:rsidR="00A94478">
          <w:rPr>
            <w:noProof/>
            <w:webHidden/>
          </w:rPr>
          <w:fldChar w:fldCharType="end"/>
        </w:r>
      </w:hyperlink>
    </w:p>
    <w:p w14:paraId="6BFC1D18" w14:textId="1FF6E5CD" w:rsidR="00A94478" w:rsidRDefault="00C11E37">
      <w:pPr>
        <w:pStyle w:val="TOC3"/>
        <w:tabs>
          <w:tab w:val="right" w:pos="9016"/>
        </w:tabs>
        <w:rPr>
          <w:rFonts w:eastAsiaTheme="minorEastAsia" w:cstheme="minorBidi"/>
          <w:noProof/>
          <w:sz w:val="22"/>
          <w:szCs w:val="22"/>
          <w:lang w:eastAsia="en-AU"/>
        </w:rPr>
      </w:pPr>
      <w:hyperlink w:anchor="_Toc113022204" w:history="1">
        <w:r w:rsidR="00A94478" w:rsidRPr="00E41A53">
          <w:rPr>
            <w:rStyle w:val="Hyperlink"/>
            <w:noProof/>
          </w:rPr>
          <w:t>Overall impact – how does it address the problem?</w:t>
        </w:r>
        <w:r w:rsidR="00A94478">
          <w:rPr>
            <w:noProof/>
            <w:webHidden/>
          </w:rPr>
          <w:tab/>
        </w:r>
        <w:r w:rsidR="00A94478">
          <w:rPr>
            <w:noProof/>
            <w:webHidden/>
          </w:rPr>
          <w:fldChar w:fldCharType="begin"/>
        </w:r>
        <w:r w:rsidR="00A94478">
          <w:rPr>
            <w:noProof/>
            <w:webHidden/>
          </w:rPr>
          <w:instrText xml:space="preserve"> PAGEREF _Toc113022204 \h </w:instrText>
        </w:r>
        <w:r w:rsidR="00A94478">
          <w:rPr>
            <w:noProof/>
            <w:webHidden/>
          </w:rPr>
        </w:r>
        <w:r w:rsidR="00A94478">
          <w:rPr>
            <w:noProof/>
            <w:webHidden/>
          </w:rPr>
          <w:fldChar w:fldCharType="separate"/>
        </w:r>
        <w:r w:rsidR="007C7C20">
          <w:rPr>
            <w:noProof/>
            <w:webHidden/>
          </w:rPr>
          <w:t>37</w:t>
        </w:r>
        <w:r w:rsidR="00A94478">
          <w:rPr>
            <w:noProof/>
            <w:webHidden/>
          </w:rPr>
          <w:fldChar w:fldCharType="end"/>
        </w:r>
      </w:hyperlink>
    </w:p>
    <w:p w14:paraId="41F5170F" w14:textId="284AD65D" w:rsidR="00A94478" w:rsidRDefault="00C11E37">
      <w:pPr>
        <w:pStyle w:val="TOC3"/>
        <w:tabs>
          <w:tab w:val="right" w:pos="9016"/>
        </w:tabs>
        <w:rPr>
          <w:rFonts w:eastAsiaTheme="minorEastAsia" w:cstheme="minorBidi"/>
          <w:noProof/>
          <w:sz w:val="22"/>
          <w:szCs w:val="22"/>
          <w:lang w:eastAsia="en-AU"/>
        </w:rPr>
      </w:pPr>
      <w:hyperlink w:anchor="_Toc113022205" w:history="1">
        <w:r w:rsidR="00A94478" w:rsidRPr="00E41A53">
          <w:rPr>
            <w:rStyle w:val="Hyperlink"/>
            <w:noProof/>
          </w:rPr>
          <w:t>Impacts on apprentices</w:t>
        </w:r>
        <w:r w:rsidR="00A94478">
          <w:rPr>
            <w:noProof/>
            <w:webHidden/>
          </w:rPr>
          <w:tab/>
        </w:r>
        <w:r w:rsidR="00A94478">
          <w:rPr>
            <w:noProof/>
            <w:webHidden/>
          </w:rPr>
          <w:fldChar w:fldCharType="begin"/>
        </w:r>
        <w:r w:rsidR="00A94478">
          <w:rPr>
            <w:noProof/>
            <w:webHidden/>
          </w:rPr>
          <w:instrText xml:space="preserve"> PAGEREF _Toc113022205 \h </w:instrText>
        </w:r>
        <w:r w:rsidR="00A94478">
          <w:rPr>
            <w:noProof/>
            <w:webHidden/>
          </w:rPr>
        </w:r>
        <w:r w:rsidR="00A94478">
          <w:rPr>
            <w:noProof/>
            <w:webHidden/>
          </w:rPr>
          <w:fldChar w:fldCharType="separate"/>
        </w:r>
        <w:r w:rsidR="007C7C20">
          <w:rPr>
            <w:noProof/>
            <w:webHidden/>
          </w:rPr>
          <w:t>39</w:t>
        </w:r>
        <w:r w:rsidR="00A94478">
          <w:rPr>
            <w:noProof/>
            <w:webHidden/>
          </w:rPr>
          <w:fldChar w:fldCharType="end"/>
        </w:r>
      </w:hyperlink>
    </w:p>
    <w:p w14:paraId="72825F4E" w14:textId="76E3BFEB" w:rsidR="00A94478" w:rsidRDefault="00C11E37">
      <w:pPr>
        <w:pStyle w:val="TOC3"/>
        <w:tabs>
          <w:tab w:val="right" w:pos="9016"/>
        </w:tabs>
        <w:rPr>
          <w:rFonts w:eastAsiaTheme="minorEastAsia" w:cstheme="minorBidi"/>
          <w:noProof/>
          <w:sz w:val="22"/>
          <w:szCs w:val="22"/>
          <w:lang w:eastAsia="en-AU"/>
        </w:rPr>
      </w:pPr>
      <w:hyperlink w:anchor="_Toc113022206" w:history="1">
        <w:r w:rsidR="00A94478" w:rsidRPr="00E41A53">
          <w:rPr>
            <w:rStyle w:val="Hyperlink"/>
            <w:noProof/>
          </w:rPr>
          <w:t>Impacts on employers</w:t>
        </w:r>
        <w:r w:rsidR="00A94478">
          <w:rPr>
            <w:noProof/>
            <w:webHidden/>
          </w:rPr>
          <w:tab/>
        </w:r>
        <w:r w:rsidR="00A94478">
          <w:rPr>
            <w:noProof/>
            <w:webHidden/>
          </w:rPr>
          <w:fldChar w:fldCharType="begin"/>
        </w:r>
        <w:r w:rsidR="00A94478">
          <w:rPr>
            <w:noProof/>
            <w:webHidden/>
          </w:rPr>
          <w:instrText xml:space="preserve"> PAGEREF _Toc113022206 \h </w:instrText>
        </w:r>
        <w:r w:rsidR="00A94478">
          <w:rPr>
            <w:noProof/>
            <w:webHidden/>
          </w:rPr>
        </w:r>
        <w:r w:rsidR="00A94478">
          <w:rPr>
            <w:noProof/>
            <w:webHidden/>
          </w:rPr>
          <w:fldChar w:fldCharType="separate"/>
        </w:r>
        <w:r w:rsidR="007C7C20">
          <w:rPr>
            <w:noProof/>
            <w:webHidden/>
          </w:rPr>
          <w:t>39</w:t>
        </w:r>
        <w:r w:rsidR="00A94478">
          <w:rPr>
            <w:noProof/>
            <w:webHidden/>
          </w:rPr>
          <w:fldChar w:fldCharType="end"/>
        </w:r>
      </w:hyperlink>
    </w:p>
    <w:p w14:paraId="0E8F30C5" w14:textId="227F4153" w:rsidR="00A94478" w:rsidRDefault="00C11E37">
      <w:pPr>
        <w:pStyle w:val="TOC3"/>
        <w:tabs>
          <w:tab w:val="right" w:pos="9016"/>
        </w:tabs>
        <w:rPr>
          <w:rFonts w:eastAsiaTheme="minorEastAsia" w:cstheme="minorBidi"/>
          <w:noProof/>
          <w:sz w:val="22"/>
          <w:szCs w:val="22"/>
          <w:lang w:eastAsia="en-AU"/>
        </w:rPr>
      </w:pPr>
      <w:hyperlink w:anchor="_Toc113022207" w:history="1">
        <w:r w:rsidR="00A94478" w:rsidRPr="00E41A53">
          <w:rPr>
            <w:rStyle w:val="Hyperlink"/>
            <w:noProof/>
          </w:rPr>
          <w:t>Impacts on AASNs</w:t>
        </w:r>
        <w:r w:rsidR="00A94478">
          <w:rPr>
            <w:noProof/>
            <w:webHidden/>
          </w:rPr>
          <w:tab/>
        </w:r>
        <w:r w:rsidR="00A94478">
          <w:rPr>
            <w:noProof/>
            <w:webHidden/>
          </w:rPr>
          <w:fldChar w:fldCharType="begin"/>
        </w:r>
        <w:r w:rsidR="00A94478">
          <w:rPr>
            <w:noProof/>
            <w:webHidden/>
          </w:rPr>
          <w:instrText xml:space="preserve"> PAGEREF _Toc113022207 \h </w:instrText>
        </w:r>
        <w:r w:rsidR="00A94478">
          <w:rPr>
            <w:noProof/>
            <w:webHidden/>
          </w:rPr>
        </w:r>
        <w:r w:rsidR="00A94478">
          <w:rPr>
            <w:noProof/>
            <w:webHidden/>
          </w:rPr>
          <w:fldChar w:fldCharType="separate"/>
        </w:r>
        <w:r w:rsidR="007C7C20">
          <w:rPr>
            <w:noProof/>
            <w:webHidden/>
          </w:rPr>
          <w:t>40</w:t>
        </w:r>
        <w:r w:rsidR="00A94478">
          <w:rPr>
            <w:noProof/>
            <w:webHidden/>
          </w:rPr>
          <w:fldChar w:fldCharType="end"/>
        </w:r>
      </w:hyperlink>
    </w:p>
    <w:p w14:paraId="264EABBE" w14:textId="366851C6" w:rsidR="00A94478" w:rsidRDefault="00C11E37">
      <w:pPr>
        <w:pStyle w:val="TOC3"/>
        <w:tabs>
          <w:tab w:val="right" w:pos="9016"/>
        </w:tabs>
        <w:rPr>
          <w:rFonts w:eastAsiaTheme="minorEastAsia" w:cstheme="minorBidi"/>
          <w:noProof/>
          <w:sz w:val="22"/>
          <w:szCs w:val="22"/>
          <w:lang w:eastAsia="en-AU"/>
        </w:rPr>
      </w:pPr>
      <w:hyperlink w:anchor="_Toc113022208" w:history="1">
        <w:r w:rsidR="00A94478" w:rsidRPr="00E41A53">
          <w:rPr>
            <w:rStyle w:val="Hyperlink"/>
            <w:noProof/>
          </w:rPr>
          <w:t>Impact on commencements and completions</w:t>
        </w:r>
        <w:r w:rsidR="00A94478">
          <w:rPr>
            <w:noProof/>
            <w:webHidden/>
          </w:rPr>
          <w:tab/>
        </w:r>
        <w:r w:rsidR="00A94478">
          <w:rPr>
            <w:noProof/>
            <w:webHidden/>
          </w:rPr>
          <w:fldChar w:fldCharType="begin"/>
        </w:r>
        <w:r w:rsidR="00A94478">
          <w:rPr>
            <w:noProof/>
            <w:webHidden/>
          </w:rPr>
          <w:instrText xml:space="preserve"> PAGEREF _Toc113022208 \h </w:instrText>
        </w:r>
        <w:r w:rsidR="00A94478">
          <w:rPr>
            <w:noProof/>
            <w:webHidden/>
          </w:rPr>
        </w:r>
        <w:r w:rsidR="00A94478">
          <w:rPr>
            <w:noProof/>
            <w:webHidden/>
          </w:rPr>
          <w:fldChar w:fldCharType="separate"/>
        </w:r>
        <w:r w:rsidR="007C7C20">
          <w:rPr>
            <w:noProof/>
            <w:webHidden/>
          </w:rPr>
          <w:t>40</w:t>
        </w:r>
        <w:r w:rsidR="00A94478">
          <w:rPr>
            <w:noProof/>
            <w:webHidden/>
          </w:rPr>
          <w:fldChar w:fldCharType="end"/>
        </w:r>
      </w:hyperlink>
    </w:p>
    <w:p w14:paraId="331F5803" w14:textId="7223B75A" w:rsidR="00A94478" w:rsidRDefault="00C11E37">
      <w:pPr>
        <w:pStyle w:val="TOC3"/>
        <w:tabs>
          <w:tab w:val="right" w:pos="9016"/>
        </w:tabs>
        <w:rPr>
          <w:rFonts w:eastAsiaTheme="minorEastAsia" w:cstheme="minorBidi"/>
          <w:noProof/>
          <w:sz w:val="22"/>
          <w:szCs w:val="22"/>
          <w:lang w:eastAsia="en-AU"/>
        </w:rPr>
      </w:pPr>
      <w:hyperlink w:anchor="_Toc113022209" w:history="1">
        <w:r w:rsidR="00A94478" w:rsidRPr="00E41A53">
          <w:rPr>
            <w:rStyle w:val="Hyperlink"/>
            <w:noProof/>
          </w:rPr>
          <w:t>Regulatory costs</w:t>
        </w:r>
        <w:r w:rsidR="00A94478">
          <w:rPr>
            <w:noProof/>
            <w:webHidden/>
          </w:rPr>
          <w:tab/>
        </w:r>
        <w:r w:rsidR="00A94478">
          <w:rPr>
            <w:noProof/>
            <w:webHidden/>
          </w:rPr>
          <w:fldChar w:fldCharType="begin"/>
        </w:r>
        <w:r w:rsidR="00A94478">
          <w:rPr>
            <w:noProof/>
            <w:webHidden/>
          </w:rPr>
          <w:instrText xml:space="preserve"> PAGEREF _Toc113022209 \h </w:instrText>
        </w:r>
        <w:r w:rsidR="00A94478">
          <w:rPr>
            <w:noProof/>
            <w:webHidden/>
          </w:rPr>
        </w:r>
        <w:r w:rsidR="00A94478">
          <w:rPr>
            <w:noProof/>
            <w:webHidden/>
          </w:rPr>
          <w:fldChar w:fldCharType="separate"/>
        </w:r>
        <w:r w:rsidR="007C7C20">
          <w:rPr>
            <w:noProof/>
            <w:webHidden/>
          </w:rPr>
          <w:t>40</w:t>
        </w:r>
        <w:r w:rsidR="00A94478">
          <w:rPr>
            <w:noProof/>
            <w:webHidden/>
          </w:rPr>
          <w:fldChar w:fldCharType="end"/>
        </w:r>
      </w:hyperlink>
    </w:p>
    <w:p w14:paraId="54804993" w14:textId="63AA4EEC" w:rsidR="00A94478" w:rsidRDefault="00C11E37" w:rsidP="00A042F8">
      <w:pPr>
        <w:pStyle w:val="TOC2"/>
        <w:rPr>
          <w:rFonts w:eastAsiaTheme="minorEastAsia" w:cstheme="minorBidi"/>
          <w:i/>
          <w:iCs/>
          <w:noProof/>
          <w:lang w:eastAsia="en-AU"/>
        </w:rPr>
      </w:pPr>
      <w:hyperlink w:anchor="_Toc113022210" w:history="1">
        <w:r w:rsidR="00A94478" w:rsidRPr="00E41A53">
          <w:rPr>
            <w:rStyle w:val="Hyperlink"/>
            <w:noProof/>
          </w:rPr>
          <w:t>5.2 Option 2: New incentives program that targets priority skills – Employer hiring incentive for priority occupations</w:t>
        </w:r>
        <w:r w:rsidR="00A94478">
          <w:rPr>
            <w:noProof/>
            <w:webHidden/>
          </w:rPr>
          <w:tab/>
        </w:r>
        <w:r w:rsidR="00A94478">
          <w:rPr>
            <w:noProof/>
            <w:webHidden/>
          </w:rPr>
          <w:fldChar w:fldCharType="begin"/>
        </w:r>
        <w:r w:rsidR="00A94478">
          <w:rPr>
            <w:noProof/>
            <w:webHidden/>
          </w:rPr>
          <w:instrText xml:space="preserve"> PAGEREF _Toc113022210 \h </w:instrText>
        </w:r>
        <w:r w:rsidR="00A94478">
          <w:rPr>
            <w:noProof/>
            <w:webHidden/>
          </w:rPr>
        </w:r>
        <w:r w:rsidR="00A94478">
          <w:rPr>
            <w:noProof/>
            <w:webHidden/>
          </w:rPr>
          <w:fldChar w:fldCharType="separate"/>
        </w:r>
        <w:r w:rsidR="007C7C20">
          <w:rPr>
            <w:noProof/>
            <w:webHidden/>
          </w:rPr>
          <w:t>41</w:t>
        </w:r>
        <w:r w:rsidR="00A94478">
          <w:rPr>
            <w:noProof/>
            <w:webHidden/>
          </w:rPr>
          <w:fldChar w:fldCharType="end"/>
        </w:r>
      </w:hyperlink>
    </w:p>
    <w:p w14:paraId="5893681D" w14:textId="561A842A" w:rsidR="00A94478" w:rsidRDefault="00C11E37">
      <w:pPr>
        <w:pStyle w:val="TOC3"/>
        <w:tabs>
          <w:tab w:val="right" w:pos="9016"/>
        </w:tabs>
        <w:rPr>
          <w:rFonts w:eastAsiaTheme="minorEastAsia" w:cstheme="minorBidi"/>
          <w:noProof/>
          <w:sz w:val="22"/>
          <w:szCs w:val="22"/>
          <w:lang w:eastAsia="en-AU"/>
        </w:rPr>
      </w:pPr>
      <w:hyperlink w:anchor="_Toc113022211" w:history="1">
        <w:r w:rsidR="00A94478" w:rsidRPr="00E41A53">
          <w:rPr>
            <w:rStyle w:val="Hyperlink"/>
            <w:noProof/>
          </w:rPr>
          <w:t>Who would this option impact?</w:t>
        </w:r>
        <w:r w:rsidR="00A94478">
          <w:rPr>
            <w:noProof/>
            <w:webHidden/>
          </w:rPr>
          <w:tab/>
        </w:r>
        <w:r w:rsidR="00A94478">
          <w:rPr>
            <w:noProof/>
            <w:webHidden/>
          </w:rPr>
          <w:fldChar w:fldCharType="begin"/>
        </w:r>
        <w:r w:rsidR="00A94478">
          <w:rPr>
            <w:noProof/>
            <w:webHidden/>
          </w:rPr>
          <w:instrText xml:space="preserve"> PAGEREF _Toc113022211 \h </w:instrText>
        </w:r>
        <w:r w:rsidR="00A94478">
          <w:rPr>
            <w:noProof/>
            <w:webHidden/>
          </w:rPr>
        </w:r>
        <w:r w:rsidR="00A94478">
          <w:rPr>
            <w:noProof/>
            <w:webHidden/>
          </w:rPr>
          <w:fldChar w:fldCharType="separate"/>
        </w:r>
        <w:r w:rsidR="007C7C20">
          <w:rPr>
            <w:noProof/>
            <w:webHidden/>
          </w:rPr>
          <w:t>41</w:t>
        </w:r>
        <w:r w:rsidR="00A94478">
          <w:rPr>
            <w:noProof/>
            <w:webHidden/>
          </w:rPr>
          <w:fldChar w:fldCharType="end"/>
        </w:r>
      </w:hyperlink>
    </w:p>
    <w:p w14:paraId="2A0E06F7" w14:textId="71F10F73" w:rsidR="00A94478" w:rsidRDefault="00C11E37">
      <w:pPr>
        <w:pStyle w:val="TOC3"/>
        <w:tabs>
          <w:tab w:val="right" w:pos="9016"/>
        </w:tabs>
        <w:rPr>
          <w:rFonts w:eastAsiaTheme="minorEastAsia" w:cstheme="minorBidi"/>
          <w:noProof/>
          <w:sz w:val="22"/>
          <w:szCs w:val="22"/>
          <w:lang w:eastAsia="en-AU"/>
        </w:rPr>
      </w:pPr>
      <w:hyperlink w:anchor="_Toc113022212" w:history="1">
        <w:r w:rsidR="00A94478" w:rsidRPr="00E41A53">
          <w:rPr>
            <w:rStyle w:val="Hyperlink"/>
            <w:noProof/>
          </w:rPr>
          <w:t>Overall impact – how does it address the problem?</w:t>
        </w:r>
        <w:r w:rsidR="00A94478">
          <w:rPr>
            <w:noProof/>
            <w:webHidden/>
          </w:rPr>
          <w:tab/>
        </w:r>
        <w:r w:rsidR="00A94478">
          <w:rPr>
            <w:noProof/>
            <w:webHidden/>
          </w:rPr>
          <w:fldChar w:fldCharType="begin"/>
        </w:r>
        <w:r w:rsidR="00A94478">
          <w:rPr>
            <w:noProof/>
            <w:webHidden/>
          </w:rPr>
          <w:instrText xml:space="preserve"> PAGEREF _Toc113022212 \h </w:instrText>
        </w:r>
        <w:r w:rsidR="00A94478">
          <w:rPr>
            <w:noProof/>
            <w:webHidden/>
          </w:rPr>
        </w:r>
        <w:r w:rsidR="00A94478">
          <w:rPr>
            <w:noProof/>
            <w:webHidden/>
          </w:rPr>
          <w:fldChar w:fldCharType="separate"/>
        </w:r>
        <w:r w:rsidR="007C7C20">
          <w:rPr>
            <w:noProof/>
            <w:webHidden/>
          </w:rPr>
          <w:t>41</w:t>
        </w:r>
        <w:r w:rsidR="00A94478">
          <w:rPr>
            <w:noProof/>
            <w:webHidden/>
          </w:rPr>
          <w:fldChar w:fldCharType="end"/>
        </w:r>
      </w:hyperlink>
    </w:p>
    <w:p w14:paraId="772DF0D1" w14:textId="1189C209" w:rsidR="00A94478" w:rsidRDefault="00C11E37">
      <w:pPr>
        <w:pStyle w:val="TOC3"/>
        <w:tabs>
          <w:tab w:val="right" w:pos="9016"/>
        </w:tabs>
        <w:rPr>
          <w:rFonts w:eastAsiaTheme="minorEastAsia" w:cstheme="minorBidi"/>
          <w:noProof/>
          <w:sz w:val="22"/>
          <w:szCs w:val="22"/>
          <w:lang w:eastAsia="en-AU"/>
        </w:rPr>
      </w:pPr>
      <w:hyperlink w:anchor="_Toc113022213" w:history="1">
        <w:r w:rsidR="00A94478" w:rsidRPr="00E41A53">
          <w:rPr>
            <w:rStyle w:val="Hyperlink"/>
            <w:noProof/>
          </w:rPr>
          <w:t>Impacts on apprentices</w:t>
        </w:r>
        <w:r w:rsidR="00A94478">
          <w:rPr>
            <w:noProof/>
            <w:webHidden/>
          </w:rPr>
          <w:tab/>
        </w:r>
        <w:r w:rsidR="00A94478">
          <w:rPr>
            <w:noProof/>
            <w:webHidden/>
          </w:rPr>
          <w:fldChar w:fldCharType="begin"/>
        </w:r>
        <w:r w:rsidR="00A94478">
          <w:rPr>
            <w:noProof/>
            <w:webHidden/>
          </w:rPr>
          <w:instrText xml:space="preserve"> PAGEREF _Toc113022213 \h </w:instrText>
        </w:r>
        <w:r w:rsidR="00A94478">
          <w:rPr>
            <w:noProof/>
            <w:webHidden/>
          </w:rPr>
        </w:r>
        <w:r w:rsidR="00A94478">
          <w:rPr>
            <w:noProof/>
            <w:webHidden/>
          </w:rPr>
          <w:fldChar w:fldCharType="separate"/>
        </w:r>
        <w:r w:rsidR="007C7C20">
          <w:rPr>
            <w:noProof/>
            <w:webHidden/>
          </w:rPr>
          <w:t>43</w:t>
        </w:r>
        <w:r w:rsidR="00A94478">
          <w:rPr>
            <w:noProof/>
            <w:webHidden/>
          </w:rPr>
          <w:fldChar w:fldCharType="end"/>
        </w:r>
      </w:hyperlink>
    </w:p>
    <w:p w14:paraId="387C7FE2" w14:textId="3BBFC6F3" w:rsidR="00A94478" w:rsidRDefault="00C11E37">
      <w:pPr>
        <w:pStyle w:val="TOC3"/>
        <w:tabs>
          <w:tab w:val="right" w:pos="9016"/>
        </w:tabs>
        <w:rPr>
          <w:rFonts w:eastAsiaTheme="minorEastAsia" w:cstheme="minorBidi"/>
          <w:noProof/>
          <w:sz w:val="22"/>
          <w:szCs w:val="22"/>
          <w:lang w:eastAsia="en-AU"/>
        </w:rPr>
      </w:pPr>
      <w:hyperlink w:anchor="_Toc113022214" w:history="1">
        <w:r w:rsidR="00A94478" w:rsidRPr="00E41A53">
          <w:rPr>
            <w:rStyle w:val="Hyperlink"/>
            <w:noProof/>
          </w:rPr>
          <w:t>Impacts on employers</w:t>
        </w:r>
        <w:r w:rsidR="00A94478">
          <w:rPr>
            <w:noProof/>
            <w:webHidden/>
          </w:rPr>
          <w:tab/>
        </w:r>
        <w:r w:rsidR="00A94478">
          <w:rPr>
            <w:noProof/>
            <w:webHidden/>
          </w:rPr>
          <w:fldChar w:fldCharType="begin"/>
        </w:r>
        <w:r w:rsidR="00A94478">
          <w:rPr>
            <w:noProof/>
            <w:webHidden/>
          </w:rPr>
          <w:instrText xml:space="preserve"> PAGEREF _Toc113022214 \h </w:instrText>
        </w:r>
        <w:r w:rsidR="00A94478">
          <w:rPr>
            <w:noProof/>
            <w:webHidden/>
          </w:rPr>
        </w:r>
        <w:r w:rsidR="00A94478">
          <w:rPr>
            <w:noProof/>
            <w:webHidden/>
          </w:rPr>
          <w:fldChar w:fldCharType="separate"/>
        </w:r>
        <w:r w:rsidR="007C7C20">
          <w:rPr>
            <w:noProof/>
            <w:webHidden/>
          </w:rPr>
          <w:t>45</w:t>
        </w:r>
        <w:r w:rsidR="00A94478">
          <w:rPr>
            <w:noProof/>
            <w:webHidden/>
          </w:rPr>
          <w:fldChar w:fldCharType="end"/>
        </w:r>
      </w:hyperlink>
    </w:p>
    <w:p w14:paraId="1B42C19E" w14:textId="022ED8D6" w:rsidR="00A94478" w:rsidRDefault="00C11E37">
      <w:pPr>
        <w:pStyle w:val="TOC3"/>
        <w:tabs>
          <w:tab w:val="right" w:pos="9016"/>
        </w:tabs>
        <w:rPr>
          <w:rFonts w:eastAsiaTheme="minorEastAsia" w:cstheme="minorBidi"/>
          <w:noProof/>
          <w:sz w:val="22"/>
          <w:szCs w:val="22"/>
          <w:lang w:eastAsia="en-AU"/>
        </w:rPr>
      </w:pPr>
      <w:hyperlink w:anchor="_Toc113022215" w:history="1">
        <w:r w:rsidR="00A94478" w:rsidRPr="00E41A53">
          <w:rPr>
            <w:rStyle w:val="Hyperlink"/>
            <w:noProof/>
          </w:rPr>
          <w:t>Impact on commencements and completions</w:t>
        </w:r>
        <w:r w:rsidR="00A94478">
          <w:rPr>
            <w:noProof/>
            <w:webHidden/>
          </w:rPr>
          <w:tab/>
        </w:r>
        <w:r w:rsidR="00A94478">
          <w:rPr>
            <w:noProof/>
            <w:webHidden/>
          </w:rPr>
          <w:fldChar w:fldCharType="begin"/>
        </w:r>
        <w:r w:rsidR="00A94478">
          <w:rPr>
            <w:noProof/>
            <w:webHidden/>
          </w:rPr>
          <w:instrText xml:space="preserve"> PAGEREF _Toc113022215 \h </w:instrText>
        </w:r>
        <w:r w:rsidR="00A94478">
          <w:rPr>
            <w:noProof/>
            <w:webHidden/>
          </w:rPr>
        </w:r>
        <w:r w:rsidR="00A94478">
          <w:rPr>
            <w:noProof/>
            <w:webHidden/>
          </w:rPr>
          <w:fldChar w:fldCharType="separate"/>
        </w:r>
        <w:r w:rsidR="007C7C20">
          <w:rPr>
            <w:noProof/>
            <w:webHidden/>
          </w:rPr>
          <w:t>46</w:t>
        </w:r>
        <w:r w:rsidR="00A94478">
          <w:rPr>
            <w:noProof/>
            <w:webHidden/>
          </w:rPr>
          <w:fldChar w:fldCharType="end"/>
        </w:r>
      </w:hyperlink>
    </w:p>
    <w:p w14:paraId="6B0A8CEF" w14:textId="148E56BE" w:rsidR="00A94478" w:rsidRDefault="00C11E37">
      <w:pPr>
        <w:pStyle w:val="TOC3"/>
        <w:tabs>
          <w:tab w:val="right" w:pos="9016"/>
        </w:tabs>
        <w:rPr>
          <w:rFonts w:eastAsiaTheme="minorEastAsia" w:cstheme="minorBidi"/>
          <w:noProof/>
          <w:sz w:val="22"/>
          <w:szCs w:val="22"/>
          <w:lang w:eastAsia="en-AU"/>
        </w:rPr>
      </w:pPr>
      <w:hyperlink w:anchor="_Toc113022216" w:history="1">
        <w:r w:rsidR="00A94478" w:rsidRPr="00E41A53">
          <w:rPr>
            <w:rStyle w:val="Hyperlink"/>
            <w:noProof/>
          </w:rPr>
          <w:t>Regulatory impact</w:t>
        </w:r>
        <w:r w:rsidR="00A94478">
          <w:rPr>
            <w:noProof/>
            <w:webHidden/>
          </w:rPr>
          <w:tab/>
        </w:r>
        <w:r w:rsidR="00A94478">
          <w:rPr>
            <w:noProof/>
            <w:webHidden/>
          </w:rPr>
          <w:fldChar w:fldCharType="begin"/>
        </w:r>
        <w:r w:rsidR="00A94478">
          <w:rPr>
            <w:noProof/>
            <w:webHidden/>
          </w:rPr>
          <w:instrText xml:space="preserve"> PAGEREF _Toc113022216 \h </w:instrText>
        </w:r>
        <w:r w:rsidR="00A94478">
          <w:rPr>
            <w:noProof/>
            <w:webHidden/>
          </w:rPr>
        </w:r>
        <w:r w:rsidR="00A94478">
          <w:rPr>
            <w:noProof/>
            <w:webHidden/>
          </w:rPr>
          <w:fldChar w:fldCharType="separate"/>
        </w:r>
        <w:r w:rsidR="007C7C20">
          <w:rPr>
            <w:noProof/>
            <w:webHidden/>
          </w:rPr>
          <w:t>46</w:t>
        </w:r>
        <w:r w:rsidR="00A94478">
          <w:rPr>
            <w:noProof/>
            <w:webHidden/>
          </w:rPr>
          <w:fldChar w:fldCharType="end"/>
        </w:r>
      </w:hyperlink>
    </w:p>
    <w:p w14:paraId="0ECD920E" w14:textId="7CF5B2F7" w:rsidR="00A94478" w:rsidRDefault="00C11E37">
      <w:pPr>
        <w:pStyle w:val="TOC3"/>
        <w:tabs>
          <w:tab w:val="right" w:pos="9016"/>
        </w:tabs>
        <w:rPr>
          <w:rFonts w:eastAsiaTheme="minorEastAsia" w:cstheme="minorBidi"/>
          <w:noProof/>
          <w:sz w:val="22"/>
          <w:szCs w:val="22"/>
          <w:lang w:eastAsia="en-AU"/>
        </w:rPr>
      </w:pPr>
      <w:hyperlink w:anchor="_Toc113022217" w:history="1">
        <w:r w:rsidR="00A94478" w:rsidRPr="00E41A53">
          <w:rPr>
            <w:rStyle w:val="Hyperlink"/>
            <w:noProof/>
          </w:rPr>
          <w:t>Regulatory costs</w:t>
        </w:r>
        <w:r w:rsidR="00A94478">
          <w:rPr>
            <w:noProof/>
            <w:webHidden/>
          </w:rPr>
          <w:tab/>
        </w:r>
        <w:r w:rsidR="00A94478">
          <w:rPr>
            <w:noProof/>
            <w:webHidden/>
          </w:rPr>
          <w:fldChar w:fldCharType="begin"/>
        </w:r>
        <w:r w:rsidR="00A94478">
          <w:rPr>
            <w:noProof/>
            <w:webHidden/>
          </w:rPr>
          <w:instrText xml:space="preserve"> PAGEREF _Toc113022217 \h </w:instrText>
        </w:r>
        <w:r w:rsidR="00A94478">
          <w:rPr>
            <w:noProof/>
            <w:webHidden/>
          </w:rPr>
        </w:r>
        <w:r w:rsidR="00A94478">
          <w:rPr>
            <w:noProof/>
            <w:webHidden/>
          </w:rPr>
          <w:fldChar w:fldCharType="separate"/>
        </w:r>
        <w:r w:rsidR="007C7C20">
          <w:rPr>
            <w:noProof/>
            <w:webHidden/>
          </w:rPr>
          <w:t>47</w:t>
        </w:r>
        <w:r w:rsidR="00A94478">
          <w:rPr>
            <w:noProof/>
            <w:webHidden/>
          </w:rPr>
          <w:fldChar w:fldCharType="end"/>
        </w:r>
      </w:hyperlink>
    </w:p>
    <w:p w14:paraId="7F68E5D8" w14:textId="36DBAA43" w:rsidR="00A94478" w:rsidRDefault="00C11E37" w:rsidP="00A042F8">
      <w:pPr>
        <w:pStyle w:val="TOC2"/>
        <w:rPr>
          <w:rFonts w:eastAsiaTheme="minorEastAsia" w:cstheme="minorBidi"/>
          <w:i/>
          <w:iCs/>
          <w:noProof/>
          <w:lang w:eastAsia="en-AU"/>
        </w:rPr>
      </w:pPr>
      <w:hyperlink w:anchor="_Toc113022218" w:history="1">
        <w:r w:rsidR="00A94478" w:rsidRPr="00E41A53">
          <w:rPr>
            <w:rStyle w:val="Hyperlink"/>
            <w:noProof/>
          </w:rPr>
          <w:t>5.3 Option 3: New incentives model - Phased</w:t>
        </w:r>
        <w:r w:rsidR="00A94478">
          <w:rPr>
            <w:noProof/>
            <w:webHidden/>
          </w:rPr>
          <w:tab/>
        </w:r>
        <w:r w:rsidR="00A94478">
          <w:rPr>
            <w:noProof/>
            <w:webHidden/>
          </w:rPr>
          <w:fldChar w:fldCharType="begin"/>
        </w:r>
        <w:r w:rsidR="00A94478">
          <w:rPr>
            <w:noProof/>
            <w:webHidden/>
          </w:rPr>
          <w:instrText xml:space="preserve"> PAGEREF _Toc113022218 \h </w:instrText>
        </w:r>
        <w:r w:rsidR="00A94478">
          <w:rPr>
            <w:noProof/>
            <w:webHidden/>
          </w:rPr>
        </w:r>
        <w:r w:rsidR="00A94478">
          <w:rPr>
            <w:noProof/>
            <w:webHidden/>
          </w:rPr>
          <w:fldChar w:fldCharType="separate"/>
        </w:r>
        <w:r w:rsidR="007C7C20">
          <w:rPr>
            <w:noProof/>
            <w:webHidden/>
          </w:rPr>
          <w:t>48</w:t>
        </w:r>
        <w:r w:rsidR="00A94478">
          <w:rPr>
            <w:noProof/>
            <w:webHidden/>
          </w:rPr>
          <w:fldChar w:fldCharType="end"/>
        </w:r>
      </w:hyperlink>
    </w:p>
    <w:p w14:paraId="76468999" w14:textId="6A4BA601" w:rsidR="00A94478" w:rsidRDefault="00C11E37">
      <w:pPr>
        <w:pStyle w:val="TOC3"/>
        <w:tabs>
          <w:tab w:val="right" w:pos="9016"/>
        </w:tabs>
        <w:rPr>
          <w:rFonts w:eastAsiaTheme="minorEastAsia" w:cstheme="minorBidi"/>
          <w:noProof/>
          <w:sz w:val="22"/>
          <w:szCs w:val="22"/>
          <w:lang w:eastAsia="en-AU"/>
        </w:rPr>
      </w:pPr>
      <w:hyperlink w:anchor="_Toc113022219" w:history="1">
        <w:r w:rsidR="00A94478" w:rsidRPr="00E41A53">
          <w:rPr>
            <w:rStyle w:val="Hyperlink"/>
            <w:noProof/>
          </w:rPr>
          <w:t>Who would this option impact?</w:t>
        </w:r>
        <w:r w:rsidR="00A94478">
          <w:rPr>
            <w:noProof/>
            <w:webHidden/>
          </w:rPr>
          <w:tab/>
        </w:r>
        <w:r w:rsidR="00A94478">
          <w:rPr>
            <w:noProof/>
            <w:webHidden/>
          </w:rPr>
          <w:fldChar w:fldCharType="begin"/>
        </w:r>
        <w:r w:rsidR="00A94478">
          <w:rPr>
            <w:noProof/>
            <w:webHidden/>
          </w:rPr>
          <w:instrText xml:space="preserve"> PAGEREF _Toc113022219 \h </w:instrText>
        </w:r>
        <w:r w:rsidR="00A94478">
          <w:rPr>
            <w:noProof/>
            <w:webHidden/>
          </w:rPr>
        </w:r>
        <w:r w:rsidR="00A94478">
          <w:rPr>
            <w:noProof/>
            <w:webHidden/>
          </w:rPr>
          <w:fldChar w:fldCharType="separate"/>
        </w:r>
        <w:r w:rsidR="007C7C20">
          <w:rPr>
            <w:noProof/>
            <w:webHidden/>
          </w:rPr>
          <w:t>48</w:t>
        </w:r>
        <w:r w:rsidR="00A94478">
          <w:rPr>
            <w:noProof/>
            <w:webHidden/>
          </w:rPr>
          <w:fldChar w:fldCharType="end"/>
        </w:r>
      </w:hyperlink>
    </w:p>
    <w:p w14:paraId="0B19B5C9" w14:textId="0B07F5C8" w:rsidR="00A94478" w:rsidRDefault="00C11E37">
      <w:pPr>
        <w:pStyle w:val="TOC3"/>
        <w:tabs>
          <w:tab w:val="right" w:pos="9016"/>
        </w:tabs>
        <w:rPr>
          <w:rFonts w:eastAsiaTheme="minorEastAsia" w:cstheme="minorBidi"/>
          <w:noProof/>
          <w:sz w:val="22"/>
          <w:szCs w:val="22"/>
          <w:lang w:eastAsia="en-AU"/>
        </w:rPr>
      </w:pPr>
      <w:hyperlink w:anchor="_Toc113022220" w:history="1">
        <w:r w:rsidR="00A94478" w:rsidRPr="00E41A53">
          <w:rPr>
            <w:rStyle w:val="Hyperlink"/>
            <w:noProof/>
          </w:rPr>
          <w:t>Overall impact – how does it address the problem?</w:t>
        </w:r>
        <w:r w:rsidR="00A94478">
          <w:rPr>
            <w:noProof/>
            <w:webHidden/>
          </w:rPr>
          <w:tab/>
        </w:r>
        <w:r w:rsidR="00A94478">
          <w:rPr>
            <w:noProof/>
            <w:webHidden/>
          </w:rPr>
          <w:fldChar w:fldCharType="begin"/>
        </w:r>
        <w:r w:rsidR="00A94478">
          <w:rPr>
            <w:noProof/>
            <w:webHidden/>
          </w:rPr>
          <w:instrText xml:space="preserve"> PAGEREF _Toc113022220 \h </w:instrText>
        </w:r>
        <w:r w:rsidR="00A94478">
          <w:rPr>
            <w:noProof/>
            <w:webHidden/>
          </w:rPr>
        </w:r>
        <w:r w:rsidR="00A94478">
          <w:rPr>
            <w:noProof/>
            <w:webHidden/>
          </w:rPr>
          <w:fldChar w:fldCharType="separate"/>
        </w:r>
        <w:r w:rsidR="007C7C20">
          <w:rPr>
            <w:noProof/>
            <w:webHidden/>
          </w:rPr>
          <w:t>48</w:t>
        </w:r>
        <w:r w:rsidR="00A94478">
          <w:rPr>
            <w:noProof/>
            <w:webHidden/>
          </w:rPr>
          <w:fldChar w:fldCharType="end"/>
        </w:r>
      </w:hyperlink>
    </w:p>
    <w:p w14:paraId="745F9597" w14:textId="261AA1EB" w:rsidR="00A94478" w:rsidRDefault="00C11E37">
      <w:pPr>
        <w:pStyle w:val="TOC3"/>
        <w:tabs>
          <w:tab w:val="right" w:pos="9016"/>
        </w:tabs>
        <w:rPr>
          <w:rFonts w:eastAsiaTheme="minorEastAsia" w:cstheme="minorBidi"/>
          <w:noProof/>
          <w:sz w:val="22"/>
          <w:szCs w:val="22"/>
          <w:lang w:eastAsia="en-AU"/>
        </w:rPr>
      </w:pPr>
      <w:hyperlink w:anchor="_Toc113022221" w:history="1">
        <w:r w:rsidR="00A94478" w:rsidRPr="00E41A53">
          <w:rPr>
            <w:rStyle w:val="Hyperlink"/>
            <w:noProof/>
          </w:rPr>
          <w:t>Impacts on apprentices</w:t>
        </w:r>
        <w:r w:rsidR="00A94478">
          <w:rPr>
            <w:noProof/>
            <w:webHidden/>
          </w:rPr>
          <w:tab/>
        </w:r>
        <w:r w:rsidR="00A94478">
          <w:rPr>
            <w:noProof/>
            <w:webHidden/>
          </w:rPr>
          <w:fldChar w:fldCharType="begin"/>
        </w:r>
        <w:r w:rsidR="00A94478">
          <w:rPr>
            <w:noProof/>
            <w:webHidden/>
          </w:rPr>
          <w:instrText xml:space="preserve"> PAGEREF _Toc113022221 \h </w:instrText>
        </w:r>
        <w:r w:rsidR="00A94478">
          <w:rPr>
            <w:noProof/>
            <w:webHidden/>
          </w:rPr>
        </w:r>
        <w:r w:rsidR="00A94478">
          <w:rPr>
            <w:noProof/>
            <w:webHidden/>
          </w:rPr>
          <w:fldChar w:fldCharType="separate"/>
        </w:r>
        <w:r w:rsidR="007C7C20">
          <w:rPr>
            <w:noProof/>
            <w:webHidden/>
          </w:rPr>
          <w:t>50</w:t>
        </w:r>
        <w:r w:rsidR="00A94478">
          <w:rPr>
            <w:noProof/>
            <w:webHidden/>
          </w:rPr>
          <w:fldChar w:fldCharType="end"/>
        </w:r>
      </w:hyperlink>
    </w:p>
    <w:p w14:paraId="11FABD31" w14:textId="4DE5612C" w:rsidR="00A94478" w:rsidRDefault="00C11E37">
      <w:pPr>
        <w:pStyle w:val="TOC3"/>
        <w:tabs>
          <w:tab w:val="right" w:pos="9016"/>
        </w:tabs>
        <w:rPr>
          <w:rFonts w:eastAsiaTheme="minorEastAsia" w:cstheme="minorBidi"/>
          <w:noProof/>
          <w:sz w:val="22"/>
          <w:szCs w:val="22"/>
          <w:lang w:eastAsia="en-AU"/>
        </w:rPr>
      </w:pPr>
      <w:hyperlink w:anchor="_Toc113022222" w:history="1">
        <w:r w:rsidR="00A94478" w:rsidRPr="00E41A53">
          <w:rPr>
            <w:rStyle w:val="Hyperlink"/>
            <w:noProof/>
          </w:rPr>
          <w:t>Impacts on employers</w:t>
        </w:r>
        <w:r w:rsidR="00A94478">
          <w:rPr>
            <w:noProof/>
            <w:webHidden/>
          </w:rPr>
          <w:tab/>
        </w:r>
        <w:r w:rsidR="00A94478">
          <w:rPr>
            <w:noProof/>
            <w:webHidden/>
          </w:rPr>
          <w:fldChar w:fldCharType="begin"/>
        </w:r>
        <w:r w:rsidR="00A94478">
          <w:rPr>
            <w:noProof/>
            <w:webHidden/>
          </w:rPr>
          <w:instrText xml:space="preserve"> PAGEREF _Toc113022222 \h </w:instrText>
        </w:r>
        <w:r w:rsidR="00A94478">
          <w:rPr>
            <w:noProof/>
            <w:webHidden/>
          </w:rPr>
        </w:r>
        <w:r w:rsidR="00A94478">
          <w:rPr>
            <w:noProof/>
            <w:webHidden/>
          </w:rPr>
          <w:fldChar w:fldCharType="separate"/>
        </w:r>
        <w:r w:rsidR="007C7C20">
          <w:rPr>
            <w:noProof/>
            <w:webHidden/>
          </w:rPr>
          <w:t>52</w:t>
        </w:r>
        <w:r w:rsidR="00A94478">
          <w:rPr>
            <w:noProof/>
            <w:webHidden/>
          </w:rPr>
          <w:fldChar w:fldCharType="end"/>
        </w:r>
      </w:hyperlink>
    </w:p>
    <w:p w14:paraId="5B38B3AD" w14:textId="357C1D88" w:rsidR="00A94478" w:rsidRDefault="00C11E37">
      <w:pPr>
        <w:pStyle w:val="TOC3"/>
        <w:tabs>
          <w:tab w:val="right" w:pos="9016"/>
        </w:tabs>
        <w:rPr>
          <w:rFonts w:eastAsiaTheme="minorEastAsia" w:cstheme="minorBidi"/>
          <w:noProof/>
          <w:sz w:val="22"/>
          <w:szCs w:val="22"/>
          <w:lang w:eastAsia="en-AU"/>
        </w:rPr>
      </w:pPr>
      <w:hyperlink w:anchor="_Toc113022223" w:history="1">
        <w:r w:rsidR="00A94478" w:rsidRPr="00E41A53">
          <w:rPr>
            <w:rStyle w:val="Hyperlink"/>
            <w:noProof/>
          </w:rPr>
          <w:t>Impacts on AASNs</w:t>
        </w:r>
        <w:r w:rsidR="00A94478">
          <w:rPr>
            <w:noProof/>
            <w:webHidden/>
          </w:rPr>
          <w:tab/>
        </w:r>
        <w:r w:rsidR="00A94478">
          <w:rPr>
            <w:noProof/>
            <w:webHidden/>
          </w:rPr>
          <w:fldChar w:fldCharType="begin"/>
        </w:r>
        <w:r w:rsidR="00A94478">
          <w:rPr>
            <w:noProof/>
            <w:webHidden/>
          </w:rPr>
          <w:instrText xml:space="preserve"> PAGEREF _Toc113022223 \h </w:instrText>
        </w:r>
        <w:r w:rsidR="00A94478">
          <w:rPr>
            <w:noProof/>
            <w:webHidden/>
          </w:rPr>
        </w:r>
        <w:r w:rsidR="00A94478">
          <w:rPr>
            <w:noProof/>
            <w:webHidden/>
          </w:rPr>
          <w:fldChar w:fldCharType="separate"/>
        </w:r>
        <w:r w:rsidR="007C7C20">
          <w:rPr>
            <w:noProof/>
            <w:webHidden/>
          </w:rPr>
          <w:t>53</w:t>
        </w:r>
        <w:r w:rsidR="00A94478">
          <w:rPr>
            <w:noProof/>
            <w:webHidden/>
          </w:rPr>
          <w:fldChar w:fldCharType="end"/>
        </w:r>
      </w:hyperlink>
    </w:p>
    <w:p w14:paraId="2951DA80" w14:textId="25FA8B41" w:rsidR="00A94478" w:rsidRDefault="00C11E37">
      <w:pPr>
        <w:pStyle w:val="TOC3"/>
        <w:tabs>
          <w:tab w:val="right" w:pos="9016"/>
        </w:tabs>
        <w:rPr>
          <w:rFonts w:eastAsiaTheme="minorEastAsia" w:cstheme="minorBidi"/>
          <w:noProof/>
          <w:sz w:val="22"/>
          <w:szCs w:val="22"/>
          <w:lang w:eastAsia="en-AU"/>
        </w:rPr>
      </w:pPr>
      <w:hyperlink w:anchor="_Toc113022224" w:history="1">
        <w:r w:rsidR="00A94478" w:rsidRPr="00E41A53">
          <w:rPr>
            <w:rStyle w:val="Hyperlink"/>
            <w:noProof/>
          </w:rPr>
          <w:t>Impact on commencements and completions</w:t>
        </w:r>
        <w:r w:rsidR="00A94478">
          <w:rPr>
            <w:noProof/>
            <w:webHidden/>
          </w:rPr>
          <w:tab/>
        </w:r>
        <w:r w:rsidR="00A94478">
          <w:rPr>
            <w:noProof/>
            <w:webHidden/>
          </w:rPr>
          <w:fldChar w:fldCharType="begin"/>
        </w:r>
        <w:r w:rsidR="00A94478">
          <w:rPr>
            <w:noProof/>
            <w:webHidden/>
          </w:rPr>
          <w:instrText xml:space="preserve"> PAGEREF _Toc113022224 \h </w:instrText>
        </w:r>
        <w:r w:rsidR="00A94478">
          <w:rPr>
            <w:noProof/>
            <w:webHidden/>
          </w:rPr>
        </w:r>
        <w:r w:rsidR="00A94478">
          <w:rPr>
            <w:noProof/>
            <w:webHidden/>
          </w:rPr>
          <w:fldChar w:fldCharType="separate"/>
        </w:r>
        <w:r w:rsidR="007C7C20">
          <w:rPr>
            <w:noProof/>
            <w:webHidden/>
          </w:rPr>
          <w:t>53</w:t>
        </w:r>
        <w:r w:rsidR="00A94478">
          <w:rPr>
            <w:noProof/>
            <w:webHidden/>
          </w:rPr>
          <w:fldChar w:fldCharType="end"/>
        </w:r>
      </w:hyperlink>
    </w:p>
    <w:p w14:paraId="4438347F" w14:textId="475BE821" w:rsidR="00A94478" w:rsidRDefault="00C11E37">
      <w:pPr>
        <w:pStyle w:val="TOC3"/>
        <w:tabs>
          <w:tab w:val="right" w:pos="9016"/>
        </w:tabs>
        <w:rPr>
          <w:rFonts w:eastAsiaTheme="minorEastAsia" w:cstheme="minorBidi"/>
          <w:noProof/>
          <w:sz w:val="22"/>
          <w:szCs w:val="22"/>
          <w:lang w:eastAsia="en-AU"/>
        </w:rPr>
      </w:pPr>
      <w:hyperlink w:anchor="_Toc113022225" w:history="1">
        <w:r w:rsidR="00A94478" w:rsidRPr="00E41A53">
          <w:rPr>
            <w:rStyle w:val="Hyperlink"/>
            <w:noProof/>
          </w:rPr>
          <w:t>Regulatory impact</w:t>
        </w:r>
        <w:r w:rsidR="00A94478">
          <w:rPr>
            <w:noProof/>
            <w:webHidden/>
          </w:rPr>
          <w:tab/>
        </w:r>
        <w:r w:rsidR="00A94478">
          <w:rPr>
            <w:noProof/>
            <w:webHidden/>
          </w:rPr>
          <w:fldChar w:fldCharType="begin"/>
        </w:r>
        <w:r w:rsidR="00A94478">
          <w:rPr>
            <w:noProof/>
            <w:webHidden/>
          </w:rPr>
          <w:instrText xml:space="preserve"> PAGEREF _Toc113022225 \h </w:instrText>
        </w:r>
        <w:r w:rsidR="00A94478">
          <w:rPr>
            <w:noProof/>
            <w:webHidden/>
          </w:rPr>
        </w:r>
        <w:r w:rsidR="00A94478">
          <w:rPr>
            <w:noProof/>
            <w:webHidden/>
          </w:rPr>
          <w:fldChar w:fldCharType="separate"/>
        </w:r>
        <w:r w:rsidR="007C7C20">
          <w:rPr>
            <w:noProof/>
            <w:webHidden/>
          </w:rPr>
          <w:t>54</w:t>
        </w:r>
        <w:r w:rsidR="00A94478">
          <w:rPr>
            <w:noProof/>
            <w:webHidden/>
          </w:rPr>
          <w:fldChar w:fldCharType="end"/>
        </w:r>
      </w:hyperlink>
    </w:p>
    <w:p w14:paraId="3B42B75E" w14:textId="0ED1B6B5" w:rsidR="00A94478" w:rsidRDefault="00C11E37">
      <w:pPr>
        <w:pStyle w:val="TOC3"/>
        <w:tabs>
          <w:tab w:val="right" w:pos="9016"/>
        </w:tabs>
        <w:rPr>
          <w:rFonts w:eastAsiaTheme="minorEastAsia" w:cstheme="minorBidi"/>
          <w:noProof/>
          <w:sz w:val="22"/>
          <w:szCs w:val="22"/>
          <w:lang w:eastAsia="en-AU"/>
        </w:rPr>
      </w:pPr>
      <w:hyperlink w:anchor="_Toc113022226" w:history="1">
        <w:r w:rsidR="00A94478" w:rsidRPr="00E41A53">
          <w:rPr>
            <w:rStyle w:val="Hyperlink"/>
            <w:noProof/>
          </w:rPr>
          <w:t>Regulatory costs</w:t>
        </w:r>
        <w:r w:rsidR="00A94478">
          <w:rPr>
            <w:noProof/>
            <w:webHidden/>
          </w:rPr>
          <w:tab/>
        </w:r>
        <w:r w:rsidR="00A94478">
          <w:rPr>
            <w:noProof/>
            <w:webHidden/>
          </w:rPr>
          <w:fldChar w:fldCharType="begin"/>
        </w:r>
        <w:r w:rsidR="00A94478">
          <w:rPr>
            <w:noProof/>
            <w:webHidden/>
          </w:rPr>
          <w:instrText xml:space="preserve"> PAGEREF _Toc113022226 \h </w:instrText>
        </w:r>
        <w:r w:rsidR="00A94478">
          <w:rPr>
            <w:noProof/>
            <w:webHidden/>
          </w:rPr>
        </w:r>
        <w:r w:rsidR="00A94478">
          <w:rPr>
            <w:noProof/>
            <w:webHidden/>
          </w:rPr>
          <w:fldChar w:fldCharType="separate"/>
        </w:r>
        <w:r w:rsidR="007C7C20">
          <w:rPr>
            <w:noProof/>
            <w:webHidden/>
          </w:rPr>
          <w:t>54</w:t>
        </w:r>
        <w:r w:rsidR="00A94478">
          <w:rPr>
            <w:noProof/>
            <w:webHidden/>
          </w:rPr>
          <w:fldChar w:fldCharType="end"/>
        </w:r>
      </w:hyperlink>
    </w:p>
    <w:p w14:paraId="098152B7" w14:textId="22F929B1" w:rsidR="00A94478" w:rsidRDefault="00C11E37" w:rsidP="00B93CF9">
      <w:pPr>
        <w:pStyle w:val="TOC1"/>
        <w:rPr>
          <w:rFonts w:eastAsiaTheme="minorEastAsia" w:cstheme="minorBidi"/>
          <w:noProof/>
          <w:sz w:val="22"/>
          <w:szCs w:val="22"/>
          <w:lang w:eastAsia="en-AU"/>
        </w:rPr>
      </w:pPr>
      <w:hyperlink w:anchor="_Toc113022227" w:history="1">
        <w:r w:rsidR="00A94478" w:rsidRPr="00E41A53">
          <w:rPr>
            <w:rStyle w:val="Hyperlink"/>
            <w:noProof/>
          </w:rPr>
          <w:t>Chapter Six: Consultation</w:t>
        </w:r>
        <w:r w:rsidR="00A94478">
          <w:rPr>
            <w:noProof/>
            <w:webHidden/>
          </w:rPr>
          <w:tab/>
        </w:r>
        <w:r w:rsidR="00A94478">
          <w:rPr>
            <w:noProof/>
            <w:webHidden/>
          </w:rPr>
          <w:fldChar w:fldCharType="begin"/>
        </w:r>
        <w:r w:rsidR="00A94478">
          <w:rPr>
            <w:noProof/>
            <w:webHidden/>
          </w:rPr>
          <w:instrText xml:space="preserve"> PAGEREF _Toc113022227 \h </w:instrText>
        </w:r>
        <w:r w:rsidR="00A94478">
          <w:rPr>
            <w:noProof/>
            <w:webHidden/>
          </w:rPr>
        </w:r>
        <w:r w:rsidR="00A94478">
          <w:rPr>
            <w:noProof/>
            <w:webHidden/>
          </w:rPr>
          <w:fldChar w:fldCharType="separate"/>
        </w:r>
        <w:r w:rsidR="007C7C20">
          <w:rPr>
            <w:noProof/>
            <w:webHidden/>
          </w:rPr>
          <w:t>56</w:t>
        </w:r>
        <w:r w:rsidR="00A94478">
          <w:rPr>
            <w:noProof/>
            <w:webHidden/>
          </w:rPr>
          <w:fldChar w:fldCharType="end"/>
        </w:r>
      </w:hyperlink>
    </w:p>
    <w:p w14:paraId="414EE77C" w14:textId="4EA91D38" w:rsidR="00A94478" w:rsidRDefault="00C11E37" w:rsidP="00A042F8">
      <w:pPr>
        <w:pStyle w:val="TOC2"/>
        <w:rPr>
          <w:rFonts w:eastAsiaTheme="minorEastAsia" w:cstheme="minorBidi"/>
          <w:i/>
          <w:iCs/>
          <w:noProof/>
          <w:lang w:eastAsia="en-AU"/>
        </w:rPr>
      </w:pPr>
      <w:hyperlink w:anchor="_Toc113022228" w:history="1">
        <w:r w:rsidR="00A94478" w:rsidRPr="00E41A53">
          <w:rPr>
            <w:rStyle w:val="Hyperlink"/>
            <w:noProof/>
          </w:rPr>
          <w:t>6.1 Australian apprenticeships incentives reform consultation</w:t>
        </w:r>
        <w:r w:rsidR="00A94478">
          <w:rPr>
            <w:noProof/>
            <w:webHidden/>
          </w:rPr>
          <w:tab/>
        </w:r>
        <w:r w:rsidR="00A94478">
          <w:rPr>
            <w:noProof/>
            <w:webHidden/>
          </w:rPr>
          <w:fldChar w:fldCharType="begin"/>
        </w:r>
        <w:r w:rsidR="00A94478">
          <w:rPr>
            <w:noProof/>
            <w:webHidden/>
          </w:rPr>
          <w:instrText xml:space="preserve"> PAGEREF _Toc113022228 \h </w:instrText>
        </w:r>
        <w:r w:rsidR="00A94478">
          <w:rPr>
            <w:noProof/>
            <w:webHidden/>
          </w:rPr>
        </w:r>
        <w:r w:rsidR="00A94478">
          <w:rPr>
            <w:noProof/>
            <w:webHidden/>
          </w:rPr>
          <w:fldChar w:fldCharType="separate"/>
        </w:r>
        <w:r w:rsidR="007C7C20">
          <w:rPr>
            <w:noProof/>
            <w:webHidden/>
          </w:rPr>
          <w:t>56</w:t>
        </w:r>
        <w:r w:rsidR="00A94478">
          <w:rPr>
            <w:noProof/>
            <w:webHidden/>
          </w:rPr>
          <w:fldChar w:fldCharType="end"/>
        </w:r>
      </w:hyperlink>
    </w:p>
    <w:p w14:paraId="0B1351F2" w14:textId="5827B3A5" w:rsidR="00A94478" w:rsidRDefault="00C11E37">
      <w:pPr>
        <w:pStyle w:val="TOC3"/>
        <w:tabs>
          <w:tab w:val="right" w:pos="9016"/>
        </w:tabs>
        <w:rPr>
          <w:rFonts w:eastAsiaTheme="minorEastAsia" w:cstheme="minorBidi"/>
          <w:noProof/>
          <w:sz w:val="22"/>
          <w:szCs w:val="22"/>
          <w:lang w:eastAsia="en-AU"/>
        </w:rPr>
      </w:pPr>
      <w:hyperlink w:anchor="_Toc113022229" w:history="1">
        <w:r w:rsidR="00A94478" w:rsidRPr="00E41A53">
          <w:rPr>
            <w:rStyle w:val="Hyperlink"/>
            <w:noProof/>
          </w:rPr>
          <w:t>Primary research</w:t>
        </w:r>
        <w:r w:rsidR="00A94478">
          <w:rPr>
            <w:noProof/>
            <w:webHidden/>
          </w:rPr>
          <w:tab/>
        </w:r>
        <w:r w:rsidR="00A94478">
          <w:rPr>
            <w:noProof/>
            <w:webHidden/>
          </w:rPr>
          <w:fldChar w:fldCharType="begin"/>
        </w:r>
        <w:r w:rsidR="00A94478">
          <w:rPr>
            <w:noProof/>
            <w:webHidden/>
          </w:rPr>
          <w:instrText xml:space="preserve"> PAGEREF _Toc113022229 \h </w:instrText>
        </w:r>
        <w:r w:rsidR="00A94478">
          <w:rPr>
            <w:noProof/>
            <w:webHidden/>
          </w:rPr>
        </w:r>
        <w:r w:rsidR="00A94478">
          <w:rPr>
            <w:noProof/>
            <w:webHidden/>
          </w:rPr>
          <w:fldChar w:fldCharType="separate"/>
        </w:r>
        <w:r w:rsidR="007C7C20">
          <w:rPr>
            <w:noProof/>
            <w:webHidden/>
          </w:rPr>
          <w:t>58</w:t>
        </w:r>
        <w:r w:rsidR="00A94478">
          <w:rPr>
            <w:noProof/>
            <w:webHidden/>
          </w:rPr>
          <w:fldChar w:fldCharType="end"/>
        </w:r>
      </w:hyperlink>
    </w:p>
    <w:p w14:paraId="7F3B78D7" w14:textId="1E3804DE" w:rsidR="00A94478" w:rsidRDefault="00C11E37">
      <w:pPr>
        <w:pStyle w:val="TOC3"/>
        <w:tabs>
          <w:tab w:val="right" w:pos="9016"/>
        </w:tabs>
        <w:rPr>
          <w:rFonts w:eastAsiaTheme="minorEastAsia" w:cstheme="minorBidi"/>
          <w:noProof/>
          <w:sz w:val="22"/>
          <w:szCs w:val="22"/>
          <w:lang w:eastAsia="en-AU"/>
        </w:rPr>
      </w:pPr>
      <w:hyperlink w:anchor="_Toc113022230" w:history="1">
        <w:r w:rsidR="00A94478" w:rsidRPr="00E41A53">
          <w:rPr>
            <w:rStyle w:val="Hyperlink"/>
            <w:noProof/>
          </w:rPr>
          <w:t>How did we incorporate feedback into policy? What other consultation will occur?</w:t>
        </w:r>
        <w:r w:rsidR="00A94478">
          <w:rPr>
            <w:noProof/>
            <w:webHidden/>
          </w:rPr>
          <w:tab/>
        </w:r>
        <w:r w:rsidR="00A94478">
          <w:rPr>
            <w:noProof/>
            <w:webHidden/>
          </w:rPr>
          <w:fldChar w:fldCharType="begin"/>
        </w:r>
        <w:r w:rsidR="00A94478">
          <w:rPr>
            <w:noProof/>
            <w:webHidden/>
          </w:rPr>
          <w:instrText xml:space="preserve"> PAGEREF _Toc113022230 \h </w:instrText>
        </w:r>
        <w:r w:rsidR="00A94478">
          <w:rPr>
            <w:noProof/>
            <w:webHidden/>
          </w:rPr>
        </w:r>
        <w:r w:rsidR="00A94478">
          <w:rPr>
            <w:noProof/>
            <w:webHidden/>
          </w:rPr>
          <w:fldChar w:fldCharType="separate"/>
        </w:r>
        <w:r w:rsidR="007C7C20">
          <w:rPr>
            <w:noProof/>
            <w:webHidden/>
          </w:rPr>
          <w:t>61</w:t>
        </w:r>
        <w:r w:rsidR="00A94478">
          <w:rPr>
            <w:noProof/>
            <w:webHidden/>
          </w:rPr>
          <w:fldChar w:fldCharType="end"/>
        </w:r>
      </w:hyperlink>
    </w:p>
    <w:p w14:paraId="2797DEB2" w14:textId="5EF6D41F" w:rsidR="00A94478" w:rsidRDefault="00C11E37" w:rsidP="00B93CF9">
      <w:pPr>
        <w:pStyle w:val="TOC1"/>
        <w:rPr>
          <w:rFonts w:eastAsiaTheme="minorEastAsia" w:cstheme="minorBidi"/>
          <w:noProof/>
          <w:sz w:val="22"/>
          <w:szCs w:val="22"/>
          <w:lang w:eastAsia="en-AU"/>
        </w:rPr>
      </w:pPr>
      <w:hyperlink w:anchor="_Toc113022231" w:history="1">
        <w:r w:rsidR="00A94478" w:rsidRPr="00E41A53">
          <w:rPr>
            <w:rStyle w:val="Hyperlink"/>
            <w:noProof/>
          </w:rPr>
          <w:t>Chapter Seven: Recommended Option</w:t>
        </w:r>
        <w:r w:rsidR="00A94478">
          <w:rPr>
            <w:noProof/>
            <w:webHidden/>
          </w:rPr>
          <w:tab/>
        </w:r>
        <w:r w:rsidR="00A94478">
          <w:rPr>
            <w:noProof/>
            <w:webHidden/>
          </w:rPr>
          <w:fldChar w:fldCharType="begin"/>
        </w:r>
        <w:r w:rsidR="00A94478">
          <w:rPr>
            <w:noProof/>
            <w:webHidden/>
          </w:rPr>
          <w:instrText xml:space="preserve"> PAGEREF _Toc113022231 \h </w:instrText>
        </w:r>
        <w:r w:rsidR="00A94478">
          <w:rPr>
            <w:noProof/>
            <w:webHidden/>
          </w:rPr>
        </w:r>
        <w:r w:rsidR="00A94478">
          <w:rPr>
            <w:noProof/>
            <w:webHidden/>
          </w:rPr>
          <w:fldChar w:fldCharType="separate"/>
        </w:r>
        <w:r w:rsidR="007C7C20">
          <w:rPr>
            <w:noProof/>
            <w:webHidden/>
          </w:rPr>
          <w:t>62</w:t>
        </w:r>
        <w:r w:rsidR="00A94478">
          <w:rPr>
            <w:noProof/>
            <w:webHidden/>
          </w:rPr>
          <w:fldChar w:fldCharType="end"/>
        </w:r>
      </w:hyperlink>
    </w:p>
    <w:p w14:paraId="08471F9F" w14:textId="038FE057" w:rsidR="00A94478" w:rsidRDefault="00C11E37" w:rsidP="00B93CF9">
      <w:pPr>
        <w:pStyle w:val="TOC1"/>
        <w:rPr>
          <w:rFonts w:eastAsiaTheme="minorEastAsia" w:cstheme="minorBidi"/>
          <w:noProof/>
          <w:sz w:val="22"/>
          <w:szCs w:val="22"/>
          <w:lang w:eastAsia="en-AU"/>
        </w:rPr>
      </w:pPr>
      <w:hyperlink w:anchor="_Toc113022232" w:history="1">
        <w:r w:rsidR="00A94478" w:rsidRPr="00E41A53">
          <w:rPr>
            <w:rStyle w:val="Hyperlink"/>
            <w:noProof/>
          </w:rPr>
          <w:t>Chapter Eight: Implementation and Review</w:t>
        </w:r>
        <w:r w:rsidR="00A94478">
          <w:rPr>
            <w:noProof/>
            <w:webHidden/>
          </w:rPr>
          <w:tab/>
        </w:r>
        <w:r w:rsidR="00A94478">
          <w:rPr>
            <w:noProof/>
            <w:webHidden/>
          </w:rPr>
          <w:fldChar w:fldCharType="begin"/>
        </w:r>
        <w:r w:rsidR="00A94478">
          <w:rPr>
            <w:noProof/>
            <w:webHidden/>
          </w:rPr>
          <w:instrText xml:space="preserve"> PAGEREF _Toc113022232 \h </w:instrText>
        </w:r>
        <w:r w:rsidR="00A94478">
          <w:rPr>
            <w:noProof/>
            <w:webHidden/>
          </w:rPr>
        </w:r>
        <w:r w:rsidR="00A94478">
          <w:rPr>
            <w:noProof/>
            <w:webHidden/>
          </w:rPr>
          <w:fldChar w:fldCharType="separate"/>
        </w:r>
        <w:r w:rsidR="007C7C20">
          <w:rPr>
            <w:noProof/>
            <w:webHidden/>
          </w:rPr>
          <w:t>64</w:t>
        </w:r>
        <w:r w:rsidR="00A94478">
          <w:rPr>
            <w:noProof/>
            <w:webHidden/>
          </w:rPr>
          <w:fldChar w:fldCharType="end"/>
        </w:r>
      </w:hyperlink>
    </w:p>
    <w:p w14:paraId="2B94B8C8" w14:textId="699502E3" w:rsidR="00A94478" w:rsidRDefault="00C11E37" w:rsidP="00A042F8">
      <w:pPr>
        <w:pStyle w:val="TOC2"/>
        <w:rPr>
          <w:rFonts w:eastAsiaTheme="minorEastAsia" w:cstheme="minorBidi"/>
          <w:i/>
          <w:iCs/>
          <w:noProof/>
          <w:lang w:eastAsia="en-AU"/>
        </w:rPr>
      </w:pPr>
      <w:hyperlink w:anchor="_Toc113022233" w:history="1">
        <w:r w:rsidR="00A94478" w:rsidRPr="00E41A53">
          <w:rPr>
            <w:rStyle w:val="Hyperlink"/>
            <w:noProof/>
          </w:rPr>
          <w:t>8.1 Implementation</w:t>
        </w:r>
        <w:r w:rsidR="00A94478">
          <w:rPr>
            <w:noProof/>
            <w:webHidden/>
          </w:rPr>
          <w:tab/>
        </w:r>
        <w:r w:rsidR="00A94478">
          <w:rPr>
            <w:noProof/>
            <w:webHidden/>
          </w:rPr>
          <w:fldChar w:fldCharType="begin"/>
        </w:r>
        <w:r w:rsidR="00A94478">
          <w:rPr>
            <w:noProof/>
            <w:webHidden/>
          </w:rPr>
          <w:instrText xml:space="preserve"> PAGEREF _Toc113022233 \h </w:instrText>
        </w:r>
        <w:r w:rsidR="00A94478">
          <w:rPr>
            <w:noProof/>
            <w:webHidden/>
          </w:rPr>
        </w:r>
        <w:r w:rsidR="00A94478">
          <w:rPr>
            <w:noProof/>
            <w:webHidden/>
          </w:rPr>
          <w:fldChar w:fldCharType="separate"/>
        </w:r>
        <w:r w:rsidR="007C7C20">
          <w:rPr>
            <w:noProof/>
            <w:webHidden/>
          </w:rPr>
          <w:t>64</w:t>
        </w:r>
        <w:r w:rsidR="00A94478">
          <w:rPr>
            <w:noProof/>
            <w:webHidden/>
          </w:rPr>
          <w:fldChar w:fldCharType="end"/>
        </w:r>
      </w:hyperlink>
    </w:p>
    <w:p w14:paraId="038195F8" w14:textId="5754F0F4" w:rsidR="00A94478" w:rsidRDefault="00C11E37">
      <w:pPr>
        <w:pStyle w:val="TOC3"/>
        <w:tabs>
          <w:tab w:val="right" w:pos="9016"/>
        </w:tabs>
        <w:rPr>
          <w:rFonts w:eastAsiaTheme="minorEastAsia" w:cstheme="minorBidi"/>
          <w:noProof/>
          <w:sz w:val="22"/>
          <w:szCs w:val="22"/>
          <w:lang w:eastAsia="en-AU"/>
        </w:rPr>
      </w:pPr>
      <w:hyperlink w:anchor="_Toc113022234" w:history="1">
        <w:r w:rsidR="00A94478" w:rsidRPr="00E41A53">
          <w:rPr>
            <w:rStyle w:val="Hyperlink"/>
            <w:noProof/>
          </w:rPr>
          <w:t>Legislation</w:t>
        </w:r>
        <w:r w:rsidR="00A94478">
          <w:rPr>
            <w:noProof/>
            <w:webHidden/>
          </w:rPr>
          <w:tab/>
        </w:r>
        <w:r w:rsidR="00A94478">
          <w:rPr>
            <w:noProof/>
            <w:webHidden/>
          </w:rPr>
          <w:fldChar w:fldCharType="begin"/>
        </w:r>
        <w:r w:rsidR="00A94478">
          <w:rPr>
            <w:noProof/>
            <w:webHidden/>
          </w:rPr>
          <w:instrText xml:space="preserve"> PAGEREF _Toc113022234 \h </w:instrText>
        </w:r>
        <w:r w:rsidR="00A94478">
          <w:rPr>
            <w:noProof/>
            <w:webHidden/>
          </w:rPr>
        </w:r>
        <w:r w:rsidR="00A94478">
          <w:rPr>
            <w:noProof/>
            <w:webHidden/>
          </w:rPr>
          <w:fldChar w:fldCharType="separate"/>
        </w:r>
        <w:r w:rsidR="007C7C20">
          <w:rPr>
            <w:noProof/>
            <w:webHidden/>
          </w:rPr>
          <w:t>64</w:t>
        </w:r>
        <w:r w:rsidR="00A94478">
          <w:rPr>
            <w:noProof/>
            <w:webHidden/>
          </w:rPr>
          <w:fldChar w:fldCharType="end"/>
        </w:r>
      </w:hyperlink>
    </w:p>
    <w:p w14:paraId="1D62FF3F" w14:textId="2B611352" w:rsidR="00A94478" w:rsidRDefault="00C11E37">
      <w:pPr>
        <w:pStyle w:val="TOC3"/>
        <w:tabs>
          <w:tab w:val="right" w:pos="9016"/>
        </w:tabs>
        <w:rPr>
          <w:rFonts w:eastAsiaTheme="minorEastAsia" w:cstheme="minorBidi"/>
          <w:noProof/>
          <w:sz w:val="22"/>
          <w:szCs w:val="22"/>
          <w:lang w:eastAsia="en-AU"/>
        </w:rPr>
      </w:pPr>
      <w:hyperlink w:anchor="_Toc113022235" w:history="1">
        <w:r w:rsidR="00A94478" w:rsidRPr="00E41A53">
          <w:rPr>
            <w:rStyle w:val="Hyperlink"/>
            <w:noProof/>
          </w:rPr>
          <w:t>Program guidelines</w:t>
        </w:r>
        <w:r w:rsidR="00A94478">
          <w:rPr>
            <w:noProof/>
            <w:webHidden/>
          </w:rPr>
          <w:tab/>
        </w:r>
        <w:r w:rsidR="00A94478">
          <w:rPr>
            <w:noProof/>
            <w:webHidden/>
          </w:rPr>
          <w:fldChar w:fldCharType="begin"/>
        </w:r>
        <w:r w:rsidR="00A94478">
          <w:rPr>
            <w:noProof/>
            <w:webHidden/>
          </w:rPr>
          <w:instrText xml:space="preserve"> PAGEREF _Toc113022235 \h </w:instrText>
        </w:r>
        <w:r w:rsidR="00A94478">
          <w:rPr>
            <w:noProof/>
            <w:webHidden/>
          </w:rPr>
        </w:r>
        <w:r w:rsidR="00A94478">
          <w:rPr>
            <w:noProof/>
            <w:webHidden/>
          </w:rPr>
          <w:fldChar w:fldCharType="separate"/>
        </w:r>
        <w:r w:rsidR="007C7C20">
          <w:rPr>
            <w:noProof/>
            <w:webHidden/>
          </w:rPr>
          <w:t>64</w:t>
        </w:r>
        <w:r w:rsidR="00A94478">
          <w:rPr>
            <w:noProof/>
            <w:webHidden/>
          </w:rPr>
          <w:fldChar w:fldCharType="end"/>
        </w:r>
      </w:hyperlink>
    </w:p>
    <w:p w14:paraId="79E6D78B" w14:textId="112E4869" w:rsidR="00A94478" w:rsidRDefault="00C11E37">
      <w:pPr>
        <w:pStyle w:val="TOC3"/>
        <w:tabs>
          <w:tab w:val="right" w:pos="9016"/>
        </w:tabs>
        <w:rPr>
          <w:rFonts w:eastAsiaTheme="minorEastAsia" w:cstheme="minorBidi"/>
          <w:noProof/>
          <w:sz w:val="22"/>
          <w:szCs w:val="22"/>
          <w:lang w:eastAsia="en-AU"/>
        </w:rPr>
      </w:pPr>
      <w:hyperlink w:anchor="_Toc113022236" w:history="1">
        <w:r w:rsidR="00A94478" w:rsidRPr="00E41A53">
          <w:rPr>
            <w:rStyle w:val="Hyperlink"/>
            <w:noProof/>
          </w:rPr>
          <w:t>AASN provider contracts</w:t>
        </w:r>
        <w:r w:rsidR="00A94478">
          <w:rPr>
            <w:noProof/>
            <w:webHidden/>
          </w:rPr>
          <w:tab/>
        </w:r>
        <w:r w:rsidR="00A94478">
          <w:rPr>
            <w:noProof/>
            <w:webHidden/>
          </w:rPr>
          <w:fldChar w:fldCharType="begin"/>
        </w:r>
        <w:r w:rsidR="00A94478">
          <w:rPr>
            <w:noProof/>
            <w:webHidden/>
          </w:rPr>
          <w:instrText xml:space="preserve"> PAGEREF _Toc113022236 \h </w:instrText>
        </w:r>
        <w:r w:rsidR="00A94478">
          <w:rPr>
            <w:noProof/>
            <w:webHidden/>
          </w:rPr>
        </w:r>
        <w:r w:rsidR="00A94478">
          <w:rPr>
            <w:noProof/>
            <w:webHidden/>
          </w:rPr>
          <w:fldChar w:fldCharType="separate"/>
        </w:r>
        <w:r w:rsidR="007C7C20">
          <w:rPr>
            <w:noProof/>
            <w:webHidden/>
          </w:rPr>
          <w:t>64</w:t>
        </w:r>
        <w:r w:rsidR="00A94478">
          <w:rPr>
            <w:noProof/>
            <w:webHidden/>
          </w:rPr>
          <w:fldChar w:fldCharType="end"/>
        </w:r>
      </w:hyperlink>
    </w:p>
    <w:p w14:paraId="27E7F086" w14:textId="0FAAA6D5" w:rsidR="00A94478" w:rsidRDefault="00C11E37">
      <w:pPr>
        <w:pStyle w:val="TOC3"/>
        <w:tabs>
          <w:tab w:val="right" w:pos="9016"/>
        </w:tabs>
        <w:rPr>
          <w:rFonts w:eastAsiaTheme="minorEastAsia" w:cstheme="minorBidi"/>
          <w:noProof/>
          <w:sz w:val="22"/>
          <w:szCs w:val="22"/>
          <w:lang w:eastAsia="en-AU"/>
        </w:rPr>
      </w:pPr>
      <w:hyperlink w:anchor="_Toc113022237" w:history="1">
        <w:r w:rsidR="00A94478" w:rsidRPr="00E41A53">
          <w:rPr>
            <w:rStyle w:val="Hyperlink"/>
            <w:noProof/>
          </w:rPr>
          <w:t>Grandfathering arrangements</w:t>
        </w:r>
        <w:r w:rsidR="00A94478">
          <w:rPr>
            <w:noProof/>
            <w:webHidden/>
          </w:rPr>
          <w:tab/>
        </w:r>
        <w:r w:rsidR="00A94478">
          <w:rPr>
            <w:noProof/>
            <w:webHidden/>
          </w:rPr>
          <w:fldChar w:fldCharType="begin"/>
        </w:r>
        <w:r w:rsidR="00A94478">
          <w:rPr>
            <w:noProof/>
            <w:webHidden/>
          </w:rPr>
          <w:instrText xml:space="preserve"> PAGEREF _Toc113022237 \h </w:instrText>
        </w:r>
        <w:r w:rsidR="00A94478">
          <w:rPr>
            <w:noProof/>
            <w:webHidden/>
          </w:rPr>
        </w:r>
        <w:r w:rsidR="00A94478">
          <w:rPr>
            <w:noProof/>
            <w:webHidden/>
          </w:rPr>
          <w:fldChar w:fldCharType="separate"/>
        </w:r>
        <w:r w:rsidR="007C7C20">
          <w:rPr>
            <w:noProof/>
            <w:webHidden/>
          </w:rPr>
          <w:t>65</w:t>
        </w:r>
        <w:r w:rsidR="00A94478">
          <w:rPr>
            <w:noProof/>
            <w:webHidden/>
          </w:rPr>
          <w:fldChar w:fldCharType="end"/>
        </w:r>
      </w:hyperlink>
    </w:p>
    <w:p w14:paraId="0803166E" w14:textId="3BC371DB" w:rsidR="00A94478" w:rsidRDefault="00C11E37">
      <w:pPr>
        <w:pStyle w:val="TOC3"/>
        <w:tabs>
          <w:tab w:val="right" w:pos="9016"/>
        </w:tabs>
        <w:rPr>
          <w:rFonts w:eastAsiaTheme="minorEastAsia" w:cstheme="minorBidi"/>
          <w:noProof/>
          <w:sz w:val="22"/>
          <w:szCs w:val="22"/>
          <w:lang w:eastAsia="en-AU"/>
        </w:rPr>
      </w:pPr>
      <w:hyperlink w:anchor="_Toc113022238" w:history="1">
        <w:r w:rsidR="00A94478" w:rsidRPr="00E41A53">
          <w:rPr>
            <w:rStyle w:val="Hyperlink"/>
            <w:noProof/>
          </w:rPr>
          <w:t>Stakeholder engagement</w:t>
        </w:r>
        <w:r w:rsidR="00A94478">
          <w:rPr>
            <w:noProof/>
            <w:webHidden/>
          </w:rPr>
          <w:tab/>
        </w:r>
        <w:r w:rsidR="00A94478">
          <w:rPr>
            <w:noProof/>
            <w:webHidden/>
          </w:rPr>
          <w:fldChar w:fldCharType="begin"/>
        </w:r>
        <w:r w:rsidR="00A94478">
          <w:rPr>
            <w:noProof/>
            <w:webHidden/>
          </w:rPr>
          <w:instrText xml:space="preserve"> PAGEREF _Toc113022238 \h </w:instrText>
        </w:r>
        <w:r w:rsidR="00A94478">
          <w:rPr>
            <w:noProof/>
            <w:webHidden/>
          </w:rPr>
        </w:r>
        <w:r w:rsidR="00A94478">
          <w:rPr>
            <w:noProof/>
            <w:webHidden/>
          </w:rPr>
          <w:fldChar w:fldCharType="separate"/>
        </w:r>
        <w:r w:rsidR="007C7C20">
          <w:rPr>
            <w:noProof/>
            <w:webHidden/>
          </w:rPr>
          <w:t>65</w:t>
        </w:r>
        <w:r w:rsidR="00A94478">
          <w:rPr>
            <w:noProof/>
            <w:webHidden/>
          </w:rPr>
          <w:fldChar w:fldCharType="end"/>
        </w:r>
      </w:hyperlink>
    </w:p>
    <w:p w14:paraId="798033F4" w14:textId="44D6D6AE" w:rsidR="00A94478" w:rsidRDefault="00C11E37">
      <w:pPr>
        <w:pStyle w:val="TOC3"/>
        <w:tabs>
          <w:tab w:val="right" w:pos="9016"/>
        </w:tabs>
        <w:rPr>
          <w:rFonts w:eastAsiaTheme="minorEastAsia" w:cstheme="minorBidi"/>
          <w:noProof/>
          <w:sz w:val="22"/>
          <w:szCs w:val="22"/>
          <w:lang w:eastAsia="en-AU"/>
        </w:rPr>
      </w:pPr>
      <w:hyperlink w:anchor="_Toc113022239" w:history="1">
        <w:r w:rsidR="00A94478" w:rsidRPr="00E41A53">
          <w:rPr>
            <w:rStyle w:val="Hyperlink"/>
            <w:noProof/>
          </w:rPr>
          <w:t>Information technology</w:t>
        </w:r>
        <w:r w:rsidR="00A94478">
          <w:rPr>
            <w:noProof/>
            <w:webHidden/>
          </w:rPr>
          <w:tab/>
        </w:r>
        <w:r w:rsidR="00A94478">
          <w:rPr>
            <w:noProof/>
            <w:webHidden/>
          </w:rPr>
          <w:fldChar w:fldCharType="begin"/>
        </w:r>
        <w:r w:rsidR="00A94478">
          <w:rPr>
            <w:noProof/>
            <w:webHidden/>
          </w:rPr>
          <w:instrText xml:space="preserve"> PAGEREF _Toc113022239 \h </w:instrText>
        </w:r>
        <w:r w:rsidR="00A94478">
          <w:rPr>
            <w:noProof/>
            <w:webHidden/>
          </w:rPr>
        </w:r>
        <w:r w:rsidR="00A94478">
          <w:rPr>
            <w:noProof/>
            <w:webHidden/>
          </w:rPr>
          <w:fldChar w:fldCharType="separate"/>
        </w:r>
        <w:r w:rsidR="007C7C20">
          <w:rPr>
            <w:noProof/>
            <w:webHidden/>
          </w:rPr>
          <w:t>65</w:t>
        </w:r>
        <w:r w:rsidR="00A94478">
          <w:rPr>
            <w:noProof/>
            <w:webHidden/>
          </w:rPr>
          <w:fldChar w:fldCharType="end"/>
        </w:r>
      </w:hyperlink>
    </w:p>
    <w:p w14:paraId="4656081C" w14:textId="11326D3A" w:rsidR="00A94478" w:rsidRDefault="00C11E37" w:rsidP="00A042F8">
      <w:pPr>
        <w:pStyle w:val="TOC2"/>
        <w:rPr>
          <w:rFonts w:eastAsiaTheme="minorEastAsia" w:cstheme="minorBidi"/>
          <w:i/>
          <w:iCs/>
          <w:noProof/>
          <w:lang w:eastAsia="en-AU"/>
        </w:rPr>
      </w:pPr>
      <w:hyperlink w:anchor="_Toc113022240" w:history="1">
        <w:r w:rsidR="00A94478" w:rsidRPr="00E41A53">
          <w:rPr>
            <w:rStyle w:val="Hyperlink"/>
            <w:noProof/>
          </w:rPr>
          <w:t>8.2 Evaluation</w:t>
        </w:r>
        <w:r w:rsidR="00A94478">
          <w:rPr>
            <w:noProof/>
            <w:webHidden/>
          </w:rPr>
          <w:tab/>
        </w:r>
        <w:r w:rsidR="00A94478">
          <w:rPr>
            <w:noProof/>
            <w:webHidden/>
          </w:rPr>
          <w:fldChar w:fldCharType="begin"/>
        </w:r>
        <w:r w:rsidR="00A94478">
          <w:rPr>
            <w:noProof/>
            <w:webHidden/>
          </w:rPr>
          <w:instrText xml:space="preserve"> PAGEREF _Toc113022240 \h </w:instrText>
        </w:r>
        <w:r w:rsidR="00A94478">
          <w:rPr>
            <w:noProof/>
            <w:webHidden/>
          </w:rPr>
        </w:r>
        <w:r w:rsidR="00A94478">
          <w:rPr>
            <w:noProof/>
            <w:webHidden/>
          </w:rPr>
          <w:fldChar w:fldCharType="separate"/>
        </w:r>
        <w:r w:rsidR="007C7C20">
          <w:rPr>
            <w:noProof/>
            <w:webHidden/>
          </w:rPr>
          <w:t>66</w:t>
        </w:r>
        <w:r w:rsidR="00A94478">
          <w:rPr>
            <w:noProof/>
            <w:webHidden/>
          </w:rPr>
          <w:fldChar w:fldCharType="end"/>
        </w:r>
      </w:hyperlink>
    </w:p>
    <w:p w14:paraId="6D81E65F" w14:textId="2DAFF6F2" w:rsidR="00A94478" w:rsidRDefault="00C11E37" w:rsidP="00B93CF9">
      <w:pPr>
        <w:pStyle w:val="TOC1"/>
        <w:rPr>
          <w:rFonts w:eastAsiaTheme="minorEastAsia" w:cstheme="minorBidi"/>
          <w:noProof/>
          <w:sz w:val="22"/>
          <w:szCs w:val="22"/>
          <w:lang w:eastAsia="en-AU"/>
        </w:rPr>
      </w:pPr>
      <w:hyperlink w:anchor="_Toc113022241" w:history="1">
        <w:r w:rsidR="00A94478" w:rsidRPr="00E41A53">
          <w:rPr>
            <w:rStyle w:val="Hyperlink"/>
            <w:noProof/>
          </w:rPr>
          <w:t>Chapter Nine: Reference List</w:t>
        </w:r>
        <w:r w:rsidR="00A94478">
          <w:rPr>
            <w:noProof/>
            <w:webHidden/>
          </w:rPr>
          <w:tab/>
        </w:r>
        <w:r w:rsidR="00A94478">
          <w:rPr>
            <w:noProof/>
            <w:webHidden/>
          </w:rPr>
          <w:fldChar w:fldCharType="begin"/>
        </w:r>
        <w:r w:rsidR="00A94478">
          <w:rPr>
            <w:noProof/>
            <w:webHidden/>
          </w:rPr>
          <w:instrText xml:space="preserve"> PAGEREF _Toc113022241 \h </w:instrText>
        </w:r>
        <w:r w:rsidR="00A94478">
          <w:rPr>
            <w:noProof/>
            <w:webHidden/>
          </w:rPr>
        </w:r>
        <w:r w:rsidR="00A94478">
          <w:rPr>
            <w:noProof/>
            <w:webHidden/>
          </w:rPr>
          <w:fldChar w:fldCharType="separate"/>
        </w:r>
        <w:r w:rsidR="007C7C20">
          <w:rPr>
            <w:noProof/>
            <w:webHidden/>
          </w:rPr>
          <w:t>67</w:t>
        </w:r>
        <w:r w:rsidR="00A94478">
          <w:rPr>
            <w:noProof/>
            <w:webHidden/>
          </w:rPr>
          <w:fldChar w:fldCharType="end"/>
        </w:r>
      </w:hyperlink>
    </w:p>
    <w:p w14:paraId="2B6FC04D" w14:textId="18070D6F" w:rsidR="00A94478" w:rsidRDefault="00C11E37" w:rsidP="00B93CF9">
      <w:pPr>
        <w:pStyle w:val="TOC1"/>
        <w:rPr>
          <w:rFonts w:eastAsiaTheme="minorEastAsia" w:cstheme="minorBidi"/>
          <w:noProof/>
          <w:sz w:val="22"/>
          <w:szCs w:val="22"/>
          <w:lang w:eastAsia="en-AU"/>
        </w:rPr>
      </w:pPr>
      <w:hyperlink w:anchor="_Toc113022242" w:history="1">
        <w:r w:rsidR="00A94478" w:rsidRPr="00E41A53">
          <w:rPr>
            <w:rStyle w:val="Hyperlink"/>
            <w:noProof/>
          </w:rPr>
          <w:t>Chapter Ten: Attachments</w:t>
        </w:r>
        <w:r w:rsidR="00A94478">
          <w:rPr>
            <w:noProof/>
            <w:webHidden/>
          </w:rPr>
          <w:tab/>
        </w:r>
        <w:r w:rsidR="00A94478">
          <w:rPr>
            <w:noProof/>
            <w:webHidden/>
          </w:rPr>
          <w:fldChar w:fldCharType="begin"/>
        </w:r>
        <w:r w:rsidR="00A94478">
          <w:rPr>
            <w:noProof/>
            <w:webHidden/>
          </w:rPr>
          <w:instrText xml:space="preserve"> PAGEREF _Toc113022242 \h </w:instrText>
        </w:r>
        <w:r w:rsidR="00A94478">
          <w:rPr>
            <w:noProof/>
            <w:webHidden/>
          </w:rPr>
        </w:r>
        <w:r w:rsidR="00A94478">
          <w:rPr>
            <w:noProof/>
            <w:webHidden/>
          </w:rPr>
          <w:fldChar w:fldCharType="separate"/>
        </w:r>
        <w:r w:rsidR="007C7C20">
          <w:rPr>
            <w:noProof/>
            <w:webHidden/>
          </w:rPr>
          <w:t>69</w:t>
        </w:r>
        <w:r w:rsidR="00A94478">
          <w:rPr>
            <w:noProof/>
            <w:webHidden/>
          </w:rPr>
          <w:fldChar w:fldCharType="end"/>
        </w:r>
      </w:hyperlink>
    </w:p>
    <w:p w14:paraId="79311220" w14:textId="1798DD5C" w:rsidR="00A94478" w:rsidRDefault="00C11E37" w:rsidP="00A042F8">
      <w:pPr>
        <w:pStyle w:val="TOC2"/>
        <w:rPr>
          <w:rFonts w:eastAsiaTheme="minorEastAsia" w:cstheme="minorBidi"/>
          <w:i/>
          <w:iCs/>
          <w:noProof/>
          <w:lang w:eastAsia="en-AU"/>
        </w:rPr>
      </w:pPr>
      <w:hyperlink w:anchor="_Toc113022243" w:history="1">
        <w:r w:rsidR="00A94478" w:rsidRPr="00E41A53">
          <w:rPr>
            <w:rStyle w:val="Hyperlink"/>
            <w:noProof/>
          </w:rPr>
          <w:t>Attachment A: Background on Australian Apprentices</w:t>
        </w:r>
        <w:r w:rsidR="00A94478">
          <w:rPr>
            <w:noProof/>
            <w:webHidden/>
          </w:rPr>
          <w:tab/>
        </w:r>
        <w:r w:rsidR="00A94478">
          <w:rPr>
            <w:noProof/>
            <w:webHidden/>
          </w:rPr>
          <w:fldChar w:fldCharType="begin"/>
        </w:r>
        <w:r w:rsidR="00A94478">
          <w:rPr>
            <w:noProof/>
            <w:webHidden/>
          </w:rPr>
          <w:instrText xml:space="preserve"> PAGEREF _Toc113022243 \h </w:instrText>
        </w:r>
        <w:r w:rsidR="00A94478">
          <w:rPr>
            <w:noProof/>
            <w:webHidden/>
          </w:rPr>
        </w:r>
        <w:r w:rsidR="00A94478">
          <w:rPr>
            <w:noProof/>
            <w:webHidden/>
          </w:rPr>
          <w:fldChar w:fldCharType="separate"/>
        </w:r>
        <w:r w:rsidR="007C7C20">
          <w:rPr>
            <w:noProof/>
            <w:webHidden/>
          </w:rPr>
          <w:t>69</w:t>
        </w:r>
        <w:r w:rsidR="00A94478">
          <w:rPr>
            <w:noProof/>
            <w:webHidden/>
          </w:rPr>
          <w:fldChar w:fldCharType="end"/>
        </w:r>
      </w:hyperlink>
    </w:p>
    <w:p w14:paraId="6A9152C1" w14:textId="27EBF426" w:rsidR="00A94478" w:rsidRDefault="00C11E37" w:rsidP="00A042F8">
      <w:pPr>
        <w:pStyle w:val="TOC2"/>
        <w:rPr>
          <w:rFonts w:eastAsiaTheme="minorEastAsia" w:cstheme="minorBidi"/>
          <w:i/>
          <w:iCs/>
          <w:noProof/>
          <w:lang w:eastAsia="en-AU"/>
        </w:rPr>
      </w:pPr>
      <w:hyperlink w:anchor="_Toc113022244" w:history="1">
        <w:r w:rsidR="00A94478" w:rsidRPr="00E41A53">
          <w:rPr>
            <w:rStyle w:val="Hyperlink"/>
            <w:noProof/>
          </w:rPr>
          <w:t>Attachment B: Current Payments Under the AAIP</w:t>
        </w:r>
        <w:r w:rsidR="00A94478">
          <w:rPr>
            <w:noProof/>
            <w:webHidden/>
          </w:rPr>
          <w:tab/>
        </w:r>
        <w:r w:rsidR="00A94478">
          <w:rPr>
            <w:noProof/>
            <w:webHidden/>
          </w:rPr>
          <w:fldChar w:fldCharType="begin"/>
        </w:r>
        <w:r w:rsidR="00A94478">
          <w:rPr>
            <w:noProof/>
            <w:webHidden/>
          </w:rPr>
          <w:instrText xml:space="preserve"> PAGEREF _Toc113022244 \h </w:instrText>
        </w:r>
        <w:r w:rsidR="00A94478">
          <w:rPr>
            <w:noProof/>
            <w:webHidden/>
          </w:rPr>
        </w:r>
        <w:r w:rsidR="00A94478">
          <w:rPr>
            <w:noProof/>
            <w:webHidden/>
          </w:rPr>
          <w:fldChar w:fldCharType="separate"/>
        </w:r>
        <w:r w:rsidR="007C7C20">
          <w:rPr>
            <w:noProof/>
            <w:webHidden/>
          </w:rPr>
          <w:t>72</w:t>
        </w:r>
        <w:r w:rsidR="00A94478">
          <w:rPr>
            <w:noProof/>
            <w:webHidden/>
          </w:rPr>
          <w:fldChar w:fldCharType="end"/>
        </w:r>
      </w:hyperlink>
    </w:p>
    <w:p w14:paraId="64209D23" w14:textId="4891829F" w:rsidR="00A94478" w:rsidRDefault="00C11E37">
      <w:pPr>
        <w:pStyle w:val="TOC3"/>
        <w:tabs>
          <w:tab w:val="right" w:pos="9016"/>
        </w:tabs>
        <w:rPr>
          <w:rFonts w:eastAsiaTheme="minorEastAsia" w:cstheme="minorBidi"/>
          <w:noProof/>
          <w:sz w:val="22"/>
          <w:szCs w:val="22"/>
          <w:lang w:eastAsia="en-AU"/>
        </w:rPr>
      </w:pPr>
      <w:hyperlink w:anchor="_Toc113022245" w:history="1">
        <w:r w:rsidR="00A94478" w:rsidRPr="00E41A53">
          <w:rPr>
            <w:rStyle w:val="Hyperlink"/>
            <w:noProof/>
          </w:rPr>
          <w:t>Support available to employers</w:t>
        </w:r>
        <w:r w:rsidR="00A94478">
          <w:rPr>
            <w:noProof/>
            <w:webHidden/>
          </w:rPr>
          <w:tab/>
        </w:r>
        <w:r w:rsidR="00A94478">
          <w:rPr>
            <w:noProof/>
            <w:webHidden/>
          </w:rPr>
          <w:fldChar w:fldCharType="begin"/>
        </w:r>
        <w:r w:rsidR="00A94478">
          <w:rPr>
            <w:noProof/>
            <w:webHidden/>
          </w:rPr>
          <w:instrText xml:space="preserve"> PAGEREF _Toc113022245 \h </w:instrText>
        </w:r>
        <w:r w:rsidR="00A94478">
          <w:rPr>
            <w:noProof/>
            <w:webHidden/>
          </w:rPr>
        </w:r>
        <w:r w:rsidR="00A94478">
          <w:rPr>
            <w:noProof/>
            <w:webHidden/>
          </w:rPr>
          <w:fldChar w:fldCharType="separate"/>
        </w:r>
        <w:r w:rsidR="007C7C20">
          <w:rPr>
            <w:noProof/>
            <w:webHidden/>
          </w:rPr>
          <w:t>72</w:t>
        </w:r>
        <w:r w:rsidR="00A94478">
          <w:rPr>
            <w:noProof/>
            <w:webHidden/>
          </w:rPr>
          <w:fldChar w:fldCharType="end"/>
        </w:r>
      </w:hyperlink>
    </w:p>
    <w:p w14:paraId="52393E8D" w14:textId="50325B89" w:rsidR="00A94478" w:rsidRDefault="00C11E37">
      <w:pPr>
        <w:pStyle w:val="TOC3"/>
        <w:tabs>
          <w:tab w:val="right" w:pos="9016"/>
        </w:tabs>
        <w:rPr>
          <w:rFonts w:eastAsiaTheme="minorEastAsia" w:cstheme="minorBidi"/>
          <w:noProof/>
          <w:sz w:val="22"/>
          <w:szCs w:val="22"/>
          <w:lang w:eastAsia="en-AU"/>
        </w:rPr>
      </w:pPr>
      <w:hyperlink w:anchor="_Toc113022246" w:history="1">
        <w:r w:rsidR="00A94478" w:rsidRPr="00E41A53">
          <w:rPr>
            <w:rStyle w:val="Hyperlink"/>
            <w:noProof/>
          </w:rPr>
          <w:t>Support available for apprentices and trainees</w:t>
        </w:r>
        <w:r w:rsidR="00A94478">
          <w:rPr>
            <w:noProof/>
            <w:webHidden/>
          </w:rPr>
          <w:tab/>
        </w:r>
        <w:r w:rsidR="00A94478">
          <w:rPr>
            <w:noProof/>
            <w:webHidden/>
          </w:rPr>
          <w:fldChar w:fldCharType="begin"/>
        </w:r>
        <w:r w:rsidR="00A94478">
          <w:rPr>
            <w:noProof/>
            <w:webHidden/>
          </w:rPr>
          <w:instrText xml:space="preserve"> PAGEREF _Toc113022246 \h </w:instrText>
        </w:r>
        <w:r w:rsidR="00A94478">
          <w:rPr>
            <w:noProof/>
            <w:webHidden/>
          </w:rPr>
        </w:r>
        <w:r w:rsidR="00A94478">
          <w:rPr>
            <w:noProof/>
            <w:webHidden/>
          </w:rPr>
          <w:fldChar w:fldCharType="separate"/>
        </w:r>
        <w:r w:rsidR="007C7C20">
          <w:rPr>
            <w:noProof/>
            <w:webHidden/>
          </w:rPr>
          <w:t>74</w:t>
        </w:r>
        <w:r w:rsidR="00A94478">
          <w:rPr>
            <w:noProof/>
            <w:webHidden/>
          </w:rPr>
          <w:fldChar w:fldCharType="end"/>
        </w:r>
      </w:hyperlink>
    </w:p>
    <w:p w14:paraId="79218435" w14:textId="772322A8" w:rsidR="00A94478" w:rsidRDefault="00C11E37" w:rsidP="00A042F8">
      <w:pPr>
        <w:pStyle w:val="TOC2"/>
        <w:rPr>
          <w:rFonts w:eastAsiaTheme="minorEastAsia" w:cstheme="minorBidi"/>
          <w:i/>
          <w:iCs/>
          <w:noProof/>
          <w:lang w:eastAsia="en-AU"/>
        </w:rPr>
      </w:pPr>
      <w:hyperlink w:anchor="_Toc113022247" w:history="1">
        <w:r w:rsidR="00A94478" w:rsidRPr="00E41A53">
          <w:rPr>
            <w:rStyle w:val="Hyperlink"/>
            <w:noProof/>
          </w:rPr>
          <w:t>Attachment C: Comparison of incentives - AAIP to IAA</w:t>
        </w:r>
        <w:r w:rsidR="00A94478">
          <w:rPr>
            <w:noProof/>
            <w:webHidden/>
          </w:rPr>
          <w:tab/>
        </w:r>
        <w:r w:rsidR="00A94478">
          <w:rPr>
            <w:noProof/>
            <w:webHidden/>
          </w:rPr>
          <w:fldChar w:fldCharType="begin"/>
        </w:r>
        <w:r w:rsidR="00A94478">
          <w:rPr>
            <w:noProof/>
            <w:webHidden/>
          </w:rPr>
          <w:instrText xml:space="preserve"> PAGEREF _Toc113022247 \h </w:instrText>
        </w:r>
        <w:r w:rsidR="00A94478">
          <w:rPr>
            <w:noProof/>
            <w:webHidden/>
          </w:rPr>
        </w:r>
        <w:r w:rsidR="00A94478">
          <w:rPr>
            <w:noProof/>
            <w:webHidden/>
          </w:rPr>
          <w:fldChar w:fldCharType="separate"/>
        </w:r>
        <w:r w:rsidR="007C7C20">
          <w:rPr>
            <w:noProof/>
            <w:webHidden/>
          </w:rPr>
          <w:t>82</w:t>
        </w:r>
        <w:r w:rsidR="00A94478">
          <w:rPr>
            <w:noProof/>
            <w:webHidden/>
          </w:rPr>
          <w:fldChar w:fldCharType="end"/>
        </w:r>
      </w:hyperlink>
    </w:p>
    <w:p w14:paraId="15D9CF0E" w14:textId="796C1079" w:rsidR="00A94478" w:rsidRDefault="00C11E37" w:rsidP="00A042F8">
      <w:pPr>
        <w:pStyle w:val="TOC2"/>
        <w:rPr>
          <w:rFonts w:eastAsiaTheme="minorEastAsia" w:cstheme="minorBidi"/>
          <w:i/>
          <w:iCs/>
          <w:noProof/>
          <w:lang w:eastAsia="en-AU"/>
        </w:rPr>
      </w:pPr>
      <w:hyperlink w:anchor="_Toc113022248" w:history="1">
        <w:r w:rsidR="00A94478" w:rsidRPr="00E41A53">
          <w:rPr>
            <w:rStyle w:val="Hyperlink"/>
            <w:noProof/>
          </w:rPr>
          <w:t>Attachment D: Australian Apprenticeships Priority List</w:t>
        </w:r>
        <w:r w:rsidR="00A94478">
          <w:rPr>
            <w:noProof/>
            <w:webHidden/>
          </w:rPr>
          <w:tab/>
        </w:r>
        <w:r w:rsidR="00A94478">
          <w:rPr>
            <w:noProof/>
            <w:webHidden/>
          </w:rPr>
          <w:fldChar w:fldCharType="begin"/>
        </w:r>
        <w:r w:rsidR="00A94478">
          <w:rPr>
            <w:noProof/>
            <w:webHidden/>
          </w:rPr>
          <w:instrText xml:space="preserve"> PAGEREF _Toc113022248 \h </w:instrText>
        </w:r>
        <w:r w:rsidR="00A94478">
          <w:rPr>
            <w:noProof/>
            <w:webHidden/>
          </w:rPr>
        </w:r>
        <w:r w:rsidR="00A94478">
          <w:rPr>
            <w:noProof/>
            <w:webHidden/>
          </w:rPr>
          <w:fldChar w:fldCharType="separate"/>
        </w:r>
        <w:r w:rsidR="007C7C20">
          <w:rPr>
            <w:noProof/>
            <w:webHidden/>
          </w:rPr>
          <w:t>84</w:t>
        </w:r>
        <w:r w:rsidR="00A94478">
          <w:rPr>
            <w:noProof/>
            <w:webHidden/>
          </w:rPr>
          <w:fldChar w:fldCharType="end"/>
        </w:r>
      </w:hyperlink>
    </w:p>
    <w:p w14:paraId="5FE911D8" w14:textId="1F3FA170" w:rsidR="00A94478" w:rsidRDefault="00C11E37" w:rsidP="00A042F8">
      <w:pPr>
        <w:pStyle w:val="TOC2"/>
        <w:rPr>
          <w:rFonts w:eastAsiaTheme="minorEastAsia" w:cstheme="minorBidi"/>
          <w:i/>
          <w:iCs/>
          <w:noProof/>
          <w:lang w:eastAsia="en-AU"/>
        </w:rPr>
      </w:pPr>
      <w:hyperlink w:anchor="_Toc113022249" w:history="1">
        <w:r w:rsidR="00A94478" w:rsidRPr="00E41A53">
          <w:rPr>
            <w:rStyle w:val="Hyperlink"/>
            <w:noProof/>
          </w:rPr>
          <w:t>Attachment E: Costing Assumptions</w:t>
        </w:r>
        <w:r w:rsidR="00A94478">
          <w:rPr>
            <w:noProof/>
            <w:webHidden/>
          </w:rPr>
          <w:tab/>
        </w:r>
        <w:r w:rsidR="00A94478">
          <w:rPr>
            <w:noProof/>
            <w:webHidden/>
          </w:rPr>
          <w:fldChar w:fldCharType="begin"/>
        </w:r>
        <w:r w:rsidR="00A94478">
          <w:rPr>
            <w:noProof/>
            <w:webHidden/>
          </w:rPr>
          <w:instrText xml:space="preserve"> PAGEREF _Toc113022249 \h </w:instrText>
        </w:r>
        <w:r w:rsidR="00A94478">
          <w:rPr>
            <w:noProof/>
            <w:webHidden/>
          </w:rPr>
        </w:r>
        <w:r w:rsidR="00A94478">
          <w:rPr>
            <w:noProof/>
            <w:webHidden/>
          </w:rPr>
          <w:fldChar w:fldCharType="separate"/>
        </w:r>
        <w:r w:rsidR="007C7C20">
          <w:rPr>
            <w:noProof/>
            <w:webHidden/>
          </w:rPr>
          <w:t>86</w:t>
        </w:r>
        <w:r w:rsidR="00A94478">
          <w:rPr>
            <w:noProof/>
            <w:webHidden/>
          </w:rPr>
          <w:fldChar w:fldCharType="end"/>
        </w:r>
      </w:hyperlink>
    </w:p>
    <w:p w14:paraId="1531A13E" w14:textId="72F31CBB" w:rsidR="00A94478" w:rsidRDefault="00A94478" w:rsidP="004D151D">
      <w:pPr>
        <w:pStyle w:val="Heading1"/>
      </w:pPr>
      <w:r>
        <w:fldChar w:fldCharType="end"/>
      </w:r>
    </w:p>
    <w:p w14:paraId="73A22E63" w14:textId="77777777" w:rsidR="00A94478" w:rsidRDefault="00A94478">
      <w:pPr>
        <w:rPr>
          <w:rFonts w:asciiTheme="minorHAnsi" w:hAnsiTheme="minorHAnsi" w:cstheme="minorHAnsi"/>
          <w:b/>
          <w:szCs w:val="24"/>
        </w:rPr>
      </w:pPr>
      <w:r>
        <w:br w:type="page"/>
      </w:r>
    </w:p>
    <w:p w14:paraId="63A761F5" w14:textId="77CD2C83" w:rsidR="00BD1D88" w:rsidRPr="005F5709" w:rsidRDefault="00BD1D88" w:rsidP="004D151D">
      <w:pPr>
        <w:pStyle w:val="Heading1"/>
      </w:pPr>
      <w:bookmarkStart w:id="2" w:name="_Toc113022161"/>
      <w:r w:rsidRPr="005F5709">
        <w:lastRenderedPageBreak/>
        <w:t>Glossary</w:t>
      </w:r>
      <w:bookmarkEnd w:id="2"/>
    </w:p>
    <w:tbl>
      <w:tblPr>
        <w:tblStyle w:val="TableGrid"/>
        <w:tblW w:w="0" w:type="auto"/>
        <w:tblLook w:val="04A0" w:firstRow="1" w:lastRow="0" w:firstColumn="1" w:lastColumn="0" w:noHBand="0" w:noVBand="1"/>
      </w:tblPr>
      <w:tblGrid>
        <w:gridCol w:w="2547"/>
        <w:gridCol w:w="6379"/>
      </w:tblGrid>
      <w:tr w:rsidR="00BD1D88" w:rsidRPr="005F5709" w14:paraId="3606E486" w14:textId="77777777" w:rsidTr="001F4E9B">
        <w:tc>
          <w:tcPr>
            <w:tcW w:w="2547" w:type="dxa"/>
          </w:tcPr>
          <w:p w14:paraId="0A73A82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AAIP</w:t>
            </w:r>
          </w:p>
        </w:tc>
        <w:tc>
          <w:tcPr>
            <w:tcW w:w="6379" w:type="dxa"/>
          </w:tcPr>
          <w:p w14:paraId="12071D9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Apprenticeships Incentives Program</w:t>
            </w:r>
          </w:p>
        </w:tc>
      </w:tr>
      <w:tr w:rsidR="00BD1D88" w:rsidRPr="005F5709" w14:paraId="66E709B9" w14:textId="77777777" w:rsidTr="6A16C6F1">
        <w:tc>
          <w:tcPr>
            <w:tcW w:w="2547" w:type="dxa"/>
          </w:tcPr>
          <w:p w14:paraId="4179CB23" w14:textId="77777777" w:rsidR="00BD1D88" w:rsidRPr="005F5709" w:rsidRDefault="00BD1D88" w:rsidP="6A16C6F1">
            <w:pPr>
              <w:rPr>
                <w:rFonts w:asciiTheme="minorHAnsi" w:hAnsiTheme="minorHAnsi" w:cstheme="minorHAnsi"/>
              </w:rPr>
            </w:pPr>
            <w:r w:rsidRPr="005F5709">
              <w:rPr>
                <w:rFonts w:asciiTheme="minorHAnsi" w:hAnsiTheme="minorHAnsi" w:cstheme="minorHAnsi"/>
              </w:rPr>
              <w:t>AAIS</w:t>
            </w:r>
          </w:p>
        </w:tc>
        <w:tc>
          <w:tcPr>
            <w:tcW w:w="6379" w:type="dxa"/>
          </w:tcPr>
          <w:p w14:paraId="7872CB1D" w14:textId="77777777" w:rsidR="00BD1D88" w:rsidRPr="005F5709" w:rsidRDefault="00BD1D88" w:rsidP="6A16C6F1">
            <w:pPr>
              <w:rPr>
                <w:rFonts w:asciiTheme="minorHAnsi" w:hAnsiTheme="minorHAnsi" w:cstheme="minorHAnsi"/>
              </w:rPr>
            </w:pPr>
            <w:r w:rsidRPr="005F5709">
              <w:rPr>
                <w:rFonts w:asciiTheme="minorHAnsi" w:hAnsiTheme="minorHAnsi" w:cstheme="minorHAnsi"/>
              </w:rPr>
              <w:t>Australian Apprenticeships Incentive System</w:t>
            </w:r>
          </w:p>
        </w:tc>
      </w:tr>
      <w:tr w:rsidR="00BD1D88" w:rsidRPr="005F5709" w14:paraId="6744C45F" w14:textId="77777777" w:rsidTr="001F4E9B">
        <w:tc>
          <w:tcPr>
            <w:tcW w:w="2547" w:type="dxa"/>
          </w:tcPr>
          <w:p w14:paraId="486CF78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AASN</w:t>
            </w:r>
          </w:p>
        </w:tc>
        <w:tc>
          <w:tcPr>
            <w:tcW w:w="6379" w:type="dxa"/>
          </w:tcPr>
          <w:p w14:paraId="17605FB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Apprenticeship Support Network</w:t>
            </w:r>
          </w:p>
        </w:tc>
      </w:tr>
      <w:tr w:rsidR="00BD1D88" w:rsidRPr="005F5709" w14:paraId="04B68CD3" w14:textId="77777777" w:rsidTr="001F4E9B">
        <w:tc>
          <w:tcPr>
            <w:tcW w:w="2547" w:type="dxa"/>
          </w:tcPr>
          <w:p w14:paraId="542E68F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AAWS</w:t>
            </w:r>
          </w:p>
        </w:tc>
        <w:tc>
          <w:tcPr>
            <w:tcW w:w="6379" w:type="dxa"/>
          </w:tcPr>
          <w:p w14:paraId="137EDB7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Apprenticeship Wage Subsidy</w:t>
            </w:r>
          </w:p>
        </w:tc>
      </w:tr>
      <w:tr w:rsidR="00BD1D88" w:rsidRPr="005F5709" w14:paraId="595DC70F" w14:textId="77777777" w:rsidTr="001F4E9B">
        <w:tc>
          <w:tcPr>
            <w:tcW w:w="2547" w:type="dxa"/>
          </w:tcPr>
          <w:p w14:paraId="6A45224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ABS</w:t>
            </w:r>
          </w:p>
        </w:tc>
        <w:tc>
          <w:tcPr>
            <w:tcW w:w="6379" w:type="dxa"/>
          </w:tcPr>
          <w:p w14:paraId="79414E1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Bureau of Statistics</w:t>
            </w:r>
          </w:p>
        </w:tc>
      </w:tr>
      <w:tr w:rsidR="00BD1D88" w:rsidRPr="005F5709" w14:paraId="07DF0462" w14:textId="77777777" w:rsidTr="001F4E9B">
        <w:tc>
          <w:tcPr>
            <w:tcW w:w="2547" w:type="dxa"/>
          </w:tcPr>
          <w:p w14:paraId="7DAA6A4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ADMS</w:t>
            </w:r>
          </w:p>
        </w:tc>
        <w:tc>
          <w:tcPr>
            <w:tcW w:w="6379" w:type="dxa"/>
          </w:tcPr>
          <w:p w14:paraId="0DBC323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Apprenticeships Data Management System</w:t>
            </w:r>
          </w:p>
        </w:tc>
      </w:tr>
      <w:tr w:rsidR="00BD1D88" w:rsidRPr="005F5709" w14:paraId="709AAE6E" w14:textId="77777777" w:rsidTr="001F4E9B">
        <w:tc>
          <w:tcPr>
            <w:tcW w:w="2547" w:type="dxa"/>
          </w:tcPr>
          <w:p w14:paraId="11B7D10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AIHW</w:t>
            </w:r>
          </w:p>
        </w:tc>
        <w:tc>
          <w:tcPr>
            <w:tcW w:w="6379" w:type="dxa"/>
          </w:tcPr>
          <w:p w14:paraId="53DA166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Institute of Health and Welfare</w:t>
            </w:r>
          </w:p>
        </w:tc>
      </w:tr>
      <w:tr w:rsidR="00BD1D88" w:rsidRPr="005F5709" w14:paraId="21C0770C" w14:textId="77777777" w:rsidTr="001F4E9B">
        <w:tc>
          <w:tcPr>
            <w:tcW w:w="2547" w:type="dxa"/>
          </w:tcPr>
          <w:p w14:paraId="7922AE9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AISS </w:t>
            </w:r>
          </w:p>
        </w:tc>
        <w:tc>
          <w:tcPr>
            <w:tcW w:w="6379" w:type="dxa"/>
          </w:tcPr>
          <w:p w14:paraId="428FCD3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Additional Identified Skills Shortage Wage Subsidy</w:t>
            </w:r>
          </w:p>
        </w:tc>
      </w:tr>
      <w:tr w:rsidR="00BD1D88" w:rsidRPr="005F5709" w14:paraId="369E5A07" w14:textId="77777777" w:rsidTr="001F4E9B">
        <w:tc>
          <w:tcPr>
            <w:tcW w:w="2547" w:type="dxa"/>
          </w:tcPr>
          <w:p w14:paraId="6FA3C67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ANZ</w:t>
            </w:r>
          </w:p>
        </w:tc>
        <w:tc>
          <w:tcPr>
            <w:tcW w:w="6379" w:type="dxa"/>
          </w:tcPr>
          <w:p w14:paraId="7901015E"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 and New Zealand Banking Group Limited</w:t>
            </w:r>
          </w:p>
        </w:tc>
      </w:tr>
      <w:tr w:rsidR="00BD1D88" w:rsidRPr="005F5709" w14:paraId="101651B8" w14:textId="77777777" w:rsidTr="001F4E9B">
        <w:tc>
          <w:tcPr>
            <w:tcW w:w="2547" w:type="dxa"/>
          </w:tcPr>
          <w:p w14:paraId="73F0812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ANZSCO</w:t>
            </w:r>
          </w:p>
        </w:tc>
        <w:tc>
          <w:tcPr>
            <w:tcW w:w="6379" w:type="dxa"/>
          </w:tcPr>
          <w:p w14:paraId="6C97A15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New Zealand Standard Classification of Occupations</w:t>
            </w:r>
          </w:p>
        </w:tc>
      </w:tr>
      <w:tr w:rsidR="00BD1D88" w:rsidRPr="005F5709" w14:paraId="1A0E64A1" w14:textId="77777777" w:rsidTr="001F4E9B">
        <w:tc>
          <w:tcPr>
            <w:tcW w:w="2547" w:type="dxa"/>
          </w:tcPr>
          <w:p w14:paraId="4349A6BB" w14:textId="77777777" w:rsidR="00BD1D88" w:rsidRPr="005F5709" w:rsidRDefault="00BD1D88" w:rsidP="001F4E9B">
            <w:pPr>
              <w:rPr>
                <w:rFonts w:asciiTheme="minorHAnsi" w:hAnsiTheme="minorHAnsi" w:cstheme="minorHAnsi"/>
              </w:rPr>
            </w:pPr>
            <w:proofErr w:type="spellStart"/>
            <w:r w:rsidRPr="005F5709">
              <w:rPr>
                <w:rFonts w:asciiTheme="minorHAnsi" w:hAnsiTheme="minorHAnsi" w:cstheme="minorHAnsi"/>
              </w:rPr>
              <w:t>ASbA</w:t>
            </w:r>
            <w:proofErr w:type="spellEnd"/>
          </w:p>
        </w:tc>
        <w:tc>
          <w:tcPr>
            <w:tcW w:w="6379" w:type="dxa"/>
          </w:tcPr>
          <w:p w14:paraId="7B8E382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School-based Apprenticeship</w:t>
            </w:r>
          </w:p>
        </w:tc>
      </w:tr>
      <w:tr w:rsidR="00BD1D88" w:rsidRPr="005F5709" w14:paraId="672DB186" w14:textId="77777777" w:rsidTr="001F4E9B">
        <w:tc>
          <w:tcPr>
            <w:tcW w:w="2547" w:type="dxa"/>
          </w:tcPr>
          <w:p w14:paraId="35372A3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ASQA</w:t>
            </w:r>
          </w:p>
        </w:tc>
        <w:tc>
          <w:tcPr>
            <w:tcW w:w="6379" w:type="dxa"/>
          </w:tcPr>
          <w:p w14:paraId="205B3C8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Skills Quality Authority</w:t>
            </w:r>
          </w:p>
        </w:tc>
      </w:tr>
      <w:tr w:rsidR="00BD1D88" w:rsidRPr="005F5709" w14:paraId="7FA32FDD" w14:textId="77777777" w:rsidTr="001F4E9B">
        <w:tc>
          <w:tcPr>
            <w:tcW w:w="2547" w:type="dxa"/>
          </w:tcPr>
          <w:p w14:paraId="5F00618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ATO</w:t>
            </w:r>
          </w:p>
        </w:tc>
        <w:tc>
          <w:tcPr>
            <w:tcW w:w="6379" w:type="dxa"/>
          </w:tcPr>
          <w:p w14:paraId="2CA98D6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Taxation Office</w:t>
            </w:r>
          </w:p>
        </w:tc>
      </w:tr>
      <w:tr w:rsidR="00BD1D88" w:rsidRPr="005F5709" w14:paraId="18381C93" w14:textId="77777777" w:rsidTr="001F4E9B">
        <w:tc>
          <w:tcPr>
            <w:tcW w:w="2547" w:type="dxa"/>
          </w:tcPr>
          <w:p w14:paraId="3270240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BAC </w:t>
            </w:r>
          </w:p>
        </w:tc>
        <w:tc>
          <w:tcPr>
            <w:tcW w:w="6379" w:type="dxa"/>
          </w:tcPr>
          <w:p w14:paraId="1321F17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Boosting Apprenticeship Commencements Wage Subsidy</w:t>
            </w:r>
          </w:p>
        </w:tc>
      </w:tr>
      <w:tr w:rsidR="00BD1D88" w:rsidRPr="005F5709" w14:paraId="72415DEF" w14:textId="77777777" w:rsidTr="001F4E9B">
        <w:tc>
          <w:tcPr>
            <w:tcW w:w="2547" w:type="dxa"/>
          </w:tcPr>
          <w:p w14:paraId="3BACE06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CAC </w:t>
            </w:r>
          </w:p>
        </w:tc>
        <w:tc>
          <w:tcPr>
            <w:tcW w:w="6379" w:type="dxa"/>
          </w:tcPr>
          <w:p w14:paraId="722AE28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Completing Apprenticeship Commencements Wage Subsidy</w:t>
            </w:r>
          </w:p>
        </w:tc>
      </w:tr>
      <w:tr w:rsidR="00BD1D88" w:rsidRPr="005F5709" w14:paraId="3FD7BF1D" w14:textId="77777777" w:rsidTr="001F4E9B">
        <w:tc>
          <w:tcPr>
            <w:tcW w:w="2547" w:type="dxa"/>
          </w:tcPr>
          <w:p w14:paraId="50BD94A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CPI</w:t>
            </w:r>
          </w:p>
        </w:tc>
        <w:tc>
          <w:tcPr>
            <w:tcW w:w="6379" w:type="dxa"/>
          </w:tcPr>
          <w:p w14:paraId="13FBD99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Consumer Price Index</w:t>
            </w:r>
          </w:p>
        </w:tc>
      </w:tr>
      <w:tr w:rsidR="00BD1D88" w:rsidRPr="005F5709" w14:paraId="7BA0B796" w14:textId="77777777" w:rsidTr="001F4E9B">
        <w:tc>
          <w:tcPr>
            <w:tcW w:w="2547" w:type="dxa"/>
          </w:tcPr>
          <w:p w14:paraId="52CB910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DAAWS</w:t>
            </w:r>
          </w:p>
        </w:tc>
        <w:tc>
          <w:tcPr>
            <w:tcW w:w="6379" w:type="dxa"/>
          </w:tcPr>
          <w:p w14:paraId="66879D0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Disability Australian Apprentice Wage Support</w:t>
            </w:r>
          </w:p>
        </w:tc>
      </w:tr>
      <w:tr w:rsidR="00BD1D88" w:rsidRPr="005F5709" w14:paraId="05A2560D" w14:textId="77777777" w:rsidTr="001F4E9B">
        <w:tc>
          <w:tcPr>
            <w:tcW w:w="2547" w:type="dxa"/>
          </w:tcPr>
          <w:p w14:paraId="5FAFFAB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FFSP</w:t>
            </w:r>
          </w:p>
        </w:tc>
        <w:tc>
          <w:tcPr>
            <w:tcW w:w="6379" w:type="dxa"/>
          </w:tcPr>
          <w:p w14:paraId="7D3216D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Financial Framework (Supplementary Powers)</w:t>
            </w:r>
          </w:p>
        </w:tc>
      </w:tr>
      <w:tr w:rsidR="00BD1D88" w:rsidRPr="005F5709" w14:paraId="393F280C" w14:textId="77777777" w:rsidTr="001F4E9B">
        <w:tc>
          <w:tcPr>
            <w:tcW w:w="2547" w:type="dxa"/>
          </w:tcPr>
          <w:p w14:paraId="3FCBE99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GTO</w:t>
            </w:r>
          </w:p>
        </w:tc>
        <w:tc>
          <w:tcPr>
            <w:tcW w:w="6379" w:type="dxa"/>
          </w:tcPr>
          <w:p w14:paraId="0CCD40E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Group Training Organisation</w:t>
            </w:r>
          </w:p>
        </w:tc>
      </w:tr>
      <w:tr w:rsidR="00BD1D88" w:rsidRPr="005F5709" w14:paraId="13207D7C" w14:textId="77777777" w:rsidTr="001F4E9B">
        <w:tc>
          <w:tcPr>
            <w:tcW w:w="2547" w:type="dxa"/>
          </w:tcPr>
          <w:p w14:paraId="46F0173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IAA</w:t>
            </w:r>
          </w:p>
        </w:tc>
        <w:tc>
          <w:tcPr>
            <w:tcW w:w="6379" w:type="dxa"/>
          </w:tcPr>
          <w:p w14:paraId="03B6B3E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Incentives for Australian Apprenticeships Program</w:t>
            </w:r>
          </w:p>
        </w:tc>
      </w:tr>
      <w:tr w:rsidR="00BD1D88" w:rsidRPr="005F5709" w14:paraId="72ABF1F0" w14:textId="77777777" w:rsidTr="001F4E9B">
        <w:tc>
          <w:tcPr>
            <w:tcW w:w="2547" w:type="dxa"/>
          </w:tcPr>
          <w:p w14:paraId="607ACC5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ITS</w:t>
            </w:r>
          </w:p>
        </w:tc>
        <w:tc>
          <w:tcPr>
            <w:tcW w:w="6379" w:type="dxa"/>
          </w:tcPr>
          <w:p w14:paraId="61FE450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In-Training Support</w:t>
            </w:r>
          </w:p>
        </w:tc>
      </w:tr>
      <w:tr w:rsidR="00BD1D88" w:rsidRPr="005F5709" w14:paraId="376C064F" w14:textId="77777777" w:rsidTr="001F4E9B">
        <w:tc>
          <w:tcPr>
            <w:tcW w:w="2547" w:type="dxa"/>
          </w:tcPr>
          <w:p w14:paraId="496D8BC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IVI</w:t>
            </w:r>
          </w:p>
        </w:tc>
        <w:tc>
          <w:tcPr>
            <w:tcW w:w="6379" w:type="dxa"/>
          </w:tcPr>
          <w:p w14:paraId="0A99555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Internet Vacancy Index</w:t>
            </w:r>
          </w:p>
        </w:tc>
      </w:tr>
      <w:tr w:rsidR="00BD1D88" w:rsidRPr="005F5709" w14:paraId="31BE840F" w14:textId="77777777" w:rsidTr="001F4E9B">
        <w:tc>
          <w:tcPr>
            <w:tcW w:w="2547" w:type="dxa"/>
          </w:tcPr>
          <w:p w14:paraId="463AC96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LAFHA</w:t>
            </w:r>
          </w:p>
        </w:tc>
        <w:tc>
          <w:tcPr>
            <w:tcW w:w="6379" w:type="dxa"/>
          </w:tcPr>
          <w:p w14:paraId="584D8A4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Living Away From Home Allowance</w:t>
            </w:r>
          </w:p>
        </w:tc>
      </w:tr>
      <w:tr w:rsidR="00BD1D88" w:rsidRPr="005F5709" w14:paraId="286F9F39" w14:textId="77777777" w:rsidTr="001F4E9B">
        <w:tc>
          <w:tcPr>
            <w:tcW w:w="2547" w:type="dxa"/>
          </w:tcPr>
          <w:p w14:paraId="74DD0B1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NASWD</w:t>
            </w:r>
          </w:p>
        </w:tc>
        <w:tc>
          <w:tcPr>
            <w:tcW w:w="6379" w:type="dxa"/>
          </w:tcPr>
          <w:p w14:paraId="5F00454E"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National Agreement for Skills and Workforce Development </w:t>
            </w:r>
          </w:p>
        </w:tc>
      </w:tr>
      <w:tr w:rsidR="00BD1D88" w:rsidRPr="005F5709" w14:paraId="05C6566F" w14:textId="77777777" w:rsidTr="001F4E9B">
        <w:tc>
          <w:tcPr>
            <w:tcW w:w="2547" w:type="dxa"/>
          </w:tcPr>
          <w:p w14:paraId="5D3C180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NCVER</w:t>
            </w:r>
          </w:p>
        </w:tc>
        <w:tc>
          <w:tcPr>
            <w:tcW w:w="6379" w:type="dxa"/>
          </w:tcPr>
          <w:p w14:paraId="6572F24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National Centre for Vocational Education and Research</w:t>
            </w:r>
          </w:p>
        </w:tc>
      </w:tr>
      <w:tr w:rsidR="00BD1D88" w:rsidRPr="005F5709" w14:paraId="3D8F47FB" w14:textId="77777777" w:rsidTr="001F4E9B">
        <w:tc>
          <w:tcPr>
            <w:tcW w:w="2547" w:type="dxa"/>
          </w:tcPr>
          <w:p w14:paraId="24EE875D" w14:textId="77777777" w:rsidR="00BD1D88" w:rsidRPr="005F5709" w:rsidRDefault="00BD1D88" w:rsidP="001F4E9B">
            <w:pPr>
              <w:rPr>
                <w:rFonts w:asciiTheme="minorHAnsi" w:eastAsia="Times New Roman" w:hAnsiTheme="minorHAnsi" w:cstheme="minorHAnsi"/>
              </w:rPr>
            </w:pPr>
            <w:r w:rsidRPr="005F5709">
              <w:rPr>
                <w:rFonts w:asciiTheme="minorHAnsi" w:eastAsia="Times New Roman" w:hAnsiTheme="minorHAnsi" w:cstheme="minorHAnsi"/>
              </w:rPr>
              <w:t>NSA</w:t>
            </w:r>
          </w:p>
        </w:tc>
        <w:tc>
          <w:tcPr>
            <w:tcW w:w="6379" w:type="dxa"/>
          </w:tcPr>
          <w:p w14:paraId="6DCBC69C" w14:textId="77777777" w:rsidR="00BD1D88" w:rsidRPr="005F5709" w:rsidRDefault="00BD1D88" w:rsidP="001F4E9B">
            <w:pPr>
              <w:rPr>
                <w:rFonts w:asciiTheme="minorHAnsi" w:eastAsia="Times New Roman" w:hAnsiTheme="minorHAnsi" w:cstheme="minorHAnsi"/>
              </w:rPr>
            </w:pPr>
            <w:r w:rsidRPr="005F5709">
              <w:rPr>
                <w:rFonts w:asciiTheme="minorHAnsi" w:eastAsia="Times New Roman" w:hAnsiTheme="minorHAnsi" w:cstheme="minorHAnsi"/>
              </w:rPr>
              <w:t>National Skills Agreement</w:t>
            </w:r>
          </w:p>
        </w:tc>
      </w:tr>
      <w:tr w:rsidR="00BD1D88" w:rsidRPr="005F5709" w14:paraId="41125D36" w14:textId="77777777" w:rsidTr="001F4E9B">
        <w:tc>
          <w:tcPr>
            <w:tcW w:w="2547" w:type="dxa"/>
          </w:tcPr>
          <w:p w14:paraId="3CC94505"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NSC</w:t>
            </w:r>
          </w:p>
        </w:tc>
        <w:tc>
          <w:tcPr>
            <w:tcW w:w="6379" w:type="dxa"/>
          </w:tcPr>
          <w:p w14:paraId="1069ACAF"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National Skills Commission</w:t>
            </w:r>
          </w:p>
        </w:tc>
      </w:tr>
      <w:tr w:rsidR="00BD1D88" w:rsidRPr="005F5709" w14:paraId="2638F0E5" w14:textId="77777777" w:rsidTr="001F4E9B">
        <w:tc>
          <w:tcPr>
            <w:tcW w:w="2547" w:type="dxa"/>
          </w:tcPr>
          <w:p w14:paraId="788EBDD3"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NSNL</w:t>
            </w:r>
          </w:p>
        </w:tc>
        <w:tc>
          <w:tcPr>
            <w:tcW w:w="6379" w:type="dxa"/>
          </w:tcPr>
          <w:p w14:paraId="1715465C"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National Skills Needs List</w:t>
            </w:r>
          </w:p>
        </w:tc>
      </w:tr>
      <w:tr w:rsidR="00BD1D88" w:rsidRPr="005F5709" w14:paraId="78389263" w14:textId="77777777" w:rsidTr="001F4E9B">
        <w:tc>
          <w:tcPr>
            <w:tcW w:w="2547" w:type="dxa"/>
          </w:tcPr>
          <w:p w14:paraId="717E40E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OECD</w:t>
            </w:r>
          </w:p>
        </w:tc>
        <w:tc>
          <w:tcPr>
            <w:tcW w:w="6379" w:type="dxa"/>
          </w:tcPr>
          <w:p w14:paraId="138BE0B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Organisation for Economic Cooperation and Development</w:t>
            </w:r>
          </w:p>
        </w:tc>
      </w:tr>
      <w:tr w:rsidR="00BD1D88" w:rsidRPr="005F5709" w14:paraId="71833543" w14:textId="77777777" w:rsidTr="001F4E9B">
        <w:tc>
          <w:tcPr>
            <w:tcW w:w="2547" w:type="dxa"/>
          </w:tcPr>
          <w:p w14:paraId="2D54CBDD" w14:textId="77777777" w:rsidR="00BD1D88" w:rsidRPr="005F5709" w:rsidRDefault="00BD1D88" w:rsidP="001F4E9B">
            <w:pPr>
              <w:rPr>
                <w:rFonts w:asciiTheme="minorHAnsi" w:eastAsiaTheme="minorEastAsia" w:hAnsiTheme="minorHAnsi" w:cstheme="minorHAnsi"/>
                <w:color w:val="000000" w:themeColor="text1"/>
              </w:rPr>
            </w:pPr>
            <w:r w:rsidRPr="005F5709">
              <w:rPr>
                <w:rFonts w:asciiTheme="minorHAnsi" w:eastAsiaTheme="minorEastAsia" w:hAnsiTheme="minorHAnsi" w:cstheme="minorHAnsi"/>
                <w:color w:val="000000" w:themeColor="text1"/>
              </w:rPr>
              <w:t>Priority List</w:t>
            </w:r>
          </w:p>
        </w:tc>
        <w:tc>
          <w:tcPr>
            <w:tcW w:w="6379" w:type="dxa"/>
          </w:tcPr>
          <w:p w14:paraId="291DA658" w14:textId="77777777" w:rsidR="00BD1D88" w:rsidRPr="005F5709" w:rsidRDefault="00BD1D88" w:rsidP="001F4E9B">
            <w:pPr>
              <w:rPr>
                <w:rFonts w:asciiTheme="minorHAnsi" w:eastAsiaTheme="minorEastAsia" w:hAnsiTheme="minorHAnsi" w:cstheme="minorHAnsi"/>
                <w:color w:val="000000" w:themeColor="text1"/>
              </w:rPr>
            </w:pPr>
            <w:r w:rsidRPr="005F5709">
              <w:rPr>
                <w:rFonts w:asciiTheme="minorHAnsi" w:eastAsiaTheme="minorEastAsia" w:hAnsiTheme="minorHAnsi" w:cstheme="minorHAnsi"/>
                <w:color w:val="000000" w:themeColor="text1"/>
              </w:rPr>
              <w:t>Australian Apprenticeships Priority List</w:t>
            </w:r>
          </w:p>
        </w:tc>
      </w:tr>
      <w:tr w:rsidR="00BD1D88" w:rsidRPr="005F5709" w14:paraId="4D8B1D0A" w14:textId="77777777" w:rsidTr="001F4E9B">
        <w:tc>
          <w:tcPr>
            <w:tcW w:w="2547" w:type="dxa"/>
          </w:tcPr>
          <w:p w14:paraId="519F4D7D" w14:textId="77777777" w:rsidR="00BD1D88" w:rsidRPr="005F5709" w:rsidRDefault="00BD1D88" w:rsidP="001F4E9B">
            <w:pPr>
              <w:rPr>
                <w:rFonts w:asciiTheme="minorHAnsi" w:hAnsiTheme="minorHAnsi" w:cstheme="minorHAnsi"/>
              </w:rPr>
            </w:pPr>
            <w:r w:rsidRPr="005F5709">
              <w:rPr>
                <w:rFonts w:asciiTheme="minorHAnsi" w:eastAsiaTheme="minorEastAsia" w:hAnsiTheme="minorHAnsi" w:cstheme="minorHAnsi"/>
                <w:color w:val="000000" w:themeColor="text1"/>
              </w:rPr>
              <w:t>RBA</w:t>
            </w:r>
          </w:p>
        </w:tc>
        <w:tc>
          <w:tcPr>
            <w:tcW w:w="6379" w:type="dxa"/>
          </w:tcPr>
          <w:p w14:paraId="676CA1E1" w14:textId="77777777" w:rsidR="00BD1D88" w:rsidRPr="005F5709" w:rsidRDefault="00BD1D88" w:rsidP="001F4E9B">
            <w:pPr>
              <w:rPr>
                <w:rFonts w:asciiTheme="minorHAnsi" w:hAnsiTheme="minorHAnsi" w:cstheme="minorHAnsi"/>
              </w:rPr>
            </w:pPr>
            <w:r w:rsidRPr="005F5709">
              <w:rPr>
                <w:rFonts w:asciiTheme="minorHAnsi" w:eastAsiaTheme="minorEastAsia" w:hAnsiTheme="minorHAnsi" w:cstheme="minorHAnsi"/>
                <w:color w:val="000000" w:themeColor="text1"/>
              </w:rPr>
              <w:t>Reserve Bank of Australia</w:t>
            </w:r>
          </w:p>
        </w:tc>
      </w:tr>
      <w:tr w:rsidR="00BD1D88" w:rsidRPr="005F5709" w14:paraId="6DCC9BC6" w14:textId="77777777" w:rsidTr="001F4E9B">
        <w:tc>
          <w:tcPr>
            <w:tcW w:w="2547" w:type="dxa"/>
          </w:tcPr>
          <w:p w14:paraId="6CE5DC7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RTO</w:t>
            </w:r>
          </w:p>
        </w:tc>
        <w:tc>
          <w:tcPr>
            <w:tcW w:w="6379" w:type="dxa"/>
          </w:tcPr>
          <w:p w14:paraId="494817F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Registered Training Organisation</w:t>
            </w:r>
          </w:p>
        </w:tc>
      </w:tr>
      <w:tr w:rsidR="00BD1D88" w:rsidRPr="005F5709" w14:paraId="0E66F2A9" w14:textId="77777777" w:rsidTr="001F4E9B">
        <w:tc>
          <w:tcPr>
            <w:tcW w:w="2547" w:type="dxa"/>
          </w:tcPr>
          <w:p w14:paraId="5D80DF7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SAT </w:t>
            </w:r>
          </w:p>
        </w:tc>
        <w:tc>
          <w:tcPr>
            <w:tcW w:w="6379" w:type="dxa"/>
          </w:tcPr>
          <w:p w14:paraId="340A68E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Supporting Apprentices and Trainees Wage Subsidy</w:t>
            </w:r>
          </w:p>
        </w:tc>
      </w:tr>
      <w:tr w:rsidR="00BD1D88" w:rsidRPr="005F5709" w14:paraId="2B28A9BF" w14:textId="77777777" w:rsidTr="001F4E9B">
        <w:tc>
          <w:tcPr>
            <w:tcW w:w="2547" w:type="dxa"/>
          </w:tcPr>
          <w:p w14:paraId="1E77EC3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SPL</w:t>
            </w:r>
          </w:p>
        </w:tc>
        <w:tc>
          <w:tcPr>
            <w:tcW w:w="6379" w:type="dxa"/>
          </w:tcPr>
          <w:p w14:paraId="79AE34B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Skills Priority List</w:t>
            </w:r>
          </w:p>
        </w:tc>
      </w:tr>
      <w:tr w:rsidR="00BD1D88" w:rsidRPr="005F5709" w14:paraId="635DED25" w14:textId="77777777" w:rsidTr="001F4E9B">
        <w:tc>
          <w:tcPr>
            <w:tcW w:w="2547" w:type="dxa"/>
          </w:tcPr>
          <w:p w14:paraId="5204BB7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SSON</w:t>
            </w:r>
          </w:p>
        </w:tc>
        <w:tc>
          <w:tcPr>
            <w:tcW w:w="6379" w:type="dxa"/>
          </w:tcPr>
          <w:p w14:paraId="1A9864C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Skills Senior Officials’ Network</w:t>
            </w:r>
          </w:p>
        </w:tc>
      </w:tr>
      <w:tr w:rsidR="00BD1D88" w:rsidRPr="005F5709" w14:paraId="6B23041C" w14:textId="77777777" w:rsidTr="001F4E9B">
        <w:tc>
          <w:tcPr>
            <w:tcW w:w="2547" w:type="dxa"/>
          </w:tcPr>
          <w:p w14:paraId="255F84A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STA</w:t>
            </w:r>
          </w:p>
        </w:tc>
        <w:tc>
          <w:tcPr>
            <w:tcW w:w="6379" w:type="dxa"/>
          </w:tcPr>
          <w:p w14:paraId="5C70B6D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State/Territory Training Authority</w:t>
            </w:r>
          </w:p>
        </w:tc>
      </w:tr>
      <w:tr w:rsidR="00BD1D88" w:rsidRPr="005F5709" w14:paraId="3E67D494" w14:textId="77777777" w:rsidTr="001F4E9B">
        <w:tc>
          <w:tcPr>
            <w:tcW w:w="2547" w:type="dxa"/>
          </w:tcPr>
          <w:p w14:paraId="3961943E"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The Department</w:t>
            </w:r>
          </w:p>
        </w:tc>
        <w:tc>
          <w:tcPr>
            <w:tcW w:w="6379" w:type="dxa"/>
          </w:tcPr>
          <w:p w14:paraId="6F80E1E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Department of Education, Skills and Employment</w:t>
            </w:r>
          </w:p>
        </w:tc>
      </w:tr>
      <w:tr w:rsidR="00BD1D88" w:rsidRPr="005F5709" w14:paraId="3E2713E4" w14:textId="77777777" w:rsidTr="001F4E9B">
        <w:tc>
          <w:tcPr>
            <w:tcW w:w="2547" w:type="dxa"/>
          </w:tcPr>
          <w:p w14:paraId="3053144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TSL</w:t>
            </w:r>
          </w:p>
        </w:tc>
        <w:tc>
          <w:tcPr>
            <w:tcW w:w="6379" w:type="dxa"/>
          </w:tcPr>
          <w:p w14:paraId="7E3E7BF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Trade Support Loans</w:t>
            </w:r>
          </w:p>
        </w:tc>
      </w:tr>
      <w:tr w:rsidR="00BD1D88" w:rsidRPr="005F5709" w14:paraId="11BA428B" w14:textId="77777777" w:rsidTr="001F4E9B">
        <w:tc>
          <w:tcPr>
            <w:tcW w:w="2547" w:type="dxa"/>
          </w:tcPr>
          <w:p w14:paraId="7C32E538" w14:textId="77777777" w:rsidR="00BD1D88" w:rsidRPr="005F5709" w:rsidRDefault="00BD1D88" w:rsidP="001F4E9B">
            <w:pPr>
              <w:rPr>
                <w:rFonts w:asciiTheme="minorHAnsi" w:hAnsiTheme="minorHAnsi" w:cstheme="minorHAnsi"/>
              </w:rPr>
            </w:pPr>
            <w:proofErr w:type="spellStart"/>
            <w:r w:rsidRPr="005F5709">
              <w:rPr>
                <w:rFonts w:asciiTheme="minorHAnsi" w:hAnsiTheme="minorHAnsi" w:cstheme="minorHAnsi"/>
              </w:rPr>
              <w:t>TtW</w:t>
            </w:r>
            <w:proofErr w:type="spellEnd"/>
          </w:p>
        </w:tc>
        <w:tc>
          <w:tcPr>
            <w:tcW w:w="6379" w:type="dxa"/>
          </w:tcPr>
          <w:p w14:paraId="47909BE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Transition to Work</w:t>
            </w:r>
          </w:p>
        </w:tc>
      </w:tr>
      <w:tr w:rsidR="00BD1D88" w:rsidRPr="005F5709" w14:paraId="04713C5D" w14:textId="77777777" w:rsidTr="001F4E9B">
        <w:tc>
          <w:tcPr>
            <w:tcW w:w="2547" w:type="dxa"/>
          </w:tcPr>
          <w:p w14:paraId="31977C8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TYIMS</w:t>
            </w:r>
          </w:p>
        </w:tc>
        <w:tc>
          <w:tcPr>
            <w:tcW w:w="6379" w:type="dxa"/>
          </w:tcPr>
          <w:p w14:paraId="1B90289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Training and Youth Internet Management System</w:t>
            </w:r>
          </w:p>
        </w:tc>
      </w:tr>
      <w:tr w:rsidR="00BD1D88" w:rsidRPr="005F5709" w14:paraId="7527105A" w14:textId="77777777" w:rsidTr="001F4E9B">
        <w:tc>
          <w:tcPr>
            <w:tcW w:w="2547" w:type="dxa"/>
          </w:tcPr>
          <w:p w14:paraId="07256EA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VET</w:t>
            </w:r>
          </w:p>
        </w:tc>
        <w:tc>
          <w:tcPr>
            <w:tcW w:w="6379" w:type="dxa"/>
          </w:tcPr>
          <w:p w14:paraId="4213300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Vocational Education and Training</w:t>
            </w:r>
          </w:p>
        </w:tc>
      </w:tr>
    </w:tbl>
    <w:p w14:paraId="572E012C" w14:textId="1ABBFF95" w:rsidR="00BD1D88" w:rsidRPr="005F5709" w:rsidRDefault="00BD1D88" w:rsidP="00C029DB">
      <w:pPr>
        <w:pStyle w:val="Heading1"/>
      </w:pPr>
      <w:bookmarkStart w:id="3" w:name="_Toc113022162"/>
      <w:r w:rsidRPr="005F5709">
        <w:lastRenderedPageBreak/>
        <w:t>Executive Summary</w:t>
      </w:r>
      <w:bookmarkEnd w:id="3"/>
    </w:p>
    <w:p w14:paraId="1AEFE6CE" w14:textId="77777777" w:rsidR="00BD1D88" w:rsidRPr="005F5709" w:rsidRDefault="00BD1D88" w:rsidP="00803325">
      <w:pPr>
        <w:rPr>
          <w:rFonts w:asciiTheme="minorHAnsi" w:hAnsiTheme="minorHAnsi" w:cstheme="minorHAnsi"/>
        </w:rPr>
      </w:pPr>
      <w:r w:rsidRPr="005F5709">
        <w:rPr>
          <w:rFonts w:asciiTheme="minorHAnsi" w:hAnsiTheme="minorHAnsi" w:cstheme="minorHAnsi"/>
        </w:rPr>
        <w:t xml:space="preserve">The training and qualifications gained through Australian Apprenticeships are vital to developing the highly skilled workers that are essential to the future of the Australian labour force. Australian Government investment in the apprenticeships sector for both employers and apprentices </w:t>
      </w:r>
      <w:proofErr w:type="gramStart"/>
      <w:r w:rsidRPr="005F5709">
        <w:rPr>
          <w:rFonts w:asciiTheme="minorHAnsi" w:hAnsiTheme="minorHAnsi" w:cstheme="minorHAnsi"/>
        </w:rPr>
        <w:t>is</w:t>
      </w:r>
      <w:proofErr w:type="gramEnd"/>
      <w:r w:rsidRPr="005F5709">
        <w:rPr>
          <w:rFonts w:asciiTheme="minorHAnsi" w:hAnsiTheme="minorHAnsi" w:cstheme="minorHAnsi"/>
        </w:rPr>
        <w:t xml:space="preserve"> needed to support the uptake of apprenticeships and to support completions. </w:t>
      </w:r>
    </w:p>
    <w:p w14:paraId="00761CF2" w14:textId="77777777" w:rsidR="00BD1D88" w:rsidRPr="005F5709" w:rsidRDefault="00BD1D88" w:rsidP="00803325">
      <w:pPr>
        <w:rPr>
          <w:rFonts w:asciiTheme="minorHAnsi" w:hAnsiTheme="minorHAnsi" w:cstheme="minorHAnsi"/>
        </w:rPr>
      </w:pPr>
      <w:r w:rsidRPr="005F5709">
        <w:rPr>
          <w:rFonts w:asciiTheme="minorHAnsi" w:hAnsiTheme="minorHAnsi" w:cstheme="minorHAnsi"/>
        </w:rPr>
        <w:t>This Regulation Impact Statement (RIS) provides policy options for Australian Government action to improve the Australian Apprenticeships system. It focuses on how the Department implements the Australian Government’s commitment to ensure there is a pipeline of skilled apprentices and trainees in priority occupations to support and grow the economy.</w:t>
      </w:r>
    </w:p>
    <w:p w14:paraId="4E41148E" w14:textId="77777777" w:rsidR="00BD1D88" w:rsidRPr="005F5709" w:rsidRDefault="00BD1D88" w:rsidP="00803325">
      <w:pPr>
        <w:rPr>
          <w:rFonts w:asciiTheme="minorHAnsi" w:hAnsiTheme="minorHAnsi" w:cstheme="minorHAnsi"/>
        </w:rPr>
      </w:pPr>
      <w:r w:rsidRPr="005F5709">
        <w:rPr>
          <w:rFonts w:asciiTheme="minorHAnsi" w:hAnsiTheme="minorHAnsi" w:cstheme="minorHAnsi"/>
        </w:rPr>
        <w:t>Prior to the introduction of COVID-19 response measures to support the apprenticeships system, the number of Australian Apprentices commencing and completing an apprenticeship or traineeship had been in decline. This contributed to persistent skills shortages in priority occupations across the economy. Key issues with the pre-COVID-19 apprenticeship incentives system (the Australian Apprenticeships Incentives Program (AAIP)) included:</w:t>
      </w:r>
    </w:p>
    <w:p w14:paraId="31BE5E9C"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Incentives were not targeted to meet skill shortages;</w:t>
      </w:r>
    </w:p>
    <w:p w14:paraId="6F404F80"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Costs remained high and were increasing for both the employer and the apprentice;</w:t>
      </w:r>
    </w:p>
    <w:p w14:paraId="1136D09F"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Incentives did not focus on the decision maker;</w:t>
      </w:r>
    </w:p>
    <w:p w14:paraId="7EEE259F"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Incentives were difficult to navigate and understand; and</w:t>
      </w:r>
    </w:p>
    <w:p w14:paraId="11263801"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Non-financial support was needed for apprentices.</w:t>
      </w:r>
    </w:p>
    <w:p w14:paraId="023F3FEE" w14:textId="77777777" w:rsidR="00BD1D88" w:rsidRPr="005F5709" w:rsidRDefault="00BD1D88" w:rsidP="00803325">
      <w:pPr>
        <w:rPr>
          <w:rFonts w:asciiTheme="minorHAnsi" w:hAnsiTheme="minorHAnsi" w:cstheme="minorHAnsi"/>
        </w:rPr>
      </w:pPr>
      <w:r w:rsidRPr="005F5709">
        <w:rPr>
          <w:rFonts w:asciiTheme="minorHAnsi" w:hAnsiTheme="minorHAnsi" w:cstheme="minorHAnsi"/>
        </w:rPr>
        <w:t>The COVID-19 response measures, particularly the Boosting Apprenticeship Commencements (BAC) wage subsidy, were effective in turning the decline in apprenticeship commencements around. However, the BAC measure came at a very substantial cost to the Australian Government.</w:t>
      </w:r>
    </w:p>
    <w:p w14:paraId="4F843E77" w14:textId="77777777" w:rsidR="00BD1D88" w:rsidRPr="005F5709" w:rsidRDefault="00BD1D88" w:rsidP="00803325">
      <w:pPr>
        <w:rPr>
          <w:rFonts w:asciiTheme="minorHAnsi" w:hAnsiTheme="minorHAnsi" w:cstheme="minorHAnsi"/>
        </w:rPr>
      </w:pPr>
      <w:r w:rsidRPr="005F5709">
        <w:rPr>
          <w:rFonts w:asciiTheme="minorHAnsi" w:hAnsiTheme="minorHAnsi" w:cstheme="minorHAnsi"/>
        </w:rPr>
        <w:t xml:space="preserve">There is a need to reset the Apprenticeship Incentives system to a more fiscally sustainable model, that better targets investment to support priority commencements and completions. </w:t>
      </w:r>
    </w:p>
    <w:p w14:paraId="1F5D2D22" w14:textId="77777777" w:rsidR="00BD1D88" w:rsidRPr="005F5709" w:rsidRDefault="00BD1D88" w:rsidP="00803325">
      <w:pPr>
        <w:rPr>
          <w:rFonts w:asciiTheme="minorHAnsi" w:hAnsiTheme="minorHAnsi" w:cstheme="minorHAnsi"/>
        </w:rPr>
      </w:pPr>
      <w:r w:rsidRPr="005F5709">
        <w:rPr>
          <w:rFonts w:asciiTheme="minorHAnsi" w:hAnsiTheme="minorHAnsi" w:cstheme="minorHAnsi"/>
        </w:rPr>
        <w:t>The most effective policy option – a reformed Australian Apprenticeships Incentive System (AAIS) – targets government investment to the skills in demand. To provide time to assess the impact of implementation and how the market reacts to changes in the system, the RIS recommends the AAIS is delivered in two phases. The two phased approach will provide support to priority and non-priority occupations during the COVID-19 recovery from 1 July 2022 to 30 June 2024, before targeting investment to priority occupations only from 1 July 2024. This will prioritise the development of in-demand skills while providing a manageable step down in support from the BAC program, transitioning to a more fiscally sustainable model.</w:t>
      </w:r>
    </w:p>
    <w:p w14:paraId="549929EC"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lastRenderedPageBreak/>
        <w:t xml:space="preserve">The first phase of this option (1 July 2022 to 30 June 2024) features a wage subsidy for employers of apprentices in priority occupations, a hiring incentive for employers of apprentices in non-priority occupations, and a direct training support payment to apprentices in priority occupations. </w:t>
      </w:r>
    </w:p>
    <w:p w14:paraId="12EA21E5"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In the second phase (from 1 July 2024 onwards), financial support will be stabilised around 2019 levels and will only be available for apprentices in priority occupations and their employers. The wage subsidy will be replaced with a hiring incentive and the direct training support payment will be reduced. The hiring incentive for non-priority apprentices will be removed.</w:t>
      </w:r>
    </w:p>
    <w:p w14:paraId="3B231BE5" w14:textId="77777777" w:rsidR="00BD1D88" w:rsidRPr="005F5709" w:rsidRDefault="00BD1D88" w:rsidP="00803325">
      <w:pPr>
        <w:spacing w:before="120" w:after="0"/>
        <w:rPr>
          <w:rFonts w:asciiTheme="minorHAnsi" w:hAnsiTheme="minorHAnsi" w:cstheme="minorHAnsi"/>
        </w:rPr>
      </w:pPr>
      <w:r w:rsidRPr="005F5709">
        <w:rPr>
          <w:rFonts w:asciiTheme="minorHAnsi" w:hAnsiTheme="minorHAnsi" w:cstheme="minorHAnsi"/>
        </w:rPr>
        <w:t>The RIS assesses three options:</w:t>
      </w:r>
    </w:p>
    <w:p w14:paraId="4CF1E187" w14:textId="77777777" w:rsidR="00BD1D88" w:rsidRPr="005F5709" w:rsidRDefault="00BD1D88" w:rsidP="00803325">
      <w:pPr>
        <w:spacing w:before="120" w:after="0"/>
        <w:rPr>
          <w:rFonts w:asciiTheme="minorHAnsi" w:hAnsiTheme="minorHAnsi" w:cstheme="minorHAnsi"/>
        </w:rPr>
      </w:pPr>
      <w:r w:rsidRPr="005F5709">
        <w:rPr>
          <w:rFonts w:asciiTheme="minorHAnsi" w:hAnsiTheme="minorHAnsi" w:cstheme="minorHAnsi"/>
        </w:rPr>
        <w:t>Option 1: Implement the Incentives for Australian Apprenticeships (IAA) program formally agreed in the 2019-20 Budget but not yet implemented. This would streamline the existing system but would not achieve any additional commencements or completions in priority occupations recognised as in skills need, due to minimal funding for priority apprentices (no regulatory cost).</w:t>
      </w:r>
    </w:p>
    <w:p w14:paraId="7665E0DD" w14:textId="77777777" w:rsidR="00BD1D88" w:rsidRPr="005F5709" w:rsidRDefault="00BD1D88" w:rsidP="00803325">
      <w:pPr>
        <w:spacing w:before="120" w:after="0"/>
        <w:rPr>
          <w:rFonts w:asciiTheme="minorHAnsi" w:hAnsiTheme="minorHAnsi" w:cstheme="minorHAnsi"/>
        </w:rPr>
      </w:pPr>
      <w:r w:rsidRPr="005F5709">
        <w:rPr>
          <w:rFonts w:asciiTheme="minorHAnsi" w:hAnsiTheme="minorHAnsi" w:cstheme="minorHAnsi"/>
        </w:rPr>
        <w:t>Option 2: Modernise and simplify the current program to respond to emerging economic conditions, reduce administrative burden and provide additional support to young Australian Apprentices. Funding would be directed to priority occupations but there would be no support for non-priority occupations (minor annual regulatory cost savings of $3.6 million).</w:t>
      </w:r>
    </w:p>
    <w:p w14:paraId="3D7082E9" w14:textId="77777777" w:rsidR="00BD1D88" w:rsidRPr="005F5709" w:rsidRDefault="00BD1D88" w:rsidP="00803325">
      <w:pPr>
        <w:spacing w:before="120" w:after="0"/>
        <w:rPr>
          <w:rFonts w:asciiTheme="minorHAnsi" w:hAnsiTheme="minorHAnsi" w:cstheme="minorHAnsi"/>
        </w:rPr>
      </w:pPr>
      <w:r w:rsidRPr="005F5709">
        <w:rPr>
          <w:rFonts w:asciiTheme="minorHAnsi" w:hAnsiTheme="minorHAnsi" w:cstheme="minorHAnsi"/>
        </w:rPr>
        <w:t xml:space="preserve">Option 3: A phased model – modernising and simplifying the current program in two phases focusing on supporting employers and apprentices in priority occupations, with support for non-priority occupations tapering over time (annual regulatory cost burden of $14.6 million). </w:t>
      </w:r>
    </w:p>
    <w:p w14:paraId="205AEB9B" w14:textId="77777777" w:rsidR="00BD1D88" w:rsidRPr="005F5709" w:rsidRDefault="00BD1D88" w:rsidP="00803325">
      <w:pPr>
        <w:spacing w:before="120" w:after="0"/>
        <w:rPr>
          <w:rFonts w:asciiTheme="minorHAnsi" w:hAnsiTheme="minorHAnsi" w:cstheme="minorHAnsi"/>
        </w:rPr>
      </w:pPr>
      <w:r w:rsidRPr="005F5709">
        <w:rPr>
          <w:rFonts w:asciiTheme="minorHAnsi" w:hAnsiTheme="minorHAnsi" w:cstheme="minorHAnsi"/>
        </w:rPr>
        <w:t>Option 3 is identified as the most cost-effective mechanism to transform the Australian Apprenticeships system by focusing investment to areas of priority based on the Australian Apprenticeships Priority List (Priority List) to ensure a pipeline of Australian Apprentices to support Australia’s economic recovery.</w:t>
      </w:r>
    </w:p>
    <w:p w14:paraId="5B0D4D4F" w14:textId="77777777" w:rsidR="00BD1D88" w:rsidRPr="005F5709" w:rsidRDefault="00BD1D88" w:rsidP="005A122D">
      <w:pPr>
        <w:spacing w:before="120" w:after="0"/>
        <w:rPr>
          <w:rFonts w:asciiTheme="minorHAnsi" w:hAnsiTheme="minorHAnsi" w:cstheme="minorHAnsi"/>
        </w:rPr>
      </w:pPr>
      <w:r w:rsidRPr="005F5709">
        <w:rPr>
          <w:rFonts w:asciiTheme="minorHAnsi" w:hAnsiTheme="minorHAnsi" w:cstheme="minorHAnsi"/>
        </w:rPr>
        <w:t xml:space="preserve">This RIS has been developed in accordance with the </w:t>
      </w:r>
      <w:r w:rsidRPr="005F5709">
        <w:rPr>
          <w:rFonts w:asciiTheme="minorHAnsi" w:hAnsiTheme="minorHAnsi" w:cstheme="minorHAnsi"/>
          <w:i/>
        </w:rPr>
        <w:t xml:space="preserve">Australian Government Guide to Regulatory Impact Analysis </w:t>
      </w:r>
      <w:r w:rsidRPr="005F5709">
        <w:rPr>
          <w:rFonts w:asciiTheme="minorHAnsi" w:hAnsiTheme="minorHAnsi" w:cstheme="minorHAnsi"/>
        </w:rPr>
        <w:t>and in consultation with the Department of the Prime Minister and Cabinet’s Office of Best Practice Regulation (OBPR).</w:t>
      </w:r>
    </w:p>
    <w:p w14:paraId="285BABCA" w14:textId="77777777" w:rsidR="00BD1D88" w:rsidRPr="005F5709" w:rsidRDefault="00BD1D88">
      <w:pPr>
        <w:rPr>
          <w:rFonts w:asciiTheme="minorHAnsi" w:hAnsiTheme="minorHAnsi" w:cstheme="minorHAnsi"/>
        </w:rPr>
      </w:pPr>
      <w:r w:rsidRPr="005F5709">
        <w:rPr>
          <w:rFonts w:asciiTheme="minorHAnsi" w:hAnsiTheme="minorHAnsi" w:cstheme="minorHAnsi"/>
        </w:rPr>
        <w:br w:type="page"/>
      </w:r>
    </w:p>
    <w:p w14:paraId="5FDA20EC" w14:textId="54A4E6B6" w:rsidR="00BD1D88" w:rsidRPr="005F5709" w:rsidRDefault="00BD1D88" w:rsidP="00480DBA">
      <w:pPr>
        <w:pStyle w:val="Heading1"/>
        <w:spacing w:after="240"/>
        <w:jc w:val="both"/>
      </w:pPr>
      <w:bookmarkStart w:id="4" w:name="_Toc113022163"/>
      <w:bookmarkEnd w:id="1"/>
      <w:r w:rsidRPr="005F5709">
        <w:rPr>
          <w:bCs/>
        </w:rPr>
        <w:lastRenderedPageBreak/>
        <w:t>Chapter One: Introduction and Context</w:t>
      </w:r>
      <w:bookmarkEnd w:id="4"/>
    </w:p>
    <w:p w14:paraId="4E2DF4F2" w14:textId="77777777" w:rsidR="00BD1D88" w:rsidRPr="005F5709" w:rsidRDefault="00BD1D88" w:rsidP="00B447D1">
      <w:pPr>
        <w:rPr>
          <w:rFonts w:asciiTheme="minorHAnsi" w:hAnsiTheme="minorHAnsi" w:cstheme="minorHAnsi"/>
        </w:rPr>
      </w:pPr>
      <w:r w:rsidRPr="005F5709">
        <w:rPr>
          <w:rFonts w:asciiTheme="minorHAnsi" w:hAnsiTheme="minorHAnsi" w:cstheme="minorHAnsi"/>
        </w:rPr>
        <w:t>The aim of the Regulatory Impact Statement (RIS) is to identify the option that most effectively and efficiently improves the Australian Apprenticeships system to address skill shortages and encourage more individuals to take up apprenticeships in priority areas.</w:t>
      </w:r>
    </w:p>
    <w:p w14:paraId="541AC161" w14:textId="585147CF" w:rsidR="00BD1D88" w:rsidRPr="005F5709" w:rsidRDefault="00BD1D88" w:rsidP="00A54476">
      <w:pPr>
        <w:pStyle w:val="Heading2"/>
        <w:rPr>
          <w:color w:val="002060"/>
        </w:rPr>
      </w:pPr>
      <w:bookmarkStart w:id="5" w:name="_Toc88575265"/>
      <w:bookmarkStart w:id="6" w:name="_Toc113022164"/>
      <w:r w:rsidRPr="005F5709">
        <w:rPr>
          <w:color w:val="002060"/>
        </w:rPr>
        <w:t>1.1 What is an Australian Apprenticeship?</w:t>
      </w:r>
      <w:bookmarkEnd w:id="5"/>
      <w:bookmarkEnd w:id="6"/>
    </w:p>
    <w:p w14:paraId="21797B6F" w14:textId="77777777" w:rsidR="00BD1D88" w:rsidRPr="005F5709" w:rsidRDefault="00BD1D88" w:rsidP="00B447D1">
      <w:pPr>
        <w:pStyle w:val="BodyText"/>
        <w:spacing w:before="0" w:after="200" w:line="276" w:lineRule="auto"/>
        <w:rPr>
          <w:rFonts w:asciiTheme="minorHAnsi" w:hAnsiTheme="minorHAnsi" w:cstheme="minorHAnsi"/>
        </w:rPr>
      </w:pPr>
      <w:r w:rsidRPr="005F5709">
        <w:rPr>
          <w:rFonts w:asciiTheme="minorHAnsi" w:hAnsiTheme="minorHAnsi" w:cstheme="minorHAnsi"/>
        </w:rPr>
        <w:t>An Australian Apprenticeship is a pathway to a nationally recognised qualification that allows anyone of working age to earn an income while they learn. It combines learning in the workplace (on</w:t>
      </w:r>
      <w:r w:rsidRPr="005F5709">
        <w:rPr>
          <w:rFonts w:asciiTheme="minorHAnsi" w:hAnsiTheme="minorHAnsi" w:cstheme="minorHAnsi"/>
        </w:rPr>
        <w:noBreakHyphen/>
        <w:t>the</w:t>
      </w:r>
      <w:r w:rsidRPr="005F5709">
        <w:rPr>
          <w:rFonts w:asciiTheme="minorHAnsi" w:hAnsiTheme="minorHAnsi" w:cstheme="minorHAnsi"/>
        </w:rPr>
        <w:noBreakHyphen/>
        <w:t>job) and structured learning (off-the-job) resulting in a Vocational Education and Training (VET) qualification.</w:t>
      </w:r>
    </w:p>
    <w:p w14:paraId="4C8118F5" w14:textId="77777777" w:rsidR="00BD1D88" w:rsidRPr="005F5709" w:rsidRDefault="00BD1D88" w:rsidP="00B447D1">
      <w:pPr>
        <w:pStyle w:val="BodyText"/>
        <w:spacing w:before="0" w:after="200" w:line="276" w:lineRule="auto"/>
        <w:rPr>
          <w:rFonts w:asciiTheme="minorHAnsi" w:hAnsiTheme="minorHAnsi" w:cstheme="minorHAnsi"/>
          <w:color w:val="002060"/>
        </w:rPr>
      </w:pPr>
      <w:r w:rsidRPr="005F5709">
        <w:rPr>
          <w:rFonts w:asciiTheme="minorHAnsi" w:hAnsiTheme="minorHAnsi" w:cstheme="minorHAnsi"/>
        </w:rPr>
        <w:t>The Australian Government definition of an Australian Apprenticeship incorporates both apprenticeships and traineeships.</w:t>
      </w:r>
      <w:r w:rsidRPr="005F5709">
        <w:rPr>
          <w:rFonts w:asciiTheme="minorHAnsi" w:hAnsiTheme="minorHAnsi" w:cstheme="minorHAnsi"/>
          <w:vertAlign w:val="superscript"/>
        </w:rPr>
        <w:footnoteReference w:id="2"/>
      </w:r>
      <w:r w:rsidRPr="005F5709">
        <w:rPr>
          <w:rFonts w:asciiTheme="minorHAnsi" w:hAnsiTheme="minorHAnsi" w:cstheme="minorHAnsi"/>
        </w:rPr>
        <w:t xml:space="preserve"> Generally, apprenticeships are in a skilled trade, and usually take three to four years to complete, for example: electricians, plumbers and hairdressers. Traineeships are generally in non-trade occupations (with some exceptions), but are often shorter in duration and take one to two years to complete. Traineeships are primarily in retail, hospitality and many of the caring qualifications including aged and disability carers, childcare workers, and enrolled nurses. Individual state and territory governments identify which qualifications are apprenticeships or traineeships under their own legislative frameworks. Data from the National Centre for Vocational Education Research (NCVER) shows the split of Australian Apprentices in-training between trades and non-trade is around 63 per cent to 37 per cent.</w:t>
      </w:r>
      <w:r w:rsidRPr="005F5709">
        <w:rPr>
          <w:rFonts w:asciiTheme="minorHAnsi" w:hAnsiTheme="minorHAnsi" w:cstheme="minorHAnsi"/>
          <w:vertAlign w:val="superscript"/>
        </w:rPr>
        <w:footnoteReference w:id="3"/>
      </w:r>
      <w:r w:rsidRPr="005F5709">
        <w:rPr>
          <w:rFonts w:asciiTheme="minorHAnsi" w:hAnsiTheme="minorHAnsi" w:cstheme="minorHAnsi"/>
          <w:vertAlign w:val="superscript"/>
        </w:rPr>
        <w:t xml:space="preserve"> </w:t>
      </w:r>
    </w:p>
    <w:p w14:paraId="0FA73B5C" w14:textId="1959288E" w:rsidR="00BD1D88" w:rsidRPr="005F5709" w:rsidRDefault="00BD1D88" w:rsidP="008A7475">
      <w:pPr>
        <w:pStyle w:val="Heading2"/>
        <w:rPr>
          <w:color w:val="002060"/>
        </w:rPr>
      </w:pPr>
      <w:bookmarkStart w:id="7" w:name="_Toc113022165"/>
      <w:r w:rsidRPr="005F5709">
        <w:rPr>
          <w:color w:val="002060"/>
        </w:rPr>
        <w:t>1.2 Who are Australian Apprentices?</w:t>
      </w:r>
      <w:bookmarkEnd w:id="7"/>
    </w:p>
    <w:p w14:paraId="1D9CEF6C" w14:textId="77777777" w:rsidR="00BD1D88" w:rsidRPr="005F5709" w:rsidRDefault="00BD1D88" w:rsidP="00736D9B">
      <w:pPr>
        <w:spacing w:after="0"/>
        <w:rPr>
          <w:rFonts w:asciiTheme="minorHAnsi" w:hAnsiTheme="minorHAnsi" w:cstheme="minorHAnsi"/>
        </w:rPr>
      </w:pPr>
      <w:r w:rsidRPr="005F5709">
        <w:rPr>
          <w:rFonts w:asciiTheme="minorHAnsi" w:hAnsiTheme="minorHAnsi" w:cstheme="minorHAnsi"/>
        </w:rPr>
        <w:t>As of 30 June 2021, there were 341,385 Australian Apprentices in-training. This equates to just over two per cent of workers across the country who were employed as an apprentice or trainee. In trade occupations alone, almost 12 per cent of employed workers were an apprentice or trainee.</w:t>
      </w:r>
      <w:r w:rsidRPr="005F5709">
        <w:rPr>
          <w:rStyle w:val="FootnoteReference"/>
          <w:rFonts w:asciiTheme="minorHAnsi" w:hAnsiTheme="minorHAnsi" w:cstheme="minorHAnsi"/>
        </w:rPr>
        <w:footnoteReference w:id="4"/>
      </w:r>
      <w:r w:rsidRPr="005F5709">
        <w:rPr>
          <w:rFonts w:asciiTheme="minorHAnsi" w:hAnsiTheme="minorHAnsi" w:cstheme="minorHAnsi"/>
        </w:rPr>
        <w:t xml:space="preserve"> Australian Apprenticeships can be completed by anyone of working age, regardless of their level of educational attainment.</w:t>
      </w:r>
      <w:r w:rsidRPr="005F5709">
        <w:rPr>
          <w:rFonts w:asciiTheme="minorHAnsi" w:eastAsia="Times New Roman" w:hAnsiTheme="minorHAnsi" w:cstheme="minorHAnsi"/>
        </w:rPr>
        <w:t xml:space="preserve"> Apprentices can be still at school, school-leavers, people re-entering the workforce or an adult worker who is changing careers. As of 30 June 2021, of all Australian Apprentices in training:</w:t>
      </w:r>
    </w:p>
    <w:p w14:paraId="2899C226" w14:textId="77777777" w:rsidR="00BD1D88" w:rsidRPr="005F5709" w:rsidRDefault="00BD1D88" w:rsidP="00977294">
      <w:pPr>
        <w:pStyle w:val="ListParagraph"/>
        <w:numPr>
          <w:ilvl w:val="0"/>
          <w:numId w:val="11"/>
        </w:numPr>
        <w:spacing w:after="0" w:line="276" w:lineRule="auto"/>
        <w:rPr>
          <w:rFonts w:asciiTheme="minorHAnsi" w:eastAsia="Times New Roman" w:hAnsiTheme="minorHAnsi" w:cstheme="minorHAnsi"/>
        </w:rPr>
      </w:pPr>
      <w:r w:rsidRPr="005F5709">
        <w:rPr>
          <w:rFonts w:asciiTheme="minorHAnsi" w:eastAsia="Times New Roman" w:hAnsiTheme="minorHAnsi" w:cstheme="minorHAnsi"/>
        </w:rPr>
        <w:t>Almost two-thirds were aged 24 years or younger;</w:t>
      </w:r>
    </w:p>
    <w:p w14:paraId="2DBA0353" w14:textId="77777777" w:rsidR="00BD1D88" w:rsidRPr="005F5709" w:rsidRDefault="00BD1D88" w:rsidP="00977294">
      <w:pPr>
        <w:pStyle w:val="ListParagraph"/>
        <w:numPr>
          <w:ilvl w:val="0"/>
          <w:numId w:val="11"/>
        </w:numPr>
        <w:spacing w:after="0" w:line="276" w:lineRule="auto"/>
        <w:rPr>
          <w:rFonts w:asciiTheme="minorHAnsi" w:eastAsia="Times New Roman" w:hAnsiTheme="minorHAnsi" w:cstheme="minorHAnsi"/>
        </w:rPr>
      </w:pPr>
      <w:r w:rsidRPr="005F5709">
        <w:rPr>
          <w:rFonts w:asciiTheme="minorHAnsi" w:eastAsia="Times New Roman" w:hAnsiTheme="minorHAnsi" w:cstheme="minorHAnsi"/>
        </w:rPr>
        <w:t>Around 72 per cent identified as male and 28 per cent as female;</w:t>
      </w:r>
    </w:p>
    <w:p w14:paraId="541E409F" w14:textId="77777777" w:rsidR="00BD1D88" w:rsidRPr="005F5709" w:rsidRDefault="00BD1D88" w:rsidP="00977294">
      <w:pPr>
        <w:pStyle w:val="ListParagraph"/>
        <w:numPr>
          <w:ilvl w:val="0"/>
          <w:numId w:val="11"/>
        </w:numPr>
        <w:spacing w:after="0" w:line="276" w:lineRule="auto"/>
        <w:rPr>
          <w:rFonts w:asciiTheme="minorHAnsi" w:eastAsia="Times New Roman" w:hAnsiTheme="minorHAnsi" w:cstheme="minorHAnsi"/>
        </w:rPr>
      </w:pPr>
      <w:r w:rsidRPr="005F5709">
        <w:rPr>
          <w:rFonts w:asciiTheme="minorHAnsi" w:eastAsia="Times New Roman" w:hAnsiTheme="minorHAnsi" w:cstheme="minorHAnsi"/>
        </w:rPr>
        <w:t>34 per cent were in regional locations and four per cent in remote locations;</w:t>
      </w:r>
    </w:p>
    <w:p w14:paraId="27A1F9D1" w14:textId="77777777" w:rsidR="00BD1D88" w:rsidRPr="005F5709" w:rsidRDefault="00BD1D88" w:rsidP="00977294">
      <w:pPr>
        <w:pStyle w:val="ListParagraph"/>
        <w:numPr>
          <w:ilvl w:val="0"/>
          <w:numId w:val="11"/>
        </w:numPr>
        <w:spacing w:after="0" w:line="276" w:lineRule="auto"/>
        <w:rPr>
          <w:rFonts w:asciiTheme="minorHAnsi" w:eastAsia="Times New Roman" w:hAnsiTheme="minorHAnsi" w:cstheme="minorHAnsi"/>
        </w:rPr>
      </w:pPr>
      <w:r w:rsidRPr="005F5709">
        <w:rPr>
          <w:rFonts w:asciiTheme="minorHAnsi" w:eastAsia="Times New Roman" w:hAnsiTheme="minorHAnsi" w:cstheme="minorHAnsi"/>
        </w:rPr>
        <w:t>Around six per cent identified as Indigenous Australians; and</w:t>
      </w:r>
    </w:p>
    <w:p w14:paraId="0BF9898A" w14:textId="77777777" w:rsidR="00BD1D88" w:rsidRPr="005F5709" w:rsidRDefault="00BD1D88" w:rsidP="00977294">
      <w:pPr>
        <w:pStyle w:val="ListParagraph"/>
        <w:numPr>
          <w:ilvl w:val="0"/>
          <w:numId w:val="11"/>
        </w:numPr>
        <w:spacing w:after="0" w:line="276" w:lineRule="auto"/>
        <w:rPr>
          <w:rFonts w:asciiTheme="minorHAnsi" w:eastAsia="Times New Roman" w:hAnsiTheme="minorHAnsi" w:cstheme="minorHAnsi"/>
        </w:rPr>
      </w:pPr>
      <w:r w:rsidRPr="005F5709">
        <w:rPr>
          <w:rFonts w:asciiTheme="minorHAnsi" w:eastAsia="Times New Roman" w:hAnsiTheme="minorHAnsi" w:cstheme="minorHAnsi"/>
        </w:rPr>
        <w:t>Three per cent reported having a disability.</w:t>
      </w:r>
      <w:r w:rsidRPr="005F5709">
        <w:rPr>
          <w:rStyle w:val="FootnoteReference"/>
          <w:rFonts w:asciiTheme="minorHAnsi" w:eastAsia="Times New Roman" w:hAnsiTheme="minorHAnsi" w:cstheme="minorHAnsi"/>
        </w:rPr>
        <w:footnoteReference w:id="5"/>
      </w:r>
    </w:p>
    <w:p w14:paraId="7F1E38F6" w14:textId="12D4878F" w:rsidR="00BD1D88" w:rsidRPr="005F5709" w:rsidRDefault="00BD1D88" w:rsidP="00107E08">
      <w:pPr>
        <w:pStyle w:val="Heading2"/>
        <w:rPr>
          <w:color w:val="002060"/>
        </w:rPr>
      </w:pPr>
      <w:bookmarkStart w:id="9" w:name="_Toc88575266"/>
      <w:bookmarkStart w:id="10" w:name="_Toc113022166"/>
      <w:r w:rsidRPr="005F5709">
        <w:rPr>
          <w:color w:val="002060"/>
        </w:rPr>
        <w:lastRenderedPageBreak/>
        <w:t>1.3 Delivery of Australian Apprenticeships</w:t>
      </w:r>
      <w:bookmarkEnd w:id="9"/>
      <w:bookmarkEnd w:id="10"/>
    </w:p>
    <w:p w14:paraId="457C40A9"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 xml:space="preserve">The Australian Apprenticeships system is a responsibility shared between the Australian Government and state and territory governments. The Australian Government contracts and manages the Australian Apprenticeship Support Network (AASN) to deliver services to apprentices and their employers and provides incentives through the Australian Apprenticeships Incentives Program (AAIP). The state and territory government role relates to funding VET training (which includes the off-the-job training component for apprentices), regulation and management of legislative requirements in their jurisdictions. States and territories also locally administer jurisdictional apprenticeships incentives systems, which eligible employers and apprentices may access in addition to those incentives provided under AAIP. </w:t>
      </w:r>
    </w:p>
    <w:p w14:paraId="4AC960A5"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An Australian Apprenticeship is underpinned by a legally binding document under the relevant state or territory legislation called a Training Contract. This contract specifies roles and responsibilities, including training provision both on and off the job, the payment of wages under relevant awards, and is supported by the employment agreement between the employee and employer.</w:t>
      </w:r>
    </w:p>
    <w:p w14:paraId="2A8D7E32" w14:textId="77777777" w:rsidR="00BD1D88" w:rsidRPr="005F5709" w:rsidRDefault="00BD1D88" w:rsidP="004D151D">
      <w:pPr>
        <w:spacing w:after="0" w:line="240" w:lineRule="auto"/>
        <w:rPr>
          <w:rFonts w:asciiTheme="minorHAnsi" w:eastAsia="Times New Roman" w:hAnsiTheme="minorHAnsi" w:cstheme="minorHAnsi"/>
          <w:b/>
          <w:bCs/>
        </w:rPr>
      </w:pPr>
      <w:r w:rsidRPr="005F5709">
        <w:rPr>
          <w:rFonts w:asciiTheme="minorHAnsi" w:eastAsia="Times New Roman" w:hAnsiTheme="minorHAnsi" w:cstheme="minorHAnsi"/>
          <w:b/>
          <w:bCs/>
        </w:rPr>
        <w:t xml:space="preserve">Table 1: Overview of the key individuals and organisations involved in the apprenticeship </w:t>
      </w:r>
      <w:proofErr w:type="gramStart"/>
      <w:r w:rsidRPr="005F5709">
        <w:rPr>
          <w:rFonts w:asciiTheme="minorHAnsi" w:eastAsia="Times New Roman" w:hAnsiTheme="minorHAnsi" w:cstheme="minorHAnsi"/>
          <w:b/>
          <w:bCs/>
        </w:rPr>
        <w:t>process</w:t>
      </w:r>
      <w:proofErr w:type="gramEnd"/>
    </w:p>
    <w:p w14:paraId="112F1F5B" w14:textId="77777777" w:rsidR="00BD1D88" w:rsidRPr="005F5709" w:rsidRDefault="00BD1D88" w:rsidP="004D151D">
      <w:pPr>
        <w:spacing w:after="0" w:line="240" w:lineRule="auto"/>
        <w:rPr>
          <w:rFonts w:asciiTheme="minorHAnsi" w:eastAsia="Times New Roman" w:hAnsiTheme="minorHAnsi" w:cstheme="minorHAnsi"/>
        </w:rPr>
      </w:pPr>
    </w:p>
    <w:tbl>
      <w:tblPr>
        <w:tblW w:w="924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02"/>
        <w:gridCol w:w="5841"/>
      </w:tblGrid>
      <w:tr w:rsidR="00BD1D88" w:rsidRPr="005F5709" w14:paraId="7DBA3D44" w14:textId="77777777" w:rsidTr="00FE11C3">
        <w:trPr>
          <w:trHeight w:val="323"/>
          <w:tblHeader/>
        </w:trPr>
        <w:tc>
          <w:tcPr>
            <w:tcW w:w="3402" w:type="dxa"/>
          </w:tcPr>
          <w:p w14:paraId="57D29BB5"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t>Organisation</w:t>
            </w:r>
          </w:p>
        </w:tc>
        <w:tc>
          <w:tcPr>
            <w:tcW w:w="5841" w:type="dxa"/>
          </w:tcPr>
          <w:p w14:paraId="45AC4AB1" w14:textId="77777777" w:rsidR="00BD1D88" w:rsidRPr="005F5709" w:rsidRDefault="00BD1D88" w:rsidP="001F4E9B">
            <w:pPr>
              <w:rPr>
                <w:rFonts w:asciiTheme="minorHAnsi" w:hAnsiTheme="minorHAnsi" w:cstheme="minorHAnsi"/>
                <w:b/>
                <w:bCs/>
                <w:sz w:val="20"/>
                <w:szCs w:val="20"/>
              </w:rPr>
            </w:pPr>
            <w:r w:rsidRPr="005F5709">
              <w:rPr>
                <w:rFonts w:asciiTheme="minorHAnsi" w:hAnsiTheme="minorHAnsi" w:cstheme="minorHAnsi"/>
                <w:b/>
                <w:bCs/>
                <w:sz w:val="20"/>
                <w:szCs w:val="20"/>
              </w:rPr>
              <w:t>Involvement in apprenticeship process</w:t>
            </w:r>
          </w:p>
        </w:tc>
      </w:tr>
      <w:tr w:rsidR="00BD1D88" w:rsidRPr="005F5709" w14:paraId="2BCB2912" w14:textId="77777777" w:rsidTr="001F4E9B">
        <w:trPr>
          <w:trHeight w:val="323"/>
        </w:trPr>
        <w:tc>
          <w:tcPr>
            <w:tcW w:w="3402" w:type="dxa"/>
          </w:tcPr>
          <w:p w14:paraId="6CCD5927"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t>Australian Apprenticeship Support Network provider (AASN)</w:t>
            </w:r>
          </w:p>
        </w:tc>
        <w:tc>
          <w:tcPr>
            <w:tcW w:w="5841" w:type="dxa"/>
          </w:tcPr>
          <w:p w14:paraId="1CE22C53" w14:textId="77777777" w:rsidR="00BD1D88" w:rsidRPr="005F5709" w:rsidRDefault="00BD1D88" w:rsidP="001F4E9B">
            <w:pPr>
              <w:rPr>
                <w:rFonts w:asciiTheme="minorHAnsi" w:hAnsiTheme="minorHAnsi" w:cstheme="minorHAnsi"/>
                <w:sz w:val="20"/>
                <w:szCs w:val="20"/>
              </w:rPr>
            </w:pPr>
            <w:r w:rsidRPr="005F5709">
              <w:rPr>
                <w:rFonts w:asciiTheme="minorHAnsi" w:hAnsiTheme="minorHAnsi" w:cstheme="minorHAnsi"/>
                <w:sz w:val="20"/>
                <w:szCs w:val="20"/>
              </w:rPr>
              <w:t xml:space="preserve">Organisations contracted by the Australian Government to deliver Australian Apprenticeship support services, including supporting the sign-up process, providing advice on Australian Apprenticeships, explaining roles and responsibilities, offering personal services such as mentoring, counselling, and pastoral care. </w:t>
            </w:r>
          </w:p>
        </w:tc>
      </w:tr>
      <w:tr w:rsidR="00BD1D88" w:rsidRPr="005F5709" w14:paraId="1F1D1B4C" w14:textId="77777777" w:rsidTr="001F4E9B">
        <w:trPr>
          <w:trHeight w:val="323"/>
        </w:trPr>
        <w:tc>
          <w:tcPr>
            <w:tcW w:w="3402" w:type="dxa"/>
          </w:tcPr>
          <w:p w14:paraId="2BF364DE"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t>Australian Skills Quality Authority (ASQA)</w:t>
            </w:r>
          </w:p>
        </w:tc>
        <w:tc>
          <w:tcPr>
            <w:tcW w:w="5841" w:type="dxa"/>
          </w:tcPr>
          <w:p w14:paraId="33715D82" w14:textId="77777777" w:rsidR="00BD1D88" w:rsidRPr="005F5709" w:rsidRDefault="00BD1D88" w:rsidP="001F4E9B">
            <w:pPr>
              <w:rPr>
                <w:rFonts w:asciiTheme="minorHAnsi" w:hAnsiTheme="minorHAnsi" w:cstheme="minorHAnsi"/>
                <w:sz w:val="20"/>
                <w:szCs w:val="20"/>
              </w:rPr>
            </w:pPr>
            <w:r w:rsidRPr="005F5709">
              <w:rPr>
                <w:rFonts w:asciiTheme="minorHAnsi" w:hAnsiTheme="minorHAnsi" w:cstheme="minorHAnsi"/>
                <w:sz w:val="20"/>
                <w:szCs w:val="20"/>
              </w:rPr>
              <w:t xml:space="preserve">The national regulator for Australia’s VET sector. </w:t>
            </w:r>
          </w:p>
        </w:tc>
      </w:tr>
      <w:tr w:rsidR="00BD1D88" w:rsidRPr="005F5709" w14:paraId="4B37826E" w14:textId="77777777" w:rsidTr="001F4E9B">
        <w:trPr>
          <w:trHeight w:val="888"/>
        </w:trPr>
        <w:tc>
          <w:tcPr>
            <w:tcW w:w="3402" w:type="dxa"/>
          </w:tcPr>
          <w:p w14:paraId="3AACE8A2"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t>Department of Education, Skills and Employment</w:t>
            </w:r>
            <w:r w:rsidRPr="005F5709">
              <w:rPr>
                <w:rFonts w:asciiTheme="minorHAnsi" w:hAnsiTheme="minorHAnsi" w:cstheme="minorHAnsi"/>
                <w:b/>
                <w:bCs/>
                <w:sz w:val="20"/>
                <w:szCs w:val="20"/>
              </w:rPr>
              <w:t xml:space="preserve"> (DESE)</w:t>
            </w:r>
          </w:p>
        </w:tc>
        <w:tc>
          <w:tcPr>
            <w:tcW w:w="5841" w:type="dxa"/>
          </w:tcPr>
          <w:p w14:paraId="16656745" w14:textId="77777777" w:rsidR="00BD1D88" w:rsidRPr="005F5709" w:rsidRDefault="00BD1D88" w:rsidP="001F4E9B">
            <w:pPr>
              <w:rPr>
                <w:rFonts w:asciiTheme="minorHAnsi" w:hAnsiTheme="minorHAnsi" w:cstheme="minorHAnsi"/>
                <w:sz w:val="20"/>
                <w:szCs w:val="20"/>
              </w:rPr>
            </w:pPr>
            <w:r w:rsidRPr="005F5709">
              <w:rPr>
                <w:rFonts w:asciiTheme="minorHAnsi" w:hAnsiTheme="minorHAnsi" w:cstheme="minorHAnsi"/>
                <w:sz w:val="20"/>
                <w:szCs w:val="20"/>
              </w:rPr>
              <w:t>Advises the Minister for Employment, Workforce, Skills, Small and Family Business on apprenticeships policy; manages and oversees the AASN providers and administration of the AAIP.</w:t>
            </w:r>
          </w:p>
        </w:tc>
      </w:tr>
      <w:tr w:rsidR="00BD1D88" w:rsidRPr="005F5709" w14:paraId="3EEE0231" w14:textId="77777777" w:rsidTr="001F4E9B">
        <w:trPr>
          <w:trHeight w:val="888"/>
        </w:trPr>
        <w:tc>
          <w:tcPr>
            <w:tcW w:w="3402" w:type="dxa"/>
          </w:tcPr>
          <w:p w14:paraId="2B9390ED"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t>Employer</w:t>
            </w:r>
          </w:p>
        </w:tc>
        <w:tc>
          <w:tcPr>
            <w:tcW w:w="5841" w:type="dxa"/>
          </w:tcPr>
          <w:p w14:paraId="572B9B34" w14:textId="77777777" w:rsidR="00BD1D88" w:rsidRPr="005F5709" w:rsidRDefault="00BD1D88" w:rsidP="001F4E9B">
            <w:pPr>
              <w:rPr>
                <w:rFonts w:asciiTheme="minorHAnsi" w:hAnsiTheme="minorHAnsi" w:cstheme="minorHAnsi"/>
                <w:sz w:val="20"/>
                <w:szCs w:val="20"/>
              </w:rPr>
            </w:pPr>
            <w:r w:rsidRPr="005F5709">
              <w:rPr>
                <w:rFonts w:asciiTheme="minorHAnsi" w:hAnsiTheme="minorHAnsi" w:cstheme="minorHAnsi"/>
                <w:sz w:val="20"/>
                <w:szCs w:val="20"/>
              </w:rPr>
              <w:t xml:space="preserve">A person, business, or organisation (includes Group Training Organisations) that hires and pays staff for their work and conforms with Australian Government and state and territory legislation relating to Australian Apprenticeships.  </w:t>
            </w:r>
          </w:p>
        </w:tc>
      </w:tr>
      <w:tr w:rsidR="00BD1D88" w:rsidRPr="005F5709" w14:paraId="1AE68D64" w14:textId="77777777" w:rsidTr="001F4E9B">
        <w:trPr>
          <w:trHeight w:val="1844"/>
        </w:trPr>
        <w:tc>
          <w:tcPr>
            <w:tcW w:w="3402" w:type="dxa"/>
          </w:tcPr>
          <w:p w14:paraId="4BD6E5A5"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t>Group Training Organisation (GTO)</w:t>
            </w:r>
          </w:p>
        </w:tc>
        <w:tc>
          <w:tcPr>
            <w:tcW w:w="5841" w:type="dxa"/>
          </w:tcPr>
          <w:p w14:paraId="0E34CE99" w14:textId="77777777" w:rsidR="00BD1D88" w:rsidRPr="005F5709" w:rsidRDefault="00BD1D88" w:rsidP="001F4E9B">
            <w:pPr>
              <w:rPr>
                <w:rFonts w:asciiTheme="minorHAnsi" w:hAnsiTheme="minorHAnsi" w:cstheme="minorHAnsi"/>
                <w:sz w:val="20"/>
                <w:szCs w:val="20"/>
              </w:rPr>
            </w:pPr>
            <w:r w:rsidRPr="005F5709">
              <w:rPr>
                <w:rFonts w:asciiTheme="minorHAnsi" w:hAnsiTheme="minorHAnsi" w:cstheme="minorHAnsi"/>
                <w:sz w:val="20"/>
                <w:szCs w:val="20"/>
              </w:rPr>
              <w:t>Employs Australian Apprentices under a Training Contract and places them with host employers. The GTO undertakes the employer responsibilities for the quality and continuity of Australian Apprentices’ employment and training, including payment of wages. The GTO also manages the additional care and support necessary to achieve the successful completion of the Training Contract.</w:t>
            </w:r>
          </w:p>
        </w:tc>
      </w:tr>
      <w:tr w:rsidR="00BD1D88" w:rsidRPr="005F5709" w14:paraId="15E3A352" w14:textId="77777777" w:rsidTr="001F4E9B">
        <w:trPr>
          <w:trHeight w:val="1408"/>
        </w:trPr>
        <w:tc>
          <w:tcPr>
            <w:tcW w:w="3402" w:type="dxa"/>
          </w:tcPr>
          <w:p w14:paraId="19CAE596"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lastRenderedPageBreak/>
              <w:t xml:space="preserve">Registered Training Organisation (RTO) </w:t>
            </w:r>
          </w:p>
        </w:tc>
        <w:tc>
          <w:tcPr>
            <w:tcW w:w="5841" w:type="dxa"/>
          </w:tcPr>
          <w:p w14:paraId="17D65E12" w14:textId="77777777" w:rsidR="00BD1D88" w:rsidRPr="005F5709" w:rsidRDefault="00BD1D88" w:rsidP="001F4E9B">
            <w:pPr>
              <w:rPr>
                <w:rFonts w:asciiTheme="minorHAnsi" w:hAnsiTheme="minorHAnsi" w:cstheme="minorHAnsi"/>
                <w:sz w:val="20"/>
                <w:szCs w:val="20"/>
              </w:rPr>
            </w:pPr>
            <w:r w:rsidRPr="005F5709">
              <w:rPr>
                <w:rFonts w:asciiTheme="minorHAnsi" w:hAnsiTheme="minorHAnsi" w:cstheme="minorHAnsi"/>
                <w:sz w:val="20"/>
                <w:szCs w:val="20"/>
              </w:rPr>
              <w:t xml:space="preserve">Is registered by the appropriate registering body to deliver training, conduct assessments and issue nationally recognised qualifications in accordance with the VET Quality Framework. </w:t>
            </w:r>
          </w:p>
        </w:tc>
      </w:tr>
      <w:tr w:rsidR="00BD1D88" w:rsidRPr="005F5709" w14:paraId="220386BE" w14:textId="77777777" w:rsidTr="001F4E9B">
        <w:trPr>
          <w:trHeight w:val="1108"/>
        </w:trPr>
        <w:tc>
          <w:tcPr>
            <w:tcW w:w="3402" w:type="dxa"/>
          </w:tcPr>
          <w:p w14:paraId="58FD3EE7"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t xml:space="preserve">State/Territory Training Authority (STA) </w:t>
            </w:r>
          </w:p>
        </w:tc>
        <w:tc>
          <w:tcPr>
            <w:tcW w:w="5841" w:type="dxa"/>
          </w:tcPr>
          <w:p w14:paraId="06631404" w14:textId="77777777" w:rsidR="00BD1D88" w:rsidRPr="005F5709" w:rsidRDefault="00BD1D88" w:rsidP="001F4E9B">
            <w:pPr>
              <w:rPr>
                <w:rFonts w:asciiTheme="minorHAnsi" w:hAnsiTheme="minorHAnsi" w:cstheme="minorHAnsi"/>
                <w:sz w:val="20"/>
                <w:szCs w:val="20"/>
              </w:rPr>
            </w:pPr>
            <w:r w:rsidRPr="005F5709">
              <w:rPr>
                <w:rFonts w:asciiTheme="minorHAnsi" w:hAnsiTheme="minorHAnsi" w:cstheme="minorHAnsi"/>
                <w:sz w:val="20"/>
                <w:szCs w:val="20"/>
              </w:rPr>
              <w:t xml:space="preserve">The State or Territory Government body responsible for the operation of the VET system, including Australian Apprenticeships, within that jurisdiction. </w:t>
            </w:r>
          </w:p>
        </w:tc>
      </w:tr>
    </w:tbl>
    <w:p w14:paraId="7C54DDB8" w14:textId="01CFFCC2" w:rsidR="00BD1D88" w:rsidRPr="005F5709" w:rsidRDefault="00BD1D88" w:rsidP="006F0283">
      <w:pPr>
        <w:pStyle w:val="Heading3"/>
        <w:spacing w:before="120" w:after="120"/>
      </w:pPr>
      <w:bookmarkStart w:id="11" w:name="_Toc88575267"/>
      <w:bookmarkStart w:id="12" w:name="_Toc113022167"/>
      <w:r w:rsidRPr="005F5709">
        <w:t>Current regulatory and administrative framework</w:t>
      </w:r>
      <w:bookmarkEnd w:id="11"/>
      <w:bookmarkEnd w:id="12"/>
    </w:p>
    <w:p w14:paraId="5ECACC9C"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stakeholders listed in Table 1 each have their own roles and responsibilities on the Australian Apprenticeship pathway. The AASN is often the first point of contact for employers and prospective apprentices to support them in navigating the Australian Apprenticeship system.</w:t>
      </w:r>
    </w:p>
    <w:p w14:paraId="251864C0"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Before an apprenticeship can formally commence, an employer must offer to support a new or existing employee in an apprenticeship pathway and sign a Training Contract. The Training Contract also needs to detail an RTO to provide the formal training component. Each state and territory </w:t>
      </w:r>
      <w:proofErr w:type="gramStart"/>
      <w:r w:rsidRPr="005F5709">
        <w:rPr>
          <w:rFonts w:asciiTheme="minorHAnsi" w:hAnsiTheme="minorHAnsi" w:cstheme="minorHAnsi"/>
        </w:rPr>
        <w:t>maintains</w:t>
      </w:r>
      <w:proofErr w:type="gramEnd"/>
      <w:r w:rsidRPr="005F5709">
        <w:rPr>
          <w:rFonts w:asciiTheme="minorHAnsi" w:hAnsiTheme="minorHAnsi" w:cstheme="minorHAnsi"/>
        </w:rPr>
        <w:t xml:space="preserve"> a list of approved RTOs to deliver particular qualifications. Once signed, the Training Contract needs to be approved by the STA. Eligible apprentices and employers for Australian Government incentives apply, with the support of the AASN. </w:t>
      </w:r>
    </w:p>
    <w:p w14:paraId="33DDD8B1"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 xml:space="preserve">Employers are required to meet legal obligations associated with hiring under an Australian Apprenticeship, and to conform with Australian Government and state and territory legislation. They must also provide a safe working environment, support structured training on site and in the classroom, provide adequate supervision and support, and ensure Australian Apprentices are aware of their rights and responsibilities. </w:t>
      </w:r>
    </w:p>
    <w:p w14:paraId="60CEC7F4" w14:textId="77777777" w:rsidR="00BD1D88" w:rsidRPr="005F5709" w:rsidRDefault="00BD1D88" w:rsidP="00DF6C5C">
      <w:pPr>
        <w:rPr>
          <w:rFonts w:asciiTheme="minorHAnsi" w:hAnsiTheme="minorHAnsi" w:cstheme="minorHAnsi"/>
        </w:rPr>
      </w:pPr>
      <w:r w:rsidRPr="005F5709">
        <w:rPr>
          <w:rFonts w:asciiTheme="minorHAnsi" w:hAnsiTheme="minorHAnsi" w:cstheme="minorHAnsi"/>
        </w:rPr>
        <w:t xml:space="preserve">Eligibility for payments under the AAIP may depend on whether an employer or Australian Apprentice is receiving other Australian Government assistance. Generally, employers are not eligible for wage subsidies under the AAIP if they are already in receipt of an equivalent Australian Government wage subsidy, including the </w:t>
      </w:r>
      <w:proofErr w:type="spellStart"/>
      <w:r w:rsidRPr="005F5709">
        <w:rPr>
          <w:rFonts w:asciiTheme="minorHAnsi" w:hAnsiTheme="minorHAnsi" w:cstheme="minorHAnsi"/>
        </w:rPr>
        <w:t>JobMaker</w:t>
      </w:r>
      <w:proofErr w:type="spellEnd"/>
      <w:r w:rsidRPr="005F5709">
        <w:rPr>
          <w:rFonts w:asciiTheme="minorHAnsi" w:hAnsiTheme="minorHAnsi" w:cstheme="minorHAnsi"/>
        </w:rPr>
        <w:t xml:space="preserve"> Hiring Credit and the previous </w:t>
      </w:r>
      <w:proofErr w:type="spellStart"/>
      <w:r w:rsidRPr="005F5709">
        <w:rPr>
          <w:rFonts w:asciiTheme="minorHAnsi" w:hAnsiTheme="minorHAnsi" w:cstheme="minorHAnsi"/>
        </w:rPr>
        <w:t>JobKeeper</w:t>
      </w:r>
      <w:proofErr w:type="spellEnd"/>
      <w:r w:rsidRPr="005F5709">
        <w:rPr>
          <w:rFonts w:asciiTheme="minorHAnsi" w:hAnsiTheme="minorHAnsi" w:cstheme="minorHAnsi"/>
        </w:rPr>
        <w:t xml:space="preserve"> Payment. As an example, the </w:t>
      </w:r>
      <w:r w:rsidRPr="005F5709">
        <w:rPr>
          <w:rFonts w:asciiTheme="minorHAnsi" w:hAnsiTheme="minorHAnsi" w:cstheme="minorHAnsi"/>
          <w:i/>
          <w:iCs/>
        </w:rPr>
        <w:t>Social Security Act 1991</w:t>
      </w:r>
      <w:r w:rsidRPr="005F5709">
        <w:rPr>
          <w:rFonts w:asciiTheme="minorHAnsi" w:hAnsiTheme="minorHAnsi" w:cstheme="minorHAnsi"/>
        </w:rPr>
        <w:t xml:space="preserve"> and the AAIP program guidelines prohibit an Australian Apprentice from attracting the Living Away From Home Allowance (LAFHA) and Youth Allowance, </w:t>
      </w:r>
      <w:proofErr w:type="spellStart"/>
      <w:r w:rsidRPr="005F5709">
        <w:rPr>
          <w:rFonts w:asciiTheme="minorHAnsi" w:hAnsiTheme="minorHAnsi" w:cstheme="minorHAnsi"/>
        </w:rPr>
        <w:t>Austudy</w:t>
      </w:r>
      <w:proofErr w:type="spellEnd"/>
      <w:r w:rsidRPr="005F5709">
        <w:rPr>
          <w:rFonts w:asciiTheme="minorHAnsi" w:hAnsiTheme="minorHAnsi" w:cstheme="minorHAnsi"/>
        </w:rPr>
        <w:t>, or ABSTUDY at the same time. For further information on the history of the AAIP, please see Attachment A.</w:t>
      </w:r>
    </w:p>
    <w:p w14:paraId="77D9CAAE" w14:textId="77777777" w:rsidR="00BD1D88" w:rsidRPr="005F5709" w:rsidRDefault="00BD1D88">
      <w:pPr>
        <w:rPr>
          <w:rFonts w:asciiTheme="minorHAnsi" w:hAnsiTheme="minorHAnsi" w:cstheme="minorHAnsi"/>
        </w:rPr>
      </w:pPr>
      <w:r w:rsidRPr="005F5709">
        <w:rPr>
          <w:rFonts w:asciiTheme="minorHAnsi" w:hAnsiTheme="minorHAnsi" w:cstheme="minorHAnsi"/>
        </w:rPr>
        <w:br w:type="page"/>
      </w:r>
    </w:p>
    <w:p w14:paraId="79417CC1" w14:textId="77777777" w:rsidR="00BD1D88" w:rsidRPr="005F5709" w:rsidRDefault="00BD1D88" w:rsidP="004D151D">
      <w:pPr>
        <w:spacing w:after="0"/>
        <w:rPr>
          <w:rFonts w:asciiTheme="minorHAnsi" w:hAnsiTheme="minorHAnsi" w:cstheme="minorHAnsi"/>
          <w:b/>
          <w:bCs/>
        </w:rPr>
        <w:sectPr w:rsidR="00BD1D88" w:rsidRPr="005F5709" w:rsidSect="005F5709">
          <w:headerReference w:type="even" r:id="rId22"/>
          <w:headerReference w:type="default" r:id="rId23"/>
          <w:footerReference w:type="even" r:id="rId24"/>
          <w:footerReference w:type="default" r:id="rId25"/>
          <w:headerReference w:type="first" r:id="rId26"/>
          <w:footerReference w:type="first" r:id="rId27"/>
          <w:pgSz w:w="11906" w:h="16838"/>
          <w:pgMar w:top="2268" w:right="1440" w:bottom="1440" w:left="1440" w:header="0" w:footer="708" w:gutter="0"/>
          <w:pgNumType w:start="1"/>
          <w:cols w:space="708"/>
          <w:docGrid w:linePitch="360"/>
        </w:sectPr>
      </w:pPr>
      <w:r w:rsidRPr="005F5709">
        <w:rPr>
          <w:rFonts w:asciiTheme="minorHAnsi" w:hAnsiTheme="minorHAnsi" w:cstheme="minorHAnsi"/>
          <w:b/>
          <w:bCs/>
        </w:rPr>
        <w:lastRenderedPageBreak/>
        <w:t>Figure 1: Role of different stakeholders in the Australian Apprenticeships Incentives Program system</w:t>
      </w:r>
    </w:p>
    <w:p w14:paraId="605BE894" w14:textId="77777777" w:rsidR="00BD1D88" w:rsidRPr="005F5709" w:rsidRDefault="00BD1D88" w:rsidP="004D151D">
      <w:pPr>
        <w:spacing w:after="0"/>
        <w:rPr>
          <w:rFonts w:asciiTheme="minorHAnsi" w:hAnsiTheme="minorHAnsi" w:cstheme="minorHAnsi"/>
          <w:b/>
          <w:bCs/>
        </w:rPr>
      </w:pPr>
    </w:p>
    <w:p w14:paraId="40F66855" w14:textId="77777777" w:rsidR="00BD1D88" w:rsidRPr="005F5709" w:rsidRDefault="00BD1D88" w:rsidP="004D151D">
      <w:pPr>
        <w:spacing w:after="0"/>
        <w:rPr>
          <w:rFonts w:asciiTheme="minorHAnsi" w:hAnsiTheme="minorHAnsi" w:cstheme="minorHAnsi"/>
          <w:b/>
          <w:bCs/>
        </w:rPr>
        <w:sectPr w:rsidR="00BD1D88" w:rsidRPr="005F5709" w:rsidSect="004D308D">
          <w:type w:val="continuous"/>
          <w:pgSz w:w="11906" w:h="16838"/>
          <w:pgMar w:top="720" w:right="720" w:bottom="720" w:left="720" w:header="0" w:footer="708" w:gutter="0"/>
          <w:cols w:space="708"/>
          <w:docGrid w:linePitch="360"/>
        </w:sectPr>
      </w:pPr>
      <w:r w:rsidRPr="005F5709">
        <w:rPr>
          <w:rFonts w:asciiTheme="minorHAnsi" w:hAnsiTheme="minorHAnsi" w:cstheme="minorHAnsi"/>
          <w:noProof/>
        </w:rPr>
        <w:drawing>
          <wp:inline distT="0" distB="0" distL="0" distR="0" wp14:anchorId="3C1B1B2C" wp14:editId="76EE4CF5">
            <wp:extent cx="6645910" cy="4559935"/>
            <wp:effectExtent l="0" t="0" r="2540" b="0"/>
            <wp:docPr id="24" name="Picture 24" descr="Graphic showing the role of different stakeholders in the Australian Apprenticeships Incentives Program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 showing the role of different stakeholders in the Australian Apprenticeships Incentives Program system."/>
                    <pic:cNvPicPr/>
                  </pic:nvPicPr>
                  <pic:blipFill>
                    <a:blip r:embed="rId28"/>
                    <a:stretch>
                      <a:fillRect/>
                    </a:stretch>
                  </pic:blipFill>
                  <pic:spPr>
                    <a:xfrm>
                      <a:off x="0" y="0"/>
                      <a:ext cx="6645910" cy="4559935"/>
                    </a:xfrm>
                    <a:prstGeom prst="rect">
                      <a:avLst/>
                    </a:prstGeom>
                  </pic:spPr>
                </pic:pic>
              </a:graphicData>
            </a:graphic>
          </wp:inline>
        </w:drawing>
      </w:r>
    </w:p>
    <w:p w14:paraId="480D544D" w14:textId="77777777" w:rsidR="00BD1D88" w:rsidRPr="005F5709" w:rsidRDefault="00BD1D88" w:rsidP="00026D78">
      <w:pPr>
        <w:pStyle w:val="Heading2"/>
        <w:rPr>
          <w:color w:val="002060"/>
        </w:rPr>
      </w:pPr>
      <w:bookmarkStart w:id="13" w:name="_Toc113022168"/>
      <w:bookmarkStart w:id="14" w:name="_Toc88575268"/>
      <w:r w:rsidRPr="005F5709">
        <w:rPr>
          <w:color w:val="002060"/>
        </w:rPr>
        <w:lastRenderedPageBreak/>
        <w:t>1.4 Programs across the Department</w:t>
      </w:r>
      <w:bookmarkEnd w:id="13"/>
    </w:p>
    <w:p w14:paraId="4267FC7E" w14:textId="77777777" w:rsidR="00BD1D88" w:rsidRPr="005F5709" w:rsidRDefault="00BD1D88" w:rsidP="00131C42">
      <w:pPr>
        <w:rPr>
          <w:rFonts w:asciiTheme="minorHAnsi" w:hAnsiTheme="minorHAnsi" w:cstheme="minorHAnsi"/>
        </w:rPr>
      </w:pPr>
      <w:r w:rsidRPr="005F5709">
        <w:rPr>
          <w:rFonts w:asciiTheme="minorHAnsi" w:hAnsiTheme="minorHAnsi" w:cstheme="minorHAnsi"/>
        </w:rPr>
        <w:t>Australian Apprenticeships are only one pathway across the Australian Government’s Skills and Training Portfolio designed support employment and a skilled workforce as the economy recovers. Young people can be encouraged to take up an apprenticeship pathway through schools and other programs such as Workforce Australia; the Transition to Work (</w:t>
      </w:r>
      <w:proofErr w:type="spellStart"/>
      <w:r w:rsidRPr="005F5709">
        <w:rPr>
          <w:rFonts w:asciiTheme="minorHAnsi" w:hAnsiTheme="minorHAnsi" w:cstheme="minorHAnsi"/>
        </w:rPr>
        <w:t>TtW</w:t>
      </w:r>
      <w:proofErr w:type="spellEnd"/>
      <w:r w:rsidRPr="005F5709">
        <w:rPr>
          <w:rFonts w:asciiTheme="minorHAnsi" w:hAnsiTheme="minorHAnsi" w:cstheme="minorHAnsi"/>
        </w:rPr>
        <w:t xml:space="preserve">) youth employment program. Promotion of pre-apprenticeship programs through these services can increase the likelihood of successful transition into and completion of an apprenticeship. Young people may also choose to study a VET qualification without completing an apprenticeship, for example through </w:t>
      </w:r>
      <w:proofErr w:type="spellStart"/>
      <w:r w:rsidRPr="005F5709">
        <w:rPr>
          <w:rFonts w:asciiTheme="minorHAnsi" w:hAnsiTheme="minorHAnsi" w:cstheme="minorHAnsi"/>
        </w:rPr>
        <w:t>JobTrainer</w:t>
      </w:r>
      <w:proofErr w:type="spellEnd"/>
      <w:r w:rsidRPr="005F5709">
        <w:rPr>
          <w:rFonts w:asciiTheme="minorHAnsi" w:hAnsiTheme="minorHAnsi" w:cstheme="minorHAnsi"/>
        </w:rPr>
        <w:t xml:space="preserve">, which offers free, or low fee training for any Australian aged between 17 and 24. </w:t>
      </w:r>
    </w:p>
    <w:p w14:paraId="2A4E448B" w14:textId="77777777" w:rsidR="00BD1D88" w:rsidRPr="005F5709" w:rsidRDefault="00BD1D88" w:rsidP="008C70CB">
      <w:pPr>
        <w:rPr>
          <w:rFonts w:asciiTheme="minorHAnsi" w:hAnsiTheme="minorHAnsi" w:cstheme="minorHAnsi"/>
        </w:rPr>
      </w:pPr>
      <w:r w:rsidRPr="005F5709">
        <w:rPr>
          <w:rFonts w:asciiTheme="minorHAnsi" w:hAnsiTheme="minorHAnsi" w:cstheme="minorHAnsi"/>
        </w:rPr>
        <w:t>Australian apprentices make up only around two per cent of the Australian workforce</w:t>
      </w:r>
      <w:r w:rsidRPr="005F5709">
        <w:rPr>
          <w:rStyle w:val="FootnoteReference"/>
          <w:rFonts w:asciiTheme="minorHAnsi" w:hAnsiTheme="minorHAnsi" w:cstheme="minorHAnsi"/>
        </w:rPr>
        <w:footnoteReference w:id="6"/>
      </w:r>
      <w:r w:rsidRPr="005F5709">
        <w:rPr>
          <w:rFonts w:asciiTheme="minorHAnsi" w:hAnsiTheme="minorHAnsi" w:cstheme="minorHAnsi"/>
        </w:rPr>
        <w:t xml:space="preserve"> and eight per cent of total participation in the Australian VET sector.</w:t>
      </w:r>
      <w:r w:rsidRPr="005F5709">
        <w:rPr>
          <w:rStyle w:val="FootnoteReference"/>
          <w:rFonts w:asciiTheme="minorHAnsi" w:hAnsiTheme="minorHAnsi" w:cstheme="minorHAnsi"/>
        </w:rPr>
        <w:footnoteReference w:id="7"/>
      </w:r>
      <w:r w:rsidRPr="005F5709">
        <w:rPr>
          <w:rFonts w:asciiTheme="minorHAnsi" w:hAnsiTheme="minorHAnsi" w:cstheme="minorHAnsi"/>
        </w:rPr>
        <w:t xml:space="preserve"> As such, it is important to consider the impact of shifting apprenticeship incentives as one component of the broader economy.  For example, a reduction in estimated apprentice and trainee commencements does not cause a reduction in job opportunities, rather a reduction in the use of an apprenticeship or traineeship pathway to develop a skilled workforce. Jobs will still be available, and demand of labour will still exist but there will be greater competition for skilled and qualified labour, rather than employers investing in workforce development. </w:t>
      </w:r>
    </w:p>
    <w:p w14:paraId="17A84903" w14:textId="77777777" w:rsidR="00BD1D88" w:rsidRPr="005F5709" w:rsidRDefault="00BD1D88" w:rsidP="008C70CB">
      <w:pPr>
        <w:rPr>
          <w:rFonts w:asciiTheme="minorHAnsi" w:hAnsiTheme="minorHAnsi" w:cstheme="minorHAnsi"/>
        </w:rPr>
      </w:pPr>
      <w:r w:rsidRPr="005F5709">
        <w:rPr>
          <w:rFonts w:asciiTheme="minorHAnsi" w:hAnsiTheme="minorHAnsi" w:cstheme="minorHAnsi"/>
        </w:rPr>
        <w:t xml:space="preserve">The pricing elasticity research used in this RIS seeks to estimate the impact of incentive levels and various support models, and to determine anticipated changes in apprentice commencements, that is to ascertain at what point employers believe it is worth the cost to take on an additional apprentice. </w:t>
      </w:r>
    </w:p>
    <w:p w14:paraId="2E05BAA1" w14:textId="77777777" w:rsidR="00BD1D88" w:rsidRPr="005F5709" w:rsidRDefault="00BD1D88" w:rsidP="008C70CB">
      <w:pPr>
        <w:rPr>
          <w:rFonts w:asciiTheme="minorHAnsi" w:hAnsiTheme="minorHAnsi" w:cstheme="minorHAnsi"/>
        </w:rPr>
      </w:pPr>
      <w:r w:rsidRPr="005F5709">
        <w:rPr>
          <w:rFonts w:asciiTheme="minorHAnsi" w:hAnsiTheme="minorHAnsi" w:cstheme="minorHAnsi"/>
        </w:rPr>
        <w:t xml:space="preserve">Importantly, the impact is different depending on the occupation that the apprenticeship or traineeship leads to. In particular, for some occupations, an apprenticeship is the primary entry pathway and may be mandated as part of the industrial relations system. A drop in commencements in those occupations will likely lead to skill shortages in the future. </w:t>
      </w:r>
      <w:proofErr w:type="gramStart"/>
      <w:r w:rsidRPr="005F5709">
        <w:rPr>
          <w:rFonts w:asciiTheme="minorHAnsi" w:hAnsiTheme="minorHAnsi" w:cstheme="minorHAnsi"/>
        </w:rPr>
        <w:t>However</w:t>
      </w:r>
      <w:proofErr w:type="gramEnd"/>
      <w:r w:rsidRPr="005F5709">
        <w:rPr>
          <w:rFonts w:asciiTheme="minorHAnsi" w:hAnsiTheme="minorHAnsi" w:cstheme="minorHAnsi"/>
        </w:rPr>
        <w:t xml:space="preserve"> for occupations where there is an optional traineeship pathway, a reduction in</w:t>
      </w:r>
      <w:r w:rsidRPr="005F5709" w:rsidDel="00CC190F">
        <w:rPr>
          <w:rFonts w:asciiTheme="minorHAnsi" w:hAnsiTheme="minorHAnsi" w:cstheme="minorHAnsi"/>
        </w:rPr>
        <w:t xml:space="preserve"> </w:t>
      </w:r>
      <w:r w:rsidRPr="005F5709">
        <w:rPr>
          <w:rFonts w:asciiTheme="minorHAnsi" w:hAnsiTheme="minorHAnsi" w:cstheme="minorHAnsi"/>
        </w:rPr>
        <w:t xml:space="preserve">traineeship commencements may not necessarily result in skill shortages in the future, with employers electing to train staff in other ways outside of the formal traineeship model. </w:t>
      </w:r>
    </w:p>
    <w:p w14:paraId="2CD5715B" w14:textId="499F0C2F" w:rsidR="00BD1D88" w:rsidRPr="005F5709" w:rsidRDefault="00BD1D88" w:rsidP="00026D78">
      <w:pPr>
        <w:pStyle w:val="Heading2"/>
        <w:rPr>
          <w:color w:val="002060"/>
        </w:rPr>
      </w:pPr>
      <w:bookmarkStart w:id="15" w:name="_Toc113022169"/>
      <w:r w:rsidRPr="005F5709">
        <w:rPr>
          <w:color w:val="002060"/>
        </w:rPr>
        <w:t>1.5 Incentives for Australian Apprenticeships</w:t>
      </w:r>
      <w:bookmarkEnd w:id="14"/>
      <w:bookmarkEnd w:id="15"/>
      <w:r w:rsidRPr="005F5709">
        <w:rPr>
          <w:color w:val="002060"/>
        </w:rPr>
        <w:t xml:space="preserve"> </w:t>
      </w:r>
    </w:p>
    <w:p w14:paraId="136A72BF" w14:textId="77777777" w:rsidR="00BD1D88" w:rsidRPr="005F5709" w:rsidRDefault="00BD1D88" w:rsidP="00131C42">
      <w:pPr>
        <w:rPr>
          <w:rFonts w:asciiTheme="minorHAnsi" w:eastAsia="Times New Roman" w:hAnsiTheme="minorHAnsi" w:cstheme="minorHAnsi"/>
        </w:rPr>
      </w:pPr>
      <w:r w:rsidRPr="005F5709">
        <w:rPr>
          <w:rFonts w:asciiTheme="minorHAnsi" w:eastAsia="Times New Roman" w:hAnsiTheme="minorHAnsi" w:cstheme="minorHAnsi"/>
        </w:rPr>
        <w:t xml:space="preserve">Since the Australian Government first delivered incentives for apprenticeships in the early 1960s, various rebates, subsidies, and incentive payments have been introduced, altered, or removed with differing goals depending on the policy objectives of the day. These have included commencement and completion payments for both employers and apprentices, wage subsidies and additional incentives for employers of specific cohorts, such as women </w:t>
      </w:r>
      <w:r w:rsidRPr="005F5709">
        <w:rPr>
          <w:rFonts w:asciiTheme="minorHAnsi" w:eastAsia="Times New Roman" w:hAnsiTheme="minorHAnsi" w:cstheme="minorHAnsi"/>
        </w:rPr>
        <w:lastRenderedPageBreak/>
        <w:t xml:space="preserve">and disadvantaged or long-term unemployed job seekers, as well as incentives aimed at specific skill areas, such as sports and technical education. </w:t>
      </w:r>
    </w:p>
    <w:p w14:paraId="75C0D62F" w14:textId="41412982" w:rsidR="00BD1D88" w:rsidRPr="005F5709" w:rsidRDefault="00BD1D88" w:rsidP="004F46D1">
      <w:pPr>
        <w:pStyle w:val="Heading3"/>
      </w:pPr>
      <w:bookmarkStart w:id="16" w:name="_Toc88575269"/>
      <w:bookmarkStart w:id="17" w:name="_Toc113022170"/>
      <w:r w:rsidRPr="005F5709">
        <w:t>Australian Apprenticeships Incentives Program</w:t>
      </w:r>
      <w:bookmarkEnd w:id="16"/>
      <w:bookmarkEnd w:id="17"/>
    </w:p>
    <w:p w14:paraId="01E5D040"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 xml:space="preserve">Introduced in 1998, the AAIP sought to increase apprenticeship commencement and completion rates through the provision of a standard set of incentives and additional incentives for specific cohorts such as women in non-traditional occupations and apprentices with a disability. </w:t>
      </w:r>
    </w:p>
    <w:p w14:paraId="6872CE6F"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Since the introduction of the AAIP, changes have been made to the program to respond to shifting policy priorities, economic cycles and emergency situations. Over time, the AAIP has included incentives targeted to:</w:t>
      </w:r>
    </w:p>
    <w:p w14:paraId="17667875" w14:textId="77777777" w:rsidR="00BD1D88" w:rsidRPr="005F5709" w:rsidRDefault="00BD1D88" w:rsidP="00977294">
      <w:pPr>
        <w:pStyle w:val="ListParagraph"/>
        <w:numPr>
          <w:ilvl w:val="0"/>
          <w:numId w:val="10"/>
        </w:numPr>
        <w:spacing w:after="200" w:line="276" w:lineRule="auto"/>
        <w:rPr>
          <w:rFonts w:asciiTheme="minorHAnsi" w:hAnsiTheme="minorHAnsi" w:cstheme="minorHAnsi"/>
        </w:rPr>
      </w:pPr>
      <w:r w:rsidRPr="005F5709">
        <w:rPr>
          <w:rFonts w:asciiTheme="minorHAnsi" w:eastAsia="Times New Roman" w:hAnsiTheme="minorHAnsi" w:cstheme="minorHAnsi"/>
        </w:rPr>
        <w:t>Meet specific skills shortages, both with a national and local focus;</w:t>
      </w:r>
    </w:p>
    <w:p w14:paraId="5127DBD9" w14:textId="77777777" w:rsidR="00BD1D88" w:rsidRPr="005F5709" w:rsidRDefault="00BD1D88" w:rsidP="00977294">
      <w:pPr>
        <w:pStyle w:val="ListParagraph"/>
        <w:numPr>
          <w:ilvl w:val="0"/>
          <w:numId w:val="10"/>
        </w:numPr>
        <w:spacing w:after="200" w:line="276" w:lineRule="auto"/>
        <w:rPr>
          <w:rFonts w:asciiTheme="minorHAnsi" w:hAnsiTheme="minorHAnsi" w:cstheme="minorHAnsi"/>
        </w:rPr>
      </w:pPr>
      <w:r w:rsidRPr="005F5709">
        <w:rPr>
          <w:rFonts w:asciiTheme="minorHAnsi" w:eastAsia="Times New Roman" w:hAnsiTheme="minorHAnsi" w:cstheme="minorHAnsi"/>
        </w:rPr>
        <w:t>Grow skills in emerging policy priority areas;</w:t>
      </w:r>
    </w:p>
    <w:p w14:paraId="0129E848" w14:textId="77777777" w:rsidR="00BD1D88" w:rsidRPr="005F5709" w:rsidRDefault="00BD1D88" w:rsidP="00977294">
      <w:pPr>
        <w:pStyle w:val="ListParagraph"/>
        <w:numPr>
          <w:ilvl w:val="0"/>
          <w:numId w:val="10"/>
        </w:numPr>
        <w:spacing w:after="200" w:line="276" w:lineRule="auto"/>
        <w:rPr>
          <w:rFonts w:asciiTheme="minorHAnsi" w:hAnsiTheme="minorHAnsi" w:cstheme="minorHAnsi"/>
        </w:rPr>
      </w:pPr>
      <w:r w:rsidRPr="005F5709">
        <w:rPr>
          <w:rFonts w:asciiTheme="minorHAnsi" w:eastAsia="Times New Roman" w:hAnsiTheme="minorHAnsi" w:cstheme="minorHAnsi"/>
        </w:rPr>
        <w:t>Support apprentices with costs associated with their work, such as protective equipment and tools;</w:t>
      </w:r>
    </w:p>
    <w:p w14:paraId="3FC0BA78" w14:textId="77777777" w:rsidR="00BD1D88" w:rsidRPr="005F5709" w:rsidRDefault="00BD1D88" w:rsidP="00977294">
      <w:pPr>
        <w:pStyle w:val="ListParagraph"/>
        <w:numPr>
          <w:ilvl w:val="0"/>
          <w:numId w:val="10"/>
        </w:numPr>
        <w:spacing w:after="200" w:line="276" w:lineRule="auto"/>
        <w:rPr>
          <w:rFonts w:asciiTheme="minorHAnsi" w:hAnsiTheme="minorHAnsi" w:cstheme="minorHAnsi"/>
        </w:rPr>
      </w:pPr>
      <w:r w:rsidRPr="005F5709">
        <w:rPr>
          <w:rFonts w:asciiTheme="minorHAnsi" w:eastAsia="Times New Roman" w:hAnsiTheme="minorHAnsi" w:cstheme="minorHAnsi"/>
        </w:rPr>
        <w:t>Include disaster recovery initiatives;</w:t>
      </w:r>
    </w:p>
    <w:p w14:paraId="5FBE5CCB" w14:textId="77777777" w:rsidR="00BD1D88" w:rsidRPr="005F5709" w:rsidRDefault="00BD1D88" w:rsidP="00977294">
      <w:pPr>
        <w:pStyle w:val="ListParagraph"/>
        <w:numPr>
          <w:ilvl w:val="0"/>
          <w:numId w:val="10"/>
        </w:numPr>
        <w:spacing w:after="200" w:line="276" w:lineRule="auto"/>
        <w:rPr>
          <w:rFonts w:asciiTheme="minorHAnsi" w:hAnsiTheme="minorHAnsi" w:cstheme="minorHAnsi"/>
        </w:rPr>
      </w:pPr>
      <w:r w:rsidRPr="005F5709">
        <w:rPr>
          <w:rFonts w:asciiTheme="minorHAnsi" w:hAnsiTheme="minorHAnsi" w:cstheme="minorHAnsi"/>
        </w:rPr>
        <w:t xml:space="preserve">Eliminate poaching (the employer’s completion incentive payment had to be shared with other businesses making a major contribution to training the Australian Apprentice); </w:t>
      </w:r>
    </w:p>
    <w:p w14:paraId="24FABCD4" w14:textId="77777777" w:rsidR="00BD1D88" w:rsidRPr="005F5709" w:rsidRDefault="00BD1D88" w:rsidP="00977294">
      <w:pPr>
        <w:pStyle w:val="ListParagraph"/>
        <w:numPr>
          <w:ilvl w:val="0"/>
          <w:numId w:val="10"/>
        </w:numPr>
        <w:spacing w:after="200" w:line="276" w:lineRule="auto"/>
        <w:rPr>
          <w:rFonts w:asciiTheme="minorHAnsi" w:hAnsiTheme="minorHAnsi" w:cstheme="minorHAnsi"/>
        </w:rPr>
      </w:pPr>
      <w:r w:rsidRPr="005F5709">
        <w:rPr>
          <w:rFonts w:asciiTheme="minorHAnsi" w:hAnsiTheme="minorHAnsi" w:cstheme="minorHAnsi"/>
        </w:rPr>
        <w:t>Appeal to small and medium businesses; and</w:t>
      </w:r>
    </w:p>
    <w:p w14:paraId="422AC5C4" w14:textId="77777777" w:rsidR="00BD1D88" w:rsidRPr="005F5709" w:rsidRDefault="00BD1D88" w:rsidP="00977294">
      <w:pPr>
        <w:pStyle w:val="ListParagraph"/>
        <w:numPr>
          <w:ilvl w:val="0"/>
          <w:numId w:val="10"/>
        </w:numPr>
        <w:spacing w:after="200" w:line="276" w:lineRule="auto"/>
        <w:rPr>
          <w:rFonts w:asciiTheme="minorHAnsi" w:hAnsiTheme="minorHAnsi" w:cstheme="minorHAnsi"/>
        </w:rPr>
      </w:pPr>
      <w:r w:rsidRPr="005F5709">
        <w:rPr>
          <w:rFonts w:asciiTheme="minorHAnsi" w:hAnsiTheme="minorHAnsi" w:cstheme="minorHAnsi"/>
        </w:rPr>
        <w:t>Include employers of specific cohorts, such as school-based apprentices, mature-aged apprentices, women, apprentices with a disability, apprentices with a rural or regional background and Indigenous apprentices.</w:t>
      </w:r>
    </w:p>
    <w:p w14:paraId="7DF1C53E"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 xml:space="preserve">Incentives have been delivered through a combination of wage subsidies, flat rate payments, vouchers, loans and rebates. These supports have also varied in eligibility and administration. Alterations to the program and the addition of new payments have resulted in today’s complex AAIP framework that includes over 30 payment types that primarily target employers. </w:t>
      </w:r>
    </w:p>
    <w:p w14:paraId="3F28E1F2" w14:textId="77777777" w:rsidR="00BD1D88" w:rsidRPr="005F5709" w:rsidRDefault="00BD1D88" w:rsidP="006D2681">
      <w:pPr>
        <w:pStyle w:val="Heading4"/>
        <w:rPr>
          <w:rFonts w:asciiTheme="minorHAnsi" w:eastAsia="Times New Roman" w:hAnsiTheme="minorHAnsi" w:cstheme="minorHAnsi"/>
        </w:rPr>
      </w:pPr>
      <w:r w:rsidRPr="005F5709">
        <w:rPr>
          <w:rFonts w:asciiTheme="minorHAnsi" w:hAnsiTheme="minorHAnsi" w:cstheme="minorHAnsi"/>
        </w:rPr>
        <w:t>AAIP:</w:t>
      </w:r>
      <w:r w:rsidRPr="005F5709">
        <w:rPr>
          <w:rFonts w:asciiTheme="minorHAnsi" w:eastAsia="Times New Roman" w:hAnsiTheme="minorHAnsi" w:cstheme="minorHAnsi"/>
        </w:rPr>
        <w:t xml:space="preserve"> Main support categories </w:t>
      </w:r>
    </w:p>
    <w:p w14:paraId="1E70D5A9" w14:textId="77777777" w:rsidR="00BD1D88" w:rsidRPr="005F5709" w:rsidRDefault="00BD1D88" w:rsidP="006D2681">
      <w:pPr>
        <w:spacing w:after="0"/>
        <w:rPr>
          <w:rFonts w:asciiTheme="minorHAnsi" w:hAnsiTheme="minorHAnsi" w:cstheme="minorHAnsi"/>
        </w:rPr>
      </w:pPr>
      <w:r w:rsidRPr="005F5709">
        <w:rPr>
          <w:rFonts w:asciiTheme="minorHAnsi" w:hAnsiTheme="minorHAnsi" w:cstheme="minorHAnsi"/>
        </w:rPr>
        <w:t>Support for employers:</w:t>
      </w:r>
    </w:p>
    <w:p w14:paraId="69C17894" w14:textId="77777777" w:rsidR="00BD1D88" w:rsidRPr="005F5709" w:rsidRDefault="00BD1D88" w:rsidP="00977294">
      <w:pPr>
        <w:pStyle w:val="ListParagraph"/>
        <w:numPr>
          <w:ilvl w:val="0"/>
          <w:numId w:val="14"/>
        </w:numPr>
        <w:spacing w:after="0" w:line="276" w:lineRule="auto"/>
        <w:rPr>
          <w:rFonts w:asciiTheme="minorHAnsi" w:hAnsiTheme="minorHAnsi" w:cstheme="minorHAnsi"/>
        </w:rPr>
      </w:pPr>
      <w:r w:rsidRPr="005F5709">
        <w:rPr>
          <w:rFonts w:asciiTheme="minorHAnsi" w:hAnsiTheme="minorHAnsi" w:cstheme="minorHAnsi"/>
        </w:rPr>
        <w:t>Standard and targeted incentives;</w:t>
      </w:r>
    </w:p>
    <w:p w14:paraId="3E3BAAD8" w14:textId="77777777" w:rsidR="00BD1D88" w:rsidRPr="005F5709" w:rsidRDefault="00BD1D88" w:rsidP="00977294">
      <w:pPr>
        <w:pStyle w:val="ListParagraph"/>
        <w:numPr>
          <w:ilvl w:val="0"/>
          <w:numId w:val="14"/>
        </w:numPr>
        <w:spacing w:after="0" w:line="276" w:lineRule="auto"/>
        <w:rPr>
          <w:rFonts w:asciiTheme="minorHAnsi" w:hAnsiTheme="minorHAnsi" w:cstheme="minorHAnsi"/>
        </w:rPr>
      </w:pPr>
      <w:r w:rsidRPr="005F5709">
        <w:rPr>
          <w:rFonts w:asciiTheme="minorHAnsi" w:hAnsiTheme="minorHAnsi" w:cstheme="minorHAnsi"/>
        </w:rPr>
        <w:t>Additional Identified Skills Shortage (AISS) payment;</w:t>
      </w:r>
    </w:p>
    <w:p w14:paraId="1215FB96" w14:textId="77777777" w:rsidR="00BD1D88" w:rsidRPr="005F5709" w:rsidRDefault="00BD1D88" w:rsidP="00977294">
      <w:pPr>
        <w:pStyle w:val="ListParagraph"/>
        <w:numPr>
          <w:ilvl w:val="0"/>
          <w:numId w:val="14"/>
        </w:numPr>
        <w:spacing w:after="0" w:line="276" w:lineRule="auto"/>
        <w:rPr>
          <w:rFonts w:asciiTheme="minorHAnsi" w:hAnsiTheme="minorHAnsi" w:cstheme="minorHAnsi"/>
        </w:rPr>
      </w:pPr>
      <w:r w:rsidRPr="005F5709">
        <w:rPr>
          <w:rFonts w:asciiTheme="minorHAnsi" w:hAnsiTheme="minorHAnsi" w:cstheme="minorHAnsi"/>
        </w:rPr>
        <w:t>Australian Apprenticeships Wage Subsidy (AAWS) trial;</w:t>
      </w:r>
    </w:p>
    <w:p w14:paraId="7061582B" w14:textId="77777777" w:rsidR="00BD1D88" w:rsidRPr="005F5709" w:rsidRDefault="00BD1D88" w:rsidP="00977294">
      <w:pPr>
        <w:pStyle w:val="ListParagraph"/>
        <w:numPr>
          <w:ilvl w:val="0"/>
          <w:numId w:val="14"/>
        </w:numPr>
        <w:spacing w:after="0" w:line="276" w:lineRule="auto"/>
        <w:rPr>
          <w:rFonts w:asciiTheme="minorHAnsi" w:hAnsiTheme="minorHAnsi" w:cstheme="minorHAnsi"/>
        </w:rPr>
      </w:pPr>
      <w:r w:rsidRPr="005F5709">
        <w:rPr>
          <w:rFonts w:asciiTheme="minorHAnsi" w:hAnsiTheme="minorHAnsi" w:cstheme="minorHAnsi"/>
        </w:rPr>
        <w:t>Disabled Australian Apprentice Wage Support (DAAWS); and</w:t>
      </w:r>
    </w:p>
    <w:p w14:paraId="6180700A" w14:textId="77777777" w:rsidR="00BD1D88" w:rsidRPr="005F5709" w:rsidRDefault="00BD1D88" w:rsidP="00977294">
      <w:pPr>
        <w:pStyle w:val="ListParagraph"/>
        <w:numPr>
          <w:ilvl w:val="0"/>
          <w:numId w:val="14"/>
        </w:numPr>
        <w:spacing w:after="0" w:line="276" w:lineRule="auto"/>
        <w:rPr>
          <w:rFonts w:asciiTheme="minorHAnsi" w:hAnsiTheme="minorHAnsi" w:cstheme="minorHAnsi"/>
        </w:rPr>
      </w:pPr>
      <w:r w:rsidRPr="005F5709">
        <w:rPr>
          <w:rFonts w:asciiTheme="minorHAnsi" w:hAnsiTheme="minorHAnsi" w:cstheme="minorHAnsi"/>
        </w:rPr>
        <w:t xml:space="preserve">Boosting Apprenticeship Commencements (BAC) and Completing Apprenticeship Commencements (CAC) measures. </w:t>
      </w:r>
    </w:p>
    <w:p w14:paraId="17572ABE" w14:textId="77777777" w:rsidR="00BD1D88" w:rsidRPr="005F5709" w:rsidRDefault="00BD1D88" w:rsidP="006D2681">
      <w:pPr>
        <w:spacing w:after="0"/>
        <w:rPr>
          <w:rFonts w:asciiTheme="minorHAnsi" w:hAnsiTheme="minorHAnsi" w:cstheme="minorHAnsi"/>
        </w:rPr>
      </w:pPr>
      <w:r w:rsidRPr="005F5709">
        <w:rPr>
          <w:rFonts w:asciiTheme="minorHAnsi" w:hAnsiTheme="minorHAnsi" w:cstheme="minorHAnsi"/>
        </w:rPr>
        <w:t>Support for apprentices:</w:t>
      </w:r>
    </w:p>
    <w:p w14:paraId="060F7F36" w14:textId="77777777" w:rsidR="00BD1D88" w:rsidRPr="005F5709" w:rsidRDefault="00BD1D88" w:rsidP="00977294">
      <w:pPr>
        <w:pStyle w:val="ListParagraph"/>
        <w:numPr>
          <w:ilvl w:val="0"/>
          <w:numId w:val="15"/>
        </w:numPr>
        <w:spacing w:after="0" w:line="276" w:lineRule="auto"/>
        <w:rPr>
          <w:rFonts w:asciiTheme="minorHAnsi" w:hAnsiTheme="minorHAnsi" w:cstheme="minorHAnsi"/>
        </w:rPr>
      </w:pPr>
      <w:r w:rsidRPr="005F5709">
        <w:rPr>
          <w:rFonts w:asciiTheme="minorHAnsi" w:hAnsiTheme="minorHAnsi" w:cstheme="minorHAnsi"/>
        </w:rPr>
        <w:lastRenderedPageBreak/>
        <w:t>In-Training Support (ITS);</w:t>
      </w:r>
    </w:p>
    <w:p w14:paraId="1B8FF956" w14:textId="77777777" w:rsidR="00BD1D88" w:rsidRPr="005F5709" w:rsidRDefault="00BD1D88" w:rsidP="00977294">
      <w:pPr>
        <w:pStyle w:val="ListParagraph"/>
        <w:numPr>
          <w:ilvl w:val="0"/>
          <w:numId w:val="15"/>
        </w:numPr>
        <w:spacing w:after="0" w:line="276" w:lineRule="auto"/>
        <w:rPr>
          <w:rFonts w:asciiTheme="minorHAnsi" w:hAnsiTheme="minorHAnsi" w:cstheme="minorHAnsi"/>
        </w:rPr>
      </w:pPr>
      <w:r w:rsidRPr="005F5709">
        <w:rPr>
          <w:rFonts w:asciiTheme="minorHAnsi" w:hAnsiTheme="minorHAnsi" w:cstheme="minorHAnsi"/>
        </w:rPr>
        <w:t xml:space="preserve">Additional Identified Skills Shortage (AISS)  payment; and </w:t>
      </w:r>
    </w:p>
    <w:p w14:paraId="7D5D0CFD" w14:textId="77777777" w:rsidR="00BD1D88" w:rsidRPr="005F5709" w:rsidRDefault="00BD1D88" w:rsidP="00977294">
      <w:pPr>
        <w:pStyle w:val="ListParagraph"/>
        <w:numPr>
          <w:ilvl w:val="0"/>
          <w:numId w:val="15"/>
        </w:numPr>
        <w:spacing w:after="0" w:line="276" w:lineRule="auto"/>
        <w:rPr>
          <w:rFonts w:asciiTheme="minorHAnsi" w:hAnsiTheme="minorHAnsi" w:cstheme="minorHAnsi"/>
        </w:rPr>
      </w:pPr>
      <w:r w:rsidRPr="005F5709">
        <w:rPr>
          <w:rFonts w:asciiTheme="minorHAnsi" w:hAnsiTheme="minorHAnsi" w:cstheme="minorHAnsi"/>
        </w:rPr>
        <w:t>Living Away From Home Allowance (LAFHA).</w:t>
      </w:r>
    </w:p>
    <w:p w14:paraId="75C84150" w14:textId="77777777" w:rsidR="00BD1D88" w:rsidRPr="005F5709" w:rsidRDefault="00BD1D88" w:rsidP="006D2681">
      <w:pPr>
        <w:spacing w:after="0"/>
        <w:rPr>
          <w:rFonts w:asciiTheme="minorHAnsi" w:eastAsia="Times New Roman" w:hAnsiTheme="minorHAnsi" w:cstheme="minorHAnsi"/>
        </w:rPr>
      </w:pPr>
      <w:r w:rsidRPr="005F5709">
        <w:rPr>
          <w:rFonts w:asciiTheme="minorHAnsi" w:eastAsia="Times New Roman" w:hAnsiTheme="minorHAnsi" w:cstheme="minorHAnsi"/>
        </w:rPr>
        <w:t>Specific information on current incentives for apprentices can be found at Attachment B.</w:t>
      </w:r>
    </w:p>
    <w:p w14:paraId="1E7EA090" w14:textId="77777777" w:rsidR="00BD1D88" w:rsidRPr="005F5709" w:rsidRDefault="00BD1D88" w:rsidP="00190806">
      <w:pPr>
        <w:pStyle w:val="Heading4"/>
        <w:rPr>
          <w:rFonts w:asciiTheme="minorHAnsi" w:hAnsiTheme="minorHAnsi" w:cstheme="minorHAnsi"/>
        </w:rPr>
      </w:pPr>
      <w:r w:rsidRPr="005F5709">
        <w:rPr>
          <w:rFonts w:asciiTheme="minorHAnsi" w:hAnsiTheme="minorHAnsi" w:cstheme="minorHAnsi"/>
        </w:rPr>
        <w:t xml:space="preserve">Delivery of the Australian Apprenticeships Incentives Program </w:t>
      </w:r>
    </w:p>
    <w:p w14:paraId="7AE26995" w14:textId="77777777" w:rsidR="00BD1D88" w:rsidRPr="005F5709" w:rsidRDefault="00BD1D88" w:rsidP="00190806">
      <w:pPr>
        <w:rPr>
          <w:rFonts w:asciiTheme="minorHAnsi" w:hAnsiTheme="minorHAnsi" w:cstheme="minorHAnsi"/>
        </w:rPr>
      </w:pPr>
      <w:r w:rsidRPr="005F5709">
        <w:rPr>
          <w:rFonts w:asciiTheme="minorHAnsi" w:eastAsia="Times New Roman" w:hAnsiTheme="minorHAnsi" w:cstheme="minorHAnsi"/>
        </w:rPr>
        <w:t xml:space="preserve">The AASN delivers the AAIP on behalf of the Australian Government. The AASN is responsible for delivery of all </w:t>
      </w:r>
      <w:r w:rsidRPr="005F5709">
        <w:rPr>
          <w:rFonts w:asciiTheme="minorHAnsi" w:hAnsiTheme="minorHAnsi" w:cstheme="minorHAnsi"/>
        </w:rPr>
        <w:t>Australian Government</w:t>
      </w:r>
      <w:r w:rsidRPr="005F5709">
        <w:rPr>
          <w:rFonts w:asciiTheme="minorHAnsi" w:eastAsia="Times New Roman" w:hAnsiTheme="minorHAnsi" w:cstheme="minorHAnsi"/>
        </w:rPr>
        <w:t xml:space="preserve"> apprenticeship programs, including payments under the AAIP and Trade Support Loans (TSL). </w:t>
      </w:r>
    </w:p>
    <w:p w14:paraId="5AF97EF3" w14:textId="77777777" w:rsidR="00BD1D88" w:rsidRPr="005F5709" w:rsidRDefault="00BD1D88" w:rsidP="00190806">
      <w:pPr>
        <w:rPr>
          <w:rFonts w:asciiTheme="minorHAnsi" w:hAnsiTheme="minorHAnsi" w:cstheme="minorHAnsi"/>
        </w:rPr>
      </w:pPr>
      <w:r w:rsidRPr="005F5709">
        <w:rPr>
          <w:rFonts w:asciiTheme="minorHAnsi" w:hAnsiTheme="minorHAnsi" w:cstheme="minorHAnsi"/>
        </w:rPr>
        <w:t xml:space="preserve">With over 400 locations nationwide, the AASN provides two service types to employers and apprentices throughout the apprenticeship lifecycle: </w:t>
      </w:r>
    </w:p>
    <w:p w14:paraId="30881A01" w14:textId="77777777" w:rsidR="00BD1D88" w:rsidRPr="005F5709" w:rsidRDefault="00BD1D88" w:rsidP="00977294">
      <w:pPr>
        <w:pStyle w:val="ListParagraph"/>
        <w:numPr>
          <w:ilvl w:val="0"/>
          <w:numId w:val="16"/>
        </w:numPr>
        <w:spacing w:after="200" w:line="276" w:lineRule="auto"/>
        <w:rPr>
          <w:rFonts w:asciiTheme="minorHAnsi" w:hAnsiTheme="minorHAnsi" w:cstheme="minorHAnsi"/>
        </w:rPr>
      </w:pPr>
      <w:r w:rsidRPr="005F5709">
        <w:rPr>
          <w:rFonts w:asciiTheme="minorHAnsi" w:hAnsiTheme="minorHAnsi" w:cstheme="minorHAnsi"/>
        </w:rPr>
        <w:t>Universal services for clients, including essential administrative support, payment processing and regular contact; and</w:t>
      </w:r>
    </w:p>
    <w:p w14:paraId="705A5727" w14:textId="77777777" w:rsidR="00BD1D88" w:rsidRPr="005F5709" w:rsidRDefault="00BD1D88" w:rsidP="00977294">
      <w:pPr>
        <w:pStyle w:val="ListParagraph"/>
        <w:numPr>
          <w:ilvl w:val="0"/>
          <w:numId w:val="16"/>
        </w:numPr>
        <w:spacing w:after="200" w:line="276" w:lineRule="auto"/>
        <w:rPr>
          <w:rFonts w:asciiTheme="minorHAnsi" w:hAnsiTheme="minorHAnsi" w:cstheme="minorHAnsi"/>
        </w:rPr>
      </w:pPr>
      <w:r w:rsidRPr="005F5709">
        <w:rPr>
          <w:rFonts w:asciiTheme="minorHAnsi" w:hAnsiTheme="minorHAnsi" w:cstheme="minorHAnsi"/>
        </w:rPr>
        <w:t>Targeted services, also known as gateway and ITS, that provide services such as mentoring for both employers and individuals requiring additional support to complete the apprenticeship.</w:t>
      </w:r>
    </w:p>
    <w:p w14:paraId="54CE5540" w14:textId="77777777" w:rsidR="00BD1D88" w:rsidRPr="005F5709" w:rsidRDefault="00BD1D88" w:rsidP="00190806">
      <w:pPr>
        <w:rPr>
          <w:rFonts w:asciiTheme="minorHAnsi" w:eastAsia="Times New Roman" w:hAnsiTheme="minorHAnsi" w:cstheme="minorHAnsi"/>
        </w:rPr>
      </w:pPr>
      <w:r w:rsidRPr="005F5709">
        <w:rPr>
          <w:rFonts w:asciiTheme="minorHAnsi" w:eastAsia="Times New Roman" w:hAnsiTheme="minorHAnsi" w:cstheme="minorHAnsi"/>
        </w:rPr>
        <w:t>Core services currently provided by AASN providers include undertaking and processing apprentice sign-ups to Training Contracts, facilitating access to Australian Government incentives and TSL, as well as marketing apprenticeships.</w:t>
      </w:r>
      <w:r w:rsidRPr="005F5709">
        <w:rPr>
          <w:rFonts w:asciiTheme="minorHAnsi" w:hAnsiTheme="minorHAnsi" w:cstheme="minorHAnsi"/>
        </w:rPr>
        <w:t xml:space="preserve"> </w:t>
      </w:r>
      <w:r w:rsidRPr="005F5709">
        <w:rPr>
          <w:rFonts w:asciiTheme="minorHAnsi" w:eastAsia="Times New Roman" w:hAnsiTheme="minorHAnsi" w:cstheme="minorHAnsi"/>
        </w:rPr>
        <w:t>Additional services include gateway screening services to support individuals interested in pursuing an apprenticeship pathway, and ITS to assist apprentices and trainees currently in training, to complete their apprenticeship or traineeship. The AASN provides free tailored support to new and existing apprentices and their employers, as well as those deciding on a career pathway.</w:t>
      </w:r>
    </w:p>
    <w:p w14:paraId="0AA94940" w14:textId="77777777" w:rsidR="00BD1D88" w:rsidRPr="005F5709" w:rsidDel="00F33D73" w:rsidRDefault="00BD1D88" w:rsidP="00820802">
      <w:pPr>
        <w:pStyle w:val="Heading4"/>
        <w:rPr>
          <w:rFonts w:asciiTheme="minorHAnsi" w:hAnsiTheme="minorHAnsi" w:cstheme="minorHAnsi"/>
        </w:rPr>
      </w:pPr>
      <w:r w:rsidRPr="005F5709" w:rsidDel="00F33D73">
        <w:rPr>
          <w:rFonts w:asciiTheme="minorHAnsi" w:hAnsiTheme="minorHAnsi" w:cstheme="minorHAnsi"/>
        </w:rPr>
        <w:t xml:space="preserve">COVID-19 economic response measures </w:t>
      </w:r>
    </w:p>
    <w:p w14:paraId="1B6BDD4A" w14:textId="77777777" w:rsidR="00BD1D88" w:rsidRPr="005F5709" w:rsidDel="00F33D73" w:rsidRDefault="00BD1D88" w:rsidP="00F46520">
      <w:pPr>
        <w:rPr>
          <w:rFonts w:asciiTheme="minorHAnsi" w:hAnsiTheme="minorHAnsi" w:cstheme="minorHAnsi"/>
        </w:rPr>
      </w:pPr>
      <w:r w:rsidRPr="005F5709" w:rsidDel="00F33D73">
        <w:rPr>
          <w:rFonts w:asciiTheme="minorHAnsi" w:hAnsiTheme="minorHAnsi" w:cstheme="minorHAnsi"/>
        </w:rPr>
        <w:t>The Supporting Apprentices and Trainees (SAT) and BAC wage subsidies were introduced in 2020 as short-term measures to support and protect apprenticeships during the COVID-19 pandemic. These interventions recognised that apprentices and trainees are often the first to lose their job during times of economic downturn and that many businesses are reluctant to take on new and/or inexperienced workers during uncertain economic situations.</w:t>
      </w:r>
    </w:p>
    <w:p w14:paraId="14152CD6" w14:textId="77777777" w:rsidR="00BD1D88" w:rsidRPr="005F5709" w:rsidDel="00F33D73" w:rsidRDefault="00BD1D88" w:rsidP="00F46520">
      <w:pPr>
        <w:rPr>
          <w:rFonts w:asciiTheme="minorHAnsi" w:hAnsiTheme="minorHAnsi" w:cstheme="minorHAnsi"/>
        </w:rPr>
      </w:pPr>
      <w:r w:rsidRPr="005F5709" w:rsidDel="00F33D73">
        <w:rPr>
          <w:rFonts w:asciiTheme="minorHAnsi" w:hAnsiTheme="minorHAnsi" w:cstheme="minorHAnsi"/>
        </w:rPr>
        <w:t xml:space="preserve">Introduced in </w:t>
      </w:r>
      <w:r w:rsidRPr="005F5709">
        <w:rPr>
          <w:rFonts w:asciiTheme="minorHAnsi" w:hAnsiTheme="minorHAnsi" w:cstheme="minorHAnsi"/>
        </w:rPr>
        <w:t>March</w:t>
      </w:r>
      <w:r w:rsidRPr="005F5709" w:rsidDel="00F33D73">
        <w:rPr>
          <w:rFonts w:asciiTheme="minorHAnsi" w:hAnsiTheme="minorHAnsi" w:cstheme="minorHAnsi"/>
        </w:rPr>
        <w:t xml:space="preserve"> 2020, the SAT </w:t>
      </w:r>
      <w:r w:rsidRPr="005F5709">
        <w:rPr>
          <w:rFonts w:asciiTheme="minorHAnsi" w:hAnsiTheme="minorHAnsi" w:cstheme="minorHAnsi"/>
        </w:rPr>
        <w:t>was</w:t>
      </w:r>
      <w:r w:rsidRPr="005F5709" w:rsidDel="00F33D73">
        <w:rPr>
          <w:rFonts w:asciiTheme="minorHAnsi" w:hAnsiTheme="minorHAnsi" w:cstheme="minorHAnsi"/>
        </w:rPr>
        <w:t xml:space="preserve"> a retention measure designed to shield apprentices and trainees from the economic fallout of the COVID-19 pandemic. The estimated $1.4 billion expended on SAT contributed to retaining around 134,500 apprentices since its introduction. Early program data shows apprentices whose employers attracted the SAT wage subsidy were around 65 per cent more likely to complete and were twice as likely to resume their apprenticeship or traineeship from suspension than those eligible for SAT but who did not claim it.</w:t>
      </w:r>
      <w:r w:rsidRPr="005F5709">
        <w:rPr>
          <w:rStyle w:val="FootnoteReference"/>
          <w:rFonts w:asciiTheme="minorHAnsi" w:hAnsiTheme="minorHAnsi" w:cstheme="minorHAnsi"/>
        </w:rPr>
        <w:footnoteReference w:id="8"/>
      </w:r>
      <w:r w:rsidRPr="005F5709">
        <w:rPr>
          <w:rFonts w:asciiTheme="minorHAnsi" w:hAnsiTheme="minorHAnsi" w:cstheme="minorHAnsi"/>
        </w:rPr>
        <w:t xml:space="preserve"> </w:t>
      </w:r>
      <w:r w:rsidRPr="005F5709" w:rsidDel="00F33D73">
        <w:rPr>
          <w:rFonts w:asciiTheme="minorHAnsi" w:hAnsiTheme="minorHAnsi" w:cstheme="minorHAnsi"/>
        </w:rPr>
        <w:t>The SAT ceased on 31 March 2021.</w:t>
      </w:r>
    </w:p>
    <w:p w14:paraId="0B65D620" w14:textId="77777777" w:rsidR="00BD1D88" w:rsidRPr="005F5709" w:rsidDel="00F33D73" w:rsidRDefault="00BD1D88" w:rsidP="00F46520">
      <w:pPr>
        <w:rPr>
          <w:rFonts w:asciiTheme="minorHAnsi" w:hAnsiTheme="minorHAnsi" w:cstheme="minorHAnsi"/>
        </w:rPr>
      </w:pPr>
      <w:r w:rsidRPr="005F5709" w:rsidDel="00F33D73">
        <w:rPr>
          <w:rFonts w:asciiTheme="minorHAnsi" w:hAnsiTheme="minorHAnsi" w:cstheme="minorHAnsi"/>
        </w:rPr>
        <w:lastRenderedPageBreak/>
        <w:t>Announced in October 2020, the BAC wage subsidy is targeted at encouraging apprenticeship commencements during the COVID-19 economic recovery period and seeks to create apprenticeship pathways and new opportunities for school leavers, job seekers and those looking to change careers. The</w:t>
      </w:r>
      <w:r w:rsidRPr="005F5709">
        <w:rPr>
          <w:rFonts w:asciiTheme="minorHAnsi" w:hAnsiTheme="minorHAnsi" w:cstheme="minorHAnsi"/>
        </w:rPr>
        <w:t xml:space="preserve"> BAC</w:t>
      </w:r>
      <w:r w:rsidRPr="005F5709" w:rsidDel="00F33D73">
        <w:rPr>
          <w:rFonts w:asciiTheme="minorHAnsi" w:hAnsiTheme="minorHAnsi" w:cstheme="minorHAnsi"/>
        </w:rPr>
        <w:t xml:space="preserve"> wage subsid</w:t>
      </w:r>
      <w:r w:rsidRPr="005F5709">
        <w:rPr>
          <w:rFonts w:asciiTheme="minorHAnsi" w:hAnsiTheme="minorHAnsi" w:cstheme="minorHAnsi"/>
        </w:rPr>
        <w:t xml:space="preserve">y </w:t>
      </w:r>
      <w:r w:rsidRPr="005F5709" w:rsidDel="00F33D73">
        <w:rPr>
          <w:rFonts w:asciiTheme="minorHAnsi" w:hAnsiTheme="minorHAnsi" w:cstheme="minorHAnsi"/>
        </w:rPr>
        <w:t>provide</w:t>
      </w:r>
      <w:r w:rsidRPr="005F5709">
        <w:rPr>
          <w:rFonts w:asciiTheme="minorHAnsi" w:hAnsiTheme="minorHAnsi" w:cstheme="minorHAnsi"/>
        </w:rPr>
        <w:t>s</w:t>
      </w:r>
      <w:r w:rsidRPr="005F5709" w:rsidDel="00F33D73">
        <w:rPr>
          <w:rFonts w:asciiTheme="minorHAnsi" w:hAnsiTheme="minorHAnsi" w:cstheme="minorHAnsi"/>
        </w:rPr>
        <w:t xml:space="preserve"> support for 50 per cent of apprentice or trainee wages (up to $7,000 per quarter) and</w:t>
      </w:r>
      <w:r w:rsidRPr="005F5709">
        <w:rPr>
          <w:rFonts w:asciiTheme="minorHAnsi" w:hAnsiTheme="minorHAnsi" w:cstheme="minorHAnsi"/>
        </w:rPr>
        <w:t xml:space="preserve"> is </w:t>
      </w:r>
      <w:r w:rsidRPr="005F5709" w:rsidDel="00F33D73">
        <w:rPr>
          <w:rFonts w:asciiTheme="minorHAnsi" w:hAnsiTheme="minorHAnsi" w:cstheme="minorHAnsi"/>
        </w:rPr>
        <w:t xml:space="preserve">paid to employers quarterly in arrears. The BAC is a broad-based wage subsidy available to apprentices and trainees undertaking Certificate II or higher qualifications in both trade and non-trade areas and can be accessed by employers taking on new workers or seeking to reskill and upskill their existing workforce. </w:t>
      </w:r>
    </w:p>
    <w:p w14:paraId="5CD44EEF" w14:textId="77777777" w:rsidR="00BD1D88" w:rsidRPr="005F5709" w:rsidDel="00F33D73" w:rsidRDefault="00BD1D88" w:rsidP="00F46520">
      <w:pPr>
        <w:rPr>
          <w:rFonts w:asciiTheme="minorHAnsi" w:hAnsiTheme="minorHAnsi" w:cstheme="minorHAnsi"/>
        </w:rPr>
      </w:pPr>
      <w:r w:rsidRPr="005F5709" w:rsidDel="00F33D73">
        <w:rPr>
          <w:rFonts w:asciiTheme="minorHAnsi" w:hAnsiTheme="minorHAnsi" w:cstheme="minorHAnsi"/>
        </w:rPr>
        <w:t>Since the introduction of the BAC in October 2020, the number of Australian Apprenticeship commencements has increased significantly</w:t>
      </w:r>
      <w:r w:rsidRPr="005F5709">
        <w:rPr>
          <w:rFonts w:asciiTheme="minorHAnsi" w:hAnsiTheme="minorHAnsi" w:cstheme="minorHAnsi"/>
        </w:rPr>
        <w:t>. I</w:t>
      </w:r>
      <w:r w:rsidRPr="005F5709" w:rsidDel="00F33D73">
        <w:rPr>
          <w:rFonts w:asciiTheme="minorHAnsi" w:hAnsiTheme="minorHAnsi" w:cstheme="minorHAnsi"/>
        </w:rPr>
        <w:t xml:space="preserve">n the first </w:t>
      </w:r>
      <w:r w:rsidRPr="005F5709">
        <w:rPr>
          <w:rFonts w:asciiTheme="minorHAnsi" w:hAnsiTheme="minorHAnsi" w:cstheme="minorHAnsi"/>
        </w:rPr>
        <w:t>three</w:t>
      </w:r>
      <w:r w:rsidRPr="005F5709" w:rsidDel="00F33D73">
        <w:rPr>
          <w:rFonts w:asciiTheme="minorHAnsi" w:hAnsiTheme="minorHAnsi" w:cstheme="minorHAnsi"/>
        </w:rPr>
        <w:t xml:space="preserve"> months of the BAC, commencements more than doubled (71,335 commencements compared to 28,705 October to December 2019)</w:t>
      </w:r>
      <w:r w:rsidRPr="005F5709">
        <w:rPr>
          <w:rFonts w:asciiTheme="minorHAnsi" w:hAnsiTheme="minorHAnsi" w:cstheme="minorHAnsi"/>
        </w:rPr>
        <w:t>.</w:t>
      </w:r>
      <w:r w:rsidRPr="005F5709">
        <w:rPr>
          <w:rStyle w:val="FootnoteReference"/>
          <w:rFonts w:asciiTheme="minorHAnsi" w:hAnsiTheme="minorHAnsi" w:cstheme="minorHAnsi"/>
        </w:rPr>
        <w:footnoteReference w:id="9"/>
      </w:r>
      <w:r w:rsidRPr="005F5709" w:rsidDel="00F33D73">
        <w:rPr>
          <w:rFonts w:asciiTheme="minorHAnsi" w:hAnsiTheme="minorHAnsi" w:cstheme="minorHAnsi"/>
        </w:rPr>
        <w:t xml:space="preserve"> In 202</w:t>
      </w:r>
      <w:r w:rsidRPr="005F5709">
        <w:rPr>
          <w:rFonts w:asciiTheme="minorHAnsi" w:hAnsiTheme="minorHAnsi" w:cstheme="minorHAnsi"/>
        </w:rPr>
        <w:t>2,</w:t>
      </w:r>
      <w:r w:rsidRPr="005F5709" w:rsidDel="00F33D73">
        <w:rPr>
          <w:rFonts w:asciiTheme="minorHAnsi" w:hAnsiTheme="minorHAnsi" w:cstheme="minorHAnsi"/>
        </w:rPr>
        <w:t xml:space="preserve"> the program continu</w:t>
      </w:r>
      <w:r w:rsidRPr="005F5709">
        <w:rPr>
          <w:rFonts w:asciiTheme="minorHAnsi" w:hAnsiTheme="minorHAnsi" w:cstheme="minorHAnsi"/>
        </w:rPr>
        <w:t>es</w:t>
      </w:r>
      <w:r w:rsidRPr="005F5709" w:rsidDel="00F33D73">
        <w:rPr>
          <w:rFonts w:asciiTheme="minorHAnsi" w:hAnsiTheme="minorHAnsi" w:cstheme="minorHAnsi"/>
        </w:rPr>
        <w:t xml:space="preserve"> to support an increase in commencements. NCVER report</w:t>
      </w:r>
      <w:r w:rsidRPr="005F5709">
        <w:rPr>
          <w:rFonts w:asciiTheme="minorHAnsi" w:hAnsiTheme="minorHAnsi" w:cstheme="minorHAnsi"/>
        </w:rPr>
        <w:t>s</w:t>
      </w:r>
      <w:r w:rsidRPr="005F5709" w:rsidDel="00F33D73">
        <w:rPr>
          <w:rFonts w:asciiTheme="minorHAnsi" w:hAnsiTheme="minorHAnsi" w:cstheme="minorHAnsi"/>
        </w:rPr>
        <w:t xml:space="preserve"> a 59.5 per cent increase in commencements for the 12-month period ending 30 June 2021 when compared to the previous year.</w:t>
      </w:r>
      <w:r w:rsidRPr="005F5709">
        <w:rPr>
          <w:rStyle w:val="FootnoteReference"/>
          <w:rFonts w:asciiTheme="minorHAnsi" w:hAnsiTheme="minorHAnsi" w:cstheme="minorHAnsi"/>
        </w:rPr>
        <w:footnoteReference w:id="10"/>
      </w:r>
      <w:r w:rsidRPr="005F5709" w:rsidDel="00F33D73">
        <w:rPr>
          <w:rFonts w:asciiTheme="minorHAnsi" w:hAnsiTheme="minorHAnsi" w:cstheme="minorHAnsi"/>
        </w:rPr>
        <w:t xml:space="preserve"> The BAC will close to new commencements on 31 March 2022. </w:t>
      </w:r>
    </w:p>
    <w:p w14:paraId="57E50156" w14:textId="77777777" w:rsidR="00BD1D88" w:rsidRPr="005F5709" w:rsidDel="00F33D73" w:rsidRDefault="00BD1D88" w:rsidP="00F46520">
      <w:pPr>
        <w:rPr>
          <w:rFonts w:asciiTheme="minorHAnsi" w:hAnsiTheme="minorHAnsi" w:cstheme="minorHAnsi"/>
        </w:rPr>
      </w:pPr>
      <w:r w:rsidRPr="005F5709" w:rsidDel="00F33D73">
        <w:rPr>
          <w:rFonts w:asciiTheme="minorHAnsi" w:hAnsiTheme="minorHAnsi" w:cstheme="minorHAnsi"/>
        </w:rPr>
        <w:t xml:space="preserve">In October 2021, the </w:t>
      </w:r>
      <w:r w:rsidRPr="005F5709">
        <w:rPr>
          <w:rFonts w:asciiTheme="minorHAnsi" w:hAnsiTheme="minorHAnsi" w:cstheme="minorHAnsi"/>
        </w:rPr>
        <w:t>Australian Government</w:t>
      </w:r>
      <w:r w:rsidRPr="005F5709" w:rsidDel="00F33D73">
        <w:rPr>
          <w:rFonts w:asciiTheme="minorHAnsi" w:hAnsiTheme="minorHAnsi" w:cstheme="minorHAnsi"/>
        </w:rPr>
        <w:t xml:space="preserve"> announced the CAC wage subsidy to ease the transition for all BAC eligible employers by providing transitional support for the second and third year of an Australian Apprenticeship.</w:t>
      </w:r>
    </w:p>
    <w:p w14:paraId="07712A45" w14:textId="77777777" w:rsidR="00BD1D88" w:rsidRPr="005F5709" w:rsidDel="00F33D73" w:rsidRDefault="00BD1D88" w:rsidP="00F46520">
      <w:pPr>
        <w:rPr>
          <w:rFonts w:asciiTheme="minorHAnsi" w:hAnsiTheme="minorHAnsi" w:cstheme="minorHAnsi"/>
        </w:rPr>
      </w:pPr>
      <w:r w:rsidRPr="005F5709" w:rsidDel="00F33D73">
        <w:rPr>
          <w:rFonts w:asciiTheme="minorHAnsi" w:hAnsiTheme="minorHAnsi" w:cstheme="minorHAnsi"/>
        </w:rPr>
        <w:t xml:space="preserve">Under this measure, eligible employers will receive a wage subsidy of </w:t>
      </w:r>
      <w:r w:rsidRPr="005F5709">
        <w:rPr>
          <w:rFonts w:asciiTheme="minorHAnsi" w:hAnsiTheme="minorHAnsi" w:cstheme="minorHAnsi"/>
        </w:rPr>
        <w:t>10</w:t>
      </w:r>
      <w:r w:rsidRPr="005F5709" w:rsidDel="00F33D73">
        <w:rPr>
          <w:rFonts w:asciiTheme="minorHAnsi" w:hAnsiTheme="minorHAnsi" w:cstheme="minorHAnsi"/>
        </w:rPr>
        <w:t xml:space="preserve"> per cent of wages paid to an eligible apprentice or trainee in the second year of their apprenticeship, to a maximum of $1,500 per quarter, per apprentice. In the third year, eligible employers will also receive a wage subsidy of five per cent of wages paid to an eligible apprentice or trainee to a maximum of $750 per quarter, per apprentice. </w:t>
      </w:r>
    </w:p>
    <w:p w14:paraId="1B6F4D5E" w14:textId="38B1D3A7" w:rsidR="00BD1D88" w:rsidRPr="005F5709" w:rsidRDefault="00BD1D88" w:rsidP="004F46D1">
      <w:pPr>
        <w:pStyle w:val="Heading3"/>
      </w:pPr>
      <w:bookmarkStart w:id="18" w:name="_Toc88575270"/>
      <w:bookmarkStart w:id="19" w:name="_Toc113022171"/>
      <w:r w:rsidRPr="005F5709">
        <w:t xml:space="preserve">The incoming Incentives for Australian Apprenticeships </w:t>
      </w:r>
      <w:bookmarkEnd w:id="18"/>
      <w:r w:rsidRPr="005F5709">
        <w:t>program</w:t>
      </w:r>
      <w:bookmarkEnd w:id="19"/>
    </w:p>
    <w:p w14:paraId="17F7E0C0" w14:textId="77777777" w:rsidR="00BD1D88" w:rsidRPr="005F5709" w:rsidRDefault="00BD1D88" w:rsidP="004D151D">
      <w:pPr>
        <w:rPr>
          <w:rFonts w:asciiTheme="minorHAnsi" w:hAnsiTheme="minorHAnsi" w:cstheme="minorHAnsi"/>
        </w:rPr>
      </w:pPr>
      <w:bookmarkStart w:id="20" w:name="_Toc67333679"/>
      <w:r w:rsidRPr="005F5709">
        <w:rPr>
          <w:rFonts w:asciiTheme="minorHAnsi" w:hAnsiTheme="minorHAnsi" w:cstheme="minorHAnsi"/>
        </w:rPr>
        <w:t>In the 2019–20 Budget the Australian Government announced it would simplify and streamline incentive payments by replacing the AAIP with the Incentives for Australian Apprenticeships (IAA) program on 1 July 2020. The IAA would introduce a simplified payment structure, significantly reduce number of payment types, and streamline eligibility requirements to make it easier for employers to understand and claim incentives. The introduction of the IAA was delayed until 1 July 2022 to minimise disruption for employers and apprentices during the COVID-19 pandemic. During this time, the AAIP has remained in place to continue to provide support to employers and apprentices. </w:t>
      </w:r>
    </w:p>
    <w:p w14:paraId="1B75D1CF" w14:textId="77777777" w:rsidR="00BD1D88" w:rsidRPr="005F5709" w:rsidRDefault="00BD1D88" w:rsidP="004D151D">
      <w:pPr>
        <w:pStyle w:val="Heading1"/>
        <w:sectPr w:rsidR="00BD1D88" w:rsidRPr="005F5709" w:rsidSect="001F4E9B">
          <w:pgSz w:w="11906" w:h="16838"/>
          <w:pgMar w:top="2268" w:right="1440" w:bottom="1440" w:left="1440" w:header="0" w:footer="708" w:gutter="0"/>
          <w:cols w:space="708"/>
          <w:docGrid w:linePitch="360"/>
        </w:sectPr>
      </w:pPr>
    </w:p>
    <w:p w14:paraId="11FEC48C" w14:textId="2E179E14" w:rsidR="00BD1D88" w:rsidRPr="005F5709" w:rsidRDefault="00BD1D88" w:rsidP="00EF779E">
      <w:pPr>
        <w:pStyle w:val="Heading1"/>
      </w:pPr>
      <w:bookmarkStart w:id="21" w:name="_Toc88575271"/>
      <w:bookmarkStart w:id="22" w:name="_Toc113022172"/>
      <w:r w:rsidRPr="005F5709">
        <w:lastRenderedPageBreak/>
        <w:t xml:space="preserve">Chapter Two: </w:t>
      </w:r>
      <w:bookmarkEnd w:id="20"/>
      <w:bookmarkEnd w:id="21"/>
      <w:r w:rsidRPr="005F5709">
        <w:t>Statement of the Problem</w:t>
      </w:r>
      <w:bookmarkEnd w:id="22"/>
    </w:p>
    <w:p w14:paraId="75C6FA3C" w14:textId="0876CD3F" w:rsidR="00BD1D88" w:rsidRPr="005F5709" w:rsidRDefault="00BD1D88" w:rsidP="00FF1459">
      <w:pPr>
        <w:pStyle w:val="Heading2"/>
        <w:rPr>
          <w:color w:val="002060"/>
        </w:rPr>
      </w:pPr>
      <w:bookmarkStart w:id="23" w:name="_Toc88575272"/>
      <w:bookmarkStart w:id="24" w:name="_Toc113022173"/>
      <w:r w:rsidRPr="005F5709">
        <w:rPr>
          <w:color w:val="002060"/>
        </w:rPr>
        <w:t xml:space="preserve">2.1 </w:t>
      </w:r>
      <w:bookmarkEnd w:id="23"/>
      <w:r w:rsidRPr="005F5709">
        <w:rPr>
          <w:color w:val="002060"/>
        </w:rPr>
        <w:t xml:space="preserve">Apprenticeships are important to both the individual and the </w:t>
      </w:r>
      <w:proofErr w:type="gramStart"/>
      <w:r w:rsidRPr="005F5709">
        <w:rPr>
          <w:color w:val="002060"/>
        </w:rPr>
        <w:t>economy</w:t>
      </w:r>
      <w:bookmarkEnd w:id="24"/>
      <w:proofErr w:type="gramEnd"/>
      <w:r w:rsidRPr="005F5709">
        <w:rPr>
          <w:color w:val="002060"/>
        </w:rPr>
        <w:t xml:space="preserve"> </w:t>
      </w:r>
    </w:p>
    <w:p w14:paraId="6D7AC5A8" w14:textId="77777777" w:rsidR="00BD1D88" w:rsidRPr="005F5709" w:rsidRDefault="00BD1D88" w:rsidP="008F09A9">
      <w:pPr>
        <w:autoSpaceDE w:val="0"/>
        <w:autoSpaceDN w:val="0"/>
        <w:adjustRightInd w:val="0"/>
        <w:rPr>
          <w:rFonts w:asciiTheme="minorHAnsi" w:hAnsiTheme="minorHAnsi" w:cstheme="minorHAnsi"/>
        </w:rPr>
      </w:pPr>
      <w:r w:rsidRPr="005F5709">
        <w:rPr>
          <w:rFonts w:asciiTheme="minorHAnsi" w:hAnsiTheme="minorHAnsi" w:cstheme="minorHAnsi"/>
        </w:rPr>
        <w:t>Apprenticeships provide an important pathway to secure employment for apprentices and offer skilled labour which both employers and the Australian economy need. The challenges, however, of engaging individuals, employers and Vocational Education and Training (VET) institutions in such learning are significant. According to the Organisation for Economic Cooperation and Development (OECD), analysis of apprenticeship systems around the world shows that central to effective provision is the simple realisation that apprenticeships will only work well if they are attractive to both apprentices and employers.</w:t>
      </w:r>
      <w:r w:rsidRPr="005F5709">
        <w:rPr>
          <w:rStyle w:val="FootnoteReference"/>
          <w:rFonts w:asciiTheme="minorHAnsi" w:hAnsiTheme="minorHAnsi" w:cstheme="minorHAnsi"/>
        </w:rPr>
        <w:footnoteReference w:id="11"/>
      </w:r>
      <w:r w:rsidRPr="005F5709">
        <w:rPr>
          <w:rFonts w:asciiTheme="minorHAnsi" w:hAnsiTheme="minorHAnsi" w:cstheme="minorHAnsi"/>
        </w:rPr>
        <w:t xml:space="preserve"> Getting the cost-benefit balance right for the apprentice, employer and the Australian Government is essential for effective policy.</w:t>
      </w:r>
    </w:p>
    <w:p w14:paraId="19FDB399" w14:textId="77777777" w:rsidR="00BD1D88" w:rsidRPr="005F5709" w:rsidRDefault="00BD1D88" w:rsidP="008F09A9">
      <w:pPr>
        <w:rPr>
          <w:rFonts w:asciiTheme="minorHAnsi" w:hAnsiTheme="minorHAnsi" w:cstheme="minorHAnsi"/>
        </w:rPr>
      </w:pPr>
      <w:r w:rsidRPr="005F5709">
        <w:rPr>
          <w:rFonts w:asciiTheme="minorHAnsi" w:hAnsiTheme="minorHAnsi" w:cstheme="minorHAnsi"/>
        </w:rPr>
        <w:t>Australia currently has a persistent shortage of skills in many industries, a large portion of which rely on apprenticeships as the main pathway for training and entry.</w:t>
      </w:r>
      <w:r w:rsidRPr="005F5709">
        <w:rPr>
          <w:rStyle w:val="FootnoteReference"/>
          <w:rFonts w:asciiTheme="minorHAnsi" w:hAnsiTheme="minorHAnsi" w:cstheme="minorHAnsi"/>
        </w:rPr>
        <w:footnoteReference w:id="12"/>
      </w:r>
      <w:r w:rsidRPr="005F5709">
        <w:rPr>
          <w:rFonts w:asciiTheme="minorHAnsi" w:hAnsiTheme="minorHAnsi" w:cstheme="minorHAnsi"/>
        </w:rPr>
        <w:t xml:space="preserve"> The Australian Government should intervene to ensure it is building the skills that Australia’s economy needs to thrive in a post COVID-19 environment. Based on analysis from the National Skills Commission (NSC), 38 per cent of skills shortages are occurring in occupations with a vocational pathway. As such maintaining a steady supply of apprentices ensures there are skilled workers ready to fill the jobs Australia needs. Encouraging Australians to develop the skills needed to meet these shortages will also allow them to train in occupations most likely to provide secure employment in the future.  </w:t>
      </w:r>
    </w:p>
    <w:p w14:paraId="34DFA7E9" w14:textId="77777777" w:rsidR="00BD1D88" w:rsidRPr="005F5709" w:rsidRDefault="00BD1D88" w:rsidP="008F09A9">
      <w:pPr>
        <w:rPr>
          <w:rFonts w:asciiTheme="minorHAnsi" w:hAnsiTheme="minorHAnsi" w:cstheme="minorHAnsi"/>
        </w:rPr>
      </w:pPr>
      <w:r w:rsidRPr="005F5709">
        <w:rPr>
          <w:rFonts w:asciiTheme="minorHAnsi" w:hAnsiTheme="minorHAnsi" w:cstheme="minorHAnsi"/>
        </w:rPr>
        <w:t xml:space="preserve">The supply of skilled workers to the labour market is crucial to supporting the growth of the Australian economy and creating new jobs for Australians. </w:t>
      </w:r>
      <w:r w:rsidRPr="005F5709">
        <w:rPr>
          <w:rFonts w:asciiTheme="minorHAnsi" w:eastAsia="Times New Roman" w:hAnsiTheme="minorHAnsi" w:cstheme="minorHAnsi"/>
        </w:rPr>
        <w:t xml:space="preserve">The shape of the Australian labour market has changed significantly over the past 40 years, with strong growth in higher skill level jobs, non-routine jobs and services. </w:t>
      </w:r>
      <w:r w:rsidRPr="005F5709">
        <w:rPr>
          <w:rFonts w:asciiTheme="minorHAnsi" w:hAnsiTheme="minorHAnsi" w:cstheme="minorHAnsi"/>
        </w:rPr>
        <w:t xml:space="preserve">Generally, shortages are greatest among technicians and trades workers’ occupations, including electricians, carpenters, chefs, fitters and motor mechanics. These are industries in which apprenticeships are a primary pathway. </w:t>
      </w:r>
    </w:p>
    <w:p w14:paraId="03395962" w14:textId="77777777" w:rsidR="00BD1D88" w:rsidRPr="005F5709" w:rsidRDefault="00BD1D88" w:rsidP="008F09A9">
      <w:pPr>
        <w:rPr>
          <w:rFonts w:asciiTheme="minorHAnsi" w:hAnsiTheme="minorHAnsi" w:cstheme="minorHAnsi"/>
        </w:rPr>
      </w:pPr>
      <w:r w:rsidRPr="005F5709">
        <w:rPr>
          <w:rFonts w:asciiTheme="minorHAnsi" w:hAnsiTheme="minorHAnsi" w:cstheme="minorHAnsi"/>
        </w:rPr>
        <w:t>A 2004 Inquiry into skill shortages by the Senate Committee of Education, Employment, and Workplace Relations found the consequences of skill shortages can be long lasting and serious. The Committee reported ‘</w:t>
      </w:r>
      <w:r w:rsidRPr="005F5709">
        <w:rPr>
          <w:rFonts w:asciiTheme="minorHAnsi" w:hAnsiTheme="minorHAnsi" w:cstheme="minorHAnsi"/>
          <w:i/>
          <w:iCs/>
        </w:rPr>
        <w:t>In the short term, enterprises may suffer increased recruitment or operating costs, reduced productivity, and constraints on business development and expansion. In the longer term, they may adapt their operations to a lower skills base or occupations or industries of national importance may disappear, and the economy as a whole may follow a ‘low skills equilibrium’.</w:t>
      </w:r>
      <w:r w:rsidRPr="005F5709">
        <w:rPr>
          <w:rFonts w:asciiTheme="minorHAnsi" w:hAnsiTheme="minorHAnsi" w:cstheme="minorHAnsi"/>
        </w:rPr>
        <w:t>’</w:t>
      </w:r>
      <w:r w:rsidRPr="005F5709">
        <w:rPr>
          <w:rStyle w:val="FootnoteReference"/>
          <w:rFonts w:asciiTheme="minorHAnsi" w:hAnsiTheme="minorHAnsi" w:cstheme="minorHAnsi"/>
        </w:rPr>
        <w:footnoteReference w:id="13"/>
      </w:r>
      <w:r w:rsidRPr="005F5709">
        <w:rPr>
          <w:rFonts w:asciiTheme="minorHAnsi" w:hAnsiTheme="minorHAnsi" w:cstheme="minorHAnsi"/>
        </w:rPr>
        <w:t xml:space="preserve"> </w:t>
      </w:r>
    </w:p>
    <w:p w14:paraId="4A26BFDF" w14:textId="77777777" w:rsidR="00BD1D88" w:rsidRPr="005F5709" w:rsidRDefault="00BD1D88" w:rsidP="008F09A9">
      <w:pPr>
        <w:rPr>
          <w:rFonts w:asciiTheme="minorHAnsi" w:hAnsiTheme="minorHAnsi" w:cstheme="minorHAnsi"/>
        </w:rPr>
      </w:pPr>
      <w:r w:rsidRPr="005F5709">
        <w:rPr>
          <w:rFonts w:asciiTheme="minorHAnsi" w:hAnsiTheme="minorHAnsi" w:cstheme="minorHAnsi"/>
        </w:rPr>
        <w:t xml:space="preserve">The NSC defines skill shortages as when employers are unable to fill or have considerable difficulty filling vacancies for an occupation, or significant specialised skill needs within that </w:t>
      </w:r>
      <w:r w:rsidRPr="005F5709">
        <w:rPr>
          <w:rFonts w:asciiTheme="minorHAnsi" w:hAnsiTheme="minorHAnsi" w:cstheme="minorHAnsi"/>
        </w:rPr>
        <w:lastRenderedPageBreak/>
        <w:t>occupation, at current levels of remuneration and conditions of employment, and in reasonably accessible locations. Skill shortages are caused by many different factors such as:</w:t>
      </w:r>
    </w:p>
    <w:p w14:paraId="4B9B9B7D" w14:textId="77777777" w:rsidR="00BD1D88" w:rsidRPr="005F5709" w:rsidRDefault="00BD1D88" w:rsidP="00977294">
      <w:pPr>
        <w:pStyle w:val="ListParagraph"/>
        <w:numPr>
          <w:ilvl w:val="0"/>
          <w:numId w:val="19"/>
        </w:numPr>
        <w:spacing w:after="200" w:line="276" w:lineRule="auto"/>
        <w:rPr>
          <w:rFonts w:asciiTheme="minorHAnsi" w:hAnsiTheme="minorHAnsi" w:cstheme="minorHAnsi"/>
        </w:rPr>
      </w:pPr>
      <w:r w:rsidRPr="005F5709">
        <w:rPr>
          <w:rFonts w:asciiTheme="minorHAnsi" w:hAnsiTheme="minorHAnsi" w:cstheme="minorHAnsi"/>
        </w:rPr>
        <w:t>People moving out of regional areas;</w:t>
      </w:r>
    </w:p>
    <w:p w14:paraId="2BA8F436" w14:textId="77777777" w:rsidR="00BD1D88" w:rsidRPr="005F5709" w:rsidRDefault="00BD1D88" w:rsidP="00977294">
      <w:pPr>
        <w:pStyle w:val="ListParagraph"/>
        <w:numPr>
          <w:ilvl w:val="0"/>
          <w:numId w:val="19"/>
        </w:numPr>
        <w:spacing w:after="200" w:line="276" w:lineRule="auto"/>
        <w:rPr>
          <w:rFonts w:asciiTheme="minorHAnsi" w:hAnsiTheme="minorHAnsi" w:cstheme="minorHAnsi"/>
        </w:rPr>
      </w:pPr>
      <w:r w:rsidRPr="005F5709">
        <w:rPr>
          <w:rFonts w:asciiTheme="minorHAnsi" w:hAnsiTheme="minorHAnsi" w:cstheme="minorHAnsi"/>
        </w:rPr>
        <w:t>Not enough training places for certain skilled occupations;</w:t>
      </w:r>
    </w:p>
    <w:p w14:paraId="0BAD8161" w14:textId="77777777" w:rsidR="00BD1D88" w:rsidRPr="005F5709" w:rsidRDefault="00BD1D88" w:rsidP="00977294">
      <w:pPr>
        <w:pStyle w:val="ListParagraph"/>
        <w:numPr>
          <w:ilvl w:val="0"/>
          <w:numId w:val="19"/>
        </w:numPr>
        <w:spacing w:after="200" w:line="276" w:lineRule="auto"/>
        <w:rPr>
          <w:rFonts w:asciiTheme="minorHAnsi" w:hAnsiTheme="minorHAnsi" w:cstheme="minorHAnsi"/>
        </w:rPr>
      </w:pPr>
      <w:r w:rsidRPr="005F5709">
        <w:rPr>
          <w:rFonts w:asciiTheme="minorHAnsi" w:hAnsiTheme="minorHAnsi" w:cstheme="minorHAnsi"/>
        </w:rPr>
        <w:t xml:space="preserve">Changes in technology; and </w:t>
      </w:r>
    </w:p>
    <w:p w14:paraId="1A491DD6" w14:textId="77777777" w:rsidR="00BD1D88" w:rsidRPr="005F5709" w:rsidRDefault="00BD1D88" w:rsidP="00977294">
      <w:pPr>
        <w:pStyle w:val="ListParagraph"/>
        <w:numPr>
          <w:ilvl w:val="0"/>
          <w:numId w:val="19"/>
        </w:numPr>
        <w:spacing w:after="200" w:line="276" w:lineRule="auto"/>
        <w:rPr>
          <w:rFonts w:asciiTheme="minorHAnsi" w:hAnsiTheme="minorHAnsi" w:cstheme="minorHAnsi"/>
        </w:rPr>
      </w:pPr>
      <w:r w:rsidRPr="005F5709">
        <w:rPr>
          <w:rFonts w:asciiTheme="minorHAnsi" w:hAnsiTheme="minorHAnsi" w:cstheme="minorHAnsi"/>
        </w:rPr>
        <w:t>Commencement of large projects in one region such as construction.</w:t>
      </w:r>
      <w:r w:rsidRPr="005F5709">
        <w:rPr>
          <w:rStyle w:val="FootnoteReference"/>
          <w:rFonts w:asciiTheme="minorHAnsi" w:hAnsiTheme="minorHAnsi" w:cstheme="minorHAnsi"/>
        </w:rPr>
        <w:footnoteReference w:id="14"/>
      </w:r>
      <w:r w:rsidRPr="005F5709">
        <w:rPr>
          <w:rFonts w:asciiTheme="minorHAnsi" w:hAnsiTheme="minorHAnsi" w:cstheme="minorHAnsi"/>
        </w:rPr>
        <w:t xml:space="preserve"> </w:t>
      </w:r>
    </w:p>
    <w:p w14:paraId="020A6C0B" w14:textId="77777777" w:rsidR="00BD1D88" w:rsidRPr="005F5709" w:rsidRDefault="00BD1D88" w:rsidP="00EC4492">
      <w:pPr>
        <w:rPr>
          <w:rFonts w:asciiTheme="minorHAnsi" w:hAnsiTheme="minorHAnsi" w:cstheme="minorHAnsi"/>
        </w:rPr>
      </w:pPr>
      <w:r w:rsidRPr="005F5709">
        <w:rPr>
          <w:rFonts w:asciiTheme="minorHAnsi" w:hAnsiTheme="minorHAnsi" w:cstheme="minorHAnsi"/>
        </w:rPr>
        <w:t xml:space="preserve">Reforms to the apprenticeship system should seek to address the underlying reasons for skills shortages to encourage more individuals to take up apprenticeships in these areas. </w:t>
      </w:r>
    </w:p>
    <w:p w14:paraId="64DF988B" w14:textId="77777777" w:rsidR="00BD1D88" w:rsidRPr="005F5709" w:rsidRDefault="00BD1D88" w:rsidP="00955FBC">
      <w:pPr>
        <w:rPr>
          <w:rFonts w:asciiTheme="minorHAnsi" w:hAnsiTheme="minorHAnsi" w:cstheme="minorHAnsi"/>
          <w:i/>
          <w:iCs/>
        </w:rPr>
      </w:pPr>
      <w:r w:rsidRPr="005F5709">
        <w:rPr>
          <w:rFonts w:asciiTheme="minorHAnsi" w:hAnsiTheme="minorHAnsi" w:cstheme="minorHAnsi"/>
        </w:rPr>
        <w:t>For the individual, apprenticeships offer a unique model providing the opportunity to receive training while earning an income. On</w:t>
      </w:r>
      <w:r w:rsidRPr="005F5709">
        <w:rPr>
          <w:rFonts w:asciiTheme="minorHAnsi" w:hAnsiTheme="minorHAnsi" w:cstheme="minorHAnsi"/>
        </w:rPr>
        <w:noBreakHyphen/>
        <w:t xml:space="preserve">the-job training facilitates an environment in which people who have not worked before can more easily transition into new industries. Apprenticeships can offer a viable path into employment for young Australians especially during periods of economic downturn and highly competitive labour markets. The OECD has found </w:t>
      </w:r>
      <w:r w:rsidRPr="005F5709">
        <w:rPr>
          <w:rFonts w:asciiTheme="minorHAnsi" w:hAnsiTheme="minorHAnsi" w:cstheme="minorHAnsi"/>
          <w:i/>
          <w:iCs/>
        </w:rPr>
        <w:t>‘…countries with a high share of youth in apprenticeships have lower rates of disconnected youth and youth experiencing a difficult transition to employment.’</w:t>
      </w:r>
      <w:r w:rsidRPr="005F5709">
        <w:rPr>
          <w:rStyle w:val="FootnoteReference"/>
          <w:rFonts w:asciiTheme="minorHAnsi" w:hAnsiTheme="minorHAnsi" w:cstheme="minorHAnsi"/>
          <w:i/>
          <w:iCs/>
        </w:rPr>
        <w:footnoteReference w:id="15"/>
      </w:r>
      <w:r w:rsidRPr="005F5709">
        <w:rPr>
          <w:rFonts w:asciiTheme="minorHAnsi" w:hAnsiTheme="minorHAnsi" w:cstheme="minorHAnsi"/>
          <w:i/>
          <w:iCs/>
        </w:rPr>
        <w:t xml:space="preserve"> </w:t>
      </w:r>
    </w:p>
    <w:p w14:paraId="70EBEF54" w14:textId="77777777" w:rsidR="00BD1D88" w:rsidRPr="005F5709" w:rsidRDefault="00BD1D88" w:rsidP="00EC4492">
      <w:pPr>
        <w:rPr>
          <w:rFonts w:asciiTheme="minorHAnsi" w:hAnsiTheme="minorHAnsi" w:cstheme="minorHAnsi"/>
          <w:i/>
          <w:iCs/>
        </w:rPr>
      </w:pPr>
      <w:r w:rsidRPr="005F5709">
        <w:rPr>
          <w:rFonts w:asciiTheme="minorHAnsi" w:hAnsiTheme="minorHAnsi" w:cstheme="minorHAnsi"/>
        </w:rPr>
        <w:t>Before COVID-19, apprenticeship commencements were declining. Commencements fell 30 per cent between 2012 and 2019 and completion rates remained below 60 per cent.</w:t>
      </w:r>
      <w:r w:rsidRPr="005F5709">
        <w:rPr>
          <w:rStyle w:val="FootnoteReference"/>
          <w:rFonts w:asciiTheme="minorHAnsi" w:hAnsiTheme="minorHAnsi" w:cstheme="minorHAnsi"/>
        </w:rPr>
        <w:footnoteReference w:id="16"/>
      </w:r>
      <w:r w:rsidRPr="005F5709">
        <w:rPr>
          <w:rFonts w:asciiTheme="minorHAnsi" w:hAnsiTheme="minorHAnsi" w:cstheme="minorHAnsi"/>
        </w:rPr>
        <w:t xml:space="preserve"> Barriers in the apprenticeships system limit apprentices from commencing or completing their training. Many apprentices struggle with low wages and lack of support. Employers of apprentices are also affected by the system, with high up-front costs, administrative burdens and high levels of cancellations. </w:t>
      </w:r>
    </w:p>
    <w:p w14:paraId="26494A66" w14:textId="77777777" w:rsidR="00BD1D88" w:rsidRPr="005F5709" w:rsidRDefault="00BD1D88" w:rsidP="006E7A9B">
      <w:pPr>
        <w:rPr>
          <w:rFonts w:asciiTheme="minorHAnsi" w:hAnsiTheme="minorHAnsi" w:cstheme="minorHAnsi"/>
        </w:rPr>
      </w:pPr>
      <w:r w:rsidRPr="005F5709">
        <w:rPr>
          <w:rFonts w:asciiTheme="minorHAnsi" w:hAnsiTheme="minorHAnsi" w:cstheme="minorHAnsi"/>
        </w:rPr>
        <w:t xml:space="preserve">In a tight labour market, in which there are low unemployment rates, apprentices have more employment options. For the best return on investment, reforms should focus on completions to ensure a pipeline of skilled workers is available in the medium term. </w:t>
      </w:r>
    </w:p>
    <w:p w14:paraId="64B7FFA6" w14:textId="77777777" w:rsidR="00BD1D88" w:rsidRPr="005F5709" w:rsidRDefault="00BD1D88" w:rsidP="004D151D">
      <w:pPr>
        <w:spacing w:after="0" w:line="240" w:lineRule="auto"/>
        <w:rPr>
          <w:rFonts w:asciiTheme="minorHAnsi" w:hAnsiTheme="minorHAnsi" w:cstheme="minorHAnsi"/>
          <w:b/>
        </w:rPr>
      </w:pPr>
      <w:r w:rsidRPr="005F5709">
        <w:rPr>
          <w:rFonts w:asciiTheme="minorHAnsi" w:hAnsiTheme="minorHAnsi" w:cstheme="minorHAnsi"/>
          <w:b/>
        </w:rPr>
        <w:t>Table 2: Skill Level Projections – five years to November 2025</w:t>
      </w:r>
    </w:p>
    <w:tbl>
      <w:tblPr>
        <w:tblStyle w:val="TableGrid"/>
        <w:tblW w:w="0" w:type="auto"/>
        <w:tblLook w:val="04A0" w:firstRow="1" w:lastRow="0" w:firstColumn="1" w:lastColumn="0" w:noHBand="0" w:noVBand="1"/>
      </w:tblPr>
      <w:tblGrid>
        <w:gridCol w:w="1803"/>
        <w:gridCol w:w="1803"/>
        <w:gridCol w:w="1803"/>
        <w:gridCol w:w="1803"/>
        <w:gridCol w:w="1804"/>
      </w:tblGrid>
      <w:tr w:rsidR="00BD1D88" w:rsidRPr="005F5709" w14:paraId="744624F8" w14:textId="77777777" w:rsidTr="001F4E9B">
        <w:tc>
          <w:tcPr>
            <w:tcW w:w="1803" w:type="dxa"/>
            <w:vMerge w:val="restart"/>
            <w:tcBorders>
              <w:top w:val="single" w:sz="4" w:space="0" w:color="auto"/>
              <w:left w:val="single" w:sz="4" w:space="0" w:color="auto"/>
              <w:bottom w:val="single" w:sz="4" w:space="0" w:color="auto"/>
              <w:right w:val="single" w:sz="4" w:space="0" w:color="auto"/>
            </w:tcBorders>
          </w:tcPr>
          <w:p w14:paraId="01D75FEC" w14:textId="77777777" w:rsidR="00BD1D88" w:rsidRPr="005F5709" w:rsidRDefault="00BD1D88" w:rsidP="001F4E9B">
            <w:pPr>
              <w:jc w:val="center"/>
              <w:rPr>
                <w:rFonts w:asciiTheme="minorHAnsi" w:hAnsiTheme="minorHAnsi" w:cstheme="minorHAnsi"/>
              </w:rPr>
            </w:pPr>
          </w:p>
          <w:p w14:paraId="3E878154" w14:textId="77777777" w:rsidR="00BD1D88" w:rsidRPr="005F5709" w:rsidRDefault="00BD1D88" w:rsidP="001F4E9B">
            <w:pPr>
              <w:jc w:val="center"/>
              <w:rPr>
                <w:rFonts w:asciiTheme="minorHAnsi" w:hAnsiTheme="minorHAnsi" w:cstheme="minorHAnsi"/>
              </w:rPr>
            </w:pPr>
          </w:p>
          <w:p w14:paraId="6F794DE1" w14:textId="77777777" w:rsidR="00BD1D88" w:rsidRPr="005F5709" w:rsidRDefault="00BD1D88" w:rsidP="001F4E9B">
            <w:pPr>
              <w:jc w:val="center"/>
              <w:rPr>
                <w:rFonts w:asciiTheme="minorHAnsi" w:hAnsiTheme="minorHAnsi" w:cstheme="minorHAnsi"/>
                <w:b/>
                <w:bCs/>
              </w:rPr>
            </w:pPr>
            <w:r w:rsidRPr="005F5709">
              <w:rPr>
                <w:rFonts w:asciiTheme="minorHAnsi" w:hAnsiTheme="minorHAnsi" w:cstheme="minorHAnsi"/>
                <w:b/>
                <w:bCs/>
              </w:rPr>
              <w:t>Skill Level</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00C4B1"/>
          </w:tcPr>
          <w:p w14:paraId="1BADA3D5" w14:textId="77777777" w:rsidR="00BD1D88" w:rsidRPr="005F5709" w:rsidRDefault="00BD1D88" w:rsidP="001F4E9B">
            <w:pPr>
              <w:jc w:val="center"/>
              <w:rPr>
                <w:rFonts w:asciiTheme="minorHAnsi" w:hAnsiTheme="minorHAnsi" w:cstheme="minorHAnsi"/>
              </w:rPr>
            </w:pPr>
          </w:p>
          <w:p w14:paraId="6F72D5DA" w14:textId="77777777" w:rsidR="00BD1D88" w:rsidRPr="005F5709" w:rsidRDefault="00BD1D88" w:rsidP="001F4E9B">
            <w:pPr>
              <w:jc w:val="center"/>
              <w:rPr>
                <w:rFonts w:asciiTheme="minorHAnsi" w:hAnsiTheme="minorHAnsi" w:cstheme="minorHAnsi"/>
                <w:b/>
                <w:bCs/>
              </w:rPr>
            </w:pPr>
            <w:r w:rsidRPr="005F5709">
              <w:rPr>
                <w:rFonts w:asciiTheme="minorHAnsi" w:hAnsiTheme="minorHAnsi" w:cstheme="minorHAnsi"/>
                <w:b/>
                <w:bCs/>
                <w:color w:val="FFFFFF" w:themeColor="background1"/>
                <w:shd w:val="clear" w:color="auto" w:fill="00C4B1"/>
              </w:rPr>
              <w:t>Employment level-November 2020 (‘000)</w:t>
            </w:r>
          </w:p>
        </w:tc>
        <w:tc>
          <w:tcPr>
            <w:tcW w:w="5410" w:type="dxa"/>
            <w:gridSpan w:val="3"/>
            <w:tcBorders>
              <w:top w:val="single" w:sz="4" w:space="0" w:color="auto"/>
              <w:left w:val="single" w:sz="4" w:space="0" w:color="auto"/>
              <w:bottom w:val="single" w:sz="4" w:space="0" w:color="auto"/>
              <w:right w:val="single" w:sz="4" w:space="0" w:color="auto"/>
            </w:tcBorders>
            <w:shd w:val="clear" w:color="auto" w:fill="0070C0"/>
            <w:hideMark/>
          </w:tcPr>
          <w:p w14:paraId="2383043C" w14:textId="77777777" w:rsidR="00BD1D88" w:rsidRPr="005F5709" w:rsidRDefault="00BD1D88" w:rsidP="001F4E9B">
            <w:pPr>
              <w:jc w:val="center"/>
              <w:rPr>
                <w:rFonts w:asciiTheme="minorHAnsi" w:hAnsiTheme="minorHAnsi" w:cstheme="minorHAnsi"/>
                <w:b/>
                <w:bCs/>
                <w:szCs w:val="24"/>
              </w:rPr>
            </w:pPr>
            <w:r w:rsidRPr="005F5709">
              <w:rPr>
                <w:rFonts w:asciiTheme="minorHAnsi" w:hAnsiTheme="minorHAnsi" w:cstheme="minorHAnsi"/>
                <w:b/>
                <w:bCs/>
                <w:color w:val="FFFFFF" w:themeColor="background1"/>
                <w:szCs w:val="24"/>
              </w:rPr>
              <w:t>National Skills Commission Projections</w:t>
            </w:r>
          </w:p>
        </w:tc>
      </w:tr>
      <w:tr w:rsidR="00BD1D88" w:rsidRPr="005F5709" w14:paraId="063F7398" w14:textId="77777777" w:rsidTr="001F4E9B">
        <w:tc>
          <w:tcPr>
            <w:tcW w:w="0" w:type="auto"/>
            <w:vMerge/>
            <w:tcBorders>
              <w:top w:val="single" w:sz="4" w:space="0" w:color="auto"/>
              <w:left w:val="single" w:sz="4" w:space="0" w:color="auto"/>
              <w:bottom w:val="single" w:sz="4" w:space="0" w:color="auto"/>
              <w:right w:val="single" w:sz="4" w:space="0" w:color="auto"/>
            </w:tcBorders>
            <w:vAlign w:val="center"/>
            <w:hideMark/>
          </w:tcPr>
          <w:p w14:paraId="4205409E" w14:textId="77777777" w:rsidR="00BD1D88" w:rsidRPr="005F5709" w:rsidRDefault="00BD1D88" w:rsidP="001F4E9B">
            <w:pPr>
              <w:rPr>
                <w:rFonts w:asciiTheme="minorHAnsi" w:hAnsiTheme="minorHAnsi" w:cstheme="minorHAnsi"/>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8CD76C" w14:textId="77777777" w:rsidR="00BD1D88" w:rsidRPr="005F5709" w:rsidRDefault="00BD1D88" w:rsidP="001F4E9B">
            <w:pPr>
              <w:rPr>
                <w:rFonts w:asciiTheme="minorHAnsi" w:hAnsiTheme="minorHAnsi" w:cstheme="minorHAnsi"/>
                <w:b/>
                <w:bCs/>
              </w:rPr>
            </w:pPr>
          </w:p>
        </w:tc>
        <w:tc>
          <w:tcPr>
            <w:tcW w:w="1803" w:type="dxa"/>
            <w:vMerge w:val="restart"/>
            <w:tcBorders>
              <w:top w:val="single" w:sz="4" w:space="0" w:color="auto"/>
              <w:left w:val="single" w:sz="4" w:space="0" w:color="auto"/>
              <w:bottom w:val="single" w:sz="4" w:space="0" w:color="auto"/>
              <w:right w:val="single" w:sz="4" w:space="0" w:color="auto"/>
            </w:tcBorders>
            <w:shd w:val="clear" w:color="auto" w:fill="0070C0"/>
            <w:hideMark/>
          </w:tcPr>
          <w:p w14:paraId="5C3124E5" w14:textId="77777777" w:rsidR="00BD1D88" w:rsidRPr="005F5709" w:rsidRDefault="00BD1D88" w:rsidP="001F4E9B">
            <w:pPr>
              <w:jc w:val="center"/>
              <w:rPr>
                <w:rFonts w:asciiTheme="minorHAnsi" w:hAnsiTheme="minorHAnsi" w:cstheme="minorHAnsi"/>
                <w:b/>
                <w:bCs/>
                <w:color w:val="FFFFFF" w:themeColor="background1"/>
                <w:sz w:val="20"/>
                <w:szCs w:val="20"/>
              </w:rPr>
            </w:pPr>
            <w:r w:rsidRPr="005F5709">
              <w:rPr>
                <w:rFonts w:asciiTheme="minorHAnsi" w:hAnsiTheme="minorHAnsi" w:cstheme="minorHAnsi"/>
                <w:b/>
                <w:bCs/>
                <w:color w:val="FFFFFF" w:themeColor="background1"/>
                <w:sz w:val="20"/>
                <w:szCs w:val="20"/>
              </w:rPr>
              <w:t xml:space="preserve">Projected employment level- November 2025 </w:t>
            </w:r>
            <w:r w:rsidRPr="005F5709">
              <w:rPr>
                <w:rFonts w:asciiTheme="minorHAnsi" w:hAnsiTheme="minorHAnsi" w:cstheme="minorHAnsi"/>
                <w:color w:val="FFFFFF" w:themeColor="background1"/>
                <w:sz w:val="20"/>
                <w:szCs w:val="20"/>
              </w:rPr>
              <w:t>(‘000)</w:t>
            </w:r>
          </w:p>
        </w:tc>
        <w:tc>
          <w:tcPr>
            <w:tcW w:w="3607" w:type="dxa"/>
            <w:gridSpan w:val="2"/>
            <w:tcBorders>
              <w:top w:val="single" w:sz="4" w:space="0" w:color="auto"/>
              <w:left w:val="single" w:sz="4" w:space="0" w:color="auto"/>
              <w:bottom w:val="single" w:sz="4" w:space="0" w:color="auto"/>
              <w:right w:val="single" w:sz="4" w:space="0" w:color="auto"/>
            </w:tcBorders>
            <w:shd w:val="clear" w:color="auto" w:fill="0070C0"/>
            <w:hideMark/>
          </w:tcPr>
          <w:p w14:paraId="64615D26" w14:textId="77777777" w:rsidR="00BD1D88" w:rsidRPr="005F5709" w:rsidRDefault="00BD1D88" w:rsidP="001F4E9B">
            <w:pPr>
              <w:rPr>
                <w:rFonts w:asciiTheme="minorHAnsi" w:hAnsiTheme="minorHAnsi" w:cstheme="minorHAnsi"/>
                <w:color w:val="FFFFFF" w:themeColor="background1"/>
                <w:sz w:val="20"/>
                <w:szCs w:val="20"/>
              </w:rPr>
            </w:pPr>
            <w:r w:rsidRPr="005F5709">
              <w:rPr>
                <w:rFonts w:asciiTheme="minorHAnsi" w:hAnsiTheme="minorHAnsi" w:cstheme="minorHAnsi"/>
                <w:color w:val="FFFFFF" w:themeColor="background1"/>
                <w:sz w:val="20"/>
                <w:szCs w:val="20"/>
              </w:rPr>
              <w:t>Projected employment growth – five years to November 2025</w:t>
            </w:r>
          </w:p>
        </w:tc>
      </w:tr>
      <w:tr w:rsidR="00BD1D88" w:rsidRPr="005F5709" w14:paraId="42FB5C26" w14:textId="77777777" w:rsidTr="001F4E9B">
        <w:tc>
          <w:tcPr>
            <w:tcW w:w="0" w:type="auto"/>
            <w:vMerge/>
            <w:tcBorders>
              <w:top w:val="single" w:sz="4" w:space="0" w:color="auto"/>
              <w:left w:val="single" w:sz="4" w:space="0" w:color="auto"/>
              <w:bottom w:val="single" w:sz="4" w:space="0" w:color="auto"/>
              <w:right w:val="single" w:sz="4" w:space="0" w:color="auto"/>
            </w:tcBorders>
            <w:vAlign w:val="center"/>
            <w:hideMark/>
          </w:tcPr>
          <w:p w14:paraId="4B423A34" w14:textId="77777777" w:rsidR="00BD1D88" w:rsidRPr="005F5709" w:rsidRDefault="00BD1D88" w:rsidP="001F4E9B">
            <w:pPr>
              <w:rPr>
                <w:rFonts w:asciiTheme="minorHAnsi" w:hAnsiTheme="minorHAnsi" w:cstheme="minorHAnsi"/>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BFA845" w14:textId="77777777" w:rsidR="00BD1D88" w:rsidRPr="005F5709" w:rsidRDefault="00BD1D88" w:rsidP="001F4E9B">
            <w:pPr>
              <w:rPr>
                <w:rFonts w:asciiTheme="minorHAnsi" w:hAnsiTheme="minorHAnsi" w:cstheme="minorHAnsi"/>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A72E91" w14:textId="77777777" w:rsidR="00BD1D88" w:rsidRPr="005F5709" w:rsidRDefault="00BD1D88" w:rsidP="001F4E9B">
            <w:pPr>
              <w:rPr>
                <w:rFonts w:asciiTheme="minorHAnsi" w:hAnsiTheme="minorHAnsi" w:cstheme="minorHAnsi"/>
                <w:b/>
                <w:bCs/>
                <w:color w:val="FFFFFF" w:themeColor="background1"/>
                <w:sz w:val="20"/>
                <w:szCs w:val="20"/>
              </w:rPr>
            </w:pPr>
          </w:p>
        </w:tc>
        <w:tc>
          <w:tcPr>
            <w:tcW w:w="1803" w:type="dxa"/>
            <w:tcBorders>
              <w:top w:val="single" w:sz="4" w:space="0" w:color="auto"/>
              <w:left w:val="single" w:sz="4" w:space="0" w:color="auto"/>
              <w:bottom w:val="single" w:sz="4" w:space="0" w:color="auto"/>
              <w:right w:val="single" w:sz="4" w:space="0" w:color="auto"/>
            </w:tcBorders>
            <w:shd w:val="clear" w:color="auto" w:fill="0070C0"/>
            <w:hideMark/>
          </w:tcPr>
          <w:p w14:paraId="45B23FCD" w14:textId="77777777" w:rsidR="00BD1D88" w:rsidRPr="005F5709" w:rsidRDefault="00BD1D88" w:rsidP="001F4E9B">
            <w:pPr>
              <w:jc w:val="center"/>
              <w:rPr>
                <w:rFonts w:asciiTheme="minorHAnsi" w:hAnsiTheme="minorHAnsi" w:cstheme="minorHAnsi"/>
                <w:color w:val="FFFFFF" w:themeColor="background1"/>
                <w:sz w:val="20"/>
                <w:szCs w:val="20"/>
              </w:rPr>
            </w:pPr>
            <w:r w:rsidRPr="005F5709">
              <w:rPr>
                <w:rFonts w:asciiTheme="minorHAnsi" w:hAnsiTheme="minorHAnsi" w:cstheme="minorHAnsi"/>
                <w:color w:val="FFFFFF" w:themeColor="background1"/>
                <w:sz w:val="20"/>
                <w:szCs w:val="20"/>
              </w:rPr>
              <w:t>(‘000)</w:t>
            </w:r>
          </w:p>
        </w:tc>
        <w:tc>
          <w:tcPr>
            <w:tcW w:w="1804" w:type="dxa"/>
            <w:tcBorders>
              <w:top w:val="single" w:sz="4" w:space="0" w:color="auto"/>
              <w:left w:val="single" w:sz="4" w:space="0" w:color="auto"/>
              <w:bottom w:val="single" w:sz="4" w:space="0" w:color="auto"/>
              <w:right w:val="single" w:sz="4" w:space="0" w:color="auto"/>
            </w:tcBorders>
            <w:shd w:val="clear" w:color="auto" w:fill="0070C0"/>
            <w:hideMark/>
          </w:tcPr>
          <w:p w14:paraId="62466E1E" w14:textId="77777777" w:rsidR="00BD1D88" w:rsidRPr="005F5709" w:rsidRDefault="00BD1D88" w:rsidP="001F4E9B">
            <w:pPr>
              <w:jc w:val="center"/>
              <w:rPr>
                <w:rFonts w:asciiTheme="minorHAnsi" w:hAnsiTheme="minorHAnsi" w:cstheme="minorHAnsi"/>
                <w:color w:val="FFFFFF" w:themeColor="background1"/>
                <w:sz w:val="20"/>
                <w:szCs w:val="20"/>
              </w:rPr>
            </w:pPr>
            <w:r w:rsidRPr="005F5709">
              <w:rPr>
                <w:rFonts w:asciiTheme="minorHAnsi" w:hAnsiTheme="minorHAnsi" w:cstheme="minorHAnsi"/>
                <w:color w:val="FFFFFF" w:themeColor="background1"/>
                <w:sz w:val="20"/>
                <w:szCs w:val="20"/>
              </w:rPr>
              <w:t>%</w:t>
            </w:r>
          </w:p>
        </w:tc>
      </w:tr>
      <w:tr w:rsidR="00BD1D88" w:rsidRPr="005F5709" w14:paraId="7BC3E09C" w14:textId="77777777" w:rsidTr="001F4E9B">
        <w:tc>
          <w:tcPr>
            <w:tcW w:w="1803" w:type="dxa"/>
            <w:tcBorders>
              <w:top w:val="single" w:sz="4" w:space="0" w:color="auto"/>
              <w:left w:val="single" w:sz="4" w:space="0" w:color="auto"/>
              <w:bottom w:val="single" w:sz="4" w:space="0" w:color="auto"/>
              <w:right w:val="single" w:sz="4" w:space="0" w:color="auto"/>
            </w:tcBorders>
            <w:hideMark/>
          </w:tcPr>
          <w:p w14:paraId="400B032F"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Skill Level 1</w:t>
            </w:r>
          </w:p>
        </w:tc>
        <w:tc>
          <w:tcPr>
            <w:tcW w:w="1803" w:type="dxa"/>
            <w:tcBorders>
              <w:top w:val="single" w:sz="4" w:space="0" w:color="auto"/>
              <w:left w:val="single" w:sz="4" w:space="0" w:color="auto"/>
              <w:bottom w:val="single" w:sz="4" w:space="0" w:color="auto"/>
              <w:right w:val="single" w:sz="4" w:space="0" w:color="auto"/>
            </w:tcBorders>
            <w:hideMark/>
          </w:tcPr>
          <w:p w14:paraId="0185F2B4"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4,451.1</w:t>
            </w:r>
          </w:p>
        </w:tc>
        <w:tc>
          <w:tcPr>
            <w:tcW w:w="1803" w:type="dxa"/>
            <w:tcBorders>
              <w:top w:val="single" w:sz="4" w:space="0" w:color="auto"/>
              <w:left w:val="single" w:sz="4" w:space="0" w:color="auto"/>
              <w:bottom w:val="single" w:sz="4" w:space="0" w:color="auto"/>
              <w:right w:val="single" w:sz="4" w:space="0" w:color="auto"/>
            </w:tcBorders>
            <w:hideMark/>
          </w:tcPr>
          <w:p w14:paraId="0ABC8197"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4,974.2</w:t>
            </w:r>
          </w:p>
        </w:tc>
        <w:tc>
          <w:tcPr>
            <w:tcW w:w="1803" w:type="dxa"/>
            <w:tcBorders>
              <w:top w:val="single" w:sz="4" w:space="0" w:color="auto"/>
              <w:left w:val="single" w:sz="4" w:space="0" w:color="auto"/>
              <w:bottom w:val="single" w:sz="4" w:space="0" w:color="auto"/>
              <w:right w:val="single" w:sz="4" w:space="0" w:color="auto"/>
            </w:tcBorders>
            <w:hideMark/>
          </w:tcPr>
          <w:p w14:paraId="7CC4390C"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523.1</w:t>
            </w:r>
          </w:p>
        </w:tc>
        <w:tc>
          <w:tcPr>
            <w:tcW w:w="1804" w:type="dxa"/>
            <w:tcBorders>
              <w:top w:val="single" w:sz="4" w:space="0" w:color="auto"/>
              <w:left w:val="single" w:sz="4" w:space="0" w:color="auto"/>
              <w:bottom w:val="single" w:sz="4" w:space="0" w:color="auto"/>
              <w:right w:val="single" w:sz="4" w:space="0" w:color="auto"/>
            </w:tcBorders>
            <w:hideMark/>
          </w:tcPr>
          <w:p w14:paraId="0ECD79BC"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11.8</w:t>
            </w:r>
          </w:p>
        </w:tc>
      </w:tr>
      <w:tr w:rsidR="00BD1D88" w:rsidRPr="005F5709" w14:paraId="288327DC" w14:textId="77777777" w:rsidTr="001F4E9B">
        <w:tc>
          <w:tcPr>
            <w:tcW w:w="1803" w:type="dxa"/>
            <w:tcBorders>
              <w:top w:val="single" w:sz="4" w:space="0" w:color="auto"/>
              <w:left w:val="single" w:sz="4" w:space="0" w:color="auto"/>
              <w:bottom w:val="single" w:sz="4" w:space="0" w:color="auto"/>
              <w:right w:val="single" w:sz="4" w:space="0" w:color="auto"/>
            </w:tcBorders>
            <w:hideMark/>
          </w:tcPr>
          <w:p w14:paraId="248CAD2C"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Skill Level 2</w:t>
            </w:r>
          </w:p>
        </w:tc>
        <w:tc>
          <w:tcPr>
            <w:tcW w:w="1803" w:type="dxa"/>
            <w:tcBorders>
              <w:top w:val="single" w:sz="4" w:space="0" w:color="auto"/>
              <w:left w:val="single" w:sz="4" w:space="0" w:color="auto"/>
              <w:bottom w:val="single" w:sz="4" w:space="0" w:color="auto"/>
              <w:right w:val="single" w:sz="4" w:space="0" w:color="auto"/>
            </w:tcBorders>
            <w:hideMark/>
          </w:tcPr>
          <w:p w14:paraId="43DC250F"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1,538.3</w:t>
            </w:r>
          </w:p>
        </w:tc>
        <w:tc>
          <w:tcPr>
            <w:tcW w:w="1803" w:type="dxa"/>
            <w:tcBorders>
              <w:top w:val="single" w:sz="4" w:space="0" w:color="auto"/>
              <w:left w:val="single" w:sz="4" w:space="0" w:color="auto"/>
              <w:bottom w:val="single" w:sz="4" w:space="0" w:color="auto"/>
              <w:right w:val="single" w:sz="4" w:space="0" w:color="auto"/>
            </w:tcBorders>
            <w:hideMark/>
          </w:tcPr>
          <w:p w14:paraId="6F869380"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1,640.6</w:t>
            </w:r>
          </w:p>
        </w:tc>
        <w:tc>
          <w:tcPr>
            <w:tcW w:w="1803" w:type="dxa"/>
            <w:tcBorders>
              <w:top w:val="single" w:sz="4" w:space="0" w:color="auto"/>
              <w:left w:val="single" w:sz="4" w:space="0" w:color="auto"/>
              <w:bottom w:val="single" w:sz="4" w:space="0" w:color="auto"/>
              <w:right w:val="single" w:sz="4" w:space="0" w:color="auto"/>
            </w:tcBorders>
            <w:hideMark/>
          </w:tcPr>
          <w:p w14:paraId="18D59AA6"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102.3</w:t>
            </w:r>
          </w:p>
        </w:tc>
        <w:tc>
          <w:tcPr>
            <w:tcW w:w="1804" w:type="dxa"/>
            <w:tcBorders>
              <w:top w:val="single" w:sz="4" w:space="0" w:color="auto"/>
              <w:left w:val="single" w:sz="4" w:space="0" w:color="auto"/>
              <w:bottom w:val="single" w:sz="4" w:space="0" w:color="auto"/>
              <w:right w:val="single" w:sz="4" w:space="0" w:color="auto"/>
            </w:tcBorders>
            <w:hideMark/>
          </w:tcPr>
          <w:p w14:paraId="559AA39A"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6.6</w:t>
            </w:r>
          </w:p>
        </w:tc>
      </w:tr>
      <w:tr w:rsidR="00BD1D88" w:rsidRPr="005F5709" w14:paraId="1B8B201A" w14:textId="77777777" w:rsidTr="001F4E9B">
        <w:tc>
          <w:tcPr>
            <w:tcW w:w="1803" w:type="dxa"/>
            <w:tcBorders>
              <w:top w:val="single" w:sz="4" w:space="0" w:color="auto"/>
              <w:left w:val="single" w:sz="4" w:space="0" w:color="auto"/>
              <w:bottom w:val="single" w:sz="4" w:space="0" w:color="auto"/>
              <w:right w:val="single" w:sz="4" w:space="0" w:color="auto"/>
            </w:tcBorders>
            <w:hideMark/>
          </w:tcPr>
          <w:p w14:paraId="4A9CDF64"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Skill Level 3</w:t>
            </w:r>
          </w:p>
        </w:tc>
        <w:tc>
          <w:tcPr>
            <w:tcW w:w="1803" w:type="dxa"/>
            <w:tcBorders>
              <w:top w:val="single" w:sz="4" w:space="0" w:color="auto"/>
              <w:left w:val="single" w:sz="4" w:space="0" w:color="auto"/>
              <w:bottom w:val="single" w:sz="4" w:space="0" w:color="auto"/>
              <w:right w:val="single" w:sz="4" w:space="0" w:color="auto"/>
            </w:tcBorders>
            <w:hideMark/>
          </w:tcPr>
          <w:p w14:paraId="7F32C934"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1,898.0</w:t>
            </w:r>
          </w:p>
        </w:tc>
        <w:tc>
          <w:tcPr>
            <w:tcW w:w="1803" w:type="dxa"/>
            <w:tcBorders>
              <w:top w:val="single" w:sz="4" w:space="0" w:color="auto"/>
              <w:left w:val="single" w:sz="4" w:space="0" w:color="auto"/>
              <w:bottom w:val="single" w:sz="4" w:space="0" w:color="auto"/>
              <w:right w:val="single" w:sz="4" w:space="0" w:color="auto"/>
            </w:tcBorders>
            <w:hideMark/>
          </w:tcPr>
          <w:p w14:paraId="5A5DD3D7"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1,965.9</w:t>
            </w:r>
          </w:p>
        </w:tc>
        <w:tc>
          <w:tcPr>
            <w:tcW w:w="1803" w:type="dxa"/>
            <w:tcBorders>
              <w:top w:val="single" w:sz="4" w:space="0" w:color="auto"/>
              <w:left w:val="single" w:sz="4" w:space="0" w:color="auto"/>
              <w:bottom w:val="single" w:sz="4" w:space="0" w:color="auto"/>
              <w:right w:val="single" w:sz="4" w:space="0" w:color="auto"/>
            </w:tcBorders>
            <w:hideMark/>
          </w:tcPr>
          <w:p w14:paraId="5C94B3FF"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67.9</w:t>
            </w:r>
          </w:p>
        </w:tc>
        <w:tc>
          <w:tcPr>
            <w:tcW w:w="1804" w:type="dxa"/>
            <w:tcBorders>
              <w:top w:val="single" w:sz="4" w:space="0" w:color="auto"/>
              <w:left w:val="single" w:sz="4" w:space="0" w:color="auto"/>
              <w:bottom w:val="single" w:sz="4" w:space="0" w:color="auto"/>
              <w:right w:val="single" w:sz="4" w:space="0" w:color="auto"/>
            </w:tcBorders>
            <w:hideMark/>
          </w:tcPr>
          <w:p w14:paraId="4FCA361F"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3.6</w:t>
            </w:r>
          </w:p>
        </w:tc>
      </w:tr>
      <w:tr w:rsidR="00BD1D88" w:rsidRPr="005F5709" w14:paraId="75CE05F6" w14:textId="77777777" w:rsidTr="001F4E9B">
        <w:tc>
          <w:tcPr>
            <w:tcW w:w="1803" w:type="dxa"/>
            <w:tcBorders>
              <w:top w:val="single" w:sz="4" w:space="0" w:color="auto"/>
              <w:left w:val="single" w:sz="4" w:space="0" w:color="auto"/>
              <w:bottom w:val="single" w:sz="4" w:space="0" w:color="auto"/>
              <w:right w:val="single" w:sz="4" w:space="0" w:color="auto"/>
            </w:tcBorders>
            <w:hideMark/>
          </w:tcPr>
          <w:p w14:paraId="435B3AF2"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Skill Level 4</w:t>
            </w:r>
          </w:p>
        </w:tc>
        <w:tc>
          <w:tcPr>
            <w:tcW w:w="1803" w:type="dxa"/>
            <w:tcBorders>
              <w:top w:val="single" w:sz="4" w:space="0" w:color="auto"/>
              <w:left w:val="single" w:sz="4" w:space="0" w:color="auto"/>
              <w:bottom w:val="single" w:sz="4" w:space="0" w:color="auto"/>
              <w:right w:val="single" w:sz="4" w:space="0" w:color="auto"/>
            </w:tcBorders>
            <w:hideMark/>
          </w:tcPr>
          <w:p w14:paraId="1DF123EB"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3,046.7</w:t>
            </w:r>
          </w:p>
        </w:tc>
        <w:tc>
          <w:tcPr>
            <w:tcW w:w="1803" w:type="dxa"/>
            <w:tcBorders>
              <w:top w:val="single" w:sz="4" w:space="0" w:color="auto"/>
              <w:left w:val="single" w:sz="4" w:space="0" w:color="auto"/>
              <w:bottom w:val="single" w:sz="4" w:space="0" w:color="auto"/>
              <w:right w:val="single" w:sz="4" w:space="0" w:color="auto"/>
            </w:tcBorders>
            <w:hideMark/>
          </w:tcPr>
          <w:p w14:paraId="46FBA538"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3,280.4</w:t>
            </w:r>
          </w:p>
        </w:tc>
        <w:tc>
          <w:tcPr>
            <w:tcW w:w="1803" w:type="dxa"/>
            <w:tcBorders>
              <w:top w:val="single" w:sz="4" w:space="0" w:color="auto"/>
              <w:left w:val="single" w:sz="4" w:space="0" w:color="auto"/>
              <w:bottom w:val="single" w:sz="4" w:space="0" w:color="auto"/>
              <w:right w:val="single" w:sz="4" w:space="0" w:color="auto"/>
            </w:tcBorders>
            <w:hideMark/>
          </w:tcPr>
          <w:p w14:paraId="3EFE2DAF"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233.7</w:t>
            </w:r>
          </w:p>
        </w:tc>
        <w:tc>
          <w:tcPr>
            <w:tcW w:w="1804" w:type="dxa"/>
            <w:tcBorders>
              <w:top w:val="single" w:sz="4" w:space="0" w:color="auto"/>
              <w:left w:val="single" w:sz="4" w:space="0" w:color="auto"/>
              <w:bottom w:val="single" w:sz="4" w:space="0" w:color="auto"/>
              <w:right w:val="single" w:sz="4" w:space="0" w:color="auto"/>
            </w:tcBorders>
            <w:hideMark/>
          </w:tcPr>
          <w:p w14:paraId="382B7255"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7.7</w:t>
            </w:r>
          </w:p>
        </w:tc>
      </w:tr>
      <w:tr w:rsidR="00BD1D88" w:rsidRPr="005F5709" w14:paraId="3817753B" w14:textId="77777777" w:rsidTr="001F4E9B">
        <w:tc>
          <w:tcPr>
            <w:tcW w:w="1803" w:type="dxa"/>
            <w:tcBorders>
              <w:top w:val="single" w:sz="4" w:space="0" w:color="auto"/>
              <w:left w:val="single" w:sz="4" w:space="0" w:color="auto"/>
              <w:bottom w:val="single" w:sz="4" w:space="0" w:color="auto"/>
              <w:right w:val="single" w:sz="4" w:space="0" w:color="auto"/>
            </w:tcBorders>
            <w:hideMark/>
          </w:tcPr>
          <w:p w14:paraId="7BC79B76"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Skill Level 5</w:t>
            </w:r>
          </w:p>
        </w:tc>
        <w:tc>
          <w:tcPr>
            <w:tcW w:w="1803" w:type="dxa"/>
            <w:tcBorders>
              <w:top w:val="single" w:sz="4" w:space="0" w:color="auto"/>
              <w:left w:val="single" w:sz="4" w:space="0" w:color="auto"/>
              <w:bottom w:val="single" w:sz="4" w:space="0" w:color="auto"/>
              <w:right w:val="single" w:sz="4" w:space="0" w:color="auto"/>
            </w:tcBorders>
            <w:hideMark/>
          </w:tcPr>
          <w:p w14:paraId="33A3E9B1"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1,945.3</w:t>
            </w:r>
          </w:p>
        </w:tc>
        <w:tc>
          <w:tcPr>
            <w:tcW w:w="1803" w:type="dxa"/>
            <w:tcBorders>
              <w:top w:val="single" w:sz="4" w:space="0" w:color="auto"/>
              <w:left w:val="single" w:sz="4" w:space="0" w:color="auto"/>
              <w:bottom w:val="single" w:sz="4" w:space="0" w:color="auto"/>
              <w:right w:val="single" w:sz="4" w:space="0" w:color="auto"/>
            </w:tcBorders>
            <w:hideMark/>
          </w:tcPr>
          <w:p w14:paraId="3248ED77"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2,010.0</w:t>
            </w:r>
          </w:p>
        </w:tc>
        <w:tc>
          <w:tcPr>
            <w:tcW w:w="1803" w:type="dxa"/>
            <w:tcBorders>
              <w:top w:val="single" w:sz="4" w:space="0" w:color="auto"/>
              <w:left w:val="single" w:sz="4" w:space="0" w:color="auto"/>
              <w:bottom w:val="single" w:sz="4" w:space="0" w:color="auto"/>
              <w:right w:val="single" w:sz="4" w:space="0" w:color="auto"/>
            </w:tcBorders>
            <w:hideMark/>
          </w:tcPr>
          <w:p w14:paraId="32CAB09E"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64.6</w:t>
            </w:r>
          </w:p>
        </w:tc>
        <w:tc>
          <w:tcPr>
            <w:tcW w:w="1804" w:type="dxa"/>
            <w:tcBorders>
              <w:top w:val="single" w:sz="4" w:space="0" w:color="auto"/>
              <w:left w:val="single" w:sz="4" w:space="0" w:color="auto"/>
              <w:bottom w:val="single" w:sz="4" w:space="0" w:color="auto"/>
              <w:right w:val="single" w:sz="4" w:space="0" w:color="auto"/>
            </w:tcBorders>
            <w:hideMark/>
          </w:tcPr>
          <w:p w14:paraId="24E674B1"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3.3</w:t>
            </w:r>
          </w:p>
        </w:tc>
      </w:tr>
      <w:tr w:rsidR="00BD1D88" w:rsidRPr="005F5709" w14:paraId="71A7716D" w14:textId="77777777" w:rsidTr="001F4E9B">
        <w:tc>
          <w:tcPr>
            <w:tcW w:w="1803" w:type="dxa"/>
            <w:tcBorders>
              <w:top w:val="single" w:sz="4" w:space="0" w:color="auto"/>
              <w:left w:val="single" w:sz="4" w:space="0" w:color="auto"/>
              <w:bottom w:val="single" w:sz="4" w:space="0" w:color="auto"/>
              <w:right w:val="single" w:sz="4" w:space="0" w:color="auto"/>
            </w:tcBorders>
            <w:hideMark/>
          </w:tcPr>
          <w:p w14:paraId="76F9247C"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Total Employment</w:t>
            </w:r>
          </w:p>
        </w:tc>
        <w:tc>
          <w:tcPr>
            <w:tcW w:w="1803" w:type="dxa"/>
            <w:tcBorders>
              <w:top w:val="single" w:sz="4" w:space="0" w:color="auto"/>
              <w:left w:val="single" w:sz="4" w:space="0" w:color="auto"/>
              <w:bottom w:val="single" w:sz="4" w:space="0" w:color="auto"/>
              <w:right w:val="single" w:sz="4" w:space="0" w:color="auto"/>
            </w:tcBorders>
            <w:hideMark/>
          </w:tcPr>
          <w:p w14:paraId="4EF990E6"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12,740.6</w:t>
            </w:r>
          </w:p>
        </w:tc>
        <w:tc>
          <w:tcPr>
            <w:tcW w:w="1803" w:type="dxa"/>
            <w:tcBorders>
              <w:top w:val="single" w:sz="4" w:space="0" w:color="auto"/>
              <w:left w:val="single" w:sz="4" w:space="0" w:color="auto"/>
              <w:bottom w:val="single" w:sz="4" w:space="0" w:color="auto"/>
              <w:right w:val="single" w:sz="4" w:space="0" w:color="auto"/>
            </w:tcBorders>
            <w:hideMark/>
          </w:tcPr>
          <w:p w14:paraId="5738981A"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13,732.3</w:t>
            </w:r>
          </w:p>
        </w:tc>
        <w:tc>
          <w:tcPr>
            <w:tcW w:w="1803" w:type="dxa"/>
            <w:tcBorders>
              <w:top w:val="single" w:sz="4" w:space="0" w:color="auto"/>
              <w:left w:val="single" w:sz="4" w:space="0" w:color="auto"/>
              <w:bottom w:val="single" w:sz="4" w:space="0" w:color="auto"/>
              <w:right w:val="single" w:sz="4" w:space="0" w:color="auto"/>
            </w:tcBorders>
            <w:hideMark/>
          </w:tcPr>
          <w:p w14:paraId="31300167"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991.6</w:t>
            </w:r>
          </w:p>
        </w:tc>
        <w:tc>
          <w:tcPr>
            <w:tcW w:w="1804" w:type="dxa"/>
            <w:tcBorders>
              <w:top w:val="single" w:sz="4" w:space="0" w:color="auto"/>
              <w:left w:val="single" w:sz="4" w:space="0" w:color="auto"/>
              <w:bottom w:val="single" w:sz="4" w:space="0" w:color="auto"/>
              <w:right w:val="single" w:sz="4" w:space="0" w:color="auto"/>
            </w:tcBorders>
            <w:hideMark/>
          </w:tcPr>
          <w:p w14:paraId="19B28BBC"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7.8</w:t>
            </w:r>
          </w:p>
        </w:tc>
      </w:tr>
    </w:tbl>
    <w:p w14:paraId="3FB76366" w14:textId="77777777" w:rsidR="00BD1D88" w:rsidRPr="005F5709" w:rsidRDefault="00BD1D88">
      <w:pPr>
        <w:rPr>
          <w:rFonts w:asciiTheme="minorHAnsi" w:hAnsiTheme="minorHAnsi" w:cstheme="minorHAnsi"/>
        </w:rPr>
      </w:pPr>
      <w:r w:rsidRPr="005F5709">
        <w:rPr>
          <w:rFonts w:asciiTheme="minorHAnsi" w:hAnsiTheme="minorHAnsi" w:cstheme="minorHAnsi"/>
        </w:rPr>
        <w:lastRenderedPageBreak/>
        <w:br w:type="page"/>
      </w:r>
    </w:p>
    <w:tbl>
      <w:tblPr>
        <w:tblStyle w:val="TableGrid"/>
        <w:tblW w:w="0" w:type="auto"/>
        <w:tblLook w:val="04A0" w:firstRow="1" w:lastRow="0" w:firstColumn="1" w:lastColumn="0" w:noHBand="0" w:noVBand="1"/>
      </w:tblPr>
      <w:tblGrid>
        <w:gridCol w:w="9016"/>
      </w:tblGrid>
      <w:tr w:rsidR="00BD1D88" w:rsidRPr="005F5709" w14:paraId="10B2680B" w14:textId="77777777" w:rsidTr="001F4E9B">
        <w:tc>
          <w:tcPr>
            <w:tcW w:w="9016" w:type="dxa"/>
            <w:tcBorders>
              <w:top w:val="single" w:sz="4" w:space="0" w:color="auto"/>
              <w:left w:val="single" w:sz="4" w:space="0" w:color="auto"/>
              <w:bottom w:val="single" w:sz="4" w:space="0" w:color="auto"/>
              <w:right w:val="single" w:sz="4" w:space="0" w:color="auto"/>
            </w:tcBorders>
          </w:tcPr>
          <w:p w14:paraId="796D232E" w14:textId="77777777" w:rsidR="00BD1D88" w:rsidRPr="005F5709" w:rsidRDefault="00BD1D88" w:rsidP="001F4E9B">
            <w:pPr>
              <w:rPr>
                <w:rFonts w:asciiTheme="minorHAnsi" w:hAnsiTheme="minorHAnsi" w:cstheme="minorHAnsi"/>
                <w:sz w:val="18"/>
                <w:szCs w:val="18"/>
              </w:rPr>
            </w:pPr>
          </w:p>
          <w:p w14:paraId="6AEBA7D3" w14:textId="77777777" w:rsidR="00BD1D88" w:rsidRPr="005F5709" w:rsidRDefault="00BD1D88" w:rsidP="001F4E9B">
            <w:pPr>
              <w:rPr>
                <w:rFonts w:asciiTheme="minorHAnsi" w:hAnsiTheme="minorHAnsi" w:cstheme="minorHAnsi"/>
                <w:sz w:val="18"/>
                <w:szCs w:val="18"/>
              </w:rPr>
            </w:pPr>
            <w:r w:rsidRPr="005F5709">
              <w:rPr>
                <w:rFonts w:asciiTheme="minorHAnsi" w:hAnsiTheme="minorHAnsi" w:cstheme="minorHAnsi"/>
                <w:sz w:val="18"/>
                <w:szCs w:val="18"/>
              </w:rPr>
              <w:t xml:space="preserve">Skill Level 1 is commensurate with a </w:t>
            </w:r>
            <w:proofErr w:type="gramStart"/>
            <w:r w:rsidRPr="005F5709">
              <w:rPr>
                <w:rFonts w:asciiTheme="minorHAnsi" w:hAnsiTheme="minorHAnsi" w:cstheme="minorHAnsi"/>
                <w:sz w:val="18"/>
                <w:szCs w:val="18"/>
              </w:rPr>
              <w:t>Bachelor</w:t>
            </w:r>
            <w:proofErr w:type="gramEnd"/>
            <w:r w:rsidRPr="005F5709">
              <w:rPr>
                <w:rFonts w:asciiTheme="minorHAnsi" w:hAnsiTheme="minorHAnsi" w:cstheme="minorHAnsi"/>
                <w:sz w:val="18"/>
                <w:szCs w:val="18"/>
              </w:rPr>
              <w:t xml:space="preserve"> degree or higher qualification</w:t>
            </w:r>
          </w:p>
          <w:p w14:paraId="6D923D44" w14:textId="77777777" w:rsidR="00BD1D88" w:rsidRPr="005F5709" w:rsidRDefault="00BD1D88" w:rsidP="001F4E9B">
            <w:pPr>
              <w:rPr>
                <w:rFonts w:asciiTheme="minorHAnsi" w:hAnsiTheme="minorHAnsi" w:cstheme="minorHAnsi"/>
                <w:sz w:val="18"/>
                <w:szCs w:val="18"/>
              </w:rPr>
            </w:pPr>
            <w:r w:rsidRPr="005F5709">
              <w:rPr>
                <w:rFonts w:asciiTheme="minorHAnsi" w:hAnsiTheme="minorHAnsi" w:cstheme="minorHAnsi"/>
                <w:sz w:val="18"/>
                <w:szCs w:val="18"/>
              </w:rPr>
              <w:t>Skill Level 2 is commensurate with an Advanced Diploma or Diploma</w:t>
            </w:r>
          </w:p>
          <w:p w14:paraId="1E453E09" w14:textId="77777777" w:rsidR="00BD1D88" w:rsidRPr="005F5709" w:rsidRDefault="00BD1D88" w:rsidP="001F4E9B">
            <w:pPr>
              <w:rPr>
                <w:rFonts w:asciiTheme="minorHAnsi" w:hAnsiTheme="minorHAnsi" w:cstheme="minorHAnsi"/>
                <w:sz w:val="18"/>
                <w:szCs w:val="18"/>
              </w:rPr>
            </w:pPr>
            <w:r w:rsidRPr="005F5709">
              <w:rPr>
                <w:rFonts w:asciiTheme="minorHAnsi" w:hAnsiTheme="minorHAnsi" w:cstheme="minorHAnsi"/>
                <w:sz w:val="18"/>
                <w:szCs w:val="18"/>
              </w:rPr>
              <w:t>Skill Level 3 is commensurate with a Certificate IV or III (including at least 2 years on-the job training)</w:t>
            </w:r>
          </w:p>
          <w:p w14:paraId="61699B23" w14:textId="77777777" w:rsidR="00BD1D88" w:rsidRPr="005F5709" w:rsidRDefault="00BD1D88" w:rsidP="001F4E9B">
            <w:pPr>
              <w:rPr>
                <w:rFonts w:asciiTheme="minorHAnsi" w:hAnsiTheme="minorHAnsi" w:cstheme="minorHAnsi"/>
                <w:sz w:val="18"/>
                <w:szCs w:val="18"/>
              </w:rPr>
            </w:pPr>
            <w:r w:rsidRPr="005F5709">
              <w:rPr>
                <w:rFonts w:asciiTheme="minorHAnsi" w:hAnsiTheme="minorHAnsi" w:cstheme="minorHAnsi"/>
                <w:sz w:val="18"/>
                <w:szCs w:val="18"/>
              </w:rPr>
              <w:t>Skill Level 4 is commensurate with a Certificate II or III</w:t>
            </w:r>
          </w:p>
          <w:p w14:paraId="2B716C93" w14:textId="77777777" w:rsidR="00BD1D88" w:rsidRPr="005F5709" w:rsidRDefault="00BD1D88" w:rsidP="001F4E9B">
            <w:pPr>
              <w:rPr>
                <w:rFonts w:asciiTheme="minorHAnsi" w:hAnsiTheme="minorHAnsi" w:cstheme="minorHAnsi"/>
                <w:sz w:val="18"/>
                <w:szCs w:val="18"/>
              </w:rPr>
            </w:pPr>
            <w:r w:rsidRPr="005F5709">
              <w:rPr>
                <w:rFonts w:asciiTheme="minorHAnsi" w:hAnsiTheme="minorHAnsi" w:cstheme="minorHAnsi"/>
                <w:sz w:val="18"/>
                <w:szCs w:val="18"/>
              </w:rPr>
              <w:t xml:space="preserve">Skill Level 5 is commensurate with a Certificate I or secondary education. </w:t>
            </w:r>
          </w:p>
          <w:p w14:paraId="395F1B98" w14:textId="77777777" w:rsidR="00BD1D88" w:rsidRPr="005F5709" w:rsidRDefault="00BD1D88" w:rsidP="001F4E9B">
            <w:pPr>
              <w:jc w:val="right"/>
              <w:rPr>
                <w:rFonts w:asciiTheme="minorHAnsi" w:hAnsiTheme="minorHAnsi" w:cstheme="minorHAnsi"/>
                <w:sz w:val="18"/>
                <w:szCs w:val="18"/>
              </w:rPr>
            </w:pPr>
            <w:r w:rsidRPr="005F5709">
              <w:rPr>
                <w:rFonts w:asciiTheme="minorHAnsi" w:hAnsiTheme="minorHAnsi" w:cstheme="minorHAnsi"/>
                <w:sz w:val="16"/>
                <w:szCs w:val="16"/>
              </w:rPr>
              <w:t>Source: National Skills Commission (June 2021)</w:t>
            </w:r>
          </w:p>
        </w:tc>
      </w:tr>
    </w:tbl>
    <w:p w14:paraId="274E2EF6" w14:textId="77777777" w:rsidR="00BD1D88" w:rsidRPr="005F5709" w:rsidRDefault="00BD1D88" w:rsidP="004D151D">
      <w:pPr>
        <w:rPr>
          <w:rFonts w:asciiTheme="minorHAnsi" w:hAnsiTheme="minorHAnsi" w:cstheme="minorHAnsi"/>
          <w:i/>
          <w:iCs/>
        </w:rPr>
      </w:pPr>
    </w:p>
    <w:p w14:paraId="7D6C5959" w14:textId="55DDFC0E" w:rsidR="00BD1D88" w:rsidRPr="005F5709" w:rsidRDefault="00BD1D88" w:rsidP="001C606D">
      <w:pPr>
        <w:pStyle w:val="Heading2"/>
        <w:rPr>
          <w:color w:val="002060"/>
        </w:rPr>
      </w:pPr>
      <w:bookmarkStart w:id="25" w:name="_Toc88575273"/>
      <w:bookmarkStart w:id="26" w:name="_Toc113022174"/>
      <w:r w:rsidRPr="005F5709">
        <w:rPr>
          <w:color w:val="002060"/>
        </w:rPr>
        <w:t>2.2 There are barriers to the uptake and completion of Australian Apprenticeships</w:t>
      </w:r>
      <w:bookmarkEnd w:id="25"/>
      <w:bookmarkEnd w:id="26"/>
    </w:p>
    <w:p w14:paraId="40AC9E33"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Apprentices face barriers to the uptake and completion of an apprenticeship, demonstrated by the long-term decline in the number of commencements and completions. Whilst apprenticeship commencement and completion numbers can be partially attributed to broader influences such as changing economic conditions, industry modernisation and shifts to higher education, a number of key reasons are explored below.  </w:t>
      </w:r>
    </w:p>
    <w:p w14:paraId="393DCF89" w14:textId="2A85891A" w:rsidR="00BD1D88" w:rsidRPr="005F5709" w:rsidRDefault="00BD1D88" w:rsidP="00A770E9">
      <w:pPr>
        <w:pStyle w:val="Heading3"/>
      </w:pPr>
      <w:bookmarkStart w:id="27" w:name="_Toc113022175"/>
      <w:bookmarkStart w:id="28" w:name="_Toc88575274"/>
      <w:r w:rsidRPr="005F5709">
        <w:t>The decline in commencements and completions before COVID-19 economic response measures</w:t>
      </w:r>
      <w:bookmarkEnd w:id="27"/>
      <w:r w:rsidRPr="005F5709">
        <w:t xml:space="preserve"> </w:t>
      </w:r>
      <w:bookmarkEnd w:id="28"/>
    </w:p>
    <w:p w14:paraId="134F9FC7"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Since 2012 and prior to the introduction of the COVID-19 response measures, apprenticeship commencements were declining, dropping 65 per cent from 376,900 in June 2012 to 133,500 in June 2020. The annual number of completions also declined, decreasing by 55 per cent from 187,600 to 84,000 completions between June 2012 and June 2020. In addition, there was a drop in the completion rate, from 59.7 per cent for apprentices who commenced in 2012, to 56.1 per cent for apprentices who commenced in 2016.</w:t>
      </w:r>
    </w:p>
    <w:p w14:paraId="70B14312"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Approximately 83,000 fewer apprentices and trainees were in-training on 31 March 2021 when compared to 30 September 2013.</w:t>
      </w:r>
      <w:r w:rsidRPr="005F5709">
        <w:rPr>
          <w:rStyle w:val="FootnoteReference"/>
          <w:rFonts w:asciiTheme="minorHAnsi" w:hAnsiTheme="minorHAnsi" w:cstheme="minorHAnsi"/>
        </w:rPr>
        <w:footnoteReference w:id="17"/>
      </w:r>
      <w:r w:rsidRPr="005F5709">
        <w:rPr>
          <w:rFonts w:asciiTheme="minorHAnsi" w:hAnsiTheme="minorHAnsi" w:cstheme="minorHAnsi"/>
        </w:rPr>
        <w:t xml:space="preserve"> Movement of young people away from apprenticeships to higher education and other work with higher rates of pay may have contributed to a drop in commencements. This decline</w:t>
      </w:r>
      <w:r w:rsidRPr="005F5709" w:rsidDel="004917EE">
        <w:rPr>
          <w:rFonts w:asciiTheme="minorHAnsi" w:hAnsiTheme="minorHAnsi" w:cstheme="minorHAnsi"/>
        </w:rPr>
        <w:t xml:space="preserve"> </w:t>
      </w:r>
      <w:r w:rsidRPr="005F5709">
        <w:rPr>
          <w:rFonts w:asciiTheme="minorHAnsi" w:hAnsiTheme="minorHAnsi" w:cstheme="minorHAnsi"/>
        </w:rPr>
        <w:t xml:space="preserve">was also driven by tightened eligibility and a series of policy changes in 2012-2013 which improved the apprenticeship system’s ability to address skill shortages by focusing program investment on priority occupations. While program incentives continued to be available to support new workers, support for existing workers was limited to occupations on the National Skills Needs List or priority occupation list (aged care, disability care, </w:t>
      </w:r>
      <w:proofErr w:type="gramStart"/>
      <w:r w:rsidRPr="005F5709">
        <w:rPr>
          <w:rFonts w:asciiTheme="minorHAnsi" w:hAnsiTheme="minorHAnsi" w:cstheme="minorHAnsi"/>
        </w:rPr>
        <w:t>child care</w:t>
      </w:r>
      <w:proofErr w:type="gramEnd"/>
      <w:r w:rsidRPr="005F5709">
        <w:rPr>
          <w:rFonts w:asciiTheme="minorHAnsi" w:hAnsiTheme="minorHAnsi" w:cstheme="minorHAnsi"/>
        </w:rPr>
        <w:t xml:space="preserve"> or enrolled nurses). As a result of these policy changes </w:t>
      </w:r>
      <w:r w:rsidRPr="005F5709">
        <w:rPr>
          <w:rFonts w:asciiTheme="minorHAnsi" w:hAnsiTheme="minorHAnsi" w:cstheme="minorHAnsi"/>
          <w:lang w:val="en-US"/>
        </w:rPr>
        <w:t>the greatest decline since 2012 has been in non-trade apprenticeships (often traineeships) while traditional trade in-training numbers have remained relatively steady over time</w:t>
      </w:r>
      <w:r w:rsidRPr="005F5709">
        <w:rPr>
          <w:rFonts w:asciiTheme="minorHAnsi" w:hAnsiTheme="minorHAnsi" w:cstheme="minorHAnsi"/>
        </w:rPr>
        <w:t xml:space="preserve">. </w:t>
      </w:r>
    </w:p>
    <w:p w14:paraId="5B670911"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However, since the introduction of temporary COVID-19 support measures, commencements have been on the rise. Recent National Centre for Vocational Education Research (NCVER) figures show a 59.5 per cent increase in commencements in the last 12 months when comparing June 2020 commencements to June 2021. This reflects the positive effects of the temporary Boosting Apprenticeship Commencements (BAC) incentive in supporting the pipeline of skilled workers during the COVID-19 pandemic.</w:t>
      </w:r>
    </w:p>
    <w:p w14:paraId="1AD3B103" w14:textId="77777777" w:rsidR="00BD1D88" w:rsidRPr="005F5709" w:rsidRDefault="00BD1D88" w:rsidP="004D151D">
      <w:pPr>
        <w:rPr>
          <w:rFonts w:asciiTheme="minorHAnsi" w:hAnsiTheme="minorHAnsi" w:cstheme="minorHAnsi"/>
          <w:noProof/>
        </w:rPr>
      </w:pPr>
      <w:r w:rsidRPr="005F5709">
        <w:rPr>
          <w:rFonts w:asciiTheme="minorHAnsi" w:hAnsiTheme="minorHAnsi" w:cstheme="minorHAnsi"/>
          <w:b/>
          <w:bCs/>
        </w:rPr>
        <w:lastRenderedPageBreak/>
        <w:t>Figure 2: Commencements over the past five years for apprentices and trainees</w:t>
      </w:r>
      <w:r w:rsidRPr="005F5709">
        <w:rPr>
          <w:rStyle w:val="FootnoteReference"/>
          <w:rFonts w:asciiTheme="minorHAnsi" w:hAnsiTheme="minorHAnsi" w:cstheme="minorHAnsi"/>
          <w:b/>
          <w:bCs/>
        </w:rPr>
        <w:footnoteReference w:id="18"/>
      </w:r>
      <w:r w:rsidRPr="005F5709">
        <w:rPr>
          <w:rFonts w:asciiTheme="minorHAnsi" w:hAnsiTheme="minorHAnsi" w:cstheme="minorHAnsi"/>
        </w:rPr>
        <w:t xml:space="preserve"> </w:t>
      </w:r>
    </w:p>
    <w:p w14:paraId="463A7FC7" w14:textId="77777777" w:rsidR="00BD1D88" w:rsidRPr="005F5709" w:rsidRDefault="00BD1D88" w:rsidP="004D151D">
      <w:pPr>
        <w:rPr>
          <w:rFonts w:asciiTheme="minorHAnsi" w:hAnsiTheme="minorHAnsi" w:cstheme="minorHAnsi"/>
        </w:rPr>
      </w:pPr>
      <w:r w:rsidRPr="005F5709">
        <w:rPr>
          <w:rFonts w:asciiTheme="minorHAnsi" w:hAnsiTheme="minorHAnsi" w:cstheme="minorHAnsi"/>
          <w:noProof/>
        </w:rPr>
        <w:drawing>
          <wp:inline distT="0" distB="0" distL="0" distR="0" wp14:anchorId="2F0B5B60" wp14:editId="61BD3BD4">
            <wp:extent cx="5731510" cy="2865755"/>
            <wp:effectExtent l="0" t="0" r="2540" b="0"/>
            <wp:docPr id="25" name="Picture 25" descr="Graphic showing the commencements over the past five years for apprentices and trainees and the increase since BAC was introduced in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 showing the commencements over the past five years for apprentices and trainees and the increase since BAC was introduced in 2020."/>
                    <pic:cNvPicPr/>
                  </pic:nvPicPr>
                  <pic:blipFill>
                    <a:blip r:embed="rId29"/>
                    <a:stretch>
                      <a:fillRect/>
                    </a:stretch>
                  </pic:blipFill>
                  <pic:spPr>
                    <a:xfrm>
                      <a:off x="0" y="0"/>
                      <a:ext cx="5731510" cy="2865755"/>
                    </a:xfrm>
                    <a:prstGeom prst="rect">
                      <a:avLst/>
                    </a:prstGeom>
                  </pic:spPr>
                </pic:pic>
              </a:graphicData>
            </a:graphic>
          </wp:inline>
        </w:drawing>
      </w:r>
    </w:p>
    <w:p w14:paraId="4D44DE44" w14:textId="77777777" w:rsidR="00BD1D88" w:rsidRPr="005F5709" w:rsidRDefault="00BD1D88" w:rsidP="004D151D">
      <w:pPr>
        <w:rPr>
          <w:rFonts w:asciiTheme="minorHAnsi" w:hAnsiTheme="minorHAnsi" w:cstheme="minorHAnsi"/>
          <w:highlight w:val="lightGray"/>
        </w:rPr>
      </w:pPr>
      <w:r w:rsidRPr="005F5709">
        <w:rPr>
          <w:rFonts w:asciiTheme="minorHAnsi" w:hAnsiTheme="minorHAnsi" w:cstheme="minorHAnsi"/>
        </w:rPr>
        <w:t xml:space="preserve">The Supporting Apprentices and Trainees (SAT), BAC and Completing Apprenticeship Commencements (CAC) were implemented temporarily to sustain apprentice and trainee in-training numbers during the COVID-19 pandemic. The SAT launched in March 2020 at the beginning of COVID-19. The SAT wage subsidy was designed to keep apprentices and trainees connected to their employers by providing a 50 per cent wage subsidy for existing apprentices and trainees. </w:t>
      </w:r>
    </w:p>
    <w:p w14:paraId="660FC2E6"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In addition, the 50 per cent wage subsidy provided under BAC introduced in October 2020 reversed the decline in commencement numbers and demonstrates the effectiveness of large-scale, broad Australian Government investment. The increase in commencements following the introduction of the BAC has had a positive flow on effect to in-training numbers. NCVER data shows around 341,385 apprentices and trainees were in-training as </w:t>
      </w:r>
      <w:proofErr w:type="gramStart"/>
      <w:r w:rsidRPr="005F5709">
        <w:rPr>
          <w:rFonts w:asciiTheme="minorHAnsi" w:hAnsiTheme="minorHAnsi" w:cstheme="minorHAnsi"/>
        </w:rPr>
        <w:t>at</w:t>
      </w:r>
      <w:proofErr w:type="gramEnd"/>
      <w:r w:rsidRPr="005F5709">
        <w:rPr>
          <w:rFonts w:asciiTheme="minorHAnsi" w:hAnsiTheme="minorHAnsi" w:cstheme="minorHAnsi"/>
        </w:rPr>
        <w:t xml:space="preserve"> 30 June 2021.</w:t>
      </w:r>
      <w:r w:rsidRPr="005F5709">
        <w:rPr>
          <w:rStyle w:val="FootnoteReference"/>
          <w:rFonts w:asciiTheme="minorHAnsi" w:hAnsiTheme="minorHAnsi" w:cstheme="minorHAnsi"/>
        </w:rPr>
        <w:footnoteReference w:id="19"/>
      </w:r>
      <w:r w:rsidRPr="005F5709">
        <w:rPr>
          <w:rFonts w:asciiTheme="minorHAnsi" w:hAnsiTheme="minorHAnsi" w:cstheme="minorHAnsi"/>
        </w:rPr>
        <w:t xml:space="preserve"> This in-training number is the highest since March 2014 when there were 376,215 in-training.</w:t>
      </w:r>
    </w:p>
    <w:p w14:paraId="05B4D67D" w14:textId="3F0EEC32" w:rsidR="00BD1D88" w:rsidRPr="005F5709" w:rsidRDefault="00BD1D88" w:rsidP="007C7D99">
      <w:pPr>
        <w:pStyle w:val="Heading3"/>
        <w:spacing w:before="120" w:after="120"/>
      </w:pPr>
      <w:bookmarkStart w:id="29" w:name="_Toc88575275"/>
      <w:bookmarkStart w:id="30" w:name="_Toc113022176"/>
      <w:r w:rsidRPr="005F5709">
        <w:t>Barriers for the employer</w:t>
      </w:r>
      <w:bookmarkEnd w:id="29"/>
      <w:bookmarkEnd w:id="30"/>
    </w:p>
    <w:p w14:paraId="0595203A"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Employers may be constrained by several factors when hiring an apprentice including high upfront costs, risk of non-completion, difficulty in recruitment and needing to navigate a complex system. Addressing these barriers is a priority for reform and key to encouraging more employers to hire apprentices. </w:t>
      </w:r>
    </w:p>
    <w:p w14:paraId="450207FE"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Employers have cited high hiring costs, particularly upfront costs, as a key barrier to engaging employees as an apprentice. </w:t>
      </w:r>
      <w:r w:rsidRPr="005F5709">
        <w:rPr>
          <w:rFonts w:asciiTheme="minorHAnsi" w:eastAsia="Times New Roman" w:hAnsiTheme="minorHAnsi" w:cstheme="minorHAnsi"/>
        </w:rPr>
        <w:t xml:space="preserve">Wage costs and other expenses associated with running a business have grown substantially over the past two decades, however the total standard apprenticeship incentives available to employers have remained unchanged at </w:t>
      </w:r>
      <w:r w:rsidRPr="005F5709">
        <w:rPr>
          <w:rFonts w:asciiTheme="minorHAnsi" w:eastAsia="Times New Roman" w:hAnsiTheme="minorHAnsi" w:cstheme="minorHAnsi"/>
        </w:rPr>
        <w:lastRenderedPageBreak/>
        <w:t>around $4,000 since 1998. In 2013 the Fair Work Commission made major changes to awards for apprentices including increased wages, wage progression based on competency, an introduction of adult apprentice rates and reimbursement of course fees. While improving conditions for apprentices, this has increased the cost of hiring an apprentice for employers and further disincentivises employers from engaging with apprenticeships.</w:t>
      </w:r>
    </w:p>
    <w:p w14:paraId="79F97A94"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Needing to devote time to supervise and train an apprentice may also be a barrier for employers. In the early years of an apprenticeship, when supervision costs are high and the productivity, whether perceived or actual, of an apprentice is low, for some employers, the time spent supervising an apprentice is time taken away from generating income or growing the business. This is a particular consideration for small and medium sized businesses, which employ more than half of all Australian Apprentices as well as employers who have not previously engaged an apprentice. </w:t>
      </w:r>
      <w:r w:rsidRPr="005F5709">
        <w:rPr>
          <w:rFonts w:asciiTheme="minorHAnsi" w:eastAsia="Times New Roman" w:hAnsiTheme="minorHAnsi" w:cstheme="minorHAnsi"/>
        </w:rPr>
        <w:t>This effect can be magnified during periods of economic downturn or uncertainty.</w:t>
      </w:r>
    </w:p>
    <w:p w14:paraId="72E081C3"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Hiring an apprentice can be considered a risky investment. The relative costs to the employer are higher if an apprentice does not complete their apprenticeship or decides to change employers. In this case, the employer neither benefits from greater productivity in the later years of the apprenticeship nor the skilled labour. This risk of non-completion can reduce an employer’s appetite to hire an apprentice.</w:t>
      </w:r>
      <w:r w:rsidRPr="005F5709">
        <w:rPr>
          <w:rStyle w:val="FootnoteReference"/>
          <w:rFonts w:asciiTheme="minorHAnsi" w:eastAsia="Times New Roman" w:hAnsiTheme="minorHAnsi" w:cstheme="minorHAnsi"/>
        </w:rPr>
        <w:footnoteReference w:id="20"/>
      </w:r>
      <w:r w:rsidRPr="005F5709">
        <w:rPr>
          <w:rFonts w:asciiTheme="minorHAnsi" w:eastAsia="Times New Roman" w:hAnsiTheme="minorHAnsi" w:cstheme="minorHAnsi"/>
        </w:rPr>
        <w:t xml:space="preserve"> </w:t>
      </w:r>
    </w:p>
    <w:p w14:paraId="29DF1BBD" w14:textId="77777777" w:rsidR="00BD1D88" w:rsidRPr="005F5709" w:rsidRDefault="00BD1D88" w:rsidP="004D151D">
      <w:pPr>
        <w:rPr>
          <w:rFonts w:asciiTheme="minorHAnsi" w:eastAsia="Times New Roman" w:hAnsiTheme="minorHAnsi" w:cstheme="minorHAnsi"/>
        </w:rPr>
      </w:pPr>
      <w:r w:rsidRPr="005F5709">
        <w:rPr>
          <w:rFonts w:asciiTheme="minorHAnsi" w:hAnsiTheme="minorHAnsi" w:cstheme="minorHAnsi"/>
        </w:rPr>
        <w:t>In 2019, over 43 per cent of employers had difficulty recruiting employees. Of these employers, the main reasons for difficulty in recruitment were limited applicants and a shortage of skilled people in the industry.</w:t>
      </w:r>
      <w:r w:rsidRPr="005F5709">
        <w:rPr>
          <w:rStyle w:val="FootnoteReference"/>
          <w:rFonts w:asciiTheme="minorHAnsi" w:hAnsiTheme="minorHAnsi" w:cstheme="minorHAnsi"/>
        </w:rPr>
        <w:footnoteReference w:id="21"/>
      </w:r>
      <w:r w:rsidRPr="005F5709">
        <w:rPr>
          <w:rFonts w:asciiTheme="minorHAnsi" w:hAnsiTheme="minorHAnsi" w:cstheme="minorHAnsi"/>
        </w:rPr>
        <w:t xml:space="preserve"> </w:t>
      </w:r>
      <w:r w:rsidRPr="005F5709">
        <w:rPr>
          <w:rFonts w:asciiTheme="minorHAnsi" w:eastAsia="Times New Roman" w:hAnsiTheme="minorHAnsi" w:cstheme="minorHAnsi"/>
        </w:rPr>
        <w:t>A survey of employers conducted by the Department of Jobs and Small Business in 2017 found around 30 per cent of advertised trade apprentice vacancies went unfilled. Moreover, almost half of employers advertising vacancies received more than 20 applications, yet most candidates were regarded as unsuitable.</w:t>
      </w:r>
      <w:r w:rsidRPr="005F5709">
        <w:rPr>
          <w:rStyle w:val="FootnoteReference"/>
          <w:rFonts w:asciiTheme="minorHAnsi" w:eastAsia="Times New Roman" w:hAnsiTheme="minorHAnsi" w:cstheme="minorHAnsi"/>
        </w:rPr>
        <w:footnoteReference w:id="22"/>
      </w:r>
      <w:r w:rsidRPr="005F5709">
        <w:rPr>
          <w:rFonts w:asciiTheme="minorHAnsi" w:eastAsia="Times New Roman" w:hAnsiTheme="minorHAnsi" w:cstheme="minorHAnsi"/>
        </w:rPr>
        <w:t xml:space="preserve"> </w:t>
      </w:r>
    </w:p>
    <w:p w14:paraId="6F37EBE9"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The difficulties in recruitment are highlighted by the NSC job vacancy index, which reached its highest level in 13 years in October 2021 (250,900 jobs advertised) – 49.2 per cent (or 82,700 job advertisements) above pre COVID-19 levels. Job advertisements climbed 7.4 per cent from October to November 2021 – 52 per cent higher than a year earlier and 44 per cent above pre-COVID-19 levels.</w:t>
      </w:r>
      <w:r w:rsidRPr="005F5709">
        <w:rPr>
          <w:rStyle w:val="FootnoteReference"/>
          <w:rFonts w:asciiTheme="minorHAnsi" w:eastAsia="Times New Roman" w:hAnsiTheme="minorHAnsi" w:cstheme="minorHAnsi"/>
        </w:rPr>
        <w:footnoteReference w:id="23"/>
      </w:r>
      <w:r w:rsidRPr="005F5709">
        <w:rPr>
          <w:rFonts w:asciiTheme="minorHAnsi" w:eastAsia="Times New Roman" w:hAnsiTheme="minorHAnsi" w:cstheme="minorHAnsi"/>
        </w:rPr>
        <w:t xml:space="preserve"> </w:t>
      </w:r>
    </w:p>
    <w:p w14:paraId="4F624A12"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During a review of Australia’s VET system in 2019, employers identified complexity of incentives as a barrier, specifically describing the Australian Apprenticeships Incentives Program (AAIP) as difficult to navigate and understand.</w:t>
      </w:r>
      <w:r w:rsidRPr="005F5709">
        <w:rPr>
          <w:rStyle w:val="FootnoteReference"/>
          <w:rFonts w:asciiTheme="minorHAnsi" w:eastAsia="Times New Roman" w:hAnsiTheme="minorHAnsi" w:cstheme="minorHAnsi"/>
        </w:rPr>
        <w:footnoteReference w:id="24"/>
      </w:r>
      <w:r w:rsidRPr="005F5709">
        <w:rPr>
          <w:rFonts w:asciiTheme="minorHAnsi" w:eastAsia="Times New Roman" w:hAnsiTheme="minorHAnsi" w:cstheme="minorHAnsi"/>
        </w:rPr>
        <w:t xml:space="preserve"> This was supported by the Productivity Commission in 2020, which found the incentives system hard to use, especially </w:t>
      </w:r>
      <w:r w:rsidRPr="005F5709">
        <w:rPr>
          <w:rFonts w:asciiTheme="minorHAnsi" w:eastAsia="Times New Roman" w:hAnsiTheme="minorHAnsi" w:cstheme="minorHAnsi"/>
        </w:rPr>
        <w:lastRenderedPageBreak/>
        <w:t>for small and medium sized businesses that may have less capacity to navigate different programs. One employer specifically referenced having to digest and understand the AAIP Program Guidelines as a large administrative burden with the potential to be an obstacle to hiring apprentices in itself.</w:t>
      </w:r>
      <w:r w:rsidRPr="005F5709">
        <w:rPr>
          <w:rStyle w:val="FootnoteReference"/>
          <w:rFonts w:asciiTheme="minorHAnsi" w:eastAsia="Times New Roman" w:hAnsiTheme="minorHAnsi" w:cstheme="minorHAnsi"/>
        </w:rPr>
        <w:footnoteReference w:id="25"/>
      </w:r>
    </w:p>
    <w:p w14:paraId="08C07B45" w14:textId="1F61B4FC" w:rsidR="00BD1D88" w:rsidRPr="005F5709" w:rsidRDefault="00BD1D88" w:rsidP="004D151D">
      <w:pPr>
        <w:pStyle w:val="Heading3"/>
      </w:pPr>
      <w:bookmarkStart w:id="31" w:name="_Toc88575276"/>
      <w:bookmarkStart w:id="32" w:name="_Toc113022177"/>
      <w:r w:rsidRPr="005F5709">
        <w:t>Barriers for the apprentice</w:t>
      </w:r>
      <w:bookmarkEnd w:id="31"/>
      <w:bookmarkEnd w:id="32"/>
    </w:p>
    <w:p w14:paraId="5B45BAAA" w14:textId="77777777" w:rsidR="00BD1D88" w:rsidRPr="005F5709" w:rsidRDefault="00BD1D88" w:rsidP="00946DBC">
      <w:pPr>
        <w:rPr>
          <w:rFonts w:asciiTheme="minorHAnsi" w:hAnsiTheme="minorHAnsi" w:cstheme="minorHAnsi"/>
        </w:rPr>
      </w:pPr>
      <w:r w:rsidRPr="005F5709">
        <w:rPr>
          <w:rFonts w:asciiTheme="minorHAnsi" w:hAnsiTheme="minorHAnsi" w:cstheme="minorHAnsi"/>
        </w:rPr>
        <w:t>Low wages and the corresponding concern of not being able to meet ongoing costs of living are barriers to taking up an apprenticeship.</w:t>
      </w:r>
      <w:r w:rsidRPr="005F5709">
        <w:rPr>
          <w:rStyle w:val="FootnoteReference"/>
          <w:rFonts w:asciiTheme="minorHAnsi" w:hAnsiTheme="minorHAnsi" w:cstheme="minorHAnsi"/>
        </w:rPr>
        <w:footnoteReference w:id="26"/>
      </w:r>
      <w:r w:rsidRPr="005F5709">
        <w:rPr>
          <w:rFonts w:asciiTheme="minorHAnsi" w:hAnsiTheme="minorHAnsi" w:cstheme="minorHAnsi"/>
        </w:rPr>
        <w:t xml:space="preserve"> This is a particular constraint for longer qualifications of up to four years. This is supported by recent research by Wallis that found many apprentices struggle to balance work, study, a social life and household commitments, with 35 per cent of the apprentices surveyed finding the low level of pay challenging, especially during the first year. Apprentices who found low wages extremely challenging reported seeking food from charities, selling vehicles and relying on partner support to make ends meet.</w:t>
      </w:r>
      <w:r w:rsidRPr="005F5709">
        <w:rPr>
          <w:rStyle w:val="FootnoteReference"/>
          <w:rFonts w:asciiTheme="minorHAnsi" w:hAnsiTheme="minorHAnsi" w:cstheme="minorHAnsi"/>
        </w:rPr>
        <w:footnoteReference w:id="27"/>
      </w:r>
      <w:r w:rsidRPr="005F5709">
        <w:rPr>
          <w:rStyle w:val="normaltextrun"/>
          <w:rFonts w:asciiTheme="minorHAnsi" w:eastAsia="Arial" w:hAnsiTheme="minorHAnsi" w:cstheme="minorHAnsi"/>
          <w:color w:val="44546A" w:themeColor="text2"/>
        </w:rPr>
        <w:t xml:space="preserve"> </w:t>
      </w:r>
    </w:p>
    <w:p w14:paraId="1D16F93B" w14:textId="77777777" w:rsidR="00BD1D88" w:rsidRPr="005F5709" w:rsidRDefault="00BD1D88" w:rsidP="00946DBC">
      <w:pPr>
        <w:rPr>
          <w:rFonts w:asciiTheme="minorHAnsi" w:hAnsiTheme="minorHAnsi" w:cstheme="minorHAnsi"/>
        </w:rPr>
      </w:pPr>
      <w:r w:rsidRPr="005F5709">
        <w:rPr>
          <w:rFonts w:asciiTheme="minorHAnsi" w:hAnsiTheme="minorHAnsi" w:cstheme="minorHAnsi"/>
        </w:rPr>
        <w:t xml:space="preserve">The National Minimum Wage ($722.60 per week) is provided by the </w:t>
      </w:r>
      <w:r w:rsidRPr="005F5709">
        <w:rPr>
          <w:rFonts w:asciiTheme="minorHAnsi" w:hAnsiTheme="minorHAnsi" w:cstheme="minorHAnsi"/>
          <w:i/>
          <w:iCs/>
        </w:rPr>
        <w:t>Fair Work Act 2009</w:t>
      </w:r>
      <w:r w:rsidRPr="005F5709">
        <w:rPr>
          <w:rFonts w:asciiTheme="minorHAnsi" w:hAnsiTheme="minorHAnsi" w:cstheme="minorHAnsi"/>
        </w:rPr>
        <w:t xml:space="preserve"> for employees not covered by an award or agreement. In 2013, the Fair Work Commission decided the salary of a first-year apprentice would be 55 per cent of a fully qualified person if they had completed year 12 (50 per cent otherwise). Annual wage data for apprentices indicates wages in the first two years of training are significantly below the average expenditure on basic goods and services by low economic resource households. For example, an apprentice hairdresser would be covered by the Hair and Beauty Industry Award, with a minimum full-time rate of $438 a week (61 per cent of the National Minimum Wage). A construction worker would be covered under the Building and Construction General On-site Award wage, with a minimum full-time rate of $537.91 a week (74 per cent of the National Minimum Wage). The Australian Bureau of Statistics (ABS) found that in 2015</w:t>
      </w:r>
      <w:r w:rsidRPr="005F5709">
        <w:rPr>
          <w:rFonts w:asciiTheme="minorHAnsi" w:hAnsiTheme="minorHAnsi" w:cstheme="minorHAnsi"/>
        </w:rPr>
        <w:noBreakHyphen/>
        <w:t>16 average spending by households on basic goods and services was $846 per week.</w:t>
      </w:r>
      <w:r w:rsidRPr="005F5709">
        <w:rPr>
          <w:rStyle w:val="FootnoteReference"/>
          <w:rFonts w:asciiTheme="minorHAnsi" w:hAnsiTheme="minorHAnsi" w:cstheme="minorHAnsi"/>
        </w:rPr>
        <w:footnoteReference w:id="28"/>
      </w:r>
      <w:r w:rsidRPr="005F5709">
        <w:rPr>
          <w:rFonts w:asciiTheme="minorHAnsi" w:hAnsiTheme="minorHAnsi" w:cstheme="minorHAnsi"/>
        </w:rPr>
        <w:t xml:space="preserve"> The financial barriers to undertaking an apprenticeship are even greater for young workers and those living in regional and rural communities. Ongoing economic uncertainty resulting over the past few years has impacted the cost of living in Australia and continues to present additional financial strain on apprentices. </w:t>
      </w:r>
    </w:p>
    <w:p w14:paraId="15640E60" w14:textId="77777777" w:rsidR="00BD1D88" w:rsidRPr="005F5709" w:rsidRDefault="00BD1D88" w:rsidP="00946DBC">
      <w:pPr>
        <w:rPr>
          <w:rFonts w:asciiTheme="minorHAnsi" w:hAnsiTheme="minorHAnsi" w:cstheme="minorHAnsi"/>
        </w:rPr>
      </w:pPr>
      <w:r w:rsidRPr="005F5709">
        <w:rPr>
          <w:rFonts w:asciiTheme="minorHAnsi" w:hAnsiTheme="minorHAnsi" w:cstheme="minorHAnsi"/>
        </w:rPr>
        <w:t xml:space="preserve">The impact of low wages on apprenticeship commencements and completions is compounded when </w:t>
      </w:r>
      <w:r w:rsidRPr="005F5709">
        <w:rPr>
          <w:rFonts w:asciiTheme="minorHAnsi" w:eastAsia="Times New Roman" w:hAnsiTheme="minorHAnsi" w:cstheme="minorHAnsi"/>
        </w:rPr>
        <w:t>the market presents higher paying alternatives.</w:t>
      </w:r>
      <w:r w:rsidRPr="005F5709">
        <w:rPr>
          <w:rFonts w:asciiTheme="minorHAnsi" w:hAnsiTheme="minorHAnsi" w:cstheme="minorHAnsi"/>
        </w:rPr>
        <w:t xml:space="preserve"> For example, an apprentice mechanic earns a lower average wage than a casual hospitality worker or labourer. Likewise, mature aged workers looking to make a career change are deterred by low apprentice wages for up to four years and the lack of flexible learning options. Research commissioned by the NSW Board of Vocational Education and Training found that in periods </w:t>
      </w:r>
      <w:r w:rsidRPr="005F5709">
        <w:rPr>
          <w:rFonts w:asciiTheme="minorHAnsi" w:hAnsiTheme="minorHAnsi" w:cstheme="minorHAnsi"/>
        </w:rPr>
        <w:lastRenderedPageBreak/>
        <w:t>of sharp trade skill shortages, some apprentices were tempted to quit their training for higher wages working as non-qualified tradespersons in booming industries.</w:t>
      </w:r>
      <w:r w:rsidRPr="005F5709">
        <w:rPr>
          <w:rStyle w:val="FootnoteReference"/>
          <w:rFonts w:asciiTheme="minorHAnsi" w:hAnsiTheme="minorHAnsi" w:cstheme="minorHAnsi"/>
        </w:rPr>
        <w:footnoteReference w:id="29"/>
      </w:r>
      <w:r w:rsidRPr="005F5709">
        <w:rPr>
          <w:rFonts w:asciiTheme="minorHAnsi" w:hAnsiTheme="minorHAnsi" w:cstheme="minorHAnsi"/>
        </w:rPr>
        <w:t xml:space="preserve"> </w:t>
      </w:r>
    </w:p>
    <w:p w14:paraId="3A88265B" w14:textId="77777777" w:rsidR="00BD1D88" w:rsidRPr="005F5709" w:rsidRDefault="00BD1D88" w:rsidP="00946DBC">
      <w:pPr>
        <w:rPr>
          <w:rFonts w:asciiTheme="minorHAnsi" w:hAnsiTheme="minorHAnsi" w:cstheme="minorHAnsi"/>
        </w:rPr>
      </w:pPr>
      <w:r w:rsidRPr="005F5709">
        <w:rPr>
          <w:rFonts w:asciiTheme="minorHAnsi" w:hAnsiTheme="minorHAnsi" w:cstheme="minorHAnsi"/>
        </w:rPr>
        <w:t>Financial barriers lower commencement and completion rates by making apprenticeships an unappealing financial decision. This may both deter individuals from considering an apprenticeship and lower the completion rates of those who do begin. These financial barriers are strongest in the early years of an apprenticeship, where wages are at their lowest and apprentices can choose better paying alternatives such as retail or hospitality work.</w:t>
      </w:r>
      <w:r w:rsidRPr="005F5709">
        <w:rPr>
          <w:rStyle w:val="FootnoteReference"/>
          <w:rFonts w:asciiTheme="minorHAnsi" w:hAnsiTheme="minorHAnsi" w:cstheme="minorHAnsi"/>
        </w:rPr>
        <w:footnoteReference w:id="30"/>
      </w:r>
      <w:r w:rsidRPr="005F5709">
        <w:rPr>
          <w:rFonts w:asciiTheme="minorHAnsi" w:hAnsiTheme="minorHAnsi" w:cstheme="minorHAnsi"/>
        </w:rPr>
        <w:t xml:space="preserve"> This is also supported by findings from </w:t>
      </w:r>
      <w:r w:rsidRPr="005F5709">
        <w:rPr>
          <w:rStyle w:val="CommentReference"/>
          <w:rFonts w:asciiTheme="minorHAnsi" w:hAnsiTheme="minorHAnsi" w:cstheme="minorHAnsi"/>
          <w:sz w:val="22"/>
        </w:rPr>
        <w:t>a 2</w:t>
      </w:r>
      <w:r w:rsidRPr="005F5709">
        <w:rPr>
          <w:rFonts w:asciiTheme="minorHAnsi" w:hAnsiTheme="minorHAnsi" w:cstheme="minorHAnsi"/>
        </w:rPr>
        <w:t>020 Review of Senior Secondary Pathways, that found young people to be increasingly moving away from vocational education pathways. While apprenticeships have declined significantly over the past five years, university admissions have increased, and VET is persistently seen as a less prestigious pathway than university.</w:t>
      </w:r>
      <w:r w:rsidRPr="005F5709">
        <w:rPr>
          <w:rStyle w:val="FootnoteReference"/>
          <w:rFonts w:asciiTheme="minorHAnsi" w:hAnsiTheme="minorHAnsi" w:cstheme="minorHAnsi"/>
        </w:rPr>
        <w:footnoteReference w:id="31"/>
      </w:r>
    </w:p>
    <w:p w14:paraId="143454B7" w14:textId="77777777" w:rsidR="00BD1D88" w:rsidRPr="005F5709" w:rsidRDefault="00BD1D88" w:rsidP="00946DBC">
      <w:pPr>
        <w:rPr>
          <w:rFonts w:asciiTheme="minorHAnsi" w:hAnsiTheme="minorHAnsi" w:cstheme="minorHAnsi"/>
        </w:rPr>
      </w:pPr>
      <w:r w:rsidRPr="005F5709">
        <w:rPr>
          <w:rFonts w:asciiTheme="minorHAnsi" w:hAnsiTheme="minorHAnsi" w:cstheme="minorHAnsi"/>
        </w:rPr>
        <w:t>For those who do begin an Australian Apprenticeship, many do not complete. Only 56.1 per cent of apprentices commencing in 2016 completed their apprenticeship.</w:t>
      </w:r>
      <w:r w:rsidRPr="005F5709">
        <w:rPr>
          <w:rStyle w:val="FootnoteReference"/>
          <w:rFonts w:asciiTheme="minorHAnsi" w:hAnsiTheme="minorHAnsi" w:cstheme="minorHAnsi"/>
        </w:rPr>
        <w:footnoteReference w:id="32"/>
      </w:r>
      <w:r w:rsidRPr="005F5709">
        <w:rPr>
          <w:rFonts w:asciiTheme="minorHAnsi" w:hAnsiTheme="minorHAnsi" w:cstheme="minorHAnsi"/>
        </w:rPr>
        <w:t xml:space="preserve"> While the main reasons cited for not completing an apprenticeship were leaving the job or changing career, being offered a better job and not getting on with a boss or colleagues were also prominent reasons. </w:t>
      </w:r>
      <w:r w:rsidRPr="005F5709">
        <w:rPr>
          <w:rStyle w:val="FootnoteReference"/>
          <w:rFonts w:asciiTheme="minorHAnsi" w:hAnsiTheme="minorHAnsi" w:cstheme="minorHAnsi"/>
        </w:rPr>
        <w:footnoteReference w:id="33"/>
      </w:r>
      <w:r w:rsidRPr="005F5709">
        <w:rPr>
          <w:rFonts w:asciiTheme="minorHAnsi" w:hAnsiTheme="minorHAnsi" w:cstheme="minorHAnsi"/>
        </w:rPr>
        <w:t xml:space="preserve"> Figure 3 lists the main reasons for not completing an apprenticeship across all apprenticeships.</w:t>
      </w:r>
    </w:p>
    <w:p w14:paraId="36A2BA49" w14:textId="77777777" w:rsidR="00BD1D88" w:rsidRPr="005F5709" w:rsidRDefault="00BD1D88" w:rsidP="004D151D">
      <w:pPr>
        <w:rPr>
          <w:rFonts w:asciiTheme="minorHAnsi" w:hAnsiTheme="minorHAnsi" w:cstheme="minorHAnsi"/>
          <w:noProof/>
        </w:rPr>
      </w:pPr>
      <w:r w:rsidRPr="005F5709">
        <w:rPr>
          <w:rFonts w:asciiTheme="minorHAnsi" w:hAnsiTheme="minorHAnsi" w:cstheme="minorHAnsi"/>
          <w:b/>
        </w:rPr>
        <w:t>Figure 3: Top five reasons for not completing an apprenticeship</w:t>
      </w:r>
      <w:r w:rsidRPr="005F5709">
        <w:rPr>
          <w:rStyle w:val="FootnoteReference"/>
          <w:rFonts w:asciiTheme="minorHAnsi" w:hAnsiTheme="minorHAnsi" w:cstheme="minorHAnsi"/>
          <w:b/>
        </w:rPr>
        <w:footnoteReference w:id="34"/>
      </w:r>
    </w:p>
    <w:p w14:paraId="1BD15924" w14:textId="77777777" w:rsidR="00BD1D88" w:rsidRPr="005F5709" w:rsidRDefault="00BD1D88" w:rsidP="004D151D">
      <w:pPr>
        <w:rPr>
          <w:rFonts w:asciiTheme="minorHAnsi" w:hAnsiTheme="minorHAnsi" w:cstheme="minorHAnsi"/>
        </w:rPr>
      </w:pPr>
      <w:r w:rsidRPr="005F5709">
        <w:rPr>
          <w:rFonts w:asciiTheme="minorHAnsi" w:hAnsiTheme="minorHAnsi" w:cstheme="minorHAnsi"/>
          <w:noProof/>
        </w:rPr>
        <w:drawing>
          <wp:inline distT="0" distB="0" distL="0" distR="0" wp14:anchorId="33AD1892" wp14:editId="129469BD">
            <wp:extent cx="5363635" cy="2222205"/>
            <wp:effectExtent l="0" t="0" r="8890" b="6985"/>
            <wp:docPr id="10" name="Picture 10" descr="Graphic showing the top five reasons for not completing an apprentice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 showing the top five reasons for not completing an apprenticeship"/>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5363635" cy="2222205"/>
                    </a:xfrm>
                    <a:prstGeom prst="rect">
                      <a:avLst/>
                    </a:prstGeom>
                    <a:noFill/>
                    <a:ln>
                      <a:noFill/>
                    </a:ln>
                    <a:extLst>
                      <a:ext uri="{53640926-AAD7-44D8-BBD7-CCE9431645EC}">
                        <a14:shadowObscured xmlns:a14="http://schemas.microsoft.com/office/drawing/2010/main"/>
                      </a:ext>
                    </a:extLst>
                  </pic:spPr>
                </pic:pic>
              </a:graphicData>
            </a:graphic>
          </wp:inline>
        </w:drawing>
      </w:r>
    </w:p>
    <w:p w14:paraId="49556CA8" w14:textId="77777777" w:rsidR="00BD1D88" w:rsidRPr="005F5709" w:rsidRDefault="00BD1D88" w:rsidP="00B650C7">
      <w:pPr>
        <w:pStyle w:val="Heading4"/>
        <w:spacing w:before="0"/>
        <w:rPr>
          <w:rFonts w:asciiTheme="minorHAnsi" w:hAnsiTheme="minorHAnsi" w:cstheme="minorHAnsi"/>
        </w:rPr>
      </w:pPr>
      <w:r w:rsidRPr="005F5709">
        <w:rPr>
          <w:rFonts w:asciiTheme="minorHAnsi" w:hAnsiTheme="minorHAnsi" w:cstheme="minorHAnsi"/>
        </w:rPr>
        <w:t>Barriers for women</w:t>
      </w:r>
    </w:p>
    <w:p w14:paraId="6D3633CF" w14:textId="77777777" w:rsidR="00BD1D88" w:rsidRPr="005F5709" w:rsidRDefault="00BD1D88" w:rsidP="00B650C7">
      <w:pPr>
        <w:spacing w:after="0"/>
        <w:textAlignment w:val="baseline"/>
        <w:rPr>
          <w:rFonts w:asciiTheme="minorHAnsi" w:eastAsia="Times New Roman" w:hAnsiTheme="minorHAnsi" w:cstheme="minorHAnsi"/>
          <w:lang w:eastAsia="en-AU"/>
        </w:rPr>
      </w:pPr>
      <w:r w:rsidRPr="005F5709">
        <w:rPr>
          <w:rFonts w:asciiTheme="minorHAnsi" w:eastAsia="Times New Roman" w:hAnsiTheme="minorHAnsi" w:cstheme="minorHAnsi"/>
          <w:lang w:eastAsia="en-AU"/>
        </w:rPr>
        <w:t xml:space="preserve">The number of women commencing apprenticeships has been steadily increasing over time, particularly since the introduction of the BAC. However, women face a number of barriers to </w:t>
      </w:r>
      <w:r w:rsidRPr="005F5709">
        <w:rPr>
          <w:rFonts w:asciiTheme="minorHAnsi" w:eastAsia="Times New Roman" w:hAnsiTheme="minorHAnsi" w:cstheme="minorHAnsi"/>
          <w:lang w:eastAsia="en-AU"/>
        </w:rPr>
        <w:lastRenderedPageBreak/>
        <w:t>undertaking and successfully completing an apprenticeship, particularly in trade occupations in which there has been traditionally low take up by women compared to men (women in non-traditional trades account for seven per cent of total trade apprentices).</w:t>
      </w:r>
      <w:r w:rsidRPr="005F5709">
        <w:rPr>
          <w:rStyle w:val="FootnoteReference"/>
          <w:rFonts w:asciiTheme="minorHAnsi" w:eastAsia="Times New Roman" w:hAnsiTheme="minorHAnsi" w:cstheme="minorHAnsi"/>
          <w:lang w:eastAsia="en-AU"/>
        </w:rPr>
        <w:footnoteReference w:id="35"/>
      </w:r>
      <w:r w:rsidRPr="005F5709">
        <w:rPr>
          <w:rFonts w:asciiTheme="minorHAnsi" w:eastAsia="Times New Roman" w:hAnsiTheme="minorHAnsi" w:cstheme="minorHAnsi"/>
          <w:lang w:eastAsia="en-AU"/>
        </w:rPr>
        <w:t xml:space="preserve"> Workplace culture and bullying, as well as employer misconceptions about women’s capabilities to perform in trades are deterrents for women considering a trade occupation. Further, women may not have considered a non-traditional trade (most trade occupations other than hairdressing) as an attractive career. Increasing visibility of these career options and providing opportunities to experience non-traditional trades, such as those in the construction industry,</w:t>
      </w:r>
      <w:r w:rsidRPr="005F5709" w:rsidDel="00634DC9">
        <w:rPr>
          <w:rFonts w:asciiTheme="minorHAnsi" w:eastAsia="Times New Roman" w:hAnsiTheme="minorHAnsi" w:cstheme="minorHAnsi"/>
          <w:lang w:eastAsia="en-AU"/>
        </w:rPr>
        <w:t xml:space="preserve"> </w:t>
      </w:r>
      <w:r w:rsidRPr="005F5709">
        <w:rPr>
          <w:rFonts w:asciiTheme="minorHAnsi" w:eastAsia="Times New Roman" w:hAnsiTheme="minorHAnsi" w:cstheme="minorHAnsi"/>
          <w:lang w:eastAsia="en-AU"/>
        </w:rPr>
        <w:t xml:space="preserve">first-hand may inspire women to consider pursuing careers in these occupations. </w:t>
      </w:r>
    </w:p>
    <w:p w14:paraId="536E70AD" w14:textId="77777777" w:rsidR="00BD1D88" w:rsidRPr="005F5709" w:rsidRDefault="00BD1D88" w:rsidP="002C6B10">
      <w:pPr>
        <w:spacing w:before="120" w:after="0"/>
        <w:textAlignment w:val="baseline"/>
        <w:rPr>
          <w:rFonts w:asciiTheme="minorHAnsi" w:eastAsia="Times New Roman" w:hAnsiTheme="minorHAnsi" w:cstheme="minorHAnsi"/>
          <w:lang w:eastAsia="en-AU"/>
        </w:rPr>
      </w:pPr>
      <w:r w:rsidRPr="005F5709">
        <w:rPr>
          <w:rFonts w:asciiTheme="minorHAnsi" w:eastAsia="Times New Roman" w:hAnsiTheme="minorHAnsi" w:cstheme="minorHAnsi"/>
          <w:lang w:eastAsia="en-AU"/>
        </w:rPr>
        <w:t>Increased wrap-around supports including mentoring and opportunities to trial a trade before committing to an apprenticeship may be successful in encouraging more women to consider an apprenticeship, particularly in a non-traditional trade occupation. Options such as guaranteeing an In-Training Support place to provide targeted services such as mentoring, counselling and mediation or increasing visibility of apprenticeship pathways to school</w:t>
      </w:r>
      <w:r w:rsidRPr="005F5709">
        <w:rPr>
          <w:rFonts w:asciiTheme="minorHAnsi" w:eastAsia="Times New Roman" w:hAnsiTheme="minorHAnsi" w:cstheme="minorHAnsi"/>
          <w:lang w:eastAsia="en-AU"/>
        </w:rPr>
        <w:noBreakHyphen/>
        <w:t xml:space="preserve">aged girls by providing opportunities to trial a trade may also lead to increased commencements. </w:t>
      </w:r>
    </w:p>
    <w:p w14:paraId="4EE58D04" w14:textId="77777777" w:rsidR="00BD1D88" w:rsidRPr="005F5709" w:rsidRDefault="00BD1D88" w:rsidP="00872CD1">
      <w:pPr>
        <w:pStyle w:val="Heading4"/>
        <w:rPr>
          <w:rFonts w:asciiTheme="minorHAnsi" w:hAnsiTheme="minorHAnsi" w:cstheme="minorHAnsi"/>
        </w:rPr>
      </w:pPr>
      <w:r w:rsidRPr="005F5709">
        <w:rPr>
          <w:rFonts w:asciiTheme="minorHAnsi" w:hAnsiTheme="minorHAnsi" w:cstheme="minorHAnsi"/>
        </w:rPr>
        <w:t>Barriers for youth</w:t>
      </w:r>
    </w:p>
    <w:p w14:paraId="575FA912"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Data from the Australian Institute of Health and Welfare’s Australia’s youth report released in June 2021, shows that compared to older age groups, young people experienced higher rates of psychological distress, job loss and educational disruption due to the COVID-19 pandemic.</w:t>
      </w:r>
      <w:r w:rsidRPr="005F5709">
        <w:rPr>
          <w:rStyle w:val="FootnoteReference"/>
          <w:rFonts w:asciiTheme="minorHAnsi" w:hAnsiTheme="minorHAnsi" w:cstheme="minorHAnsi"/>
        </w:rPr>
        <w:footnoteReference w:id="36"/>
      </w:r>
      <w:r w:rsidRPr="005F5709">
        <w:rPr>
          <w:rFonts w:asciiTheme="minorHAnsi" w:hAnsiTheme="minorHAnsi" w:cstheme="minorHAnsi"/>
        </w:rPr>
        <w:t xml:space="preserve"> While the economy has begun to recover from the economic impacts of COVID-19, youth unemployment remains high. </w:t>
      </w:r>
    </w:p>
    <w:p w14:paraId="0BE5F07C"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Young apprentices may withdraw from their apprenticeship before completion for several reasons. These include poor working conditions, mental health issues, inadequate training, high travel costs and low pay. Wallis research, commissioned by the Department, shows that apprentices who received sufficient support felt more likely to complete their apprenticeship. Apprentices also identified a need for greater support for mental health and problems with their employers. More than a quarter of apprentices felt they would not receive sufficient support for mental wellbeing should they need it. Many apprentices also referred to problems relating to their boss.</w:t>
      </w:r>
    </w:p>
    <w:p w14:paraId="0F476977"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NSC has found that youth are particularly vulnerable during large economic and labour market shocks due to having fewer skills and less experience than older counterparts. While the economy is recovering from the economic impacts of COVID-19, youth unemployment remains high. The latest Australian Bureau of Statistics data from February 2022 shows the youth unemployment rate is more than double that of the overall population, at 9.3 per cent compared to 4.0 per cent.</w:t>
      </w:r>
      <w:r w:rsidRPr="005F5709">
        <w:rPr>
          <w:rStyle w:val="FootnoteReference"/>
          <w:rFonts w:asciiTheme="minorHAnsi" w:eastAsiaTheme="majorEastAsia" w:hAnsiTheme="minorHAnsi" w:cstheme="minorHAnsi"/>
          <w:color w:val="000000"/>
        </w:rPr>
        <w:footnoteReference w:id="37"/>
      </w:r>
      <w:r w:rsidRPr="005F5709">
        <w:rPr>
          <w:rFonts w:asciiTheme="minorHAnsi" w:hAnsiTheme="minorHAnsi" w:cstheme="minorHAnsi"/>
        </w:rPr>
        <w:t xml:space="preserve"> </w:t>
      </w:r>
    </w:p>
    <w:p w14:paraId="41A5B859"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lastRenderedPageBreak/>
        <w:t xml:space="preserve">Ensuring reforms to the apprenticeship system work to encourage young Australians to consider an apprenticeship as a possible career pathway is a priority. Increased apprenticeship commencements and completions for this cohort will contribute to addressing skills shortages in Australia while also supporting young Australians into successful careers. </w:t>
      </w:r>
    </w:p>
    <w:p w14:paraId="0D9DF811" w14:textId="23D5907D" w:rsidR="00BD1D88" w:rsidRPr="005F5709" w:rsidRDefault="00BD1D88" w:rsidP="003D2A42">
      <w:pPr>
        <w:pStyle w:val="Heading2"/>
        <w:rPr>
          <w:color w:val="002060"/>
        </w:rPr>
      </w:pPr>
      <w:bookmarkStart w:id="33" w:name="_Toc88575277"/>
      <w:bookmarkStart w:id="34" w:name="_Toc113022178"/>
      <w:r w:rsidRPr="005F5709">
        <w:rPr>
          <w:color w:val="002060"/>
        </w:rPr>
        <w:t>2.3 The objective of Australian Government incentives</w:t>
      </w:r>
      <w:bookmarkEnd w:id="33"/>
      <w:bookmarkEnd w:id="34"/>
    </w:p>
    <w:p w14:paraId="00424D77"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Australian Government’s objective is to contribute to the development of a highly skilled and relevant Australian workforce that supports economic sustainability and competitiveness. Ensuring the apprenticeship incentives system is fit for purpose will contribute to achieving this goal. Reforms to the apprenticeship incentives system seek to address this objective by:</w:t>
      </w:r>
    </w:p>
    <w:p w14:paraId="0AA284EF" w14:textId="77777777" w:rsidR="00BD1D88" w:rsidRPr="005F5709" w:rsidRDefault="00BD1D88" w:rsidP="00977294">
      <w:pPr>
        <w:pStyle w:val="ListParagraph"/>
        <w:numPr>
          <w:ilvl w:val="0"/>
          <w:numId w:val="12"/>
        </w:numPr>
        <w:spacing w:after="200" w:line="276" w:lineRule="auto"/>
        <w:rPr>
          <w:rFonts w:asciiTheme="minorHAnsi" w:hAnsiTheme="minorHAnsi" w:cstheme="minorHAnsi"/>
        </w:rPr>
      </w:pPr>
      <w:r w:rsidRPr="005F5709">
        <w:rPr>
          <w:rFonts w:asciiTheme="minorHAnsi" w:hAnsiTheme="minorHAnsi" w:cstheme="minorHAnsi"/>
        </w:rPr>
        <w:t>Creating genuine opportunities for skills-based training and development of employees; and</w:t>
      </w:r>
    </w:p>
    <w:p w14:paraId="17D268DE" w14:textId="77777777" w:rsidR="00BD1D88" w:rsidRPr="005F5709" w:rsidRDefault="00BD1D88" w:rsidP="00977294">
      <w:pPr>
        <w:pStyle w:val="ListParagraph"/>
        <w:numPr>
          <w:ilvl w:val="0"/>
          <w:numId w:val="12"/>
        </w:numPr>
        <w:spacing w:after="200" w:line="276" w:lineRule="auto"/>
        <w:rPr>
          <w:rFonts w:asciiTheme="minorHAnsi" w:hAnsiTheme="minorHAnsi" w:cstheme="minorHAnsi"/>
        </w:rPr>
      </w:pPr>
      <w:r w:rsidRPr="005F5709">
        <w:rPr>
          <w:rFonts w:asciiTheme="minorHAnsi" w:hAnsiTheme="minorHAnsi" w:cstheme="minorHAnsi"/>
        </w:rPr>
        <w:t>Encouraging people to enter skills-based training in priority occupations through an Australian Apprenticeship.</w:t>
      </w:r>
      <w:r w:rsidRPr="005F5709">
        <w:rPr>
          <w:rStyle w:val="FootnoteReference"/>
          <w:rFonts w:asciiTheme="minorHAnsi" w:hAnsiTheme="minorHAnsi" w:cstheme="minorHAnsi"/>
        </w:rPr>
        <w:footnoteReference w:id="38"/>
      </w:r>
    </w:p>
    <w:p w14:paraId="7E0DDCA9" w14:textId="77777777" w:rsidR="00BD1D88" w:rsidRPr="005F5709" w:rsidRDefault="00BD1D88">
      <w:pPr>
        <w:rPr>
          <w:rFonts w:asciiTheme="minorHAnsi" w:hAnsiTheme="minorHAnsi" w:cstheme="minorHAnsi"/>
        </w:rPr>
      </w:pPr>
      <w:r w:rsidRPr="005F5709">
        <w:rPr>
          <w:rFonts w:asciiTheme="minorHAnsi" w:hAnsiTheme="minorHAnsi" w:cstheme="minorHAnsi"/>
        </w:rPr>
        <w:t xml:space="preserve">Employer incentives and financial support provided to apprentices have long been used as mechanisms to encourage greater participation in Australian Apprenticeships. The economic rationale for existing incentives has been to encourage employers to increase the available training places by helping to offset wages and other costs. Targeting these supports to the skills Australia needs will contribute to addressing national skills shortages as well as providing career opportunities for individuals.  </w:t>
      </w:r>
    </w:p>
    <w:p w14:paraId="74D7300C" w14:textId="4376485E" w:rsidR="00BD1D88" w:rsidRPr="005F5709" w:rsidRDefault="00BD1D88" w:rsidP="006A168D">
      <w:pPr>
        <w:pStyle w:val="Heading2"/>
        <w:rPr>
          <w:color w:val="002060"/>
        </w:rPr>
      </w:pPr>
      <w:bookmarkStart w:id="35" w:name="_Toc113022179"/>
      <w:r w:rsidRPr="005F5709">
        <w:rPr>
          <w:color w:val="002060"/>
        </w:rPr>
        <w:t>2.4 How much should the Australian Government intervene?</w:t>
      </w:r>
      <w:bookmarkEnd w:id="35"/>
      <w:r w:rsidRPr="005F5709">
        <w:rPr>
          <w:color w:val="002060"/>
        </w:rPr>
        <w:t xml:space="preserve"> </w:t>
      </w:r>
    </w:p>
    <w:p w14:paraId="7E5B2D1F" w14:textId="77777777" w:rsidR="00BD1D88" w:rsidRPr="005F5709" w:rsidRDefault="00BD1D88" w:rsidP="009030AB">
      <w:pPr>
        <w:rPr>
          <w:rFonts w:asciiTheme="minorHAnsi" w:hAnsiTheme="minorHAnsi" w:cstheme="minorHAnsi"/>
        </w:rPr>
      </w:pPr>
      <w:r w:rsidRPr="005F5709">
        <w:rPr>
          <w:rFonts w:asciiTheme="minorHAnsi" w:hAnsiTheme="minorHAnsi" w:cstheme="minorHAnsi"/>
        </w:rPr>
        <w:t>There is strong argument for Australian Government intervention in the apprenticeship system, however financial incentives to encourage employers to take on apprentices should be used with caution and should be targeted effectively.</w:t>
      </w:r>
      <w:r w:rsidRPr="005F5709">
        <w:rPr>
          <w:rStyle w:val="FootnoteReference"/>
          <w:rFonts w:asciiTheme="minorHAnsi" w:hAnsiTheme="minorHAnsi" w:cstheme="minorHAnsi"/>
        </w:rPr>
        <w:footnoteReference w:id="39"/>
      </w:r>
      <w:r w:rsidRPr="005F5709">
        <w:rPr>
          <w:rFonts w:asciiTheme="minorHAnsi" w:hAnsiTheme="minorHAnsi" w:cstheme="minorHAnsi"/>
        </w:rPr>
        <w:t xml:space="preserve"> Financial incentives provided by the Australian Government should be high enough to influence employer and apprentice behaviour, however, should also balance the overall benefit to the employer. While taking on an apprentice may incur high costs, including through supervision and training, employers can generally expect to recoup the costs of an apprentice through the skilled labour they provide as well as the prospect of retaining them after the apprenticeship is completed. This productive work, particularly in the later stages of an apprenticeship, typically compensates for employers’ earlier investment into training.</w:t>
      </w:r>
      <w:r w:rsidRPr="005F5709">
        <w:rPr>
          <w:rStyle w:val="FootnoteReference"/>
          <w:rFonts w:asciiTheme="minorHAnsi" w:hAnsiTheme="minorHAnsi" w:cstheme="minorHAnsi"/>
        </w:rPr>
        <w:footnoteReference w:id="40"/>
      </w:r>
      <w:r w:rsidRPr="005F5709">
        <w:rPr>
          <w:rFonts w:asciiTheme="minorHAnsi" w:hAnsiTheme="minorHAnsi" w:cstheme="minorHAnsi"/>
        </w:rPr>
        <w:t xml:space="preserve"> This overall benefit to the employer should be kept front of mind when considering the amount of financial incentives that should be provided by the Australian Government. </w:t>
      </w:r>
    </w:p>
    <w:p w14:paraId="0ADF0CB4" w14:textId="5E4F0F09" w:rsidR="00BD1D88" w:rsidRPr="005F5709" w:rsidRDefault="00BD1D88" w:rsidP="00A229F2">
      <w:pPr>
        <w:pStyle w:val="Heading2"/>
        <w:rPr>
          <w:color w:val="002060"/>
        </w:rPr>
      </w:pPr>
      <w:bookmarkStart w:id="36" w:name="_Toc113022180"/>
      <w:r w:rsidRPr="005F5709">
        <w:rPr>
          <w:color w:val="002060"/>
        </w:rPr>
        <w:lastRenderedPageBreak/>
        <w:t>2.5 The current state of Australian Government incentives</w:t>
      </w:r>
      <w:bookmarkEnd w:id="36"/>
    </w:p>
    <w:p w14:paraId="29F71468"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Prior to the introduction of COVID-19 economic response measures, commencement and completion rates were continuing to decline. The BAC and CAC have demonstrated that the Australian Government can play a strong role in influencing behaviour and promoting apprenticeships as an attractive pathway for both employers and employees. However, the BAC and CAC are temporary emergency response measures introduced in the face of the pandemic. At a total cost of $5.8 billion, they</w:t>
      </w:r>
      <w:r w:rsidRPr="005F5709" w:rsidDel="004843F4">
        <w:rPr>
          <w:rFonts w:asciiTheme="minorHAnsi" w:hAnsiTheme="minorHAnsi" w:cstheme="minorHAnsi"/>
        </w:rPr>
        <w:t xml:space="preserve"> </w:t>
      </w:r>
      <w:r w:rsidRPr="005F5709">
        <w:rPr>
          <w:rFonts w:asciiTheme="minorHAnsi" w:hAnsiTheme="minorHAnsi" w:cstheme="minorHAnsi"/>
        </w:rPr>
        <w:t xml:space="preserve">are not fiscally sustainable in the long-term. Action is required to ensure Australian Government incentives are fit for purpose, fiscally sustainable, continue to reduce barriers and support commencement and completion rates after these temporary measures cease. </w:t>
      </w:r>
    </w:p>
    <w:p w14:paraId="06D6AA68"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As the economy continues to strengthen and move from recovery into expansion, it is important to address near and long-term workforce challenges that can disrupt business operations, trade and mobility. There are five main challenges to overcome to support reform of the AAIP:</w:t>
      </w:r>
    </w:p>
    <w:p w14:paraId="74541C56" w14:textId="77777777" w:rsidR="00BD1D88" w:rsidRPr="005F5709" w:rsidRDefault="00BD1D88" w:rsidP="00977294">
      <w:pPr>
        <w:pStyle w:val="ListParagraph"/>
        <w:numPr>
          <w:ilvl w:val="0"/>
          <w:numId w:val="50"/>
        </w:numPr>
        <w:spacing w:after="200" w:line="276" w:lineRule="auto"/>
        <w:rPr>
          <w:rFonts w:asciiTheme="minorHAnsi" w:hAnsiTheme="minorHAnsi" w:cstheme="minorHAnsi"/>
        </w:rPr>
      </w:pPr>
      <w:r w:rsidRPr="005F5709">
        <w:rPr>
          <w:rFonts w:asciiTheme="minorHAnsi" w:hAnsiTheme="minorHAnsi" w:cstheme="minorHAnsi"/>
        </w:rPr>
        <w:t>Incentives should be targeted to address skill shortages in priority occupations to ensure a steady pipeline of skilled workers and minimise the risk of future workforce shortages;</w:t>
      </w:r>
    </w:p>
    <w:p w14:paraId="59D01729" w14:textId="77777777" w:rsidR="00BD1D88" w:rsidRPr="005F5709" w:rsidRDefault="00BD1D88" w:rsidP="00977294">
      <w:pPr>
        <w:pStyle w:val="ListParagraph"/>
        <w:numPr>
          <w:ilvl w:val="0"/>
          <w:numId w:val="50"/>
        </w:numPr>
        <w:spacing w:after="200" w:line="276" w:lineRule="auto"/>
        <w:rPr>
          <w:rFonts w:asciiTheme="minorHAnsi" w:hAnsiTheme="minorHAnsi" w:cstheme="minorHAnsi"/>
        </w:rPr>
      </w:pPr>
      <w:r w:rsidRPr="005F5709">
        <w:rPr>
          <w:rFonts w:asciiTheme="minorHAnsi" w:hAnsiTheme="minorHAnsi" w:cstheme="minorHAnsi"/>
        </w:rPr>
        <w:t>Costs remain high and are increasing, for both the employer and the apprentice;</w:t>
      </w:r>
    </w:p>
    <w:p w14:paraId="1F156CEB" w14:textId="77777777" w:rsidR="00BD1D88" w:rsidRPr="005F5709" w:rsidRDefault="00BD1D88" w:rsidP="00977294">
      <w:pPr>
        <w:pStyle w:val="ListParagraph"/>
        <w:numPr>
          <w:ilvl w:val="0"/>
          <w:numId w:val="50"/>
        </w:numPr>
        <w:spacing w:after="200" w:line="276" w:lineRule="auto"/>
        <w:rPr>
          <w:rFonts w:asciiTheme="minorHAnsi" w:hAnsiTheme="minorHAnsi" w:cstheme="minorHAnsi"/>
        </w:rPr>
      </w:pPr>
      <w:r w:rsidRPr="005F5709">
        <w:rPr>
          <w:rFonts w:asciiTheme="minorHAnsi" w:hAnsiTheme="minorHAnsi" w:cstheme="minorHAnsi"/>
        </w:rPr>
        <w:t xml:space="preserve">Incentives do not adequately target the decision maker. Recent research shows the apprentice makes most decisions throughout the apprenticeship, yet most incentives target the employer; </w:t>
      </w:r>
    </w:p>
    <w:p w14:paraId="140031DD" w14:textId="77777777" w:rsidR="00BD1D88" w:rsidRPr="005F5709" w:rsidRDefault="00BD1D88" w:rsidP="00977294">
      <w:pPr>
        <w:pStyle w:val="ListParagraph"/>
        <w:numPr>
          <w:ilvl w:val="0"/>
          <w:numId w:val="50"/>
        </w:numPr>
        <w:spacing w:after="200" w:line="276" w:lineRule="auto"/>
        <w:rPr>
          <w:rFonts w:asciiTheme="minorHAnsi" w:hAnsiTheme="minorHAnsi" w:cstheme="minorHAnsi"/>
        </w:rPr>
      </w:pPr>
      <w:r w:rsidRPr="005F5709">
        <w:rPr>
          <w:rFonts w:asciiTheme="minorHAnsi" w:hAnsiTheme="minorHAnsi" w:cstheme="minorHAnsi"/>
        </w:rPr>
        <w:t xml:space="preserve">The complexity of the incentives system is hard for employers and apprentices to navigate and understand; and </w:t>
      </w:r>
    </w:p>
    <w:p w14:paraId="6685B17E" w14:textId="77777777" w:rsidR="00BD1D88" w:rsidRPr="005F5709" w:rsidRDefault="00BD1D88" w:rsidP="00977294">
      <w:pPr>
        <w:pStyle w:val="ListParagraph"/>
        <w:numPr>
          <w:ilvl w:val="0"/>
          <w:numId w:val="50"/>
        </w:numPr>
        <w:spacing w:after="200" w:line="276" w:lineRule="auto"/>
        <w:rPr>
          <w:rFonts w:asciiTheme="minorHAnsi" w:hAnsiTheme="minorHAnsi" w:cstheme="minorHAnsi"/>
        </w:rPr>
      </w:pPr>
      <w:r w:rsidRPr="005F5709">
        <w:rPr>
          <w:rFonts w:asciiTheme="minorHAnsi" w:hAnsiTheme="minorHAnsi" w:cstheme="minorHAnsi"/>
        </w:rPr>
        <w:t>Non-financial support is needed, such as job matching and mentoring, with evidence highlighting the positive impact non-financial support can have on apprenticeship completion rates.</w:t>
      </w:r>
    </w:p>
    <w:p w14:paraId="31F7102E" w14:textId="77777777" w:rsidR="00BD1D88" w:rsidRPr="005F5709" w:rsidRDefault="00BD1D88" w:rsidP="00977294">
      <w:pPr>
        <w:pStyle w:val="Heading3"/>
        <w:numPr>
          <w:ilvl w:val="0"/>
          <w:numId w:val="48"/>
        </w:numPr>
        <w:spacing w:before="120" w:after="120" w:line="276" w:lineRule="auto"/>
      </w:pPr>
      <w:bookmarkStart w:id="37" w:name="_Toc113022181"/>
      <w:bookmarkStart w:id="38" w:name="_Toc88575279"/>
      <w:r w:rsidRPr="005F5709">
        <w:t xml:space="preserve">Incentives should be targeted to address skill </w:t>
      </w:r>
      <w:proofErr w:type="gramStart"/>
      <w:r w:rsidRPr="005F5709">
        <w:t>shortages</w:t>
      </w:r>
      <w:bookmarkEnd w:id="37"/>
      <w:proofErr w:type="gramEnd"/>
    </w:p>
    <w:p w14:paraId="6E3493A5"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There is significant capacity in the domestic Australian labour market for people to upskill. As of October 2021, 707,000 people are unemployed (similar to pre-COVID-19 numbers) and a further 1.3 million people are underemployed. There are also barriers in the market which can prevent jobseekers finding jobs, including skills and geographical mismatches. </w:t>
      </w:r>
    </w:p>
    <w:p w14:paraId="72110019"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NSC highlights longer-term challenges, forecasting that over the next five years employment is projected to grow by around one million jobs with more than nine in 10 new jobs created projected to need a post-school qualification.</w:t>
      </w:r>
      <w:r w:rsidRPr="005F5709">
        <w:rPr>
          <w:rStyle w:val="FootnoteReference"/>
          <w:rFonts w:asciiTheme="minorHAnsi" w:hAnsiTheme="minorHAnsi" w:cstheme="minorHAnsi"/>
        </w:rPr>
        <w:footnoteReference w:id="41"/>
      </w:r>
      <w:r w:rsidRPr="005F5709">
        <w:rPr>
          <w:rFonts w:asciiTheme="minorHAnsi" w:hAnsiTheme="minorHAnsi" w:cstheme="minorHAnsi"/>
        </w:rPr>
        <w:t xml:space="preserve"> With 38 per cent of skills shortages in occupations with a vocational pathway, Australian Government investment in apprenticeship incentives must encourage individuals to take up opportunities in the jobs Australia needs.</w:t>
      </w:r>
    </w:p>
    <w:p w14:paraId="113DB34D"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lastRenderedPageBreak/>
        <w:t>The Australian Apprenticeships Priority List (Priority List) has been developed to better identify areas of skill shortages with a clear apprenticeship pathway, including emerging skill shortages in health care due to COVID-19. Going forward, the Priority List will consolidate and replace the current National Skills Needs List (NSNL), the Priority Occupations list and the AISS payment list. The Priority List will help facilitate access to high quality and relevant training to meet the requirements of the jobs that emerge through the next decade and beyond to support the further growth and prosperity of Australia.</w:t>
      </w:r>
    </w:p>
    <w:p w14:paraId="071439F6"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Priority List comprises 77 Technician and Trade Worker and Community and Personal Service Worker occupations identified as in shortage by the NSC. These occupations represent approximately 60 per cent of apprentices in-training.</w:t>
      </w:r>
      <w:r w:rsidRPr="005F5709">
        <w:rPr>
          <w:rStyle w:val="FootnoteReference"/>
          <w:rFonts w:asciiTheme="minorHAnsi" w:hAnsiTheme="minorHAnsi" w:cstheme="minorHAnsi"/>
        </w:rPr>
        <w:footnoteReference w:id="42"/>
      </w:r>
      <w:r w:rsidRPr="005F5709">
        <w:rPr>
          <w:rFonts w:asciiTheme="minorHAnsi" w:hAnsiTheme="minorHAnsi" w:cstheme="minorHAnsi"/>
        </w:rPr>
        <w:t xml:space="preserve"> The NSC publishes the Skills Priority List (SPL) annually to inform broader sector reforms including training funding, skilled migration and apprenticeship incentives. The SPL provides a current labour market rating and a future demand rating for occupations nationally, with current labour market ratings also available at a state and territory level. According to this list, over 150 occupations face current skills shortages nationally and nearly 40 per cent of technical and trade occupations are listed as being in skills shortage.</w:t>
      </w:r>
    </w:p>
    <w:p w14:paraId="2E00538E"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Priority List is based on the SPL and includes all occupations that meet the following criteria:</w:t>
      </w:r>
    </w:p>
    <w:p w14:paraId="5D924979" w14:textId="77777777" w:rsidR="00BD1D88" w:rsidRPr="005F5709" w:rsidRDefault="00BD1D88" w:rsidP="00977294">
      <w:pPr>
        <w:pStyle w:val="ListParagraph"/>
        <w:numPr>
          <w:ilvl w:val="0"/>
          <w:numId w:val="20"/>
        </w:numPr>
        <w:spacing w:after="200" w:line="276" w:lineRule="auto"/>
        <w:rPr>
          <w:rFonts w:asciiTheme="minorHAnsi" w:hAnsiTheme="minorHAnsi" w:cstheme="minorHAnsi"/>
        </w:rPr>
      </w:pPr>
      <w:r w:rsidRPr="005F5709">
        <w:rPr>
          <w:rFonts w:asciiTheme="minorHAnsi" w:hAnsiTheme="minorHAnsi" w:cstheme="minorHAnsi"/>
        </w:rPr>
        <w:t>Assessed by the NSC as being in shortage; and</w:t>
      </w:r>
    </w:p>
    <w:p w14:paraId="50198D75" w14:textId="77777777" w:rsidR="00BD1D88" w:rsidRPr="005F5709" w:rsidRDefault="00BD1D88" w:rsidP="00977294">
      <w:pPr>
        <w:pStyle w:val="ListParagraph"/>
        <w:numPr>
          <w:ilvl w:val="0"/>
          <w:numId w:val="20"/>
        </w:numPr>
        <w:spacing w:after="200" w:line="276" w:lineRule="auto"/>
        <w:rPr>
          <w:rFonts w:asciiTheme="minorHAnsi" w:hAnsiTheme="minorHAnsi" w:cstheme="minorHAnsi"/>
        </w:rPr>
      </w:pPr>
      <w:r w:rsidRPr="005F5709">
        <w:rPr>
          <w:rFonts w:asciiTheme="minorHAnsi" w:hAnsiTheme="minorHAnsi" w:cstheme="minorHAnsi"/>
        </w:rPr>
        <w:t>Classified by the Australian Bureau of Statistics Australian and New Zealand Standard Classification of Occupations (ANZSCO) as either Technicians and Trades Workers (ANZSCO Major Group 3) or Community and Personal Service Workers (ANZSCO Major Group 4).</w:t>
      </w:r>
    </w:p>
    <w:p w14:paraId="7F54ADEC"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The Priority List will be updated annually, based on the NSC’s annual SPL. </w:t>
      </w:r>
    </w:p>
    <w:p w14:paraId="6EA13091"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Previously, to be eligible for some incentives offered under the AAIP, the apprenticeship qualification needed to be listed on the NSNL or be a Priority Occupation. The NSNL was introduced in 2007 and identified occupations that were deemed to be in national skill shortage. However, it was not representative of skill shortages in occupations for which an apprenticeship is an entry pathway to the occupation. The infrequency in which the NSNL was updated (the last update was in 2011) and the criteria that defined the scope of the NSNL had an impact on this. This issue also contributed to Australian Government incentives being provided to occupations not in skills shortage. </w:t>
      </w:r>
    </w:p>
    <w:p w14:paraId="38D11201" w14:textId="77777777" w:rsidR="00BD1D88" w:rsidRPr="005F5709" w:rsidRDefault="00BD1D88" w:rsidP="00236A89">
      <w:pPr>
        <w:pStyle w:val="Heading4"/>
        <w:spacing w:after="240"/>
        <w:rPr>
          <w:rFonts w:asciiTheme="minorHAnsi" w:hAnsiTheme="minorHAnsi" w:cstheme="minorHAnsi"/>
        </w:rPr>
      </w:pPr>
      <w:r w:rsidRPr="005F5709">
        <w:rPr>
          <w:rFonts w:asciiTheme="minorHAnsi" w:hAnsiTheme="minorHAnsi" w:cstheme="minorHAnsi"/>
        </w:rPr>
        <w:t>What is a priority and non-priority occupation?</w:t>
      </w:r>
    </w:p>
    <w:p w14:paraId="47AC766C"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The Priority List, based on the work of the NSC as described in the previous section, sets out occupations that will be incentivised as priority occupations under each of the proposed options. The top five occupations by commencements for the 12 months to June 2021 is shown in Table 3 below. </w:t>
      </w:r>
    </w:p>
    <w:p w14:paraId="3E47E0B4" w14:textId="77777777" w:rsidR="00BD1D88" w:rsidRPr="005F5709" w:rsidRDefault="00BD1D88" w:rsidP="004D151D">
      <w:pPr>
        <w:rPr>
          <w:rFonts w:asciiTheme="minorHAnsi" w:eastAsia="Times New Roman" w:hAnsiTheme="minorHAnsi" w:cstheme="minorHAnsi"/>
          <w:b/>
        </w:rPr>
      </w:pPr>
      <w:r w:rsidRPr="005F5709">
        <w:rPr>
          <w:rFonts w:asciiTheme="minorHAnsi" w:eastAsia="Times New Roman" w:hAnsiTheme="minorHAnsi" w:cstheme="minorHAnsi"/>
          <w:b/>
          <w:bCs/>
        </w:rPr>
        <w:lastRenderedPageBreak/>
        <w:t>Table 3: Top five occupations for priority and non-priority occupations by commencements for the 12 months to 30 June 2021</w:t>
      </w:r>
      <w:r w:rsidRPr="005F5709">
        <w:rPr>
          <w:rStyle w:val="FootnoteReference"/>
          <w:rFonts w:asciiTheme="minorHAnsi" w:eastAsia="Times New Roman" w:hAnsiTheme="minorHAnsi" w:cstheme="minorHAnsi"/>
          <w:b/>
          <w:bCs/>
        </w:rPr>
        <w:footnoteReference w:id="43"/>
      </w:r>
    </w:p>
    <w:tbl>
      <w:tblPr>
        <w:tblStyle w:val="TableGrid"/>
        <w:tblW w:w="0" w:type="auto"/>
        <w:tblLook w:val="04A0" w:firstRow="1" w:lastRow="0" w:firstColumn="1" w:lastColumn="0" w:noHBand="0" w:noVBand="1"/>
      </w:tblPr>
      <w:tblGrid>
        <w:gridCol w:w="2488"/>
        <w:gridCol w:w="1902"/>
        <w:gridCol w:w="3104"/>
        <w:gridCol w:w="1522"/>
      </w:tblGrid>
      <w:tr w:rsidR="00BD1D88" w:rsidRPr="005F5709" w14:paraId="7A6DF5BC" w14:textId="77777777" w:rsidTr="009E03EB">
        <w:trPr>
          <w:tblHeader/>
        </w:trPr>
        <w:tc>
          <w:tcPr>
            <w:tcW w:w="4390" w:type="dxa"/>
            <w:gridSpan w:val="2"/>
          </w:tcPr>
          <w:p w14:paraId="66844091" w14:textId="77777777" w:rsidR="00BD1D88" w:rsidRPr="005F5709" w:rsidRDefault="00BD1D88" w:rsidP="00236A89">
            <w:pPr>
              <w:jc w:val="center"/>
              <w:rPr>
                <w:rFonts w:asciiTheme="minorHAnsi" w:hAnsiTheme="minorHAnsi" w:cstheme="minorHAnsi"/>
                <w:b/>
                <w:sz w:val="18"/>
                <w:szCs w:val="18"/>
              </w:rPr>
            </w:pPr>
            <w:r w:rsidRPr="005F5709">
              <w:rPr>
                <w:rFonts w:asciiTheme="minorHAnsi" w:hAnsiTheme="minorHAnsi" w:cstheme="minorHAnsi"/>
                <w:b/>
                <w:sz w:val="18"/>
                <w:szCs w:val="18"/>
              </w:rPr>
              <w:t>Priority Occupations</w:t>
            </w:r>
          </w:p>
        </w:tc>
        <w:tc>
          <w:tcPr>
            <w:tcW w:w="4626" w:type="dxa"/>
            <w:gridSpan w:val="2"/>
          </w:tcPr>
          <w:p w14:paraId="7AADD915" w14:textId="77777777" w:rsidR="00BD1D88" w:rsidRPr="005F5709" w:rsidRDefault="00BD1D88" w:rsidP="00236A89">
            <w:pPr>
              <w:jc w:val="center"/>
              <w:rPr>
                <w:rFonts w:asciiTheme="minorHAnsi" w:hAnsiTheme="minorHAnsi" w:cstheme="minorHAnsi"/>
                <w:b/>
                <w:sz w:val="18"/>
                <w:szCs w:val="18"/>
              </w:rPr>
            </w:pPr>
            <w:r w:rsidRPr="005F5709">
              <w:rPr>
                <w:rFonts w:asciiTheme="minorHAnsi" w:hAnsiTheme="minorHAnsi" w:cstheme="minorHAnsi"/>
                <w:b/>
                <w:sz w:val="18"/>
                <w:szCs w:val="18"/>
              </w:rPr>
              <w:t>Non-priority Occupations</w:t>
            </w:r>
          </w:p>
        </w:tc>
      </w:tr>
      <w:tr w:rsidR="00BD1D88" w:rsidRPr="005F5709" w14:paraId="59EAFA34" w14:textId="77777777" w:rsidTr="009E03EB">
        <w:trPr>
          <w:trHeight w:val="269"/>
          <w:tblHeader/>
        </w:trPr>
        <w:tc>
          <w:tcPr>
            <w:tcW w:w="2488" w:type="dxa"/>
          </w:tcPr>
          <w:p w14:paraId="677917EB" w14:textId="77777777" w:rsidR="00BD1D88" w:rsidRPr="005F5709" w:rsidRDefault="00BD1D88" w:rsidP="004D151D">
            <w:pPr>
              <w:rPr>
                <w:rFonts w:asciiTheme="minorHAnsi" w:hAnsiTheme="minorHAnsi" w:cstheme="minorHAnsi"/>
                <w:b/>
                <w:i/>
                <w:sz w:val="18"/>
                <w:szCs w:val="18"/>
              </w:rPr>
            </w:pPr>
            <w:r w:rsidRPr="005F5709">
              <w:rPr>
                <w:rFonts w:asciiTheme="minorHAnsi" w:hAnsiTheme="minorHAnsi" w:cstheme="minorHAnsi"/>
                <w:b/>
                <w:i/>
                <w:sz w:val="18"/>
                <w:szCs w:val="18"/>
              </w:rPr>
              <w:t>Occupation</w:t>
            </w:r>
          </w:p>
        </w:tc>
        <w:tc>
          <w:tcPr>
            <w:tcW w:w="1902" w:type="dxa"/>
          </w:tcPr>
          <w:p w14:paraId="2B977E7F" w14:textId="77777777" w:rsidR="00BD1D88" w:rsidRPr="005F5709" w:rsidRDefault="00BD1D88" w:rsidP="004D151D">
            <w:pPr>
              <w:rPr>
                <w:rFonts w:asciiTheme="minorHAnsi" w:hAnsiTheme="minorHAnsi" w:cstheme="minorHAnsi"/>
                <w:b/>
                <w:i/>
                <w:sz w:val="18"/>
                <w:szCs w:val="18"/>
              </w:rPr>
            </w:pPr>
            <w:r w:rsidRPr="005F5709">
              <w:rPr>
                <w:rFonts w:asciiTheme="minorHAnsi" w:hAnsiTheme="minorHAnsi" w:cstheme="minorHAnsi"/>
                <w:b/>
                <w:i/>
                <w:sz w:val="18"/>
                <w:szCs w:val="18"/>
              </w:rPr>
              <w:t xml:space="preserve">Commencements </w:t>
            </w:r>
          </w:p>
        </w:tc>
        <w:tc>
          <w:tcPr>
            <w:tcW w:w="3104" w:type="dxa"/>
          </w:tcPr>
          <w:p w14:paraId="6DDC85BB" w14:textId="77777777" w:rsidR="00BD1D88" w:rsidRPr="005F5709" w:rsidRDefault="00BD1D88" w:rsidP="004D151D">
            <w:pPr>
              <w:rPr>
                <w:rFonts w:asciiTheme="minorHAnsi" w:hAnsiTheme="minorHAnsi" w:cstheme="minorHAnsi"/>
                <w:b/>
                <w:i/>
                <w:sz w:val="18"/>
                <w:szCs w:val="18"/>
              </w:rPr>
            </w:pPr>
            <w:r w:rsidRPr="005F5709">
              <w:rPr>
                <w:rFonts w:asciiTheme="minorHAnsi" w:hAnsiTheme="minorHAnsi" w:cstheme="minorHAnsi"/>
                <w:b/>
                <w:i/>
                <w:sz w:val="18"/>
                <w:szCs w:val="18"/>
              </w:rPr>
              <w:t xml:space="preserve">Occupation </w:t>
            </w:r>
          </w:p>
        </w:tc>
        <w:tc>
          <w:tcPr>
            <w:tcW w:w="1522" w:type="dxa"/>
          </w:tcPr>
          <w:p w14:paraId="40034E98" w14:textId="77777777" w:rsidR="00BD1D88" w:rsidRPr="005F5709" w:rsidRDefault="00BD1D88" w:rsidP="004D151D">
            <w:pPr>
              <w:rPr>
                <w:rFonts w:asciiTheme="minorHAnsi" w:hAnsiTheme="minorHAnsi" w:cstheme="minorHAnsi"/>
                <w:b/>
                <w:sz w:val="18"/>
                <w:szCs w:val="18"/>
              </w:rPr>
            </w:pPr>
            <w:r w:rsidRPr="005F5709">
              <w:rPr>
                <w:rFonts w:asciiTheme="minorHAnsi" w:hAnsiTheme="minorHAnsi" w:cstheme="minorHAnsi"/>
                <w:b/>
                <w:sz w:val="18"/>
                <w:szCs w:val="18"/>
              </w:rPr>
              <w:t xml:space="preserve">Commencements </w:t>
            </w:r>
          </w:p>
        </w:tc>
      </w:tr>
      <w:tr w:rsidR="00BD1D88" w:rsidRPr="005F5709" w14:paraId="454AABF6" w14:textId="77777777" w:rsidTr="0032557E">
        <w:tc>
          <w:tcPr>
            <w:tcW w:w="2488" w:type="dxa"/>
          </w:tcPr>
          <w:p w14:paraId="268D86B1"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Carpenter</w:t>
            </w:r>
          </w:p>
        </w:tc>
        <w:tc>
          <w:tcPr>
            <w:tcW w:w="1902" w:type="dxa"/>
          </w:tcPr>
          <w:p w14:paraId="1E74FA10"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14,084</w:t>
            </w:r>
          </w:p>
        </w:tc>
        <w:tc>
          <w:tcPr>
            <w:tcW w:w="3104" w:type="dxa"/>
          </w:tcPr>
          <w:p w14:paraId="08A9EF6A"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General Clerk</w:t>
            </w:r>
          </w:p>
        </w:tc>
        <w:tc>
          <w:tcPr>
            <w:tcW w:w="1522" w:type="dxa"/>
          </w:tcPr>
          <w:p w14:paraId="7A526070"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14,087</w:t>
            </w:r>
          </w:p>
        </w:tc>
      </w:tr>
      <w:tr w:rsidR="00BD1D88" w:rsidRPr="005F5709" w14:paraId="1EDD5732" w14:textId="77777777" w:rsidTr="0032557E">
        <w:tc>
          <w:tcPr>
            <w:tcW w:w="2488" w:type="dxa"/>
          </w:tcPr>
          <w:p w14:paraId="5CB3DF32"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Electrician (General)</w:t>
            </w:r>
          </w:p>
        </w:tc>
        <w:tc>
          <w:tcPr>
            <w:tcW w:w="1902" w:type="dxa"/>
          </w:tcPr>
          <w:p w14:paraId="7B867167"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12,649</w:t>
            </w:r>
          </w:p>
        </w:tc>
        <w:tc>
          <w:tcPr>
            <w:tcW w:w="3104" w:type="dxa"/>
          </w:tcPr>
          <w:p w14:paraId="6FB9805D"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Sales Assistant (General)</w:t>
            </w:r>
          </w:p>
        </w:tc>
        <w:tc>
          <w:tcPr>
            <w:tcW w:w="1522" w:type="dxa"/>
          </w:tcPr>
          <w:p w14:paraId="3A7E6B0B"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10,135</w:t>
            </w:r>
          </w:p>
        </w:tc>
      </w:tr>
      <w:tr w:rsidR="00BD1D88" w:rsidRPr="005F5709" w14:paraId="74A74F0C" w14:textId="77777777" w:rsidTr="0032557E">
        <w:tc>
          <w:tcPr>
            <w:tcW w:w="2488" w:type="dxa"/>
          </w:tcPr>
          <w:p w14:paraId="2C66D69B" w14:textId="77777777" w:rsidR="00BD1D88" w:rsidRPr="005F5709" w:rsidRDefault="00BD1D88" w:rsidP="004D151D">
            <w:pPr>
              <w:rPr>
                <w:rFonts w:asciiTheme="minorHAnsi" w:hAnsiTheme="minorHAnsi" w:cstheme="minorHAnsi"/>
                <w:sz w:val="18"/>
                <w:szCs w:val="18"/>
              </w:rPr>
            </w:pPr>
            <w:proofErr w:type="gramStart"/>
            <w:r w:rsidRPr="005F5709">
              <w:rPr>
                <w:rFonts w:asciiTheme="minorHAnsi" w:hAnsiTheme="minorHAnsi" w:cstheme="minorHAnsi"/>
                <w:color w:val="000000"/>
                <w:sz w:val="18"/>
                <w:szCs w:val="18"/>
                <w:lang w:eastAsia="en-AU"/>
              </w:rPr>
              <w:t>Child Care</w:t>
            </w:r>
            <w:proofErr w:type="gramEnd"/>
            <w:r w:rsidRPr="005F5709">
              <w:rPr>
                <w:rFonts w:asciiTheme="minorHAnsi" w:hAnsiTheme="minorHAnsi" w:cstheme="minorHAnsi"/>
                <w:color w:val="000000"/>
                <w:sz w:val="18"/>
                <w:szCs w:val="18"/>
                <w:lang w:eastAsia="en-AU"/>
              </w:rPr>
              <w:t xml:space="preserve"> Worker</w:t>
            </w:r>
          </w:p>
        </w:tc>
        <w:tc>
          <w:tcPr>
            <w:tcW w:w="1902" w:type="dxa"/>
          </w:tcPr>
          <w:p w14:paraId="0043D00E"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10,612</w:t>
            </w:r>
          </w:p>
        </w:tc>
        <w:tc>
          <w:tcPr>
            <w:tcW w:w="3104" w:type="dxa"/>
          </w:tcPr>
          <w:p w14:paraId="44915119"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Hospitality Workers</w:t>
            </w:r>
          </w:p>
        </w:tc>
        <w:tc>
          <w:tcPr>
            <w:tcW w:w="1522" w:type="dxa"/>
          </w:tcPr>
          <w:p w14:paraId="15E105C7"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10,101</w:t>
            </w:r>
          </w:p>
        </w:tc>
      </w:tr>
      <w:tr w:rsidR="00BD1D88" w:rsidRPr="005F5709" w14:paraId="210D5A3A" w14:textId="77777777" w:rsidTr="0032557E">
        <w:tc>
          <w:tcPr>
            <w:tcW w:w="2488" w:type="dxa"/>
          </w:tcPr>
          <w:p w14:paraId="5190828F"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Motor Mechanic (General)</w:t>
            </w:r>
          </w:p>
        </w:tc>
        <w:tc>
          <w:tcPr>
            <w:tcW w:w="1902" w:type="dxa"/>
          </w:tcPr>
          <w:p w14:paraId="2FED83E3"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9,970</w:t>
            </w:r>
          </w:p>
        </w:tc>
        <w:tc>
          <w:tcPr>
            <w:tcW w:w="3104" w:type="dxa"/>
          </w:tcPr>
          <w:p w14:paraId="45E9706F"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Office Manager</w:t>
            </w:r>
          </w:p>
        </w:tc>
        <w:tc>
          <w:tcPr>
            <w:tcW w:w="1522" w:type="dxa"/>
          </w:tcPr>
          <w:p w14:paraId="278B2B6A" w14:textId="77777777" w:rsidR="00BD1D88" w:rsidRPr="005F5709" w:rsidRDefault="00BD1D88" w:rsidP="004D151D">
            <w:pPr>
              <w:rPr>
                <w:rFonts w:asciiTheme="minorHAnsi" w:hAnsiTheme="minorHAnsi" w:cstheme="minorHAnsi"/>
                <w:color w:val="000000"/>
                <w:sz w:val="18"/>
                <w:szCs w:val="18"/>
                <w:lang w:eastAsia="en-AU"/>
              </w:rPr>
            </w:pPr>
            <w:r w:rsidRPr="005F5709">
              <w:rPr>
                <w:rFonts w:asciiTheme="minorHAnsi" w:hAnsiTheme="minorHAnsi" w:cstheme="minorHAnsi"/>
                <w:color w:val="000000"/>
                <w:sz w:val="18"/>
                <w:szCs w:val="18"/>
                <w:lang w:eastAsia="en-AU"/>
              </w:rPr>
              <w:t>6,406</w:t>
            </w:r>
          </w:p>
        </w:tc>
      </w:tr>
      <w:tr w:rsidR="00BD1D88" w:rsidRPr="005F5709" w14:paraId="374EF6CE" w14:textId="77777777" w:rsidTr="0032557E">
        <w:tc>
          <w:tcPr>
            <w:tcW w:w="2488" w:type="dxa"/>
          </w:tcPr>
          <w:p w14:paraId="184B18F2" w14:textId="77777777" w:rsidR="00BD1D88" w:rsidRPr="005F5709" w:rsidRDefault="00BD1D88" w:rsidP="004D151D">
            <w:pPr>
              <w:rPr>
                <w:rFonts w:asciiTheme="minorHAnsi" w:hAnsiTheme="minorHAnsi" w:cstheme="minorHAnsi"/>
                <w:color w:val="000000"/>
                <w:sz w:val="18"/>
                <w:szCs w:val="18"/>
                <w:lang w:eastAsia="en-AU"/>
              </w:rPr>
            </w:pPr>
            <w:r w:rsidRPr="005F5709">
              <w:rPr>
                <w:rFonts w:asciiTheme="minorHAnsi" w:hAnsiTheme="minorHAnsi" w:cstheme="minorHAnsi"/>
                <w:color w:val="000000"/>
                <w:sz w:val="18"/>
                <w:szCs w:val="18"/>
                <w:lang w:eastAsia="en-AU"/>
              </w:rPr>
              <w:t>Plumber (General)</w:t>
            </w:r>
          </w:p>
        </w:tc>
        <w:tc>
          <w:tcPr>
            <w:tcW w:w="1902" w:type="dxa"/>
          </w:tcPr>
          <w:p w14:paraId="1408C665" w14:textId="77777777" w:rsidR="00BD1D88" w:rsidRPr="005F5709" w:rsidRDefault="00BD1D88" w:rsidP="004D151D">
            <w:pPr>
              <w:rPr>
                <w:rFonts w:asciiTheme="minorHAnsi" w:hAnsiTheme="minorHAnsi" w:cstheme="minorHAnsi"/>
                <w:color w:val="000000"/>
                <w:sz w:val="18"/>
                <w:szCs w:val="18"/>
                <w:lang w:eastAsia="en-AU"/>
              </w:rPr>
            </w:pPr>
            <w:r w:rsidRPr="005F5709">
              <w:rPr>
                <w:rFonts w:asciiTheme="minorHAnsi" w:hAnsiTheme="minorHAnsi" w:cstheme="minorHAnsi"/>
                <w:color w:val="000000"/>
                <w:sz w:val="18"/>
                <w:szCs w:val="18"/>
                <w:lang w:eastAsia="en-AU"/>
              </w:rPr>
              <w:t>7,014</w:t>
            </w:r>
          </w:p>
        </w:tc>
        <w:tc>
          <w:tcPr>
            <w:tcW w:w="3104" w:type="dxa"/>
          </w:tcPr>
          <w:p w14:paraId="2FAFD94C" w14:textId="77777777" w:rsidR="00BD1D88" w:rsidRPr="005F5709" w:rsidRDefault="00BD1D88" w:rsidP="004D151D">
            <w:pPr>
              <w:rPr>
                <w:rFonts w:asciiTheme="minorHAnsi" w:hAnsiTheme="minorHAnsi" w:cstheme="minorHAnsi"/>
                <w:color w:val="000000"/>
                <w:sz w:val="18"/>
                <w:szCs w:val="18"/>
                <w:lang w:eastAsia="en-AU"/>
              </w:rPr>
            </w:pPr>
            <w:r w:rsidRPr="005F5709">
              <w:rPr>
                <w:rFonts w:asciiTheme="minorHAnsi" w:hAnsiTheme="minorHAnsi" w:cstheme="minorHAnsi"/>
                <w:color w:val="000000"/>
                <w:sz w:val="18"/>
                <w:szCs w:val="18"/>
                <w:lang w:eastAsia="en-AU"/>
              </w:rPr>
              <w:t>Earthmoving Plant Operator (General)</w:t>
            </w:r>
          </w:p>
        </w:tc>
        <w:tc>
          <w:tcPr>
            <w:tcW w:w="1522" w:type="dxa"/>
          </w:tcPr>
          <w:p w14:paraId="083012D4" w14:textId="77777777" w:rsidR="00BD1D88" w:rsidRPr="005F5709" w:rsidRDefault="00BD1D88" w:rsidP="004D151D">
            <w:pPr>
              <w:rPr>
                <w:rFonts w:asciiTheme="minorHAnsi" w:hAnsiTheme="minorHAnsi" w:cstheme="minorHAnsi"/>
                <w:color w:val="000000"/>
                <w:sz w:val="18"/>
                <w:szCs w:val="18"/>
                <w:lang w:eastAsia="en-AU"/>
              </w:rPr>
            </w:pPr>
            <w:r w:rsidRPr="005F5709">
              <w:rPr>
                <w:rFonts w:asciiTheme="minorHAnsi" w:hAnsiTheme="minorHAnsi" w:cstheme="minorHAnsi"/>
                <w:color w:val="000000"/>
                <w:sz w:val="18"/>
                <w:szCs w:val="18"/>
                <w:lang w:eastAsia="en-AU"/>
              </w:rPr>
              <w:t>3,835</w:t>
            </w:r>
          </w:p>
        </w:tc>
      </w:tr>
    </w:tbl>
    <w:p w14:paraId="6B5F019E" w14:textId="012891D3" w:rsidR="00BD1D88" w:rsidRPr="005F5709" w:rsidRDefault="00BD1D88" w:rsidP="00977294">
      <w:pPr>
        <w:pStyle w:val="Heading3"/>
        <w:numPr>
          <w:ilvl w:val="0"/>
          <w:numId w:val="48"/>
        </w:numPr>
        <w:spacing w:before="120" w:after="120" w:line="276" w:lineRule="auto"/>
      </w:pPr>
      <w:bookmarkStart w:id="39" w:name="_Toc113022182"/>
      <w:r w:rsidRPr="005F5709">
        <w:t>Incentives should respond to high and increasing</w:t>
      </w:r>
      <w:bookmarkEnd w:id="38"/>
      <w:r w:rsidRPr="005F5709">
        <w:t xml:space="preserve"> </w:t>
      </w:r>
      <w:proofErr w:type="gramStart"/>
      <w:r w:rsidRPr="005F5709">
        <w:t>costs</w:t>
      </w:r>
      <w:bookmarkEnd w:id="39"/>
      <w:proofErr w:type="gramEnd"/>
    </w:p>
    <w:p w14:paraId="36CE00DC"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 xml:space="preserve">In 2020, the </w:t>
      </w:r>
      <w:r w:rsidRPr="005F5709">
        <w:rPr>
          <w:rFonts w:asciiTheme="minorHAnsi" w:hAnsiTheme="minorHAnsi" w:cstheme="minorHAnsi"/>
        </w:rPr>
        <w:t>Productivity Commission undertook a review of the National Skills and Workforce Development Agreement which found that employer incentives now account for less than two per cent of the full costs of hiring and training a trade apprentice.</w:t>
      </w:r>
      <w:r w:rsidRPr="005F5709">
        <w:rPr>
          <w:rStyle w:val="FootnoteReference"/>
          <w:rFonts w:asciiTheme="minorHAnsi" w:hAnsiTheme="minorHAnsi" w:cstheme="minorHAnsi"/>
        </w:rPr>
        <w:footnoteReference w:id="44"/>
      </w:r>
      <w:r w:rsidRPr="005F5709">
        <w:rPr>
          <w:rFonts w:asciiTheme="minorHAnsi" w:hAnsiTheme="minorHAnsi" w:cstheme="minorHAnsi"/>
        </w:rPr>
        <w:t xml:space="preserve"> </w:t>
      </w:r>
    </w:p>
    <w:p w14:paraId="1803D882" w14:textId="77777777" w:rsidR="00BD1D88" w:rsidRPr="005F5709" w:rsidRDefault="00BD1D88" w:rsidP="004D151D">
      <w:pPr>
        <w:rPr>
          <w:rFonts w:asciiTheme="minorHAnsi" w:eastAsia="Times New Roman" w:hAnsiTheme="minorHAnsi" w:cstheme="minorHAnsi"/>
        </w:rPr>
      </w:pPr>
      <w:r w:rsidRPr="005F5709">
        <w:rPr>
          <w:rFonts w:asciiTheme="minorHAnsi" w:hAnsiTheme="minorHAnsi" w:cstheme="minorHAnsi"/>
        </w:rPr>
        <w:t>The timing of when incentives are paid can reduce or exacerbate the cost barrier. Research has found delayed incentive payments have a negative impact on commencement rates for small and medium sized businesses. This was demonstrated when movement of the $1,500 commencement incentive in July 2012 from three to six months after commencement negatively impacted small and medium business apprenticeship commencements with almost 18 per cent fewer apprenticeship commencements.</w:t>
      </w:r>
    </w:p>
    <w:p w14:paraId="6695ABDF"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Similarly, lower wages remain an obstacle to many individuals considering undertaking an apprenticeship and current Australian Apprenticeship incentives are not sufficient to meet the</w:t>
      </w:r>
      <w:r w:rsidRPr="005F5709" w:rsidDel="006E093B">
        <w:rPr>
          <w:rFonts w:asciiTheme="minorHAnsi" w:eastAsia="Times New Roman" w:hAnsiTheme="minorHAnsi" w:cstheme="minorHAnsi"/>
        </w:rPr>
        <w:t xml:space="preserve"> </w:t>
      </w:r>
      <w:r w:rsidRPr="005F5709">
        <w:rPr>
          <w:rFonts w:asciiTheme="minorHAnsi" w:eastAsia="Times New Roman" w:hAnsiTheme="minorHAnsi" w:cstheme="minorHAnsi"/>
        </w:rPr>
        <w:t xml:space="preserve">costs of living. Incentives should be designed to minimise the negative impact of low apprentice wages for apprentices. </w:t>
      </w:r>
    </w:p>
    <w:p w14:paraId="16EF7024" w14:textId="60C8BDC3" w:rsidR="00BD1D88" w:rsidRPr="005F5709" w:rsidRDefault="00BD1D88" w:rsidP="00977294">
      <w:pPr>
        <w:pStyle w:val="Heading3"/>
        <w:numPr>
          <w:ilvl w:val="0"/>
          <w:numId w:val="48"/>
        </w:numPr>
        <w:spacing w:before="120" w:after="120" w:line="276" w:lineRule="auto"/>
      </w:pPr>
      <w:bookmarkStart w:id="40" w:name="_Toc88575280"/>
      <w:bookmarkStart w:id="41" w:name="_Toc113022183"/>
      <w:r w:rsidRPr="005F5709">
        <w:t xml:space="preserve">Incentives should focus on the decision </w:t>
      </w:r>
      <w:proofErr w:type="gramStart"/>
      <w:r w:rsidRPr="005F5709">
        <w:t>maker</w:t>
      </w:r>
      <w:bookmarkEnd w:id="40"/>
      <w:bookmarkEnd w:id="41"/>
      <w:proofErr w:type="gramEnd"/>
    </w:p>
    <w:p w14:paraId="7AADDEA8"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Recent research by the Productivity Commission found that if governments want to increase the overall number of apprentices, policy design should aim to increase both commencements and completions. This is supported by significant research and analysis undertaken over the previous decade indicating incentives are best directed at the party responsible for decision-making. </w:t>
      </w:r>
    </w:p>
    <w:p w14:paraId="7B43BB1A"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While employers are critical to the supply of apprenticeship positions, the apprentice is responsible for both the decision to undertake an apprenticeship and then to complete it. 80 per cent of cancellations are initiated by apprentices.</w:t>
      </w:r>
      <w:r w:rsidRPr="005F5709">
        <w:rPr>
          <w:rStyle w:val="FootnoteReference"/>
          <w:rFonts w:asciiTheme="minorHAnsi" w:hAnsiTheme="minorHAnsi" w:cstheme="minorHAnsi"/>
        </w:rPr>
        <w:footnoteReference w:id="45"/>
      </w:r>
    </w:p>
    <w:p w14:paraId="706DE02F"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Financial barriers for apprentices are a clear impediment to both commencement and completion rates, with low wages and better paying alternatives making apprenticeships a less appealing pathway. Analysis undertaken by the Department demonstrates making periodic payments directly to apprentices over the life of the apprenticeship supports higher </w:t>
      </w:r>
      <w:r w:rsidRPr="005F5709">
        <w:rPr>
          <w:rFonts w:asciiTheme="minorHAnsi" w:hAnsiTheme="minorHAnsi" w:cstheme="minorHAnsi"/>
        </w:rPr>
        <w:lastRenderedPageBreak/>
        <w:t>completion rates.</w:t>
      </w:r>
      <w:r w:rsidRPr="005F5709">
        <w:rPr>
          <w:rStyle w:val="FootnoteReference"/>
          <w:rFonts w:asciiTheme="minorHAnsi" w:hAnsiTheme="minorHAnsi" w:cstheme="minorHAnsi"/>
        </w:rPr>
        <w:footnoteReference w:id="46"/>
      </w:r>
      <w:r w:rsidRPr="005F5709">
        <w:rPr>
          <w:rStyle w:val="FootnoteReference"/>
          <w:rFonts w:asciiTheme="minorHAnsi" w:hAnsiTheme="minorHAnsi" w:cstheme="minorHAnsi"/>
        </w:rPr>
        <w:t xml:space="preserve"> </w:t>
      </w:r>
      <w:r w:rsidRPr="005F5709">
        <w:rPr>
          <w:rFonts w:asciiTheme="minorHAnsi" w:hAnsiTheme="minorHAnsi" w:cstheme="minorHAnsi"/>
        </w:rPr>
        <w:t>Regular payments over the life of an apprenticeship, as opposed to a lump sum paid on completion or commencement, have been effective in supporting retention and completion rates. For example, apprentices in receipt of regular payments under Trade Support Loans (TSL) or Living Away From Home Allowance (LAFHA) are more likely to complete their apprenticeship. Receipt of LAFHA has been shown to increase the probability of completing by 7.6 per cent for trade apprentices, and 13.7 per cent for non-trade apprenticeships.</w:t>
      </w:r>
      <w:r w:rsidRPr="005F5709">
        <w:rPr>
          <w:rStyle w:val="FootnoteReference"/>
          <w:rFonts w:asciiTheme="minorHAnsi" w:hAnsiTheme="minorHAnsi" w:cstheme="minorHAnsi"/>
        </w:rPr>
        <w:footnoteReference w:id="47"/>
      </w:r>
      <w:r w:rsidRPr="005F5709">
        <w:rPr>
          <w:rFonts w:asciiTheme="minorHAnsi" w:hAnsiTheme="minorHAnsi" w:cstheme="minorHAnsi"/>
        </w:rPr>
        <w:t xml:space="preserve"> </w:t>
      </w:r>
    </w:p>
    <w:p w14:paraId="423E6223"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As a result, it is critical to provide financial incentives for apprentices to influence behavioural change to achieve an overall shift in apprenticeship outcomes towards higher commencements and completions.  </w:t>
      </w:r>
    </w:p>
    <w:p w14:paraId="6E47A451" w14:textId="6DB67502" w:rsidR="00BD1D88" w:rsidRPr="005F5709" w:rsidRDefault="00BD1D88" w:rsidP="00977294">
      <w:pPr>
        <w:pStyle w:val="Heading3"/>
        <w:numPr>
          <w:ilvl w:val="0"/>
          <w:numId w:val="48"/>
        </w:numPr>
        <w:spacing w:before="120" w:after="120" w:line="276" w:lineRule="auto"/>
      </w:pPr>
      <w:bookmarkStart w:id="42" w:name="_Toc98423209"/>
      <w:bookmarkStart w:id="43" w:name="_Toc98492265"/>
      <w:bookmarkStart w:id="44" w:name="_Toc98498467"/>
      <w:bookmarkStart w:id="45" w:name="_Toc98498667"/>
      <w:bookmarkStart w:id="46" w:name="_Toc98506941"/>
      <w:bookmarkStart w:id="47" w:name="_Toc98507024"/>
      <w:bookmarkStart w:id="48" w:name="_Toc98508062"/>
      <w:bookmarkStart w:id="49" w:name="_Toc98508227"/>
      <w:bookmarkStart w:id="50" w:name="_Toc98508441"/>
      <w:bookmarkStart w:id="51" w:name="_Toc98508523"/>
      <w:bookmarkStart w:id="52" w:name="_Toc88575283"/>
      <w:bookmarkStart w:id="53" w:name="_Toc113022184"/>
      <w:bookmarkEnd w:id="42"/>
      <w:bookmarkEnd w:id="43"/>
      <w:bookmarkEnd w:id="44"/>
      <w:bookmarkEnd w:id="45"/>
      <w:bookmarkEnd w:id="46"/>
      <w:bookmarkEnd w:id="47"/>
      <w:bookmarkEnd w:id="48"/>
      <w:bookmarkEnd w:id="49"/>
      <w:bookmarkEnd w:id="50"/>
      <w:bookmarkEnd w:id="51"/>
      <w:r w:rsidRPr="005F5709">
        <w:t xml:space="preserve">Incentives should be easy to navigate and </w:t>
      </w:r>
      <w:proofErr w:type="gramStart"/>
      <w:r w:rsidRPr="005F5709">
        <w:t>understand</w:t>
      </w:r>
      <w:bookmarkEnd w:id="52"/>
      <w:bookmarkEnd w:id="53"/>
      <w:proofErr w:type="gramEnd"/>
    </w:p>
    <w:p w14:paraId="4D779BD4"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AAIP and its predecessors have been subject to regular adjustments in response to economic cycles and changes in policy over several years. These changes have resulted in a complex framework. There are over 30 different payments available under the AAIP and eligibility for individual incentives depends on a wide range of factors. The SAT, BAC and CAC have further complicated incentives in an already intricate system.</w:t>
      </w:r>
    </w:p>
    <w:p w14:paraId="00A1FD25" w14:textId="77777777" w:rsidR="00BD1D88" w:rsidRPr="005F5709" w:rsidRDefault="00BD1D88" w:rsidP="004D151D">
      <w:pPr>
        <w:rPr>
          <w:rFonts w:asciiTheme="minorHAnsi" w:hAnsiTheme="minorHAnsi" w:cstheme="minorHAnsi"/>
        </w:rPr>
      </w:pPr>
      <w:r w:rsidRPr="005F5709">
        <w:rPr>
          <w:rStyle w:val="normaltextrun"/>
          <w:rFonts w:asciiTheme="minorHAnsi" w:hAnsiTheme="minorHAnsi" w:cstheme="minorHAnsi"/>
          <w:color w:val="000000"/>
          <w:shd w:val="clear" w:color="auto" w:fill="FFFFFF"/>
        </w:rPr>
        <w:t xml:space="preserve">Reviews by the Productivity Commission and others suggest many of these changes before the COVID-19 economic response measures, have not sustained positive apprenticeship outcomes. </w:t>
      </w:r>
      <w:r w:rsidRPr="005F5709">
        <w:rPr>
          <w:rStyle w:val="normaltextrun"/>
          <w:rFonts w:asciiTheme="minorHAnsi" w:hAnsiTheme="minorHAnsi" w:cstheme="minorHAnsi"/>
          <w:color w:val="000000" w:themeColor="text1"/>
        </w:rPr>
        <w:t xml:space="preserve">Furthermore, many of the trade occupations that feature on the skills shortage lists have been experiencing skills shortages for decades despite incentive payments. </w:t>
      </w:r>
      <w:r w:rsidRPr="005F5709">
        <w:rPr>
          <w:rStyle w:val="normaltextrun"/>
          <w:rFonts w:asciiTheme="minorHAnsi" w:hAnsiTheme="minorHAnsi" w:cstheme="minorHAnsi"/>
          <w:color w:val="000000"/>
          <w:shd w:val="clear" w:color="auto" w:fill="FFFFFF"/>
        </w:rPr>
        <w:t xml:space="preserve">The cumulative effect of these changes over time has been to complicate the incentives framework for both employers and apprentices. </w:t>
      </w:r>
      <w:r w:rsidRPr="005F5709">
        <w:rPr>
          <w:rFonts w:asciiTheme="minorHAnsi" w:hAnsiTheme="minorHAnsi" w:cstheme="minorHAnsi"/>
        </w:rPr>
        <w:t>Industry groups, employers and apprentices have repeatedly raised concerns that the existing AAIP is overly complex, difficult to navigate and this complexity can act as a deterrent to applying for assistance. For example, the previous and concurrent qualifications criteria are overly complex and delay the sign-up of apprentices. Following his review of Australia’s VET system, including industry consultation, the Honourable Steven Joyce recommended ‘</w:t>
      </w:r>
      <w:r w:rsidRPr="005F5709">
        <w:rPr>
          <w:rFonts w:asciiTheme="minorHAnsi" w:hAnsiTheme="minorHAnsi" w:cstheme="minorHAnsi"/>
          <w:i/>
          <w:iCs/>
        </w:rPr>
        <w:t>A simpler, more streamlined apprentice incentives program would provide better and more easily understood support to employers and their apprentices and trainees.’</w:t>
      </w:r>
      <w:r w:rsidRPr="005F5709">
        <w:rPr>
          <w:rStyle w:val="FootnoteReference"/>
          <w:rFonts w:asciiTheme="minorHAnsi" w:hAnsiTheme="minorHAnsi" w:cstheme="minorHAnsi"/>
          <w:i/>
          <w:iCs/>
        </w:rPr>
        <w:footnoteReference w:id="48"/>
      </w:r>
      <w:r w:rsidRPr="005F5709">
        <w:rPr>
          <w:rFonts w:asciiTheme="minorHAnsi" w:hAnsiTheme="minorHAnsi" w:cstheme="minorHAnsi"/>
        </w:rPr>
        <w:t xml:space="preserve"> </w:t>
      </w:r>
    </w:p>
    <w:p w14:paraId="617921D9" w14:textId="05E3E7FB" w:rsidR="00BD1D88" w:rsidRPr="005F5709" w:rsidRDefault="00BD1D88" w:rsidP="00977294">
      <w:pPr>
        <w:pStyle w:val="Heading3"/>
        <w:numPr>
          <w:ilvl w:val="0"/>
          <w:numId w:val="48"/>
        </w:numPr>
        <w:spacing w:before="120" w:after="120" w:line="276" w:lineRule="auto"/>
      </w:pPr>
      <w:bookmarkStart w:id="54" w:name="_Toc113022185"/>
      <w:r w:rsidRPr="005F5709">
        <w:t xml:space="preserve">Non-financial support should be </w:t>
      </w:r>
      <w:proofErr w:type="gramStart"/>
      <w:r w:rsidRPr="005F5709">
        <w:t>provided</w:t>
      </w:r>
      <w:bookmarkEnd w:id="54"/>
      <w:proofErr w:type="gramEnd"/>
    </w:p>
    <w:p w14:paraId="7F145E84" w14:textId="77777777" w:rsidR="00BD1D88" w:rsidRPr="005F5709" w:rsidRDefault="00BD1D88" w:rsidP="00D70047">
      <w:pPr>
        <w:rPr>
          <w:rFonts w:asciiTheme="minorHAnsi" w:hAnsiTheme="minorHAnsi" w:cstheme="minorHAnsi"/>
        </w:rPr>
      </w:pPr>
      <w:r w:rsidRPr="005F5709">
        <w:rPr>
          <w:rFonts w:asciiTheme="minorHAnsi" w:hAnsiTheme="minorHAnsi" w:cstheme="minorHAnsi"/>
        </w:rPr>
        <w:t>Non-financial support for employers and apprentices both in the lead up to commencement and during the apprenticeship can be critical to achieving successful completions. Research shows that both apprentices and employers value non-financial support, including mentoring, mediation, job</w:t>
      </w:r>
      <w:r w:rsidRPr="005F5709">
        <w:rPr>
          <w:rFonts w:asciiTheme="minorHAnsi" w:hAnsiTheme="minorHAnsi" w:cstheme="minorHAnsi"/>
        </w:rPr>
        <w:noBreakHyphen/>
        <w:t>matching the apprentice to the employer and assisting the employer to find the right person for the job.</w:t>
      </w:r>
    </w:p>
    <w:p w14:paraId="4B7AEDB5"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lastRenderedPageBreak/>
        <w:t xml:space="preserve">The Australian Apprenticeship Support Network (AASN) providers are contracted to provide a range of universal services to support apprentices throughout their apprenticeships, from signup to completion. In order to determine which </w:t>
      </w:r>
      <w:proofErr w:type="gramStart"/>
      <w:r w:rsidRPr="005F5709">
        <w:rPr>
          <w:rFonts w:asciiTheme="minorHAnsi" w:hAnsiTheme="minorHAnsi" w:cstheme="minorHAnsi"/>
        </w:rPr>
        <w:t>apprentices</w:t>
      </w:r>
      <w:proofErr w:type="gramEnd"/>
      <w:r w:rsidRPr="005F5709">
        <w:rPr>
          <w:rFonts w:asciiTheme="minorHAnsi" w:hAnsiTheme="minorHAnsi" w:cstheme="minorHAnsi"/>
        </w:rPr>
        <w:t xml:space="preserve"> need more intensive support, AASNs are required to assess which apprentices are at risk of not completing and in need of further or ongoing support. Departmental data as </w:t>
      </w:r>
      <w:proofErr w:type="gramStart"/>
      <w:r w:rsidRPr="005F5709">
        <w:rPr>
          <w:rFonts w:asciiTheme="minorHAnsi" w:hAnsiTheme="minorHAnsi" w:cstheme="minorHAnsi"/>
        </w:rPr>
        <w:t>at</w:t>
      </w:r>
      <w:proofErr w:type="gramEnd"/>
      <w:r w:rsidRPr="005F5709">
        <w:rPr>
          <w:rFonts w:asciiTheme="minorHAnsi" w:hAnsiTheme="minorHAnsi" w:cstheme="minorHAnsi"/>
        </w:rPr>
        <w:t xml:space="preserve"> 28 February 2022 shows Australian Apprentices that received ITS services delivered by the AASN were:</w:t>
      </w:r>
    </w:p>
    <w:p w14:paraId="45FE070E" w14:textId="77777777" w:rsidR="00BD1D88" w:rsidRPr="005F5709" w:rsidRDefault="00BD1D88" w:rsidP="00977294">
      <w:pPr>
        <w:pStyle w:val="ListParagraph"/>
        <w:numPr>
          <w:ilvl w:val="0"/>
          <w:numId w:val="13"/>
        </w:numPr>
        <w:spacing w:after="200" w:line="276" w:lineRule="auto"/>
        <w:rPr>
          <w:rFonts w:asciiTheme="minorHAnsi" w:hAnsiTheme="minorHAnsi" w:cstheme="minorHAnsi"/>
        </w:rPr>
      </w:pPr>
      <w:r w:rsidRPr="005F5709">
        <w:rPr>
          <w:rFonts w:asciiTheme="minorHAnsi" w:hAnsiTheme="minorHAnsi" w:cstheme="minorHAnsi"/>
        </w:rPr>
        <w:t>8.7 per cent more likely to complete their apprenticeship;</w:t>
      </w:r>
    </w:p>
    <w:p w14:paraId="3D6176CF" w14:textId="77777777" w:rsidR="00BD1D88" w:rsidRPr="005F5709" w:rsidRDefault="00BD1D88" w:rsidP="00977294">
      <w:pPr>
        <w:pStyle w:val="ListParagraph"/>
        <w:numPr>
          <w:ilvl w:val="0"/>
          <w:numId w:val="13"/>
        </w:numPr>
        <w:spacing w:after="200" w:line="276" w:lineRule="auto"/>
        <w:rPr>
          <w:rFonts w:asciiTheme="minorHAnsi" w:hAnsiTheme="minorHAnsi" w:cstheme="minorHAnsi"/>
        </w:rPr>
      </w:pPr>
      <w:r w:rsidRPr="005F5709">
        <w:rPr>
          <w:rFonts w:asciiTheme="minorHAnsi" w:hAnsiTheme="minorHAnsi" w:cstheme="minorHAnsi"/>
        </w:rPr>
        <w:t>10.7 per cent less likely to cancel or withdraw;</w:t>
      </w:r>
    </w:p>
    <w:p w14:paraId="5F17AB0E" w14:textId="77777777" w:rsidR="00BD1D88" w:rsidRPr="005F5709" w:rsidRDefault="00BD1D88" w:rsidP="00977294">
      <w:pPr>
        <w:pStyle w:val="ListParagraph"/>
        <w:numPr>
          <w:ilvl w:val="0"/>
          <w:numId w:val="13"/>
        </w:numPr>
        <w:spacing w:after="200" w:line="276" w:lineRule="auto"/>
        <w:rPr>
          <w:rFonts w:asciiTheme="minorHAnsi" w:hAnsiTheme="minorHAnsi" w:cstheme="minorHAnsi"/>
        </w:rPr>
      </w:pPr>
      <w:r w:rsidRPr="005F5709">
        <w:rPr>
          <w:rFonts w:asciiTheme="minorHAnsi" w:hAnsiTheme="minorHAnsi" w:cstheme="minorHAnsi"/>
        </w:rPr>
        <w:t>9.8 per cent more likely to be retained; and</w:t>
      </w:r>
    </w:p>
    <w:p w14:paraId="2A0A1958" w14:textId="77777777" w:rsidR="00BD1D88" w:rsidRPr="005F5709" w:rsidRDefault="00BD1D88" w:rsidP="00977294">
      <w:pPr>
        <w:pStyle w:val="ListParagraph"/>
        <w:numPr>
          <w:ilvl w:val="0"/>
          <w:numId w:val="13"/>
        </w:numPr>
        <w:spacing w:after="200" w:line="276" w:lineRule="auto"/>
        <w:rPr>
          <w:rFonts w:asciiTheme="minorHAnsi" w:hAnsiTheme="minorHAnsi" w:cstheme="minorHAnsi"/>
        </w:rPr>
      </w:pPr>
      <w:r w:rsidRPr="005F5709">
        <w:rPr>
          <w:rFonts w:asciiTheme="minorHAnsi" w:hAnsiTheme="minorHAnsi" w:cstheme="minorHAnsi"/>
        </w:rPr>
        <w:t>42.3 per cent more likely to resume from suspension.</w:t>
      </w:r>
      <w:r w:rsidRPr="005F5709">
        <w:rPr>
          <w:rStyle w:val="FootnoteReference"/>
          <w:rFonts w:asciiTheme="minorHAnsi" w:hAnsiTheme="minorHAnsi" w:cstheme="minorHAnsi"/>
        </w:rPr>
        <w:footnoteReference w:id="49"/>
      </w:r>
    </w:p>
    <w:p w14:paraId="607B15F7" w14:textId="77777777" w:rsidR="00BD1D88" w:rsidRPr="005F5709" w:rsidRDefault="00BD1D88" w:rsidP="001825D8">
      <w:pPr>
        <w:rPr>
          <w:rFonts w:asciiTheme="minorHAnsi" w:hAnsiTheme="minorHAnsi" w:cstheme="minorHAnsi"/>
        </w:rPr>
      </w:pPr>
      <w:r w:rsidRPr="005F5709">
        <w:rPr>
          <w:rFonts w:asciiTheme="minorHAnsi" w:hAnsiTheme="minorHAnsi" w:cstheme="minorHAnsi"/>
        </w:rPr>
        <w:t xml:space="preserve">The Productivity Commission supports these results finding that apprenticeship support services such as mentoring and pastoral care can help apprentices overcome some of the </w:t>
      </w:r>
      <w:proofErr w:type="gramStart"/>
      <w:r w:rsidRPr="005F5709">
        <w:rPr>
          <w:rFonts w:asciiTheme="minorHAnsi" w:hAnsiTheme="minorHAnsi" w:cstheme="minorHAnsi"/>
        </w:rPr>
        <w:t>challenges</w:t>
      </w:r>
      <w:proofErr w:type="gramEnd"/>
      <w:r w:rsidRPr="005F5709">
        <w:rPr>
          <w:rFonts w:asciiTheme="minorHAnsi" w:hAnsiTheme="minorHAnsi" w:cstheme="minorHAnsi"/>
        </w:rPr>
        <w:t xml:space="preserve"> they may face in the workplace with evidence suggesting that these services are generally effective at increasing completion rates. Continuing to provide ITS places will ensure AASN providers can continue to support apprentices through to completion.</w:t>
      </w:r>
      <w:r w:rsidRPr="005F5709">
        <w:rPr>
          <w:rFonts w:asciiTheme="minorHAnsi" w:hAnsiTheme="minorHAnsi" w:cstheme="minorHAnsi"/>
        </w:rPr>
        <w:br w:type="page"/>
      </w:r>
      <w:bookmarkStart w:id="55" w:name="_Toc67333680"/>
      <w:bookmarkStart w:id="56" w:name="_Toc88575284"/>
    </w:p>
    <w:p w14:paraId="6D068C21" w14:textId="77777777" w:rsidR="00BD1D88" w:rsidRPr="005F5709" w:rsidRDefault="00BD1D88" w:rsidP="00736D9B">
      <w:pPr>
        <w:pStyle w:val="Heading1"/>
        <w:spacing w:after="240"/>
      </w:pPr>
      <w:bookmarkStart w:id="57" w:name="_Toc113022186"/>
      <w:r w:rsidRPr="005F5709">
        <w:lastRenderedPageBreak/>
        <w:t xml:space="preserve">Chapter Three: Need for Australian Government </w:t>
      </w:r>
      <w:proofErr w:type="gramStart"/>
      <w:r w:rsidRPr="005F5709">
        <w:t>action</w:t>
      </w:r>
      <w:bookmarkEnd w:id="57"/>
      <w:proofErr w:type="gramEnd"/>
    </w:p>
    <w:bookmarkEnd w:id="55"/>
    <w:bookmarkEnd w:id="56"/>
    <w:p w14:paraId="2F3AC14E"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A highly skilled labour force is fundamental to Australia’s future. Australian Apprenticeships are essential in providing workers with the skills and qualifications to deliver the goods and services that underpin Australia’s economy. Addressing the barriers to uptake and completion of apprenticeships is an important role for the Australian Government. Australian Government reform of the apprenticeship incentives system needs to target investment effectively to address the barriers faced by employers and apprentices. The system also needs to be financially sustainable to provide ongoing support. Broader reforms to the training system through the National Skills Agreement (NSA) are also key, noting apprenticeships are the only area of the Vocational Education and Training (VET) system where employers determine the number of people in training.</w:t>
      </w:r>
      <w:r w:rsidRPr="005F5709">
        <w:rPr>
          <w:rStyle w:val="FootnoteReference"/>
          <w:rFonts w:asciiTheme="minorHAnsi" w:hAnsiTheme="minorHAnsi" w:cstheme="minorHAnsi"/>
        </w:rPr>
        <w:footnoteReference w:id="50"/>
      </w:r>
    </w:p>
    <w:p w14:paraId="7C1695CA"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economic rationale for incentives in the apprenticeships sector is to offset the high costs to employers to increase the number of training places offered in priority occupations. Additionally, incentives paid to apprentices seek to address low wages, costs associated with training and to make apprenticeships more financially appealing compared to competing industries. Research shows employer wage subsidies and apprentice payments can influence behaviour and have a positive effect on commencement and completion rates.</w:t>
      </w:r>
      <w:r w:rsidRPr="005F5709">
        <w:rPr>
          <w:rStyle w:val="FootnoteReference"/>
          <w:rFonts w:asciiTheme="minorHAnsi" w:hAnsiTheme="minorHAnsi" w:cstheme="minorHAnsi"/>
        </w:rPr>
        <w:footnoteReference w:id="51"/>
      </w:r>
      <w:r w:rsidRPr="005F5709">
        <w:rPr>
          <w:rFonts w:asciiTheme="minorHAnsi" w:hAnsiTheme="minorHAnsi" w:cstheme="minorHAnsi"/>
        </w:rPr>
        <w:t xml:space="preserve"> Given this, offsetting costs to employers and providing financial incentives for apprentices are good policy options that will upskill the Australian workforce and fill jobs in the occupations Australia needs. </w:t>
      </w:r>
    </w:p>
    <w:p w14:paraId="097D5907"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The Australian Government shares responsibility for the VET system in Australia with state and territory governments. Recent measures, such as the Supporting Apprentices and Trainees (SAT), Boosting Apprenticeship Commencements (BAC) and Completing Apprenticeship Commencements (CAC) fundamentally transformed the apprenticeship system and demonstrated the positive impact Australian Government incentives can have on Australian Apprenticeship outcomes. A new approach to the apprenticeship incentives system will build on this success in the longer-term. This will contribute to meeting broader Australian Government objectives to reduce regulation and boost the scale and flexibility of the skilled domestic workforce. </w:t>
      </w:r>
    </w:p>
    <w:p w14:paraId="28CD11B9" w14:textId="6BEE3899" w:rsidR="00BD1D88" w:rsidRPr="005F5709" w:rsidRDefault="00BD1D88" w:rsidP="005B7527">
      <w:pPr>
        <w:pStyle w:val="Heading2"/>
        <w:rPr>
          <w:color w:val="002060"/>
        </w:rPr>
      </w:pPr>
      <w:bookmarkStart w:id="58" w:name="_Toc88575285"/>
      <w:bookmarkStart w:id="59" w:name="_Toc113022187"/>
      <w:r w:rsidRPr="005F5709">
        <w:rPr>
          <w:color w:val="002060"/>
        </w:rPr>
        <w:t xml:space="preserve">3.1 The Incentives for Australian Apprenticeships will help but more can be </w:t>
      </w:r>
      <w:proofErr w:type="gramStart"/>
      <w:r w:rsidRPr="005F5709">
        <w:rPr>
          <w:color w:val="002060"/>
        </w:rPr>
        <w:t>done</w:t>
      </w:r>
      <w:bookmarkEnd w:id="58"/>
      <w:bookmarkEnd w:id="59"/>
      <w:proofErr w:type="gramEnd"/>
    </w:p>
    <w:p w14:paraId="5E2DB82D"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The Incentives for Australian Apprenticeships (IAA) program was announced in the 2019-20 Budget to simplify and streamline Australian Apprenticeship incentives when compared with the current </w:t>
      </w:r>
      <w:r w:rsidRPr="005F5709">
        <w:rPr>
          <w:rFonts w:asciiTheme="minorHAnsi" w:eastAsia="Times New Roman" w:hAnsiTheme="minorHAnsi" w:cstheme="minorHAnsi"/>
        </w:rPr>
        <w:t xml:space="preserve">Australian Apprenticeships Incentives Program (AAIP) </w:t>
      </w:r>
      <w:r w:rsidRPr="005F5709">
        <w:rPr>
          <w:rFonts w:asciiTheme="minorHAnsi" w:hAnsiTheme="minorHAnsi" w:cstheme="minorHAnsi"/>
        </w:rPr>
        <w:t xml:space="preserve">specifically reducing the number of incentives from over 30 to 15. However, the IAA only effectively addressed some, not all, barriers to employers and apprentices. Since the IAA was announced, multiple incentives and subsidies have been introduced that provide more insight into what works and will be effective in the long-term. </w:t>
      </w:r>
    </w:p>
    <w:p w14:paraId="1AFF8B9D"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lastRenderedPageBreak/>
        <w:t>Further, since the announcement of the IAA, several reviews and research findings on the Australian Apprenticeships system have been released including:</w:t>
      </w:r>
    </w:p>
    <w:p w14:paraId="589BC3C6" w14:textId="77777777" w:rsidR="00BD1D88" w:rsidRPr="005F5709" w:rsidRDefault="00BD1D88" w:rsidP="00977294">
      <w:pPr>
        <w:pStyle w:val="ListParagraph"/>
        <w:numPr>
          <w:ilvl w:val="0"/>
          <w:numId w:val="18"/>
        </w:numPr>
        <w:spacing w:after="200" w:line="276" w:lineRule="auto"/>
        <w:rPr>
          <w:rFonts w:asciiTheme="minorHAnsi" w:hAnsiTheme="minorHAnsi" w:cstheme="minorHAnsi"/>
        </w:rPr>
      </w:pPr>
      <w:r w:rsidRPr="005F5709">
        <w:rPr>
          <w:rFonts w:asciiTheme="minorHAnsi" w:hAnsiTheme="minorHAnsi" w:cstheme="minorHAnsi"/>
        </w:rPr>
        <w:t xml:space="preserve">Review of Senior Secondary Pathways led by Professor Peter </w:t>
      </w:r>
      <w:proofErr w:type="spellStart"/>
      <w:r w:rsidRPr="005F5709">
        <w:rPr>
          <w:rFonts w:asciiTheme="minorHAnsi" w:hAnsiTheme="minorHAnsi" w:cstheme="minorHAnsi"/>
        </w:rPr>
        <w:t>Shergold</w:t>
      </w:r>
      <w:proofErr w:type="spellEnd"/>
      <w:r w:rsidRPr="005F5709">
        <w:rPr>
          <w:rFonts w:asciiTheme="minorHAnsi" w:hAnsiTheme="minorHAnsi" w:cstheme="minorHAnsi"/>
        </w:rPr>
        <w:t xml:space="preserve"> AC (June 2020); and</w:t>
      </w:r>
    </w:p>
    <w:p w14:paraId="6AB2768B" w14:textId="77777777" w:rsidR="00BD1D88" w:rsidRPr="005F5709" w:rsidRDefault="00BD1D88" w:rsidP="00977294">
      <w:pPr>
        <w:pStyle w:val="ListParagraph"/>
        <w:numPr>
          <w:ilvl w:val="0"/>
          <w:numId w:val="18"/>
        </w:numPr>
        <w:spacing w:after="200" w:line="276" w:lineRule="auto"/>
        <w:rPr>
          <w:rFonts w:asciiTheme="minorHAnsi" w:hAnsiTheme="minorHAnsi" w:cstheme="minorHAnsi"/>
        </w:rPr>
      </w:pPr>
      <w:r w:rsidRPr="005F5709">
        <w:rPr>
          <w:rFonts w:asciiTheme="minorHAnsi" w:hAnsiTheme="minorHAnsi" w:cstheme="minorHAnsi"/>
        </w:rPr>
        <w:t>Productivity Commission review of the National Agreement for Skills and Workforce Development (NASWD) (December 2020).</w:t>
      </w:r>
    </w:p>
    <w:p w14:paraId="5B7A96C0"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Based on the lessons learnt, changes in the economy from the COVID-19 pandemic and new evidence from reviews of the system, it is clear the IAA will no longer be fit for purpose and is not the best option to increase uptake and completion of apprenticeships. </w:t>
      </w:r>
    </w:p>
    <w:p w14:paraId="08F61EF1" w14:textId="0B1F43B2" w:rsidR="00BD1D88" w:rsidRPr="005F5709" w:rsidRDefault="00BD1D88" w:rsidP="007C1A3A">
      <w:pPr>
        <w:pStyle w:val="Heading2"/>
        <w:rPr>
          <w:color w:val="002060"/>
        </w:rPr>
      </w:pPr>
      <w:bookmarkStart w:id="60" w:name="_Toc113022188"/>
      <w:r w:rsidRPr="005F5709">
        <w:rPr>
          <w:color w:val="002060"/>
        </w:rPr>
        <w:t>3.2 Economic conditions</w:t>
      </w:r>
      <w:bookmarkEnd w:id="60"/>
    </w:p>
    <w:p w14:paraId="650DB933" w14:textId="77777777" w:rsidR="00BD1D88" w:rsidRPr="005F5709" w:rsidRDefault="00BD1D88" w:rsidP="0065788D">
      <w:pPr>
        <w:rPr>
          <w:rFonts w:asciiTheme="minorHAnsi" w:eastAsiaTheme="minorEastAsia" w:hAnsiTheme="minorHAnsi" w:cstheme="minorHAnsi"/>
          <w:color w:val="000000" w:themeColor="text1"/>
        </w:rPr>
      </w:pPr>
      <w:r w:rsidRPr="005F5709">
        <w:rPr>
          <w:rFonts w:asciiTheme="minorHAnsi" w:eastAsiaTheme="minorEastAsia" w:hAnsiTheme="minorHAnsi" w:cstheme="minorHAnsi"/>
          <w:color w:val="000000" w:themeColor="text1"/>
        </w:rPr>
        <w:t xml:space="preserve">The Reserve Bank of Australia (RBA) forecasts a strong economic recovery as Australia rebounds from the economic effects of COVID-19. Notably, the unemployment rate is forecast to decline to 3 and ¾ per cent by the end of 2023, which is lower than pre-pandemic unemployment rates. </w:t>
      </w:r>
    </w:p>
    <w:p w14:paraId="5A86B577" w14:textId="77777777" w:rsidR="00BD1D88" w:rsidRPr="005F5709" w:rsidRDefault="00BD1D88" w:rsidP="0065788D">
      <w:pPr>
        <w:rPr>
          <w:rFonts w:asciiTheme="minorHAnsi" w:eastAsiaTheme="minorEastAsia" w:hAnsiTheme="minorHAnsi" w:cstheme="minorHAnsi"/>
          <w:color w:val="000000" w:themeColor="text1"/>
        </w:rPr>
      </w:pPr>
      <w:r w:rsidRPr="005F5709">
        <w:rPr>
          <w:rFonts w:asciiTheme="minorHAnsi" w:eastAsiaTheme="minorEastAsia" w:hAnsiTheme="minorHAnsi" w:cstheme="minorHAnsi"/>
          <w:color w:val="000000" w:themeColor="text1"/>
        </w:rPr>
        <w:t>This will have major implications for the apprenticeships ecosystem, as low unemployment rates are likely to increase workforce demand and decrease supply. These changes may exacerbate existing skills shortages, particularly in lower paid positions like apprenticeships. Shortages in supply are also likely to significantly increase competition for labour in the short term. Without Australian Government action, this will have adverse effects on commencement and completion rates as potential apprentices take up more attractive employment opportunities.</w:t>
      </w:r>
    </w:p>
    <w:p w14:paraId="7CEC6B32" w14:textId="77777777" w:rsidR="00BD1D88" w:rsidRPr="005F5709" w:rsidRDefault="00BD1D88" w:rsidP="0065788D">
      <w:pPr>
        <w:rPr>
          <w:rFonts w:asciiTheme="minorHAnsi" w:hAnsiTheme="minorHAnsi" w:cstheme="minorHAnsi"/>
        </w:rPr>
      </w:pPr>
      <w:r w:rsidRPr="005F5709">
        <w:rPr>
          <w:rFonts w:asciiTheme="minorHAnsi" w:eastAsiaTheme="minorEastAsia" w:hAnsiTheme="minorHAnsi" w:cstheme="minorHAnsi"/>
          <w:color w:val="000000" w:themeColor="text1"/>
        </w:rPr>
        <w:t xml:space="preserve">Australian Government intervention is needed to ensure Australian Apprenticeships are an attractive career path for prospective apprentices in order to limit supply issues. Additionally, employers need greater certainty and support to continue offering apprenticeship positions in areas that will address skill shortages throughout Australia. </w:t>
      </w:r>
    </w:p>
    <w:p w14:paraId="14D95C9F" w14:textId="6A8682EA" w:rsidR="00BD1D88" w:rsidRPr="005F5709" w:rsidRDefault="00BD1D88" w:rsidP="007C1A3A">
      <w:pPr>
        <w:pStyle w:val="Heading2"/>
      </w:pPr>
      <w:bookmarkStart w:id="61" w:name="_Toc88575286"/>
      <w:bookmarkStart w:id="62" w:name="_Toc113022189"/>
      <w:r w:rsidRPr="005F5709">
        <w:rPr>
          <w:color w:val="002060"/>
        </w:rPr>
        <w:t>3.3 What happens if we do nothing?</w:t>
      </w:r>
      <w:bookmarkEnd w:id="61"/>
      <w:bookmarkEnd w:id="62"/>
    </w:p>
    <w:p w14:paraId="71C2F230"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Without further reform, it is reasonable to predict that barriers to participating in and completing an Australian Apprenticeship will persist. This will have a negative impact on the availability of skilled labour and hinder Australia’s economic recovery. The significant gains from the investment made by the Australian Government through the successful SAT, BAC and CAC measures during the COVID-19 pandemic will be lost if the effort is not made now. </w:t>
      </w:r>
    </w:p>
    <w:p w14:paraId="5ED1FEA4" w14:textId="77777777" w:rsidR="00BD1D88" w:rsidRPr="005F5709" w:rsidRDefault="00BD1D88">
      <w:pPr>
        <w:rPr>
          <w:rFonts w:asciiTheme="minorHAnsi" w:hAnsiTheme="minorHAnsi" w:cstheme="minorHAnsi"/>
        </w:rPr>
      </w:pPr>
      <w:r w:rsidRPr="005F5709">
        <w:rPr>
          <w:rFonts w:asciiTheme="minorHAnsi" w:hAnsiTheme="minorHAnsi" w:cstheme="minorHAnsi"/>
        </w:rPr>
        <w:t>With no policy changes, annual commencements of Australian Apprentices are expected to significantly decline below pre-COVID-19 levels. This potential decline risks undermining the legitimacy of Australian Apprenticeships as a viable, long-term employment pathway. It is critical the Australian Government’s investment is maximised, by ensuring recent commencements translate into completions and new hiring continues to be stimulated, focusing on the skills we need now and into the future.</w:t>
      </w:r>
    </w:p>
    <w:p w14:paraId="3922C64D" w14:textId="77777777" w:rsidR="00BD1D88" w:rsidRPr="005F5709" w:rsidRDefault="00BD1D88" w:rsidP="0065788D">
      <w:pPr>
        <w:rPr>
          <w:rFonts w:asciiTheme="minorHAnsi" w:hAnsiTheme="minorHAnsi" w:cstheme="minorHAnsi"/>
        </w:rPr>
      </w:pPr>
      <w:r w:rsidRPr="005F5709">
        <w:rPr>
          <w:rFonts w:asciiTheme="minorHAnsi" w:hAnsiTheme="minorHAnsi" w:cstheme="minorHAnsi"/>
        </w:rPr>
        <w:br w:type="page"/>
      </w:r>
    </w:p>
    <w:p w14:paraId="061E40F5" w14:textId="77777777" w:rsidR="00BD1D88" w:rsidRPr="005F5709" w:rsidRDefault="00BD1D88" w:rsidP="00736D9B">
      <w:pPr>
        <w:pStyle w:val="Heading1"/>
        <w:spacing w:after="240"/>
      </w:pPr>
      <w:bookmarkStart w:id="63" w:name="_Toc88575287"/>
      <w:bookmarkStart w:id="64" w:name="_Toc113022190"/>
      <w:bookmarkStart w:id="65" w:name="_Toc88575297"/>
      <w:bookmarkStart w:id="66" w:name="_Toc67333686"/>
      <w:r w:rsidRPr="005F5709">
        <w:lastRenderedPageBreak/>
        <w:t xml:space="preserve">Chapter Four: </w:t>
      </w:r>
      <w:bookmarkEnd w:id="63"/>
      <w:r w:rsidRPr="005F5709">
        <w:t>Policy Options</w:t>
      </w:r>
      <w:bookmarkEnd w:id="64"/>
    </w:p>
    <w:p w14:paraId="51AEA755" w14:textId="77777777" w:rsidR="00BD1D88" w:rsidRPr="005F5709" w:rsidRDefault="00BD1D88" w:rsidP="00693020">
      <w:pPr>
        <w:rPr>
          <w:rFonts w:asciiTheme="minorHAnsi" w:eastAsia="Times New Roman" w:hAnsiTheme="minorHAnsi" w:cstheme="minorHAnsi"/>
          <w:highlight w:val="lightGray"/>
        </w:rPr>
      </w:pPr>
      <w:r w:rsidRPr="005F5709">
        <w:rPr>
          <w:rFonts w:asciiTheme="minorHAnsi" w:eastAsia="Times New Roman" w:hAnsiTheme="minorHAnsi" w:cstheme="minorHAnsi"/>
        </w:rPr>
        <w:t>Incentive programs are designed to improve the attractiveness of apprenticeships, particularly for employers, to address skills shortages in many occupations that depend on apprenticeships as the main pathway to training and support the development of a highly skilled Australian workforce.</w:t>
      </w:r>
      <w:r w:rsidRPr="005F5709">
        <w:rPr>
          <w:rFonts w:asciiTheme="minorHAnsi" w:hAnsiTheme="minorHAnsi" w:cstheme="minorHAnsi"/>
        </w:rPr>
        <w:t xml:space="preserve"> Removing incentives is therefore not being considered as an option as it would have an adverse impact on Australia’s pipeline of skilled workers and employers in key industries.</w:t>
      </w:r>
    </w:p>
    <w:p w14:paraId="345647CA"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Numerous policy options have been explored to address the issues with the current incentives system. The key policy parameters considered are that:</w:t>
      </w:r>
    </w:p>
    <w:p w14:paraId="6D0CD70A" w14:textId="77777777" w:rsidR="00BD1D88" w:rsidRPr="005F5709" w:rsidRDefault="00BD1D88" w:rsidP="00977294">
      <w:pPr>
        <w:pStyle w:val="ListParagraph"/>
        <w:numPr>
          <w:ilvl w:val="0"/>
          <w:numId w:val="21"/>
        </w:numPr>
        <w:spacing w:after="200" w:line="276" w:lineRule="auto"/>
        <w:rPr>
          <w:rFonts w:asciiTheme="minorHAnsi" w:hAnsiTheme="minorHAnsi" w:cstheme="minorHAnsi"/>
        </w:rPr>
      </w:pPr>
      <w:r w:rsidRPr="005F5709">
        <w:rPr>
          <w:rFonts w:asciiTheme="minorHAnsi" w:hAnsiTheme="minorHAnsi" w:cstheme="minorHAnsi"/>
        </w:rPr>
        <w:t>Incentives should be targeted to address skill shortages;</w:t>
      </w:r>
    </w:p>
    <w:p w14:paraId="20A27F7D" w14:textId="77777777" w:rsidR="00BD1D88" w:rsidRPr="005F5709" w:rsidRDefault="00BD1D88" w:rsidP="00977294">
      <w:pPr>
        <w:pStyle w:val="ListParagraph"/>
        <w:numPr>
          <w:ilvl w:val="0"/>
          <w:numId w:val="21"/>
        </w:numPr>
        <w:spacing w:after="200" w:line="276" w:lineRule="auto"/>
        <w:rPr>
          <w:rFonts w:asciiTheme="minorHAnsi" w:hAnsiTheme="minorHAnsi" w:cstheme="minorHAnsi"/>
        </w:rPr>
      </w:pPr>
      <w:r w:rsidRPr="005F5709">
        <w:rPr>
          <w:rFonts w:asciiTheme="minorHAnsi" w:hAnsiTheme="minorHAnsi" w:cstheme="minorHAnsi"/>
        </w:rPr>
        <w:t xml:space="preserve">Incentives should lower the costs to employers; </w:t>
      </w:r>
    </w:p>
    <w:p w14:paraId="1501A4C5" w14:textId="77777777" w:rsidR="00BD1D88" w:rsidRPr="005F5709" w:rsidRDefault="00BD1D88" w:rsidP="00977294">
      <w:pPr>
        <w:pStyle w:val="ListParagraph"/>
        <w:numPr>
          <w:ilvl w:val="0"/>
          <w:numId w:val="21"/>
        </w:numPr>
        <w:spacing w:after="200" w:line="276" w:lineRule="auto"/>
        <w:rPr>
          <w:rFonts w:asciiTheme="minorHAnsi" w:hAnsiTheme="minorHAnsi" w:cstheme="minorHAnsi"/>
        </w:rPr>
      </w:pPr>
      <w:r w:rsidRPr="005F5709">
        <w:rPr>
          <w:rFonts w:asciiTheme="minorHAnsi" w:hAnsiTheme="minorHAnsi" w:cstheme="minorHAnsi"/>
        </w:rPr>
        <w:t>Incentives should focus on the decision maker;</w:t>
      </w:r>
    </w:p>
    <w:p w14:paraId="7B1AE28B" w14:textId="77777777" w:rsidR="00BD1D88" w:rsidRPr="005F5709" w:rsidRDefault="00BD1D88" w:rsidP="00977294">
      <w:pPr>
        <w:pStyle w:val="ListParagraph"/>
        <w:numPr>
          <w:ilvl w:val="0"/>
          <w:numId w:val="21"/>
        </w:numPr>
        <w:spacing w:after="200" w:line="276" w:lineRule="auto"/>
        <w:rPr>
          <w:rFonts w:asciiTheme="minorHAnsi" w:hAnsiTheme="minorHAnsi" w:cstheme="minorHAnsi"/>
        </w:rPr>
      </w:pPr>
      <w:r w:rsidRPr="005F5709">
        <w:rPr>
          <w:rFonts w:asciiTheme="minorHAnsi" w:hAnsiTheme="minorHAnsi" w:cstheme="minorHAnsi"/>
        </w:rPr>
        <w:t>Incentives should be simpler to navigate and understand; and</w:t>
      </w:r>
    </w:p>
    <w:p w14:paraId="5171EB8D" w14:textId="77777777" w:rsidR="00BD1D88" w:rsidRPr="005F5709" w:rsidRDefault="00BD1D88" w:rsidP="00977294">
      <w:pPr>
        <w:pStyle w:val="ListParagraph"/>
        <w:numPr>
          <w:ilvl w:val="0"/>
          <w:numId w:val="21"/>
        </w:numPr>
        <w:spacing w:after="200" w:line="276" w:lineRule="auto"/>
        <w:rPr>
          <w:rFonts w:asciiTheme="minorHAnsi" w:hAnsiTheme="minorHAnsi" w:cstheme="minorHAnsi"/>
        </w:rPr>
      </w:pPr>
      <w:r w:rsidRPr="005F5709">
        <w:rPr>
          <w:rFonts w:asciiTheme="minorHAnsi" w:hAnsiTheme="minorHAnsi" w:cstheme="minorHAnsi"/>
        </w:rPr>
        <w:t>Employers and apprentices should have access to more non-financial support.</w:t>
      </w:r>
    </w:p>
    <w:p w14:paraId="1A666035"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 xml:space="preserve">Learnings from apprenticeships COVID-19 economic response measures such as the Boosting Apprenticeship Commencements (BAC), Supporting Apprentice and Trainees (SAT) and Completing Apprenticeship Commencements (CAC) measures, have also been </w:t>
      </w:r>
      <w:proofErr w:type="gramStart"/>
      <w:r w:rsidRPr="005F5709">
        <w:rPr>
          <w:rFonts w:asciiTheme="minorHAnsi" w:hAnsiTheme="minorHAnsi" w:cstheme="minorHAnsi"/>
        </w:rPr>
        <w:t>taken into account</w:t>
      </w:r>
      <w:proofErr w:type="gramEnd"/>
      <w:r w:rsidRPr="005F5709">
        <w:rPr>
          <w:rFonts w:asciiTheme="minorHAnsi" w:hAnsiTheme="minorHAnsi" w:cstheme="minorHAnsi"/>
        </w:rPr>
        <w:t xml:space="preserve">. </w:t>
      </w:r>
    </w:p>
    <w:p w14:paraId="64859EE1"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Table 4 briefly outlines the three options explored in this RIS. These include:</w:t>
      </w:r>
    </w:p>
    <w:p w14:paraId="752CFE78" w14:textId="77777777" w:rsidR="00BD1D88" w:rsidRPr="005F5709" w:rsidRDefault="00BD1D88" w:rsidP="00977294">
      <w:pPr>
        <w:pStyle w:val="ListParagraph"/>
        <w:numPr>
          <w:ilvl w:val="0"/>
          <w:numId w:val="51"/>
        </w:numPr>
        <w:spacing w:after="200" w:line="276" w:lineRule="auto"/>
        <w:rPr>
          <w:rFonts w:asciiTheme="minorHAnsi" w:hAnsiTheme="minorHAnsi" w:cstheme="minorHAnsi"/>
          <w:strike/>
        </w:rPr>
      </w:pPr>
      <w:r w:rsidRPr="005F5709">
        <w:rPr>
          <w:rFonts w:asciiTheme="minorHAnsi" w:hAnsiTheme="minorHAnsi" w:cstheme="minorHAnsi"/>
        </w:rPr>
        <w:t xml:space="preserve">An option to make no further reform which will result in the Incentives for Australian Apprenticeships (IAA) program coming into effect from 1 July 2022; </w:t>
      </w:r>
    </w:p>
    <w:p w14:paraId="5A2B2E8A" w14:textId="77777777" w:rsidR="00BD1D88" w:rsidRPr="005F5709" w:rsidRDefault="00BD1D88" w:rsidP="00977294">
      <w:pPr>
        <w:pStyle w:val="ListParagraph"/>
        <w:numPr>
          <w:ilvl w:val="0"/>
          <w:numId w:val="51"/>
        </w:numPr>
        <w:spacing w:after="200" w:line="276" w:lineRule="auto"/>
        <w:rPr>
          <w:rFonts w:asciiTheme="minorHAnsi" w:hAnsiTheme="minorHAnsi" w:cstheme="minorHAnsi"/>
          <w:strike/>
        </w:rPr>
      </w:pPr>
      <w:r w:rsidRPr="005F5709">
        <w:rPr>
          <w:rFonts w:asciiTheme="minorHAnsi" w:hAnsiTheme="minorHAnsi" w:cstheme="minorHAnsi"/>
        </w:rPr>
        <w:t xml:space="preserve">A targeted option that refocuses the existing program to invest in priority occupations only from 1 July 2022; and </w:t>
      </w:r>
    </w:p>
    <w:p w14:paraId="45A5422B" w14:textId="77777777" w:rsidR="00BD1D88" w:rsidRPr="005F5709" w:rsidRDefault="00BD1D88" w:rsidP="00977294">
      <w:pPr>
        <w:pStyle w:val="ListParagraph"/>
        <w:numPr>
          <w:ilvl w:val="0"/>
          <w:numId w:val="51"/>
        </w:numPr>
        <w:spacing w:after="200" w:line="276" w:lineRule="auto"/>
        <w:rPr>
          <w:rFonts w:asciiTheme="minorHAnsi" w:hAnsiTheme="minorHAnsi" w:cstheme="minorHAnsi"/>
          <w:strike/>
        </w:rPr>
      </w:pPr>
      <w:r w:rsidRPr="005F5709">
        <w:rPr>
          <w:rFonts w:asciiTheme="minorHAnsi" w:hAnsiTheme="minorHAnsi" w:cstheme="minorHAnsi"/>
        </w:rPr>
        <w:t>A phased option with higher support until 1 July 2024, following by a reduction in support that stabilises at</w:t>
      </w:r>
      <w:r w:rsidRPr="005F5709" w:rsidDel="00634F26">
        <w:rPr>
          <w:rFonts w:asciiTheme="minorHAnsi" w:hAnsiTheme="minorHAnsi" w:cstheme="minorHAnsi"/>
        </w:rPr>
        <w:t xml:space="preserve"> </w:t>
      </w:r>
      <w:r w:rsidRPr="005F5709">
        <w:rPr>
          <w:rFonts w:asciiTheme="minorHAnsi" w:hAnsiTheme="minorHAnsi" w:cstheme="minorHAnsi"/>
        </w:rPr>
        <w:t>2019 levels.</w:t>
      </w:r>
    </w:p>
    <w:p w14:paraId="6FE843E2" w14:textId="77777777" w:rsidR="00BD1D88" w:rsidRPr="005F5709" w:rsidRDefault="00BD1D88" w:rsidP="008E1411">
      <w:pPr>
        <w:rPr>
          <w:rStyle w:val="Strong"/>
          <w:rFonts w:asciiTheme="minorHAnsi" w:hAnsiTheme="minorHAnsi" w:cstheme="minorHAnsi"/>
        </w:rPr>
      </w:pPr>
      <w:r w:rsidRPr="005F5709">
        <w:rPr>
          <w:rStyle w:val="Strong"/>
          <w:rFonts w:asciiTheme="minorHAnsi" w:hAnsiTheme="minorHAnsi" w:cstheme="minorHAnsi"/>
        </w:rPr>
        <w:t>Cost and the role of government intervention</w:t>
      </w:r>
    </w:p>
    <w:p w14:paraId="3C813441" w14:textId="77777777" w:rsidR="00BD1D88" w:rsidRPr="005F5709" w:rsidRDefault="00BD1D88" w:rsidP="008E1411">
      <w:pPr>
        <w:rPr>
          <w:rFonts w:asciiTheme="minorHAnsi" w:hAnsiTheme="minorHAnsi" w:cstheme="minorHAnsi"/>
        </w:rPr>
      </w:pPr>
      <w:r w:rsidRPr="005F5709">
        <w:rPr>
          <w:rFonts w:asciiTheme="minorHAnsi" w:hAnsiTheme="minorHAnsi" w:cstheme="minorHAnsi"/>
        </w:rPr>
        <w:t>A further consideration in the design of the policy options is the total cost of the intervention, with a need to ensure fiscal sustainability in the longer term. As a result of this consideration, the Department</w:t>
      </w:r>
      <w:r w:rsidRPr="005F5709" w:rsidDel="00634F26">
        <w:rPr>
          <w:rFonts w:asciiTheme="minorHAnsi" w:hAnsiTheme="minorHAnsi" w:cstheme="minorHAnsi"/>
        </w:rPr>
        <w:t xml:space="preserve"> </w:t>
      </w:r>
      <w:r w:rsidRPr="005F5709">
        <w:rPr>
          <w:rFonts w:asciiTheme="minorHAnsi" w:hAnsiTheme="minorHAnsi" w:cstheme="minorHAnsi"/>
        </w:rPr>
        <w:t>is not</w:t>
      </w:r>
      <w:r w:rsidRPr="005F5709" w:rsidDel="00634F26">
        <w:rPr>
          <w:rFonts w:asciiTheme="minorHAnsi" w:hAnsiTheme="minorHAnsi" w:cstheme="minorHAnsi"/>
        </w:rPr>
        <w:t xml:space="preserve"> </w:t>
      </w:r>
      <w:r w:rsidRPr="005F5709">
        <w:rPr>
          <w:rFonts w:asciiTheme="minorHAnsi" w:hAnsiTheme="minorHAnsi" w:cstheme="minorHAnsi"/>
        </w:rPr>
        <w:t xml:space="preserve">proposing the introduction of a </w:t>
      </w:r>
      <w:proofErr w:type="gramStart"/>
      <w:r w:rsidRPr="005F5709">
        <w:rPr>
          <w:rFonts w:asciiTheme="minorHAnsi" w:hAnsiTheme="minorHAnsi" w:cstheme="minorHAnsi"/>
        </w:rPr>
        <w:t>long term</w:t>
      </w:r>
      <w:proofErr w:type="gramEnd"/>
      <w:r w:rsidRPr="005F5709">
        <w:rPr>
          <w:rFonts w:asciiTheme="minorHAnsi" w:hAnsiTheme="minorHAnsi" w:cstheme="minorHAnsi"/>
        </w:rPr>
        <w:t xml:space="preserve"> wage subsidy package – covering both priority (for example carpenters, electricians and childcare workers) and non-priority occupations (for example office managers, general clerks and sales assistants. </w:t>
      </w:r>
    </w:p>
    <w:p w14:paraId="43BE84E5" w14:textId="77777777" w:rsidR="00BD1D88" w:rsidRPr="005F5709" w:rsidRDefault="00BD1D88" w:rsidP="008E1411">
      <w:pPr>
        <w:rPr>
          <w:rFonts w:asciiTheme="minorHAnsi" w:hAnsiTheme="minorHAnsi" w:cstheme="minorHAnsi"/>
        </w:rPr>
      </w:pPr>
      <w:r w:rsidRPr="005F5709">
        <w:rPr>
          <w:rFonts w:asciiTheme="minorHAnsi" w:hAnsiTheme="minorHAnsi" w:cstheme="minorHAnsi"/>
        </w:rPr>
        <w:t xml:space="preserve">The BAC, a broad policy measure </w:t>
      </w:r>
      <w:proofErr w:type="gramStart"/>
      <w:r w:rsidRPr="005F5709">
        <w:rPr>
          <w:rFonts w:asciiTheme="minorHAnsi" w:hAnsiTheme="minorHAnsi" w:cstheme="minorHAnsi"/>
        </w:rPr>
        <w:t>open</w:t>
      </w:r>
      <w:proofErr w:type="gramEnd"/>
      <w:r w:rsidRPr="005F5709">
        <w:rPr>
          <w:rFonts w:asciiTheme="minorHAnsi" w:hAnsiTheme="minorHAnsi" w:cstheme="minorHAnsi"/>
        </w:rPr>
        <w:t xml:space="preserve"> to all employers of apprentices and trainees, both trade and non-trade, was introduced as a key COVID-19 pandemic response measure. It was designed to address the steep decline in Australian Apprenticeship commencements in mid-2020 (around 20 per cent). This measure was further supported by the introduction of the CAC in 2021 which focused on providing ongoing support to apprentices and trainees engaged through the BAC and stabilising the broader Australian Apprenticeships system. </w:t>
      </w:r>
    </w:p>
    <w:p w14:paraId="7EFD1284" w14:textId="77777777" w:rsidR="00BD1D88" w:rsidRPr="005F5709" w:rsidRDefault="00BD1D88" w:rsidP="008E1411">
      <w:pPr>
        <w:rPr>
          <w:rFonts w:asciiTheme="minorHAnsi" w:hAnsiTheme="minorHAnsi" w:cstheme="minorHAnsi"/>
        </w:rPr>
      </w:pPr>
      <w:r w:rsidRPr="005F5709">
        <w:rPr>
          <w:rFonts w:asciiTheme="minorHAnsi" w:hAnsiTheme="minorHAnsi" w:cstheme="minorHAnsi"/>
        </w:rPr>
        <w:lastRenderedPageBreak/>
        <w:t xml:space="preserve">The BAC was never intended to become a permanent feature of the system; it was delivered as a short-term boost to support employers as the economy recovered. </w:t>
      </w:r>
    </w:p>
    <w:p w14:paraId="4DBC3D2D" w14:textId="77777777" w:rsidR="00BD1D88" w:rsidRPr="005F5709" w:rsidRDefault="00BD1D88" w:rsidP="008E1411">
      <w:pPr>
        <w:rPr>
          <w:rFonts w:asciiTheme="minorHAnsi" w:hAnsiTheme="minorHAnsi" w:cstheme="minorHAnsi"/>
        </w:rPr>
      </w:pPr>
      <w:r w:rsidRPr="005F5709">
        <w:rPr>
          <w:rFonts w:asciiTheme="minorHAnsi" w:hAnsiTheme="minorHAnsi" w:cstheme="minorHAnsi"/>
        </w:rPr>
        <w:t xml:space="preserve">The BAC wage subsidy lifted the total number of apprentices and trainees in-training, increasing from 264,585 in September 2020 (National Centre for Vocational Education Research (NCVER)) to 360,000 in September 2021 (Departmental program data). As at 10 </w:t>
      </w:r>
      <w:proofErr w:type="gramStart"/>
      <w:r w:rsidRPr="005F5709">
        <w:rPr>
          <w:rFonts w:asciiTheme="minorHAnsi" w:hAnsiTheme="minorHAnsi" w:cstheme="minorHAnsi"/>
        </w:rPr>
        <w:t>March ,</w:t>
      </w:r>
      <w:proofErr w:type="gramEnd"/>
      <w:r w:rsidRPr="005F5709">
        <w:rPr>
          <w:rFonts w:asciiTheme="minorHAnsi" w:hAnsiTheme="minorHAnsi" w:cstheme="minorHAnsi"/>
        </w:rPr>
        <w:t xml:space="preserve"> 71,600 businesses have been supported by the BAC. </w:t>
      </w:r>
    </w:p>
    <w:p w14:paraId="4983BE7D" w14:textId="77777777" w:rsidR="00BD1D88" w:rsidRPr="005F5709" w:rsidRDefault="00BD1D88" w:rsidP="008E1411">
      <w:pPr>
        <w:rPr>
          <w:rFonts w:asciiTheme="minorHAnsi" w:hAnsiTheme="minorHAnsi" w:cstheme="minorHAnsi"/>
        </w:rPr>
      </w:pPr>
      <w:r w:rsidRPr="005F5709">
        <w:rPr>
          <w:rFonts w:asciiTheme="minorHAnsi" w:hAnsiTheme="minorHAnsi" w:cstheme="minorHAnsi"/>
        </w:rPr>
        <w:t xml:space="preserve">The BAC and CAC however are high cost, with around $5.8 billion provided over the forwards. </w:t>
      </w:r>
    </w:p>
    <w:p w14:paraId="5E2FA4C3" w14:textId="77777777" w:rsidR="00BD1D88" w:rsidRPr="005F5709" w:rsidRDefault="00BD1D88" w:rsidP="00540DA5">
      <w:pPr>
        <w:rPr>
          <w:rFonts w:asciiTheme="minorHAnsi" w:hAnsiTheme="minorHAnsi" w:cstheme="minorHAnsi"/>
        </w:rPr>
      </w:pPr>
      <w:r w:rsidRPr="005F5709">
        <w:rPr>
          <w:rFonts w:asciiTheme="minorHAnsi" w:hAnsiTheme="minorHAnsi" w:cstheme="minorHAnsi"/>
        </w:rPr>
        <w:t>This style of measure would not be fiscally sustainable as it would build a long-term employer dependence on Australian Government intervention and significant financial support to take on an apprentice. Given that the benefits from apprenticeships are shared with employers and industry more widely, governments should not be expected to cover a substantial portion of the costs involved with the apprenticeship.</w:t>
      </w:r>
      <w:r w:rsidRPr="005F5709">
        <w:rPr>
          <w:rStyle w:val="FootnoteReference"/>
          <w:rFonts w:asciiTheme="minorHAnsi" w:hAnsiTheme="minorHAnsi" w:cstheme="minorHAnsi"/>
        </w:rPr>
        <w:footnoteReference w:id="52"/>
      </w:r>
      <w:r w:rsidRPr="005F5709">
        <w:rPr>
          <w:rFonts w:asciiTheme="minorHAnsi" w:hAnsiTheme="minorHAnsi" w:cstheme="minorHAnsi"/>
        </w:rPr>
        <w:t xml:space="preserve"> Employers reap the benefits from the skilled labour the apprentice provides, and as such should expect to pay most of the apprentice’s wages and costs. Accordingly,</w:t>
      </w:r>
      <w:r w:rsidRPr="005F5709" w:rsidDel="00634F26">
        <w:rPr>
          <w:rFonts w:asciiTheme="minorHAnsi" w:hAnsiTheme="minorHAnsi" w:cstheme="minorHAnsi"/>
        </w:rPr>
        <w:t xml:space="preserve"> </w:t>
      </w:r>
      <w:r w:rsidRPr="005F5709">
        <w:rPr>
          <w:rFonts w:asciiTheme="minorHAnsi" w:hAnsiTheme="minorHAnsi" w:cstheme="minorHAnsi"/>
        </w:rPr>
        <w:t xml:space="preserve">the introduction of a new incentives model to stimulate commencements and completions by providing a high value wage subsidy for all occupations irrespective of the needs of industry and the economy similar to the BAC and CAC is not proposed. </w:t>
      </w:r>
    </w:p>
    <w:p w14:paraId="64D0C77F" w14:textId="77777777" w:rsidR="00BD1D88" w:rsidRPr="005F5709" w:rsidRDefault="00BD1D88" w:rsidP="00540DA5">
      <w:pPr>
        <w:rPr>
          <w:rFonts w:asciiTheme="minorHAnsi" w:hAnsiTheme="minorHAnsi" w:cstheme="minorHAnsi"/>
        </w:rPr>
      </w:pPr>
      <w:r w:rsidRPr="005F5709">
        <w:rPr>
          <w:rFonts w:asciiTheme="minorHAnsi" w:hAnsiTheme="minorHAnsi" w:cstheme="minorHAnsi"/>
        </w:rPr>
        <w:t xml:space="preserve">Systems are not designed to be set and forget. They require regular monitoring, review and evaluation to enable them to shift to the changing needs of the economy. Continuing to direct significant investment towards non-priority occupations without any review or tapering would divert valuable resource from areas of skills need. Effectively this model would see the government supplementing the wages for positions that businesses would traditionally have filled themselves without the need for government intervention.  </w:t>
      </w:r>
    </w:p>
    <w:p w14:paraId="38823A3D" w14:textId="77777777" w:rsidR="00BD1D88" w:rsidRPr="005F5709" w:rsidRDefault="00BD1D88" w:rsidP="00540DA5">
      <w:pPr>
        <w:rPr>
          <w:rFonts w:asciiTheme="minorHAnsi" w:hAnsiTheme="minorHAnsi" w:cstheme="minorHAnsi"/>
        </w:rPr>
      </w:pPr>
      <w:r w:rsidRPr="005F5709">
        <w:rPr>
          <w:rFonts w:asciiTheme="minorHAnsi" w:hAnsiTheme="minorHAnsi" w:cstheme="minorHAnsi"/>
        </w:rPr>
        <w:t xml:space="preserve">A package of this nature would result in a significant increase in Australian Government ongoing spending in apprenticeships. As such, the introduction of a long-term </w:t>
      </w:r>
      <w:proofErr w:type="gramStart"/>
      <w:r w:rsidRPr="005F5709">
        <w:rPr>
          <w:rFonts w:asciiTheme="minorHAnsi" w:hAnsiTheme="minorHAnsi" w:cstheme="minorHAnsi"/>
        </w:rPr>
        <w:t>high cost</w:t>
      </w:r>
      <w:proofErr w:type="gramEnd"/>
      <w:r w:rsidRPr="005F5709">
        <w:rPr>
          <w:rFonts w:asciiTheme="minorHAnsi" w:hAnsiTheme="minorHAnsi" w:cstheme="minorHAnsi"/>
        </w:rPr>
        <w:t xml:space="preserve"> wage subsidy has not been included in this RIS. </w:t>
      </w:r>
    </w:p>
    <w:p w14:paraId="77010D99" w14:textId="77777777" w:rsidR="00BD1D88" w:rsidRPr="005F5709" w:rsidRDefault="00BD1D88" w:rsidP="00E01A34">
      <w:pPr>
        <w:rPr>
          <w:rFonts w:asciiTheme="minorHAnsi" w:hAnsiTheme="minorHAnsi" w:cstheme="minorHAnsi"/>
          <w:b/>
          <w:bCs/>
        </w:rPr>
      </w:pPr>
      <w:r w:rsidRPr="005F5709">
        <w:rPr>
          <w:rFonts w:asciiTheme="minorHAnsi" w:hAnsiTheme="minorHAnsi" w:cstheme="minorHAnsi"/>
        </w:rPr>
        <w:t xml:space="preserve"> </w:t>
      </w:r>
      <w:r w:rsidRPr="005F5709">
        <w:rPr>
          <w:rFonts w:asciiTheme="minorHAnsi" w:hAnsiTheme="minorHAnsi" w:cstheme="minorHAnsi"/>
          <w:b/>
          <w:bCs/>
        </w:rPr>
        <w:t>Table 4: Policy options under consideration</w:t>
      </w:r>
    </w:p>
    <w:tbl>
      <w:tblPr>
        <w:tblStyle w:val="TableGrid"/>
        <w:tblW w:w="0" w:type="auto"/>
        <w:tblLook w:val="04A0" w:firstRow="1" w:lastRow="0" w:firstColumn="1" w:lastColumn="0" w:noHBand="0" w:noVBand="1"/>
      </w:tblPr>
      <w:tblGrid>
        <w:gridCol w:w="1276"/>
        <w:gridCol w:w="7740"/>
      </w:tblGrid>
      <w:tr w:rsidR="00BD1D88" w:rsidRPr="005F5709" w14:paraId="442E44EE" w14:textId="77777777" w:rsidTr="00875719">
        <w:trPr>
          <w:tblHeader/>
        </w:trPr>
        <w:tc>
          <w:tcPr>
            <w:tcW w:w="1276" w:type="dxa"/>
            <w:tcBorders>
              <w:right w:val="nil"/>
            </w:tcBorders>
            <w:shd w:val="clear" w:color="auto" w:fill="E7E6E6" w:themeFill="background2"/>
          </w:tcPr>
          <w:p w14:paraId="7E73A5CF" w14:textId="77777777" w:rsidR="00BD1D88" w:rsidRPr="005F5709" w:rsidRDefault="00BD1D88" w:rsidP="001F4E9B">
            <w:pPr>
              <w:rPr>
                <w:rFonts w:asciiTheme="minorHAnsi" w:hAnsiTheme="minorHAnsi" w:cstheme="minorHAnsi"/>
                <w:b/>
                <w:bCs/>
              </w:rPr>
            </w:pPr>
            <w:r w:rsidRPr="005F5709">
              <w:rPr>
                <w:rFonts w:asciiTheme="minorHAnsi" w:hAnsiTheme="minorHAnsi" w:cstheme="minorHAnsi"/>
                <w:b/>
                <w:bCs/>
              </w:rPr>
              <w:t>Option</w:t>
            </w:r>
          </w:p>
        </w:tc>
        <w:tc>
          <w:tcPr>
            <w:tcW w:w="7740" w:type="dxa"/>
            <w:tcBorders>
              <w:left w:val="nil"/>
            </w:tcBorders>
            <w:shd w:val="clear" w:color="auto" w:fill="E7E6E6" w:themeFill="background2"/>
          </w:tcPr>
          <w:p w14:paraId="35ACE086" w14:textId="77777777" w:rsidR="00BD1D88" w:rsidRPr="005F5709" w:rsidRDefault="00BD1D88" w:rsidP="001F4E9B">
            <w:pPr>
              <w:rPr>
                <w:rFonts w:asciiTheme="minorHAnsi" w:hAnsiTheme="minorHAnsi" w:cstheme="minorHAnsi"/>
                <w:b/>
                <w:bCs/>
              </w:rPr>
            </w:pPr>
            <w:r w:rsidRPr="005F5709">
              <w:rPr>
                <w:rFonts w:asciiTheme="minorHAnsi" w:hAnsiTheme="minorHAnsi" w:cstheme="minorHAnsi"/>
                <w:b/>
                <w:bCs/>
              </w:rPr>
              <w:t>Elements</w:t>
            </w:r>
          </w:p>
        </w:tc>
      </w:tr>
      <w:tr w:rsidR="00BD1D88" w:rsidRPr="005F5709" w14:paraId="63C18DCD" w14:textId="77777777" w:rsidTr="0074082D">
        <w:tc>
          <w:tcPr>
            <w:tcW w:w="1276" w:type="dxa"/>
            <w:shd w:val="clear" w:color="auto" w:fill="A6A6A6" w:themeFill="background1" w:themeFillShade="A6"/>
          </w:tcPr>
          <w:p w14:paraId="3E17268B" w14:textId="77777777" w:rsidR="00BD1D88" w:rsidRPr="005F5709" w:rsidRDefault="00BD1D88" w:rsidP="00BA5054">
            <w:pPr>
              <w:rPr>
                <w:rFonts w:asciiTheme="minorHAnsi" w:hAnsiTheme="minorHAnsi" w:cstheme="minorHAnsi"/>
                <w:b/>
              </w:rPr>
            </w:pPr>
            <w:r w:rsidRPr="005F5709">
              <w:rPr>
                <w:rFonts w:asciiTheme="minorHAnsi" w:hAnsiTheme="minorHAnsi" w:cstheme="minorHAnsi"/>
                <w:b/>
              </w:rPr>
              <w:t>Option 1</w:t>
            </w:r>
          </w:p>
        </w:tc>
        <w:tc>
          <w:tcPr>
            <w:tcW w:w="7740" w:type="dxa"/>
          </w:tcPr>
          <w:p w14:paraId="192E724C" w14:textId="77777777" w:rsidR="00BD1D88" w:rsidRPr="005F5709" w:rsidRDefault="00BD1D88" w:rsidP="00BF5CFC">
            <w:pPr>
              <w:rPr>
                <w:rFonts w:asciiTheme="minorHAnsi" w:hAnsiTheme="minorHAnsi" w:cstheme="minorHAnsi"/>
                <w:b/>
              </w:rPr>
            </w:pPr>
            <w:r w:rsidRPr="005F5709">
              <w:rPr>
                <w:rFonts w:asciiTheme="minorHAnsi" w:hAnsiTheme="minorHAnsi" w:cstheme="minorHAnsi"/>
                <w:b/>
              </w:rPr>
              <w:t>Make no further reform. The Incentives for Australian Apprentices (IAA) program will come into effect on 1 July 2022</w:t>
            </w:r>
          </w:p>
          <w:p w14:paraId="25E3923F" w14:textId="77777777" w:rsidR="00BD1D88" w:rsidRPr="005F5709" w:rsidRDefault="00BD1D88" w:rsidP="006A782D">
            <w:pPr>
              <w:rPr>
                <w:rFonts w:asciiTheme="minorHAnsi" w:hAnsiTheme="minorHAnsi" w:cstheme="minorHAnsi"/>
                <w:b/>
              </w:rPr>
            </w:pPr>
            <w:r w:rsidRPr="005F5709">
              <w:rPr>
                <w:rFonts w:asciiTheme="minorHAnsi" w:hAnsiTheme="minorHAnsi" w:cstheme="minorHAnsi"/>
                <w:b/>
              </w:rPr>
              <w:t>Main features:</w:t>
            </w:r>
          </w:p>
          <w:p w14:paraId="266E3D0D"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New Incentive Structure (available at Attachment B)</w:t>
            </w:r>
          </w:p>
          <w:p w14:paraId="6E28DE1B"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Payments to employers, primarily on commencement and completion of an apprenticeship</w:t>
            </w:r>
          </w:p>
          <w:p w14:paraId="30DDAF77" w14:textId="77777777" w:rsidR="00BD1D88" w:rsidRPr="005F5709" w:rsidRDefault="00BD1D88" w:rsidP="00DC305E">
            <w:pPr>
              <w:rPr>
                <w:rFonts w:asciiTheme="minorHAnsi" w:hAnsiTheme="minorHAnsi" w:cstheme="minorHAnsi"/>
              </w:rPr>
            </w:pPr>
            <w:r w:rsidRPr="005F5709">
              <w:rPr>
                <w:rFonts w:asciiTheme="minorHAnsi" w:hAnsiTheme="minorHAnsi" w:cstheme="minorHAnsi"/>
                <w:b/>
              </w:rPr>
              <w:t>Administrative Elements:</w:t>
            </w:r>
          </w:p>
          <w:p w14:paraId="43A1333C"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lastRenderedPageBreak/>
              <w:t xml:space="preserve">Simplify eligibility criteria to remove previous and concurrent qualification </w:t>
            </w:r>
            <w:proofErr w:type="gramStart"/>
            <w:r w:rsidRPr="005F5709">
              <w:rPr>
                <w:rFonts w:asciiTheme="minorHAnsi" w:hAnsiTheme="minorHAnsi" w:cstheme="minorHAnsi"/>
              </w:rPr>
              <w:t>restrictions</w:t>
            </w:r>
            <w:proofErr w:type="gramEnd"/>
            <w:r w:rsidRPr="005F5709">
              <w:rPr>
                <w:rFonts w:asciiTheme="minorHAnsi" w:hAnsiTheme="minorHAnsi" w:cstheme="minorHAnsi"/>
              </w:rPr>
              <w:t xml:space="preserve"> </w:t>
            </w:r>
          </w:p>
          <w:p w14:paraId="1A3757D2"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Keep Living Away </w:t>
            </w:r>
            <w:proofErr w:type="gramStart"/>
            <w:r w:rsidRPr="005F5709">
              <w:rPr>
                <w:rFonts w:asciiTheme="minorHAnsi" w:hAnsiTheme="minorHAnsi" w:cstheme="minorHAnsi"/>
              </w:rPr>
              <w:t>From</w:t>
            </w:r>
            <w:proofErr w:type="gramEnd"/>
            <w:r w:rsidRPr="005F5709">
              <w:rPr>
                <w:rFonts w:asciiTheme="minorHAnsi" w:hAnsiTheme="minorHAnsi" w:cstheme="minorHAnsi"/>
              </w:rPr>
              <w:t xml:space="preserve"> Home Allowance (LAFHA) payment</w:t>
            </w:r>
          </w:p>
          <w:p w14:paraId="5830D0A7" w14:textId="77777777" w:rsidR="00BD1D88" w:rsidRPr="005F5709" w:rsidRDefault="00BD1D88" w:rsidP="00977294">
            <w:pPr>
              <w:pStyle w:val="ListParagraph"/>
              <w:numPr>
                <w:ilvl w:val="0"/>
                <w:numId w:val="22"/>
              </w:numPr>
              <w:spacing w:line="276" w:lineRule="auto"/>
              <w:ind w:left="714" w:hanging="357"/>
              <w:rPr>
                <w:rFonts w:asciiTheme="minorHAnsi" w:hAnsiTheme="minorHAnsi" w:cstheme="minorHAnsi"/>
                <w:b/>
              </w:rPr>
            </w:pPr>
            <w:r w:rsidRPr="005F5709">
              <w:rPr>
                <w:rFonts w:asciiTheme="minorHAnsi" w:hAnsiTheme="minorHAnsi" w:cstheme="minorHAnsi"/>
              </w:rPr>
              <w:t xml:space="preserve">Keep In-Training Support (ITS) places for apprentices and employers </w:t>
            </w:r>
          </w:p>
        </w:tc>
      </w:tr>
      <w:tr w:rsidR="00BD1D88" w:rsidRPr="005F5709" w14:paraId="048CCD51" w14:textId="77777777" w:rsidTr="0074082D">
        <w:tc>
          <w:tcPr>
            <w:tcW w:w="1276" w:type="dxa"/>
            <w:shd w:val="clear" w:color="auto" w:fill="A6A6A6" w:themeFill="background1" w:themeFillShade="A6"/>
          </w:tcPr>
          <w:p w14:paraId="1369EA56" w14:textId="77777777" w:rsidR="00BD1D88" w:rsidRPr="005F5709" w:rsidRDefault="00BD1D88" w:rsidP="001F4E9B">
            <w:pPr>
              <w:rPr>
                <w:rFonts w:asciiTheme="minorHAnsi" w:hAnsiTheme="minorHAnsi" w:cstheme="minorHAnsi"/>
                <w:b/>
                <w:bCs/>
              </w:rPr>
            </w:pPr>
            <w:r w:rsidRPr="005F5709">
              <w:rPr>
                <w:rFonts w:asciiTheme="minorHAnsi" w:hAnsiTheme="minorHAnsi" w:cstheme="minorHAnsi"/>
                <w:b/>
                <w:bCs/>
              </w:rPr>
              <w:lastRenderedPageBreak/>
              <w:t>Option 2</w:t>
            </w:r>
          </w:p>
        </w:tc>
        <w:tc>
          <w:tcPr>
            <w:tcW w:w="7740" w:type="dxa"/>
          </w:tcPr>
          <w:p w14:paraId="614F9831" w14:textId="77777777" w:rsidR="00BD1D88" w:rsidRPr="005F5709" w:rsidRDefault="00BD1D88" w:rsidP="00BF5CFC">
            <w:pPr>
              <w:rPr>
                <w:rFonts w:asciiTheme="minorHAnsi" w:hAnsiTheme="minorHAnsi" w:cstheme="minorHAnsi"/>
                <w:b/>
              </w:rPr>
            </w:pPr>
            <w:r w:rsidRPr="005F5709">
              <w:rPr>
                <w:rFonts w:asciiTheme="minorHAnsi" w:hAnsiTheme="minorHAnsi" w:cstheme="minorHAnsi"/>
                <w:b/>
              </w:rPr>
              <w:t xml:space="preserve">Australian Apprenticeship Incentives Program that provides support for priority occupations </w:t>
            </w:r>
          </w:p>
          <w:p w14:paraId="458E7D6C" w14:textId="77777777" w:rsidR="00BD1D88" w:rsidRPr="005F5709" w:rsidRDefault="00BD1D88" w:rsidP="003C402F">
            <w:pPr>
              <w:rPr>
                <w:rFonts w:asciiTheme="minorHAnsi" w:hAnsiTheme="minorHAnsi" w:cstheme="minorHAnsi"/>
                <w:b/>
              </w:rPr>
            </w:pPr>
            <w:r w:rsidRPr="005F5709">
              <w:rPr>
                <w:rFonts w:asciiTheme="minorHAnsi" w:hAnsiTheme="minorHAnsi" w:cstheme="minorHAnsi"/>
                <w:b/>
              </w:rPr>
              <w:t>Main features:</w:t>
            </w:r>
          </w:p>
          <w:p w14:paraId="066E681D"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Employer hiring incentive </w:t>
            </w:r>
            <w:r w:rsidRPr="005F5709">
              <w:rPr>
                <w:rFonts w:asciiTheme="minorHAnsi" w:hAnsiTheme="minorHAnsi" w:cstheme="minorHAnsi"/>
                <w:u w:val="single"/>
              </w:rPr>
              <w:t xml:space="preserve">for priority occupations </w:t>
            </w:r>
            <w:proofErr w:type="gramStart"/>
            <w:r w:rsidRPr="005F5709">
              <w:rPr>
                <w:rFonts w:asciiTheme="minorHAnsi" w:hAnsiTheme="minorHAnsi" w:cstheme="minorHAnsi"/>
                <w:u w:val="single"/>
              </w:rPr>
              <w:t>only</w:t>
            </w:r>
            <w:proofErr w:type="gramEnd"/>
          </w:p>
          <w:p w14:paraId="549CC5C6"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Introduction of the Priority List </w:t>
            </w:r>
          </w:p>
          <w:p w14:paraId="1D5C2156" w14:textId="77777777" w:rsidR="00BD1D88" w:rsidRPr="005F5709" w:rsidRDefault="00BD1D88">
            <w:pPr>
              <w:rPr>
                <w:rFonts w:asciiTheme="minorHAnsi" w:hAnsiTheme="minorHAnsi" w:cstheme="minorHAnsi"/>
                <w:b/>
              </w:rPr>
            </w:pPr>
            <w:r w:rsidRPr="005F5709">
              <w:rPr>
                <w:rFonts w:asciiTheme="minorHAnsi" w:hAnsiTheme="minorHAnsi" w:cstheme="minorHAnsi"/>
                <w:b/>
              </w:rPr>
              <w:t>Apprentice Package:</w:t>
            </w:r>
          </w:p>
          <w:p w14:paraId="7277A300" w14:textId="77777777" w:rsidR="00BD1D88" w:rsidRPr="005F5709" w:rsidRDefault="00BD1D88" w:rsidP="00977294">
            <w:pPr>
              <w:pStyle w:val="ListParagraph"/>
              <w:numPr>
                <w:ilvl w:val="0"/>
                <w:numId w:val="22"/>
              </w:numPr>
              <w:spacing w:after="200" w:line="276" w:lineRule="auto"/>
              <w:rPr>
                <w:rFonts w:asciiTheme="minorHAnsi" w:hAnsiTheme="minorHAnsi" w:cstheme="minorHAnsi"/>
                <w:u w:val="single"/>
              </w:rPr>
            </w:pPr>
            <w:r w:rsidRPr="005F5709">
              <w:rPr>
                <w:rFonts w:asciiTheme="minorHAnsi" w:hAnsiTheme="minorHAnsi" w:cstheme="minorHAnsi"/>
              </w:rPr>
              <w:t xml:space="preserve">New Australian Apprentice Training Support Payment (Support Payment) </w:t>
            </w:r>
            <w:r w:rsidRPr="005F5709">
              <w:rPr>
                <w:rFonts w:asciiTheme="minorHAnsi" w:hAnsiTheme="minorHAnsi" w:cstheme="minorHAnsi"/>
                <w:u w:val="single"/>
              </w:rPr>
              <w:t>for priority occupations only</w:t>
            </w:r>
          </w:p>
          <w:p w14:paraId="72B53121"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Expanded access to Trade Support Loans (TSL) </w:t>
            </w:r>
            <w:r w:rsidRPr="005F5709">
              <w:rPr>
                <w:rFonts w:asciiTheme="minorHAnsi" w:hAnsiTheme="minorHAnsi" w:cstheme="minorHAnsi"/>
                <w:u w:val="single"/>
              </w:rPr>
              <w:t xml:space="preserve">for priority occupations </w:t>
            </w:r>
            <w:proofErr w:type="gramStart"/>
            <w:r w:rsidRPr="005F5709">
              <w:rPr>
                <w:rFonts w:asciiTheme="minorHAnsi" w:hAnsiTheme="minorHAnsi" w:cstheme="minorHAnsi"/>
                <w:u w:val="single"/>
              </w:rPr>
              <w:t>only</w:t>
            </w:r>
            <w:proofErr w:type="gramEnd"/>
            <w:r w:rsidRPr="005F5709">
              <w:rPr>
                <w:rFonts w:asciiTheme="minorHAnsi" w:hAnsiTheme="minorHAnsi" w:cstheme="minorHAnsi"/>
              </w:rPr>
              <w:t> </w:t>
            </w:r>
          </w:p>
          <w:p w14:paraId="2C2AC230" w14:textId="77777777" w:rsidR="00BD1D88" w:rsidRPr="005F5709" w:rsidRDefault="00BD1D88" w:rsidP="00FE6E2B">
            <w:pPr>
              <w:rPr>
                <w:rFonts w:asciiTheme="minorHAnsi" w:hAnsiTheme="minorHAnsi" w:cstheme="minorHAnsi"/>
                <w:b/>
              </w:rPr>
            </w:pPr>
            <w:r w:rsidRPr="005F5709">
              <w:rPr>
                <w:rFonts w:asciiTheme="minorHAnsi" w:hAnsiTheme="minorHAnsi" w:cstheme="minorHAnsi"/>
                <w:b/>
              </w:rPr>
              <w:t>Youth Support:</w:t>
            </w:r>
          </w:p>
          <w:p w14:paraId="7F68875F" w14:textId="77777777" w:rsidR="00BD1D88" w:rsidRPr="005F5709" w:rsidRDefault="00BD1D88" w:rsidP="00BF5CFC">
            <w:pPr>
              <w:rPr>
                <w:rFonts w:asciiTheme="minorHAnsi" w:hAnsiTheme="minorHAnsi" w:cstheme="minorHAnsi"/>
              </w:rPr>
            </w:pPr>
            <w:r w:rsidRPr="005F5709">
              <w:rPr>
                <w:rFonts w:asciiTheme="minorHAnsi" w:hAnsiTheme="minorHAnsi" w:cstheme="minorHAnsi"/>
              </w:rPr>
              <w:t>Targeted youth support for eligible Australian apprentices aged 15 to 20 to provide:</w:t>
            </w:r>
          </w:p>
          <w:p w14:paraId="681E42D7" w14:textId="77777777" w:rsidR="00BD1D88" w:rsidRPr="005F5709" w:rsidRDefault="00BD1D88" w:rsidP="00977294">
            <w:pPr>
              <w:pStyle w:val="ListParagraph"/>
              <w:numPr>
                <w:ilvl w:val="0"/>
                <w:numId w:val="23"/>
              </w:numPr>
              <w:spacing w:after="200" w:line="276" w:lineRule="auto"/>
              <w:rPr>
                <w:rFonts w:asciiTheme="minorHAnsi" w:hAnsiTheme="minorHAnsi" w:cstheme="minorHAnsi"/>
              </w:rPr>
            </w:pPr>
            <w:r w:rsidRPr="005F5709">
              <w:rPr>
                <w:rFonts w:asciiTheme="minorHAnsi" w:hAnsiTheme="minorHAnsi" w:cstheme="minorHAnsi"/>
              </w:rPr>
              <w:t xml:space="preserve">Dedicated In-Training Support (ITS) places for young Australian Apprentices, to provide wrap-around support for these apprentices to encourage greater </w:t>
            </w:r>
            <w:proofErr w:type="gramStart"/>
            <w:r w:rsidRPr="005F5709">
              <w:rPr>
                <w:rFonts w:asciiTheme="minorHAnsi" w:hAnsiTheme="minorHAnsi" w:cstheme="minorHAnsi"/>
              </w:rPr>
              <w:t>retention</w:t>
            </w:r>
            <w:proofErr w:type="gramEnd"/>
            <w:r w:rsidRPr="005F5709">
              <w:rPr>
                <w:rFonts w:asciiTheme="minorHAnsi" w:hAnsiTheme="minorHAnsi" w:cstheme="minorHAnsi"/>
              </w:rPr>
              <w:t> </w:t>
            </w:r>
          </w:p>
          <w:p w14:paraId="6BF731B5" w14:textId="77777777" w:rsidR="00BD1D88" w:rsidRPr="005F5709" w:rsidRDefault="00BD1D88" w:rsidP="00977294">
            <w:pPr>
              <w:pStyle w:val="ListParagraph"/>
              <w:numPr>
                <w:ilvl w:val="0"/>
                <w:numId w:val="23"/>
              </w:numPr>
              <w:spacing w:after="200" w:line="276" w:lineRule="auto"/>
              <w:rPr>
                <w:rFonts w:asciiTheme="minorHAnsi" w:hAnsiTheme="minorHAnsi" w:cstheme="minorHAnsi"/>
              </w:rPr>
            </w:pPr>
            <w:r w:rsidRPr="005F5709">
              <w:rPr>
                <w:rFonts w:asciiTheme="minorHAnsi" w:hAnsiTheme="minorHAnsi" w:cstheme="minorHAnsi"/>
              </w:rPr>
              <w:t>Follow-up phone calls to young apprentices at three months</w:t>
            </w:r>
          </w:p>
          <w:p w14:paraId="053AD369" w14:textId="77777777" w:rsidR="00BD1D88" w:rsidRPr="005F5709" w:rsidRDefault="00BD1D88" w:rsidP="00BF5CFC">
            <w:pPr>
              <w:rPr>
                <w:rFonts w:asciiTheme="minorHAnsi" w:hAnsiTheme="minorHAnsi" w:cstheme="minorHAnsi"/>
                <w:b/>
              </w:rPr>
            </w:pPr>
            <w:r w:rsidRPr="005F5709">
              <w:rPr>
                <w:rFonts w:asciiTheme="minorHAnsi" w:hAnsiTheme="minorHAnsi" w:cstheme="minorHAnsi"/>
                <w:b/>
              </w:rPr>
              <w:t>Administrative Elements:</w:t>
            </w:r>
          </w:p>
          <w:p w14:paraId="3CCD10ED"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Simplify eligibility criteria to remove previous and concurrent qualification </w:t>
            </w:r>
            <w:proofErr w:type="gramStart"/>
            <w:r w:rsidRPr="005F5709">
              <w:rPr>
                <w:rFonts w:asciiTheme="minorHAnsi" w:hAnsiTheme="minorHAnsi" w:cstheme="minorHAnsi"/>
              </w:rPr>
              <w:t>restrictions</w:t>
            </w:r>
            <w:proofErr w:type="gramEnd"/>
          </w:p>
          <w:p w14:paraId="220F2D44" w14:textId="77777777" w:rsidR="00BD1D88" w:rsidRPr="005F5709" w:rsidRDefault="00BD1D88" w:rsidP="00977294">
            <w:pPr>
              <w:pStyle w:val="ListParagraph"/>
              <w:numPr>
                <w:ilvl w:val="0"/>
                <w:numId w:val="22"/>
              </w:numPr>
              <w:spacing w:after="200" w:line="276" w:lineRule="auto"/>
              <w:rPr>
                <w:rFonts w:asciiTheme="minorHAnsi" w:hAnsiTheme="minorHAnsi" w:cstheme="minorHAnsi"/>
                <w:b/>
              </w:rPr>
            </w:pPr>
            <w:r w:rsidRPr="005F5709">
              <w:rPr>
                <w:rFonts w:asciiTheme="minorHAnsi" w:hAnsiTheme="minorHAnsi" w:cstheme="minorHAnsi"/>
              </w:rPr>
              <w:t xml:space="preserve">Cease the Additional Identified Skills Shortage (AISS) payment and formally close the Australian Apprenticeship Wage Subsidy (AAWS) </w:t>
            </w:r>
            <w:proofErr w:type="gramStart"/>
            <w:r w:rsidRPr="005F5709">
              <w:rPr>
                <w:rFonts w:asciiTheme="minorHAnsi" w:hAnsiTheme="minorHAnsi" w:cstheme="minorHAnsi"/>
              </w:rPr>
              <w:t>program</w:t>
            </w:r>
            <w:proofErr w:type="gramEnd"/>
            <w:r w:rsidRPr="005F5709" w:rsidDel="00BA5054">
              <w:rPr>
                <w:rFonts w:asciiTheme="minorHAnsi" w:hAnsiTheme="minorHAnsi" w:cstheme="minorHAnsi"/>
              </w:rPr>
              <w:t xml:space="preserve"> </w:t>
            </w:r>
          </w:p>
          <w:p w14:paraId="3B484306" w14:textId="77777777" w:rsidR="00BD1D88" w:rsidRPr="005F5709" w:rsidRDefault="00BD1D88" w:rsidP="00977294">
            <w:pPr>
              <w:pStyle w:val="ListParagraph"/>
              <w:numPr>
                <w:ilvl w:val="0"/>
                <w:numId w:val="22"/>
              </w:numPr>
              <w:spacing w:after="200" w:line="276" w:lineRule="auto"/>
              <w:rPr>
                <w:rFonts w:asciiTheme="minorHAnsi" w:hAnsiTheme="minorHAnsi" w:cstheme="minorHAnsi"/>
                <w:b/>
              </w:rPr>
            </w:pPr>
            <w:r w:rsidRPr="005F5709">
              <w:rPr>
                <w:rFonts w:asciiTheme="minorHAnsi" w:hAnsiTheme="minorHAnsi" w:cstheme="minorHAnsi"/>
              </w:rPr>
              <w:t>Keep the Living Away From Home Allowance (LAFHA)</w:t>
            </w:r>
          </w:p>
          <w:p w14:paraId="5E40154B" w14:textId="77777777" w:rsidR="00BD1D88" w:rsidRPr="005F5709" w:rsidRDefault="00BD1D88" w:rsidP="00977294">
            <w:pPr>
              <w:pStyle w:val="ListParagraph"/>
              <w:numPr>
                <w:ilvl w:val="0"/>
                <w:numId w:val="22"/>
              </w:numPr>
              <w:spacing w:after="200" w:line="276" w:lineRule="auto"/>
              <w:rPr>
                <w:rFonts w:asciiTheme="minorHAnsi" w:hAnsiTheme="minorHAnsi" w:cstheme="minorHAnsi"/>
                <w:b/>
              </w:rPr>
            </w:pPr>
            <w:r w:rsidRPr="005F5709">
              <w:rPr>
                <w:rFonts w:asciiTheme="minorHAnsi" w:hAnsiTheme="minorHAnsi" w:cstheme="minorHAnsi"/>
              </w:rPr>
              <w:t xml:space="preserve">Keep In-Training Support (ITS) places for </w:t>
            </w:r>
            <w:proofErr w:type="gramStart"/>
            <w:r w:rsidRPr="005F5709">
              <w:rPr>
                <w:rFonts w:asciiTheme="minorHAnsi" w:hAnsiTheme="minorHAnsi" w:cstheme="minorHAnsi"/>
              </w:rPr>
              <w:t>apprentices</w:t>
            </w:r>
            <w:proofErr w:type="gramEnd"/>
          </w:p>
          <w:p w14:paraId="5B7DCF76" w14:textId="77777777" w:rsidR="00BD1D88" w:rsidRPr="005F5709" w:rsidRDefault="00BD1D88" w:rsidP="00977294">
            <w:pPr>
              <w:pStyle w:val="ListParagraph"/>
              <w:numPr>
                <w:ilvl w:val="0"/>
                <w:numId w:val="22"/>
              </w:numPr>
              <w:spacing w:after="200" w:line="360" w:lineRule="auto"/>
              <w:rPr>
                <w:rFonts w:asciiTheme="minorHAnsi" w:hAnsiTheme="minorHAnsi" w:cstheme="minorHAnsi"/>
              </w:rPr>
            </w:pPr>
            <w:r w:rsidRPr="005F5709">
              <w:rPr>
                <w:rFonts w:asciiTheme="minorHAnsi" w:hAnsiTheme="minorHAnsi" w:cstheme="minorHAnsi"/>
              </w:rPr>
              <w:t>Keep the Disability Australian Apprentice Wage Subsidy (DAAWS)</w:t>
            </w:r>
          </w:p>
        </w:tc>
      </w:tr>
      <w:tr w:rsidR="00BD1D88" w:rsidRPr="005F5709" w14:paraId="19A4E9E8" w14:textId="77777777" w:rsidTr="00811E30">
        <w:tc>
          <w:tcPr>
            <w:tcW w:w="1276" w:type="dxa"/>
            <w:shd w:val="clear" w:color="auto" w:fill="A6A6A6" w:themeFill="background1" w:themeFillShade="A6"/>
          </w:tcPr>
          <w:p w14:paraId="28AD6209" w14:textId="77777777" w:rsidR="00BD1D88" w:rsidRPr="005F5709" w:rsidRDefault="00BD1D88" w:rsidP="00811E30">
            <w:pPr>
              <w:rPr>
                <w:rFonts w:asciiTheme="minorHAnsi" w:hAnsiTheme="minorHAnsi" w:cstheme="minorHAnsi"/>
                <w:b/>
                <w:bCs/>
              </w:rPr>
            </w:pPr>
            <w:r w:rsidRPr="005F5709">
              <w:rPr>
                <w:rFonts w:asciiTheme="minorHAnsi" w:hAnsiTheme="minorHAnsi" w:cstheme="minorHAnsi"/>
                <w:b/>
                <w:bCs/>
              </w:rPr>
              <w:t>Option 3</w:t>
            </w:r>
          </w:p>
        </w:tc>
        <w:tc>
          <w:tcPr>
            <w:tcW w:w="7740" w:type="dxa"/>
            <w:shd w:val="clear" w:color="auto" w:fill="auto"/>
          </w:tcPr>
          <w:p w14:paraId="1E96C34C" w14:textId="77777777" w:rsidR="00BD1D88" w:rsidRPr="005F5709" w:rsidRDefault="00BD1D88" w:rsidP="001903BD">
            <w:pPr>
              <w:rPr>
                <w:rFonts w:asciiTheme="minorHAnsi" w:hAnsiTheme="minorHAnsi" w:cstheme="minorHAnsi"/>
                <w:b/>
              </w:rPr>
            </w:pPr>
            <w:r w:rsidRPr="005F5709">
              <w:rPr>
                <w:rFonts w:asciiTheme="minorHAnsi" w:hAnsiTheme="minorHAnsi" w:cstheme="minorHAnsi"/>
                <w:b/>
              </w:rPr>
              <w:t>A reformed Australian Apprenticeships Incentive System over two separate phases, provides support to both priority and non-priority occupations during the COVID-19 recovery from 1 July 2022 to 30 June 2024, before targeting investment only to priority occupations from 1 July 2024. This will prioritise the development of in-demand skills while providing a manageable step down in support from the BAC program.</w:t>
            </w:r>
          </w:p>
          <w:p w14:paraId="18CEEDCA" w14:textId="77777777" w:rsidR="00BD1D88" w:rsidRPr="005F5709" w:rsidRDefault="00BD1D88" w:rsidP="003C402F">
            <w:pPr>
              <w:rPr>
                <w:rFonts w:asciiTheme="minorHAnsi" w:hAnsiTheme="minorHAnsi" w:cstheme="minorHAnsi"/>
                <w:b/>
              </w:rPr>
            </w:pPr>
            <w:r w:rsidRPr="005F5709">
              <w:rPr>
                <w:rFonts w:asciiTheme="minorHAnsi" w:hAnsiTheme="minorHAnsi" w:cstheme="minorHAnsi"/>
                <w:b/>
              </w:rPr>
              <w:t>Main features:</w:t>
            </w:r>
          </w:p>
          <w:p w14:paraId="5585142E" w14:textId="77777777" w:rsidR="00BD1D88" w:rsidRPr="005F5709" w:rsidRDefault="00BD1D88" w:rsidP="00977294">
            <w:pPr>
              <w:pStyle w:val="ListParagraph"/>
              <w:numPr>
                <w:ilvl w:val="0"/>
                <w:numId w:val="49"/>
              </w:numPr>
              <w:spacing w:after="200" w:line="276" w:lineRule="auto"/>
              <w:rPr>
                <w:rFonts w:asciiTheme="minorHAnsi" w:hAnsiTheme="minorHAnsi" w:cstheme="minorHAnsi"/>
                <w:b/>
              </w:rPr>
            </w:pPr>
            <w:r w:rsidRPr="005F5709">
              <w:rPr>
                <w:rFonts w:asciiTheme="minorHAnsi" w:hAnsiTheme="minorHAnsi" w:cstheme="minorHAnsi"/>
                <w:b/>
              </w:rPr>
              <w:lastRenderedPageBreak/>
              <w:t>Two phases of support,</w:t>
            </w:r>
            <w:r w:rsidRPr="005F5709">
              <w:rPr>
                <w:rFonts w:asciiTheme="minorHAnsi" w:hAnsiTheme="minorHAnsi" w:cstheme="minorHAnsi"/>
              </w:rPr>
              <w:t xml:space="preserve"> from 1 July 2022 to 30 June 2024 and from 1 July 2024 onwards</w:t>
            </w:r>
          </w:p>
          <w:p w14:paraId="6D641295" w14:textId="77777777" w:rsidR="00BD1D88" w:rsidRPr="005F5709" w:rsidRDefault="00BD1D88" w:rsidP="0081055E">
            <w:pPr>
              <w:rPr>
                <w:rFonts w:asciiTheme="minorHAnsi" w:hAnsiTheme="minorHAnsi" w:cstheme="minorHAnsi"/>
                <w:b/>
              </w:rPr>
            </w:pPr>
            <w:r w:rsidRPr="005F5709">
              <w:rPr>
                <w:rFonts w:asciiTheme="minorHAnsi" w:hAnsiTheme="minorHAnsi" w:cstheme="minorHAnsi"/>
                <w:b/>
                <w:i/>
              </w:rPr>
              <w:t>Phase one:</w:t>
            </w:r>
            <w:r w:rsidRPr="005F5709">
              <w:rPr>
                <w:rFonts w:asciiTheme="minorHAnsi" w:hAnsiTheme="minorHAnsi" w:cstheme="minorHAnsi"/>
                <w:b/>
              </w:rPr>
              <w:t xml:space="preserve"> </w:t>
            </w:r>
          </w:p>
          <w:p w14:paraId="3329D138" w14:textId="77777777" w:rsidR="00BD1D88" w:rsidRPr="005F5709" w:rsidRDefault="00BD1D88" w:rsidP="006F0C96">
            <w:pPr>
              <w:rPr>
                <w:rFonts w:asciiTheme="minorHAnsi" w:hAnsiTheme="minorHAnsi" w:cstheme="minorHAnsi"/>
                <w:b/>
              </w:rPr>
            </w:pPr>
            <w:r w:rsidRPr="005F5709">
              <w:rPr>
                <w:rFonts w:asciiTheme="minorHAnsi" w:hAnsiTheme="minorHAnsi" w:cstheme="minorHAnsi"/>
                <w:b/>
              </w:rPr>
              <w:t>Employer Package:</w:t>
            </w:r>
          </w:p>
          <w:p w14:paraId="664C2B2E" w14:textId="77777777" w:rsidR="00BD1D88" w:rsidRPr="005F5709" w:rsidRDefault="00BD1D88" w:rsidP="00977294">
            <w:pPr>
              <w:pStyle w:val="ListParagraph"/>
              <w:numPr>
                <w:ilvl w:val="0"/>
                <w:numId w:val="49"/>
              </w:numPr>
              <w:spacing w:after="200" w:line="276" w:lineRule="auto"/>
              <w:rPr>
                <w:rFonts w:asciiTheme="minorHAnsi" w:hAnsiTheme="minorHAnsi" w:cstheme="minorHAnsi"/>
              </w:rPr>
            </w:pPr>
            <w:r w:rsidRPr="005F5709">
              <w:rPr>
                <w:rFonts w:asciiTheme="minorHAnsi" w:hAnsiTheme="minorHAnsi" w:cstheme="minorHAnsi"/>
              </w:rPr>
              <w:t xml:space="preserve">Employer wage subsidy for </w:t>
            </w:r>
            <w:r w:rsidRPr="005F5709">
              <w:rPr>
                <w:rFonts w:asciiTheme="minorHAnsi" w:hAnsiTheme="minorHAnsi" w:cstheme="minorHAnsi"/>
                <w:u w:val="single"/>
              </w:rPr>
              <w:t>priority occupations only</w:t>
            </w:r>
          </w:p>
          <w:p w14:paraId="13217BC0" w14:textId="77777777" w:rsidR="00BD1D88" w:rsidRPr="005F5709" w:rsidRDefault="00BD1D88" w:rsidP="00977294">
            <w:pPr>
              <w:pStyle w:val="ListParagraph"/>
              <w:numPr>
                <w:ilvl w:val="0"/>
                <w:numId w:val="49"/>
              </w:numPr>
              <w:spacing w:after="200" w:line="276" w:lineRule="auto"/>
              <w:rPr>
                <w:rFonts w:asciiTheme="minorHAnsi" w:hAnsiTheme="minorHAnsi" w:cstheme="minorHAnsi"/>
              </w:rPr>
            </w:pPr>
            <w:r w:rsidRPr="005F5709">
              <w:rPr>
                <w:rFonts w:asciiTheme="minorHAnsi" w:hAnsiTheme="minorHAnsi" w:cstheme="minorHAnsi"/>
              </w:rPr>
              <w:t xml:space="preserve">Employer hiring incentive for </w:t>
            </w:r>
            <w:r w:rsidRPr="005F5709">
              <w:rPr>
                <w:rFonts w:asciiTheme="minorHAnsi" w:hAnsiTheme="minorHAnsi" w:cstheme="minorHAnsi"/>
                <w:u w:val="single"/>
              </w:rPr>
              <w:t xml:space="preserve">non-priority </w:t>
            </w:r>
            <w:proofErr w:type="gramStart"/>
            <w:r w:rsidRPr="005F5709">
              <w:rPr>
                <w:rFonts w:asciiTheme="minorHAnsi" w:hAnsiTheme="minorHAnsi" w:cstheme="minorHAnsi"/>
                <w:u w:val="single"/>
              </w:rPr>
              <w:t>occupations</w:t>
            </w:r>
            <w:proofErr w:type="gramEnd"/>
          </w:p>
          <w:p w14:paraId="069527C8" w14:textId="77777777" w:rsidR="00BD1D88" w:rsidRPr="005F5709" w:rsidRDefault="00BD1D88" w:rsidP="006F0C96">
            <w:pPr>
              <w:rPr>
                <w:rFonts w:asciiTheme="minorHAnsi" w:hAnsiTheme="minorHAnsi" w:cstheme="minorHAnsi"/>
              </w:rPr>
            </w:pPr>
            <w:r w:rsidRPr="005F5709">
              <w:rPr>
                <w:rFonts w:asciiTheme="minorHAnsi" w:hAnsiTheme="minorHAnsi" w:cstheme="minorHAnsi"/>
                <w:b/>
                <w:bCs/>
              </w:rPr>
              <w:t>Apprentice Package:</w:t>
            </w:r>
            <w:r w:rsidRPr="005F5709">
              <w:rPr>
                <w:rFonts w:asciiTheme="minorHAnsi" w:hAnsiTheme="minorHAnsi" w:cstheme="minorHAnsi"/>
              </w:rPr>
              <w:t xml:space="preserve"> </w:t>
            </w:r>
          </w:p>
          <w:p w14:paraId="2323CB85" w14:textId="77777777" w:rsidR="00BD1D88" w:rsidRPr="005F5709" w:rsidRDefault="00BD1D88" w:rsidP="00977294">
            <w:pPr>
              <w:pStyle w:val="ListParagraph"/>
              <w:numPr>
                <w:ilvl w:val="0"/>
                <w:numId w:val="59"/>
              </w:numPr>
              <w:spacing w:after="200" w:line="360" w:lineRule="auto"/>
              <w:rPr>
                <w:rFonts w:asciiTheme="minorHAnsi" w:hAnsiTheme="minorHAnsi" w:cstheme="minorHAnsi"/>
              </w:rPr>
            </w:pPr>
            <w:r w:rsidRPr="005F5709">
              <w:rPr>
                <w:rFonts w:asciiTheme="minorHAnsi" w:hAnsiTheme="minorHAnsi" w:cstheme="minorHAnsi"/>
              </w:rPr>
              <w:t>(as per option 2 with a higher payment amount)</w:t>
            </w:r>
          </w:p>
          <w:p w14:paraId="2F437912" w14:textId="77777777" w:rsidR="00BD1D88" w:rsidRPr="005F5709" w:rsidRDefault="00BD1D88" w:rsidP="006F0C96">
            <w:pPr>
              <w:rPr>
                <w:rFonts w:asciiTheme="minorHAnsi" w:hAnsiTheme="minorHAnsi" w:cstheme="minorHAnsi"/>
                <w:b/>
              </w:rPr>
            </w:pPr>
            <w:r w:rsidRPr="005F5709">
              <w:rPr>
                <w:rFonts w:asciiTheme="minorHAnsi" w:hAnsiTheme="minorHAnsi" w:cstheme="minorHAnsi"/>
                <w:b/>
              </w:rPr>
              <w:t xml:space="preserve">Youth Support: </w:t>
            </w:r>
          </w:p>
          <w:p w14:paraId="4A887384" w14:textId="77777777" w:rsidR="00BD1D88" w:rsidRPr="005F5709" w:rsidRDefault="00BD1D88" w:rsidP="00977294">
            <w:pPr>
              <w:pStyle w:val="ListParagraph"/>
              <w:numPr>
                <w:ilvl w:val="0"/>
                <w:numId w:val="59"/>
              </w:numPr>
              <w:spacing w:after="200" w:line="360" w:lineRule="auto"/>
              <w:rPr>
                <w:rFonts w:asciiTheme="minorHAnsi" w:hAnsiTheme="minorHAnsi" w:cstheme="minorHAnsi"/>
                <w:bCs/>
              </w:rPr>
            </w:pPr>
            <w:r w:rsidRPr="005F5709">
              <w:rPr>
                <w:rFonts w:asciiTheme="minorHAnsi" w:hAnsiTheme="minorHAnsi" w:cstheme="minorHAnsi"/>
                <w:bCs/>
              </w:rPr>
              <w:t>(as per option 2)</w:t>
            </w:r>
          </w:p>
          <w:p w14:paraId="6FC46FD5" w14:textId="77777777" w:rsidR="00BD1D88" w:rsidRPr="005F5709" w:rsidRDefault="00BD1D88" w:rsidP="00BC6429">
            <w:pPr>
              <w:rPr>
                <w:rFonts w:asciiTheme="minorHAnsi" w:hAnsiTheme="minorHAnsi" w:cstheme="minorHAnsi"/>
              </w:rPr>
            </w:pPr>
            <w:r w:rsidRPr="005F5709">
              <w:rPr>
                <w:rFonts w:asciiTheme="minorHAnsi" w:hAnsiTheme="minorHAnsi" w:cstheme="minorHAnsi"/>
                <w:b/>
              </w:rPr>
              <w:t>Administrative Elements: (as per option 2)</w:t>
            </w:r>
          </w:p>
          <w:p w14:paraId="5E033943" w14:textId="77777777" w:rsidR="00BD1D88" w:rsidRPr="005F5709" w:rsidRDefault="00BD1D88" w:rsidP="006F0C96">
            <w:pPr>
              <w:rPr>
                <w:rFonts w:asciiTheme="minorHAnsi" w:hAnsiTheme="minorHAnsi" w:cstheme="minorHAnsi"/>
                <w:b/>
                <w:i/>
              </w:rPr>
            </w:pPr>
            <w:r w:rsidRPr="005F5709">
              <w:rPr>
                <w:rFonts w:asciiTheme="minorHAnsi" w:hAnsiTheme="minorHAnsi" w:cstheme="minorHAnsi"/>
                <w:b/>
                <w:i/>
              </w:rPr>
              <w:t>Phase two:</w:t>
            </w:r>
          </w:p>
          <w:p w14:paraId="3CB894FC" w14:textId="77777777" w:rsidR="00BD1D88" w:rsidRPr="005F5709" w:rsidRDefault="00BD1D88" w:rsidP="00425CB8">
            <w:pPr>
              <w:rPr>
                <w:rFonts w:asciiTheme="minorHAnsi" w:hAnsiTheme="minorHAnsi" w:cstheme="minorHAnsi"/>
                <w:b/>
              </w:rPr>
            </w:pPr>
            <w:r w:rsidRPr="005F5709">
              <w:rPr>
                <w:rFonts w:asciiTheme="minorHAnsi" w:hAnsiTheme="minorHAnsi" w:cstheme="minorHAnsi"/>
                <w:b/>
              </w:rPr>
              <w:t>Main features:</w:t>
            </w:r>
          </w:p>
          <w:p w14:paraId="103852A1"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Phase 2 is identical to Option 2 and provides a measured step-down of support to 2019 levels.</w:t>
            </w:r>
          </w:p>
          <w:p w14:paraId="5BC69E1D"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A priority hiring incentive to replace the employer wage subsidy; and</w:t>
            </w:r>
          </w:p>
          <w:p w14:paraId="6DAC9E24"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A reduction of financial support for priority apprentices. </w:t>
            </w:r>
          </w:p>
          <w:p w14:paraId="123BC298" w14:textId="77777777" w:rsidR="00BD1D88" w:rsidRPr="005F5709" w:rsidRDefault="00BD1D88" w:rsidP="00977294">
            <w:pPr>
              <w:pStyle w:val="ListParagraph"/>
              <w:numPr>
                <w:ilvl w:val="0"/>
                <w:numId w:val="22"/>
              </w:numPr>
              <w:spacing w:after="200" w:line="276" w:lineRule="auto"/>
              <w:rPr>
                <w:rFonts w:asciiTheme="minorHAnsi" w:hAnsiTheme="minorHAnsi" w:cstheme="minorHAnsi"/>
                <w:b/>
              </w:rPr>
            </w:pPr>
            <w:r w:rsidRPr="005F5709">
              <w:rPr>
                <w:rFonts w:asciiTheme="minorHAnsi" w:hAnsiTheme="minorHAnsi" w:cstheme="minorHAnsi"/>
              </w:rPr>
              <w:t>No support is provided for non-priority apprentices, incentivising a take up of in-demand skills.</w:t>
            </w:r>
          </w:p>
        </w:tc>
      </w:tr>
    </w:tbl>
    <w:p w14:paraId="66AE34F5" w14:textId="77777777" w:rsidR="00BD1D88" w:rsidRPr="005F5709" w:rsidRDefault="00BD1D88">
      <w:pPr>
        <w:rPr>
          <w:rFonts w:asciiTheme="minorHAnsi" w:hAnsiTheme="minorHAnsi" w:cstheme="minorHAnsi"/>
        </w:rPr>
      </w:pPr>
    </w:p>
    <w:p w14:paraId="44328660" w14:textId="77777777" w:rsidR="00BD1D88" w:rsidRPr="005F5709" w:rsidRDefault="00BD1D88">
      <w:pPr>
        <w:rPr>
          <w:rFonts w:asciiTheme="minorHAnsi" w:eastAsiaTheme="majorEastAsia" w:hAnsiTheme="minorHAnsi" w:cstheme="minorHAnsi"/>
          <w:b/>
          <w:color w:val="002060"/>
          <w:sz w:val="30"/>
          <w:szCs w:val="26"/>
        </w:rPr>
      </w:pPr>
      <w:bookmarkStart w:id="67" w:name="_Toc88575294"/>
      <w:bookmarkStart w:id="68" w:name="_Toc88575288"/>
      <w:r w:rsidRPr="005F5709">
        <w:rPr>
          <w:rFonts w:asciiTheme="minorHAnsi" w:hAnsiTheme="minorHAnsi" w:cstheme="minorHAnsi"/>
          <w:color w:val="002060"/>
        </w:rPr>
        <w:br w:type="page"/>
      </w:r>
    </w:p>
    <w:p w14:paraId="6159F5E0" w14:textId="77777777" w:rsidR="00BD1D88" w:rsidRPr="005F5709" w:rsidRDefault="00BD1D88" w:rsidP="00060DE5">
      <w:pPr>
        <w:pStyle w:val="Heading2"/>
        <w:rPr>
          <w:color w:val="002060"/>
        </w:rPr>
      </w:pPr>
      <w:bookmarkStart w:id="69" w:name="_Toc113022191"/>
      <w:r w:rsidRPr="005F5709">
        <w:rPr>
          <w:color w:val="002060"/>
        </w:rPr>
        <w:lastRenderedPageBreak/>
        <w:t xml:space="preserve">4.1 Option 1: Introduce the Incentives for Australian Apprenticeships </w:t>
      </w:r>
      <w:bookmarkEnd w:id="67"/>
      <w:r w:rsidRPr="005F5709">
        <w:rPr>
          <w:color w:val="002060"/>
        </w:rPr>
        <w:t>(no further reform)</w:t>
      </w:r>
      <w:bookmarkEnd w:id="69"/>
    </w:p>
    <w:p w14:paraId="533A8CE2" w14:textId="77777777" w:rsidR="00BD1D88" w:rsidRPr="005F5709" w:rsidRDefault="00BD1D88" w:rsidP="00060DE5">
      <w:pPr>
        <w:pStyle w:val="Heading3"/>
      </w:pPr>
      <w:bookmarkStart w:id="70" w:name="_Toc88575295"/>
      <w:bookmarkStart w:id="71" w:name="_Toc113022192"/>
      <w:r w:rsidRPr="005F5709">
        <w:t>Features of this option</w:t>
      </w:r>
      <w:bookmarkEnd w:id="70"/>
      <w:bookmarkEnd w:id="71"/>
    </w:p>
    <w:p w14:paraId="083B9345" w14:textId="77777777" w:rsidR="00BD1D88" w:rsidRPr="005F5709" w:rsidRDefault="00BD1D88" w:rsidP="00060DE5">
      <w:pPr>
        <w:rPr>
          <w:rFonts w:asciiTheme="minorHAnsi" w:hAnsiTheme="minorHAnsi" w:cstheme="minorHAnsi"/>
        </w:rPr>
      </w:pPr>
      <w:r w:rsidRPr="005F5709">
        <w:rPr>
          <w:rFonts w:asciiTheme="minorHAnsi" w:hAnsiTheme="minorHAnsi" w:cstheme="minorHAnsi"/>
        </w:rPr>
        <w:t>The IAA would include a simplified payment structure with reduced payment types and streamlined eligibility requirements to make it easier for employers to understand and claim incentives. The IAA includes payments to employers, primarily on commencement and completion of an apprenticeship, and additional payments for key cohorts such as apprentices with a disability or priority occupations. This option would come into effect on 1 July 2022.</w:t>
      </w:r>
    </w:p>
    <w:p w14:paraId="708D7762" w14:textId="77777777" w:rsidR="00BD1D88" w:rsidRPr="005F5709" w:rsidRDefault="00BD1D88" w:rsidP="00060DE5">
      <w:pPr>
        <w:pStyle w:val="Heading4"/>
        <w:rPr>
          <w:rFonts w:asciiTheme="minorHAnsi" w:hAnsiTheme="minorHAnsi" w:cstheme="minorHAnsi"/>
        </w:rPr>
      </w:pPr>
      <w:r w:rsidRPr="005F5709">
        <w:rPr>
          <w:rFonts w:asciiTheme="minorHAnsi" w:hAnsiTheme="minorHAnsi" w:cstheme="minorHAnsi"/>
        </w:rPr>
        <w:t>Simplified payment structure</w:t>
      </w:r>
    </w:p>
    <w:p w14:paraId="7E29E914" w14:textId="77777777" w:rsidR="00BD1D88" w:rsidRPr="005F5709" w:rsidRDefault="00BD1D88" w:rsidP="00060DE5">
      <w:pPr>
        <w:rPr>
          <w:rFonts w:asciiTheme="minorHAnsi" w:hAnsiTheme="minorHAnsi" w:cstheme="minorHAnsi"/>
        </w:rPr>
      </w:pPr>
      <w:r w:rsidRPr="005F5709">
        <w:rPr>
          <w:rFonts w:asciiTheme="minorHAnsi" w:hAnsiTheme="minorHAnsi" w:cstheme="minorHAnsi"/>
        </w:rPr>
        <w:t xml:space="preserve">The IAA would have a simplified payment structure comprising 15 payment types (reduced from over 30 under the Australian Apprenticeships Incentives Program (AAIP)) with streamlined eligibility requirements, making it easier for eligible employers to understand and claim incentives. </w:t>
      </w:r>
    </w:p>
    <w:p w14:paraId="28DF957C" w14:textId="77777777" w:rsidR="00BD1D88" w:rsidRPr="005F5709" w:rsidRDefault="00BD1D88" w:rsidP="00060DE5">
      <w:pPr>
        <w:pStyle w:val="Heading4"/>
        <w:rPr>
          <w:rFonts w:asciiTheme="minorHAnsi" w:hAnsiTheme="minorHAnsi" w:cstheme="minorHAnsi"/>
        </w:rPr>
      </w:pPr>
      <w:r w:rsidRPr="005F5709">
        <w:rPr>
          <w:rFonts w:asciiTheme="minorHAnsi" w:hAnsiTheme="minorHAnsi" w:cstheme="minorHAnsi"/>
        </w:rPr>
        <w:t>For the employer</w:t>
      </w:r>
    </w:p>
    <w:p w14:paraId="24767B35" w14:textId="77777777" w:rsidR="00BD1D88" w:rsidRPr="005F5709" w:rsidRDefault="00BD1D88" w:rsidP="00060DE5">
      <w:pPr>
        <w:pStyle w:val="Heading5"/>
        <w:rPr>
          <w:rFonts w:asciiTheme="minorHAnsi" w:hAnsiTheme="minorHAnsi" w:cstheme="minorHAnsi"/>
        </w:rPr>
      </w:pPr>
      <w:r w:rsidRPr="005F5709">
        <w:rPr>
          <w:rFonts w:asciiTheme="minorHAnsi" w:hAnsiTheme="minorHAnsi" w:cstheme="minorHAnsi"/>
        </w:rPr>
        <w:t>Standard incentives</w:t>
      </w:r>
    </w:p>
    <w:p w14:paraId="70616CD4" w14:textId="77777777" w:rsidR="00BD1D88" w:rsidRPr="005F5709" w:rsidRDefault="00BD1D88" w:rsidP="00F12C22">
      <w:pPr>
        <w:spacing w:after="0"/>
        <w:rPr>
          <w:rFonts w:asciiTheme="minorHAnsi" w:hAnsiTheme="minorHAnsi" w:cstheme="minorHAnsi"/>
        </w:rPr>
      </w:pPr>
      <w:r w:rsidRPr="005F5709">
        <w:rPr>
          <w:rFonts w:asciiTheme="minorHAnsi" w:hAnsiTheme="minorHAnsi" w:cstheme="minorHAnsi"/>
        </w:rPr>
        <w:t>The IAA maintains pre-COVID-19 incentive levels for most employers. These are:</w:t>
      </w:r>
    </w:p>
    <w:p w14:paraId="6498F348" w14:textId="77777777" w:rsidR="00BD1D88" w:rsidRPr="005F5709" w:rsidRDefault="00BD1D88" w:rsidP="00977294">
      <w:pPr>
        <w:pStyle w:val="ListParagraph"/>
        <w:numPr>
          <w:ilvl w:val="0"/>
          <w:numId w:val="26"/>
        </w:numPr>
        <w:spacing w:after="200" w:line="276" w:lineRule="auto"/>
        <w:rPr>
          <w:rFonts w:asciiTheme="minorHAnsi" w:hAnsiTheme="minorHAnsi" w:cstheme="minorHAnsi"/>
        </w:rPr>
      </w:pPr>
      <w:r w:rsidRPr="005F5709">
        <w:rPr>
          <w:rFonts w:asciiTheme="minorHAnsi" w:hAnsiTheme="minorHAnsi" w:cstheme="minorHAnsi"/>
        </w:rPr>
        <w:t>Payment upon commencement of the apprenticeship: $1,500</w:t>
      </w:r>
    </w:p>
    <w:p w14:paraId="5AB9EB25" w14:textId="77777777" w:rsidR="00BD1D88" w:rsidRPr="005F5709" w:rsidRDefault="00BD1D88" w:rsidP="00977294">
      <w:pPr>
        <w:pStyle w:val="ListParagraph"/>
        <w:numPr>
          <w:ilvl w:val="0"/>
          <w:numId w:val="26"/>
        </w:numPr>
        <w:spacing w:after="200" w:line="276" w:lineRule="auto"/>
        <w:rPr>
          <w:rFonts w:asciiTheme="minorHAnsi" w:hAnsiTheme="minorHAnsi" w:cstheme="minorHAnsi"/>
        </w:rPr>
      </w:pPr>
      <w:r w:rsidRPr="005F5709">
        <w:rPr>
          <w:rFonts w:asciiTheme="minorHAnsi" w:hAnsiTheme="minorHAnsi" w:cstheme="minorHAnsi"/>
        </w:rPr>
        <w:t>Payment upon completion of the apprenticeship: $2,500</w:t>
      </w:r>
    </w:p>
    <w:p w14:paraId="297ECA0D" w14:textId="77777777" w:rsidR="00BD1D88" w:rsidRPr="005F5709" w:rsidRDefault="00BD1D88" w:rsidP="00060DE5">
      <w:pPr>
        <w:rPr>
          <w:rFonts w:asciiTheme="minorHAnsi" w:hAnsiTheme="minorHAnsi" w:cstheme="minorHAnsi"/>
        </w:rPr>
      </w:pPr>
      <w:r w:rsidRPr="005F5709">
        <w:rPr>
          <w:rFonts w:asciiTheme="minorHAnsi" w:hAnsiTheme="minorHAnsi" w:cstheme="minorHAnsi"/>
        </w:rPr>
        <w:t>For employers of apprentices with a disability, the current wage subsidy would also continue at $104.30 per week.</w:t>
      </w:r>
    </w:p>
    <w:p w14:paraId="001A25E0" w14:textId="77777777" w:rsidR="00BD1D88" w:rsidRPr="005F5709" w:rsidRDefault="00BD1D88" w:rsidP="00060DE5">
      <w:pPr>
        <w:pStyle w:val="Heading5"/>
        <w:rPr>
          <w:rFonts w:asciiTheme="minorHAnsi" w:hAnsiTheme="minorHAnsi" w:cstheme="minorHAnsi"/>
        </w:rPr>
      </w:pPr>
      <w:r w:rsidRPr="005F5709">
        <w:rPr>
          <w:rFonts w:asciiTheme="minorHAnsi" w:hAnsiTheme="minorHAnsi" w:cstheme="minorHAnsi"/>
        </w:rPr>
        <w:t>Targeted incentives</w:t>
      </w:r>
    </w:p>
    <w:p w14:paraId="062BAAFD" w14:textId="77777777" w:rsidR="00BD1D88" w:rsidRPr="005F5709" w:rsidRDefault="00BD1D88" w:rsidP="00060DE5">
      <w:pPr>
        <w:rPr>
          <w:rFonts w:asciiTheme="minorHAnsi" w:hAnsiTheme="minorHAnsi" w:cstheme="minorHAnsi"/>
        </w:rPr>
      </w:pPr>
      <w:r w:rsidRPr="005F5709">
        <w:rPr>
          <w:rFonts w:asciiTheme="minorHAnsi" w:hAnsiTheme="minorHAnsi" w:cstheme="minorHAnsi"/>
        </w:rPr>
        <w:t>In addition to the standard incentives available, eligible employers would be able to access additional incentives if they hire an apprentice from target groups related to age, work location, level of education and existing worker status. These targeted incentives would provide $750 on commencement and between $750-$1,500 upon completion. Incentives would be available to all employers, regardless of business size, to minimise complexity and make the system more attractive and easier to understand for employers.</w:t>
      </w:r>
    </w:p>
    <w:p w14:paraId="544B709F" w14:textId="77777777" w:rsidR="00BD1D88" w:rsidRPr="005F5709" w:rsidRDefault="00BD1D88" w:rsidP="00060DE5">
      <w:pPr>
        <w:rPr>
          <w:rFonts w:asciiTheme="minorHAnsi" w:hAnsiTheme="minorHAnsi" w:cstheme="minorHAnsi"/>
        </w:rPr>
      </w:pPr>
      <w:r w:rsidRPr="005F5709">
        <w:rPr>
          <w:rFonts w:asciiTheme="minorHAnsi" w:hAnsiTheme="minorHAnsi" w:cstheme="minorHAnsi"/>
        </w:rPr>
        <w:t>Under the IAA, the Additional Identified Skills Shortage (AISS) payment would continue, providing $2,000 on commencement and $2,000 on completion to employers who hire an apprentice in an occupation experiencing national skills shortage.</w:t>
      </w:r>
    </w:p>
    <w:p w14:paraId="6D2C5B43" w14:textId="77777777" w:rsidR="00BD1D88" w:rsidRPr="005F5709" w:rsidRDefault="00BD1D88" w:rsidP="00060DE5">
      <w:pPr>
        <w:pStyle w:val="Heading4"/>
        <w:rPr>
          <w:rFonts w:asciiTheme="minorHAnsi" w:hAnsiTheme="minorHAnsi" w:cstheme="minorHAnsi"/>
        </w:rPr>
      </w:pPr>
      <w:r w:rsidRPr="005F5709">
        <w:rPr>
          <w:rFonts w:asciiTheme="minorHAnsi" w:hAnsiTheme="minorHAnsi" w:cstheme="minorHAnsi"/>
        </w:rPr>
        <w:t>For the apprentice or trainee</w:t>
      </w:r>
    </w:p>
    <w:p w14:paraId="59B608AF" w14:textId="77777777" w:rsidR="00BD1D88" w:rsidRPr="005F5709" w:rsidRDefault="00BD1D88" w:rsidP="00060DE5">
      <w:pPr>
        <w:rPr>
          <w:rFonts w:asciiTheme="minorHAnsi" w:hAnsiTheme="minorHAnsi" w:cstheme="minorHAnsi"/>
        </w:rPr>
      </w:pPr>
      <w:r w:rsidRPr="005F5709">
        <w:rPr>
          <w:rFonts w:asciiTheme="minorHAnsi" w:hAnsiTheme="minorHAnsi" w:cstheme="minorHAnsi"/>
        </w:rPr>
        <w:t>Under the IAA, Living Away From Home Allowance (LAFHA) would continue to provide support to apprentices over three years who relocate to undertake their apprenticeship:</w:t>
      </w:r>
    </w:p>
    <w:p w14:paraId="3777F86B" w14:textId="77777777" w:rsidR="00BD1D88" w:rsidRPr="005F5709" w:rsidRDefault="00BD1D88" w:rsidP="00977294">
      <w:pPr>
        <w:pStyle w:val="ListParagraph"/>
        <w:numPr>
          <w:ilvl w:val="0"/>
          <w:numId w:val="27"/>
        </w:numPr>
        <w:spacing w:after="200" w:line="276" w:lineRule="auto"/>
        <w:rPr>
          <w:rFonts w:asciiTheme="minorHAnsi" w:hAnsiTheme="minorHAnsi" w:cstheme="minorHAnsi"/>
        </w:rPr>
      </w:pPr>
      <w:r w:rsidRPr="005F5709">
        <w:rPr>
          <w:rFonts w:asciiTheme="minorHAnsi" w:hAnsiTheme="minorHAnsi" w:cstheme="minorHAnsi"/>
        </w:rPr>
        <w:t xml:space="preserve">$77.17 per week in the first year; </w:t>
      </w:r>
    </w:p>
    <w:p w14:paraId="1081E85B" w14:textId="77777777" w:rsidR="00BD1D88" w:rsidRPr="005F5709" w:rsidRDefault="00BD1D88" w:rsidP="00977294">
      <w:pPr>
        <w:pStyle w:val="ListParagraph"/>
        <w:numPr>
          <w:ilvl w:val="0"/>
          <w:numId w:val="27"/>
        </w:numPr>
        <w:spacing w:after="200" w:line="276" w:lineRule="auto"/>
        <w:rPr>
          <w:rFonts w:asciiTheme="minorHAnsi" w:hAnsiTheme="minorHAnsi" w:cstheme="minorHAnsi"/>
        </w:rPr>
      </w:pPr>
      <w:r w:rsidRPr="005F5709">
        <w:rPr>
          <w:rFonts w:asciiTheme="minorHAnsi" w:hAnsiTheme="minorHAnsi" w:cstheme="minorHAnsi"/>
        </w:rPr>
        <w:t xml:space="preserve">$38.59 per week in the second year; and </w:t>
      </w:r>
    </w:p>
    <w:p w14:paraId="62BBA979" w14:textId="77777777" w:rsidR="00BD1D88" w:rsidRPr="005F5709" w:rsidRDefault="00BD1D88" w:rsidP="00977294">
      <w:pPr>
        <w:pStyle w:val="ListParagraph"/>
        <w:numPr>
          <w:ilvl w:val="0"/>
          <w:numId w:val="27"/>
        </w:numPr>
        <w:spacing w:after="200" w:line="276" w:lineRule="auto"/>
        <w:rPr>
          <w:rFonts w:asciiTheme="minorHAnsi" w:hAnsiTheme="minorHAnsi" w:cstheme="minorHAnsi"/>
        </w:rPr>
      </w:pPr>
      <w:r w:rsidRPr="005F5709">
        <w:rPr>
          <w:rFonts w:asciiTheme="minorHAnsi" w:hAnsiTheme="minorHAnsi" w:cstheme="minorHAnsi"/>
        </w:rPr>
        <w:t>$25.00 per week in the third year.</w:t>
      </w:r>
    </w:p>
    <w:p w14:paraId="54616C8F" w14:textId="77777777" w:rsidR="00BD1D88" w:rsidRPr="005F5709" w:rsidRDefault="00BD1D88" w:rsidP="00060DE5">
      <w:pPr>
        <w:rPr>
          <w:rFonts w:asciiTheme="minorHAnsi" w:hAnsiTheme="minorHAnsi" w:cstheme="minorHAnsi"/>
        </w:rPr>
      </w:pPr>
      <w:r w:rsidRPr="005F5709">
        <w:rPr>
          <w:rFonts w:asciiTheme="minorHAnsi" w:hAnsiTheme="minorHAnsi" w:cstheme="minorHAnsi"/>
        </w:rPr>
        <w:lastRenderedPageBreak/>
        <w:t xml:space="preserve">In addition to payments to the employer, the Additional Identified Skills Shortage (AISS) payment would provide $1,000 after the first year and $1,000 on completion to the apprentice in an occupation experiencing national skills shortage. </w:t>
      </w:r>
    </w:p>
    <w:p w14:paraId="388E8F7A" w14:textId="77777777" w:rsidR="00BD1D88" w:rsidRPr="005F5709" w:rsidRDefault="00BD1D88" w:rsidP="00060DE5">
      <w:pPr>
        <w:pStyle w:val="Heading3"/>
      </w:pPr>
      <w:bookmarkStart w:id="72" w:name="_Toc88575296"/>
      <w:bookmarkStart w:id="73" w:name="_Toc113022193"/>
      <w:r w:rsidRPr="005F5709">
        <w:t>Implementation of this option</w:t>
      </w:r>
      <w:bookmarkEnd w:id="72"/>
      <w:bookmarkEnd w:id="73"/>
    </w:p>
    <w:p w14:paraId="502319E1" w14:textId="77777777" w:rsidR="00BD1D88" w:rsidRPr="005F5709" w:rsidRDefault="00BD1D88" w:rsidP="00FA2BDB">
      <w:pPr>
        <w:pStyle w:val="Heading4"/>
        <w:rPr>
          <w:rFonts w:asciiTheme="minorHAnsi" w:hAnsiTheme="minorHAnsi" w:cstheme="minorHAnsi"/>
        </w:rPr>
      </w:pPr>
      <w:r w:rsidRPr="005F5709">
        <w:rPr>
          <w:rFonts w:asciiTheme="minorHAnsi" w:hAnsiTheme="minorHAnsi" w:cstheme="minorHAnsi"/>
        </w:rPr>
        <w:t>Program guidelines</w:t>
      </w:r>
    </w:p>
    <w:p w14:paraId="6DA4AF6B" w14:textId="77777777" w:rsidR="00BD1D88" w:rsidRPr="005F5709" w:rsidRDefault="00BD1D88" w:rsidP="00FA2BDB">
      <w:pPr>
        <w:rPr>
          <w:rFonts w:asciiTheme="minorHAnsi" w:hAnsiTheme="minorHAnsi" w:cstheme="minorHAnsi"/>
        </w:rPr>
      </w:pPr>
      <w:r w:rsidRPr="005F5709">
        <w:rPr>
          <w:rFonts w:asciiTheme="minorHAnsi" w:hAnsiTheme="minorHAnsi" w:cstheme="minorHAnsi"/>
        </w:rPr>
        <w:t>The implementation of the IAA would be supported by Program Guidelines, published on the Department’s</w:t>
      </w:r>
      <w:r w:rsidRPr="005F5709" w:rsidDel="000408F9">
        <w:rPr>
          <w:rFonts w:asciiTheme="minorHAnsi" w:hAnsiTheme="minorHAnsi" w:cstheme="minorHAnsi"/>
        </w:rPr>
        <w:t xml:space="preserve"> </w:t>
      </w:r>
      <w:r w:rsidRPr="005F5709">
        <w:rPr>
          <w:rFonts w:asciiTheme="minorHAnsi" w:hAnsiTheme="minorHAnsi" w:cstheme="minorHAnsi"/>
        </w:rPr>
        <w:t xml:space="preserve">website and </w:t>
      </w:r>
      <w:proofErr w:type="spellStart"/>
      <w:r w:rsidRPr="005F5709">
        <w:rPr>
          <w:rFonts w:asciiTheme="minorHAnsi" w:hAnsiTheme="minorHAnsi" w:cstheme="minorHAnsi"/>
        </w:rPr>
        <w:t>GrantConnect</w:t>
      </w:r>
      <w:proofErr w:type="spellEnd"/>
      <w:r w:rsidRPr="005F5709">
        <w:rPr>
          <w:rFonts w:asciiTheme="minorHAnsi" w:hAnsiTheme="minorHAnsi" w:cstheme="minorHAnsi"/>
        </w:rPr>
        <w:t>. The Program Guidelines would provide details on incentives including eligibility requirements and how to apply.</w:t>
      </w:r>
    </w:p>
    <w:p w14:paraId="61EA7E2D" w14:textId="77777777" w:rsidR="00BD1D88" w:rsidRPr="005F5709" w:rsidRDefault="00BD1D88" w:rsidP="00FA2BDB">
      <w:pPr>
        <w:pStyle w:val="Heading4"/>
        <w:rPr>
          <w:rFonts w:asciiTheme="minorHAnsi" w:hAnsiTheme="minorHAnsi" w:cstheme="minorHAnsi"/>
        </w:rPr>
      </w:pPr>
      <w:r w:rsidRPr="005F5709">
        <w:rPr>
          <w:rFonts w:asciiTheme="minorHAnsi" w:hAnsiTheme="minorHAnsi" w:cstheme="minorHAnsi"/>
        </w:rPr>
        <w:t>Grandfathering arrangements</w:t>
      </w:r>
    </w:p>
    <w:p w14:paraId="7BF76A2C" w14:textId="77777777" w:rsidR="00BD1D88" w:rsidRPr="005F5709" w:rsidRDefault="00BD1D88" w:rsidP="00FA2BDB">
      <w:pPr>
        <w:rPr>
          <w:rFonts w:asciiTheme="minorHAnsi" w:hAnsiTheme="minorHAnsi" w:cstheme="minorHAnsi"/>
        </w:rPr>
      </w:pPr>
      <w:r w:rsidRPr="005F5709">
        <w:rPr>
          <w:rFonts w:asciiTheme="minorHAnsi" w:hAnsiTheme="minorHAnsi" w:cstheme="minorHAnsi"/>
        </w:rPr>
        <w:t xml:space="preserve">All existing employers and apprentices on the Australian Apprenticeships Incentives Program (AAIP) that commenced prior to 1 July 2022 would be grandfathered under existing arrangements. </w:t>
      </w:r>
    </w:p>
    <w:p w14:paraId="5DB1146A" w14:textId="77777777" w:rsidR="00BD1D88" w:rsidRPr="005F5709" w:rsidRDefault="00BD1D88" w:rsidP="00FA2BDB">
      <w:pPr>
        <w:pStyle w:val="Heading4"/>
        <w:rPr>
          <w:rFonts w:asciiTheme="minorHAnsi" w:hAnsiTheme="minorHAnsi" w:cstheme="minorHAnsi"/>
        </w:rPr>
      </w:pPr>
      <w:r w:rsidRPr="005F5709">
        <w:rPr>
          <w:rFonts w:asciiTheme="minorHAnsi" w:hAnsiTheme="minorHAnsi" w:cstheme="minorHAnsi"/>
        </w:rPr>
        <w:t>AASN provider contracts</w:t>
      </w:r>
    </w:p>
    <w:p w14:paraId="6D691F37" w14:textId="77777777" w:rsidR="00BD1D88" w:rsidRPr="005F5709" w:rsidRDefault="00BD1D88" w:rsidP="00FA2BDB">
      <w:pPr>
        <w:rPr>
          <w:rFonts w:asciiTheme="minorHAnsi" w:hAnsiTheme="minorHAnsi" w:cstheme="minorHAnsi"/>
        </w:rPr>
      </w:pPr>
      <w:r w:rsidRPr="005F5709">
        <w:rPr>
          <w:rFonts w:asciiTheme="minorHAnsi" w:hAnsiTheme="minorHAnsi" w:cstheme="minorHAnsi"/>
        </w:rPr>
        <w:t xml:space="preserve">Implementing the IAA would require a variation to the Australian Apprenticeship Support Network (AASN) provider contract which commenced 1 February 2020. In addition to delivering the new IAA, AASN providers would continue to deliver the AAIP program, as employers would still be eligible to claim AAIP incentives for an Australian Apprentice who commenced prior to 1 July 2022. </w:t>
      </w:r>
    </w:p>
    <w:p w14:paraId="74DF72B8" w14:textId="77777777" w:rsidR="00BD1D88" w:rsidRPr="005F5709" w:rsidRDefault="00BD1D88" w:rsidP="00FA2BDB">
      <w:pPr>
        <w:pStyle w:val="Heading4"/>
        <w:rPr>
          <w:rFonts w:asciiTheme="minorHAnsi" w:hAnsiTheme="minorHAnsi" w:cstheme="minorHAnsi"/>
        </w:rPr>
      </w:pPr>
      <w:r w:rsidRPr="005F5709">
        <w:rPr>
          <w:rFonts w:asciiTheme="minorHAnsi" w:hAnsiTheme="minorHAnsi" w:cstheme="minorHAnsi"/>
        </w:rPr>
        <w:t>Information technology</w:t>
      </w:r>
    </w:p>
    <w:p w14:paraId="3B40F2DB" w14:textId="77777777" w:rsidR="00BD1D88" w:rsidRPr="005F5709" w:rsidRDefault="00BD1D88" w:rsidP="00677AA2">
      <w:pPr>
        <w:rPr>
          <w:rFonts w:asciiTheme="minorHAnsi" w:hAnsiTheme="minorHAnsi" w:cstheme="minorHAnsi"/>
        </w:rPr>
      </w:pPr>
      <w:r w:rsidRPr="005F5709">
        <w:rPr>
          <w:rFonts w:asciiTheme="minorHAnsi" w:hAnsiTheme="minorHAnsi" w:cstheme="minorHAnsi"/>
        </w:rPr>
        <w:t>The current IT system that underpins Australian Apprenticeships - the Training and Youth Internet Management System (TYIMS) – was set up in 1999 and is at the end of its capability. TYIMS collects all apprenticeships data and supports service provision to employers and apprentices including incentive payments. A new system is under development – the Apprenticeships Data Management System (ADMS). The new incentives framework will be delivered through the new ADMS, however the TYIMS will continue to support existing incentives until the new system is fully operational. ADMS will provide a better user experience, with a strong self-service component for apprentices and employers when lodging claims.</w:t>
      </w:r>
    </w:p>
    <w:p w14:paraId="45B198B2" w14:textId="77777777" w:rsidR="00BD1D88" w:rsidRPr="005F5709" w:rsidRDefault="00BD1D88" w:rsidP="006D0C5F">
      <w:pPr>
        <w:rPr>
          <w:rFonts w:asciiTheme="minorHAnsi" w:hAnsiTheme="minorHAnsi" w:cstheme="minorHAnsi"/>
        </w:rPr>
      </w:pPr>
      <w:r w:rsidRPr="005F5709">
        <w:rPr>
          <w:rFonts w:asciiTheme="minorHAnsi" w:hAnsiTheme="minorHAnsi" w:cstheme="minorHAnsi"/>
        </w:rPr>
        <w:br w:type="page"/>
      </w:r>
    </w:p>
    <w:p w14:paraId="493BB609" w14:textId="77777777" w:rsidR="00BD1D88" w:rsidRPr="005F5709" w:rsidRDefault="00BD1D88" w:rsidP="00E01A34">
      <w:pPr>
        <w:pStyle w:val="Heading2"/>
        <w:rPr>
          <w:color w:val="002060"/>
        </w:rPr>
      </w:pPr>
      <w:bookmarkStart w:id="74" w:name="_Toc113022194"/>
      <w:bookmarkStart w:id="75" w:name="_Toc88575291"/>
      <w:bookmarkEnd w:id="68"/>
      <w:r w:rsidRPr="005F5709">
        <w:rPr>
          <w:color w:val="002060"/>
        </w:rPr>
        <w:lastRenderedPageBreak/>
        <w:t>4.2 Option 2: Employer hiring incentive (priority occupations)</w:t>
      </w:r>
      <w:bookmarkEnd w:id="74"/>
      <w:r w:rsidRPr="005F5709">
        <w:rPr>
          <w:color w:val="002060"/>
        </w:rPr>
        <w:t xml:space="preserve"> </w:t>
      </w:r>
      <w:bookmarkEnd w:id="75"/>
    </w:p>
    <w:p w14:paraId="12C35B27" w14:textId="77777777" w:rsidR="00BD1D88" w:rsidRPr="005F5709" w:rsidRDefault="00BD1D88" w:rsidP="00055640">
      <w:pPr>
        <w:pStyle w:val="Heading3"/>
        <w:rPr>
          <w:sz w:val="22"/>
          <w:szCs w:val="20"/>
        </w:rPr>
      </w:pPr>
      <w:bookmarkStart w:id="76" w:name="_Toc113022195"/>
      <w:bookmarkStart w:id="77" w:name="_Toc88575292"/>
      <w:r w:rsidRPr="005F5709">
        <w:t>Features of this option</w:t>
      </w:r>
      <w:bookmarkEnd w:id="76"/>
    </w:p>
    <w:p w14:paraId="6B8C9F83" w14:textId="77777777" w:rsidR="00BD1D88" w:rsidRPr="005F5709" w:rsidRDefault="00BD1D88" w:rsidP="00242F35">
      <w:pPr>
        <w:rPr>
          <w:rFonts w:asciiTheme="minorHAnsi" w:hAnsiTheme="minorHAnsi" w:cstheme="minorHAnsi"/>
        </w:rPr>
      </w:pPr>
      <w:r w:rsidRPr="005F5709">
        <w:rPr>
          <w:rFonts w:asciiTheme="minorHAnsi" w:eastAsiaTheme="minorEastAsia" w:hAnsiTheme="minorHAnsi" w:cstheme="minorHAnsi"/>
        </w:rPr>
        <w:t xml:space="preserve">This option targets apprenticeships in priority occupations only and would come into effect from </w:t>
      </w:r>
      <w:r w:rsidRPr="005F5709">
        <w:rPr>
          <w:rFonts w:asciiTheme="minorHAnsi" w:eastAsiaTheme="minorEastAsia" w:hAnsiTheme="minorHAnsi" w:cstheme="minorHAnsi"/>
        </w:rPr>
        <w:br/>
        <w:t xml:space="preserve">1 July 2022. </w:t>
      </w:r>
      <w:r w:rsidRPr="005F5709">
        <w:rPr>
          <w:rFonts w:asciiTheme="minorHAnsi" w:hAnsiTheme="minorHAnsi" w:cstheme="minorHAnsi"/>
        </w:rPr>
        <w:t>This sends a clear message to apprentices to take up an apprenticeship in an occupation that will lead to qualifications in a skill in a priority occupation. Specific features of this option include:</w:t>
      </w:r>
    </w:p>
    <w:p w14:paraId="0CD05536" w14:textId="77777777" w:rsidR="00BD1D88" w:rsidRPr="005F5709" w:rsidRDefault="00BD1D88" w:rsidP="00FE23E2">
      <w:pPr>
        <w:spacing w:after="0"/>
        <w:rPr>
          <w:rFonts w:asciiTheme="minorHAnsi" w:hAnsiTheme="minorHAnsi" w:cstheme="minorHAnsi"/>
          <w:b/>
        </w:rPr>
      </w:pPr>
      <w:r w:rsidRPr="005F5709">
        <w:rPr>
          <w:rFonts w:asciiTheme="minorHAnsi" w:hAnsiTheme="minorHAnsi" w:cstheme="minorHAnsi"/>
          <w:b/>
        </w:rPr>
        <w:t>Main features:</w:t>
      </w:r>
    </w:p>
    <w:p w14:paraId="2F61AC65" w14:textId="77777777" w:rsidR="00BD1D88" w:rsidRPr="005F5709" w:rsidRDefault="00BD1D88" w:rsidP="00977294">
      <w:pPr>
        <w:pStyle w:val="ListParagraph"/>
        <w:numPr>
          <w:ilvl w:val="0"/>
          <w:numId w:val="58"/>
        </w:numPr>
        <w:spacing w:after="0" w:line="360" w:lineRule="auto"/>
        <w:rPr>
          <w:rFonts w:asciiTheme="minorHAnsi" w:hAnsiTheme="minorHAnsi" w:cstheme="minorHAnsi"/>
          <w:szCs w:val="20"/>
        </w:rPr>
      </w:pPr>
      <w:r w:rsidRPr="005F5709">
        <w:rPr>
          <w:rFonts w:asciiTheme="minorHAnsi" w:hAnsiTheme="minorHAnsi" w:cstheme="minorHAnsi"/>
        </w:rPr>
        <w:t xml:space="preserve">Introduction of the Priority List </w:t>
      </w:r>
    </w:p>
    <w:bookmarkEnd w:id="77"/>
    <w:p w14:paraId="511F65DF" w14:textId="77777777" w:rsidR="00BD1D88" w:rsidRPr="005F5709" w:rsidRDefault="00BD1D88" w:rsidP="0081055E">
      <w:pPr>
        <w:spacing w:after="0"/>
        <w:rPr>
          <w:rFonts w:asciiTheme="minorHAnsi" w:hAnsiTheme="minorHAnsi" w:cstheme="minorHAnsi"/>
        </w:rPr>
      </w:pPr>
      <w:r w:rsidRPr="005F5709">
        <w:rPr>
          <w:rFonts w:asciiTheme="minorHAnsi" w:hAnsiTheme="minorHAnsi" w:cstheme="minorHAnsi"/>
          <w:b/>
        </w:rPr>
        <w:t>Employer Package:</w:t>
      </w:r>
    </w:p>
    <w:p w14:paraId="3C940B48"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Employer hiring incentive </w:t>
      </w:r>
      <w:r w:rsidRPr="005F5709">
        <w:rPr>
          <w:rFonts w:asciiTheme="minorHAnsi" w:hAnsiTheme="minorHAnsi" w:cstheme="minorHAnsi"/>
          <w:u w:val="single"/>
        </w:rPr>
        <w:t xml:space="preserve">for priority occupations </w:t>
      </w:r>
      <w:proofErr w:type="gramStart"/>
      <w:r w:rsidRPr="005F5709">
        <w:rPr>
          <w:rFonts w:asciiTheme="minorHAnsi" w:hAnsiTheme="minorHAnsi" w:cstheme="minorHAnsi"/>
          <w:u w:val="single"/>
        </w:rPr>
        <w:t>only</w:t>
      </w:r>
      <w:proofErr w:type="gramEnd"/>
    </w:p>
    <w:p w14:paraId="168198E2" w14:textId="77777777" w:rsidR="00BD1D88" w:rsidRPr="005F5709" w:rsidRDefault="00BD1D88" w:rsidP="00E00DF8">
      <w:pPr>
        <w:spacing w:after="0"/>
        <w:rPr>
          <w:rFonts w:asciiTheme="minorHAnsi" w:hAnsiTheme="minorHAnsi" w:cstheme="minorHAnsi"/>
        </w:rPr>
      </w:pPr>
      <w:r w:rsidRPr="005F5709">
        <w:rPr>
          <w:rFonts w:asciiTheme="minorHAnsi" w:hAnsiTheme="minorHAnsi" w:cstheme="minorHAnsi"/>
          <w:b/>
        </w:rPr>
        <w:t>Apprentice Package:</w:t>
      </w:r>
    </w:p>
    <w:p w14:paraId="04D2D3C6" w14:textId="77777777" w:rsidR="00BD1D88" w:rsidRPr="005F5709" w:rsidRDefault="00BD1D88" w:rsidP="00977294">
      <w:pPr>
        <w:pStyle w:val="ListParagraph"/>
        <w:numPr>
          <w:ilvl w:val="0"/>
          <w:numId w:val="22"/>
        </w:numPr>
        <w:spacing w:after="200" w:line="276" w:lineRule="auto"/>
        <w:rPr>
          <w:rFonts w:asciiTheme="minorHAnsi" w:hAnsiTheme="minorHAnsi" w:cstheme="minorHAnsi"/>
          <w:u w:val="single"/>
        </w:rPr>
      </w:pPr>
      <w:r w:rsidRPr="005F5709">
        <w:rPr>
          <w:rFonts w:asciiTheme="minorHAnsi" w:hAnsiTheme="minorHAnsi" w:cstheme="minorHAnsi"/>
        </w:rPr>
        <w:t xml:space="preserve">New Australian Apprentice Training Support Payment (Support Payment) </w:t>
      </w:r>
      <w:r w:rsidRPr="005F5709">
        <w:rPr>
          <w:rFonts w:asciiTheme="minorHAnsi" w:hAnsiTheme="minorHAnsi" w:cstheme="minorHAnsi"/>
          <w:u w:val="single"/>
        </w:rPr>
        <w:t>for priority occupations only</w:t>
      </w:r>
    </w:p>
    <w:p w14:paraId="2712F2DA"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Expanded access to TSL for priority occupations </w:t>
      </w:r>
      <w:proofErr w:type="gramStart"/>
      <w:r w:rsidRPr="005F5709">
        <w:rPr>
          <w:rFonts w:asciiTheme="minorHAnsi" w:hAnsiTheme="minorHAnsi" w:cstheme="minorHAnsi"/>
        </w:rPr>
        <w:t>only</w:t>
      </w:r>
      <w:proofErr w:type="gramEnd"/>
      <w:r w:rsidRPr="005F5709">
        <w:rPr>
          <w:rFonts w:asciiTheme="minorHAnsi" w:hAnsiTheme="minorHAnsi" w:cstheme="minorHAnsi"/>
        </w:rPr>
        <w:t> </w:t>
      </w:r>
    </w:p>
    <w:p w14:paraId="1CFB5736" w14:textId="77777777" w:rsidR="00BD1D88" w:rsidRPr="005F5709" w:rsidRDefault="00BD1D88" w:rsidP="00242F35">
      <w:pPr>
        <w:spacing w:after="0"/>
        <w:rPr>
          <w:rFonts w:asciiTheme="minorHAnsi" w:hAnsiTheme="minorHAnsi" w:cstheme="minorHAnsi"/>
          <w:b/>
        </w:rPr>
      </w:pPr>
      <w:r w:rsidRPr="005F5709">
        <w:rPr>
          <w:rFonts w:asciiTheme="minorHAnsi" w:hAnsiTheme="minorHAnsi" w:cstheme="minorHAnsi"/>
          <w:b/>
        </w:rPr>
        <w:t>Youth Support:</w:t>
      </w:r>
    </w:p>
    <w:p w14:paraId="714D6710" w14:textId="77777777" w:rsidR="00BD1D88" w:rsidRPr="005F5709" w:rsidRDefault="00BD1D88" w:rsidP="00977294">
      <w:pPr>
        <w:pStyle w:val="ListParagraph"/>
        <w:numPr>
          <w:ilvl w:val="0"/>
          <w:numId w:val="56"/>
        </w:numPr>
        <w:spacing w:after="200" w:line="276" w:lineRule="auto"/>
        <w:rPr>
          <w:rFonts w:asciiTheme="minorHAnsi" w:hAnsiTheme="minorHAnsi" w:cstheme="minorHAnsi"/>
        </w:rPr>
      </w:pPr>
      <w:r w:rsidRPr="005F5709">
        <w:rPr>
          <w:rFonts w:asciiTheme="minorHAnsi" w:hAnsiTheme="minorHAnsi" w:cstheme="minorHAnsi"/>
        </w:rPr>
        <w:t xml:space="preserve">Targeted youth apprenticeship support for eligible Australian apprentices aged 15 to 20 to provide additional In-Training Support (ITS) places for young Australian Apprentices and follow-up phone calls three months after </w:t>
      </w:r>
      <w:proofErr w:type="gramStart"/>
      <w:r w:rsidRPr="005F5709">
        <w:rPr>
          <w:rFonts w:asciiTheme="minorHAnsi" w:hAnsiTheme="minorHAnsi" w:cstheme="minorHAnsi"/>
        </w:rPr>
        <w:t>commencement</w:t>
      </w:r>
      <w:proofErr w:type="gramEnd"/>
    </w:p>
    <w:p w14:paraId="4177D6B6" w14:textId="77777777" w:rsidR="00BD1D88" w:rsidRPr="005F5709" w:rsidRDefault="00BD1D88" w:rsidP="00242F35">
      <w:pPr>
        <w:spacing w:after="0"/>
        <w:rPr>
          <w:rFonts w:asciiTheme="minorHAnsi" w:hAnsiTheme="minorHAnsi" w:cstheme="minorHAnsi"/>
          <w:b/>
        </w:rPr>
      </w:pPr>
      <w:r w:rsidRPr="005F5709">
        <w:rPr>
          <w:rFonts w:asciiTheme="minorHAnsi" w:hAnsiTheme="minorHAnsi" w:cstheme="minorHAnsi"/>
          <w:b/>
        </w:rPr>
        <w:t>Administrative Changes:</w:t>
      </w:r>
    </w:p>
    <w:p w14:paraId="2D74CE5F"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Simplify eligibility criteria to remove previous and concurrent qualification </w:t>
      </w:r>
      <w:proofErr w:type="gramStart"/>
      <w:r w:rsidRPr="005F5709">
        <w:rPr>
          <w:rFonts w:asciiTheme="minorHAnsi" w:hAnsiTheme="minorHAnsi" w:cstheme="minorHAnsi"/>
        </w:rPr>
        <w:t>restrictions</w:t>
      </w:r>
      <w:proofErr w:type="gramEnd"/>
    </w:p>
    <w:p w14:paraId="751DEC93"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Cease the Additional Identified Skills Shortage (AISS) payment and formally close Australian Apprenticeship Wage Subsidy </w:t>
      </w:r>
      <w:proofErr w:type="gramStart"/>
      <w:r w:rsidRPr="005F5709">
        <w:rPr>
          <w:rFonts w:asciiTheme="minorHAnsi" w:hAnsiTheme="minorHAnsi" w:cstheme="minorHAnsi"/>
        </w:rPr>
        <w:t>program</w:t>
      </w:r>
      <w:proofErr w:type="gramEnd"/>
    </w:p>
    <w:p w14:paraId="1809A9FB" w14:textId="77777777" w:rsidR="00BD1D88" w:rsidRPr="005F5709" w:rsidRDefault="00BD1D88" w:rsidP="00977294">
      <w:pPr>
        <w:pStyle w:val="ListParagraph"/>
        <w:numPr>
          <w:ilvl w:val="0"/>
          <w:numId w:val="22"/>
        </w:numPr>
        <w:spacing w:after="200" w:line="276" w:lineRule="auto"/>
        <w:rPr>
          <w:rFonts w:asciiTheme="minorHAnsi" w:hAnsiTheme="minorHAnsi" w:cstheme="minorHAnsi"/>
          <w:b/>
        </w:rPr>
      </w:pPr>
      <w:r w:rsidRPr="005F5709">
        <w:rPr>
          <w:rFonts w:asciiTheme="minorHAnsi" w:hAnsiTheme="minorHAnsi" w:cstheme="minorHAnsi"/>
        </w:rPr>
        <w:t xml:space="preserve">Keep the Living Away From Home Allowance (LAFHA) </w:t>
      </w:r>
    </w:p>
    <w:p w14:paraId="45CACF49" w14:textId="77777777" w:rsidR="00BD1D88" w:rsidRPr="005F5709" w:rsidRDefault="00BD1D88" w:rsidP="00977294">
      <w:pPr>
        <w:pStyle w:val="ListParagraph"/>
        <w:numPr>
          <w:ilvl w:val="0"/>
          <w:numId w:val="22"/>
        </w:numPr>
        <w:spacing w:after="200" w:line="276" w:lineRule="auto"/>
        <w:rPr>
          <w:rFonts w:asciiTheme="minorHAnsi" w:hAnsiTheme="minorHAnsi" w:cstheme="minorHAnsi"/>
          <w:b/>
        </w:rPr>
      </w:pPr>
      <w:r w:rsidRPr="005F5709">
        <w:rPr>
          <w:rFonts w:asciiTheme="minorHAnsi" w:hAnsiTheme="minorHAnsi" w:cstheme="minorHAnsi"/>
        </w:rPr>
        <w:t xml:space="preserve">Keep In-Training Support (ITS) places for </w:t>
      </w:r>
      <w:proofErr w:type="gramStart"/>
      <w:r w:rsidRPr="005F5709">
        <w:rPr>
          <w:rFonts w:asciiTheme="minorHAnsi" w:hAnsiTheme="minorHAnsi" w:cstheme="minorHAnsi"/>
        </w:rPr>
        <w:t>apprentices</w:t>
      </w:r>
      <w:proofErr w:type="gramEnd"/>
    </w:p>
    <w:p w14:paraId="107EF9D7" w14:textId="77777777" w:rsidR="00BD1D88" w:rsidRPr="005F5709" w:rsidRDefault="00BD1D88" w:rsidP="00977294">
      <w:pPr>
        <w:pStyle w:val="ListParagraph"/>
        <w:numPr>
          <w:ilvl w:val="0"/>
          <w:numId w:val="22"/>
        </w:numPr>
        <w:spacing w:after="200" w:line="276" w:lineRule="auto"/>
        <w:rPr>
          <w:rFonts w:asciiTheme="minorHAnsi" w:hAnsiTheme="minorHAnsi" w:cstheme="minorHAnsi"/>
          <w:b/>
        </w:rPr>
      </w:pPr>
      <w:r w:rsidRPr="005F5709">
        <w:rPr>
          <w:rFonts w:asciiTheme="minorHAnsi" w:hAnsiTheme="minorHAnsi" w:cstheme="minorHAnsi"/>
        </w:rPr>
        <w:t>Keep the Disability Australian Apprenticeship Wage Support (DAAWS)</w:t>
      </w:r>
    </w:p>
    <w:p w14:paraId="72436A2B" w14:textId="77777777" w:rsidR="00BD1D88" w:rsidRPr="005F5709" w:rsidRDefault="00BD1D88" w:rsidP="00DC3F38">
      <w:pPr>
        <w:pStyle w:val="Heading4"/>
        <w:spacing w:before="0"/>
        <w:rPr>
          <w:rFonts w:asciiTheme="minorHAnsi" w:hAnsiTheme="minorHAnsi" w:cstheme="minorHAnsi"/>
        </w:rPr>
      </w:pPr>
      <w:r w:rsidRPr="005F5709">
        <w:rPr>
          <w:rFonts w:asciiTheme="minorHAnsi" w:hAnsiTheme="minorHAnsi" w:cstheme="minorHAnsi"/>
        </w:rPr>
        <w:t xml:space="preserve">The Priority List will be used to target investment to occupations in skills </w:t>
      </w:r>
      <w:proofErr w:type="gramStart"/>
      <w:r w:rsidRPr="005F5709">
        <w:rPr>
          <w:rFonts w:asciiTheme="minorHAnsi" w:hAnsiTheme="minorHAnsi" w:cstheme="minorHAnsi"/>
        </w:rPr>
        <w:t>shortages</w:t>
      </w:r>
      <w:proofErr w:type="gramEnd"/>
    </w:p>
    <w:p w14:paraId="1F4CF540" w14:textId="77777777" w:rsidR="00BD1D88" w:rsidRPr="005F5709" w:rsidRDefault="00BD1D88" w:rsidP="00242F35">
      <w:pPr>
        <w:rPr>
          <w:rFonts w:asciiTheme="minorHAnsi" w:hAnsiTheme="minorHAnsi" w:cstheme="minorHAnsi"/>
        </w:rPr>
      </w:pPr>
      <w:r w:rsidRPr="005F5709">
        <w:rPr>
          <w:rFonts w:asciiTheme="minorHAnsi" w:hAnsiTheme="minorHAnsi" w:cstheme="minorHAnsi"/>
        </w:rPr>
        <w:t xml:space="preserve">A new Apprenticeships Priority List (the Priority List) will be used to identify occupations with a primary apprenticeship pathway that are in current or projected future demand.  The Priority List is based on National Skills Commission (NSC) analysis of the occupations in current shortage and future demand over the next five years. The Priority List will consolidate and supersede other occupation lists that have been used for different Australian Apprenticeship programs in the past including the NSNL, the Priority Occupations List, and the Additional Identified Skills Shortage Payment List. The current Priority List is available at Attachment D. Importantly, the Priority List will be reviewed and updated every year, based on the NSC’s updated analysis. </w:t>
      </w:r>
    </w:p>
    <w:p w14:paraId="66695504" w14:textId="77777777" w:rsidR="00BD1D88" w:rsidRPr="005F5709" w:rsidRDefault="00BD1D88" w:rsidP="00242F35">
      <w:pPr>
        <w:rPr>
          <w:rFonts w:asciiTheme="minorHAnsi" w:hAnsiTheme="minorHAnsi" w:cstheme="minorHAnsi"/>
        </w:rPr>
      </w:pPr>
      <w:r w:rsidRPr="005F5709">
        <w:rPr>
          <w:rFonts w:asciiTheme="minorHAnsi" w:hAnsiTheme="minorHAnsi" w:cstheme="minorHAnsi"/>
        </w:rPr>
        <w:lastRenderedPageBreak/>
        <w:t xml:space="preserve">Under this option, the level of support an employer or apprentice receives will depend on whether the occupation in which the apprenticeship is undertaken is on the Priority List at the time the apprentice commences. If the occupation is on the Priority List at the time of commencement, the employer and apprentice will remain eligible for support for the duration of the apprenticeship, regardless of whether the occupation is subsequently removed from the Priority List. </w:t>
      </w:r>
    </w:p>
    <w:p w14:paraId="71EF6034" w14:textId="77777777" w:rsidR="00BD1D88" w:rsidRPr="005F5709" w:rsidRDefault="00BD1D88" w:rsidP="00E01A34">
      <w:pPr>
        <w:pStyle w:val="Heading4"/>
        <w:rPr>
          <w:rFonts w:asciiTheme="minorHAnsi" w:hAnsiTheme="minorHAnsi" w:cstheme="minorHAnsi"/>
        </w:rPr>
      </w:pPr>
      <w:r w:rsidRPr="005F5709">
        <w:rPr>
          <w:rFonts w:asciiTheme="minorHAnsi" w:hAnsiTheme="minorHAnsi" w:cstheme="minorHAnsi"/>
        </w:rPr>
        <w:t xml:space="preserve">Employer hiring incentive for priority </w:t>
      </w:r>
      <w:proofErr w:type="gramStart"/>
      <w:r w:rsidRPr="005F5709">
        <w:rPr>
          <w:rFonts w:asciiTheme="minorHAnsi" w:hAnsiTheme="minorHAnsi" w:cstheme="minorHAnsi"/>
        </w:rPr>
        <w:t>occupations</w:t>
      </w:r>
      <w:proofErr w:type="gramEnd"/>
    </w:p>
    <w:p w14:paraId="074A9E5C"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A hiring incentive would be provided to employers who hire an apprentice in an occupation on the Priority List. These employers would receive $4,000, which would be paid in instalments of $1,000 (paid at six months) and $3,000 paid at 12 months after commencement.</w:t>
      </w:r>
    </w:p>
    <w:p w14:paraId="54A9DF73" w14:textId="77777777" w:rsidR="00BD1D88" w:rsidRPr="005F5709" w:rsidRDefault="00BD1D88" w:rsidP="00573AC9">
      <w:pPr>
        <w:pStyle w:val="Heading4"/>
        <w:rPr>
          <w:rFonts w:asciiTheme="minorHAnsi" w:hAnsiTheme="minorHAnsi" w:cstheme="minorHAnsi"/>
        </w:rPr>
      </w:pPr>
      <w:r w:rsidRPr="005F5709">
        <w:rPr>
          <w:rFonts w:asciiTheme="minorHAnsi" w:hAnsiTheme="minorHAnsi" w:cstheme="minorHAnsi"/>
        </w:rPr>
        <w:t>Apprentice Package</w:t>
      </w:r>
    </w:p>
    <w:p w14:paraId="13EE292E" w14:textId="77777777" w:rsidR="00BD1D88" w:rsidRPr="005F5709" w:rsidRDefault="00BD1D88" w:rsidP="00334592">
      <w:pPr>
        <w:pStyle w:val="Heading5"/>
        <w:rPr>
          <w:rFonts w:asciiTheme="minorHAnsi" w:hAnsiTheme="minorHAnsi" w:cstheme="minorHAnsi"/>
        </w:rPr>
      </w:pPr>
      <w:r w:rsidRPr="005F5709">
        <w:rPr>
          <w:rFonts w:asciiTheme="minorHAnsi" w:hAnsiTheme="minorHAnsi" w:cstheme="minorHAnsi"/>
        </w:rPr>
        <w:t>Australian Apprentice Training Support Payment (priority occupations)</w:t>
      </w:r>
    </w:p>
    <w:p w14:paraId="32AE7A7E" w14:textId="77777777" w:rsidR="00BD1D88" w:rsidRPr="005F5709" w:rsidRDefault="00BD1D88" w:rsidP="00587673">
      <w:pPr>
        <w:rPr>
          <w:rFonts w:asciiTheme="minorHAnsi" w:hAnsiTheme="minorHAnsi" w:cstheme="minorHAnsi"/>
        </w:rPr>
      </w:pPr>
      <w:r w:rsidRPr="005F5709">
        <w:rPr>
          <w:rFonts w:asciiTheme="minorHAnsi" w:hAnsiTheme="minorHAnsi" w:cstheme="minorHAnsi"/>
        </w:rPr>
        <w:t>From 1 July 2022, eligible apprentices commencing a Certificate III level qualification or above on the Priority List, would receive $750 every six months over two years (a total of $3,000).</w:t>
      </w:r>
    </w:p>
    <w:p w14:paraId="6A9DF0C3" w14:textId="77777777" w:rsidR="00BD1D88" w:rsidRPr="005F5709" w:rsidRDefault="00BD1D88" w:rsidP="00587673">
      <w:pPr>
        <w:rPr>
          <w:rFonts w:asciiTheme="minorHAnsi" w:hAnsiTheme="minorHAnsi" w:cstheme="minorHAnsi"/>
        </w:rPr>
      </w:pPr>
      <w:r w:rsidRPr="005F5709">
        <w:rPr>
          <w:rFonts w:asciiTheme="minorHAnsi" w:hAnsiTheme="minorHAnsi" w:cstheme="minorHAnsi"/>
        </w:rPr>
        <w:t xml:space="preserve">The payment would be a regular taxable Support Payment, indexed annually to changes in the Consumer Price Index (CPI) to support apprentices to remain in training and to meet the cost of work and training in the early years of the apprenticeship. The Support Payment will only be available to newly commencing apprentices in occupations on the Priority List. Apprentices who commenced prior to 1 July 2022 will not be eligible. </w:t>
      </w:r>
    </w:p>
    <w:p w14:paraId="482A637F" w14:textId="77777777" w:rsidR="00BD1D88" w:rsidRPr="005F5709" w:rsidRDefault="00BD1D88" w:rsidP="00587673">
      <w:pPr>
        <w:rPr>
          <w:rFonts w:asciiTheme="minorHAnsi" w:hAnsiTheme="minorHAnsi" w:cstheme="minorHAnsi"/>
        </w:rPr>
      </w:pPr>
      <w:r w:rsidRPr="005F5709">
        <w:rPr>
          <w:rFonts w:asciiTheme="minorHAnsi" w:hAnsiTheme="minorHAnsi" w:cstheme="minorHAnsi"/>
        </w:rPr>
        <w:t xml:space="preserve">The purpose of the payment will be to provide apprentices with a financial incentive to remain in training and complete their apprenticeship, at a time when their wages are low and they may be able to secure a higher wage in an unskilled job. </w:t>
      </w:r>
    </w:p>
    <w:p w14:paraId="1D37E63E" w14:textId="77777777" w:rsidR="00BD1D88" w:rsidRPr="005F5709" w:rsidRDefault="00BD1D88" w:rsidP="00334592">
      <w:pPr>
        <w:pStyle w:val="Heading5"/>
        <w:rPr>
          <w:rFonts w:asciiTheme="minorHAnsi" w:hAnsiTheme="minorHAnsi" w:cstheme="minorHAnsi"/>
        </w:rPr>
      </w:pPr>
      <w:r w:rsidRPr="005F5709">
        <w:rPr>
          <w:rFonts w:asciiTheme="minorHAnsi" w:hAnsiTheme="minorHAnsi" w:cstheme="minorHAnsi"/>
        </w:rPr>
        <w:t>Expand Trade Support Loans – Australian Apprenticeship Support Loans</w:t>
      </w:r>
    </w:p>
    <w:p w14:paraId="0488899B" w14:textId="77777777" w:rsidR="00BD1D88" w:rsidRPr="005F5709" w:rsidRDefault="00BD1D88" w:rsidP="00587673">
      <w:pPr>
        <w:pStyle w:val="paragraph"/>
        <w:spacing w:before="0" w:beforeAutospacing="0" w:after="200" w:afterAutospacing="0" w:line="276" w:lineRule="auto"/>
        <w:textAlignment w:val="baseline"/>
        <w:rPr>
          <w:rFonts w:asciiTheme="minorHAnsi" w:eastAsiaTheme="majorEastAsia" w:hAnsiTheme="minorHAnsi" w:cstheme="minorHAnsi"/>
          <w:color w:val="000000"/>
          <w:sz w:val="22"/>
          <w:szCs w:val="22"/>
        </w:rPr>
      </w:pPr>
      <w:r w:rsidRPr="005F5709">
        <w:rPr>
          <w:rFonts w:asciiTheme="minorHAnsi" w:eastAsiaTheme="majorEastAsia" w:hAnsiTheme="minorHAnsi" w:cstheme="minorHAnsi"/>
          <w:color w:val="000000"/>
          <w:sz w:val="22"/>
          <w:szCs w:val="22"/>
        </w:rPr>
        <w:t>The TSL program will be altered to reduce administrative burden and increase support for apprentices in priority occupations, including non</w:t>
      </w:r>
      <w:r w:rsidRPr="005F5709">
        <w:rPr>
          <w:rFonts w:asciiTheme="minorHAnsi" w:eastAsiaTheme="majorEastAsia" w:hAnsiTheme="minorHAnsi" w:cstheme="minorHAnsi"/>
          <w:color w:val="000000"/>
          <w:sz w:val="22"/>
          <w:szCs w:val="22"/>
        </w:rPr>
        <w:noBreakHyphen/>
        <w:t>trade Australian Apprentices such as in aged care and childcare. Changes include:</w:t>
      </w:r>
    </w:p>
    <w:p w14:paraId="0513B1D0" w14:textId="77777777" w:rsidR="00BD1D88" w:rsidRPr="005F5709" w:rsidRDefault="00BD1D88" w:rsidP="00977294">
      <w:pPr>
        <w:pStyle w:val="paragraph"/>
        <w:numPr>
          <w:ilvl w:val="0"/>
          <w:numId w:val="25"/>
        </w:numPr>
        <w:spacing w:before="0" w:beforeAutospacing="0" w:after="0" w:afterAutospacing="0" w:line="276" w:lineRule="auto"/>
        <w:textAlignment w:val="baseline"/>
        <w:rPr>
          <w:rFonts w:asciiTheme="minorHAnsi" w:eastAsiaTheme="majorEastAsia" w:hAnsiTheme="minorHAnsi" w:cstheme="minorHAnsi"/>
          <w:color w:val="000000"/>
          <w:sz w:val="22"/>
          <w:szCs w:val="22"/>
        </w:rPr>
      </w:pPr>
      <w:r w:rsidRPr="005F5709">
        <w:rPr>
          <w:rFonts w:asciiTheme="minorHAnsi" w:eastAsiaTheme="majorEastAsia" w:hAnsiTheme="minorHAnsi" w:cstheme="minorHAnsi"/>
          <w:color w:val="000000"/>
          <w:sz w:val="22"/>
          <w:szCs w:val="22"/>
        </w:rPr>
        <w:t>Align eligibility to offer support for all apprentices on the Priority List, including expansion to non-trade priority occupations;</w:t>
      </w:r>
    </w:p>
    <w:p w14:paraId="5F993C5F" w14:textId="77777777" w:rsidR="00BD1D88" w:rsidRPr="005F5709" w:rsidRDefault="00BD1D88" w:rsidP="00977294">
      <w:pPr>
        <w:pStyle w:val="paragraph"/>
        <w:numPr>
          <w:ilvl w:val="0"/>
          <w:numId w:val="25"/>
        </w:numPr>
        <w:spacing w:before="0" w:beforeAutospacing="0" w:after="0" w:afterAutospacing="0" w:line="276" w:lineRule="auto"/>
        <w:textAlignment w:val="baseline"/>
        <w:rPr>
          <w:rFonts w:asciiTheme="minorHAnsi" w:eastAsiaTheme="majorEastAsia" w:hAnsiTheme="minorHAnsi" w:cstheme="minorHAnsi"/>
          <w:color w:val="000000"/>
          <w:sz w:val="22"/>
          <w:szCs w:val="22"/>
        </w:rPr>
      </w:pPr>
      <w:r w:rsidRPr="005F5709">
        <w:rPr>
          <w:rFonts w:asciiTheme="minorHAnsi" w:eastAsiaTheme="majorEastAsia" w:hAnsiTheme="minorHAnsi" w:cstheme="minorHAnsi"/>
          <w:color w:val="000000"/>
          <w:sz w:val="22"/>
          <w:szCs w:val="22"/>
        </w:rPr>
        <w:t>Rename the scheme Australian Apprenticeship Support Loans to align with new eligibility for non-trade occupations; and</w:t>
      </w:r>
    </w:p>
    <w:p w14:paraId="14ADF11D" w14:textId="77777777" w:rsidR="00BD1D88" w:rsidRPr="005F5709" w:rsidRDefault="00BD1D88" w:rsidP="00977294">
      <w:pPr>
        <w:pStyle w:val="paragraph"/>
        <w:numPr>
          <w:ilvl w:val="0"/>
          <w:numId w:val="25"/>
        </w:numPr>
        <w:spacing w:after="0" w:line="276" w:lineRule="auto"/>
        <w:textAlignment w:val="baseline"/>
        <w:rPr>
          <w:rFonts w:asciiTheme="minorHAnsi" w:eastAsiaTheme="majorEastAsia" w:hAnsiTheme="minorHAnsi" w:cstheme="minorHAnsi"/>
          <w:color w:val="000000"/>
          <w:sz w:val="22"/>
          <w:szCs w:val="22"/>
        </w:rPr>
      </w:pPr>
      <w:r w:rsidRPr="005F5709">
        <w:rPr>
          <w:rFonts w:asciiTheme="minorHAnsi" w:eastAsiaTheme="majorEastAsia" w:hAnsiTheme="minorHAnsi" w:cstheme="minorHAnsi"/>
          <w:color w:val="000000"/>
          <w:sz w:val="22"/>
          <w:szCs w:val="22"/>
        </w:rPr>
        <w:t>AASNs will be allowed greater administrative flexibility to backdate TSL payments to provide immediate support to recipients. This will allow a payment to be backdated to:</w:t>
      </w:r>
    </w:p>
    <w:p w14:paraId="7007AEE3" w14:textId="77777777" w:rsidR="00BD1D88" w:rsidRPr="005F5709" w:rsidRDefault="00BD1D88" w:rsidP="00977294">
      <w:pPr>
        <w:pStyle w:val="paragraph"/>
        <w:numPr>
          <w:ilvl w:val="1"/>
          <w:numId w:val="25"/>
        </w:numPr>
        <w:spacing w:line="276" w:lineRule="auto"/>
        <w:textAlignment w:val="baseline"/>
        <w:rPr>
          <w:rFonts w:asciiTheme="minorHAnsi" w:eastAsiaTheme="majorEastAsia" w:hAnsiTheme="minorHAnsi" w:cstheme="minorHAnsi"/>
          <w:color w:val="000000"/>
          <w:sz w:val="22"/>
          <w:szCs w:val="22"/>
        </w:rPr>
      </w:pPr>
      <w:r w:rsidRPr="005F5709">
        <w:rPr>
          <w:rFonts w:asciiTheme="minorHAnsi" w:eastAsiaTheme="majorEastAsia" w:hAnsiTheme="minorHAnsi" w:cstheme="minorHAnsi"/>
          <w:color w:val="000000"/>
          <w:sz w:val="22"/>
          <w:szCs w:val="22"/>
        </w:rPr>
        <w:t>the date the first application and all future opt ins were made;</w:t>
      </w:r>
    </w:p>
    <w:p w14:paraId="71CD33FF" w14:textId="77777777" w:rsidR="00BD1D88" w:rsidRPr="005F5709" w:rsidRDefault="00BD1D88" w:rsidP="00977294">
      <w:pPr>
        <w:pStyle w:val="paragraph"/>
        <w:numPr>
          <w:ilvl w:val="1"/>
          <w:numId w:val="25"/>
        </w:numPr>
        <w:spacing w:line="276" w:lineRule="auto"/>
        <w:textAlignment w:val="baseline"/>
        <w:rPr>
          <w:rFonts w:asciiTheme="minorHAnsi" w:eastAsiaTheme="majorEastAsia" w:hAnsiTheme="minorHAnsi" w:cstheme="minorHAnsi"/>
          <w:color w:val="000000"/>
          <w:sz w:val="22"/>
          <w:szCs w:val="22"/>
        </w:rPr>
      </w:pPr>
      <w:r w:rsidRPr="005F5709">
        <w:rPr>
          <w:rFonts w:asciiTheme="minorHAnsi" w:eastAsiaTheme="majorEastAsia" w:hAnsiTheme="minorHAnsi" w:cstheme="minorHAnsi"/>
          <w:color w:val="000000"/>
          <w:sz w:val="22"/>
          <w:szCs w:val="22"/>
        </w:rPr>
        <w:t>the date of a missed payment due to an administrative error.</w:t>
      </w:r>
    </w:p>
    <w:p w14:paraId="6850AF73" w14:textId="77777777" w:rsidR="00BD1D88" w:rsidRPr="005F5709" w:rsidRDefault="00BD1D88" w:rsidP="008B7A0F">
      <w:pPr>
        <w:pStyle w:val="Heading4"/>
        <w:rPr>
          <w:rFonts w:asciiTheme="minorHAnsi" w:hAnsiTheme="minorHAnsi" w:cstheme="minorHAnsi"/>
        </w:rPr>
      </w:pPr>
      <w:r w:rsidRPr="005F5709">
        <w:rPr>
          <w:rFonts w:asciiTheme="minorHAnsi" w:hAnsiTheme="minorHAnsi" w:cstheme="minorHAnsi"/>
        </w:rPr>
        <w:t>Youth Support</w:t>
      </w:r>
    </w:p>
    <w:p w14:paraId="7A67CBAE" w14:textId="77777777" w:rsidR="00BD1D88" w:rsidRPr="005F5709" w:rsidRDefault="00BD1D88" w:rsidP="005901C2">
      <w:pPr>
        <w:rPr>
          <w:rFonts w:asciiTheme="minorHAnsi" w:hAnsiTheme="minorHAnsi" w:cstheme="minorHAnsi"/>
        </w:rPr>
      </w:pPr>
      <w:r w:rsidRPr="005F5709">
        <w:rPr>
          <w:rFonts w:asciiTheme="minorHAnsi" w:hAnsiTheme="minorHAnsi" w:cstheme="minorHAnsi"/>
        </w:rPr>
        <w:t xml:space="preserve">To support young Australians undertaking an apprenticeship in priority occupations, targeted youth apprenticeship support would be introduced for Australian Apprentices aged 15 to 20. This support would include 2,500 additional ITS places for young Australian </w:t>
      </w:r>
      <w:r w:rsidRPr="005F5709">
        <w:rPr>
          <w:rFonts w:asciiTheme="minorHAnsi" w:hAnsiTheme="minorHAnsi" w:cstheme="minorHAnsi"/>
        </w:rPr>
        <w:lastRenderedPageBreak/>
        <w:t xml:space="preserve">Apprentices (currently approximately 30,000 places are available each year for all Australian Apprentices) and the introduction of a three month follow up call after commencement to provide an opportunity for apprentices to seek advice or request further support. </w:t>
      </w:r>
    </w:p>
    <w:p w14:paraId="7AFDCA8B" w14:textId="77777777" w:rsidR="00BD1D88" w:rsidRPr="005F5709" w:rsidRDefault="00BD1D88" w:rsidP="00557AB7">
      <w:pPr>
        <w:pStyle w:val="Heading4"/>
        <w:rPr>
          <w:rFonts w:asciiTheme="minorHAnsi" w:hAnsiTheme="minorHAnsi" w:cstheme="minorHAnsi"/>
        </w:rPr>
      </w:pPr>
      <w:r w:rsidRPr="005F5709">
        <w:rPr>
          <w:rFonts w:asciiTheme="minorHAnsi" w:hAnsiTheme="minorHAnsi" w:cstheme="minorHAnsi"/>
        </w:rPr>
        <w:t>Administrative Changes</w:t>
      </w:r>
    </w:p>
    <w:p w14:paraId="75502BE8" w14:textId="77777777" w:rsidR="00BD1D88" w:rsidRPr="005F5709" w:rsidRDefault="00BD1D88" w:rsidP="00772063">
      <w:pPr>
        <w:pStyle w:val="Heading5"/>
        <w:rPr>
          <w:rFonts w:asciiTheme="minorHAnsi" w:hAnsiTheme="minorHAnsi" w:cstheme="minorHAnsi"/>
        </w:rPr>
      </w:pPr>
      <w:r w:rsidRPr="005F5709">
        <w:rPr>
          <w:rFonts w:asciiTheme="minorHAnsi" w:hAnsiTheme="minorHAnsi" w:cstheme="minorHAnsi"/>
        </w:rPr>
        <w:t xml:space="preserve">Simplified Prior and Concurrent Qualifications eligibility </w:t>
      </w:r>
      <w:proofErr w:type="gramStart"/>
      <w:r w:rsidRPr="005F5709">
        <w:rPr>
          <w:rFonts w:asciiTheme="minorHAnsi" w:hAnsiTheme="minorHAnsi" w:cstheme="minorHAnsi"/>
        </w:rPr>
        <w:t>criteria</w:t>
      </w:r>
      <w:proofErr w:type="gramEnd"/>
    </w:p>
    <w:p w14:paraId="1FB15566" w14:textId="77777777" w:rsidR="00BD1D88" w:rsidRPr="005F5709" w:rsidRDefault="00BD1D88" w:rsidP="00557AB7">
      <w:pPr>
        <w:rPr>
          <w:rFonts w:asciiTheme="minorHAnsi" w:hAnsiTheme="minorHAnsi" w:cstheme="minorHAnsi"/>
        </w:rPr>
      </w:pPr>
      <w:r w:rsidRPr="005F5709">
        <w:rPr>
          <w:rFonts w:asciiTheme="minorHAnsi" w:hAnsiTheme="minorHAnsi" w:cstheme="minorHAnsi"/>
        </w:rPr>
        <w:t>The Prior and Concurrent Qualifications eligibility criteria would be removed to support individuals with previous qualifications to undertake an apprenticeship and encourage lifelong learning. These changes will remove current disincentives for employers to hire experienced candidates with a prior qualification and will also allow experienced apprentices to accelerate their apprenticeship. This will give employers quicker access to qualified workers and facilitate the re-skilling of workers in occupations in high demand.</w:t>
      </w:r>
    </w:p>
    <w:p w14:paraId="7125F61B" w14:textId="77777777" w:rsidR="00BD1D88" w:rsidRPr="005F5709" w:rsidRDefault="00BD1D88" w:rsidP="00772063">
      <w:pPr>
        <w:pStyle w:val="Heading5"/>
        <w:rPr>
          <w:rFonts w:asciiTheme="minorHAnsi" w:hAnsiTheme="minorHAnsi" w:cstheme="minorHAnsi"/>
        </w:rPr>
      </w:pPr>
      <w:r w:rsidRPr="005F5709">
        <w:rPr>
          <w:rFonts w:asciiTheme="minorHAnsi" w:hAnsiTheme="minorHAnsi" w:cstheme="minorHAnsi"/>
        </w:rPr>
        <w:t>Ceasing of AISS payment and formal closure of AAWS</w:t>
      </w:r>
    </w:p>
    <w:p w14:paraId="585F51A8" w14:textId="77777777" w:rsidR="00BD1D88" w:rsidRPr="005F5709" w:rsidRDefault="00BD1D88" w:rsidP="00557AB7">
      <w:pPr>
        <w:rPr>
          <w:rFonts w:asciiTheme="minorHAnsi" w:hAnsiTheme="minorHAnsi" w:cstheme="minorHAnsi"/>
        </w:rPr>
      </w:pPr>
      <w:r w:rsidRPr="005F5709">
        <w:rPr>
          <w:rFonts w:asciiTheme="minorHAnsi" w:hAnsiTheme="minorHAnsi" w:cstheme="minorHAnsi"/>
        </w:rPr>
        <w:t xml:space="preserve">The AAWS trial encouraged employers to hire regional and rural apprentices in priority occupations, consistent with the NSNL. Formally closing the AAWS will remove the need for employers to track multiple lists and payments, reducing complexity within the apprenticeship system. Similarly, from 1 July 2022, the AISS payment will be closed to new participants to allow for introduction of a new incentives system. </w:t>
      </w:r>
    </w:p>
    <w:p w14:paraId="5BCC90F1" w14:textId="77777777" w:rsidR="00BD1D88" w:rsidRPr="005F5709" w:rsidRDefault="00BD1D88" w:rsidP="00E01A34">
      <w:pPr>
        <w:pStyle w:val="Heading3"/>
      </w:pPr>
      <w:bookmarkStart w:id="78" w:name="_Toc88575293"/>
      <w:bookmarkStart w:id="79" w:name="_Toc113022196"/>
      <w:r w:rsidRPr="005F5709">
        <w:t>Implementation of this option</w:t>
      </w:r>
      <w:bookmarkEnd w:id="78"/>
      <w:bookmarkEnd w:id="79"/>
    </w:p>
    <w:p w14:paraId="51E15181" w14:textId="77777777" w:rsidR="00BD1D88" w:rsidRPr="005F5709" w:rsidRDefault="00BD1D88" w:rsidP="00772063">
      <w:pPr>
        <w:pStyle w:val="Heading4"/>
        <w:rPr>
          <w:rFonts w:asciiTheme="minorHAnsi" w:hAnsiTheme="minorHAnsi" w:cstheme="minorHAnsi"/>
        </w:rPr>
      </w:pPr>
      <w:r w:rsidRPr="005F5709">
        <w:rPr>
          <w:rFonts w:asciiTheme="minorHAnsi" w:hAnsiTheme="minorHAnsi" w:cstheme="minorHAnsi"/>
        </w:rPr>
        <w:t>Legislation</w:t>
      </w:r>
    </w:p>
    <w:p w14:paraId="4C00A78A"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 xml:space="preserve">New primary legislation is recommended for any new incentives system to improve and simplify administration of the program and protect apprentices through strengthened accountability. Additionally, changes to the TSL will need to be reflected in the TSL Act and Rules. </w:t>
      </w:r>
    </w:p>
    <w:p w14:paraId="502845A1"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New legislation will not be in place until after 1 July 2022. In the interim, legislative authority and operation of the new program (excluding TSL) will rest on items in the Financial Framework (Supplementary Powers) Schedule 1AB (FFSP) and robust Program Guidelines, similar to the operation of the current program. </w:t>
      </w:r>
    </w:p>
    <w:p w14:paraId="34040BEE"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 xml:space="preserve">Changes to TSL will be implemented once proposed changes to the enabling legislation are made. TSL is governed by the Trade Support Loans Act 2014 and two legislative instruments: the Trade Support Loans Rules 2014 and Trade Support Loans Priority List 2014. It is anticipated that legislation will be introduced in the Spring 2022 sittings. </w:t>
      </w:r>
    </w:p>
    <w:p w14:paraId="1A4A6628" w14:textId="77777777" w:rsidR="00BD1D88" w:rsidRPr="005F5709" w:rsidRDefault="00BD1D88" w:rsidP="00535180">
      <w:pPr>
        <w:pStyle w:val="Heading4"/>
        <w:rPr>
          <w:rFonts w:asciiTheme="minorHAnsi" w:hAnsiTheme="minorHAnsi" w:cstheme="minorHAnsi"/>
        </w:rPr>
      </w:pPr>
      <w:r w:rsidRPr="005F5709">
        <w:rPr>
          <w:rFonts w:asciiTheme="minorHAnsi" w:hAnsiTheme="minorHAnsi" w:cstheme="minorHAnsi"/>
        </w:rPr>
        <w:t>Program Guidelines</w:t>
      </w:r>
    </w:p>
    <w:p w14:paraId="333DC4F4"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 xml:space="preserve">The implementation of the AAIS would be supported by new Program Guidelines, published on the Department’s website and </w:t>
      </w:r>
      <w:proofErr w:type="spellStart"/>
      <w:r w:rsidRPr="005F5709">
        <w:rPr>
          <w:rFonts w:asciiTheme="minorHAnsi" w:hAnsiTheme="minorHAnsi" w:cstheme="minorHAnsi"/>
        </w:rPr>
        <w:t>GrantConnect</w:t>
      </w:r>
      <w:proofErr w:type="spellEnd"/>
      <w:r w:rsidRPr="005F5709">
        <w:rPr>
          <w:rFonts w:asciiTheme="minorHAnsi" w:hAnsiTheme="minorHAnsi" w:cstheme="minorHAnsi"/>
        </w:rPr>
        <w:t>. The Program Guidelines would provide details on incentives including eligibility requirements and how to apply.</w:t>
      </w:r>
    </w:p>
    <w:p w14:paraId="63B995DC" w14:textId="77777777" w:rsidR="00BD1D88" w:rsidRPr="005F5709" w:rsidRDefault="00BD1D88" w:rsidP="00535180">
      <w:pPr>
        <w:pStyle w:val="Heading4"/>
        <w:rPr>
          <w:rFonts w:asciiTheme="minorHAnsi" w:hAnsiTheme="minorHAnsi" w:cstheme="minorHAnsi"/>
        </w:rPr>
      </w:pPr>
      <w:r w:rsidRPr="005F5709">
        <w:rPr>
          <w:rFonts w:asciiTheme="minorHAnsi" w:hAnsiTheme="minorHAnsi" w:cstheme="minorHAnsi"/>
        </w:rPr>
        <w:t>Grandfathering arrangements</w:t>
      </w:r>
    </w:p>
    <w:p w14:paraId="61B7153A"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 xml:space="preserve">All existing employers and apprentices on the current program that commenced prior to 1 July 2022 would be grandfathered under existing arrangements. </w:t>
      </w:r>
    </w:p>
    <w:p w14:paraId="47B63906" w14:textId="77777777" w:rsidR="00BD1D88" w:rsidRPr="005F5709" w:rsidRDefault="00BD1D88" w:rsidP="00535180">
      <w:pPr>
        <w:pStyle w:val="Heading4"/>
        <w:rPr>
          <w:rFonts w:asciiTheme="minorHAnsi" w:hAnsiTheme="minorHAnsi" w:cstheme="minorHAnsi"/>
        </w:rPr>
      </w:pPr>
      <w:r w:rsidRPr="005F5709">
        <w:rPr>
          <w:rFonts w:asciiTheme="minorHAnsi" w:hAnsiTheme="minorHAnsi" w:cstheme="minorHAnsi"/>
        </w:rPr>
        <w:lastRenderedPageBreak/>
        <w:t>AASN provider contracts</w:t>
      </w:r>
    </w:p>
    <w:p w14:paraId="34B664AF"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 xml:space="preserve">Implementing the new incentives model would require a variation to the AASN provider contract which commenced on 1 February 2020. </w:t>
      </w:r>
    </w:p>
    <w:p w14:paraId="54416EAE"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In addition to delivering the new model, AASN providers would also continue to deliver the current program, as employers claiming incentives for an Australian Apprentice prior to 1 July 2022 would continue to receive payments under the AAIP payment structure for that apprentice.</w:t>
      </w:r>
    </w:p>
    <w:p w14:paraId="6D3FF2A2" w14:textId="77777777" w:rsidR="00BD1D88" w:rsidRPr="005F5709" w:rsidRDefault="00BD1D88" w:rsidP="00535180">
      <w:pPr>
        <w:pStyle w:val="Heading4"/>
        <w:rPr>
          <w:rFonts w:asciiTheme="minorHAnsi" w:hAnsiTheme="minorHAnsi" w:cstheme="minorHAnsi"/>
        </w:rPr>
      </w:pPr>
      <w:r w:rsidRPr="005F5709">
        <w:rPr>
          <w:rFonts w:asciiTheme="minorHAnsi" w:hAnsiTheme="minorHAnsi" w:cstheme="minorHAnsi"/>
        </w:rPr>
        <w:t>Information technology</w:t>
      </w:r>
    </w:p>
    <w:p w14:paraId="494C207F"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ADMS will continue to be rolled out incrementally as an agile IT project from October 2020 through to 30 June 2024. TYIMS will continue to support existing incentives while ADMS is being developed and program elements are transferred from TYIMS. New incentives and arrangements will be supported on ADMS.</w:t>
      </w:r>
    </w:p>
    <w:p w14:paraId="0887747E" w14:textId="77777777" w:rsidR="00BD1D88" w:rsidRPr="005F5709" w:rsidRDefault="00BD1D88" w:rsidP="00535180">
      <w:pPr>
        <w:pStyle w:val="Heading4"/>
        <w:rPr>
          <w:rFonts w:asciiTheme="minorHAnsi" w:hAnsiTheme="minorHAnsi" w:cstheme="minorHAnsi"/>
        </w:rPr>
      </w:pPr>
      <w:r w:rsidRPr="005F5709">
        <w:rPr>
          <w:rFonts w:asciiTheme="minorHAnsi" w:hAnsiTheme="minorHAnsi" w:cstheme="minorHAnsi"/>
        </w:rPr>
        <w:t>Stakeholder engagement</w:t>
      </w:r>
    </w:p>
    <w:p w14:paraId="4F8CBCC5" w14:textId="77777777" w:rsidR="00BD1D88" w:rsidRPr="005F5709" w:rsidRDefault="00BD1D88" w:rsidP="00B04049">
      <w:pPr>
        <w:rPr>
          <w:rFonts w:asciiTheme="minorHAnsi" w:hAnsiTheme="minorHAnsi" w:cstheme="minorHAnsi"/>
        </w:rPr>
      </w:pPr>
      <w:r w:rsidRPr="005F5709">
        <w:rPr>
          <w:rFonts w:asciiTheme="minorHAnsi" w:hAnsiTheme="minorHAnsi" w:cstheme="minorHAnsi"/>
        </w:rPr>
        <w:t>As part of implementation, consultation with key stakeholders (including the AASN) would be undertaken. Additionally, the Priority List will be carefully communicated to ensure stakeholders understand how the Priority List is updated and where to find current information.</w:t>
      </w:r>
    </w:p>
    <w:p w14:paraId="6532B7D7" w14:textId="77777777" w:rsidR="00BD1D88" w:rsidRPr="005F5709" w:rsidRDefault="00BD1D88">
      <w:pPr>
        <w:rPr>
          <w:rFonts w:asciiTheme="minorHAnsi" w:eastAsiaTheme="majorEastAsia" w:hAnsiTheme="minorHAnsi" w:cstheme="minorHAnsi"/>
          <w:b/>
          <w:color w:val="002060"/>
          <w:sz w:val="30"/>
          <w:szCs w:val="26"/>
        </w:rPr>
      </w:pPr>
      <w:r w:rsidRPr="005F5709">
        <w:rPr>
          <w:rFonts w:asciiTheme="minorHAnsi" w:hAnsiTheme="minorHAnsi" w:cstheme="minorHAnsi"/>
          <w:color w:val="002060"/>
        </w:rPr>
        <w:br w:type="page"/>
      </w:r>
    </w:p>
    <w:p w14:paraId="65C3B0FC" w14:textId="77777777" w:rsidR="00BD1D88" w:rsidRPr="005F5709" w:rsidRDefault="00BD1D88" w:rsidP="00736D9B">
      <w:pPr>
        <w:pStyle w:val="Heading2"/>
        <w:spacing w:after="240"/>
        <w:rPr>
          <w:color w:val="002060"/>
        </w:rPr>
      </w:pPr>
      <w:bookmarkStart w:id="80" w:name="_Toc113022197"/>
      <w:r w:rsidRPr="005F5709">
        <w:rPr>
          <w:color w:val="002060"/>
        </w:rPr>
        <w:lastRenderedPageBreak/>
        <w:t xml:space="preserve">4.3 Option 3: A phased option of the Australian Apprenticeships Incentive System with the flexibility to respond to economic </w:t>
      </w:r>
      <w:proofErr w:type="gramStart"/>
      <w:r w:rsidRPr="005F5709">
        <w:rPr>
          <w:color w:val="002060"/>
        </w:rPr>
        <w:t>conditions</w:t>
      </w:r>
      <w:bookmarkEnd w:id="80"/>
      <w:proofErr w:type="gramEnd"/>
    </w:p>
    <w:p w14:paraId="1F699362" w14:textId="77777777" w:rsidR="00BD1D88" w:rsidRPr="005F5709" w:rsidRDefault="00BD1D88" w:rsidP="00CF6C03">
      <w:pPr>
        <w:rPr>
          <w:rFonts w:asciiTheme="minorHAnsi" w:hAnsiTheme="minorHAnsi" w:cstheme="minorHAnsi"/>
        </w:rPr>
      </w:pPr>
      <w:r w:rsidRPr="005F5709">
        <w:rPr>
          <w:rFonts w:asciiTheme="minorHAnsi" w:hAnsiTheme="minorHAnsi" w:cstheme="minorHAnsi"/>
        </w:rPr>
        <w:t>Under Option 3, the Australian Government would introduce a reformed Australian Apprenticeships Incentive System over two separate phases, to provide support to priority and non-priority occupations during the COVID-19 recovery from 1 July 2022 to 30 June 2024, before targeting investment only to priority occupations only from 1 July 2024. This will prioritise the development of in-demand skills while providing a manageable step down in support from the BAC program.</w:t>
      </w:r>
    </w:p>
    <w:p w14:paraId="3047D64B" w14:textId="77777777" w:rsidR="00BD1D88" w:rsidRPr="005F5709" w:rsidRDefault="00BD1D88" w:rsidP="00CF6C03">
      <w:pPr>
        <w:rPr>
          <w:rFonts w:asciiTheme="minorHAnsi" w:hAnsiTheme="minorHAnsi" w:cstheme="minorHAnsi"/>
        </w:rPr>
      </w:pPr>
      <w:r w:rsidRPr="005F5709">
        <w:rPr>
          <w:rFonts w:asciiTheme="minorHAnsi" w:hAnsiTheme="minorHAnsi" w:cstheme="minorHAnsi"/>
        </w:rPr>
        <w:t>The first phase of this option would feature a wage subsidy for employers of apprentices in priority occupations, hiring incentives for employers of apprentices in non-priority occupations, and a direct payment to priority apprentices to help them meet the costs of living while training. This phase would begin on 1 July 2022 and would conclude on 30 June 2024.</w:t>
      </w:r>
    </w:p>
    <w:p w14:paraId="4EF4BDDB" w14:textId="77777777" w:rsidR="00BD1D88" w:rsidRPr="005F5709" w:rsidRDefault="00BD1D88" w:rsidP="00CF6C03">
      <w:pPr>
        <w:rPr>
          <w:rFonts w:asciiTheme="minorHAnsi" w:hAnsiTheme="minorHAnsi" w:cstheme="minorHAnsi"/>
        </w:rPr>
      </w:pPr>
      <w:r w:rsidRPr="005F5709">
        <w:rPr>
          <w:rFonts w:asciiTheme="minorHAnsi" w:hAnsiTheme="minorHAnsi" w:cstheme="minorHAnsi"/>
        </w:rPr>
        <w:t>From 1 July 2024 the second phase would begin, which would match Option 2. Financial support would stabilise around 2019 levels and will only be available for priority apprentices and their employers to ensure that it is targeting the skills in demand across the economy. The wage subsidy will be replaced with a hiring incentive and the direct payment will be reduced. The hiring incentive for non-priority apprentices will be removed.</w:t>
      </w:r>
    </w:p>
    <w:p w14:paraId="1E2466C2" w14:textId="77777777" w:rsidR="00BD1D88" w:rsidRPr="005F5709" w:rsidRDefault="00BD1D88" w:rsidP="00A7419F">
      <w:pPr>
        <w:pStyle w:val="Heading3"/>
        <w:spacing w:after="240"/>
      </w:pPr>
      <w:bookmarkStart w:id="81" w:name="_Toc113022198"/>
      <w:r w:rsidRPr="005F5709">
        <w:t>Features of this option (phase one)</w:t>
      </w:r>
      <w:bookmarkEnd w:id="81"/>
    </w:p>
    <w:p w14:paraId="7586DF0A" w14:textId="77777777" w:rsidR="00BD1D88" w:rsidRPr="005F5709" w:rsidRDefault="00BD1D88" w:rsidP="008969AF">
      <w:pPr>
        <w:rPr>
          <w:rFonts w:asciiTheme="minorHAnsi" w:hAnsiTheme="minorHAnsi" w:cstheme="minorHAnsi"/>
        </w:rPr>
      </w:pPr>
      <w:r w:rsidRPr="005F5709">
        <w:rPr>
          <w:rFonts w:asciiTheme="minorHAnsi" w:hAnsiTheme="minorHAnsi" w:cstheme="minorHAnsi"/>
        </w:rPr>
        <w:t>Phase one between 1 July 2022 and 30 June 2024:</w:t>
      </w:r>
    </w:p>
    <w:p w14:paraId="5227762C"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Wage subsidy for employers in priority occupations;</w:t>
      </w:r>
    </w:p>
    <w:p w14:paraId="4EED536B"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Employer hiring incentive for employers of apprentices in non-priority occupations;</w:t>
      </w:r>
    </w:p>
    <w:p w14:paraId="01A61D1F"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Apprentice payment (same as Option 2, but with a higher payment amount);</w:t>
      </w:r>
    </w:p>
    <w:p w14:paraId="5CB7DB4B"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Introduction of the new Priority List (same as per Option 2);</w:t>
      </w:r>
    </w:p>
    <w:p w14:paraId="1464AC75"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Youth support (same as per Option 2); and</w:t>
      </w:r>
    </w:p>
    <w:p w14:paraId="7538CC22"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Administrative changes (same as per Option 2).</w:t>
      </w:r>
    </w:p>
    <w:p w14:paraId="1EFC2712" w14:textId="77777777" w:rsidR="00BD1D88" w:rsidRPr="005F5709" w:rsidRDefault="00BD1D88" w:rsidP="0079156F">
      <w:pPr>
        <w:pStyle w:val="Heading4"/>
        <w:rPr>
          <w:rFonts w:asciiTheme="minorHAnsi" w:hAnsiTheme="minorHAnsi" w:cstheme="minorHAnsi"/>
        </w:rPr>
      </w:pPr>
      <w:r w:rsidRPr="005F5709">
        <w:rPr>
          <w:rFonts w:asciiTheme="minorHAnsi" w:hAnsiTheme="minorHAnsi" w:cstheme="minorHAnsi"/>
        </w:rPr>
        <w:t>Wage subsidy for the employer of an apprentice in a priority occupation</w:t>
      </w:r>
    </w:p>
    <w:p w14:paraId="4A73949C" w14:textId="77777777" w:rsidR="00BD1D88" w:rsidRPr="005F5709" w:rsidRDefault="00BD1D88" w:rsidP="0079156F">
      <w:pPr>
        <w:rPr>
          <w:rFonts w:asciiTheme="minorHAnsi" w:hAnsiTheme="minorHAnsi" w:cstheme="minorHAnsi"/>
        </w:rPr>
      </w:pPr>
      <w:r w:rsidRPr="005F5709">
        <w:rPr>
          <w:rFonts w:asciiTheme="minorHAnsi" w:hAnsiTheme="minorHAnsi" w:cstheme="minorHAnsi"/>
        </w:rPr>
        <w:t>Under this option an employer of an apprentice in a priority occupation would be paid a wage subsidy as set out below:</w:t>
      </w:r>
    </w:p>
    <w:p w14:paraId="4F1911EB" w14:textId="77777777" w:rsidR="00BD1D88" w:rsidRPr="005F5709" w:rsidRDefault="00BD1D88" w:rsidP="00977294">
      <w:pPr>
        <w:pStyle w:val="ListParagraph"/>
        <w:numPr>
          <w:ilvl w:val="0"/>
          <w:numId w:val="24"/>
        </w:numPr>
        <w:spacing w:after="200" w:line="276" w:lineRule="auto"/>
        <w:rPr>
          <w:rFonts w:asciiTheme="minorHAnsi" w:hAnsiTheme="minorHAnsi" w:cstheme="minorHAnsi"/>
        </w:rPr>
      </w:pPr>
      <w:r w:rsidRPr="005F5709">
        <w:rPr>
          <w:rFonts w:asciiTheme="minorHAnsi" w:hAnsiTheme="minorHAnsi" w:cstheme="minorHAnsi"/>
          <w:b/>
          <w:bCs/>
        </w:rPr>
        <w:t>10 per cent of wages</w:t>
      </w:r>
      <w:r w:rsidRPr="005F5709">
        <w:rPr>
          <w:rFonts w:asciiTheme="minorHAnsi" w:hAnsiTheme="minorHAnsi" w:cstheme="minorHAnsi"/>
        </w:rPr>
        <w:t xml:space="preserve"> paid in the first year, up to a maximum of $1,500 per quarter per apprentice;</w:t>
      </w:r>
    </w:p>
    <w:p w14:paraId="0FD137C5" w14:textId="77777777" w:rsidR="00BD1D88" w:rsidRPr="005F5709" w:rsidRDefault="00BD1D88" w:rsidP="00977294">
      <w:pPr>
        <w:pStyle w:val="ListParagraph"/>
        <w:numPr>
          <w:ilvl w:val="0"/>
          <w:numId w:val="24"/>
        </w:numPr>
        <w:spacing w:after="200" w:line="276" w:lineRule="auto"/>
        <w:rPr>
          <w:rFonts w:asciiTheme="minorHAnsi" w:hAnsiTheme="minorHAnsi" w:cstheme="minorHAnsi"/>
        </w:rPr>
      </w:pPr>
      <w:r w:rsidRPr="005F5709">
        <w:rPr>
          <w:rFonts w:asciiTheme="minorHAnsi" w:hAnsiTheme="minorHAnsi" w:cstheme="minorHAnsi"/>
          <w:b/>
          <w:bCs/>
        </w:rPr>
        <w:t>10 per cent of wages</w:t>
      </w:r>
      <w:r w:rsidRPr="005F5709">
        <w:rPr>
          <w:rFonts w:asciiTheme="minorHAnsi" w:hAnsiTheme="minorHAnsi" w:cstheme="minorHAnsi"/>
        </w:rPr>
        <w:t xml:space="preserve"> paid in the second year, up to a maximum of $1,500 per quarter per apprentice; and</w:t>
      </w:r>
    </w:p>
    <w:p w14:paraId="68553A69" w14:textId="77777777" w:rsidR="00BD1D88" w:rsidRPr="005F5709" w:rsidRDefault="00BD1D88" w:rsidP="00977294">
      <w:pPr>
        <w:pStyle w:val="ListParagraph"/>
        <w:numPr>
          <w:ilvl w:val="0"/>
          <w:numId w:val="24"/>
        </w:numPr>
        <w:spacing w:after="200" w:line="276" w:lineRule="auto"/>
        <w:rPr>
          <w:rFonts w:asciiTheme="minorHAnsi" w:hAnsiTheme="minorHAnsi" w:cstheme="minorHAnsi"/>
        </w:rPr>
      </w:pPr>
      <w:r w:rsidRPr="005F5709">
        <w:rPr>
          <w:rFonts w:asciiTheme="minorHAnsi" w:hAnsiTheme="minorHAnsi" w:cstheme="minorHAnsi"/>
          <w:b/>
          <w:bCs/>
        </w:rPr>
        <w:t>5 per cent of wages</w:t>
      </w:r>
      <w:r w:rsidRPr="005F5709">
        <w:rPr>
          <w:rFonts w:asciiTheme="minorHAnsi" w:hAnsiTheme="minorHAnsi" w:cstheme="minorHAnsi"/>
        </w:rPr>
        <w:t xml:space="preserve"> paid in the third year, up to a maximum of $750 per quarter per apprentice.</w:t>
      </w:r>
    </w:p>
    <w:p w14:paraId="28AEB0AD" w14:textId="77777777" w:rsidR="00BD1D88" w:rsidRPr="005F5709" w:rsidRDefault="00BD1D88" w:rsidP="00441D93">
      <w:pPr>
        <w:spacing w:after="120"/>
        <w:rPr>
          <w:rFonts w:asciiTheme="minorHAnsi" w:hAnsiTheme="minorHAnsi" w:cstheme="minorHAnsi"/>
        </w:rPr>
      </w:pPr>
      <w:r w:rsidRPr="005F5709">
        <w:rPr>
          <w:rFonts w:asciiTheme="minorHAnsi" w:hAnsiTheme="minorHAnsi" w:cstheme="minorHAnsi"/>
        </w:rPr>
        <w:t>The maximum an employer could claim over the life of an apprenticeship is $15,000.</w:t>
      </w:r>
    </w:p>
    <w:p w14:paraId="50BCB137" w14:textId="77777777" w:rsidR="00BD1D88" w:rsidRPr="005F5709" w:rsidRDefault="00BD1D88" w:rsidP="0079156F">
      <w:pPr>
        <w:pStyle w:val="Heading4"/>
        <w:rPr>
          <w:rFonts w:asciiTheme="minorHAnsi" w:hAnsiTheme="minorHAnsi" w:cstheme="minorHAnsi"/>
        </w:rPr>
      </w:pPr>
      <w:r w:rsidRPr="005F5709">
        <w:rPr>
          <w:rFonts w:asciiTheme="minorHAnsi" w:hAnsiTheme="minorHAnsi" w:cstheme="minorHAnsi"/>
        </w:rPr>
        <w:lastRenderedPageBreak/>
        <w:t>Employer hiring incentive for employers of apprentices in non-priority occupations:</w:t>
      </w:r>
    </w:p>
    <w:p w14:paraId="71E7790C" w14:textId="77777777" w:rsidR="00BD1D88" w:rsidRPr="005F5709" w:rsidRDefault="00BD1D88" w:rsidP="0079156F">
      <w:pPr>
        <w:rPr>
          <w:rFonts w:asciiTheme="minorHAnsi" w:hAnsiTheme="minorHAnsi" w:cstheme="minorHAnsi"/>
        </w:rPr>
      </w:pPr>
      <w:r w:rsidRPr="005F5709">
        <w:rPr>
          <w:rFonts w:asciiTheme="minorHAnsi" w:hAnsiTheme="minorHAnsi" w:cstheme="minorHAnsi"/>
        </w:rPr>
        <w:t xml:space="preserve">The hiring incentive would provide employers of apprentices in non-priority occupations a $3,500 incentive payment paid in two instalments. An instalment of $1,750 would be payable at six and </w:t>
      </w:r>
      <w:r w:rsidRPr="005F5709">
        <w:rPr>
          <w:rFonts w:asciiTheme="minorHAnsi" w:hAnsiTheme="minorHAnsi" w:cstheme="minorHAnsi"/>
        </w:rPr>
        <w:br/>
        <w:t xml:space="preserve">12 months after hiring an apprentice in a non-priority occupation. These payments would act as encouragement for employers to invest in and support a highly skilled Australian workforce. </w:t>
      </w:r>
    </w:p>
    <w:p w14:paraId="581BBB0B" w14:textId="77777777" w:rsidR="00BD1D88" w:rsidRPr="005F5709" w:rsidRDefault="00BD1D88" w:rsidP="008969AF">
      <w:pPr>
        <w:rPr>
          <w:rFonts w:asciiTheme="minorHAnsi" w:hAnsiTheme="minorHAnsi" w:cstheme="minorHAnsi"/>
        </w:rPr>
      </w:pPr>
      <w:r w:rsidRPr="005F5709">
        <w:rPr>
          <w:rFonts w:asciiTheme="minorHAnsi" w:hAnsiTheme="minorHAnsi" w:cstheme="minorHAnsi"/>
        </w:rPr>
        <w:t>After this, the program will progress to phase two with a reduced level of government investment comparable to 2019 levels, equal to Option 2.</w:t>
      </w:r>
    </w:p>
    <w:p w14:paraId="3AE36E3C" w14:textId="77777777" w:rsidR="00BD1D88" w:rsidRPr="005F5709" w:rsidRDefault="00BD1D88" w:rsidP="00441D93">
      <w:pPr>
        <w:pStyle w:val="Heading4"/>
        <w:spacing w:before="120"/>
        <w:rPr>
          <w:rFonts w:asciiTheme="minorHAnsi" w:hAnsiTheme="minorHAnsi" w:cstheme="minorHAnsi"/>
        </w:rPr>
      </w:pPr>
      <w:r w:rsidRPr="005F5709">
        <w:rPr>
          <w:rFonts w:asciiTheme="minorHAnsi" w:hAnsiTheme="minorHAnsi" w:cstheme="minorHAnsi"/>
        </w:rPr>
        <w:t>Apprentice package</w:t>
      </w:r>
    </w:p>
    <w:p w14:paraId="4208DA73" w14:textId="77777777" w:rsidR="00BD1D88" w:rsidRPr="005F5709" w:rsidRDefault="00BD1D88" w:rsidP="00772063">
      <w:pPr>
        <w:pStyle w:val="Heading5"/>
        <w:rPr>
          <w:rFonts w:asciiTheme="minorHAnsi" w:hAnsiTheme="minorHAnsi" w:cstheme="minorHAnsi"/>
        </w:rPr>
      </w:pPr>
      <w:r w:rsidRPr="005F5709">
        <w:rPr>
          <w:rFonts w:asciiTheme="minorHAnsi" w:hAnsiTheme="minorHAnsi" w:cstheme="minorHAnsi"/>
        </w:rPr>
        <w:t>Australian Apprentice Training Support Payment (priority occupations)</w:t>
      </w:r>
    </w:p>
    <w:p w14:paraId="68B141C5" w14:textId="77777777" w:rsidR="00BD1D88" w:rsidRPr="005F5709" w:rsidRDefault="00BD1D88" w:rsidP="008969AF">
      <w:pPr>
        <w:rPr>
          <w:rFonts w:asciiTheme="minorHAnsi" w:hAnsiTheme="minorHAnsi" w:cstheme="minorHAnsi"/>
        </w:rPr>
      </w:pPr>
      <w:r w:rsidRPr="005F5709">
        <w:rPr>
          <w:rFonts w:asciiTheme="minorHAnsi" w:hAnsiTheme="minorHAnsi" w:cstheme="minorHAnsi"/>
        </w:rPr>
        <w:t>The Apprentice Training Support Payment arrangements for Option 3 are the same as Option 2, but with a higher payment amount. From 1 July 2022, eligible apprentices commencing a Certificate III level qualification or above on the Priority List, would receive $1,250 every six months over two years (a total of $5,000).</w:t>
      </w:r>
    </w:p>
    <w:p w14:paraId="73351428" w14:textId="77777777" w:rsidR="00BD1D88" w:rsidRPr="005F5709" w:rsidRDefault="00BD1D88" w:rsidP="00644002">
      <w:pPr>
        <w:pStyle w:val="Heading3"/>
      </w:pPr>
      <w:bookmarkStart w:id="82" w:name="_Toc113022199"/>
      <w:r w:rsidRPr="005F5709">
        <w:t>Features of this option (phase two)</w:t>
      </w:r>
      <w:bookmarkEnd w:id="82"/>
    </w:p>
    <w:p w14:paraId="56532A75" w14:textId="77777777" w:rsidR="00BD1D88" w:rsidRPr="005F5709" w:rsidRDefault="00BD1D88" w:rsidP="00902E67">
      <w:pPr>
        <w:pStyle w:val="Heading4"/>
        <w:rPr>
          <w:rFonts w:asciiTheme="minorHAnsi" w:hAnsiTheme="minorHAnsi" w:cstheme="minorHAnsi"/>
        </w:rPr>
      </w:pPr>
      <w:r w:rsidRPr="005F5709">
        <w:rPr>
          <w:rFonts w:asciiTheme="minorHAnsi" w:hAnsiTheme="minorHAnsi" w:cstheme="minorHAnsi"/>
        </w:rPr>
        <w:t>Hiring incentives for employers in priority occupations only</w:t>
      </w:r>
    </w:p>
    <w:p w14:paraId="4F90A1F2" w14:textId="77777777" w:rsidR="00BD1D88" w:rsidRPr="005F5709" w:rsidRDefault="00BD1D88" w:rsidP="00CF6C03">
      <w:pPr>
        <w:rPr>
          <w:rFonts w:asciiTheme="minorHAnsi" w:hAnsiTheme="minorHAnsi" w:cstheme="minorHAnsi"/>
        </w:rPr>
      </w:pPr>
      <w:r w:rsidRPr="005F5709">
        <w:rPr>
          <w:rFonts w:asciiTheme="minorHAnsi" w:hAnsiTheme="minorHAnsi" w:cstheme="minorHAnsi"/>
        </w:rPr>
        <w:t xml:space="preserve">During phase two, Australian Government support would only be available for apprentices training in priority occupations listed on the Priority List. This is to maximise Australian Government support towards those training in demand skills, and to incentivise apprentices towards these priority areas. The employer wage subsidy from phase one would be replaced by a hiring incentive of $4,000 for employers of apprentices training in priority occupations to encourage employers to take on further apprentices. </w:t>
      </w:r>
    </w:p>
    <w:p w14:paraId="7AA199C7" w14:textId="77777777" w:rsidR="00BD1D88" w:rsidRPr="005F5709" w:rsidRDefault="00BD1D88" w:rsidP="00902E67">
      <w:pPr>
        <w:pStyle w:val="Heading4"/>
        <w:rPr>
          <w:rFonts w:asciiTheme="minorHAnsi" w:hAnsiTheme="minorHAnsi" w:cstheme="minorHAnsi"/>
        </w:rPr>
      </w:pPr>
      <w:r w:rsidRPr="005F5709">
        <w:rPr>
          <w:rFonts w:asciiTheme="minorHAnsi" w:hAnsiTheme="minorHAnsi" w:cstheme="minorHAnsi"/>
        </w:rPr>
        <w:t>No support for employers in non-priority occupations</w:t>
      </w:r>
    </w:p>
    <w:p w14:paraId="24955178" w14:textId="77777777" w:rsidR="00BD1D88" w:rsidRPr="005F5709" w:rsidRDefault="00BD1D88" w:rsidP="007D2010">
      <w:pPr>
        <w:rPr>
          <w:rFonts w:asciiTheme="minorHAnsi" w:hAnsiTheme="minorHAnsi" w:cstheme="minorHAnsi"/>
        </w:rPr>
      </w:pPr>
      <w:r w:rsidRPr="005F5709">
        <w:rPr>
          <w:rFonts w:asciiTheme="minorHAnsi" w:hAnsiTheme="minorHAnsi" w:cstheme="minorHAnsi"/>
        </w:rPr>
        <w:t>In phase two there would be no incentives for employers of apprentices in a non-priority occupation or for apprentices commencing in non-priority occupations. This sends a clear message to apprentices to take up an apprenticeship in an occupation that will lead to qualifications in a skill in demand.</w:t>
      </w:r>
    </w:p>
    <w:p w14:paraId="0F632AE9" w14:textId="77777777" w:rsidR="00BD1D88" w:rsidRPr="005F5709" w:rsidRDefault="00BD1D88" w:rsidP="00233F32">
      <w:pPr>
        <w:pStyle w:val="Heading4"/>
        <w:rPr>
          <w:rFonts w:asciiTheme="minorHAnsi" w:hAnsiTheme="minorHAnsi" w:cstheme="minorHAnsi"/>
        </w:rPr>
      </w:pPr>
      <w:r w:rsidRPr="005F5709">
        <w:rPr>
          <w:rFonts w:asciiTheme="minorHAnsi" w:hAnsiTheme="minorHAnsi" w:cstheme="minorHAnsi"/>
        </w:rPr>
        <w:t>Apprentice package</w:t>
      </w:r>
    </w:p>
    <w:p w14:paraId="6A71D69A" w14:textId="77777777" w:rsidR="00BD1D88" w:rsidRPr="005F5709" w:rsidRDefault="00BD1D88" w:rsidP="00ED3206">
      <w:pPr>
        <w:pStyle w:val="Heading5"/>
        <w:rPr>
          <w:rFonts w:asciiTheme="minorHAnsi" w:hAnsiTheme="minorHAnsi" w:cstheme="minorHAnsi"/>
        </w:rPr>
      </w:pPr>
      <w:r w:rsidRPr="005F5709">
        <w:rPr>
          <w:rFonts w:asciiTheme="minorHAnsi" w:hAnsiTheme="minorHAnsi" w:cstheme="minorHAnsi"/>
        </w:rPr>
        <w:t>Australian Apprentice Training Support Payment (priority occupations)</w:t>
      </w:r>
    </w:p>
    <w:p w14:paraId="2C42C75C" w14:textId="77777777" w:rsidR="00BD1D88" w:rsidRPr="005F5709" w:rsidRDefault="00BD1D88" w:rsidP="00644002">
      <w:pPr>
        <w:rPr>
          <w:rFonts w:asciiTheme="minorHAnsi" w:hAnsiTheme="minorHAnsi" w:cstheme="minorHAnsi"/>
        </w:rPr>
      </w:pPr>
      <w:r w:rsidRPr="005F5709">
        <w:rPr>
          <w:rFonts w:asciiTheme="minorHAnsi" w:hAnsiTheme="minorHAnsi" w:cstheme="minorHAnsi"/>
        </w:rPr>
        <w:t>From 1 July 2024, the Apprentice Training Support Payment arrangements for Option 3 would be the same as Option 2. Eligible apprentices commencing a Certificate III level qualification or above on the Priority List would receive $750 every six months over two years (a total of $3,000).</w:t>
      </w:r>
    </w:p>
    <w:p w14:paraId="18E6E01A" w14:textId="77777777" w:rsidR="00BD1D88" w:rsidRPr="005F5709" w:rsidRDefault="00BD1D88" w:rsidP="00CF6C03">
      <w:pPr>
        <w:pStyle w:val="Heading3"/>
      </w:pPr>
      <w:bookmarkStart w:id="83" w:name="_Toc113022200"/>
      <w:r w:rsidRPr="005F5709">
        <w:t>Implementation of this option</w:t>
      </w:r>
      <w:bookmarkEnd w:id="83"/>
    </w:p>
    <w:p w14:paraId="6C300A74" w14:textId="77777777" w:rsidR="00BD1D88" w:rsidRPr="005F5709" w:rsidRDefault="00BD1D88" w:rsidP="00E01A34">
      <w:pPr>
        <w:rPr>
          <w:rFonts w:asciiTheme="minorHAnsi" w:hAnsiTheme="minorHAnsi" w:cstheme="minorHAnsi"/>
          <w:strike/>
        </w:rPr>
      </w:pPr>
      <w:r w:rsidRPr="005F5709">
        <w:rPr>
          <w:rFonts w:asciiTheme="minorHAnsi" w:hAnsiTheme="minorHAnsi" w:cstheme="minorHAnsi"/>
        </w:rPr>
        <w:t>As in Option 2, implementation of Option 3 would require new legislation, developing new program guidelines and updated contracts with the AASN. Grandfathering arrangements would also be the same for employers and apprentices already in receipt of incentives and priority occupations will be determined by the Priority List as in Option 2.</w:t>
      </w:r>
    </w:p>
    <w:p w14:paraId="0A0DE926" w14:textId="77777777" w:rsidR="00BD1D88" w:rsidRPr="005F5709" w:rsidRDefault="00BD1D88" w:rsidP="00E01A34">
      <w:pPr>
        <w:rPr>
          <w:rFonts w:asciiTheme="minorHAnsi" w:hAnsiTheme="minorHAnsi" w:cstheme="minorHAnsi"/>
        </w:rPr>
      </w:pPr>
    </w:p>
    <w:p w14:paraId="52B60496" w14:textId="77777777" w:rsidR="00BD1D88" w:rsidRPr="005F5709" w:rsidRDefault="00BD1D88" w:rsidP="00E01A34">
      <w:pPr>
        <w:rPr>
          <w:rFonts w:asciiTheme="minorHAnsi" w:hAnsiTheme="minorHAnsi" w:cstheme="minorHAnsi"/>
        </w:rPr>
      </w:pPr>
    </w:p>
    <w:p w14:paraId="2BDAC7A9"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Stakeholder management and careful communication will be necessary to ensure AASNs, employers and apprentices are aware of the change in support after 1 July 2024.</w:t>
      </w:r>
    </w:p>
    <w:p w14:paraId="032A57B8" w14:textId="77777777" w:rsidR="00BD1D88" w:rsidRPr="005F5709" w:rsidRDefault="00BD1D88" w:rsidP="00F12C22">
      <w:pPr>
        <w:rPr>
          <w:rFonts w:asciiTheme="minorHAnsi" w:hAnsiTheme="minorHAnsi" w:cstheme="minorHAnsi"/>
        </w:rPr>
      </w:pPr>
      <w:r w:rsidRPr="005F5709">
        <w:rPr>
          <w:rFonts w:asciiTheme="minorHAnsi" w:hAnsiTheme="minorHAnsi" w:cstheme="minorHAnsi"/>
        </w:rPr>
        <w:t>The IT requirements will also require a staged approach to accommodate both sets of changes. The rollout of the ADMS will support the AASNs through streamlined IT processes and enable system changes between the two phases to be implemented.</w:t>
      </w:r>
      <w:r w:rsidRPr="005F5709">
        <w:rPr>
          <w:rFonts w:asciiTheme="minorHAnsi" w:hAnsiTheme="minorHAnsi" w:cstheme="minorHAnsi"/>
        </w:rPr>
        <w:br w:type="page"/>
      </w:r>
    </w:p>
    <w:p w14:paraId="0A73DF9A" w14:textId="20F860AC" w:rsidR="00BD1D88" w:rsidRPr="005F5709" w:rsidRDefault="00BD1D88" w:rsidP="00736D9B">
      <w:pPr>
        <w:pStyle w:val="Heading1"/>
        <w:spacing w:after="240"/>
      </w:pPr>
      <w:bookmarkStart w:id="84" w:name="_Toc113022201"/>
      <w:r w:rsidRPr="005F5709">
        <w:lastRenderedPageBreak/>
        <w:t xml:space="preserve">Chapter Five: </w:t>
      </w:r>
      <w:bookmarkEnd w:id="65"/>
      <w:bookmarkEnd w:id="66"/>
      <w:r w:rsidRPr="005F5709">
        <w:t>Net Benefit of the Options</w:t>
      </w:r>
      <w:bookmarkEnd w:id="84"/>
      <w:r w:rsidRPr="005F5709">
        <w:t xml:space="preserve"> </w:t>
      </w:r>
    </w:p>
    <w:p w14:paraId="1A55BB71"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The following section presents an analysis of the potential benefits and costs of the policy options explored in this Regulatory Impact Statement (RIS). Potential regulatory, social and economic impacts are considered for Australian Apprentices, employers, Australian Apprenticeship Support Network (AASN) providers, the Australian Government and the broader community.</w:t>
      </w:r>
    </w:p>
    <w:p w14:paraId="660493C3" w14:textId="77777777" w:rsidR="00BD1D88" w:rsidRPr="005F5709" w:rsidRDefault="00BD1D88" w:rsidP="00E10FC7">
      <w:pPr>
        <w:pStyle w:val="Heading2"/>
        <w:spacing w:after="240"/>
        <w:rPr>
          <w:color w:val="002060"/>
          <w:highlight w:val="cyan"/>
        </w:rPr>
      </w:pPr>
      <w:bookmarkStart w:id="85" w:name="_Toc88575305"/>
      <w:bookmarkStart w:id="86" w:name="_Toc113022202"/>
      <w:bookmarkStart w:id="87" w:name="_Toc88575303"/>
      <w:r w:rsidRPr="005F5709">
        <w:rPr>
          <w:color w:val="002060"/>
        </w:rPr>
        <w:t>5.1 Option 1: Implement the IAA as announced (no further reform)</w:t>
      </w:r>
      <w:bookmarkEnd w:id="85"/>
      <w:bookmarkEnd w:id="86"/>
    </w:p>
    <w:tbl>
      <w:tblPr>
        <w:tblStyle w:val="TableGrid"/>
        <w:tblW w:w="0" w:type="auto"/>
        <w:tblLook w:val="04A0" w:firstRow="1" w:lastRow="0" w:firstColumn="1" w:lastColumn="0" w:noHBand="0" w:noVBand="1"/>
      </w:tblPr>
      <w:tblGrid>
        <w:gridCol w:w="9016"/>
      </w:tblGrid>
      <w:tr w:rsidR="00BD1D88" w:rsidRPr="005F5709" w14:paraId="5166D93B" w14:textId="77777777" w:rsidTr="009A744B">
        <w:tc>
          <w:tcPr>
            <w:tcW w:w="9016" w:type="dxa"/>
          </w:tcPr>
          <w:p w14:paraId="58A599DC" w14:textId="77777777" w:rsidR="00BD1D88" w:rsidRPr="005F5709" w:rsidRDefault="00BD1D88" w:rsidP="009A744B">
            <w:pPr>
              <w:rPr>
                <w:rFonts w:asciiTheme="minorHAnsi" w:hAnsiTheme="minorHAnsi" w:cstheme="minorHAnsi"/>
                <w:b/>
                <w:bCs/>
              </w:rPr>
            </w:pPr>
            <w:r w:rsidRPr="005F5709">
              <w:rPr>
                <w:rFonts w:asciiTheme="minorHAnsi" w:hAnsiTheme="minorHAnsi" w:cstheme="minorHAnsi"/>
                <w:b/>
                <w:bCs/>
              </w:rPr>
              <w:t>Key impacts</w:t>
            </w:r>
          </w:p>
          <w:p w14:paraId="640C725F" w14:textId="77777777" w:rsidR="00BD1D88" w:rsidRPr="005F5709" w:rsidRDefault="00BD1D88" w:rsidP="009A744B">
            <w:pPr>
              <w:rPr>
                <w:rFonts w:asciiTheme="minorHAnsi" w:hAnsiTheme="minorHAnsi" w:cstheme="minorHAnsi"/>
              </w:rPr>
            </w:pPr>
            <w:r w:rsidRPr="005F5709">
              <w:rPr>
                <w:rFonts w:asciiTheme="minorHAnsi" w:hAnsiTheme="minorHAnsi" w:cstheme="minorHAnsi"/>
              </w:rPr>
              <w:t>This option would:</w:t>
            </w:r>
          </w:p>
          <w:p w14:paraId="4C8CA477" w14:textId="77777777" w:rsidR="00BD1D88" w:rsidRPr="005F5709" w:rsidRDefault="00BD1D88" w:rsidP="00977294">
            <w:pPr>
              <w:pStyle w:val="ListParagraph"/>
              <w:numPr>
                <w:ilvl w:val="3"/>
                <w:numId w:val="30"/>
              </w:numPr>
              <w:spacing w:after="200" w:line="360" w:lineRule="auto"/>
              <w:ind w:left="284" w:hanging="284"/>
              <w:rPr>
                <w:rFonts w:asciiTheme="minorHAnsi" w:hAnsiTheme="minorHAnsi" w:cstheme="minorHAnsi"/>
              </w:rPr>
            </w:pPr>
            <w:r w:rsidRPr="005F5709">
              <w:rPr>
                <w:rFonts w:asciiTheme="minorHAnsi" w:hAnsiTheme="minorHAnsi" w:cstheme="minorHAnsi"/>
              </w:rPr>
              <w:t>Simplify incentives available for Australian Apprenticeships by halving the number of payment types and streamlining eligibility requirements;</w:t>
            </w:r>
          </w:p>
          <w:p w14:paraId="4A8E5008" w14:textId="77777777" w:rsidR="00BD1D88" w:rsidRPr="005F5709" w:rsidRDefault="00BD1D88" w:rsidP="00977294">
            <w:pPr>
              <w:pStyle w:val="ListParagraph"/>
              <w:numPr>
                <w:ilvl w:val="3"/>
                <w:numId w:val="30"/>
              </w:numPr>
              <w:spacing w:after="200" w:line="360" w:lineRule="auto"/>
              <w:ind w:left="284" w:hanging="284"/>
              <w:rPr>
                <w:rFonts w:asciiTheme="minorHAnsi" w:hAnsiTheme="minorHAnsi" w:cstheme="minorHAnsi"/>
              </w:rPr>
            </w:pPr>
            <w:r w:rsidRPr="005F5709">
              <w:rPr>
                <w:rFonts w:asciiTheme="minorHAnsi" w:hAnsiTheme="minorHAnsi" w:cstheme="minorHAnsi"/>
              </w:rPr>
              <w:t>Provide regulatory certainty for providers;</w:t>
            </w:r>
          </w:p>
          <w:p w14:paraId="50A124D6" w14:textId="77777777" w:rsidR="00BD1D88" w:rsidRPr="005F5709" w:rsidRDefault="00BD1D88" w:rsidP="00977294">
            <w:pPr>
              <w:pStyle w:val="ListParagraph"/>
              <w:numPr>
                <w:ilvl w:val="3"/>
                <w:numId w:val="30"/>
              </w:numPr>
              <w:spacing w:after="200" w:line="360" w:lineRule="auto"/>
              <w:ind w:left="284" w:hanging="284"/>
              <w:rPr>
                <w:rFonts w:asciiTheme="minorHAnsi" w:hAnsiTheme="minorHAnsi" w:cstheme="minorHAnsi"/>
              </w:rPr>
            </w:pPr>
            <w:r w:rsidRPr="005F5709">
              <w:rPr>
                <w:rFonts w:asciiTheme="minorHAnsi" w:hAnsiTheme="minorHAnsi" w:cstheme="minorHAnsi"/>
              </w:rPr>
              <w:t xml:space="preserve">Have minimal additional costs to Australian Government; </w:t>
            </w:r>
          </w:p>
          <w:p w14:paraId="510F0F17" w14:textId="77777777" w:rsidR="00BD1D88" w:rsidRPr="005F5709" w:rsidRDefault="00BD1D88" w:rsidP="00977294">
            <w:pPr>
              <w:pStyle w:val="ListParagraph"/>
              <w:numPr>
                <w:ilvl w:val="3"/>
                <w:numId w:val="30"/>
              </w:numPr>
              <w:spacing w:after="200" w:line="360" w:lineRule="auto"/>
              <w:ind w:left="284" w:hanging="284"/>
              <w:rPr>
                <w:rFonts w:asciiTheme="minorHAnsi" w:hAnsiTheme="minorHAnsi" w:cstheme="minorHAnsi"/>
              </w:rPr>
            </w:pPr>
            <w:r w:rsidRPr="005F5709">
              <w:rPr>
                <w:rFonts w:asciiTheme="minorHAnsi" w:hAnsiTheme="minorHAnsi" w:cstheme="minorHAnsi"/>
              </w:rPr>
              <w:t>Have minimal impact on declining commencements and completion rates; and</w:t>
            </w:r>
          </w:p>
          <w:p w14:paraId="49C2CE08" w14:textId="77777777" w:rsidR="00BD1D88" w:rsidRPr="005F5709" w:rsidRDefault="00BD1D88" w:rsidP="00977294">
            <w:pPr>
              <w:pStyle w:val="ListParagraph"/>
              <w:numPr>
                <w:ilvl w:val="3"/>
                <w:numId w:val="30"/>
              </w:numPr>
              <w:spacing w:after="200" w:line="360" w:lineRule="auto"/>
              <w:ind w:left="284" w:hanging="284"/>
              <w:rPr>
                <w:rFonts w:asciiTheme="minorHAnsi" w:hAnsiTheme="minorHAnsi" w:cstheme="minorHAnsi"/>
              </w:rPr>
            </w:pPr>
            <w:r w:rsidRPr="005F5709">
              <w:rPr>
                <w:rFonts w:asciiTheme="minorHAnsi" w:hAnsiTheme="minorHAnsi" w:cstheme="minorHAnsi"/>
              </w:rPr>
              <w:t>Have minimal impact on addressing skill shortages.</w:t>
            </w:r>
          </w:p>
        </w:tc>
      </w:tr>
    </w:tbl>
    <w:p w14:paraId="71A87B7B" w14:textId="77777777" w:rsidR="00BD1D88" w:rsidRPr="005F5709" w:rsidRDefault="00BD1D88" w:rsidP="001A2BFA">
      <w:pPr>
        <w:pStyle w:val="Heading3"/>
      </w:pPr>
      <w:bookmarkStart w:id="88" w:name="_Toc88575306"/>
      <w:bookmarkStart w:id="89" w:name="_Toc113022203"/>
      <w:r w:rsidRPr="005F5709">
        <w:t>Who would this option impact?</w:t>
      </w:r>
      <w:bookmarkEnd w:id="88"/>
      <w:bookmarkEnd w:id="89"/>
    </w:p>
    <w:p w14:paraId="67960FB9" w14:textId="77777777" w:rsidR="00BD1D88" w:rsidRPr="005F5709" w:rsidRDefault="00BD1D88" w:rsidP="001A2BFA">
      <w:pPr>
        <w:rPr>
          <w:rFonts w:asciiTheme="minorHAnsi" w:hAnsiTheme="minorHAnsi" w:cstheme="minorHAnsi"/>
        </w:rPr>
      </w:pPr>
      <w:r w:rsidRPr="005F5709">
        <w:rPr>
          <w:rFonts w:asciiTheme="minorHAnsi" w:hAnsiTheme="minorHAnsi" w:cstheme="minorHAnsi"/>
        </w:rPr>
        <w:t xml:space="preserve">Those directly impacted by this option include: </w:t>
      </w:r>
    </w:p>
    <w:p w14:paraId="02E617BC"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Individuals considering taking up an Australian Apprenticeship (approximately 151,000 apprentices commenced in 2019 prior to the introduction of the Boosting Apprenticeship Commencements (BAC) program);</w:t>
      </w:r>
    </w:p>
    <w:p w14:paraId="50292D82"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Employers and prospective employers of Australian Apprentices; and</w:t>
      </w:r>
    </w:p>
    <w:p w14:paraId="56C3C67E"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The seven AASN providers who provide advice and support to employers and apprentices including on incentives.</w:t>
      </w:r>
    </w:p>
    <w:p w14:paraId="2FA2C0B1" w14:textId="77777777" w:rsidR="00BD1D88" w:rsidRPr="005F5709" w:rsidRDefault="00BD1D88" w:rsidP="00CA3E28">
      <w:pPr>
        <w:pStyle w:val="Heading3"/>
      </w:pPr>
      <w:bookmarkStart w:id="90" w:name="_Toc88575307"/>
      <w:bookmarkStart w:id="91" w:name="_Toc113022204"/>
      <w:r w:rsidRPr="005F5709">
        <w:t>Overall impact</w:t>
      </w:r>
      <w:bookmarkEnd w:id="90"/>
      <w:r w:rsidRPr="005F5709">
        <w:t xml:space="preserve"> – how does it address the problem?</w:t>
      </w:r>
      <w:bookmarkEnd w:id="91"/>
    </w:p>
    <w:p w14:paraId="11C715E1" w14:textId="77777777" w:rsidR="00BD1D88" w:rsidRPr="005F5709" w:rsidRDefault="00BD1D88" w:rsidP="00995BD1">
      <w:pPr>
        <w:rPr>
          <w:rFonts w:asciiTheme="minorHAnsi" w:hAnsiTheme="minorHAnsi" w:cstheme="minorHAnsi"/>
        </w:rPr>
      </w:pPr>
      <w:r w:rsidRPr="005F5709">
        <w:rPr>
          <w:rFonts w:asciiTheme="minorHAnsi" w:hAnsiTheme="minorHAnsi" w:cstheme="minorHAnsi"/>
        </w:rPr>
        <w:t>The Incentives for Australian Apprenticeships (IAA) program will only address two out of five options identified in Chapter Two. The IAA will simplify the incentives system for apprentices and employers and continue to provide non-financial support to apprentices. As a result, apprentices and employers will be unequipped to address rising costs, incentives will continue to focus on the employer instead of apprentices and the program will have minimal impact on reducing skill shortages.</w:t>
      </w:r>
    </w:p>
    <w:p w14:paraId="1D9F0878" w14:textId="77777777" w:rsidR="00BD1D88" w:rsidRPr="005F5709" w:rsidRDefault="00BD1D88" w:rsidP="00CA3E28">
      <w:pPr>
        <w:pStyle w:val="Heading5"/>
        <w:rPr>
          <w:rFonts w:asciiTheme="minorHAnsi" w:hAnsiTheme="minorHAnsi" w:cstheme="minorHAnsi"/>
        </w:rPr>
      </w:pPr>
      <w:r w:rsidRPr="005F5709">
        <w:rPr>
          <w:rFonts w:asciiTheme="minorHAnsi" w:hAnsiTheme="minorHAnsi" w:cstheme="minorHAnsi"/>
        </w:rPr>
        <w:t xml:space="preserve">Does not address - Incentives should be targeted to address skill </w:t>
      </w:r>
      <w:proofErr w:type="gramStart"/>
      <w:r w:rsidRPr="005F5709">
        <w:rPr>
          <w:rFonts w:asciiTheme="minorHAnsi" w:hAnsiTheme="minorHAnsi" w:cstheme="minorHAnsi"/>
        </w:rPr>
        <w:t>shortages</w:t>
      </w:r>
      <w:proofErr w:type="gramEnd"/>
    </w:p>
    <w:p w14:paraId="7914B21E" w14:textId="77777777" w:rsidR="00BD1D88" w:rsidRPr="005F5709" w:rsidRDefault="00BD1D88" w:rsidP="00CA3E28">
      <w:pPr>
        <w:rPr>
          <w:rFonts w:asciiTheme="minorHAnsi" w:hAnsiTheme="minorHAnsi" w:cstheme="minorHAnsi"/>
        </w:rPr>
      </w:pPr>
      <w:r w:rsidRPr="005F5709">
        <w:rPr>
          <w:rFonts w:asciiTheme="minorHAnsi" w:hAnsiTheme="minorHAnsi" w:cstheme="minorHAnsi"/>
        </w:rPr>
        <w:t xml:space="preserve">This option is unlikely to prevent commencements from continuing to decline below pre-COVID-19 levels and increasing low completion rates for Australian Apprenticeships as it does not address most of the barriers to establishing a successful apprenticeship system (outlined in Chapter Two). </w:t>
      </w:r>
    </w:p>
    <w:p w14:paraId="2A021087" w14:textId="77777777" w:rsidR="00BD1D88" w:rsidRPr="005F5709" w:rsidRDefault="00BD1D88" w:rsidP="00CA3E28">
      <w:pPr>
        <w:rPr>
          <w:rFonts w:asciiTheme="minorHAnsi" w:hAnsiTheme="minorHAnsi" w:cstheme="minorHAnsi"/>
        </w:rPr>
      </w:pPr>
      <w:r w:rsidRPr="005F5709">
        <w:rPr>
          <w:rFonts w:asciiTheme="minorHAnsi" w:hAnsiTheme="minorHAnsi" w:cstheme="minorHAnsi"/>
        </w:rPr>
        <w:lastRenderedPageBreak/>
        <w:t xml:space="preserve">This option does not direct support to priority occupations and will not assist in building Australia’s pipeline of skilled workers, in areas of critical need. </w:t>
      </w:r>
    </w:p>
    <w:p w14:paraId="2C40C69D" w14:textId="77777777" w:rsidR="00BD1D88" w:rsidRPr="005F5709" w:rsidRDefault="00BD1D88" w:rsidP="00CA3E28">
      <w:pPr>
        <w:rPr>
          <w:rFonts w:asciiTheme="minorHAnsi" w:hAnsiTheme="minorHAnsi" w:cstheme="minorHAnsi"/>
        </w:rPr>
      </w:pPr>
      <w:r w:rsidRPr="005F5709">
        <w:rPr>
          <w:rFonts w:asciiTheme="minorHAnsi" w:eastAsiaTheme="majorEastAsia" w:hAnsiTheme="minorHAnsi" w:cstheme="minorHAnsi"/>
          <w:b/>
          <w:color w:val="5F6369"/>
        </w:rPr>
        <w:t xml:space="preserve">Does not address – Incentives should respond to high and increasing costs </w:t>
      </w:r>
      <w:r w:rsidRPr="005F5709">
        <w:rPr>
          <w:rFonts w:asciiTheme="minorHAnsi" w:hAnsiTheme="minorHAnsi" w:cstheme="minorHAnsi"/>
        </w:rPr>
        <w:br/>
        <w:t>Under the IAA, current incentive levels (pre-COVID) would be maintained for most employers. The Productivity Commission and others highlight how employer incentives under the current program are too modest and have little effect on decision-making by employers of trade apprentices particularly.  Employers of apprentices and trainees have benefited from increased levels of support in response to the impact of COVID-19 through the BAC and Completing Apprenticeship Commencements (CAC) measures. While these measures were designed to be short term, the nature of incentives under the IAA does not provide for a gradual reduction in support for these employers and thus the modest nature of IAA incentives is magnified.  </w:t>
      </w:r>
    </w:p>
    <w:p w14:paraId="4C103805" w14:textId="77777777" w:rsidR="00BD1D88" w:rsidRPr="005F5709" w:rsidRDefault="00BD1D88" w:rsidP="00E72B5E">
      <w:pPr>
        <w:rPr>
          <w:rFonts w:asciiTheme="minorHAnsi" w:hAnsiTheme="minorHAnsi" w:cstheme="minorHAnsi"/>
        </w:rPr>
      </w:pPr>
      <w:r w:rsidRPr="005F5709">
        <w:rPr>
          <w:rFonts w:asciiTheme="minorHAnsi" w:eastAsiaTheme="majorEastAsia" w:hAnsiTheme="minorHAnsi" w:cstheme="minorHAnsi"/>
          <w:b/>
          <w:color w:val="5F6369"/>
        </w:rPr>
        <w:t>Does not address - Incentives should focus on the decision maker</w:t>
      </w:r>
      <w:r w:rsidRPr="005F5709">
        <w:rPr>
          <w:rFonts w:asciiTheme="minorHAnsi" w:hAnsiTheme="minorHAnsi" w:cstheme="minorHAnsi"/>
        </w:rPr>
        <w:br/>
        <w:t>The Productivity Commission recently found to increase the overall stock of apprentices, policy design should aim to increase both commencements and completions.</w:t>
      </w:r>
      <w:r w:rsidRPr="005F5709">
        <w:rPr>
          <w:rStyle w:val="FootnoteReference"/>
          <w:rFonts w:asciiTheme="minorHAnsi" w:hAnsiTheme="minorHAnsi" w:cstheme="minorHAnsi"/>
        </w:rPr>
        <w:footnoteReference w:id="53"/>
      </w:r>
      <w:r w:rsidRPr="005F5709">
        <w:rPr>
          <w:rFonts w:asciiTheme="minorHAnsi" w:hAnsiTheme="minorHAnsi" w:cstheme="minorHAnsi"/>
        </w:rPr>
        <w:t xml:space="preserve"> This is supported by research and analysis undertaken over the previous decade indicating incentives are best directed at the party responsible for decision-making. </w:t>
      </w:r>
    </w:p>
    <w:p w14:paraId="2542007E" w14:textId="77777777" w:rsidR="00BD1D88" w:rsidRPr="005F5709" w:rsidRDefault="00BD1D88" w:rsidP="00E72B5E">
      <w:pPr>
        <w:rPr>
          <w:rFonts w:asciiTheme="minorHAnsi" w:hAnsiTheme="minorHAnsi" w:cstheme="minorHAnsi"/>
        </w:rPr>
      </w:pPr>
      <w:r w:rsidRPr="005F5709">
        <w:rPr>
          <w:rFonts w:asciiTheme="minorHAnsi" w:hAnsiTheme="minorHAnsi" w:cstheme="minorHAnsi"/>
        </w:rPr>
        <w:t xml:space="preserve">While employers are critical to the supply of apprentices, the apprentice is responsible for both the decision to undertake an apprenticeship and then to complete it. </w:t>
      </w:r>
      <w:r w:rsidRPr="005F5709" w:rsidDel="00724BFC">
        <w:rPr>
          <w:rFonts w:asciiTheme="minorHAnsi" w:hAnsiTheme="minorHAnsi" w:cstheme="minorHAnsi"/>
        </w:rPr>
        <w:t xml:space="preserve">Implementing the IAA without providing </w:t>
      </w:r>
      <w:r w:rsidRPr="005F5709">
        <w:rPr>
          <w:rFonts w:asciiTheme="minorHAnsi" w:hAnsiTheme="minorHAnsi" w:cstheme="minorHAnsi"/>
        </w:rPr>
        <w:t>sufficient</w:t>
      </w:r>
      <w:r w:rsidRPr="005F5709" w:rsidDel="00724BFC">
        <w:rPr>
          <w:rFonts w:asciiTheme="minorHAnsi" w:hAnsiTheme="minorHAnsi" w:cstheme="minorHAnsi"/>
        </w:rPr>
        <w:t xml:space="preserve"> support to apprentices </w:t>
      </w:r>
      <w:r w:rsidRPr="005F5709">
        <w:rPr>
          <w:rFonts w:asciiTheme="minorHAnsi" w:hAnsiTheme="minorHAnsi" w:cstheme="minorHAnsi"/>
        </w:rPr>
        <w:t>would</w:t>
      </w:r>
      <w:r w:rsidRPr="005F5709" w:rsidDel="00724BFC">
        <w:rPr>
          <w:rFonts w:asciiTheme="minorHAnsi" w:hAnsiTheme="minorHAnsi" w:cstheme="minorHAnsi"/>
        </w:rPr>
        <w:t xml:space="preserve"> see retention and completion rates </w:t>
      </w:r>
      <w:r w:rsidRPr="005F5709">
        <w:rPr>
          <w:rFonts w:asciiTheme="minorHAnsi" w:hAnsiTheme="minorHAnsi" w:cstheme="minorHAnsi"/>
        </w:rPr>
        <w:t>return to pre-COVID-19 levels</w:t>
      </w:r>
      <w:r w:rsidRPr="005F5709" w:rsidDel="00724BFC">
        <w:rPr>
          <w:rFonts w:asciiTheme="minorHAnsi" w:hAnsiTheme="minorHAnsi" w:cstheme="minorHAnsi"/>
        </w:rPr>
        <w:t>, and potentially decline further.</w:t>
      </w:r>
    </w:p>
    <w:p w14:paraId="7019B218" w14:textId="77777777" w:rsidR="00BD1D88" w:rsidRPr="005F5709" w:rsidRDefault="00BD1D88" w:rsidP="00CA3E28">
      <w:pPr>
        <w:rPr>
          <w:rFonts w:asciiTheme="minorHAnsi" w:hAnsiTheme="minorHAnsi" w:cstheme="minorHAnsi"/>
        </w:rPr>
      </w:pPr>
      <w:r w:rsidRPr="005F5709">
        <w:rPr>
          <w:rFonts w:asciiTheme="minorHAnsi" w:hAnsiTheme="minorHAnsi" w:cstheme="minorHAnsi"/>
        </w:rPr>
        <w:t>F</w:t>
      </w:r>
      <w:r w:rsidRPr="005F5709" w:rsidDel="00724BFC">
        <w:rPr>
          <w:rFonts w:asciiTheme="minorHAnsi" w:hAnsiTheme="minorHAnsi" w:cstheme="minorHAnsi"/>
        </w:rPr>
        <w:t xml:space="preserve">ailure to increase support for retention </w:t>
      </w:r>
      <w:r w:rsidRPr="005F5709">
        <w:rPr>
          <w:rFonts w:asciiTheme="minorHAnsi" w:hAnsiTheme="minorHAnsi" w:cstheme="minorHAnsi"/>
        </w:rPr>
        <w:t>would</w:t>
      </w:r>
      <w:r w:rsidRPr="005F5709" w:rsidDel="00724BFC">
        <w:rPr>
          <w:rFonts w:asciiTheme="minorHAnsi" w:hAnsiTheme="minorHAnsi" w:cstheme="minorHAnsi"/>
        </w:rPr>
        <w:t xml:space="preserve"> </w:t>
      </w:r>
      <w:r w:rsidRPr="005F5709">
        <w:rPr>
          <w:rFonts w:asciiTheme="minorHAnsi" w:hAnsiTheme="minorHAnsi" w:cstheme="minorHAnsi"/>
        </w:rPr>
        <w:t>undermine employers’ confidence</w:t>
      </w:r>
      <w:r w:rsidRPr="005F5709" w:rsidDel="00724BFC">
        <w:rPr>
          <w:rFonts w:asciiTheme="minorHAnsi" w:hAnsiTheme="minorHAnsi" w:cstheme="minorHAnsi"/>
        </w:rPr>
        <w:t xml:space="preserve"> in the apprenticeship system and </w:t>
      </w:r>
      <w:r w:rsidRPr="005F5709">
        <w:rPr>
          <w:rFonts w:asciiTheme="minorHAnsi" w:hAnsiTheme="minorHAnsi" w:cstheme="minorHAnsi"/>
        </w:rPr>
        <w:t xml:space="preserve">jeopardise </w:t>
      </w:r>
      <w:r w:rsidRPr="005F5709" w:rsidDel="00724BFC">
        <w:rPr>
          <w:rFonts w:asciiTheme="minorHAnsi" w:hAnsiTheme="minorHAnsi" w:cstheme="minorHAnsi"/>
        </w:rPr>
        <w:t xml:space="preserve">the supply of qualified workers into </w:t>
      </w:r>
      <w:r w:rsidRPr="005F5709">
        <w:rPr>
          <w:rFonts w:asciiTheme="minorHAnsi" w:hAnsiTheme="minorHAnsi" w:cstheme="minorHAnsi"/>
        </w:rPr>
        <w:t>critical sectors that rely on apprenticeships to enter the workforce, such as technicians and trade workers – which include electricians, carpenters, chefs, fitters and motor mechanics.</w:t>
      </w:r>
    </w:p>
    <w:p w14:paraId="24D23822" w14:textId="77777777" w:rsidR="00BD1D88" w:rsidRPr="005F5709" w:rsidRDefault="00BD1D88" w:rsidP="00CA3E28">
      <w:pPr>
        <w:rPr>
          <w:rFonts w:asciiTheme="minorHAnsi" w:hAnsiTheme="minorHAnsi" w:cstheme="minorHAnsi"/>
        </w:rPr>
      </w:pPr>
      <w:r w:rsidRPr="005F5709">
        <w:rPr>
          <w:rFonts w:asciiTheme="minorHAnsi" w:eastAsiaTheme="majorEastAsia" w:hAnsiTheme="minorHAnsi" w:cstheme="minorHAnsi"/>
          <w:b/>
          <w:color w:val="5F6369"/>
        </w:rPr>
        <w:t>Addresses - Incentives should be easy to navigate and understand</w:t>
      </w:r>
      <w:r w:rsidRPr="005F5709">
        <w:rPr>
          <w:rFonts w:asciiTheme="minorHAnsi" w:hAnsiTheme="minorHAnsi" w:cstheme="minorHAnsi"/>
        </w:rPr>
        <w:br/>
        <w:t xml:space="preserve">The implementation of the IAA as announced would simplify incentives for Australian Apprenticeships, improving access for all stakeholders, reducing over 30 payment types to around 15. This would positively impact all stakeholders by reducing the time required to sift through large volumes of information to determine eligibility for incentives. While this approach responds to some of the concerns from employers and apprentices regarding the complexity of the existing current program, further simplification is needed to ensure complexity in incentives is not a barrier to participation for employers and apprentices. </w:t>
      </w:r>
    </w:p>
    <w:p w14:paraId="2FC03C1B" w14:textId="77777777" w:rsidR="00BD1D88" w:rsidRPr="005F5709" w:rsidRDefault="00BD1D88" w:rsidP="00CA3E28">
      <w:pPr>
        <w:rPr>
          <w:rFonts w:asciiTheme="minorHAnsi" w:hAnsiTheme="minorHAnsi" w:cstheme="minorHAnsi"/>
        </w:rPr>
      </w:pPr>
      <w:r w:rsidRPr="005F5709">
        <w:rPr>
          <w:rFonts w:asciiTheme="minorHAnsi" w:hAnsiTheme="minorHAnsi" w:cstheme="minorHAnsi"/>
        </w:rPr>
        <w:t xml:space="preserve">While the proposed option would decrease the number of incentives available, the IAA does not differ from the current program significantly as it is still made up of a category of incentives paid upon commencement or completion of an apprenticeship. Apprentices would also continue to receive similar assistance under the IAA compared to the current program. As such, the information and necessary documentation that employers and </w:t>
      </w:r>
      <w:r w:rsidRPr="005F5709">
        <w:rPr>
          <w:rFonts w:asciiTheme="minorHAnsi" w:hAnsiTheme="minorHAnsi" w:cstheme="minorHAnsi"/>
        </w:rPr>
        <w:lastRenderedPageBreak/>
        <w:t>Australian Apprentices are required to provide at sign-up and when claiming a payment would not change. Given these arrangements, employers and apprentices are not expected to experience a material change in their compliance costs.</w:t>
      </w:r>
    </w:p>
    <w:p w14:paraId="7CCEA3C8" w14:textId="77777777" w:rsidR="00BD1D88" w:rsidRPr="005F5709" w:rsidRDefault="00BD1D88" w:rsidP="00CA3E28">
      <w:pPr>
        <w:rPr>
          <w:rFonts w:asciiTheme="minorHAnsi" w:hAnsiTheme="minorHAnsi" w:cstheme="minorHAnsi"/>
        </w:rPr>
      </w:pPr>
      <w:r w:rsidRPr="005F5709">
        <w:rPr>
          <w:rFonts w:asciiTheme="minorHAnsi" w:eastAsiaTheme="majorEastAsia" w:hAnsiTheme="minorHAnsi" w:cstheme="minorHAnsi"/>
          <w:b/>
          <w:color w:val="5F6369"/>
        </w:rPr>
        <w:t>Addresses - Non-financial support should be provided</w:t>
      </w:r>
      <w:r w:rsidRPr="005F5709">
        <w:rPr>
          <w:rFonts w:asciiTheme="minorHAnsi" w:hAnsiTheme="minorHAnsi" w:cstheme="minorHAnsi"/>
        </w:rPr>
        <w:br/>
        <w:t xml:space="preserve">The IAA will continue to provide apprentices with non-financial support including retaining the In-Training Support for all apprentices and </w:t>
      </w:r>
      <w:r w:rsidRPr="005F5709">
        <w:rPr>
          <w:rStyle w:val="normaltextrun"/>
          <w:rFonts w:asciiTheme="minorHAnsi" w:hAnsiTheme="minorHAnsi" w:cstheme="minorHAnsi"/>
          <w:color w:val="000000"/>
          <w:shd w:val="clear" w:color="auto" w:fill="FFFFFF"/>
        </w:rPr>
        <w:t>tutorial, mentoring and interpreter services</w:t>
      </w:r>
      <w:r w:rsidRPr="005F5709">
        <w:rPr>
          <w:rFonts w:asciiTheme="minorHAnsi" w:hAnsiTheme="minorHAnsi" w:cstheme="minorHAnsi"/>
        </w:rPr>
        <w:t xml:space="preserve"> for apprentices with a disability. This support is important to ensure apprentices are supported through to completion. </w:t>
      </w:r>
    </w:p>
    <w:p w14:paraId="1E6E36E7" w14:textId="77777777" w:rsidR="00BD1D88" w:rsidRPr="005F5709" w:rsidRDefault="00BD1D88" w:rsidP="00AB5E7F">
      <w:pPr>
        <w:pStyle w:val="Heading3"/>
      </w:pPr>
      <w:bookmarkStart w:id="92" w:name="_Toc113022205"/>
      <w:r w:rsidRPr="005F5709">
        <w:t>Impacts on apprentices</w:t>
      </w:r>
      <w:bookmarkEnd w:id="92"/>
    </w:p>
    <w:p w14:paraId="053D1084" w14:textId="77777777" w:rsidR="00BD1D88" w:rsidRPr="005F5709" w:rsidRDefault="00BD1D88" w:rsidP="00CA3E28">
      <w:pPr>
        <w:rPr>
          <w:rFonts w:asciiTheme="minorHAnsi" w:hAnsiTheme="minorHAnsi" w:cstheme="minorHAnsi"/>
        </w:rPr>
      </w:pPr>
      <w:r w:rsidRPr="005F5709">
        <w:rPr>
          <w:rFonts w:asciiTheme="minorHAnsi" w:hAnsiTheme="minorHAnsi" w:cstheme="minorHAnsi"/>
        </w:rPr>
        <w:t>This option does not provide additional support to apprentices. Implementing the IAA without any additional financial support to apprentices would see the retention and completion rates remain stagnant, and potentially decline further. Given completion rates sit at 56.1 per cent (for those commencing in 2016),</w:t>
      </w:r>
      <w:r w:rsidRPr="005F5709">
        <w:rPr>
          <w:rStyle w:val="FootnoteReference"/>
          <w:rFonts w:asciiTheme="minorHAnsi" w:hAnsiTheme="minorHAnsi" w:cstheme="minorHAnsi"/>
        </w:rPr>
        <w:footnoteReference w:id="54"/>
      </w:r>
      <w:r w:rsidRPr="005F5709">
        <w:rPr>
          <w:rFonts w:asciiTheme="minorHAnsi" w:hAnsiTheme="minorHAnsi" w:cstheme="minorHAnsi"/>
        </w:rPr>
        <w:t xml:space="preserve"> failure to increase support for retention would continue to negatively impact on the return on investment in the apprenticeship system and the supply of qualified workers into the economy.</w:t>
      </w:r>
    </w:p>
    <w:p w14:paraId="12AF4E34" w14:textId="77777777" w:rsidR="00BD1D88" w:rsidRPr="005F5709" w:rsidRDefault="00BD1D88" w:rsidP="001A2BFA">
      <w:pPr>
        <w:pStyle w:val="Heading3"/>
      </w:pPr>
      <w:bookmarkStart w:id="93" w:name="_Toc113022206"/>
      <w:r w:rsidRPr="005F5709">
        <w:t>Impacts on employers</w:t>
      </w:r>
      <w:bookmarkEnd w:id="93"/>
    </w:p>
    <w:p w14:paraId="6A57E7D8" w14:textId="77777777" w:rsidR="00BD1D88" w:rsidRPr="005F5709" w:rsidRDefault="00BD1D88" w:rsidP="001A2BFA">
      <w:pPr>
        <w:rPr>
          <w:rFonts w:asciiTheme="minorHAnsi" w:hAnsiTheme="minorHAnsi" w:cstheme="minorHAnsi"/>
        </w:rPr>
      </w:pPr>
      <w:r w:rsidRPr="005F5709">
        <w:rPr>
          <w:rFonts w:asciiTheme="minorHAnsi" w:eastAsia="Calibri" w:hAnsiTheme="minorHAnsi" w:cstheme="minorHAnsi"/>
        </w:rPr>
        <w:t>Under the IAA, current incentive levels (those prior to COVID-19 measures) will be maintained for most employers, and employers</w:t>
      </w:r>
      <w:r w:rsidRPr="005F5709">
        <w:rPr>
          <w:rFonts w:asciiTheme="minorHAnsi" w:hAnsiTheme="minorHAnsi" w:cstheme="minorHAnsi"/>
        </w:rPr>
        <w:t xml:space="preserve"> claiming incentives for an Australian Apprentice prior to 1 July 2022 would continue to receive payments under the current program payment structure. </w:t>
      </w:r>
    </w:p>
    <w:p w14:paraId="49664A32" w14:textId="77777777" w:rsidR="00BD1D88" w:rsidRPr="005F5709" w:rsidRDefault="00BD1D88" w:rsidP="001A2BFA">
      <w:pPr>
        <w:rPr>
          <w:rFonts w:asciiTheme="minorHAnsi" w:hAnsiTheme="minorHAnsi" w:cstheme="minorHAnsi"/>
        </w:rPr>
      </w:pPr>
      <w:r w:rsidRPr="005F5709">
        <w:rPr>
          <w:rFonts w:asciiTheme="minorHAnsi" w:hAnsiTheme="minorHAnsi" w:cstheme="minorHAnsi"/>
        </w:rPr>
        <w:t>The IAA will not significantly change the timing of when incentives are paid to employers. Payment of commencement incentives would still occur at six months after commencement and after three months for recommencement. Research has found delayed incentive payments have a negative impact on commencement rates for small and medium sized businesses.</w:t>
      </w:r>
    </w:p>
    <w:p w14:paraId="74393C40" w14:textId="77777777" w:rsidR="00BD1D88" w:rsidRPr="005F5709" w:rsidRDefault="00BD1D88" w:rsidP="001A2BFA">
      <w:pPr>
        <w:rPr>
          <w:rFonts w:asciiTheme="minorHAnsi" w:hAnsiTheme="minorHAnsi" w:cstheme="minorHAnsi"/>
        </w:rPr>
      </w:pPr>
      <w:r w:rsidRPr="005F5709">
        <w:rPr>
          <w:rFonts w:asciiTheme="minorHAnsi" w:hAnsiTheme="minorHAnsi" w:cstheme="minorHAnsi"/>
        </w:rPr>
        <w:t>Incentives targeted at particular cohorts would remain. Employers of apprentices and trainees in rural and regional areas will still receive additional support through the Rural and Regional component of the Target Groups incentives. Employers of apprentices aged 21 years or older would still be eligible for the Support for Adult Australian Apprentices incentive. However, cohorts like young Australians would not receive any additional support and would be disadvantaged under this model (relative to the other options).</w:t>
      </w:r>
    </w:p>
    <w:p w14:paraId="52C94628" w14:textId="77777777" w:rsidR="00BD1D88" w:rsidRPr="005F5709" w:rsidRDefault="00BD1D88" w:rsidP="001A2BFA">
      <w:pPr>
        <w:rPr>
          <w:rFonts w:asciiTheme="minorHAnsi" w:hAnsiTheme="minorHAnsi" w:cstheme="minorHAnsi"/>
        </w:rPr>
      </w:pPr>
      <w:r w:rsidRPr="005F5709">
        <w:rPr>
          <w:rFonts w:asciiTheme="minorHAnsi" w:hAnsiTheme="minorHAnsi" w:cstheme="minorHAnsi"/>
        </w:rPr>
        <w:t>Removing the difference in eligibility between full-time and part-time workers would encourage employers to offer more flexible working arrangements. This will give employers more flexibility to match apprentices with their business needs and is likely to particularly benefit women or older workers who want to do an apprenticeship or traineeship but are not able to work full-time.</w:t>
      </w:r>
    </w:p>
    <w:p w14:paraId="0E953D62" w14:textId="77777777" w:rsidR="00BD1D88" w:rsidRPr="005F5709" w:rsidRDefault="00BD1D88" w:rsidP="001A2BFA">
      <w:pPr>
        <w:rPr>
          <w:rFonts w:asciiTheme="minorHAnsi" w:eastAsiaTheme="majorEastAsia" w:hAnsiTheme="minorHAnsi" w:cstheme="minorHAnsi"/>
          <w:bCs/>
        </w:rPr>
      </w:pPr>
      <w:r w:rsidRPr="005F5709">
        <w:rPr>
          <w:rFonts w:asciiTheme="minorHAnsi" w:eastAsiaTheme="majorEastAsia" w:hAnsiTheme="minorHAnsi" w:cstheme="minorHAnsi"/>
        </w:rPr>
        <w:lastRenderedPageBreak/>
        <w:t>Changing the Australian School-based Apprenticeship (</w:t>
      </w:r>
      <w:proofErr w:type="spellStart"/>
      <w:r w:rsidRPr="005F5709">
        <w:rPr>
          <w:rFonts w:asciiTheme="minorHAnsi" w:eastAsiaTheme="majorEastAsia" w:hAnsiTheme="minorHAnsi" w:cstheme="minorHAnsi"/>
        </w:rPr>
        <w:t>ASbA</w:t>
      </w:r>
      <w:proofErr w:type="spellEnd"/>
      <w:r w:rsidRPr="005F5709">
        <w:rPr>
          <w:rFonts w:asciiTheme="minorHAnsi" w:eastAsiaTheme="majorEastAsia" w:hAnsiTheme="minorHAnsi" w:cstheme="minorHAnsi"/>
        </w:rPr>
        <w:t xml:space="preserve">) retention incentive to a completion incentive </w:t>
      </w:r>
      <w:r w:rsidRPr="005F5709">
        <w:rPr>
          <w:rFonts w:asciiTheme="minorHAnsi" w:hAnsiTheme="minorHAnsi" w:cstheme="minorHAnsi"/>
        </w:rPr>
        <w:t>would</w:t>
      </w:r>
      <w:r w:rsidRPr="005F5709">
        <w:rPr>
          <w:rFonts w:asciiTheme="minorHAnsi" w:eastAsiaTheme="majorEastAsia" w:hAnsiTheme="minorHAnsi" w:cstheme="minorHAnsi"/>
        </w:rPr>
        <w:t xml:space="preserve"> encourage employers to retain apprentices beyond the 12 weeks required to claim this incentive. This may result in improved employment outcomes for the apprentice. This change simplifies the incentives payment structure by removing the last remaining retention incentive.</w:t>
      </w:r>
    </w:p>
    <w:p w14:paraId="0E608BB5" w14:textId="77777777" w:rsidR="00BD1D88" w:rsidRPr="005F5709" w:rsidRDefault="00BD1D88" w:rsidP="001A2BFA">
      <w:pPr>
        <w:pStyle w:val="Heading3"/>
      </w:pPr>
      <w:bookmarkStart w:id="94" w:name="_Toc113022207"/>
      <w:r w:rsidRPr="005F5709">
        <w:t>Impacts on AASNs</w:t>
      </w:r>
      <w:bookmarkEnd w:id="94"/>
    </w:p>
    <w:p w14:paraId="28DC4D96" w14:textId="77777777" w:rsidR="00BD1D88" w:rsidRPr="005F5709" w:rsidRDefault="00BD1D88" w:rsidP="001A2BFA">
      <w:pPr>
        <w:rPr>
          <w:rFonts w:asciiTheme="minorHAnsi" w:hAnsiTheme="minorHAnsi" w:cstheme="minorHAnsi"/>
        </w:rPr>
      </w:pPr>
      <w:r w:rsidRPr="005F5709">
        <w:rPr>
          <w:rFonts w:asciiTheme="minorHAnsi" w:hAnsiTheme="minorHAnsi" w:cstheme="minorHAnsi"/>
        </w:rPr>
        <w:t>AASN providers are engaged under a fee-for service arrangement with the Australian Government, which are excluded under the Regulatory Burden Measurement Framework. However, AASN providers would have a period of additional burden as they become familiar with the new incentive structure. Following this change period, AASN providers should find the delivery of their services to employers and apprentices less time consuming due to the reduced number of payment types and eligibility requirements to navigate and advise on. However, whilst the transition to a modern apprenticeship technology platform occurs, there would be additional administrative burden on the AASN providers as manual workarounds are required and grandfathering arrangements are in place.</w:t>
      </w:r>
    </w:p>
    <w:p w14:paraId="26993B20" w14:textId="77777777" w:rsidR="00BD1D88" w:rsidRPr="005F5709" w:rsidRDefault="00BD1D88" w:rsidP="000A39B6">
      <w:pPr>
        <w:pStyle w:val="Heading3"/>
      </w:pPr>
      <w:bookmarkStart w:id="95" w:name="_Toc113022208"/>
      <w:bookmarkStart w:id="96" w:name="_Toc88575310"/>
      <w:r w:rsidRPr="005F5709">
        <w:t>Impact on commencements and completions</w:t>
      </w:r>
      <w:bookmarkEnd w:id="95"/>
    </w:p>
    <w:p w14:paraId="5F7E06FA" w14:textId="77777777" w:rsidR="00BD1D88" w:rsidRPr="005F5709" w:rsidRDefault="00BD1D88" w:rsidP="00174E66">
      <w:pPr>
        <w:rPr>
          <w:rFonts w:asciiTheme="minorHAnsi" w:hAnsiTheme="minorHAnsi" w:cstheme="minorHAnsi"/>
        </w:rPr>
      </w:pPr>
      <w:r w:rsidRPr="005F5709">
        <w:rPr>
          <w:rFonts w:asciiTheme="minorHAnsi" w:hAnsiTheme="minorHAnsi" w:cstheme="minorHAnsi"/>
        </w:rPr>
        <w:t xml:space="preserve">Implementing the IAA is expected to result in annual Australian Apprentice commencements returning to pre-COVID-19 levels of around 151,000 from 1 July 2022. There is not expected to be any material impact on the proportion of Australian Apprentices who complete their apprenticeship. </w:t>
      </w:r>
    </w:p>
    <w:p w14:paraId="00DE822F" w14:textId="77777777" w:rsidR="00BD1D88" w:rsidRPr="005F5709" w:rsidRDefault="00BD1D88" w:rsidP="00174E66">
      <w:pPr>
        <w:rPr>
          <w:rFonts w:asciiTheme="minorHAnsi" w:hAnsiTheme="minorHAnsi" w:cstheme="minorHAnsi"/>
        </w:rPr>
      </w:pPr>
      <w:r w:rsidRPr="005F5709">
        <w:rPr>
          <w:rFonts w:asciiTheme="minorHAnsi" w:hAnsiTheme="minorHAnsi" w:cstheme="minorHAnsi"/>
        </w:rPr>
        <w:t>The level of financial and non-financial support provided to Australian Apprentices with a disability would be maintained at the current level, with no reduction in the expected number of Australian Apprentices with a disability.</w:t>
      </w:r>
    </w:p>
    <w:p w14:paraId="733504FC" w14:textId="77777777" w:rsidR="00BD1D88" w:rsidRPr="005F5709" w:rsidRDefault="00BD1D88" w:rsidP="00174E66">
      <w:pPr>
        <w:rPr>
          <w:rFonts w:asciiTheme="minorHAnsi" w:hAnsiTheme="minorHAnsi" w:cstheme="minorHAnsi"/>
        </w:rPr>
      </w:pPr>
      <w:r w:rsidRPr="005F5709">
        <w:rPr>
          <w:rFonts w:asciiTheme="minorHAnsi" w:hAnsiTheme="minorHAnsi" w:cstheme="minorHAnsi"/>
        </w:rPr>
        <w:t>The number of Australian Apprentice commencements who identify with specific cohorts, such as women in non-traditional trade and Indigenous Australians, is expected to return to an average level from pre-COVID-19.</w:t>
      </w:r>
    </w:p>
    <w:p w14:paraId="540D356D" w14:textId="77777777" w:rsidR="00BD1D88" w:rsidRPr="005F5709" w:rsidRDefault="00BD1D88" w:rsidP="001A2BFA">
      <w:pPr>
        <w:pStyle w:val="Heading3"/>
      </w:pPr>
      <w:bookmarkStart w:id="97" w:name="_Toc113022209"/>
      <w:r w:rsidRPr="005F5709">
        <w:t>Regulatory costs</w:t>
      </w:r>
      <w:bookmarkEnd w:id="96"/>
      <w:bookmarkEnd w:id="97"/>
    </w:p>
    <w:p w14:paraId="19C781F9" w14:textId="77777777" w:rsidR="00BD1D88" w:rsidRPr="005F5709" w:rsidRDefault="00BD1D88" w:rsidP="001A2BFA">
      <w:pPr>
        <w:rPr>
          <w:rFonts w:asciiTheme="minorHAnsi" w:hAnsiTheme="minorHAnsi" w:cstheme="minorHAnsi"/>
        </w:rPr>
      </w:pPr>
      <w:bookmarkStart w:id="98" w:name="_Hlk76549424"/>
      <w:r w:rsidRPr="005F5709">
        <w:rPr>
          <w:rFonts w:asciiTheme="minorHAnsi" w:hAnsiTheme="minorHAnsi" w:cstheme="minorHAnsi"/>
        </w:rPr>
        <w:t>The regulatory cost of Option 1 is neutral. The introduction of the IAA has already been agreed and will come into effect if no action is taken. Therefore, implementing the IAA is the baseline option.</w:t>
      </w:r>
    </w:p>
    <w:p w14:paraId="15D1EC1A" w14:textId="77777777" w:rsidR="00BD1D88" w:rsidRPr="005F5709" w:rsidRDefault="00BD1D88" w:rsidP="001A2BFA">
      <w:pPr>
        <w:rPr>
          <w:rFonts w:asciiTheme="minorHAnsi" w:hAnsiTheme="minorHAnsi" w:cstheme="minorHAnsi"/>
          <w:b/>
          <w:bCs/>
        </w:rPr>
      </w:pPr>
      <w:r w:rsidRPr="005F5709">
        <w:rPr>
          <w:rFonts w:asciiTheme="minorHAnsi" w:hAnsiTheme="minorHAnsi" w:cstheme="minorHAnsi"/>
          <w:b/>
          <w:bCs/>
        </w:rPr>
        <w:t>Table 5: Regulatory costs of Option 1 (baseline)</w:t>
      </w:r>
    </w:p>
    <w:tbl>
      <w:tblPr>
        <w:tblW w:w="0" w:type="auto"/>
        <w:tblInd w:w="108" w:type="dxa"/>
        <w:tblLook w:val="04A0" w:firstRow="1" w:lastRow="0" w:firstColumn="1" w:lastColumn="0" w:noHBand="0" w:noVBand="1"/>
        <w:tblCaption w:val="Regulatory burden estimate table"/>
        <w:tblDescription w:val="Template for the Regulatory burden estimate table"/>
      </w:tblPr>
      <w:tblGrid>
        <w:gridCol w:w="1735"/>
        <w:gridCol w:w="1730"/>
        <w:gridCol w:w="1749"/>
        <w:gridCol w:w="1738"/>
        <w:gridCol w:w="1724"/>
      </w:tblGrid>
      <w:tr w:rsidR="00BD1D88" w:rsidRPr="005F5709" w14:paraId="16FB3D3D" w14:textId="77777777" w:rsidTr="00956821">
        <w:trPr>
          <w:trHeight w:val="300"/>
          <w:tblHeader/>
        </w:trPr>
        <w:tc>
          <w:tcPr>
            <w:tcW w:w="8676" w:type="dxa"/>
            <w:gridSpan w:val="5"/>
            <w:tcBorders>
              <w:top w:val="single" w:sz="8" w:space="0" w:color="ED7D31"/>
              <w:left w:val="single" w:sz="8" w:space="0" w:color="ED7D31"/>
              <w:bottom w:val="single" w:sz="8" w:space="0" w:color="ED7D31"/>
              <w:right w:val="single" w:sz="8" w:space="0" w:color="ED7D31"/>
            </w:tcBorders>
            <w:shd w:val="clear" w:color="auto" w:fill="385623" w:themeFill="accent6" w:themeFillShade="80"/>
            <w:tcMar>
              <w:top w:w="0" w:type="dxa"/>
              <w:left w:w="108" w:type="dxa"/>
              <w:bottom w:w="0" w:type="dxa"/>
              <w:right w:w="108" w:type="dxa"/>
            </w:tcMar>
          </w:tcPr>
          <w:p w14:paraId="315B4F3A" w14:textId="77777777" w:rsidR="00BD1D88" w:rsidRPr="005F5709" w:rsidRDefault="00BD1D88" w:rsidP="00693020">
            <w:pPr>
              <w:spacing w:before="120" w:after="120"/>
              <w:rPr>
                <w:rFonts w:asciiTheme="minorHAnsi" w:hAnsiTheme="minorHAnsi" w:cstheme="minorHAnsi"/>
                <w:b/>
                <w:bCs/>
                <w:color w:val="FFFFFF" w:themeColor="background1"/>
                <w:sz w:val="20"/>
                <w:szCs w:val="20"/>
              </w:rPr>
            </w:pPr>
            <w:r w:rsidRPr="005F5709">
              <w:rPr>
                <w:rFonts w:asciiTheme="minorHAnsi" w:hAnsiTheme="minorHAnsi" w:cstheme="minorHAnsi"/>
                <w:b/>
                <w:bCs/>
                <w:color w:val="FFFFFF" w:themeColor="background1"/>
                <w:sz w:val="20"/>
                <w:szCs w:val="20"/>
              </w:rPr>
              <w:t>Average annual regulatory costs (baseline option)</w:t>
            </w:r>
          </w:p>
        </w:tc>
      </w:tr>
      <w:tr w:rsidR="00BD1D88" w:rsidRPr="005F5709" w14:paraId="0EFBA29D" w14:textId="77777777" w:rsidTr="00956821">
        <w:trPr>
          <w:trHeight w:val="300"/>
          <w:tblHeader/>
        </w:trPr>
        <w:tc>
          <w:tcPr>
            <w:tcW w:w="1735" w:type="dxa"/>
            <w:tcBorders>
              <w:top w:val="nil"/>
              <w:left w:val="single" w:sz="8" w:space="0" w:color="ED7D31"/>
              <w:bottom w:val="single" w:sz="8" w:space="0" w:color="ED7D31"/>
              <w:right w:val="single" w:sz="8" w:space="0" w:color="ED7D31"/>
            </w:tcBorders>
            <w:tcMar>
              <w:top w:w="0" w:type="dxa"/>
              <w:left w:w="108" w:type="dxa"/>
              <w:bottom w:w="0" w:type="dxa"/>
              <w:right w:w="108" w:type="dxa"/>
            </w:tcMar>
          </w:tcPr>
          <w:p w14:paraId="3F69067B" w14:textId="77777777" w:rsidR="00BD1D88" w:rsidRPr="005F5709" w:rsidRDefault="00BD1D88" w:rsidP="00693020">
            <w:pPr>
              <w:pStyle w:val="TableText1"/>
              <w:rPr>
                <w:rFonts w:asciiTheme="minorHAnsi" w:hAnsiTheme="minorHAnsi" w:cstheme="minorHAnsi"/>
                <w:b/>
                <w:bCs/>
              </w:rPr>
            </w:pPr>
            <w:r w:rsidRPr="005F5709">
              <w:rPr>
                <w:rFonts w:asciiTheme="minorHAnsi" w:hAnsiTheme="minorHAnsi" w:cstheme="minorHAnsi"/>
              </w:rPr>
              <w:t>Change in costs ($ million)</w:t>
            </w:r>
          </w:p>
        </w:tc>
        <w:tc>
          <w:tcPr>
            <w:tcW w:w="1730" w:type="dxa"/>
            <w:tcBorders>
              <w:top w:val="nil"/>
              <w:left w:val="nil"/>
              <w:bottom w:val="single" w:sz="8" w:space="0" w:color="ED7D31"/>
              <w:right w:val="single" w:sz="8" w:space="0" w:color="ED7D31"/>
            </w:tcBorders>
            <w:tcMar>
              <w:top w:w="0" w:type="dxa"/>
              <w:left w:w="108" w:type="dxa"/>
              <w:bottom w:w="0" w:type="dxa"/>
              <w:right w:w="108" w:type="dxa"/>
            </w:tcMar>
          </w:tcPr>
          <w:p w14:paraId="3B2A74CD" w14:textId="77777777" w:rsidR="00BD1D88" w:rsidRPr="005F5709" w:rsidRDefault="00BD1D88" w:rsidP="00693020">
            <w:pPr>
              <w:pStyle w:val="TableText1"/>
              <w:rPr>
                <w:rFonts w:asciiTheme="minorHAnsi" w:hAnsiTheme="minorHAnsi" w:cstheme="minorHAnsi"/>
              </w:rPr>
            </w:pPr>
            <w:r w:rsidRPr="005F5709">
              <w:rPr>
                <w:rFonts w:asciiTheme="minorHAnsi" w:hAnsiTheme="minorHAnsi" w:cstheme="minorHAnsi"/>
              </w:rPr>
              <w:t>Business</w:t>
            </w:r>
          </w:p>
        </w:tc>
        <w:tc>
          <w:tcPr>
            <w:tcW w:w="1749" w:type="dxa"/>
            <w:tcBorders>
              <w:top w:val="nil"/>
              <w:left w:val="nil"/>
              <w:bottom w:val="single" w:sz="8" w:space="0" w:color="ED7D31"/>
              <w:right w:val="single" w:sz="8" w:space="0" w:color="ED7D31"/>
            </w:tcBorders>
            <w:tcMar>
              <w:top w:w="0" w:type="dxa"/>
              <w:left w:w="108" w:type="dxa"/>
              <w:bottom w:w="0" w:type="dxa"/>
              <w:right w:w="108" w:type="dxa"/>
            </w:tcMar>
          </w:tcPr>
          <w:p w14:paraId="66CFA753"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Community organisations</w:t>
            </w:r>
          </w:p>
        </w:tc>
        <w:tc>
          <w:tcPr>
            <w:tcW w:w="1738" w:type="dxa"/>
            <w:tcBorders>
              <w:top w:val="nil"/>
              <w:left w:val="nil"/>
              <w:bottom w:val="single" w:sz="8" w:space="0" w:color="ED7D31"/>
              <w:right w:val="single" w:sz="8" w:space="0" w:color="ED7D31"/>
            </w:tcBorders>
            <w:tcMar>
              <w:top w:w="0" w:type="dxa"/>
              <w:left w:w="108" w:type="dxa"/>
              <w:bottom w:w="0" w:type="dxa"/>
              <w:right w:w="108" w:type="dxa"/>
            </w:tcMar>
          </w:tcPr>
          <w:p w14:paraId="47530699"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Individuals</w:t>
            </w:r>
          </w:p>
        </w:tc>
        <w:tc>
          <w:tcPr>
            <w:tcW w:w="1724" w:type="dxa"/>
            <w:tcBorders>
              <w:top w:val="nil"/>
              <w:left w:val="nil"/>
              <w:bottom w:val="single" w:sz="8" w:space="0" w:color="ED7D31"/>
              <w:right w:val="single" w:sz="8" w:space="0" w:color="ED7D31"/>
            </w:tcBorders>
            <w:tcMar>
              <w:top w:w="0" w:type="dxa"/>
              <w:left w:w="108" w:type="dxa"/>
              <w:bottom w:w="0" w:type="dxa"/>
              <w:right w:w="108" w:type="dxa"/>
            </w:tcMar>
          </w:tcPr>
          <w:p w14:paraId="5731078D"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Total change in costs</w:t>
            </w:r>
          </w:p>
        </w:tc>
      </w:tr>
      <w:tr w:rsidR="00BD1D88" w:rsidRPr="005F5709" w14:paraId="13821AA9" w14:textId="77777777" w:rsidTr="00693020">
        <w:trPr>
          <w:trHeight w:val="300"/>
        </w:trPr>
        <w:tc>
          <w:tcPr>
            <w:tcW w:w="1735" w:type="dxa"/>
            <w:tcBorders>
              <w:top w:val="nil"/>
              <w:left w:val="single" w:sz="8" w:space="0" w:color="ED7D31"/>
              <w:bottom w:val="single" w:sz="8" w:space="0" w:color="ED7D31"/>
              <w:right w:val="single" w:sz="8" w:space="0" w:color="ED7D31"/>
            </w:tcBorders>
            <w:tcMar>
              <w:top w:w="0" w:type="dxa"/>
              <w:left w:w="108" w:type="dxa"/>
              <w:bottom w:w="0" w:type="dxa"/>
              <w:right w:w="108" w:type="dxa"/>
            </w:tcMar>
          </w:tcPr>
          <w:p w14:paraId="669A1436"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Total, by sector</w:t>
            </w:r>
          </w:p>
        </w:tc>
        <w:tc>
          <w:tcPr>
            <w:tcW w:w="1730" w:type="dxa"/>
            <w:tcBorders>
              <w:top w:val="nil"/>
              <w:left w:val="nil"/>
              <w:bottom w:val="single" w:sz="8" w:space="0" w:color="ED7D31"/>
              <w:right w:val="single" w:sz="8" w:space="0" w:color="ED7D31"/>
            </w:tcBorders>
            <w:tcMar>
              <w:top w:w="0" w:type="dxa"/>
              <w:left w:w="108" w:type="dxa"/>
              <w:bottom w:w="0" w:type="dxa"/>
              <w:right w:w="108" w:type="dxa"/>
            </w:tcMar>
          </w:tcPr>
          <w:p w14:paraId="400637C8"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N/A</w:t>
            </w:r>
          </w:p>
        </w:tc>
        <w:tc>
          <w:tcPr>
            <w:tcW w:w="1749" w:type="dxa"/>
            <w:tcBorders>
              <w:top w:val="nil"/>
              <w:left w:val="nil"/>
              <w:bottom w:val="single" w:sz="8" w:space="0" w:color="ED7D31"/>
              <w:right w:val="single" w:sz="8" w:space="0" w:color="ED7D31"/>
            </w:tcBorders>
            <w:tcMar>
              <w:top w:w="0" w:type="dxa"/>
              <w:left w:w="108" w:type="dxa"/>
              <w:bottom w:w="0" w:type="dxa"/>
              <w:right w:w="108" w:type="dxa"/>
            </w:tcMar>
          </w:tcPr>
          <w:p w14:paraId="4996B72B"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N/A</w:t>
            </w:r>
          </w:p>
        </w:tc>
        <w:tc>
          <w:tcPr>
            <w:tcW w:w="1738" w:type="dxa"/>
            <w:tcBorders>
              <w:top w:val="nil"/>
              <w:left w:val="nil"/>
              <w:bottom w:val="single" w:sz="8" w:space="0" w:color="ED7D31"/>
              <w:right w:val="single" w:sz="8" w:space="0" w:color="ED7D31"/>
            </w:tcBorders>
            <w:tcMar>
              <w:top w:w="0" w:type="dxa"/>
              <w:left w:w="108" w:type="dxa"/>
              <w:bottom w:w="0" w:type="dxa"/>
              <w:right w:w="108" w:type="dxa"/>
            </w:tcMar>
          </w:tcPr>
          <w:p w14:paraId="35FDB959"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N/A</w:t>
            </w:r>
          </w:p>
        </w:tc>
        <w:tc>
          <w:tcPr>
            <w:tcW w:w="1724" w:type="dxa"/>
            <w:tcBorders>
              <w:top w:val="nil"/>
              <w:left w:val="nil"/>
              <w:bottom w:val="single" w:sz="8" w:space="0" w:color="ED7D31"/>
              <w:right w:val="single" w:sz="8" w:space="0" w:color="ED7D31"/>
            </w:tcBorders>
            <w:tcMar>
              <w:top w:w="0" w:type="dxa"/>
              <w:left w:w="108" w:type="dxa"/>
              <w:bottom w:w="0" w:type="dxa"/>
              <w:right w:w="108" w:type="dxa"/>
            </w:tcMar>
          </w:tcPr>
          <w:p w14:paraId="61BC652B"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N/A</w:t>
            </w:r>
          </w:p>
        </w:tc>
      </w:tr>
      <w:bookmarkEnd w:id="98"/>
    </w:tbl>
    <w:p w14:paraId="0145786D" w14:textId="77777777" w:rsidR="00BD1D88" w:rsidRPr="005F5709" w:rsidRDefault="00BD1D88">
      <w:pPr>
        <w:rPr>
          <w:rFonts w:asciiTheme="minorHAnsi" w:eastAsiaTheme="majorEastAsia" w:hAnsiTheme="minorHAnsi" w:cstheme="minorHAnsi"/>
          <w:b/>
          <w:color w:val="002060"/>
          <w:sz w:val="30"/>
          <w:szCs w:val="26"/>
        </w:rPr>
      </w:pPr>
      <w:r w:rsidRPr="005F5709">
        <w:rPr>
          <w:rFonts w:asciiTheme="minorHAnsi" w:hAnsiTheme="minorHAnsi" w:cstheme="minorHAnsi"/>
          <w:color w:val="002060"/>
        </w:rPr>
        <w:br w:type="page"/>
      </w:r>
    </w:p>
    <w:p w14:paraId="61299575" w14:textId="62775A16" w:rsidR="00BD1D88" w:rsidRPr="005F5709" w:rsidRDefault="00BD1D88" w:rsidP="00E10FC7">
      <w:pPr>
        <w:pStyle w:val="Heading2"/>
        <w:spacing w:after="240"/>
        <w:rPr>
          <w:color w:val="002060"/>
        </w:rPr>
      </w:pPr>
      <w:bookmarkStart w:id="99" w:name="_Toc113022210"/>
      <w:r w:rsidRPr="005F5709">
        <w:rPr>
          <w:color w:val="002060"/>
        </w:rPr>
        <w:lastRenderedPageBreak/>
        <w:t>5.2 Option 2: New incentives program that targets priority skills – Employer</w:t>
      </w:r>
      <w:bookmarkEnd w:id="87"/>
      <w:r w:rsidRPr="005F5709">
        <w:rPr>
          <w:color w:val="002060"/>
        </w:rPr>
        <w:t xml:space="preserve"> hiring incentive for priority </w:t>
      </w:r>
      <w:proofErr w:type="gramStart"/>
      <w:r w:rsidRPr="005F5709">
        <w:rPr>
          <w:color w:val="002060"/>
        </w:rPr>
        <w:t>occupations</w:t>
      </w:r>
      <w:bookmarkEnd w:id="99"/>
      <w:proofErr w:type="gramEnd"/>
    </w:p>
    <w:tbl>
      <w:tblPr>
        <w:tblStyle w:val="TableGrid"/>
        <w:tblW w:w="0" w:type="auto"/>
        <w:tblInd w:w="360" w:type="dxa"/>
        <w:tblLook w:val="04A0" w:firstRow="1" w:lastRow="0" w:firstColumn="1" w:lastColumn="0" w:noHBand="0" w:noVBand="1"/>
      </w:tblPr>
      <w:tblGrid>
        <w:gridCol w:w="8656"/>
      </w:tblGrid>
      <w:tr w:rsidR="00BD1D88" w:rsidRPr="005F5709" w14:paraId="499B191A" w14:textId="77777777" w:rsidTr="009A744B">
        <w:tc>
          <w:tcPr>
            <w:tcW w:w="9016" w:type="dxa"/>
          </w:tcPr>
          <w:p w14:paraId="13579BA0" w14:textId="77777777" w:rsidR="00BD1D88" w:rsidRPr="005F5709" w:rsidRDefault="00BD1D88" w:rsidP="009A744B">
            <w:pPr>
              <w:rPr>
                <w:rFonts w:asciiTheme="minorHAnsi" w:hAnsiTheme="minorHAnsi" w:cstheme="minorHAnsi"/>
                <w:b/>
                <w:bCs/>
              </w:rPr>
            </w:pPr>
            <w:r w:rsidRPr="005F5709">
              <w:rPr>
                <w:rFonts w:asciiTheme="minorHAnsi" w:hAnsiTheme="minorHAnsi" w:cstheme="minorHAnsi"/>
                <w:b/>
                <w:bCs/>
              </w:rPr>
              <w:t>Key impacts</w:t>
            </w:r>
          </w:p>
          <w:p w14:paraId="22F9FA35" w14:textId="77777777" w:rsidR="00BD1D88" w:rsidRPr="005F5709" w:rsidRDefault="00BD1D88" w:rsidP="009A744B">
            <w:pPr>
              <w:rPr>
                <w:rFonts w:asciiTheme="minorHAnsi" w:hAnsiTheme="minorHAnsi" w:cstheme="minorHAnsi"/>
              </w:rPr>
            </w:pPr>
            <w:r w:rsidRPr="005F5709">
              <w:rPr>
                <w:rFonts w:asciiTheme="minorHAnsi" w:hAnsiTheme="minorHAnsi" w:cstheme="minorHAnsi"/>
              </w:rPr>
              <w:t>This option would:</w:t>
            </w:r>
          </w:p>
          <w:p w14:paraId="6B0075C1"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Modernise program settings to respond to emerging economic conditions;</w:t>
            </w:r>
          </w:p>
          <w:p w14:paraId="0BB2574A"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Reduce regulatory burden;</w:t>
            </w:r>
          </w:p>
          <w:p w14:paraId="53CB7432"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 xml:space="preserve">Provide additional financial support to all apprentices in priority occupations; </w:t>
            </w:r>
          </w:p>
          <w:p w14:paraId="3F35727D"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 xml:space="preserve">Retain non-financial support to apprentices at risk of cancellation; </w:t>
            </w:r>
          </w:p>
          <w:p w14:paraId="0075F477"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Increase financial support for apprentices in priority occupations;</w:t>
            </w:r>
          </w:p>
          <w:p w14:paraId="48301E8B"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Support for employers in both priority and non-priority occupations;</w:t>
            </w:r>
          </w:p>
          <w:p w14:paraId="7910A5DE"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Incentivise apprentices to take up in-demand skills occupations; and</w:t>
            </w:r>
          </w:p>
          <w:p w14:paraId="0EB8261F"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Increase support for young Australians.</w:t>
            </w:r>
          </w:p>
        </w:tc>
      </w:tr>
    </w:tbl>
    <w:p w14:paraId="5E1EC9DE" w14:textId="30A24C3B" w:rsidR="00BD1D88" w:rsidRPr="005F5709" w:rsidRDefault="00BD1D88" w:rsidP="00E01A34">
      <w:pPr>
        <w:pStyle w:val="Heading3"/>
      </w:pPr>
      <w:bookmarkStart w:id="100" w:name="_Toc88575304"/>
      <w:bookmarkStart w:id="101" w:name="_Toc113022211"/>
      <w:r w:rsidRPr="005F5709">
        <w:t>Who would this option impact?</w:t>
      </w:r>
      <w:bookmarkEnd w:id="100"/>
      <w:bookmarkEnd w:id="101"/>
    </w:p>
    <w:p w14:paraId="5E33382B"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Those directly impacted by this option include:</w:t>
      </w:r>
    </w:p>
    <w:p w14:paraId="6DFEA063"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 xml:space="preserve">Individuals considering taking up an Australian Apprenticeship (approximately 151,000 apprentices commenced in 2019 prior to the introduction of BAC); </w:t>
      </w:r>
    </w:p>
    <w:p w14:paraId="5C5BDCD7"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Employers and prospective employers of Australian Apprentices; and</w:t>
      </w:r>
    </w:p>
    <w:p w14:paraId="4B340D14"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The seven AASN providers who provide advice and support to employers and apprentices including on incentives.</w:t>
      </w:r>
    </w:p>
    <w:p w14:paraId="26E6A477" w14:textId="05966794" w:rsidR="00BD1D88" w:rsidRPr="005F5709" w:rsidRDefault="00BD1D88" w:rsidP="00E01A34">
      <w:pPr>
        <w:pStyle w:val="Heading3"/>
      </w:pPr>
      <w:bookmarkStart w:id="102" w:name="_Toc113022212"/>
      <w:r w:rsidRPr="005F5709">
        <w:t>Overall impact – how does it address the problem?</w:t>
      </w:r>
      <w:bookmarkEnd w:id="102"/>
    </w:p>
    <w:p w14:paraId="794027CB"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 xml:space="preserve">The overall impact of this option would be a decline of around 24,500 in total Australian Apprenticeship commencements and a related decline in completions from pre-COVID-19 levels. </w:t>
      </w:r>
    </w:p>
    <w:p w14:paraId="2D438A49"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This option addresses three out of five policy issues identified in Chapter Two. This option addresses the financial barriers for employers and apprentices in priority occupations undertaking an apprenticeship. Targeting incentives towards priority skills areas and key industries reduces expenditure and focuses on qualifications where there is the greatest need to ensure an appropriate level of investment is made into a future skilled workforce.</w:t>
      </w:r>
    </w:p>
    <w:p w14:paraId="131CEFF5" w14:textId="77777777" w:rsidR="00BD1D88" w:rsidRPr="005F5709" w:rsidRDefault="00BD1D88" w:rsidP="00DB5983">
      <w:pPr>
        <w:pStyle w:val="Heading5"/>
        <w:rPr>
          <w:rFonts w:asciiTheme="minorHAnsi" w:hAnsiTheme="minorHAnsi" w:cstheme="minorHAnsi"/>
        </w:rPr>
      </w:pPr>
      <w:r w:rsidRPr="005F5709">
        <w:rPr>
          <w:rFonts w:asciiTheme="minorHAnsi" w:hAnsiTheme="minorHAnsi" w:cstheme="minorHAnsi"/>
        </w:rPr>
        <w:t xml:space="preserve">Addresses - Incentives should be targeted to address skill </w:t>
      </w:r>
      <w:proofErr w:type="gramStart"/>
      <w:r w:rsidRPr="005F5709">
        <w:rPr>
          <w:rFonts w:asciiTheme="minorHAnsi" w:hAnsiTheme="minorHAnsi" w:cstheme="minorHAnsi"/>
        </w:rPr>
        <w:t>shortages</w:t>
      </w:r>
      <w:proofErr w:type="gramEnd"/>
    </w:p>
    <w:p w14:paraId="582E50E3" w14:textId="77777777" w:rsidR="00BD1D88" w:rsidRPr="005F5709" w:rsidRDefault="00BD1D88" w:rsidP="00DB5983">
      <w:pPr>
        <w:rPr>
          <w:rFonts w:asciiTheme="minorHAnsi" w:hAnsiTheme="minorHAnsi" w:cstheme="minorHAnsi"/>
        </w:rPr>
      </w:pPr>
      <w:r w:rsidRPr="005F5709">
        <w:rPr>
          <w:rFonts w:asciiTheme="minorHAnsi" w:hAnsiTheme="minorHAnsi" w:cstheme="minorHAnsi"/>
        </w:rPr>
        <w:t xml:space="preserve">Australia is experiencing major workforce skills shortages which apprentices can fill. There are significant skills shortages across Australia in a number of key industries and occupations, with 38 per cent of skills shortages in occupations with a vocational pathway, including construction, manufacturing and aged care. Promoting apprenticeships in priority occupations as a rewarding pathway is important to encourage individuals to take-up </w:t>
      </w:r>
      <w:r w:rsidRPr="005F5709">
        <w:rPr>
          <w:rFonts w:asciiTheme="minorHAnsi" w:hAnsiTheme="minorHAnsi" w:cstheme="minorHAnsi"/>
        </w:rPr>
        <w:lastRenderedPageBreak/>
        <w:t xml:space="preserve">opportunities in the jobs Australia needs to secure the skilled workforce of today and tomorrow. </w:t>
      </w:r>
    </w:p>
    <w:p w14:paraId="03E1E7DD" w14:textId="77777777" w:rsidR="00BD1D88" w:rsidRPr="005F5709" w:rsidRDefault="00BD1D88" w:rsidP="00DB5983">
      <w:pPr>
        <w:rPr>
          <w:rFonts w:asciiTheme="minorHAnsi" w:hAnsiTheme="minorHAnsi" w:cstheme="minorHAnsi"/>
        </w:rPr>
      </w:pPr>
      <w:r w:rsidRPr="005F5709">
        <w:rPr>
          <w:rFonts w:asciiTheme="minorHAnsi" w:hAnsiTheme="minorHAnsi" w:cstheme="minorHAnsi"/>
        </w:rPr>
        <w:t>This option targets incentives towards priority skills areas and key industries. In turn, this reduces expenditure and focuses on qualifications where there is the greatest need to ensure an appropriate level of investment is made into a future skilled workforce.</w:t>
      </w:r>
    </w:p>
    <w:p w14:paraId="0C88C322" w14:textId="77777777" w:rsidR="00BD1D88" w:rsidRPr="005F5709" w:rsidRDefault="00BD1D88" w:rsidP="00DB5983">
      <w:pPr>
        <w:rPr>
          <w:rFonts w:asciiTheme="minorHAnsi" w:hAnsiTheme="minorHAnsi" w:cstheme="minorHAnsi"/>
        </w:rPr>
      </w:pPr>
      <w:r w:rsidRPr="005F5709">
        <w:rPr>
          <w:rFonts w:asciiTheme="minorHAnsi" w:hAnsiTheme="minorHAnsi" w:cstheme="minorHAnsi"/>
        </w:rPr>
        <w:t xml:space="preserve">The Priority List ensures incentives provide support to priority skills occupations, including anticipated areas of skills needs. Through targeting, this package is expected to lead to a slight increase in commencements and completions in priority occupations. It is also expected to lead to an increase in the supply of apprenticeship opportunities in key industries. </w:t>
      </w:r>
    </w:p>
    <w:p w14:paraId="75B2AB84" w14:textId="77777777" w:rsidR="00BD1D88" w:rsidRPr="005F5709" w:rsidRDefault="00BD1D88" w:rsidP="00DB5983">
      <w:pPr>
        <w:rPr>
          <w:rFonts w:asciiTheme="minorHAnsi" w:hAnsiTheme="minorHAnsi" w:cstheme="minorHAnsi"/>
        </w:rPr>
      </w:pPr>
      <w:r w:rsidRPr="005F5709">
        <w:rPr>
          <w:rFonts w:asciiTheme="minorHAnsi" w:eastAsiaTheme="majorEastAsia" w:hAnsiTheme="minorHAnsi" w:cstheme="minorHAnsi"/>
          <w:b/>
          <w:color w:val="5F6369"/>
        </w:rPr>
        <w:t xml:space="preserve">Does not address – Incentives should respond to high and increasing costs </w:t>
      </w:r>
      <w:r w:rsidRPr="005F5709">
        <w:rPr>
          <w:rFonts w:asciiTheme="minorHAnsi" w:hAnsiTheme="minorHAnsi" w:cstheme="minorHAnsi"/>
        </w:rPr>
        <w:br/>
        <w:t xml:space="preserve">This option will provide greater financial support to apprentices in priority occupations and recognises the limitations of current apprentice wage structures. The Australian Apprenticeship Training Support Payment will increase the attractiveness of an apprenticeship in areas of critical skills shortage. It will also benefit their employers, as this approach mimics a wage increase without putting the burden on the employer to cover the costs.  </w:t>
      </w:r>
    </w:p>
    <w:p w14:paraId="626AE1AF" w14:textId="77777777" w:rsidR="00BD1D88" w:rsidRPr="005F5709" w:rsidRDefault="00BD1D88" w:rsidP="00DB5983">
      <w:pPr>
        <w:rPr>
          <w:rFonts w:asciiTheme="minorHAnsi" w:hAnsiTheme="minorHAnsi" w:cstheme="minorHAnsi"/>
        </w:rPr>
      </w:pPr>
      <w:r w:rsidRPr="005F5709">
        <w:rPr>
          <w:rFonts w:asciiTheme="minorHAnsi" w:hAnsiTheme="minorHAnsi" w:cstheme="minorHAnsi"/>
        </w:rPr>
        <w:t>However, under this option, employers of apprentices in non-priority occupations will go from attracting on average around $3,500 in employer incentive payments under the pre-COVID-19 AAIP to no longer attracting any government support. This will result in a decrease in non-priority commencements and completions as employers opt for a different employment model, including for example more casual and part time employees.</w:t>
      </w:r>
    </w:p>
    <w:p w14:paraId="3960E4CB" w14:textId="77777777" w:rsidR="00BD1D88" w:rsidRPr="005F5709" w:rsidRDefault="00BD1D88" w:rsidP="00DB5983">
      <w:pPr>
        <w:rPr>
          <w:rFonts w:asciiTheme="minorHAnsi" w:hAnsiTheme="minorHAnsi" w:cstheme="minorHAnsi"/>
        </w:rPr>
      </w:pPr>
      <w:r w:rsidRPr="005F5709">
        <w:rPr>
          <w:rFonts w:asciiTheme="minorHAnsi" w:hAnsiTheme="minorHAnsi" w:cstheme="minorHAnsi"/>
        </w:rPr>
        <w:t>Even for employers in priority occupations, the $4,000 hiring incentive for employers of apprentices in a priority occupation could be a step down for employers who may have been able to access additional incentive payments if the apprentice met other eligibility criteria under the AAIP. Overall, this option does not address high costs associated with rising wages and up-front hiring costs.</w:t>
      </w:r>
    </w:p>
    <w:p w14:paraId="55362101" w14:textId="77777777" w:rsidR="00BD1D88" w:rsidRPr="005F5709" w:rsidRDefault="00BD1D88" w:rsidP="00DB5983">
      <w:pPr>
        <w:rPr>
          <w:rFonts w:asciiTheme="minorHAnsi" w:hAnsiTheme="minorHAnsi" w:cstheme="minorHAnsi"/>
        </w:rPr>
      </w:pPr>
      <w:r w:rsidRPr="005F5709">
        <w:rPr>
          <w:rFonts w:asciiTheme="minorHAnsi" w:eastAsiaTheme="majorEastAsia" w:hAnsiTheme="minorHAnsi" w:cstheme="minorHAnsi"/>
          <w:b/>
          <w:color w:val="5F6369"/>
        </w:rPr>
        <w:t>Partly addresses - Incentives should focus on the decision maker</w:t>
      </w:r>
      <w:r w:rsidRPr="005F5709">
        <w:rPr>
          <w:rFonts w:asciiTheme="minorHAnsi" w:hAnsiTheme="minorHAnsi" w:cstheme="minorHAnsi"/>
        </w:rPr>
        <w:br/>
        <w:t>The Apprentice Support Payment and Trade Support Loans (TSL) help address the costs for apprentices in priority occupations. Mitigating these initial upfront costs, such as a loan to buy necessary tools or equipment, is expected to help attract and retain apprentices in areas with skill shortages.</w:t>
      </w:r>
    </w:p>
    <w:p w14:paraId="189CF45D" w14:textId="77777777" w:rsidR="00BD1D88" w:rsidRPr="005F5709" w:rsidRDefault="00BD1D88" w:rsidP="00DB5983">
      <w:pPr>
        <w:rPr>
          <w:rFonts w:asciiTheme="minorHAnsi" w:hAnsiTheme="minorHAnsi" w:cstheme="minorHAnsi"/>
        </w:rPr>
      </w:pPr>
      <w:r w:rsidRPr="005F5709">
        <w:rPr>
          <w:rFonts w:asciiTheme="minorHAnsi" w:eastAsiaTheme="majorEastAsia" w:hAnsiTheme="minorHAnsi" w:cstheme="minorHAnsi"/>
          <w:b/>
          <w:color w:val="5F6369"/>
        </w:rPr>
        <w:t>Addresses - Incentives should be easy to navigate and understand</w:t>
      </w:r>
      <w:r w:rsidRPr="005F5709">
        <w:rPr>
          <w:rFonts w:asciiTheme="minorHAnsi" w:hAnsiTheme="minorHAnsi" w:cstheme="minorHAnsi"/>
        </w:rPr>
        <w:br/>
        <w:t xml:space="preserve">This option will simplify the payment structure of the incentives system to improve access for all stakeholders by reducing over 30 payment types to around five. </w:t>
      </w:r>
    </w:p>
    <w:p w14:paraId="585754D2" w14:textId="77777777" w:rsidR="00BD1D88" w:rsidRPr="005F5709" w:rsidRDefault="00BD1D88" w:rsidP="00DB5983">
      <w:pPr>
        <w:rPr>
          <w:rFonts w:asciiTheme="minorHAnsi" w:hAnsiTheme="minorHAnsi" w:cstheme="minorHAnsi"/>
        </w:rPr>
      </w:pPr>
      <w:r w:rsidRPr="005F5709">
        <w:rPr>
          <w:rFonts w:asciiTheme="minorHAnsi" w:hAnsiTheme="minorHAnsi" w:cstheme="minorHAnsi"/>
        </w:rPr>
        <w:t>This option would not change the structure of the Australian Apprenticeship system. States and territories will continue to have a role in approving Training Contracts and AASN providers would continue to be contracted by the Australian Government to deliver Apprenticeship Support services, such as providing advice to employers on eligibility for incentives and managing payment claims.</w:t>
      </w:r>
    </w:p>
    <w:p w14:paraId="295DEF9B" w14:textId="77777777" w:rsidR="00BD1D88" w:rsidRPr="005F5709" w:rsidRDefault="00BD1D88" w:rsidP="00DB5983">
      <w:pPr>
        <w:rPr>
          <w:rFonts w:asciiTheme="minorHAnsi" w:hAnsiTheme="minorHAnsi" w:cstheme="minorHAnsi"/>
          <w:highlight w:val="lightGray"/>
        </w:rPr>
      </w:pPr>
      <w:r w:rsidRPr="005F5709">
        <w:rPr>
          <w:rFonts w:asciiTheme="minorHAnsi" w:hAnsiTheme="minorHAnsi" w:cstheme="minorHAnsi"/>
        </w:rPr>
        <w:lastRenderedPageBreak/>
        <w:t xml:space="preserve">Several administrative changes will also help stakeholders navigate the system. </w:t>
      </w:r>
      <w:r w:rsidRPr="005F5709">
        <w:rPr>
          <w:rStyle w:val="normaltextrun"/>
          <w:rFonts w:asciiTheme="minorHAnsi" w:hAnsiTheme="minorHAnsi" w:cstheme="minorHAnsi"/>
          <w:color w:val="000000"/>
          <w:bdr w:val="none" w:sz="0" w:space="0" w:color="auto" w:frame="1"/>
        </w:rPr>
        <w:t xml:space="preserve">The recognition of previous and concurrent qualification criteria and their application are regarded by stakeholders as complex and slowing the sign-up of Australian Apprentices. </w:t>
      </w:r>
      <w:r w:rsidRPr="005F5709">
        <w:rPr>
          <w:rFonts w:asciiTheme="minorHAnsi" w:hAnsiTheme="minorHAnsi" w:cstheme="minorHAnsi"/>
        </w:rPr>
        <w:t xml:space="preserve">Simplifying the criteria for recognising prior and concurrent qualifications is expected to reduce regulatory burden for potential Australian Apprentices and employers during the sign-up process at commencement. </w:t>
      </w:r>
    </w:p>
    <w:p w14:paraId="13BDD5B1" w14:textId="77777777" w:rsidR="00BD1D88" w:rsidRPr="005F5709" w:rsidRDefault="00BD1D88" w:rsidP="00DB5983">
      <w:pPr>
        <w:rPr>
          <w:rStyle w:val="normaltextrun"/>
          <w:rFonts w:asciiTheme="minorHAnsi" w:hAnsiTheme="minorHAnsi" w:cstheme="minorHAnsi"/>
          <w:color w:val="000000"/>
          <w:bdr w:val="none" w:sz="0" w:space="0" w:color="auto" w:frame="1"/>
        </w:rPr>
      </w:pPr>
      <w:r w:rsidRPr="005F5709">
        <w:rPr>
          <w:rFonts w:asciiTheme="minorHAnsi" w:eastAsiaTheme="majorEastAsia" w:hAnsiTheme="minorHAnsi" w:cstheme="minorHAnsi"/>
          <w:b/>
          <w:color w:val="5F6369"/>
        </w:rPr>
        <w:t>Addresses - Non-financial support should be provided</w:t>
      </w:r>
      <w:r w:rsidRPr="005F5709">
        <w:rPr>
          <w:rFonts w:asciiTheme="minorHAnsi" w:hAnsiTheme="minorHAnsi" w:cstheme="minorHAnsi"/>
        </w:rPr>
        <w:br/>
        <w:t xml:space="preserve">Almost half of Australian Apprentices never complete their apprenticeship – further diminishing the return on investment in the Australian Apprenticeship system. Program data shows Australian Apprentices who received ITS, as opposed to those who did not, were </w:t>
      </w:r>
      <w:r w:rsidRPr="005F5709">
        <w:rPr>
          <w:rStyle w:val="normaltextrun"/>
          <w:rFonts w:asciiTheme="minorHAnsi" w:hAnsiTheme="minorHAnsi" w:cstheme="minorHAnsi"/>
          <w:color w:val="000000"/>
          <w:bdr w:val="none" w:sz="0" w:space="0" w:color="auto" w:frame="1"/>
        </w:rPr>
        <w:t>8.7</w:t>
      </w:r>
      <w:r w:rsidRPr="005F5709">
        <w:rPr>
          <w:rStyle w:val="normaltextrun"/>
          <w:rFonts w:asciiTheme="minorHAnsi" w:hAnsiTheme="minorHAnsi" w:cstheme="minorHAnsi"/>
          <w:color w:val="000000" w:themeColor="text1"/>
        </w:rPr>
        <w:t> </w:t>
      </w:r>
      <w:r w:rsidRPr="005F5709">
        <w:rPr>
          <w:rStyle w:val="normaltextrun"/>
          <w:rFonts w:asciiTheme="minorHAnsi" w:hAnsiTheme="minorHAnsi" w:cstheme="minorHAnsi"/>
          <w:color w:val="000000"/>
          <w:bdr w:val="none" w:sz="0" w:space="0" w:color="auto" w:frame="1"/>
        </w:rPr>
        <w:t>per</w:t>
      </w:r>
      <w:r w:rsidRPr="005F5709">
        <w:rPr>
          <w:rStyle w:val="normaltextrun"/>
          <w:rFonts w:asciiTheme="minorHAnsi" w:hAnsiTheme="minorHAnsi" w:cstheme="minorHAnsi"/>
          <w:color w:val="000000" w:themeColor="text1"/>
        </w:rPr>
        <w:t> </w:t>
      </w:r>
      <w:r w:rsidRPr="005F5709">
        <w:rPr>
          <w:rStyle w:val="normaltextrun"/>
          <w:rFonts w:asciiTheme="minorHAnsi" w:hAnsiTheme="minorHAnsi" w:cstheme="minorHAnsi"/>
          <w:color w:val="000000"/>
          <w:bdr w:val="none" w:sz="0" w:space="0" w:color="auto" w:frame="1"/>
        </w:rPr>
        <w:t xml:space="preserve">cent more likely to complete; 10.7 per cent less likely to cancel or withdraw from their apprenticeship; 9.8 per cent more likely to be retained by their employer; and 42.3 per cent more likely to resume from suspension as </w:t>
      </w:r>
      <w:proofErr w:type="gramStart"/>
      <w:r w:rsidRPr="005F5709">
        <w:rPr>
          <w:rStyle w:val="normaltextrun"/>
          <w:rFonts w:asciiTheme="minorHAnsi" w:hAnsiTheme="minorHAnsi" w:cstheme="minorHAnsi"/>
          <w:color w:val="000000"/>
          <w:bdr w:val="none" w:sz="0" w:space="0" w:color="auto" w:frame="1"/>
        </w:rPr>
        <w:t>at</w:t>
      </w:r>
      <w:proofErr w:type="gramEnd"/>
      <w:r w:rsidRPr="005F5709">
        <w:rPr>
          <w:rStyle w:val="normaltextrun"/>
          <w:rFonts w:asciiTheme="minorHAnsi" w:hAnsiTheme="minorHAnsi" w:cstheme="minorHAnsi"/>
          <w:color w:val="000000"/>
          <w:bdr w:val="none" w:sz="0" w:space="0" w:color="auto" w:frame="1"/>
        </w:rPr>
        <w:t xml:space="preserve"> 28 February 2022.</w:t>
      </w:r>
      <w:r w:rsidRPr="005F5709">
        <w:rPr>
          <w:rStyle w:val="FootnoteReference"/>
          <w:rFonts w:asciiTheme="minorHAnsi" w:hAnsiTheme="minorHAnsi" w:cstheme="minorHAnsi"/>
          <w:color w:val="000000"/>
          <w:bdr w:val="none" w:sz="0" w:space="0" w:color="auto" w:frame="1"/>
        </w:rPr>
        <w:footnoteReference w:id="55"/>
      </w:r>
      <w:r w:rsidRPr="005F5709">
        <w:rPr>
          <w:rStyle w:val="normaltextrun"/>
          <w:rFonts w:asciiTheme="minorHAnsi" w:hAnsiTheme="minorHAnsi" w:cstheme="minorHAnsi"/>
          <w:color w:val="000000"/>
          <w:bdr w:val="none" w:sz="0" w:space="0" w:color="auto" w:frame="1"/>
        </w:rPr>
        <w:t xml:space="preserve"> </w:t>
      </w:r>
    </w:p>
    <w:p w14:paraId="74BBAC9B" w14:textId="77777777" w:rsidR="00BD1D88" w:rsidRPr="005F5709" w:rsidRDefault="00BD1D88" w:rsidP="00DB5983">
      <w:pPr>
        <w:rPr>
          <w:rStyle w:val="normaltextrun"/>
          <w:rFonts w:asciiTheme="minorHAnsi" w:hAnsiTheme="minorHAnsi" w:cstheme="minorHAnsi"/>
          <w:color w:val="000000"/>
          <w:bdr w:val="none" w:sz="0" w:space="0" w:color="auto" w:frame="1"/>
        </w:rPr>
      </w:pPr>
      <w:r w:rsidRPr="005F5709">
        <w:rPr>
          <w:rStyle w:val="normaltextrun"/>
          <w:rFonts w:asciiTheme="minorHAnsi" w:hAnsiTheme="minorHAnsi" w:cstheme="minorHAnsi"/>
          <w:color w:val="000000" w:themeColor="text1"/>
        </w:rPr>
        <w:t xml:space="preserve">Under this option, AASN providers will </w:t>
      </w:r>
      <w:r w:rsidRPr="005F5709">
        <w:rPr>
          <w:rFonts w:asciiTheme="minorHAnsi" w:hAnsiTheme="minorHAnsi" w:cstheme="minorHAnsi"/>
        </w:rPr>
        <w:t>continue to provide apprentices and employers with a range of non-financial supports, from general universal support services from sign up to completion through to more intensive ITS, which offers personalised support to those at risk of not completing.</w:t>
      </w:r>
      <w:r w:rsidRPr="005F5709">
        <w:rPr>
          <w:rStyle w:val="normaltextrun"/>
          <w:rFonts w:asciiTheme="minorHAnsi" w:hAnsiTheme="minorHAnsi" w:cstheme="minorHAnsi"/>
          <w:color w:val="000000" w:themeColor="text1"/>
        </w:rPr>
        <w:t xml:space="preserve"> Additionally, young apprentices will receive additional support through the youth support – including dedicated ITS places and additional support from their AASN provider. </w:t>
      </w:r>
    </w:p>
    <w:p w14:paraId="5ED9B72F" w14:textId="52EAF991" w:rsidR="00BD1D88" w:rsidRPr="005F5709" w:rsidRDefault="00BD1D88" w:rsidP="00E01A34">
      <w:pPr>
        <w:pStyle w:val="Heading3"/>
      </w:pPr>
      <w:bookmarkStart w:id="103" w:name="_Toc113022213"/>
      <w:r w:rsidRPr="005F5709">
        <w:t>Impacts on apprentices</w:t>
      </w:r>
      <w:bookmarkEnd w:id="103"/>
    </w:p>
    <w:p w14:paraId="61557019" w14:textId="77777777" w:rsidR="00BD1D88" w:rsidRPr="005F5709" w:rsidRDefault="00BD1D88" w:rsidP="0053734D">
      <w:pPr>
        <w:rPr>
          <w:rFonts w:asciiTheme="minorHAnsi" w:hAnsiTheme="minorHAnsi" w:cstheme="minorHAnsi"/>
          <w:i/>
          <w:u w:val="single"/>
        </w:rPr>
      </w:pPr>
      <w:r w:rsidRPr="005F5709">
        <w:rPr>
          <w:rFonts w:asciiTheme="minorHAnsi" w:hAnsiTheme="minorHAnsi" w:cstheme="minorHAnsi"/>
        </w:rPr>
        <w:t xml:space="preserve">The estimated impact on commencements and completions due to the changed incentives under this option, including specific cohorts such as women, are detailed in the </w:t>
      </w:r>
      <w:r w:rsidRPr="005F5709">
        <w:rPr>
          <w:rFonts w:asciiTheme="minorHAnsi" w:hAnsiTheme="minorHAnsi" w:cstheme="minorHAnsi"/>
          <w:i/>
        </w:rPr>
        <w:t>Impact on Commencements and Completions</w:t>
      </w:r>
      <w:r w:rsidRPr="005F5709">
        <w:rPr>
          <w:rFonts w:asciiTheme="minorHAnsi" w:hAnsiTheme="minorHAnsi" w:cstheme="minorHAnsi"/>
        </w:rPr>
        <w:t xml:space="preserve"> section.</w:t>
      </w:r>
    </w:p>
    <w:p w14:paraId="25BA49BF" w14:textId="77777777" w:rsidR="00BD1D88" w:rsidRPr="005F5709" w:rsidRDefault="00BD1D88" w:rsidP="00E01A34">
      <w:pPr>
        <w:pStyle w:val="Heading5"/>
        <w:rPr>
          <w:rFonts w:asciiTheme="minorHAnsi" w:hAnsiTheme="minorHAnsi" w:cstheme="minorHAnsi"/>
        </w:rPr>
      </w:pPr>
      <w:r w:rsidRPr="005F5709">
        <w:rPr>
          <w:rFonts w:asciiTheme="minorHAnsi" w:hAnsiTheme="minorHAnsi" w:cstheme="minorHAnsi"/>
        </w:rPr>
        <w:t>Priority occupations</w:t>
      </w:r>
    </w:p>
    <w:p w14:paraId="76ABF5FB"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Apprentices in priority occupations will receive the same non-financial support as Option 1 through the apprentice package youth support (See 5.1).</w:t>
      </w:r>
    </w:p>
    <w:p w14:paraId="3E0896F8"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 xml:space="preserve">Under this option, apprentices in priority occupations will receive a $4,000 Support Payment which will support apprentices to complete their apprenticeships. However, this is less financial support than under Option 1. </w:t>
      </w:r>
    </w:p>
    <w:p w14:paraId="6A947A70" w14:textId="77777777" w:rsidR="00BD1D88" w:rsidRPr="005F5709" w:rsidRDefault="00BD1D88" w:rsidP="00E01A34">
      <w:pPr>
        <w:pStyle w:val="Heading5"/>
        <w:rPr>
          <w:rFonts w:asciiTheme="minorHAnsi" w:hAnsiTheme="minorHAnsi" w:cstheme="minorHAnsi"/>
        </w:rPr>
      </w:pPr>
      <w:r w:rsidRPr="005F5709">
        <w:rPr>
          <w:rFonts w:asciiTheme="minorHAnsi" w:hAnsiTheme="minorHAnsi" w:cstheme="minorHAnsi"/>
        </w:rPr>
        <w:t>Non-priority occupations</w:t>
      </w:r>
    </w:p>
    <w:p w14:paraId="5D2A0C6D"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 xml:space="preserve">Under this option, apprentices in non-priority occupations will not receive any targeted support, which may deter them from taking up or continuing an apprenticeship in a non-priority occupation. This seeks to encourage individuals to take up an apprenticeship in an area of skills need. </w:t>
      </w:r>
    </w:p>
    <w:p w14:paraId="312BA776" w14:textId="77777777" w:rsidR="00BD1D88" w:rsidRPr="005F5709" w:rsidRDefault="00BD1D88" w:rsidP="000B0360">
      <w:pPr>
        <w:rPr>
          <w:rFonts w:asciiTheme="minorHAnsi" w:hAnsiTheme="minorHAnsi" w:cstheme="minorHAnsi"/>
        </w:rPr>
      </w:pPr>
      <w:r w:rsidRPr="005F5709">
        <w:rPr>
          <w:rFonts w:asciiTheme="minorHAnsi" w:eastAsiaTheme="majorEastAsia" w:hAnsiTheme="minorHAnsi" w:cstheme="minorHAnsi"/>
          <w:b/>
          <w:color w:val="5F6369"/>
        </w:rPr>
        <w:t xml:space="preserve">Women </w:t>
      </w:r>
      <w:r w:rsidRPr="005F5709">
        <w:rPr>
          <w:rFonts w:asciiTheme="minorHAnsi" w:hAnsiTheme="minorHAnsi" w:cstheme="minorHAnsi"/>
        </w:rPr>
        <w:br/>
        <w:t xml:space="preserve">Option 2 is expected to impact the number of commencements for women, as currently </w:t>
      </w:r>
      <w:r w:rsidRPr="005F5709">
        <w:rPr>
          <w:rFonts w:asciiTheme="minorHAnsi" w:hAnsiTheme="minorHAnsi" w:cstheme="minorHAnsi"/>
        </w:rPr>
        <w:lastRenderedPageBreak/>
        <w:t xml:space="preserve">women tend to be employed in non-priority apprenticeships and traineeships such as retail and hospitality. </w:t>
      </w:r>
    </w:p>
    <w:p w14:paraId="72C428FD" w14:textId="77777777" w:rsidR="00BD1D88" w:rsidRPr="005F5709" w:rsidRDefault="00BD1D88" w:rsidP="000B0360">
      <w:pPr>
        <w:rPr>
          <w:rFonts w:asciiTheme="minorHAnsi" w:hAnsiTheme="minorHAnsi" w:cstheme="minorHAnsi"/>
        </w:rPr>
      </w:pPr>
      <w:r w:rsidRPr="005F5709">
        <w:rPr>
          <w:rFonts w:asciiTheme="minorHAnsi" w:hAnsiTheme="minorHAnsi" w:cstheme="minorHAnsi"/>
        </w:rPr>
        <w:t>By targeting incentives to priority occupations, this option is expected to encourage more women to consider careers in growing sectors, particularly those with high skills shortages, which ultimately tend to be higher paying. Accordingly, it is expected that some of the impact of this option on the commencement numbers for women will be offset by women more often choosing priority occupations. No modelling is available to quantify this ‘switching’ impact.</w:t>
      </w:r>
    </w:p>
    <w:p w14:paraId="6A656AEB" w14:textId="77777777" w:rsidR="00BD1D88" w:rsidRPr="005F5709" w:rsidRDefault="00BD1D88" w:rsidP="00CA2478">
      <w:pPr>
        <w:rPr>
          <w:rFonts w:asciiTheme="minorHAnsi" w:hAnsiTheme="minorHAnsi" w:cstheme="minorHAnsi"/>
        </w:rPr>
      </w:pPr>
      <w:r w:rsidRPr="005F5709">
        <w:rPr>
          <w:rFonts w:asciiTheme="minorHAnsi" w:eastAsiaTheme="majorEastAsia" w:hAnsiTheme="minorHAnsi" w:cstheme="minorHAnsi"/>
          <w:b/>
          <w:color w:val="5F6369"/>
        </w:rPr>
        <w:t>Apprentices with disability</w:t>
      </w:r>
      <w:r w:rsidRPr="005F5709">
        <w:rPr>
          <w:rFonts w:asciiTheme="minorHAnsi" w:hAnsiTheme="minorHAnsi" w:cstheme="minorHAnsi"/>
        </w:rPr>
        <w:br/>
        <w:t>Using the National Skills Commission’s (NSC) current Skills Priority List (SPL) and National Centre for Vocational Education Research (NCVER) in-training data, 5,100 apprentices with a disability would be eligible for the current Priority List.</w:t>
      </w:r>
      <w:r w:rsidRPr="005F5709">
        <w:rPr>
          <w:rStyle w:val="FootnoteReference"/>
          <w:rFonts w:asciiTheme="minorHAnsi" w:hAnsiTheme="minorHAnsi" w:cstheme="minorHAnsi"/>
        </w:rPr>
        <w:footnoteReference w:id="56"/>
      </w:r>
    </w:p>
    <w:p w14:paraId="4FC3A0B2" w14:textId="77777777" w:rsidR="00BD1D88" w:rsidRPr="005F5709" w:rsidRDefault="00BD1D88" w:rsidP="003304FF">
      <w:pPr>
        <w:rPr>
          <w:rFonts w:asciiTheme="minorHAnsi" w:hAnsiTheme="minorHAnsi" w:cstheme="minorHAnsi"/>
        </w:rPr>
      </w:pPr>
      <w:r w:rsidRPr="005F5709">
        <w:rPr>
          <w:rFonts w:asciiTheme="minorHAnsi" w:eastAsiaTheme="majorEastAsia" w:hAnsiTheme="minorHAnsi" w:cstheme="minorHAnsi"/>
          <w:b/>
          <w:color w:val="5F6369"/>
        </w:rPr>
        <w:t>Younger Australians (under 20)</w:t>
      </w:r>
      <w:r w:rsidRPr="005F5709">
        <w:rPr>
          <w:rFonts w:asciiTheme="minorHAnsi" w:eastAsiaTheme="majorEastAsia" w:hAnsiTheme="minorHAnsi" w:cstheme="minorHAnsi"/>
          <w:b/>
          <w:color w:val="5F6369"/>
        </w:rPr>
        <w:br/>
      </w:r>
      <w:r w:rsidRPr="005F5709">
        <w:rPr>
          <w:rFonts w:asciiTheme="minorHAnsi" w:eastAsiaTheme="minorEastAsia" w:hAnsiTheme="minorHAnsi" w:cstheme="minorHAnsi"/>
        </w:rPr>
        <w:t xml:space="preserve">Youth Support targets young Australians, aged 20 or under, in priority occupations. </w:t>
      </w:r>
      <w:r w:rsidRPr="005F5709">
        <w:rPr>
          <w:rFonts w:asciiTheme="minorHAnsi" w:eastAsiaTheme="majorEastAsia" w:hAnsiTheme="minorHAnsi" w:cstheme="minorHAnsi"/>
          <w:color w:val="000000"/>
        </w:rPr>
        <w:t>Data from the Australian Institute of Health and Welfare’s Australia’s Youth report released in June 2021, shows that compared to older age groups, young people experienced higher rates of psychological distress, job loss and educational disruption due to the COVID-19 pandemic. While the economy has begun to recover from the impacts of COVID-19, youth unemployment remains high. The latest Australian Bureau of Statistics (ABS) data from February 2022 shows the youth unemployment rate is double that of the overall population, at 9.3 per cent compared to 4.0 per cent.</w:t>
      </w:r>
      <w:r w:rsidRPr="005F5709">
        <w:rPr>
          <w:rStyle w:val="FootnoteReference"/>
          <w:rFonts w:asciiTheme="minorHAnsi" w:eastAsiaTheme="majorEastAsia" w:hAnsiTheme="minorHAnsi" w:cstheme="minorHAnsi"/>
          <w:color w:val="000000"/>
        </w:rPr>
        <w:footnoteReference w:id="57"/>
      </w:r>
      <w:r w:rsidRPr="005F5709">
        <w:rPr>
          <w:rFonts w:asciiTheme="minorHAnsi" w:eastAsiaTheme="majorEastAsia" w:hAnsiTheme="minorHAnsi" w:cstheme="minorHAnsi"/>
          <w:color w:val="000000"/>
        </w:rPr>
        <w:t xml:space="preserve"> Extended periods of unemployment and disengagement from the labour market can have lasting effects that negatively impact individuals and the economy more broadly. It can lead to skill losses and reduce the lifetime earnings potential of individuals. It can also force young people into unstable work at a lower pay.</w:t>
      </w:r>
    </w:p>
    <w:p w14:paraId="1EF8B903" w14:textId="77777777" w:rsidR="00BD1D88" w:rsidRPr="005F5709" w:rsidRDefault="00BD1D88" w:rsidP="003304FF">
      <w:pPr>
        <w:pStyle w:val="paragraph"/>
        <w:spacing w:before="0" w:beforeAutospacing="0" w:after="120" w:afterAutospacing="0" w:line="276" w:lineRule="auto"/>
        <w:textAlignment w:val="baseline"/>
        <w:rPr>
          <w:rFonts w:asciiTheme="minorHAnsi" w:hAnsiTheme="minorHAnsi" w:cstheme="minorHAnsi"/>
        </w:rPr>
      </w:pPr>
      <w:r w:rsidRPr="005F5709">
        <w:rPr>
          <w:rFonts w:asciiTheme="minorHAnsi" w:eastAsiaTheme="majorEastAsia" w:hAnsiTheme="minorHAnsi" w:cstheme="minorHAnsi"/>
          <w:color w:val="000000"/>
          <w:sz w:val="22"/>
          <w:szCs w:val="22"/>
        </w:rPr>
        <w:t>Increasing the supports available to young people will ensure the apprenticeship system is well placed to service and support young Australian apprentices. This support will help young apprentices overcome challenges associated with entering the workforce and help them to remain attached to the labour market.</w:t>
      </w:r>
    </w:p>
    <w:p w14:paraId="46DE7497" w14:textId="77777777" w:rsidR="00BD1D88" w:rsidRPr="005F5709" w:rsidRDefault="00BD1D88" w:rsidP="00573BED">
      <w:pPr>
        <w:rPr>
          <w:rFonts w:asciiTheme="minorHAnsi" w:hAnsiTheme="minorHAnsi" w:cstheme="minorHAnsi"/>
          <w:highlight w:val="yellow"/>
        </w:rPr>
      </w:pPr>
      <w:r w:rsidRPr="005F5709">
        <w:rPr>
          <w:rFonts w:asciiTheme="minorHAnsi" w:eastAsiaTheme="majorEastAsia" w:hAnsiTheme="minorHAnsi" w:cstheme="minorHAnsi"/>
          <w:b/>
          <w:color w:val="5F6369"/>
        </w:rPr>
        <w:t>Regional and rural Australians</w:t>
      </w:r>
      <w:r w:rsidRPr="005F5709">
        <w:rPr>
          <w:rFonts w:asciiTheme="minorHAnsi" w:eastAsiaTheme="majorEastAsia" w:hAnsiTheme="minorHAnsi" w:cstheme="minorHAnsi"/>
          <w:b/>
          <w:color w:val="5F6369"/>
        </w:rPr>
        <w:br/>
      </w:r>
      <w:r w:rsidRPr="005F5709">
        <w:rPr>
          <w:rFonts w:asciiTheme="minorHAnsi" w:hAnsiTheme="minorHAnsi" w:cstheme="minorHAnsi"/>
        </w:rPr>
        <w:t>Low apprenticeship wages and rising basic living costs have an even greater effect for those living in regional and rural communities. Regional apprentices in priority occupations will benefit from increased access to financial support over the life of their apprenticeship. Regional apprentices in priority and non</w:t>
      </w:r>
      <w:r w:rsidRPr="005F5709">
        <w:rPr>
          <w:rFonts w:asciiTheme="minorHAnsi" w:hAnsiTheme="minorHAnsi" w:cstheme="minorHAnsi"/>
        </w:rPr>
        <w:noBreakHyphen/>
        <w:t xml:space="preserve">priority occupations will continue to benefit through the provision of a Support Payment and ability to access the Living Away From Home Allowance (LAFHA). </w:t>
      </w:r>
      <w:r w:rsidRPr="005F5709">
        <w:rPr>
          <w:rStyle w:val="normaltextrun"/>
          <w:rFonts w:asciiTheme="minorHAnsi" w:hAnsiTheme="minorHAnsi" w:cstheme="minorHAnsi"/>
          <w:color w:val="000000"/>
          <w:shd w:val="clear" w:color="auto" w:fill="FFFFFF"/>
        </w:rPr>
        <w:t xml:space="preserve">Retaining the LAFHA will ensure regional and rural Australians are supported to meet the costs associated with moving away from home. </w:t>
      </w:r>
    </w:p>
    <w:p w14:paraId="5F2BB027" w14:textId="77777777" w:rsidR="00BD1D88" w:rsidRPr="005F5709" w:rsidRDefault="00BD1D88" w:rsidP="00573BED">
      <w:pPr>
        <w:pStyle w:val="paragraph"/>
        <w:spacing w:before="0" w:beforeAutospacing="0" w:after="120" w:afterAutospacing="0" w:line="276" w:lineRule="auto"/>
        <w:textAlignment w:val="baseline"/>
        <w:rPr>
          <w:rFonts w:asciiTheme="minorHAnsi" w:eastAsiaTheme="majorEastAsia" w:hAnsiTheme="minorHAnsi" w:cstheme="minorHAnsi"/>
          <w:color w:val="000000"/>
          <w:sz w:val="22"/>
          <w:szCs w:val="22"/>
          <w:highlight w:val="yellow"/>
        </w:rPr>
      </w:pPr>
      <w:r w:rsidRPr="005F5709">
        <w:rPr>
          <w:rFonts w:asciiTheme="minorHAnsi" w:eastAsiaTheme="majorEastAsia" w:hAnsiTheme="minorHAnsi" w:cstheme="minorHAnsi"/>
          <w:color w:val="000000"/>
          <w:sz w:val="22"/>
          <w:szCs w:val="22"/>
        </w:rPr>
        <w:lastRenderedPageBreak/>
        <w:t>Regional apprentices undertaking an apprenticeship will also benefit from changes to TSL which will increase the attractiveness of an apprenticeship in areas of critical skills shortage. Rural and regional eligibility for TSL will also be aligned with the current program to ensure apprentices receive adequate support to carry them through to completion.</w:t>
      </w:r>
    </w:p>
    <w:p w14:paraId="2A11A634" w14:textId="77777777" w:rsidR="00BD1D88" w:rsidRPr="005F5709" w:rsidRDefault="00BD1D88" w:rsidP="00573BED">
      <w:pPr>
        <w:spacing w:after="120"/>
        <w:rPr>
          <w:rFonts w:asciiTheme="minorHAnsi" w:hAnsiTheme="minorHAnsi" w:cstheme="minorHAnsi"/>
        </w:rPr>
      </w:pPr>
      <w:r w:rsidRPr="005F5709">
        <w:rPr>
          <w:rFonts w:asciiTheme="minorHAnsi" w:hAnsiTheme="minorHAnsi" w:cstheme="minorHAnsi"/>
        </w:rPr>
        <w:t xml:space="preserve">This option’s targeting to skills in demand is </w:t>
      </w:r>
      <w:r w:rsidRPr="005F5709">
        <w:rPr>
          <w:rFonts w:asciiTheme="minorHAnsi" w:eastAsia="Times New Roman" w:hAnsiTheme="minorHAnsi" w:cstheme="minorHAnsi"/>
        </w:rPr>
        <w:t xml:space="preserve">designed to encourage regional apprentices to train in priority occupations in the future. </w:t>
      </w:r>
      <w:r w:rsidRPr="005F5709">
        <w:rPr>
          <w:rFonts w:asciiTheme="minorHAnsi" w:hAnsiTheme="minorHAnsi" w:cstheme="minorHAnsi"/>
        </w:rPr>
        <w:t>Using the NSC’s current SPL and NCVER in-training data, 74,678 apprentices in regional and rural Australia are in occupations on the current Priority List.</w:t>
      </w:r>
      <w:r w:rsidRPr="005F5709">
        <w:rPr>
          <w:rStyle w:val="FootnoteReference"/>
          <w:rFonts w:asciiTheme="minorHAnsi" w:hAnsiTheme="minorHAnsi" w:cstheme="minorHAnsi"/>
        </w:rPr>
        <w:footnoteReference w:id="58"/>
      </w:r>
    </w:p>
    <w:p w14:paraId="0221F129" w14:textId="6D2DA370" w:rsidR="00BD1D88" w:rsidRPr="005F5709" w:rsidRDefault="00BD1D88" w:rsidP="00E01A34">
      <w:pPr>
        <w:pStyle w:val="Heading3"/>
      </w:pPr>
      <w:bookmarkStart w:id="104" w:name="_Toc113022214"/>
      <w:r w:rsidRPr="005F5709">
        <w:t>Impacts on employers</w:t>
      </w:r>
      <w:bookmarkEnd w:id="104"/>
    </w:p>
    <w:p w14:paraId="6B2D6452" w14:textId="77777777" w:rsidR="00BD1D88" w:rsidRPr="005F5709" w:rsidRDefault="00BD1D88" w:rsidP="00E01A34">
      <w:pPr>
        <w:pStyle w:val="Heading5"/>
        <w:rPr>
          <w:rFonts w:asciiTheme="minorHAnsi" w:hAnsiTheme="minorHAnsi" w:cstheme="minorHAnsi"/>
        </w:rPr>
      </w:pPr>
      <w:r w:rsidRPr="005F5709">
        <w:rPr>
          <w:rFonts w:asciiTheme="minorHAnsi" w:hAnsiTheme="minorHAnsi" w:cstheme="minorHAnsi"/>
        </w:rPr>
        <w:t>Priority occupations</w:t>
      </w:r>
    </w:p>
    <w:p w14:paraId="476E80FF"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 xml:space="preserve">Wage costs and other expenses associated with running a business have grown substantially over the past two decades, however the total standard incentives available to an eligible employer of an Australian Apprentice have remained unchanged at $4,000 since 1998. </w:t>
      </w:r>
    </w:p>
    <w:p w14:paraId="75579412"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The BAC measure has demonstrated the market is responsive to effective policy changes. The $4,000 hiring incentive available to employers in priority occupations is comparable with the current standard incentive amount available under the AAIP.</w:t>
      </w:r>
    </w:p>
    <w:p w14:paraId="3BD863C9" w14:textId="77777777" w:rsidR="00BD1D88" w:rsidRPr="005F5709" w:rsidRDefault="00BD1D88" w:rsidP="00E01A34">
      <w:pPr>
        <w:rPr>
          <w:rFonts w:asciiTheme="minorHAnsi" w:hAnsiTheme="minorHAnsi" w:cstheme="minorHAnsi"/>
        </w:rPr>
      </w:pPr>
      <w:r w:rsidRPr="005F5709">
        <w:rPr>
          <w:rFonts w:asciiTheme="minorHAnsi" w:eastAsiaTheme="majorEastAsia" w:hAnsiTheme="minorHAnsi" w:cstheme="minorHAnsi"/>
          <w:b/>
          <w:color w:val="5F6369"/>
        </w:rPr>
        <w:t>Employers of apprentices in non-priority occupations will no longer receive government support</w:t>
      </w:r>
      <w:r w:rsidRPr="005F5709">
        <w:rPr>
          <w:rFonts w:asciiTheme="minorHAnsi" w:hAnsiTheme="minorHAnsi" w:cstheme="minorHAnsi"/>
        </w:rPr>
        <w:t xml:space="preserve"> </w:t>
      </w:r>
      <w:r w:rsidRPr="005F5709">
        <w:rPr>
          <w:rFonts w:asciiTheme="minorHAnsi" w:hAnsiTheme="minorHAnsi" w:cstheme="minorHAnsi"/>
        </w:rPr>
        <w:br/>
        <w:t xml:space="preserve">Employers of apprentices in non-priority occupations will receive no financial support. This is due to the Government returning to a fiscally sustainable setting that targets government support to the skills most in demand with a clear apprenticeship pathway. </w:t>
      </w:r>
    </w:p>
    <w:p w14:paraId="7778E990" w14:textId="77777777" w:rsidR="00BD1D88" w:rsidRPr="005F5709" w:rsidRDefault="00BD1D88" w:rsidP="00E01A34">
      <w:pPr>
        <w:pStyle w:val="Heading5"/>
        <w:rPr>
          <w:rFonts w:asciiTheme="minorHAnsi" w:hAnsiTheme="minorHAnsi" w:cstheme="minorHAnsi"/>
        </w:rPr>
      </w:pPr>
      <w:r w:rsidRPr="005F5709">
        <w:rPr>
          <w:rFonts w:asciiTheme="minorHAnsi" w:hAnsiTheme="minorHAnsi" w:cstheme="minorHAnsi"/>
        </w:rPr>
        <w:t xml:space="preserve">Small and medium businesses </w:t>
      </w:r>
    </w:p>
    <w:p w14:paraId="74A52774"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Employers identify the cost of hiring an apprentice or trainee, particularly the initial upfront costs, as a key barrier to engaging employees on an apprenticeship pathway. This includes the initial cost of recruitment, ongoing costs of wages, supervising and training an apprentice and the real or perceived lack of productivity in the early years of an apprenticeship when supervision costs are high and productivity is low. These imposts are greater for small businesses who have to be more rigid with their business models and costs.</w:t>
      </w:r>
    </w:p>
    <w:p w14:paraId="7EE78DF0"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The hiring incentive, which provides greater financial support in the first years of an apprenticeship, is expected to support some small sized businesses in priority areas to take on and retain apprentices. Small employers, compared to medium and large employers, are more highly represented in priority occupations than non-priority occupations.</w:t>
      </w:r>
    </w:p>
    <w:p w14:paraId="143D39AF" w14:textId="7C6938EE" w:rsidR="00BD1D88" w:rsidRPr="005F5709" w:rsidRDefault="00BD1D88" w:rsidP="0026279D">
      <w:pPr>
        <w:pStyle w:val="Heading3"/>
      </w:pPr>
      <w:bookmarkStart w:id="105" w:name="_Toc113022215"/>
      <w:r w:rsidRPr="005F5709">
        <w:lastRenderedPageBreak/>
        <w:t>Impact on commencements and completions</w:t>
      </w:r>
      <w:bookmarkEnd w:id="105"/>
    </w:p>
    <w:p w14:paraId="0BDAAE0B"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 xml:space="preserve">Implementing Option Two is expected to result in an increase in annual Australian Apprentice commencements in priority occupations of around 5,500 compared to pre-COVID-19 levels. </w:t>
      </w:r>
    </w:p>
    <w:p w14:paraId="5F5389B3"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 xml:space="preserve">Due to the lack of support for Australian Apprentices in non-priority occupations, research indicates that there may be a reduction of around 30,500 in annual non-priority Australian Apprenticeship commencements. </w:t>
      </w:r>
    </w:p>
    <w:p w14:paraId="22D69097"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This option is expected to increase the proportion of Australian Apprentices who complete their priority apprenticeship by 4.2 per cent.</w:t>
      </w:r>
    </w:p>
    <w:p w14:paraId="1C75AE4D"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The level of financial and non-financial support provided to Australian Apprentices with a disability would be maintained at the current level with no reduction in number of Australian Apprentices with a disability expected.</w:t>
      </w:r>
    </w:p>
    <w:p w14:paraId="69AC7159"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With no targeted support for specific cohorts, Australian Apprentice commencements who identify with specific cohorts are expected to make up a similar proportion of commencements to the pre</w:t>
      </w:r>
      <w:r w:rsidRPr="005F5709">
        <w:rPr>
          <w:rFonts w:asciiTheme="minorHAnsi" w:hAnsiTheme="minorHAnsi" w:cstheme="minorHAnsi"/>
        </w:rPr>
        <w:noBreakHyphen/>
        <w:t xml:space="preserve">COVID-19 average. However, this assessment does not </w:t>
      </w:r>
      <w:proofErr w:type="gramStart"/>
      <w:r w:rsidRPr="005F5709">
        <w:rPr>
          <w:rFonts w:asciiTheme="minorHAnsi" w:hAnsiTheme="minorHAnsi" w:cstheme="minorHAnsi"/>
        </w:rPr>
        <w:t>take into account</w:t>
      </w:r>
      <w:proofErr w:type="gramEnd"/>
      <w:r w:rsidRPr="005F5709">
        <w:rPr>
          <w:rFonts w:asciiTheme="minorHAnsi" w:hAnsiTheme="minorHAnsi" w:cstheme="minorHAnsi"/>
        </w:rPr>
        <w:t xml:space="preserve"> the expected change in occupation preferences that the new incentives model is intended to encourage and as a result should be treated with caution.</w:t>
      </w:r>
    </w:p>
    <w:p w14:paraId="17855813"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Due to a higher proportion of women represented in non-priority occupations, a reduction of female traineeships of around 14,000 per annum is expected. However, the inclusion of major caring professional occupations on the new skills list and expansion of the TSL program to include traineeships in the care sector is expected to primarily benefit female apprentices and trainees.</w:t>
      </w:r>
    </w:p>
    <w:p w14:paraId="7190843A"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 xml:space="preserve">Indigenous Australians have historically been over-represented in non-priority traineeships. Under Option Two around 2,000 (-27 per cent) fewer annual commencements from Indigenous Australians are estimated, with expected annual commencement of 8,500. However, this figure assumes no change in the occupations that Indigenous Australians choose to study in. It is expected that the new incentives scheme – particularly the Support Payment – will influence occupation choice and direct more Indigenous Australians to priority occupations, with strong employment and wage prospects. </w:t>
      </w:r>
    </w:p>
    <w:p w14:paraId="502D8F2B"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 xml:space="preserve">A reduction in estimated apprentice and trainee commencements does not necessarily equate to a reduction in jobs. For non-priority occupations – where an apprenticeship may not be a primary pathway – a reduction in apprentice commencements is likely to be due to employers engaging workers directly and not through the training system. This is not a loss of jobs for the non-priority sectors;  it is a change in the terms and conditions under which an individual is employed. </w:t>
      </w:r>
    </w:p>
    <w:p w14:paraId="7EDA4640" w14:textId="4FECF0D9" w:rsidR="00BD1D88" w:rsidRPr="005F5709" w:rsidRDefault="00BD1D88" w:rsidP="00E01A34">
      <w:pPr>
        <w:pStyle w:val="Heading3"/>
      </w:pPr>
      <w:bookmarkStart w:id="106" w:name="_Toc113022216"/>
      <w:r w:rsidRPr="005F5709">
        <w:t>Regulatory impact</w:t>
      </w:r>
      <w:bookmarkEnd w:id="106"/>
    </w:p>
    <w:p w14:paraId="16C5F918"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 xml:space="preserve">The proposed option would not change the structure of the Australian Apprenticeship system. States and territories will continue to have a role in approving Training Contracts and AASN providers would continue to be contracted by the Australian Government to </w:t>
      </w:r>
      <w:r w:rsidRPr="005F5709">
        <w:rPr>
          <w:rFonts w:asciiTheme="minorHAnsi" w:hAnsiTheme="minorHAnsi" w:cstheme="minorHAnsi"/>
        </w:rPr>
        <w:lastRenderedPageBreak/>
        <w:t xml:space="preserve">deliver Apprenticeship Support services, such as providing advice to employers on eligibility for incentives and managing payment claims. </w:t>
      </w:r>
    </w:p>
    <w:p w14:paraId="43F1BA4D" w14:textId="429F808A" w:rsidR="00BD1D88" w:rsidRPr="005F5709" w:rsidRDefault="00BD1D88" w:rsidP="00E01A34">
      <w:pPr>
        <w:pStyle w:val="Heading3"/>
        <w:spacing w:before="120" w:after="120"/>
      </w:pPr>
      <w:bookmarkStart w:id="107" w:name="_Toc113022217"/>
      <w:r w:rsidRPr="005F5709">
        <w:t>Regulatory costs</w:t>
      </w:r>
      <w:bookmarkEnd w:id="107"/>
    </w:p>
    <w:p w14:paraId="2B84F8BC"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 xml:space="preserve">Regulatory costs associated with Option 2 are provided in Table 6 and are based on the Regulatory Burden Measurement Framework, program data and expected changes in commencements and claim </w:t>
      </w:r>
      <w:proofErr w:type="gramStart"/>
      <w:r w:rsidRPr="005F5709">
        <w:rPr>
          <w:rFonts w:asciiTheme="minorHAnsi" w:hAnsiTheme="minorHAnsi" w:cstheme="minorHAnsi"/>
        </w:rPr>
        <w:t>requirements</w:t>
      </w:r>
      <w:proofErr w:type="gramEnd"/>
    </w:p>
    <w:p w14:paraId="27471931" w14:textId="77777777" w:rsidR="00BD1D88" w:rsidRPr="005F5709" w:rsidRDefault="00BD1D88" w:rsidP="005C6804">
      <w:pPr>
        <w:rPr>
          <w:rFonts w:asciiTheme="minorHAnsi" w:hAnsiTheme="minorHAnsi" w:cstheme="minorHAnsi"/>
        </w:rPr>
      </w:pPr>
      <w:r w:rsidRPr="005F5709">
        <w:rPr>
          <w:rFonts w:asciiTheme="minorHAnsi" w:hAnsiTheme="minorHAnsi" w:cstheme="minorHAnsi"/>
        </w:rPr>
        <w:t xml:space="preserve">The regulatory costs associated with Option 2 are administrative costs with claiming for incentives under the option and establishing an apprenticeship. The regulatory impact and cost of this option is due to the changed number of individuals and employers accessing the apprenticeship system, change in time and effort to claim, and a transitional cost for employers to familiarise themselves with the new system. </w:t>
      </w:r>
    </w:p>
    <w:p w14:paraId="6D9E3EEB" w14:textId="77777777" w:rsidR="00BD1D88" w:rsidRPr="005F5709" w:rsidDel="00EC4B48" w:rsidRDefault="00BD1D88" w:rsidP="0006306B">
      <w:pPr>
        <w:rPr>
          <w:rFonts w:asciiTheme="minorHAnsi" w:hAnsiTheme="minorHAnsi" w:cstheme="minorHAnsi"/>
        </w:rPr>
      </w:pPr>
      <w:r w:rsidRPr="005F5709">
        <w:rPr>
          <w:rFonts w:asciiTheme="minorHAnsi" w:hAnsiTheme="minorHAnsi" w:cstheme="minorHAnsi"/>
        </w:rPr>
        <w:t>Employer time cost is assumed to be $73.05 an hour, while an apprentice is assumed to be $32.00 per hour.</w:t>
      </w:r>
    </w:p>
    <w:p w14:paraId="6AE0C091" w14:textId="77777777" w:rsidR="00BD1D88" w:rsidRPr="005F5709" w:rsidRDefault="00BD1D88" w:rsidP="0006306B">
      <w:pPr>
        <w:rPr>
          <w:rFonts w:asciiTheme="minorHAnsi" w:hAnsiTheme="minorHAnsi" w:cstheme="minorHAnsi"/>
        </w:rPr>
      </w:pPr>
      <w:r w:rsidRPr="005F5709">
        <w:rPr>
          <w:rFonts w:asciiTheme="minorHAnsi" w:hAnsiTheme="minorHAnsi" w:cstheme="minorHAnsi"/>
        </w:rPr>
        <w:t xml:space="preserve">Under Option 2, it is expected that around 77,500 apprentices will attract an employer and apprentice incentive. For employers, claims are expected to be simpler than the current system (10 minutes of effort saved) while this would be a new claim for apprentices and therefore require an additional 40 minutes of effort. Around 47,500 apprentices are estimated to no longer attract an incentive for their employer (non-priority occupations) which would reduce effort cost by 20 minutes for each employer.  </w:t>
      </w:r>
    </w:p>
    <w:p w14:paraId="4B487CFA" w14:textId="77777777" w:rsidR="00BD1D88" w:rsidRPr="005F5709" w:rsidRDefault="00BD1D88" w:rsidP="0006306B">
      <w:pPr>
        <w:rPr>
          <w:rFonts w:asciiTheme="minorHAnsi" w:hAnsiTheme="minorHAnsi" w:cstheme="minorHAnsi"/>
        </w:rPr>
      </w:pPr>
      <w:r w:rsidRPr="005F5709">
        <w:rPr>
          <w:rFonts w:asciiTheme="minorHAnsi" w:hAnsiTheme="minorHAnsi" w:cstheme="minorHAnsi"/>
        </w:rPr>
        <w:t>Administrative cost savings are expected for employers of around 30,500 individuals who no longer engage their non-priority employee as an apprentice or trainee. It is expected this would reduce time effort by 120 minutes per individual.</w:t>
      </w:r>
    </w:p>
    <w:p w14:paraId="36EF57DD" w14:textId="77777777" w:rsidR="00BD1D88" w:rsidRPr="005F5709" w:rsidRDefault="00BD1D88" w:rsidP="0006306B">
      <w:pPr>
        <w:rPr>
          <w:rFonts w:asciiTheme="minorHAnsi" w:hAnsiTheme="minorHAnsi" w:cstheme="minorHAnsi"/>
        </w:rPr>
      </w:pPr>
      <w:r w:rsidRPr="005F5709">
        <w:rPr>
          <w:rFonts w:asciiTheme="minorHAnsi" w:hAnsiTheme="minorHAnsi" w:cstheme="minorHAnsi"/>
        </w:rPr>
        <w:t>Based on program data it is expected that around 62,000 employers will need on average 60 minutes to familiarise themselves with the changed incentive system.</w:t>
      </w:r>
    </w:p>
    <w:p w14:paraId="170A9959" w14:textId="77777777" w:rsidR="00BD1D88" w:rsidRPr="005F5709" w:rsidRDefault="00BD1D88" w:rsidP="00E01A34">
      <w:pPr>
        <w:rPr>
          <w:rFonts w:asciiTheme="minorHAnsi" w:hAnsiTheme="minorHAnsi" w:cstheme="minorHAnsi"/>
          <w:b/>
          <w:bCs/>
        </w:rPr>
      </w:pPr>
      <w:r w:rsidRPr="005F5709">
        <w:rPr>
          <w:rFonts w:asciiTheme="minorHAnsi" w:hAnsiTheme="minorHAnsi" w:cstheme="minorHAnsi"/>
          <w:b/>
          <w:bCs/>
        </w:rPr>
        <w:t>Table 6: Regulatory costs of Option 2</w:t>
      </w:r>
    </w:p>
    <w:tbl>
      <w:tblPr>
        <w:tblW w:w="0" w:type="auto"/>
        <w:tblInd w:w="108" w:type="dxa"/>
        <w:tblLook w:val="04A0" w:firstRow="1" w:lastRow="0" w:firstColumn="1" w:lastColumn="0" w:noHBand="0" w:noVBand="1"/>
        <w:tblCaption w:val="Regulatory burden estimate table"/>
        <w:tblDescription w:val="Template for the Regulatory burden estimate table"/>
      </w:tblPr>
      <w:tblGrid>
        <w:gridCol w:w="1735"/>
        <w:gridCol w:w="1730"/>
        <w:gridCol w:w="1749"/>
        <w:gridCol w:w="1738"/>
        <w:gridCol w:w="1724"/>
      </w:tblGrid>
      <w:tr w:rsidR="00BD1D88" w:rsidRPr="005F5709" w14:paraId="617505EC" w14:textId="77777777" w:rsidTr="00956821">
        <w:trPr>
          <w:trHeight w:val="300"/>
          <w:tblHeader/>
        </w:trPr>
        <w:tc>
          <w:tcPr>
            <w:tcW w:w="8676" w:type="dxa"/>
            <w:gridSpan w:val="5"/>
            <w:tcBorders>
              <w:top w:val="single" w:sz="8" w:space="0" w:color="ED7D31"/>
              <w:left w:val="single" w:sz="8" w:space="0" w:color="ED7D31"/>
              <w:bottom w:val="single" w:sz="8" w:space="0" w:color="ED7D31"/>
              <w:right w:val="single" w:sz="8" w:space="0" w:color="ED7D31"/>
            </w:tcBorders>
            <w:shd w:val="clear" w:color="auto" w:fill="385623" w:themeFill="accent6" w:themeFillShade="80"/>
            <w:hideMark/>
          </w:tcPr>
          <w:p w14:paraId="0CA99991" w14:textId="77777777" w:rsidR="00BD1D88" w:rsidRPr="005F5709" w:rsidRDefault="00BD1D88" w:rsidP="001F4E9B">
            <w:pPr>
              <w:spacing w:before="120" w:after="120"/>
              <w:rPr>
                <w:rFonts w:asciiTheme="minorHAnsi" w:hAnsiTheme="minorHAnsi" w:cstheme="minorHAnsi"/>
                <w:b/>
                <w:bCs/>
                <w:color w:val="FFFFFF" w:themeColor="background1"/>
                <w:sz w:val="20"/>
                <w:szCs w:val="20"/>
              </w:rPr>
            </w:pPr>
            <w:r w:rsidRPr="005F5709">
              <w:rPr>
                <w:rFonts w:asciiTheme="minorHAnsi" w:hAnsiTheme="minorHAnsi" w:cstheme="minorHAnsi"/>
                <w:b/>
                <w:bCs/>
                <w:color w:val="FFFFFF" w:themeColor="background1"/>
                <w:sz w:val="20"/>
                <w:szCs w:val="20"/>
              </w:rPr>
              <w:t>Average annual regulatory costs (baseline option)</w:t>
            </w:r>
          </w:p>
        </w:tc>
      </w:tr>
      <w:tr w:rsidR="00BD1D88" w:rsidRPr="005F5709" w14:paraId="4412CCC5" w14:textId="77777777" w:rsidTr="00956821">
        <w:trPr>
          <w:trHeight w:val="300"/>
          <w:tblHeader/>
        </w:trPr>
        <w:tc>
          <w:tcPr>
            <w:tcW w:w="1735" w:type="dxa"/>
            <w:tcBorders>
              <w:top w:val="nil"/>
              <w:left w:val="single" w:sz="8" w:space="0" w:color="ED7D31"/>
              <w:bottom w:val="single" w:sz="8" w:space="0" w:color="ED7D31"/>
              <w:right w:val="single" w:sz="8" w:space="0" w:color="ED7D31"/>
            </w:tcBorders>
            <w:hideMark/>
          </w:tcPr>
          <w:p w14:paraId="61711C0E" w14:textId="77777777" w:rsidR="00BD1D88" w:rsidRPr="005F5709" w:rsidRDefault="00BD1D88" w:rsidP="001F4E9B">
            <w:pPr>
              <w:pStyle w:val="TableText1"/>
              <w:spacing w:line="256" w:lineRule="auto"/>
              <w:rPr>
                <w:rFonts w:asciiTheme="minorHAnsi" w:hAnsiTheme="minorHAnsi" w:cstheme="minorHAnsi"/>
                <w:b/>
                <w:bCs/>
              </w:rPr>
            </w:pPr>
            <w:r w:rsidRPr="005F5709">
              <w:rPr>
                <w:rFonts w:asciiTheme="minorHAnsi" w:hAnsiTheme="minorHAnsi" w:cstheme="minorHAnsi"/>
              </w:rPr>
              <w:t>Change in costs ($ million)</w:t>
            </w:r>
          </w:p>
        </w:tc>
        <w:tc>
          <w:tcPr>
            <w:tcW w:w="1730" w:type="dxa"/>
            <w:tcBorders>
              <w:top w:val="nil"/>
              <w:left w:val="nil"/>
              <w:bottom w:val="single" w:sz="8" w:space="0" w:color="ED7D31"/>
              <w:right w:val="single" w:sz="8" w:space="0" w:color="ED7D31"/>
            </w:tcBorders>
            <w:hideMark/>
          </w:tcPr>
          <w:p w14:paraId="4B4E1F73" w14:textId="77777777" w:rsidR="00BD1D88" w:rsidRPr="005F5709" w:rsidRDefault="00BD1D88" w:rsidP="001F4E9B">
            <w:pPr>
              <w:pStyle w:val="TableText1"/>
              <w:spacing w:line="256" w:lineRule="auto"/>
              <w:rPr>
                <w:rFonts w:asciiTheme="minorHAnsi" w:hAnsiTheme="minorHAnsi" w:cstheme="minorHAnsi"/>
              </w:rPr>
            </w:pPr>
            <w:r w:rsidRPr="005F5709">
              <w:rPr>
                <w:rFonts w:asciiTheme="minorHAnsi" w:hAnsiTheme="minorHAnsi" w:cstheme="minorHAnsi"/>
              </w:rPr>
              <w:t>Business</w:t>
            </w:r>
          </w:p>
        </w:tc>
        <w:tc>
          <w:tcPr>
            <w:tcW w:w="1749" w:type="dxa"/>
            <w:tcBorders>
              <w:top w:val="nil"/>
              <w:left w:val="nil"/>
              <w:bottom w:val="single" w:sz="8" w:space="0" w:color="ED7D31"/>
              <w:right w:val="single" w:sz="8" w:space="0" w:color="ED7D31"/>
            </w:tcBorders>
            <w:hideMark/>
          </w:tcPr>
          <w:p w14:paraId="0F195ADE"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rPr>
              <w:t>Community organisations</w:t>
            </w:r>
          </w:p>
        </w:tc>
        <w:tc>
          <w:tcPr>
            <w:tcW w:w="1738" w:type="dxa"/>
            <w:tcBorders>
              <w:top w:val="nil"/>
              <w:left w:val="nil"/>
              <w:bottom w:val="single" w:sz="8" w:space="0" w:color="ED7D31"/>
              <w:right w:val="single" w:sz="8" w:space="0" w:color="ED7D31"/>
            </w:tcBorders>
            <w:hideMark/>
          </w:tcPr>
          <w:p w14:paraId="5ABFB330"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rPr>
              <w:t>Individuals</w:t>
            </w:r>
          </w:p>
        </w:tc>
        <w:tc>
          <w:tcPr>
            <w:tcW w:w="1724" w:type="dxa"/>
            <w:tcBorders>
              <w:top w:val="nil"/>
              <w:left w:val="nil"/>
              <w:bottom w:val="single" w:sz="8" w:space="0" w:color="ED7D31"/>
              <w:right w:val="single" w:sz="8" w:space="0" w:color="ED7D31"/>
            </w:tcBorders>
            <w:hideMark/>
          </w:tcPr>
          <w:p w14:paraId="074A2FA7"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rPr>
              <w:t>Total change in costs</w:t>
            </w:r>
          </w:p>
        </w:tc>
      </w:tr>
      <w:tr w:rsidR="00BD1D88" w:rsidRPr="005F5709" w14:paraId="41286016" w14:textId="77777777" w:rsidTr="001F4E9B">
        <w:trPr>
          <w:trHeight w:val="300"/>
        </w:trPr>
        <w:tc>
          <w:tcPr>
            <w:tcW w:w="1735" w:type="dxa"/>
            <w:tcBorders>
              <w:top w:val="nil"/>
              <w:left w:val="single" w:sz="8" w:space="0" w:color="ED7D31"/>
              <w:bottom w:val="single" w:sz="8" w:space="0" w:color="ED7D31"/>
              <w:right w:val="single" w:sz="8" w:space="0" w:color="ED7D31"/>
            </w:tcBorders>
            <w:hideMark/>
          </w:tcPr>
          <w:p w14:paraId="204676C3"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lang w:eastAsia="en-AU"/>
              </w:rPr>
              <w:t>Total, by sector </w:t>
            </w:r>
          </w:p>
        </w:tc>
        <w:tc>
          <w:tcPr>
            <w:tcW w:w="1730" w:type="dxa"/>
            <w:tcBorders>
              <w:top w:val="nil"/>
              <w:left w:val="nil"/>
              <w:bottom w:val="single" w:sz="8" w:space="0" w:color="ED7D31"/>
              <w:right w:val="single" w:sz="8" w:space="0" w:color="ED7D31"/>
            </w:tcBorders>
            <w:hideMark/>
          </w:tcPr>
          <w:p w14:paraId="4A46DE79"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lang w:eastAsia="en-AU"/>
              </w:rPr>
              <w:t>-5.215</w:t>
            </w:r>
          </w:p>
        </w:tc>
        <w:tc>
          <w:tcPr>
            <w:tcW w:w="1749" w:type="dxa"/>
            <w:tcBorders>
              <w:top w:val="nil"/>
              <w:left w:val="nil"/>
              <w:bottom w:val="single" w:sz="8" w:space="0" w:color="ED7D31"/>
              <w:right w:val="single" w:sz="8" w:space="0" w:color="ED7D31"/>
            </w:tcBorders>
            <w:hideMark/>
          </w:tcPr>
          <w:p w14:paraId="1BD19450"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lang w:eastAsia="en-AU"/>
              </w:rPr>
              <w:t>N/A </w:t>
            </w:r>
          </w:p>
        </w:tc>
        <w:tc>
          <w:tcPr>
            <w:tcW w:w="1738" w:type="dxa"/>
            <w:tcBorders>
              <w:top w:val="nil"/>
              <w:left w:val="nil"/>
              <w:bottom w:val="single" w:sz="8" w:space="0" w:color="ED7D31"/>
              <w:right w:val="single" w:sz="8" w:space="0" w:color="ED7D31"/>
            </w:tcBorders>
            <w:hideMark/>
          </w:tcPr>
          <w:p w14:paraId="5233780F"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lang w:eastAsia="en-AU"/>
              </w:rPr>
              <w:t>1.573</w:t>
            </w:r>
          </w:p>
        </w:tc>
        <w:tc>
          <w:tcPr>
            <w:tcW w:w="1724" w:type="dxa"/>
            <w:tcBorders>
              <w:top w:val="nil"/>
              <w:left w:val="nil"/>
              <w:bottom w:val="single" w:sz="8" w:space="0" w:color="ED7D31"/>
              <w:right w:val="single" w:sz="8" w:space="0" w:color="ED7D31"/>
            </w:tcBorders>
            <w:hideMark/>
          </w:tcPr>
          <w:p w14:paraId="1B91BDBB"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lang w:eastAsia="en-AU"/>
              </w:rPr>
              <w:t>-3.642</w:t>
            </w:r>
          </w:p>
        </w:tc>
      </w:tr>
    </w:tbl>
    <w:p w14:paraId="44FB0BD3" w14:textId="77777777" w:rsidR="00BD1D88" w:rsidRPr="005F5709" w:rsidRDefault="00BD1D88">
      <w:pPr>
        <w:rPr>
          <w:rFonts w:asciiTheme="minorHAnsi" w:eastAsiaTheme="majorEastAsia" w:hAnsiTheme="minorHAnsi" w:cstheme="minorHAnsi"/>
          <w:b/>
          <w:color w:val="70AD47" w:themeColor="accent6"/>
          <w:sz w:val="30"/>
          <w:szCs w:val="26"/>
        </w:rPr>
      </w:pPr>
      <w:r w:rsidRPr="005F5709">
        <w:rPr>
          <w:rFonts w:asciiTheme="minorHAnsi" w:hAnsiTheme="minorHAnsi" w:cstheme="minorHAnsi"/>
        </w:rPr>
        <w:br w:type="page"/>
      </w:r>
    </w:p>
    <w:p w14:paraId="6E0183B4" w14:textId="70AC0D02" w:rsidR="00BD1D88" w:rsidRPr="005F5709" w:rsidRDefault="00BD1D88" w:rsidP="00B855D4">
      <w:pPr>
        <w:pStyle w:val="Heading2"/>
        <w:spacing w:after="240"/>
        <w:rPr>
          <w:color w:val="002060"/>
        </w:rPr>
      </w:pPr>
      <w:bookmarkStart w:id="108" w:name="_Toc113022218"/>
      <w:r w:rsidRPr="005F5709">
        <w:rPr>
          <w:color w:val="002060"/>
        </w:rPr>
        <w:lastRenderedPageBreak/>
        <w:t xml:space="preserve">5.3 Option 3: New incentives model - </w:t>
      </w:r>
      <w:proofErr w:type="gramStart"/>
      <w:r w:rsidRPr="005F5709">
        <w:rPr>
          <w:color w:val="002060"/>
        </w:rPr>
        <w:t>Phased</w:t>
      </w:r>
      <w:bookmarkEnd w:id="108"/>
      <w:proofErr w:type="gramEnd"/>
    </w:p>
    <w:tbl>
      <w:tblPr>
        <w:tblStyle w:val="TableGrid"/>
        <w:tblW w:w="0" w:type="auto"/>
        <w:tblLook w:val="04A0" w:firstRow="1" w:lastRow="0" w:firstColumn="1" w:lastColumn="0" w:noHBand="0" w:noVBand="1"/>
      </w:tblPr>
      <w:tblGrid>
        <w:gridCol w:w="9016"/>
      </w:tblGrid>
      <w:tr w:rsidR="00BD1D88" w:rsidRPr="005F5709" w14:paraId="32B55B9E" w14:textId="77777777" w:rsidTr="00B855D4">
        <w:tc>
          <w:tcPr>
            <w:tcW w:w="9016" w:type="dxa"/>
          </w:tcPr>
          <w:p w14:paraId="4B26795D" w14:textId="77777777" w:rsidR="00BD1D88" w:rsidRPr="005F5709" w:rsidRDefault="00BD1D88" w:rsidP="00B855D4">
            <w:pPr>
              <w:rPr>
                <w:rFonts w:asciiTheme="minorHAnsi" w:hAnsiTheme="minorHAnsi" w:cstheme="minorHAnsi"/>
                <w:b/>
                <w:bCs/>
              </w:rPr>
            </w:pPr>
            <w:r w:rsidRPr="005F5709">
              <w:rPr>
                <w:rFonts w:asciiTheme="minorHAnsi" w:hAnsiTheme="minorHAnsi" w:cstheme="minorHAnsi"/>
                <w:b/>
                <w:bCs/>
              </w:rPr>
              <w:t>Key impacts</w:t>
            </w:r>
          </w:p>
          <w:p w14:paraId="1E0AD10F" w14:textId="77777777" w:rsidR="00BD1D88" w:rsidRPr="005F5709" w:rsidRDefault="00BD1D88" w:rsidP="00B855D4">
            <w:pPr>
              <w:rPr>
                <w:rFonts w:asciiTheme="minorHAnsi" w:hAnsiTheme="minorHAnsi" w:cstheme="minorHAnsi"/>
              </w:rPr>
            </w:pPr>
            <w:r w:rsidRPr="005F5709">
              <w:rPr>
                <w:rFonts w:asciiTheme="minorHAnsi" w:hAnsiTheme="minorHAnsi" w:cstheme="minorHAnsi"/>
              </w:rPr>
              <w:t>This option would:</w:t>
            </w:r>
          </w:p>
          <w:p w14:paraId="2002F1FC"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Enable a higher level of investment in the apprenticeship incentives system during the economic recovery, before reducing to pre-COVID-19 investment levels once post</w:t>
            </w:r>
            <w:r w:rsidRPr="005F5709">
              <w:rPr>
                <w:rFonts w:asciiTheme="minorHAnsi" w:hAnsiTheme="minorHAnsi" w:cstheme="minorHAnsi"/>
              </w:rPr>
              <w:noBreakHyphen/>
              <w:t>pandemic economic conditions stabilise;</w:t>
            </w:r>
          </w:p>
          <w:p w14:paraId="2C0A199A"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Simplify the program and reduce administrative burden;</w:t>
            </w:r>
          </w:p>
          <w:p w14:paraId="1A85069C"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Create a system that is easier to navigate;</w:t>
            </w:r>
          </w:p>
          <w:p w14:paraId="7C5B4418"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Provide</w:t>
            </w:r>
            <w:r w:rsidRPr="005F5709" w:rsidDel="00EC3782">
              <w:rPr>
                <w:rFonts w:asciiTheme="minorHAnsi" w:hAnsiTheme="minorHAnsi" w:cstheme="minorHAnsi"/>
              </w:rPr>
              <w:t xml:space="preserve"> </w:t>
            </w:r>
            <w:r w:rsidRPr="005F5709">
              <w:rPr>
                <w:rFonts w:asciiTheme="minorHAnsi" w:hAnsiTheme="minorHAnsi" w:cstheme="minorHAnsi"/>
              </w:rPr>
              <w:t>financial and non-financial support to all apprentices and employers of apprentices between 1 July 2022 and 30 June 2024;</w:t>
            </w:r>
          </w:p>
          <w:p w14:paraId="54503A1D"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Increase financial support for apprentices in priority occupations; and</w:t>
            </w:r>
          </w:p>
          <w:p w14:paraId="24D24BDE"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Incentivise apprentices to take up in-demand skills.</w:t>
            </w:r>
          </w:p>
        </w:tc>
      </w:tr>
    </w:tbl>
    <w:p w14:paraId="72887950" w14:textId="5B4B443B" w:rsidR="00BD1D88" w:rsidRPr="005F5709" w:rsidRDefault="00BD1D88" w:rsidP="008D6DEA">
      <w:pPr>
        <w:pStyle w:val="Heading3"/>
      </w:pPr>
      <w:bookmarkStart w:id="109" w:name="_Toc113022219"/>
      <w:r w:rsidRPr="005F5709">
        <w:t>Who would this option impact?</w:t>
      </w:r>
      <w:bookmarkEnd w:id="109"/>
    </w:p>
    <w:p w14:paraId="78A2E5C0"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t>Those directly impacted by this option include:</w:t>
      </w:r>
    </w:p>
    <w:p w14:paraId="1C54E1FA"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Individuals considering taking up an Australian Apprenticeship (approximately 151,000 apprentices commenced in 2019 prior to the introduction of BAC);</w:t>
      </w:r>
    </w:p>
    <w:p w14:paraId="7F6DE498"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Employers and prospective employers of Australian Apprentices; and</w:t>
      </w:r>
    </w:p>
    <w:p w14:paraId="35E7A4F0"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The seven AASN providers who are required to deliver, navigate, understand and advise on incentives.</w:t>
      </w:r>
    </w:p>
    <w:p w14:paraId="12AF5FA3" w14:textId="0E64CA75" w:rsidR="00BD1D88" w:rsidRPr="005F5709" w:rsidRDefault="00BD1D88" w:rsidP="008D6DEA">
      <w:pPr>
        <w:pStyle w:val="Heading3"/>
      </w:pPr>
      <w:bookmarkStart w:id="110" w:name="_Toc113022220"/>
      <w:r w:rsidRPr="005F5709">
        <w:t>Overall impact – how does it address the problem?</w:t>
      </w:r>
      <w:bookmarkEnd w:id="110"/>
    </w:p>
    <w:p w14:paraId="6CF49886" w14:textId="77777777" w:rsidR="00BD1D88" w:rsidRPr="005F5709" w:rsidRDefault="00BD1D88" w:rsidP="007B53EA">
      <w:pPr>
        <w:rPr>
          <w:rFonts w:asciiTheme="minorHAnsi" w:hAnsiTheme="minorHAnsi" w:cstheme="minorHAnsi"/>
        </w:rPr>
      </w:pPr>
      <w:r w:rsidRPr="005F5709">
        <w:rPr>
          <w:rFonts w:asciiTheme="minorHAnsi" w:hAnsiTheme="minorHAnsi" w:cstheme="minorHAnsi"/>
        </w:rPr>
        <w:t xml:space="preserve">This phased model will address all five problems with current apprenticeship incentives identified in Chapter Two, particularly in the first two years. It will prioritise support towards areas with skill shortages and will provide increased financial support to minimise rising costs. The model will also simplify the apprenticeship incentive system to reduce administrative burden and will maintain non-financial support for apprentices. </w:t>
      </w:r>
    </w:p>
    <w:p w14:paraId="7E8C423D" w14:textId="77777777" w:rsidR="00BD1D88" w:rsidRPr="005F5709" w:rsidRDefault="00BD1D88" w:rsidP="00651F97">
      <w:pPr>
        <w:rPr>
          <w:rFonts w:asciiTheme="minorHAnsi" w:hAnsiTheme="minorHAnsi" w:cstheme="minorHAnsi"/>
        </w:rPr>
      </w:pPr>
      <w:r w:rsidRPr="005F5709">
        <w:rPr>
          <w:rFonts w:asciiTheme="minorHAnsi" w:hAnsiTheme="minorHAnsi" w:cstheme="minorHAnsi"/>
        </w:rPr>
        <w:t xml:space="preserve">This proposal would introduce a new apprenticeships incentive system in two stages to provide a manageable step down in support from the BAC program for 2022-23 and 2023-24, before further reducing to pre-COVID-19 levels from 1 July 2024. </w:t>
      </w:r>
    </w:p>
    <w:p w14:paraId="65D61E36" w14:textId="77777777" w:rsidR="00BD1D88" w:rsidRPr="005F5709" w:rsidRDefault="00BD1D88" w:rsidP="00651F97">
      <w:pPr>
        <w:rPr>
          <w:rFonts w:asciiTheme="minorHAnsi" w:hAnsiTheme="minorHAnsi" w:cstheme="minorHAnsi"/>
        </w:rPr>
      </w:pPr>
      <w:r w:rsidRPr="005F5709">
        <w:rPr>
          <w:rFonts w:asciiTheme="minorHAnsi" w:hAnsiTheme="minorHAnsi" w:cstheme="minorHAnsi"/>
        </w:rPr>
        <w:t>This approach would strengthen the targeting of Australian Government investment to priority occupations, withdrawing funding from non-priority occupations in phases. It would also enable a higher level of investment in the apprenticeship incentives system during the economic recovery, before reducing to a pre-COVID-19 level of investment once post-pandemic economic conditions stabilise.</w:t>
      </w:r>
    </w:p>
    <w:p w14:paraId="6251E7CA" w14:textId="77777777" w:rsidR="00BD1D88" w:rsidRPr="005F5709" w:rsidRDefault="00BD1D88" w:rsidP="00651F97">
      <w:pPr>
        <w:rPr>
          <w:rFonts w:asciiTheme="minorHAnsi" w:hAnsiTheme="minorHAnsi" w:cstheme="minorHAnsi"/>
        </w:rPr>
      </w:pPr>
      <w:r w:rsidRPr="005F5709">
        <w:rPr>
          <w:rFonts w:asciiTheme="minorHAnsi" w:hAnsiTheme="minorHAnsi" w:cstheme="minorHAnsi"/>
        </w:rPr>
        <w:lastRenderedPageBreak/>
        <w:t>This package’s first phase between 1 July 2022 and 30 June 2024 provides support to a broader cohort of apprentices and higher levels of support for priority occupations. The hiring incentive for non</w:t>
      </w:r>
      <w:r w:rsidRPr="005F5709">
        <w:rPr>
          <w:rFonts w:asciiTheme="minorHAnsi" w:hAnsiTheme="minorHAnsi" w:cstheme="minorHAnsi"/>
        </w:rPr>
        <w:noBreakHyphen/>
        <w:t xml:space="preserve">priority occupations, coupled with the wage subsidy for priority occupations, ensures all employers are provided with some level of financial support. </w:t>
      </w:r>
    </w:p>
    <w:p w14:paraId="7B3618FB" w14:textId="77777777" w:rsidR="00BD1D88" w:rsidRPr="005F5709" w:rsidRDefault="00BD1D88" w:rsidP="007B53EA">
      <w:pPr>
        <w:rPr>
          <w:rFonts w:asciiTheme="minorHAnsi" w:hAnsiTheme="minorHAnsi" w:cstheme="minorHAnsi"/>
        </w:rPr>
      </w:pPr>
      <w:r w:rsidRPr="005F5709">
        <w:rPr>
          <w:rFonts w:asciiTheme="minorHAnsi" w:hAnsiTheme="minorHAnsi" w:cstheme="minorHAnsi"/>
        </w:rPr>
        <w:t>This package’s second phase, from 1 July 2024 and following a checkpoint to confirm economic conditions have stabilised, responds to changing economic conditions. It targets incentives towards priority occupations and key industries, which will reduce expenditure and focus on qualifications where there is the greatest need to ensure an appropriate level of investment is targeted to the future workforce.</w:t>
      </w:r>
    </w:p>
    <w:p w14:paraId="656944E6" w14:textId="77777777" w:rsidR="00BD1D88" w:rsidRPr="005F5709" w:rsidRDefault="00BD1D88" w:rsidP="00062BC3">
      <w:pPr>
        <w:rPr>
          <w:rFonts w:asciiTheme="minorHAnsi" w:hAnsiTheme="minorHAnsi" w:cstheme="minorHAnsi"/>
        </w:rPr>
      </w:pPr>
      <w:r w:rsidRPr="005F5709">
        <w:rPr>
          <w:rFonts w:asciiTheme="minorHAnsi" w:eastAsiaTheme="majorEastAsia" w:hAnsiTheme="minorHAnsi" w:cstheme="minorHAnsi"/>
          <w:b/>
          <w:color w:val="5F6369"/>
        </w:rPr>
        <w:t>Addresses - Incentives should be targeted to address skill shortages</w:t>
      </w:r>
      <w:r w:rsidRPr="005F5709">
        <w:rPr>
          <w:rFonts w:asciiTheme="minorHAnsi" w:hAnsiTheme="minorHAnsi" w:cstheme="minorHAnsi"/>
        </w:rPr>
        <w:br/>
        <w:t xml:space="preserve">The ongoing shortage of priority skills in Australia is a key economic problem that apprentices are uniquely suited to fill. Ensuring that apprenticeships fill these shortages is an important element of the vocational pipeline and will ensure Australia has a highly skilled workforce in the future. </w:t>
      </w:r>
    </w:p>
    <w:p w14:paraId="1285252B" w14:textId="77777777" w:rsidR="00BD1D88" w:rsidRPr="005F5709" w:rsidRDefault="00BD1D88" w:rsidP="00062BC3">
      <w:pPr>
        <w:rPr>
          <w:rFonts w:asciiTheme="minorHAnsi" w:hAnsiTheme="minorHAnsi" w:cstheme="minorHAnsi"/>
        </w:rPr>
      </w:pPr>
      <w:r w:rsidRPr="005F5709">
        <w:rPr>
          <w:rFonts w:asciiTheme="minorHAnsi" w:hAnsiTheme="minorHAnsi" w:cstheme="minorHAnsi"/>
        </w:rPr>
        <w:t xml:space="preserve">This option will focus most support </w:t>
      </w:r>
      <w:proofErr w:type="gramStart"/>
      <w:r w:rsidRPr="005F5709">
        <w:rPr>
          <w:rFonts w:asciiTheme="minorHAnsi" w:hAnsiTheme="minorHAnsi" w:cstheme="minorHAnsi"/>
        </w:rPr>
        <w:t>towards</w:t>
      </w:r>
      <w:proofErr w:type="gramEnd"/>
      <w:r w:rsidRPr="005F5709">
        <w:rPr>
          <w:rFonts w:asciiTheme="minorHAnsi" w:hAnsiTheme="minorHAnsi" w:cstheme="minorHAnsi"/>
        </w:rPr>
        <w:t xml:space="preserve"> apprentices training in priority occupations, in both phases one and two. </w:t>
      </w:r>
    </w:p>
    <w:p w14:paraId="18EF8E88" w14:textId="77777777" w:rsidR="00BD1D88" w:rsidRPr="005F5709" w:rsidRDefault="00BD1D88" w:rsidP="00062BC3">
      <w:pPr>
        <w:rPr>
          <w:rFonts w:asciiTheme="minorHAnsi" w:eastAsiaTheme="majorEastAsia" w:hAnsiTheme="minorHAnsi" w:cstheme="minorHAnsi"/>
          <w:b/>
          <w:color w:val="5F6369"/>
        </w:rPr>
      </w:pPr>
      <w:r w:rsidRPr="005F5709">
        <w:rPr>
          <w:rFonts w:asciiTheme="minorHAnsi" w:hAnsiTheme="minorHAnsi" w:cstheme="minorHAnsi"/>
        </w:rPr>
        <w:t>During phase two, there would be no financial support for employers of apprentices in non-priority occupations. Because of this, commencements and completions in non-priority occupations are expected to decline from 1 July 2024. However, this option is projected to increase commencements and completions in priority areas and should incentivise apprentices towards choosing a skill in-demand, supporting the upskilling of the Australian workforce.</w:t>
      </w:r>
    </w:p>
    <w:p w14:paraId="393BBBD1" w14:textId="77777777" w:rsidR="00BD1D88" w:rsidRPr="005F5709" w:rsidRDefault="00BD1D88" w:rsidP="007B53EA">
      <w:pPr>
        <w:rPr>
          <w:rFonts w:asciiTheme="minorHAnsi" w:hAnsiTheme="minorHAnsi" w:cstheme="minorHAnsi"/>
        </w:rPr>
      </w:pPr>
      <w:r w:rsidRPr="005F5709">
        <w:rPr>
          <w:rFonts w:asciiTheme="minorHAnsi" w:eastAsiaTheme="majorEastAsia" w:hAnsiTheme="minorHAnsi" w:cstheme="minorHAnsi"/>
          <w:b/>
          <w:color w:val="5F6369"/>
        </w:rPr>
        <w:t>Addresses - Costs remain high and are increasing</w:t>
      </w:r>
      <w:r w:rsidRPr="005F5709">
        <w:rPr>
          <w:rFonts w:asciiTheme="minorHAnsi" w:hAnsiTheme="minorHAnsi" w:cstheme="minorHAnsi"/>
        </w:rPr>
        <w:br/>
        <w:t xml:space="preserve">Employer incentives under the current system are too modest to encourage employers to take up apprentices and have not matched rising costs of taking on an apprentice, particularly in the first two years of an apprenticeship. COVID-19 levels of support under the BAC and CAC have been successful at meeting these higher costs but were only designed as temporary measures. </w:t>
      </w:r>
    </w:p>
    <w:p w14:paraId="43A1148C" w14:textId="77777777" w:rsidR="00BD1D88" w:rsidRPr="005F5709" w:rsidRDefault="00BD1D88" w:rsidP="007B53EA">
      <w:pPr>
        <w:rPr>
          <w:rFonts w:asciiTheme="minorHAnsi" w:eastAsiaTheme="majorEastAsia" w:hAnsiTheme="minorHAnsi" w:cstheme="minorHAnsi"/>
          <w:b/>
          <w:color w:val="5F6369"/>
        </w:rPr>
      </w:pPr>
      <w:r w:rsidRPr="005F5709">
        <w:rPr>
          <w:rFonts w:asciiTheme="minorHAnsi" w:hAnsiTheme="minorHAnsi" w:cstheme="minorHAnsi"/>
        </w:rPr>
        <w:t>Under this phased model, financial support will be increased for employers in priority occupations compared to pre-COVID-19. The wage subsidy during phase one will subsidise employers during their highest level of financial burden (the first and second years of the apprenticeship), while the higher hiring incentive during phase two will continue to make a financial contribution to the costs of onboarding an apprentice. Employers of apprentices in non</w:t>
      </w:r>
      <w:r w:rsidRPr="005F5709">
        <w:rPr>
          <w:rFonts w:asciiTheme="minorHAnsi" w:hAnsiTheme="minorHAnsi" w:cstheme="minorHAnsi"/>
        </w:rPr>
        <w:noBreakHyphen/>
        <w:t xml:space="preserve">priority occupations will also receive financial support during phase one through a hiring incentive, ensuring that support is maintained during the economic recovery. </w:t>
      </w:r>
    </w:p>
    <w:p w14:paraId="159E0D9D" w14:textId="77777777" w:rsidR="00BD1D88" w:rsidRPr="005F5709" w:rsidRDefault="00BD1D88" w:rsidP="00062BC3">
      <w:pPr>
        <w:rPr>
          <w:rFonts w:asciiTheme="minorHAnsi" w:eastAsiaTheme="majorEastAsia" w:hAnsiTheme="minorHAnsi" w:cstheme="minorHAnsi"/>
          <w:b/>
          <w:color w:val="5F6369"/>
        </w:rPr>
      </w:pPr>
      <w:r w:rsidRPr="005F5709">
        <w:rPr>
          <w:rFonts w:asciiTheme="minorHAnsi" w:eastAsiaTheme="majorEastAsia" w:hAnsiTheme="minorHAnsi" w:cstheme="minorHAnsi"/>
          <w:b/>
          <w:color w:val="5F6369"/>
        </w:rPr>
        <w:t xml:space="preserve">Addresses - Incentives do not focus on the decision maker </w:t>
      </w:r>
      <w:r w:rsidRPr="005F5709">
        <w:rPr>
          <w:rFonts w:asciiTheme="minorHAnsi" w:hAnsiTheme="minorHAnsi" w:cstheme="minorHAnsi"/>
        </w:rPr>
        <w:br/>
        <w:t xml:space="preserve">Research demonstrates that the apprentice, not the employer, is the key decision maker influencing the initial decision to commence an apprenticeship, the occupation in which they choose to study and whether to continue through to completion. Current incentives are generally not targeted to the apprentices and do not provide enough financial support </w:t>
      </w:r>
      <w:r w:rsidRPr="005F5709">
        <w:rPr>
          <w:rFonts w:asciiTheme="minorHAnsi" w:hAnsiTheme="minorHAnsi" w:cstheme="minorHAnsi"/>
        </w:rPr>
        <w:lastRenderedPageBreak/>
        <w:t xml:space="preserve">to encourage retention. Both phases of this model direct financial support to the apprentice in priority occupations to incentivise them to start and continue their apprenticeship through to completion. </w:t>
      </w:r>
    </w:p>
    <w:p w14:paraId="6B7CEFD6" w14:textId="77777777" w:rsidR="00BD1D88" w:rsidRPr="005F5709" w:rsidRDefault="00BD1D88" w:rsidP="00062BC3">
      <w:pPr>
        <w:rPr>
          <w:rFonts w:asciiTheme="minorHAnsi" w:hAnsiTheme="minorHAnsi" w:cstheme="minorHAnsi"/>
        </w:rPr>
      </w:pPr>
      <w:r w:rsidRPr="005F5709">
        <w:rPr>
          <w:rFonts w:asciiTheme="minorHAnsi" w:eastAsiaTheme="majorEastAsia" w:hAnsiTheme="minorHAnsi" w:cstheme="minorHAnsi"/>
          <w:b/>
          <w:color w:val="5F6369"/>
        </w:rPr>
        <w:t>Addresses - Incentives are difficult to navigate and understand</w:t>
      </w:r>
      <w:r w:rsidRPr="005F5709">
        <w:rPr>
          <w:rFonts w:asciiTheme="minorHAnsi" w:hAnsiTheme="minorHAnsi" w:cstheme="minorHAnsi"/>
        </w:rPr>
        <w:br/>
        <w:t>The current apprenticeships incentive system has been criticised for being too complex, with 30 separate payment types available for employers and apprentices. This complexity adds an administrative burden to the system, discouraging employers from wanting to take on an apprentice and making it difficult for apprentices to understand their entitlements.</w:t>
      </w:r>
    </w:p>
    <w:p w14:paraId="3309E09A" w14:textId="77777777" w:rsidR="00BD1D88" w:rsidRPr="005F5709" w:rsidRDefault="00BD1D88" w:rsidP="00062BC3">
      <w:pPr>
        <w:rPr>
          <w:rFonts w:asciiTheme="minorHAnsi" w:hAnsiTheme="minorHAnsi" w:cstheme="minorHAnsi"/>
          <w:highlight w:val="lightGray"/>
        </w:rPr>
      </w:pPr>
      <w:r w:rsidRPr="005F5709">
        <w:rPr>
          <w:rFonts w:asciiTheme="minorHAnsi" w:hAnsiTheme="minorHAnsi" w:cstheme="minorHAnsi"/>
        </w:rPr>
        <w:t xml:space="preserve">Under this phased model, this system would be significantly simplified, with payment types reduced to five, consistent with recommendations made by the Joyce Review. In addition, further administrative changes to the system would help reduce complexity. The phased system would recognise prior and concurrent qualifications, which has been a frequent frustration expressed by stakeholders during the sign-up process. This should minimise the regulatory burden of the system. However, this option is more complex than other options presented in this RIS as it involves changing the incentives structure after two years. </w:t>
      </w:r>
    </w:p>
    <w:p w14:paraId="1CFA312A" w14:textId="77777777" w:rsidR="00BD1D88" w:rsidRPr="005F5709" w:rsidRDefault="00BD1D88" w:rsidP="00062BC3">
      <w:pPr>
        <w:rPr>
          <w:rFonts w:asciiTheme="minorHAnsi" w:hAnsiTheme="minorHAnsi" w:cstheme="minorHAnsi"/>
        </w:rPr>
      </w:pPr>
      <w:r w:rsidRPr="005F5709">
        <w:rPr>
          <w:rFonts w:asciiTheme="minorHAnsi" w:eastAsiaTheme="majorEastAsia" w:hAnsiTheme="minorHAnsi" w:cstheme="minorHAnsi"/>
          <w:b/>
          <w:color w:val="5F6369"/>
        </w:rPr>
        <w:t>Addresses - Non-financial support is needed</w:t>
      </w:r>
      <w:r w:rsidRPr="005F5709">
        <w:rPr>
          <w:rFonts w:asciiTheme="minorHAnsi" w:hAnsiTheme="minorHAnsi" w:cstheme="minorHAnsi"/>
        </w:rPr>
        <w:br/>
        <w:t>This phased model will continue the non-financial support that currently exists under the AAIP, including ITS. In addition, further non-financial support will be introduced for young apprentices, including allocating specific ITS places for youth in priority occupations and introducing further support from their AASN provider through a phone call at three months after commencement.</w:t>
      </w:r>
    </w:p>
    <w:p w14:paraId="453CDB18" w14:textId="77777777" w:rsidR="00BD1D88" w:rsidRPr="005F5709" w:rsidRDefault="00BD1D88" w:rsidP="007B53EA">
      <w:pPr>
        <w:rPr>
          <w:rFonts w:asciiTheme="minorHAnsi" w:eastAsiaTheme="majorEastAsia" w:hAnsiTheme="minorHAnsi" w:cstheme="minorHAnsi"/>
          <w:b/>
          <w:color w:val="5F6369"/>
        </w:rPr>
      </w:pPr>
      <w:r w:rsidRPr="005F5709">
        <w:rPr>
          <w:rFonts w:asciiTheme="minorHAnsi" w:hAnsiTheme="minorHAnsi" w:cstheme="minorHAnsi"/>
        </w:rPr>
        <w:t>Apprentices who have received non-financial support under the AAIP have been more likely to complete their apprenticeship.</w:t>
      </w:r>
      <w:r w:rsidRPr="005F5709">
        <w:rPr>
          <w:rFonts w:asciiTheme="minorHAnsi" w:hAnsiTheme="minorHAnsi" w:cstheme="minorHAnsi"/>
          <w:vertAlign w:val="superscript"/>
        </w:rPr>
        <w:t xml:space="preserve"> </w:t>
      </w:r>
      <w:r w:rsidRPr="005F5709">
        <w:rPr>
          <w:rFonts w:asciiTheme="minorHAnsi" w:hAnsiTheme="minorHAnsi" w:cstheme="minorHAnsi"/>
          <w:vertAlign w:val="superscript"/>
        </w:rPr>
        <w:footnoteReference w:id="59"/>
      </w:r>
    </w:p>
    <w:p w14:paraId="4AAE0275" w14:textId="2731503B" w:rsidR="00BD1D88" w:rsidRPr="005F5709" w:rsidRDefault="00BD1D88" w:rsidP="008D6DEA">
      <w:pPr>
        <w:pStyle w:val="Heading3"/>
      </w:pPr>
      <w:bookmarkStart w:id="111" w:name="_Toc113022221"/>
      <w:r w:rsidRPr="005F5709">
        <w:t>Impacts on apprentices</w:t>
      </w:r>
      <w:bookmarkEnd w:id="111"/>
    </w:p>
    <w:p w14:paraId="10A11B13" w14:textId="77777777" w:rsidR="00BD1D88" w:rsidRPr="005F5709" w:rsidRDefault="00BD1D88" w:rsidP="00E256F4">
      <w:pPr>
        <w:rPr>
          <w:rFonts w:asciiTheme="minorHAnsi" w:hAnsiTheme="minorHAnsi" w:cstheme="minorHAnsi"/>
          <w:i/>
          <w:iCs/>
          <w:u w:val="single"/>
        </w:rPr>
      </w:pPr>
      <w:r w:rsidRPr="005F5709">
        <w:rPr>
          <w:rFonts w:asciiTheme="minorHAnsi" w:hAnsiTheme="minorHAnsi" w:cstheme="minorHAnsi"/>
        </w:rPr>
        <w:t xml:space="preserve">The estimated impact on commencements and completions due to the changed incentives under this option, including specific cohorts such as women, are detailed in the </w:t>
      </w:r>
      <w:r w:rsidRPr="005F5709">
        <w:rPr>
          <w:rFonts w:asciiTheme="minorHAnsi" w:hAnsiTheme="minorHAnsi" w:cstheme="minorHAnsi"/>
          <w:i/>
          <w:iCs/>
        </w:rPr>
        <w:t>Impact on Commencements and Completions</w:t>
      </w:r>
      <w:r w:rsidRPr="005F5709">
        <w:rPr>
          <w:rFonts w:asciiTheme="minorHAnsi" w:hAnsiTheme="minorHAnsi" w:cstheme="minorHAnsi"/>
        </w:rPr>
        <w:t xml:space="preserve"> section.</w:t>
      </w:r>
    </w:p>
    <w:p w14:paraId="0F984FD8" w14:textId="77777777" w:rsidR="00BD1D88" w:rsidRPr="005F5709" w:rsidRDefault="00BD1D88" w:rsidP="00831607">
      <w:pPr>
        <w:pStyle w:val="Heading5"/>
        <w:rPr>
          <w:rFonts w:asciiTheme="minorHAnsi" w:hAnsiTheme="minorHAnsi" w:cstheme="minorHAnsi"/>
        </w:rPr>
      </w:pPr>
      <w:r w:rsidRPr="005F5709">
        <w:rPr>
          <w:rFonts w:asciiTheme="minorHAnsi" w:hAnsiTheme="minorHAnsi" w:cstheme="minorHAnsi"/>
        </w:rPr>
        <w:t>Financial support for priority occupations</w:t>
      </w:r>
    </w:p>
    <w:p w14:paraId="613BBDD3" w14:textId="77777777" w:rsidR="00BD1D88" w:rsidRPr="005F5709" w:rsidRDefault="00BD1D88" w:rsidP="00831607">
      <w:pPr>
        <w:rPr>
          <w:rFonts w:asciiTheme="minorHAnsi" w:hAnsiTheme="minorHAnsi" w:cstheme="minorHAnsi"/>
        </w:rPr>
      </w:pPr>
      <w:r w:rsidRPr="005F5709">
        <w:rPr>
          <w:rFonts w:asciiTheme="minorHAnsi" w:hAnsiTheme="minorHAnsi" w:cstheme="minorHAnsi"/>
        </w:rPr>
        <w:t xml:space="preserve">Apprentices training in priority occupations will receive direct financial support under the phased option. </w:t>
      </w:r>
    </w:p>
    <w:p w14:paraId="4BEE35DF" w14:textId="77777777" w:rsidR="00BD1D88" w:rsidRPr="005F5709" w:rsidRDefault="00BD1D88" w:rsidP="00831607">
      <w:pPr>
        <w:pStyle w:val="Heading5"/>
        <w:rPr>
          <w:rFonts w:asciiTheme="minorHAnsi" w:hAnsiTheme="minorHAnsi" w:cstheme="minorHAnsi"/>
        </w:rPr>
      </w:pPr>
      <w:r w:rsidRPr="005F5709">
        <w:rPr>
          <w:rFonts w:asciiTheme="minorHAnsi" w:hAnsiTheme="minorHAnsi" w:cstheme="minorHAnsi"/>
        </w:rPr>
        <w:t xml:space="preserve">Continued non-financial </w:t>
      </w:r>
      <w:proofErr w:type="gramStart"/>
      <w:r w:rsidRPr="005F5709">
        <w:rPr>
          <w:rFonts w:asciiTheme="minorHAnsi" w:hAnsiTheme="minorHAnsi" w:cstheme="minorHAnsi"/>
        </w:rPr>
        <w:t>support</w:t>
      </w:r>
      <w:proofErr w:type="gramEnd"/>
    </w:p>
    <w:p w14:paraId="0C958D46" w14:textId="77777777" w:rsidR="00BD1D88" w:rsidRPr="005F5709" w:rsidRDefault="00BD1D88" w:rsidP="00831607">
      <w:pPr>
        <w:rPr>
          <w:rFonts w:asciiTheme="minorHAnsi" w:hAnsiTheme="minorHAnsi" w:cstheme="minorHAnsi"/>
        </w:rPr>
      </w:pPr>
      <w:r w:rsidRPr="005F5709">
        <w:rPr>
          <w:rFonts w:asciiTheme="minorHAnsi" w:hAnsiTheme="minorHAnsi" w:cstheme="minorHAnsi"/>
        </w:rPr>
        <w:t xml:space="preserve">Both priority and non-priority apprentices will receive non-financial support focused on addressing barriers to completion under this model, which will be retained from the AAIP. </w:t>
      </w:r>
    </w:p>
    <w:p w14:paraId="60596110" w14:textId="77777777" w:rsidR="00BD1D88" w:rsidRPr="005F5709" w:rsidRDefault="00BD1D88" w:rsidP="008D6DEA">
      <w:pPr>
        <w:pStyle w:val="Heading5"/>
        <w:rPr>
          <w:rFonts w:asciiTheme="minorHAnsi" w:hAnsiTheme="minorHAnsi" w:cstheme="minorHAnsi"/>
        </w:rPr>
      </w:pPr>
      <w:r w:rsidRPr="005F5709">
        <w:rPr>
          <w:rFonts w:asciiTheme="minorHAnsi" w:hAnsiTheme="minorHAnsi" w:cstheme="minorHAnsi"/>
        </w:rPr>
        <w:lastRenderedPageBreak/>
        <w:t xml:space="preserve">Less complexity in the system </w:t>
      </w:r>
    </w:p>
    <w:p w14:paraId="5FED8A36"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t xml:space="preserve">The reduction in the number of payment options as well as changes to eligibility requirements for </w:t>
      </w:r>
      <w:r w:rsidRPr="005F5709">
        <w:rPr>
          <w:rFonts w:asciiTheme="minorHAnsi" w:hAnsiTheme="minorHAnsi" w:cstheme="minorHAnsi"/>
          <w:iCs/>
        </w:rPr>
        <w:t>recognition of prior and concurrent qualifications</w:t>
      </w:r>
      <w:r w:rsidRPr="005F5709">
        <w:rPr>
          <w:rFonts w:asciiTheme="minorHAnsi" w:hAnsiTheme="minorHAnsi" w:cstheme="minorHAnsi"/>
          <w:i/>
        </w:rPr>
        <w:t xml:space="preserve"> </w:t>
      </w:r>
      <w:r w:rsidRPr="005F5709">
        <w:rPr>
          <w:rFonts w:asciiTheme="minorHAnsi" w:hAnsiTheme="minorHAnsi" w:cstheme="minorHAnsi"/>
        </w:rPr>
        <w:t xml:space="preserve">will make the system easier for apprentices to navigate. </w:t>
      </w:r>
    </w:p>
    <w:p w14:paraId="36DC2CEF" w14:textId="77777777" w:rsidR="00BD1D88" w:rsidRPr="005F5709" w:rsidRDefault="00BD1D88" w:rsidP="001D40E2">
      <w:pPr>
        <w:pStyle w:val="Heading5"/>
        <w:rPr>
          <w:rFonts w:asciiTheme="minorHAnsi" w:hAnsiTheme="minorHAnsi" w:cstheme="minorHAnsi"/>
        </w:rPr>
      </w:pPr>
      <w:r w:rsidRPr="005F5709">
        <w:rPr>
          <w:rFonts w:asciiTheme="minorHAnsi" w:hAnsiTheme="minorHAnsi" w:cstheme="minorHAnsi"/>
        </w:rPr>
        <w:t>Non-priority occupations</w:t>
      </w:r>
    </w:p>
    <w:p w14:paraId="37B49535"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t xml:space="preserve">Under all options, apprentices in non-priority occupations will not attract any incentives. Employers of apprentices in priority occupations receiving funding are also likely to impact the number of commencements in non-priority occupations. Employers of non-priority apprentices will continue to be supported </w:t>
      </w:r>
      <w:r w:rsidRPr="005F5709">
        <w:rPr>
          <w:rStyle w:val="normaltextrun"/>
          <w:rFonts w:asciiTheme="minorHAnsi" w:hAnsiTheme="minorHAnsi" w:cstheme="minorHAnsi"/>
        </w:rPr>
        <w:t xml:space="preserve">for the first two years (between 1 July 2022 and 30 June 2024), encouraging employers across the labour market to appropriately train and educate their workforce, providing greater workforce mobility for the future. </w:t>
      </w:r>
    </w:p>
    <w:p w14:paraId="25CCD791" w14:textId="77777777" w:rsidR="00BD1D88" w:rsidRPr="005F5709" w:rsidRDefault="00BD1D88" w:rsidP="008D6DEA">
      <w:pPr>
        <w:rPr>
          <w:rFonts w:asciiTheme="minorHAnsi" w:eastAsiaTheme="majorEastAsia" w:hAnsiTheme="minorHAnsi" w:cstheme="minorHAnsi"/>
          <w:color w:val="5F6369"/>
          <w:sz w:val="26"/>
          <w:szCs w:val="26"/>
        </w:rPr>
      </w:pPr>
      <w:r w:rsidRPr="005F5709">
        <w:rPr>
          <w:rFonts w:asciiTheme="minorHAnsi" w:eastAsiaTheme="majorEastAsia" w:hAnsiTheme="minorHAnsi" w:cstheme="minorHAnsi"/>
          <w:color w:val="5F6369"/>
          <w:sz w:val="26"/>
          <w:szCs w:val="26"/>
        </w:rPr>
        <w:t>Impact on specific cohorts</w:t>
      </w:r>
    </w:p>
    <w:p w14:paraId="3E7689D4" w14:textId="77777777" w:rsidR="00BD1D88" w:rsidRPr="005F5709" w:rsidRDefault="00BD1D88" w:rsidP="00C35255">
      <w:pPr>
        <w:rPr>
          <w:rFonts w:asciiTheme="minorHAnsi" w:hAnsiTheme="minorHAnsi" w:cstheme="minorHAnsi"/>
        </w:rPr>
      </w:pPr>
      <w:r w:rsidRPr="005F5709">
        <w:rPr>
          <w:rFonts w:asciiTheme="minorHAnsi" w:eastAsiaTheme="majorEastAsia" w:hAnsiTheme="minorHAnsi" w:cstheme="minorHAnsi"/>
          <w:b/>
          <w:color w:val="5F6369"/>
        </w:rPr>
        <w:t>Younger Australians (under 20)</w:t>
      </w:r>
      <w:r w:rsidRPr="005F5709">
        <w:rPr>
          <w:rFonts w:asciiTheme="minorHAnsi" w:eastAsiaTheme="majorEastAsia" w:hAnsiTheme="minorHAnsi" w:cstheme="minorHAnsi"/>
          <w:color w:val="000000" w:themeColor="text1"/>
        </w:rPr>
        <w:br/>
        <w:t xml:space="preserve">Younger Australians were particularly affected by COVID-19 experiencing a higher proportion of unemployment. </w:t>
      </w:r>
      <w:r w:rsidRPr="005F5709">
        <w:rPr>
          <w:rFonts w:asciiTheme="minorHAnsi" w:hAnsiTheme="minorHAnsi" w:cstheme="minorHAnsi"/>
        </w:rPr>
        <w:t>The latest ABS data from February 2022 shows the youth unemployment rate is double that of the overall population, at 9.3 per cent compared to 4.0 per cent.</w:t>
      </w:r>
      <w:r w:rsidRPr="005F5709">
        <w:rPr>
          <w:rStyle w:val="FootnoteReference"/>
          <w:rFonts w:asciiTheme="minorHAnsi" w:hAnsiTheme="minorHAnsi" w:cstheme="minorHAnsi"/>
        </w:rPr>
        <w:footnoteReference w:id="60"/>
      </w:r>
    </w:p>
    <w:p w14:paraId="64924DAD" w14:textId="77777777" w:rsidR="00BD1D88" w:rsidRPr="005F5709" w:rsidRDefault="00BD1D88" w:rsidP="007768BE">
      <w:pPr>
        <w:pStyle w:val="paragraph"/>
        <w:spacing w:before="0" w:beforeAutospacing="0" w:after="200" w:afterAutospacing="0" w:line="276" w:lineRule="auto"/>
        <w:textAlignment w:val="baseline"/>
        <w:rPr>
          <w:rFonts w:asciiTheme="minorHAnsi" w:eastAsiaTheme="majorEastAsia" w:hAnsiTheme="minorHAnsi" w:cstheme="minorHAnsi"/>
          <w:color w:val="000000" w:themeColor="text1"/>
          <w:sz w:val="22"/>
          <w:szCs w:val="22"/>
        </w:rPr>
      </w:pPr>
      <w:r w:rsidRPr="005F5709">
        <w:rPr>
          <w:rFonts w:asciiTheme="minorHAnsi" w:eastAsiaTheme="majorEastAsia" w:hAnsiTheme="minorHAnsi" w:cstheme="minorHAnsi"/>
          <w:color w:val="000000" w:themeColor="text1"/>
          <w:sz w:val="22"/>
          <w:szCs w:val="22"/>
        </w:rPr>
        <w:t>Younger Australians are the largest cohort in the AAIP, meaning they have the greatest impact on commencements and completions. The youth support provides increased non-financial support which will help improve the completion rate for this cohort. The youth support will be available during both phases of this option.</w:t>
      </w:r>
    </w:p>
    <w:p w14:paraId="5BBAC082" w14:textId="77777777" w:rsidR="00BD1D88" w:rsidRPr="005F5709" w:rsidRDefault="00BD1D88" w:rsidP="007768BE">
      <w:pPr>
        <w:pStyle w:val="paragraph"/>
        <w:spacing w:before="0" w:beforeAutospacing="0" w:after="200" w:afterAutospacing="0" w:line="276" w:lineRule="auto"/>
        <w:textAlignment w:val="baseline"/>
        <w:rPr>
          <w:rFonts w:asciiTheme="minorHAnsi" w:eastAsiaTheme="majorEastAsia" w:hAnsiTheme="minorHAnsi" w:cstheme="minorHAnsi"/>
          <w:b/>
          <w:bCs/>
          <w:color w:val="000000" w:themeColor="text1"/>
          <w:sz w:val="22"/>
          <w:szCs w:val="22"/>
          <w:u w:val="single"/>
        </w:rPr>
      </w:pPr>
      <w:r w:rsidRPr="005F5709">
        <w:rPr>
          <w:rFonts w:asciiTheme="minorHAnsi" w:eastAsiaTheme="majorEastAsia" w:hAnsiTheme="minorHAnsi" w:cstheme="minorHAnsi"/>
          <w:b/>
          <w:bCs/>
          <w:color w:val="000000" w:themeColor="text1"/>
          <w:sz w:val="22"/>
          <w:szCs w:val="22"/>
          <w:u w:val="single"/>
        </w:rPr>
        <w:t>1 July 2022- 30 June 2024</w:t>
      </w:r>
    </w:p>
    <w:p w14:paraId="26783330" w14:textId="77777777" w:rsidR="00BD1D88" w:rsidRPr="005F5709" w:rsidRDefault="00BD1D88" w:rsidP="00A3776F">
      <w:pPr>
        <w:rPr>
          <w:rFonts w:asciiTheme="minorHAnsi" w:hAnsiTheme="minorHAnsi" w:cstheme="minorHAnsi"/>
        </w:rPr>
      </w:pPr>
      <w:r w:rsidRPr="005F5709">
        <w:rPr>
          <w:rFonts w:asciiTheme="minorHAnsi" w:hAnsiTheme="minorHAnsi" w:cstheme="minorHAnsi"/>
        </w:rPr>
        <w:t>The priority wage subsidy will have a positive impact on commencements for younger Australians. Using NCVER in-training data, 95,640 young apprentices would be eligible for the current Priority List.</w:t>
      </w:r>
      <w:r w:rsidRPr="005F5709">
        <w:rPr>
          <w:rStyle w:val="FootnoteReference"/>
          <w:rFonts w:asciiTheme="minorHAnsi" w:hAnsiTheme="minorHAnsi" w:cstheme="minorHAnsi"/>
        </w:rPr>
        <w:footnoteReference w:id="61"/>
      </w:r>
    </w:p>
    <w:p w14:paraId="6C508ADB" w14:textId="77777777" w:rsidR="00BD1D88" w:rsidRPr="005F5709" w:rsidRDefault="00BD1D88" w:rsidP="002B2F75">
      <w:pPr>
        <w:pStyle w:val="paragraph"/>
        <w:spacing w:before="0" w:beforeAutospacing="0" w:after="200" w:afterAutospacing="0" w:line="276" w:lineRule="auto"/>
        <w:textAlignment w:val="baseline"/>
        <w:rPr>
          <w:rFonts w:asciiTheme="minorHAnsi" w:eastAsiaTheme="majorEastAsia" w:hAnsiTheme="minorHAnsi" w:cstheme="minorHAnsi"/>
          <w:b/>
          <w:bCs/>
          <w:color w:val="000000"/>
          <w:sz w:val="22"/>
          <w:szCs w:val="22"/>
          <w:u w:val="single"/>
        </w:rPr>
      </w:pPr>
      <w:r w:rsidRPr="005F5709">
        <w:rPr>
          <w:rFonts w:asciiTheme="minorHAnsi" w:eastAsiaTheme="majorEastAsia" w:hAnsiTheme="minorHAnsi" w:cstheme="minorHAnsi"/>
          <w:b/>
          <w:bCs/>
          <w:color w:val="000000"/>
          <w:sz w:val="22"/>
          <w:szCs w:val="22"/>
          <w:u w:val="single"/>
        </w:rPr>
        <w:t>From 1 July 2024 onwards</w:t>
      </w:r>
    </w:p>
    <w:p w14:paraId="68EBEC44" w14:textId="77777777" w:rsidR="00BD1D88" w:rsidRPr="005F5709" w:rsidRDefault="00BD1D88" w:rsidP="00E548EE">
      <w:pPr>
        <w:pStyle w:val="CABParagraph"/>
        <w:spacing w:line="276" w:lineRule="auto"/>
        <w:rPr>
          <w:rFonts w:asciiTheme="minorHAnsi" w:eastAsiaTheme="majorEastAsia" w:hAnsiTheme="minorHAnsi" w:cstheme="minorHAnsi"/>
        </w:rPr>
      </w:pPr>
      <w:r w:rsidRPr="005F5709">
        <w:rPr>
          <w:rFonts w:asciiTheme="minorHAnsi" w:eastAsiaTheme="majorEastAsia" w:hAnsiTheme="minorHAnsi" w:cstheme="minorHAnsi"/>
        </w:rPr>
        <w:t>As the economy rebounds from the uncertain and volatile conditions engendered by COVID-19, the level of support for employers of young apprentices will reduce to meet stable economic conditions. As a result, the second phase will result in a reduction in commencements for young apprentices. The rate of completion for this cohort is anticipated to remain elevated during this phase due to the youth support.</w:t>
      </w:r>
    </w:p>
    <w:p w14:paraId="3DD3DE85" w14:textId="77777777" w:rsidR="00BD1D88" w:rsidRPr="005F5709" w:rsidRDefault="00BD1D88" w:rsidP="001F6716">
      <w:pPr>
        <w:spacing w:before="240"/>
        <w:rPr>
          <w:rFonts w:asciiTheme="minorHAnsi" w:eastAsiaTheme="majorEastAsia" w:hAnsiTheme="minorHAnsi" w:cstheme="minorHAnsi"/>
          <w:color w:val="000000" w:themeColor="text1"/>
        </w:rPr>
      </w:pPr>
      <w:r w:rsidRPr="005F5709">
        <w:rPr>
          <w:rFonts w:asciiTheme="minorHAnsi" w:eastAsiaTheme="majorEastAsia" w:hAnsiTheme="minorHAnsi" w:cstheme="minorHAnsi"/>
          <w:b/>
          <w:color w:val="5F6369"/>
        </w:rPr>
        <w:t>Regional and rural Australians</w:t>
      </w:r>
      <w:r w:rsidRPr="005F5709">
        <w:rPr>
          <w:rFonts w:asciiTheme="minorHAnsi" w:eastAsiaTheme="majorEastAsia" w:hAnsiTheme="minorHAnsi" w:cstheme="minorHAnsi"/>
          <w:b/>
          <w:color w:val="5F6369"/>
        </w:rPr>
        <w:br/>
      </w:r>
      <w:r w:rsidRPr="005F5709">
        <w:rPr>
          <w:rFonts w:asciiTheme="minorHAnsi" w:hAnsiTheme="minorHAnsi" w:cstheme="minorHAnsi"/>
        </w:rPr>
        <w:t xml:space="preserve">The take-up of the LAHFA payment is </w:t>
      </w:r>
      <w:r w:rsidRPr="005F5709">
        <w:rPr>
          <w:rFonts w:asciiTheme="minorHAnsi" w:eastAsiaTheme="majorEastAsia" w:hAnsiTheme="minorHAnsi" w:cstheme="minorHAnsi"/>
          <w:color w:val="000000" w:themeColor="text1"/>
        </w:rPr>
        <w:t xml:space="preserve">highest amongst regional and rural apprentices. Retaining this measure, coupled with the Apprentice Support Payment and ITS, will help improve completions for regional and rural Australians. Additionally, the Apprentice Support </w:t>
      </w:r>
      <w:r w:rsidRPr="005F5709">
        <w:rPr>
          <w:rFonts w:asciiTheme="minorHAnsi" w:eastAsiaTheme="majorEastAsia" w:hAnsiTheme="minorHAnsi" w:cstheme="minorHAnsi"/>
          <w:color w:val="000000" w:themeColor="text1"/>
        </w:rPr>
        <w:lastRenderedPageBreak/>
        <w:t xml:space="preserve">Payment will help apprentices in priority occupations address one of the key barriers of increasing costs in the Apprenticeship system. </w:t>
      </w:r>
    </w:p>
    <w:p w14:paraId="040C6ACA" w14:textId="77777777" w:rsidR="00BD1D88" w:rsidRPr="005F5709" w:rsidRDefault="00BD1D88" w:rsidP="00EA3B89">
      <w:pPr>
        <w:pStyle w:val="paragraph"/>
        <w:spacing w:before="0" w:beforeAutospacing="0" w:after="200" w:afterAutospacing="0" w:line="276" w:lineRule="auto"/>
        <w:textAlignment w:val="baseline"/>
        <w:rPr>
          <w:rFonts w:asciiTheme="minorHAnsi" w:eastAsiaTheme="majorEastAsia" w:hAnsiTheme="minorHAnsi" w:cstheme="minorHAnsi"/>
          <w:b/>
          <w:bCs/>
          <w:color w:val="000000" w:themeColor="text1"/>
          <w:sz w:val="22"/>
          <w:szCs w:val="22"/>
          <w:u w:val="single"/>
        </w:rPr>
      </w:pPr>
      <w:r w:rsidRPr="005F5709">
        <w:rPr>
          <w:rFonts w:asciiTheme="minorHAnsi" w:eastAsiaTheme="majorEastAsia" w:hAnsiTheme="minorHAnsi" w:cstheme="minorHAnsi"/>
          <w:b/>
          <w:bCs/>
          <w:color w:val="000000" w:themeColor="text1"/>
          <w:sz w:val="22"/>
          <w:szCs w:val="22"/>
          <w:u w:val="single"/>
        </w:rPr>
        <w:t>1 July 2022- 30 June 2024</w:t>
      </w:r>
    </w:p>
    <w:p w14:paraId="6B696C05" w14:textId="77777777" w:rsidR="00BD1D88" w:rsidRPr="005F5709" w:rsidRDefault="00BD1D88" w:rsidP="00104624">
      <w:pPr>
        <w:pStyle w:val="CABParagraph"/>
        <w:spacing w:line="276" w:lineRule="auto"/>
        <w:rPr>
          <w:rFonts w:asciiTheme="minorHAnsi" w:hAnsiTheme="minorHAnsi" w:cstheme="minorHAnsi"/>
        </w:rPr>
      </w:pPr>
      <w:r w:rsidRPr="005F5709">
        <w:rPr>
          <w:rFonts w:asciiTheme="minorHAnsi" w:eastAsiaTheme="majorEastAsia" w:hAnsiTheme="minorHAnsi" w:cstheme="minorHAnsi"/>
        </w:rPr>
        <w:t xml:space="preserve">During the first phase of support, commencements are anticipated to increase for regional and rural apprentices compared to pre-COVID-19 levels. </w:t>
      </w:r>
    </w:p>
    <w:p w14:paraId="4661F533" w14:textId="77777777" w:rsidR="00BD1D88" w:rsidRPr="005F5709" w:rsidRDefault="00BD1D88" w:rsidP="00104624">
      <w:pPr>
        <w:pStyle w:val="paragraph"/>
        <w:spacing w:before="240" w:beforeAutospacing="0" w:after="200" w:afterAutospacing="0" w:line="276" w:lineRule="auto"/>
        <w:textAlignment w:val="baseline"/>
        <w:rPr>
          <w:rFonts w:asciiTheme="minorHAnsi" w:eastAsiaTheme="majorEastAsia" w:hAnsiTheme="minorHAnsi" w:cstheme="minorHAnsi"/>
          <w:b/>
          <w:bCs/>
          <w:color w:val="000000"/>
          <w:sz w:val="22"/>
          <w:szCs w:val="22"/>
          <w:u w:val="single"/>
        </w:rPr>
      </w:pPr>
      <w:r w:rsidRPr="005F5709">
        <w:rPr>
          <w:rFonts w:asciiTheme="minorHAnsi" w:eastAsiaTheme="majorEastAsia" w:hAnsiTheme="minorHAnsi" w:cstheme="minorHAnsi"/>
          <w:b/>
          <w:bCs/>
          <w:color w:val="000000"/>
          <w:sz w:val="22"/>
          <w:szCs w:val="22"/>
          <w:u w:val="single"/>
        </w:rPr>
        <w:t>From 1 July 2024 onwards</w:t>
      </w:r>
    </w:p>
    <w:p w14:paraId="37088942" w14:textId="77777777" w:rsidR="00BD1D88" w:rsidRPr="005F5709" w:rsidRDefault="00BD1D88" w:rsidP="008D6DEA">
      <w:pPr>
        <w:pStyle w:val="CABParagraph"/>
        <w:spacing w:line="276" w:lineRule="auto"/>
        <w:rPr>
          <w:rFonts w:asciiTheme="minorHAnsi" w:eastAsiaTheme="majorEastAsia" w:hAnsiTheme="minorHAnsi" w:cstheme="minorHAnsi"/>
        </w:rPr>
      </w:pPr>
      <w:r w:rsidRPr="005F5709">
        <w:rPr>
          <w:rFonts w:asciiTheme="minorHAnsi" w:eastAsiaTheme="majorEastAsia" w:hAnsiTheme="minorHAnsi" w:cstheme="minorHAnsi"/>
        </w:rPr>
        <w:t>As the economy stabilises from the uncertain and volatile conditions engendered by COVID-19, the level of support for employers of regional and rural apprentices will reduce to meet stable economic conditions. As a result, the second phase will result in a reduction in regional and rural apprenticeship commencements. However, by directing investment towards skills in demand, this option will encourage more regional apprentices to train in priority occupations.</w:t>
      </w:r>
    </w:p>
    <w:p w14:paraId="5D8679BF" w14:textId="77777777" w:rsidR="00BD1D88" w:rsidRPr="005F5709" w:rsidRDefault="00BD1D88" w:rsidP="008D6DEA">
      <w:pPr>
        <w:pStyle w:val="Heading5"/>
        <w:rPr>
          <w:rFonts w:asciiTheme="minorHAnsi" w:hAnsiTheme="minorHAnsi" w:cstheme="minorHAnsi"/>
        </w:rPr>
      </w:pPr>
      <w:r w:rsidRPr="005F5709">
        <w:rPr>
          <w:rFonts w:asciiTheme="minorHAnsi" w:hAnsiTheme="minorHAnsi" w:cstheme="minorHAnsi"/>
        </w:rPr>
        <w:t>Indigenous Australians</w:t>
      </w:r>
    </w:p>
    <w:p w14:paraId="0AF98D40" w14:textId="77777777" w:rsidR="00BD1D88" w:rsidRPr="005F5709" w:rsidRDefault="00BD1D88" w:rsidP="00FB451A">
      <w:pPr>
        <w:rPr>
          <w:rFonts w:asciiTheme="minorHAnsi" w:hAnsiTheme="minorHAnsi" w:cstheme="minorHAnsi"/>
        </w:rPr>
      </w:pPr>
      <w:r w:rsidRPr="005F5709">
        <w:rPr>
          <w:rFonts w:asciiTheme="minorHAnsi" w:hAnsiTheme="minorHAnsi" w:cstheme="minorHAnsi"/>
        </w:rPr>
        <w:t xml:space="preserve">By continuing support for ITS, Indigenous Australian apprentices will continue to be supported by AASNs through mentoring, career support and referral pathways. In addition, the increase in financial support towards priority apprentices will help Indigenous Australian apprentices studying in demand areas of the economy. </w:t>
      </w:r>
    </w:p>
    <w:p w14:paraId="22AC8334" w14:textId="77777777" w:rsidR="00BD1D88" w:rsidRPr="005F5709" w:rsidRDefault="00BD1D88" w:rsidP="00EA3B89">
      <w:pPr>
        <w:pStyle w:val="paragraph"/>
        <w:spacing w:before="0" w:beforeAutospacing="0" w:after="200" w:afterAutospacing="0" w:line="276" w:lineRule="auto"/>
        <w:textAlignment w:val="baseline"/>
        <w:rPr>
          <w:rFonts w:asciiTheme="minorHAnsi" w:eastAsiaTheme="majorEastAsia" w:hAnsiTheme="minorHAnsi" w:cstheme="minorHAnsi"/>
          <w:b/>
          <w:bCs/>
          <w:color w:val="000000" w:themeColor="text1"/>
          <w:sz w:val="22"/>
          <w:szCs w:val="22"/>
          <w:u w:val="single"/>
        </w:rPr>
      </w:pPr>
      <w:r w:rsidRPr="005F5709">
        <w:rPr>
          <w:rFonts w:asciiTheme="minorHAnsi" w:eastAsiaTheme="majorEastAsia" w:hAnsiTheme="minorHAnsi" w:cstheme="minorHAnsi"/>
          <w:b/>
          <w:bCs/>
          <w:color w:val="000000" w:themeColor="text1"/>
          <w:sz w:val="22"/>
          <w:szCs w:val="22"/>
          <w:u w:val="single"/>
        </w:rPr>
        <w:t>1 July 2022- 30 June 2024</w:t>
      </w:r>
    </w:p>
    <w:p w14:paraId="4F322926" w14:textId="77777777" w:rsidR="00BD1D88" w:rsidRPr="005F5709" w:rsidRDefault="00BD1D88" w:rsidP="005D5655">
      <w:pPr>
        <w:pStyle w:val="CABParagraph"/>
        <w:spacing w:line="276" w:lineRule="auto"/>
        <w:rPr>
          <w:rFonts w:asciiTheme="minorHAnsi" w:eastAsiaTheme="majorEastAsia" w:hAnsiTheme="minorHAnsi" w:cstheme="minorHAnsi"/>
          <w:b/>
          <w:bCs/>
          <w:color w:val="000000"/>
          <w:u w:val="single"/>
        </w:rPr>
      </w:pPr>
      <w:r w:rsidRPr="005F5709">
        <w:rPr>
          <w:rFonts w:asciiTheme="minorHAnsi" w:eastAsiaTheme="majorEastAsia" w:hAnsiTheme="minorHAnsi" w:cstheme="minorHAnsi"/>
        </w:rPr>
        <w:t>During the first phase of support, commencements are anticipated to increase for Indigenous Australians.</w:t>
      </w:r>
    </w:p>
    <w:p w14:paraId="526166AD" w14:textId="77777777" w:rsidR="00BD1D88" w:rsidRPr="005F5709" w:rsidRDefault="00BD1D88" w:rsidP="00104624">
      <w:pPr>
        <w:pStyle w:val="paragraph"/>
        <w:spacing w:before="0" w:beforeAutospacing="0" w:after="0" w:afterAutospacing="0" w:line="276" w:lineRule="auto"/>
        <w:textAlignment w:val="baseline"/>
        <w:rPr>
          <w:rFonts w:asciiTheme="minorHAnsi" w:eastAsiaTheme="majorEastAsia" w:hAnsiTheme="minorHAnsi" w:cstheme="minorHAnsi"/>
          <w:b/>
          <w:bCs/>
          <w:color w:val="000000"/>
          <w:sz w:val="22"/>
          <w:szCs w:val="22"/>
          <w:u w:val="single"/>
        </w:rPr>
      </w:pPr>
    </w:p>
    <w:p w14:paraId="7DACECCF" w14:textId="77777777" w:rsidR="00BD1D88" w:rsidRPr="005F5709" w:rsidRDefault="00BD1D88" w:rsidP="007D5BE1">
      <w:pPr>
        <w:pStyle w:val="paragraph"/>
        <w:spacing w:before="0" w:beforeAutospacing="0" w:after="200" w:afterAutospacing="0" w:line="276" w:lineRule="auto"/>
        <w:textAlignment w:val="baseline"/>
        <w:rPr>
          <w:rFonts w:asciiTheme="minorHAnsi" w:eastAsiaTheme="majorEastAsia" w:hAnsiTheme="minorHAnsi" w:cstheme="minorHAnsi"/>
          <w:b/>
          <w:bCs/>
          <w:color w:val="000000"/>
          <w:sz w:val="22"/>
          <w:szCs w:val="22"/>
          <w:u w:val="single"/>
        </w:rPr>
      </w:pPr>
      <w:r w:rsidRPr="005F5709">
        <w:rPr>
          <w:rFonts w:asciiTheme="minorHAnsi" w:eastAsiaTheme="majorEastAsia" w:hAnsiTheme="minorHAnsi" w:cstheme="minorHAnsi"/>
          <w:b/>
          <w:bCs/>
          <w:color w:val="000000"/>
          <w:sz w:val="22"/>
          <w:szCs w:val="22"/>
          <w:u w:val="single"/>
        </w:rPr>
        <w:t>From 1 July 2024 onwards</w:t>
      </w:r>
    </w:p>
    <w:p w14:paraId="6E05CBF7" w14:textId="77777777" w:rsidR="00BD1D88" w:rsidRPr="005F5709" w:rsidRDefault="00BD1D88" w:rsidP="007D5BE1">
      <w:pPr>
        <w:pStyle w:val="paragraph"/>
        <w:spacing w:before="0" w:beforeAutospacing="0" w:after="200" w:afterAutospacing="0" w:line="276" w:lineRule="auto"/>
        <w:textAlignment w:val="baseline"/>
        <w:rPr>
          <w:rFonts w:asciiTheme="minorHAnsi" w:eastAsiaTheme="majorEastAsia" w:hAnsiTheme="minorHAnsi" w:cstheme="minorHAnsi"/>
          <w:color w:val="000000"/>
          <w:sz w:val="22"/>
          <w:szCs w:val="22"/>
        </w:rPr>
      </w:pPr>
      <w:r w:rsidRPr="005F5709">
        <w:rPr>
          <w:rFonts w:asciiTheme="minorHAnsi" w:eastAsiaTheme="majorEastAsia" w:hAnsiTheme="minorHAnsi" w:cstheme="minorHAnsi"/>
          <w:color w:val="000000"/>
          <w:sz w:val="22"/>
          <w:szCs w:val="22"/>
        </w:rPr>
        <w:t>As support levels for employers drop, commencements are anticipated to drop as the economy recovers from the impacts of COVID-19. In phase two, Indigenous Australian apprentices will be encouraged to train in priority occupations which are more likely to provide secure employment in the future.</w:t>
      </w:r>
    </w:p>
    <w:p w14:paraId="6F6EABDA" w14:textId="5EB22D3A" w:rsidR="00BD1D88" w:rsidRPr="005F5709" w:rsidRDefault="00BD1D88" w:rsidP="008D6DEA">
      <w:pPr>
        <w:pStyle w:val="Heading3"/>
      </w:pPr>
      <w:bookmarkStart w:id="112" w:name="_Toc113022222"/>
      <w:r w:rsidRPr="005F5709">
        <w:t>Impacts on employers</w:t>
      </w:r>
      <w:bookmarkEnd w:id="112"/>
    </w:p>
    <w:p w14:paraId="03C3C468" w14:textId="77777777" w:rsidR="00BD1D88" w:rsidRPr="005F5709" w:rsidRDefault="00BD1D88" w:rsidP="00B140D6">
      <w:pPr>
        <w:spacing w:after="0"/>
        <w:rPr>
          <w:rFonts w:asciiTheme="minorHAnsi" w:eastAsiaTheme="majorEastAsia" w:hAnsiTheme="minorHAnsi" w:cstheme="minorHAnsi"/>
          <w:b/>
          <w:color w:val="5F6369"/>
        </w:rPr>
      </w:pPr>
      <w:r w:rsidRPr="005F5709">
        <w:rPr>
          <w:rFonts w:asciiTheme="minorHAnsi" w:eastAsiaTheme="majorEastAsia" w:hAnsiTheme="minorHAnsi" w:cstheme="minorHAnsi"/>
          <w:b/>
          <w:color w:val="5F6369"/>
        </w:rPr>
        <w:t xml:space="preserve">Employers of apprentices in non-priority occupations will receive support comparable to pre-COVID-19 levels until 1 July 2024. </w:t>
      </w:r>
    </w:p>
    <w:p w14:paraId="08528727" w14:textId="77777777" w:rsidR="00BD1D88" w:rsidRPr="005F5709" w:rsidRDefault="00BD1D88" w:rsidP="00861624">
      <w:pPr>
        <w:rPr>
          <w:rFonts w:asciiTheme="minorHAnsi" w:hAnsiTheme="minorHAnsi" w:cstheme="minorHAnsi"/>
        </w:rPr>
      </w:pPr>
      <w:r w:rsidRPr="005F5709">
        <w:rPr>
          <w:rFonts w:asciiTheme="minorHAnsi" w:hAnsiTheme="minorHAnsi" w:cstheme="minorHAnsi"/>
        </w:rPr>
        <w:t>Under this phased option employers of apprentices in non-priority occupations will receive financial support comparable to the current standard incentive amount available under the AAIP in phase one.</w:t>
      </w:r>
    </w:p>
    <w:p w14:paraId="61178D93" w14:textId="77777777" w:rsidR="00BD1D88" w:rsidRPr="005F5709" w:rsidRDefault="00BD1D88" w:rsidP="00EA1222">
      <w:pPr>
        <w:rPr>
          <w:rFonts w:asciiTheme="minorHAnsi" w:hAnsiTheme="minorHAnsi" w:cstheme="minorHAnsi"/>
        </w:rPr>
      </w:pPr>
      <w:r w:rsidRPr="005F5709">
        <w:rPr>
          <w:rFonts w:asciiTheme="minorHAnsi" w:hAnsiTheme="minorHAnsi" w:cstheme="minorHAnsi"/>
        </w:rPr>
        <w:t xml:space="preserve">Between 1 July 2022 and 30 June 2024 this option continues to provide a base level of support with a hiring incentive of $3,500 paid in two instalments at six and 12 months from commencement to encourage employers to upskill their workforce providing greater labour mobility and broader economic benefits. </w:t>
      </w:r>
    </w:p>
    <w:p w14:paraId="5F9F3943" w14:textId="77777777" w:rsidR="00BD1D88" w:rsidRPr="005F5709" w:rsidRDefault="00BD1D88" w:rsidP="00EA1222">
      <w:pPr>
        <w:rPr>
          <w:rFonts w:asciiTheme="minorHAnsi" w:hAnsiTheme="minorHAnsi" w:cstheme="minorHAnsi"/>
        </w:rPr>
      </w:pPr>
      <w:r w:rsidRPr="005F5709">
        <w:rPr>
          <w:rFonts w:asciiTheme="minorHAnsi" w:hAnsiTheme="minorHAnsi" w:cstheme="minorHAnsi"/>
        </w:rPr>
        <w:t xml:space="preserve">Continuing some support for non-priority occupations for two years encourages employers across the labour market to formerly train and educate their workforce, providing greater workforce mobility for the future. This contributes to broader economic benefits such as </w:t>
      </w:r>
      <w:r w:rsidRPr="005F5709">
        <w:rPr>
          <w:rFonts w:asciiTheme="minorHAnsi" w:hAnsiTheme="minorHAnsi" w:cstheme="minorHAnsi"/>
        </w:rPr>
        <w:lastRenderedPageBreak/>
        <w:t xml:space="preserve">higher wages and better job and career opportunities. It also ensures some support for sectors that have been adversely impacted by COVID-19, for example tourism and hospitality. </w:t>
      </w:r>
    </w:p>
    <w:p w14:paraId="7A6498A7" w14:textId="77777777" w:rsidR="00BD1D88" w:rsidRPr="005F5709" w:rsidRDefault="00BD1D88" w:rsidP="00EA1222">
      <w:pPr>
        <w:rPr>
          <w:rFonts w:asciiTheme="minorHAnsi" w:hAnsiTheme="minorHAnsi" w:cstheme="minorHAnsi"/>
        </w:rPr>
      </w:pPr>
      <w:r w:rsidRPr="005F5709">
        <w:rPr>
          <w:rFonts w:asciiTheme="minorHAnsi" w:hAnsiTheme="minorHAnsi" w:cstheme="minorHAnsi"/>
        </w:rPr>
        <w:t xml:space="preserve">After 1 July 2024, employers of apprentices in non-priority occupations will not be eligible for any government support. This ensures that in the </w:t>
      </w:r>
      <w:proofErr w:type="gramStart"/>
      <w:r w:rsidRPr="005F5709">
        <w:rPr>
          <w:rFonts w:asciiTheme="minorHAnsi" w:hAnsiTheme="minorHAnsi" w:cstheme="minorHAnsi"/>
        </w:rPr>
        <w:t>longer term</w:t>
      </w:r>
      <w:proofErr w:type="gramEnd"/>
      <w:r w:rsidRPr="005F5709">
        <w:rPr>
          <w:rFonts w:asciiTheme="minorHAnsi" w:hAnsiTheme="minorHAnsi" w:cstheme="minorHAnsi"/>
        </w:rPr>
        <w:t xml:space="preserve"> Government support prioritises skills in demand and reduces the financial costs of the system.</w:t>
      </w:r>
    </w:p>
    <w:p w14:paraId="00412C4B" w14:textId="77777777" w:rsidR="00BD1D88" w:rsidRPr="005F5709" w:rsidRDefault="00BD1D88" w:rsidP="008D6DEA">
      <w:pPr>
        <w:rPr>
          <w:rFonts w:asciiTheme="minorHAnsi" w:hAnsiTheme="minorHAnsi" w:cstheme="minorHAnsi"/>
        </w:rPr>
      </w:pPr>
      <w:r w:rsidRPr="005F5709">
        <w:rPr>
          <w:rFonts w:asciiTheme="minorHAnsi" w:eastAsiaTheme="majorEastAsia" w:hAnsiTheme="minorHAnsi" w:cstheme="minorHAnsi"/>
          <w:b/>
          <w:color w:val="5F6369"/>
        </w:rPr>
        <w:t xml:space="preserve">Increase in support for priority occupations </w:t>
      </w:r>
      <w:r w:rsidRPr="005F5709">
        <w:rPr>
          <w:rFonts w:asciiTheme="minorHAnsi" w:hAnsiTheme="minorHAnsi" w:cstheme="minorHAnsi"/>
        </w:rPr>
        <w:br/>
        <w:t xml:space="preserve">Hiring apprentices can be a financial risk for employers, particularly in the early years of the program. To assist with this, the phased program will initially provide a wage subsidy for employers of priority apprentices. This will subsidise 10 per cent of costs for first year apprentices (up to $1,500 per quarter), 10 per cent for second year apprentices (up to $1,500 per quarter), and 5 per cent for third year apprentices (up to $750 per quarter). </w:t>
      </w:r>
    </w:p>
    <w:p w14:paraId="5F4CE2D4"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t xml:space="preserve">During phase two this will reduce to </w:t>
      </w:r>
      <w:proofErr w:type="gramStart"/>
      <w:r w:rsidRPr="005F5709">
        <w:rPr>
          <w:rFonts w:asciiTheme="minorHAnsi" w:hAnsiTheme="minorHAnsi" w:cstheme="minorHAnsi"/>
        </w:rPr>
        <w:t>an</w:t>
      </w:r>
      <w:proofErr w:type="gramEnd"/>
      <w:r w:rsidRPr="005F5709">
        <w:rPr>
          <w:rFonts w:asciiTheme="minorHAnsi" w:hAnsiTheme="minorHAnsi" w:cstheme="minorHAnsi"/>
        </w:rPr>
        <w:t xml:space="preserve"> hiring incentive of $4,000 for taking on an apprentice in a priority occupation.</w:t>
      </w:r>
    </w:p>
    <w:p w14:paraId="23A6D7F4"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t xml:space="preserve">In addition, continued non-financial support through ITS will support apprentices through to completion and ensure issues between employers and apprentices are addressed early. </w:t>
      </w:r>
    </w:p>
    <w:p w14:paraId="52B773F2" w14:textId="59A9BA74" w:rsidR="00BD1D88" w:rsidRPr="005F5709" w:rsidRDefault="00BD1D88" w:rsidP="008D6DEA">
      <w:pPr>
        <w:pStyle w:val="Heading3"/>
      </w:pPr>
      <w:bookmarkStart w:id="113" w:name="_Toc113022223"/>
      <w:r w:rsidRPr="005F5709">
        <w:t>Impacts on AASNs</w:t>
      </w:r>
      <w:bookmarkEnd w:id="113"/>
    </w:p>
    <w:p w14:paraId="62E7EF9E"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t>Just as in Options 1 and 2, AASNs will continue to play a central role in the delivery of the new program. While grandfathering arrangements are in place, AASNs will need to deliver two separate models. The increased workload will be mitigated over time by a winding down of COVID-19 economic response measures, namely the BAC measure.</w:t>
      </w:r>
    </w:p>
    <w:p w14:paraId="76E05F08" w14:textId="26B50592" w:rsidR="00BD1D88" w:rsidRPr="005F5709" w:rsidRDefault="00BD1D88" w:rsidP="00987791">
      <w:pPr>
        <w:pStyle w:val="Heading3"/>
      </w:pPr>
      <w:bookmarkStart w:id="114" w:name="_Toc113022224"/>
      <w:r w:rsidRPr="005F5709">
        <w:t>Impact on commencements and completions</w:t>
      </w:r>
      <w:bookmarkEnd w:id="114"/>
    </w:p>
    <w:p w14:paraId="18AA9F8F" w14:textId="77777777" w:rsidR="00BD1D88" w:rsidRPr="005F5709" w:rsidRDefault="00BD1D88" w:rsidP="00987791">
      <w:pPr>
        <w:rPr>
          <w:rFonts w:asciiTheme="minorHAnsi" w:hAnsiTheme="minorHAnsi" w:cstheme="minorHAnsi"/>
        </w:rPr>
      </w:pPr>
      <w:r w:rsidRPr="005F5709">
        <w:rPr>
          <w:rFonts w:asciiTheme="minorHAnsi" w:hAnsiTheme="minorHAnsi" w:cstheme="minorHAnsi"/>
        </w:rPr>
        <w:t>Implementing Option 3 is expected to result in an increase in annual Australian Apprentice commencements in priority occupations initially by around 11,500 per year (for each of the first two years) and then around 5,500 per year (each year ongoing) compared to pre-COVID-19 levels. The number of apprentices supported in non</w:t>
      </w:r>
      <w:r w:rsidRPr="005F5709">
        <w:rPr>
          <w:rFonts w:asciiTheme="minorHAnsi" w:hAnsiTheme="minorHAnsi" w:cstheme="minorHAnsi"/>
        </w:rPr>
        <w:noBreakHyphen/>
        <w:t>priority occupations is expected to be maintained at pre-COVID-19 levels before reducing as per Option 2 from July 2024. This option is expected to increase the proportion of Australian Apprentices who complete their priority apprenticeship by 7.4 per cent.</w:t>
      </w:r>
    </w:p>
    <w:p w14:paraId="64B7E8EB" w14:textId="77777777" w:rsidR="00BD1D88" w:rsidRPr="005F5709" w:rsidRDefault="00BD1D88" w:rsidP="00987791">
      <w:pPr>
        <w:rPr>
          <w:rFonts w:asciiTheme="minorHAnsi" w:hAnsiTheme="minorHAnsi" w:cstheme="minorHAnsi"/>
        </w:rPr>
      </w:pPr>
      <w:r w:rsidRPr="005F5709">
        <w:rPr>
          <w:rFonts w:asciiTheme="minorHAnsi" w:hAnsiTheme="minorHAnsi" w:cstheme="minorHAnsi"/>
        </w:rPr>
        <w:t>The level of financial and non-financial support provided to Australian Apprentices with a disability would be maintained at the current level with no reduction in the expected number of Australian Apprentices with a disability.</w:t>
      </w:r>
    </w:p>
    <w:p w14:paraId="7E6F7382" w14:textId="77777777" w:rsidR="00BD1D88" w:rsidRPr="005F5709" w:rsidRDefault="00BD1D88" w:rsidP="00AA7411">
      <w:pPr>
        <w:rPr>
          <w:rFonts w:asciiTheme="minorHAnsi" w:hAnsiTheme="minorHAnsi" w:cstheme="minorHAnsi"/>
        </w:rPr>
      </w:pPr>
      <w:r w:rsidRPr="005F5709">
        <w:rPr>
          <w:rFonts w:asciiTheme="minorHAnsi" w:hAnsiTheme="minorHAnsi" w:cstheme="minorHAnsi"/>
        </w:rPr>
        <w:t xml:space="preserve">For the purpose of this impact assessment, Australian Apprentice commencements who identify with specific cohorts are assumed to make up a similar proportion of commencements to the pre-COVID-19 average. Under this option there is expected to be an initial slight increase in specific cohort commencements (+3 per cent women, +5 per cent Indigenous Australians and +9 per cent youth) between 1 July 2022 and 30 June 2024 compared to pre-COVID-19 levels, before reducing to the level of Option 2. However, this </w:t>
      </w:r>
      <w:r w:rsidRPr="005F5709">
        <w:rPr>
          <w:rFonts w:asciiTheme="minorHAnsi" w:hAnsiTheme="minorHAnsi" w:cstheme="minorHAnsi"/>
        </w:rPr>
        <w:lastRenderedPageBreak/>
        <w:t xml:space="preserve">assessment does not </w:t>
      </w:r>
      <w:proofErr w:type="gramStart"/>
      <w:r w:rsidRPr="005F5709">
        <w:rPr>
          <w:rFonts w:asciiTheme="minorHAnsi" w:hAnsiTheme="minorHAnsi" w:cstheme="minorHAnsi"/>
        </w:rPr>
        <w:t>take into account</w:t>
      </w:r>
      <w:proofErr w:type="gramEnd"/>
      <w:r w:rsidRPr="005F5709">
        <w:rPr>
          <w:rFonts w:asciiTheme="minorHAnsi" w:hAnsiTheme="minorHAnsi" w:cstheme="minorHAnsi"/>
        </w:rPr>
        <w:t xml:space="preserve"> the expected change in occupation preferences that the new incentives model is intended to encourage and as a result should be treated with caution. </w:t>
      </w:r>
    </w:p>
    <w:p w14:paraId="14AF30E6" w14:textId="77777777" w:rsidR="00BD1D88" w:rsidRPr="005F5709" w:rsidRDefault="00BD1D88" w:rsidP="00987791">
      <w:pPr>
        <w:rPr>
          <w:rFonts w:asciiTheme="minorHAnsi" w:hAnsiTheme="minorHAnsi" w:cstheme="minorHAnsi"/>
        </w:rPr>
      </w:pPr>
      <w:r w:rsidRPr="005F5709">
        <w:rPr>
          <w:rFonts w:asciiTheme="minorHAnsi" w:hAnsiTheme="minorHAnsi" w:cstheme="minorHAnsi"/>
        </w:rPr>
        <w:t>The inclusion of major caring professional occupations on the new skills list and expansion of the TSL program is expected to primarily benefit women apprentices and trainees.</w:t>
      </w:r>
    </w:p>
    <w:p w14:paraId="1FF3A5F9" w14:textId="77777777" w:rsidR="00BD1D88" w:rsidRPr="005F5709" w:rsidRDefault="00BD1D88" w:rsidP="00987791">
      <w:pPr>
        <w:rPr>
          <w:rFonts w:asciiTheme="minorHAnsi" w:hAnsiTheme="minorHAnsi" w:cstheme="minorHAnsi"/>
        </w:rPr>
      </w:pPr>
    </w:p>
    <w:p w14:paraId="613300B2" w14:textId="77777777" w:rsidR="00BD1D88" w:rsidRPr="005F5709" w:rsidRDefault="00BD1D88" w:rsidP="00987791">
      <w:pPr>
        <w:rPr>
          <w:rFonts w:asciiTheme="minorHAnsi" w:hAnsiTheme="minorHAnsi" w:cstheme="minorHAnsi"/>
        </w:rPr>
      </w:pPr>
    </w:p>
    <w:p w14:paraId="7CAE9230" w14:textId="577843F7" w:rsidR="00BD1D88" w:rsidRPr="005F5709" w:rsidRDefault="00BD1D88" w:rsidP="008D6DEA">
      <w:pPr>
        <w:pStyle w:val="Heading3"/>
      </w:pPr>
      <w:bookmarkStart w:id="115" w:name="_Toc113022225"/>
      <w:r w:rsidRPr="005F5709">
        <w:t>Regulatory impact</w:t>
      </w:r>
      <w:bookmarkEnd w:id="115"/>
    </w:p>
    <w:p w14:paraId="502B405C"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t>The proposed option would not change the structure of the Australian Apprenticeship system. States and territories will continue to have a role in approving Training Contracts, and AASN providers would continue to be contracted by the Australian Government to deliver Apprenticeship Support services, such as providing advice to employers on eligibility for incentives and managing payment claims.</w:t>
      </w:r>
    </w:p>
    <w:p w14:paraId="2650EC41" w14:textId="439F490B" w:rsidR="00BD1D88" w:rsidRPr="005F5709" w:rsidRDefault="00BD1D88" w:rsidP="008D6DEA">
      <w:pPr>
        <w:pStyle w:val="Heading3"/>
        <w:spacing w:before="120" w:after="120"/>
      </w:pPr>
      <w:bookmarkStart w:id="116" w:name="_Toc113022226"/>
      <w:r w:rsidRPr="005F5709">
        <w:t>Regulatory costs</w:t>
      </w:r>
      <w:bookmarkEnd w:id="116"/>
    </w:p>
    <w:p w14:paraId="0984437F" w14:textId="77777777" w:rsidR="00BD1D88" w:rsidRPr="005F5709" w:rsidRDefault="00BD1D88">
      <w:pPr>
        <w:rPr>
          <w:rFonts w:asciiTheme="minorHAnsi" w:hAnsiTheme="minorHAnsi" w:cstheme="minorHAnsi"/>
        </w:rPr>
      </w:pPr>
      <w:r w:rsidRPr="005F5709">
        <w:rPr>
          <w:rFonts w:asciiTheme="minorHAnsi" w:hAnsiTheme="minorHAnsi" w:cstheme="minorHAnsi"/>
        </w:rPr>
        <w:t>Regulatory costs associated with Option 3 are provided in Table 7.1 and 7.2 and are based on the Regulatory Burden Measurement Framework, program data and expected changes in commencements and claim requirements. Regulatory costs are provided separately for the first phase (wage subsidy and non-priority support) and the second phase to demonstrate the changing regulatory costs.</w:t>
      </w:r>
    </w:p>
    <w:p w14:paraId="321E165C" w14:textId="77777777" w:rsidR="00BD1D88" w:rsidRPr="005F5709" w:rsidRDefault="00BD1D88" w:rsidP="001E3227">
      <w:pPr>
        <w:rPr>
          <w:rFonts w:asciiTheme="minorHAnsi" w:hAnsiTheme="minorHAnsi" w:cstheme="minorHAnsi"/>
        </w:rPr>
      </w:pPr>
      <w:r w:rsidRPr="005F5709">
        <w:rPr>
          <w:rFonts w:asciiTheme="minorHAnsi" w:hAnsiTheme="minorHAnsi" w:cstheme="minorHAnsi"/>
        </w:rPr>
        <w:t xml:space="preserve">The regulatory costs associated with Option 3 are administrative costs with claiming for incentives under the option and establishing an apprenticeship. The regulatory impact and cost of this option is due to the changed number of individuals and employers accessing the apprenticeship system, change in time and effort to claim, and a transitional cost for employers to familiarise themselves with the new system. </w:t>
      </w:r>
    </w:p>
    <w:p w14:paraId="474C9C3E" w14:textId="77777777" w:rsidR="00BD1D88" w:rsidRPr="005F5709" w:rsidRDefault="00BD1D88" w:rsidP="001E3227">
      <w:pPr>
        <w:rPr>
          <w:rFonts w:asciiTheme="minorHAnsi" w:hAnsiTheme="minorHAnsi" w:cstheme="minorHAnsi"/>
        </w:rPr>
      </w:pPr>
      <w:r w:rsidRPr="005F5709">
        <w:rPr>
          <w:rFonts w:asciiTheme="minorHAnsi" w:hAnsiTheme="minorHAnsi" w:cstheme="minorHAnsi"/>
        </w:rPr>
        <w:t>Employer time cost is assumed to be $73.05 an hour, while an apprentice is assumed to be $32.00 per hour.</w:t>
      </w:r>
    </w:p>
    <w:p w14:paraId="6112C1AD" w14:textId="77777777" w:rsidR="00BD1D88" w:rsidRPr="005F5709" w:rsidDel="00EC4B48" w:rsidRDefault="00BD1D88" w:rsidP="001E3227">
      <w:pPr>
        <w:rPr>
          <w:rFonts w:asciiTheme="minorHAnsi" w:hAnsiTheme="minorHAnsi" w:cstheme="minorHAnsi"/>
          <w:b/>
          <w:u w:val="single"/>
        </w:rPr>
      </w:pPr>
      <w:r w:rsidRPr="005F5709">
        <w:rPr>
          <w:rFonts w:asciiTheme="minorHAnsi" w:hAnsiTheme="minorHAnsi" w:cstheme="minorHAnsi"/>
          <w:b/>
          <w:u w:val="single"/>
        </w:rPr>
        <w:t>Phase one</w:t>
      </w:r>
    </w:p>
    <w:p w14:paraId="279CEACF" w14:textId="77777777" w:rsidR="00BD1D88" w:rsidRPr="005F5709" w:rsidRDefault="00BD1D88" w:rsidP="001E3227">
      <w:pPr>
        <w:rPr>
          <w:rFonts w:asciiTheme="minorHAnsi" w:hAnsiTheme="minorHAnsi" w:cstheme="minorHAnsi"/>
        </w:rPr>
      </w:pPr>
      <w:r w:rsidRPr="005F5709">
        <w:rPr>
          <w:rFonts w:asciiTheme="minorHAnsi" w:hAnsiTheme="minorHAnsi" w:cstheme="minorHAnsi"/>
        </w:rPr>
        <w:t>It is expected that around 161,000 apprentices will attract an employer or apprentice incentive. Based on the average number of claims required it is expected it would take an additional 59 minutes on average over the life of the apprenticeship for an employer to claim incentives, and an additional 21 minutes on average per apprentice.</w:t>
      </w:r>
    </w:p>
    <w:p w14:paraId="49E8BC53" w14:textId="77777777" w:rsidR="00BD1D88" w:rsidRPr="005F5709" w:rsidRDefault="00BD1D88" w:rsidP="001E3227">
      <w:pPr>
        <w:rPr>
          <w:rFonts w:asciiTheme="minorHAnsi" w:hAnsiTheme="minorHAnsi" w:cstheme="minorHAnsi"/>
        </w:rPr>
      </w:pPr>
      <w:r w:rsidRPr="005F5709">
        <w:rPr>
          <w:rFonts w:asciiTheme="minorHAnsi" w:hAnsiTheme="minorHAnsi" w:cstheme="minorHAnsi"/>
        </w:rPr>
        <w:t>Based on program data it is expected that around 62,000 employers will need on average 60 minutes to familiarise themselves with the changed incentive system.</w:t>
      </w:r>
    </w:p>
    <w:p w14:paraId="008D8DAE" w14:textId="77777777" w:rsidR="00BD1D88" w:rsidRPr="005F5709" w:rsidRDefault="00BD1D88" w:rsidP="001E3227">
      <w:pPr>
        <w:rPr>
          <w:rFonts w:asciiTheme="minorHAnsi" w:hAnsiTheme="minorHAnsi" w:cstheme="minorHAnsi"/>
          <w:b/>
          <w:u w:val="single"/>
        </w:rPr>
      </w:pPr>
      <w:r w:rsidRPr="005F5709">
        <w:rPr>
          <w:rFonts w:asciiTheme="minorHAnsi" w:hAnsiTheme="minorHAnsi" w:cstheme="minorHAnsi"/>
          <w:b/>
          <w:u w:val="single"/>
        </w:rPr>
        <w:t>Phase two</w:t>
      </w:r>
    </w:p>
    <w:p w14:paraId="5180F14D" w14:textId="77777777" w:rsidR="00BD1D88" w:rsidRPr="005F5709" w:rsidRDefault="00BD1D88" w:rsidP="001E3227">
      <w:pPr>
        <w:rPr>
          <w:rFonts w:asciiTheme="minorHAnsi" w:hAnsiTheme="minorHAnsi" w:cstheme="minorHAnsi"/>
        </w:rPr>
      </w:pPr>
      <w:r w:rsidRPr="005F5709">
        <w:rPr>
          <w:rFonts w:asciiTheme="minorHAnsi" w:hAnsiTheme="minorHAnsi" w:cstheme="minorHAnsi"/>
        </w:rPr>
        <w:t xml:space="preserve">Assumptions for phase two are as per Option 2. </w:t>
      </w:r>
    </w:p>
    <w:p w14:paraId="5AB5ED71" w14:textId="77777777" w:rsidR="00BD1D88" w:rsidRPr="005F5709" w:rsidRDefault="00BD1D88" w:rsidP="009E1976">
      <w:pPr>
        <w:rPr>
          <w:rFonts w:asciiTheme="minorHAnsi" w:hAnsiTheme="minorHAnsi" w:cstheme="minorHAnsi"/>
        </w:rPr>
      </w:pPr>
      <w:r w:rsidRPr="005F5709">
        <w:rPr>
          <w:rFonts w:asciiTheme="minorHAnsi" w:hAnsiTheme="minorHAnsi" w:cstheme="minorHAnsi"/>
          <w:b/>
          <w:bCs/>
        </w:rPr>
        <w:t xml:space="preserve">Table 7.1: Regulatory costs of Option 3 </w:t>
      </w:r>
      <w:r w:rsidRPr="005F5709">
        <w:rPr>
          <w:rFonts w:asciiTheme="minorHAnsi" w:hAnsiTheme="minorHAnsi" w:cstheme="minorHAnsi"/>
        </w:rPr>
        <w:t>(1 July 2022 - 30 June 2024)</w:t>
      </w:r>
    </w:p>
    <w:tbl>
      <w:tblPr>
        <w:tblW w:w="0" w:type="auto"/>
        <w:tblInd w:w="108" w:type="dxa"/>
        <w:tblCellMar>
          <w:left w:w="0" w:type="dxa"/>
          <w:right w:w="0" w:type="dxa"/>
        </w:tblCellMar>
        <w:tblLook w:val="04A0" w:firstRow="1" w:lastRow="0" w:firstColumn="1" w:lastColumn="0" w:noHBand="0" w:noVBand="1"/>
      </w:tblPr>
      <w:tblGrid>
        <w:gridCol w:w="1735"/>
        <w:gridCol w:w="1730"/>
        <w:gridCol w:w="1749"/>
        <w:gridCol w:w="1738"/>
        <w:gridCol w:w="1724"/>
      </w:tblGrid>
      <w:tr w:rsidR="00BD1D88" w:rsidRPr="005F5709" w14:paraId="3BFF5F52" w14:textId="77777777" w:rsidTr="00E2351C">
        <w:trPr>
          <w:trHeight w:val="300"/>
          <w:tblHeader/>
        </w:trPr>
        <w:tc>
          <w:tcPr>
            <w:tcW w:w="8676" w:type="dxa"/>
            <w:gridSpan w:val="5"/>
            <w:tcBorders>
              <w:top w:val="single" w:sz="8" w:space="0" w:color="ED7D31"/>
              <w:left w:val="single" w:sz="8" w:space="0" w:color="ED7D31"/>
              <w:bottom w:val="single" w:sz="8" w:space="0" w:color="ED7D31"/>
              <w:right w:val="single" w:sz="8" w:space="0" w:color="ED7D31"/>
            </w:tcBorders>
            <w:shd w:val="clear" w:color="auto" w:fill="385623"/>
            <w:tcMar>
              <w:top w:w="0" w:type="dxa"/>
              <w:left w:w="108" w:type="dxa"/>
              <w:bottom w:w="0" w:type="dxa"/>
              <w:right w:w="108" w:type="dxa"/>
            </w:tcMar>
            <w:hideMark/>
          </w:tcPr>
          <w:p w14:paraId="1062DE85" w14:textId="77777777" w:rsidR="00BD1D88" w:rsidRPr="005F5709" w:rsidRDefault="00BD1D88">
            <w:pPr>
              <w:spacing w:before="120" w:after="120"/>
              <w:rPr>
                <w:rFonts w:asciiTheme="minorHAnsi" w:hAnsiTheme="minorHAnsi" w:cstheme="minorHAnsi"/>
                <w:b/>
                <w:bCs/>
                <w:color w:val="FFFFFF"/>
                <w:sz w:val="20"/>
                <w:szCs w:val="20"/>
                <w:lang w:val="en-US"/>
              </w:rPr>
            </w:pPr>
            <w:r w:rsidRPr="005F5709">
              <w:rPr>
                <w:rFonts w:asciiTheme="minorHAnsi" w:hAnsiTheme="minorHAnsi" w:cstheme="minorHAnsi"/>
                <w:b/>
                <w:bCs/>
                <w:color w:val="FFFFFF"/>
                <w:sz w:val="20"/>
                <w:szCs w:val="20"/>
                <w:lang w:val="en-US"/>
              </w:rPr>
              <w:lastRenderedPageBreak/>
              <w:t>Average annual regulatory costs (from business as usual)</w:t>
            </w:r>
          </w:p>
        </w:tc>
      </w:tr>
      <w:tr w:rsidR="00BD1D88" w:rsidRPr="005F5709" w14:paraId="7A00AB91" w14:textId="77777777" w:rsidTr="00E2351C">
        <w:trPr>
          <w:trHeight w:val="300"/>
          <w:tblHeader/>
        </w:trPr>
        <w:tc>
          <w:tcPr>
            <w:tcW w:w="1735" w:type="dxa"/>
            <w:tcBorders>
              <w:top w:val="nil"/>
              <w:left w:val="single" w:sz="8" w:space="0" w:color="ED7D31"/>
              <w:bottom w:val="single" w:sz="8" w:space="0" w:color="ED7D31"/>
              <w:right w:val="single" w:sz="8" w:space="0" w:color="ED7D31"/>
            </w:tcBorders>
            <w:tcMar>
              <w:top w:w="0" w:type="dxa"/>
              <w:left w:w="108" w:type="dxa"/>
              <w:bottom w:w="0" w:type="dxa"/>
              <w:right w:w="108" w:type="dxa"/>
            </w:tcMar>
            <w:hideMark/>
          </w:tcPr>
          <w:p w14:paraId="4EF89FCF" w14:textId="77777777" w:rsidR="00BD1D88" w:rsidRPr="005F5709" w:rsidRDefault="00BD1D88">
            <w:pPr>
              <w:pStyle w:val="TableText1"/>
              <w:spacing w:line="252" w:lineRule="auto"/>
              <w:rPr>
                <w:rFonts w:asciiTheme="minorHAnsi" w:hAnsiTheme="minorHAnsi" w:cstheme="minorHAnsi"/>
                <w:b/>
                <w:bCs/>
                <w:lang w:val="en-US"/>
              </w:rPr>
            </w:pPr>
            <w:r w:rsidRPr="005F5709">
              <w:rPr>
                <w:rFonts w:asciiTheme="minorHAnsi" w:hAnsiTheme="minorHAnsi" w:cstheme="minorHAnsi"/>
                <w:lang w:val="en-US"/>
              </w:rPr>
              <w:t>Change in costs ($ million)</w:t>
            </w:r>
          </w:p>
        </w:tc>
        <w:tc>
          <w:tcPr>
            <w:tcW w:w="1730" w:type="dxa"/>
            <w:tcBorders>
              <w:top w:val="nil"/>
              <w:left w:val="nil"/>
              <w:bottom w:val="single" w:sz="8" w:space="0" w:color="ED7D31"/>
              <w:right w:val="single" w:sz="8" w:space="0" w:color="ED7D31"/>
            </w:tcBorders>
            <w:tcMar>
              <w:top w:w="0" w:type="dxa"/>
              <w:left w:w="108" w:type="dxa"/>
              <w:bottom w:w="0" w:type="dxa"/>
              <w:right w:w="108" w:type="dxa"/>
            </w:tcMar>
            <w:hideMark/>
          </w:tcPr>
          <w:p w14:paraId="3317ABEE" w14:textId="77777777" w:rsidR="00BD1D88" w:rsidRPr="005F5709" w:rsidRDefault="00BD1D88">
            <w:pPr>
              <w:pStyle w:val="TableText1"/>
              <w:spacing w:line="252" w:lineRule="auto"/>
              <w:rPr>
                <w:rFonts w:asciiTheme="minorHAnsi" w:hAnsiTheme="minorHAnsi" w:cstheme="minorHAnsi"/>
                <w:lang w:val="en-US"/>
              </w:rPr>
            </w:pPr>
            <w:r w:rsidRPr="005F5709">
              <w:rPr>
                <w:rFonts w:asciiTheme="minorHAnsi" w:hAnsiTheme="minorHAnsi" w:cstheme="minorHAnsi"/>
                <w:lang w:val="en-US"/>
              </w:rPr>
              <w:t>Business</w:t>
            </w:r>
          </w:p>
        </w:tc>
        <w:tc>
          <w:tcPr>
            <w:tcW w:w="1749" w:type="dxa"/>
            <w:tcBorders>
              <w:top w:val="nil"/>
              <w:left w:val="nil"/>
              <w:bottom w:val="single" w:sz="8" w:space="0" w:color="ED7D31"/>
              <w:right w:val="single" w:sz="8" w:space="0" w:color="ED7D31"/>
            </w:tcBorders>
            <w:tcMar>
              <w:top w:w="0" w:type="dxa"/>
              <w:left w:w="108" w:type="dxa"/>
              <w:bottom w:w="0" w:type="dxa"/>
              <w:right w:w="108" w:type="dxa"/>
            </w:tcMar>
            <w:hideMark/>
          </w:tcPr>
          <w:p w14:paraId="2E2B9A3C"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 xml:space="preserve">Community </w:t>
            </w:r>
            <w:proofErr w:type="spellStart"/>
            <w:r w:rsidRPr="005F5709">
              <w:rPr>
                <w:rFonts w:asciiTheme="minorHAnsi" w:hAnsiTheme="minorHAnsi" w:cstheme="minorHAnsi"/>
                <w:sz w:val="20"/>
                <w:szCs w:val="20"/>
                <w:lang w:val="en-US"/>
              </w:rPr>
              <w:t>organisations</w:t>
            </w:r>
            <w:proofErr w:type="spellEnd"/>
          </w:p>
        </w:tc>
        <w:tc>
          <w:tcPr>
            <w:tcW w:w="1738" w:type="dxa"/>
            <w:tcBorders>
              <w:top w:val="nil"/>
              <w:left w:val="nil"/>
              <w:bottom w:val="single" w:sz="8" w:space="0" w:color="ED7D31"/>
              <w:right w:val="single" w:sz="8" w:space="0" w:color="ED7D31"/>
            </w:tcBorders>
            <w:tcMar>
              <w:top w:w="0" w:type="dxa"/>
              <w:left w:w="108" w:type="dxa"/>
              <w:bottom w:w="0" w:type="dxa"/>
              <w:right w:w="108" w:type="dxa"/>
            </w:tcMar>
            <w:hideMark/>
          </w:tcPr>
          <w:p w14:paraId="59C8C24B"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Individuals</w:t>
            </w:r>
          </w:p>
        </w:tc>
        <w:tc>
          <w:tcPr>
            <w:tcW w:w="1724" w:type="dxa"/>
            <w:tcBorders>
              <w:top w:val="nil"/>
              <w:left w:val="nil"/>
              <w:bottom w:val="single" w:sz="8" w:space="0" w:color="ED7D31"/>
              <w:right w:val="single" w:sz="8" w:space="0" w:color="ED7D31"/>
            </w:tcBorders>
            <w:tcMar>
              <w:top w:w="0" w:type="dxa"/>
              <w:left w:w="108" w:type="dxa"/>
              <w:bottom w:w="0" w:type="dxa"/>
              <w:right w:w="108" w:type="dxa"/>
            </w:tcMar>
            <w:hideMark/>
          </w:tcPr>
          <w:p w14:paraId="05D29091"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Total change in costs</w:t>
            </w:r>
          </w:p>
        </w:tc>
      </w:tr>
      <w:tr w:rsidR="00BD1D88" w:rsidRPr="005F5709" w14:paraId="3C5CA66B" w14:textId="77777777" w:rsidTr="009E1976">
        <w:trPr>
          <w:trHeight w:val="300"/>
        </w:trPr>
        <w:tc>
          <w:tcPr>
            <w:tcW w:w="1735" w:type="dxa"/>
            <w:tcBorders>
              <w:top w:val="nil"/>
              <w:left w:val="single" w:sz="8" w:space="0" w:color="ED7D31"/>
              <w:bottom w:val="single" w:sz="8" w:space="0" w:color="ED7D31"/>
              <w:right w:val="single" w:sz="8" w:space="0" w:color="ED7D31"/>
            </w:tcBorders>
            <w:tcMar>
              <w:top w:w="0" w:type="dxa"/>
              <w:left w:w="108" w:type="dxa"/>
              <w:bottom w:w="0" w:type="dxa"/>
              <w:right w:w="108" w:type="dxa"/>
            </w:tcMar>
            <w:hideMark/>
          </w:tcPr>
          <w:p w14:paraId="06C2CFEB"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Total, by sector </w:t>
            </w:r>
          </w:p>
        </w:tc>
        <w:tc>
          <w:tcPr>
            <w:tcW w:w="1730" w:type="dxa"/>
            <w:tcBorders>
              <w:top w:val="nil"/>
              <w:left w:val="nil"/>
              <w:bottom w:val="single" w:sz="8" w:space="0" w:color="ED7D31"/>
              <w:right w:val="single" w:sz="8" w:space="0" w:color="ED7D31"/>
            </w:tcBorders>
            <w:tcMar>
              <w:top w:w="0" w:type="dxa"/>
              <w:left w:w="108" w:type="dxa"/>
              <w:bottom w:w="0" w:type="dxa"/>
              <w:right w:w="108" w:type="dxa"/>
            </w:tcMar>
            <w:hideMark/>
          </w:tcPr>
          <w:p w14:paraId="7AAF0FC2"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14.061</w:t>
            </w:r>
          </w:p>
        </w:tc>
        <w:tc>
          <w:tcPr>
            <w:tcW w:w="1749" w:type="dxa"/>
            <w:tcBorders>
              <w:top w:val="nil"/>
              <w:left w:val="nil"/>
              <w:bottom w:val="single" w:sz="8" w:space="0" w:color="ED7D31"/>
              <w:right w:val="single" w:sz="8" w:space="0" w:color="ED7D31"/>
            </w:tcBorders>
            <w:tcMar>
              <w:top w:w="0" w:type="dxa"/>
              <w:left w:w="108" w:type="dxa"/>
              <w:bottom w:w="0" w:type="dxa"/>
              <w:right w:w="108" w:type="dxa"/>
            </w:tcMar>
            <w:hideMark/>
          </w:tcPr>
          <w:p w14:paraId="28FC77D2"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N/A </w:t>
            </w:r>
          </w:p>
        </w:tc>
        <w:tc>
          <w:tcPr>
            <w:tcW w:w="1738" w:type="dxa"/>
            <w:tcBorders>
              <w:top w:val="nil"/>
              <w:left w:val="nil"/>
              <w:bottom w:val="single" w:sz="8" w:space="0" w:color="ED7D31"/>
              <w:right w:val="single" w:sz="8" w:space="0" w:color="ED7D31"/>
            </w:tcBorders>
            <w:tcMar>
              <w:top w:w="0" w:type="dxa"/>
              <w:left w:w="108" w:type="dxa"/>
              <w:bottom w:w="0" w:type="dxa"/>
              <w:right w:w="108" w:type="dxa"/>
            </w:tcMar>
            <w:hideMark/>
          </w:tcPr>
          <w:p w14:paraId="788D6DF4"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1.683</w:t>
            </w:r>
          </w:p>
        </w:tc>
        <w:tc>
          <w:tcPr>
            <w:tcW w:w="1724" w:type="dxa"/>
            <w:tcBorders>
              <w:top w:val="nil"/>
              <w:left w:val="nil"/>
              <w:bottom w:val="single" w:sz="8" w:space="0" w:color="ED7D31"/>
              <w:right w:val="single" w:sz="8" w:space="0" w:color="ED7D31"/>
            </w:tcBorders>
            <w:tcMar>
              <w:top w:w="0" w:type="dxa"/>
              <w:left w:w="108" w:type="dxa"/>
              <w:bottom w:w="0" w:type="dxa"/>
              <w:right w:w="108" w:type="dxa"/>
            </w:tcMar>
            <w:vAlign w:val="center"/>
            <w:hideMark/>
          </w:tcPr>
          <w:p w14:paraId="64C03275"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15.744</w:t>
            </w:r>
          </w:p>
        </w:tc>
      </w:tr>
    </w:tbl>
    <w:p w14:paraId="496930A3" w14:textId="77777777" w:rsidR="00BD1D88" w:rsidRPr="005F5709" w:rsidRDefault="00BD1D88">
      <w:pPr>
        <w:rPr>
          <w:rFonts w:asciiTheme="minorHAnsi" w:hAnsiTheme="minorHAnsi" w:cstheme="minorHAnsi"/>
          <w:b/>
          <w:bCs/>
        </w:rPr>
      </w:pPr>
    </w:p>
    <w:p w14:paraId="637BA7EB" w14:textId="77777777" w:rsidR="00BD1D88" w:rsidRPr="005F5709" w:rsidRDefault="00BD1D88">
      <w:pPr>
        <w:rPr>
          <w:rFonts w:asciiTheme="minorHAnsi" w:hAnsiTheme="minorHAnsi" w:cstheme="minorHAnsi"/>
          <w:b/>
          <w:bCs/>
        </w:rPr>
      </w:pPr>
    </w:p>
    <w:p w14:paraId="19E5BFE2" w14:textId="77777777" w:rsidR="00BD1D88" w:rsidRPr="005F5709" w:rsidRDefault="00BD1D88" w:rsidP="009E1976">
      <w:pPr>
        <w:rPr>
          <w:rFonts w:asciiTheme="minorHAnsi" w:hAnsiTheme="minorHAnsi" w:cstheme="minorHAnsi"/>
        </w:rPr>
      </w:pPr>
      <w:r w:rsidRPr="005F5709">
        <w:rPr>
          <w:rFonts w:asciiTheme="minorHAnsi" w:hAnsiTheme="minorHAnsi" w:cstheme="minorHAnsi"/>
          <w:b/>
          <w:bCs/>
        </w:rPr>
        <w:t>Table 7.2: Regulatory costs of Option 3 (</w:t>
      </w:r>
      <w:r w:rsidRPr="005F5709">
        <w:rPr>
          <w:rFonts w:asciiTheme="minorHAnsi" w:hAnsiTheme="minorHAnsi" w:cstheme="minorHAnsi"/>
        </w:rPr>
        <w:t>From 1 July 2024 onwards)</w:t>
      </w:r>
    </w:p>
    <w:tbl>
      <w:tblPr>
        <w:tblW w:w="0" w:type="auto"/>
        <w:tblInd w:w="108" w:type="dxa"/>
        <w:tblCellMar>
          <w:left w:w="0" w:type="dxa"/>
          <w:right w:w="0" w:type="dxa"/>
        </w:tblCellMar>
        <w:tblLook w:val="04A0" w:firstRow="1" w:lastRow="0" w:firstColumn="1" w:lastColumn="0" w:noHBand="0" w:noVBand="1"/>
      </w:tblPr>
      <w:tblGrid>
        <w:gridCol w:w="1735"/>
        <w:gridCol w:w="1730"/>
        <w:gridCol w:w="1749"/>
        <w:gridCol w:w="1738"/>
        <w:gridCol w:w="1724"/>
      </w:tblGrid>
      <w:tr w:rsidR="00BD1D88" w:rsidRPr="005F5709" w14:paraId="5CED75EA" w14:textId="77777777" w:rsidTr="00E2351C">
        <w:trPr>
          <w:trHeight w:val="300"/>
          <w:tblHeader/>
        </w:trPr>
        <w:tc>
          <w:tcPr>
            <w:tcW w:w="8676" w:type="dxa"/>
            <w:gridSpan w:val="5"/>
            <w:tcBorders>
              <w:top w:val="single" w:sz="8" w:space="0" w:color="ED7D31"/>
              <w:left w:val="single" w:sz="8" w:space="0" w:color="ED7D31"/>
              <w:bottom w:val="single" w:sz="8" w:space="0" w:color="ED7D31"/>
              <w:right w:val="single" w:sz="8" w:space="0" w:color="ED7D31"/>
            </w:tcBorders>
            <w:shd w:val="clear" w:color="auto" w:fill="385623"/>
            <w:tcMar>
              <w:top w:w="0" w:type="dxa"/>
              <w:left w:w="108" w:type="dxa"/>
              <w:bottom w:w="0" w:type="dxa"/>
              <w:right w:w="108" w:type="dxa"/>
            </w:tcMar>
            <w:hideMark/>
          </w:tcPr>
          <w:p w14:paraId="1DFF0EF4" w14:textId="77777777" w:rsidR="00BD1D88" w:rsidRPr="005F5709" w:rsidRDefault="00BD1D88">
            <w:pPr>
              <w:spacing w:before="120" w:after="120"/>
              <w:rPr>
                <w:rFonts w:asciiTheme="minorHAnsi" w:hAnsiTheme="minorHAnsi" w:cstheme="minorHAnsi"/>
                <w:b/>
                <w:bCs/>
                <w:color w:val="FFFFFF"/>
                <w:sz w:val="20"/>
                <w:szCs w:val="20"/>
                <w:lang w:val="en-US"/>
              </w:rPr>
            </w:pPr>
            <w:r w:rsidRPr="005F5709">
              <w:rPr>
                <w:rFonts w:asciiTheme="minorHAnsi" w:hAnsiTheme="minorHAnsi" w:cstheme="minorHAnsi"/>
                <w:b/>
                <w:bCs/>
                <w:color w:val="FFFFFF"/>
                <w:sz w:val="20"/>
                <w:szCs w:val="20"/>
                <w:lang w:val="en-US"/>
              </w:rPr>
              <w:t>Average annual regulatory costs (from business as usual)</w:t>
            </w:r>
          </w:p>
        </w:tc>
      </w:tr>
      <w:tr w:rsidR="00BD1D88" w:rsidRPr="005F5709" w14:paraId="30E1AE7B" w14:textId="77777777" w:rsidTr="00E2351C">
        <w:trPr>
          <w:trHeight w:val="300"/>
          <w:tblHeader/>
        </w:trPr>
        <w:tc>
          <w:tcPr>
            <w:tcW w:w="1735" w:type="dxa"/>
            <w:tcBorders>
              <w:top w:val="nil"/>
              <w:left w:val="single" w:sz="8" w:space="0" w:color="ED7D31"/>
              <w:bottom w:val="single" w:sz="8" w:space="0" w:color="ED7D31"/>
              <w:right w:val="single" w:sz="8" w:space="0" w:color="ED7D31"/>
            </w:tcBorders>
            <w:tcMar>
              <w:top w:w="0" w:type="dxa"/>
              <w:left w:w="108" w:type="dxa"/>
              <w:bottom w:w="0" w:type="dxa"/>
              <w:right w:w="108" w:type="dxa"/>
            </w:tcMar>
            <w:hideMark/>
          </w:tcPr>
          <w:p w14:paraId="1CD17298" w14:textId="77777777" w:rsidR="00BD1D88" w:rsidRPr="005F5709" w:rsidRDefault="00BD1D88">
            <w:pPr>
              <w:pStyle w:val="TableText1"/>
              <w:spacing w:line="252" w:lineRule="auto"/>
              <w:rPr>
                <w:rFonts w:asciiTheme="minorHAnsi" w:hAnsiTheme="minorHAnsi" w:cstheme="minorHAnsi"/>
                <w:b/>
                <w:bCs/>
                <w:lang w:val="en-US"/>
              </w:rPr>
            </w:pPr>
            <w:r w:rsidRPr="005F5709">
              <w:rPr>
                <w:rFonts w:asciiTheme="minorHAnsi" w:hAnsiTheme="minorHAnsi" w:cstheme="minorHAnsi"/>
                <w:lang w:val="en-US"/>
              </w:rPr>
              <w:t>Change in costs ($ million)</w:t>
            </w:r>
          </w:p>
        </w:tc>
        <w:tc>
          <w:tcPr>
            <w:tcW w:w="1730" w:type="dxa"/>
            <w:tcBorders>
              <w:top w:val="nil"/>
              <w:left w:val="nil"/>
              <w:bottom w:val="single" w:sz="8" w:space="0" w:color="ED7D31"/>
              <w:right w:val="single" w:sz="8" w:space="0" w:color="ED7D31"/>
            </w:tcBorders>
            <w:tcMar>
              <w:top w:w="0" w:type="dxa"/>
              <w:left w:w="108" w:type="dxa"/>
              <w:bottom w:w="0" w:type="dxa"/>
              <w:right w:w="108" w:type="dxa"/>
            </w:tcMar>
            <w:hideMark/>
          </w:tcPr>
          <w:p w14:paraId="2A25E9DE" w14:textId="77777777" w:rsidR="00BD1D88" w:rsidRPr="005F5709" w:rsidRDefault="00BD1D88">
            <w:pPr>
              <w:pStyle w:val="TableText1"/>
              <w:spacing w:line="252" w:lineRule="auto"/>
              <w:rPr>
                <w:rFonts w:asciiTheme="minorHAnsi" w:hAnsiTheme="minorHAnsi" w:cstheme="minorHAnsi"/>
                <w:lang w:val="en-US"/>
              </w:rPr>
            </w:pPr>
            <w:r w:rsidRPr="005F5709">
              <w:rPr>
                <w:rFonts w:asciiTheme="minorHAnsi" w:hAnsiTheme="minorHAnsi" w:cstheme="minorHAnsi"/>
                <w:lang w:val="en-US"/>
              </w:rPr>
              <w:t>Business</w:t>
            </w:r>
          </w:p>
        </w:tc>
        <w:tc>
          <w:tcPr>
            <w:tcW w:w="1749" w:type="dxa"/>
            <w:tcBorders>
              <w:top w:val="nil"/>
              <w:left w:val="nil"/>
              <w:bottom w:val="single" w:sz="8" w:space="0" w:color="ED7D31"/>
              <w:right w:val="single" w:sz="8" w:space="0" w:color="ED7D31"/>
            </w:tcBorders>
            <w:tcMar>
              <w:top w:w="0" w:type="dxa"/>
              <w:left w:w="108" w:type="dxa"/>
              <w:bottom w:w="0" w:type="dxa"/>
              <w:right w:w="108" w:type="dxa"/>
            </w:tcMar>
            <w:hideMark/>
          </w:tcPr>
          <w:p w14:paraId="0B89A96A"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 xml:space="preserve">Community </w:t>
            </w:r>
            <w:proofErr w:type="spellStart"/>
            <w:r w:rsidRPr="005F5709">
              <w:rPr>
                <w:rFonts w:asciiTheme="minorHAnsi" w:hAnsiTheme="minorHAnsi" w:cstheme="minorHAnsi"/>
                <w:sz w:val="20"/>
                <w:szCs w:val="20"/>
                <w:lang w:val="en-US"/>
              </w:rPr>
              <w:t>organisations</w:t>
            </w:r>
            <w:proofErr w:type="spellEnd"/>
          </w:p>
        </w:tc>
        <w:tc>
          <w:tcPr>
            <w:tcW w:w="1738" w:type="dxa"/>
            <w:tcBorders>
              <w:top w:val="nil"/>
              <w:left w:val="nil"/>
              <w:bottom w:val="single" w:sz="8" w:space="0" w:color="ED7D31"/>
              <w:right w:val="single" w:sz="8" w:space="0" w:color="ED7D31"/>
            </w:tcBorders>
            <w:tcMar>
              <w:top w:w="0" w:type="dxa"/>
              <w:left w:w="108" w:type="dxa"/>
              <w:bottom w:w="0" w:type="dxa"/>
              <w:right w:w="108" w:type="dxa"/>
            </w:tcMar>
            <w:hideMark/>
          </w:tcPr>
          <w:p w14:paraId="3B351117"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Individuals</w:t>
            </w:r>
          </w:p>
        </w:tc>
        <w:tc>
          <w:tcPr>
            <w:tcW w:w="1724" w:type="dxa"/>
            <w:tcBorders>
              <w:top w:val="nil"/>
              <w:left w:val="nil"/>
              <w:bottom w:val="single" w:sz="8" w:space="0" w:color="ED7D31"/>
              <w:right w:val="single" w:sz="8" w:space="0" w:color="ED7D31"/>
            </w:tcBorders>
            <w:tcMar>
              <w:top w:w="0" w:type="dxa"/>
              <w:left w:w="108" w:type="dxa"/>
              <w:bottom w:w="0" w:type="dxa"/>
              <w:right w:w="108" w:type="dxa"/>
            </w:tcMar>
            <w:hideMark/>
          </w:tcPr>
          <w:p w14:paraId="7DDD6110"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Total change in costs</w:t>
            </w:r>
          </w:p>
        </w:tc>
      </w:tr>
      <w:tr w:rsidR="00BD1D88" w:rsidRPr="005F5709" w14:paraId="36CA0B45" w14:textId="77777777" w:rsidTr="009E1976">
        <w:trPr>
          <w:trHeight w:val="300"/>
        </w:trPr>
        <w:tc>
          <w:tcPr>
            <w:tcW w:w="1735" w:type="dxa"/>
            <w:tcBorders>
              <w:top w:val="nil"/>
              <w:left w:val="single" w:sz="8" w:space="0" w:color="ED7D31"/>
              <w:bottom w:val="single" w:sz="8" w:space="0" w:color="ED7D31"/>
              <w:right w:val="single" w:sz="8" w:space="0" w:color="ED7D31"/>
            </w:tcBorders>
            <w:tcMar>
              <w:top w:w="0" w:type="dxa"/>
              <w:left w:w="108" w:type="dxa"/>
              <w:bottom w:w="0" w:type="dxa"/>
              <w:right w:w="108" w:type="dxa"/>
            </w:tcMar>
            <w:hideMark/>
          </w:tcPr>
          <w:p w14:paraId="5CEF6E56"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Total, by sector </w:t>
            </w:r>
          </w:p>
        </w:tc>
        <w:tc>
          <w:tcPr>
            <w:tcW w:w="1730" w:type="dxa"/>
            <w:tcBorders>
              <w:top w:val="nil"/>
              <w:left w:val="nil"/>
              <w:bottom w:val="single" w:sz="8" w:space="0" w:color="ED7D31"/>
              <w:right w:val="single" w:sz="8" w:space="0" w:color="ED7D31"/>
            </w:tcBorders>
            <w:tcMar>
              <w:top w:w="0" w:type="dxa"/>
              <w:left w:w="108" w:type="dxa"/>
              <w:bottom w:w="0" w:type="dxa"/>
              <w:right w:w="108" w:type="dxa"/>
            </w:tcMar>
            <w:hideMark/>
          </w:tcPr>
          <w:p w14:paraId="6868C849"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-5.215</w:t>
            </w:r>
          </w:p>
        </w:tc>
        <w:tc>
          <w:tcPr>
            <w:tcW w:w="1749" w:type="dxa"/>
            <w:tcBorders>
              <w:top w:val="nil"/>
              <w:left w:val="nil"/>
              <w:bottom w:val="single" w:sz="8" w:space="0" w:color="ED7D31"/>
              <w:right w:val="single" w:sz="8" w:space="0" w:color="ED7D31"/>
            </w:tcBorders>
            <w:tcMar>
              <w:top w:w="0" w:type="dxa"/>
              <w:left w:w="108" w:type="dxa"/>
              <w:bottom w:w="0" w:type="dxa"/>
              <w:right w:w="108" w:type="dxa"/>
            </w:tcMar>
            <w:hideMark/>
          </w:tcPr>
          <w:p w14:paraId="16D879B4"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N/A </w:t>
            </w:r>
          </w:p>
        </w:tc>
        <w:tc>
          <w:tcPr>
            <w:tcW w:w="1738" w:type="dxa"/>
            <w:tcBorders>
              <w:top w:val="nil"/>
              <w:left w:val="nil"/>
              <w:bottom w:val="single" w:sz="8" w:space="0" w:color="ED7D31"/>
              <w:right w:val="single" w:sz="8" w:space="0" w:color="ED7D31"/>
            </w:tcBorders>
            <w:tcMar>
              <w:top w:w="0" w:type="dxa"/>
              <w:left w:w="108" w:type="dxa"/>
              <w:bottom w:w="0" w:type="dxa"/>
              <w:right w:w="108" w:type="dxa"/>
            </w:tcMar>
            <w:hideMark/>
          </w:tcPr>
          <w:p w14:paraId="09C1B86C"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1.573</w:t>
            </w:r>
          </w:p>
        </w:tc>
        <w:tc>
          <w:tcPr>
            <w:tcW w:w="1724" w:type="dxa"/>
            <w:tcBorders>
              <w:top w:val="nil"/>
              <w:left w:val="nil"/>
              <w:bottom w:val="single" w:sz="8" w:space="0" w:color="ED7D31"/>
              <w:right w:val="single" w:sz="8" w:space="0" w:color="ED7D31"/>
            </w:tcBorders>
            <w:tcMar>
              <w:top w:w="0" w:type="dxa"/>
              <w:left w:w="108" w:type="dxa"/>
              <w:bottom w:w="0" w:type="dxa"/>
              <w:right w:w="108" w:type="dxa"/>
            </w:tcMar>
            <w:hideMark/>
          </w:tcPr>
          <w:p w14:paraId="67CCCC64"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-3.642</w:t>
            </w:r>
          </w:p>
        </w:tc>
      </w:tr>
    </w:tbl>
    <w:p w14:paraId="001F21F9" w14:textId="77777777" w:rsidR="00BD1D88" w:rsidRPr="005F5709" w:rsidRDefault="00BD1D88" w:rsidP="008D6DEA">
      <w:pPr>
        <w:rPr>
          <w:rFonts w:asciiTheme="minorHAnsi" w:hAnsiTheme="minorHAnsi" w:cstheme="minorHAnsi"/>
        </w:rPr>
      </w:pPr>
    </w:p>
    <w:p w14:paraId="45670102"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br w:type="page"/>
      </w:r>
    </w:p>
    <w:p w14:paraId="1B9E825F" w14:textId="43992F0E" w:rsidR="00BD1D88" w:rsidRPr="005F5709" w:rsidRDefault="00BD1D88">
      <w:pPr>
        <w:pStyle w:val="Heading1"/>
      </w:pPr>
      <w:bookmarkStart w:id="117" w:name="_Toc88575311"/>
      <w:bookmarkStart w:id="118" w:name="_Toc113022227"/>
      <w:r w:rsidRPr="005F5709">
        <w:lastRenderedPageBreak/>
        <w:t xml:space="preserve">Chapter Six: </w:t>
      </w:r>
      <w:bookmarkEnd w:id="117"/>
      <w:r w:rsidRPr="005F5709">
        <w:t>Consultation</w:t>
      </w:r>
      <w:bookmarkEnd w:id="118"/>
      <w:r w:rsidRPr="005F5709">
        <w:t xml:space="preserve"> </w:t>
      </w:r>
    </w:p>
    <w:p w14:paraId="2AFC33CE" w14:textId="42295BD8" w:rsidR="00BD1D88" w:rsidRPr="005F5709" w:rsidRDefault="00BD1D88" w:rsidP="00DD5D42">
      <w:pPr>
        <w:pStyle w:val="Heading2"/>
        <w:rPr>
          <w:color w:val="002060"/>
        </w:rPr>
      </w:pPr>
      <w:bookmarkStart w:id="119" w:name="_Toc113022228"/>
      <w:r w:rsidRPr="005F5709">
        <w:rPr>
          <w:color w:val="002060"/>
        </w:rPr>
        <w:t>6.1 Australian apprenticeships incentives reform consultation</w:t>
      </w:r>
      <w:bookmarkEnd w:id="119"/>
    </w:p>
    <w:p w14:paraId="285C2FA4"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As described in Chapter One, prior to the COVID-19 pandemic, reforms sought to identify opportunities to reduce the complexity in the incentives system and address the decline in commencements and completions. This reform drew heavily on the Joyce Review (discussed below). </w:t>
      </w:r>
    </w:p>
    <w:p w14:paraId="739C7D31"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This led to the inception of the Incentives for Australian Apprenticeships (IAA) program which proposes modest changes to the current program that would achieve a simplified payment structure and reduce system complexity. However, the COVID-19 pandemic has created a different economic landscape and presented many opportunities to learn from, including market responsiveness to incentives such as the Boosting Apprenticeship Commencements (BAC) and Completing Apprenticeship Commencements (CAC) wage subsidies. The Productivity Commission’s review of the National Agreement for Skills and Workforce Development (NASWD)</w:t>
      </w:r>
      <w:r w:rsidRPr="005F5709">
        <w:rPr>
          <w:rFonts w:asciiTheme="minorHAnsi" w:hAnsiTheme="minorHAnsi" w:cstheme="minorHAnsi"/>
          <w:i/>
          <w:iCs/>
        </w:rPr>
        <w:t xml:space="preserve"> </w:t>
      </w:r>
      <w:r w:rsidRPr="005F5709">
        <w:rPr>
          <w:rFonts w:asciiTheme="minorHAnsi" w:hAnsiTheme="minorHAnsi" w:cstheme="minorHAnsi"/>
        </w:rPr>
        <w:t xml:space="preserve">has also exposed some of the current system’s shortcomings. </w:t>
      </w:r>
    </w:p>
    <w:p w14:paraId="557BC01A"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The Government undertook several stakeholder engagement activities and research projects to assess if the IAA was still fit-for-purpose and to inform further reform. Feedback on challenges with current incentives and possible options for an improved system were sought from stakeholders, including employers, apprentices, peak bodies, training organisations and state and territory representatives.</w:t>
      </w:r>
    </w:p>
    <w:p w14:paraId="078596AA"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Consultation determined the IAA is not equipped to operate in the current and emerging environment, without compromising commencements and completions. Instead, reforms should prioritise:</w:t>
      </w:r>
    </w:p>
    <w:p w14:paraId="2AF1BCD8" w14:textId="77777777" w:rsidR="00BD1D88" w:rsidRPr="005F5709" w:rsidRDefault="00BD1D88" w:rsidP="00977294">
      <w:pPr>
        <w:pStyle w:val="ListParagraph"/>
        <w:numPr>
          <w:ilvl w:val="0"/>
          <w:numId w:val="38"/>
        </w:numPr>
        <w:spacing w:after="200" w:line="276" w:lineRule="auto"/>
        <w:rPr>
          <w:rFonts w:asciiTheme="minorHAnsi" w:hAnsiTheme="minorHAnsi" w:cstheme="minorHAnsi"/>
        </w:rPr>
      </w:pPr>
      <w:r w:rsidRPr="005F5709">
        <w:rPr>
          <w:rFonts w:asciiTheme="minorHAnsi" w:hAnsiTheme="minorHAnsi" w:cstheme="minorHAnsi"/>
        </w:rPr>
        <w:t>Sustaining commencements, above pre-BAC levels;</w:t>
      </w:r>
    </w:p>
    <w:p w14:paraId="16E67014" w14:textId="77777777" w:rsidR="00BD1D88" w:rsidRPr="005F5709" w:rsidRDefault="00BD1D88" w:rsidP="00977294">
      <w:pPr>
        <w:pStyle w:val="ListParagraph"/>
        <w:numPr>
          <w:ilvl w:val="0"/>
          <w:numId w:val="38"/>
        </w:numPr>
        <w:spacing w:after="200" w:line="276" w:lineRule="auto"/>
        <w:rPr>
          <w:rFonts w:asciiTheme="minorHAnsi" w:hAnsiTheme="minorHAnsi" w:cstheme="minorHAnsi"/>
        </w:rPr>
      </w:pPr>
      <w:r w:rsidRPr="005F5709">
        <w:rPr>
          <w:rFonts w:asciiTheme="minorHAnsi" w:hAnsiTheme="minorHAnsi" w:cstheme="minorHAnsi"/>
        </w:rPr>
        <w:t>Targeting skill shortages to secure the future of the Australia’s pipeline of skilled workers; and</w:t>
      </w:r>
    </w:p>
    <w:p w14:paraId="21667F4B" w14:textId="77777777" w:rsidR="00BD1D88" w:rsidRPr="005F5709" w:rsidRDefault="00BD1D88" w:rsidP="00977294">
      <w:pPr>
        <w:pStyle w:val="ListParagraph"/>
        <w:numPr>
          <w:ilvl w:val="0"/>
          <w:numId w:val="38"/>
        </w:numPr>
        <w:spacing w:after="200" w:line="276" w:lineRule="auto"/>
        <w:rPr>
          <w:rFonts w:asciiTheme="minorHAnsi" w:hAnsiTheme="minorHAnsi" w:cstheme="minorHAnsi"/>
        </w:rPr>
      </w:pPr>
      <w:r w:rsidRPr="005F5709">
        <w:rPr>
          <w:rFonts w:asciiTheme="minorHAnsi" w:hAnsiTheme="minorHAnsi" w:cstheme="minorHAnsi"/>
        </w:rPr>
        <w:t>Providing more support to the apprentice, to improve completions.</w:t>
      </w:r>
    </w:p>
    <w:p w14:paraId="742E136B" w14:textId="77777777" w:rsidR="00BD1D88" w:rsidRPr="005F5709" w:rsidRDefault="00BD1D88" w:rsidP="00816A68">
      <w:pPr>
        <w:rPr>
          <w:rFonts w:asciiTheme="minorHAnsi" w:hAnsiTheme="minorHAnsi" w:cstheme="minorHAnsi"/>
        </w:rPr>
      </w:pPr>
    </w:p>
    <w:p w14:paraId="26ABF266" w14:textId="77777777" w:rsidR="00BD1D88" w:rsidRPr="005F5709" w:rsidRDefault="00BD1D88">
      <w:pPr>
        <w:rPr>
          <w:rStyle w:val="normaltextrun"/>
          <w:rFonts w:asciiTheme="minorHAnsi" w:hAnsiTheme="minorHAnsi" w:cstheme="minorHAnsi"/>
          <w:b/>
          <w:bCs/>
          <w:color w:val="000000"/>
          <w:bdr w:val="none" w:sz="0" w:space="0" w:color="auto" w:frame="1"/>
        </w:rPr>
      </w:pPr>
      <w:r w:rsidRPr="005F5709">
        <w:rPr>
          <w:rStyle w:val="normaltextrun"/>
          <w:rFonts w:asciiTheme="minorHAnsi" w:hAnsiTheme="minorHAnsi" w:cstheme="minorHAnsi"/>
          <w:b/>
          <w:bCs/>
          <w:color w:val="000000"/>
          <w:bdr w:val="none" w:sz="0" w:space="0" w:color="auto" w:frame="1"/>
        </w:rPr>
        <w:br w:type="page"/>
      </w:r>
    </w:p>
    <w:p w14:paraId="2D7EF6B7" w14:textId="77777777" w:rsidR="00BD1D88" w:rsidRPr="005F5709" w:rsidRDefault="00BD1D88" w:rsidP="00816A68">
      <w:pPr>
        <w:rPr>
          <w:rFonts w:asciiTheme="minorHAnsi" w:hAnsiTheme="minorHAnsi" w:cstheme="minorHAnsi"/>
          <w:b/>
          <w:bCs/>
          <w:highlight w:val="yellow"/>
        </w:rPr>
      </w:pPr>
      <w:r w:rsidRPr="005F5709">
        <w:rPr>
          <w:rStyle w:val="normaltextrun"/>
          <w:rFonts w:asciiTheme="minorHAnsi" w:hAnsiTheme="minorHAnsi" w:cstheme="minorHAnsi"/>
          <w:b/>
          <w:bCs/>
          <w:color w:val="000000"/>
          <w:bdr w:val="none" w:sz="0" w:space="0" w:color="auto" w:frame="1"/>
        </w:rPr>
        <w:lastRenderedPageBreak/>
        <w:t>Table 8: Key views from the sector summary</w:t>
      </w:r>
    </w:p>
    <w:tbl>
      <w:tblPr>
        <w:tblStyle w:val="TableGrid"/>
        <w:tblW w:w="9067" w:type="dxa"/>
        <w:tblLook w:val="04A0" w:firstRow="1" w:lastRow="0" w:firstColumn="1" w:lastColumn="0" w:noHBand="0" w:noVBand="1"/>
      </w:tblPr>
      <w:tblGrid>
        <w:gridCol w:w="1387"/>
        <w:gridCol w:w="7680"/>
      </w:tblGrid>
      <w:tr w:rsidR="00BD1D88" w:rsidRPr="005F5709" w14:paraId="083DA822" w14:textId="77777777" w:rsidTr="00135380">
        <w:trPr>
          <w:trHeight w:val="1101"/>
          <w:tblHeader/>
        </w:trPr>
        <w:tc>
          <w:tcPr>
            <w:tcW w:w="1289" w:type="dxa"/>
            <w:tcBorders>
              <w:top w:val="single" w:sz="4" w:space="0" w:color="FFFFFF" w:themeColor="background1"/>
              <w:left w:val="single" w:sz="4" w:space="0" w:color="FFFFFF" w:themeColor="background1"/>
              <w:bottom w:val="single" w:sz="4" w:space="0" w:color="auto"/>
              <w:right w:val="single" w:sz="4" w:space="0" w:color="auto"/>
            </w:tcBorders>
            <w:vAlign w:val="center"/>
          </w:tcPr>
          <w:p w14:paraId="7ACBA524" w14:textId="77777777" w:rsidR="00BD1D88" w:rsidRPr="005F5709" w:rsidRDefault="00BD1D88">
            <w:pPr>
              <w:rPr>
                <w:rFonts w:asciiTheme="minorHAnsi" w:hAnsiTheme="minorHAnsi" w:cstheme="minorHAnsi"/>
                <w:i/>
                <w:iCs/>
              </w:rPr>
            </w:pPr>
          </w:p>
        </w:tc>
        <w:tc>
          <w:tcPr>
            <w:tcW w:w="777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8B4E09"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Issues of significance</w:t>
            </w:r>
          </w:p>
        </w:tc>
      </w:tr>
      <w:tr w:rsidR="00BD1D88" w:rsidRPr="005F5709" w14:paraId="18842689" w14:textId="77777777" w:rsidTr="0022335A">
        <w:trPr>
          <w:trHeight w:val="693"/>
        </w:trPr>
        <w:tc>
          <w:tcPr>
            <w:tcW w:w="1289"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4067D361" w14:textId="77777777" w:rsidR="00BD1D88" w:rsidRPr="005F5709" w:rsidRDefault="00BD1D88">
            <w:pPr>
              <w:rPr>
                <w:rFonts w:asciiTheme="minorHAnsi" w:hAnsiTheme="minorHAnsi" w:cstheme="minorHAnsi"/>
              </w:rPr>
            </w:pPr>
            <w:r w:rsidRPr="005F5709">
              <w:rPr>
                <w:rStyle w:val="normaltextrun"/>
                <w:rFonts w:asciiTheme="minorHAnsi" w:hAnsiTheme="minorHAnsi" w:cstheme="minorHAnsi"/>
                <w:color w:val="000000"/>
                <w:bdr w:val="none" w:sz="0" w:space="0" w:color="auto" w:frame="1"/>
              </w:rPr>
              <w:t>Apprentices</w:t>
            </w:r>
          </w:p>
        </w:tc>
        <w:tc>
          <w:tcPr>
            <w:tcW w:w="7778" w:type="dxa"/>
            <w:tcBorders>
              <w:top w:val="single" w:sz="4" w:space="0" w:color="auto"/>
              <w:left w:val="single" w:sz="4" w:space="0" w:color="auto"/>
              <w:bottom w:val="single" w:sz="4" w:space="0" w:color="auto"/>
              <w:right w:val="single" w:sz="4" w:space="0" w:color="auto"/>
            </w:tcBorders>
            <w:hideMark/>
          </w:tcPr>
          <w:p w14:paraId="6A24FE76"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Productivity Commission:</w:t>
            </w:r>
          </w:p>
          <w:p w14:paraId="2842E6FC" w14:textId="77777777" w:rsidR="00BD1D88" w:rsidRPr="005F5709" w:rsidRDefault="00BD1D88">
            <w:pPr>
              <w:rPr>
                <w:rFonts w:asciiTheme="minorHAnsi" w:hAnsiTheme="minorHAnsi" w:cstheme="minorHAnsi"/>
              </w:rPr>
            </w:pPr>
            <w:r w:rsidRPr="005F5709">
              <w:rPr>
                <w:rFonts w:asciiTheme="minorHAnsi" w:hAnsiTheme="minorHAnsi" w:cstheme="minorHAnsi"/>
              </w:rPr>
              <w:t>Factors that contribute to apprenticeship non-completion:</w:t>
            </w:r>
          </w:p>
          <w:p w14:paraId="29A41D87" w14:textId="77777777" w:rsidR="00BD1D88" w:rsidRPr="005F5709" w:rsidRDefault="00BD1D88" w:rsidP="00977294">
            <w:pPr>
              <w:pStyle w:val="ListParagraph"/>
              <w:numPr>
                <w:ilvl w:val="0"/>
                <w:numId w:val="44"/>
              </w:numPr>
              <w:spacing w:after="200" w:line="276" w:lineRule="auto"/>
              <w:rPr>
                <w:rFonts w:asciiTheme="minorHAnsi" w:hAnsiTheme="minorHAnsi" w:cstheme="minorHAnsi"/>
              </w:rPr>
            </w:pPr>
            <w:r w:rsidRPr="005F5709">
              <w:rPr>
                <w:rFonts w:asciiTheme="minorHAnsi" w:hAnsiTheme="minorHAnsi" w:cstheme="minorHAnsi"/>
              </w:rPr>
              <w:t>The immediate or prospective benefits may be too low;</w:t>
            </w:r>
          </w:p>
          <w:p w14:paraId="180D7E91" w14:textId="77777777" w:rsidR="00BD1D88" w:rsidRPr="005F5709" w:rsidRDefault="00BD1D88" w:rsidP="00977294">
            <w:pPr>
              <w:pStyle w:val="ListParagraph"/>
              <w:numPr>
                <w:ilvl w:val="0"/>
                <w:numId w:val="44"/>
              </w:numPr>
              <w:spacing w:after="200" w:line="276" w:lineRule="auto"/>
              <w:rPr>
                <w:rFonts w:asciiTheme="minorHAnsi" w:hAnsiTheme="minorHAnsi" w:cstheme="minorHAnsi"/>
              </w:rPr>
            </w:pPr>
            <w:r w:rsidRPr="005F5709">
              <w:rPr>
                <w:rFonts w:asciiTheme="minorHAnsi" w:hAnsiTheme="minorHAnsi" w:cstheme="minorHAnsi"/>
              </w:rPr>
              <w:t>The costs of undertaking an apprenticeship may be too high; and</w:t>
            </w:r>
          </w:p>
          <w:p w14:paraId="58BD2ED5" w14:textId="77777777" w:rsidR="00BD1D88" w:rsidRPr="005F5709" w:rsidRDefault="00BD1D88" w:rsidP="00977294">
            <w:pPr>
              <w:pStyle w:val="ListParagraph"/>
              <w:numPr>
                <w:ilvl w:val="0"/>
                <w:numId w:val="44"/>
              </w:numPr>
              <w:spacing w:after="200" w:line="276" w:lineRule="auto"/>
              <w:rPr>
                <w:rFonts w:asciiTheme="minorHAnsi" w:hAnsiTheme="minorHAnsi" w:cstheme="minorHAnsi"/>
              </w:rPr>
            </w:pPr>
            <w:r w:rsidRPr="005F5709">
              <w:rPr>
                <w:rFonts w:asciiTheme="minorHAnsi" w:hAnsiTheme="minorHAnsi" w:cstheme="minorHAnsi"/>
              </w:rPr>
              <w:t>There may be non-financial barriers, including lack of career information, and negative community or individual attitudes.</w:t>
            </w:r>
          </w:p>
          <w:p w14:paraId="6CBA7705"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Wallis Surveys:</w:t>
            </w:r>
          </w:p>
          <w:p w14:paraId="4874EC42" w14:textId="77777777" w:rsidR="00BD1D88" w:rsidRPr="005F5709" w:rsidRDefault="00BD1D88" w:rsidP="00977294">
            <w:pPr>
              <w:pStyle w:val="ListParagraph"/>
              <w:numPr>
                <w:ilvl w:val="0"/>
                <w:numId w:val="47"/>
              </w:numPr>
              <w:spacing w:after="200" w:line="276" w:lineRule="auto"/>
              <w:rPr>
                <w:rFonts w:asciiTheme="minorHAnsi" w:hAnsiTheme="minorHAnsi" w:cstheme="minorHAnsi"/>
              </w:rPr>
            </w:pPr>
            <w:r w:rsidRPr="005F5709">
              <w:rPr>
                <w:rFonts w:asciiTheme="minorHAnsi" w:hAnsiTheme="minorHAnsi" w:cstheme="minorHAnsi"/>
              </w:rPr>
              <w:t>Apprentices need and value non-financial support;</w:t>
            </w:r>
          </w:p>
          <w:p w14:paraId="48987A1D" w14:textId="77777777" w:rsidR="00BD1D88" w:rsidRPr="005F5709" w:rsidRDefault="00BD1D88" w:rsidP="00977294">
            <w:pPr>
              <w:pStyle w:val="ListParagraph"/>
              <w:numPr>
                <w:ilvl w:val="0"/>
                <w:numId w:val="47"/>
              </w:numPr>
              <w:spacing w:after="200" w:line="276" w:lineRule="auto"/>
              <w:rPr>
                <w:rFonts w:asciiTheme="minorHAnsi" w:hAnsiTheme="minorHAnsi" w:cstheme="minorHAnsi"/>
              </w:rPr>
            </w:pPr>
            <w:r w:rsidRPr="005F5709">
              <w:rPr>
                <w:rFonts w:asciiTheme="minorHAnsi" w:hAnsiTheme="minorHAnsi" w:cstheme="minorHAnsi"/>
              </w:rPr>
              <w:t>Barriers to entry, particularly sign-up; and</w:t>
            </w:r>
          </w:p>
          <w:p w14:paraId="1C919815" w14:textId="77777777" w:rsidR="00BD1D88" w:rsidRPr="005F5709" w:rsidRDefault="00BD1D88" w:rsidP="00977294">
            <w:pPr>
              <w:pStyle w:val="ListParagraph"/>
              <w:numPr>
                <w:ilvl w:val="0"/>
                <w:numId w:val="47"/>
              </w:numPr>
              <w:spacing w:after="200" w:line="276" w:lineRule="auto"/>
              <w:rPr>
                <w:rFonts w:asciiTheme="minorHAnsi" w:hAnsiTheme="minorHAnsi" w:cstheme="minorHAnsi"/>
              </w:rPr>
            </w:pPr>
            <w:r w:rsidRPr="005F5709">
              <w:rPr>
                <w:rFonts w:asciiTheme="minorHAnsi" w:hAnsiTheme="minorHAnsi" w:cstheme="minorHAnsi"/>
              </w:rPr>
              <w:t>Apprentices highly value on-the-job training.</w:t>
            </w:r>
          </w:p>
        </w:tc>
      </w:tr>
      <w:tr w:rsidR="00BD1D88" w:rsidRPr="005F5709" w14:paraId="5B73E711" w14:textId="77777777" w:rsidTr="0022335A">
        <w:trPr>
          <w:trHeight w:val="2469"/>
        </w:trPr>
        <w:tc>
          <w:tcPr>
            <w:tcW w:w="1289"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20C7257F" w14:textId="77777777" w:rsidR="00BD1D88" w:rsidRPr="005F5709" w:rsidRDefault="00BD1D88">
            <w:pPr>
              <w:rPr>
                <w:rFonts w:asciiTheme="minorHAnsi" w:hAnsiTheme="minorHAnsi" w:cstheme="minorHAnsi"/>
              </w:rPr>
            </w:pPr>
            <w:r w:rsidRPr="005F5709">
              <w:rPr>
                <w:rStyle w:val="normaltextrun"/>
                <w:rFonts w:asciiTheme="minorHAnsi" w:hAnsiTheme="minorHAnsi" w:cstheme="minorHAnsi"/>
                <w:color w:val="000000"/>
                <w:bdr w:val="none" w:sz="0" w:space="0" w:color="auto" w:frame="1"/>
              </w:rPr>
              <w:t>Employers</w:t>
            </w:r>
          </w:p>
        </w:tc>
        <w:tc>
          <w:tcPr>
            <w:tcW w:w="7778" w:type="dxa"/>
            <w:tcBorders>
              <w:top w:val="single" w:sz="4" w:space="0" w:color="auto"/>
              <w:left w:val="single" w:sz="4" w:space="0" w:color="auto"/>
              <w:bottom w:val="single" w:sz="4" w:space="0" w:color="auto"/>
              <w:right w:val="single" w:sz="4" w:space="0" w:color="auto"/>
            </w:tcBorders>
            <w:hideMark/>
          </w:tcPr>
          <w:p w14:paraId="12F636CE"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Joyce Review:</w:t>
            </w:r>
          </w:p>
          <w:p w14:paraId="0AA1431F" w14:textId="77777777" w:rsidR="00BD1D88" w:rsidRPr="005F5709" w:rsidRDefault="00BD1D88">
            <w:pPr>
              <w:rPr>
                <w:rFonts w:asciiTheme="minorHAnsi" w:hAnsiTheme="minorHAnsi" w:cstheme="minorHAnsi"/>
              </w:rPr>
            </w:pPr>
            <w:r w:rsidRPr="005F5709">
              <w:rPr>
                <w:rFonts w:asciiTheme="minorHAnsi" w:hAnsiTheme="minorHAnsi" w:cstheme="minorHAnsi"/>
              </w:rPr>
              <w:t>Employers are concerned by skills shortages in occupations for which apprenticeships are the main pathway.</w:t>
            </w:r>
          </w:p>
          <w:p w14:paraId="6798BE45"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Productivity Commission:</w:t>
            </w:r>
          </w:p>
          <w:p w14:paraId="69C85E3E" w14:textId="77777777" w:rsidR="00BD1D88" w:rsidRPr="005F5709" w:rsidRDefault="00BD1D88">
            <w:pPr>
              <w:rPr>
                <w:rFonts w:asciiTheme="minorHAnsi" w:hAnsiTheme="minorHAnsi" w:cstheme="minorHAnsi"/>
              </w:rPr>
            </w:pPr>
            <w:r w:rsidRPr="005F5709">
              <w:rPr>
                <w:rFonts w:asciiTheme="minorHAnsi" w:hAnsiTheme="minorHAnsi" w:cstheme="minorHAnsi"/>
              </w:rPr>
              <w:t>Factors that prevent employers from taking on an apprentice:</w:t>
            </w:r>
          </w:p>
          <w:p w14:paraId="46D4500F" w14:textId="77777777" w:rsidR="00BD1D88" w:rsidRPr="005F5709" w:rsidRDefault="00BD1D88" w:rsidP="00977294">
            <w:pPr>
              <w:pStyle w:val="ListParagraph"/>
              <w:numPr>
                <w:ilvl w:val="0"/>
                <w:numId w:val="45"/>
              </w:numPr>
              <w:spacing w:after="200" w:line="276" w:lineRule="auto"/>
              <w:rPr>
                <w:rFonts w:asciiTheme="minorHAnsi" w:hAnsiTheme="minorHAnsi" w:cstheme="minorHAnsi"/>
              </w:rPr>
            </w:pPr>
            <w:r w:rsidRPr="005F5709">
              <w:rPr>
                <w:rFonts w:asciiTheme="minorHAnsi" w:hAnsiTheme="minorHAnsi" w:cstheme="minorHAnsi"/>
              </w:rPr>
              <w:t>The productive contribution of the apprentice may be too low;</w:t>
            </w:r>
          </w:p>
          <w:p w14:paraId="5A1019A1" w14:textId="77777777" w:rsidR="00BD1D88" w:rsidRPr="005F5709" w:rsidRDefault="00BD1D88" w:rsidP="00977294">
            <w:pPr>
              <w:pStyle w:val="ListParagraph"/>
              <w:numPr>
                <w:ilvl w:val="0"/>
                <w:numId w:val="45"/>
              </w:numPr>
              <w:spacing w:after="200" w:line="276" w:lineRule="auto"/>
              <w:rPr>
                <w:rFonts w:asciiTheme="minorHAnsi" w:hAnsiTheme="minorHAnsi" w:cstheme="minorHAnsi"/>
              </w:rPr>
            </w:pPr>
            <w:r w:rsidRPr="005F5709">
              <w:rPr>
                <w:rFonts w:asciiTheme="minorHAnsi" w:hAnsiTheme="minorHAnsi" w:cstheme="minorHAnsi"/>
              </w:rPr>
              <w:t>The costs to employers may be too high;</w:t>
            </w:r>
          </w:p>
          <w:p w14:paraId="36B40896" w14:textId="77777777" w:rsidR="00BD1D88" w:rsidRPr="005F5709" w:rsidRDefault="00BD1D88" w:rsidP="00977294">
            <w:pPr>
              <w:pStyle w:val="ListParagraph"/>
              <w:numPr>
                <w:ilvl w:val="0"/>
                <w:numId w:val="45"/>
              </w:numPr>
              <w:spacing w:after="200" w:line="276" w:lineRule="auto"/>
              <w:rPr>
                <w:rFonts w:asciiTheme="minorHAnsi" w:hAnsiTheme="minorHAnsi" w:cstheme="minorHAnsi"/>
              </w:rPr>
            </w:pPr>
            <w:r w:rsidRPr="005F5709">
              <w:rPr>
                <w:rFonts w:asciiTheme="minorHAnsi" w:hAnsiTheme="minorHAnsi" w:cstheme="minorHAnsi"/>
              </w:rPr>
              <w:t>The risk that their investment in an apprenticeship will not provide longer</w:t>
            </w:r>
            <w:r w:rsidRPr="005F5709">
              <w:rPr>
                <w:rFonts w:asciiTheme="minorHAnsi" w:hAnsiTheme="minorHAnsi" w:cstheme="minorHAnsi"/>
              </w:rPr>
              <w:noBreakHyphen/>
              <w:t>term returns, (for instance non-completions).</w:t>
            </w:r>
          </w:p>
          <w:p w14:paraId="33BA26D4"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Wallis Surveys:</w:t>
            </w:r>
          </w:p>
          <w:p w14:paraId="07705FAC" w14:textId="77777777" w:rsidR="00BD1D88" w:rsidRPr="005F5709" w:rsidRDefault="00BD1D88" w:rsidP="00977294">
            <w:pPr>
              <w:pStyle w:val="ListParagraph"/>
              <w:numPr>
                <w:ilvl w:val="0"/>
                <w:numId w:val="46"/>
              </w:numPr>
              <w:spacing w:after="200" w:line="276" w:lineRule="auto"/>
              <w:rPr>
                <w:rFonts w:asciiTheme="minorHAnsi" w:hAnsiTheme="minorHAnsi" w:cstheme="minorHAnsi"/>
              </w:rPr>
            </w:pPr>
            <w:r w:rsidRPr="005F5709">
              <w:rPr>
                <w:rFonts w:asciiTheme="minorHAnsi" w:hAnsiTheme="minorHAnsi" w:cstheme="minorHAnsi"/>
              </w:rPr>
              <w:t>Challenges of hiring and sign-up; and</w:t>
            </w:r>
          </w:p>
          <w:p w14:paraId="7D12F5FD" w14:textId="77777777" w:rsidR="00BD1D88" w:rsidRPr="005F5709" w:rsidRDefault="00BD1D88" w:rsidP="00977294">
            <w:pPr>
              <w:pStyle w:val="ListParagraph"/>
              <w:numPr>
                <w:ilvl w:val="0"/>
                <w:numId w:val="46"/>
              </w:numPr>
              <w:spacing w:after="200" w:line="276" w:lineRule="auto"/>
              <w:rPr>
                <w:rFonts w:asciiTheme="minorHAnsi" w:hAnsiTheme="minorHAnsi" w:cstheme="minorHAnsi"/>
              </w:rPr>
            </w:pPr>
            <w:r w:rsidRPr="005F5709">
              <w:rPr>
                <w:rFonts w:asciiTheme="minorHAnsi" w:hAnsiTheme="minorHAnsi" w:cstheme="minorHAnsi"/>
              </w:rPr>
              <w:t>Employers support increased support for apprentices.</w:t>
            </w:r>
          </w:p>
        </w:tc>
      </w:tr>
      <w:tr w:rsidR="00BD1D88" w:rsidRPr="005F5709" w14:paraId="15B1E6E7" w14:textId="77777777" w:rsidTr="0022335A">
        <w:trPr>
          <w:trHeight w:val="673"/>
        </w:trPr>
        <w:tc>
          <w:tcPr>
            <w:tcW w:w="1289"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08745045" w14:textId="77777777" w:rsidR="00BD1D88" w:rsidRPr="005F5709" w:rsidRDefault="00BD1D88">
            <w:pPr>
              <w:rPr>
                <w:rFonts w:asciiTheme="minorHAnsi" w:hAnsiTheme="minorHAnsi" w:cstheme="minorHAnsi"/>
              </w:rPr>
            </w:pPr>
            <w:r w:rsidRPr="005F5709">
              <w:rPr>
                <w:rStyle w:val="normaltextrun"/>
                <w:rFonts w:asciiTheme="minorHAnsi" w:hAnsiTheme="minorHAnsi" w:cstheme="minorHAnsi"/>
                <w:color w:val="000000"/>
                <w:bdr w:val="none" w:sz="0" w:space="0" w:color="auto" w:frame="1"/>
              </w:rPr>
              <w:t>AASNs</w:t>
            </w:r>
          </w:p>
        </w:tc>
        <w:tc>
          <w:tcPr>
            <w:tcW w:w="7778" w:type="dxa"/>
            <w:tcBorders>
              <w:top w:val="single" w:sz="4" w:space="0" w:color="auto"/>
              <w:left w:val="single" w:sz="4" w:space="0" w:color="auto"/>
              <w:bottom w:val="single" w:sz="4" w:space="0" w:color="auto"/>
              <w:right w:val="single" w:sz="4" w:space="0" w:color="auto"/>
            </w:tcBorders>
          </w:tcPr>
          <w:p w14:paraId="7138196A"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Productivity Commission:</w:t>
            </w:r>
          </w:p>
          <w:p w14:paraId="1033FA1C" w14:textId="77777777" w:rsidR="00BD1D88" w:rsidRPr="005F5709" w:rsidRDefault="00BD1D88">
            <w:pPr>
              <w:rPr>
                <w:rFonts w:asciiTheme="minorHAnsi" w:hAnsiTheme="minorHAnsi" w:cstheme="minorHAnsi"/>
              </w:rPr>
            </w:pPr>
            <w:r w:rsidRPr="005F5709">
              <w:rPr>
                <w:rFonts w:asciiTheme="minorHAnsi" w:hAnsiTheme="minorHAnsi" w:cstheme="minorHAnsi"/>
              </w:rPr>
              <w:t>Joint contracting between Australian Apprenticeship Support Network (AASN) providers and Skill Training Authorities (STA) would improve the system.</w:t>
            </w:r>
          </w:p>
          <w:p w14:paraId="350ECEBA"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National Australian Apprenticeship Association – A blueprint for strengthening apprenticeships:</w:t>
            </w:r>
          </w:p>
          <w:p w14:paraId="141D8526" w14:textId="77777777" w:rsidR="00BD1D88" w:rsidRPr="005F5709" w:rsidRDefault="00BD1D88">
            <w:pPr>
              <w:rPr>
                <w:rFonts w:asciiTheme="minorHAnsi" w:hAnsiTheme="minorHAnsi" w:cstheme="minorHAnsi"/>
                <w:i/>
                <w:iCs/>
              </w:rPr>
            </w:pPr>
            <w:r w:rsidRPr="005F5709">
              <w:rPr>
                <w:rFonts w:asciiTheme="minorHAnsi" w:hAnsiTheme="minorHAnsi" w:cstheme="minorHAnsi"/>
                <w:i/>
                <w:iCs/>
              </w:rPr>
              <w:t>Key issues for the apprenticeship system:</w:t>
            </w:r>
          </w:p>
          <w:p w14:paraId="4B89B289" w14:textId="77777777" w:rsidR="00BD1D88" w:rsidRPr="005F5709" w:rsidRDefault="00BD1D88" w:rsidP="00977294">
            <w:pPr>
              <w:pStyle w:val="ListParagraph"/>
              <w:numPr>
                <w:ilvl w:val="0"/>
                <w:numId w:val="46"/>
              </w:numPr>
              <w:spacing w:after="200" w:line="276" w:lineRule="auto"/>
              <w:rPr>
                <w:rFonts w:asciiTheme="minorHAnsi" w:hAnsiTheme="minorHAnsi" w:cstheme="minorHAnsi"/>
              </w:rPr>
            </w:pPr>
            <w:r w:rsidRPr="005F5709">
              <w:rPr>
                <w:rFonts w:asciiTheme="minorHAnsi" w:hAnsiTheme="minorHAnsi" w:cstheme="minorHAnsi"/>
              </w:rPr>
              <w:t>How to maintain an optimal level of commencements and improve completions;</w:t>
            </w:r>
          </w:p>
          <w:p w14:paraId="7C93004A" w14:textId="77777777" w:rsidR="00BD1D88" w:rsidRPr="005F5709" w:rsidRDefault="00BD1D88" w:rsidP="00977294">
            <w:pPr>
              <w:pStyle w:val="ListParagraph"/>
              <w:numPr>
                <w:ilvl w:val="0"/>
                <w:numId w:val="46"/>
              </w:numPr>
              <w:spacing w:after="200" w:line="276" w:lineRule="auto"/>
              <w:rPr>
                <w:rFonts w:asciiTheme="minorHAnsi" w:hAnsiTheme="minorHAnsi" w:cstheme="minorHAnsi"/>
              </w:rPr>
            </w:pPr>
            <w:r w:rsidRPr="005F5709">
              <w:rPr>
                <w:rFonts w:asciiTheme="minorHAnsi" w:hAnsiTheme="minorHAnsi" w:cstheme="minorHAnsi"/>
              </w:rPr>
              <w:t>Improve the user experience;</w:t>
            </w:r>
          </w:p>
          <w:p w14:paraId="2E7F24E0" w14:textId="77777777" w:rsidR="00BD1D88" w:rsidRPr="005F5709" w:rsidRDefault="00BD1D88" w:rsidP="00977294">
            <w:pPr>
              <w:pStyle w:val="ListParagraph"/>
              <w:numPr>
                <w:ilvl w:val="0"/>
                <w:numId w:val="46"/>
              </w:numPr>
              <w:spacing w:after="200" w:line="276" w:lineRule="auto"/>
              <w:rPr>
                <w:rFonts w:asciiTheme="minorHAnsi" w:hAnsiTheme="minorHAnsi" w:cstheme="minorHAnsi"/>
              </w:rPr>
            </w:pPr>
            <w:r w:rsidRPr="005F5709">
              <w:rPr>
                <w:rFonts w:asciiTheme="minorHAnsi" w:hAnsiTheme="minorHAnsi" w:cstheme="minorHAnsi"/>
              </w:rPr>
              <w:t>Support businesses with new and higher-level skill needs; and</w:t>
            </w:r>
          </w:p>
          <w:p w14:paraId="5EB660F1" w14:textId="77777777" w:rsidR="00BD1D88" w:rsidRPr="005F5709" w:rsidRDefault="00BD1D88" w:rsidP="00977294">
            <w:pPr>
              <w:pStyle w:val="ListParagraph"/>
              <w:numPr>
                <w:ilvl w:val="0"/>
                <w:numId w:val="46"/>
              </w:numPr>
              <w:spacing w:after="200" w:line="276" w:lineRule="auto"/>
              <w:rPr>
                <w:rFonts w:asciiTheme="minorHAnsi" w:hAnsiTheme="minorHAnsi" w:cstheme="minorHAnsi"/>
              </w:rPr>
            </w:pPr>
            <w:r w:rsidRPr="005F5709">
              <w:rPr>
                <w:rFonts w:asciiTheme="minorHAnsi" w:hAnsiTheme="minorHAnsi" w:cstheme="minorHAnsi"/>
              </w:rPr>
              <w:t>Align Vocational Education and Training (VET) reform agenda to meet needs of employers, apprentices and trainees.</w:t>
            </w:r>
          </w:p>
        </w:tc>
      </w:tr>
    </w:tbl>
    <w:p w14:paraId="64F3EE3A" w14:textId="60B16724" w:rsidR="00BD1D88" w:rsidRPr="005F5709" w:rsidRDefault="00BD1D88" w:rsidP="003543EF">
      <w:pPr>
        <w:pStyle w:val="Heading3"/>
      </w:pPr>
      <w:bookmarkStart w:id="120" w:name="_Toc113022229"/>
      <w:r w:rsidRPr="005F5709">
        <w:lastRenderedPageBreak/>
        <w:t>Primary research</w:t>
      </w:r>
      <w:bookmarkEnd w:id="120"/>
    </w:p>
    <w:p w14:paraId="7D071DC1" w14:textId="77777777" w:rsidR="00BD1D88" w:rsidRPr="005F5709" w:rsidRDefault="00BD1D88" w:rsidP="001F4E9B">
      <w:pPr>
        <w:pStyle w:val="Heading5"/>
        <w:rPr>
          <w:rFonts w:asciiTheme="minorHAnsi" w:hAnsiTheme="minorHAnsi" w:cstheme="minorHAnsi"/>
        </w:rPr>
      </w:pPr>
      <w:r w:rsidRPr="005F5709">
        <w:rPr>
          <w:rFonts w:asciiTheme="minorHAnsi" w:hAnsiTheme="minorHAnsi" w:cstheme="minorHAnsi"/>
        </w:rPr>
        <w:t xml:space="preserve">National Centre for Vocational Education research </w:t>
      </w:r>
    </w:p>
    <w:p w14:paraId="150D6A87"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National Centre for Vocational Education Research (NCVER) is the national professional body responsible for collecting, managing, analysing and communicating research and statistics on the Australian VET sector, including apprenticeships.</w:t>
      </w:r>
    </w:p>
    <w:p w14:paraId="3EBC88CC"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NCVER publishes a number of research findings on VET and apprenticeships, including a quarterly data infographic and research into specific apprenticeship issues aimed at helping inform policy. The direction and priorities for NCVER research is determined primarily through the Skills Senior Officials Network (SSON).</w:t>
      </w:r>
    </w:p>
    <w:p w14:paraId="61D8C616"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Some recent examples of their research include:</w:t>
      </w:r>
    </w:p>
    <w:p w14:paraId="54341AE0" w14:textId="77777777" w:rsidR="00BD1D88" w:rsidRPr="005F5709" w:rsidRDefault="00BD1D88" w:rsidP="00977294">
      <w:pPr>
        <w:pStyle w:val="ListParagraph"/>
        <w:numPr>
          <w:ilvl w:val="0"/>
          <w:numId w:val="39"/>
        </w:numPr>
        <w:spacing w:after="200" w:line="276" w:lineRule="auto"/>
        <w:rPr>
          <w:rFonts w:asciiTheme="minorHAnsi" w:hAnsiTheme="minorHAnsi" w:cstheme="minorHAnsi"/>
        </w:rPr>
      </w:pPr>
      <w:r w:rsidRPr="005F5709">
        <w:rPr>
          <w:rFonts w:asciiTheme="minorHAnsi" w:hAnsiTheme="minorHAnsi" w:cstheme="minorHAnsi"/>
        </w:rPr>
        <w:t>Issues in apprenticeships and traineeships – a research synthesis (2021)</w:t>
      </w:r>
    </w:p>
    <w:p w14:paraId="6DF7D7E4" w14:textId="77777777" w:rsidR="00BD1D88" w:rsidRPr="005F5709" w:rsidRDefault="00BD1D88" w:rsidP="00977294">
      <w:pPr>
        <w:pStyle w:val="ListParagraph"/>
        <w:numPr>
          <w:ilvl w:val="1"/>
          <w:numId w:val="39"/>
        </w:numPr>
        <w:spacing w:after="200" w:line="276" w:lineRule="auto"/>
        <w:rPr>
          <w:rFonts w:asciiTheme="minorHAnsi" w:hAnsiTheme="minorHAnsi" w:cstheme="minorHAnsi"/>
        </w:rPr>
      </w:pPr>
      <w:r w:rsidRPr="005F5709">
        <w:rPr>
          <w:rFonts w:asciiTheme="minorHAnsi" w:hAnsiTheme="minorHAnsi" w:cstheme="minorHAnsi"/>
        </w:rPr>
        <w:t>Incentives play an important role in encouraging and supporting apprenticeships and traineeships but need to be carefully calibrated.</w:t>
      </w:r>
    </w:p>
    <w:p w14:paraId="582241D5" w14:textId="77777777" w:rsidR="00BD1D88" w:rsidRPr="005F5709" w:rsidRDefault="00BD1D88" w:rsidP="00977294">
      <w:pPr>
        <w:pStyle w:val="ListParagraph"/>
        <w:numPr>
          <w:ilvl w:val="1"/>
          <w:numId w:val="39"/>
        </w:numPr>
        <w:spacing w:after="200" w:line="276" w:lineRule="auto"/>
        <w:rPr>
          <w:rFonts w:asciiTheme="minorHAnsi" w:hAnsiTheme="minorHAnsi" w:cstheme="minorHAnsi"/>
        </w:rPr>
      </w:pPr>
      <w:r w:rsidRPr="005F5709">
        <w:rPr>
          <w:rFonts w:asciiTheme="minorHAnsi" w:hAnsiTheme="minorHAnsi" w:cstheme="minorHAnsi"/>
        </w:rPr>
        <w:t>The relevance of the historical apprenticeship model to changing industry, economic and social conditions has been challenged and there is support for alternative models of delivery.</w:t>
      </w:r>
    </w:p>
    <w:p w14:paraId="354479E5" w14:textId="77777777" w:rsidR="00BD1D88" w:rsidRPr="005F5709" w:rsidRDefault="00BD1D88" w:rsidP="00977294">
      <w:pPr>
        <w:pStyle w:val="ListParagraph"/>
        <w:numPr>
          <w:ilvl w:val="0"/>
          <w:numId w:val="39"/>
        </w:numPr>
        <w:spacing w:after="200" w:line="276" w:lineRule="auto"/>
        <w:rPr>
          <w:rFonts w:asciiTheme="minorHAnsi" w:hAnsiTheme="minorHAnsi" w:cstheme="minorHAnsi"/>
        </w:rPr>
      </w:pPr>
      <w:r w:rsidRPr="005F5709">
        <w:rPr>
          <w:rFonts w:asciiTheme="minorHAnsi" w:hAnsiTheme="minorHAnsi" w:cstheme="minorHAnsi"/>
        </w:rPr>
        <w:t>Apprentices and trainees 2020: impact of COVID-19 on training activity (2020)</w:t>
      </w:r>
    </w:p>
    <w:p w14:paraId="1F052727" w14:textId="77777777" w:rsidR="00BD1D88" w:rsidRPr="005F5709" w:rsidRDefault="00BD1D88" w:rsidP="00977294">
      <w:pPr>
        <w:pStyle w:val="ListParagraph"/>
        <w:numPr>
          <w:ilvl w:val="1"/>
          <w:numId w:val="39"/>
        </w:numPr>
        <w:spacing w:after="200" w:line="276" w:lineRule="auto"/>
        <w:rPr>
          <w:rFonts w:asciiTheme="minorHAnsi" w:hAnsiTheme="minorHAnsi" w:cstheme="minorHAnsi"/>
        </w:rPr>
      </w:pPr>
      <w:r w:rsidRPr="005F5709">
        <w:rPr>
          <w:rFonts w:asciiTheme="minorHAnsi" w:hAnsiTheme="minorHAnsi" w:cstheme="minorHAnsi"/>
        </w:rPr>
        <w:t>Compared with the same period in 2019, the number of contract commencements showed marked declines in April and May 2020.</w:t>
      </w:r>
    </w:p>
    <w:p w14:paraId="23BBB84B" w14:textId="77777777" w:rsidR="00BD1D88" w:rsidRPr="005F5709" w:rsidRDefault="00BD1D88" w:rsidP="00977294">
      <w:pPr>
        <w:pStyle w:val="ListParagraph"/>
        <w:numPr>
          <w:ilvl w:val="1"/>
          <w:numId w:val="39"/>
        </w:numPr>
        <w:spacing w:after="200" w:line="276" w:lineRule="auto"/>
        <w:rPr>
          <w:rFonts w:asciiTheme="minorHAnsi" w:hAnsiTheme="minorHAnsi" w:cstheme="minorHAnsi"/>
        </w:rPr>
      </w:pPr>
      <w:r w:rsidRPr="005F5709">
        <w:rPr>
          <w:rFonts w:asciiTheme="minorHAnsi" w:hAnsiTheme="minorHAnsi" w:cstheme="minorHAnsi"/>
        </w:rPr>
        <w:t>Impacts to commencements and suspensions were more pronounced for females than for males; and for contracts in non-trade rather than trade.</w:t>
      </w:r>
    </w:p>
    <w:p w14:paraId="7399E6C4" w14:textId="77777777" w:rsidR="00BD1D88" w:rsidRPr="005F5709" w:rsidRDefault="00BD1D88" w:rsidP="00977294">
      <w:pPr>
        <w:pStyle w:val="ListParagraph"/>
        <w:numPr>
          <w:ilvl w:val="0"/>
          <w:numId w:val="39"/>
        </w:numPr>
        <w:spacing w:after="200" w:line="276" w:lineRule="auto"/>
        <w:rPr>
          <w:rFonts w:asciiTheme="minorHAnsi" w:hAnsiTheme="minorHAnsi" w:cstheme="minorHAnsi"/>
        </w:rPr>
      </w:pPr>
      <w:r w:rsidRPr="005F5709">
        <w:rPr>
          <w:rFonts w:asciiTheme="minorHAnsi" w:hAnsiTheme="minorHAnsi" w:cstheme="minorHAnsi"/>
        </w:rPr>
        <w:t>Traditional trade apprenticeships: learnings from the field (2020)</w:t>
      </w:r>
    </w:p>
    <w:p w14:paraId="7236DF04" w14:textId="77777777" w:rsidR="00BD1D88" w:rsidRPr="005F5709" w:rsidRDefault="00BD1D88" w:rsidP="00977294">
      <w:pPr>
        <w:pStyle w:val="ListParagraph"/>
        <w:numPr>
          <w:ilvl w:val="1"/>
          <w:numId w:val="39"/>
        </w:numPr>
        <w:spacing w:after="200" w:line="276" w:lineRule="auto"/>
        <w:rPr>
          <w:rFonts w:asciiTheme="minorHAnsi" w:hAnsiTheme="minorHAnsi" w:cstheme="minorHAnsi"/>
        </w:rPr>
      </w:pPr>
      <w:r w:rsidRPr="005F5709">
        <w:rPr>
          <w:rFonts w:asciiTheme="minorHAnsi" w:hAnsiTheme="minorHAnsi" w:cstheme="minorHAnsi"/>
        </w:rPr>
        <w:t xml:space="preserve">There was strong support among the sector, including employers and apprentices, for maintaining the current element of apprenticeship training, such as on and off the job training. </w:t>
      </w:r>
    </w:p>
    <w:p w14:paraId="3E16995C" w14:textId="77777777" w:rsidR="00BD1D88" w:rsidRPr="005F5709" w:rsidRDefault="00BD1D88" w:rsidP="00977294">
      <w:pPr>
        <w:pStyle w:val="ListParagraph"/>
        <w:numPr>
          <w:ilvl w:val="1"/>
          <w:numId w:val="39"/>
        </w:numPr>
        <w:spacing w:after="200" w:line="276" w:lineRule="auto"/>
        <w:rPr>
          <w:rFonts w:asciiTheme="minorHAnsi" w:hAnsiTheme="minorHAnsi" w:cstheme="minorHAnsi"/>
        </w:rPr>
      </w:pPr>
      <w:r w:rsidRPr="005F5709">
        <w:rPr>
          <w:rFonts w:asciiTheme="minorHAnsi" w:hAnsiTheme="minorHAnsi" w:cstheme="minorHAnsi"/>
        </w:rPr>
        <w:t>Apprentices could feel challenged by the expectations of the workplace, understanding components of their courses and sustaining inter-personal interactions with their colleagues.</w:t>
      </w:r>
    </w:p>
    <w:p w14:paraId="04063079" w14:textId="77777777" w:rsidR="00BD1D88" w:rsidRPr="005F5709" w:rsidRDefault="00BD1D88" w:rsidP="001F4E9B">
      <w:pPr>
        <w:pStyle w:val="Heading5"/>
        <w:rPr>
          <w:rFonts w:asciiTheme="minorHAnsi" w:hAnsiTheme="minorHAnsi" w:cstheme="minorHAnsi"/>
        </w:rPr>
      </w:pPr>
      <w:r w:rsidRPr="005F5709">
        <w:rPr>
          <w:rFonts w:asciiTheme="minorHAnsi" w:hAnsiTheme="minorHAnsi" w:cstheme="minorHAnsi"/>
        </w:rPr>
        <w:t>Strengthening Skills: Expert Review of Australia’s Vocational Education and Training System: Joyce Review</w:t>
      </w:r>
    </w:p>
    <w:p w14:paraId="7C7E4175"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On 28 November 2018, the Honourable Steven Joyce, former New Zealand Minster for Tertiary Education, Skills and Employment led an independent review of Australia’s VET sector on behalf of the Australian Government. </w:t>
      </w:r>
    </w:p>
    <w:p w14:paraId="12A22BDA"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The primary recommendation for the Australian Apprenticeship incentives system was that the Australian Government revamp and simplify its apprenticeships incentives program to make it more attractive to and more easily understood by apprentices and trainees and their employers.</w:t>
      </w:r>
    </w:p>
    <w:p w14:paraId="727917E5" w14:textId="77777777" w:rsidR="00BD1D88" w:rsidRPr="005F5709" w:rsidRDefault="00BD1D88" w:rsidP="001F4E9B">
      <w:pPr>
        <w:pStyle w:val="Heading5"/>
        <w:rPr>
          <w:rFonts w:asciiTheme="minorHAnsi" w:hAnsiTheme="minorHAnsi" w:cstheme="minorHAnsi"/>
        </w:rPr>
      </w:pPr>
      <w:r w:rsidRPr="005F5709">
        <w:rPr>
          <w:rFonts w:asciiTheme="minorHAnsi" w:hAnsiTheme="minorHAnsi" w:cstheme="minorHAnsi"/>
        </w:rPr>
        <w:lastRenderedPageBreak/>
        <w:t>Productivity Commission – National Agreement for Skills and Workforce Development Review</w:t>
      </w:r>
    </w:p>
    <w:p w14:paraId="2A9693E5"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In the foreword of the review, the objective of NASWD is stated as:</w:t>
      </w:r>
    </w:p>
    <w:p w14:paraId="6DB47AA6" w14:textId="77777777" w:rsidR="00BD1D88" w:rsidRPr="005F5709" w:rsidRDefault="00BD1D88" w:rsidP="00816A68">
      <w:pPr>
        <w:rPr>
          <w:rFonts w:asciiTheme="minorHAnsi" w:hAnsiTheme="minorHAnsi" w:cstheme="minorHAnsi"/>
          <w:i/>
          <w:iCs/>
        </w:rPr>
      </w:pPr>
      <w:r w:rsidRPr="005F5709">
        <w:rPr>
          <w:rFonts w:asciiTheme="minorHAnsi" w:hAnsiTheme="minorHAnsi" w:cstheme="minorHAnsi"/>
          <w:i/>
          <w:iCs/>
        </w:rPr>
        <w:t>The NASWD’s objectives are to ensure the VET system delivers a productive and highly skilled workforce; enables all working age Australians to develop the skills and qualifications needed to participate effectively in the labour market and contribute to Australia’s economic future; and supports increased rates of workforce participation.</w:t>
      </w:r>
    </w:p>
    <w:p w14:paraId="3FD236EE"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This review included reviewing current funding arrangements for the VET sector, including the Australian Apprenticeship Incentives Program (AAIP). The review found overall the three biggest priorities for the Australian Apprenticeships was to:</w:t>
      </w:r>
    </w:p>
    <w:p w14:paraId="7E920F6A" w14:textId="77777777" w:rsidR="00BD1D88" w:rsidRPr="005F5709" w:rsidRDefault="00BD1D88" w:rsidP="00977294">
      <w:pPr>
        <w:pStyle w:val="ListParagraph"/>
        <w:numPr>
          <w:ilvl w:val="0"/>
          <w:numId w:val="37"/>
        </w:numPr>
        <w:spacing w:after="200" w:line="276" w:lineRule="auto"/>
        <w:rPr>
          <w:rFonts w:asciiTheme="minorHAnsi" w:hAnsiTheme="minorHAnsi" w:cstheme="minorHAnsi"/>
        </w:rPr>
      </w:pPr>
      <w:r w:rsidRPr="005F5709">
        <w:rPr>
          <w:rFonts w:asciiTheme="minorHAnsi" w:hAnsiTheme="minorHAnsi" w:cstheme="minorHAnsi"/>
        </w:rPr>
        <w:t>Prepare and support apprentices;</w:t>
      </w:r>
    </w:p>
    <w:p w14:paraId="4466563C" w14:textId="77777777" w:rsidR="00BD1D88" w:rsidRPr="005F5709" w:rsidRDefault="00BD1D88" w:rsidP="00977294">
      <w:pPr>
        <w:pStyle w:val="ListParagraph"/>
        <w:numPr>
          <w:ilvl w:val="0"/>
          <w:numId w:val="37"/>
        </w:numPr>
        <w:spacing w:after="200" w:line="276" w:lineRule="auto"/>
        <w:rPr>
          <w:rFonts w:asciiTheme="minorHAnsi" w:hAnsiTheme="minorHAnsi" w:cstheme="minorHAnsi"/>
        </w:rPr>
      </w:pPr>
      <w:r w:rsidRPr="005F5709">
        <w:rPr>
          <w:rFonts w:asciiTheme="minorHAnsi" w:hAnsiTheme="minorHAnsi" w:cstheme="minorHAnsi"/>
        </w:rPr>
        <w:t>Reduce barriers to apprenticeship and non-apprenticeship pathways; and</w:t>
      </w:r>
    </w:p>
    <w:p w14:paraId="25071809" w14:textId="77777777" w:rsidR="00BD1D88" w:rsidRPr="005F5709" w:rsidRDefault="00BD1D88" w:rsidP="00977294">
      <w:pPr>
        <w:pStyle w:val="ListParagraph"/>
        <w:numPr>
          <w:ilvl w:val="0"/>
          <w:numId w:val="37"/>
        </w:numPr>
        <w:spacing w:after="200" w:line="276" w:lineRule="auto"/>
        <w:rPr>
          <w:rFonts w:asciiTheme="minorHAnsi" w:hAnsiTheme="minorHAnsi" w:cstheme="minorHAnsi"/>
        </w:rPr>
      </w:pPr>
      <w:r w:rsidRPr="005F5709">
        <w:rPr>
          <w:rFonts w:asciiTheme="minorHAnsi" w:hAnsiTheme="minorHAnsi" w:cstheme="minorHAnsi"/>
        </w:rPr>
        <w:t xml:space="preserve">Reorient employer incentives – Employer incentives are more effective when they are front loaded. </w:t>
      </w:r>
    </w:p>
    <w:p w14:paraId="1C31DBC0" w14:textId="77777777" w:rsidR="00BD1D88" w:rsidRPr="005F5709" w:rsidRDefault="00BD1D88" w:rsidP="001D0D8C">
      <w:pPr>
        <w:pStyle w:val="Heading5"/>
        <w:rPr>
          <w:rFonts w:asciiTheme="minorHAnsi" w:hAnsiTheme="minorHAnsi" w:cstheme="minorHAnsi"/>
        </w:rPr>
      </w:pPr>
      <w:r w:rsidRPr="005F5709">
        <w:rPr>
          <w:rFonts w:asciiTheme="minorHAnsi" w:hAnsiTheme="minorHAnsi" w:cstheme="minorHAnsi"/>
        </w:rPr>
        <w:t xml:space="preserve">Workshops with key stakeholders </w:t>
      </w:r>
    </w:p>
    <w:p w14:paraId="3FC81D5B"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The Department consulted with stakeholders on strengths and weaknesses of the existing Australian Apprenticeship System and design principles for future reform. Stakeholders were also asked to consider and identify practical implementation issues and possible solutions. </w:t>
      </w:r>
    </w:p>
    <w:p w14:paraId="7B1B0645"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This involved:</w:t>
      </w:r>
    </w:p>
    <w:p w14:paraId="56CC7994" w14:textId="77777777" w:rsidR="00BD1D88" w:rsidRPr="005F5709" w:rsidRDefault="00BD1D88" w:rsidP="00977294">
      <w:pPr>
        <w:pStyle w:val="ListParagraph"/>
        <w:numPr>
          <w:ilvl w:val="0"/>
          <w:numId w:val="40"/>
        </w:numPr>
        <w:spacing w:after="200" w:line="276" w:lineRule="auto"/>
        <w:rPr>
          <w:rFonts w:asciiTheme="minorHAnsi" w:hAnsiTheme="minorHAnsi" w:cstheme="minorHAnsi"/>
        </w:rPr>
      </w:pPr>
      <w:r w:rsidRPr="005F5709">
        <w:rPr>
          <w:rFonts w:asciiTheme="minorHAnsi" w:hAnsiTheme="minorHAnsi" w:cstheme="minorHAnsi"/>
        </w:rPr>
        <w:t>A workshop with state and territory officials to contribute ideas and practical solutions to inform an effective reformed incentives framework;</w:t>
      </w:r>
    </w:p>
    <w:p w14:paraId="7D610DFC" w14:textId="77777777" w:rsidR="00BD1D88" w:rsidRPr="005F5709" w:rsidRDefault="00BD1D88" w:rsidP="00977294">
      <w:pPr>
        <w:pStyle w:val="ListParagraph"/>
        <w:numPr>
          <w:ilvl w:val="0"/>
          <w:numId w:val="40"/>
        </w:numPr>
        <w:spacing w:after="200" w:line="276" w:lineRule="auto"/>
        <w:rPr>
          <w:rFonts w:asciiTheme="minorHAnsi" w:hAnsiTheme="minorHAnsi" w:cstheme="minorHAnsi"/>
        </w:rPr>
      </w:pPr>
      <w:r w:rsidRPr="005F5709">
        <w:rPr>
          <w:rFonts w:asciiTheme="minorHAnsi" w:hAnsiTheme="minorHAnsi" w:cstheme="minorHAnsi"/>
        </w:rPr>
        <w:t xml:space="preserve">Discussions with individual states and territories to further explore issues and possible solutions at the state level; and </w:t>
      </w:r>
    </w:p>
    <w:p w14:paraId="0F6279FB" w14:textId="77777777" w:rsidR="00BD1D88" w:rsidRPr="005F5709" w:rsidRDefault="00BD1D88" w:rsidP="00977294">
      <w:pPr>
        <w:pStyle w:val="ListParagraph"/>
        <w:numPr>
          <w:ilvl w:val="0"/>
          <w:numId w:val="40"/>
        </w:numPr>
        <w:spacing w:after="200" w:line="276" w:lineRule="auto"/>
        <w:rPr>
          <w:rFonts w:asciiTheme="minorHAnsi" w:hAnsiTheme="minorHAnsi" w:cstheme="minorHAnsi"/>
        </w:rPr>
      </w:pPr>
      <w:r w:rsidRPr="005F5709">
        <w:rPr>
          <w:rFonts w:asciiTheme="minorHAnsi" w:hAnsiTheme="minorHAnsi" w:cstheme="minorHAnsi"/>
        </w:rPr>
        <w:t>Workshops with the Skills Expert Panel and the VET Stakeholder Committee.</w:t>
      </w:r>
    </w:p>
    <w:p w14:paraId="4FEE485B" w14:textId="77777777" w:rsidR="00BD1D88" w:rsidRPr="005F5709" w:rsidRDefault="00BD1D88" w:rsidP="001F4E9B">
      <w:pPr>
        <w:pStyle w:val="Heading5"/>
        <w:rPr>
          <w:rFonts w:asciiTheme="minorHAnsi" w:hAnsiTheme="minorHAnsi" w:cstheme="minorHAnsi"/>
        </w:rPr>
      </w:pPr>
      <w:r w:rsidRPr="005F5709">
        <w:rPr>
          <w:rFonts w:asciiTheme="minorHAnsi" w:hAnsiTheme="minorHAnsi" w:cstheme="minorHAnsi"/>
        </w:rPr>
        <w:t>Wallis – Apprentice and Employer Surveys</w:t>
      </w:r>
    </w:p>
    <w:p w14:paraId="035AB16A" w14:textId="77777777" w:rsidR="00BD1D88" w:rsidRPr="005F5709" w:rsidRDefault="00BD1D88" w:rsidP="00CA7665">
      <w:pPr>
        <w:pStyle w:val="ListParagraph"/>
        <w:spacing w:line="276" w:lineRule="auto"/>
        <w:ind w:left="0"/>
        <w:rPr>
          <w:rFonts w:asciiTheme="minorHAnsi" w:hAnsiTheme="minorHAnsi" w:cstheme="minorHAnsi"/>
        </w:rPr>
      </w:pPr>
      <w:r w:rsidRPr="005F5709">
        <w:rPr>
          <w:rFonts w:asciiTheme="minorHAnsi" w:hAnsiTheme="minorHAnsi" w:cstheme="minorHAnsi"/>
        </w:rPr>
        <w:t xml:space="preserve">The Department commissioned Wallis in late 2021 to explore what supports apprentices and employers needed to help them succeed in the Australian Apprenticeship ecosystem. </w:t>
      </w:r>
    </w:p>
    <w:p w14:paraId="4954E7A1"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The surveys primarily focussed on the non-financial support currently available and sought input on the type of support needed to improve apprenticeship commencements and completion rates. Focus groups with a very limited number of apprentices and employers, identified the following topics for exploration:</w:t>
      </w:r>
    </w:p>
    <w:p w14:paraId="5946E733" w14:textId="77777777" w:rsidR="00BD1D88" w:rsidRPr="005F5709" w:rsidRDefault="00BD1D88" w:rsidP="00977294">
      <w:pPr>
        <w:pStyle w:val="ListParagraph"/>
        <w:numPr>
          <w:ilvl w:val="0"/>
          <w:numId w:val="41"/>
        </w:numPr>
        <w:spacing w:after="200" w:line="276" w:lineRule="auto"/>
        <w:rPr>
          <w:rFonts w:asciiTheme="minorHAnsi" w:hAnsiTheme="minorHAnsi" w:cstheme="minorHAnsi"/>
        </w:rPr>
      </w:pPr>
      <w:r w:rsidRPr="005F5709">
        <w:rPr>
          <w:rFonts w:asciiTheme="minorHAnsi" w:hAnsiTheme="minorHAnsi" w:cstheme="minorHAnsi"/>
        </w:rPr>
        <w:t>Perceptions of the employing process and becoming an apprentice/trainee;</w:t>
      </w:r>
    </w:p>
    <w:p w14:paraId="102075F5" w14:textId="77777777" w:rsidR="00BD1D88" w:rsidRPr="005F5709" w:rsidRDefault="00BD1D88" w:rsidP="00977294">
      <w:pPr>
        <w:pStyle w:val="ListParagraph"/>
        <w:numPr>
          <w:ilvl w:val="0"/>
          <w:numId w:val="41"/>
        </w:numPr>
        <w:spacing w:after="200" w:line="276" w:lineRule="auto"/>
        <w:rPr>
          <w:rFonts w:asciiTheme="minorHAnsi" w:hAnsiTheme="minorHAnsi" w:cstheme="minorHAnsi"/>
        </w:rPr>
      </w:pPr>
      <w:r w:rsidRPr="005F5709">
        <w:rPr>
          <w:rFonts w:asciiTheme="minorHAnsi" w:hAnsiTheme="minorHAnsi" w:cstheme="minorHAnsi"/>
        </w:rPr>
        <w:t>Support of apprentices/trainees (early on and current);</w:t>
      </w:r>
    </w:p>
    <w:p w14:paraId="4859F718" w14:textId="77777777" w:rsidR="00BD1D88" w:rsidRPr="005F5709" w:rsidRDefault="00BD1D88" w:rsidP="00977294">
      <w:pPr>
        <w:pStyle w:val="ListParagraph"/>
        <w:numPr>
          <w:ilvl w:val="0"/>
          <w:numId w:val="41"/>
        </w:numPr>
        <w:spacing w:after="200" w:line="276" w:lineRule="auto"/>
        <w:rPr>
          <w:rFonts w:asciiTheme="minorHAnsi" w:hAnsiTheme="minorHAnsi" w:cstheme="minorHAnsi"/>
        </w:rPr>
      </w:pPr>
      <w:r w:rsidRPr="005F5709">
        <w:rPr>
          <w:rFonts w:asciiTheme="minorHAnsi" w:hAnsiTheme="minorHAnsi" w:cstheme="minorHAnsi"/>
        </w:rPr>
        <w:t>Support for managing apprentices/trainees;</w:t>
      </w:r>
    </w:p>
    <w:p w14:paraId="3E692B4F" w14:textId="77777777" w:rsidR="00BD1D88" w:rsidRPr="005F5709" w:rsidRDefault="00BD1D88" w:rsidP="00977294">
      <w:pPr>
        <w:pStyle w:val="ListParagraph"/>
        <w:numPr>
          <w:ilvl w:val="0"/>
          <w:numId w:val="41"/>
        </w:numPr>
        <w:spacing w:after="200" w:line="276" w:lineRule="auto"/>
        <w:rPr>
          <w:rFonts w:asciiTheme="minorHAnsi" w:hAnsiTheme="minorHAnsi" w:cstheme="minorHAnsi"/>
        </w:rPr>
      </w:pPr>
      <w:r w:rsidRPr="005F5709">
        <w:rPr>
          <w:rFonts w:asciiTheme="minorHAnsi" w:hAnsiTheme="minorHAnsi" w:cstheme="minorHAnsi"/>
        </w:rPr>
        <w:t>AASN providers;</w:t>
      </w:r>
    </w:p>
    <w:p w14:paraId="63AF5C80" w14:textId="77777777" w:rsidR="00BD1D88" w:rsidRPr="005F5709" w:rsidRDefault="00BD1D88" w:rsidP="00977294">
      <w:pPr>
        <w:pStyle w:val="ListParagraph"/>
        <w:numPr>
          <w:ilvl w:val="0"/>
          <w:numId w:val="41"/>
        </w:numPr>
        <w:spacing w:after="200" w:line="276" w:lineRule="auto"/>
        <w:rPr>
          <w:rFonts w:asciiTheme="minorHAnsi" w:hAnsiTheme="minorHAnsi" w:cstheme="minorHAnsi"/>
        </w:rPr>
      </w:pPr>
      <w:r w:rsidRPr="005F5709">
        <w:rPr>
          <w:rFonts w:asciiTheme="minorHAnsi" w:hAnsiTheme="minorHAnsi" w:cstheme="minorHAnsi"/>
        </w:rPr>
        <w:t>Attrition/termination; and</w:t>
      </w:r>
    </w:p>
    <w:p w14:paraId="597C7C6E" w14:textId="77777777" w:rsidR="00BD1D88" w:rsidRPr="005F5709" w:rsidRDefault="00BD1D88" w:rsidP="00977294">
      <w:pPr>
        <w:pStyle w:val="ListParagraph"/>
        <w:numPr>
          <w:ilvl w:val="0"/>
          <w:numId w:val="41"/>
        </w:numPr>
        <w:spacing w:before="240" w:after="200" w:line="276" w:lineRule="auto"/>
        <w:rPr>
          <w:rFonts w:asciiTheme="minorHAnsi" w:hAnsiTheme="minorHAnsi" w:cstheme="minorHAnsi"/>
        </w:rPr>
      </w:pPr>
      <w:r w:rsidRPr="005F5709">
        <w:rPr>
          <w:rFonts w:asciiTheme="minorHAnsi" w:hAnsiTheme="minorHAnsi" w:cstheme="minorHAnsi"/>
        </w:rPr>
        <w:lastRenderedPageBreak/>
        <w:t>Overall views and perceptions of apprenticeships/traineeships.</w:t>
      </w:r>
    </w:p>
    <w:p w14:paraId="17BE7150" w14:textId="77777777" w:rsidR="00BD1D88" w:rsidRPr="005F5709" w:rsidRDefault="00BD1D88" w:rsidP="00492593">
      <w:pPr>
        <w:pStyle w:val="ListParagraph"/>
        <w:spacing w:before="240" w:line="276" w:lineRule="auto"/>
        <w:ind w:left="0"/>
        <w:rPr>
          <w:rFonts w:asciiTheme="minorHAnsi" w:hAnsiTheme="minorHAnsi" w:cstheme="minorHAnsi"/>
        </w:rPr>
      </w:pPr>
      <w:r w:rsidRPr="005F5709">
        <w:rPr>
          <w:rFonts w:asciiTheme="minorHAnsi" w:hAnsiTheme="minorHAnsi" w:cstheme="minorHAnsi"/>
        </w:rPr>
        <w:t>Wallis received completed surveys from 500 current apprentices as well as 500 employers of apprentices. Key smaller populations such as Indigenous Australian Apprentices were over-sampled to ensure responses from these populations were obtained. The key findings are below:</w:t>
      </w:r>
    </w:p>
    <w:p w14:paraId="000DCC61" w14:textId="77777777" w:rsidR="00BD1D88" w:rsidRPr="005F5709" w:rsidRDefault="00BD1D88" w:rsidP="0033040A">
      <w:pPr>
        <w:rPr>
          <w:rFonts w:asciiTheme="minorHAnsi" w:hAnsiTheme="minorHAnsi" w:cstheme="minorHAnsi"/>
          <w:b/>
          <w:bCs/>
          <w:u w:val="single"/>
        </w:rPr>
      </w:pPr>
      <w:r w:rsidRPr="005F5709">
        <w:rPr>
          <w:rFonts w:asciiTheme="minorHAnsi" w:hAnsiTheme="minorHAnsi" w:cstheme="minorHAnsi"/>
          <w:b/>
          <w:bCs/>
          <w:u w:val="single"/>
        </w:rPr>
        <w:t>Challenges of hiring and sign-up</w:t>
      </w:r>
    </w:p>
    <w:p w14:paraId="2C664F33" w14:textId="77777777" w:rsidR="00BD1D88" w:rsidRPr="005F5709" w:rsidRDefault="00BD1D88" w:rsidP="00977294">
      <w:pPr>
        <w:pStyle w:val="ListParagraph"/>
        <w:numPr>
          <w:ilvl w:val="0"/>
          <w:numId w:val="43"/>
        </w:numPr>
        <w:spacing w:after="120" w:line="276" w:lineRule="auto"/>
        <w:rPr>
          <w:rFonts w:asciiTheme="minorHAnsi" w:eastAsia="Times New Roman" w:hAnsiTheme="minorHAnsi" w:cstheme="minorHAnsi"/>
          <w:b/>
          <w:bCs/>
        </w:rPr>
      </w:pPr>
      <w:r w:rsidRPr="005F5709">
        <w:rPr>
          <w:rFonts w:asciiTheme="minorHAnsi" w:eastAsia="Times New Roman" w:hAnsiTheme="minorHAnsi" w:cstheme="minorHAnsi"/>
        </w:rPr>
        <w:t xml:space="preserve">Both employers (28 per cent) and apprentices (17 per cent) consider fitting in with workplace and low wages are key challenges when starting apprenticeships; and </w:t>
      </w:r>
    </w:p>
    <w:p w14:paraId="6BF92693" w14:textId="77777777" w:rsidR="00BD1D88" w:rsidRPr="005F5709" w:rsidRDefault="00BD1D88" w:rsidP="00977294">
      <w:pPr>
        <w:pStyle w:val="ListParagraph"/>
        <w:numPr>
          <w:ilvl w:val="0"/>
          <w:numId w:val="43"/>
        </w:numPr>
        <w:spacing w:before="240" w:after="120" w:line="276" w:lineRule="auto"/>
        <w:rPr>
          <w:rFonts w:asciiTheme="minorHAnsi" w:hAnsiTheme="minorHAnsi" w:cstheme="minorHAnsi"/>
          <w:b/>
          <w:bCs/>
          <w:u w:val="single"/>
        </w:rPr>
      </w:pPr>
      <w:r w:rsidRPr="005F5709">
        <w:rPr>
          <w:rFonts w:asciiTheme="minorHAnsi" w:eastAsia="Times New Roman" w:hAnsiTheme="minorHAnsi" w:cstheme="minorHAnsi"/>
        </w:rPr>
        <w:t xml:space="preserve">However, 37 per cent of employers believe the apprentice work ethic or job readiness is more challenging. </w:t>
      </w:r>
    </w:p>
    <w:p w14:paraId="5049D514" w14:textId="77777777" w:rsidR="00BD1D88" w:rsidRPr="005F5709" w:rsidRDefault="00BD1D88" w:rsidP="0033040A">
      <w:pPr>
        <w:rPr>
          <w:rFonts w:asciiTheme="minorHAnsi" w:hAnsiTheme="minorHAnsi" w:cstheme="minorHAnsi"/>
          <w:b/>
          <w:bCs/>
          <w:u w:val="single"/>
        </w:rPr>
      </w:pPr>
      <w:r w:rsidRPr="005F5709">
        <w:rPr>
          <w:rFonts w:asciiTheme="minorHAnsi" w:hAnsiTheme="minorHAnsi" w:cstheme="minorHAnsi"/>
          <w:b/>
          <w:bCs/>
          <w:u w:val="single"/>
        </w:rPr>
        <w:t>Support for employers and apprentices</w:t>
      </w:r>
    </w:p>
    <w:p w14:paraId="3B804DE3" w14:textId="77777777" w:rsidR="00BD1D88" w:rsidRPr="005F5709" w:rsidRDefault="00BD1D88" w:rsidP="00977294">
      <w:pPr>
        <w:pStyle w:val="ListParagraph"/>
        <w:numPr>
          <w:ilvl w:val="0"/>
          <w:numId w:val="43"/>
        </w:numPr>
        <w:spacing w:after="120" w:line="276" w:lineRule="auto"/>
        <w:ind w:hanging="357"/>
        <w:rPr>
          <w:rFonts w:asciiTheme="minorHAnsi" w:eastAsia="Times New Roman" w:hAnsiTheme="minorHAnsi" w:cstheme="minorHAnsi"/>
        </w:rPr>
      </w:pPr>
      <w:r w:rsidRPr="005F5709">
        <w:rPr>
          <w:rFonts w:asciiTheme="minorHAnsi" w:eastAsia="Times New Roman" w:hAnsiTheme="minorHAnsi" w:cstheme="minorHAnsi"/>
        </w:rPr>
        <w:t>The main sources of support differ between apprentices and their employers:</w:t>
      </w:r>
    </w:p>
    <w:p w14:paraId="4438CD57" w14:textId="77777777" w:rsidR="00BD1D88" w:rsidRPr="005F5709" w:rsidRDefault="00BD1D88" w:rsidP="00977294">
      <w:pPr>
        <w:pStyle w:val="ListParagraph"/>
        <w:numPr>
          <w:ilvl w:val="1"/>
          <w:numId w:val="43"/>
        </w:numPr>
        <w:spacing w:after="120" w:line="276" w:lineRule="auto"/>
        <w:ind w:hanging="357"/>
        <w:rPr>
          <w:rFonts w:asciiTheme="minorHAnsi" w:eastAsia="Times New Roman" w:hAnsiTheme="minorHAnsi" w:cstheme="minorHAnsi"/>
        </w:rPr>
      </w:pPr>
      <w:r w:rsidRPr="005F5709">
        <w:rPr>
          <w:rFonts w:asciiTheme="minorHAnsi" w:eastAsia="Times New Roman" w:hAnsiTheme="minorHAnsi" w:cstheme="minorHAnsi"/>
        </w:rPr>
        <w:t xml:space="preserve">More than half employers reported getting support from AASNs and training providers. </w:t>
      </w:r>
    </w:p>
    <w:p w14:paraId="522A4E35" w14:textId="77777777" w:rsidR="00BD1D88" w:rsidRPr="005F5709" w:rsidRDefault="00BD1D88" w:rsidP="00977294">
      <w:pPr>
        <w:pStyle w:val="ListParagraph"/>
        <w:numPr>
          <w:ilvl w:val="1"/>
          <w:numId w:val="43"/>
        </w:numPr>
        <w:spacing w:after="120" w:line="276" w:lineRule="auto"/>
        <w:ind w:hanging="357"/>
        <w:rPr>
          <w:rFonts w:asciiTheme="minorHAnsi" w:hAnsiTheme="minorHAnsi" w:cstheme="minorHAnsi"/>
          <w:b/>
          <w:bCs/>
          <w:u w:val="single"/>
        </w:rPr>
      </w:pPr>
      <w:r w:rsidRPr="005F5709">
        <w:rPr>
          <w:rFonts w:asciiTheme="minorHAnsi" w:eastAsia="Times New Roman" w:hAnsiTheme="minorHAnsi" w:cstheme="minorHAnsi"/>
        </w:rPr>
        <w:t xml:space="preserve">Whereas apprentices are predominantly getting support from their families and </w:t>
      </w:r>
      <w:r w:rsidRPr="005F5709">
        <w:rPr>
          <w:rFonts w:asciiTheme="minorHAnsi" w:hAnsiTheme="minorHAnsi" w:cstheme="minorHAnsi"/>
        </w:rPr>
        <w:t>their employers.</w:t>
      </w:r>
      <w:r w:rsidRPr="005F5709">
        <w:rPr>
          <w:rFonts w:asciiTheme="minorHAnsi" w:hAnsiTheme="minorHAnsi" w:cstheme="minorHAnsi"/>
          <w:b/>
          <w:bCs/>
          <w:u w:val="single"/>
        </w:rPr>
        <w:t xml:space="preserve"> </w:t>
      </w:r>
    </w:p>
    <w:p w14:paraId="3C072BA9" w14:textId="77777777" w:rsidR="00BD1D88" w:rsidRPr="005F5709" w:rsidRDefault="00BD1D88" w:rsidP="00816A68">
      <w:pPr>
        <w:rPr>
          <w:rFonts w:asciiTheme="minorHAnsi" w:hAnsiTheme="minorHAnsi" w:cstheme="minorHAnsi"/>
          <w:b/>
          <w:bCs/>
          <w:u w:val="single"/>
        </w:rPr>
      </w:pPr>
      <w:r w:rsidRPr="005F5709">
        <w:rPr>
          <w:rFonts w:asciiTheme="minorHAnsi" w:hAnsiTheme="minorHAnsi" w:cstheme="minorHAnsi"/>
          <w:b/>
          <w:bCs/>
          <w:u w:val="single"/>
        </w:rPr>
        <w:t>Apprentice</w:t>
      </w:r>
    </w:p>
    <w:p w14:paraId="7A22B527" w14:textId="77777777" w:rsidR="00BD1D88" w:rsidRPr="005F5709" w:rsidRDefault="00BD1D88" w:rsidP="000B61BB">
      <w:pPr>
        <w:spacing w:after="0"/>
        <w:rPr>
          <w:rFonts w:asciiTheme="minorHAnsi" w:eastAsia="Times New Roman" w:hAnsiTheme="minorHAnsi" w:cstheme="minorHAnsi"/>
          <w:b/>
          <w:bCs/>
          <w:u w:val="single"/>
        </w:rPr>
      </w:pPr>
      <w:r w:rsidRPr="005F5709">
        <w:rPr>
          <w:rFonts w:asciiTheme="minorHAnsi" w:eastAsia="Times New Roman" w:hAnsiTheme="minorHAnsi" w:cstheme="minorHAnsi"/>
        </w:rPr>
        <w:t xml:space="preserve">Apprentices identified the need for more support to help navigate workplace relations. </w:t>
      </w:r>
    </w:p>
    <w:p w14:paraId="208C934E" w14:textId="77777777" w:rsidR="00BD1D88" w:rsidRPr="005F5709" w:rsidRDefault="00BD1D88" w:rsidP="00977294">
      <w:pPr>
        <w:pStyle w:val="ListParagraph"/>
        <w:numPr>
          <w:ilvl w:val="0"/>
          <w:numId w:val="43"/>
        </w:numPr>
        <w:spacing w:after="120" w:line="276" w:lineRule="auto"/>
        <w:rPr>
          <w:rFonts w:asciiTheme="minorHAnsi" w:eastAsia="Times New Roman" w:hAnsiTheme="minorHAnsi" w:cstheme="minorHAnsi"/>
        </w:rPr>
      </w:pPr>
      <w:r w:rsidRPr="005F5709">
        <w:rPr>
          <w:rFonts w:asciiTheme="minorHAnsi" w:hAnsiTheme="minorHAnsi" w:cstheme="minorHAnsi"/>
        </w:rPr>
        <w:t>A</w:t>
      </w:r>
      <w:r w:rsidRPr="005F5709">
        <w:rPr>
          <w:rFonts w:asciiTheme="minorHAnsi" w:eastAsia="Times New Roman" w:hAnsiTheme="minorHAnsi" w:cstheme="minorHAnsi"/>
        </w:rPr>
        <w:t xml:space="preserve">pprentices identified they need extra help to help them understand their rights and obligations. Apprentices reported issues such as signing up with blank contracts, being underpaid and working on site on the days they are supposed to be at training; </w:t>
      </w:r>
    </w:p>
    <w:p w14:paraId="4BFBCDCF" w14:textId="77777777" w:rsidR="00BD1D88" w:rsidRPr="005F5709" w:rsidRDefault="00BD1D88" w:rsidP="00977294">
      <w:pPr>
        <w:pStyle w:val="ListParagraph"/>
        <w:numPr>
          <w:ilvl w:val="0"/>
          <w:numId w:val="43"/>
        </w:numPr>
        <w:spacing w:after="120" w:line="276" w:lineRule="auto"/>
        <w:rPr>
          <w:rFonts w:asciiTheme="minorHAnsi" w:eastAsia="Times New Roman" w:hAnsiTheme="minorHAnsi" w:cstheme="minorHAnsi"/>
        </w:rPr>
      </w:pPr>
      <w:r w:rsidRPr="005F5709">
        <w:rPr>
          <w:rFonts w:asciiTheme="minorHAnsi" w:eastAsia="Times New Roman" w:hAnsiTheme="minorHAnsi" w:cstheme="minorHAnsi"/>
        </w:rPr>
        <w:t xml:space="preserve">Over a fifth of apprentices identified better training/support from training providers as being critical non-financial support; </w:t>
      </w:r>
    </w:p>
    <w:p w14:paraId="16135A10" w14:textId="77777777" w:rsidR="00BD1D88" w:rsidRPr="005F5709" w:rsidRDefault="00BD1D88" w:rsidP="00977294">
      <w:pPr>
        <w:pStyle w:val="ListParagraph"/>
        <w:numPr>
          <w:ilvl w:val="0"/>
          <w:numId w:val="43"/>
        </w:numPr>
        <w:spacing w:after="120" w:line="276" w:lineRule="auto"/>
        <w:rPr>
          <w:rFonts w:asciiTheme="minorHAnsi" w:eastAsia="Times New Roman" w:hAnsiTheme="minorHAnsi" w:cstheme="minorHAnsi"/>
        </w:rPr>
      </w:pPr>
      <w:r w:rsidRPr="005F5709">
        <w:rPr>
          <w:rFonts w:asciiTheme="minorHAnsi" w:eastAsia="Times New Roman" w:hAnsiTheme="minorHAnsi" w:cstheme="minorHAnsi"/>
        </w:rPr>
        <w:t xml:space="preserve">Nearly half (46 per cent) of apprentices consider AASN providers fully or mostly meet their expectations; and </w:t>
      </w:r>
    </w:p>
    <w:p w14:paraId="7F72E5CF" w14:textId="77777777" w:rsidR="00BD1D88" w:rsidRPr="005F5709" w:rsidRDefault="00BD1D88" w:rsidP="00977294">
      <w:pPr>
        <w:pStyle w:val="ListParagraph"/>
        <w:numPr>
          <w:ilvl w:val="1"/>
          <w:numId w:val="36"/>
        </w:numPr>
        <w:spacing w:after="200" w:line="276" w:lineRule="auto"/>
        <w:rPr>
          <w:rFonts w:asciiTheme="minorHAnsi" w:hAnsiTheme="minorHAnsi" w:cstheme="minorHAnsi"/>
        </w:rPr>
      </w:pPr>
      <w:r w:rsidRPr="005F5709">
        <w:rPr>
          <w:rFonts w:asciiTheme="minorHAnsi" w:hAnsiTheme="minorHAnsi" w:cstheme="minorHAnsi"/>
        </w:rPr>
        <w:t xml:space="preserve">Qualitative research suggests that where apprentices have had a limited interaction with the AASN their understanding of the role/support they could get from their AASN providers can be unclear and is also limited. AASN providers have not been reachable at times when the apprentice needs help. </w:t>
      </w:r>
    </w:p>
    <w:p w14:paraId="75E739C5" w14:textId="77777777" w:rsidR="00BD1D88" w:rsidRPr="005F5709" w:rsidRDefault="00BD1D88" w:rsidP="00977294">
      <w:pPr>
        <w:pStyle w:val="ListParagraph"/>
        <w:numPr>
          <w:ilvl w:val="0"/>
          <w:numId w:val="36"/>
        </w:numPr>
        <w:spacing w:after="200" w:line="276" w:lineRule="auto"/>
        <w:rPr>
          <w:rFonts w:asciiTheme="minorHAnsi" w:hAnsiTheme="minorHAnsi" w:cstheme="minorHAnsi"/>
        </w:rPr>
      </w:pPr>
      <w:r w:rsidRPr="005F5709">
        <w:rPr>
          <w:rFonts w:asciiTheme="minorHAnsi" w:eastAsia="Times New Roman" w:hAnsiTheme="minorHAnsi" w:cstheme="minorHAnsi"/>
        </w:rPr>
        <w:t>Apprentices indicate the lack of consistent name or brand of AASN could be contributing to the confusion about what AASNs can do and what apprentices can expect from them.</w:t>
      </w:r>
    </w:p>
    <w:p w14:paraId="42A03945" w14:textId="77777777" w:rsidR="00BD1D88" w:rsidRPr="005F5709" w:rsidRDefault="00BD1D88" w:rsidP="001C7F03">
      <w:pPr>
        <w:rPr>
          <w:rFonts w:asciiTheme="minorHAnsi" w:hAnsiTheme="minorHAnsi" w:cstheme="minorHAnsi"/>
        </w:rPr>
      </w:pPr>
    </w:p>
    <w:p w14:paraId="17C1EBE7" w14:textId="77777777" w:rsidR="00BD1D88" w:rsidRPr="005F5709" w:rsidRDefault="00BD1D88" w:rsidP="001C7F03">
      <w:pPr>
        <w:rPr>
          <w:rFonts w:asciiTheme="minorHAnsi" w:hAnsiTheme="minorHAnsi" w:cstheme="minorHAnsi"/>
        </w:rPr>
      </w:pPr>
    </w:p>
    <w:p w14:paraId="0583BC9C" w14:textId="77777777" w:rsidR="00BD1D88" w:rsidRPr="005F5709" w:rsidRDefault="00BD1D88" w:rsidP="001C7F03">
      <w:pPr>
        <w:rPr>
          <w:rFonts w:asciiTheme="minorHAnsi" w:hAnsiTheme="minorHAnsi" w:cstheme="minorHAnsi"/>
        </w:rPr>
      </w:pPr>
    </w:p>
    <w:p w14:paraId="29E76F49" w14:textId="77777777" w:rsidR="00BD1D88" w:rsidRPr="005F5709" w:rsidRDefault="00BD1D88" w:rsidP="00816A68">
      <w:pPr>
        <w:rPr>
          <w:rFonts w:asciiTheme="minorHAnsi" w:hAnsiTheme="minorHAnsi" w:cstheme="minorHAnsi"/>
          <w:b/>
          <w:bCs/>
          <w:u w:val="single"/>
        </w:rPr>
      </w:pPr>
      <w:r w:rsidRPr="005F5709">
        <w:rPr>
          <w:rFonts w:asciiTheme="minorHAnsi" w:hAnsiTheme="minorHAnsi" w:cstheme="minorHAnsi"/>
          <w:b/>
          <w:bCs/>
          <w:u w:val="single"/>
        </w:rPr>
        <w:t>Employer</w:t>
      </w:r>
    </w:p>
    <w:p w14:paraId="2EA5095B" w14:textId="77777777" w:rsidR="00BD1D88" w:rsidRPr="005F5709" w:rsidRDefault="00BD1D88" w:rsidP="000B61BB">
      <w:pPr>
        <w:rPr>
          <w:rFonts w:asciiTheme="minorHAnsi" w:eastAsia="Times New Roman" w:hAnsiTheme="minorHAnsi" w:cstheme="minorHAnsi"/>
          <w:b/>
          <w:bCs/>
          <w:u w:val="single"/>
        </w:rPr>
      </w:pPr>
      <w:r w:rsidRPr="005F5709">
        <w:rPr>
          <w:rFonts w:asciiTheme="minorHAnsi" w:eastAsia="Times New Roman" w:hAnsiTheme="minorHAnsi" w:cstheme="minorHAnsi"/>
        </w:rPr>
        <w:lastRenderedPageBreak/>
        <w:t xml:space="preserve">Employers note they need support with improved training/trainers, and financial support. </w:t>
      </w:r>
    </w:p>
    <w:p w14:paraId="0C64A6A1" w14:textId="77777777" w:rsidR="00BD1D88" w:rsidRPr="005F5709" w:rsidRDefault="00BD1D88" w:rsidP="00977294">
      <w:pPr>
        <w:pStyle w:val="ListParagraph"/>
        <w:numPr>
          <w:ilvl w:val="0"/>
          <w:numId w:val="36"/>
        </w:numPr>
        <w:spacing w:after="200" w:line="276" w:lineRule="auto"/>
        <w:rPr>
          <w:rFonts w:asciiTheme="minorHAnsi" w:hAnsiTheme="minorHAnsi" w:cstheme="minorHAnsi"/>
        </w:rPr>
      </w:pPr>
      <w:r w:rsidRPr="005F5709">
        <w:rPr>
          <w:rFonts w:asciiTheme="minorHAnsi" w:hAnsiTheme="minorHAnsi" w:cstheme="minorHAnsi"/>
        </w:rPr>
        <w:t>Qualitative data found some employers and individuals expressed frustration at the perceived quality of some Registered Training Organisations (RTOs) and the need to change RTOs if the RTO failed to retain their accreditation;</w:t>
      </w:r>
    </w:p>
    <w:p w14:paraId="0C59154E" w14:textId="77777777" w:rsidR="00BD1D88" w:rsidRPr="005F5709" w:rsidRDefault="00BD1D88" w:rsidP="00977294">
      <w:pPr>
        <w:pStyle w:val="ListParagraph"/>
        <w:numPr>
          <w:ilvl w:val="0"/>
          <w:numId w:val="36"/>
        </w:numPr>
        <w:spacing w:after="200" w:line="276" w:lineRule="auto"/>
        <w:rPr>
          <w:rFonts w:asciiTheme="minorHAnsi" w:hAnsiTheme="minorHAnsi" w:cstheme="minorHAnsi"/>
        </w:rPr>
      </w:pPr>
      <w:r w:rsidRPr="005F5709">
        <w:rPr>
          <w:rFonts w:asciiTheme="minorHAnsi" w:hAnsiTheme="minorHAnsi" w:cstheme="minorHAnsi"/>
        </w:rPr>
        <w:t>In addition to training quality issues, they noted that RTOs are perceived as generally not flexible enough for apprentices; and</w:t>
      </w:r>
    </w:p>
    <w:p w14:paraId="50930842" w14:textId="77777777" w:rsidR="00BD1D88" w:rsidRPr="005F5709" w:rsidRDefault="00BD1D88" w:rsidP="00977294">
      <w:pPr>
        <w:pStyle w:val="ListParagraph"/>
        <w:numPr>
          <w:ilvl w:val="0"/>
          <w:numId w:val="36"/>
        </w:numPr>
        <w:spacing w:after="200" w:line="276" w:lineRule="auto"/>
        <w:rPr>
          <w:rFonts w:asciiTheme="minorHAnsi" w:hAnsiTheme="minorHAnsi" w:cstheme="minorHAnsi"/>
        </w:rPr>
      </w:pPr>
      <w:r w:rsidRPr="005F5709">
        <w:rPr>
          <w:rFonts w:asciiTheme="minorHAnsi" w:hAnsiTheme="minorHAnsi" w:cstheme="minorHAnsi"/>
        </w:rPr>
        <w:t xml:space="preserve">The majority of employers (60 per cent) believe the support they received from AASN providers fully or mostly meet their expectations. </w:t>
      </w:r>
    </w:p>
    <w:p w14:paraId="33B0AB49" w14:textId="77777777" w:rsidR="00BD1D88" w:rsidRPr="005F5709" w:rsidRDefault="00BD1D88" w:rsidP="00206940">
      <w:pPr>
        <w:pStyle w:val="Heading5"/>
        <w:rPr>
          <w:rFonts w:asciiTheme="minorHAnsi" w:hAnsiTheme="minorHAnsi" w:cstheme="minorHAnsi"/>
        </w:rPr>
      </w:pPr>
      <w:r w:rsidRPr="005F5709">
        <w:rPr>
          <w:rFonts w:asciiTheme="minorHAnsi" w:hAnsiTheme="minorHAnsi" w:cstheme="minorHAnsi"/>
        </w:rPr>
        <w:t xml:space="preserve">Deloitte </w:t>
      </w:r>
    </w:p>
    <w:p w14:paraId="1BA7EB29" w14:textId="77777777" w:rsidR="00BD1D88" w:rsidRPr="005F5709" w:rsidRDefault="00BD1D88" w:rsidP="007D0859">
      <w:pPr>
        <w:rPr>
          <w:rFonts w:asciiTheme="minorHAnsi" w:hAnsiTheme="minorHAnsi" w:cstheme="minorHAnsi"/>
        </w:rPr>
      </w:pPr>
      <w:r w:rsidRPr="005F5709">
        <w:rPr>
          <w:rFonts w:asciiTheme="minorHAnsi" w:hAnsiTheme="minorHAnsi" w:cstheme="minorHAnsi"/>
        </w:rPr>
        <w:t>The Department of Education, Employment and Workplace Relations commissioned Deloitte Access Economics to conduct an econometric analysis of the AAIP, which was completed on 5 March 2012.</w:t>
      </w:r>
    </w:p>
    <w:p w14:paraId="13F53CFE" w14:textId="77777777" w:rsidR="00BD1D88" w:rsidRPr="005F5709" w:rsidRDefault="00BD1D88" w:rsidP="007D0859">
      <w:pPr>
        <w:rPr>
          <w:rFonts w:asciiTheme="minorHAnsi" w:hAnsiTheme="minorHAnsi" w:cstheme="minorHAnsi"/>
        </w:rPr>
      </w:pPr>
      <w:r w:rsidRPr="005F5709">
        <w:rPr>
          <w:rFonts w:asciiTheme="minorHAnsi" w:hAnsiTheme="minorHAnsi" w:cstheme="minorHAnsi"/>
        </w:rPr>
        <w:t xml:space="preserve">Their analysis drew two high level conclusions: </w:t>
      </w:r>
    </w:p>
    <w:p w14:paraId="42319F7C" w14:textId="77777777" w:rsidR="00BD1D88" w:rsidRPr="005F5709" w:rsidRDefault="00BD1D88" w:rsidP="00977294">
      <w:pPr>
        <w:pStyle w:val="ListParagraph"/>
        <w:numPr>
          <w:ilvl w:val="0"/>
          <w:numId w:val="57"/>
        </w:numPr>
        <w:spacing w:after="200" w:line="276" w:lineRule="auto"/>
        <w:rPr>
          <w:rFonts w:asciiTheme="minorHAnsi" w:hAnsiTheme="minorHAnsi" w:cstheme="minorHAnsi"/>
        </w:rPr>
      </w:pPr>
      <w:r w:rsidRPr="005F5709">
        <w:rPr>
          <w:rFonts w:asciiTheme="minorHAnsi" w:hAnsiTheme="minorHAnsi" w:cstheme="minorHAnsi"/>
        </w:rPr>
        <w:t>Financial incentives have a positive effect on commencements, with payments made of over $1,000 having a significantly positive effect; and</w:t>
      </w:r>
    </w:p>
    <w:p w14:paraId="04C02F44" w14:textId="77777777" w:rsidR="00BD1D88" w:rsidRPr="005F5709" w:rsidRDefault="00BD1D88" w:rsidP="00977294">
      <w:pPr>
        <w:pStyle w:val="ListParagraph"/>
        <w:numPr>
          <w:ilvl w:val="0"/>
          <w:numId w:val="57"/>
        </w:numPr>
        <w:spacing w:after="200" w:line="276" w:lineRule="auto"/>
        <w:rPr>
          <w:rFonts w:asciiTheme="minorHAnsi" w:hAnsiTheme="minorHAnsi" w:cstheme="minorHAnsi"/>
        </w:rPr>
      </w:pPr>
      <w:r w:rsidRPr="005F5709">
        <w:rPr>
          <w:rFonts w:asciiTheme="minorHAnsi" w:hAnsiTheme="minorHAnsi" w:cstheme="minorHAnsi"/>
        </w:rPr>
        <w:t xml:space="preserve">The timing of when incentives are paid is very important. </w:t>
      </w:r>
    </w:p>
    <w:p w14:paraId="5BE207A9" w14:textId="77777777" w:rsidR="00BD1D88" w:rsidRPr="005F5709" w:rsidRDefault="00BD1D88" w:rsidP="00CA1D96">
      <w:pPr>
        <w:rPr>
          <w:rFonts w:asciiTheme="minorHAnsi" w:hAnsiTheme="minorHAnsi" w:cstheme="minorHAnsi"/>
        </w:rPr>
      </w:pPr>
      <w:r w:rsidRPr="005F5709">
        <w:rPr>
          <w:rFonts w:asciiTheme="minorHAnsi" w:hAnsiTheme="minorHAnsi" w:cstheme="minorHAnsi"/>
        </w:rPr>
        <w:t>Importantly, their analysis found that incentivising individual apprentices to improve completions is more effective than incentivising employers.</w:t>
      </w:r>
      <w:r w:rsidRPr="005F5709">
        <w:rPr>
          <w:rStyle w:val="FootnoteReference"/>
          <w:rFonts w:asciiTheme="minorHAnsi" w:hAnsiTheme="minorHAnsi" w:cstheme="minorHAnsi"/>
        </w:rPr>
        <w:footnoteReference w:id="62"/>
      </w:r>
      <w:r w:rsidRPr="005F5709">
        <w:rPr>
          <w:rFonts w:asciiTheme="minorHAnsi" w:hAnsiTheme="minorHAnsi" w:cstheme="minorHAnsi"/>
        </w:rPr>
        <w:t xml:space="preserve"> </w:t>
      </w:r>
    </w:p>
    <w:p w14:paraId="094CD4EF" w14:textId="07AE930B" w:rsidR="00BD1D88" w:rsidRPr="005F5709" w:rsidRDefault="00BD1D88" w:rsidP="003543EF">
      <w:pPr>
        <w:pStyle w:val="Heading3"/>
      </w:pPr>
      <w:bookmarkStart w:id="121" w:name="_Toc67333693"/>
      <w:bookmarkStart w:id="122" w:name="_Toc88575313"/>
      <w:bookmarkStart w:id="123" w:name="_Toc113022230"/>
      <w:r w:rsidRPr="005F5709">
        <w:t>How did we incorporate feedback into policy? What other consultation will occur</w:t>
      </w:r>
      <w:bookmarkEnd w:id="121"/>
      <w:r w:rsidRPr="005F5709">
        <w:t>?</w:t>
      </w:r>
      <w:bookmarkEnd w:id="122"/>
      <w:bookmarkEnd w:id="123"/>
    </w:p>
    <w:p w14:paraId="639195EF" w14:textId="77777777" w:rsidR="00BD1D88" w:rsidRPr="005F5709" w:rsidRDefault="00BD1D88" w:rsidP="00513EBD">
      <w:pPr>
        <w:pStyle w:val="Heading4"/>
        <w:rPr>
          <w:rFonts w:asciiTheme="minorHAnsi" w:hAnsiTheme="minorHAnsi" w:cstheme="minorHAnsi"/>
        </w:rPr>
      </w:pPr>
      <w:r w:rsidRPr="005F5709">
        <w:rPr>
          <w:rFonts w:asciiTheme="minorHAnsi" w:hAnsiTheme="minorHAnsi" w:cstheme="minorHAnsi"/>
        </w:rPr>
        <w:t>What is the feedback telling us?</w:t>
      </w:r>
    </w:p>
    <w:p w14:paraId="6331EC1B"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Overall, feedback across the sector has been fairly consistent, from Australian Government and State Government, employers, apprentices, AASNs and research, and includes:</w:t>
      </w:r>
    </w:p>
    <w:p w14:paraId="0D3BB26F" w14:textId="77777777" w:rsidR="00BD1D88" w:rsidRPr="005F5709" w:rsidRDefault="00BD1D88" w:rsidP="00977294">
      <w:pPr>
        <w:pStyle w:val="ListParagraph"/>
        <w:numPr>
          <w:ilvl w:val="0"/>
          <w:numId w:val="42"/>
        </w:numPr>
        <w:spacing w:after="200" w:line="276" w:lineRule="auto"/>
        <w:rPr>
          <w:rFonts w:asciiTheme="minorHAnsi" w:hAnsiTheme="minorHAnsi" w:cstheme="minorHAnsi"/>
        </w:rPr>
      </w:pPr>
      <w:r w:rsidRPr="005F5709">
        <w:rPr>
          <w:rFonts w:asciiTheme="minorHAnsi" w:hAnsiTheme="minorHAnsi" w:cstheme="minorHAnsi"/>
        </w:rPr>
        <w:t>Apprentices need more support, both financially and non-financially;</w:t>
      </w:r>
    </w:p>
    <w:p w14:paraId="46391202" w14:textId="77777777" w:rsidR="00BD1D88" w:rsidRPr="005F5709" w:rsidRDefault="00BD1D88" w:rsidP="00977294">
      <w:pPr>
        <w:pStyle w:val="ListParagraph"/>
        <w:numPr>
          <w:ilvl w:val="0"/>
          <w:numId w:val="42"/>
        </w:numPr>
        <w:spacing w:after="200" w:line="276" w:lineRule="auto"/>
        <w:rPr>
          <w:rFonts w:asciiTheme="minorHAnsi" w:hAnsiTheme="minorHAnsi" w:cstheme="minorHAnsi"/>
        </w:rPr>
      </w:pPr>
      <w:r w:rsidRPr="005F5709">
        <w:rPr>
          <w:rFonts w:asciiTheme="minorHAnsi" w:hAnsiTheme="minorHAnsi" w:cstheme="minorHAnsi"/>
        </w:rPr>
        <w:t>There are barriers to sign-up;</w:t>
      </w:r>
    </w:p>
    <w:p w14:paraId="1674ADB9" w14:textId="77777777" w:rsidR="00BD1D88" w:rsidRPr="005F5709" w:rsidRDefault="00BD1D88" w:rsidP="00977294">
      <w:pPr>
        <w:pStyle w:val="ListParagraph"/>
        <w:numPr>
          <w:ilvl w:val="0"/>
          <w:numId w:val="42"/>
        </w:numPr>
        <w:spacing w:after="200" w:line="276" w:lineRule="auto"/>
        <w:rPr>
          <w:rFonts w:asciiTheme="minorHAnsi" w:hAnsiTheme="minorHAnsi" w:cstheme="minorHAnsi"/>
        </w:rPr>
      </w:pPr>
      <w:r w:rsidRPr="005F5709">
        <w:rPr>
          <w:rFonts w:asciiTheme="minorHAnsi" w:hAnsiTheme="minorHAnsi" w:cstheme="minorHAnsi"/>
        </w:rPr>
        <w:t>Apprenticeships can play a key role in targeting priority skills;</w:t>
      </w:r>
    </w:p>
    <w:p w14:paraId="15394144" w14:textId="77777777" w:rsidR="00BD1D88" w:rsidRPr="005F5709" w:rsidRDefault="00BD1D88" w:rsidP="00977294">
      <w:pPr>
        <w:pStyle w:val="ListParagraph"/>
        <w:numPr>
          <w:ilvl w:val="0"/>
          <w:numId w:val="42"/>
        </w:numPr>
        <w:spacing w:after="200" w:line="276" w:lineRule="auto"/>
        <w:rPr>
          <w:rFonts w:asciiTheme="minorHAnsi" w:hAnsiTheme="minorHAnsi" w:cstheme="minorHAnsi"/>
        </w:rPr>
      </w:pPr>
      <w:r w:rsidRPr="005F5709">
        <w:rPr>
          <w:rFonts w:asciiTheme="minorHAnsi" w:hAnsiTheme="minorHAnsi" w:cstheme="minorHAnsi"/>
        </w:rPr>
        <w:t>Policy needs to target apprenticeships to build on the gains from the BAC and continue to encourage increased commencements; and</w:t>
      </w:r>
    </w:p>
    <w:p w14:paraId="508983E0" w14:textId="77777777" w:rsidR="00BD1D88" w:rsidRPr="005F5709" w:rsidRDefault="00BD1D88" w:rsidP="00977294">
      <w:pPr>
        <w:pStyle w:val="ListParagraph"/>
        <w:numPr>
          <w:ilvl w:val="0"/>
          <w:numId w:val="42"/>
        </w:numPr>
        <w:spacing w:after="200" w:line="276" w:lineRule="auto"/>
        <w:rPr>
          <w:rFonts w:asciiTheme="minorHAnsi" w:hAnsiTheme="minorHAnsi" w:cstheme="minorHAnsi"/>
        </w:rPr>
      </w:pPr>
      <w:r w:rsidRPr="005F5709">
        <w:rPr>
          <w:rFonts w:asciiTheme="minorHAnsi" w:hAnsiTheme="minorHAnsi" w:cstheme="minorHAnsi"/>
        </w:rPr>
        <w:t>Completions are an important part of the equation.</w:t>
      </w:r>
    </w:p>
    <w:p w14:paraId="46950EBA" w14:textId="77777777" w:rsidR="00BD1D88" w:rsidRPr="005F5709" w:rsidRDefault="00BD1D88" w:rsidP="00513EBD">
      <w:pPr>
        <w:rPr>
          <w:rFonts w:asciiTheme="minorHAnsi" w:hAnsiTheme="minorHAnsi" w:cstheme="minorHAnsi"/>
        </w:rPr>
      </w:pPr>
      <w:r w:rsidRPr="005F5709">
        <w:rPr>
          <w:rFonts w:asciiTheme="minorHAnsi" w:hAnsiTheme="minorHAnsi" w:cstheme="minorHAnsi"/>
        </w:rPr>
        <w:t>These views and concerns have been used to shape Option 2 and Option 3. In particular, Option 3 enables a higher level of investment in the apprenticeship incentives system during the economic recovery, before reducing to pre-COVID-19 investment once post-pandemic economic conditions stabilise.</w:t>
      </w:r>
      <w:r w:rsidRPr="005F5709">
        <w:rPr>
          <w:rFonts w:asciiTheme="minorHAnsi" w:hAnsiTheme="minorHAnsi" w:cstheme="minorHAnsi"/>
        </w:rPr>
        <w:br w:type="page"/>
      </w:r>
    </w:p>
    <w:p w14:paraId="5F62D40E" w14:textId="081622AA" w:rsidR="00BD1D88" w:rsidRPr="005F5709" w:rsidRDefault="00BD1D88" w:rsidP="00F32BBC">
      <w:pPr>
        <w:pStyle w:val="Heading1"/>
        <w:spacing w:after="240"/>
      </w:pPr>
      <w:bookmarkStart w:id="124" w:name="_Toc88575314"/>
      <w:bookmarkStart w:id="125" w:name="_Toc113022231"/>
      <w:r w:rsidRPr="005F5709">
        <w:lastRenderedPageBreak/>
        <w:t xml:space="preserve">Chapter Seven: </w:t>
      </w:r>
      <w:bookmarkEnd w:id="124"/>
      <w:r w:rsidRPr="005F5709">
        <w:t>Recommended Option</w:t>
      </w:r>
      <w:bookmarkEnd w:id="125"/>
    </w:p>
    <w:p w14:paraId="6D6DF8CC" w14:textId="77777777" w:rsidR="00BD1D88" w:rsidRPr="005F5709" w:rsidRDefault="00BD1D88" w:rsidP="00A14B8A">
      <w:pPr>
        <w:rPr>
          <w:rFonts w:asciiTheme="minorHAnsi" w:hAnsiTheme="minorHAnsi" w:cstheme="minorHAnsi"/>
        </w:rPr>
      </w:pPr>
      <w:r w:rsidRPr="005F5709">
        <w:rPr>
          <w:rFonts w:asciiTheme="minorHAnsi" w:hAnsiTheme="minorHAnsi" w:cstheme="minorHAnsi"/>
        </w:rPr>
        <w:t>The Australian Government is committed to a skills-led recovery from the COVID-19 pandemic and Australian Apprenticeships are a key part of this plan. Reforms that redirect incentives to both apprentices and employers, align the value of support commensurate to the costs involved, and balance the Australian Government’s investment towards areas of need will have the greatest success in reducing barriers to Australian Apprenticeships.</w:t>
      </w:r>
    </w:p>
    <w:p w14:paraId="2EEE908A" w14:textId="77777777" w:rsidR="00BD1D88" w:rsidRPr="005F5709" w:rsidRDefault="00BD1D88" w:rsidP="00A14B8A">
      <w:pPr>
        <w:rPr>
          <w:rFonts w:asciiTheme="minorHAnsi" w:hAnsiTheme="minorHAnsi" w:cstheme="minorHAnsi"/>
        </w:rPr>
      </w:pPr>
      <w:r w:rsidRPr="005F5709">
        <w:rPr>
          <w:rFonts w:asciiTheme="minorHAnsi" w:hAnsiTheme="minorHAnsi" w:cstheme="minorHAnsi"/>
        </w:rPr>
        <w:t xml:space="preserve">Targeting priority skills areas, and key industries reduces expenditure across the system and focuses on qualifications where there is the greatest need to ensure an appropriate level of investment is made into our future skilled workforce. This approach is expected to lead to an increase in commencements and completions in priority occupations. It is also expected to lead to an increase in the supply of apprenticeship opportunities in key industries. </w:t>
      </w:r>
    </w:p>
    <w:p w14:paraId="112BBD4D" w14:textId="77777777" w:rsidR="00BD1D88" w:rsidRPr="005F5709" w:rsidRDefault="00BD1D88" w:rsidP="00A14B8A">
      <w:pPr>
        <w:rPr>
          <w:rFonts w:asciiTheme="minorHAnsi" w:hAnsiTheme="minorHAnsi" w:cstheme="minorHAnsi"/>
        </w:rPr>
      </w:pPr>
      <w:r w:rsidRPr="005F5709">
        <w:rPr>
          <w:rFonts w:asciiTheme="minorHAnsi" w:hAnsiTheme="minorHAnsi" w:cstheme="minorHAnsi"/>
        </w:rPr>
        <w:t>Without action, Option 1, the Incentives for Australian Apprenticeships (IAA) program will be introduced on 1 July 2022. While this would simplify incentives, it would do little to address barriers to commencing and completing an apprenticeship and in turn fail to effectively address the skill shortages. The IAA was developed in the pre-COVID</w:t>
      </w:r>
      <w:r w:rsidRPr="005F5709">
        <w:rPr>
          <w:rFonts w:asciiTheme="minorHAnsi" w:hAnsiTheme="minorHAnsi" w:cstheme="minorHAnsi"/>
        </w:rPr>
        <w:noBreakHyphen/>
        <w:t xml:space="preserve">19 economy and is no longer fit for purpose. If Option 1 is implemented, Australian Government expenditure on the Australian Apprenticeships system would be reduced substantially, however an opportunity would be missed to address declining commencement numbers (pre-Boosting Apprenticeship Commencements (BAC) figures) and historically low retention and completion rates that COVID-19 economic response measures have effectively reversed. </w:t>
      </w:r>
    </w:p>
    <w:p w14:paraId="5609EB2B" w14:textId="77777777" w:rsidR="00BD1D88" w:rsidRPr="005F5709" w:rsidRDefault="00BD1D88" w:rsidP="00A14B8A">
      <w:pPr>
        <w:rPr>
          <w:rFonts w:asciiTheme="minorHAnsi" w:hAnsiTheme="minorHAnsi" w:cstheme="minorHAnsi"/>
        </w:rPr>
      </w:pPr>
      <w:r w:rsidRPr="005F5709">
        <w:rPr>
          <w:rFonts w:asciiTheme="minorHAnsi" w:hAnsiTheme="minorHAnsi" w:cstheme="minorHAnsi"/>
        </w:rPr>
        <w:t>Option 2 responds to emerging skills needs and clearly targets government funding to priority areas of future growth and development, including anticipated areas of skills needs and employment opportunities.</w:t>
      </w:r>
      <w:r w:rsidRPr="005F5709">
        <w:rPr>
          <w:rFonts w:asciiTheme="minorHAnsi" w:eastAsiaTheme="minorEastAsia" w:hAnsiTheme="minorHAnsi" w:cstheme="minorHAnsi"/>
          <w:color w:val="000000" w:themeColor="text1"/>
        </w:rPr>
        <w:t xml:space="preserve"> This option sends a clear message to prospective apprentices to take up an apprenticeship in an in-demand trade and care occupation. However, this option will have a sudden and negative impact on non-priority occupations, with no support available for employers or apprentices in non-priority occupations from 1 July 2022. This will result in a decrease in commencements in non-priority occupations. This outcome will be particularly pronounced for women, Indigenous Australian and rural and regional apprentices for whom it is expected to have the greatest impact</w:t>
      </w:r>
      <w:r w:rsidRPr="005F5709">
        <w:rPr>
          <w:rFonts w:asciiTheme="minorHAnsi" w:hAnsiTheme="minorHAnsi" w:cstheme="minorHAnsi"/>
        </w:rPr>
        <w:t>.</w:t>
      </w:r>
    </w:p>
    <w:p w14:paraId="558FB34D" w14:textId="77777777" w:rsidR="00BD1D88" w:rsidRPr="005F5709" w:rsidRDefault="00BD1D88" w:rsidP="00A14B8A">
      <w:pPr>
        <w:rPr>
          <w:rFonts w:asciiTheme="minorHAnsi" w:hAnsiTheme="minorHAnsi" w:cstheme="minorHAnsi"/>
        </w:rPr>
      </w:pPr>
      <w:r w:rsidRPr="005F5709">
        <w:rPr>
          <w:rFonts w:asciiTheme="minorHAnsi" w:hAnsiTheme="minorHAnsi" w:cstheme="minorHAnsi"/>
        </w:rPr>
        <w:t>Option 3 is the preferred option as it best addresses the feedback raised during consultation while meeting current and emerging economic conditions. This option is the only option to address each of the policy issues identified:</w:t>
      </w:r>
    </w:p>
    <w:p w14:paraId="04DE7348"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Incentives were not targeted to meet skill shortages;</w:t>
      </w:r>
    </w:p>
    <w:p w14:paraId="64F9509E"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Costs remain high and are increasing for both the employer and the apprentice;</w:t>
      </w:r>
    </w:p>
    <w:p w14:paraId="4B96B7D5"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Incentives do not focus on the decision maker;</w:t>
      </w:r>
    </w:p>
    <w:p w14:paraId="70173893"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Incentives are difficult to navigate and understand; and</w:t>
      </w:r>
    </w:p>
    <w:p w14:paraId="45E24335"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Non-financial support is needed for apprentices.</w:t>
      </w:r>
    </w:p>
    <w:p w14:paraId="14391FFF" w14:textId="77777777" w:rsidR="00BD1D88" w:rsidRPr="005F5709" w:rsidRDefault="00BD1D88" w:rsidP="0055608F">
      <w:pPr>
        <w:rPr>
          <w:rFonts w:asciiTheme="minorHAnsi" w:hAnsiTheme="minorHAnsi" w:cstheme="minorHAnsi"/>
        </w:rPr>
      </w:pPr>
    </w:p>
    <w:p w14:paraId="6E8D4802" w14:textId="77777777" w:rsidR="00BD1D88" w:rsidRPr="005F5709" w:rsidRDefault="00BD1D88" w:rsidP="0055608F">
      <w:pPr>
        <w:rPr>
          <w:rFonts w:asciiTheme="minorHAnsi" w:hAnsiTheme="minorHAnsi" w:cstheme="minorHAnsi"/>
        </w:rPr>
      </w:pPr>
    </w:p>
    <w:p w14:paraId="3D1074C8" w14:textId="77777777" w:rsidR="00BD1D88" w:rsidRPr="005F5709" w:rsidRDefault="00BD1D88" w:rsidP="0055608F">
      <w:pPr>
        <w:rPr>
          <w:rFonts w:asciiTheme="minorHAnsi" w:hAnsiTheme="minorHAnsi" w:cstheme="minorHAnsi"/>
        </w:rPr>
      </w:pPr>
      <w:r w:rsidRPr="005F5709">
        <w:rPr>
          <w:rFonts w:asciiTheme="minorHAnsi" w:hAnsiTheme="minorHAnsi" w:cstheme="minorHAnsi"/>
        </w:rPr>
        <w:t>This approach would re-direct Australian Government investment from non-priority occupations (for example office managers, general clerks and sales assistants) to priority occupations (for example carpenters, electricians and childcare workers) in phases. It would also enable a higher level of investment in the apprenticeship incentives system during the economic recovery, before reducing to pre-COVID-19 investment once post-pandemic economic conditions stabilise.</w:t>
      </w:r>
    </w:p>
    <w:p w14:paraId="3B5CE078" w14:textId="77777777" w:rsidR="00BD1D88" w:rsidRPr="005F5709" w:rsidRDefault="00BD1D88">
      <w:pPr>
        <w:rPr>
          <w:rFonts w:asciiTheme="minorHAnsi" w:hAnsiTheme="minorHAnsi" w:cstheme="minorHAnsi"/>
        </w:rPr>
      </w:pPr>
      <w:r w:rsidRPr="005F5709">
        <w:rPr>
          <w:rFonts w:asciiTheme="minorHAnsi" w:hAnsiTheme="minorHAnsi" w:cstheme="minorHAnsi"/>
        </w:rPr>
        <w:br w:type="page"/>
      </w:r>
    </w:p>
    <w:p w14:paraId="751C1DD4" w14:textId="77777777" w:rsidR="00BD1D88" w:rsidRPr="005F5709" w:rsidRDefault="00BD1D88" w:rsidP="0055608F">
      <w:pPr>
        <w:rPr>
          <w:rFonts w:asciiTheme="minorHAnsi" w:hAnsiTheme="minorHAnsi" w:cstheme="minorHAnsi"/>
        </w:rPr>
      </w:pPr>
    </w:p>
    <w:p w14:paraId="52B13DBC" w14:textId="680F9E65" w:rsidR="00BD1D88" w:rsidRPr="005F5709" w:rsidRDefault="00BD1D88" w:rsidP="00663DC5">
      <w:pPr>
        <w:pStyle w:val="Heading1"/>
        <w:rPr>
          <w:bCs/>
        </w:rPr>
      </w:pPr>
      <w:bookmarkStart w:id="126" w:name="_Toc88575315"/>
      <w:bookmarkStart w:id="127" w:name="_Toc113022232"/>
      <w:r w:rsidRPr="005F5709">
        <w:rPr>
          <w:bCs/>
        </w:rPr>
        <w:t>Chapter Eight:</w:t>
      </w:r>
      <w:r w:rsidRPr="005F5709">
        <w:rPr>
          <w:bCs/>
          <w:color w:val="FF0000"/>
        </w:rPr>
        <w:t xml:space="preserve"> </w:t>
      </w:r>
      <w:bookmarkEnd w:id="126"/>
      <w:r w:rsidRPr="005F5709">
        <w:rPr>
          <w:bCs/>
        </w:rPr>
        <w:t>Implementation and Review</w:t>
      </w:r>
      <w:bookmarkEnd w:id="127"/>
    </w:p>
    <w:p w14:paraId="749A288A" w14:textId="769E4222" w:rsidR="00BD1D88" w:rsidRPr="005F5709" w:rsidRDefault="00BD1D88" w:rsidP="00D2408F">
      <w:pPr>
        <w:pStyle w:val="Heading2"/>
        <w:rPr>
          <w:color w:val="002060"/>
        </w:rPr>
      </w:pPr>
      <w:bookmarkStart w:id="128" w:name="_Toc88575316"/>
      <w:bookmarkStart w:id="129" w:name="_Toc113022233"/>
      <w:r w:rsidRPr="005F5709">
        <w:rPr>
          <w:color w:val="002060"/>
        </w:rPr>
        <w:t>8.1 Implementation</w:t>
      </w:r>
      <w:bookmarkEnd w:id="128"/>
      <w:bookmarkEnd w:id="129"/>
    </w:p>
    <w:p w14:paraId="59122EC4" w14:textId="29DF25E7" w:rsidR="00BD1D88" w:rsidRPr="005F5709" w:rsidRDefault="00BD1D88" w:rsidP="0033088E">
      <w:pPr>
        <w:pStyle w:val="Heading3"/>
      </w:pPr>
      <w:bookmarkStart w:id="130" w:name="_Toc113022234"/>
      <w:r w:rsidRPr="005F5709">
        <w:t>Legislation</w:t>
      </w:r>
      <w:bookmarkEnd w:id="130"/>
    </w:p>
    <w:p w14:paraId="29990021"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 xml:space="preserve">New primary legislation is recommended for any new incentives system to improve and simplify administration of the program and protect apprentices through strengthened accountability. Additionally, changes to the Trade Support Loans (TSL) will need to be reflected in the TSL Act and Rules. </w:t>
      </w:r>
    </w:p>
    <w:p w14:paraId="6DA6AD2E"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New legislation will not be in place until after 1 July 2022. In the interim, legislative authority and operation of the new program (excluding TSL) will rest on items in the Financial Framework (Supplementary Powers) Schedule 1AB (FFSP) and robust Program Guidelines, similar to the operation of the current program. </w:t>
      </w:r>
    </w:p>
    <w:p w14:paraId="2E4EAA95"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 xml:space="preserve">Changes to the TSL will be implemented once proposed changes to the enabling legislation are made. The TSL is governed by the Trade Support Loans Act 2014 and two legislative instruments: the Trade Support Loans Rules 2014 and Trade Support Loans Priority List 2014. </w:t>
      </w:r>
    </w:p>
    <w:p w14:paraId="1AF2ED20"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 xml:space="preserve">It is anticipated that legislation will be introduced in the Spring 2022 sittings. </w:t>
      </w:r>
    </w:p>
    <w:p w14:paraId="747F93AD" w14:textId="0CAE96DB" w:rsidR="00BD1D88" w:rsidRPr="005F5709" w:rsidRDefault="00BD1D88" w:rsidP="0033088E">
      <w:pPr>
        <w:pStyle w:val="Heading3"/>
      </w:pPr>
      <w:bookmarkStart w:id="131" w:name="_Toc113022235"/>
      <w:r w:rsidRPr="005F5709">
        <w:t>Program guidelines</w:t>
      </w:r>
      <w:bookmarkEnd w:id="131"/>
    </w:p>
    <w:p w14:paraId="5D5156BF"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 xml:space="preserve">The implementation of the Australian Apprenticeships Incentive System (AAIS) would be supported by new Program Guidelines, published on the Department’s website and </w:t>
      </w:r>
      <w:proofErr w:type="spellStart"/>
      <w:r w:rsidRPr="005F5709">
        <w:rPr>
          <w:rFonts w:asciiTheme="minorHAnsi" w:hAnsiTheme="minorHAnsi" w:cstheme="minorHAnsi"/>
        </w:rPr>
        <w:t>GrantConnect</w:t>
      </w:r>
      <w:proofErr w:type="spellEnd"/>
      <w:r w:rsidRPr="005F5709">
        <w:rPr>
          <w:rFonts w:asciiTheme="minorHAnsi" w:hAnsiTheme="minorHAnsi" w:cstheme="minorHAnsi"/>
        </w:rPr>
        <w:t>. The Program Guidelines would provide details on incentives including eligibility requirements and how to apply.</w:t>
      </w:r>
    </w:p>
    <w:p w14:paraId="1479C3D1"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 xml:space="preserve">All existing employers and apprentices on the current program that commenced prior to 1 July 2022 would be grandfathered under existing arrangements. </w:t>
      </w:r>
    </w:p>
    <w:p w14:paraId="1E59E805" w14:textId="41A29B7F" w:rsidR="00BD1D88" w:rsidRPr="005F5709" w:rsidRDefault="00BD1D88" w:rsidP="0033088E">
      <w:pPr>
        <w:pStyle w:val="Heading3"/>
      </w:pPr>
      <w:bookmarkStart w:id="132" w:name="_Toc113022236"/>
      <w:r w:rsidRPr="005F5709">
        <w:t>AASN provider contracts</w:t>
      </w:r>
      <w:bookmarkEnd w:id="132"/>
    </w:p>
    <w:p w14:paraId="7A26B90B"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Implementing the new incentives model would require a variation to the Australian Apprenticeship Support Network (AASN) provider contract which commenced on 1 February 2020. The current AASN contract contains provision for delivery of a new incentives model, so the variation simply needs to insert the AAIS name into the contracts.</w:t>
      </w:r>
    </w:p>
    <w:p w14:paraId="3A95C1CC" w14:textId="77777777" w:rsidR="00BD1D88" w:rsidRPr="005F5709" w:rsidRDefault="00BD1D88" w:rsidP="7ADD86CC">
      <w:pPr>
        <w:rPr>
          <w:rFonts w:asciiTheme="minorHAnsi" w:hAnsiTheme="minorHAnsi" w:cstheme="minorHAnsi"/>
        </w:rPr>
      </w:pPr>
      <w:r w:rsidRPr="005F5709">
        <w:rPr>
          <w:rFonts w:asciiTheme="minorHAnsi" w:hAnsiTheme="minorHAnsi" w:cstheme="minorHAnsi"/>
        </w:rPr>
        <w:t>Strong and effective communication between the Department, AASN providers and employers/ apprentices will be required to ensure program participants are well informed regarding their potential eligibility for various payments. This is consistent with the current role of the AASN and a continuation of their current work, and a change such as this is easily accommodated by a contract variation.</w:t>
      </w:r>
    </w:p>
    <w:p w14:paraId="1E38910B"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 xml:space="preserve">In addition to delivering the new model, AASN providers would also continue to deliver the current program, as employers claiming incentives for an Australian Apprentice prior to 1 </w:t>
      </w:r>
      <w:r w:rsidRPr="005F5709">
        <w:rPr>
          <w:rFonts w:asciiTheme="minorHAnsi" w:hAnsiTheme="minorHAnsi" w:cstheme="minorHAnsi"/>
        </w:rPr>
        <w:lastRenderedPageBreak/>
        <w:t>July 2022 would continue to receive payments under the old payment structure for that apprentice.</w:t>
      </w:r>
    </w:p>
    <w:p w14:paraId="7B2115FB" w14:textId="2C16F8D6" w:rsidR="00BD1D88" w:rsidRPr="005F5709" w:rsidRDefault="00BD1D88" w:rsidP="0033088E">
      <w:pPr>
        <w:pStyle w:val="Heading3"/>
      </w:pPr>
      <w:bookmarkStart w:id="133" w:name="_Toc113022237"/>
      <w:r w:rsidRPr="005F5709">
        <w:t>Grandfathering arrangements</w:t>
      </w:r>
      <w:bookmarkEnd w:id="133"/>
    </w:p>
    <w:p w14:paraId="3F5526DC"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To maintain simplicity and reduce overall costs, existing employers and Australian Apprentices that commenced prior to 1 July 2022 will be grandfathered under their existing arrangements. This will ensure that employers and apprentices continue to receive the support they anticipated when initiating the apprentice-employer relationship.</w:t>
      </w:r>
    </w:p>
    <w:p w14:paraId="40C09652" w14:textId="77777777" w:rsidR="00BD1D88" w:rsidRPr="005F5709" w:rsidRDefault="00BD1D88" w:rsidP="0033088E">
      <w:pPr>
        <w:pStyle w:val="Heading3"/>
      </w:pPr>
      <w:bookmarkStart w:id="134" w:name="_Toc113022238"/>
      <w:bookmarkStart w:id="135" w:name="_Hlk67254537"/>
      <w:r w:rsidRPr="005F5709">
        <w:t>Stakeholder engagement</w:t>
      </w:r>
      <w:bookmarkEnd w:id="134"/>
    </w:p>
    <w:p w14:paraId="37539DCF"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As part of implementation, consultation with key stakeholders (including the AASN) would be undertaken to manage the change process for the new incentives model. This will include consideration of IT capabilities as a result of Apprenticeships Data Management System (ADMS). Additionally, the Priority List will be carefully communicated to ensure stakeholders understand how the Priority List is updated and where to find current information.</w:t>
      </w:r>
    </w:p>
    <w:p w14:paraId="1DD9D5C2"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AASN providers will continue to provide wrap-around services, helping to ensure that employers and apprentices understand what incentives they are eligible for under the new system, and have access to non-financial supports to effectively engage with the apprenticeships system. </w:t>
      </w:r>
    </w:p>
    <w:p w14:paraId="48EA38DC" w14:textId="7466726C" w:rsidR="00BD1D88" w:rsidRPr="005F5709" w:rsidRDefault="00BD1D88" w:rsidP="0033088E">
      <w:pPr>
        <w:pStyle w:val="Heading3"/>
      </w:pPr>
      <w:bookmarkStart w:id="136" w:name="_Toc113022239"/>
      <w:bookmarkEnd w:id="135"/>
      <w:r w:rsidRPr="005F5709">
        <w:t>Information technology</w:t>
      </w:r>
      <w:bookmarkEnd w:id="136"/>
    </w:p>
    <w:p w14:paraId="5C943167"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The new incentives framework will be delivered through the new </w:t>
      </w:r>
      <w:proofErr w:type="gramStart"/>
      <w:r w:rsidRPr="005F5709">
        <w:rPr>
          <w:rFonts w:asciiTheme="minorHAnsi" w:hAnsiTheme="minorHAnsi" w:cstheme="minorHAnsi"/>
        </w:rPr>
        <w:t>ADMS,</w:t>
      </w:r>
      <w:proofErr w:type="gramEnd"/>
      <w:r w:rsidRPr="005F5709">
        <w:rPr>
          <w:rFonts w:asciiTheme="minorHAnsi" w:hAnsiTheme="minorHAnsi" w:cstheme="minorHAnsi"/>
        </w:rPr>
        <w:t xml:space="preserve"> however the Training and Youth Internet Management System will continue to support existing incentives until the new system is fully operational. ADMS will provide a better user experience, with a strong self-service component  for apprentices and employers when lodging claims.</w:t>
      </w:r>
    </w:p>
    <w:p w14:paraId="3C382252" w14:textId="778261B3" w:rsidR="00BD1D88" w:rsidRPr="005F5709" w:rsidRDefault="00BD1D88" w:rsidP="00E52C65">
      <w:pPr>
        <w:pStyle w:val="Heading2"/>
        <w:rPr>
          <w:color w:val="002060"/>
        </w:rPr>
      </w:pPr>
      <w:r w:rsidRPr="005F5709">
        <w:br w:type="page"/>
      </w:r>
      <w:bookmarkStart w:id="137" w:name="_Toc113022240"/>
      <w:r w:rsidRPr="005F5709">
        <w:rPr>
          <w:color w:val="002060"/>
        </w:rPr>
        <w:lastRenderedPageBreak/>
        <w:t>8.2 Evaluation</w:t>
      </w:r>
      <w:bookmarkEnd w:id="137"/>
    </w:p>
    <w:p w14:paraId="50897ED4"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The Department will evaluate the new incentives system through a combination of ongoing consultation with stakeholders through existing governance groups and surveys, qualitative research into the impact of the new model on stakeholders and quantitative analysis of administrative and longitudinal data to assess the appropriateness, effectiveness and efficiency of the new model. The evaluation will consider the new incentives against the key policy issues outlined in Chapter Two.</w:t>
      </w:r>
    </w:p>
    <w:p w14:paraId="45D35917"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The new ADMS will provide more timely program data which will enable the Department to better monitor the new AAIS. The Department worked closely with a broad range of stakeholders to develop the ADMS and will continue to work with these stakeholders during the implementation of the project. The incremental approach to development provides the opportunity for the Department to regularly assess, evaluate and test the components of the new system to ensure it meets users’ needs. This approach allows for early identification and mitigation of issues as they arise.</w:t>
      </w:r>
    </w:p>
    <w:p w14:paraId="580DAB89"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The recommended policy option is targeted towards occupations on the Australian Apprenticeships Priority List (Priority List), which has been developed to better capture skill shortages in the apprenticeship space and emerging skill shortages in health care due to COVID-19. The Priority List will be updated and evaluated annually to maintain relevance to the needs of employers. Regular updates to the Priority List will ensure that the program targets those in areas of skills need and adapts to changing market requirements. </w:t>
      </w:r>
    </w:p>
    <w:p w14:paraId="1F7A7AFE"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The impact of the proposal will be reviewed at key intervals. The first checkpoint review will take place in 2023–2024 (two years after commencement), before phase two commences. As part of this review the Department will consult industry, the Vocational Education and Training sector and the National Skills Commission. This review will analyse the effect of phase one to determine whether it has led to an increase in commencements and inform next steps. </w:t>
      </w:r>
    </w:p>
    <w:p w14:paraId="38CD1C0B"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The implementation of ADMS, annual updates to the Priority List and reviews of the new AAIS will give Australian employers and apprentices access to high quality and relevant training to meet the needs of a changing economy. Reforming the Australian apprenticeships incentives system will better target government investment to support employers and apprentices meet the skills gap in Australia.  </w:t>
      </w:r>
    </w:p>
    <w:p w14:paraId="2FB9AD8F" w14:textId="77777777" w:rsidR="00BD1D88" w:rsidRPr="005F5709" w:rsidRDefault="00BD1D88" w:rsidP="00F12C22">
      <w:pPr>
        <w:rPr>
          <w:rFonts w:asciiTheme="minorHAnsi" w:hAnsiTheme="minorHAnsi" w:cstheme="minorHAnsi"/>
        </w:rPr>
      </w:pPr>
      <w:r w:rsidRPr="005F5709">
        <w:rPr>
          <w:rFonts w:asciiTheme="minorHAnsi" w:hAnsiTheme="minorHAnsi" w:cstheme="minorHAnsi"/>
        </w:rPr>
        <w:br w:type="page"/>
      </w:r>
    </w:p>
    <w:p w14:paraId="01441F72" w14:textId="2ED79588" w:rsidR="00BD1D88" w:rsidRPr="005F5709" w:rsidRDefault="00BD1D88" w:rsidP="00F12C22">
      <w:pPr>
        <w:pStyle w:val="Heading1"/>
        <w:spacing w:after="240"/>
      </w:pPr>
      <w:bookmarkStart w:id="138" w:name="_Toc98426583"/>
      <w:bookmarkStart w:id="139" w:name="_Toc113022241"/>
      <w:r w:rsidRPr="005F5709">
        <w:lastRenderedPageBreak/>
        <w:t>Chapter Nine: Reference List</w:t>
      </w:r>
      <w:bookmarkEnd w:id="138"/>
      <w:bookmarkEnd w:id="139"/>
      <w:r w:rsidRPr="005F5709">
        <w:t xml:space="preserve"> </w:t>
      </w:r>
    </w:p>
    <w:p w14:paraId="2D76F962"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ANZ Research (6 December 2021) </w:t>
      </w:r>
      <w:r w:rsidRPr="005F5709">
        <w:rPr>
          <w:rFonts w:cstheme="minorHAnsi"/>
          <w:i/>
          <w:sz w:val="22"/>
          <w:szCs w:val="22"/>
        </w:rPr>
        <w:t xml:space="preserve">ANZ Australian Job Advertisement Series Media Release, </w:t>
      </w:r>
      <w:hyperlink r:id="rId31" w:history="1">
        <w:r w:rsidRPr="005F5709">
          <w:rPr>
            <w:rStyle w:val="Hyperlink"/>
            <w:rFonts w:cstheme="minorHAnsi"/>
            <w:sz w:val="22"/>
            <w:szCs w:val="22"/>
          </w:rPr>
          <w:t>www.media.anz.com</w:t>
        </w:r>
      </w:hyperlink>
      <w:r w:rsidRPr="005F5709">
        <w:rPr>
          <w:rFonts w:cstheme="minorHAnsi"/>
          <w:sz w:val="22"/>
          <w:szCs w:val="22"/>
        </w:rPr>
        <w:t xml:space="preserve"> (accessed 15 March 2021)</w:t>
      </w:r>
    </w:p>
    <w:p w14:paraId="4849FB72"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Australian Bureau of Statistics (2016) </w:t>
      </w:r>
      <w:r w:rsidRPr="005F5709">
        <w:rPr>
          <w:rFonts w:cstheme="minorHAnsi"/>
          <w:i/>
          <w:iCs/>
          <w:sz w:val="22"/>
          <w:szCs w:val="22"/>
        </w:rPr>
        <w:t>Household Expenditure Survey Australia: Summary of Results</w:t>
      </w:r>
      <w:r w:rsidRPr="005F5709">
        <w:rPr>
          <w:rFonts w:cstheme="minorHAnsi"/>
          <w:sz w:val="22"/>
          <w:szCs w:val="22"/>
        </w:rPr>
        <w:t xml:space="preserve"> </w:t>
      </w:r>
      <w:hyperlink r:id="rId32" w:history="1">
        <w:r w:rsidRPr="005F5709">
          <w:rPr>
            <w:rStyle w:val="Hyperlink"/>
            <w:rFonts w:cstheme="minorHAnsi"/>
            <w:sz w:val="22"/>
            <w:szCs w:val="22"/>
          </w:rPr>
          <w:t>www.abs.gov.au</w:t>
        </w:r>
      </w:hyperlink>
      <w:r w:rsidRPr="005F5709">
        <w:rPr>
          <w:rFonts w:cstheme="minorHAnsi"/>
          <w:sz w:val="22"/>
          <w:szCs w:val="22"/>
        </w:rPr>
        <w:t xml:space="preserve"> (accessed 28 July 2021)</w:t>
      </w:r>
    </w:p>
    <w:p w14:paraId="59401765"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Australian Bureau of Statistics (2022) </w:t>
      </w:r>
      <w:r w:rsidRPr="005F5709">
        <w:rPr>
          <w:rFonts w:cstheme="minorHAnsi"/>
          <w:i/>
          <w:iCs/>
          <w:sz w:val="22"/>
          <w:szCs w:val="22"/>
        </w:rPr>
        <w:t xml:space="preserve">Labour Force, Australia – February 2022 Release </w:t>
      </w:r>
      <w:r w:rsidRPr="005F5709">
        <w:rPr>
          <w:rFonts w:cstheme="minorHAnsi"/>
          <w:sz w:val="22"/>
          <w:szCs w:val="22"/>
        </w:rPr>
        <w:t xml:space="preserve">(accessed 22 March 2022) </w:t>
      </w:r>
    </w:p>
    <w:p w14:paraId="0ACE7116"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Australian Institute of Health and Welfare (2021) Australia's youth, AIHW, Australian Government (accessed 14 January 2022)</w:t>
      </w:r>
    </w:p>
    <w:p w14:paraId="2CD501FB"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Deloitte Access Economics (2012) </w:t>
      </w:r>
      <w:r w:rsidRPr="005F5709">
        <w:rPr>
          <w:rFonts w:cstheme="minorHAnsi"/>
          <w:i/>
          <w:iCs/>
          <w:sz w:val="22"/>
          <w:szCs w:val="22"/>
        </w:rPr>
        <w:t xml:space="preserve">Econometric analysis of the Australian Apprenticeships Incentives Program </w:t>
      </w:r>
      <w:hyperlink r:id="rId33" w:history="1">
        <w:r w:rsidRPr="005F5709">
          <w:rPr>
            <w:rStyle w:val="Hyperlink"/>
            <w:rFonts w:cstheme="minorHAnsi"/>
            <w:sz w:val="22"/>
            <w:szCs w:val="22"/>
          </w:rPr>
          <w:t>www.voced.edu.au</w:t>
        </w:r>
      </w:hyperlink>
      <w:r w:rsidRPr="005F5709">
        <w:rPr>
          <w:rFonts w:cstheme="minorHAnsi"/>
          <w:sz w:val="22"/>
          <w:szCs w:val="22"/>
        </w:rPr>
        <w:t xml:space="preserve"> (accessed 13 July 2021)</w:t>
      </w:r>
    </w:p>
    <w:p w14:paraId="02B9BB60"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Department of Education, Skills and Employment (2021) </w:t>
      </w:r>
      <w:r w:rsidRPr="005F5709">
        <w:rPr>
          <w:rFonts w:cstheme="minorHAnsi"/>
          <w:i/>
          <w:iCs/>
          <w:sz w:val="22"/>
          <w:szCs w:val="22"/>
        </w:rPr>
        <w:t>Australian Apprenticeships Incentives Program guidelines</w:t>
      </w:r>
      <w:r w:rsidRPr="005F5709">
        <w:rPr>
          <w:rFonts w:cstheme="minorHAnsi"/>
          <w:sz w:val="22"/>
          <w:szCs w:val="22"/>
        </w:rPr>
        <w:t xml:space="preserve"> </w:t>
      </w:r>
      <w:hyperlink r:id="rId34" w:history="1">
        <w:r w:rsidRPr="005F5709">
          <w:rPr>
            <w:rStyle w:val="Hyperlink"/>
            <w:rFonts w:cstheme="minorHAnsi"/>
            <w:sz w:val="22"/>
            <w:szCs w:val="22"/>
          </w:rPr>
          <w:t>www.dese.gov.au</w:t>
        </w:r>
      </w:hyperlink>
      <w:r w:rsidRPr="005F5709">
        <w:rPr>
          <w:rFonts w:cstheme="minorHAnsi"/>
          <w:sz w:val="22"/>
          <w:szCs w:val="22"/>
        </w:rPr>
        <w:t xml:space="preserve"> (accessed 16 June 2021)</w:t>
      </w:r>
    </w:p>
    <w:p w14:paraId="2A560667"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Department of Education, Skills and Employment (2021) </w:t>
      </w:r>
      <w:r w:rsidRPr="005F5709">
        <w:rPr>
          <w:rFonts w:cstheme="minorHAnsi"/>
          <w:i/>
          <w:iCs/>
          <w:sz w:val="22"/>
          <w:szCs w:val="22"/>
        </w:rPr>
        <w:t>What are skill shortages?</w:t>
      </w:r>
      <w:r w:rsidRPr="005F5709">
        <w:rPr>
          <w:rFonts w:cstheme="minorHAnsi"/>
          <w:sz w:val="22"/>
          <w:szCs w:val="22"/>
        </w:rPr>
        <w:t xml:space="preserve"> </w:t>
      </w:r>
      <w:hyperlink r:id="rId35" w:history="1">
        <w:r w:rsidRPr="005F5709">
          <w:rPr>
            <w:rStyle w:val="Hyperlink"/>
            <w:rFonts w:cstheme="minorHAnsi"/>
            <w:sz w:val="22"/>
            <w:szCs w:val="22"/>
          </w:rPr>
          <w:t>www.jobjumpstart.gov.au</w:t>
        </w:r>
      </w:hyperlink>
      <w:r w:rsidRPr="005F5709">
        <w:rPr>
          <w:rFonts w:cstheme="minorHAnsi"/>
          <w:sz w:val="22"/>
          <w:szCs w:val="22"/>
        </w:rPr>
        <w:t xml:space="preserve"> (accessed 28 July 2021)</w:t>
      </w:r>
    </w:p>
    <w:p w14:paraId="41405D8F"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Department of Jobs and Small Business (2017) </w:t>
      </w:r>
      <w:r w:rsidRPr="005F5709">
        <w:rPr>
          <w:rFonts w:cstheme="minorHAnsi"/>
          <w:i/>
          <w:iCs/>
          <w:sz w:val="22"/>
          <w:szCs w:val="22"/>
        </w:rPr>
        <w:t>Labour Market for Apprentices</w:t>
      </w:r>
      <w:r w:rsidRPr="005F5709">
        <w:rPr>
          <w:rFonts w:cstheme="minorHAnsi"/>
          <w:sz w:val="22"/>
          <w:szCs w:val="22"/>
        </w:rPr>
        <w:t xml:space="preserve">, </w:t>
      </w:r>
      <w:hyperlink r:id="rId36" w:history="1">
        <w:r w:rsidRPr="005F5709">
          <w:rPr>
            <w:rStyle w:val="Hyperlink"/>
            <w:rFonts w:cstheme="minorHAnsi"/>
            <w:sz w:val="22"/>
            <w:szCs w:val="22"/>
          </w:rPr>
          <w:t>www.dese.gov.au</w:t>
        </w:r>
      </w:hyperlink>
      <w:r w:rsidRPr="005F5709">
        <w:rPr>
          <w:rFonts w:cstheme="minorHAnsi"/>
          <w:sz w:val="22"/>
          <w:szCs w:val="22"/>
        </w:rPr>
        <w:t xml:space="preserve"> (accessed 23 June 2021)</w:t>
      </w:r>
    </w:p>
    <w:p w14:paraId="5D521402"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Joyce. S (2020) </w:t>
      </w:r>
      <w:r w:rsidRPr="005F5709">
        <w:rPr>
          <w:rFonts w:cstheme="minorHAnsi"/>
          <w:i/>
          <w:iCs/>
          <w:sz w:val="22"/>
          <w:szCs w:val="22"/>
        </w:rPr>
        <w:t>Strengthening skills: Expert review of Australia’s vocational education and training system</w:t>
      </w:r>
      <w:r w:rsidRPr="005F5709">
        <w:rPr>
          <w:rFonts w:cstheme="minorHAnsi"/>
          <w:sz w:val="22"/>
          <w:szCs w:val="22"/>
        </w:rPr>
        <w:t xml:space="preserve"> </w:t>
      </w:r>
      <w:hyperlink r:id="rId37" w:history="1">
        <w:r w:rsidRPr="005F5709">
          <w:rPr>
            <w:rStyle w:val="Hyperlink"/>
            <w:rFonts w:cstheme="minorHAnsi"/>
            <w:sz w:val="22"/>
            <w:szCs w:val="22"/>
          </w:rPr>
          <w:t>www.pmc.gov.au</w:t>
        </w:r>
      </w:hyperlink>
      <w:r w:rsidRPr="005F5709">
        <w:rPr>
          <w:rFonts w:cstheme="minorHAnsi"/>
          <w:sz w:val="22"/>
          <w:szCs w:val="22"/>
        </w:rPr>
        <w:t xml:space="preserve"> (accessed 8 July 2021)</w:t>
      </w:r>
    </w:p>
    <w:p w14:paraId="30D6817F" w14:textId="77777777" w:rsidR="00BD1D88" w:rsidRPr="005F5709" w:rsidRDefault="00BD1D88" w:rsidP="00977294">
      <w:pPr>
        <w:pStyle w:val="EndnoteText"/>
        <w:numPr>
          <w:ilvl w:val="0"/>
          <w:numId w:val="54"/>
        </w:numPr>
        <w:spacing w:line="276" w:lineRule="auto"/>
        <w:rPr>
          <w:rFonts w:cstheme="minorHAnsi"/>
          <w:sz w:val="22"/>
          <w:szCs w:val="22"/>
        </w:rPr>
      </w:pPr>
      <w:proofErr w:type="spellStart"/>
      <w:r w:rsidRPr="005F5709">
        <w:rPr>
          <w:rFonts w:cstheme="minorHAnsi"/>
          <w:sz w:val="22"/>
          <w:szCs w:val="22"/>
        </w:rPr>
        <w:t>Kuszera</w:t>
      </w:r>
      <w:proofErr w:type="spellEnd"/>
      <w:r w:rsidRPr="005F5709">
        <w:rPr>
          <w:rFonts w:cstheme="minorHAnsi"/>
          <w:sz w:val="22"/>
          <w:szCs w:val="22"/>
        </w:rPr>
        <w:t xml:space="preserve">, M. OECD (2017) </w:t>
      </w:r>
      <w:r w:rsidRPr="005F5709">
        <w:rPr>
          <w:rFonts w:cstheme="minorHAnsi"/>
          <w:i/>
          <w:iCs/>
          <w:sz w:val="22"/>
          <w:szCs w:val="22"/>
        </w:rPr>
        <w:t>Incentives for Apprenticeship</w:t>
      </w:r>
      <w:r w:rsidRPr="005F5709">
        <w:rPr>
          <w:rFonts w:cstheme="minorHAnsi"/>
          <w:sz w:val="22"/>
          <w:szCs w:val="22"/>
        </w:rPr>
        <w:t xml:space="preserve">, Organisation for Economic Cooperation and Development, </w:t>
      </w:r>
      <w:hyperlink r:id="rId38" w:history="1">
        <w:r w:rsidRPr="005F5709">
          <w:rPr>
            <w:rStyle w:val="Hyperlink"/>
            <w:rFonts w:cstheme="minorHAnsi"/>
            <w:sz w:val="22"/>
            <w:szCs w:val="22"/>
          </w:rPr>
          <w:t>www.oecd-library.org</w:t>
        </w:r>
      </w:hyperlink>
      <w:r w:rsidRPr="005F5709">
        <w:rPr>
          <w:rFonts w:cstheme="minorHAnsi"/>
          <w:sz w:val="22"/>
          <w:szCs w:val="22"/>
        </w:rPr>
        <w:t xml:space="preserve"> (accessed 16 June 2021)</w:t>
      </w:r>
    </w:p>
    <w:p w14:paraId="3032A6C6"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National Skills Commission (9 December 2021) </w:t>
      </w:r>
      <w:r w:rsidRPr="005F5709">
        <w:rPr>
          <w:rFonts w:cstheme="minorHAnsi"/>
          <w:i/>
          <w:iCs/>
          <w:sz w:val="22"/>
          <w:szCs w:val="22"/>
        </w:rPr>
        <w:t xml:space="preserve">The State of Australia’s Skills </w:t>
      </w:r>
      <w:r w:rsidRPr="005F5709">
        <w:rPr>
          <w:rFonts w:cstheme="minorHAnsi"/>
          <w:sz w:val="22"/>
          <w:szCs w:val="22"/>
        </w:rPr>
        <w:t>(accessed 20 January 2022)</w:t>
      </w:r>
    </w:p>
    <w:p w14:paraId="2234D844" w14:textId="77777777" w:rsidR="00BD1D88" w:rsidRPr="005F5709" w:rsidRDefault="00BD1D88" w:rsidP="00977294">
      <w:pPr>
        <w:pStyle w:val="FootnoteText"/>
        <w:numPr>
          <w:ilvl w:val="0"/>
          <w:numId w:val="54"/>
        </w:numPr>
        <w:rPr>
          <w:rFonts w:asciiTheme="minorHAnsi" w:hAnsiTheme="minorHAnsi" w:cstheme="minorHAnsi"/>
          <w:sz w:val="22"/>
          <w:szCs w:val="22"/>
        </w:rPr>
      </w:pPr>
      <w:r w:rsidRPr="005F5709">
        <w:rPr>
          <w:rFonts w:asciiTheme="minorHAnsi" w:hAnsiTheme="minorHAnsi" w:cstheme="minorHAnsi"/>
          <w:sz w:val="22"/>
          <w:szCs w:val="22"/>
        </w:rPr>
        <w:t xml:space="preserve">NCVER (2001) </w:t>
      </w:r>
      <w:r w:rsidRPr="005F5709">
        <w:rPr>
          <w:rFonts w:asciiTheme="minorHAnsi" w:hAnsiTheme="minorHAnsi" w:cstheme="minorHAnsi"/>
          <w:i/>
          <w:sz w:val="22"/>
          <w:szCs w:val="22"/>
        </w:rPr>
        <w:t>Reasons for new apprentices’ non-completions</w:t>
      </w:r>
      <w:r w:rsidRPr="005F5709">
        <w:rPr>
          <w:rFonts w:asciiTheme="minorHAnsi" w:hAnsiTheme="minorHAnsi" w:cstheme="minorHAnsi"/>
          <w:sz w:val="22"/>
          <w:szCs w:val="22"/>
        </w:rPr>
        <w:t xml:space="preserve">, </w:t>
      </w:r>
      <w:hyperlink r:id="rId39" w:history="1">
        <w:r w:rsidRPr="005F5709">
          <w:rPr>
            <w:rStyle w:val="Hyperlink"/>
            <w:rFonts w:asciiTheme="minorHAnsi" w:hAnsiTheme="minorHAnsi" w:cstheme="minorHAnsi"/>
            <w:sz w:val="22"/>
            <w:szCs w:val="22"/>
          </w:rPr>
          <w:t>www.ncver.edu.au</w:t>
        </w:r>
      </w:hyperlink>
      <w:r w:rsidRPr="005F5709">
        <w:rPr>
          <w:rFonts w:asciiTheme="minorHAnsi" w:hAnsiTheme="minorHAnsi" w:cstheme="minorHAnsi"/>
          <w:sz w:val="22"/>
          <w:szCs w:val="22"/>
        </w:rPr>
        <w:t xml:space="preserve"> (accessed 18 March 2022) </w:t>
      </w:r>
    </w:p>
    <w:p w14:paraId="6059767A"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(2007) </w:t>
      </w:r>
      <w:r w:rsidRPr="005F5709">
        <w:rPr>
          <w:rFonts w:cstheme="minorHAnsi"/>
          <w:i/>
          <w:iCs/>
          <w:sz w:val="22"/>
          <w:szCs w:val="22"/>
        </w:rPr>
        <w:t>What is a skill shortage?</w:t>
      </w:r>
      <w:r w:rsidRPr="005F5709">
        <w:rPr>
          <w:rFonts w:cstheme="minorHAnsi"/>
          <w:sz w:val="22"/>
          <w:szCs w:val="22"/>
        </w:rPr>
        <w:t xml:space="preserve"> </w:t>
      </w:r>
      <w:hyperlink r:id="rId40" w:history="1">
        <w:r w:rsidRPr="005F5709">
          <w:rPr>
            <w:rStyle w:val="Hyperlink"/>
            <w:rFonts w:cstheme="minorHAnsi"/>
            <w:sz w:val="22"/>
            <w:szCs w:val="22"/>
          </w:rPr>
          <w:t>www.ncver.edu.au</w:t>
        </w:r>
      </w:hyperlink>
      <w:r w:rsidRPr="005F5709">
        <w:rPr>
          <w:rFonts w:cstheme="minorHAnsi"/>
          <w:sz w:val="22"/>
          <w:szCs w:val="22"/>
        </w:rPr>
        <w:t xml:space="preserve"> (accessed 8 July 2021)</w:t>
      </w:r>
    </w:p>
    <w:p w14:paraId="632314FD" w14:textId="77777777" w:rsidR="00BD1D88" w:rsidRPr="005F5709" w:rsidRDefault="00BD1D88" w:rsidP="00977294">
      <w:pPr>
        <w:pStyle w:val="EndnoteText"/>
        <w:numPr>
          <w:ilvl w:val="0"/>
          <w:numId w:val="54"/>
        </w:numPr>
        <w:spacing w:line="276" w:lineRule="auto"/>
        <w:rPr>
          <w:rFonts w:eastAsia="Times New Roman" w:cstheme="minorHAnsi"/>
          <w:sz w:val="22"/>
          <w:szCs w:val="22"/>
        </w:rPr>
      </w:pPr>
      <w:bookmarkStart w:id="140" w:name="_Hlk98426161"/>
      <w:r w:rsidRPr="005F5709">
        <w:rPr>
          <w:rFonts w:cstheme="minorHAnsi"/>
          <w:sz w:val="22"/>
          <w:szCs w:val="22"/>
        </w:rPr>
        <w:t xml:space="preserve">NCVER (2012) </w:t>
      </w:r>
      <w:r w:rsidRPr="005F5709">
        <w:rPr>
          <w:rFonts w:cstheme="minorHAnsi"/>
          <w:i/>
          <w:iCs/>
          <w:sz w:val="22"/>
          <w:szCs w:val="22"/>
        </w:rPr>
        <w:t>Evolution of Apprenticeships and Traineeships in Australia: an unfinished history,</w:t>
      </w:r>
      <w:r w:rsidRPr="005F5709">
        <w:rPr>
          <w:rFonts w:cstheme="minorHAnsi"/>
          <w:sz w:val="22"/>
          <w:szCs w:val="22"/>
        </w:rPr>
        <w:t xml:space="preserve"> </w:t>
      </w:r>
      <w:hyperlink r:id="rId41" w:history="1">
        <w:r w:rsidRPr="005F5709">
          <w:rPr>
            <w:rStyle w:val="Hyperlink"/>
            <w:rFonts w:eastAsia="Times New Roman" w:cstheme="minorHAnsi"/>
            <w:sz w:val="22"/>
            <w:szCs w:val="22"/>
          </w:rPr>
          <w:t>Evolution of apprenticeships and traineeships in Australia (ncver.edu.au)</w:t>
        </w:r>
      </w:hyperlink>
      <w:r w:rsidRPr="005F5709">
        <w:rPr>
          <w:rFonts w:eastAsia="Times New Roman" w:cstheme="minorHAnsi"/>
          <w:sz w:val="22"/>
          <w:szCs w:val="22"/>
        </w:rPr>
        <w:t xml:space="preserve"> (accessed 27 January 2022)</w:t>
      </w:r>
    </w:p>
    <w:bookmarkEnd w:id="140"/>
    <w:p w14:paraId="53E9129D"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(2019) </w:t>
      </w:r>
      <w:r w:rsidRPr="005F5709">
        <w:rPr>
          <w:rFonts w:cstheme="minorHAnsi"/>
          <w:i/>
          <w:sz w:val="22"/>
          <w:szCs w:val="22"/>
        </w:rPr>
        <w:t>Apprentice and trainee experience and destination</w:t>
      </w:r>
      <w:r w:rsidRPr="005F5709">
        <w:rPr>
          <w:rFonts w:cstheme="minorHAnsi"/>
          <w:sz w:val="22"/>
          <w:szCs w:val="22"/>
        </w:rPr>
        <w:t xml:space="preserve">, </w:t>
      </w:r>
      <w:hyperlink r:id="rId42" w:history="1">
        <w:r w:rsidRPr="005F5709">
          <w:rPr>
            <w:rStyle w:val="Hyperlink"/>
            <w:rFonts w:cstheme="minorHAnsi"/>
            <w:sz w:val="22"/>
            <w:szCs w:val="22"/>
          </w:rPr>
          <w:t>www.ncver.edu.au</w:t>
        </w:r>
      </w:hyperlink>
      <w:r w:rsidRPr="005F5709">
        <w:rPr>
          <w:rFonts w:cstheme="minorHAnsi"/>
          <w:sz w:val="22"/>
          <w:szCs w:val="22"/>
        </w:rPr>
        <w:t xml:space="preserve"> (accessed 24 June 2021)</w:t>
      </w:r>
    </w:p>
    <w:p w14:paraId="2F7BEFAC"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(2019) </w:t>
      </w:r>
      <w:r w:rsidRPr="005F5709">
        <w:rPr>
          <w:rFonts w:cstheme="minorHAnsi"/>
          <w:i/>
          <w:iCs/>
          <w:sz w:val="22"/>
          <w:szCs w:val="22"/>
        </w:rPr>
        <w:t>Employers’ use and views of the VET system 2019</w:t>
      </w:r>
      <w:r w:rsidRPr="005F5709">
        <w:rPr>
          <w:rFonts w:cstheme="minorHAnsi"/>
          <w:sz w:val="22"/>
          <w:szCs w:val="22"/>
        </w:rPr>
        <w:t xml:space="preserve">, </w:t>
      </w:r>
      <w:hyperlink r:id="rId43" w:history="1">
        <w:r w:rsidRPr="005F5709">
          <w:rPr>
            <w:rStyle w:val="Hyperlink"/>
            <w:rFonts w:cstheme="minorHAnsi"/>
            <w:sz w:val="22"/>
            <w:szCs w:val="22"/>
          </w:rPr>
          <w:t>www.ncver.edu.au</w:t>
        </w:r>
      </w:hyperlink>
      <w:r w:rsidRPr="005F5709">
        <w:rPr>
          <w:rFonts w:cstheme="minorHAnsi"/>
          <w:sz w:val="22"/>
          <w:szCs w:val="22"/>
        </w:rPr>
        <w:t xml:space="preserve"> (accessed 15 June 2021)</w:t>
      </w:r>
    </w:p>
    <w:p w14:paraId="40A65CC5"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(2020) </w:t>
      </w:r>
      <w:r w:rsidRPr="005F5709">
        <w:rPr>
          <w:rFonts w:cstheme="minorHAnsi"/>
          <w:i/>
          <w:iCs/>
          <w:sz w:val="22"/>
          <w:szCs w:val="22"/>
        </w:rPr>
        <w:t>Traditional trade apprenticeships: learnings from the field</w:t>
      </w:r>
      <w:r w:rsidRPr="005F5709">
        <w:rPr>
          <w:rFonts w:cstheme="minorHAnsi"/>
          <w:sz w:val="22"/>
          <w:szCs w:val="22"/>
        </w:rPr>
        <w:t xml:space="preserve"> </w:t>
      </w:r>
      <w:hyperlink r:id="rId44" w:history="1">
        <w:r w:rsidRPr="005F5709">
          <w:rPr>
            <w:rStyle w:val="Hyperlink"/>
            <w:rFonts w:cstheme="minorHAnsi"/>
            <w:sz w:val="22"/>
            <w:szCs w:val="22"/>
          </w:rPr>
          <w:t>www.ncver.edu.au</w:t>
        </w:r>
      </w:hyperlink>
      <w:r w:rsidRPr="005F5709">
        <w:rPr>
          <w:rFonts w:cstheme="minorHAnsi"/>
          <w:sz w:val="22"/>
          <w:szCs w:val="22"/>
        </w:rPr>
        <w:t xml:space="preserve"> (accessed 28 July 2021)</w:t>
      </w:r>
    </w:p>
    <w:p w14:paraId="4941CFC0" w14:textId="77777777" w:rsidR="00BD1D88" w:rsidRPr="005F5709" w:rsidRDefault="00BD1D88" w:rsidP="00977294">
      <w:pPr>
        <w:pStyle w:val="EndnoteText"/>
        <w:numPr>
          <w:ilvl w:val="0"/>
          <w:numId w:val="54"/>
        </w:numPr>
        <w:spacing w:line="276" w:lineRule="auto"/>
        <w:rPr>
          <w:rFonts w:cstheme="minorHAnsi"/>
          <w:sz w:val="22"/>
          <w:szCs w:val="22"/>
        </w:rPr>
      </w:pPr>
      <w:r w:rsidRPr="005F5709" w:rsidDel="006A00B3">
        <w:rPr>
          <w:rFonts w:cstheme="minorHAnsi"/>
          <w:sz w:val="22"/>
          <w:szCs w:val="22"/>
        </w:rPr>
        <w:t xml:space="preserve">NCVER (2021) </w:t>
      </w:r>
      <w:r w:rsidRPr="005F5709" w:rsidDel="006A00B3">
        <w:rPr>
          <w:rFonts w:cstheme="minorHAnsi"/>
          <w:i/>
          <w:sz w:val="22"/>
          <w:szCs w:val="22"/>
        </w:rPr>
        <w:t>Employers’ use and views of the VET system 2021</w:t>
      </w:r>
      <w:r w:rsidRPr="005F5709" w:rsidDel="006A00B3">
        <w:rPr>
          <w:rFonts w:cstheme="minorHAnsi"/>
          <w:sz w:val="22"/>
          <w:szCs w:val="22"/>
        </w:rPr>
        <w:t xml:space="preserve">, </w:t>
      </w:r>
      <w:hyperlink r:id="rId45" w:history="1">
        <w:r w:rsidRPr="005F5709" w:rsidDel="006A00B3">
          <w:rPr>
            <w:rStyle w:val="Hyperlink"/>
            <w:rFonts w:cstheme="minorHAnsi"/>
            <w:sz w:val="22"/>
            <w:szCs w:val="22"/>
          </w:rPr>
          <w:t>www.ncver.edu.au</w:t>
        </w:r>
      </w:hyperlink>
      <w:r w:rsidRPr="005F5709" w:rsidDel="006A00B3">
        <w:rPr>
          <w:rFonts w:cstheme="minorHAnsi"/>
          <w:sz w:val="22"/>
          <w:szCs w:val="22"/>
        </w:rPr>
        <w:t xml:space="preserve"> (accessed 27 January 2022)</w:t>
      </w:r>
    </w:p>
    <w:p w14:paraId="7CCBDEF3"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(2021) </w:t>
      </w:r>
      <w:r w:rsidRPr="005F5709">
        <w:rPr>
          <w:rFonts w:cstheme="minorHAnsi"/>
          <w:i/>
          <w:sz w:val="22"/>
          <w:szCs w:val="22"/>
        </w:rPr>
        <w:t>Issues in apprenticeships and traineeships – a research synthesis</w:t>
      </w:r>
      <w:r w:rsidRPr="005F5709">
        <w:rPr>
          <w:rFonts w:cstheme="minorHAnsi"/>
          <w:sz w:val="22"/>
          <w:szCs w:val="22"/>
        </w:rPr>
        <w:t xml:space="preserve">, </w:t>
      </w:r>
      <w:hyperlink r:id="rId46" w:history="1">
        <w:r w:rsidRPr="005F5709">
          <w:rPr>
            <w:rStyle w:val="Hyperlink"/>
            <w:rFonts w:cstheme="minorHAnsi"/>
            <w:sz w:val="22"/>
            <w:szCs w:val="22"/>
          </w:rPr>
          <w:t>www.ncver.edu.au</w:t>
        </w:r>
      </w:hyperlink>
      <w:r w:rsidRPr="005F5709">
        <w:rPr>
          <w:rFonts w:cstheme="minorHAnsi"/>
          <w:sz w:val="22"/>
          <w:szCs w:val="22"/>
        </w:rPr>
        <w:t xml:space="preserve"> (accessed 27 January 2022)</w:t>
      </w:r>
    </w:p>
    <w:p w14:paraId="34350731"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(2021) </w:t>
      </w:r>
      <w:r w:rsidRPr="005F5709">
        <w:rPr>
          <w:rFonts w:cstheme="minorHAnsi"/>
          <w:i/>
          <w:iCs/>
          <w:sz w:val="22"/>
          <w:szCs w:val="22"/>
        </w:rPr>
        <w:t>Total VET students and courses 2020</w:t>
      </w:r>
      <w:r w:rsidRPr="005F5709">
        <w:rPr>
          <w:rFonts w:cstheme="minorHAnsi"/>
          <w:sz w:val="22"/>
          <w:szCs w:val="22"/>
        </w:rPr>
        <w:t>, NCVER, Adelaide. (</w:t>
      </w:r>
      <w:proofErr w:type="spellStart"/>
      <w:r w:rsidRPr="005F5709">
        <w:rPr>
          <w:rFonts w:cstheme="minorHAnsi"/>
          <w:sz w:val="22"/>
          <w:szCs w:val="22"/>
        </w:rPr>
        <w:t>DataBuilder</w:t>
      </w:r>
      <w:proofErr w:type="spellEnd"/>
      <w:r w:rsidRPr="005F5709">
        <w:rPr>
          <w:rFonts w:cstheme="minorHAnsi"/>
          <w:sz w:val="22"/>
          <w:szCs w:val="22"/>
        </w:rPr>
        <w:t>)</w:t>
      </w:r>
    </w:p>
    <w:p w14:paraId="7161A077"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(December 2019) </w:t>
      </w:r>
      <w:r w:rsidRPr="005F5709">
        <w:rPr>
          <w:rFonts w:cstheme="minorHAnsi"/>
          <w:i/>
          <w:iCs/>
          <w:sz w:val="22"/>
          <w:szCs w:val="22"/>
        </w:rPr>
        <w:t>Apprentice and trainee experience and destinations 2019</w:t>
      </w:r>
      <w:r w:rsidRPr="005F5709">
        <w:rPr>
          <w:rFonts w:cstheme="minorHAnsi"/>
          <w:sz w:val="22"/>
          <w:szCs w:val="22"/>
        </w:rPr>
        <w:t xml:space="preserve">, </w:t>
      </w:r>
      <w:hyperlink r:id="rId47" w:history="1">
        <w:r w:rsidRPr="005F5709">
          <w:rPr>
            <w:rStyle w:val="Hyperlink"/>
            <w:rFonts w:cstheme="minorHAnsi"/>
            <w:sz w:val="22"/>
            <w:szCs w:val="22"/>
          </w:rPr>
          <w:t>www.ncver.edu.au</w:t>
        </w:r>
      </w:hyperlink>
      <w:r w:rsidRPr="005F5709">
        <w:rPr>
          <w:rFonts w:cstheme="minorHAnsi"/>
          <w:sz w:val="22"/>
          <w:szCs w:val="22"/>
        </w:rPr>
        <w:t xml:space="preserve"> (accessed 15 June 2021)</w:t>
      </w:r>
    </w:p>
    <w:p w14:paraId="4955E1E0"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(January 2021) </w:t>
      </w:r>
      <w:r w:rsidRPr="005F5709">
        <w:rPr>
          <w:rFonts w:cstheme="minorHAnsi"/>
          <w:i/>
          <w:iCs/>
          <w:sz w:val="22"/>
          <w:szCs w:val="22"/>
        </w:rPr>
        <w:t>Apprentices and trainees 2020 – December quarter</w:t>
      </w:r>
      <w:r w:rsidRPr="005F5709">
        <w:rPr>
          <w:rFonts w:cstheme="minorHAnsi"/>
          <w:sz w:val="22"/>
          <w:szCs w:val="22"/>
        </w:rPr>
        <w:t xml:space="preserve">, </w:t>
      </w:r>
      <w:hyperlink r:id="rId48">
        <w:r w:rsidRPr="005F5709">
          <w:rPr>
            <w:rStyle w:val="Hyperlink"/>
            <w:rFonts w:cstheme="minorHAnsi"/>
            <w:sz w:val="22"/>
            <w:szCs w:val="22"/>
          </w:rPr>
          <w:t>www.ncver.edu.au</w:t>
        </w:r>
      </w:hyperlink>
      <w:r w:rsidRPr="005F5709">
        <w:rPr>
          <w:rFonts w:cstheme="minorHAnsi"/>
          <w:sz w:val="22"/>
          <w:szCs w:val="22"/>
        </w:rPr>
        <w:t xml:space="preserve"> (accessed 19 November 2021)</w:t>
      </w:r>
    </w:p>
    <w:p w14:paraId="7EC736E5"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lastRenderedPageBreak/>
        <w:t xml:space="preserve">NCVER (2021) </w:t>
      </w:r>
      <w:r w:rsidRPr="005F5709">
        <w:rPr>
          <w:rFonts w:cstheme="minorHAnsi"/>
          <w:i/>
          <w:sz w:val="22"/>
          <w:szCs w:val="22"/>
        </w:rPr>
        <w:t xml:space="preserve">Australian vocational education and training statistics: apprentices and trainees 2021 – June quarter, </w:t>
      </w:r>
      <w:hyperlink r:id="rId49" w:history="1">
        <w:r w:rsidRPr="005F5709">
          <w:rPr>
            <w:rStyle w:val="Hyperlink"/>
            <w:rFonts w:cstheme="minorHAnsi"/>
            <w:sz w:val="22"/>
            <w:szCs w:val="22"/>
          </w:rPr>
          <w:t>www.ncver.edu.au</w:t>
        </w:r>
      </w:hyperlink>
      <w:r w:rsidRPr="005F5709">
        <w:rPr>
          <w:rStyle w:val="Hyperlink"/>
          <w:rFonts w:cstheme="minorHAnsi"/>
          <w:sz w:val="22"/>
          <w:szCs w:val="22"/>
        </w:rPr>
        <w:t xml:space="preserve"> </w:t>
      </w:r>
      <w:r w:rsidRPr="005F5709">
        <w:rPr>
          <w:rFonts w:cstheme="minorHAnsi"/>
          <w:sz w:val="22"/>
          <w:szCs w:val="22"/>
        </w:rPr>
        <w:t>(accessed 21 March 2022)</w:t>
      </w:r>
    </w:p>
    <w:p w14:paraId="3B91FE4E"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(January 2022) </w:t>
      </w:r>
      <w:r w:rsidRPr="005F5709">
        <w:rPr>
          <w:rFonts w:cstheme="minorHAnsi"/>
          <w:i/>
          <w:iCs/>
          <w:sz w:val="22"/>
          <w:szCs w:val="22"/>
        </w:rPr>
        <w:t>Apprentices and trainees 2021 – June quarter</w:t>
      </w:r>
      <w:r w:rsidRPr="005F5709">
        <w:rPr>
          <w:rFonts w:cstheme="minorHAnsi"/>
          <w:sz w:val="22"/>
          <w:szCs w:val="22"/>
        </w:rPr>
        <w:t xml:space="preserve">, </w:t>
      </w:r>
      <w:hyperlink r:id="rId50">
        <w:r w:rsidRPr="005F5709">
          <w:rPr>
            <w:rStyle w:val="Hyperlink"/>
            <w:rFonts w:cstheme="minorHAnsi"/>
            <w:sz w:val="22"/>
            <w:szCs w:val="22"/>
          </w:rPr>
          <w:t>www.ncver.edu.au</w:t>
        </w:r>
      </w:hyperlink>
      <w:r w:rsidRPr="005F5709">
        <w:rPr>
          <w:rFonts w:cstheme="minorHAnsi"/>
          <w:sz w:val="22"/>
          <w:szCs w:val="22"/>
        </w:rPr>
        <w:t xml:space="preserve"> (accessed 19 January 2022)</w:t>
      </w:r>
    </w:p>
    <w:p w14:paraId="6AD5CDC6" w14:textId="77777777" w:rsidR="00BD1D88" w:rsidRPr="005F5709" w:rsidRDefault="00BD1D88" w:rsidP="00977294">
      <w:pPr>
        <w:pStyle w:val="EndnoteText"/>
        <w:numPr>
          <w:ilvl w:val="0"/>
          <w:numId w:val="54"/>
        </w:numPr>
        <w:spacing w:line="276" w:lineRule="auto"/>
        <w:rPr>
          <w:rStyle w:val="normaltextrun"/>
          <w:rFonts w:cstheme="minorHAnsi"/>
          <w:sz w:val="22"/>
          <w:szCs w:val="22"/>
        </w:rPr>
      </w:pPr>
      <w:r w:rsidRPr="005F5709">
        <w:rPr>
          <w:rStyle w:val="normaltextrun"/>
          <w:rFonts w:cstheme="minorHAnsi"/>
          <w:color w:val="000000"/>
          <w:sz w:val="22"/>
          <w:szCs w:val="22"/>
          <w:shd w:val="clear" w:color="auto" w:fill="FFFFFF"/>
        </w:rPr>
        <w:t>NCVER (October 2021</w:t>
      </w:r>
      <w:r w:rsidRPr="005F5709">
        <w:rPr>
          <w:rFonts w:cstheme="minorHAnsi"/>
          <w:sz w:val="22"/>
          <w:szCs w:val="22"/>
        </w:rPr>
        <w:t>)</w:t>
      </w:r>
      <w:r w:rsidRPr="005F5709">
        <w:rPr>
          <w:rFonts w:cstheme="minorHAnsi"/>
          <w:i/>
          <w:iCs/>
          <w:sz w:val="22"/>
          <w:szCs w:val="22"/>
        </w:rPr>
        <w:t xml:space="preserve"> Apprentices and trainees – March quarter 2021</w:t>
      </w:r>
      <w:r w:rsidRPr="005F5709">
        <w:rPr>
          <w:rStyle w:val="normaltextrun"/>
          <w:rFonts w:cstheme="minorHAnsi"/>
          <w:color w:val="000000"/>
          <w:sz w:val="22"/>
          <w:szCs w:val="22"/>
          <w:shd w:val="clear" w:color="auto" w:fill="FFFFFF"/>
        </w:rPr>
        <w:t xml:space="preserve">, </w:t>
      </w:r>
      <w:hyperlink r:id="rId51">
        <w:r w:rsidRPr="005F5709">
          <w:rPr>
            <w:rStyle w:val="Hyperlink"/>
            <w:rFonts w:cstheme="minorHAnsi"/>
            <w:sz w:val="22"/>
            <w:szCs w:val="22"/>
          </w:rPr>
          <w:t>www.ncver.edu.au</w:t>
        </w:r>
      </w:hyperlink>
      <w:r w:rsidRPr="005F5709">
        <w:rPr>
          <w:rStyle w:val="normaltextrun"/>
          <w:rFonts w:cstheme="minorHAnsi"/>
          <w:color w:val="000000"/>
          <w:sz w:val="22"/>
          <w:szCs w:val="22"/>
          <w:shd w:val="clear" w:color="auto" w:fill="FFFFFF"/>
        </w:rPr>
        <w:t xml:space="preserve"> (accessed 1 November 2021)</w:t>
      </w:r>
    </w:p>
    <w:p w14:paraId="27442429"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Organisation for Economic Co-operation and Development (OECD) </w:t>
      </w:r>
      <w:r w:rsidRPr="005F5709">
        <w:rPr>
          <w:rFonts w:cstheme="minorHAnsi"/>
          <w:i/>
          <w:iCs/>
          <w:sz w:val="22"/>
          <w:szCs w:val="22"/>
        </w:rPr>
        <w:t>Seven Questions about Apprenticeships: Answers from International Experience,</w:t>
      </w:r>
      <w:r w:rsidRPr="005F5709">
        <w:rPr>
          <w:rFonts w:cstheme="minorHAnsi"/>
          <w:sz w:val="22"/>
          <w:szCs w:val="22"/>
        </w:rPr>
        <w:t xml:space="preserve"> OECD Reviews of Vocational Education and Training, OECD Publishing, Paris (accessed 18 March 2022)</w:t>
      </w:r>
    </w:p>
    <w:p w14:paraId="7C2BFCDA"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Productivity Commission (2020) </w:t>
      </w:r>
      <w:r w:rsidRPr="005F5709">
        <w:rPr>
          <w:rFonts w:cstheme="minorHAnsi"/>
          <w:i/>
          <w:iCs/>
          <w:sz w:val="22"/>
          <w:szCs w:val="22"/>
        </w:rPr>
        <w:t>National Agreement for Skills and Workforce Development Review</w:t>
      </w:r>
      <w:r w:rsidRPr="005F5709">
        <w:rPr>
          <w:rFonts w:cstheme="minorHAnsi"/>
          <w:sz w:val="22"/>
          <w:szCs w:val="22"/>
        </w:rPr>
        <w:t xml:space="preserve">, </w:t>
      </w:r>
      <w:hyperlink r:id="rId52" w:history="1">
        <w:r w:rsidRPr="005F5709">
          <w:rPr>
            <w:rStyle w:val="Hyperlink"/>
            <w:rFonts w:cstheme="minorHAnsi"/>
            <w:sz w:val="22"/>
            <w:szCs w:val="22"/>
          </w:rPr>
          <w:t>www.pc.gov.au</w:t>
        </w:r>
      </w:hyperlink>
      <w:r w:rsidRPr="005F5709">
        <w:rPr>
          <w:rFonts w:cstheme="minorHAnsi"/>
          <w:sz w:val="22"/>
          <w:szCs w:val="22"/>
        </w:rPr>
        <w:t xml:space="preserve"> (accessed 23 June 2021)</w:t>
      </w:r>
    </w:p>
    <w:p w14:paraId="3E902DBB"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Reserve Bank of Australia (21 March 2019) </w:t>
      </w:r>
      <w:r w:rsidRPr="005F5709">
        <w:rPr>
          <w:rFonts w:cstheme="minorHAnsi"/>
          <w:i/>
          <w:iCs/>
          <w:sz w:val="22"/>
          <w:szCs w:val="22"/>
        </w:rPr>
        <w:t>Firm level insights into skill shortages and wages growth</w:t>
      </w:r>
      <w:r w:rsidRPr="005F5709">
        <w:rPr>
          <w:rFonts w:cstheme="minorHAnsi"/>
          <w:sz w:val="22"/>
          <w:szCs w:val="22"/>
        </w:rPr>
        <w:t xml:space="preserve"> </w:t>
      </w:r>
      <w:hyperlink r:id="rId53" w:history="1">
        <w:r w:rsidRPr="005F5709">
          <w:rPr>
            <w:rStyle w:val="Hyperlink"/>
            <w:rFonts w:cstheme="minorHAnsi"/>
            <w:sz w:val="22"/>
            <w:szCs w:val="22"/>
          </w:rPr>
          <w:t>www.rba.gov.au</w:t>
        </w:r>
      </w:hyperlink>
      <w:r w:rsidRPr="005F5709">
        <w:rPr>
          <w:rFonts w:cstheme="minorHAnsi"/>
          <w:sz w:val="22"/>
          <w:szCs w:val="22"/>
        </w:rPr>
        <w:t xml:space="preserve"> (accessed 28 July 2021)</w:t>
      </w:r>
    </w:p>
    <w:p w14:paraId="3C37468F"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Senate Employment, Workplace Relations and Education References Committee, </w:t>
      </w:r>
      <w:r w:rsidRPr="005F5709">
        <w:rPr>
          <w:rFonts w:cstheme="minorHAnsi"/>
          <w:i/>
          <w:iCs/>
          <w:sz w:val="22"/>
          <w:szCs w:val="22"/>
        </w:rPr>
        <w:t>Bridging the skills divide (</w:t>
      </w:r>
      <w:r w:rsidRPr="005F5709">
        <w:rPr>
          <w:rFonts w:cstheme="minorHAnsi"/>
          <w:i/>
          <w:sz w:val="22"/>
          <w:szCs w:val="22"/>
        </w:rPr>
        <w:t>November 2003</w:t>
      </w:r>
      <w:r w:rsidRPr="005F5709">
        <w:rPr>
          <w:rFonts w:cstheme="minorHAnsi"/>
          <w:i/>
          <w:iCs/>
          <w:sz w:val="22"/>
          <w:szCs w:val="22"/>
        </w:rPr>
        <w:t xml:space="preserve">), </w:t>
      </w:r>
      <w:hyperlink r:id="rId54" w:history="1">
        <w:r w:rsidRPr="005F5709">
          <w:rPr>
            <w:rStyle w:val="Hyperlink"/>
            <w:rFonts w:cstheme="minorHAnsi"/>
            <w:sz w:val="22"/>
            <w:szCs w:val="22"/>
          </w:rPr>
          <w:t>www.aph.gov.au</w:t>
        </w:r>
      </w:hyperlink>
      <w:r w:rsidRPr="005F5709">
        <w:rPr>
          <w:rFonts w:cstheme="minorHAnsi"/>
          <w:sz w:val="22"/>
          <w:szCs w:val="22"/>
        </w:rPr>
        <w:t xml:space="preserve"> (accessed 16 March 2022)</w:t>
      </w:r>
    </w:p>
    <w:p w14:paraId="2F9ABDCF" w14:textId="77777777" w:rsidR="00BD1D88" w:rsidRPr="005F5709" w:rsidRDefault="00BD1D88" w:rsidP="00977294">
      <w:pPr>
        <w:pStyle w:val="EndnoteText"/>
        <w:numPr>
          <w:ilvl w:val="0"/>
          <w:numId w:val="54"/>
        </w:numPr>
        <w:spacing w:line="276" w:lineRule="auto"/>
        <w:rPr>
          <w:rFonts w:cstheme="minorHAnsi"/>
          <w:sz w:val="22"/>
          <w:szCs w:val="22"/>
        </w:rPr>
      </w:pPr>
      <w:proofErr w:type="spellStart"/>
      <w:r w:rsidRPr="005F5709">
        <w:rPr>
          <w:rFonts w:cstheme="minorHAnsi"/>
          <w:sz w:val="22"/>
          <w:szCs w:val="22"/>
        </w:rPr>
        <w:t>Shergold</w:t>
      </w:r>
      <w:proofErr w:type="spellEnd"/>
      <w:r w:rsidRPr="005F5709">
        <w:rPr>
          <w:rFonts w:cstheme="minorHAnsi"/>
          <w:sz w:val="22"/>
          <w:szCs w:val="22"/>
        </w:rPr>
        <w:t xml:space="preserve"> P. (June 2020) </w:t>
      </w:r>
      <w:r w:rsidRPr="005F5709">
        <w:rPr>
          <w:rFonts w:cstheme="minorHAnsi"/>
          <w:i/>
          <w:sz w:val="22"/>
          <w:szCs w:val="22"/>
        </w:rPr>
        <w:t xml:space="preserve">Looking to the Future: Report of the Review of Senior Secondary Pathways into work, further education and training, </w:t>
      </w:r>
      <w:r w:rsidRPr="005F5709">
        <w:rPr>
          <w:rFonts w:cstheme="minorHAnsi"/>
          <w:sz w:val="22"/>
          <w:szCs w:val="22"/>
        </w:rPr>
        <w:t>Education Council</w:t>
      </w:r>
    </w:p>
    <w:p w14:paraId="5E706A37"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Wallis (2021) </w:t>
      </w:r>
      <w:r w:rsidRPr="005F5709">
        <w:rPr>
          <w:rFonts w:cstheme="minorHAnsi"/>
          <w:i/>
          <w:iCs/>
          <w:sz w:val="22"/>
          <w:szCs w:val="22"/>
        </w:rPr>
        <w:t xml:space="preserve">Apprentice and Employer Support Surveys, </w:t>
      </w:r>
      <w:r w:rsidRPr="005F5709">
        <w:rPr>
          <w:rFonts w:cstheme="minorHAnsi"/>
          <w:sz w:val="22"/>
          <w:szCs w:val="22"/>
        </w:rPr>
        <w:t xml:space="preserve">based on a sample size of 500 employers and 500 </w:t>
      </w:r>
      <w:proofErr w:type="gramStart"/>
      <w:r w:rsidRPr="005F5709">
        <w:rPr>
          <w:rFonts w:cstheme="minorHAnsi"/>
          <w:sz w:val="22"/>
          <w:szCs w:val="22"/>
        </w:rPr>
        <w:t>apprentices</w:t>
      </w:r>
      <w:proofErr w:type="gramEnd"/>
    </w:p>
    <w:p w14:paraId="19A7ACC7" w14:textId="77777777" w:rsidR="00BD1D88" w:rsidRPr="005F5709" w:rsidRDefault="00BD1D88">
      <w:pPr>
        <w:rPr>
          <w:rFonts w:asciiTheme="minorHAnsi" w:hAnsiTheme="minorHAnsi" w:cstheme="minorHAnsi"/>
        </w:rPr>
      </w:pPr>
      <w:r w:rsidRPr="005F5709">
        <w:rPr>
          <w:rFonts w:asciiTheme="minorHAnsi" w:hAnsiTheme="minorHAnsi" w:cstheme="minorHAnsi"/>
        </w:rPr>
        <w:br w:type="page"/>
      </w:r>
    </w:p>
    <w:p w14:paraId="509C1E3E" w14:textId="77777777" w:rsidR="00BD1D88" w:rsidRPr="005F5709" w:rsidRDefault="00BD1D88" w:rsidP="00403639">
      <w:pPr>
        <w:pStyle w:val="Heading1"/>
      </w:pPr>
      <w:bookmarkStart w:id="141" w:name="_Toc113022242"/>
      <w:bookmarkStart w:id="142" w:name="_Toc77162267"/>
      <w:r w:rsidRPr="005F5709">
        <w:lastRenderedPageBreak/>
        <w:t>Chapter Ten: Attachments</w:t>
      </w:r>
      <w:bookmarkEnd w:id="141"/>
      <w:r w:rsidRPr="005F5709">
        <w:t xml:space="preserve"> </w:t>
      </w:r>
    </w:p>
    <w:p w14:paraId="10410319" w14:textId="77777777" w:rsidR="00BD1D88" w:rsidRPr="005F5709" w:rsidRDefault="00BD1D88" w:rsidP="001E5E0D">
      <w:pPr>
        <w:pStyle w:val="Heading2"/>
        <w:rPr>
          <w:color w:val="002060"/>
        </w:rPr>
      </w:pPr>
      <w:bookmarkStart w:id="143" w:name="_Toc113022243"/>
      <w:r w:rsidRPr="005F5709">
        <w:rPr>
          <w:color w:val="002060"/>
        </w:rPr>
        <w:t>Attachment A: Background on Australian Apprentices</w:t>
      </w:r>
      <w:bookmarkEnd w:id="143"/>
      <w:r w:rsidRPr="005F5709">
        <w:rPr>
          <w:color w:val="002060"/>
        </w:rPr>
        <w:t xml:space="preserve"> </w:t>
      </w:r>
    </w:p>
    <w:p w14:paraId="29209001" w14:textId="77777777" w:rsidR="00BD1D88" w:rsidRPr="005F5709" w:rsidDel="006A00B3" w:rsidRDefault="00BD1D88" w:rsidP="00BA7310">
      <w:pPr>
        <w:rPr>
          <w:rFonts w:asciiTheme="minorHAnsi" w:hAnsiTheme="minorHAnsi" w:cstheme="minorHAnsi"/>
        </w:rPr>
      </w:pPr>
      <w:r w:rsidRPr="005F5709" w:rsidDel="006A00B3">
        <w:rPr>
          <w:rFonts w:asciiTheme="minorHAnsi" w:hAnsiTheme="minorHAnsi" w:cstheme="minorHAnsi"/>
        </w:rPr>
        <w:t xml:space="preserve">Figure </w:t>
      </w:r>
      <w:r w:rsidRPr="005F5709">
        <w:rPr>
          <w:rFonts w:asciiTheme="minorHAnsi" w:hAnsiTheme="minorHAnsi" w:cstheme="minorHAnsi"/>
        </w:rPr>
        <w:t>4</w:t>
      </w:r>
      <w:r w:rsidRPr="005F5709" w:rsidDel="006A00B3">
        <w:rPr>
          <w:rFonts w:asciiTheme="minorHAnsi" w:hAnsiTheme="minorHAnsi" w:cstheme="minorHAnsi"/>
        </w:rPr>
        <w:t xml:space="preserve"> and Figure </w:t>
      </w:r>
      <w:r w:rsidRPr="005F5709">
        <w:rPr>
          <w:rFonts w:asciiTheme="minorHAnsi" w:hAnsiTheme="minorHAnsi" w:cstheme="minorHAnsi"/>
        </w:rPr>
        <w:t>5</w:t>
      </w:r>
      <w:r w:rsidRPr="005F5709" w:rsidDel="006A00B3">
        <w:rPr>
          <w:rFonts w:asciiTheme="minorHAnsi" w:hAnsiTheme="minorHAnsi" w:cstheme="minorHAnsi"/>
        </w:rPr>
        <w:t xml:space="preserve"> show the number of trade and non-trade apprentices across each state and territory, comparing 2020 and 2021 data. The distribution of apprentice numbers across each jurisdiction are comparable to population data – the states with the largest populations also have the largest number of apprentices in-training. Most trade apprenticeship workplaces in Australia are located in major cities (62 per cent), with 34 per cent located in regional areas, and four per cent in remote areas.</w:t>
      </w:r>
      <w:r w:rsidRPr="005F5709" w:rsidDel="006A00B3">
        <w:rPr>
          <w:rStyle w:val="FootnoteReference"/>
          <w:rFonts w:asciiTheme="minorHAnsi" w:hAnsiTheme="minorHAnsi" w:cstheme="minorHAnsi"/>
        </w:rPr>
        <w:footnoteReference w:id="63"/>
      </w:r>
      <w:r w:rsidRPr="005F5709" w:rsidDel="006A00B3">
        <w:rPr>
          <w:rFonts w:asciiTheme="minorHAnsi" w:hAnsiTheme="minorHAnsi" w:cstheme="minorHAnsi"/>
        </w:rPr>
        <w:t xml:space="preserve"> </w:t>
      </w:r>
    </w:p>
    <w:p w14:paraId="6141397F" w14:textId="77777777" w:rsidR="00BD1D88" w:rsidRPr="005F5709" w:rsidDel="006A00B3" w:rsidRDefault="00BD1D88" w:rsidP="00BA7310">
      <w:pPr>
        <w:rPr>
          <w:rFonts w:asciiTheme="minorHAnsi" w:eastAsia="Times New Roman" w:hAnsiTheme="minorHAnsi" w:cstheme="minorHAnsi"/>
          <w:b/>
        </w:rPr>
      </w:pPr>
      <w:r w:rsidRPr="005F5709" w:rsidDel="006A00B3">
        <w:rPr>
          <w:rFonts w:asciiTheme="minorHAnsi" w:eastAsia="Times New Roman" w:hAnsiTheme="minorHAnsi" w:cstheme="minorHAnsi"/>
          <w:b/>
        </w:rPr>
        <w:t xml:space="preserve">Figure </w:t>
      </w:r>
      <w:r w:rsidRPr="005F5709">
        <w:rPr>
          <w:rFonts w:asciiTheme="minorHAnsi" w:eastAsia="Times New Roman" w:hAnsiTheme="minorHAnsi" w:cstheme="minorHAnsi"/>
          <w:b/>
        </w:rPr>
        <w:t>4</w:t>
      </w:r>
      <w:r w:rsidRPr="005F5709" w:rsidDel="006A00B3">
        <w:rPr>
          <w:rFonts w:asciiTheme="minorHAnsi" w:eastAsia="Times New Roman" w:hAnsiTheme="minorHAnsi" w:cstheme="minorHAnsi"/>
          <w:b/>
        </w:rPr>
        <w:t xml:space="preserve">: </w:t>
      </w:r>
      <w:r w:rsidRPr="005F5709" w:rsidDel="006A00B3">
        <w:rPr>
          <w:rFonts w:asciiTheme="minorHAnsi" w:eastAsia="Times New Roman" w:hAnsiTheme="minorHAnsi" w:cstheme="minorHAnsi"/>
        </w:rPr>
        <w:t>Trade apprentices and trainees in-training by state/territory, as of 30 June 2020 and 2021.</w:t>
      </w:r>
      <w:r w:rsidRPr="005F5709" w:rsidDel="006A00B3">
        <w:rPr>
          <w:rStyle w:val="FootnoteReference"/>
          <w:rFonts w:asciiTheme="minorHAnsi" w:eastAsia="Times New Roman" w:hAnsiTheme="minorHAnsi" w:cstheme="minorHAnsi"/>
        </w:rPr>
        <w:footnoteReference w:id="64"/>
      </w:r>
    </w:p>
    <w:p w14:paraId="1E47B3C0" w14:textId="77777777" w:rsidR="00BD1D88" w:rsidRPr="005F5709" w:rsidDel="006A00B3" w:rsidRDefault="00BD1D88" w:rsidP="00BA7310">
      <w:pPr>
        <w:rPr>
          <w:rFonts w:asciiTheme="minorHAnsi" w:eastAsia="Times New Roman" w:hAnsiTheme="minorHAnsi" w:cstheme="minorHAnsi"/>
          <w:strike/>
        </w:rPr>
      </w:pPr>
      <w:r w:rsidRPr="005F5709" w:rsidDel="006A00B3">
        <w:rPr>
          <w:rFonts w:asciiTheme="minorHAnsi" w:hAnsiTheme="minorHAnsi" w:cstheme="minorHAnsi"/>
          <w:strike/>
          <w:noProof/>
        </w:rPr>
        <w:drawing>
          <wp:inline distT="0" distB="0" distL="0" distR="0" wp14:anchorId="62A94330" wp14:editId="128365E0">
            <wp:extent cx="4962525" cy="1809750"/>
            <wp:effectExtent l="0" t="0" r="9525" b="0"/>
            <wp:docPr id="5" name="Chart 5" descr="Graphic showing trade apprentices and trainees in-training by state/territory, as of 30 June 2020 and 2021.">
              <a:extLst xmlns:a="http://schemas.openxmlformats.org/drawingml/2006/main">
                <a:ext uri="{FF2B5EF4-FFF2-40B4-BE49-F238E27FC236}">
                  <a16:creationId xmlns:a16="http://schemas.microsoft.com/office/drawing/2014/main" id="{D9BF30A0-2947-41FF-AA38-ED34362AA0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FC794D5" w14:textId="77777777" w:rsidR="00BD1D88" w:rsidRPr="005F5709" w:rsidRDefault="00BD1D88" w:rsidP="00BA7310">
      <w:pPr>
        <w:rPr>
          <w:rFonts w:asciiTheme="minorHAnsi" w:hAnsiTheme="minorHAnsi" w:cstheme="minorHAnsi"/>
        </w:rPr>
      </w:pPr>
      <w:r w:rsidRPr="005F5709" w:rsidDel="006A00B3">
        <w:rPr>
          <w:rFonts w:asciiTheme="minorHAnsi" w:hAnsiTheme="minorHAnsi" w:cstheme="minorHAnsi"/>
          <w:b/>
        </w:rPr>
        <w:t xml:space="preserve">Figure </w:t>
      </w:r>
      <w:r w:rsidRPr="005F5709">
        <w:rPr>
          <w:rFonts w:asciiTheme="minorHAnsi" w:hAnsiTheme="minorHAnsi" w:cstheme="minorHAnsi"/>
          <w:b/>
        </w:rPr>
        <w:t>5</w:t>
      </w:r>
      <w:r w:rsidRPr="005F5709" w:rsidDel="006A00B3">
        <w:rPr>
          <w:rFonts w:asciiTheme="minorHAnsi" w:hAnsiTheme="minorHAnsi" w:cstheme="minorHAnsi"/>
          <w:b/>
        </w:rPr>
        <w:t>:</w:t>
      </w:r>
      <w:r w:rsidRPr="005F5709" w:rsidDel="006A00B3">
        <w:rPr>
          <w:rFonts w:asciiTheme="minorHAnsi" w:hAnsiTheme="minorHAnsi" w:cstheme="minorHAnsi"/>
        </w:rPr>
        <w:t xml:space="preserve"> Non-trade apprentices and trainees in-training by state/territory, as of 30 June 2020 and 2021.</w:t>
      </w:r>
      <w:r w:rsidRPr="005F5709" w:rsidDel="006A00B3">
        <w:rPr>
          <w:rStyle w:val="FootnoteReference"/>
          <w:rFonts w:asciiTheme="minorHAnsi" w:hAnsiTheme="minorHAnsi" w:cstheme="minorHAnsi"/>
        </w:rPr>
        <w:footnoteReference w:id="65"/>
      </w:r>
    </w:p>
    <w:p w14:paraId="66A57F2D" w14:textId="77777777" w:rsidR="00BD1D88" w:rsidRPr="005F5709" w:rsidDel="006A00B3" w:rsidRDefault="00BD1D88" w:rsidP="00BA7310">
      <w:pPr>
        <w:rPr>
          <w:rFonts w:asciiTheme="minorHAnsi" w:hAnsiTheme="minorHAnsi" w:cstheme="minorHAnsi"/>
        </w:rPr>
      </w:pPr>
      <w:r w:rsidRPr="005F5709">
        <w:rPr>
          <w:rFonts w:asciiTheme="minorHAnsi" w:hAnsiTheme="minorHAnsi" w:cstheme="minorHAnsi"/>
          <w:noProof/>
        </w:rPr>
        <w:drawing>
          <wp:inline distT="0" distB="0" distL="0" distR="0" wp14:anchorId="55E80942" wp14:editId="41B7FC5F">
            <wp:extent cx="4629150" cy="1800225"/>
            <wp:effectExtent l="0" t="0" r="0" b="9525"/>
            <wp:docPr id="6" name="Chart 6" descr="Graphic showing non-trade apprentices and trainees in-training by state/territory, as of 30 June 2020 and 2021.">
              <a:extLst xmlns:a="http://schemas.openxmlformats.org/drawingml/2006/main">
                <a:ext uri="{FF2B5EF4-FFF2-40B4-BE49-F238E27FC236}">
                  <a16:creationId xmlns:a16="http://schemas.microsoft.com/office/drawing/2014/main" id="{BE22869B-F146-4899-96F8-BE76B4DED7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bl>
      <w:tblPr>
        <w:tblpPr w:leftFromText="180" w:rightFromText="180" w:tblpY="480"/>
        <w:tblW w:w="9521" w:type="dxa"/>
        <w:tblLook w:val="04A0" w:firstRow="1" w:lastRow="0" w:firstColumn="1" w:lastColumn="0" w:noHBand="0" w:noVBand="1"/>
      </w:tblPr>
      <w:tblGrid>
        <w:gridCol w:w="3791"/>
        <w:gridCol w:w="1143"/>
        <w:gridCol w:w="931"/>
        <w:gridCol w:w="1500"/>
        <w:gridCol w:w="934"/>
        <w:gridCol w:w="1222"/>
      </w:tblGrid>
      <w:tr w:rsidR="00BD1D88" w:rsidRPr="005F5709" w:rsidDel="006A00B3" w14:paraId="3202AA39" w14:textId="77777777" w:rsidTr="00D20E27">
        <w:trPr>
          <w:trHeight w:val="186"/>
          <w:tblHeader/>
        </w:trPr>
        <w:tc>
          <w:tcPr>
            <w:tcW w:w="3791"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760CCC58" w14:textId="77777777" w:rsidR="00BD1D88" w:rsidRPr="005F5709" w:rsidDel="006A00B3" w:rsidRDefault="00BD1D88" w:rsidP="00693020">
            <w:pPr>
              <w:spacing w:line="256" w:lineRule="auto"/>
              <w:rPr>
                <w:rFonts w:asciiTheme="minorHAnsi" w:eastAsia="Times New Roman" w:hAnsiTheme="minorHAnsi" w:cstheme="minorHAnsi"/>
                <w:color w:val="000000"/>
                <w:lang w:eastAsia="en-AU"/>
              </w:rPr>
            </w:pPr>
            <w:r w:rsidRPr="005F5709" w:rsidDel="006A00B3">
              <w:rPr>
                <w:rFonts w:asciiTheme="minorHAnsi" w:eastAsia="Times New Roman" w:hAnsiTheme="minorHAnsi" w:cstheme="minorHAnsi"/>
                <w:color w:val="000000"/>
                <w:lang w:eastAsia="en-AU"/>
              </w:rPr>
              <w:lastRenderedPageBreak/>
              <w:t> </w:t>
            </w:r>
          </w:p>
          <w:p w14:paraId="6408347E" w14:textId="77777777" w:rsidR="00BD1D88" w:rsidRPr="005F5709" w:rsidDel="006A00B3" w:rsidRDefault="00BD1D88" w:rsidP="00693020">
            <w:pPr>
              <w:spacing w:line="256" w:lineRule="auto"/>
              <w:rPr>
                <w:rFonts w:asciiTheme="minorHAnsi" w:eastAsia="Times New Roman" w:hAnsiTheme="minorHAnsi" w:cstheme="minorHAnsi"/>
                <w:color w:val="000000"/>
                <w:lang w:eastAsia="en-AU"/>
              </w:rPr>
            </w:pPr>
          </w:p>
        </w:tc>
        <w:tc>
          <w:tcPr>
            <w:tcW w:w="2074" w:type="dxa"/>
            <w:gridSpan w:val="2"/>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9D2AE9A"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Trade</w:t>
            </w:r>
          </w:p>
        </w:tc>
        <w:tc>
          <w:tcPr>
            <w:tcW w:w="2434" w:type="dxa"/>
            <w:gridSpan w:val="2"/>
            <w:tcBorders>
              <w:top w:val="single" w:sz="4" w:space="0" w:color="auto"/>
              <w:left w:val="nil"/>
              <w:bottom w:val="single" w:sz="4" w:space="0" w:color="auto"/>
              <w:right w:val="single" w:sz="4" w:space="0" w:color="000000"/>
            </w:tcBorders>
            <w:shd w:val="clear" w:color="auto" w:fill="E2EFD9" w:themeFill="accent6" w:themeFillTint="33"/>
            <w:noWrap/>
            <w:vAlign w:val="center"/>
            <w:hideMark/>
          </w:tcPr>
          <w:p w14:paraId="128101D8"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Non-trade</w:t>
            </w:r>
          </w:p>
        </w:tc>
        <w:tc>
          <w:tcPr>
            <w:tcW w:w="1222"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A308246"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Total</w:t>
            </w:r>
          </w:p>
        </w:tc>
      </w:tr>
      <w:tr w:rsidR="00BD1D88" w:rsidRPr="005F5709" w:rsidDel="006A00B3" w14:paraId="11DE529D" w14:textId="77777777" w:rsidTr="00D20E27">
        <w:trPr>
          <w:trHeight w:val="186"/>
          <w:tblHeader/>
        </w:trPr>
        <w:tc>
          <w:tcPr>
            <w:tcW w:w="0" w:type="auto"/>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B490AAD" w14:textId="77777777" w:rsidR="00BD1D88" w:rsidRPr="005F5709" w:rsidDel="006A00B3" w:rsidRDefault="00BD1D88" w:rsidP="00693020">
            <w:pPr>
              <w:spacing w:line="256" w:lineRule="auto"/>
              <w:rPr>
                <w:rFonts w:asciiTheme="minorHAnsi" w:eastAsia="Times New Roman" w:hAnsiTheme="minorHAnsi" w:cstheme="minorHAnsi"/>
                <w:color w:val="000000"/>
                <w:lang w:eastAsia="en-AU"/>
              </w:rPr>
            </w:pPr>
          </w:p>
        </w:tc>
        <w:tc>
          <w:tcPr>
            <w:tcW w:w="1143" w:type="dxa"/>
            <w:tcBorders>
              <w:top w:val="nil"/>
              <w:left w:val="nil"/>
              <w:bottom w:val="single" w:sz="4" w:space="0" w:color="auto"/>
              <w:right w:val="single" w:sz="4" w:space="0" w:color="auto"/>
            </w:tcBorders>
            <w:shd w:val="clear" w:color="auto" w:fill="E2EFD9" w:themeFill="accent6" w:themeFillTint="33"/>
            <w:noWrap/>
            <w:vAlign w:val="center"/>
            <w:hideMark/>
          </w:tcPr>
          <w:p w14:paraId="2C2B4AA4"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w:t>
            </w:r>
          </w:p>
        </w:tc>
        <w:tc>
          <w:tcPr>
            <w:tcW w:w="931" w:type="dxa"/>
            <w:tcBorders>
              <w:top w:val="nil"/>
              <w:left w:val="nil"/>
              <w:bottom w:val="single" w:sz="4" w:space="0" w:color="auto"/>
              <w:right w:val="single" w:sz="4" w:space="0" w:color="auto"/>
            </w:tcBorders>
            <w:shd w:val="clear" w:color="auto" w:fill="E2EFD9" w:themeFill="accent6" w:themeFillTint="33"/>
            <w:noWrap/>
            <w:vAlign w:val="center"/>
            <w:hideMark/>
          </w:tcPr>
          <w:p w14:paraId="13DB4D79"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w:t>
            </w:r>
          </w:p>
        </w:tc>
        <w:tc>
          <w:tcPr>
            <w:tcW w:w="1500" w:type="dxa"/>
            <w:tcBorders>
              <w:top w:val="nil"/>
              <w:left w:val="nil"/>
              <w:bottom w:val="single" w:sz="4" w:space="0" w:color="auto"/>
              <w:right w:val="single" w:sz="4" w:space="0" w:color="auto"/>
            </w:tcBorders>
            <w:shd w:val="clear" w:color="auto" w:fill="E2EFD9" w:themeFill="accent6" w:themeFillTint="33"/>
            <w:noWrap/>
            <w:vAlign w:val="center"/>
            <w:hideMark/>
          </w:tcPr>
          <w:p w14:paraId="5F37D0E7"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w:t>
            </w:r>
          </w:p>
        </w:tc>
        <w:tc>
          <w:tcPr>
            <w:tcW w:w="934" w:type="dxa"/>
            <w:tcBorders>
              <w:top w:val="nil"/>
              <w:left w:val="nil"/>
              <w:bottom w:val="single" w:sz="4" w:space="0" w:color="auto"/>
              <w:right w:val="single" w:sz="4" w:space="0" w:color="auto"/>
            </w:tcBorders>
            <w:shd w:val="clear" w:color="auto" w:fill="E2EFD9" w:themeFill="accent6" w:themeFillTint="33"/>
            <w:noWrap/>
            <w:vAlign w:val="center"/>
            <w:hideMark/>
          </w:tcPr>
          <w:p w14:paraId="7B5625BA"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w:t>
            </w:r>
          </w:p>
        </w:tc>
        <w:tc>
          <w:tcPr>
            <w:tcW w:w="1222" w:type="dxa"/>
            <w:tcBorders>
              <w:top w:val="nil"/>
              <w:left w:val="nil"/>
              <w:bottom w:val="single" w:sz="4" w:space="0" w:color="auto"/>
              <w:right w:val="single" w:sz="4" w:space="0" w:color="auto"/>
            </w:tcBorders>
            <w:shd w:val="clear" w:color="auto" w:fill="E2EFD9" w:themeFill="accent6" w:themeFillTint="33"/>
            <w:noWrap/>
            <w:vAlign w:val="center"/>
            <w:hideMark/>
          </w:tcPr>
          <w:p w14:paraId="32F23B6B"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w:t>
            </w:r>
          </w:p>
        </w:tc>
      </w:tr>
      <w:tr w:rsidR="00BD1D88" w:rsidRPr="005F5709" w:rsidDel="006A00B3" w14:paraId="72202669"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1914033D"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New South Wales</w:t>
            </w:r>
          </w:p>
        </w:tc>
        <w:tc>
          <w:tcPr>
            <w:tcW w:w="1143" w:type="dxa"/>
            <w:tcBorders>
              <w:top w:val="nil"/>
              <w:left w:val="nil"/>
              <w:bottom w:val="single" w:sz="4" w:space="0" w:color="auto"/>
              <w:right w:val="single" w:sz="4" w:space="0" w:color="auto"/>
            </w:tcBorders>
            <w:noWrap/>
            <w:vAlign w:val="bottom"/>
            <w:hideMark/>
          </w:tcPr>
          <w:p w14:paraId="2FCD0976"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66,225 </w:t>
            </w:r>
          </w:p>
        </w:tc>
        <w:tc>
          <w:tcPr>
            <w:tcW w:w="931" w:type="dxa"/>
            <w:tcBorders>
              <w:top w:val="nil"/>
              <w:left w:val="nil"/>
              <w:bottom w:val="single" w:sz="4" w:space="0" w:color="auto"/>
              <w:right w:val="single" w:sz="4" w:space="0" w:color="auto"/>
            </w:tcBorders>
            <w:noWrap/>
            <w:vAlign w:val="bottom"/>
            <w:hideMark/>
          </w:tcPr>
          <w:p w14:paraId="67F0C696"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62.0%</w:t>
            </w:r>
          </w:p>
        </w:tc>
        <w:tc>
          <w:tcPr>
            <w:tcW w:w="1500" w:type="dxa"/>
            <w:tcBorders>
              <w:top w:val="nil"/>
              <w:left w:val="nil"/>
              <w:bottom w:val="single" w:sz="4" w:space="0" w:color="auto"/>
              <w:right w:val="single" w:sz="4" w:space="0" w:color="auto"/>
            </w:tcBorders>
            <w:noWrap/>
            <w:vAlign w:val="bottom"/>
            <w:hideMark/>
          </w:tcPr>
          <w:p w14:paraId="1AFF56B7"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40,515 </w:t>
            </w:r>
          </w:p>
        </w:tc>
        <w:tc>
          <w:tcPr>
            <w:tcW w:w="934" w:type="dxa"/>
            <w:tcBorders>
              <w:top w:val="nil"/>
              <w:left w:val="nil"/>
              <w:bottom w:val="single" w:sz="4" w:space="0" w:color="auto"/>
              <w:right w:val="single" w:sz="4" w:space="0" w:color="auto"/>
            </w:tcBorders>
            <w:noWrap/>
            <w:vAlign w:val="bottom"/>
            <w:hideMark/>
          </w:tcPr>
          <w:p w14:paraId="50AE6560"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38.0%</w:t>
            </w:r>
          </w:p>
        </w:tc>
        <w:tc>
          <w:tcPr>
            <w:tcW w:w="1222" w:type="dxa"/>
            <w:tcBorders>
              <w:top w:val="nil"/>
              <w:left w:val="nil"/>
              <w:bottom w:val="single" w:sz="4" w:space="0" w:color="auto"/>
              <w:right w:val="single" w:sz="4" w:space="0" w:color="auto"/>
            </w:tcBorders>
            <w:noWrap/>
            <w:vAlign w:val="bottom"/>
            <w:hideMark/>
          </w:tcPr>
          <w:p w14:paraId="4D73E4DF"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106,740 </w:t>
            </w:r>
          </w:p>
        </w:tc>
      </w:tr>
      <w:tr w:rsidR="00BD1D88" w:rsidRPr="005F5709" w:rsidDel="006A00B3" w14:paraId="4FB90347"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566E7D75"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Victoria</w:t>
            </w:r>
          </w:p>
        </w:tc>
        <w:tc>
          <w:tcPr>
            <w:tcW w:w="1143" w:type="dxa"/>
            <w:tcBorders>
              <w:top w:val="nil"/>
              <w:left w:val="nil"/>
              <w:bottom w:val="single" w:sz="4" w:space="0" w:color="auto"/>
              <w:right w:val="single" w:sz="4" w:space="0" w:color="auto"/>
            </w:tcBorders>
            <w:noWrap/>
            <w:vAlign w:val="bottom"/>
            <w:hideMark/>
          </w:tcPr>
          <w:p w14:paraId="67CFE052"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54,325 </w:t>
            </w:r>
          </w:p>
        </w:tc>
        <w:tc>
          <w:tcPr>
            <w:tcW w:w="931" w:type="dxa"/>
            <w:tcBorders>
              <w:top w:val="nil"/>
              <w:left w:val="nil"/>
              <w:bottom w:val="single" w:sz="4" w:space="0" w:color="auto"/>
              <w:right w:val="single" w:sz="4" w:space="0" w:color="auto"/>
            </w:tcBorders>
            <w:noWrap/>
            <w:vAlign w:val="bottom"/>
            <w:hideMark/>
          </w:tcPr>
          <w:p w14:paraId="2CDD9C6E"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70.9%</w:t>
            </w:r>
          </w:p>
        </w:tc>
        <w:tc>
          <w:tcPr>
            <w:tcW w:w="1500" w:type="dxa"/>
            <w:tcBorders>
              <w:top w:val="nil"/>
              <w:left w:val="nil"/>
              <w:bottom w:val="single" w:sz="4" w:space="0" w:color="auto"/>
              <w:right w:val="single" w:sz="4" w:space="0" w:color="auto"/>
            </w:tcBorders>
            <w:noWrap/>
            <w:vAlign w:val="bottom"/>
            <w:hideMark/>
          </w:tcPr>
          <w:p w14:paraId="4CC6FE5A"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22,295 </w:t>
            </w:r>
          </w:p>
        </w:tc>
        <w:tc>
          <w:tcPr>
            <w:tcW w:w="934" w:type="dxa"/>
            <w:tcBorders>
              <w:top w:val="nil"/>
              <w:left w:val="nil"/>
              <w:bottom w:val="single" w:sz="4" w:space="0" w:color="auto"/>
              <w:right w:val="single" w:sz="4" w:space="0" w:color="auto"/>
            </w:tcBorders>
            <w:noWrap/>
            <w:vAlign w:val="bottom"/>
            <w:hideMark/>
          </w:tcPr>
          <w:p w14:paraId="0918AD19"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29.1%</w:t>
            </w:r>
          </w:p>
        </w:tc>
        <w:tc>
          <w:tcPr>
            <w:tcW w:w="1222" w:type="dxa"/>
            <w:tcBorders>
              <w:top w:val="nil"/>
              <w:left w:val="nil"/>
              <w:bottom w:val="single" w:sz="4" w:space="0" w:color="auto"/>
              <w:right w:val="single" w:sz="4" w:space="0" w:color="auto"/>
            </w:tcBorders>
            <w:noWrap/>
            <w:vAlign w:val="bottom"/>
            <w:hideMark/>
          </w:tcPr>
          <w:p w14:paraId="12B548DD"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76,620 </w:t>
            </w:r>
          </w:p>
        </w:tc>
      </w:tr>
      <w:tr w:rsidR="00BD1D88" w:rsidRPr="005F5709" w:rsidDel="006A00B3" w14:paraId="5276A0A3"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07BF8F17"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Queensland</w:t>
            </w:r>
          </w:p>
        </w:tc>
        <w:tc>
          <w:tcPr>
            <w:tcW w:w="1143" w:type="dxa"/>
            <w:tcBorders>
              <w:top w:val="nil"/>
              <w:left w:val="nil"/>
              <w:bottom w:val="single" w:sz="4" w:space="0" w:color="auto"/>
              <w:right w:val="single" w:sz="4" w:space="0" w:color="auto"/>
            </w:tcBorders>
            <w:noWrap/>
            <w:vAlign w:val="bottom"/>
            <w:hideMark/>
          </w:tcPr>
          <w:p w14:paraId="5AE12618"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46,490 </w:t>
            </w:r>
          </w:p>
        </w:tc>
        <w:tc>
          <w:tcPr>
            <w:tcW w:w="931" w:type="dxa"/>
            <w:tcBorders>
              <w:top w:val="nil"/>
              <w:left w:val="nil"/>
              <w:bottom w:val="single" w:sz="4" w:space="0" w:color="auto"/>
              <w:right w:val="single" w:sz="4" w:space="0" w:color="auto"/>
            </w:tcBorders>
            <w:noWrap/>
            <w:vAlign w:val="bottom"/>
            <w:hideMark/>
          </w:tcPr>
          <w:p w14:paraId="0A7F3E2A"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62.4%</w:t>
            </w:r>
          </w:p>
        </w:tc>
        <w:tc>
          <w:tcPr>
            <w:tcW w:w="1500" w:type="dxa"/>
            <w:tcBorders>
              <w:top w:val="nil"/>
              <w:left w:val="nil"/>
              <w:bottom w:val="single" w:sz="4" w:space="0" w:color="auto"/>
              <w:right w:val="single" w:sz="4" w:space="0" w:color="auto"/>
            </w:tcBorders>
            <w:noWrap/>
            <w:vAlign w:val="bottom"/>
            <w:hideMark/>
          </w:tcPr>
          <w:p w14:paraId="4E8083C2"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27,980 </w:t>
            </w:r>
          </w:p>
        </w:tc>
        <w:tc>
          <w:tcPr>
            <w:tcW w:w="934" w:type="dxa"/>
            <w:tcBorders>
              <w:top w:val="nil"/>
              <w:left w:val="nil"/>
              <w:bottom w:val="single" w:sz="4" w:space="0" w:color="auto"/>
              <w:right w:val="single" w:sz="4" w:space="0" w:color="auto"/>
            </w:tcBorders>
            <w:noWrap/>
            <w:vAlign w:val="bottom"/>
            <w:hideMark/>
          </w:tcPr>
          <w:p w14:paraId="334B93A7"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37.6%</w:t>
            </w:r>
          </w:p>
        </w:tc>
        <w:tc>
          <w:tcPr>
            <w:tcW w:w="1222" w:type="dxa"/>
            <w:tcBorders>
              <w:top w:val="nil"/>
              <w:left w:val="nil"/>
              <w:bottom w:val="single" w:sz="4" w:space="0" w:color="auto"/>
              <w:right w:val="single" w:sz="4" w:space="0" w:color="auto"/>
            </w:tcBorders>
            <w:noWrap/>
            <w:vAlign w:val="bottom"/>
            <w:hideMark/>
          </w:tcPr>
          <w:p w14:paraId="756C2FE7"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74,465 </w:t>
            </w:r>
          </w:p>
        </w:tc>
      </w:tr>
      <w:tr w:rsidR="00BD1D88" w:rsidRPr="005F5709" w:rsidDel="006A00B3" w14:paraId="3E716B2C"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2BFD6076"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South Australia</w:t>
            </w:r>
          </w:p>
        </w:tc>
        <w:tc>
          <w:tcPr>
            <w:tcW w:w="1143" w:type="dxa"/>
            <w:tcBorders>
              <w:top w:val="nil"/>
              <w:left w:val="nil"/>
              <w:bottom w:val="single" w:sz="4" w:space="0" w:color="auto"/>
              <w:right w:val="single" w:sz="4" w:space="0" w:color="auto"/>
            </w:tcBorders>
            <w:noWrap/>
            <w:vAlign w:val="bottom"/>
            <w:hideMark/>
          </w:tcPr>
          <w:p w14:paraId="326A6124"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13,695 </w:t>
            </w:r>
          </w:p>
        </w:tc>
        <w:tc>
          <w:tcPr>
            <w:tcW w:w="931" w:type="dxa"/>
            <w:tcBorders>
              <w:top w:val="nil"/>
              <w:left w:val="nil"/>
              <w:bottom w:val="single" w:sz="4" w:space="0" w:color="auto"/>
              <w:right w:val="single" w:sz="4" w:space="0" w:color="auto"/>
            </w:tcBorders>
            <w:noWrap/>
            <w:vAlign w:val="bottom"/>
            <w:hideMark/>
          </w:tcPr>
          <w:p w14:paraId="361D667D"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58.5%</w:t>
            </w:r>
          </w:p>
        </w:tc>
        <w:tc>
          <w:tcPr>
            <w:tcW w:w="1500" w:type="dxa"/>
            <w:tcBorders>
              <w:top w:val="nil"/>
              <w:left w:val="nil"/>
              <w:bottom w:val="single" w:sz="4" w:space="0" w:color="auto"/>
              <w:right w:val="single" w:sz="4" w:space="0" w:color="auto"/>
            </w:tcBorders>
            <w:noWrap/>
            <w:vAlign w:val="bottom"/>
            <w:hideMark/>
          </w:tcPr>
          <w:p w14:paraId="20F19D08"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9,715 </w:t>
            </w:r>
          </w:p>
        </w:tc>
        <w:tc>
          <w:tcPr>
            <w:tcW w:w="934" w:type="dxa"/>
            <w:tcBorders>
              <w:top w:val="nil"/>
              <w:left w:val="nil"/>
              <w:bottom w:val="single" w:sz="4" w:space="0" w:color="auto"/>
              <w:right w:val="single" w:sz="4" w:space="0" w:color="auto"/>
            </w:tcBorders>
            <w:noWrap/>
            <w:vAlign w:val="bottom"/>
            <w:hideMark/>
          </w:tcPr>
          <w:p w14:paraId="70220AA7"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41.5%</w:t>
            </w:r>
          </w:p>
        </w:tc>
        <w:tc>
          <w:tcPr>
            <w:tcW w:w="1222" w:type="dxa"/>
            <w:tcBorders>
              <w:top w:val="nil"/>
              <w:left w:val="nil"/>
              <w:bottom w:val="single" w:sz="4" w:space="0" w:color="auto"/>
              <w:right w:val="single" w:sz="4" w:space="0" w:color="auto"/>
            </w:tcBorders>
            <w:noWrap/>
            <w:vAlign w:val="bottom"/>
            <w:hideMark/>
          </w:tcPr>
          <w:p w14:paraId="64FFA532"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23,410 </w:t>
            </w:r>
          </w:p>
        </w:tc>
      </w:tr>
      <w:tr w:rsidR="00BD1D88" w:rsidRPr="005F5709" w:rsidDel="006A00B3" w14:paraId="4C2E7E6C"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20294211"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Western Australia</w:t>
            </w:r>
          </w:p>
        </w:tc>
        <w:tc>
          <w:tcPr>
            <w:tcW w:w="1143" w:type="dxa"/>
            <w:tcBorders>
              <w:top w:val="nil"/>
              <w:left w:val="nil"/>
              <w:bottom w:val="single" w:sz="4" w:space="0" w:color="auto"/>
              <w:right w:val="single" w:sz="4" w:space="0" w:color="auto"/>
            </w:tcBorders>
            <w:noWrap/>
            <w:vAlign w:val="bottom"/>
            <w:hideMark/>
          </w:tcPr>
          <w:p w14:paraId="69D839CD"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22,745 </w:t>
            </w:r>
          </w:p>
        </w:tc>
        <w:tc>
          <w:tcPr>
            <w:tcW w:w="931" w:type="dxa"/>
            <w:tcBorders>
              <w:top w:val="nil"/>
              <w:left w:val="nil"/>
              <w:bottom w:val="single" w:sz="4" w:space="0" w:color="auto"/>
              <w:right w:val="single" w:sz="4" w:space="0" w:color="auto"/>
            </w:tcBorders>
            <w:noWrap/>
            <w:vAlign w:val="bottom"/>
            <w:hideMark/>
          </w:tcPr>
          <w:p w14:paraId="272E4D15"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59.2%</w:t>
            </w:r>
          </w:p>
        </w:tc>
        <w:tc>
          <w:tcPr>
            <w:tcW w:w="1500" w:type="dxa"/>
            <w:tcBorders>
              <w:top w:val="nil"/>
              <w:left w:val="nil"/>
              <w:bottom w:val="single" w:sz="4" w:space="0" w:color="auto"/>
              <w:right w:val="single" w:sz="4" w:space="0" w:color="auto"/>
            </w:tcBorders>
            <w:noWrap/>
            <w:vAlign w:val="bottom"/>
            <w:hideMark/>
          </w:tcPr>
          <w:p w14:paraId="364FEFC7"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15,655 </w:t>
            </w:r>
          </w:p>
        </w:tc>
        <w:tc>
          <w:tcPr>
            <w:tcW w:w="934" w:type="dxa"/>
            <w:tcBorders>
              <w:top w:val="nil"/>
              <w:left w:val="nil"/>
              <w:bottom w:val="single" w:sz="4" w:space="0" w:color="auto"/>
              <w:right w:val="single" w:sz="4" w:space="0" w:color="auto"/>
            </w:tcBorders>
            <w:noWrap/>
            <w:vAlign w:val="bottom"/>
            <w:hideMark/>
          </w:tcPr>
          <w:p w14:paraId="33AE7445"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40.8%</w:t>
            </w:r>
          </w:p>
        </w:tc>
        <w:tc>
          <w:tcPr>
            <w:tcW w:w="1222" w:type="dxa"/>
            <w:tcBorders>
              <w:top w:val="nil"/>
              <w:left w:val="nil"/>
              <w:bottom w:val="single" w:sz="4" w:space="0" w:color="auto"/>
              <w:right w:val="single" w:sz="4" w:space="0" w:color="auto"/>
            </w:tcBorders>
            <w:noWrap/>
            <w:vAlign w:val="bottom"/>
            <w:hideMark/>
          </w:tcPr>
          <w:p w14:paraId="46AF3FC7"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38,400 </w:t>
            </w:r>
          </w:p>
        </w:tc>
      </w:tr>
      <w:tr w:rsidR="00BD1D88" w:rsidRPr="005F5709" w:rsidDel="006A00B3" w14:paraId="1B9217A0"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2EB4D9DD"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Tasmania</w:t>
            </w:r>
          </w:p>
        </w:tc>
        <w:tc>
          <w:tcPr>
            <w:tcW w:w="1143" w:type="dxa"/>
            <w:tcBorders>
              <w:top w:val="nil"/>
              <w:left w:val="nil"/>
              <w:bottom w:val="single" w:sz="4" w:space="0" w:color="auto"/>
              <w:right w:val="single" w:sz="4" w:space="0" w:color="auto"/>
            </w:tcBorders>
            <w:noWrap/>
            <w:vAlign w:val="bottom"/>
            <w:hideMark/>
          </w:tcPr>
          <w:p w14:paraId="6B16CAF3"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6,000 </w:t>
            </w:r>
          </w:p>
        </w:tc>
        <w:tc>
          <w:tcPr>
            <w:tcW w:w="931" w:type="dxa"/>
            <w:tcBorders>
              <w:top w:val="nil"/>
              <w:left w:val="nil"/>
              <w:bottom w:val="single" w:sz="4" w:space="0" w:color="auto"/>
              <w:right w:val="single" w:sz="4" w:space="0" w:color="auto"/>
            </w:tcBorders>
            <w:noWrap/>
            <w:vAlign w:val="bottom"/>
            <w:hideMark/>
          </w:tcPr>
          <w:p w14:paraId="6474BA0C"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55.3%</w:t>
            </w:r>
          </w:p>
        </w:tc>
        <w:tc>
          <w:tcPr>
            <w:tcW w:w="1500" w:type="dxa"/>
            <w:tcBorders>
              <w:top w:val="nil"/>
              <w:left w:val="nil"/>
              <w:bottom w:val="single" w:sz="4" w:space="0" w:color="auto"/>
              <w:right w:val="single" w:sz="4" w:space="0" w:color="auto"/>
            </w:tcBorders>
            <w:noWrap/>
            <w:vAlign w:val="bottom"/>
            <w:hideMark/>
          </w:tcPr>
          <w:p w14:paraId="6D123C3E"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4,850 </w:t>
            </w:r>
          </w:p>
        </w:tc>
        <w:tc>
          <w:tcPr>
            <w:tcW w:w="934" w:type="dxa"/>
            <w:tcBorders>
              <w:top w:val="nil"/>
              <w:left w:val="nil"/>
              <w:bottom w:val="single" w:sz="4" w:space="0" w:color="auto"/>
              <w:right w:val="single" w:sz="4" w:space="0" w:color="auto"/>
            </w:tcBorders>
            <w:noWrap/>
            <w:vAlign w:val="bottom"/>
            <w:hideMark/>
          </w:tcPr>
          <w:p w14:paraId="6F9E0737"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44.7%</w:t>
            </w:r>
          </w:p>
        </w:tc>
        <w:tc>
          <w:tcPr>
            <w:tcW w:w="1222" w:type="dxa"/>
            <w:tcBorders>
              <w:top w:val="nil"/>
              <w:left w:val="nil"/>
              <w:bottom w:val="single" w:sz="4" w:space="0" w:color="auto"/>
              <w:right w:val="single" w:sz="4" w:space="0" w:color="auto"/>
            </w:tcBorders>
            <w:noWrap/>
            <w:vAlign w:val="bottom"/>
            <w:hideMark/>
          </w:tcPr>
          <w:p w14:paraId="1C87AA04"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10,845 </w:t>
            </w:r>
          </w:p>
        </w:tc>
      </w:tr>
      <w:tr w:rsidR="00BD1D88" w:rsidRPr="005F5709" w:rsidDel="006A00B3" w14:paraId="35E79DE7"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4EA10321"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Northern Territory</w:t>
            </w:r>
          </w:p>
        </w:tc>
        <w:tc>
          <w:tcPr>
            <w:tcW w:w="1143" w:type="dxa"/>
            <w:tcBorders>
              <w:top w:val="nil"/>
              <w:left w:val="nil"/>
              <w:bottom w:val="single" w:sz="4" w:space="0" w:color="auto"/>
              <w:right w:val="single" w:sz="4" w:space="0" w:color="auto"/>
            </w:tcBorders>
            <w:noWrap/>
            <w:vAlign w:val="bottom"/>
            <w:hideMark/>
          </w:tcPr>
          <w:p w14:paraId="1201F710"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2,005 </w:t>
            </w:r>
          </w:p>
        </w:tc>
        <w:tc>
          <w:tcPr>
            <w:tcW w:w="931" w:type="dxa"/>
            <w:tcBorders>
              <w:top w:val="nil"/>
              <w:left w:val="nil"/>
              <w:bottom w:val="single" w:sz="4" w:space="0" w:color="auto"/>
              <w:right w:val="single" w:sz="4" w:space="0" w:color="auto"/>
            </w:tcBorders>
            <w:noWrap/>
            <w:vAlign w:val="bottom"/>
            <w:hideMark/>
          </w:tcPr>
          <w:p w14:paraId="706FCDC4"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53.4%</w:t>
            </w:r>
          </w:p>
        </w:tc>
        <w:tc>
          <w:tcPr>
            <w:tcW w:w="1500" w:type="dxa"/>
            <w:tcBorders>
              <w:top w:val="nil"/>
              <w:left w:val="nil"/>
              <w:bottom w:val="single" w:sz="4" w:space="0" w:color="auto"/>
              <w:right w:val="single" w:sz="4" w:space="0" w:color="auto"/>
            </w:tcBorders>
            <w:noWrap/>
            <w:vAlign w:val="bottom"/>
            <w:hideMark/>
          </w:tcPr>
          <w:p w14:paraId="0C35D7CF"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1,750 </w:t>
            </w:r>
          </w:p>
        </w:tc>
        <w:tc>
          <w:tcPr>
            <w:tcW w:w="934" w:type="dxa"/>
            <w:tcBorders>
              <w:top w:val="nil"/>
              <w:left w:val="nil"/>
              <w:bottom w:val="single" w:sz="4" w:space="0" w:color="auto"/>
              <w:right w:val="single" w:sz="4" w:space="0" w:color="auto"/>
            </w:tcBorders>
            <w:noWrap/>
            <w:vAlign w:val="bottom"/>
            <w:hideMark/>
          </w:tcPr>
          <w:p w14:paraId="08A4E091"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46.6%</w:t>
            </w:r>
          </w:p>
        </w:tc>
        <w:tc>
          <w:tcPr>
            <w:tcW w:w="1222" w:type="dxa"/>
            <w:tcBorders>
              <w:top w:val="nil"/>
              <w:left w:val="nil"/>
              <w:bottom w:val="single" w:sz="4" w:space="0" w:color="auto"/>
              <w:right w:val="single" w:sz="4" w:space="0" w:color="auto"/>
            </w:tcBorders>
            <w:noWrap/>
            <w:vAlign w:val="bottom"/>
            <w:hideMark/>
          </w:tcPr>
          <w:p w14:paraId="3847CF47"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3,750 </w:t>
            </w:r>
          </w:p>
        </w:tc>
      </w:tr>
      <w:tr w:rsidR="00BD1D88" w:rsidRPr="005F5709" w:rsidDel="006A00B3" w14:paraId="41C32A11"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11A168DC"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Australian Capital Territory</w:t>
            </w:r>
          </w:p>
        </w:tc>
        <w:tc>
          <w:tcPr>
            <w:tcW w:w="1143" w:type="dxa"/>
            <w:tcBorders>
              <w:top w:val="nil"/>
              <w:left w:val="nil"/>
              <w:bottom w:val="single" w:sz="4" w:space="0" w:color="auto"/>
              <w:right w:val="single" w:sz="4" w:space="0" w:color="auto"/>
            </w:tcBorders>
            <w:noWrap/>
            <w:vAlign w:val="bottom"/>
            <w:hideMark/>
          </w:tcPr>
          <w:p w14:paraId="78406D66"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3,485 </w:t>
            </w:r>
          </w:p>
        </w:tc>
        <w:tc>
          <w:tcPr>
            <w:tcW w:w="931" w:type="dxa"/>
            <w:tcBorders>
              <w:top w:val="nil"/>
              <w:left w:val="nil"/>
              <w:bottom w:val="single" w:sz="4" w:space="0" w:color="auto"/>
              <w:right w:val="single" w:sz="4" w:space="0" w:color="auto"/>
            </w:tcBorders>
            <w:noWrap/>
            <w:vAlign w:val="bottom"/>
            <w:hideMark/>
          </w:tcPr>
          <w:p w14:paraId="5AB1EC12"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48.8%</w:t>
            </w:r>
          </w:p>
        </w:tc>
        <w:tc>
          <w:tcPr>
            <w:tcW w:w="1500" w:type="dxa"/>
            <w:tcBorders>
              <w:top w:val="nil"/>
              <w:left w:val="nil"/>
              <w:bottom w:val="single" w:sz="4" w:space="0" w:color="auto"/>
              <w:right w:val="single" w:sz="4" w:space="0" w:color="auto"/>
            </w:tcBorders>
            <w:noWrap/>
            <w:vAlign w:val="bottom"/>
            <w:hideMark/>
          </w:tcPr>
          <w:p w14:paraId="76BA5EDB"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3,655 </w:t>
            </w:r>
          </w:p>
        </w:tc>
        <w:tc>
          <w:tcPr>
            <w:tcW w:w="934" w:type="dxa"/>
            <w:tcBorders>
              <w:top w:val="nil"/>
              <w:left w:val="nil"/>
              <w:bottom w:val="single" w:sz="4" w:space="0" w:color="auto"/>
              <w:right w:val="single" w:sz="4" w:space="0" w:color="auto"/>
            </w:tcBorders>
            <w:noWrap/>
            <w:vAlign w:val="bottom"/>
            <w:hideMark/>
          </w:tcPr>
          <w:p w14:paraId="66D5DC1C"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51.1%</w:t>
            </w:r>
          </w:p>
        </w:tc>
        <w:tc>
          <w:tcPr>
            <w:tcW w:w="1222" w:type="dxa"/>
            <w:tcBorders>
              <w:top w:val="nil"/>
              <w:left w:val="nil"/>
              <w:bottom w:val="single" w:sz="4" w:space="0" w:color="auto"/>
              <w:right w:val="single" w:sz="4" w:space="0" w:color="auto"/>
            </w:tcBorders>
            <w:noWrap/>
            <w:vAlign w:val="bottom"/>
            <w:hideMark/>
          </w:tcPr>
          <w:p w14:paraId="356A1562"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7,145 </w:t>
            </w:r>
          </w:p>
        </w:tc>
      </w:tr>
      <w:tr w:rsidR="00BD1D88" w:rsidRPr="005F5709" w:rsidDel="006A00B3" w14:paraId="533D270F"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7731A35E"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Australia</w:t>
            </w:r>
          </w:p>
        </w:tc>
        <w:tc>
          <w:tcPr>
            <w:tcW w:w="1143" w:type="dxa"/>
            <w:tcBorders>
              <w:top w:val="nil"/>
              <w:left w:val="nil"/>
              <w:bottom w:val="single" w:sz="4" w:space="0" w:color="auto"/>
              <w:right w:val="single" w:sz="4" w:space="0" w:color="auto"/>
            </w:tcBorders>
            <w:noWrap/>
            <w:vAlign w:val="bottom"/>
            <w:hideMark/>
          </w:tcPr>
          <w:p w14:paraId="46553B25"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 xml:space="preserve">     214,970 </w:t>
            </w:r>
          </w:p>
        </w:tc>
        <w:tc>
          <w:tcPr>
            <w:tcW w:w="931" w:type="dxa"/>
            <w:tcBorders>
              <w:top w:val="nil"/>
              <w:left w:val="nil"/>
              <w:bottom w:val="single" w:sz="4" w:space="0" w:color="auto"/>
              <w:right w:val="single" w:sz="4" w:space="0" w:color="auto"/>
            </w:tcBorders>
            <w:noWrap/>
            <w:vAlign w:val="bottom"/>
            <w:hideMark/>
          </w:tcPr>
          <w:p w14:paraId="4ECAC6CB" w14:textId="77777777" w:rsidR="00BD1D88" w:rsidRPr="005F5709" w:rsidDel="006A00B3" w:rsidRDefault="00BD1D88" w:rsidP="00693020">
            <w:pPr>
              <w:spacing w:line="256" w:lineRule="auto"/>
              <w:jc w:val="right"/>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63.0%</w:t>
            </w:r>
          </w:p>
        </w:tc>
        <w:tc>
          <w:tcPr>
            <w:tcW w:w="1500" w:type="dxa"/>
            <w:tcBorders>
              <w:top w:val="nil"/>
              <w:left w:val="nil"/>
              <w:bottom w:val="single" w:sz="4" w:space="0" w:color="auto"/>
              <w:right w:val="single" w:sz="4" w:space="0" w:color="auto"/>
            </w:tcBorders>
            <w:noWrap/>
            <w:vAlign w:val="bottom"/>
            <w:hideMark/>
          </w:tcPr>
          <w:p w14:paraId="5439371B"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 xml:space="preserve">   126,410 </w:t>
            </w:r>
          </w:p>
        </w:tc>
        <w:tc>
          <w:tcPr>
            <w:tcW w:w="934" w:type="dxa"/>
            <w:tcBorders>
              <w:top w:val="nil"/>
              <w:left w:val="nil"/>
              <w:bottom w:val="single" w:sz="4" w:space="0" w:color="auto"/>
              <w:right w:val="single" w:sz="4" w:space="0" w:color="auto"/>
            </w:tcBorders>
            <w:noWrap/>
            <w:vAlign w:val="bottom"/>
            <w:hideMark/>
          </w:tcPr>
          <w:p w14:paraId="3203ED16" w14:textId="77777777" w:rsidR="00BD1D88" w:rsidRPr="005F5709" w:rsidDel="006A00B3" w:rsidRDefault="00BD1D88" w:rsidP="00693020">
            <w:pPr>
              <w:spacing w:line="256" w:lineRule="auto"/>
              <w:jc w:val="right"/>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37.0%</w:t>
            </w:r>
          </w:p>
        </w:tc>
        <w:tc>
          <w:tcPr>
            <w:tcW w:w="1222" w:type="dxa"/>
            <w:tcBorders>
              <w:top w:val="nil"/>
              <w:left w:val="nil"/>
              <w:bottom w:val="single" w:sz="4" w:space="0" w:color="auto"/>
              <w:right w:val="single" w:sz="4" w:space="0" w:color="auto"/>
            </w:tcBorders>
            <w:noWrap/>
            <w:vAlign w:val="bottom"/>
            <w:hideMark/>
          </w:tcPr>
          <w:p w14:paraId="5BAB3C82"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 xml:space="preserve">   341,385 </w:t>
            </w:r>
          </w:p>
        </w:tc>
      </w:tr>
    </w:tbl>
    <w:p w14:paraId="6C105080" w14:textId="77777777" w:rsidR="00BD1D88" w:rsidRPr="005F5709" w:rsidDel="006A00B3" w:rsidRDefault="00BD1D88" w:rsidP="00BA7310">
      <w:pPr>
        <w:rPr>
          <w:rFonts w:asciiTheme="minorHAnsi" w:hAnsiTheme="minorHAnsi" w:cstheme="minorHAnsi"/>
          <w:b/>
        </w:rPr>
      </w:pPr>
      <w:r w:rsidRPr="005F5709" w:rsidDel="006A00B3">
        <w:rPr>
          <w:rFonts w:asciiTheme="minorHAnsi" w:hAnsiTheme="minorHAnsi" w:cstheme="minorHAnsi"/>
          <w:b/>
        </w:rPr>
        <w:t xml:space="preserve">Table </w:t>
      </w:r>
      <w:r w:rsidRPr="005F5709">
        <w:rPr>
          <w:rFonts w:asciiTheme="minorHAnsi" w:hAnsiTheme="minorHAnsi" w:cstheme="minorHAnsi"/>
          <w:b/>
        </w:rPr>
        <w:t>9</w:t>
      </w:r>
      <w:r w:rsidRPr="005F5709" w:rsidDel="006A00B3">
        <w:rPr>
          <w:rFonts w:asciiTheme="minorHAnsi" w:hAnsiTheme="minorHAnsi" w:cstheme="minorHAnsi"/>
          <w:b/>
        </w:rPr>
        <w:t>: Trade and non-trade proportions by state</w:t>
      </w:r>
      <w:r w:rsidRPr="005F5709" w:rsidDel="006A00B3">
        <w:rPr>
          <w:rStyle w:val="FootnoteReference"/>
          <w:rFonts w:asciiTheme="minorHAnsi" w:hAnsiTheme="minorHAnsi" w:cstheme="minorHAnsi"/>
          <w:b/>
        </w:rPr>
        <w:footnoteReference w:id="66"/>
      </w:r>
    </w:p>
    <w:p w14:paraId="48ED2779" w14:textId="77777777" w:rsidR="00BD1D88" w:rsidRPr="005F5709" w:rsidDel="006A00B3" w:rsidRDefault="00BD1D88" w:rsidP="00BA7310">
      <w:pPr>
        <w:rPr>
          <w:rFonts w:asciiTheme="minorHAnsi" w:hAnsiTheme="minorHAnsi" w:cstheme="minorHAnsi"/>
        </w:rPr>
      </w:pPr>
      <w:r w:rsidRPr="005F5709" w:rsidDel="006A00B3">
        <w:rPr>
          <w:rFonts w:asciiTheme="minorHAnsi" w:hAnsiTheme="minorHAnsi" w:cstheme="minorHAnsi"/>
        </w:rPr>
        <w:br/>
        <w:t xml:space="preserve">The split between trade and non-trade apprentices for each jurisdiction largely mirrors the national split of around 64 per cent to 36 per cent, however there are a few exceptions that could be attributed to the dominant industries and employment opportunities present in those areas. For example, both the Northern Territory </w:t>
      </w:r>
      <w:r w:rsidRPr="005F5709">
        <w:rPr>
          <w:rFonts w:asciiTheme="minorHAnsi" w:hAnsiTheme="minorHAnsi" w:cstheme="minorHAnsi"/>
        </w:rPr>
        <w:t xml:space="preserve">(NT) </w:t>
      </w:r>
      <w:r w:rsidRPr="005F5709" w:rsidDel="006A00B3">
        <w:rPr>
          <w:rFonts w:asciiTheme="minorHAnsi" w:hAnsiTheme="minorHAnsi" w:cstheme="minorHAnsi"/>
        </w:rPr>
        <w:t xml:space="preserve">and the Australian Capital Territory </w:t>
      </w:r>
      <w:r w:rsidRPr="005F5709">
        <w:rPr>
          <w:rFonts w:asciiTheme="minorHAnsi" w:hAnsiTheme="minorHAnsi" w:cstheme="minorHAnsi"/>
        </w:rPr>
        <w:t xml:space="preserve">(ACT) </w:t>
      </w:r>
      <w:r w:rsidRPr="005F5709" w:rsidDel="006A00B3">
        <w:rPr>
          <w:rFonts w:asciiTheme="minorHAnsi" w:hAnsiTheme="minorHAnsi" w:cstheme="minorHAnsi"/>
        </w:rPr>
        <w:t xml:space="preserve">have a more even split between trade and non-trade apprentices. The ACT and NT’s higher non-trade Australian Apprentice count can be in large part attributed to the larger proportion of service-based industries (such as Public Administration and Safety, and Health Care and Social Assistance) in these territories. </w:t>
      </w:r>
    </w:p>
    <w:p w14:paraId="4D10393A" w14:textId="77777777" w:rsidR="00BD1D88" w:rsidRPr="005F5709" w:rsidDel="006A00B3" w:rsidRDefault="00BD1D88" w:rsidP="00BA7310">
      <w:pPr>
        <w:pStyle w:val="NoSpacing"/>
        <w:rPr>
          <w:rFonts w:cstheme="minorHAnsi"/>
          <w:sz w:val="20"/>
        </w:rPr>
      </w:pPr>
      <w:r w:rsidRPr="005F5709" w:rsidDel="006A00B3">
        <w:rPr>
          <w:rFonts w:eastAsiaTheme="minorHAnsi" w:cstheme="minorHAnsi"/>
          <w:b/>
          <w:lang w:eastAsia="en-US"/>
        </w:rPr>
        <w:t xml:space="preserve">Table </w:t>
      </w:r>
      <w:r w:rsidRPr="005F5709">
        <w:rPr>
          <w:rFonts w:eastAsiaTheme="minorHAnsi" w:cstheme="minorHAnsi"/>
          <w:b/>
          <w:lang w:eastAsia="en-US"/>
        </w:rPr>
        <w:t>10</w:t>
      </w:r>
      <w:r w:rsidRPr="005F5709" w:rsidDel="006A00B3">
        <w:rPr>
          <w:rFonts w:eastAsiaTheme="minorHAnsi" w:cstheme="minorHAnsi"/>
          <w:b/>
          <w:lang w:eastAsia="en-US"/>
        </w:rPr>
        <w:t xml:space="preserve">: </w:t>
      </w:r>
      <w:r w:rsidRPr="005F5709" w:rsidDel="006A00B3">
        <w:rPr>
          <w:rFonts w:eastAsiaTheme="minorHAnsi" w:cstheme="minorHAnsi"/>
          <w:lang w:eastAsia="en-US"/>
        </w:rPr>
        <w:t xml:space="preserve">Number of apprentices and trainees in-training as </w:t>
      </w:r>
      <w:proofErr w:type="gramStart"/>
      <w:r w:rsidRPr="005F5709" w:rsidDel="006A00B3">
        <w:rPr>
          <w:rFonts w:eastAsiaTheme="minorHAnsi" w:cstheme="minorHAnsi"/>
          <w:lang w:eastAsia="en-US"/>
        </w:rPr>
        <w:t>at</w:t>
      </w:r>
      <w:proofErr w:type="gramEnd"/>
      <w:r w:rsidRPr="005F5709" w:rsidDel="006A00B3">
        <w:rPr>
          <w:rFonts w:eastAsiaTheme="minorHAnsi" w:cstheme="minorHAnsi"/>
          <w:lang w:eastAsia="en-US"/>
        </w:rPr>
        <w:t xml:space="preserve"> 30 June 2021 by occupation and state/territory.</w:t>
      </w:r>
      <w:r w:rsidRPr="005F5709">
        <w:rPr>
          <w:rStyle w:val="FootnoteReference"/>
          <w:rFonts w:eastAsiaTheme="minorHAnsi" w:cstheme="minorHAnsi"/>
          <w:lang w:eastAsia="en-US"/>
        </w:rPr>
        <w:footnoteReference w:id="67"/>
      </w:r>
      <w:r w:rsidRPr="005F5709" w:rsidDel="006A00B3">
        <w:rPr>
          <w:rFonts w:eastAsiaTheme="minorHAnsi" w:cstheme="minorHAnsi"/>
          <w:lang w:eastAsia="en-US"/>
        </w:rPr>
        <w:br/>
      </w:r>
    </w:p>
    <w:tbl>
      <w:tblPr>
        <w:tblStyle w:val="TableGridLight"/>
        <w:tblW w:w="5000" w:type="pct"/>
        <w:tblInd w:w="0" w:type="dxa"/>
        <w:tblLook w:val="04A0" w:firstRow="1" w:lastRow="0" w:firstColumn="1" w:lastColumn="0" w:noHBand="0" w:noVBand="1"/>
      </w:tblPr>
      <w:tblGrid>
        <w:gridCol w:w="3699"/>
        <w:gridCol w:w="659"/>
        <w:gridCol w:w="591"/>
        <w:gridCol w:w="591"/>
        <w:gridCol w:w="591"/>
        <w:gridCol w:w="591"/>
        <w:gridCol w:w="591"/>
        <w:gridCol w:w="522"/>
        <w:gridCol w:w="522"/>
        <w:gridCol w:w="659"/>
      </w:tblGrid>
      <w:tr w:rsidR="00BD1D88" w:rsidRPr="005F5709" w:rsidDel="006A00B3" w14:paraId="55D2D646" w14:textId="77777777" w:rsidTr="00D20E27">
        <w:trPr>
          <w:trHeight w:val="34"/>
          <w:tblHeader/>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27051F9" w14:textId="77777777" w:rsidR="00BD1D88" w:rsidRPr="005F5709" w:rsidDel="006A00B3" w:rsidRDefault="00BD1D88" w:rsidP="00693020">
            <w:pPr>
              <w:rPr>
                <w:rFonts w:eastAsia="Times New Roman" w:cstheme="minorHAnsi"/>
                <w:b/>
                <w:sz w:val="14"/>
                <w:szCs w:val="14"/>
              </w:rPr>
            </w:pPr>
            <w:r w:rsidRPr="005F5709" w:rsidDel="006A00B3">
              <w:rPr>
                <w:rFonts w:cstheme="minorHAnsi"/>
                <w:b/>
                <w:sz w:val="14"/>
                <w:szCs w:val="14"/>
              </w:rPr>
              <w:t>Occupation (ANZSCO) group</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A056027" w14:textId="77777777" w:rsidR="00BD1D88" w:rsidRPr="005F5709" w:rsidDel="006A00B3" w:rsidRDefault="00BD1D88" w:rsidP="00693020">
            <w:pPr>
              <w:jc w:val="right"/>
              <w:rPr>
                <w:rFonts w:eastAsiaTheme="minorEastAsia" w:cstheme="minorHAnsi"/>
                <w:b/>
                <w:color w:val="000000"/>
                <w:sz w:val="14"/>
                <w:szCs w:val="14"/>
              </w:rPr>
            </w:pPr>
            <w:r w:rsidRPr="005F5709" w:rsidDel="006A00B3">
              <w:rPr>
                <w:rFonts w:cstheme="minorHAnsi"/>
                <w:b/>
                <w:sz w:val="14"/>
                <w:szCs w:val="14"/>
              </w:rPr>
              <w:t>NSW</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B466F78"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VIC</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82F1B05"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QLD</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22C7325"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SA</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E4A349A"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WA</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FD0A979"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TAS</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3026346"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NT</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DA71F83"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ACT</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F70CF6F"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AUST</w:t>
            </w:r>
          </w:p>
        </w:tc>
      </w:tr>
      <w:tr w:rsidR="00BD1D88" w:rsidRPr="005F5709" w:rsidDel="006A00B3" w14:paraId="6C799B3E" w14:textId="77777777" w:rsidTr="00693020">
        <w:trPr>
          <w:trHeight w:val="42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4732C80" w14:textId="77777777" w:rsidR="00BD1D88" w:rsidRPr="005F5709" w:rsidDel="006A00B3" w:rsidRDefault="00BD1D88" w:rsidP="00693020">
            <w:pPr>
              <w:tabs>
                <w:tab w:val="left" w:pos="3416"/>
                <w:tab w:val="left" w:pos="4220"/>
              </w:tabs>
              <w:rPr>
                <w:rFonts w:eastAsia="Times New Roman" w:cstheme="minorHAnsi"/>
                <w:color w:val="000000"/>
                <w:sz w:val="14"/>
                <w:szCs w:val="14"/>
              </w:rPr>
            </w:pPr>
            <w:r w:rsidRPr="005F5709" w:rsidDel="006A00B3">
              <w:rPr>
                <w:rFonts w:cstheme="minorHAnsi"/>
                <w:color w:val="000000"/>
                <w:sz w:val="14"/>
                <w:szCs w:val="14"/>
              </w:rPr>
              <w:t>Managers and Professionals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17EE1A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1,980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BA36B2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1,680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752ACC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1,240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9BC3B6B"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770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54056E1"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575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051DBD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335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F6C9D4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110</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4DB820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840</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417B4A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7,535</w:t>
            </w:r>
          </w:p>
        </w:tc>
      </w:tr>
      <w:tr w:rsidR="00BD1D88" w:rsidRPr="005F5709" w:rsidDel="006A00B3" w14:paraId="321F7D10"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045850C" w14:textId="77777777" w:rsidR="00BD1D88" w:rsidRPr="005F5709" w:rsidDel="006A00B3" w:rsidRDefault="00BD1D88" w:rsidP="00693020">
            <w:pPr>
              <w:tabs>
                <w:tab w:val="left" w:pos="3416"/>
                <w:tab w:val="left" w:pos="4220"/>
              </w:tabs>
              <w:rPr>
                <w:rFonts w:cstheme="minorHAnsi"/>
                <w:color w:val="000000"/>
                <w:sz w:val="14"/>
                <w:szCs w:val="14"/>
              </w:rPr>
            </w:pPr>
            <w:r w:rsidRPr="005F5709" w:rsidDel="006A00B3">
              <w:rPr>
                <w:rFonts w:cstheme="minorHAnsi"/>
                <w:color w:val="000000"/>
                <w:sz w:val="14"/>
                <w:szCs w:val="14"/>
              </w:rPr>
              <w:t>Technicians and Trades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60DEA0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66,225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ED747F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54,325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3F07E2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46,490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C24C3F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13,695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97F734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22,745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975AD9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6,000</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290D13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2,005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8B8267D"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3,485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BA989F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214,970</w:t>
            </w:r>
          </w:p>
        </w:tc>
      </w:tr>
      <w:tr w:rsidR="00BD1D88" w:rsidRPr="005F5709" w:rsidDel="006A00B3" w14:paraId="730C6E35"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D0D93AB"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31  Engineering, ICT and Science Technicians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CE7048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1,445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5A671C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D6705D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1,585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4577480"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445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A1D2E3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865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C82B40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205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D41EF7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58BE65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150</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3118AF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6,060</w:t>
            </w:r>
          </w:p>
        </w:tc>
      </w:tr>
      <w:tr w:rsidR="00BD1D88" w:rsidRPr="005F5709" w:rsidDel="006A00B3" w14:paraId="2F84D6E7"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EECD09A"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32  Automotive and Engineering Trades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E0B8CC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15,730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C243FD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9,100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5B16ED2"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13,995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2F5611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3,555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A9A209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9,610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5E14960"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1,285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EC8BFC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615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6719E8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465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FDAFF6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54,360</w:t>
            </w:r>
          </w:p>
        </w:tc>
      </w:tr>
      <w:tr w:rsidR="00BD1D88" w:rsidRPr="005F5709" w:rsidDel="006A00B3" w14:paraId="1BB1D76B"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6353682"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33  Construction Trades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278E3D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21,575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2CA1F1A"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21,710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F17FA6A"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12,000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5EEA9C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3,540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FF3CEA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3,710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74C69B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2,315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981358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435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CF03D6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1,185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770C13B"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66,465</w:t>
            </w:r>
          </w:p>
        </w:tc>
      </w:tr>
      <w:tr w:rsidR="00BD1D88" w:rsidRPr="005F5709" w:rsidDel="006A00B3" w14:paraId="2E745695"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0A1D554"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34  Electrotechnology and Telecommunications Trades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B81A67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15,475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7DD2BB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10,765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AE282DD"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9,770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EC3366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3,090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20A9FE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4,845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CA61BC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780</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B8411E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595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4B0CE9A"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985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DF2961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46,305</w:t>
            </w:r>
          </w:p>
        </w:tc>
      </w:tr>
      <w:tr w:rsidR="00BD1D88" w:rsidRPr="005F5709" w:rsidDel="006A00B3" w14:paraId="5C07C208"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02A5963"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35  Food Trades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3B3FAD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3,510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AAAD5B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3,615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6D5652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2,800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39698A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1,060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36B38C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1,240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36EED2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560</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18D0BD2"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85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B0B4D8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205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BAA36D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13,065</w:t>
            </w:r>
          </w:p>
        </w:tc>
      </w:tr>
      <w:tr w:rsidR="00BD1D88" w:rsidRPr="005F5709" w:rsidDel="006A00B3" w14:paraId="18C489E6"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0AB8F83"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36  Skilled Animal and Horticultural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0AD6FED"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3,180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8ABC10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3,150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019BD0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1,655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67697C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EAA8BE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FC532F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210</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B41341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50</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F77B0E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185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DC9FB90"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9,595</w:t>
            </w:r>
          </w:p>
        </w:tc>
      </w:tr>
      <w:tr w:rsidR="00BD1D88" w:rsidRPr="005F5709" w:rsidDel="006A00B3" w14:paraId="216507C5"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6EAF414"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39  Other Technicians and Trades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EA26D9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5,310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853413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4,680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CFB16B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4,680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7A2EB4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1,325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029E91B"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1,995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2E0552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640</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32F7051"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170</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DF4AFA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315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F03D73D"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19,120</w:t>
            </w:r>
          </w:p>
        </w:tc>
      </w:tr>
      <w:tr w:rsidR="00BD1D88" w:rsidRPr="005F5709" w:rsidDel="006A00B3" w14:paraId="7F3F08F2"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BE7C46B"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Community and Personal Service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5670B0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13,595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D1EA9F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8,180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C6B38D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8,100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86FFD8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1,960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B5DD5B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4,705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9DCDE2A"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1,390</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943E7D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780</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D231E1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1,355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7464E8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40,060</w:t>
            </w:r>
          </w:p>
        </w:tc>
      </w:tr>
      <w:tr w:rsidR="00BD1D88" w:rsidRPr="005F5709" w:rsidDel="006A00B3" w14:paraId="03B0CED3"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0473ACE"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Clerical and Administrative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7A7B34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9,895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79648D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4,725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B7659D2"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7,960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66099B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2,440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2F5E5C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3,540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E7E185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1,405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67932F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265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2A4709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785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980224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31,010</w:t>
            </w:r>
          </w:p>
        </w:tc>
      </w:tr>
      <w:tr w:rsidR="00BD1D88" w:rsidRPr="005F5709" w:rsidDel="006A00B3" w14:paraId="29E46137"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0FB28E1"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Sales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E5C0A5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7,535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C068EB1"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2,960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29CEE4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3,300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96DC25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2,195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2C4F49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1,725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8E94502"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680</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809685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230</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BF4D34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265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A5B414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18,890</w:t>
            </w:r>
          </w:p>
        </w:tc>
      </w:tr>
      <w:tr w:rsidR="00BD1D88" w:rsidRPr="005F5709" w:rsidDel="006A00B3" w14:paraId="17D2A57B"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97250B3"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Machinery Operators and Drivers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18EB512"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3,795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AC56FC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1,705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35DB8B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4,790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D83869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875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9CF275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3,185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B2548AA"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475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061789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155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65C736D"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220</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3C50160"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15,195</w:t>
            </w:r>
          </w:p>
        </w:tc>
      </w:tr>
      <w:tr w:rsidR="00BD1D88" w:rsidRPr="005F5709" w:rsidDel="006A00B3" w14:paraId="11A6D122"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7231EDA"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Labourers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963496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3,710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103640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3,050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A20830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2,595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C4FAFBB"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1,475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815935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1,925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EC34F7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565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5CD868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210</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8AE459A"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185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0B10202"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13,715</w:t>
            </w:r>
          </w:p>
        </w:tc>
      </w:tr>
      <w:tr w:rsidR="00BD1D88" w:rsidRPr="005F5709" w:rsidDel="006A00B3" w14:paraId="3862E352"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7B1C6FD"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lastRenderedPageBreak/>
              <w:t>Total</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A2BB640"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106,740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9FB5CA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76,620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B1EAE10"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74,465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308808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23,410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837269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38,400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6D0323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10,845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C234D22"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3,750</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152F36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7,145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651BA3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341,385</w:t>
            </w:r>
          </w:p>
        </w:tc>
      </w:tr>
    </w:tbl>
    <w:p w14:paraId="44B791F0" w14:textId="77777777" w:rsidR="00BD1D88" w:rsidRPr="005F5709" w:rsidRDefault="00BD1D88" w:rsidP="00BA7310">
      <w:pPr>
        <w:rPr>
          <w:rFonts w:asciiTheme="minorHAnsi" w:eastAsia="Times New Roman" w:hAnsiTheme="minorHAnsi" w:cstheme="minorHAnsi"/>
        </w:rPr>
      </w:pPr>
      <w:r w:rsidRPr="005F5709" w:rsidDel="006A00B3">
        <w:rPr>
          <w:rFonts w:asciiTheme="minorHAnsi" w:eastAsia="Times New Roman" w:hAnsiTheme="minorHAnsi" w:cstheme="minorHAnsi"/>
        </w:rPr>
        <w:br/>
        <w:t>In 2021, 27.4 per cent of employers had apprentices or trainees</w:t>
      </w:r>
      <w:r w:rsidRPr="005F5709" w:rsidDel="006A00B3">
        <w:rPr>
          <w:rStyle w:val="FootnoteReference"/>
          <w:rFonts w:asciiTheme="minorHAnsi" w:eastAsia="Times New Roman" w:hAnsiTheme="minorHAnsi" w:cstheme="minorHAnsi"/>
        </w:rPr>
        <w:footnoteReference w:id="68"/>
      </w:r>
      <w:r w:rsidRPr="005F5709" w:rsidDel="006A00B3">
        <w:rPr>
          <w:rFonts w:asciiTheme="minorHAnsi" w:eastAsia="Times New Roman" w:hAnsiTheme="minorHAnsi" w:cstheme="minorHAnsi"/>
        </w:rPr>
        <w:t xml:space="preserve">. The majority of Australian Apprenticeships are offered by small to medium sized businesses who employed around 71 per cent of apprentices as </w:t>
      </w:r>
      <w:proofErr w:type="gramStart"/>
      <w:r w:rsidRPr="005F5709" w:rsidDel="006A00B3">
        <w:rPr>
          <w:rFonts w:asciiTheme="minorHAnsi" w:eastAsia="Times New Roman" w:hAnsiTheme="minorHAnsi" w:cstheme="minorHAnsi"/>
        </w:rPr>
        <w:t>at</w:t>
      </w:r>
      <w:proofErr w:type="gramEnd"/>
      <w:r w:rsidRPr="005F5709" w:rsidDel="006A00B3">
        <w:rPr>
          <w:rFonts w:asciiTheme="minorHAnsi" w:eastAsia="Times New Roman" w:hAnsiTheme="minorHAnsi" w:cstheme="minorHAnsi"/>
        </w:rPr>
        <w:t xml:space="preserve"> 30 June 2021.</w:t>
      </w:r>
      <w:r w:rsidRPr="005F5709" w:rsidDel="006A00B3">
        <w:rPr>
          <w:rStyle w:val="FootnoteReference"/>
          <w:rFonts w:asciiTheme="minorHAnsi" w:eastAsia="Times New Roman" w:hAnsiTheme="minorHAnsi" w:cstheme="minorHAnsi"/>
        </w:rPr>
        <w:footnoteReference w:id="69"/>
      </w:r>
      <w:r w:rsidRPr="005F5709">
        <w:rPr>
          <w:rFonts w:asciiTheme="minorHAnsi" w:eastAsia="Times New Roman" w:hAnsiTheme="minorHAnsi" w:cstheme="minorHAnsi"/>
        </w:rPr>
        <w:t xml:space="preserve"> </w:t>
      </w:r>
    </w:p>
    <w:p w14:paraId="51667329" w14:textId="77777777" w:rsidR="00BD1D88" w:rsidRPr="005F5709" w:rsidDel="00046389" w:rsidRDefault="00BD1D88" w:rsidP="00BA7310">
      <w:pPr>
        <w:rPr>
          <w:rFonts w:asciiTheme="minorHAnsi" w:hAnsiTheme="minorHAnsi" w:cstheme="minorHAnsi"/>
        </w:rPr>
      </w:pPr>
      <w:r w:rsidRPr="005F5709">
        <w:rPr>
          <w:rFonts w:asciiTheme="minorHAnsi" w:hAnsiTheme="minorHAnsi" w:cstheme="minorHAnsi"/>
        </w:rPr>
        <w:t>Australian Apprenticeships range from Certificate II up to Advanced Diploma level in more than 500 occupations across Australia. Positions are available in traditional trades, as well as a diverse range of emerging careers. An Australian Apprenticeship can take between one and four years to complete, depending on the type of program and qualification. </w:t>
      </w:r>
      <w:r w:rsidRPr="005F5709" w:rsidDel="00046389">
        <w:rPr>
          <w:rFonts w:asciiTheme="minorHAnsi" w:hAnsiTheme="minorHAnsi" w:cstheme="minorHAnsi"/>
        </w:rPr>
        <w:t xml:space="preserve">Tables </w:t>
      </w:r>
      <w:r w:rsidRPr="005F5709">
        <w:rPr>
          <w:rFonts w:asciiTheme="minorHAnsi" w:hAnsiTheme="minorHAnsi" w:cstheme="minorHAnsi"/>
        </w:rPr>
        <w:t>11</w:t>
      </w:r>
      <w:r w:rsidRPr="005F5709" w:rsidDel="00046389">
        <w:rPr>
          <w:rFonts w:asciiTheme="minorHAnsi" w:hAnsiTheme="minorHAnsi" w:cstheme="minorHAnsi"/>
        </w:rPr>
        <w:t xml:space="preserve"> and </w:t>
      </w:r>
      <w:r w:rsidRPr="005F5709">
        <w:rPr>
          <w:rFonts w:asciiTheme="minorHAnsi" w:hAnsiTheme="minorHAnsi" w:cstheme="minorHAnsi"/>
        </w:rPr>
        <w:t>12</w:t>
      </w:r>
      <w:r w:rsidRPr="005F5709" w:rsidDel="00046389">
        <w:rPr>
          <w:rFonts w:asciiTheme="minorHAnsi" w:hAnsiTheme="minorHAnsi" w:cstheme="minorHAnsi"/>
        </w:rPr>
        <w:t xml:space="preserve"> show the top five increasing trade and non-trade occupations for apprenticeship commencements in 2020-2021.</w:t>
      </w:r>
    </w:p>
    <w:p w14:paraId="625CD6F7" w14:textId="77777777" w:rsidR="00BD1D88" w:rsidRPr="005F5709" w:rsidDel="00046389" w:rsidRDefault="00BD1D88" w:rsidP="00BA7310">
      <w:pPr>
        <w:rPr>
          <w:rFonts w:asciiTheme="minorHAnsi" w:hAnsiTheme="minorHAnsi" w:cstheme="minorHAnsi"/>
        </w:rPr>
      </w:pPr>
      <w:r w:rsidRPr="005F5709" w:rsidDel="00046389">
        <w:rPr>
          <w:rFonts w:asciiTheme="minorHAnsi" w:eastAsia="Times New Roman" w:hAnsiTheme="minorHAnsi" w:cstheme="minorHAnsi"/>
          <w:b/>
        </w:rPr>
        <w:t xml:space="preserve">Table </w:t>
      </w:r>
      <w:r w:rsidRPr="005F5709">
        <w:rPr>
          <w:rFonts w:asciiTheme="minorHAnsi" w:eastAsia="Times New Roman" w:hAnsiTheme="minorHAnsi" w:cstheme="minorHAnsi"/>
          <w:b/>
        </w:rPr>
        <w:t>11</w:t>
      </w:r>
      <w:r w:rsidRPr="005F5709" w:rsidDel="00046389">
        <w:rPr>
          <w:rFonts w:asciiTheme="minorHAnsi" w:eastAsia="Times New Roman" w:hAnsiTheme="minorHAnsi" w:cstheme="minorHAnsi"/>
          <w:b/>
        </w:rPr>
        <w:t>: Top five increasing trade occupations for Australian Apprentices (June 2020 - June 2021)</w:t>
      </w:r>
    </w:p>
    <w:tbl>
      <w:tblPr>
        <w:tblStyle w:val="TableGridLight"/>
        <w:tblW w:w="0" w:type="auto"/>
        <w:tblInd w:w="0" w:type="dxa"/>
        <w:tblLook w:val="04A0" w:firstRow="1" w:lastRow="0" w:firstColumn="1" w:lastColumn="0" w:noHBand="0" w:noVBand="1"/>
      </w:tblPr>
      <w:tblGrid>
        <w:gridCol w:w="4225"/>
        <w:gridCol w:w="1196"/>
        <w:gridCol w:w="1196"/>
        <w:gridCol w:w="1208"/>
        <w:gridCol w:w="1191"/>
      </w:tblGrid>
      <w:tr w:rsidR="00BD1D88" w:rsidRPr="005F5709" w:rsidDel="00046389" w14:paraId="46DE9B13" w14:textId="77777777" w:rsidTr="00D20E27">
        <w:trPr>
          <w:trHeight w:val="312"/>
          <w:tblHeader/>
        </w:trPr>
        <w:tc>
          <w:tcPr>
            <w:tcW w:w="453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AFB13A" w14:textId="77777777" w:rsidR="00BD1D88" w:rsidRPr="005F5709" w:rsidDel="00046389" w:rsidRDefault="00BD1D88" w:rsidP="00693020">
            <w:pPr>
              <w:keepNext/>
              <w:rPr>
                <w:rFonts w:cstheme="minorHAnsi"/>
                <w:sz w:val="20"/>
                <w:szCs w:val="20"/>
              </w:rPr>
            </w:pPr>
            <w:r w:rsidRPr="005F5709" w:rsidDel="00046389">
              <w:rPr>
                <w:rFonts w:eastAsia="Times New Roman" w:cstheme="minorHAnsi"/>
                <w:sz w:val="20"/>
                <w:szCs w:val="20"/>
              </w:rPr>
              <w:t>ANZSCO minor occupation</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2EBC56" w14:textId="77777777" w:rsidR="00BD1D88" w:rsidRPr="005F5709" w:rsidDel="00046389" w:rsidRDefault="00BD1D88" w:rsidP="00693020">
            <w:pPr>
              <w:rPr>
                <w:rFonts w:eastAsia="Times New Roman" w:cstheme="minorHAnsi"/>
                <w:sz w:val="20"/>
                <w:szCs w:val="20"/>
              </w:rPr>
            </w:pPr>
            <w:r w:rsidRPr="005F5709" w:rsidDel="00046389">
              <w:rPr>
                <w:rFonts w:eastAsia="Times New Roman" w:cstheme="minorHAnsi"/>
                <w:sz w:val="20"/>
                <w:szCs w:val="20"/>
              </w:rPr>
              <w:t>2020</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FC06E8" w14:textId="77777777" w:rsidR="00BD1D88" w:rsidRPr="005F5709" w:rsidDel="00046389" w:rsidRDefault="00BD1D88" w:rsidP="00693020">
            <w:pPr>
              <w:rPr>
                <w:rFonts w:eastAsia="Times New Roman" w:cstheme="minorHAnsi"/>
                <w:sz w:val="20"/>
                <w:szCs w:val="20"/>
              </w:rPr>
            </w:pPr>
            <w:r w:rsidRPr="005F5709" w:rsidDel="00046389">
              <w:rPr>
                <w:rFonts w:eastAsia="Times New Roman" w:cstheme="minorHAnsi"/>
                <w:sz w:val="20"/>
                <w:szCs w:val="20"/>
              </w:rPr>
              <w:t>2021</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A1E00D" w14:textId="77777777" w:rsidR="00BD1D88" w:rsidRPr="005F5709" w:rsidDel="00046389" w:rsidRDefault="00BD1D88" w:rsidP="00693020">
            <w:pPr>
              <w:rPr>
                <w:rFonts w:eastAsia="Times New Roman" w:cstheme="minorHAnsi"/>
                <w:sz w:val="20"/>
                <w:szCs w:val="20"/>
              </w:rPr>
            </w:pPr>
            <w:r w:rsidRPr="005F5709" w:rsidDel="00046389">
              <w:rPr>
                <w:rFonts w:eastAsia="Times New Roman" w:cstheme="minorHAnsi"/>
                <w:sz w:val="20"/>
                <w:szCs w:val="20"/>
              </w:rPr>
              <w:t>Increase</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1D309C" w14:textId="77777777" w:rsidR="00BD1D88" w:rsidRPr="005F5709" w:rsidDel="00046389" w:rsidRDefault="00BD1D88" w:rsidP="00693020">
            <w:pPr>
              <w:rPr>
                <w:rFonts w:eastAsia="Times New Roman" w:cstheme="minorHAnsi"/>
                <w:sz w:val="20"/>
                <w:szCs w:val="20"/>
              </w:rPr>
            </w:pPr>
            <w:r w:rsidRPr="005F5709" w:rsidDel="00046389">
              <w:rPr>
                <w:rFonts w:eastAsia="Times New Roman" w:cstheme="minorHAnsi"/>
                <w:sz w:val="20"/>
                <w:szCs w:val="20"/>
              </w:rPr>
              <w:t>Per cent</w:t>
            </w:r>
          </w:p>
        </w:tc>
      </w:tr>
      <w:tr w:rsidR="00BD1D88" w:rsidRPr="005F5709" w:rsidDel="00046389" w14:paraId="71787F38" w14:textId="77777777" w:rsidTr="00693020">
        <w:trPr>
          <w:trHeight w:val="70"/>
        </w:trPr>
        <w:tc>
          <w:tcPr>
            <w:tcW w:w="453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F00FE7" w14:textId="77777777" w:rsidR="00BD1D88" w:rsidRPr="005F5709" w:rsidDel="00046389" w:rsidRDefault="00BD1D88" w:rsidP="00693020">
            <w:pPr>
              <w:rPr>
                <w:rFonts w:eastAsiaTheme="minorEastAsia" w:cstheme="minorHAnsi"/>
                <w:sz w:val="20"/>
                <w:szCs w:val="20"/>
              </w:rPr>
            </w:pPr>
            <w:r w:rsidRPr="005F5709" w:rsidDel="00046389">
              <w:rPr>
                <w:rFonts w:cstheme="minorHAnsi"/>
                <w:color w:val="000000"/>
                <w:sz w:val="20"/>
                <w:szCs w:val="20"/>
              </w:rPr>
              <w:t>331  Bricklayers, and Carpenters and Joiners</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9EEF40"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30,360</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4D5E64"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36,100</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2AEAA3"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5,745</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782D8E"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18.9%</w:t>
            </w:r>
          </w:p>
        </w:tc>
      </w:tr>
      <w:tr w:rsidR="00BD1D88" w:rsidRPr="005F5709" w:rsidDel="00046389" w14:paraId="6D224583" w14:textId="77777777" w:rsidTr="00693020">
        <w:trPr>
          <w:trHeight w:val="70"/>
        </w:trPr>
        <w:tc>
          <w:tcPr>
            <w:tcW w:w="453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B570FE"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341  Electricians</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BC9E9B"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32,300</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1D9474"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36,220</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D4C814"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3,920</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0CB255"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12.1%</w:t>
            </w:r>
          </w:p>
        </w:tc>
      </w:tr>
      <w:tr w:rsidR="00BD1D88" w:rsidRPr="005F5709" w:rsidDel="00046389" w14:paraId="3ACA92D7" w14:textId="77777777" w:rsidTr="00693020">
        <w:trPr>
          <w:trHeight w:val="70"/>
        </w:trPr>
        <w:tc>
          <w:tcPr>
            <w:tcW w:w="453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D19C3D"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321  Automotive Electricians and Mechanics</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63AE7F"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24,545</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52A0BEB"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28,190</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17D850"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3,645</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D259C4"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14.8%</w:t>
            </w:r>
          </w:p>
        </w:tc>
      </w:tr>
      <w:tr w:rsidR="00BD1D88" w:rsidRPr="005F5709" w:rsidDel="00046389" w14:paraId="51EAE134" w14:textId="77777777" w:rsidTr="00693020">
        <w:trPr>
          <w:trHeight w:val="70"/>
        </w:trPr>
        <w:tc>
          <w:tcPr>
            <w:tcW w:w="453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700565"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334  Plumbers</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8BAB83"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18,565</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3FA6CB"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20,975</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EE8A4C"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2,405</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3C4332"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13.0%</w:t>
            </w:r>
          </w:p>
        </w:tc>
      </w:tr>
      <w:tr w:rsidR="00BD1D88" w:rsidRPr="005F5709" w:rsidDel="00046389" w14:paraId="7A2919BC" w14:textId="77777777" w:rsidTr="00693020">
        <w:trPr>
          <w:trHeight w:val="70"/>
        </w:trPr>
        <w:tc>
          <w:tcPr>
            <w:tcW w:w="453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CE7476"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351  Food Trades Workers</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56B447"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10,955</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4EC05E"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13,065</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368EF2"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2,110</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16A79D"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19.3%</w:t>
            </w:r>
          </w:p>
        </w:tc>
      </w:tr>
    </w:tbl>
    <w:p w14:paraId="15CD2A20" w14:textId="77777777" w:rsidR="00BD1D88" w:rsidRPr="005F5709" w:rsidDel="00046389" w:rsidRDefault="00BD1D88" w:rsidP="00BA7310">
      <w:pPr>
        <w:spacing w:after="0" w:line="240" w:lineRule="auto"/>
        <w:rPr>
          <w:rFonts w:asciiTheme="minorHAnsi" w:eastAsia="Times New Roman" w:hAnsiTheme="minorHAnsi" w:cstheme="minorHAnsi"/>
          <w:b/>
        </w:rPr>
      </w:pPr>
    </w:p>
    <w:p w14:paraId="7AD5C598" w14:textId="77777777" w:rsidR="00BD1D88" w:rsidRPr="005F5709" w:rsidDel="00046389" w:rsidRDefault="00BD1D88" w:rsidP="00BA7310">
      <w:pPr>
        <w:rPr>
          <w:rFonts w:asciiTheme="minorHAnsi" w:eastAsia="Times New Roman" w:hAnsiTheme="minorHAnsi" w:cstheme="minorHAnsi"/>
          <w:b/>
        </w:rPr>
      </w:pPr>
      <w:r w:rsidRPr="005F5709" w:rsidDel="00046389">
        <w:rPr>
          <w:rFonts w:asciiTheme="minorHAnsi" w:eastAsia="Times New Roman" w:hAnsiTheme="minorHAnsi" w:cstheme="minorHAnsi"/>
          <w:b/>
        </w:rPr>
        <w:t xml:space="preserve">Table </w:t>
      </w:r>
      <w:r w:rsidRPr="005F5709">
        <w:rPr>
          <w:rFonts w:asciiTheme="minorHAnsi" w:eastAsia="Times New Roman" w:hAnsiTheme="minorHAnsi" w:cstheme="minorHAnsi"/>
          <w:b/>
        </w:rPr>
        <w:t>12</w:t>
      </w:r>
      <w:r w:rsidRPr="005F5709" w:rsidDel="00046389">
        <w:rPr>
          <w:rFonts w:asciiTheme="minorHAnsi" w:eastAsia="Times New Roman" w:hAnsiTheme="minorHAnsi" w:cstheme="minorHAnsi"/>
          <w:b/>
        </w:rPr>
        <w:t xml:space="preserve">: Top five increasing non-trade occupations for Australian Apprentices (June 2020 </w:t>
      </w:r>
      <w:r w:rsidRPr="005F5709">
        <w:rPr>
          <w:rFonts w:asciiTheme="minorHAnsi" w:eastAsia="Times New Roman" w:hAnsiTheme="minorHAnsi" w:cstheme="minorHAnsi"/>
          <w:b/>
        </w:rPr>
        <w:t>–</w:t>
      </w:r>
      <w:r w:rsidRPr="005F5709" w:rsidDel="00046389">
        <w:rPr>
          <w:rFonts w:asciiTheme="minorHAnsi" w:eastAsia="Times New Roman" w:hAnsiTheme="minorHAnsi" w:cstheme="minorHAnsi"/>
          <w:b/>
        </w:rPr>
        <w:t xml:space="preserve"> June</w:t>
      </w:r>
      <w:r w:rsidRPr="005F5709">
        <w:rPr>
          <w:rFonts w:asciiTheme="minorHAnsi" w:eastAsia="Times New Roman" w:hAnsiTheme="minorHAnsi" w:cstheme="minorHAnsi"/>
          <w:b/>
        </w:rPr>
        <w:t> </w:t>
      </w:r>
      <w:r w:rsidRPr="005F5709" w:rsidDel="00046389">
        <w:rPr>
          <w:rFonts w:asciiTheme="minorHAnsi" w:eastAsia="Times New Roman" w:hAnsiTheme="minorHAnsi" w:cstheme="minorHAnsi"/>
          <w:b/>
        </w:rPr>
        <w:t>2021)</w:t>
      </w:r>
    </w:p>
    <w:tbl>
      <w:tblPr>
        <w:tblStyle w:val="TableGridLight"/>
        <w:tblW w:w="9067" w:type="dxa"/>
        <w:tblInd w:w="0" w:type="dxa"/>
        <w:tblLayout w:type="fixed"/>
        <w:tblLook w:val="04A0" w:firstRow="1" w:lastRow="0" w:firstColumn="1" w:lastColumn="0" w:noHBand="0" w:noVBand="1"/>
      </w:tblPr>
      <w:tblGrid>
        <w:gridCol w:w="4248"/>
        <w:gridCol w:w="1134"/>
        <w:gridCol w:w="1276"/>
        <w:gridCol w:w="1134"/>
        <w:gridCol w:w="1275"/>
      </w:tblGrid>
      <w:tr w:rsidR="00BD1D88" w:rsidRPr="005F5709" w:rsidDel="00046389" w14:paraId="4B850C11" w14:textId="77777777" w:rsidTr="00D20E27">
        <w:trPr>
          <w:trHeight w:val="312"/>
          <w:tblHeader/>
        </w:trPr>
        <w:tc>
          <w:tcPr>
            <w:tcW w:w="42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0A4C5B" w14:textId="77777777" w:rsidR="00BD1D88" w:rsidRPr="005F5709" w:rsidDel="00046389" w:rsidRDefault="00BD1D88" w:rsidP="00693020">
            <w:pPr>
              <w:keepNext/>
              <w:rPr>
                <w:rFonts w:cstheme="minorHAnsi"/>
                <w:sz w:val="20"/>
                <w:szCs w:val="20"/>
              </w:rPr>
            </w:pPr>
            <w:r w:rsidRPr="005F5709" w:rsidDel="00046389">
              <w:rPr>
                <w:rFonts w:eastAsia="Times New Roman" w:cstheme="minorHAnsi"/>
                <w:sz w:val="20"/>
                <w:szCs w:val="20"/>
              </w:rPr>
              <w:t>ANZSCO minor occupation</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202DE2" w14:textId="77777777" w:rsidR="00BD1D88" w:rsidRPr="005F5709" w:rsidDel="00046389" w:rsidRDefault="00BD1D88" w:rsidP="00693020">
            <w:pPr>
              <w:keepNext/>
              <w:jc w:val="right"/>
              <w:rPr>
                <w:rFonts w:eastAsia="Times New Roman" w:cstheme="minorHAnsi"/>
                <w:sz w:val="20"/>
                <w:szCs w:val="20"/>
              </w:rPr>
            </w:pPr>
            <w:r w:rsidRPr="005F5709" w:rsidDel="00046389">
              <w:rPr>
                <w:rFonts w:eastAsia="Times New Roman" w:cstheme="minorHAnsi"/>
                <w:sz w:val="20"/>
                <w:szCs w:val="20"/>
              </w:rPr>
              <w:t>2020</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8CDD17" w14:textId="77777777" w:rsidR="00BD1D88" w:rsidRPr="005F5709" w:rsidDel="00046389" w:rsidRDefault="00BD1D88" w:rsidP="00693020">
            <w:pPr>
              <w:keepNext/>
              <w:jc w:val="right"/>
              <w:rPr>
                <w:rFonts w:eastAsia="Times New Roman" w:cstheme="minorHAnsi"/>
                <w:sz w:val="20"/>
                <w:szCs w:val="20"/>
              </w:rPr>
            </w:pPr>
            <w:r w:rsidRPr="005F5709" w:rsidDel="00046389">
              <w:rPr>
                <w:rFonts w:eastAsia="Times New Roman" w:cstheme="minorHAnsi"/>
                <w:sz w:val="20"/>
                <w:szCs w:val="20"/>
              </w:rPr>
              <w:t>2021</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0A98B7" w14:textId="77777777" w:rsidR="00BD1D88" w:rsidRPr="005F5709" w:rsidDel="00046389" w:rsidRDefault="00BD1D88" w:rsidP="00693020">
            <w:pPr>
              <w:keepNext/>
              <w:jc w:val="right"/>
              <w:rPr>
                <w:rFonts w:eastAsia="Times New Roman" w:cstheme="minorHAnsi"/>
                <w:sz w:val="20"/>
                <w:szCs w:val="20"/>
              </w:rPr>
            </w:pPr>
            <w:r w:rsidRPr="005F5709" w:rsidDel="00046389">
              <w:rPr>
                <w:rFonts w:eastAsia="Times New Roman" w:cstheme="minorHAnsi"/>
                <w:sz w:val="20"/>
                <w:szCs w:val="20"/>
              </w:rPr>
              <w:t>Increase</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918AC2" w14:textId="77777777" w:rsidR="00BD1D88" w:rsidRPr="005F5709" w:rsidDel="00046389" w:rsidRDefault="00BD1D88" w:rsidP="00693020">
            <w:pPr>
              <w:keepNext/>
              <w:jc w:val="right"/>
              <w:rPr>
                <w:rFonts w:eastAsia="Times New Roman" w:cstheme="minorHAnsi"/>
                <w:sz w:val="20"/>
                <w:szCs w:val="20"/>
              </w:rPr>
            </w:pPr>
            <w:r w:rsidRPr="005F5709" w:rsidDel="00046389">
              <w:rPr>
                <w:rFonts w:eastAsia="Times New Roman" w:cstheme="minorHAnsi"/>
                <w:sz w:val="20"/>
                <w:szCs w:val="20"/>
              </w:rPr>
              <w:t>Per cent</w:t>
            </w:r>
          </w:p>
        </w:tc>
      </w:tr>
      <w:tr w:rsidR="00BD1D88" w:rsidRPr="005F5709" w:rsidDel="00046389" w14:paraId="371C9965" w14:textId="77777777" w:rsidTr="00693020">
        <w:trPr>
          <w:trHeight w:val="95"/>
        </w:trPr>
        <w:tc>
          <w:tcPr>
            <w:tcW w:w="42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2CCEFA" w14:textId="77777777" w:rsidR="00BD1D88" w:rsidRPr="005F5709" w:rsidDel="00046389" w:rsidRDefault="00BD1D88" w:rsidP="00693020">
            <w:pPr>
              <w:rPr>
                <w:rFonts w:eastAsiaTheme="minorEastAsia" w:cstheme="minorHAnsi"/>
                <w:color w:val="000000"/>
                <w:sz w:val="20"/>
                <w:szCs w:val="20"/>
              </w:rPr>
            </w:pPr>
            <w:r w:rsidRPr="005F5709" w:rsidDel="00046389">
              <w:rPr>
                <w:rFonts w:cstheme="minorHAnsi"/>
                <w:color w:val="000000"/>
                <w:sz w:val="20"/>
                <w:szCs w:val="20"/>
              </w:rPr>
              <w:t>512  Office and Practice Managers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0D2EC1"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2,895</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C76519"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8,395</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7E58C3"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5,500</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1FDAE0"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189.9%</w:t>
            </w:r>
          </w:p>
        </w:tc>
      </w:tr>
      <w:tr w:rsidR="00BD1D88" w:rsidRPr="005F5709" w:rsidDel="00046389" w14:paraId="49CBCABD" w14:textId="77777777" w:rsidTr="00693020">
        <w:trPr>
          <w:trHeight w:val="114"/>
        </w:trPr>
        <w:tc>
          <w:tcPr>
            <w:tcW w:w="42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357F3F" w14:textId="77777777" w:rsidR="00BD1D88" w:rsidRPr="005F5709" w:rsidDel="00046389" w:rsidRDefault="00BD1D88" w:rsidP="00693020">
            <w:pPr>
              <w:rPr>
                <w:rFonts w:cstheme="minorHAnsi"/>
                <w:color w:val="000000"/>
                <w:sz w:val="20"/>
                <w:szCs w:val="20"/>
              </w:rPr>
            </w:pPr>
            <w:r w:rsidRPr="005F5709" w:rsidDel="00046389">
              <w:rPr>
                <w:rFonts w:cstheme="minorHAnsi"/>
                <w:color w:val="000000"/>
                <w:sz w:val="20"/>
                <w:szCs w:val="20"/>
              </w:rPr>
              <w:t>531  General Clerks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5F7FA3"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6,960</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B04B55"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12,380</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46E1C8"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5,420</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5090B2"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77.9%</w:t>
            </w:r>
          </w:p>
        </w:tc>
      </w:tr>
      <w:tr w:rsidR="00BD1D88" w:rsidRPr="005F5709" w:rsidDel="00046389" w14:paraId="404EF2AB" w14:textId="77777777" w:rsidTr="00693020">
        <w:trPr>
          <w:trHeight w:val="145"/>
        </w:trPr>
        <w:tc>
          <w:tcPr>
            <w:tcW w:w="42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2D98D7"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431  Hospitality Workers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4D4453"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7,690</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430449"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12,005</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084014"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4,320</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8F3E20"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56.2%</w:t>
            </w:r>
          </w:p>
        </w:tc>
      </w:tr>
      <w:tr w:rsidR="00BD1D88" w:rsidRPr="005F5709" w:rsidDel="00046389" w14:paraId="404101CA" w14:textId="77777777" w:rsidTr="00693020">
        <w:trPr>
          <w:trHeight w:val="70"/>
        </w:trPr>
        <w:tc>
          <w:tcPr>
            <w:tcW w:w="42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C067EF"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621  Sales Assistants and Salespersons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5FFF30"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10,525</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CD933B"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14,350</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95FA27"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3,830</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AA7B17"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36.4%</w:t>
            </w:r>
          </w:p>
        </w:tc>
      </w:tr>
      <w:tr w:rsidR="00BD1D88" w:rsidRPr="005F5709" w:rsidDel="00046389" w14:paraId="2EC680A1" w14:textId="77777777" w:rsidTr="00693020">
        <w:trPr>
          <w:trHeight w:val="70"/>
        </w:trPr>
        <w:tc>
          <w:tcPr>
            <w:tcW w:w="42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EE7388"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421  Child Carers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D2F762"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10,880</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692F4F"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14,540</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48D932"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3,660</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C1116D"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33.7%</w:t>
            </w:r>
          </w:p>
        </w:tc>
      </w:tr>
    </w:tbl>
    <w:p w14:paraId="104167E6" w14:textId="77777777" w:rsidR="00BD1D88" w:rsidRPr="005F5709" w:rsidRDefault="00BD1D88" w:rsidP="00BA7310">
      <w:pPr>
        <w:rPr>
          <w:rFonts w:asciiTheme="minorHAnsi" w:hAnsiTheme="minorHAnsi" w:cstheme="minorHAnsi"/>
        </w:rPr>
      </w:pPr>
    </w:p>
    <w:p w14:paraId="383B9A01" w14:textId="77777777" w:rsidR="00BD1D88" w:rsidRPr="005F5709" w:rsidRDefault="00BD1D88" w:rsidP="00246B0A">
      <w:pPr>
        <w:rPr>
          <w:rFonts w:asciiTheme="minorHAnsi" w:hAnsiTheme="minorHAnsi" w:cstheme="minorHAnsi"/>
        </w:rPr>
      </w:pPr>
      <w:r w:rsidRPr="005F5709">
        <w:rPr>
          <w:rFonts w:asciiTheme="minorHAnsi" w:hAnsiTheme="minorHAnsi" w:cstheme="minorHAnsi"/>
        </w:rPr>
        <w:br w:type="page"/>
      </w:r>
    </w:p>
    <w:p w14:paraId="618FDBB9" w14:textId="77777777" w:rsidR="00BD1D88" w:rsidRPr="005F5709" w:rsidRDefault="00BD1D88" w:rsidP="001E5E0D">
      <w:pPr>
        <w:pStyle w:val="Heading2"/>
        <w:rPr>
          <w:color w:val="002060"/>
        </w:rPr>
      </w:pPr>
      <w:bookmarkStart w:id="144" w:name="_Toc113022244"/>
      <w:r w:rsidRPr="005F5709">
        <w:rPr>
          <w:color w:val="002060"/>
        </w:rPr>
        <w:lastRenderedPageBreak/>
        <w:t>Attachment B: Current Payments Under the AAIP</w:t>
      </w:r>
      <w:bookmarkEnd w:id="144"/>
    </w:p>
    <w:p w14:paraId="66ED2D5C" w14:textId="77777777" w:rsidR="00BD1D88" w:rsidRPr="005F5709" w:rsidDel="00F33D73" w:rsidRDefault="00BD1D88" w:rsidP="00D20E27">
      <w:pPr>
        <w:pStyle w:val="Heading3"/>
      </w:pPr>
      <w:bookmarkStart w:id="145" w:name="_Toc113022245"/>
      <w:r w:rsidRPr="005F5709" w:rsidDel="00F33D73">
        <w:t xml:space="preserve">Support available to </w:t>
      </w:r>
      <w:proofErr w:type="gramStart"/>
      <w:r w:rsidRPr="005F5709" w:rsidDel="00F33D73">
        <w:t>employers</w:t>
      </w:r>
      <w:bookmarkEnd w:id="145"/>
      <w:proofErr w:type="gramEnd"/>
    </w:p>
    <w:p w14:paraId="33F20481" w14:textId="77777777" w:rsidR="00BD1D88" w:rsidRPr="005F5709" w:rsidDel="00F33D73" w:rsidRDefault="00BD1D88" w:rsidP="00D20E27">
      <w:pPr>
        <w:pStyle w:val="Heading4"/>
        <w:rPr>
          <w:rFonts w:asciiTheme="minorHAnsi" w:hAnsiTheme="minorHAnsi" w:cstheme="minorHAnsi"/>
        </w:rPr>
      </w:pPr>
      <w:r w:rsidRPr="005F5709" w:rsidDel="00F33D73">
        <w:rPr>
          <w:rFonts w:asciiTheme="minorHAnsi" w:hAnsiTheme="minorHAnsi" w:cstheme="minorHAnsi"/>
        </w:rPr>
        <w:t>Standard and targeted incentives</w:t>
      </w:r>
    </w:p>
    <w:p w14:paraId="66A399C9" w14:textId="77777777" w:rsidR="00BD1D88" w:rsidRPr="005F5709" w:rsidDel="00F33D73" w:rsidRDefault="00BD1D88" w:rsidP="005D02B6">
      <w:pPr>
        <w:rPr>
          <w:rFonts w:asciiTheme="minorHAnsi" w:eastAsia="Times New Roman" w:hAnsiTheme="minorHAnsi" w:cstheme="minorHAnsi"/>
        </w:rPr>
      </w:pPr>
      <w:r w:rsidRPr="005F5709" w:rsidDel="00F33D73">
        <w:rPr>
          <w:rFonts w:asciiTheme="minorHAnsi" w:eastAsia="Times New Roman" w:hAnsiTheme="minorHAnsi" w:cstheme="minorHAnsi"/>
        </w:rPr>
        <w:t>The Australian Government provides financial incentives to employers at the time of commencement, during and at completion of eligible Australian Apprenticeships. Standard incentives are up to $4,000 ($1,500 on commencement and $2,500 on completion) for eligible apprenticeships and are often complemented by a range of state and territory payments (which vary by jurisdiction). In addition, the Australian Government provides targeted employer incentives for:</w:t>
      </w:r>
    </w:p>
    <w:p w14:paraId="2D4F9474" w14:textId="77777777" w:rsidR="00BD1D88" w:rsidRPr="005F5709" w:rsidDel="00F33D73" w:rsidRDefault="00BD1D88" w:rsidP="00977294">
      <w:pPr>
        <w:pStyle w:val="ListParagraph"/>
        <w:numPr>
          <w:ilvl w:val="0"/>
          <w:numId w:val="15"/>
        </w:numPr>
        <w:spacing w:after="200" w:line="360" w:lineRule="auto"/>
        <w:rPr>
          <w:rFonts w:asciiTheme="minorHAnsi" w:hAnsiTheme="minorHAnsi" w:cstheme="minorHAnsi"/>
        </w:rPr>
      </w:pPr>
      <w:r w:rsidRPr="005F5709">
        <w:rPr>
          <w:rFonts w:asciiTheme="minorHAnsi" w:hAnsiTheme="minorHAnsi" w:cstheme="minorHAnsi"/>
        </w:rPr>
        <w:t>A</w:t>
      </w:r>
      <w:r w:rsidRPr="005F5709" w:rsidDel="00F33D73">
        <w:rPr>
          <w:rFonts w:asciiTheme="minorHAnsi" w:hAnsiTheme="minorHAnsi" w:cstheme="minorHAnsi"/>
        </w:rPr>
        <w:t xml:space="preserve">pprentices with </w:t>
      </w:r>
      <w:r w:rsidRPr="005F5709">
        <w:rPr>
          <w:rFonts w:asciiTheme="minorHAnsi" w:hAnsiTheme="minorHAnsi" w:cstheme="minorHAnsi"/>
        </w:rPr>
        <w:t xml:space="preserve">a </w:t>
      </w:r>
      <w:r w:rsidRPr="005F5709" w:rsidDel="00F33D73">
        <w:rPr>
          <w:rFonts w:asciiTheme="minorHAnsi" w:hAnsiTheme="minorHAnsi" w:cstheme="minorHAnsi"/>
        </w:rPr>
        <w:t>disability;</w:t>
      </w:r>
    </w:p>
    <w:p w14:paraId="60FEF736" w14:textId="77777777" w:rsidR="00BD1D88" w:rsidRPr="005F5709" w:rsidDel="00F33D73" w:rsidRDefault="00BD1D88" w:rsidP="00977294">
      <w:pPr>
        <w:pStyle w:val="ListParagraph"/>
        <w:numPr>
          <w:ilvl w:val="0"/>
          <w:numId w:val="15"/>
        </w:numPr>
        <w:spacing w:after="200" w:line="360" w:lineRule="auto"/>
        <w:rPr>
          <w:rFonts w:asciiTheme="minorHAnsi" w:hAnsiTheme="minorHAnsi" w:cstheme="minorHAnsi"/>
        </w:rPr>
      </w:pPr>
      <w:r w:rsidRPr="005F5709">
        <w:rPr>
          <w:rFonts w:asciiTheme="minorHAnsi" w:hAnsiTheme="minorHAnsi" w:cstheme="minorHAnsi"/>
        </w:rPr>
        <w:t>Australian School-based Apprentices</w:t>
      </w:r>
      <w:r w:rsidRPr="005F5709" w:rsidDel="00F33D73">
        <w:rPr>
          <w:rFonts w:asciiTheme="minorHAnsi" w:hAnsiTheme="minorHAnsi" w:cstheme="minorHAnsi"/>
        </w:rPr>
        <w:t>;</w:t>
      </w:r>
    </w:p>
    <w:p w14:paraId="305EC0FD" w14:textId="77777777" w:rsidR="00BD1D88" w:rsidRPr="005F5709" w:rsidDel="00F33D73" w:rsidRDefault="00BD1D88" w:rsidP="00977294">
      <w:pPr>
        <w:pStyle w:val="ListParagraph"/>
        <w:numPr>
          <w:ilvl w:val="0"/>
          <w:numId w:val="15"/>
        </w:numPr>
        <w:spacing w:after="200" w:line="360" w:lineRule="auto"/>
        <w:rPr>
          <w:rFonts w:asciiTheme="minorHAnsi" w:hAnsiTheme="minorHAnsi" w:cstheme="minorHAnsi"/>
        </w:rPr>
      </w:pPr>
      <w:r w:rsidRPr="005F5709">
        <w:rPr>
          <w:rFonts w:asciiTheme="minorHAnsi" w:hAnsiTheme="minorHAnsi" w:cstheme="minorHAnsi"/>
        </w:rPr>
        <w:t>M</w:t>
      </w:r>
      <w:r w:rsidRPr="005F5709" w:rsidDel="00F33D73">
        <w:rPr>
          <w:rFonts w:asciiTheme="minorHAnsi" w:hAnsiTheme="minorHAnsi" w:cstheme="minorHAnsi"/>
        </w:rPr>
        <w:t>ature-aged workers;</w:t>
      </w:r>
    </w:p>
    <w:p w14:paraId="3E1E72BE" w14:textId="77777777" w:rsidR="00BD1D88" w:rsidRPr="005F5709" w:rsidDel="00F33D73" w:rsidRDefault="00BD1D88" w:rsidP="00977294">
      <w:pPr>
        <w:pStyle w:val="ListParagraph"/>
        <w:numPr>
          <w:ilvl w:val="0"/>
          <w:numId w:val="15"/>
        </w:numPr>
        <w:spacing w:after="200" w:line="360" w:lineRule="auto"/>
        <w:rPr>
          <w:rFonts w:asciiTheme="minorHAnsi" w:hAnsiTheme="minorHAnsi" w:cstheme="minorHAnsi"/>
        </w:rPr>
      </w:pPr>
      <w:r w:rsidRPr="005F5709">
        <w:rPr>
          <w:rFonts w:asciiTheme="minorHAnsi" w:hAnsiTheme="minorHAnsi" w:cstheme="minorHAnsi"/>
        </w:rPr>
        <w:t>Ru</w:t>
      </w:r>
      <w:r w:rsidRPr="005F5709" w:rsidDel="00F33D73">
        <w:rPr>
          <w:rFonts w:asciiTheme="minorHAnsi" w:hAnsiTheme="minorHAnsi" w:cstheme="minorHAnsi"/>
        </w:rPr>
        <w:t>ral and regional skills shortage; and</w:t>
      </w:r>
    </w:p>
    <w:p w14:paraId="3124ABC8" w14:textId="77777777" w:rsidR="00BD1D88" w:rsidRPr="005F5709" w:rsidDel="00F33D73" w:rsidRDefault="00BD1D88" w:rsidP="00977294">
      <w:pPr>
        <w:pStyle w:val="ListParagraph"/>
        <w:numPr>
          <w:ilvl w:val="0"/>
          <w:numId w:val="15"/>
        </w:numPr>
        <w:spacing w:after="200" w:line="360" w:lineRule="auto"/>
        <w:rPr>
          <w:rFonts w:asciiTheme="minorHAnsi" w:hAnsiTheme="minorHAnsi" w:cstheme="minorHAnsi"/>
        </w:rPr>
      </w:pPr>
      <w:r w:rsidRPr="005F5709">
        <w:rPr>
          <w:rFonts w:asciiTheme="minorHAnsi" w:hAnsiTheme="minorHAnsi" w:cstheme="minorHAnsi"/>
        </w:rPr>
        <w:t>A</w:t>
      </w:r>
      <w:r w:rsidRPr="005F5709" w:rsidDel="00F33D73">
        <w:rPr>
          <w:rFonts w:asciiTheme="minorHAnsi" w:hAnsiTheme="minorHAnsi" w:cstheme="minorHAnsi"/>
        </w:rPr>
        <w:t>dult apprentices.</w:t>
      </w:r>
    </w:p>
    <w:p w14:paraId="66DED971" w14:textId="77777777" w:rsidR="00BD1D88" w:rsidRPr="005F5709" w:rsidDel="00F33D73" w:rsidRDefault="00BD1D88" w:rsidP="005D02B6">
      <w:pPr>
        <w:rPr>
          <w:rFonts w:asciiTheme="minorHAnsi" w:eastAsia="Times New Roman" w:hAnsiTheme="minorHAnsi" w:cstheme="minorHAnsi"/>
        </w:rPr>
      </w:pPr>
      <w:r w:rsidRPr="005F5709" w:rsidDel="00F33D73">
        <w:rPr>
          <w:rFonts w:asciiTheme="minorHAnsi" w:eastAsia="Times New Roman" w:hAnsiTheme="minorHAnsi" w:cstheme="minorHAnsi"/>
        </w:rPr>
        <w:t xml:space="preserve">A full list of payments available under the AAIP is available </w:t>
      </w:r>
      <w:r w:rsidRPr="005F5709">
        <w:rPr>
          <w:rFonts w:asciiTheme="minorHAnsi" w:eastAsia="Times New Roman" w:hAnsiTheme="minorHAnsi" w:cstheme="minorHAnsi"/>
        </w:rPr>
        <w:t xml:space="preserve">at the table below. </w:t>
      </w:r>
      <w:r w:rsidRPr="005F5709" w:rsidDel="00F33D73">
        <w:rPr>
          <w:rFonts w:asciiTheme="minorHAnsi" w:eastAsiaTheme="minorEastAsia" w:hAnsiTheme="minorHAnsi" w:cstheme="minorHAnsi"/>
        </w:rPr>
        <w:t xml:space="preserve"> </w:t>
      </w:r>
    </w:p>
    <w:p w14:paraId="0E48B053" w14:textId="77777777" w:rsidR="00BD1D88" w:rsidRPr="005F5709" w:rsidDel="00F33D73" w:rsidRDefault="00BD1D88" w:rsidP="00D20E27">
      <w:pPr>
        <w:pStyle w:val="Heading4"/>
        <w:rPr>
          <w:rFonts w:asciiTheme="minorHAnsi" w:hAnsiTheme="minorHAnsi" w:cstheme="minorHAnsi"/>
        </w:rPr>
      </w:pPr>
      <w:r w:rsidRPr="005F5709" w:rsidDel="00F33D73">
        <w:rPr>
          <w:rFonts w:asciiTheme="minorHAnsi" w:hAnsiTheme="minorHAnsi" w:cstheme="minorHAnsi"/>
        </w:rPr>
        <w:t>Additional Identified Skills Shortage incentive</w:t>
      </w:r>
    </w:p>
    <w:p w14:paraId="15A125B0" w14:textId="77777777" w:rsidR="00BD1D88" w:rsidRPr="005F5709" w:rsidDel="00F33D73" w:rsidRDefault="00BD1D88" w:rsidP="005D02B6">
      <w:pPr>
        <w:rPr>
          <w:rFonts w:asciiTheme="minorHAnsi" w:hAnsiTheme="minorHAnsi" w:cstheme="minorHAnsi"/>
        </w:rPr>
      </w:pPr>
      <w:r w:rsidRPr="005F5709" w:rsidDel="00F33D73">
        <w:rPr>
          <w:rFonts w:asciiTheme="minorHAnsi" w:hAnsiTheme="minorHAnsi" w:cstheme="minorHAnsi"/>
        </w:rPr>
        <w:t xml:space="preserve">In the 2019-20 Budget, the Australian Government committed $156.3 million to establish an AISS incentive payment to boost the supply of skilled workers in ten occupations identified as experiencing national skills shortages </w:t>
      </w:r>
      <w:r w:rsidRPr="005F5709">
        <w:rPr>
          <w:rFonts w:asciiTheme="minorHAnsi" w:hAnsiTheme="minorHAnsi" w:cstheme="minorHAnsi"/>
        </w:rPr>
        <w:t>(</w:t>
      </w:r>
      <w:r w:rsidRPr="005F5709" w:rsidDel="00F33D73">
        <w:rPr>
          <w:rFonts w:asciiTheme="minorHAnsi" w:hAnsiTheme="minorHAnsi" w:cstheme="minorHAnsi"/>
        </w:rPr>
        <w:t xml:space="preserve">AISS occupations). </w:t>
      </w:r>
    </w:p>
    <w:p w14:paraId="622F99FE" w14:textId="77777777" w:rsidR="00BD1D88" w:rsidRPr="005F5709" w:rsidDel="00F33D73" w:rsidRDefault="00BD1D88" w:rsidP="005D02B6">
      <w:pPr>
        <w:rPr>
          <w:rFonts w:asciiTheme="minorHAnsi" w:hAnsiTheme="minorHAnsi" w:cstheme="minorHAnsi"/>
        </w:rPr>
      </w:pPr>
      <w:r w:rsidRPr="005F5709" w:rsidDel="00F33D73">
        <w:rPr>
          <w:rFonts w:asciiTheme="minorHAnsi" w:hAnsiTheme="minorHAnsi" w:cstheme="minorHAnsi"/>
        </w:rPr>
        <w:t xml:space="preserve">Eligible employers receive $2,000 at the 12-month point of the apprenticeship and an additional $2,000 at completion of the apprenticeship. To be eligible for this payment employers must be able to demonstrate that the Australian Apprentice is </w:t>
      </w:r>
      <w:r w:rsidRPr="005F5709">
        <w:rPr>
          <w:rFonts w:asciiTheme="minorHAnsi" w:hAnsiTheme="minorHAnsi" w:cstheme="minorHAnsi"/>
        </w:rPr>
        <w:t xml:space="preserve">in </w:t>
      </w:r>
      <w:r w:rsidRPr="005F5709" w:rsidDel="00F33D73">
        <w:rPr>
          <w:rFonts w:asciiTheme="minorHAnsi" w:hAnsiTheme="minorHAnsi" w:cstheme="minorHAnsi"/>
        </w:rPr>
        <w:t xml:space="preserve">addition to their usual apprentice intake. Apprentices that attract an </w:t>
      </w:r>
      <w:r w:rsidRPr="005F5709">
        <w:rPr>
          <w:rFonts w:asciiTheme="minorHAnsi" w:hAnsiTheme="minorHAnsi" w:cstheme="minorHAnsi"/>
        </w:rPr>
        <w:t>AISS</w:t>
      </w:r>
      <w:r w:rsidRPr="005F5709" w:rsidDel="00F33D73">
        <w:rPr>
          <w:rFonts w:asciiTheme="minorHAnsi" w:hAnsiTheme="minorHAnsi" w:cstheme="minorHAnsi"/>
        </w:rPr>
        <w:t xml:space="preserve"> payment for their employer must also be new to the business (not </w:t>
      </w:r>
      <w:r w:rsidRPr="005F5709">
        <w:rPr>
          <w:rFonts w:asciiTheme="minorHAnsi" w:hAnsiTheme="minorHAnsi" w:cstheme="minorHAnsi"/>
        </w:rPr>
        <w:t xml:space="preserve">already having </w:t>
      </w:r>
      <w:r w:rsidRPr="005F5709" w:rsidDel="00F33D73">
        <w:rPr>
          <w:rFonts w:asciiTheme="minorHAnsi" w:hAnsiTheme="minorHAnsi" w:cstheme="minorHAnsi"/>
        </w:rPr>
        <w:t xml:space="preserve">worked for their employer for more than three months full-time equivalent) and undertaking a qualification leading to one of the ten </w:t>
      </w:r>
      <w:r w:rsidRPr="005F5709">
        <w:rPr>
          <w:rFonts w:asciiTheme="minorHAnsi" w:hAnsiTheme="minorHAnsi" w:cstheme="minorHAnsi"/>
        </w:rPr>
        <w:t xml:space="preserve">AISS </w:t>
      </w:r>
      <w:r w:rsidRPr="005F5709" w:rsidDel="00F33D73">
        <w:rPr>
          <w:rFonts w:asciiTheme="minorHAnsi" w:hAnsiTheme="minorHAnsi" w:cstheme="minorHAnsi"/>
        </w:rPr>
        <w:t>occupations.</w:t>
      </w:r>
    </w:p>
    <w:p w14:paraId="573382EF" w14:textId="77777777" w:rsidR="00BD1D88" w:rsidRPr="005F5709" w:rsidDel="00F33D73" w:rsidRDefault="00BD1D88" w:rsidP="005D02B6">
      <w:pPr>
        <w:rPr>
          <w:rFonts w:asciiTheme="minorHAnsi" w:hAnsiTheme="minorHAnsi" w:cstheme="minorHAnsi"/>
        </w:rPr>
      </w:pPr>
      <w:r w:rsidRPr="005F5709">
        <w:rPr>
          <w:rFonts w:asciiTheme="minorHAnsi" w:hAnsiTheme="minorHAnsi" w:cstheme="minorHAnsi"/>
        </w:rPr>
        <w:t>AISS</w:t>
      </w:r>
      <w:r w:rsidRPr="005F5709" w:rsidDel="00F33D73">
        <w:rPr>
          <w:rFonts w:asciiTheme="minorHAnsi" w:hAnsiTheme="minorHAnsi" w:cstheme="minorHAnsi"/>
        </w:rPr>
        <w:t xml:space="preserve"> incentive also provides payments for apprentices – see below under </w:t>
      </w:r>
      <w:r w:rsidRPr="005F5709" w:rsidDel="00F33D73">
        <w:rPr>
          <w:rFonts w:asciiTheme="minorHAnsi" w:hAnsiTheme="minorHAnsi" w:cstheme="minorHAnsi"/>
          <w:i/>
        </w:rPr>
        <w:t>Support available for Australian Apprentices</w:t>
      </w:r>
      <w:r w:rsidRPr="005F5709" w:rsidDel="00F33D73">
        <w:rPr>
          <w:rFonts w:asciiTheme="minorHAnsi" w:hAnsiTheme="minorHAnsi" w:cstheme="minorHAnsi"/>
        </w:rPr>
        <w:t>.</w:t>
      </w:r>
    </w:p>
    <w:p w14:paraId="6E32E69C" w14:textId="77777777" w:rsidR="00BD1D88" w:rsidRPr="005F5709" w:rsidDel="00F33D73" w:rsidRDefault="00BD1D88" w:rsidP="005D02B6">
      <w:pPr>
        <w:rPr>
          <w:rFonts w:asciiTheme="minorHAnsi" w:eastAsia="Times New Roman" w:hAnsiTheme="minorHAnsi" w:cstheme="minorHAnsi"/>
        </w:rPr>
      </w:pPr>
      <w:r w:rsidRPr="005F5709">
        <w:rPr>
          <w:rFonts w:asciiTheme="minorHAnsi" w:hAnsiTheme="minorHAnsi" w:cstheme="minorHAnsi"/>
        </w:rPr>
        <w:t>AISS</w:t>
      </w:r>
      <w:r w:rsidRPr="005F5709" w:rsidDel="00F33D73">
        <w:rPr>
          <w:rFonts w:asciiTheme="minorHAnsi" w:hAnsiTheme="minorHAnsi" w:cstheme="minorHAnsi"/>
        </w:rPr>
        <w:t xml:space="preserve"> </w:t>
      </w:r>
      <w:r w:rsidRPr="005F5709" w:rsidDel="00F33D73">
        <w:rPr>
          <w:rFonts w:asciiTheme="minorHAnsi" w:eastAsia="Times New Roman" w:hAnsiTheme="minorHAnsi" w:cstheme="minorHAnsi"/>
        </w:rPr>
        <w:t>incentive payments are additional to any payments the apprentice or employer may be eligible for under Australian Government programs.</w:t>
      </w:r>
    </w:p>
    <w:p w14:paraId="31C5DC12" w14:textId="77777777" w:rsidR="00BD1D88" w:rsidRPr="005F5709" w:rsidDel="00F33D73" w:rsidRDefault="00BD1D88" w:rsidP="00E811D8">
      <w:pPr>
        <w:pStyle w:val="Heading4"/>
        <w:rPr>
          <w:rFonts w:asciiTheme="minorHAnsi" w:hAnsiTheme="minorHAnsi" w:cstheme="minorHAnsi"/>
        </w:rPr>
      </w:pPr>
      <w:r w:rsidRPr="005F5709" w:rsidDel="00F33D73">
        <w:rPr>
          <w:rFonts w:asciiTheme="minorHAnsi" w:hAnsiTheme="minorHAnsi" w:cstheme="minorHAnsi"/>
        </w:rPr>
        <w:t>Australian Apprenticeships Wage Subsidy trial</w:t>
      </w:r>
    </w:p>
    <w:p w14:paraId="0E985983" w14:textId="77777777" w:rsidR="00BD1D88" w:rsidRPr="005F5709" w:rsidDel="00F33D73" w:rsidRDefault="00BD1D88" w:rsidP="005D02B6">
      <w:pPr>
        <w:rPr>
          <w:rFonts w:asciiTheme="minorHAnsi" w:eastAsia="Times New Roman" w:hAnsiTheme="minorHAnsi" w:cstheme="minorHAnsi"/>
        </w:rPr>
      </w:pPr>
      <w:r w:rsidRPr="005F5709" w:rsidDel="00F33D73">
        <w:rPr>
          <w:rFonts w:asciiTheme="minorHAnsi" w:hAnsiTheme="minorHAnsi" w:cstheme="minorHAnsi"/>
        </w:rPr>
        <w:t xml:space="preserve">The Australian Apprenticeships Wage Subsidy (AAWS) trial which commenced in 2019, was capped at 3,260 new Australian Apprentices employed in rural and regional areas and was </w:t>
      </w:r>
      <w:r w:rsidRPr="005F5709" w:rsidDel="00F33D73">
        <w:rPr>
          <w:rFonts w:asciiTheme="minorHAnsi" w:eastAsia="Times New Roman" w:hAnsiTheme="minorHAnsi" w:cstheme="minorHAnsi"/>
        </w:rPr>
        <w:t xml:space="preserve">limited to occupations on the </w:t>
      </w:r>
      <w:r w:rsidRPr="005F5709">
        <w:rPr>
          <w:rFonts w:asciiTheme="minorHAnsi" w:eastAsia="Times New Roman" w:hAnsiTheme="minorHAnsi" w:cstheme="minorHAnsi"/>
        </w:rPr>
        <w:t>NSNL</w:t>
      </w:r>
      <w:r w:rsidRPr="005F5709" w:rsidDel="00F33D73">
        <w:rPr>
          <w:rFonts w:asciiTheme="minorHAnsi" w:eastAsia="Times New Roman" w:hAnsiTheme="minorHAnsi" w:cstheme="minorHAnsi"/>
        </w:rPr>
        <w:t xml:space="preserve">. With two phases in the trial, to be eligible </w:t>
      </w:r>
      <w:r w:rsidRPr="005F5709" w:rsidDel="00F33D73">
        <w:rPr>
          <w:rFonts w:asciiTheme="minorHAnsi" w:hAnsiTheme="minorHAnsi" w:cstheme="minorHAnsi"/>
        </w:rPr>
        <w:t xml:space="preserve">employers needed </w:t>
      </w:r>
      <w:r w:rsidRPr="005F5709">
        <w:rPr>
          <w:rFonts w:asciiTheme="minorHAnsi" w:hAnsiTheme="minorHAnsi" w:cstheme="minorHAnsi"/>
        </w:rPr>
        <w:t>to have</w:t>
      </w:r>
      <w:r w:rsidRPr="005F5709" w:rsidDel="00F33D73">
        <w:rPr>
          <w:rFonts w:asciiTheme="minorHAnsi" w:hAnsiTheme="minorHAnsi" w:cstheme="minorHAnsi"/>
        </w:rPr>
        <w:t xml:space="preserve"> signed-up and commenced their Australian Apprentices from 1 January 2019 (Phase 1) or from 1 July 2019 (Phase 2). Take up of places on the </w:t>
      </w:r>
      <w:r w:rsidRPr="005F5709">
        <w:rPr>
          <w:rFonts w:asciiTheme="minorHAnsi" w:hAnsiTheme="minorHAnsi" w:cstheme="minorHAnsi"/>
        </w:rPr>
        <w:t>trial</w:t>
      </w:r>
      <w:r w:rsidRPr="005F5709" w:rsidDel="00F33D73">
        <w:rPr>
          <w:rFonts w:asciiTheme="minorHAnsi" w:hAnsiTheme="minorHAnsi" w:cstheme="minorHAnsi"/>
        </w:rPr>
        <w:t xml:space="preserve"> was rapid, and</w:t>
      </w:r>
      <w:r w:rsidRPr="005F5709" w:rsidDel="00F33D73">
        <w:rPr>
          <w:rFonts w:asciiTheme="minorHAnsi" w:eastAsia="Times New Roman" w:hAnsiTheme="minorHAnsi" w:cstheme="minorHAnsi"/>
        </w:rPr>
        <w:t xml:space="preserve"> the trial is fully subscribed. </w:t>
      </w:r>
    </w:p>
    <w:p w14:paraId="05AEA832" w14:textId="77777777" w:rsidR="00BD1D88" w:rsidRPr="005F5709" w:rsidDel="00F33D73" w:rsidRDefault="00BD1D88" w:rsidP="005D02B6">
      <w:pPr>
        <w:rPr>
          <w:rFonts w:asciiTheme="minorHAnsi" w:eastAsia="Times New Roman" w:hAnsiTheme="minorHAnsi" w:cstheme="minorHAnsi"/>
          <w:u w:val="single"/>
        </w:rPr>
      </w:pPr>
      <w:r w:rsidRPr="005F5709" w:rsidDel="00F33D73">
        <w:rPr>
          <w:rFonts w:asciiTheme="minorHAnsi" w:eastAsia="Times New Roman" w:hAnsiTheme="minorHAnsi" w:cstheme="minorHAnsi"/>
        </w:rPr>
        <w:lastRenderedPageBreak/>
        <w:t xml:space="preserve">AAWS wage subsidy </w:t>
      </w:r>
      <w:r w:rsidRPr="005F5709" w:rsidDel="00F33D73">
        <w:rPr>
          <w:rFonts w:asciiTheme="minorHAnsi" w:hAnsiTheme="minorHAnsi" w:cstheme="minorHAnsi"/>
        </w:rPr>
        <w:t>is based on minimum award wages under which an apprentice is employed for the first three years as follows:</w:t>
      </w:r>
    </w:p>
    <w:p w14:paraId="18774315" w14:textId="77777777" w:rsidR="00BD1D88" w:rsidRPr="005F5709" w:rsidDel="00F33D73" w:rsidRDefault="00BD1D88" w:rsidP="00977294">
      <w:pPr>
        <w:pStyle w:val="ListParagraph"/>
        <w:numPr>
          <w:ilvl w:val="0"/>
          <w:numId w:val="17"/>
        </w:numPr>
        <w:spacing w:after="200" w:line="360" w:lineRule="auto"/>
        <w:rPr>
          <w:rFonts w:asciiTheme="minorHAnsi" w:hAnsiTheme="minorHAnsi" w:cstheme="minorHAnsi"/>
        </w:rPr>
      </w:pPr>
      <w:r w:rsidRPr="005F5709" w:rsidDel="00F33D73">
        <w:rPr>
          <w:rFonts w:asciiTheme="minorHAnsi" w:hAnsiTheme="minorHAnsi" w:cstheme="minorHAnsi"/>
        </w:rPr>
        <w:t xml:space="preserve">75 per cent for the first year; </w:t>
      </w:r>
    </w:p>
    <w:p w14:paraId="325549F5" w14:textId="77777777" w:rsidR="00BD1D88" w:rsidRPr="005F5709" w:rsidDel="00F33D73" w:rsidRDefault="00BD1D88" w:rsidP="00977294">
      <w:pPr>
        <w:pStyle w:val="ListParagraph"/>
        <w:numPr>
          <w:ilvl w:val="0"/>
          <w:numId w:val="17"/>
        </w:numPr>
        <w:spacing w:after="200" w:line="360" w:lineRule="auto"/>
        <w:rPr>
          <w:rFonts w:asciiTheme="minorHAnsi" w:hAnsiTheme="minorHAnsi" w:cstheme="minorHAnsi"/>
        </w:rPr>
      </w:pPr>
      <w:r w:rsidRPr="005F5709" w:rsidDel="00F33D73">
        <w:rPr>
          <w:rFonts w:asciiTheme="minorHAnsi" w:hAnsiTheme="minorHAnsi" w:cstheme="minorHAnsi"/>
        </w:rPr>
        <w:t>50 per cent for the second year; and</w:t>
      </w:r>
    </w:p>
    <w:p w14:paraId="0D0300DE" w14:textId="77777777" w:rsidR="00BD1D88" w:rsidRPr="005F5709" w:rsidDel="00F33D73" w:rsidRDefault="00BD1D88" w:rsidP="00977294">
      <w:pPr>
        <w:pStyle w:val="ListParagraph"/>
        <w:numPr>
          <w:ilvl w:val="0"/>
          <w:numId w:val="17"/>
        </w:numPr>
        <w:spacing w:after="200" w:line="360" w:lineRule="auto"/>
        <w:rPr>
          <w:rFonts w:asciiTheme="minorHAnsi" w:hAnsiTheme="minorHAnsi" w:cstheme="minorHAnsi"/>
        </w:rPr>
      </w:pPr>
      <w:r w:rsidRPr="005F5709" w:rsidDel="00F33D73">
        <w:rPr>
          <w:rFonts w:asciiTheme="minorHAnsi" w:hAnsiTheme="minorHAnsi" w:cstheme="minorHAnsi"/>
        </w:rPr>
        <w:t>25 per cent in the third year of the apprenticeship.</w:t>
      </w:r>
    </w:p>
    <w:p w14:paraId="4744F55A" w14:textId="77777777" w:rsidR="00BD1D88" w:rsidRPr="005F5709" w:rsidDel="00F33D73" w:rsidRDefault="00BD1D88" w:rsidP="00E811D8">
      <w:pPr>
        <w:pStyle w:val="Heading4"/>
        <w:rPr>
          <w:rFonts w:asciiTheme="minorHAnsi" w:hAnsiTheme="minorHAnsi" w:cstheme="minorHAnsi"/>
        </w:rPr>
      </w:pPr>
      <w:r w:rsidRPr="005F5709" w:rsidDel="00F33D73">
        <w:rPr>
          <w:rFonts w:asciiTheme="minorHAnsi" w:hAnsiTheme="minorHAnsi" w:cstheme="minorHAnsi"/>
        </w:rPr>
        <w:t xml:space="preserve">Disabled Australian Apprentice Wage Support Program </w:t>
      </w:r>
    </w:p>
    <w:p w14:paraId="3B855A15" w14:textId="77777777" w:rsidR="00BD1D88" w:rsidRPr="005F5709" w:rsidDel="00F33D73" w:rsidRDefault="00BD1D88" w:rsidP="005D02B6">
      <w:pPr>
        <w:rPr>
          <w:rFonts w:asciiTheme="minorHAnsi" w:hAnsiTheme="minorHAnsi" w:cstheme="minorHAnsi"/>
        </w:rPr>
      </w:pPr>
      <w:r w:rsidRPr="005F5709" w:rsidDel="00F33D73">
        <w:rPr>
          <w:rFonts w:asciiTheme="minorHAnsi" w:hAnsiTheme="minorHAnsi" w:cstheme="minorHAnsi"/>
        </w:rPr>
        <w:t xml:space="preserve">Under DAAWS, employers receive a $104.30 wage subsidy per week per full-time apprentice or trainee with </w:t>
      </w:r>
      <w:r w:rsidRPr="005F5709">
        <w:rPr>
          <w:rFonts w:asciiTheme="minorHAnsi" w:hAnsiTheme="minorHAnsi" w:cstheme="minorHAnsi"/>
        </w:rPr>
        <w:t xml:space="preserve">a </w:t>
      </w:r>
      <w:r w:rsidRPr="005F5709" w:rsidDel="00F33D73">
        <w:rPr>
          <w:rFonts w:asciiTheme="minorHAnsi" w:hAnsiTheme="minorHAnsi" w:cstheme="minorHAnsi"/>
        </w:rPr>
        <w:t xml:space="preserve">disability (pro-rata for part-time apprentices). Assistance is also provided to RTOs at a rate of $38.50 per hour (up to $5,500 per eligible apprentice or trainee per annum) for tutorial, mentoring and interpreter services for apprentices experiencing difficulties with the off-the-job component of their training. </w:t>
      </w:r>
    </w:p>
    <w:p w14:paraId="05DDB00C" w14:textId="77777777" w:rsidR="00BD1D88" w:rsidRPr="005F5709" w:rsidDel="00F33D73" w:rsidRDefault="00BD1D88" w:rsidP="00E811D8">
      <w:pPr>
        <w:pStyle w:val="Heading4"/>
        <w:rPr>
          <w:rFonts w:asciiTheme="minorHAnsi" w:hAnsiTheme="minorHAnsi" w:cstheme="minorHAnsi"/>
        </w:rPr>
      </w:pPr>
      <w:r w:rsidRPr="005F5709" w:rsidDel="00F33D73">
        <w:rPr>
          <w:rFonts w:asciiTheme="minorHAnsi" w:hAnsiTheme="minorHAnsi" w:cstheme="minorHAnsi"/>
        </w:rPr>
        <w:t xml:space="preserve">COVID-19 economic response measures </w:t>
      </w:r>
    </w:p>
    <w:p w14:paraId="24B77CBA" w14:textId="77777777" w:rsidR="00BD1D88" w:rsidRPr="005F5709" w:rsidDel="00F33D73" w:rsidRDefault="00BD1D88" w:rsidP="005D02B6">
      <w:pPr>
        <w:spacing w:after="120"/>
        <w:rPr>
          <w:rFonts w:asciiTheme="minorHAnsi" w:hAnsiTheme="minorHAnsi" w:cstheme="minorHAnsi"/>
        </w:rPr>
      </w:pPr>
      <w:r w:rsidRPr="005F5709" w:rsidDel="00F33D73">
        <w:rPr>
          <w:rFonts w:asciiTheme="minorHAnsi" w:hAnsiTheme="minorHAnsi" w:cstheme="minorHAnsi"/>
        </w:rPr>
        <w:t xml:space="preserve">The </w:t>
      </w:r>
      <w:r w:rsidRPr="005F5709">
        <w:rPr>
          <w:rFonts w:asciiTheme="minorHAnsi" w:hAnsiTheme="minorHAnsi" w:cstheme="minorHAnsi"/>
        </w:rPr>
        <w:t>SAT</w:t>
      </w:r>
      <w:r w:rsidRPr="005F5709" w:rsidDel="00F33D73">
        <w:rPr>
          <w:rFonts w:asciiTheme="minorHAnsi" w:hAnsiTheme="minorHAnsi" w:cstheme="minorHAnsi"/>
        </w:rPr>
        <w:t xml:space="preserve"> and BAC wage subsidies were introduced in 2020 as short-term measures to support and protect apprenticeships during the COVID-19 pandemic. These wage subsidies provide support for 50 per cent of apprentice or trainee wages (up to $7,000 per quarter), paid to employers quarterly in arrears. These interventions recognised that apprentices and trainees are often the first to lose their job during times of economic downturn and that many businesses are reluctant to take on new and/or inexperienced workers during uncertain economic situations.</w:t>
      </w:r>
    </w:p>
    <w:p w14:paraId="2E38A02C" w14:textId="77777777" w:rsidR="00BD1D88" w:rsidRPr="005F5709" w:rsidDel="00F33D73" w:rsidRDefault="00BD1D88" w:rsidP="005D02B6">
      <w:pPr>
        <w:spacing w:after="120"/>
        <w:rPr>
          <w:rFonts w:asciiTheme="minorHAnsi" w:hAnsiTheme="minorHAnsi" w:cstheme="minorHAnsi"/>
        </w:rPr>
      </w:pPr>
      <w:r w:rsidRPr="005F5709" w:rsidDel="00F33D73">
        <w:rPr>
          <w:rFonts w:asciiTheme="minorHAnsi" w:hAnsiTheme="minorHAnsi" w:cstheme="minorHAnsi"/>
        </w:rPr>
        <w:t xml:space="preserve">Introduced in </w:t>
      </w:r>
      <w:r w:rsidRPr="005F5709">
        <w:rPr>
          <w:rFonts w:asciiTheme="minorHAnsi" w:hAnsiTheme="minorHAnsi" w:cstheme="minorHAnsi"/>
        </w:rPr>
        <w:t>March</w:t>
      </w:r>
      <w:r w:rsidRPr="005F5709" w:rsidDel="00F33D73">
        <w:rPr>
          <w:rFonts w:asciiTheme="minorHAnsi" w:hAnsiTheme="minorHAnsi" w:cstheme="minorHAnsi"/>
        </w:rPr>
        <w:t xml:space="preserve"> 2020, the SAT is a retention measure designed to shield apprentices and trainees from the economic fallout of the COVID-19 pandemic. The estimated $1.4 billion expended on SAT contributed to retaining around 134,500 apprentices since its introduction. Early program data shows apprentices whose employers attracted the SAT wage subsidy were around 65 per cent more likely to complete and were twice as likely to resume their apprenticeship or traineeship from suspension than those eligible for SAT but who did not claim it.</w:t>
      </w:r>
      <w:r w:rsidRPr="005F5709">
        <w:rPr>
          <w:rStyle w:val="FootnoteReference"/>
          <w:rFonts w:asciiTheme="minorHAnsi" w:hAnsiTheme="minorHAnsi" w:cstheme="minorHAnsi"/>
        </w:rPr>
        <w:footnoteReference w:id="70"/>
      </w:r>
      <w:r w:rsidRPr="005F5709" w:rsidDel="00F33D73">
        <w:rPr>
          <w:rFonts w:asciiTheme="minorHAnsi" w:hAnsiTheme="minorHAnsi" w:cstheme="minorHAnsi"/>
        </w:rPr>
        <w:t xml:space="preserve"> The SAT ceased on 31 March 2021.</w:t>
      </w:r>
    </w:p>
    <w:p w14:paraId="4D657F17" w14:textId="77777777" w:rsidR="00BD1D88" w:rsidRPr="005F5709" w:rsidDel="00F33D73" w:rsidRDefault="00BD1D88" w:rsidP="005D02B6">
      <w:pPr>
        <w:spacing w:after="120"/>
        <w:rPr>
          <w:rFonts w:asciiTheme="minorHAnsi" w:hAnsiTheme="minorHAnsi" w:cstheme="minorHAnsi"/>
        </w:rPr>
      </w:pPr>
      <w:r w:rsidRPr="005F5709" w:rsidDel="00F33D73">
        <w:rPr>
          <w:rFonts w:asciiTheme="minorHAnsi" w:hAnsiTheme="minorHAnsi" w:cstheme="minorHAnsi"/>
        </w:rPr>
        <w:t xml:space="preserve">Announced in October 2020, the BAC wage subsidy is targeted at encouraging apprenticeship commencements during the COVID-19 economic recovery period and seeks to create apprenticeship pathways and new opportunities for school leavers, job seekers and those looking to change careers. The BAC is a broad-based wage subsidy available to apprentices and trainees undertaking Certificate II or higher qualifications in both trade and non-trade areas and can be accessed by employers taking on new workers or seeking to reskill and upskill their existing workforce. </w:t>
      </w:r>
    </w:p>
    <w:p w14:paraId="49C97DA8" w14:textId="77777777" w:rsidR="00BD1D88" w:rsidRPr="005F5709" w:rsidDel="00F33D73" w:rsidRDefault="00BD1D88" w:rsidP="005D02B6">
      <w:pPr>
        <w:spacing w:after="120"/>
        <w:rPr>
          <w:rFonts w:asciiTheme="minorHAnsi" w:hAnsiTheme="minorHAnsi" w:cstheme="minorHAnsi"/>
        </w:rPr>
      </w:pPr>
      <w:r w:rsidRPr="005F5709" w:rsidDel="00F33D73">
        <w:rPr>
          <w:rFonts w:asciiTheme="minorHAnsi" w:hAnsiTheme="minorHAnsi" w:cstheme="minorHAnsi"/>
        </w:rPr>
        <w:t>Since the introduction of the BAC in October 2020, the number of Australian Apprenticeship commencements has increased significantly - in the first 3 months of the BAC, commencements more than doubled (71,335 commencements compared to 28,705 October to December 2019)</w:t>
      </w:r>
      <w:r w:rsidRPr="005F5709" w:rsidDel="00F33D73">
        <w:rPr>
          <w:rStyle w:val="FootnoteReference"/>
          <w:rFonts w:asciiTheme="minorHAnsi" w:hAnsiTheme="minorHAnsi" w:cstheme="minorHAnsi"/>
        </w:rPr>
        <w:footnoteReference w:id="71"/>
      </w:r>
      <w:r w:rsidRPr="005F5709" w:rsidDel="00F33D73">
        <w:rPr>
          <w:rFonts w:asciiTheme="minorHAnsi" w:hAnsiTheme="minorHAnsi" w:cstheme="minorHAnsi"/>
        </w:rPr>
        <w:t>.  In 2021 the program continu</w:t>
      </w:r>
      <w:r w:rsidRPr="005F5709">
        <w:rPr>
          <w:rFonts w:asciiTheme="minorHAnsi" w:hAnsiTheme="minorHAnsi" w:cstheme="minorHAnsi"/>
        </w:rPr>
        <w:t>ed</w:t>
      </w:r>
      <w:r w:rsidRPr="005F5709" w:rsidDel="00F33D73">
        <w:rPr>
          <w:rFonts w:asciiTheme="minorHAnsi" w:hAnsiTheme="minorHAnsi" w:cstheme="minorHAnsi"/>
        </w:rPr>
        <w:t xml:space="preserve"> to support an increase in </w:t>
      </w:r>
      <w:r w:rsidRPr="005F5709" w:rsidDel="00F33D73">
        <w:rPr>
          <w:rFonts w:asciiTheme="minorHAnsi" w:hAnsiTheme="minorHAnsi" w:cstheme="minorHAnsi"/>
        </w:rPr>
        <w:lastRenderedPageBreak/>
        <w:t>commencements. The most recent NCVER report on Australian Apprentices and Trainees shows a 59.5 per cent increase in commencements for the 12-month period ending 30 June 2021 when compared to the previous year.</w:t>
      </w:r>
      <w:r w:rsidRPr="005F5709" w:rsidDel="00F33D73">
        <w:rPr>
          <w:rStyle w:val="FootnoteReference"/>
          <w:rFonts w:asciiTheme="minorHAnsi" w:hAnsiTheme="minorHAnsi" w:cstheme="minorHAnsi"/>
        </w:rPr>
        <w:footnoteReference w:id="72"/>
      </w:r>
      <w:r w:rsidRPr="005F5709" w:rsidDel="00F33D73">
        <w:rPr>
          <w:rFonts w:asciiTheme="minorHAnsi" w:hAnsiTheme="minorHAnsi" w:cstheme="minorHAnsi"/>
        </w:rPr>
        <w:t xml:space="preserve"> The BAC will close to new commencements on 31 March 2022. </w:t>
      </w:r>
    </w:p>
    <w:p w14:paraId="51E669E0" w14:textId="77777777" w:rsidR="00BD1D88" w:rsidRPr="005F5709" w:rsidDel="00F33D73" w:rsidRDefault="00BD1D88" w:rsidP="00E811D8">
      <w:pPr>
        <w:pStyle w:val="Heading4"/>
        <w:rPr>
          <w:rFonts w:asciiTheme="minorHAnsi" w:hAnsiTheme="minorHAnsi" w:cstheme="minorHAnsi"/>
        </w:rPr>
      </w:pPr>
      <w:r w:rsidRPr="005F5709" w:rsidDel="00F33D73">
        <w:rPr>
          <w:rFonts w:asciiTheme="minorHAnsi" w:hAnsiTheme="minorHAnsi" w:cstheme="minorHAnsi"/>
        </w:rPr>
        <w:t>Completing Apprenticeship Commencements</w:t>
      </w:r>
    </w:p>
    <w:p w14:paraId="0F789A08" w14:textId="77777777" w:rsidR="00BD1D88" w:rsidRPr="005F5709" w:rsidDel="00F33D73" w:rsidRDefault="00BD1D88" w:rsidP="005D02B6">
      <w:pPr>
        <w:rPr>
          <w:rFonts w:asciiTheme="minorHAnsi" w:hAnsiTheme="minorHAnsi" w:cstheme="minorHAnsi"/>
        </w:rPr>
      </w:pPr>
      <w:r w:rsidRPr="005F5709" w:rsidDel="00F33D73">
        <w:rPr>
          <w:rFonts w:asciiTheme="minorHAnsi" w:hAnsiTheme="minorHAnsi" w:cstheme="minorHAnsi"/>
        </w:rPr>
        <w:t xml:space="preserve">In October 2021, the </w:t>
      </w:r>
      <w:r w:rsidRPr="005F5709">
        <w:rPr>
          <w:rFonts w:asciiTheme="minorHAnsi" w:hAnsiTheme="minorHAnsi" w:cstheme="minorHAnsi"/>
        </w:rPr>
        <w:t>Australian Government</w:t>
      </w:r>
      <w:r w:rsidRPr="005F5709" w:rsidDel="00F33D73">
        <w:rPr>
          <w:rFonts w:asciiTheme="minorHAnsi" w:hAnsiTheme="minorHAnsi" w:cstheme="minorHAnsi"/>
        </w:rPr>
        <w:t xml:space="preserve"> announced the CAC wage subsidy to ease the transition for all BAC eligible employers by providing transitional support for the second and third year of an Australian Apprenticeship.</w:t>
      </w:r>
    </w:p>
    <w:p w14:paraId="20B9EEB6" w14:textId="77777777" w:rsidR="00BD1D88" w:rsidRPr="005F5709" w:rsidDel="00F33D73" w:rsidRDefault="00BD1D88" w:rsidP="005D02B6">
      <w:pPr>
        <w:rPr>
          <w:rFonts w:asciiTheme="minorHAnsi" w:hAnsiTheme="minorHAnsi" w:cstheme="minorHAnsi"/>
        </w:rPr>
      </w:pPr>
      <w:r w:rsidRPr="005F5709" w:rsidDel="00F33D73">
        <w:rPr>
          <w:rFonts w:asciiTheme="minorHAnsi" w:hAnsiTheme="minorHAnsi" w:cstheme="minorHAnsi"/>
        </w:rPr>
        <w:t xml:space="preserve">Under this measure, eligible employers will receive a wage subsidy of </w:t>
      </w:r>
      <w:r w:rsidRPr="005F5709">
        <w:rPr>
          <w:rFonts w:asciiTheme="minorHAnsi" w:hAnsiTheme="minorHAnsi" w:cstheme="minorHAnsi"/>
        </w:rPr>
        <w:t>10</w:t>
      </w:r>
      <w:r w:rsidRPr="005F5709" w:rsidDel="00F33D73">
        <w:rPr>
          <w:rFonts w:asciiTheme="minorHAnsi" w:hAnsiTheme="minorHAnsi" w:cstheme="minorHAnsi"/>
        </w:rPr>
        <w:t xml:space="preserve"> per cent of wages paid to an eligible apprentice or trainee in the second year of their apprenticeship, to a maximum of $1,500 per quarter, per apprentice. In the third year, eligible employers will also receive a wage subsidy of five per cent of wages paid to an eligible apprentice or trainee to a maximum of $750 per quarter, per apprentice. </w:t>
      </w:r>
    </w:p>
    <w:p w14:paraId="180792BD" w14:textId="77777777" w:rsidR="00BD1D88" w:rsidRPr="005F5709" w:rsidDel="00F33D73" w:rsidRDefault="00BD1D88" w:rsidP="00E811D8">
      <w:pPr>
        <w:pStyle w:val="Heading3"/>
      </w:pPr>
      <w:bookmarkStart w:id="146" w:name="_Toc113022246"/>
      <w:r w:rsidRPr="005F5709" w:rsidDel="00F33D73">
        <w:t xml:space="preserve">Support available for apprentices and </w:t>
      </w:r>
      <w:proofErr w:type="gramStart"/>
      <w:r w:rsidRPr="005F5709" w:rsidDel="00F33D73">
        <w:t>trainees</w:t>
      </w:r>
      <w:bookmarkEnd w:id="146"/>
      <w:proofErr w:type="gramEnd"/>
    </w:p>
    <w:p w14:paraId="75950F3C" w14:textId="77777777" w:rsidR="00BD1D88" w:rsidRPr="005F5709" w:rsidDel="00F33D73" w:rsidRDefault="00BD1D88" w:rsidP="00E811D8">
      <w:pPr>
        <w:pStyle w:val="Heading4"/>
        <w:rPr>
          <w:rFonts w:asciiTheme="minorHAnsi" w:hAnsiTheme="minorHAnsi" w:cstheme="minorHAnsi"/>
        </w:rPr>
      </w:pPr>
      <w:r w:rsidRPr="005F5709" w:rsidDel="00F33D73">
        <w:rPr>
          <w:rFonts w:asciiTheme="minorHAnsi" w:hAnsiTheme="minorHAnsi" w:cstheme="minorHAnsi"/>
        </w:rPr>
        <w:t xml:space="preserve">Living Away From Home Allowance </w:t>
      </w:r>
    </w:p>
    <w:p w14:paraId="727661F0" w14:textId="77777777" w:rsidR="00BD1D88" w:rsidRPr="005F5709" w:rsidDel="00F33D73" w:rsidRDefault="00BD1D88" w:rsidP="005D02B6">
      <w:pPr>
        <w:rPr>
          <w:rFonts w:asciiTheme="minorHAnsi" w:eastAsia="Times New Roman" w:hAnsiTheme="minorHAnsi" w:cstheme="minorHAnsi"/>
        </w:rPr>
      </w:pPr>
      <w:r w:rsidRPr="005F5709" w:rsidDel="00F33D73">
        <w:rPr>
          <w:rFonts w:asciiTheme="minorHAnsi" w:eastAsia="Times New Roman" w:hAnsiTheme="minorHAnsi" w:cstheme="minorHAnsi"/>
        </w:rPr>
        <w:t xml:space="preserve">LAFHA is a tax exempt, weekly allowance payable to Australian Apprentices who must move away from their parents’ or legal guardians’ home for the first time, or travel significant distances to take up or retain an Australian Apprenticeship. Currently, eligible recipients can claim payments ranging from $77.17 per week in their first year, to $25 per week in the third year. LAFHA is also available to Australian Apprentices who are homeless. </w:t>
      </w:r>
    </w:p>
    <w:p w14:paraId="429818D1" w14:textId="77777777" w:rsidR="00BD1D88" w:rsidRPr="005F5709" w:rsidDel="00F33D73" w:rsidRDefault="00BD1D88" w:rsidP="00E811D8">
      <w:pPr>
        <w:pStyle w:val="Heading4"/>
        <w:rPr>
          <w:rFonts w:asciiTheme="minorHAnsi" w:hAnsiTheme="minorHAnsi" w:cstheme="minorHAnsi"/>
        </w:rPr>
      </w:pPr>
      <w:r w:rsidRPr="005F5709" w:rsidDel="00F33D73">
        <w:rPr>
          <w:rFonts w:asciiTheme="minorHAnsi" w:hAnsiTheme="minorHAnsi" w:cstheme="minorHAnsi"/>
        </w:rPr>
        <w:t>Additional Identified Skills Shortage Payment for Apprentices</w:t>
      </w:r>
    </w:p>
    <w:p w14:paraId="5FFCE1AA" w14:textId="77777777" w:rsidR="00BD1D88" w:rsidRPr="005F5709" w:rsidDel="00F33D73" w:rsidRDefault="00BD1D88" w:rsidP="005D02B6">
      <w:pPr>
        <w:rPr>
          <w:rFonts w:asciiTheme="minorHAnsi" w:hAnsiTheme="minorHAnsi" w:cstheme="minorHAnsi"/>
        </w:rPr>
      </w:pPr>
      <w:r w:rsidRPr="005F5709" w:rsidDel="00F33D73">
        <w:rPr>
          <w:rFonts w:asciiTheme="minorHAnsi" w:hAnsiTheme="minorHAnsi" w:cstheme="minorHAnsi"/>
        </w:rPr>
        <w:t>All Australian Apprentices, commencing in a qualification leading to an AISS occupation, with an AISS eligible employer, are able to receive $1,000 at the 12-month point, and $1,000 at the successful completion of their apprenticeship, regardless of whether they are additional to the employer’s usual hiring practice, as long as they are new to the business and not an existing worker.</w:t>
      </w:r>
    </w:p>
    <w:p w14:paraId="036A2B80" w14:textId="77777777" w:rsidR="00BD1D88" w:rsidRPr="005F5709" w:rsidDel="00F33D73" w:rsidRDefault="00BD1D88" w:rsidP="005D02B6">
      <w:pPr>
        <w:rPr>
          <w:rFonts w:asciiTheme="minorHAnsi" w:eastAsia="Times New Roman" w:hAnsiTheme="minorHAnsi" w:cstheme="minorHAnsi"/>
        </w:rPr>
      </w:pPr>
      <w:r w:rsidRPr="005F5709" w:rsidDel="00F33D73">
        <w:rPr>
          <w:rFonts w:asciiTheme="minorHAnsi" w:eastAsia="Times New Roman" w:hAnsiTheme="minorHAnsi" w:cstheme="minorHAnsi"/>
        </w:rPr>
        <w:t>AISS payments are additional to any payments the apprentice or employer may be eligible for under Australian Government programs.</w:t>
      </w:r>
    </w:p>
    <w:p w14:paraId="1B1380D4" w14:textId="77777777" w:rsidR="00BD1D88" w:rsidRPr="005F5709" w:rsidDel="00F33D73" w:rsidRDefault="00BD1D88" w:rsidP="00E811D8">
      <w:pPr>
        <w:pStyle w:val="Heading4"/>
        <w:rPr>
          <w:rFonts w:asciiTheme="minorHAnsi" w:hAnsiTheme="minorHAnsi" w:cstheme="minorHAnsi"/>
        </w:rPr>
      </w:pPr>
      <w:r w:rsidRPr="005F5709" w:rsidDel="00F33D73">
        <w:rPr>
          <w:rFonts w:asciiTheme="minorHAnsi" w:hAnsiTheme="minorHAnsi" w:cstheme="minorHAnsi"/>
        </w:rPr>
        <w:t xml:space="preserve">Trade Support Loans </w:t>
      </w:r>
    </w:p>
    <w:p w14:paraId="564208C0" w14:textId="77777777" w:rsidR="00BD1D88" w:rsidRPr="005F5709" w:rsidRDefault="00BD1D88" w:rsidP="0003684C">
      <w:pPr>
        <w:rPr>
          <w:rFonts w:asciiTheme="minorHAnsi" w:eastAsia="Times New Roman" w:hAnsiTheme="minorHAnsi" w:cstheme="minorHAnsi"/>
        </w:rPr>
      </w:pPr>
      <w:r w:rsidRPr="005F5709" w:rsidDel="00F33D73">
        <w:rPr>
          <w:rFonts w:asciiTheme="minorHAnsi" w:eastAsia="Times New Roman" w:hAnsiTheme="minorHAnsi" w:cstheme="minorHAnsi"/>
        </w:rPr>
        <w:t xml:space="preserve">TSL was introduced in July 2014 to replace the Tools For Your Trade program. It is administered through the </w:t>
      </w:r>
      <w:r w:rsidRPr="005F5709" w:rsidDel="00F33D73">
        <w:rPr>
          <w:rFonts w:asciiTheme="minorHAnsi" w:eastAsia="Times New Roman" w:hAnsiTheme="minorHAnsi" w:cstheme="minorHAnsi"/>
          <w:i/>
        </w:rPr>
        <w:t>Trade Support Loans Act 2014</w:t>
      </w:r>
      <w:r w:rsidRPr="005F5709" w:rsidDel="00F33D73">
        <w:rPr>
          <w:rFonts w:asciiTheme="minorHAnsi" w:eastAsia="Times New Roman" w:hAnsiTheme="minorHAnsi" w:cstheme="minorHAnsi"/>
        </w:rPr>
        <w:t xml:space="preserve"> (rather than the AAIP) to encourage more young people to take up and complete a trade qualification. TSL supports apprentices to meet everyday costs while undertaking their training and provides up to $21,542 (2020-21 lifetime limit) in income contingent loans. Loans are repaid through the Australian Taxation Office (ATO) once an apprentice earns above a minimum repayment threshold ($46,620 for the 2020-21 income year). Apprentices who successfully complete their apprenticeship receive a 20 per cent discount on their loan amount. </w:t>
      </w:r>
    </w:p>
    <w:p w14:paraId="3E568F62" w14:textId="77777777" w:rsidR="00BD1D88" w:rsidRPr="005F5709" w:rsidRDefault="00BD1D88" w:rsidP="0003684C">
      <w:pPr>
        <w:rPr>
          <w:rFonts w:asciiTheme="minorHAnsi" w:eastAsia="Times New Roman" w:hAnsiTheme="minorHAnsi" w:cstheme="minorHAnsi"/>
        </w:rPr>
      </w:pPr>
    </w:p>
    <w:p w14:paraId="19C77014" w14:textId="77777777" w:rsidR="00BD1D88" w:rsidRPr="005F5709" w:rsidRDefault="00BD1D88" w:rsidP="0003684C">
      <w:pPr>
        <w:rPr>
          <w:rFonts w:asciiTheme="minorHAnsi" w:eastAsia="Times New Roman" w:hAnsiTheme="minorHAnsi" w:cstheme="minorHAnsi"/>
        </w:rPr>
      </w:pPr>
    </w:p>
    <w:p w14:paraId="13238210" w14:textId="77777777" w:rsidR="00BD1D88" w:rsidRPr="005F5709" w:rsidRDefault="00BD1D88" w:rsidP="0003684C">
      <w:pPr>
        <w:rPr>
          <w:rFonts w:asciiTheme="minorHAnsi" w:eastAsia="Times New Roman" w:hAnsiTheme="minorHAnsi" w:cstheme="minorHAnsi"/>
        </w:rPr>
      </w:pPr>
    </w:p>
    <w:p w14:paraId="54416EA3" w14:textId="77777777" w:rsidR="00BD1D88" w:rsidRPr="005F5709" w:rsidRDefault="00BD1D88" w:rsidP="0003684C">
      <w:pPr>
        <w:rPr>
          <w:rFonts w:asciiTheme="minorHAnsi" w:eastAsia="Times New Roman" w:hAnsiTheme="minorHAnsi" w:cstheme="minorHAnsi"/>
        </w:rPr>
      </w:pPr>
    </w:p>
    <w:p w14:paraId="6D3E4059" w14:textId="77777777" w:rsidR="00BD1D88" w:rsidRPr="005F5709" w:rsidRDefault="00BD1D88" w:rsidP="0003684C">
      <w:pPr>
        <w:rPr>
          <w:rFonts w:asciiTheme="minorHAnsi" w:eastAsia="Times New Roman" w:hAnsiTheme="minorHAnsi" w:cstheme="minorHAnsi"/>
        </w:rPr>
      </w:pPr>
    </w:p>
    <w:bookmarkEnd w:id="142"/>
    <w:p w14:paraId="08378E12" w14:textId="77777777" w:rsidR="00BD1D88" w:rsidRPr="005F5709" w:rsidRDefault="00BD1D88" w:rsidP="0003684C">
      <w:pPr>
        <w:rPr>
          <w:rFonts w:asciiTheme="minorHAnsi" w:eastAsia="Times New Roman" w:hAnsiTheme="minorHAnsi" w:cstheme="minorHAnsi"/>
          <w:b/>
        </w:rPr>
      </w:pPr>
      <w:r w:rsidRPr="005F5709" w:rsidDel="00046389">
        <w:rPr>
          <w:rFonts w:asciiTheme="minorHAnsi" w:eastAsia="Times New Roman" w:hAnsiTheme="minorHAnsi" w:cstheme="minorHAnsi"/>
          <w:b/>
        </w:rPr>
        <w:t xml:space="preserve">Table </w:t>
      </w:r>
      <w:r w:rsidRPr="005F5709">
        <w:rPr>
          <w:rFonts w:asciiTheme="minorHAnsi" w:eastAsia="Times New Roman" w:hAnsiTheme="minorHAnsi" w:cstheme="minorHAnsi"/>
          <w:b/>
        </w:rPr>
        <w:t>13</w:t>
      </w:r>
      <w:r w:rsidRPr="005F5709" w:rsidDel="00046389">
        <w:rPr>
          <w:rFonts w:asciiTheme="minorHAnsi" w:eastAsia="Times New Roman" w:hAnsiTheme="minorHAnsi" w:cstheme="minorHAnsi"/>
          <w:b/>
        </w:rPr>
        <w:t xml:space="preserve">: </w:t>
      </w:r>
      <w:r w:rsidRPr="005F5709">
        <w:rPr>
          <w:rFonts w:asciiTheme="minorHAnsi" w:eastAsia="Times New Roman" w:hAnsiTheme="minorHAnsi" w:cstheme="minorHAnsi"/>
          <w:b/>
        </w:rPr>
        <w:t xml:space="preserve">Employer incentives available under the AAIP </w:t>
      </w:r>
    </w:p>
    <w:tbl>
      <w:tblPr>
        <w:tblStyle w:val="TableGrid"/>
        <w:tblW w:w="0" w:type="auto"/>
        <w:tblLook w:val="04A0" w:firstRow="1" w:lastRow="0" w:firstColumn="1" w:lastColumn="0" w:noHBand="0" w:noVBand="1"/>
      </w:tblPr>
      <w:tblGrid>
        <w:gridCol w:w="3005"/>
        <w:gridCol w:w="1526"/>
        <w:gridCol w:w="4485"/>
      </w:tblGrid>
      <w:tr w:rsidR="00BD1D88" w:rsidRPr="005F5709" w14:paraId="23C4E58A" w14:textId="77777777" w:rsidTr="001F4E9B">
        <w:tc>
          <w:tcPr>
            <w:tcW w:w="9016" w:type="dxa"/>
            <w:gridSpan w:val="3"/>
          </w:tcPr>
          <w:p w14:paraId="56520634" w14:textId="77777777" w:rsidR="00BD1D88" w:rsidRPr="005F5709" w:rsidRDefault="00BD1D88" w:rsidP="001F4E9B">
            <w:pPr>
              <w:jc w:val="center"/>
              <w:rPr>
                <w:rFonts w:asciiTheme="minorHAnsi" w:hAnsiTheme="minorHAnsi" w:cstheme="minorHAnsi"/>
              </w:rPr>
            </w:pPr>
            <w:r w:rsidRPr="005F5709">
              <w:rPr>
                <w:rFonts w:asciiTheme="minorHAnsi" w:hAnsiTheme="minorHAnsi" w:cstheme="minorHAnsi"/>
              </w:rPr>
              <w:t>Employer Incentives</w:t>
            </w:r>
          </w:p>
        </w:tc>
      </w:tr>
      <w:tr w:rsidR="00BD1D88" w:rsidRPr="005F5709" w14:paraId="3A80E341" w14:textId="77777777" w:rsidTr="001F4E9B">
        <w:tc>
          <w:tcPr>
            <w:tcW w:w="9016" w:type="dxa"/>
            <w:gridSpan w:val="3"/>
          </w:tcPr>
          <w:p w14:paraId="53A6A12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Payments available at Commencement</w:t>
            </w:r>
          </w:p>
        </w:tc>
      </w:tr>
      <w:tr w:rsidR="00BD1D88" w:rsidRPr="005F5709" w14:paraId="41C8B304" w14:textId="77777777" w:rsidTr="001F4E9B">
        <w:tc>
          <w:tcPr>
            <w:tcW w:w="3005" w:type="dxa"/>
            <w:vMerge w:val="restart"/>
          </w:tcPr>
          <w:p w14:paraId="7D9B142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Commencement Incentive</w:t>
            </w:r>
          </w:p>
        </w:tc>
        <w:tc>
          <w:tcPr>
            <w:tcW w:w="1526" w:type="dxa"/>
          </w:tcPr>
          <w:p w14:paraId="4160BFF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$1,250</w:t>
            </w:r>
          </w:p>
        </w:tc>
        <w:tc>
          <w:tcPr>
            <w:tcW w:w="4485" w:type="dxa"/>
          </w:tcPr>
          <w:p w14:paraId="37B1F9C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where an employer commences a new worker Australian Apprentice deemed to be part of a nominated equity group at the Certificate II level qualification. </w:t>
            </w:r>
          </w:p>
        </w:tc>
      </w:tr>
      <w:tr w:rsidR="00BD1D88" w:rsidRPr="005F5709" w14:paraId="289204E4" w14:textId="77777777" w:rsidTr="001F4E9B">
        <w:tc>
          <w:tcPr>
            <w:tcW w:w="3005" w:type="dxa"/>
            <w:vMerge/>
          </w:tcPr>
          <w:p w14:paraId="4B888B3A" w14:textId="77777777" w:rsidR="00BD1D88" w:rsidRPr="005F5709" w:rsidRDefault="00BD1D88" w:rsidP="001F4E9B">
            <w:pPr>
              <w:rPr>
                <w:rFonts w:asciiTheme="minorHAnsi" w:hAnsiTheme="minorHAnsi" w:cstheme="minorHAnsi"/>
              </w:rPr>
            </w:pPr>
          </w:p>
        </w:tc>
        <w:tc>
          <w:tcPr>
            <w:tcW w:w="1526" w:type="dxa"/>
          </w:tcPr>
          <w:p w14:paraId="505203B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$1,500</w:t>
            </w:r>
          </w:p>
        </w:tc>
        <w:tc>
          <w:tcPr>
            <w:tcW w:w="4485" w:type="dxa"/>
          </w:tcPr>
          <w:p w14:paraId="75646C0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where an employer commences a new worker or existing worker Australian Apprentice in a Certificate II or IV level qualification that leads to an occupation on the NSNL (including part-time Australian Apprenticeships and Australian School-Based Apprenticeships).</w:t>
            </w:r>
          </w:p>
        </w:tc>
      </w:tr>
      <w:tr w:rsidR="00BD1D88" w:rsidRPr="005F5709" w14:paraId="2EB8B84C" w14:textId="77777777" w:rsidTr="001F4E9B">
        <w:tc>
          <w:tcPr>
            <w:tcW w:w="3005" w:type="dxa"/>
            <w:vMerge/>
          </w:tcPr>
          <w:p w14:paraId="04D2747A" w14:textId="77777777" w:rsidR="00BD1D88" w:rsidRPr="005F5709" w:rsidRDefault="00BD1D88" w:rsidP="001F4E9B">
            <w:pPr>
              <w:rPr>
                <w:rFonts w:asciiTheme="minorHAnsi" w:hAnsiTheme="minorHAnsi" w:cstheme="minorHAnsi"/>
              </w:rPr>
            </w:pPr>
          </w:p>
        </w:tc>
        <w:tc>
          <w:tcPr>
            <w:tcW w:w="1526" w:type="dxa"/>
          </w:tcPr>
          <w:p w14:paraId="18CB110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$1,500</w:t>
            </w:r>
          </w:p>
        </w:tc>
        <w:tc>
          <w:tcPr>
            <w:tcW w:w="4485" w:type="dxa"/>
          </w:tcPr>
          <w:p w14:paraId="4159604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where an employer commences a new worker Australian Apprentice at a:</w:t>
            </w:r>
          </w:p>
          <w:p w14:paraId="1CCEA396" w14:textId="77777777" w:rsidR="00BD1D88" w:rsidRPr="005F5709" w:rsidRDefault="00BD1D88" w:rsidP="00977294">
            <w:pPr>
              <w:pStyle w:val="ListParagraph"/>
              <w:numPr>
                <w:ilvl w:val="0"/>
                <w:numId w:val="32"/>
              </w:numPr>
              <w:spacing w:after="200" w:line="360" w:lineRule="auto"/>
              <w:rPr>
                <w:rFonts w:asciiTheme="minorHAnsi" w:hAnsiTheme="minorHAnsi" w:cstheme="minorHAnsi"/>
              </w:rPr>
            </w:pPr>
            <w:r w:rsidRPr="005F5709">
              <w:rPr>
                <w:rFonts w:asciiTheme="minorHAnsi" w:hAnsiTheme="minorHAnsi" w:cstheme="minorHAnsi"/>
              </w:rPr>
              <w:t>Certificate III or IV level qualification that leads to a Priority Occupation (Including Australian School-based Apprenticeships).</w:t>
            </w:r>
          </w:p>
          <w:p w14:paraId="3E6682A4" w14:textId="77777777" w:rsidR="00BD1D88" w:rsidRPr="005F5709" w:rsidRDefault="00BD1D88" w:rsidP="00977294">
            <w:pPr>
              <w:pStyle w:val="ListParagraph"/>
              <w:numPr>
                <w:ilvl w:val="0"/>
                <w:numId w:val="32"/>
              </w:numPr>
              <w:spacing w:after="200" w:line="360" w:lineRule="auto"/>
              <w:rPr>
                <w:rFonts w:asciiTheme="minorHAnsi" w:hAnsiTheme="minorHAnsi" w:cstheme="minorHAnsi"/>
              </w:rPr>
            </w:pPr>
            <w:r w:rsidRPr="005F5709">
              <w:rPr>
                <w:rFonts w:asciiTheme="minorHAnsi" w:hAnsiTheme="minorHAnsi" w:cstheme="minorHAnsi"/>
              </w:rPr>
              <w:t xml:space="preserve">Diploma or Advanced Diploma level qualification that leads to a Priority Occupation (including part-time Australian Apprenticeships and Australian School Based Apprenticeships). </w:t>
            </w:r>
          </w:p>
          <w:p w14:paraId="7DAE9C8D" w14:textId="77777777" w:rsidR="00BD1D88" w:rsidRPr="005F5709" w:rsidRDefault="00BD1D88" w:rsidP="00977294">
            <w:pPr>
              <w:pStyle w:val="ListParagraph"/>
              <w:numPr>
                <w:ilvl w:val="0"/>
                <w:numId w:val="32"/>
              </w:numPr>
              <w:spacing w:after="200" w:line="360" w:lineRule="auto"/>
              <w:rPr>
                <w:rFonts w:asciiTheme="minorHAnsi" w:hAnsiTheme="minorHAnsi" w:cstheme="minorHAnsi"/>
              </w:rPr>
            </w:pPr>
            <w:r w:rsidRPr="005F5709">
              <w:rPr>
                <w:rFonts w:asciiTheme="minorHAnsi" w:hAnsiTheme="minorHAnsi" w:cstheme="minorHAnsi"/>
              </w:rPr>
              <w:t xml:space="preserve">Certificate III or IV level qualification in a non-priority occupation (including Australian School-based Apprenticeships). </w:t>
            </w:r>
          </w:p>
        </w:tc>
      </w:tr>
      <w:tr w:rsidR="00BD1D88" w:rsidRPr="005F5709" w14:paraId="7219F1D4" w14:textId="77777777" w:rsidTr="001F4E9B">
        <w:tc>
          <w:tcPr>
            <w:tcW w:w="3005" w:type="dxa"/>
          </w:tcPr>
          <w:p w14:paraId="7F8304D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lastRenderedPageBreak/>
              <w:t>Rural and Regional Skills Shortage Incentive</w:t>
            </w:r>
          </w:p>
        </w:tc>
        <w:tc>
          <w:tcPr>
            <w:tcW w:w="1526" w:type="dxa"/>
          </w:tcPr>
          <w:p w14:paraId="605C8B2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$1,000</w:t>
            </w:r>
          </w:p>
        </w:tc>
        <w:tc>
          <w:tcPr>
            <w:tcW w:w="4485" w:type="dxa"/>
          </w:tcPr>
          <w:p w14:paraId="5953777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where an employer commences a new worker or existing worker Australian Apprentice in a Certificate III or IV qualification that leads to an occupation on the NSNL in a rural or regional workplace.</w:t>
            </w:r>
          </w:p>
        </w:tc>
      </w:tr>
      <w:tr w:rsidR="00BD1D88" w:rsidRPr="005F5709" w14:paraId="3E7DE1CD" w14:textId="77777777" w:rsidTr="001F4E9B">
        <w:tc>
          <w:tcPr>
            <w:tcW w:w="3005" w:type="dxa"/>
          </w:tcPr>
          <w:p w14:paraId="685F52A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Declared Drought Area Commencement Incentive</w:t>
            </w:r>
          </w:p>
        </w:tc>
        <w:tc>
          <w:tcPr>
            <w:tcW w:w="1526" w:type="dxa"/>
          </w:tcPr>
          <w:p w14:paraId="2BF33F5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$1,500</w:t>
            </w:r>
          </w:p>
        </w:tc>
        <w:tc>
          <w:tcPr>
            <w:tcW w:w="4485" w:type="dxa"/>
          </w:tcPr>
          <w:p w14:paraId="2DD0CE0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where an employer who holds a current Exceptional Circumstances Drought Area certificate and commences a new worker or existing worker Australian Apprentice deemed to be part of a nominated equity group, in an eligible Certificate II level qualification. </w:t>
            </w:r>
          </w:p>
        </w:tc>
      </w:tr>
      <w:tr w:rsidR="00BD1D88" w:rsidRPr="005F5709" w14:paraId="2596E191" w14:textId="77777777" w:rsidTr="001F4E9B">
        <w:tc>
          <w:tcPr>
            <w:tcW w:w="3005" w:type="dxa"/>
          </w:tcPr>
          <w:p w14:paraId="7E4C52D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Mature Aged Workers Commencement Incentive </w:t>
            </w:r>
          </w:p>
        </w:tc>
        <w:tc>
          <w:tcPr>
            <w:tcW w:w="1526" w:type="dxa"/>
          </w:tcPr>
          <w:p w14:paraId="51129BA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$750</w:t>
            </w:r>
          </w:p>
        </w:tc>
        <w:tc>
          <w:tcPr>
            <w:tcW w:w="4485" w:type="dxa"/>
          </w:tcPr>
          <w:p w14:paraId="51EA539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where an employer commences a new worker or existing worker Australian Apprentice in a Certificate II or </w:t>
            </w:r>
            <w:proofErr w:type="gramStart"/>
            <w:r w:rsidRPr="005F5709">
              <w:rPr>
                <w:rFonts w:asciiTheme="minorHAnsi" w:hAnsiTheme="minorHAnsi" w:cstheme="minorHAnsi"/>
              </w:rPr>
              <w:t>higher level</w:t>
            </w:r>
            <w:proofErr w:type="gramEnd"/>
            <w:r w:rsidRPr="005F5709">
              <w:rPr>
                <w:rFonts w:asciiTheme="minorHAnsi" w:hAnsiTheme="minorHAnsi" w:cstheme="minorHAnsi"/>
              </w:rPr>
              <w:t xml:space="preserve"> qualification who is a disadvantaged person aged 45 years or more. </w:t>
            </w:r>
          </w:p>
        </w:tc>
      </w:tr>
      <w:tr w:rsidR="00BD1D88" w:rsidRPr="005F5709" w14:paraId="4AF36143" w14:textId="77777777" w:rsidTr="001F4E9B">
        <w:tc>
          <w:tcPr>
            <w:tcW w:w="3005" w:type="dxa"/>
          </w:tcPr>
          <w:p w14:paraId="2858333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School-based Apprenticeship Commencement Incentive</w:t>
            </w:r>
          </w:p>
        </w:tc>
        <w:tc>
          <w:tcPr>
            <w:tcW w:w="1526" w:type="dxa"/>
          </w:tcPr>
          <w:p w14:paraId="5AB2BAD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$750</w:t>
            </w:r>
          </w:p>
        </w:tc>
        <w:tc>
          <w:tcPr>
            <w:tcW w:w="4485" w:type="dxa"/>
          </w:tcPr>
          <w:p w14:paraId="15B7E5B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where an employer commences a new worker or existing worker Australian Apprentice in a Certificate II or </w:t>
            </w:r>
            <w:proofErr w:type="gramStart"/>
            <w:r w:rsidRPr="005F5709">
              <w:rPr>
                <w:rFonts w:asciiTheme="minorHAnsi" w:hAnsiTheme="minorHAnsi" w:cstheme="minorHAnsi"/>
              </w:rPr>
              <w:t>higher level</w:t>
            </w:r>
            <w:proofErr w:type="gramEnd"/>
            <w:r w:rsidRPr="005F5709">
              <w:rPr>
                <w:rFonts w:asciiTheme="minorHAnsi" w:hAnsiTheme="minorHAnsi" w:cstheme="minorHAnsi"/>
              </w:rPr>
              <w:t xml:space="preserve"> qualification in an endorsed Australian School-based Apprenticeship. </w:t>
            </w:r>
          </w:p>
        </w:tc>
      </w:tr>
      <w:tr w:rsidR="00BD1D88" w:rsidRPr="005F5709" w14:paraId="3D52C602" w14:textId="77777777" w:rsidTr="001F4E9B">
        <w:tc>
          <w:tcPr>
            <w:tcW w:w="9016" w:type="dxa"/>
            <w:gridSpan w:val="3"/>
          </w:tcPr>
          <w:p w14:paraId="75E7166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Payments available for Retention </w:t>
            </w:r>
          </w:p>
        </w:tc>
      </w:tr>
      <w:tr w:rsidR="00BD1D88" w:rsidRPr="005F5709" w14:paraId="490A7278" w14:textId="77777777" w:rsidTr="001F4E9B">
        <w:tc>
          <w:tcPr>
            <w:tcW w:w="3005" w:type="dxa"/>
          </w:tcPr>
          <w:p w14:paraId="2B82FFE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School-based Apprenticeship Retention Incentive</w:t>
            </w:r>
          </w:p>
        </w:tc>
        <w:tc>
          <w:tcPr>
            <w:tcW w:w="1526" w:type="dxa"/>
          </w:tcPr>
          <w:p w14:paraId="5B9F740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$750</w:t>
            </w:r>
          </w:p>
        </w:tc>
        <w:tc>
          <w:tcPr>
            <w:tcW w:w="4485" w:type="dxa"/>
          </w:tcPr>
          <w:p w14:paraId="0F3395E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where an employer continues to employ a Certificate II or </w:t>
            </w:r>
            <w:proofErr w:type="gramStart"/>
            <w:r w:rsidRPr="005F5709">
              <w:rPr>
                <w:rFonts w:asciiTheme="minorHAnsi" w:hAnsiTheme="minorHAnsi" w:cstheme="minorHAnsi"/>
              </w:rPr>
              <w:t>higher level</w:t>
            </w:r>
            <w:proofErr w:type="gramEnd"/>
            <w:r w:rsidRPr="005F5709">
              <w:rPr>
                <w:rFonts w:asciiTheme="minorHAnsi" w:hAnsiTheme="minorHAnsi" w:cstheme="minorHAnsi"/>
              </w:rPr>
              <w:t xml:space="preserve"> Australian School-based Apprentice for at least 12 weeks after the student has completed secondary school.</w:t>
            </w:r>
          </w:p>
        </w:tc>
      </w:tr>
      <w:tr w:rsidR="00BD1D88" w:rsidRPr="005F5709" w14:paraId="261E5911" w14:textId="77777777" w:rsidTr="001F4E9B">
        <w:tc>
          <w:tcPr>
            <w:tcW w:w="9016" w:type="dxa"/>
            <w:gridSpan w:val="3"/>
          </w:tcPr>
          <w:p w14:paraId="30D63E3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Payments available at Recommencement </w:t>
            </w:r>
          </w:p>
        </w:tc>
      </w:tr>
      <w:tr w:rsidR="00BD1D88" w:rsidRPr="005F5709" w14:paraId="30580457" w14:textId="77777777" w:rsidTr="001F4E9B">
        <w:tc>
          <w:tcPr>
            <w:tcW w:w="3005" w:type="dxa"/>
            <w:vMerge w:val="restart"/>
          </w:tcPr>
          <w:p w14:paraId="754BAFC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Recommencement Incentive </w:t>
            </w:r>
          </w:p>
        </w:tc>
        <w:tc>
          <w:tcPr>
            <w:tcW w:w="1526" w:type="dxa"/>
          </w:tcPr>
          <w:p w14:paraId="73A32D8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$750</w:t>
            </w:r>
          </w:p>
        </w:tc>
        <w:tc>
          <w:tcPr>
            <w:tcW w:w="4485" w:type="dxa"/>
          </w:tcPr>
          <w:p w14:paraId="56164B6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where an employer recommences a new worker or existing worker Australian Apprentice in a Certificate III or IV level qualification that leads to an occupation on the NSNL (including part-time Australian Apprenticeships and Australian School-based Apprenticeships). </w:t>
            </w:r>
          </w:p>
        </w:tc>
      </w:tr>
      <w:tr w:rsidR="00BD1D88" w:rsidRPr="005F5709" w14:paraId="1491517B" w14:textId="77777777" w:rsidTr="001F4E9B">
        <w:tc>
          <w:tcPr>
            <w:tcW w:w="3005" w:type="dxa"/>
            <w:vMerge/>
          </w:tcPr>
          <w:p w14:paraId="3BAB477C" w14:textId="77777777" w:rsidR="00BD1D88" w:rsidRPr="005F5709" w:rsidRDefault="00BD1D88" w:rsidP="001F4E9B">
            <w:pPr>
              <w:rPr>
                <w:rFonts w:asciiTheme="minorHAnsi" w:hAnsiTheme="minorHAnsi" w:cstheme="minorHAnsi"/>
              </w:rPr>
            </w:pPr>
          </w:p>
        </w:tc>
        <w:tc>
          <w:tcPr>
            <w:tcW w:w="1526" w:type="dxa"/>
          </w:tcPr>
          <w:p w14:paraId="34E23DA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$750</w:t>
            </w:r>
          </w:p>
        </w:tc>
        <w:tc>
          <w:tcPr>
            <w:tcW w:w="4485" w:type="dxa"/>
          </w:tcPr>
          <w:p w14:paraId="666344A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where an employer recommences a new worker Australian Apprentice at a:</w:t>
            </w:r>
          </w:p>
          <w:p w14:paraId="094E45A4"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Certificate III or IV level qualification that leads to a Priority Occupation (Including Australian School-based Apprenticeships).</w:t>
            </w:r>
          </w:p>
          <w:p w14:paraId="1AD25F2D"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lastRenderedPageBreak/>
              <w:t xml:space="preserve">Diploma or Advanced Diploma level qualification that leads to a Priority Occupation (including part-time Australian Apprenticeships and Australian School Based Apprenticeships). </w:t>
            </w:r>
          </w:p>
          <w:p w14:paraId="1399F67A"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 xml:space="preserve">Certificate III or IV level qualification in a non-priority occupation (including Australian School-based Apprenticeships). </w:t>
            </w:r>
          </w:p>
        </w:tc>
      </w:tr>
      <w:tr w:rsidR="00BD1D88" w:rsidRPr="005F5709" w14:paraId="75EBC02E" w14:textId="77777777" w:rsidTr="001F4E9B">
        <w:tc>
          <w:tcPr>
            <w:tcW w:w="9016" w:type="dxa"/>
            <w:gridSpan w:val="3"/>
          </w:tcPr>
          <w:p w14:paraId="25EFA72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lastRenderedPageBreak/>
              <w:t xml:space="preserve">Payments available at Completion </w:t>
            </w:r>
          </w:p>
        </w:tc>
      </w:tr>
      <w:tr w:rsidR="00BD1D88" w:rsidRPr="005F5709" w14:paraId="0E4085CA" w14:textId="77777777" w:rsidTr="001F4E9B">
        <w:tc>
          <w:tcPr>
            <w:tcW w:w="3005" w:type="dxa"/>
            <w:vMerge w:val="restart"/>
          </w:tcPr>
          <w:p w14:paraId="7038961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Completion Incentive</w:t>
            </w:r>
          </w:p>
        </w:tc>
        <w:tc>
          <w:tcPr>
            <w:tcW w:w="1526" w:type="dxa"/>
          </w:tcPr>
          <w:p w14:paraId="45E2505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$1,500</w:t>
            </w:r>
          </w:p>
        </w:tc>
        <w:tc>
          <w:tcPr>
            <w:tcW w:w="4485" w:type="dxa"/>
          </w:tcPr>
          <w:p w14:paraId="1631C43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for employers of a new worker or existing worker part-time Australian Apprentice who successfully completes a Certificate III or IV level qualification that leads to a Priority Occupation. </w:t>
            </w:r>
          </w:p>
        </w:tc>
      </w:tr>
      <w:tr w:rsidR="00BD1D88" w:rsidRPr="005F5709" w14:paraId="2DD52EE4" w14:textId="77777777" w:rsidTr="001F4E9B">
        <w:tc>
          <w:tcPr>
            <w:tcW w:w="3005" w:type="dxa"/>
            <w:vMerge/>
          </w:tcPr>
          <w:p w14:paraId="5C593EC5" w14:textId="77777777" w:rsidR="00BD1D88" w:rsidRPr="005F5709" w:rsidRDefault="00BD1D88" w:rsidP="001F4E9B">
            <w:pPr>
              <w:rPr>
                <w:rFonts w:asciiTheme="minorHAnsi" w:hAnsiTheme="minorHAnsi" w:cstheme="minorHAnsi"/>
              </w:rPr>
            </w:pPr>
          </w:p>
        </w:tc>
        <w:tc>
          <w:tcPr>
            <w:tcW w:w="1526" w:type="dxa"/>
          </w:tcPr>
          <w:p w14:paraId="66C9E1B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$1,500</w:t>
            </w:r>
          </w:p>
        </w:tc>
        <w:tc>
          <w:tcPr>
            <w:tcW w:w="4485" w:type="dxa"/>
          </w:tcPr>
          <w:p w14:paraId="69E5BEC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for employers or new worker Australian Apprentices who successfully complete a part-time Australian Apprenticeship. </w:t>
            </w:r>
          </w:p>
        </w:tc>
      </w:tr>
      <w:tr w:rsidR="00BD1D88" w:rsidRPr="005F5709" w14:paraId="3FFE27D5" w14:textId="77777777" w:rsidTr="001F4E9B">
        <w:tc>
          <w:tcPr>
            <w:tcW w:w="3005" w:type="dxa"/>
            <w:vMerge/>
          </w:tcPr>
          <w:p w14:paraId="66749CB2" w14:textId="77777777" w:rsidR="00BD1D88" w:rsidRPr="005F5709" w:rsidRDefault="00BD1D88" w:rsidP="001F4E9B">
            <w:pPr>
              <w:rPr>
                <w:rFonts w:asciiTheme="minorHAnsi" w:hAnsiTheme="minorHAnsi" w:cstheme="minorHAnsi"/>
              </w:rPr>
            </w:pPr>
          </w:p>
        </w:tc>
        <w:tc>
          <w:tcPr>
            <w:tcW w:w="1526" w:type="dxa"/>
          </w:tcPr>
          <w:p w14:paraId="22AC378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$2,500</w:t>
            </w:r>
          </w:p>
        </w:tc>
        <w:tc>
          <w:tcPr>
            <w:tcW w:w="4485" w:type="dxa"/>
          </w:tcPr>
          <w:p w14:paraId="43DAE7D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for employers of new worker or existing worker Australian Apprentices who successfully complete a Certificate III or IV level qualification that leads to an occupation on the NSNL (including part-time Australian Apprenticeships and Australian School-based Apprenticeships). </w:t>
            </w:r>
          </w:p>
        </w:tc>
      </w:tr>
      <w:tr w:rsidR="00BD1D88" w:rsidRPr="005F5709" w14:paraId="02011985" w14:textId="77777777" w:rsidTr="001F4E9B">
        <w:tc>
          <w:tcPr>
            <w:tcW w:w="3005" w:type="dxa"/>
            <w:vMerge/>
          </w:tcPr>
          <w:p w14:paraId="144AFDB5" w14:textId="77777777" w:rsidR="00BD1D88" w:rsidRPr="005F5709" w:rsidRDefault="00BD1D88" w:rsidP="001F4E9B">
            <w:pPr>
              <w:rPr>
                <w:rFonts w:asciiTheme="minorHAnsi" w:hAnsiTheme="minorHAnsi" w:cstheme="minorHAnsi"/>
              </w:rPr>
            </w:pPr>
          </w:p>
        </w:tc>
        <w:tc>
          <w:tcPr>
            <w:tcW w:w="1526" w:type="dxa"/>
          </w:tcPr>
          <w:p w14:paraId="1BF3CEB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$2,500</w:t>
            </w:r>
          </w:p>
        </w:tc>
        <w:tc>
          <w:tcPr>
            <w:tcW w:w="4485" w:type="dxa"/>
          </w:tcPr>
          <w:p w14:paraId="734EF52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for employers of a new worker Australian Apprentice who successfully completes a:</w:t>
            </w:r>
          </w:p>
          <w:p w14:paraId="37201131"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Certificate III or IV level qualification that leads to a Priority Occupation (Including Australian School-based Apprenticeships).</w:t>
            </w:r>
          </w:p>
          <w:p w14:paraId="644062D5"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 xml:space="preserve">Diploma or Advanced Diploma level qualification that leads to a Priority Occupation (including part-time </w:t>
            </w:r>
            <w:r w:rsidRPr="005F5709">
              <w:rPr>
                <w:rFonts w:asciiTheme="minorHAnsi" w:hAnsiTheme="minorHAnsi" w:cstheme="minorHAnsi"/>
              </w:rPr>
              <w:lastRenderedPageBreak/>
              <w:t xml:space="preserve">Australian Apprenticeships and Australian School Based Apprenticeships). </w:t>
            </w:r>
          </w:p>
          <w:p w14:paraId="151C8403"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Certificate III or IV level qualification in a non-priority occupation (including Australian School-based Apprenticeships).</w:t>
            </w:r>
          </w:p>
        </w:tc>
      </w:tr>
      <w:tr w:rsidR="00BD1D88" w:rsidRPr="005F5709" w14:paraId="563B1C7E" w14:textId="77777777" w:rsidTr="001F4E9B">
        <w:tc>
          <w:tcPr>
            <w:tcW w:w="3005" w:type="dxa"/>
            <w:vMerge/>
          </w:tcPr>
          <w:p w14:paraId="7F3CC028" w14:textId="77777777" w:rsidR="00BD1D88" w:rsidRPr="005F5709" w:rsidRDefault="00BD1D88" w:rsidP="001F4E9B">
            <w:pPr>
              <w:rPr>
                <w:rFonts w:asciiTheme="minorHAnsi" w:hAnsiTheme="minorHAnsi" w:cstheme="minorHAnsi"/>
              </w:rPr>
            </w:pPr>
          </w:p>
        </w:tc>
        <w:tc>
          <w:tcPr>
            <w:tcW w:w="1526" w:type="dxa"/>
          </w:tcPr>
          <w:p w14:paraId="58A4AB4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$3,000</w:t>
            </w:r>
          </w:p>
        </w:tc>
        <w:tc>
          <w:tcPr>
            <w:tcW w:w="4485" w:type="dxa"/>
          </w:tcPr>
          <w:p w14:paraId="404ABC9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for employers of an existing worker Australian Apprentice who successfully completes a:</w:t>
            </w:r>
          </w:p>
          <w:p w14:paraId="0E320736"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Certificate III or IV level qualification that leads to a Priority Occupation (Including Australian School-based Apprenticeships).</w:t>
            </w:r>
          </w:p>
          <w:p w14:paraId="304B5CFD"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 xml:space="preserve">Diploma or Advanced Diploma level qualification that leads to a Priority Occupation (including part-time Australian Apprenticeships and Australian School Based Apprenticeships). </w:t>
            </w:r>
          </w:p>
        </w:tc>
      </w:tr>
      <w:tr w:rsidR="00BD1D88" w:rsidRPr="005F5709" w14:paraId="0764549F" w14:textId="77777777" w:rsidTr="001F4E9B">
        <w:tc>
          <w:tcPr>
            <w:tcW w:w="3005" w:type="dxa"/>
          </w:tcPr>
          <w:p w14:paraId="34C0EBA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Group Training Organisations Certificate II Completion Incentive</w:t>
            </w:r>
          </w:p>
        </w:tc>
        <w:tc>
          <w:tcPr>
            <w:tcW w:w="1526" w:type="dxa"/>
          </w:tcPr>
          <w:p w14:paraId="681D7CB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$1,000</w:t>
            </w:r>
          </w:p>
        </w:tc>
        <w:tc>
          <w:tcPr>
            <w:tcW w:w="4485" w:type="dxa"/>
          </w:tcPr>
          <w:p w14:paraId="4E46A63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for Group Training Organisations that support Australian Apprentices deemed to be part of a nominated equity group, to successfully complete a Certificate II level Australian Apprenticeship. </w:t>
            </w:r>
          </w:p>
        </w:tc>
      </w:tr>
      <w:tr w:rsidR="00BD1D88" w:rsidRPr="005F5709" w14:paraId="7E0B1A34" w14:textId="77777777" w:rsidTr="001F4E9B">
        <w:tc>
          <w:tcPr>
            <w:tcW w:w="3005" w:type="dxa"/>
          </w:tcPr>
          <w:p w14:paraId="2F0EFEC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Declared Drought Area Completion Incentive</w:t>
            </w:r>
          </w:p>
        </w:tc>
        <w:tc>
          <w:tcPr>
            <w:tcW w:w="1526" w:type="dxa"/>
          </w:tcPr>
          <w:p w14:paraId="6D51CA4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$1,500</w:t>
            </w:r>
          </w:p>
        </w:tc>
        <w:tc>
          <w:tcPr>
            <w:tcW w:w="4485" w:type="dxa"/>
          </w:tcPr>
          <w:p w14:paraId="75CABEE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for employers of Australian Apprentices deemed to be part of a nominated equity group, who successfully complete an eligible Certificate II qualification and who attracted a Declared Drought Area Commencement Incentive.</w:t>
            </w:r>
          </w:p>
        </w:tc>
      </w:tr>
      <w:tr w:rsidR="00BD1D88" w:rsidRPr="005F5709" w14:paraId="0A2D5CA4" w14:textId="77777777" w:rsidTr="001F4E9B">
        <w:tc>
          <w:tcPr>
            <w:tcW w:w="3005" w:type="dxa"/>
          </w:tcPr>
          <w:p w14:paraId="0AF93F3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Mature Aged Worker Completion Incentive</w:t>
            </w:r>
          </w:p>
        </w:tc>
        <w:tc>
          <w:tcPr>
            <w:tcW w:w="1526" w:type="dxa"/>
          </w:tcPr>
          <w:p w14:paraId="16FA0FD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$750</w:t>
            </w:r>
          </w:p>
        </w:tc>
        <w:tc>
          <w:tcPr>
            <w:tcW w:w="4485" w:type="dxa"/>
          </w:tcPr>
          <w:p w14:paraId="123EB18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for employers of an Australian Apprentice who successfully completes a Certificate II or </w:t>
            </w:r>
            <w:proofErr w:type="gramStart"/>
            <w:r w:rsidRPr="005F5709">
              <w:rPr>
                <w:rFonts w:asciiTheme="minorHAnsi" w:hAnsiTheme="minorHAnsi" w:cstheme="minorHAnsi"/>
              </w:rPr>
              <w:t>higher level</w:t>
            </w:r>
            <w:proofErr w:type="gramEnd"/>
            <w:r w:rsidRPr="005F5709">
              <w:rPr>
                <w:rFonts w:asciiTheme="minorHAnsi" w:hAnsiTheme="minorHAnsi" w:cstheme="minorHAnsi"/>
              </w:rPr>
              <w:t xml:space="preserve"> qualification and who attracted a Mature Aged Worker Commencement Incentive. </w:t>
            </w:r>
          </w:p>
        </w:tc>
      </w:tr>
      <w:tr w:rsidR="00BD1D88" w:rsidRPr="005F5709" w14:paraId="1F174CFA" w14:textId="77777777" w:rsidTr="001F4E9B">
        <w:tc>
          <w:tcPr>
            <w:tcW w:w="9016" w:type="dxa"/>
            <w:gridSpan w:val="3"/>
          </w:tcPr>
          <w:p w14:paraId="0947B5D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lastRenderedPageBreak/>
              <w:t xml:space="preserve">Adult Australian Apprentices </w:t>
            </w:r>
          </w:p>
        </w:tc>
      </w:tr>
      <w:tr w:rsidR="00BD1D88" w:rsidRPr="005F5709" w14:paraId="3A8166C0" w14:textId="77777777" w:rsidTr="001F4E9B">
        <w:tc>
          <w:tcPr>
            <w:tcW w:w="3005" w:type="dxa"/>
          </w:tcPr>
          <w:p w14:paraId="5BF0C6D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Support for Adult Australian Apprentices </w:t>
            </w:r>
          </w:p>
        </w:tc>
        <w:tc>
          <w:tcPr>
            <w:tcW w:w="1526" w:type="dxa"/>
          </w:tcPr>
          <w:p w14:paraId="3F08426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$4,000</w:t>
            </w:r>
          </w:p>
        </w:tc>
        <w:tc>
          <w:tcPr>
            <w:tcW w:w="4485" w:type="dxa"/>
          </w:tcPr>
          <w:p w14:paraId="3AE73FC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to employers of adult workers to upgrade their skills through an Australian Apprenticeship at the </w:t>
            </w:r>
            <w:proofErr w:type="gramStart"/>
            <w:r w:rsidRPr="005F5709">
              <w:rPr>
                <w:rFonts w:asciiTheme="minorHAnsi" w:hAnsiTheme="minorHAnsi" w:cstheme="minorHAnsi"/>
              </w:rPr>
              <w:t>Certificate</w:t>
            </w:r>
            <w:proofErr w:type="gramEnd"/>
            <w:r w:rsidRPr="005F5709">
              <w:rPr>
                <w:rFonts w:asciiTheme="minorHAnsi" w:hAnsiTheme="minorHAnsi" w:cstheme="minorHAnsi"/>
              </w:rPr>
              <w:t xml:space="preserve"> III or IV level in an occupation on the NSNL </w:t>
            </w:r>
          </w:p>
          <w:p w14:paraId="5486AC81" w14:textId="77777777" w:rsidR="00BD1D88" w:rsidRPr="005F5709" w:rsidRDefault="00BD1D88" w:rsidP="00977294">
            <w:pPr>
              <w:pStyle w:val="ListParagraph"/>
              <w:numPr>
                <w:ilvl w:val="0"/>
                <w:numId w:val="34"/>
              </w:numPr>
              <w:spacing w:after="200" w:line="360" w:lineRule="auto"/>
              <w:rPr>
                <w:rFonts w:asciiTheme="minorHAnsi" w:hAnsiTheme="minorHAnsi" w:cstheme="minorHAnsi"/>
              </w:rPr>
            </w:pPr>
            <w:r w:rsidRPr="005F5709">
              <w:rPr>
                <w:rFonts w:asciiTheme="minorHAnsi" w:hAnsiTheme="minorHAnsi" w:cstheme="minorHAnsi"/>
              </w:rPr>
              <w:t>An adult apprentice is defined as being aged 21 years or over if they commenced their apprenticeship on or after 1 July 2019, or 25 years or over if they commenced prior to 1 July 2019.</w:t>
            </w:r>
          </w:p>
          <w:p w14:paraId="4D94AA54" w14:textId="77777777" w:rsidR="00BD1D88" w:rsidRPr="005F5709" w:rsidRDefault="00BD1D88" w:rsidP="00977294">
            <w:pPr>
              <w:pStyle w:val="ListParagraph"/>
              <w:numPr>
                <w:ilvl w:val="0"/>
                <w:numId w:val="34"/>
              </w:numPr>
              <w:spacing w:after="200" w:line="360" w:lineRule="auto"/>
              <w:rPr>
                <w:rFonts w:asciiTheme="minorHAnsi" w:hAnsiTheme="minorHAnsi" w:cstheme="minorHAnsi"/>
              </w:rPr>
            </w:pPr>
            <w:r w:rsidRPr="005F5709">
              <w:rPr>
                <w:rFonts w:asciiTheme="minorHAnsi" w:hAnsiTheme="minorHAnsi" w:cstheme="minorHAnsi"/>
              </w:rPr>
              <w:t xml:space="preserve">Employers may be eligible for Support for Adult Australian Apprentices where the actual wage paid to the Australian Apprentice is equal to or greater than the National Minimum Wage. </w:t>
            </w:r>
          </w:p>
          <w:p w14:paraId="5B572DB5" w14:textId="77777777" w:rsidR="00BD1D88" w:rsidRPr="005F5709" w:rsidRDefault="00BD1D88" w:rsidP="00977294">
            <w:pPr>
              <w:pStyle w:val="ListParagraph"/>
              <w:numPr>
                <w:ilvl w:val="0"/>
                <w:numId w:val="34"/>
              </w:numPr>
              <w:spacing w:after="200" w:line="360" w:lineRule="auto"/>
              <w:rPr>
                <w:rFonts w:asciiTheme="minorHAnsi" w:hAnsiTheme="minorHAnsi" w:cstheme="minorHAnsi"/>
              </w:rPr>
            </w:pPr>
            <w:r w:rsidRPr="005F5709">
              <w:rPr>
                <w:rFonts w:asciiTheme="minorHAnsi" w:hAnsiTheme="minorHAnsi" w:cstheme="minorHAnsi"/>
              </w:rPr>
              <w:t xml:space="preserve">Employers may be eligible once the Australian Apprentice has successfully completed 12 months of their Australian apprenticeship. </w:t>
            </w:r>
          </w:p>
        </w:tc>
      </w:tr>
      <w:tr w:rsidR="00BD1D88" w:rsidRPr="005F5709" w14:paraId="36BDE2CF" w14:textId="77777777" w:rsidTr="001F4E9B">
        <w:tc>
          <w:tcPr>
            <w:tcW w:w="9016" w:type="dxa"/>
            <w:gridSpan w:val="3"/>
          </w:tcPr>
          <w:p w14:paraId="114FA01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Australian Apprentice Wage Subsidy trial </w:t>
            </w:r>
          </w:p>
        </w:tc>
      </w:tr>
      <w:tr w:rsidR="00BD1D88" w:rsidRPr="005F5709" w14:paraId="0CCBC4C9" w14:textId="77777777" w:rsidTr="001F4E9B">
        <w:tc>
          <w:tcPr>
            <w:tcW w:w="3005" w:type="dxa"/>
          </w:tcPr>
          <w:p w14:paraId="2DB2DF1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Australian Apprentice Wage Subsidy </w:t>
            </w:r>
          </w:p>
        </w:tc>
        <w:tc>
          <w:tcPr>
            <w:tcW w:w="6011" w:type="dxa"/>
            <w:gridSpan w:val="2"/>
          </w:tcPr>
          <w:p w14:paraId="4226330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to employers who employ a new worker Australian Apprentice undertaking a full-time Certificate III or IV qualification that leads to an occupation listed on the NSNL in a rural or regional workplace. </w:t>
            </w:r>
          </w:p>
          <w:p w14:paraId="4E81598E"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Based on the award wage rate (modern award) under which an Australian Apprentice is employed and provides support in the first three years of an Australian Apprenticeship as follows: 75 per cent of the </w:t>
            </w:r>
            <w:proofErr w:type="gramStart"/>
            <w:r w:rsidRPr="005F5709">
              <w:rPr>
                <w:rFonts w:asciiTheme="minorHAnsi" w:hAnsiTheme="minorHAnsi" w:cstheme="minorHAnsi"/>
              </w:rPr>
              <w:t>first year</w:t>
            </w:r>
            <w:proofErr w:type="gramEnd"/>
            <w:r w:rsidRPr="005F5709">
              <w:rPr>
                <w:rFonts w:asciiTheme="minorHAnsi" w:hAnsiTheme="minorHAnsi" w:cstheme="minorHAnsi"/>
              </w:rPr>
              <w:t xml:space="preserve"> wage; 50 per cent of the second year wage; and 25 per cent of the third year wage. </w:t>
            </w:r>
          </w:p>
          <w:p w14:paraId="535582A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There are two phases of the Australian Apprentice Wage Subsidy Trial:</w:t>
            </w:r>
          </w:p>
          <w:p w14:paraId="12819031" w14:textId="77777777" w:rsidR="00BD1D88" w:rsidRPr="005F5709" w:rsidRDefault="00BD1D88" w:rsidP="00977294">
            <w:pPr>
              <w:pStyle w:val="ListParagraph"/>
              <w:numPr>
                <w:ilvl w:val="0"/>
                <w:numId w:val="35"/>
              </w:numPr>
              <w:spacing w:after="200" w:line="360" w:lineRule="auto"/>
              <w:rPr>
                <w:rFonts w:asciiTheme="minorHAnsi" w:hAnsiTheme="minorHAnsi" w:cstheme="minorHAnsi"/>
              </w:rPr>
            </w:pPr>
            <w:r w:rsidRPr="005F5709">
              <w:rPr>
                <w:rFonts w:asciiTheme="minorHAnsi" w:hAnsiTheme="minorHAnsi" w:cstheme="minorHAnsi"/>
              </w:rPr>
              <w:t>Phase 1 – available to employers who sign-up and commence an Australian Apprentice from 1 January 2019 and until 1,630 sign-ups have occurred.</w:t>
            </w:r>
          </w:p>
          <w:p w14:paraId="0F856DA3" w14:textId="77777777" w:rsidR="00BD1D88" w:rsidRPr="005F5709" w:rsidRDefault="00BD1D88" w:rsidP="00977294">
            <w:pPr>
              <w:pStyle w:val="ListParagraph"/>
              <w:numPr>
                <w:ilvl w:val="0"/>
                <w:numId w:val="35"/>
              </w:numPr>
              <w:spacing w:after="200" w:line="360" w:lineRule="auto"/>
              <w:rPr>
                <w:rFonts w:asciiTheme="minorHAnsi" w:hAnsiTheme="minorHAnsi" w:cstheme="minorHAnsi"/>
              </w:rPr>
            </w:pPr>
            <w:r w:rsidRPr="005F5709">
              <w:rPr>
                <w:rFonts w:asciiTheme="minorHAnsi" w:hAnsiTheme="minorHAnsi" w:cstheme="minorHAnsi"/>
              </w:rPr>
              <w:lastRenderedPageBreak/>
              <w:t xml:space="preserve">Phase 2 – available to employers who sign-up and commence an Australian Apprentice from 1 July 2019 and until 1,630 sign-ups have occurred. </w:t>
            </w:r>
          </w:p>
        </w:tc>
      </w:tr>
      <w:tr w:rsidR="00BD1D88" w:rsidRPr="005F5709" w14:paraId="0AA53DAB" w14:textId="77777777" w:rsidTr="001F4E9B">
        <w:tc>
          <w:tcPr>
            <w:tcW w:w="9016" w:type="dxa"/>
            <w:gridSpan w:val="3"/>
          </w:tcPr>
          <w:p w14:paraId="0048F9D6" w14:textId="77777777" w:rsidR="00BD1D88" w:rsidRPr="005F5709" w:rsidRDefault="00BD1D88" w:rsidP="001F4E9B">
            <w:pPr>
              <w:jc w:val="center"/>
              <w:rPr>
                <w:rFonts w:asciiTheme="minorHAnsi" w:hAnsiTheme="minorHAnsi" w:cstheme="minorHAnsi"/>
              </w:rPr>
            </w:pPr>
            <w:r w:rsidRPr="005F5709">
              <w:rPr>
                <w:rFonts w:asciiTheme="minorHAnsi" w:hAnsiTheme="minorHAnsi" w:cstheme="minorHAnsi"/>
              </w:rPr>
              <w:lastRenderedPageBreak/>
              <w:t>Additional Identified Skills Shortage Payment</w:t>
            </w:r>
          </w:p>
        </w:tc>
      </w:tr>
      <w:tr w:rsidR="00BD1D88" w:rsidRPr="005F5709" w14:paraId="4692BD89" w14:textId="77777777" w:rsidTr="001F4E9B">
        <w:tc>
          <w:tcPr>
            <w:tcW w:w="3005" w:type="dxa"/>
          </w:tcPr>
          <w:p w14:paraId="003B821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Employer Payment </w:t>
            </w:r>
          </w:p>
        </w:tc>
        <w:tc>
          <w:tcPr>
            <w:tcW w:w="6011" w:type="dxa"/>
            <w:gridSpan w:val="2"/>
          </w:tcPr>
          <w:p w14:paraId="05F9B03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to employers of Australian Apprentices new to the employer, commencing a Certificate III or IV level qualification leading to an occupation on the AISS list. Employers will only be eligible to claim the Additional Identified Skills Shortage payment for apprentices that qualify as being additional, that is over and above the employer’s usual apprentice intake. </w:t>
            </w:r>
          </w:p>
          <w:p w14:paraId="56E9133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Eligible employers will receive $2,000 at the 12 month point from commencement of the apprenticeship and an additional $2,000 at the completion of the apprenticeship. </w:t>
            </w:r>
          </w:p>
        </w:tc>
      </w:tr>
      <w:tr w:rsidR="00BD1D88" w:rsidRPr="005F5709" w14:paraId="3F029575" w14:textId="77777777" w:rsidTr="001F4E9B">
        <w:tc>
          <w:tcPr>
            <w:tcW w:w="3005" w:type="dxa"/>
          </w:tcPr>
          <w:p w14:paraId="067DFAA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Apprentice Payment </w:t>
            </w:r>
          </w:p>
        </w:tc>
        <w:tc>
          <w:tcPr>
            <w:tcW w:w="6011" w:type="dxa"/>
            <w:gridSpan w:val="2"/>
          </w:tcPr>
          <w:p w14:paraId="2A058FE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to apprentices new to the employer commencing a Certificate III or IV level qualification leading to an occupation on the AISS list. </w:t>
            </w:r>
          </w:p>
          <w:p w14:paraId="326DF2A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Eligible apprentices will receive $1,000 at the 12 month point from commencement of the apprenticeship and an additional $1,000 at the completion of the apprenticeship.</w:t>
            </w:r>
          </w:p>
        </w:tc>
      </w:tr>
      <w:tr w:rsidR="00BD1D88" w:rsidRPr="005F5709" w14:paraId="04C8AC5C" w14:textId="77777777" w:rsidTr="001F4E9B">
        <w:tc>
          <w:tcPr>
            <w:tcW w:w="9016" w:type="dxa"/>
            <w:gridSpan w:val="3"/>
          </w:tcPr>
          <w:p w14:paraId="612C8A76" w14:textId="77777777" w:rsidR="00BD1D88" w:rsidRPr="005F5709" w:rsidRDefault="00BD1D88" w:rsidP="001F4E9B">
            <w:pPr>
              <w:jc w:val="center"/>
              <w:rPr>
                <w:rFonts w:asciiTheme="minorHAnsi" w:hAnsiTheme="minorHAnsi" w:cstheme="minorHAnsi"/>
              </w:rPr>
            </w:pPr>
            <w:r w:rsidRPr="005F5709">
              <w:rPr>
                <w:rFonts w:asciiTheme="minorHAnsi" w:hAnsiTheme="minorHAnsi" w:cstheme="minorHAnsi"/>
              </w:rPr>
              <w:t>Assistance for Australian Apprentices with Disability</w:t>
            </w:r>
          </w:p>
        </w:tc>
      </w:tr>
      <w:tr w:rsidR="00BD1D88" w:rsidRPr="005F5709" w14:paraId="7FC90195" w14:textId="77777777" w:rsidTr="001F4E9B">
        <w:tc>
          <w:tcPr>
            <w:tcW w:w="3005" w:type="dxa"/>
          </w:tcPr>
          <w:p w14:paraId="2188F09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DAAWS</w:t>
            </w:r>
          </w:p>
        </w:tc>
        <w:tc>
          <w:tcPr>
            <w:tcW w:w="6011" w:type="dxa"/>
            <w:gridSpan w:val="2"/>
          </w:tcPr>
          <w:p w14:paraId="1D824F9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Provides additional assistance to employers who employ an Australian Apprentice with disability in a Certificate II or </w:t>
            </w:r>
            <w:proofErr w:type="gramStart"/>
            <w:r w:rsidRPr="005F5709">
              <w:rPr>
                <w:rFonts w:asciiTheme="minorHAnsi" w:hAnsiTheme="minorHAnsi" w:cstheme="minorHAnsi"/>
              </w:rPr>
              <w:t>higher level</w:t>
            </w:r>
            <w:proofErr w:type="gramEnd"/>
            <w:r w:rsidRPr="005F5709">
              <w:rPr>
                <w:rFonts w:asciiTheme="minorHAnsi" w:hAnsiTheme="minorHAnsi" w:cstheme="minorHAnsi"/>
              </w:rPr>
              <w:t xml:space="preserve"> qualification. </w:t>
            </w:r>
          </w:p>
          <w:p w14:paraId="2B33DD9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Paid at a rate of $104.30 per week for a full-time Australian Apprentice, and on a pro-rata scale according to the hours worked for a part-time Australian Apprentice. </w:t>
            </w:r>
          </w:p>
        </w:tc>
      </w:tr>
      <w:tr w:rsidR="00BD1D88" w:rsidRPr="005F5709" w14:paraId="75ECE58F" w14:textId="77777777" w:rsidTr="001F4E9B">
        <w:tc>
          <w:tcPr>
            <w:tcW w:w="3005" w:type="dxa"/>
          </w:tcPr>
          <w:p w14:paraId="5D4EAA8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Off-the-job Tutorial, Mentor and Interpreter Assistance</w:t>
            </w:r>
          </w:p>
        </w:tc>
        <w:tc>
          <w:tcPr>
            <w:tcW w:w="6011" w:type="dxa"/>
            <w:gridSpan w:val="2"/>
          </w:tcPr>
          <w:p w14:paraId="2DF0475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Assistance for Tutorial, Mentor and Interpreter Services is available to Registered Training Organisations to support Australian Apprentices with disability who are experiencing difficulty with the off-the-job component of their Australian Apprenticeship because of their disability. </w:t>
            </w:r>
          </w:p>
        </w:tc>
      </w:tr>
      <w:tr w:rsidR="00BD1D88" w:rsidRPr="005F5709" w14:paraId="68DFB996" w14:textId="77777777" w:rsidTr="001F4E9B">
        <w:tc>
          <w:tcPr>
            <w:tcW w:w="9016" w:type="dxa"/>
            <w:gridSpan w:val="3"/>
          </w:tcPr>
          <w:p w14:paraId="1C2F97D0" w14:textId="77777777" w:rsidR="00BD1D88" w:rsidRPr="005F5709" w:rsidRDefault="00BD1D88" w:rsidP="001F4E9B">
            <w:pPr>
              <w:jc w:val="center"/>
              <w:rPr>
                <w:rFonts w:asciiTheme="minorHAnsi" w:hAnsiTheme="minorHAnsi" w:cstheme="minorHAnsi"/>
              </w:rPr>
            </w:pPr>
            <w:r w:rsidRPr="005F5709">
              <w:rPr>
                <w:rFonts w:asciiTheme="minorHAnsi" w:hAnsiTheme="minorHAnsi" w:cstheme="minorHAnsi"/>
              </w:rPr>
              <w:t>Payments to Australian Apprentices</w:t>
            </w:r>
          </w:p>
        </w:tc>
      </w:tr>
      <w:tr w:rsidR="00BD1D88" w:rsidRPr="005F5709" w14:paraId="51502AA6" w14:textId="77777777" w:rsidTr="001F4E9B">
        <w:tc>
          <w:tcPr>
            <w:tcW w:w="3005" w:type="dxa"/>
          </w:tcPr>
          <w:p w14:paraId="69DFA41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LAFHA</w:t>
            </w:r>
          </w:p>
        </w:tc>
        <w:tc>
          <w:tcPr>
            <w:tcW w:w="6011" w:type="dxa"/>
            <w:gridSpan w:val="2"/>
          </w:tcPr>
          <w:p w14:paraId="43A6856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Australian Apprentices undertaking a Certificate II or </w:t>
            </w:r>
            <w:proofErr w:type="gramStart"/>
            <w:r w:rsidRPr="005F5709">
              <w:rPr>
                <w:rFonts w:asciiTheme="minorHAnsi" w:hAnsiTheme="minorHAnsi" w:cstheme="minorHAnsi"/>
              </w:rPr>
              <w:t>higher level</w:t>
            </w:r>
            <w:proofErr w:type="gramEnd"/>
            <w:r w:rsidRPr="005F5709">
              <w:rPr>
                <w:rFonts w:asciiTheme="minorHAnsi" w:hAnsiTheme="minorHAnsi" w:cstheme="minorHAnsi"/>
              </w:rPr>
              <w:t xml:space="preserve"> qualification may be eligible if they have to move away from their parental/guardian home for the first time to commence or remain in an Australian Apprenticeship, or are homeless.</w:t>
            </w:r>
          </w:p>
          <w:p w14:paraId="6657CC9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Australian Apprentices may be eligible for up to 12 months of LAFHA at the </w:t>
            </w:r>
            <w:proofErr w:type="gramStart"/>
            <w:r w:rsidRPr="005F5709">
              <w:rPr>
                <w:rFonts w:asciiTheme="minorHAnsi" w:hAnsiTheme="minorHAnsi" w:cstheme="minorHAnsi"/>
              </w:rPr>
              <w:t>first year</w:t>
            </w:r>
            <w:proofErr w:type="gramEnd"/>
            <w:r w:rsidRPr="005F5709">
              <w:rPr>
                <w:rFonts w:asciiTheme="minorHAnsi" w:hAnsiTheme="minorHAnsi" w:cstheme="minorHAnsi"/>
              </w:rPr>
              <w:t xml:space="preserve"> rate of $77.17 per week, a further 12 months assistance at the second year rate of $38.59 per week, and a further 12 months assistance at the third year rate of $25 per week. </w:t>
            </w:r>
          </w:p>
        </w:tc>
      </w:tr>
    </w:tbl>
    <w:p w14:paraId="0B80F6D4" w14:textId="77777777" w:rsidR="00BD1D88" w:rsidRPr="005F5709" w:rsidRDefault="00BD1D88" w:rsidP="00403639">
      <w:pPr>
        <w:rPr>
          <w:rFonts w:asciiTheme="minorHAnsi" w:hAnsiTheme="minorHAnsi" w:cstheme="minorHAnsi"/>
        </w:rPr>
      </w:pPr>
    </w:p>
    <w:p w14:paraId="6D89D24B" w14:textId="77777777" w:rsidR="00BD1D88" w:rsidRPr="005F5709" w:rsidRDefault="00BD1D88" w:rsidP="00403639">
      <w:pPr>
        <w:pStyle w:val="Heading1"/>
      </w:pPr>
      <w:r w:rsidRPr="005F5709">
        <w:lastRenderedPageBreak/>
        <w:br w:type="page"/>
      </w:r>
    </w:p>
    <w:p w14:paraId="5B5578B0" w14:textId="402621BF" w:rsidR="00BD1D88" w:rsidRPr="005F5709" w:rsidRDefault="00BD1D88" w:rsidP="00246B0A">
      <w:pPr>
        <w:pStyle w:val="Heading2"/>
        <w:rPr>
          <w:color w:val="002060"/>
        </w:rPr>
      </w:pPr>
      <w:bookmarkStart w:id="147" w:name="_Toc77162268"/>
      <w:bookmarkStart w:id="148" w:name="_Toc113022247"/>
      <w:r w:rsidRPr="005F5709">
        <w:rPr>
          <w:color w:val="002060"/>
        </w:rPr>
        <w:lastRenderedPageBreak/>
        <w:t>Attachment C: Comparison of incentives - AAIP to IAA</w:t>
      </w:r>
      <w:bookmarkEnd w:id="147"/>
      <w:bookmarkEnd w:id="148"/>
    </w:p>
    <w:p w14:paraId="7903D213" w14:textId="77777777" w:rsidR="00BD1D88" w:rsidRPr="005F5709" w:rsidRDefault="00BD1D88" w:rsidP="00BC2385">
      <w:pPr>
        <w:rPr>
          <w:rFonts w:asciiTheme="minorHAnsi" w:eastAsia="Times New Roman" w:hAnsiTheme="minorHAnsi" w:cstheme="minorHAnsi"/>
        </w:rPr>
      </w:pPr>
      <w:r w:rsidRPr="005F5709" w:rsidDel="00046389">
        <w:rPr>
          <w:rFonts w:asciiTheme="minorHAnsi" w:eastAsia="Times New Roman" w:hAnsiTheme="minorHAnsi" w:cstheme="minorHAnsi"/>
          <w:b/>
        </w:rPr>
        <w:t xml:space="preserve">Table </w:t>
      </w:r>
      <w:r w:rsidRPr="005F5709">
        <w:rPr>
          <w:rFonts w:asciiTheme="minorHAnsi" w:eastAsia="Times New Roman" w:hAnsiTheme="minorHAnsi" w:cstheme="minorHAnsi"/>
          <w:b/>
        </w:rPr>
        <w:t>14</w:t>
      </w:r>
      <w:r w:rsidRPr="005F5709" w:rsidDel="00046389">
        <w:rPr>
          <w:rFonts w:asciiTheme="minorHAnsi" w:eastAsia="Times New Roman" w:hAnsiTheme="minorHAnsi" w:cstheme="minorHAnsi"/>
          <w:b/>
        </w:rPr>
        <w:t xml:space="preserve">: </w:t>
      </w:r>
      <w:r w:rsidRPr="005F5709">
        <w:rPr>
          <w:rFonts w:asciiTheme="minorHAnsi" w:eastAsia="Times New Roman" w:hAnsiTheme="minorHAnsi" w:cstheme="minorHAnsi"/>
          <w:b/>
        </w:rPr>
        <w:t xml:space="preserve">Comparison of AAIP and IAA </w:t>
      </w:r>
    </w:p>
    <w:tbl>
      <w:tblPr>
        <w:tblStyle w:val="TableGrid"/>
        <w:tblW w:w="0" w:type="auto"/>
        <w:tblLook w:val="04A0" w:firstRow="1" w:lastRow="0" w:firstColumn="1" w:lastColumn="0" w:noHBand="0" w:noVBand="1"/>
      </w:tblPr>
      <w:tblGrid>
        <w:gridCol w:w="3151"/>
        <w:gridCol w:w="5865"/>
      </w:tblGrid>
      <w:tr w:rsidR="00BD1D88" w:rsidRPr="005F5709" w14:paraId="775FCD09" w14:textId="77777777" w:rsidTr="00956821">
        <w:trPr>
          <w:tblHeader/>
        </w:trPr>
        <w:tc>
          <w:tcPr>
            <w:tcW w:w="3151" w:type="dxa"/>
          </w:tcPr>
          <w:p w14:paraId="229F1073" w14:textId="77777777" w:rsidR="00BD1D88" w:rsidRPr="005F5709" w:rsidRDefault="00BD1D88" w:rsidP="001F4E9B">
            <w:pPr>
              <w:rPr>
                <w:rFonts w:asciiTheme="minorHAnsi" w:hAnsiTheme="minorHAnsi" w:cstheme="minorHAnsi"/>
                <w:b/>
              </w:rPr>
            </w:pPr>
            <w:r w:rsidRPr="005F5709">
              <w:rPr>
                <w:rFonts w:asciiTheme="minorHAnsi" w:hAnsiTheme="minorHAnsi" w:cstheme="minorHAnsi"/>
                <w:b/>
              </w:rPr>
              <w:t>Previous incentive (AAIP)</w:t>
            </w:r>
          </w:p>
        </w:tc>
        <w:tc>
          <w:tcPr>
            <w:tcW w:w="5865" w:type="dxa"/>
          </w:tcPr>
          <w:p w14:paraId="4B46D4D5" w14:textId="77777777" w:rsidR="00BD1D88" w:rsidRPr="005F5709" w:rsidRDefault="00BD1D88" w:rsidP="001F4E9B">
            <w:pPr>
              <w:rPr>
                <w:rFonts w:asciiTheme="minorHAnsi" w:hAnsiTheme="minorHAnsi" w:cstheme="minorHAnsi"/>
                <w:b/>
              </w:rPr>
            </w:pPr>
            <w:r w:rsidRPr="005F5709">
              <w:rPr>
                <w:rFonts w:asciiTheme="minorHAnsi" w:hAnsiTheme="minorHAnsi" w:cstheme="minorHAnsi"/>
                <w:b/>
              </w:rPr>
              <w:t>How streamlined/simplified (IAA)</w:t>
            </w:r>
          </w:p>
        </w:tc>
      </w:tr>
      <w:tr w:rsidR="00BD1D88" w:rsidRPr="005F5709" w14:paraId="219EC3E8" w14:textId="77777777" w:rsidTr="001F4E9B">
        <w:tc>
          <w:tcPr>
            <w:tcW w:w="3151" w:type="dxa"/>
          </w:tcPr>
          <w:p w14:paraId="3149D46C" w14:textId="77777777" w:rsidR="00BD1D88" w:rsidRPr="005F5709" w:rsidRDefault="00BD1D88" w:rsidP="001F4E9B">
            <w:pPr>
              <w:rPr>
                <w:rFonts w:asciiTheme="minorHAnsi" w:hAnsiTheme="minorHAnsi" w:cstheme="minorHAnsi"/>
                <w:b/>
              </w:rPr>
            </w:pPr>
            <w:r w:rsidRPr="005F5709">
              <w:rPr>
                <w:rFonts w:asciiTheme="minorHAnsi" w:hAnsiTheme="minorHAnsi" w:cstheme="minorHAnsi"/>
              </w:rPr>
              <w:t>NSNL, ‘Priority AAIP’, and ‘other’ categories</w:t>
            </w:r>
          </w:p>
        </w:tc>
        <w:tc>
          <w:tcPr>
            <w:tcW w:w="5865" w:type="dxa"/>
          </w:tcPr>
          <w:p w14:paraId="7866FA5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Merged into a single category for the base incentives (</w:t>
            </w:r>
            <w:r w:rsidRPr="005F5709">
              <w:rPr>
                <w:rFonts w:asciiTheme="minorHAnsi" w:hAnsiTheme="minorHAnsi" w:cstheme="minorHAnsi"/>
                <w:b/>
              </w:rPr>
              <w:t>$1,500</w:t>
            </w:r>
            <w:r w:rsidRPr="005F5709">
              <w:rPr>
                <w:rFonts w:asciiTheme="minorHAnsi" w:hAnsiTheme="minorHAnsi" w:cstheme="minorHAnsi"/>
              </w:rPr>
              <w:t xml:space="preserve"> commencement, </w:t>
            </w:r>
            <w:r w:rsidRPr="005F5709">
              <w:rPr>
                <w:rFonts w:asciiTheme="minorHAnsi" w:hAnsiTheme="minorHAnsi" w:cstheme="minorHAnsi"/>
                <w:b/>
              </w:rPr>
              <w:t>$2,500</w:t>
            </w:r>
            <w:r w:rsidRPr="005F5709">
              <w:rPr>
                <w:rFonts w:asciiTheme="minorHAnsi" w:hAnsiTheme="minorHAnsi" w:cstheme="minorHAnsi"/>
              </w:rPr>
              <w:t xml:space="preserve"> completion). Employers are eligible as long as their apprentice is new. If their apprentice is in an NSNL or Priority occupation, they are eligible even if the apprentice is an existing employee.</w:t>
            </w:r>
          </w:p>
        </w:tc>
      </w:tr>
      <w:tr w:rsidR="00BD1D88" w:rsidRPr="005F5709" w14:paraId="0469ACFD" w14:textId="77777777" w:rsidTr="001F4E9B">
        <w:tc>
          <w:tcPr>
            <w:tcW w:w="3151" w:type="dxa"/>
          </w:tcPr>
          <w:p w14:paraId="62CE6F20" w14:textId="77777777" w:rsidR="00BD1D88" w:rsidRPr="005F5709" w:rsidRDefault="00BD1D88" w:rsidP="001F4E9B">
            <w:pPr>
              <w:rPr>
                <w:rFonts w:asciiTheme="minorHAnsi" w:hAnsiTheme="minorHAnsi" w:cstheme="minorHAnsi"/>
                <w:b/>
              </w:rPr>
            </w:pPr>
            <w:r w:rsidRPr="005F5709">
              <w:rPr>
                <w:rFonts w:asciiTheme="minorHAnsi" w:hAnsiTheme="minorHAnsi" w:cstheme="minorHAnsi"/>
              </w:rPr>
              <w:t>Eligibility for the base incentives</w:t>
            </w:r>
          </w:p>
        </w:tc>
        <w:tc>
          <w:tcPr>
            <w:tcW w:w="5865" w:type="dxa"/>
          </w:tcPr>
          <w:p w14:paraId="248A024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Extended to Diploma and Advanced Diploma apprentices, not just those undertaking a Certificate III or IV.</w:t>
            </w:r>
          </w:p>
          <w:p w14:paraId="5D864DF6" w14:textId="77777777" w:rsidR="00BD1D88" w:rsidRPr="005F5709" w:rsidRDefault="00BD1D88" w:rsidP="001F4E9B">
            <w:pPr>
              <w:rPr>
                <w:rFonts w:asciiTheme="minorHAnsi" w:hAnsiTheme="minorHAnsi" w:cstheme="minorHAnsi"/>
              </w:rPr>
            </w:pPr>
          </w:p>
        </w:tc>
      </w:tr>
      <w:tr w:rsidR="00BD1D88" w:rsidRPr="005F5709" w14:paraId="27C49BEB" w14:textId="77777777" w:rsidTr="001F4E9B">
        <w:tc>
          <w:tcPr>
            <w:tcW w:w="3151" w:type="dxa"/>
          </w:tcPr>
          <w:p w14:paraId="651E187C" w14:textId="77777777" w:rsidR="00BD1D88" w:rsidRPr="005F5709" w:rsidRDefault="00BD1D88" w:rsidP="001F4E9B">
            <w:pPr>
              <w:rPr>
                <w:rFonts w:asciiTheme="minorHAnsi" w:hAnsiTheme="minorHAnsi" w:cstheme="minorHAnsi"/>
                <w:b/>
              </w:rPr>
            </w:pPr>
            <w:r w:rsidRPr="005F5709">
              <w:rPr>
                <w:rFonts w:asciiTheme="minorHAnsi" w:hAnsiTheme="minorHAnsi" w:cstheme="minorHAnsi"/>
              </w:rPr>
              <w:t>Payment amounts for employers of part-time apprentices</w:t>
            </w:r>
          </w:p>
        </w:tc>
        <w:tc>
          <w:tcPr>
            <w:tcW w:w="5865" w:type="dxa"/>
          </w:tcPr>
          <w:p w14:paraId="4E9E3E3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Increased to match the payments for full-time apprentices, eliminating the distinction between full-time and part-time across all categories.</w:t>
            </w:r>
          </w:p>
        </w:tc>
      </w:tr>
      <w:tr w:rsidR="00BD1D88" w:rsidRPr="005F5709" w14:paraId="7701B472" w14:textId="77777777" w:rsidTr="001F4E9B">
        <w:tc>
          <w:tcPr>
            <w:tcW w:w="3151" w:type="dxa"/>
          </w:tcPr>
          <w:p w14:paraId="3C9E501A" w14:textId="77777777" w:rsidR="00BD1D88" w:rsidRPr="005F5709" w:rsidRDefault="00BD1D88" w:rsidP="001F4E9B">
            <w:pPr>
              <w:rPr>
                <w:rFonts w:asciiTheme="minorHAnsi" w:hAnsiTheme="minorHAnsi" w:cstheme="minorHAnsi"/>
                <w:b/>
              </w:rPr>
            </w:pPr>
            <w:r w:rsidRPr="005F5709">
              <w:rPr>
                <w:rFonts w:asciiTheme="minorHAnsi" w:hAnsiTheme="minorHAnsi" w:cstheme="minorHAnsi"/>
              </w:rPr>
              <w:t xml:space="preserve">Rural and Regional Skills Shortage commencement incentive and the </w:t>
            </w:r>
            <w:proofErr w:type="spellStart"/>
            <w:r w:rsidRPr="005F5709">
              <w:rPr>
                <w:rFonts w:asciiTheme="minorHAnsi" w:hAnsiTheme="minorHAnsi" w:cstheme="minorHAnsi"/>
              </w:rPr>
              <w:t>ASbA</w:t>
            </w:r>
            <w:proofErr w:type="spellEnd"/>
            <w:r w:rsidRPr="005F5709">
              <w:rPr>
                <w:rFonts w:asciiTheme="minorHAnsi" w:hAnsiTheme="minorHAnsi" w:cstheme="minorHAnsi"/>
              </w:rPr>
              <w:t xml:space="preserve"> commencement and retention incentives</w:t>
            </w:r>
          </w:p>
        </w:tc>
        <w:tc>
          <w:tcPr>
            <w:tcW w:w="5865" w:type="dxa"/>
          </w:tcPr>
          <w:p w14:paraId="2073C51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Merged into a single 'Target Groups' category.</w:t>
            </w:r>
          </w:p>
          <w:p w14:paraId="145D06C8" w14:textId="77777777" w:rsidR="00BD1D88" w:rsidRPr="005F5709" w:rsidRDefault="00BD1D88" w:rsidP="00977294">
            <w:pPr>
              <w:pStyle w:val="ListParagraph"/>
              <w:numPr>
                <w:ilvl w:val="0"/>
                <w:numId w:val="31"/>
              </w:numPr>
              <w:rPr>
                <w:rFonts w:asciiTheme="minorHAnsi" w:hAnsiTheme="minorHAnsi" w:cstheme="minorHAnsi"/>
              </w:rPr>
            </w:pPr>
            <w:r w:rsidRPr="005F5709">
              <w:rPr>
                <w:rFonts w:asciiTheme="minorHAnsi" w:hAnsiTheme="minorHAnsi" w:cstheme="minorHAnsi"/>
              </w:rPr>
              <w:t xml:space="preserve">The Rural and Regional Skills Shortage commencement incentive will reduce from </w:t>
            </w:r>
            <w:r w:rsidRPr="005F5709">
              <w:rPr>
                <w:rFonts w:asciiTheme="minorHAnsi" w:hAnsiTheme="minorHAnsi" w:cstheme="minorHAnsi"/>
                <w:b/>
              </w:rPr>
              <w:t>$1,000</w:t>
            </w:r>
            <w:r w:rsidRPr="005F5709">
              <w:rPr>
                <w:rFonts w:asciiTheme="minorHAnsi" w:hAnsiTheme="minorHAnsi" w:cstheme="minorHAnsi"/>
              </w:rPr>
              <w:t xml:space="preserve"> to </w:t>
            </w:r>
            <w:r w:rsidRPr="005F5709">
              <w:rPr>
                <w:rFonts w:asciiTheme="minorHAnsi" w:hAnsiTheme="minorHAnsi" w:cstheme="minorHAnsi"/>
                <w:b/>
              </w:rPr>
              <w:t>$750</w:t>
            </w:r>
            <w:r w:rsidRPr="005F5709">
              <w:rPr>
                <w:rFonts w:asciiTheme="minorHAnsi" w:hAnsiTheme="minorHAnsi" w:cstheme="minorHAnsi"/>
              </w:rPr>
              <w:t xml:space="preserve">, but a </w:t>
            </w:r>
            <w:r w:rsidRPr="005F5709">
              <w:rPr>
                <w:rFonts w:asciiTheme="minorHAnsi" w:hAnsiTheme="minorHAnsi" w:cstheme="minorHAnsi"/>
                <w:b/>
              </w:rPr>
              <w:t>$750</w:t>
            </w:r>
            <w:r w:rsidRPr="005F5709">
              <w:rPr>
                <w:rFonts w:asciiTheme="minorHAnsi" w:hAnsiTheme="minorHAnsi" w:cstheme="minorHAnsi"/>
              </w:rPr>
              <w:t xml:space="preserve"> completion incentive will be added, a net gain of </w:t>
            </w:r>
            <w:r w:rsidRPr="005F5709">
              <w:rPr>
                <w:rFonts w:asciiTheme="minorHAnsi" w:hAnsiTheme="minorHAnsi" w:cstheme="minorHAnsi"/>
                <w:b/>
              </w:rPr>
              <w:t>$500</w:t>
            </w:r>
            <w:r w:rsidRPr="005F5709">
              <w:rPr>
                <w:rFonts w:asciiTheme="minorHAnsi" w:hAnsiTheme="minorHAnsi" w:cstheme="minorHAnsi"/>
              </w:rPr>
              <w:t xml:space="preserve"> for this cohort.</w:t>
            </w:r>
          </w:p>
          <w:p w14:paraId="4FD9F10F" w14:textId="77777777" w:rsidR="00BD1D88" w:rsidRPr="005F5709" w:rsidRDefault="00BD1D88" w:rsidP="00977294">
            <w:pPr>
              <w:pStyle w:val="ListParagraph"/>
              <w:numPr>
                <w:ilvl w:val="0"/>
                <w:numId w:val="31"/>
              </w:numPr>
              <w:rPr>
                <w:rFonts w:asciiTheme="minorHAnsi" w:hAnsiTheme="minorHAnsi" w:cstheme="minorHAnsi"/>
              </w:rPr>
            </w:pPr>
            <w:r w:rsidRPr="005F5709">
              <w:rPr>
                <w:rFonts w:asciiTheme="minorHAnsi" w:hAnsiTheme="minorHAnsi" w:cstheme="minorHAnsi"/>
              </w:rPr>
              <w:t xml:space="preserve">The </w:t>
            </w:r>
            <w:r w:rsidRPr="005F5709">
              <w:rPr>
                <w:rFonts w:asciiTheme="minorHAnsi" w:hAnsiTheme="minorHAnsi" w:cstheme="minorHAnsi"/>
                <w:b/>
              </w:rPr>
              <w:t>$750</w:t>
            </w:r>
            <w:r w:rsidRPr="005F5709">
              <w:rPr>
                <w:rFonts w:asciiTheme="minorHAnsi" w:hAnsiTheme="minorHAnsi" w:cstheme="minorHAnsi"/>
              </w:rPr>
              <w:t xml:space="preserve"> </w:t>
            </w:r>
            <w:proofErr w:type="spellStart"/>
            <w:r w:rsidRPr="005F5709">
              <w:rPr>
                <w:rFonts w:asciiTheme="minorHAnsi" w:hAnsiTheme="minorHAnsi" w:cstheme="minorHAnsi"/>
              </w:rPr>
              <w:t>ASbA</w:t>
            </w:r>
            <w:proofErr w:type="spellEnd"/>
            <w:r w:rsidRPr="005F5709">
              <w:rPr>
                <w:rFonts w:asciiTheme="minorHAnsi" w:hAnsiTheme="minorHAnsi" w:cstheme="minorHAnsi"/>
              </w:rPr>
              <w:t xml:space="preserve"> retention incentive will change to a completion incentive, to encourage employers to retain their school-aged apprentices beyond the 12 weeks required to claim the retention incentive. </w:t>
            </w:r>
            <w:proofErr w:type="spellStart"/>
            <w:r w:rsidRPr="005F5709">
              <w:rPr>
                <w:rFonts w:asciiTheme="minorHAnsi" w:hAnsiTheme="minorHAnsi" w:cstheme="minorHAnsi"/>
              </w:rPr>
              <w:t>ASbAs</w:t>
            </w:r>
            <w:proofErr w:type="spellEnd"/>
            <w:r w:rsidRPr="005F5709">
              <w:rPr>
                <w:rFonts w:asciiTheme="minorHAnsi" w:hAnsiTheme="minorHAnsi" w:cstheme="minorHAnsi"/>
              </w:rPr>
              <w:t xml:space="preserve"> undertaking a Certificate II will no longer be eligible for this incentive, however they will still be able to claim the Certificate II Target Groups incentives.</w:t>
            </w:r>
          </w:p>
        </w:tc>
      </w:tr>
      <w:tr w:rsidR="00BD1D88" w:rsidRPr="005F5709" w14:paraId="6977613D" w14:textId="77777777" w:rsidTr="001F4E9B">
        <w:tc>
          <w:tcPr>
            <w:tcW w:w="3151" w:type="dxa"/>
          </w:tcPr>
          <w:p w14:paraId="17747E1D" w14:textId="77777777" w:rsidR="00BD1D88" w:rsidRPr="005F5709" w:rsidRDefault="00BD1D88" w:rsidP="001F4E9B">
            <w:pPr>
              <w:rPr>
                <w:rFonts w:asciiTheme="minorHAnsi" w:hAnsiTheme="minorHAnsi" w:cstheme="minorHAnsi"/>
                <w:b/>
              </w:rPr>
            </w:pPr>
            <w:r w:rsidRPr="005F5709">
              <w:rPr>
                <w:rFonts w:asciiTheme="minorHAnsi" w:hAnsiTheme="minorHAnsi" w:cstheme="minorHAnsi"/>
              </w:rPr>
              <w:t>Nominated Equity Groups commencement incentive</w:t>
            </w:r>
          </w:p>
        </w:tc>
        <w:tc>
          <w:tcPr>
            <w:tcW w:w="5865" w:type="dxa"/>
          </w:tcPr>
          <w:p w14:paraId="6B16EC6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Increased from </w:t>
            </w:r>
            <w:r w:rsidRPr="005F5709">
              <w:rPr>
                <w:rFonts w:asciiTheme="minorHAnsi" w:hAnsiTheme="minorHAnsi" w:cstheme="minorHAnsi"/>
                <w:b/>
              </w:rPr>
              <w:t>$1,250</w:t>
            </w:r>
            <w:r w:rsidRPr="005F5709">
              <w:rPr>
                <w:rFonts w:asciiTheme="minorHAnsi" w:hAnsiTheme="minorHAnsi" w:cstheme="minorHAnsi"/>
              </w:rPr>
              <w:t xml:space="preserve"> to </w:t>
            </w:r>
            <w:r w:rsidRPr="005F5709">
              <w:rPr>
                <w:rFonts w:asciiTheme="minorHAnsi" w:hAnsiTheme="minorHAnsi" w:cstheme="minorHAnsi"/>
                <w:b/>
              </w:rPr>
              <w:t>$1,500</w:t>
            </w:r>
            <w:r w:rsidRPr="005F5709">
              <w:rPr>
                <w:rFonts w:asciiTheme="minorHAnsi" w:hAnsiTheme="minorHAnsi" w:cstheme="minorHAnsi"/>
              </w:rPr>
              <w:t xml:space="preserve">, and split into a </w:t>
            </w:r>
            <w:r w:rsidRPr="005F5709">
              <w:rPr>
                <w:rFonts w:asciiTheme="minorHAnsi" w:hAnsiTheme="minorHAnsi" w:cstheme="minorHAnsi"/>
                <w:b/>
              </w:rPr>
              <w:t>$750</w:t>
            </w:r>
            <w:r w:rsidRPr="005F5709">
              <w:rPr>
                <w:rFonts w:asciiTheme="minorHAnsi" w:hAnsiTheme="minorHAnsi" w:cstheme="minorHAnsi"/>
              </w:rPr>
              <w:t xml:space="preserve"> commencement incentive and a </w:t>
            </w:r>
            <w:r w:rsidRPr="005F5709">
              <w:rPr>
                <w:rFonts w:asciiTheme="minorHAnsi" w:hAnsiTheme="minorHAnsi" w:cstheme="minorHAnsi"/>
                <w:b/>
              </w:rPr>
              <w:t>$750</w:t>
            </w:r>
            <w:r w:rsidRPr="005F5709">
              <w:rPr>
                <w:rFonts w:asciiTheme="minorHAnsi" w:hAnsiTheme="minorHAnsi" w:cstheme="minorHAnsi"/>
              </w:rPr>
              <w:t xml:space="preserve"> completion incentive.</w:t>
            </w:r>
          </w:p>
        </w:tc>
      </w:tr>
      <w:tr w:rsidR="00BD1D88" w:rsidRPr="005F5709" w14:paraId="4009EDD1" w14:textId="77777777" w:rsidTr="001F4E9B">
        <w:tc>
          <w:tcPr>
            <w:tcW w:w="3151" w:type="dxa"/>
          </w:tcPr>
          <w:p w14:paraId="23DA41E5" w14:textId="77777777" w:rsidR="00BD1D88" w:rsidRPr="005F5709" w:rsidRDefault="00BD1D88" w:rsidP="001F4E9B">
            <w:pPr>
              <w:rPr>
                <w:rFonts w:asciiTheme="minorHAnsi" w:hAnsiTheme="minorHAnsi" w:cstheme="minorHAnsi"/>
                <w:b/>
              </w:rPr>
            </w:pPr>
            <w:r w:rsidRPr="005F5709">
              <w:rPr>
                <w:rFonts w:asciiTheme="minorHAnsi" w:hAnsiTheme="minorHAnsi" w:cstheme="minorHAnsi"/>
              </w:rPr>
              <w:t>GTO Certificate II completion incentive</w:t>
            </w:r>
          </w:p>
        </w:tc>
        <w:tc>
          <w:tcPr>
            <w:tcW w:w="5865" w:type="dxa"/>
          </w:tcPr>
          <w:p w14:paraId="071EB4C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Reduced from </w:t>
            </w:r>
            <w:r w:rsidRPr="005F5709">
              <w:rPr>
                <w:rFonts w:asciiTheme="minorHAnsi" w:hAnsiTheme="minorHAnsi" w:cstheme="minorHAnsi"/>
                <w:b/>
              </w:rPr>
              <w:t>$1,000</w:t>
            </w:r>
            <w:r w:rsidRPr="005F5709">
              <w:rPr>
                <w:rFonts w:asciiTheme="minorHAnsi" w:hAnsiTheme="minorHAnsi" w:cstheme="minorHAnsi"/>
              </w:rPr>
              <w:t xml:space="preserve"> to </w:t>
            </w:r>
            <w:r w:rsidRPr="005F5709">
              <w:rPr>
                <w:rFonts w:asciiTheme="minorHAnsi" w:hAnsiTheme="minorHAnsi" w:cstheme="minorHAnsi"/>
                <w:b/>
              </w:rPr>
              <w:t>$750</w:t>
            </w:r>
            <w:r w:rsidRPr="005F5709">
              <w:rPr>
                <w:rFonts w:asciiTheme="minorHAnsi" w:hAnsiTheme="minorHAnsi" w:cstheme="minorHAnsi"/>
              </w:rPr>
              <w:t xml:space="preserve"> but there will be no net loss in payments for GTOs due to the Target Groups incentives increasing by </w:t>
            </w:r>
            <w:r w:rsidRPr="005F5709">
              <w:rPr>
                <w:rFonts w:asciiTheme="minorHAnsi" w:hAnsiTheme="minorHAnsi" w:cstheme="minorHAnsi"/>
                <w:b/>
              </w:rPr>
              <w:t>$250</w:t>
            </w:r>
            <w:r w:rsidRPr="005F5709">
              <w:rPr>
                <w:rFonts w:asciiTheme="minorHAnsi" w:hAnsiTheme="minorHAnsi" w:cstheme="minorHAnsi"/>
              </w:rPr>
              <w:t xml:space="preserve">. </w:t>
            </w:r>
          </w:p>
        </w:tc>
      </w:tr>
      <w:tr w:rsidR="00BD1D88" w:rsidRPr="005F5709" w14:paraId="70789F65" w14:textId="77777777" w:rsidTr="001F4E9B">
        <w:tc>
          <w:tcPr>
            <w:tcW w:w="3151" w:type="dxa"/>
          </w:tcPr>
          <w:p w14:paraId="57F5354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Support for employers of </w:t>
            </w:r>
            <w:proofErr w:type="spellStart"/>
            <w:r w:rsidRPr="005F5709">
              <w:rPr>
                <w:rFonts w:asciiTheme="minorHAnsi" w:hAnsiTheme="minorHAnsi" w:cstheme="minorHAnsi"/>
              </w:rPr>
              <w:t>ASbAs</w:t>
            </w:r>
            <w:proofErr w:type="spellEnd"/>
            <w:r w:rsidRPr="005F5709">
              <w:rPr>
                <w:rFonts w:asciiTheme="minorHAnsi" w:hAnsiTheme="minorHAnsi" w:cstheme="minorHAnsi"/>
              </w:rPr>
              <w:t xml:space="preserve"> undertaking a Certificate II</w:t>
            </w:r>
          </w:p>
        </w:tc>
        <w:tc>
          <w:tcPr>
            <w:tcW w:w="5865" w:type="dxa"/>
          </w:tcPr>
          <w:p w14:paraId="7508DFA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Additional </w:t>
            </w:r>
            <w:r w:rsidRPr="005F5709">
              <w:rPr>
                <w:rFonts w:asciiTheme="minorHAnsi" w:hAnsiTheme="minorHAnsi" w:cstheme="minorHAnsi"/>
                <w:b/>
              </w:rPr>
              <w:t>$1,500</w:t>
            </w:r>
            <w:r w:rsidRPr="005F5709">
              <w:rPr>
                <w:rFonts w:asciiTheme="minorHAnsi" w:hAnsiTheme="minorHAnsi" w:cstheme="minorHAnsi"/>
              </w:rPr>
              <w:t xml:space="preserve"> commencement incentive introduced, to ensure employers of </w:t>
            </w:r>
            <w:proofErr w:type="spellStart"/>
            <w:r w:rsidRPr="005F5709">
              <w:rPr>
                <w:rFonts w:asciiTheme="minorHAnsi" w:hAnsiTheme="minorHAnsi" w:cstheme="minorHAnsi"/>
              </w:rPr>
              <w:t>ASbAs</w:t>
            </w:r>
            <w:proofErr w:type="spellEnd"/>
            <w:r w:rsidRPr="005F5709">
              <w:rPr>
                <w:rFonts w:asciiTheme="minorHAnsi" w:hAnsiTheme="minorHAnsi" w:cstheme="minorHAnsi"/>
              </w:rPr>
              <w:t xml:space="preserve"> undertaking a Certificate II are not disadvantaged by no longer being able to claim both the Nominated Equity Groups commencement incentive and the </w:t>
            </w:r>
            <w:proofErr w:type="spellStart"/>
            <w:r w:rsidRPr="005F5709">
              <w:rPr>
                <w:rFonts w:asciiTheme="minorHAnsi" w:hAnsiTheme="minorHAnsi" w:cstheme="minorHAnsi"/>
              </w:rPr>
              <w:t>ASbA</w:t>
            </w:r>
            <w:proofErr w:type="spellEnd"/>
            <w:r w:rsidRPr="005F5709">
              <w:rPr>
                <w:rFonts w:asciiTheme="minorHAnsi" w:hAnsiTheme="minorHAnsi" w:cstheme="minorHAnsi"/>
              </w:rPr>
              <w:t xml:space="preserve"> commencement and retention incentives. </w:t>
            </w:r>
          </w:p>
        </w:tc>
      </w:tr>
      <w:tr w:rsidR="00BD1D88" w:rsidRPr="005F5709" w14:paraId="3D04287A" w14:textId="77777777" w:rsidTr="001F4E9B">
        <w:tc>
          <w:tcPr>
            <w:tcW w:w="3151" w:type="dxa"/>
          </w:tcPr>
          <w:p w14:paraId="5E87D99B" w14:textId="77777777" w:rsidR="00BD1D88" w:rsidRPr="005F5709" w:rsidRDefault="00BD1D88" w:rsidP="001F4E9B">
            <w:pPr>
              <w:rPr>
                <w:rFonts w:asciiTheme="minorHAnsi" w:hAnsiTheme="minorHAnsi" w:cstheme="minorHAnsi"/>
                <w:b/>
              </w:rPr>
            </w:pPr>
            <w:r w:rsidRPr="005F5709">
              <w:rPr>
                <w:rFonts w:asciiTheme="minorHAnsi" w:hAnsiTheme="minorHAnsi" w:cstheme="minorHAnsi"/>
              </w:rPr>
              <w:t>Support for Adult Australian Apprentices (SAAA) incentive</w:t>
            </w:r>
          </w:p>
        </w:tc>
        <w:tc>
          <w:tcPr>
            <w:tcW w:w="5865" w:type="dxa"/>
          </w:tcPr>
          <w:p w14:paraId="1CB3E926" w14:textId="77777777" w:rsidR="00BD1D88" w:rsidRPr="005F5709" w:rsidRDefault="00BD1D88" w:rsidP="00956821">
            <w:pPr>
              <w:rPr>
                <w:rFonts w:asciiTheme="minorHAnsi" w:hAnsiTheme="minorHAnsi" w:cstheme="minorHAnsi"/>
                <w:b/>
              </w:rPr>
            </w:pPr>
            <w:r w:rsidRPr="005F5709">
              <w:rPr>
                <w:rFonts w:asciiTheme="minorHAnsi" w:hAnsiTheme="minorHAnsi" w:cstheme="minorHAnsi"/>
              </w:rPr>
              <w:t>Unchanged.</w:t>
            </w:r>
          </w:p>
        </w:tc>
      </w:tr>
      <w:tr w:rsidR="00BD1D88" w:rsidRPr="005F5709" w14:paraId="39C3F0B9" w14:textId="77777777" w:rsidTr="001F4E9B">
        <w:tc>
          <w:tcPr>
            <w:tcW w:w="3151" w:type="dxa"/>
          </w:tcPr>
          <w:p w14:paraId="6391A9B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Mature Aged Worker commencement and completion incentives</w:t>
            </w:r>
          </w:p>
        </w:tc>
        <w:tc>
          <w:tcPr>
            <w:tcW w:w="5865" w:type="dxa"/>
          </w:tcPr>
          <w:p w14:paraId="6628795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Unchanged.</w:t>
            </w:r>
          </w:p>
        </w:tc>
      </w:tr>
      <w:tr w:rsidR="00BD1D88" w:rsidRPr="005F5709" w14:paraId="701E7552" w14:textId="77777777" w:rsidTr="001F4E9B">
        <w:trPr>
          <w:trHeight w:val="70"/>
        </w:trPr>
        <w:tc>
          <w:tcPr>
            <w:tcW w:w="3151" w:type="dxa"/>
          </w:tcPr>
          <w:p w14:paraId="2CF6B53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Declared Drought Area commencement </w:t>
            </w:r>
            <w:r w:rsidRPr="005F5709">
              <w:rPr>
                <w:rFonts w:asciiTheme="minorHAnsi" w:hAnsiTheme="minorHAnsi" w:cstheme="minorHAnsi"/>
                <w:b/>
              </w:rPr>
              <w:t>($1,500)</w:t>
            </w:r>
            <w:r w:rsidRPr="005F5709">
              <w:rPr>
                <w:rFonts w:asciiTheme="minorHAnsi" w:hAnsiTheme="minorHAnsi" w:cstheme="minorHAnsi"/>
              </w:rPr>
              <w:t xml:space="preserve"> and </w:t>
            </w:r>
            <w:r w:rsidRPr="005F5709">
              <w:rPr>
                <w:rFonts w:asciiTheme="minorHAnsi" w:hAnsiTheme="minorHAnsi" w:cstheme="minorHAnsi"/>
              </w:rPr>
              <w:lastRenderedPageBreak/>
              <w:t xml:space="preserve">completion </w:t>
            </w:r>
            <w:r w:rsidRPr="005F5709">
              <w:rPr>
                <w:rFonts w:asciiTheme="minorHAnsi" w:hAnsiTheme="minorHAnsi" w:cstheme="minorHAnsi"/>
                <w:b/>
              </w:rPr>
              <w:t>($1,500)</w:t>
            </w:r>
            <w:r w:rsidRPr="005F5709">
              <w:rPr>
                <w:rFonts w:asciiTheme="minorHAnsi" w:hAnsiTheme="minorHAnsi" w:cstheme="minorHAnsi"/>
              </w:rPr>
              <w:t xml:space="preserve"> incentives  </w:t>
            </w:r>
          </w:p>
        </w:tc>
        <w:tc>
          <w:tcPr>
            <w:tcW w:w="5865" w:type="dxa"/>
          </w:tcPr>
          <w:p w14:paraId="0F91ACF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lastRenderedPageBreak/>
              <w:t xml:space="preserve">Discontinued. While the Incentive is ongoing, in June 2014 the Department of Agriculture ceased issuing </w:t>
            </w:r>
            <w:r w:rsidRPr="005F5709">
              <w:rPr>
                <w:rFonts w:asciiTheme="minorHAnsi" w:hAnsiTheme="minorHAnsi" w:cstheme="minorHAnsi"/>
              </w:rPr>
              <w:lastRenderedPageBreak/>
              <w:t xml:space="preserve">Exceptional Circumstances Certificates. As such it is not possible for an employer to meet the eligibility criteria to claim this incentive. </w:t>
            </w:r>
          </w:p>
          <w:p w14:paraId="62A5078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Data for this Incentive is only available from 2004. From 2004 to date, 741 apprentices have attracted payments for their employers, totalling $1.615M.</w:t>
            </w:r>
          </w:p>
        </w:tc>
      </w:tr>
      <w:tr w:rsidR="00BD1D88" w:rsidRPr="005F5709" w14:paraId="033B5ED6" w14:textId="77777777" w:rsidTr="001F4E9B">
        <w:trPr>
          <w:trHeight w:val="70"/>
        </w:trPr>
        <w:tc>
          <w:tcPr>
            <w:tcW w:w="3151" w:type="dxa"/>
          </w:tcPr>
          <w:p w14:paraId="5B87BC3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lastRenderedPageBreak/>
              <w:t xml:space="preserve">Minimum total incentives </w:t>
            </w:r>
            <w:r w:rsidRPr="005F5709">
              <w:rPr>
                <w:rFonts w:asciiTheme="minorHAnsi" w:hAnsiTheme="minorHAnsi" w:cstheme="minorHAnsi"/>
                <w:b/>
              </w:rPr>
              <w:t>$4,000</w:t>
            </w:r>
            <w:r w:rsidRPr="005F5709">
              <w:rPr>
                <w:rFonts w:asciiTheme="minorHAnsi" w:hAnsiTheme="minorHAnsi" w:cstheme="minorHAnsi"/>
              </w:rPr>
              <w:t xml:space="preserve"> (Certificate III and above), </w:t>
            </w:r>
            <w:r w:rsidRPr="005F5709">
              <w:rPr>
                <w:rFonts w:asciiTheme="minorHAnsi" w:hAnsiTheme="minorHAnsi" w:cstheme="minorHAnsi"/>
                <w:b/>
              </w:rPr>
              <w:t>$1,250</w:t>
            </w:r>
            <w:r w:rsidRPr="005F5709">
              <w:rPr>
                <w:rFonts w:asciiTheme="minorHAnsi" w:hAnsiTheme="minorHAnsi" w:cstheme="minorHAnsi"/>
              </w:rPr>
              <w:t xml:space="preserve"> (Certificate II).</w:t>
            </w:r>
          </w:p>
          <w:p w14:paraId="014CFD9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Maximum total incentives </w:t>
            </w:r>
            <w:r w:rsidRPr="005F5709">
              <w:rPr>
                <w:rFonts w:asciiTheme="minorHAnsi" w:hAnsiTheme="minorHAnsi" w:cstheme="minorHAnsi"/>
                <w:b/>
              </w:rPr>
              <w:t xml:space="preserve">$10,500 </w:t>
            </w:r>
            <w:r w:rsidRPr="005F5709">
              <w:rPr>
                <w:rFonts w:asciiTheme="minorHAnsi" w:hAnsiTheme="minorHAnsi" w:cstheme="minorHAnsi"/>
              </w:rPr>
              <w:t xml:space="preserve">(Certificate III and above), </w:t>
            </w:r>
            <w:r w:rsidRPr="005F5709">
              <w:rPr>
                <w:rFonts w:asciiTheme="minorHAnsi" w:hAnsiTheme="minorHAnsi" w:cstheme="minorHAnsi"/>
                <w:b/>
              </w:rPr>
              <w:t xml:space="preserve">$3,750 </w:t>
            </w:r>
            <w:r w:rsidRPr="005F5709">
              <w:rPr>
                <w:rFonts w:asciiTheme="minorHAnsi" w:hAnsiTheme="minorHAnsi" w:cstheme="minorHAnsi"/>
              </w:rPr>
              <w:t>(Certificate II).</w:t>
            </w:r>
          </w:p>
        </w:tc>
        <w:tc>
          <w:tcPr>
            <w:tcW w:w="5865" w:type="dxa"/>
          </w:tcPr>
          <w:p w14:paraId="01A8B79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Minimum total incentives:</w:t>
            </w:r>
          </w:p>
          <w:p w14:paraId="4097BE66" w14:textId="77777777" w:rsidR="00BD1D88" w:rsidRPr="005F5709" w:rsidRDefault="00BD1D88" w:rsidP="001F4E9B">
            <w:pPr>
              <w:rPr>
                <w:rFonts w:asciiTheme="minorHAnsi" w:hAnsiTheme="minorHAnsi" w:cstheme="minorHAnsi"/>
              </w:rPr>
            </w:pPr>
            <w:r w:rsidRPr="005F5709">
              <w:rPr>
                <w:rFonts w:asciiTheme="minorHAnsi" w:hAnsiTheme="minorHAnsi" w:cstheme="minorHAnsi"/>
                <w:b/>
              </w:rPr>
              <w:t xml:space="preserve">$4,000 </w:t>
            </w:r>
            <w:r w:rsidRPr="005F5709">
              <w:rPr>
                <w:rFonts w:asciiTheme="minorHAnsi" w:hAnsiTheme="minorHAnsi" w:cstheme="minorHAnsi"/>
              </w:rPr>
              <w:t>(Certificate III and above) – unchanged</w:t>
            </w:r>
          </w:p>
          <w:p w14:paraId="18702A48" w14:textId="77777777" w:rsidR="00BD1D88" w:rsidRPr="005F5709" w:rsidRDefault="00BD1D88" w:rsidP="001F4E9B">
            <w:pPr>
              <w:rPr>
                <w:rFonts w:asciiTheme="minorHAnsi" w:hAnsiTheme="minorHAnsi" w:cstheme="minorHAnsi"/>
                <w:b/>
              </w:rPr>
            </w:pPr>
            <w:r w:rsidRPr="005F5709">
              <w:rPr>
                <w:rFonts w:asciiTheme="minorHAnsi" w:hAnsiTheme="minorHAnsi" w:cstheme="minorHAnsi"/>
                <w:b/>
              </w:rPr>
              <w:t>$1,500</w:t>
            </w:r>
            <w:r w:rsidRPr="005F5709">
              <w:rPr>
                <w:rFonts w:asciiTheme="minorHAnsi" w:hAnsiTheme="minorHAnsi" w:cstheme="minorHAnsi"/>
              </w:rPr>
              <w:t xml:space="preserve"> (Certificate II) – increase by </w:t>
            </w:r>
            <w:r w:rsidRPr="005F5709">
              <w:rPr>
                <w:rFonts w:asciiTheme="minorHAnsi" w:hAnsiTheme="minorHAnsi" w:cstheme="minorHAnsi"/>
                <w:b/>
              </w:rPr>
              <w:t>$250</w:t>
            </w:r>
          </w:p>
          <w:p w14:paraId="2212C18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Maximum total incentives:</w:t>
            </w:r>
          </w:p>
          <w:p w14:paraId="4496584A" w14:textId="77777777" w:rsidR="00BD1D88" w:rsidRPr="005F5709" w:rsidRDefault="00BD1D88" w:rsidP="001F4E9B">
            <w:pPr>
              <w:rPr>
                <w:rFonts w:asciiTheme="minorHAnsi" w:hAnsiTheme="minorHAnsi" w:cstheme="minorHAnsi"/>
                <w:b/>
              </w:rPr>
            </w:pPr>
            <w:r w:rsidRPr="005F5709">
              <w:rPr>
                <w:rFonts w:asciiTheme="minorHAnsi" w:hAnsiTheme="minorHAnsi" w:cstheme="minorHAnsi"/>
                <w:b/>
              </w:rPr>
              <w:t xml:space="preserve">$11,000 </w:t>
            </w:r>
            <w:r w:rsidRPr="005F5709">
              <w:rPr>
                <w:rFonts w:asciiTheme="minorHAnsi" w:hAnsiTheme="minorHAnsi" w:cstheme="minorHAnsi"/>
              </w:rPr>
              <w:t xml:space="preserve">(Certificate III and above) – increase by </w:t>
            </w:r>
            <w:r w:rsidRPr="005F5709">
              <w:rPr>
                <w:rFonts w:asciiTheme="minorHAnsi" w:hAnsiTheme="minorHAnsi" w:cstheme="minorHAnsi"/>
                <w:b/>
              </w:rPr>
              <w:t>$500</w:t>
            </w:r>
          </w:p>
          <w:p w14:paraId="56C5F456" w14:textId="77777777" w:rsidR="00BD1D88" w:rsidRPr="005F5709" w:rsidRDefault="00BD1D88" w:rsidP="001F4E9B">
            <w:pPr>
              <w:rPr>
                <w:rFonts w:asciiTheme="minorHAnsi" w:hAnsiTheme="minorHAnsi" w:cstheme="minorHAnsi"/>
              </w:rPr>
            </w:pPr>
            <w:r w:rsidRPr="005F5709">
              <w:rPr>
                <w:rFonts w:asciiTheme="minorHAnsi" w:hAnsiTheme="minorHAnsi" w:cstheme="minorHAnsi"/>
                <w:b/>
              </w:rPr>
              <w:t xml:space="preserve">$3,750 </w:t>
            </w:r>
            <w:r w:rsidRPr="005F5709">
              <w:rPr>
                <w:rFonts w:asciiTheme="minorHAnsi" w:hAnsiTheme="minorHAnsi" w:cstheme="minorHAnsi"/>
              </w:rPr>
              <w:t>(Certificate II) – unchanged</w:t>
            </w:r>
          </w:p>
        </w:tc>
      </w:tr>
    </w:tbl>
    <w:p w14:paraId="17B1F82F" w14:textId="77777777" w:rsidR="00BD1D88" w:rsidRPr="005F5709" w:rsidRDefault="00BD1D88" w:rsidP="00403639">
      <w:pPr>
        <w:rPr>
          <w:rFonts w:asciiTheme="minorHAnsi" w:hAnsiTheme="minorHAnsi" w:cstheme="minorHAnsi"/>
          <w:b/>
        </w:rPr>
      </w:pPr>
    </w:p>
    <w:p w14:paraId="218ADEA6" w14:textId="77777777" w:rsidR="00BD1D88" w:rsidRPr="005F5709" w:rsidRDefault="00BD1D88" w:rsidP="00403639">
      <w:pPr>
        <w:rPr>
          <w:rFonts w:asciiTheme="minorHAnsi" w:hAnsiTheme="minorHAnsi" w:cstheme="minorHAnsi"/>
        </w:rPr>
      </w:pPr>
      <w:r w:rsidRPr="005F5709">
        <w:rPr>
          <w:rFonts w:asciiTheme="minorHAnsi" w:hAnsiTheme="minorHAnsi" w:cstheme="minorHAnsi"/>
        </w:rPr>
        <w:br w:type="page"/>
      </w:r>
    </w:p>
    <w:p w14:paraId="678C39EE" w14:textId="3DECB30D" w:rsidR="00BD1D88" w:rsidRPr="005F5709" w:rsidRDefault="00BD1D88" w:rsidP="00246B0A">
      <w:pPr>
        <w:pStyle w:val="Heading2"/>
        <w:rPr>
          <w:color w:val="002060"/>
        </w:rPr>
      </w:pPr>
      <w:bookmarkStart w:id="149" w:name="_Toc113022248"/>
      <w:r w:rsidRPr="005F5709">
        <w:rPr>
          <w:color w:val="002060"/>
        </w:rPr>
        <w:lastRenderedPageBreak/>
        <w:t>Attachment D: Australian Apprenticeships Priority List</w:t>
      </w:r>
      <w:bookmarkEnd w:id="149"/>
    </w:p>
    <w:tbl>
      <w:tblPr>
        <w:tblW w:w="9025" w:type="dxa"/>
        <w:tblInd w:w="-10" w:type="dxa"/>
        <w:tblLayout w:type="fixed"/>
        <w:tblLook w:val="04A0" w:firstRow="1" w:lastRow="0" w:firstColumn="1" w:lastColumn="0" w:noHBand="0" w:noVBand="1"/>
      </w:tblPr>
      <w:tblGrid>
        <w:gridCol w:w="2348"/>
        <w:gridCol w:w="6677"/>
      </w:tblGrid>
      <w:tr w:rsidR="00BD1D88" w:rsidRPr="005F5709" w14:paraId="6F7F3CE9" w14:textId="77777777" w:rsidTr="00956821">
        <w:trPr>
          <w:trHeight w:val="300"/>
          <w:tblHeader/>
        </w:trPr>
        <w:tc>
          <w:tcPr>
            <w:tcW w:w="2348" w:type="dxa"/>
            <w:tcBorders>
              <w:top w:val="single" w:sz="8" w:space="0" w:color="auto"/>
              <w:left w:val="single" w:sz="8" w:space="0" w:color="auto"/>
              <w:bottom w:val="single" w:sz="8" w:space="0" w:color="auto"/>
              <w:right w:val="single" w:sz="8" w:space="0" w:color="auto"/>
            </w:tcBorders>
            <w:shd w:val="clear" w:color="auto" w:fill="002060"/>
            <w:vAlign w:val="center"/>
          </w:tcPr>
          <w:p w14:paraId="09973F13" w14:textId="77777777" w:rsidR="00BD1D88" w:rsidRPr="005F5709" w:rsidRDefault="00BD1D88" w:rsidP="001F4E9B">
            <w:pPr>
              <w:jc w:val="center"/>
              <w:rPr>
                <w:rFonts w:asciiTheme="minorHAnsi" w:hAnsiTheme="minorHAnsi" w:cstheme="minorHAnsi"/>
                <w:color w:val="FFFFFF" w:themeColor="background1"/>
              </w:rPr>
            </w:pPr>
            <w:r w:rsidRPr="005F5709">
              <w:rPr>
                <w:rFonts w:asciiTheme="minorHAnsi" w:eastAsia="Times New Roman" w:hAnsiTheme="minorHAnsi" w:cstheme="minorHAnsi"/>
                <w:b/>
                <w:bCs/>
                <w:color w:val="FFFFFF" w:themeColor="background1"/>
              </w:rPr>
              <w:t>ANZSCO Code</w:t>
            </w:r>
          </w:p>
        </w:tc>
        <w:tc>
          <w:tcPr>
            <w:tcW w:w="6677" w:type="dxa"/>
            <w:tcBorders>
              <w:top w:val="single" w:sz="8" w:space="0" w:color="auto"/>
              <w:left w:val="single" w:sz="8" w:space="0" w:color="auto"/>
              <w:bottom w:val="single" w:sz="8" w:space="0" w:color="auto"/>
              <w:right w:val="single" w:sz="8" w:space="0" w:color="auto"/>
            </w:tcBorders>
            <w:shd w:val="clear" w:color="auto" w:fill="002060"/>
            <w:vAlign w:val="center"/>
          </w:tcPr>
          <w:p w14:paraId="0A5B66B1" w14:textId="77777777" w:rsidR="00BD1D88" w:rsidRPr="005F5709" w:rsidRDefault="00BD1D88" w:rsidP="001F4E9B">
            <w:pPr>
              <w:jc w:val="center"/>
              <w:rPr>
                <w:rFonts w:asciiTheme="minorHAnsi" w:hAnsiTheme="minorHAnsi" w:cstheme="minorHAnsi"/>
                <w:color w:val="FFFFFF" w:themeColor="background1"/>
              </w:rPr>
            </w:pPr>
            <w:r w:rsidRPr="005F5709">
              <w:rPr>
                <w:rFonts w:asciiTheme="minorHAnsi" w:eastAsia="Times New Roman" w:hAnsiTheme="minorHAnsi" w:cstheme="minorHAnsi"/>
                <w:b/>
                <w:bCs/>
                <w:color w:val="FFFFFF" w:themeColor="background1"/>
              </w:rPr>
              <w:t>Occupation</w:t>
            </w:r>
          </w:p>
        </w:tc>
      </w:tr>
      <w:tr w:rsidR="00BD1D88" w:rsidRPr="005F5709" w14:paraId="128B8D09" w14:textId="77777777" w:rsidTr="00956821">
        <w:trPr>
          <w:trHeight w:val="300"/>
        </w:trPr>
        <w:tc>
          <w:tcPr>
            <w:tcW w:w="2348" w:type="dxa"/>
            <w:tcBorders>
              <w:top w:val="single" w:sz="8" w:space="0" w:color="auto"/>
              <w:left w:val="single" w:sz="8" w:space="0" w:color="auto"/>
              <w:bottom w:val="nil"/>
              <w:right w:val="single" w:sz="8" w:space="0" w:color="auto"/>
            </w:tcBorders>
            <w:vAlign w:val="bottom"/>
          </w:tcPr>
          <w:p w14:paraId="7F50A1B7"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423111</w:t>
            </w:r>
          </w:p>
        </w:tc>
        <w:tc>
          <w:tcPr>
            <w:tcW w:w="6677" w:type="dxa"/>
            <w:tcBorders>
              <w:top w:val="single" w:sz="8" w:space="0" w:color="auto"/>
              <w:left w:val="single" w:sz="8" w:space="0" w:color="auto"/>
              <w:bottom w:val="nil"/>
              <w:right w:val="single" w:sz="8" w:space="0" w:color="auto"/>
            </w:tcBorders>
            <w:vAlign w:val="bottom"/>
          </w:tcPr>
          <w:p w14:paraId="5358D90C"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Aged or Disabled Carer</w:t>
            </w:r>
          </w:p>
        </w:tc>
      </w:tr>
      <w:tr w:rsidR="00BD1D88" w:rsidRPr="005F5709" w14:paraId="2B220BDB" w14:textId="77777777" w:rsidTr="00956821">
        <w:trPr>
          <w:trHeight w:val="300"/>
        </w:trPr>
        <w:tc>
          <w:tcPr>
            <w:tcW w:w="2348" w:type="dxa"/>
            <w:tcBorders>
              <w:top w:val="nil"/>
              <w:left w:val="single" w:sz="8" w:space="0" w:color="auto"/>
              <w:bottom w:val="nil"/>
              <w:right w:val="single" w:sz="8" w:space="0" w:color="auto"/>
            </w:tcBorders>
            <w:vAlign w:val="bottom"/>
          </w:tcPr>
          <w:p w14:paraId="0EAE466C"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311111</w:t>
            </w:r>
          </w:p>
        </w:tc>
        <w:tc>
          <w:tcPr>
            <w:tcW w:w="6677" w:type="dxa"/>
            <w:tcBorders>
              <w:top w:val="nil"/>
              <w:left w:val="single" w:sz="8" w:space="0" w:color="auto"/>
              <w:bottom w:val="nil"/>
              <w:right w:val="single" w:sz="8" w:space="0" w:color="auto"/>
            </w:tcBorders>
            <w:vAlign w:val="bottom"/>
          </w:tcPr>
          <w:p w14:paraId="4ED060E5"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Agricultural Technician</w:t>
            </w:r>
          </w:p>
        </w:tc>
      </w:tr>
      <w:tr w:rsidR="00BD1D88" w:rsidRPr="005F5709" w14:paraId="625524FC" w14:textId="77777777" w:rsidTr="00956821">
        <w:trPr>
          <w:trHeight w:val="300"/>
        </w:trPr>
        <w:tc>
          <w:tcPr>
            <w:tcW w:w="2348" w:type="dxa"/>
            <w:tcBorders>
              <w:top w:val="nil"/>
              <w:left w:val="single" w:sz="8" w:space="0" w:color="auto"/>
              <w:bottom w:val="nil"/>
              <w:right w:val="single" w:sz="8" w:space="0" w:color="auto"/>
            </w:tcBorders>
            <w:vAlign w:val="bottom"/>
          </w:tcPr>
          <w:p w14:paraId="542DA228"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334112</w:t>
            </w:r>
          </w:p>
        </w:tc>
        <w:tc>
          <w:tcPr>
            <w:tcW w:w="6677" w:type="dxa"/>
            <w:tcBorders>
              <w:top w:val="nil"/>
              <w:left w:val="single" w:sz="8" w:space="0" w:color="auto"/>
              <w:bottom w:val="nil"/>
              <w:right w:val="single" w:sz="8" w:space="0" w:color="auto"/>
            </w:tcBorders>
            <w:vAlign w:val="bottom"/>
          </w:tcPr>
          <w:p w14:paraId="75B2AAF3"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Airconditioning and Mechanical Services Plumber</w:t>
            </w:r>
          </w:p>
        </w:tc>
      </w:tr>
      <w:tr w:rsidR="00BD1D88" w:rsidRPr="005F5709" w14:paraId="5E6F47C4" w14:textId="77777777" w:rsidTr="00956821">
        <w:trPr>
          <w:trHeight w:val="300"/>
        </w:trPr>
        <w:tc>
          <w:tcPr>
            <w:tcW w:w="2348" w:type="dxa"/>
            <w:tcBorders>
              <w:top w:val="nil"/>
              <w:left w:val="single" w:sz="8" w:space="0" w:color="auto"/>
              <w:bottom w:val="nil"/>
              <w:right w:val="single" w:sz="8" w:space="0" w:color="auto"/>
            </w:tcBorders>
            <w:vAlign w:val="bottom"/>
          </w:tcPr>
          <w:p w14:paraId="7778C95C"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342111</w:t>
            </w:r>
          </w:p>
        </w:tc>
        <w:tc>
          <w:tcPr>
            <w:tcW w:w="6677" w:type="dxa"/>
            <w:tcBorders>
              <w:top w:val="nil"/>
              <w:left w:val="single" w:sz="8" w:space="0" w:color="auto"/>
              <w:bottom w:val="nil"/>
              <w:right w:val="single" w:sz="8" w:space="0" w:color="auto"/>
            </w:tcBorders>
            <w:vAlign w:val="bottom"/>
          </w:tcPr>
          <w:p w14:paraId="6FD1CB40"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Airconditioning and Refrigeration Mechanic</w:t>
            </w:r>
          </w:p>
        </w:tc>
      </w:tr>
      <w:tr w:rsidR="00BD1D88" w:rsidRPr="005F5709" w14:paraId="43598E2A" w14:textId="77777777" w:rsidTr="00956821">
        <w:trPr>
          <w:trHeight w:val="300"/>
        </w:trPr>
        <w:tc>
          <w:tcPr>
            <w:tcW w:w="2348" w:type="dxa"/>
            <w:tcBorders>
              <w:top w:val="nil"/>
              <w:left w:val="single" w:sz="8" w:space="0" w:color="auto"/>
              <w:bottom w:val="nil"/>
              <w:right w:val="single" w:sz="8" w:space="0" w:color="auto"/>
            </w:tcBorders>
            <w:vAlign w:val="bottom"/>
          </w:tcPr>
          <w:p w14:paraId="6E210B3C"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323111</w:t>
            </w:r>
          </w:p>
        </w:tc>
        <w:tc>
          <w:tcPr>
            <w:tcW w:w="6677" w:type="dxa"/>
            <w:tcBorders>
              <w:top w:val="nil"/>
              <w:left w:val="single" w:sz="8" w:space="0" w:color="auto"/>
              <w:bottom w:val="nil"/>
              <w:right w:val="single" w:sz="8" w:space="0" w:color="auto"/>
            </w:tcBorders>
            <w:vAlign w:val="bottom"/>
          </w:tcPr>
          <w:p w14:paraId="04B8DF42"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Aircraft Maintenance Engineer (Avionics)</w:t>
            </w:r>
          </w:p>
        </w:tc>
      </w:tr>
      <w:tr w:rsidR="00BD1D88" w:rsidRPr="005F5709" w14:paraId="48507E9D" w14:textId="77777777" w:rsidTr="00956821">
        <w:trPr>
          <w:trHeight w:val="300"/>
        </w:trPr>
        <w:tc>
          <w:tcPr>
            <w:tcW w:w="2348" w:type="dxa"/>
            <w:tcBorders>
              <w:top w:val="nil"/>
              <w:left w:val="single" w:sz="8" w:space="0" w:color="auto"/>
              <w:bottom w:val="nil"/>
              <w:right w:val="single" w:sz="8" w:space="0" w:color="auto"/>
            </w:tcBorders>
            <w:vAlign w:val="bottom"/>
          </w:tcPr>
          <w:p w14:paraId="5DAFBB05"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323112</w:t>
            </w:r>
          </w:p>
        </w:tc>
        <w:tc>
          <w:tcPr>
            <w:tcW w:w="6677" w:type="dxa"/>
            <w:tcBorders>
              <w:top w:val="nil"/>
              <w:left w:val="single" w:sz="8" w:space="0" w:color="auto"/>
              <w:bottom w:val="nil"/>
              <w:right w:val="single" w:sz="8" w:space="0" w:color="auto"/>
            </w:tcBorders>
            <w:vAlign w:val="bottom"/>
          </w:tcPr>
          <w:p w14:paraId="39A69FE2"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Aircraft Maintenance Engineer (Mechanical)</w:t>
            </w:r>
          </w:p>
        </w:tc>
      </w:tr>
      <w:tr w:rsidR="00BD1D88" w:rsidRPr="005F5709" w14:paraId="620A443E" w14:textId="77777777" w:rsidTr="00956821">
        <w:trPr>
          <w:trHeight w:val="300"/>
        </w:trPr>
        <w:tc>
          <w:tcPr>
            <w:tcW w:w="2348" w:type="dxa"/>
            <w:tcBorders>
              <w:top w:val="nil"/>
              <w:left w:val="single" w:sz="8" w:space="0" w:color="auto"/>
              <w:bottom w:val="nil"/>
              <w:right w:val="single" w:sz="8" w:space="0" w:color="auto"/>
            </w:tcBorders>
            <w:vAlign w:val="bottom"/>
          </w:tcPr>
          <w:p w14:paraId="53161AE3"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323113</w:t>
            </w:r>
          </w:p>
        </w:tc>
        <w:tc>
          <w:tcPr>
            <w:tcW w:w="6677" w:type="dxa"/>
            <w:tcBorders>
              <w:top w:val="nil"/>
              <w:left w:val="single" w:sz="8" w:space="0" w:color="auto"/>
              <w:bottom w:val="nil"/>
              <w:right w:val="single" w:sz="8" w:space="0" w:color="auto"/>
            </w:tcBorders>
            <w:vAlign w:val="bottom"/>
          </w:tcPr>
          <w:p w14:paraId="121245BE"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Aircraft Maintenance Engineer (Structures)</w:t>
            </w:r>
          </w:p>
        </w:tc>
      </w:tr>
      <w:tr w:rsidR="00BD1D88" w:rsidRPr="005F5709" w14:paraId="19C0A15A" w14:textId="77777777" w:rsidTr="00956821">
        <w:trPr>
          <w:trHeight w:val="480"/>
        </w:trPr>
        <w:tc>
          <w:tcPr>
            <w:tcW w:w="2348" w:type="dxa"/>
            <w:tcBorders>
              <w:top w:val="nil"/>
              <w:left w:val="single" w:sz="8" w:space="0" w:color="auto"/>
              <w:bottom w:val="nil"/>
              <w:right w:val="single" w:sz="8" w:space="0" w:color="auto"/>
            </w:tcBorders>
            <w:vAlign w:val="bottom"/>
          </w:tcPr>
          <w:p w14:paraId="3EE8DD88"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362212</w:t>
            </w:r>
          </w:p>
        </w:tc>
        <w:tc>
          <w:tcPr>
            <w:tcW w:w="6677" w:type="dxa"/>
            <w:tcBorders>
              <w:top w:val="nil"/>
              <w:left w:val="single" w:sz="8" w:space="0" w:color="auto"/>
              <w:bottom w:val="nil"/>
              <w:right w:val="single" w:sz="8" w:space="0" w:color="auto"/>
            </w:tcBorders>
            <w:vAlign w:val="bottom"/>
          </w:tcPr>
          <w:p w14:paraId="0687908A"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Arborist</w:t>
            </w:r>
          </w:p>
        </w:tc>
      </w:tr>
      <w:tr w:rsidR="00BD1D88" w:rsidRPr="005F5709" w14:paraId="499697A5" w14:textId="77777777" w:rsidTr="00956821">
        <w:trPr>
          <w:trHeight w:val="300"/>
        </w:trPr>
        <w:tc>
          <w:tcPr>
            <w:tcW w:w="2348" w:type="dxa"/>
            <w:tcBorders>
              <w:top w:val="nil"/>
              <w:left w:val="single" w:sz="8" w:space="0" w:color="auto"/>
              <w:bottom w:val="nil"/>
              <w:right w:val="single" w:sz="8" w:space="0" w:color="auto"/>
            </w:tcBorders>
            <w:vAlign w:val="bottom"/>
          </w:tcPr>
          <w:p w14:paraId="0DFABB69"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321111</w:t>
            </w:r>
          </w:p>
        </w:tc>
        <w:tc>
          <w:tcPr>
            <w:tcW w:w="6677" w:type="dxa"/>
            <w:tcBorders>
              <w:top w:val="nil"/>
              <w:left w:val="single" w:sz="8" w:space="0" w:color="auto"/>
              <w:bottom w:val="nil"/>
              <w:right w:val="single" w:sz="8" w:space="0" w:color="auto"/>
            </w:tcBorders>
            <w:vAlign w:val="bottom"/>
          </w:tcPr>
          <w:p w14:paraId="66F46A15"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Automotive Electrician</w:t>
            </w:r>
          </w:p>
        </w:tc>
      </w:tr>
      <w:tr w:rsidR="00BD1D88" w:rsidRPr="005F5709" w14:paraId="01683EF8" w14:textId="77777777" w:rsidTr="00956821">
        <w:trPr>
          <w:trHeight w:val="300"/>
        </w:trPr>
        <w:tc>
          <w:tcPr>
            <w:tcW w:w="2348" w:type="dxa"/>
            <w:tcBorders>
              <w:top w:val="nil"/>
              <w:left w:val="single" w:sz="8" w:space="0" w:color="auto"/>
              <w:bottom w:val="nil"/>
              <w:right w:val="single" w:sz="8" w:space="0" w:color="auto"/>
            </w:tcBorders>
            <w:vAlign w:val="bottom"/>
          </w:tcPr>
          <w:p w14:paraId="314483FD"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351111</w:t>
            </w:r>
          </w:p>
        </w:tc>
        <w:tc>
          <w:tcPr>
            <w:tcW w:w="6677" w:type="dxa"/>
            <w:tcBorders>
              <w:top w:val="nil"/>
              <w:left w:val="single" w:sz="8" w:space="0" w:color="auto"/>
              <w:bottom w:val="nil"/>
              <w:right w:val="single" w:sz="8" w:space="0" w:color="auto"/>
            </w:tcBorders>
            <w:vAlign w:val="bottom"/>
          </w:tcPr>
          <w:p w14:paraId="2C883BBB"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Baker</w:t>
            </w:r>
          </w:p>
        </w:tc>
      </w:tr>
      <w:tr w:rsidR="00BD1D88" w:rsidRPr="005F5709" w14:paraId="580D662F" w14:textId="77777777" w:rsidTr="00956821">
        <w:trPr>
          <w:trHeight w:val="300"/>
        </w:trPr>
        <w:tc>
          <w:tcPr>
            <w:tcW w:w="2348" w:type="dxa"/>
            <w:tcBorders>
              <w:top w:val="nil"/>
              <w:left w:val="single" w:sz="8" w:space="0" w:color="auto"/>
              <w:bottom w:val="nil"/>
              <w:right w:val="single" w:sz="8" w:space="0" w:color="auto"/>
            </w:tcBorders>
            <w:vAlign w:val="bottom"/>
          </w:tcPr>
          <w:p w14:paraId="17444EE4"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331111</w:t>
            </w:r>
          </w:p>
        </w:tc>
        <w:tc>
          <w:tcPr>
            <w:tcW w:w="6677" w:type="dxa"/>
            <w:tcBorders>
              <w:top w:val="nil"/>
              <w:left w:val="single" w:sz="8" w:space="0" w:color="auto"/>
              <w:bottom w:val="nil"/>
              <w:right w:val="single" w:sz="8" w:space="0" w:color="auto"/>
            </w:tcBorders>
            <w:vAlign w:val="bottom"/>
          </w:tcPr>
          <w:p w14:paraId="32934D68"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Bricklayer</w:t>
            </w:r>
          </w:p>
        </w:tc>
      </w:tr>
      <w:tr w:rsidR="00BD1D88" w:rsidRPr="005F5709" w14:paraId="0C07E02F" w14:textId="77777777" w:rsidTr="00956821">
        <w:trPr>
          <w:trHeight w:val="300"/>
        </w:trPr>
        <w:tc>
          <w:tcPr>
            <w:tcW w:w="2348" w:type="dxa"/>
            <w:tcBorders>
              <w:top w:val="nil"/>
              <w:left w:val="single" w:sz="8" w:space="0" w:color="auto"/>
              <w:bottom w:val="nil"/>
              <w:right w:val="single" w:sz="8" w:space="0" w:color="auto"/>
            </w:tcBorders>
            <w:vAlign w:val="bottom"/>
          </w:tcPr>
          <w:p w14:paraId="151601A4"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351211</w:t>
            </w:r>
          </w:p>
        </w:tc>
        <w:tc>
          <w:tcPr>
            <w:tcW w:w="6677" w:type="dxa"/>
            <w:tcBorders>
              <w:top w:val="nil"/>
              <w:left w:val="single" w:sz="8" w:space="0" w:color="auto"/>
              <w:bottom w:val="nil"/>
              <w:right w:val="single" w:sz="8" w:space="0" w:color="auto"/>
            </w:tcBorders>
            <w:vAlign w:val="bottom"/>
          </w:tcPr>
          <w:p w14:paraId="0849A33C"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Butcher or Smallgoods Maker</w:t>
            </w:r>
          </w:p>
        </w:tc>
      </w:tr>
      <w:tr w:rsidR="00BD1D88" w:rsidRPr="005F5709" w14:paraId="154B9F12" w14:textId="77777777" w:rsidTr="00956821">
        <w:trPr>
          <w:trHeight w:val="300"/>
        </w:trPr>
        <w:tc>
          <w:tcPr>
            <w:tcW w:w="2348" w:type="dxa"/>
            <w:tcBorders>
              <w:top w:val="nil"/>
              <w:left w:val="single" w:sz="8" w:space="0" w:color="auto"/>
              <w:bottom w:val="nil"/>
              <w:right w:val="single" w:sz="8" w:space="0" w:color="auto"/>
            </w:tcBorders>
            <w:vAlign w:val="bottom"/>
          </w:tcPr>
          <w:p w14:paraId="25302512"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394111</w:t>
            </w:r>
          </w:p>
        </w:tc>
        <w:tc>
          <w:tcPr>
            <w:tcW w:w="6677" w:type="dxa"/>
            <w:tcBorders>
              <w:top w:val="nil"/>
              <w:left w:val="single" w:sz="8" w:space="0" w:color="auto"/>
              <w:bottom w:val="nil"/>
              <w:right w:val="single" w:sz="8" w:space="0" w:color="auto"/>
            </w:tcBorders>
            <w:vAlign w:val="bottom"/>
          </w:tcPr>
          <w:p w14:paraId="430AEDA5"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Cabinetmaker</w:t>
            </w:r>
          </w:p>
        </w:tc>
      </w:tr>
      <w:tr w:rsidR="00BD1D88" w:rsidRPr="005F5709" w14:paraId="4CEE8666" w14:textId="77777777" w:rsidTr="00956821">
        <w:trPr>
          <w:trHeight w:val="300"/>
        </w:trPr>
        <w:tc>
          <w:tcPr>
            <w:tcW w:w="2348" w:type="dxa"/>
            <w:tcBorders>
              <w:top w:val="nil"/>
              <w:left w:val="single" w:sz="8" w:space="0" w:color="auto"/>
              <w:bottom w:val="nil"/>
              <w:right w:val="single" w:sz="8" w:space="0" w:color="auto"/>
            </w:tcBorders>
            <w:vAlign w:val="bottom"/>
          </w:tcPr>
          <w:p w14:paraId="11223DFF"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342411</w:t>
            </w:r>
          </w:p>
        </w:tc>
        <w:tc>
          <w:tcPr>
            <w:tcW w:w="6677" w:type="dxa"/>
            <w:tcBorders>
              <w:top w:val="nil"/>
              <w:left w:val="single" w:sz="8" w:space="0" w:color="auto"/>
              <w:bottom w:val="nil"/>
              <w:right w:val="single" w:sz="8" w:space="0" w:color="auto"/>
            </w:tcBorders>
            <w:vAlign w:val="bottom"/>
          </w:tcPr>
          <w:p w14:paraId="69B12BE9"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Cabler (Data and Telecommunications)</w:t>
            </w:r>
          </w:p>
        </w:tc>
      </w:tr>
      <w:tr w:rsidR="00BD1D88" w:rsidRPr="005F5709" w14:paraId="64AC0B96" w14:textId="77777777" w:rsidTr="00956821">
        <w:trPr>
          <w:trHeight w:val="300"/>
        </w:trPr>
        <w:tc>
          <w:tcPr>
            <w:tcW w:w="2348" w:type="dxa"/>
            <w:tcBorders>
              <w:top w:val="nil"/>
              <w:left w:val="single" w:sz="8" w:space="0" w:color="auto"/>
              <w:bottom w:val="nil"/>
              <w:right w:val="single" w:sz="8" w:space="0" w:color="auto"/>
            </w:tcBorders>
            <w:vAlign w:val="bottom"/>
          </w:tcPr>
          <w:p w14:paraId="75A6E173"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331212</w:t>
            </w:r>
          </w:p>
        </w:tc>
        <w:tc>
          <w:tcPr>
            <w:tcW w:w="6677" w:type="dxa"/>
            <w:tcBorders>
              <w:top w:val="nil"/>
              <w:left w:val="single" w:sz="8" w:space="0" w:color="auto"/>
              <w:bottom w:val="nil"/>
              <w:right w:val="single" w:sz="8" w:space="0" w:color="auto"/>
            </w:tcBorders>
            <w:vAlign w:val="bottom"/>
          </w:tcPr>
          <w:p w14:paraId="1E23F649"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Carpenter</w:t>
            </w:r>
          </w:p>
        </w:tc>
      </w:tr>
      <w:tr w:rsidR="00BD1D88" w:rsidRPr="005F5709" w14:paraId="6E6D9788" w14:textId="77777777" w:rsidTr="00956821">
        <w:trPr>
          <w:trHeight w:val="300"/>
        </w:trPr>
        <w:tc>
          <w:tcPr>
            <w:tcW w:w="2348" w:type="dxa"/>
            <w:tcBorders>
              <w:top w:val="nil"/>
              <w:left w:val="single" w:sz="8" w:space="0" w:color="auto"/>
              <w:bottom w:val="nil"/>
              <w:right w:val="single" w:sz="8" w:space="0" w:color="auto"/>
            </w:tcBorders>
            <w:vAlign w:val="bottom"/>
          </w:tcPr>
          <w:p w14:paraId="374554C1"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331211</w:t>
            </w:r>
          </w:p>
        </w:tc>
        <w:tc>
          <w:tcPr>
            <w:tcW w:w="6677" w:type="dxa"/>
            <w:tcBorders>
              <w:top w:val="nil"/>
              <w:left w:val="single" w:sz="8" w:space="0" w:color="auto"/>
              <w:bottom w:val="nil"/>
              <w:right w:val="single" w:sz="8" w:space="0" w:color="auto"/>
            </w:tcBorders>
            <w:vAlign w:val="bottom"/>
          </w:tcPr>
          <w:p w14:paraId="79D15317"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Carpenter and Joiner</w:t>
            </w:r>
          </w:p>
        </w:tc>
      </w:tr>
      <w:tr w:rsidR="00BD1D88" w:rsidRPr="005F5709" w14:paraId="0A1C5DDE" w14:textId="77777777" w:rsidTr="00956821">
        <w:trPr>
          <w:trHeight w:val="300"/>
        </w:trPr>
        <w:tc>
          <w:tcPr>
            <w:tcW w:w="2348" w:type="dxa"/>
            <w:tcBorders>
              <w:top w:val="nil"/>
              <w:left w:val="single" w:sz="8" w:space="0" w:color="auto"/>
              <w:bottom w:val="nil"/>
              <w:right w:val="single" w:sz="8" w:space="0" w:color="auto"/>
            </w:tcBorders>
            <w:vAlign w:val="bottom"/>
          </w:tcPr>
          <w:p w14:paraId="7D5B381C"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351311</w:t>
            </w:r>
          </w:p>
        </w:tc>
        <w:tc>
          <w:tcPr>
            <w:tcW w:w="6677" w:type="dxa"/>
            <w:tcBorders>
              <w:top w:val="nil"/>
              <w:left w:val="single" w:sz="8" w:space="0" w:color="auto"/>
              <w:bottom w:val="nil"/>
              <w:right w:val="single" w:sz="8" w:space="0" w:color="auto"/>
            </w:tcBorders>
            <w:vAlign w:val="bottom"/>
          </w:tcPr>
          <w:p w14:paraId="2F84862E"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Chef</w:t>
            </w:r>
          </w:p>
        </w:tc>
      </w:tr>
      <w:tr w:rsidR="00BD1D88" w:rsidRPr="005F5709" w14:paraId="4B531AB0" w14:textId="77777777" w:rsidTr="00956821">
        <w:trPr>
          <w:trHeight w:val="300"/>
        </w:trPr>
        <w:tc>
          <w:tcPr>
            <w:tcW w:w="2348" w:type="dxa"/>
            <w:tcBorders>
              <w:top w:val="nil"/>
              <w:left w:val="single" w:sz="8" w:space="0" w:color="auto"/>
              <w:right w:val="single" w:sz="8" w:space="0" w:color="auto"/>
            </w:tcBorders>
            <w:vAlign w:val="bottom"/>
          </w:tcPr>
          <w:p w14:paraId="7D49C83D"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421111</w:t>
            </w:r>
          </w:p>
        </w:tc>
        <w:tc>
          <w:tcPr>
            <w:tcW w:w="6677" w:type="dxa"/>
            <w:tcBorders>
              <w:top w:val="nil"/>
              <w:left w:val="single" w:sz="8" w:space="0" w:color="auto"/>
              <w:right w:val="single" w:sz="8" w:space="0" w:color="auto"/>
            </w:tcBorders>
            <w:vAlign w:val="bottom"/>
          </w:tcPr>
          <w:p w14:paraId="1293CE04" w14:textId="77777777" w:rsidR="00BD1D88" w:rsidRPr="005F5709" w:rsidRDefault="00BD1D88" w:rsidP="001F4E9B">
            <w:pPr>
              <w:rPr>
                <w:rFonts w:asciiTheme="minorHAnsi" w:hAnsiTheme="minorHAnsi" w:cstheme="minorHAnsi"/>
                <w:color w:val="000000" w:themeColor="text1"/>
              </w:rPr>
            </w:pPr>
            <w:proofErr w:type="gramStart"/>
            <w:r w:rsidRPr="005F5709">
              <w:rPr>
                <w:rFonts w:asciiTheme="minorHAnsi" w:eastAsia="Times New Roman" w:hAnsiTheme="minorHAnsi" w:cstheme="minorHAnsi"/>
                <w:color w:val="000000" w:themeColor="text1"/>
              </w:rPr>
              <w:t>Child Care</w:t>
            </w:r>
            <w:proofErr w:type="gramEnd"/>
            <w:r w:rsidRPr="005F5709">
              <w:rPr>
                <w:rFonts w:asciiTheme="minorHAnsi" w:eastAsia="Times New Roman" w:hAnsiTheme="minorHAnsi" w:cstheme="minorHAnsi"/>
                <w:color w:val="000000" w:themeColor="text1"/>
              </w:rPr>
              <w:t xml:space="preserve"> Worker</w:t>
            </w:r>
          </w:p>
        </w:tc>
      </w:tr>
      <w:tr w:rsidR="00BD1D88" w:rsidRPr="005F5709" w14:paraId="497663F2" w14:textId="77777777" w:rsidTr="00956821">
        <w:trPr>
          <w:trHeight w:val="300"/>
        </w:trPr>
        <w:tc>
          <w:tcPr>
            <w:tcW w:w="2348" w:type="dxa"/>
            <w:tcBorders>
              <w:top w:val="nil"/>
              <w:left w:val="single" w:sz="8" w:space="0" w:color="auto"/>
              <w:bottom w:val="nil"/>
              <w:right w:val="single" w:sz="8" w:space="0" w:color="auto"/>
            </w:tcBorders>
            <w:vAlign w:val="bottom"/>
          </w:tcPr>
          <w:p w14:paraId="4E33A45C"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312211</w:t>
            </w:r>
          </w:p>
        </w:tc>
        <w:tc>
          <w:tcPr>
            <w:tcW w:w="6677" w:type="dxa"/>
            <w:tcBorders>
              <w:top w:val="nil"/>
              <w:left w:val="single" w:sz="8" w:space="0" w:color="auto"/>
              <w:bottom w:val="nil"/>
              <w:right w:val="single" w:sz="8" w:space="0" w:color="auto"/>
            </w:tcBorders>
            <w:vAlign w:val="bottom"/>
          </w:tcPr>
          <w:p w14:paraId="2E352FC5"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Civil Engineering Draftsperson</w:t>
            </w:r>
          </w:p>
        </w:tc>
      </w:tr>
      <w:tr w:rsidR="00BD1D88" w:rsidRPr="005F5709" w14:paraId="7E0E407E" w14:textId="77777777" w:rsidTr="00956821">
        <w:trPr>
          <w:trHeight w:val="300"/>
        </w:trPr>
        <w:tc>
          <w:tcPr>
            <w:tcW w:w="2348" w:type="dxa"/>
            <w:tcBorders>
              <w:top w:val="nil"/>
              <w:left w:val="single" w:sz="8" w:space="0" w:color="auto"/>
              <w:bottom w:val="nil"/>
              <w:right w:val="single" w:sz="8" w:space="0" w:color="auto"/>
            </w:tcBorders>
            <w:vAlign w:val="bottom"/>
          </w:tcPr>
          <w:p w14:paraId="5DE50A69" w14:textId="77777777" w:rsidR="00BD1D88" w:rsidRPr="005F5709" w:rsidRDefault="00BD1D88" w:rsidP="00696141">
            <w:pPr>
              <w:jc w:val="center"/>
              <w:rPr>
                <w:rFonts w:asciiTheme="minorHAnsi" w:eastAsia="Times New Roman" w:hAnsiTheme="minorHAnsi" w:cstheme="minorHAnsi"/>
                <w:color w:val="000000" w:themeColor="text1"/>
              </w:rPr>
            </w:pPr>
            <w:r w:rsidRPr="005F5709">
              <w:rPr>
                <w:rFonts w:asciiTheme="minorHAnsi" w:eastAsia="Times New Roman" w:hAnsiTheme="minorHAnsi" w:cstheme="minorHAnsi"/>
              </w:rPr>
              <w:t>312212</w:t>
            </w:r>
          </w:p>
        </w:tc>
        <w:tc>
          <w:tcPr>
            <w:tcW w:w="6677" w:type="dxa"/>
            <w:tcBorders>
              <w:top w:val="nil"/>
              <w:left w:val="single" w:sz="8" w:space="0" w:color="auto"/>
              <w:bottom w:val="nil"/>
              <w:right w:val="single" w:sz="8" w:space="0" w:color="auto"/>
            </w:tcBorders>
            <w:vAlign w:val="bottom"/>
          </w:tcPr>
          <w:p w14:paraId="36CD53A2" w14:textId="77777777" w:rsidR="00BD1D88" w:rsidRPr="005F5709" w:rsidRDefault="00BD1D88" w:rsidP="00696141">
            <w:pPr>
              <w:rPr>
                <w:rFonts w:asciiTheme="minorHAnsi" w:eastAsia="Times New Roman" w:hAnsiTheme="minorHAnsi" w:cstheme="minorHAnsi"/>
                <w:color w:val="000000" w:themeColor="text1"/>
              </w:rPr>
            </w:pPr>
            <w:r w:rsidRPr="005F5709">
              <w:rPr>
                <w:rFonts w:asciiTheme="minorHAnsi" w:eastAsia="Times New Roman" w:hAnsiTheme="minorHAnsi" w:cstheme="minorHAnsi"/>
              </w:rPr>
              <w:t>Civil Engineering Technician</w:t>
            </w:r>
          </w:p>
        </w:tc>
      </w:tr>
      <w:tr w:rsidR="00BD1D88" w:rsidRPr="005F5709" w14:paraId="1AC19656" w14:textId="77777777" w:rsidTr="00956821">
        <w:trPr>
          <w:trHeight w:val="300"/>
        </w:trPr>
        <w:tc>
          <w:tcPr>
            <w:tcW w:w="2348" w:type="dxa"/>
            <w:tcBorders>
              <w:top w:val="nil"/>
              <w:left w:val="single" w:sz="8" w:space="0" w:color="auto"/>
              <w:bottom w:val="nil"/>
              <w:right w:val="single" w:sz="8" w:space="0" w:color="auto"/>
            </w:tcBorders>
            <w:vAlign w:val="bottom"/>
          </w:tcPr>
          <w:p w14:paraId="03CD2F64" w14:textId="77777777" w:rsidR="00BD1D88" w:rsidRPr="005F5709" w:rsidRDefault="00BD1D88" w:rsidP="00696141">
            <w:pPr>
              <w:jc w:val="center"/>
              <w:rPr>
                <w:rFonts w:asciiTheme="minorHAnsi" w:eastAsia="Times New Roman" w:hAnsiTheme="minorHAnsi" w:cstheme="minorHAnsi"/>
                <w:color w:val="000000" w:themeColor="text1"/>
              </w:rPr>
            </w:pPr>
            <w:r w:rsidRPr="005F5709">
              <w:rPr>
                <w:rFonts w:asciiTheme="minorHAnsi" w:eastAsia="Times New Roman" w:hAnsiTheme="minorHAnsi" w:cstheme="minorHAnsi"/>
              </w:rPr>
              <w:t>351411</w:t>
            </w:r>
          </w:p>
        </w:tc>
        <w:tc>
          <w:tcPr>
            <w:tcW w:w="6677" w:type="dxa"/>
            <w:tcBorders>
              <w:top w:val="nil"/>
              <w:left w:val="single" w:sz="8" w:space="0" w:color="auto"/>
              <w:bottom w:val="nil"/>
              <w:right w:val="single" w:sz="8" w:space="0" w:color="auto"/>
            </w:tcBorders>
            <w:vAlign w:val="bottom"/>
          </w:tcPr>
          <w:p w14:paraId="719FCE7D" w14:textId="77777777" w:rsidR="00BD1D88" w:rsidRPr="005F5709" w:rsidRDefault="00BD1D88" w:rsidP="00696141">
            <w:pPr>
              <w:rPr>
                <w:rFonts w:asciiTheme="minorHAnsi" w:eastAsia="Times New Roman" w:hAnsiTheme="minorHAnsi" w:cstheme="minorHAnsi"/>
                <w:color w:val="000000" w:themeColor="text1"/>
              </w:rPr>
            </w:pPr>
            <w:r w:rsidRPr="005F5709">
              <w:rPr>
                <w:rFonts w:asciiTheme="minorHAnsi" w:eastAsia="Times New Roman" w:hAnsiTheme="minorHAnsi" w:cstheme="minorHAnsi"/>
              </w:rPr>
              <w:t>Cook</w:t>
            </w:r>
          </w:p>
        </w:tc>
      </w:tr>
      <w:tr w:rsidR="00BD1D88" w:rsidRPr="005F5709" w14:paraId="22734C39" w14:textId="77777777" w:rsidTr="00956821">
        <w:trPr>
          <w:trHeight w:val="300"/>
        </w:trPr>
        <w:tc>
          <w:tcPr>
            <w:tcW w:w="2348" w:type="dxa"/>
            <w:tcBorders>
              <w:top w:val="nil"/>
              <w:left w:val="single" w:sz="8" w:space="0" w:color="auto"/>
              <w:bottom w:val="nil"/>
              <w:right w:val="single" w:sz="8" w:space="0" w:color="auto"/>
            </w:tcBorders>
            <w:vAlign w:val="bottom"/>
          </w:tcPr>
          <w:p w14:paraId="0FB11DB6" w14:textId="77777777" w:rsidR="00BD1D88" w:rsidRPr="005F5709" w:rsidRDefault="00BD1D88" w:rsidP="00696141">
            <w:pPr>
              <w:jc w:val="center"/>
              <w:rPr>
                <w:rFonts w:asciiTheme="minorHAnsi" w:eastAsia="Times New Roman" w:hAnsiTheme="minorHAnsi" w:cstheme="minorHAnsi"/>
                <w:color w:val="000000" w:themeColor="text1"/>
              </w:rPr>
            </w:pPr>
            <w:r w:rsidRPr="005F5709">
              <w:rPr>
                <w:rFonts w:asciiTheme="minorHAnsi" w:eastAsia="Times New Roman" w:hAnsiTheme="minorHAnsi" w:cstheme="minorHAnsi"/>
              </w:rPr>
              <w:t>423211</w:t>
            </w:r>
          </w:p>
        </w:tc>
        <w:tc>
          <w:tcPr>
            <w:tcW w:w="6677" w:type="dxa"/>
            <w:tcBorders>
              <w:top w:val="nil"/>
              <w:left w:val="single" w:sz="8" w:space="0" w:color="auto"/>
              <w:bottom w:val="nil"/>
              <w:right w:val="single" w:sz="8" w:space="0" w:color="auto"/>
            </w:tcBorders>
            <w:vAlign w:val="bottom"/>
          </w:tcPr>
          <w:p w14:paraId="18CD9900" w14:textId="77777777" w:rsidR="00BD1D88" w:rsidRPr="005F5709" w:rsidRDefault="00BD1D88" w:rsidP="00696141">
            <w:pPr>
              <w:rPr>
                <w:rFonts w:asciiTheme="minorHAnsi" w:eastAsia="Times New Roman" w:hAnsiTheme="minorHAnsi" w:cstheme="minorHAnsi"/>
                <w:color w:val="000000" w:themeColor="text1"/>
              </w:rPr>
            </w:pPr>
            <w:r w:rsidRPr="005F5709">
              <w:rPr>
                <w:rFonts w:asciiTheme="minorHAnsi" w:eastAsia="Times New Roman" w:hAnsiTheme="minorHAnsi" w:cstheme="minorHAnsi"/>
              </w:rPr>
              <w:t>Dental Assistant</w:t>
            </w:r>
          </w:p>
        </w:tc>
      </w:tr>
      <w:tr w:rsidR="00BD1D88" w:rsidRPr="005F5709" w14:paraId="2C82A01F" w14:textId="77777777" w:rsidTr="00956821">
        <w:trPr>
          <w:trHeight w:val="300"/>
        </w:trPr>
        <w:tc>
          <w:tcPr>
            <w:tcW w:w="2348" w:type="dxa"/>
            <w:tcBorders>
              <w:top w:val="nil"/>
              <w:left w:val="single" w:sz="8" w:space="0" w:color="auto"/>
              <w:bottom w:val="nil"/>
              <w:right w:val="single" w:sz="8" w:space="0" w:color="auto"/>
            </w:tcBorders>
            <w:vAlign w:val="bottom"/>
          </w:tcPr>
          <w:p w14:paraId="3C3FFB87" w14:textId="77777777" w:rsidR="00BD1D88" w:rsidRPr="005F5709" w:rsidRDefault="00BD1D88" w:rsidP="00696141">
            <w:pPr>
              <w:jc w:val="center"/>
              <w:rPr>
                <w:rFonts w:asciiTheme="minorHAnsi" w:eastAsia="Times New Roman" w:hAnsiTheme="minorHAnsi" w:cstheme="minorHAnsi"/>
                <w:color w:val="000000" w:themeColor="text1"/>
              </w:rPr>
            </w:pPr>
            <w:r w:rsidRPr="005F5709">
              <w:rPr>
                <w:rFonts w:asciiTheme="minorHAnsi" w:eastAsia="Times New Roman" w:hAnsiTheme="minorHAnsi" w:cstheme="minorHAnsi"/>
              </w:rPr>
              <w:t>321212</w:t>
            </w:r>
          </w:p>
        </w:tc>
        <w:tc>
          <w:tcPr>
            <w:tcW w:w="6677" w:type="dxa"/>
            <w:tcBorders>
              <w:top w:val="nil"/>
              <w:left w:val="single" w:sz="8" w:space="0" w:color="auto"/>
              <w:bottom w:val="nil"/>
              <w:right w:val="single" w:sz="8" w:space="0" w:color="auto"/>
            </w:tcBorders>
            <w:vAlign w:val="bottom"/>
          </w:tcPr>
          <w:p w14:paraId="7DA13531" w14:textId="77777777" w:rsidR="00BD1D88" w:rsidRPr="005F5709" w:rsidRDefault="00BD1D88" w:rsidP="00696141">
            <w:pPr>
              <w:rPr>
                <w:rFonts w:asciiTheme="minorHAnsi" w:eastAsia="Times New Roman" w:hAnsiTheme="minorHAnsi" w:cstheme="minorHAnsi"/>
                <w:color w:val="000000" w:themeColor="text1"/>
              </w:rPr>
            </w:pPr>
            <w:r w:rsidRPr="005F5709">
              <w:rPr>
                <w:rFonts w:asciiTheme="minorHAnsi" w:eastAsia="Times New Roman" w:hAnsiTheme="minorHAnsi" w:cstheme="minorHAnsi"/>
              </w:rPr>
              <w:t>Diesel Motor Mechanic</w:t>
            </w:r>
          </w:p>
        </w:tc>
      </w:tr>
      <w:tr w:rsidR="00BD1D88" w:rsidRPr="005F5709" w14:paraId="79F497A9" w14:textId="77777777" w:rsidTr="00956821">
        <w:trPr>
          <w:trHeight w:val="300"/>
        </w:trPr>
        <w:tc>
          <w:tcPr>
            <w:tcW w:w="2348" w:type="dxa"/>
            <w:tcBorders>
              <w:top w:val="nil"/>
              <w:left w:val="single" w:sz="8" w:space="0" w:color="auto"/>
              <w:bottom w:val="nil"/>
              <w:right w:val="single" w:sz="8" w:space="0" w:color="auto"/>
            </w:tcBorders>
            <w:vAlign w:val="bottom"/>
          </w:tcPr>
          <w:p w14:paraId="2A45A0E7" w14:textId="77777777" w:rsidR="00BD1D88" w:rsidRPr="005F5709" w:rsidRDefault="00BD1D88" w:rsidP="00696141">
            <w:pPr>
              <w:jc w:val="center"/>
              <w:rPr>
                <w:rFonts w:asciiTheme="minorHAnsi" w:eastAsia="Times New Roman" w:hAnsiTheme="minorHAnsi" w:cstheme="minorHAnsi"/>
                <w:color w:val="000000" w:themeColor="text1"/>
              </w:rPr>
            </w:pPr>
            <w:r w:rsidRPr="005F5709">
              <w:rPr>
                <w:rFonts w:asciiTheme="minorHAnsi" w:eastAsia="Times New Roman" w:hAnsiTheme="minorHAnsi" w:cstheme="minorHAnsi"/>
              </w:rPr>
              <w:t>411311</w:t>
            </w:r>
          </w:p>
        </w:tc>
        <w:tc>
          <w:tcPr>
            <w:tcW w:w="6677" w:type="dxa"/>
            <w:tcBorders>
              <w:top w:val="nil"/>
              <w:left w:val="single" w:sz="8" w:space="0" w:color="auto"/>
              <w:bottom w:val="nil"/>
              <w:right w:val="single" w:sz="8" w:space="0" w:color="auto"/>
            </w:tcBorders>
            <w:vAlign w:val="bottom"/>
          </w:tcPr>
          <w:p w14:paraId="4C3A7703" w14:textId="77777777" w:rsidR="00BD1D88" w:rsidRPr="005F5709" w:rsidRDefault="00BD1D88" w:rsidP="00696141">
            <w:pPr>
              <w:rPr>
                <w:rFonts w:asciiTheme="minorHAnsi" w:eastAsia="Times New Roman" w:hAnsiTheme="minorHAnsi" w:cstheme="minorHAnsi"/>
                <w:color w:val="000000" w:themeColor="text1"/>
              </w:rPr>
            </w:pPr>
            <w:r w:rsidRPr="005F5709">
              <w:rPr>
                <w:rFonts w:asciiTheme="minorHAnsi" w:eastAsia="Times New Roman" w:hAnsiTheme="minorHAnsi" w:cstheme="minorHAnsi"/>
              </w:rPr>
              <w:t>Diversional Therapist</w:t>
            </w:r>
          </w:p>
        </w:tc>
      </w:tr>
      <w:tr w:rsidR="00BD1D88" w:rsidRPr="005F5709" w14:paraId="27E99DD5" w14:textId="77777777" w:rsidTr="00956821">
        <w:trPr>
          <w:trHeight w:val="300"/>
        </w:trPr>
        <w:tc>
          <w:tcPr>
            <w:tcW w:w="2348" w:type="dxa"/>
            <w:tcBorders>
              <w:top w:val="nil"/>
              <w:left w:val="single" w:sz="8" w:space="0" w:color="auto"/>
              <w:bottom w:val="single" w:sz="4" w:space="0" w:color="auto"/>
              <w:right w:val="single" w:sz="8" w:space="0" w:color="auto"/>
            </w:tcBorders>
            <w:vAlign w:val="bottom"/>
          </w:tcPr>
          <w:p w14:paraId="376B2BFA"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334113</w:t>
            </w:r>
          </w:p>
        </w:tc>
        <w:tc>
          <w:tcPr>
            <w:tcW w:w="6667" w:type="dxa"/>
            <w:tcBorders>
              <w:top w:val="nil"/>
              <w:left w:val="single" w:sz="8" w:space="0" w:color="auto"/>
              <w:bottom w:val="single" w:sz="4" w:space="0" w:color="auto"/>
              <w:right w:val="single" w:sz="8" w:space="0" w:color="auto"/>
            </w:tcBorders>
            <w:vAlign w:val="bottom"/>
          </w:tcPr>
          <w:p w14:paraId="2582D9C8"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Drainer</w:t>
            </w:r>
          </w:p>
        </w:tc>
      </w:tr>
      <w:tr w:rsidR="00BD1D88" w:rsidRPr="005F5709" w14:paraId="00D14EEE" w14:textId="77777777" w:rsidTr="00956821">
        <w:trPr>
          <w:trHeight w:val="300"/>
        </w:trPr>
        <w:tc>
          <w:tcPr>
            <w:tcW w:w="2348" w:type="dxa"/>
            <w:tcBorders>
              <w:top w:val="nil"/>
              <w:left w:val="single" w:sz="8" w:space="0" w:color="auto"/>
              <w:bottom w:val="nil"/>
              <w:right w:val="single" w:sz="8" w:space="0" w:color="auto"/>
            </w:tcBorders>
            <w:vAlign w:val="bottom"/>
          </w:tcPr>
          <w:p w14:paraId="4858B57E"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312311</w:t>
            </w:r>
          </w:p>
        </w:tc>
        <w:tc>
          <w:tcPr>
            <w:tcW w:w="6677" w:type="dxa"/>
            <w:tcBorders>
              <w:top w:val="nil"/>
              <w:left w:val="single" w:sz="8" w:space="0" w:color="auto"/>
              <w:bottom w:val="nil"/>
              <w:right w:val="single" w:sz="8" w:space="0" w:color="auto"/>
            </w:tcBorders>
            <w:vAlign w:val="bottom"/>
          </w:tcPr>
          <w:p w14:paraId="0E3776B2"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Electrical Engineering Draftsperson</w:t>
            </w:r>
          </w:p>
        </w:tc>
      </w:tr>
      <w:tr w:rsidR="00BD1D88" w:rsidRPr="005F5709" w14:paraId="1D41CB57" w14:textId="77777777" w:rsidTr="00956821">
        <w:trPr>
          <w:trHeight w:val="300"/>
        </w:trPr>
        <w:tc>
          <w:tcPr>
            <w:tcW w:w="2348" w:type="dxa"/>
            <w:tcBorders>
              <w:top w:val="nil"/>
              <w:left w:val="single" w:sz="8" w:space="0" w:color="auto"/>
              <w:bottom w:val="nil"/>
              <w:right w:val="single" w:sz="8" w:space="0" w:color="auto"/>
            </w:tcBorders>
            <w:vAlign w:val="bottom"/>
          </w:tcPr>
          <w:p w14:paraId="78CD9FC7"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312312</w:t>
            </w:r>
          </w:p>
        </w:tc>
        <w:tc>
          <w:tcPr>
            <w:tcW w:w="6677" w:type="dxa"/>
            <w:tcBorders>
              <w:top w:val="nil"/>
              <w:left w:val="single" w:sz="8" w:space="0" w:color="auto"/>
              <w:bottom w:val="nil"/>
              <w:right w:val="single" w:sz="8" w:space="0" w:color="auto"/>
            </w:tcBorders>
            <w:vAlign w:val="bottom"/>
          </w:tcPr>
          <w:p w14:paraId="037792A7"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Electrical Engineering Technician</w:t>
            </w:r>
          </w:p>
        </w:tc>
      </w:tr>
      <w:tr w:rsidR="00BD1D88" w:rsidRPr="005F5709" w14:paraId="6CD00BCA" w14:textId="77777777" w:rsidTr="00956821">
        <w:trPr>
          <w:trHeight w:val="300"/>
        </w:trPr>
        <w:tc>
          <w:tcPr>
            <w:tcW w:w="2348" w:type="dxa"/>
            <w:tcBorders>
              <w:top w:val="nil"/>
              <w:left w:val="single" w:sz="8" w:space="0" w:color="auto"/>
              <w:bottom w:val="nil"/>
              <w:right w:val="single" w:sz="8" w:space="0" w:color="auto"/>
            </w:tcBorders>
            <w:vAlign w:val="bottom"/>
          </w:tcPr>
          <w:p w14:paraId="002284B4"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lastRenderedPageBreak/>
              <w:t>342211</w:t>
            </w:r>
          </w:p>
        </w:tc>
        <w:tc>
          <w:tcPr>
            <w:tcW w:w="6677" w:type="dxa"/>
            <w:tcBorders>
              <w:top w:val="nil"/>
              <w:left w:val="single" w:sz="8" w:space="0" w:color="auto"/>
              <w:bottom w:val="nil"/>
              <w:right w:val="single" w:sz="8" w:space="0" w:color="auto"/>
            </w:tcBorders>
            <w:vAlign w:val="bottom"/>
          </w:tcPr>
          <w:p w14:paraId="4749946E"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 xml:space="preserve">Electrical </w:t>
            </w:r>
            <w:proofErr w:type="spellStart"/>
            <w:r w:rsidRPr="005F5709">
              <w:rPr>
                <w:rFonts w:asciiTheme="minorHAnsi" w:eastAsia="Times New Roman" w:hAnsiTheme="minorHAnsi" w:cstheme="minorHAnsi"/>
              </w:rPr>
              <w:t>Linesworker</w:t>
            </w:r>
            <w:proofErr w:type="spellEnd"/>
          </w:p>
        </w:tc>
      </w:tr>
      <w:tr w:rsidR="00BD1D88" w:rsidRPr="005F5709" w14:paraId="36709991" w14:textId="77777777" w:rsidTr="00956821">
        <w:trPr>
          <w:trHeight w:val="300"/>
        </w:trPr>
        <w:tc>
          <w:tcPr>
            <w:tcW w:w="2348" w:type="dxa"/>
            <w:tcBorders>
              <w:top w:val="nil"/>
              <w:left w:val="single" w:sz="8" w:space="0" w:color="auto"/>
              <w:bottom w:val="nil"/>
              <w:right w:val="single" w:sz="8" w:space="0" w:color="auto"/>
            </w:tcBorders>
            <w:vAlign w:val="bottom"/>
          </w:tcPr>
          <w:p w14:paraId="046125B8"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341111</w:t>
            </w:r>
          </w:p>
        </w:tc>
        <w:tc>
          <w:tcPr>
            <w:tcW w:w="6677" w:type="dxa"/>
            <w:tcBorders>
              <w:top w:val="nil"/>
              <w:left w:val="single" w:sz="8" w:space="0" w:color="auto"/>
              <w:bottom w:val="nil"/>
              <w:right w:val="single" w:sz="8" w:space="0" w:color="auto"/>
            </w:tcBorders>
            <w:vAlign w:val="bottom"/>
          </w:tcPr>
          <w:p w14:paraId="1DF0B586"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Electrician (General)</w:t>
            </w:r>
          </w:p>
        </w:tc>
      </w:tr>
      <w:tr w:rsidR="00BD1D88" w:rsidRPr="005F5709" w14:paraId="0FC7C5CA" w14:textId="77777777" w:rsidTr="00956821">
        <w:trPr>
          <w:trHeight w:val="300"/>
        </w:trPr>
        <w:tc>
          <w:tcPr>
            <w:tcW w:w="2348" w:type="dxa"/>
            <w:tcBorders>
              <w:top w:val="nil"/>
              <w:left w:val="single" w:sz="8" w:space="0" w:color="auto"/>
              <w:bottom w:val="nil"/>
              <w:right w:val="single" w:sz="8" w:space="0" w:color="auto"/>
            </w:tcBorders>
            <w:vAlign w:val="bottom"/>
          </w:tcPr>
          <w:p w14:paraId="18C018E2"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341112</w:t>
            </w:r>
          </w:p>
        </w:tc>
        <w:tc>
          <w:tcPr>
            <w:tcW w:w="6677" w:type="dxa"/>
            <w:tcBorders>
              <w:top w:val="nil"/>
              <w:left w:val="single" w:sz="8" w:space="0" w:color="auto"/>
              <w:bottom w:val="nil"/>
              <w:right w:val="single" w:sz="8" w:space="0" w:color="auto"/>
            </w:tcBorders>
            <w:vAlign w:val="bottom"/>
          </w:tcPr>
          <w:p w14:paraId="1C875B56"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Electrician (Special Class)</w:t>
            </w:r>
          </w:p>
        </w:tc>
      </w:tr>
      <w:tr w:rsidR="00BD1D88" w:rsidRPr="005F5709" w14:paraId="58C94F0D" w14:textId="77777777" w:rsidTr="00956821">
        <w:trPr>
          <w:trHeight w:val="300"/>
        </w:trPr>
        <w:tc>
          <w:tcPr>
            <w:tcW w:w="2348" w:type="dxa"/>
            <w:tcBorders>
              <w:top w:val="nil"/>
              <w:left w:val="single" w:sz="8" w:space="0" w:color="auto"/>
              <w:bottom w:val="nil"/>
              <w:right w:val="single" w:sz="8" w:space="0" w:color="auto"/>
            </w:tcBorders>
            <w:vAlign w:val="bottom"/>
          </w:tcPr>
          <w:p w14:paraId="7DFB9E29"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411411</w:t>
            </w:r>
          </w:p>
        </w:tc>
        <w:tc>
          <w:tcPr>
            <w:tcW w:w="6677" w:type="dxa"/>
            <w:tcBorders>
              <w:top w:val="nil"/>
              <w:left w:val="single" w:sz="8" w:space="0" w:color="auto"/>
              <w:bottom w:val="nil"/>
              <w:right w:val="single" w:sz="8" w:space="0" w:color="auto"/>
            </w:tcBorders>
            <w:vAlign w:val="bottom"/>
          </w:tcPr>
          <w:p w14:paraId="38EF8B8C"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Enrolled Nurse</w:t>
            </w:r>
          </w:p>
        </w:tc>
      </w:tr>
      <w:tr w:rsidR="00BD1D88" w:rsidRPr="005F5709" w14:paraId="6F8D4986" w14:textId="77777777" w:rsidTr="00956821">
        <w:trPr>
          <w:trHeight w:val="300"/>
        </w:trPr>
        <w:tc>
          <w:tcPr>
            <w:tcW w:w="2348" w:type="dxa"/>
            <w:tcBorders>
              <w:top w:val="nil"/>
              <w:left w:val="single" w:sz="8" w:space="0" w:color="auto"/>
              <w:bottom w:val="nil"/>
              <w:right w:val="single" w:sz="8" w:space="0" w:color="auto"/>
            </w:tcBorders>
            <w:vAlign w:val="bottom"/>
          </w:tcPr>
          <w:p w14:paraId="3DEA93B8"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322113</w:t>
            </w:r>
          </w:p>
        </w:tc>
        <w:tc>
          <w:tcPr>
            <w:tcW w:w="6677" w:type="dxa"/>
            <w:tcBorders>
              <w:top w:val="nil"/>
              <w:left w:val="single" w:sz="8" w:space="0" w:color="auto"/>
              <w:bottom w:val="nil"/>
              <w:right w:val="single" w:sz="8" w:space="0" w:color="auto"/>
            </w:tcBorders>
            <w:vAlign w:val="bottom"/>
          </w:tcPr>
          <w:p w14:paraId="6B31C632"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Farrier</w:t>
            </w:r>
          </w:p>
        </w:tc>
      </w:tr>
      <w:tr w:rsidR="00BD1D88" w:rsidRPr="005F5709" w14:paraId="1905CECE" w14:textId="77777777" w:rsidTr="00956821">
        <w:trPr>
          <w:trHeight w:val="300"/>
        </w:trPr>
        <w:tc>
          <w:tcPr>
            <w:tcW w:w="2348" w:type="dxa"/>
            <w:tcBorders>
              <w:top w:val="nil"/>
              <w:left w:val="single" w:sz="8" w:space="0" w:color="auto"/>
              <w:bottom w:val="nil"/>
              <w:right w:val="single" w:sz="8" w:space="0" w:color="auto"/>
            </w:tcBorders>
            <w:vAlign w:val="bottom"/>
          </w:tcPr>
          <w:p w14:paraId="1A4A801C"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333211</w:t>
            </w:r>
          </w:p>
        </w:tc>
        <w:tc>
          <w:tcPr>
            <w:tcW w:w="6677" w:type="dxa"/>
            <w:tcBorders>
              <w:top w:val="nil"/>
              <w:left w:val="single" w:sz="8" w:space="0" w:color="auto"/>
              <w:bottom w:val="nil"/>
              <w:right w:val="single" w:sz="8" w:space="0" w:color="auto"/>
            </w:tcBorders>
            <w:vAlign w:val="bottom"/>
          </w:tcPr>
          <w:p w14:paraId="37217156"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Fibrous Plasterer</w:t>
            </w:r>
          </w:p>
        </w:tc>
      </w:tr>
      <w:tr w:rsidR="00BD1D88" w:rsidRPr="005F5709" w14:paraId="344152C9" w14:textId="77777777" w:rsidTr="00956821">
        <w:trPr>
          <w:trHeight w:val="300"/>
        </w:trPr>
        <w:tc>
          <w:tcPr>
            <w:tcW w:w="2348" w:type="dxa"/>
            <w:tcBorders>
              <w:top w:val="nil"/>
              <w:left w:val="single" w:sz="8" w:space="0" w:color="auto"/>
              <w:bottom w:val="nil"/>
              <w:right w:val="single" w:sz="8" w:space="0" w:color="auto"/>
            </w:tcBorders>
            <w:vAlign w:val="bottom"/>
          </w:tcPr>
          <w:p w14:paraId="0EDB7128"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323211</w:t>
            </w:r>
          </w:p>
        </w:tc>
        <w:tc>
          <w:tcPr>
            <w:tcW w:w="6677" w:type="dxa"/>
            <w:tcBorders>
              <w:top w:val="nil"/>
              <w:left w:val="single" w:sz="8" w:space="0" w:color="auto"/>
              <w:bottom w:val="nil"/>
              <w:right w:val="single" w:sz="8" w:space="0" w:color="auto"/>
            </w:tcBorders>
            <w:vAlign w:val="bottom"/>
          </w:tcPr>
          <w:p w14:paraId="1390C77A"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Fitter (General)</w:t>
            </w:r>
          </w:p>
        </w:tc>
      </w:tr>
      <w:tr w:rsidR="00BD1D88" w:rsidRPr="005F5709" w14:paraId="54991E07" w14:textId="77777777" w:rsidTr="00956821">
        <w:trPr>
          <w:trHeight w:val="300"/>
        </w:trPr>
        <w:tc>
          <w:tcPr>
            <w:tcW w:w="2348" w:type="dxa"/>
            <w:tcBorders>
              <w:top w:val="nil"/>
              <w:left w:val="single" w:sz="8" w:space="0" w:color="auto"/>
              <w:bottom w:val="nil"/>
              <w:right w:val="single" w:sz="8" w:space="0" w:color="auto"/>
            </w:tcBorders>
            <w:vAlign w:val="bottom"/>
          </w:tcPr>
          <w:p w14:paraId="4911BD17"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323212</w:t>
            </w:r>
          </w:p>
        </w:tc>
        <w:tc>
          <w:tcPr>
            <w:tcW w:w="6677" w:type="dxa"/>
            <w:tcBorders>
              <w:top w:val="nil"/>
              <w:left w:val="single" w:sz="8" w:space="0" w:color="auto"/>
              <w:bottom w:val="nil"/>
              <w:right w:val="single" w:sz="8" w:space="0" w:color="auto"/>
            </w:tcBorders>
            <w:vAlign w:val="bottom"/>
          </w:tcPr>
          <w:p w14:paraId="488FED8D"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Fitter and Turner</w:t>
            </w:r>
          </w:p>
        </w:tc>
      </w:tr>
      <w:tr w:rsidR="00BD1D88" w:rsidRPr="005F5709" w14:paraId="14ACCAE2" w14:textId="77777777" w:rsidTr="00956821">
        <w:trPr>
          <w:trHeight w:val="300"/>
        </w:trPr>
        <w:tc>
          <w:tcPr>
            <w:tcW w:w="2348" w:type="dxa"/>
            <w:tcBorders>
              <w:top w:val="nil"/>
              <w:left w:val="single" w:sz="8" w:space="0" w:color="auto"/>
              <w:bottom w:val="nil"/>
              <w:right w:val="single" w:sz="8" w:space="0" w:color="auto"/>
            </w:tcBorders>
            <w:vAlign w:val="bottom"/>
          </w:tcPr>
          <w:p w14:paraId="1121CA4A"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323213</w:t>
            </w:r>
          </w:p>
        </w:tc>
        <w:tc>
          <w:tcPr>
            <w:tcW w:w="6677" w:type="dxa"/>
            <w:tcBorders>
              <w:top w:val="nil"/>
              <w:left w:val="single" w:sz="8" w:space="0" w:color="auto"/>
              <w:bottom w:val="nil"/>
              <w:right w:val="single" w:sz="8" w:space="0" w:color="auto"/>
            </w:tcBorders>
            <w:vAlign w:val="bottom"/>
          </w:tcPr>
          <w:p w14:paraId="585A20E5"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Fitter-Welder</w:t>
            </w:r>
          </w:p>
        </w:tc>
      </w:tr>
      <w:tr w:rsidR="00BD1D88" w:rsidRPr="005F5709" w14:paraId="6D2AD259" w14:textId="77777777" w:rsidTr="00956821">
        <w:trPr>
          <w:trHeight w:val="300"/>
        </w:trPr>
        <w:tc>
          <w:tcPr>
            <w:tcW w:w="2348" w:type="dxa"/>
            <w:tcBorders>
              <w:top w:val="nil"/>
              <w:left w:val="single" w:sz="8" w:space="0" w:color="auto"/>
              <w:bottom w:val="nil"/>
              <w:right w:val="single" w:sz="8" w:space="0" w:color="auto"/>
            </w:tcBorders>
            <w:vAlign w:val="bottom"/>
          </w:tcPr>
          <w:p w14:paraId="43F003D6"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332111</w:t>
            </w:r>
          </w:p>
        </w:tc>
        <w:tc>
          <w:tcPr>
            <w:tcW w:w="6677" w:type="dxa"/>
            <w:tcBorders>
              <w:top w:val="nil"/>
              <w:left w:val="single" w:sz="8" w:space="0" w:color="auto"/>
              <w:bottom w:val="nil"/>
              <w:right w:val="single" w:sz="8" w:space="0" w:color="auto"/>
            </w:tcBorders>
            <w:vAlign w:val="bottom"/>
          </w:tcPr>
          <w:p w14:paraId="69D00A5F"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Floor Finisher</w:t>
            </w:r>
          </w:p>
        </w:tc>
      </w:tr>
      <w:tr w:rsidR="00BD1D88" w:rsidRPr="005F5709" w14:paraId="7AAABB96" w14:textId="77777777" w:rsidTr="00956821">
        <w:trPr>
          <w:trHeight w:val="300"/>
        </w:trPr>
        <w:tc>
          <w:tcPr>
            <w:tcW w:w="2348" w:type="dxa"/>
            <w:tcBorders>
              <w:top w:val="nil"/>
              <w:left w:val="single" w:sz="8" w:space="0" w:color="auto"/>
              <w:bottom w:val="nil"/>
              <w:right w:val="single" w:sz="8" w:space="0" w:color="auto"/>
            </w:tcBorders>
            <w:vAlign w:val="bottom"/>
          </w:tcPr>
          <w:p w14:paraId="1ED4997E"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394211</w:t>
            </w:r>
          </w:p>
        </w:tc>
        <w:tc>
          <w:tcPr>
            <w:tcW w:w="6677" w:type="dxa"/>
            <w:tcBorders>
              <w:top w:val="nil"/>
              <w:left w:val="single" w:sz="8" w:space="0" w:color="auto"/>
              <w:bottom w:val="nil"/>
              <w:right w:val="single" w:sz="8" w:space="0" w:color="auto"/>
            </w:tcBorders>
            <w:vAlign w:val="bottom"/>
          </w:tcPr>
          <w:p w14:paraId="5D1145AC"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Furniture Finisher</w:t>
            </w:r>
          </w:p>
        </w:tc>
      </w:tr>
      <w:tr w:rsidR="00BD1D88" w:rsidRPr="005F5709" w14:paraId="654E55DF" w14:textId="77777777" w:rsidTr="00956821">
        <w:trPr>
          <w:trHeight w:val="300"/>
        </w:trPr>
        <w:tc>
          <w:tcPr>
            <w:tcW w:w="2348" w:type="dxa"/>
            <w:tcBorders>
              <w:top w:val="nil"/>
              <w:left w:val="single" w:sz="8" w:space="0" w:color="auto"/>
              <w:bottom w:val="nil"/>
              <w:right w:val="single" w:sz="8" w:space="0" w:color="auto"/>
            </w:tcBorders>
            <w:vAlign w:val="bottom"/>
          </w:tcPr>
          <w:p w14:paraId="02EB5D1C"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334114</w:t>
            </w:r>
          </w:p>
        </w:tc>
        <w:tc>
          <w:tcPr>
            <w:tcW w:w="6677" w:type="dxa"/>
            <w:tcBorders>
              <w:top w:val="nil"/>
              <w:left w:val="single" w:sz="8" w:space="0" w:color="auto"/>
              <w:bottom w:val="nil"/>
              <w:right w:val="single" w:sz="8" w:space="0" w:color="auto"/>
            </w:tcBorders>
            <w:vAlign w:val="bottom"/>
          </w:tcPr>
          <w:p w14:paraId="1A5FB924"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Gasfitter</w:t>
            </w:r>
          </w:p>
        </w:tc>
      </w:tr>
      <w:tr w:rsidR="00BD1D88" w:rsidRPr="005F5709" w14:paraId="3DDD7251" w14:textId="77777777" w:rsidTr="00956821">
        <w:trPr>
          <w:trHeight w:val="300"/>
        </w:trPr>
        <w:tc>
          <w:tcPr>
            <w:tcW w:w="2348" w:type="dxa"/>
            <w:tcBorders>
              <w:top w:val="nil"/>
              <w:left w:val="single" w:sz="8" w:space="0" w:color="auto"/>
              <w:bottom w:val="nil"/>
              <w:right w:val="single" w:sz="8" w:space="0" w:color="auto"/>
            </w:tcBorders>
            <w:vAlign w:val="bottom"/>
          </w:tcPr>
          <w:p w14:paraId="09413AE9"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333111</w:t>
            </w:r>
          </w:p>
        </w:tc>
        <w:tc>
          <w:tcPr>
            <w:tcW w:w="6677" w:type="dxa"/>
            <w:tcBorders>
              <w:top w:val="nil"/>
              <w:left w:val="single" w:sz="8" w:space="0" w:color="auto"/>
              <w:bottom w:val="nil"/>
              <w:right w:val="single" w:sz="8" w:space="0" w:color="auto"/>
            </w:tcBorders>
            <w:vAlign w:val="bottom"/>
          </w:tcPr>
          <w:p w14:paraId="267DA987"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Glazier</w:t>
            </w:r>
          </w:p>
        </w:tc>
      </w:tr>
      <w:tr w:rsidR="00BD1D88" w:rsidRPr="005F5709" w14:paraId="52E38889" w14:textId="77777777" w:rsidTr="00956821">
        <w:trPr>
          <w:trHeight w:val="300"/>
        </w:trPr>
        <w:tc>
          <w:tcPr>
            <w:tcW w:w="2348" w:type="dxa"/>
            <w:tcBorders>
              <w:top w:val="nil"/>
              <w:left w:val="single" w:sz="8" w:space="0" w:color="auto"/>
              <w:bottom w:val="nil"/>
              <w:right w:val="single" w:sz="8" w:space="0" w:color="auto"/>
            </w:tcBorders>
            <w:vAlign w:val="bottom"/>
          </w:tcPr>
          <w:p w14:paraId="737751D5"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362311</w:t>
            </w:r>
          </w:p>
        </w:tc>
        <w:tc>
          <w:tcPr>
            <w:tcW w:w="6677" w:type="dxa"/>
            <w:tcBorders>
              <w:top w:val="nil"/>
              <w:left w:val="single" w:sz="8" w:space="0" w:color="auto"/>
              <w:bottom w:val="nil"/>
              <w:right w:val="single" w:sz="8" w:space="0" w:color="auto"/>
            </w:tcBorders>
            <w:vAlign w:val="bottom"/>
          </w:tcPr>
          <w:p w14:paraId="438B525D"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Greenkeeper</w:t>
            </w:r>
          </w:p>
        </w:tc>
      </w:tr>
      <w:tr w:rsidR="00BD1D88" w:rsidRPr="005F5709" w14:paraId="04B5BFCB" w14:textId="77777777" w:rsidTr="00956821">
        <w:trPr>
          <w:trHeight w:val="300"/>
        </w:trPr>
        <w:tc>
          <w:tcPr>
            <w:tcW w:w="2348" w:type="dxa"/>
            <w:tcBorders>
              <w:top w:val="nil"/>
              <w:left w:val="single" w:sz="8" w:space="0" w:color="auto"/>
              <w:right w:val="single" w:sz="8" w:space="0" w:color="auto"/>
            </w:tcBorders>
            <w:vAlign w:val="bottom"/>
          </w:tcPr>
          <w:p w14:paraId="7DF9C5EF"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391111</w:t>
            </w:r>
          </w:p>
        </w:tc>
        <w:tc>
          <w:tcPr>
            <w:tcW w:w="6677" w:type="dxa"/>
            <w:tcBorders>
              <w:top w:val="nil"/>
              <w:left w:val="single" w:sz="8" w:space="0" w:color="auto"/>
              <w:right w:val="single" w:sz="8" w:space="0" w:color="auto"/>
            </w:tcBorders>
            <w:vAlign w:val="bottom"/>
          </w:tcPr>
          <w:p w14:paraId="722B5DAE"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Hairdresser</w:t>
            </w:r>
          </w:p>
        </w:tc>
      </w:tr>
      <w:tr w:rsidR="00BD1D88" w:rsidRPr="005F5709" w14:paraId="27B2161B" w14:textId="77777777" w:rsidTr="00956821">
        <w:trPr>
          <w:trHeight w:val="300"/>
        </w:trPr>
        <w:tc>
          <w:tcPr>
            <w:tcW w:w="2348" w:type="dxa"/>
            <w:tcBorders>
              <w:top w:val="nil"/>
              <w:left w:val="single" w:sz="8" w:space="0" w:color="auto"/>
              <w:bottom w:val="nil"/>
              <w:right w:val="single" w:sz="8" w:space="0" w:color="auto"/>
            </w:tcBorders>
            <w:vAlign w:val="bottom"/>
          </w:tcPr>
          <w:p w14:paraId="4B8B91A8"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331213</w:t>
            </w:r>
          </w:p>
        </w:tc>
        <w:tc>
          <w:tcPr>
            <w:tcW w:w="6677" w:type="dxa"/>
            <w:tcBorders>
              <w:top w:val="nil"/>
              <w:left w:val="single" w:sz="8" w:space="0" w:color="auto"/>
              <w:bottom w:val="nil"/>
              <w:right w:val="single" w:sz="8" w:space="0" w:color="auto"/>
            </w:tcBorders>
            <w:vAlign w:val="bottom"/>
          </w:tcPr>
          <w:p w14:paraId="445FBBBD"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Joiner</w:t>
            </w:r>
          </w:p>
        </w:tc>
      </w:tr>
      <w:tr w:rsidR="00BD1D88" w:rsidRPr="005F5709" w14:paraId="7F2D3693" w14:textId="77777777" w:rsidTr="00956821">
        <w:trPr>
          <w:trHeight w:val="300"/>
        </w:trPr>
        <w:tc>
          <w:tcPr>
            <w:tcW w:w="2348" w:type="dxa"/>
            <w:tcBorders>
              <w:top w:val="nil"/>
              <w:left w:val="single" w:sz="8" w:space="0" w:color="auto"/>
              <w:bottom w:val="nil"/>
              <w:right w:val="single" w:sz="8" w:space="0" w:color="auto"/>
            </w:tcBorders>
          </w:tcPr>
          <w:p w14:paraId="7606D87B" w14:textId="77777777" w:rsidR="00BD1D88" w:rsidRPr="005F5709" w:rsidRDefault="00BD1D88" w:rsidP="00AC0D9D">
            <w:pPr>
              <w:jc w:val="center"/>
              <w:rPr>
                <w:rFonts w:asciiTheme="minorHAnsi" w:eastAsia="Times New Roman" w:hAnsiTheme="minorHAnsi" w:cstheme="minorHAnsi"/>
              </w:rPr>
            </w:pPr>
            <w:r w:rsidRPr="005F5709">
              <w:rPr>
                <w:rFonts w:asciiTheme="minorHAnsi" w:eastAsia="Times New Roman" w:hAnsiTheme="minorHAnsi" w:cstheme="minorHAnsi"/>
              </w:rPr>
              <w:t>362213</w:t>
            </w:r>
          </w:p>
        </w:tc>
        <w:tc>
          <w:tcPr>
            <w:tcW w:w="6677" w:type="dxa"/>
            <w:tcBorders>
              <w:top w:val="nil"/>
              <w:left w:val="single" w:sz="8" w:space="0" w:color="auto"/>
              <w:bottom w:val="nil"/>
              <w:right w:val="single" w:sz="8" w:space="0" w:color="auto"/>
            </w:tcBorders>
          </w:tcPr>
          <w:p w14:paraId="7FABDC3E" w14:textId="77777777" w:rsidR="00BD1D88" w:rsidRPr="005F5709" w:rsidRDefault="00BD1D88" w:rsidP="00AC0D9D">
            <w:pPr>
              <w:rPr>
                <w:rFonts w:asciiTheme="minorHAnsi" w:eastAsia="Times New Roman" w:hAnsiTheme="minorHAnsi" w:cstheme="minorHAnsi"/>
              </w:rPr>
            </w:pPr>
            <w:r w:rsidRPr="005F5709">
              <w:rPr>
                <w:rFonts w:asciiTheme="minorHAnsi" w:eastAsia="Times New Roman" w:hAnsiTheme="minorHAnsi" w:cstheme="minorHAnsi"/>
              </w:rPr>
              <w:t>Landscape Gardener</w:t>
            </w:r>
          </w:p>
        </w:tc>
      </w:tr>
      <w:tr w:rsidR="00BD1D88" w:rsidRPr="005F5709" w14:paraId="5FCF4696" w14:textId="77777777" w:rsidTr="00956821">
        <w:trPr>
          <w:trHeight w:val="300"/>
        </w:trPr>
        <w:tc>
          <w:tcPr>
            <w:tcW w:w="2348" w:type="dxa"/>
            <w:tcBorders>
              <w:top w:val="nil"/>
              <w:left w:val="single" w:sz="8" w:space="0" w:color="auto"/>
              <w:bottom w:val="nil"/>
              <w:right w:val="single" w:sz="8" w:space="0" w:color="auto"/>
            </w:tcBorders>
          </w:tcPr>
          <w:p w14:paraId="04938F94" w14:textId="77777777" w:rsidR="00BD1D88" w:rsidRPr="005F5709" w:rsidRDefault="00BD1D88" w:rsidP="00AC0D9D">
            <w:pPr>
              <w:jc w:val="center"/>
              <w:rPr>
                <w:rFonts w:asciiTheme="minorHAnsi" w:eastAsia="Times New Roman" w:hAnsiTheme="minorHAnsi" w:cstheme="minorHAnsi"/>
              </w:rPr>
            </w:pPr>
            <w:r w:rsidRPr="005F5709">
              <w:rPr>
                <w:rFonts w:asciiTheme="minorHAnsi" w:eastAsia="Times New Roman" w:hAnsiTheme="minorHAnsi" w:cstheme="minorHAnsi"/>
              </w:rPr>
              <w:t>323313</w:t>
            </w:r>
          </w:p>
        </w:tc>
        <w:tc>
          <w:tcPr>
            <w:tcW w:w="6677" w:type="dxa"/>
            <w:tcBorders>
              <w:top w:val="nil"/>
              <w:left w:val="single" w:sz="8" w:space="0" w:color="auto"/>
              <w:bottom w:val="nil"/>
              <w:right w:val="single" w:sz="8" w:space="0" w:color="auto"/>
            </w:tcBorders>
          </w:tcPr>
          <w:p w14:paraId="2BF7E314" w14:textId="77777777" w:rsidR="00BD1D88" w:rsidRPr="005F5709" w:rsidRDefault="00BD1D88" w:rsidP="00AC0D9D">
            <w:pPr>
              <w:rPr>
                <w:rFonts w:asciiTheme="minorHAnsi" w:eastAsia="Times New Roman" w:hAnsiTheme="minorHAnsi" w:cstheme="minorHAnsi"/>
              </w:rPr>
            </w:pPr>
            <w:r w:rsidRPr="005F5709">
              <w:rPr>
                <w:rFonts w:asciiTheme="minorHAnsi" w:eastAsia="Times New Roman" w:hAnsiTheme="minorHAnsi" w:cstheme="minorHAnsi"/>
              </w:rPr>
              <w:t>Locksmith</w:t>
            </w:r>
          </w:p>
        </w:tc>
      </w:tr>
      <w:tr w:rsidR="00BD1D88" w:rsidRPr="005F5709" w14:paraId="53341A60" w14:textId="77777777" w:rsidTr="00956821">
        <w:trPr>
          <w:trHeight w:val="300"/>
        </w:trPr>
        <w:tc>
          <w:tcPr>
            <w:tcW w:w="2348" w:type="dxa"/>
            <w:tcBorders>
              <w:top w:val="nil"/>
              <w:left w:val="single" w:sz="8" w:space="0" w:color="auto"/>
              <w:bottom w:val="nil"/>
              <w:right w:val="single" w:sz="8" w:space="0" w:color="auto"/>
            </w:tcBorders>
          </w:tcPr>
          <w:p w14:paraId="2DD3DDE8" w14:textId="77777777" w:rsidR="00BD1D88" w:rsidRPr="005F5709" w:rsidRDefault="00BD1D88" w:rsidP="00AC0D9D">
            <w:pPr>
              <w:jc w:val="center"/>
              <w:rPr>
                <w:rFonts w:asciiTheme="minorHAnsi" w:eastAsia="Times New Roman" w:hAnsiTheme="minorHAnsi" w:cstheme="minorHAnsi"/>
              </w:rPr>
            </w:pPr>
            <w:r w:rsidRPr="005F5709">
              <w:rPr>
                <w:rFonts w:asciiTheme="minorHAnsi" w:eastAsia="Times New Roman" w:hAnsiTheme="minorHAnsi" w:cstheme="minorHAnsi"/>
              </w:rPr>
              <w:t>311312</w:t>
            </w:r>
          </w:p>
        </w:tc>
        <w:tc>
          <w:tcPr>
            <w:tcW w:w="6677" w:type="dxa"/>
            <w:tcBorders>
              <w:top w:val="nil"/>
              <w:left w:val="single" w:sz="8" w:space="0" w:color="auto"/>
              <w:bottom w:val="nil"/>
              <w:right w:val="single" w:sz="8" w:space="0" w:color="auto"/>
            </w:tcBorders>
          </w:tcPr>
          <w:p w14:paraId="33F4D8F6" w14:textId="77777777" w:rsidR="00BD1D88" w:rsidRPr="005F5709" w:rsidRDefault="00BD1D88" w:rsidP="00AC0D9D">
            <w:pPr>
              <w:rPr>
                <w:rFonts w:asciiTheme="minorHAnsi" w:eastAsia="Times New Roman" w:hAnsiTheme="minorHAnsi" w:cstheme="minorHAnsi"/>
              </w:rPr>
            </w:pPr>
            <w:r w:rsidRPr="005F5709">
              <w:rPr>
                <w:rFonts w:asciiTheme="minorHAnsi" w:eastAsia="Times New Roman" w:hAnsiTheme="minorHAnsi" w:cstheme="minorHAnsi"/>
              </w:rPr>
              <w:t>Meat Inspector</w:t>
            </w:r>
          </w:p>
        </w:tc>
      </w:tr>
      <w:tr w:rsidR="00BD1D88" w:rsidRPr="005F5709" w14:paraId="0AE37745" w14:textId="77777777" w:rsidTr="00956821">
        <w:trPr>
          <w:trHeight w:val="300"/>
        </w:trPr>
        <w:tc>
          <w:tcPr>
            <w:tcW w:w="2348" w:type="dxa"/>
            <w:tcBorders>
              <w:top w:val="nil"/>
              <w:left w:val="single" w:sz="8" w:space="0" w:color="auto"/>
              <w:bottom w:val="nil"/>
              <w:right w:val="single" w:sz="8" w:space="0" w:color="auto"/>
            </w:tcBorders>
          </w:tcPr>
          <w:p w14:paraId="10E4B9E2" w14:textId="77777777" w:rsidR="00BD1D88" w:rsidRPr="005F5709" w:rsidRDefault="00BD1D88" w:rsidP="00AC0D9D">
            <w:pPr>
              <w:jc w:val="center"/>
              <w:rPr>
                <w:rFonts w:asciiTheme="minorHAnsi" w:eastAsia="Times New Roman" w:hAnsiTheme="minorHAnsi" w:cstheme="minorHAnsi"/>
              </w:rPr>
            </w:pPr>
            <w:r w:rsidRPr="005F5709">
              <w:rPr>
                <w:rFonts w:asciiTheme="minorHAnsi" w:eastAsia="Times New Roman" w:hAnsiTheme="minorHAnsi" w:cstheme="minorHAnsi"/>
              </w:rPr>
              <w:t>322114</w:t>
            </w:r>
          </w:p>
        </w:tc>
        <w:tc>
          <w:tcPr>
            <w:tcW w:w="6677" w:type="dxa"/>
            <w:tcBorders>
              <w:top w:val="nil"/>
              <w:left w:val="single" w:sz="8" w:space="0" w:color="auto"/>
              <w:bottom w:val="nil"/>
              <w:right w:val="single" w:sz="8" w:space="0" w:color="auto"/>
            </w:tcBorders>
          </w:tcPr>
          <w:p w14:paraId="31BBC0E2" w14:textId="77777777" w:rsidR="00BD1D88" w:rsidRPr="005F5709" w:rsidRDefault="00BD1D88" w:rsidP="00AC0D9D">
            <w:pPr>
              <w:rPr>
                <w:rFonts w:asciiTheme="minorHAnsi" w:eastAsia="Times New Roman" w:hAnsiTheme="minorHAnsi" w:cstheme="minorHAnsi"/>
              </w:rPr>
            </w:pPr>
            <w:r w:rsidRPr="005F5709">
              <w:rPr>
                <w:rFonts w:asciiTheme="minorHAnsi" w:eastAsia="Times New Roman" w:hAnsiTheme="minorHAnsi" w:cstheme="minorHAnsi"/>
              </w:rPr>
              <w:t>Metal Casting Trades Worker</w:t>
            </w:r>
          </w:p>
        </w:tc>
      </w:tr>
      <w:tr w:rsidR="00BD1D88" w:rsidRPr="005F5709" w14:paraId="4C47097B" w14:textId="77777777" w:rsidTr="00956821">
        <w:trPr>
          <w:trHeight w:val="300"/>
        </w:trPr>
        <w:tc>
          <w:tcPr>
            <w:tcW w:w="2348" w:type="dxa"/>
            <w:tcBorders>
              <w:top w:val="nil"/>
              <w:left w:val="single" w:sz="8" w:space="0" w:color="auto"/>
              <w:bottom w:val="nil"/>
              <w:right w:val="single" w:sz="8" w:space="0" w:color="auto"/>
            </w:tcBorders>
          </w:tcPr>
          <w:p w14:paraId="53634B63" w14:textId="77777777" w:rsidR="00BD1D88" w:rsidRPr="005F5709" w:rsidRDefault="00BD1D88" w:rsidP="00AC0D9D">
            <w:pPr>
              <w:jc w:val="center"/>
              <w:rPr>
                <w:rFonts w:asciiTheme="minorHAnsi" w:eastAsia="Times New Roman" w:hAnsiTheme="minorHAnsi" w:cstheme="minorHAnsi"/>
              </w:rPr>
            </w:pPr>
            <w:r w:rsidRPr="005F5709">
              <w:rPr>
                <w:rFonts w:asciiTheme="minorHAnsi" w:eastAsia="Times New Roman" w:hAnsiTheme="minorHAnsi" w:cstheme="minorHAnsi"/>
              </w:rPr>
              <w:t>322311</w:t>
            </w:r>
          </w:p>
        </w:tc>
        <w:tc>
          <w:tcPr>
            <w:tcW w:w="6677" w:type="dxa"/>
            <w:tcBorders>
              <w:top w:val="nil"/>
              <w:left w:val="single" w:sz="8" w:space="0" w:color="auto"/>
              <w:bottom w:val="nil"/>
              <w:right w:val="single" w:sz="8" w:space="0" w:color="auto"/>
            </w:tcBorders>
          </w:tcPr>
          <w:p w14:paraId="234FED15" w14:textId="77777777" w:rsidR="00BD1D88" w:rsidRPr="005F5709" w:rsidRDefault="00BD1D88" w:rsidP="00AC0D9D">
            <w:pPr>
              <w:rPr>
                <w:rFonts w:asciiTheme="minorHAnsi" w:eastAsia="Times New Roman" w:hAnsiTheme="minorHAnsi" w:cstheme="minorHAnsi"/>
              </w:rPr>
            </w:pPr>
            <w:r w:rsidRPr="005F5709">
              <w:rPr>
                <w:rFonts w:asciiTheme="minorHAnsi" w:eastAsia="Times New Roman" w:hAnsiTheme="minorHAnsi" w:cstheme="minorHAnsi"/>
              </w:rPr>
              <w:t>Metal Fabricator</w:t>
            </w:r>
          </w:p>
        </w:tc>
      </w:tr>
      <w:tr w:rsidR="00BD1D88" w:rsidRPr="005F5709" w14:paraId="15F7CD65" w14:textId="77777777" w:rsidTr="00956821">
        <w:trPr>
          <w:trHeight w:val="300"/>
        </w:trPr>
        <w:tc>
          <w:tcPr>
            <w:tcW w:w="2348" w:type="dxa"/>
            <w:tcBorders>
              <w:top w:val="nil"/>
              <w:left w:val="single" w:sz="8" w:space="0" w:color="auto"/>
              <w:bottom w:val="nil"/>
              <w:right w:val="single" w:sz="8" w:space="0" w:color="auto"/>
            </w:tcBorders>
            <w:vAlign w:val="bottom"/>
          </w:tcPr>
          <w:p w14:paraId="5C439F21" w14:textId="77777777" w:rsidR="00BD1D88" w:rsidRPr="005F5709" w:rsidRDefault="00BD1D88" w:rsidP="00AC0D9D">
            <w:pPr>
              <w:jc w:val="center"/>
              <w:rPr>
                <w:rFonts w:asciiTheme="minorHAnsi" w:eastAsia="Times New Roman" w:hAnsiTheme="minorHAnsi" w:cstheme="minorHAnsi"/>
              </w:rPr>
            </w:pPr>
            <w:r w:rsidRPr="005F5709">
              <w:rPr>
                <w:rFonts w:asciiTheme="minorHAnsi" w:eastAsia="Times New Roman" w:hAnsiTheme="minorHAnsi" w:cstheme="minorHAnsi"/>
              </w:rPr>
              <w:t>323214</w:t>
            </w:r>
          </w:p>
        </w:tc>
        <w:tc>
          <w:tcPr>
            <w:tcW w:w="6677" w:type="dxa"/>
            <w:tcBorders>
              <w:top w:val="nil"/>
              <w:left w:val="single" w:sz="8" w:space="0" w:color="auto"/>
              <w:bottom w:val="nil"/>
              <w:right w:val="single" w:sz="8" w:space="0" w:color="auto"/>
            </w:tcBorders>
            <w:vAlign w:val="bottom"/>
          </w:tcPr>
          <w:p w14:paraId="293CA0F6" w14:textId="77777777" w:rsidR="00BD1D88" w:rsidRPr="005F5709" w:rsidRDefault="00BD1D88" w:rsidP="00AC0D9D">
            <w:pPr>
              <w:rPr>
                <w:rFonts w:asciiTheme="minorHAnsi" w:eastAsia="Times New Roman" w:hAnsiTheme="minorHAnsi" w:cstheme="minorHAnsi"/>
              </w:rPr>
            </w:pPr>
            <w:r w:rsidRPr="005F5709">
              <w:rPr>
                <w:rFonts w:asciiTheme="minorHAnsi" w:eastAsia="Times New Roman" w:hAnsiTheme="minorHAnsi" w:cstheme="minorHAnsi"/>
              </w:rPr>
              <w:t>Metal Machinist (First Class)</w:t>
            </w:r>
          </w:p>
        </w:tc>
      </w:tr>
      <w:tr w:rsidR="00BD1D88" w:rsidRPr="005F5709" w14:paraId="10C7CD13" w14:textId="77777777" w:rsidTr="00956821">
        <w:trPr>
          <w:trHeight w:val="300"/>
        </w:trPr>
        <w:tc>
          <w:tcPr>
            <w:tcW w:w="2348" w:type="dxa"/>
            <w:tcBorders>
              <w:top w:val="nil"/>
              <w:left w:val="single" w:sz="8" w:space="0" w:color="auto"/>
              <w:bottom w:val="nil"/>
              <w:right w:val="single" w:sz="8" w:space="0" w:color="auto"/>
            </w:tcBorders>
            <w:vAlign w:val="bottom"/>
          </w:tcPr>
          <w:p w14:paraId="5E8F4EDE"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321211</w:t>
            </w:r>
          </w:p>
        </w:tc>
        <w:tc>
          <w:tcPr>
            <w:tcW w:w="6667" w:type="dxa"/>
            <w:tcBorders>
              <w:top w:val="nil"/>
              <w:left w:val="single" w:sz="8" w:space="0" w:color="auto"/>
              <w:bottom w:val="nil"/>
              <w:right w:val="single" w:sz="8" w:space="0" w:color="auto"/>
            </w:tcBorders>
            <w:vAlign w:val="bottom"/>
          </w:tcPr>
          <w:p w14:paraId="3AD176D0"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Motor Mechanic (General)</w:t>
            </w:r>
          </w:p>
        </w:tc>
      </w:tr>
      <w:tr w:rsidR="00BD1D88" w:rsidRPr="005F5709" w14:paraId="3ECCC830" w14:textId="77777777" w:rsidTr="00956821">
        <w:trPr>
          <w:trHeight w:val="300"/>
        </w:trPr>
        <w:tc>
          <w:tcPr>
            <w:tcW w:w="2348" w:type="dxa"/>
            <w:tcBorders>
              <w:top w:val="nil"/>
              <w:left w:val="single" w:sz="8" w:space="0" w:color="auto"/>
              <w:bottom w:val="single" w:sz="4" w:space="0" w:color="auto"/>
              <w:right w:val="single" w:sz="8" w:space="0" w:color="auto"/>
            </w:tcBorders>
            <w:vAlign w:val="bottom"/>
          </w:tcPr>
          <w:p w14:paraId="5C131EA1"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321213</w:t>
            </w:r>
          </w:p>
        </w:tc>
        <w:tc>
          <w:tcPr>
            <w:tcW w:w="6667" w:type="dxa"/>
            <w:tcBorders>
              <w:top w:val="nil"/>
              <w:left w:val="single" w:sz="8" w:space="0" w:color="auto"/>
              <w:bottom w:val="single" w:sz="4" w:space="0" w:color="auto"/>
              <w:right w:val="single" w:sz="8" w:space="0" w:color="auto"/>
            </w:tcBorders>
            <w:vAlign w:val="bottom"/>
          </w:tcPr>
          <w:p w14:paraId="648AE053"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Motorcycle Mechanic</w:t>
            </w:r>
          </w:p>
        </w:tc>
      </w:tr>
      <w:tr w:rsidR="00BD1D88" w:rsidRPr="005F5709" w14:paraId="2A773F47" w14:textId="77777777" w:rsidTr="00956821">
        <w:trPr>
          <w:trHeight w:val="300"/>
        </w:trPr>
        <w:tc>
          <w:tcPr>
            <w:tcW w:w="2348" w:type="dxa"/>
            <w:tcBorders>
              <w:top w:val="nil"/>
              <w:left w:val="single" w:sz="8" w:space="0" w:color="auto"/>
              <w:bottom w:val="nil"/>
              <w:right w:val="single" w:sz="8" w:space="0" w:color="auto"/>
            </w:tcBorders>
            <w:vAlign w:val="bottom"/>
          </w:tcPr>
          <w:p w14:paraId="5128B2D4"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362411</w:t>
            </w:r>
          </w:p>
        </w:tc>
        <w:tc>
          <w:tcPr>
            <w:tcW w:w="6667" w:type="dxa"/>
            <w:tcBorders>
              <w:top w:val="nil"/>
              <w:left w:val="single" w:sz="8" w:space="0" w:color="auto"/>
              <w:bottom w:val="nil"/>
              <w:right w:val="single" w:sz="8" w:space="0" w:color="auto"/>
            </w:tcBorders>
            <w:vAlign w:val="bottom"/>
          </w:tcPr>
          <w:p w14:paraId="21613D3E"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Nurseryperson</w:t>
            </w:r>
          </w:p>
        </w:tc>
      </w:tr>
      <w:tr w:rsidR="00BD1D88" w:rsidRPr="005F5709" w14:paraId="128E804D" w14:textId="77777777" w:rsidTr="00956821">
        <w:trPr>
          <w:trHeight w:val="300"/>
        </w:trPr>
        <w:tc>
          <w:tcPr>
            <w:tcW w:w="2348" w:type="dxa"/>
            <w:tcBorders>
              <w:top w:val="nil"/>
              <w:left w:val="single" w:sz="8" w:space="0" w:color="auto"/>
              <w:bottom w:val="nil"/>
              <w:right w:val="single" w:sz="8" w:space="0" w:color="auto"/>
            </w:tcBorders>
            <w:vAlign w:val="bottom"/>
          </w:tcPr>
          <w:p w14:paraId="3BC352C5"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423312</w:t>
            </w:r>
          </w:p>
        </w:tc>
        <w:tc>
          <w:tcPr>
            <w:tcW w:w="6667" w:type="dxa"/>
            <w:tcBorders>
              <w:top w:val="nil"/>
              <w:left w:val="single" w:sz="8" w:space="0" w:color="auto"/>
              <w:bottom w:val="nil"/>
              <w:right w:val="single" w:sz="8" w:space="0" w:color="auto"/>
            </w:tcBorders>
            <w:vAlign w:val="bottom"/>
          </w:tcPr>
          <w:p w14:paraId="4F4B3073"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Nursing Support Worker</w:t>
            </w:r>
          </w:p>
        </w:tc>
      </w:tr>
      <w:tr w:rsidR="00BD1D88" w:rsidRPr="005F5709" w14:paraId="2A690971" w14:textId="77777777" w:rsidTr="00956821">
        <w:trPr>
          <w:trHeight w:val="300"/>
        </w:trPr>
        <w:tc>
          <w:tcPr>
            <w:tcW w:w="2348" w:type="dxa"/>
            <w:tcBorders>
              <w:top w:val="nil"/>
              <w:left w:val="single" w:sz="8" w:space="0" w:color="auto"/>
              <w:bottom w:val="nil"/>
              <w:right w:val="single" w:sz="8" w:space="0" w:color="auto"/>
            </w:tcBorders>
            <w:vAlign w:val="bottom"/>
          </w:tcPr>
          <w:p w14:paraId="7FDCB940"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332211</w:t>
            </w:r>
          </w:p>
        </w:tc>
        <w:tc>
          <w:tcPr>
            <w:tcW w:w="6667" w:type="dxa"/>
            <w:tcBorders>
              <w:top w:val="nil"/>
              <w:left w:val="single" w:sz="8" w:space="0" w:color="auto"/>
              <w:bottom w:val="nil"/>
              <w:right w:val="single" w:sz="8" w:space="0" w:color="auto"/>
            </w:tcBorders>
            <w:vAlign w:val="bottom"/>
          </w:tcPr>
          <w:p w14:paraId="51BBBDB1"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Painting Trades Worker</w:t>
            </w:r>
          </w:p>
        </w:tc>
      </w:tr>
      <w:tr w:rsidR="00BD1D88" w:rsidRPr="005F5709" w14:paraId="7F3BCA1C" w14:textId="77777777" w:rsidTr="00956821">
        <w:trPr>
          <w:trHeight w:val="300"/>
        </w:trPr>
        <w:tc>
          <w:tcPr>
            <w:tcW w:w="2348" w:type="dxa"/>
            <w:tcBorders>
              <w:top w:val="nil"/>
              <w:left w:val="single" w:sz="8" w:space="0" w:color="auto"/>
              <w:bottom w:val="nil"/>
              <w:right w:val="single" w:sz="8" w:space="0" w:color="auto"/>
            </w:tcBorders>
            <w:vAlign w:val="bottom"/>
          </w:tcPr>
          <w:p w14:paraId="1A9BFB3C"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324111</w:t>
            </w:r>
          </w:p>
        </w:tc>
        <w:tc>
          <w:tcPr>
            <w:tcW w:w="6667" w:type="dxa"/>
            <w:tcBorders>
              <w:top w:val="nil"/>
              <w:left w:val="single" w:sz="8" w:space="0" w:color="auto"/>
              <w:bottom w:val="nil"/>
              <w:right w:val="single" w:sz="8" w:space="0" w:color="auto"/>
            </w:tcBorders>
            <w:vAlign w:val="bottom"/>
          </w:tcPr>
          <w:p w14:paraId="6D01F5B3" w14:textId="77777777" w:rsidR="00BD1D88" w:rsidRPr="005F5709" w:rsidRDefault="00BD1D88" w:rsidP="001F4E9B">
            <w:pPr>
              <w:rPr>
                <w:rFonts w:asciiTheme="minorHAnsi" w:hAnsiTheme="minorHAnsi" w:cstheme="minorHAnsi"/>
              </w:rPr>
            </w:pPr>
            <w:proofErr w:type="spellStart"/>
            <w:r w:rsidRPr="005F5709">
              <w:rPr>
                <w:rFonts w:asciiTheme="minorHAnsi" w:eastAsia="Times New Roman" w:hAnsiTheme="minorHAnsi" w:cstheme="minorHAnsi"/>
              </w:rPr>
              <w:t>Panelbeater</w:t>
            </w:r>
            <w:proofErr w:type="spellEnd"/>
          </w:p>
        </w:tc>
      </w:tr>
      <w:tr w:rsidR="00BD1D88" w:rsidRPr="005F5709" w14:paraId="038C0D41" w14:textId="77777777" w:rsidTr="00956821">
        <w:trPr>
          <w:trHeight w:val="300"/>
        </w:trPr>
        <w:tc>
          <w:tcPr>
            <w:tcW w:w="2348" w:type="dxa"/>
            <w:tcBorders>
              <w:top w:val="nil"/>
              <w:left w:val="single" w:sz="8" w:space="0" w:color="auto"/>
              <w:bottom w:val="nil"/>
              <w:right w:val="single" w:sz="8" w:space="0" w:color="auto"/>
            </w:tcBorders>
            <w:vAlign w:val="bottom"/>
          </w:tcPr>
          <w:p w14:paraId="33C59E91"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lastRenderedPageBreak/>
              <w:t>351112</w:t>
            </w:r>
          </w:p>
        </w:tc>
        <w:tc>
          <w:tcPr>
            <w:tcW w:w="6667" w:type="dxa"/>
            <w:tcBorders>
              <w:top w:val="nil"/>
              <w:left w:val="single" w:sz="8" w:space="0" w:color="auto"/>
              <w:bottom w:val="nil"/>
              <w:right w:val="single" w:sz="8" w:space="0" w:color="auto"/>
            </w:tcBorders>
            <w:vAlign w:val="bottom"/>
          </w:tcPr>
          <w:p w14:paraId="3F60E709"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Pastrycook</w:t>
            </w:r>
          </w:p>
        </w:tc>
      </w:tr>
      <w:tr w:rsidR="00BD1D88" w:rsidRPr="005F5709" w14:paraId="1A713487" w14:textId="77777777" w:rsidTr="00956821">
        <w:trPr>
          <w:trHeight w:val="300"/>
        </w:trPr>
        <w:tc>
          <w:tcPr>
            <w:tcW w:w="2348" w:type="dxa"/>
            <w:tcBorders>
              <w:top w:val="nil"/>
              <w:left w:val="single" w:sz="8" w:space="0" w:color="auto"/>
              <w:bottom w:val="nil"/>
              <w:right w:val="single" w:sz="8" w:space="0" w:color="auto"/>
            </w:tcBorders>
            <w:vAlign w:val="bottom"/>
          </w:tcPr>
          <w:p w14:paraId="2EE526F2"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423313</w:t>
            </w:r>
          </w:p>
        </w:tc>
        <w:tc>
          <w:tcPr>
            <w:tcW w:w="6667" w:type="dxa"/>
            <w:tcBorders>
              <w:top w:val="nil"/>
              <w:left w:val="single" w:sz="8" w:space="0" w:color="auto"/>
              <w:bottom w:val="nil"/>
              <w:right w:val="single" w:sz="8" w:space="0" w:color="auto"/>
            </w:tcBorders>
            <w:vAlign w:val="bottom"/>
          </w:tcPr>
          <w:p w14:paraId="2813CB76"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Personal Care Assistant</w:t>
            </w:r>
          </w:p>
        </w:tc>
      </w:tr>
      <w:tr w:rsidR="00BD1D88" w:rsidRPr="005F5709" w14:paraId="2447D63B" w14:textId="77777777" w:rsidTr="00956821">
        <w:trPr>
          <w:trHeight w:val="300"/>
        </w:trPr>
        <w:tc>
          <w:tcPr>
            <w:tcW w:w="2348" w:type="dxa"/>
            <w:tcBorders>
              <w:top w:val="nil"/>
              <w:left w:val="single" w:sz="8" w:space="0" w:color="auto"/>
              <w:bottom w:val="nil"/>
              <w:right w:val="single" w:sz="8" w:space="0" w:color="auto"/>
            </w:tcBorders>
            <w:vAlign w:val="bottom"/>
          </w:tcPr>
          <w:p w14:paraId="03F8DD8A"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334111</w:t>
            </w:r>
          </w:p>
        </w:tc>
        <w:tc>
          <w:tcPr>
            <w:tcW w:w="6667" w:type="dxa"/>
            <w:tcBorders>
              <w:top w:val="nil"/>
              <w:left w:val="single" w:sz="8" w:space="0" w:color="auto"/>
              <w:bottom w:val="nil"/>
              <w:right w:val="single" w:sz="8" w:space="0" w:color="auto"/>
            </w:tcBorders>
            <w:vAlign w:val="bottom"/>
          </w:tcPr>
          <w:p w14:paraId="7D5796F9"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Plumber (General)</w:t>
            </w:r>
          </w:p>
        </w:tc>
      </w:tr>
      <w:tr w:rsidR="00BD1D88" w:rsidRPr="005F5709" w14:paraId="336EF188" w14:textId="77777777" w:rsidTr="00956821">
        <w:trPr>
          <w:trHeight w:val="300"/>
        </w:trPr>
        <w:tc>
          <w:tcPr>
            <w:tcW w:w="2348" w:type="dxa"/>
            <w:tcBorders>
              <w:top w:val="nil"/>
              <w:left w:val="single" w:sz="8" w:space="0" w:color="auto"/>
              <w:bottom w:val="nil"/>
              <w:right w:val="single" w:sz="8" w:space="0" w:color="auto"/>
            </w:tcBorders>
            <w:vAlign w:val="bottom"/>
          </w:tcPr>
          <w:p w14:paraId="72F24E00"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322312</w:t>
            </w:r>
          </w:p>
        </w:tc>
        <w:tc>
          <w:tcPr>
            <w:tcW w:w="6667" w:type="dxa"/>
            <w:tcBorders>
              <w:top w:val="nil"/>
              <w:left w:val="single" w:sz="8" w:space="0" w:color="auto"/>
              <w:bottom w:val="nil"/>
              <w:right w:val="single" w:sz="8" w:space="0" w:color="auto"/>
            </w:tcBorders>
            <w:vAlign w:val="bottom"/>
          </w:tcPr>
          <w:p w14:paraId="54A75B85"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Pressure Welder</w:t>
            </w:r>
          </w:p>
        </w:tc>
      </w:tr>
      <w:tr w:rsidR="00BD1D88" w:rsidRPr="005F5709" w14:paraId="2E54F6C2" w14:textId="77777777" w:rsidTr="00956821">
        <w:trPr>
          <w:trHeight w:val="300"/>
        </w:trPr>
        <w:tc>
          <w:tcPr>
            <w:tcW w:w="2348" w:type="dxa"/>
            <w:tcBorders>
              <w:top w:val="nil"/>
              <w:left w:val="single" w:sz="8" w:space="0" w:color="auto"/>
              <w:bottom w:val="nil"/>
              <w:right w:val="single" w:sz="8" w:space="0" w:color="auto"/>
            </w:tcBorders>
            <w:vAlign w:val="bottom"/>
          </w:tcPr>
          <w:p w14:paraId="4234BDAE"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334115</w:t>
            </w:r>
          </w:p>
        </w:tc>
        <w:tc>
          <w:tcPr>
            <w:tcW w:w="6667" w:type="dxa"/>
            <w:tcBorders>
              <w:top w:val="nil"/>
              <w:left w:val="single" w:sz="8" w:space="0" w:color="auto"/>
              <w:bottom w:val="nil"/>
              <w:right w:val="single" w:sz="8" w:space="0" w:color="auto"/>
            </w:tcBorders>
            <w:vAlign w:val="bottom"/>
          </w:tcPr>
          <w:p w14:paraId="7C5D9CCA"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Roof Plumber</w:t>
            </w:r>
          </w:p>
        </w:tc>
      </w:tr>
      <w:tr w:rsidR="00BD1D88" w:rsidRPr="005F5709" w14:paraId="24C6C186" w14:textId="77777777" w:rsidTr="00956821">
        <w:trPr>
          <w:trHeight w:val="300"/>
        </w:trPr>
        <w:tc>
          <w:tcPr>
            <w:tcW w:w="2348" w:type="dxa"/>
            <w:tcBorders>
              <w:top w:val="nil"/>
              <w:left w:val="single" w:sz="8" w:space="0" w:color="auto"/>
              <w:bottom w:val="nil"/>
              <w:right w:val="single" w:sz="8" w:space="0" w:color="auto"/>
            </w:tcBorders>
            <w:vAlign w:val="bottom"/>
          </w:tcPr>
          <w:p w14:paraId="0C8B303E"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333311</w:t>
            </w:r>
          </w:p>
        </w:tc>
        <w:tc>
          <w:tcPr>
            <w:tcW w:w="6667" w:type="dxa"/>
            <w:tcBorders>
              <w:top w:val="nil"/>
              <w:left w:val="single" w:sz="8" w:space="0" w:color="auto"/>
              <w:bottom w:val="nil"/>
              <w:right w:val="single" w:sz="8" w:space="0" w:color="auto"/>
            </w:tcBorders>
            <w:vAlign w:val="bottom"/>
          </w:tcPr>
          <w:p w14:paraId="52C6841A"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Roof Tiler</w:t>
            </w:r>
          </w:p>
        </w:tc>
      </w:tr>
      <w:tr w:rsidR="00BD1D88" w:rsidRPr="005F5709" w14:paraId="6DEE4AA0" w14:textId="77777777" w:rsidTr="00956821">
        <w:trPr>
          <w:trHeight w:val="300"/>
        </w:trPr>
        <w:tc>
          <w:tcPr>
            <w:tcW w:w="2348" w:type="dxa"/>
            <w:tcBorders>
              <w:top w:val="nil"/>
              <w:left w:val="single" w:sz="8" w:space="0" w:color="auto"/>
              <w:bottom w:val="nil"/>
              <w:right w:val="single" w:sz="8" w:space="0" w:color="auto"/>
            </w:tcBorders>
            <w:vAlign w:val="bottom"/>
          </w:tcPr>
          <w:p w14:paraId="77FAF09E"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361211</w:t>
            </w:r>
          </w:p>
        </w:tc>
        <w:tc>
          <w:tcPr>
            <w:tcW w:w="6667" w:type="dxa"/>
            <w:tcBorders>
              <w:top w:val="nil"/>
              <w:left w:val="single" w:sz="8" w:space="0" w:color="auto"/>
              <w:bottom w:val="nil"/>
              <w:right w:val="single" w:sz="8" w:space="0" w:color="auto"/>
            </w:tcBorders>
            <w:vAlign w:val="bottom"/>
          </w:tcPr>
          <w:p w14:paraId="70EDCD6A"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Shearer</w:t>
            </w:r>
          </w:p>
        </w:tc>
      </w:tr>
      <w:tr w:rsidR="00BD1D88" w:rsidRPr="005F5709" w14:paraId="50CF11AF" w14:textId="77777777" w:rsidTr="00956821">
        <w:trPr>
          <w:trHeight w:val="300"/>
        </w:trPr>
        <w:tc>
          <w:tcPr>
            <w:tcW w:w="2348" w:type="dxa"/>
            <w:tcBorders>
              <w:top w:val="nil"/>
              <w:left w:val="single" w:sz="8" w:space="0" w:color="auto"/>
              <w:bottom w:val="nil"/>
              <w:right w:val="single" w:sz="8" w:space="0" w:color="auto"/>
            </w:tcBorders>
            <w:vAlign w:val="bottom"/>
          </w:tcPr>
          <w:p w14:paraId="69B1C459"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322211</w:t>
            </w:r>
          </w:p>
        </w:tc>
        <w:tc>
          <w:tcPr>
            <w:tcW w:w="6667" w:type="dxa"/>
            <w:tcBorders>
              <w:top w:val="nil"/>
              <w:left w:val="single" w:sz="8" w:space="0" w:color="auto"/>
              <w:bottom w:val="nil"/>
              <w:right w:val="single" w:sz="8" w:space="0" w:color="auto"/>
            </w:tcBorders>
            <w:vAlign w:val="bottom"/>
          </w:tcPr>
          <w:p w14:paraId="63C67DA5"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Sheetmetal Trades Worker</w:t>
            </w:r>
          </w:p>
        </w:tc>
      </w:tr>
      <w:tr w:rsidR="00BD1D88" w:rsidRPr="005F5709" w14:paraId="70B7D413" w14:textId="77777777" w:rsidTr="00956821">
        <w:trPr>
          <w:trHeight w:val="300"/>
        </w:trPr>
        <w:tc>
          <w:tcPr>
            <w:tcW w:w="2348" w:type="dxa"/>
            <w:tcBorders>
              <w:top w:val="nil"/>
              <w:left w:val="single" w:sz="8" w:space="0" w:color="auto"/>
              <w:bottom w:val="nil"/>
              <w:right w:val="single" w:sz="8" w:space="0" w:color="auto"/>
            </w:tcBorders>
            <w:vAlign w:val="bottom"/>
          </w:tcPr>
          <w:p w14:paraId="32E6523F"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399112</w:t>
            </w:r>
          </w:p>
        </w:tc>
        <w:tc>
          <w:tcPr>
            <w:tcW w:w="6667" w:type="dxa"/>
            <w:tcBorders>
              <w:top w:val="nil"/>
              <w:left w:val="single" w:sz="8" w:space="0" w:color="auto"/>
              <w:bottom w:val="nil"/>
              <w:right w:val="single" w:sz="8" w:space="0" w:color="auto"/>
            </w:tcBorders>
            <w:vAlign w:val="bottom"/>
          </w:tcPr>
          <w:p w14:paraId="48EE1566"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Shipwright</w:t>
            </w:r>
          </w:p>
        </w:tc>
      </w:tr>
      <w:tr w:rsidR="00BD1D88" w:rsidRPr="005F5709" w14:paraId="14F7629D" w14:textId="77777777" w:rsidTr="00956821">
        <w:trPr>
          <w:trHeight w:val="300"/>
        </w:trPr>
        <w:tc>
          <w:tcPr>
            <w:tcW w:w="2348" w:type="dxa"/>
            <w:tcBorders>
              <w:top w:val="nil"/>
              <w:left w:val="single" w:sz="8" w:space="0" w:color="auto"/>
              <w:bottom w:val="nil"/>
              <w:right w:val="single" w:sz="8" w:space="0" w:color="auto"/>
            </w:tcBorders>
            <w:vAlign w:val="bottom"/>
          </w:tcPr>
          <w:p w14:paraId="574FDDEE"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399611</w:t>
            </w:r>
          </w:p>
        </w:tc>
        <w:tc>
          <w:tcPr>
            <w:tcW w:w="6667" w:type="dxa"/>
            <w:tcBorders>
              <w:top w:val="nil"/>
              <w:left w:val="single" w:sz="8" w:space="0" w:color="auto"/>
              <w:bottom w:val="nil"/>
              <w:right w:val="single" w:sz="8" w:space="0" w:color="auto"/>
            </w:tcBorders>
            <w:vAlign w:val="bottom"/>
          </w:tcPr>
          <w:p w14:paraId="2E01C536"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Signwriter</w:t>
            </w:r>
          </w:p>
        </w:tc>
      </w:tr>
      <w:tr w:rsidR="00BD1D88" w:rsidRPr="005F5709" w14:paraId="25AC09B6" w14:textId="77777777" w:rsidTr="00956821">
        <w:trPr>
          <w:trHeight w:val="300"/>
        </w:trPr>
        <w:tc>
          <w:tcPr>
            <w:tcW w:w="2348" w:type="dxa"/>
            <w:tcBorders>
              <w:top w:val="nil"/>
              <w:left w:val="single" w:sz="8" w:space="0" w:color="auto"/>
              <w:right w:val="single" w:sz="8" w:space="0" w:color="auto"/>
            </w:tcBorders>
            <w:vAlign w:val="bottom"/>
          </w:tcPr>
          <w:p w14:paraId="718EEB23"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321214</w:t>
            </w:r>
          </w:p>
        </w:tc>
        <w:tc>
          <w:tcPr>
            <w:tcW w:w="6667" w:type="dxa"/>
            <w:tcBorders>
              <w:top w:val="nil"/>
              <w:left w:val="single" w:sz="8" w:space="0" w:color="auto"/>
              <w:right w:val="single" w:sz="8" w:space="0" w:color="auto"/>
            </w:tcBorders>
            <w:vAlign w:val="bottom"/>
          </w:tcPr>
          <w:p w14:paraId="12DF9035"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Small Engine Mechanic</w:t>
            </w:r>
          </w:p>
        </w:tc>
      </w:tr>
      <w:tr w:rsidR="00BD1D88" w:rsidRPr="005F5709" w14:paraId="7F53D406" w14:textId="77777777" w:rsidTr="00956821">
        <w:trPr>
          <w:trHeight w:val="300"/>
        </w:trPr>
        <w:tc>
          <w:tcPr>
            <w:tcW w:w="2348" w:type="dxa"/>
            <w:tcBorders>
              <w:top w:val="nil"/>
              <w:left w:val="single" w:sz="8" w:space="0" w:color="auto"/>
              <w:bottom w:val="nil"/>
              <w:right w:val="single" w:sz="8" w:space="0" w:color="auto"/>
            </w:tcBorders>
            <w:vAlign w:val="bottom"/>
          </w:tcPr>
          <w:p w14:paraId="53FD5765"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333212</w:t>
            </w:r>
          </w:p>
        </w:tc>
        <w:tc>
          <w:tcPr>
            <w:tcW w:w="6667" w:type="dxa"/>
            <w:tcBorders>
              <w:top w:val="nil"/>
              <w:left w:val="single" w:sz="8" w:space="0" w:color="auto"/>
              <w:bottom w:val="nil"/>
              <w:right w:val="single" w:sz="8" w:space="0" w:color="auto"/>
            </w:tcBorders>
            <w:vAlign w:val="bottom"/>
          </w:tcPr>
          <w:p w14:paraId="390E9416"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Solid Plasterer</w:t>
            </w:r>
          </w:p>
        </w:tc>
      </w:tr>
      <w:tr w:rsidR="00BD1D88" w:rsidRPr="005F5709" w14:paraId="5851E9A0" w14:textId="77777777" w:rsidTr="00956821">
        <w:trPr>
          <w:trHeight w:val="300"/>
        </w:trPr>
        <w:tc>
          <w:tcPr>
            <w:tcW w:w="2348" w:type="dxa"/>
            <w:tcBorders>
              <w:top w:val="nil"/>
              <w:left w:val="single" w:sz="8" w:space="0" w:color="auto"/>
              <w:bottom w:val="nil"/>
              <w:right w:val="single" w:sz="8" w:space="0" w:color="auto"/>
            </w:tcBorders>
            <w:vAlign w:val="bottom"/>
          </w:tcPr>
          <w:p w14:paraId="4DF9E7AF"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331112</w:t>
            </w:r>
          </w:p>
        </w:tc>
        <w:tc>
          <w:tcPr>
            <w:tcW w:w="6667" w:type="dxa"/>
            <w:tcBorders>
              <w:top w:val="nil"/>
              <w:left w:val="single" w:sz="8" w:space="0" w:color="auto"/>
              <w:bottom w:val="nil"/>
              <w:right w:val="single" w:sz="8" w:space="0" w:color="auto"/>
            </w:tcBorders>
            <w:vAlign w:val="bottom"/>
          </w:tcPr>
          <w:p w14:paraId="073A0802"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Stonemason</w:t>
            </w:r>
          </w:p>
        </w:tc>
      </w:tr>
      <w:tr w:rsidR="00BD1D88" w:rsidRPr="005F5709" w14:paraId="1EB55878" w14:textId="77777777" w:rsidTr="00956821">
        <w:trPr>
          <w:trHeight w:val="300"/>
        </w:trPr>
        <w:tc>
          <w:tcPr>
            <w:tcW w:w="2348" w:type="dxa"/>
            <w:tcBorders>
              <w:top w:val="nil"/>
              <w:left w:val="single" w:sz="8" w:space="0" w:color="auto"/>
              <w:bottom w:val="nil"/>
              <w:right w:val="single" w:sz="8" w:space="0" w:color="auto"/>
            </w:tcBorders>
            <w:vAlign w:val="bottom"/>
          </w:tcPr>
          <w:p w14:paraId="597C821B"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342212</w:t>
            </w:r>
          </w:p>
        </w:tc>
        <w:tc>
          <w:tcPr>
            <w:tcW w:w="6667" w:type="dxa"/>
            <w:tcBorders>
              <w:top w:val="nil"/>
              <w:left w:val="single" w:sz="8" w:space="0" w:color="auto"/>
              <w:bottom w:val="nil"/>
              <w:right w:val="single" w:sz="8" w:space="0" w:color="auto"/>
            </w:tcBorders>
            <w:vAlign w:val="bottom"/>
          </w:tcPr>
          <w:p w14:paraId="18981DA1"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Technical Cable Jointer</w:t>
            </w:r>
          </w:p>
        </w:tc>
      </w:tr>
      <w:tr w:rsidR="00BD1D88" w:rsidRPr="005F5709" w14:paraId="0E0B3843" w14:textId="77777777" w:rsidTr="00956821">
        <w:trPr>
          <w:trHeight w:val="300"/>
        </w:trPr>
        <w:tc>
          <w:tcPr>
            <w:tcW w:w="2348" w:type="dxa"/>
            <w:tcBorders>
              <w:top w:val="nil"/>
              <w:left w:val="single" w:sz="8" w:space="0" w:color="auto"/>
              <w:bottom w:val="nil"/>
              <w:right w:val="single" w:sz="8" w:space="0" w:color="auto"/>
            </w:tcBorders>
            <w:vAlign w:val="bottom"/>
          </w:tcPr>
          <w:p w14:paraId="2E0FC92A"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342412</w:t>
            </w:r>
          </w:p>
        </w:tc>
        <w:tc>
          <w:tcPr>
            <w:tcW w:w="6667" w:type="dxa"/>
            <w:tcBorders>
              <w:top w:val="nil"/>
              <w:left w:val="single" w:sz="8" w:space="0" w:color="auto"/>
              <w:bottom w:val="nil"/>
              <w:right w:val="single" w:sz="8" w:space="0" w:color="auto"/>
            </w:tcBorders>
            <w:vAlign w:val="bottom"/>
          </w:tcPr>
          <w:p w14:paraId="2EA5145E"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Telecommunications Cable Jointer</w:t>
            </w:r>
          </w:p>
        </w:tc>
      </w:tr>
      <w:tr w:rsidR="00BD1D88" w:rsidRPr="005F5709" w14:paraId="4E87C319" w14:textId="77777777" w:rsidTr="00956821">
        <w:trPr>
          <w:trHeight w:val="300"/>
        </w:trPr>
        <w:tc>
          <w:tcPr>
            <w:tcW w:w="2348" w:type="dxa"/>
            <w:tcBorders>
              <w:top w:val="nil"/>
              <w:left w:val="single" w:sz="8" w:space="0" w:color="auto"/>
              <w:bottom w:val="nil"/>
              <w:right w:val="single" w:sz="8" w:space="0" w:color="auto"/>
            </w:tcBorders>
            <w:vAlign w:val="bottom"/>
          </w:tcPr>
          <w:p w14:paraId="5F7A1B35"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342413</w:t>
            </w:r>
          </w:p>
        </w:tc>
        <w:tc>
          <w:tcPr>
            <w:tcW w:w="6667" w:type="dxa"/>
            <w:tcBorders>
              <w:top w:val="nil"/>
              <w:left w:val="single" w:sz="8" w:space="0" w:color="auto"/>
              <w:bottom w:val="nil"/>
              <w:right w:val="single" w:sz="8" w:space="0" w:color="auto"/>
            </w:tcBorders>
            <w:vAlign w:val="bottom"/>
          </w:tcPr>
          <w:p w14:paraId="6A72BB49"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 xml:space="preserve">Telecommunications </w:t>
            </w:r>
            <w:proofErr w:type="spellStart"/>
            <w:r w:rsidRPr="005F5709">
              <w:rPr>
                <w:rFonts w:asciiTheme="minorHAnsi" w:eastAsia="Times New Roman" w:hAnsiTheme="minorHAnsi" w:cstheme="minorHAnsi"/>
              </w:rPr>
              <w:t>Linesworker</w:t>
            </w:r>
            <w:proofErr w:type="spellEnd"/>
          </w:p>
        </w:tc>
      </w:tr>
      <w:tr w:rsidR="00BD1D88" w:rsidRPr="005F5709" w14:paraId="2B3874C2" w14:textId="77777777" w:rsidTr="00956821">
        <w:trPr>
          <w:trHeight w:val="300"/>
        </w:trPr>
        <w:tc>
          <w:tcPr>
            <w:tcW w:w="2348" w:type="dxa"/>
            <w:tcBorders>
              <w:top w:val="nil"/>
              <w:left w:val="single" w:sz="8" w:space="0" w:color="auto"/>
              <w:bottom w:val="nil"/>
              <w:right w:val="single" w:sz="8" w:space="0" w:color="auto"/>
            </w:tcBorders>
            <w:vAlign w:val="bottom"/>
          </w:tcPr>
          <w:p w14:paraId="49547F48"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342414</w:t>
            </w:r>
          </w:p>
        </w:tc>
        <w:tc>
          <w:tcPr>
            <w:tcW w:w="6667" w:type="dxa"/>
            <w:tcBorders>
              <w:top w:val="nil"/>
              <w:left w:val="single" w:sz="8" w:space="0" w:color="auto"/>
              <w:bottom w:val="nil"/>
              <w:right w:val="single" w:sz="8" w:space="0" w:color="auto"/>
            </w:tcBorders>
            <w:vAlign w:val="bottom"/>
          </w:tcPr>
          <w:p w14:paraId="49A3C7E5"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Telecommunications Technician</w:t>
            </w:r>
          </w:p>
        </w:tc>
      </w:tr>
      <w:tr w:rsidR="00BD1D88" w:rsidRPr="005F5709" w14:paraId="3B04764F" w14:textId="77777777" w:rsidTr="00956821">
        <w:trPr>
          <w:trHeight w:val="300"/>
        </w:trPr>
        <w:tc>
          <w:tcPr>
            <w:tcW w:w="2348" w:type="dxa"/>
            <w:tcBorders>
              <w:top w:val="nil"/>
              <w:left w:val="single" w:sz="8" w:space="0" w:color="auto"/>
              <w:bottom w:val="nil"/>
              <w:right w:val="single" w:sz="8" w:space="0" w:color="auto"/>
            </w:tcBorders>
            <w:vAlign w:val="bottom"/>
          </w:tcPr>
          <w:p w14:paraId="2FE404C7"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393311</w:t>
            </w:r>
          </w:p>
        </w:tc>
        <w:tc>
          <w:tcPr>
            <w:tcW w:w="6667" w:type="dxa"/>
            <w:tcBorders>
              <w:top w:val="nil"/>
              <w:left w:val="single" w:sz="8" w:space="0" w:color="auto"/>
              <w:bottom w:val="nil"/>
              <w:right w:val="single" w:sz="8" w:space="0" w:color="auto"/>
            </w:tcBorders>
            <w:vAlign w:val="bottom"/>
          </w:tcPr>
          <w:p w14:paraId="59981903"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Upholsterer</w:t>
            </w:r>
          </w:p>
        </w:tc>
      </w:tr>
      <w:tr w:rsidR="00BD1D88" w:rsidRPr="005F5709" w14:paraId="4A044C67" w14:textId="77777777" w:rsidTr="00956821">
        <w:trPr>
          <w:trHeight w:val="300"/>
        </w:trPr>
        <w:tc>
          <w:tcPr>
            <w:tcW w:w="2348" w:type="dxa"/>
            <w:tcBorders>
              <w:top w:val="nil"/>
              <w:left w:val="single" w:sz="8" w:space="0" w:color="auto"/>
              <w:bottom w:val="nil"/>
              <w:right w:val="single" w:sz="8" w:space="0" w:color="auto"/>
            </w:tcBorders>
            <w:vAlign w:val="bottom"/>
          </w:tcPr>
          <w:p w14:paraId="353B95F5"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324311</w:t>
            </w:r>
          </w:p>
        </w:tc>
        <w:tc>
          <w:tcPr>
            <w:tcW w:w="6667" w:type="dxa"/>
            <w:tcBorders>
              <w:top w:val="nil"/>
              <w:left w:val="single" w:sz="8" w:space="0" w:color="auto"/>
              <w:bottom w:val="nil"/>
              <w:right w:val="single" w:sz="8" w:space="0" w:color="auto"/>
            </w:tcBorders>
            <w:vAlign w:val="bottom"/>
          </w:tcPr>
          <w:p w14:paraId="49F4A900"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Vehicle Painter</w:t>
            </w:r>
          </w:p>
        </w:tc>
      </w:tr>
      <w:tr w:rsidR="00BD1D88" w:rsidRPr="005F5709" w14:paraId="4D842280" w14:textId="77777777" w:rsidTr="00956821">
        <w:trPr>
          <w:trHeight w:val="300"/>
        </w:trPr>
        <w:tc>
          <w:tcPr>
            <w:tcW w:w="2348" w:type="dxa"/>
            <w:tcBorders>
              <w:top w:val="nil"/>
              <w:left w:val="single" w:sz="8" w:space="0" w:color="auto"/>
              <w:bottom w:val="nil"/>
              <w:right w:val="single" w:sz="8" w:space="0" w:color="auto"/>
            </w:tcBorders>
            <w:vAlign w:val="bottom"/>
          </w:tcPr>
          <w:p w14:paraId="21F3D85F"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333411</w:t>
            </w:r>
          </w:p>
        </w:tc>
        <w:tc>
          <w:tcPr>
            <w:tcW w:w="6667" w:type="dxa"/>
            <w:tcBorders>
              <w:top w:val="nil"/>
              <w:left w:val="single" w:sz="8" w:space="0" w:color="auto"/>
              <w:bottom w:val="nil"/>
              <w:right w:val="single" w:sz="8" w:space="0" w:color="auto"/>
            </w:tcBorders>
            <w:vAlign w:val="bottom"/>
          </w:tcPr>
          <w:p w14:paraId="22C07CE5"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Wall and Floor Tiler</w:t>
            </w:r>
          </w:p>
        </w:tc>
      </w:tr>
      <w:tr w:rsidR="00BD1D88" w:rsidRPr="005F5709" w14:paraId="58AAB732" w14:textId="77777777" w:rsidTr="00956821">
        <w:trPr>
          <w:trHeight w:val="300"/>
        </w:trPr>
        <w:tc>
          <w:tcPr>
            <w:tcW w:w="2348" w:type="dxa"/>
            <w:tcBorders>
              <w:top w:val="nil"/>
              <w:left w:val="single" w:sz="8" w:space="0" w:color="auto"/>
              <w:bottom w:val="nil"/>
              <w:right w:val="single" w:sz="8" w:space="0" w:color="auto"/>
            </w:tcBorders>
            <w:vAlign w:val="bottom"/>
          </w:tcPr>
          <w:p w14:paraId="612C6303"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322313</w:t>
            </w:r>
          </w:p>
        </w:tc>
        <w:tc>
          <w:tcPr>
            <w:tcW w:w="6667" w:type="dxa"/>
            <w:tcBorders>
              <w:top w:val="nil"/>
              <w:left w:val="single" w:sz="8" w:space="0" w:color="auto"/>
              <w:bottom w:val="nil"/>
              <w:right w:val="single" w:sz="8" w:space="0" w:color="auto"/>
            </w:tcBorders>
            <w:vAlign w:val="bottom"/>
          </w:tcPr>
          <w:p w14:paraId="7EDF541C"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Welder (First Class)</w:t>
            </w:r>
          </w:p>
        </w:tc>
      </w:tr>
      <w:tr w:rsidR="00BD1D88" w:rsidRPr="005F5709" w14:paraId="41F2117D" w14:textId="77777777" w:rsidTr="00956821">
        <w:trPr>
          <w:trHeight w:val="300"/>
        </w:trPr>
        <w:tc>
          <w:tcPr>
            <w:tcW w:w="2348" w:type="dxa"/>
            <w:tcBorders>
              <w:top w:val="nil"/>
              <w:left w:val="single" w:sz="8" w:space="0" w:color="auto"/>
              <w:bottom w:val="single" w:sz="4" w:space="0" w:color="auto"/>
              <w:right w:val="single" w:sz="8" w:space="0" w:color="auto"/>
            </w:tcBorders>
            <w:vAlign w:val="bottom"/>
          </w:tcPr>
          <w:p w14:paraId="2842F147"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394213</w:t>
            </w:r>
          </w:p>
        </w:tc>
        <w:tc>
          <w:tcPr>
            <w:tcW w:w="6667" w:type="dxa"/>
            <w:tcBorders>
              <w:top w:val="nil"/>
              <w:left w:val="single" w:sz="8" w:space="0" w:color="auto"/>
              <w:bottom w:val="single" w:sz="4" w:space="0" w:color="auto"/>
              <w:right w:val="single" w:sz="8" w:space="0" w:color="auto"/>
            </w:tcBorders>
            <w:vAlign w:val="bottom"/>
          </w:tcPr>
          <w:p w14:paraId="2B2EEACA"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Wood Machinist</w:t>
            </w:r>
          </w:p>
        </w:tc>
      </w:tr>
    </w:tbl>
    <w:p w14:paraId="7E95B489" w14:textId="77777777" w:rsidR="00BD1D88" w:rsidRPr="005F5709" w:rsidRDefault="00BD1D88" w:rsidP="00246B0A">
      <w:pPr>
        <w:pStyle w:val="Heading2"/>
        <w:rPr>
          <w:color w:val="002060"/>
        </w:rPr>
      </w:pPr>
      <w:bookmarkStart w:id="150" w:name="_Toc113022249"/>
      <w:r w:rsidRPr="005F5709">
        <w:rPr>
          <w:color w:val="002060"/>
        </w:rPr>
        <w:t>Attachment E: Costing Assumptions</w:t>
      </w:r>
      <w:bookmarkEnd w:id="150"/>
    </w:p>
    <w:p w14:paraId="503BDA96" w14:textId="77777777" w:rsidR="00BD1D88" w:rsidRPr="005F5709" w:rsidRDefault="00BD1D88" w:rsidP="008B1888">
      <w:pPr>
        <w:rPr>
          <w:rFonts w:asciiTheme="minorHAnsi" w:hAnsiTheme="minorHAnsi" w:cstheme="minorHAnsi"/>
          <w:b/>
          <w:bCs/>
        </w:rPr>
      </w:pPr>
      <w:r w:rsidRPr="005F5709">
        <w:rPr>
          <w:rFonts w:asciiTheme="minorHAnsi" w:hAnsiTheme="minorHAnsi" w:cstheme="minorHAnsi"/>
          <w:b/>
          <w:bCs/>
        </w:rPr>
        <w:t>Methodology</w:t>
      </w:r>
    </w:p>
    <w:p w14:paraId="233D9F36" w14:textId="77777777" w:rsidR="00BD1D88" w:rsidRPr="005F5709" w:rsidRDefault="00BD1D88" w:rsidP="008B1888">
      <w:pPr>
        <w:rPr>
          <w:rFonts w:asciiTheme="minorHAnsi" w:hAnsiTheme="minorHAnsi" w:cstheme="minorHAnsi"/>
        </w:rPr>
      </w:pPr>
      <w:r w:rsidRPr="005F5709">
        <w:rPr>
          <w:rFonts w:asciiTheme="minorHAnsi" w:hAnsiTheme="minorHAnsi" w:cstheme="minorHAnsi"/>
        </w:rPr>
        <w:t xml:space="preserve">The regulatory burden estimates have been calculated separately for transitional and ongoing impacts. </w:t>
      </w:r>
    </w:p>
    <w:p w14:paraId="0E11919E" w14:textId="77777777" w:rsidR="00BD1D88" w:rsidRPr="005F5709" w:rsidRDefault="00BD1D88" w:rsidP="00977294">
      <w:pPr>
        <w:pStyle w:val="ListParagraph"/>
        <w:numPr>
          <w:ilvl w:val="0"/>
          <w:numId w:val="52"/>
        </w:numPr>
        <w:rPr>
          <w:rFonts w:asciiTheme="minorHAnsi" w:hAnsiTheme="minorHAnsi" w:cstheme="minorHAnsi"/>
        </w:rPr>
      </w:pPr>
      <w:r w:rsidRPr="005F5709">
        <w:rPr>
          <w:rFonts w:asciiTheme="minorHAnsi" w:hAnsiTheme="minorHAnsi" w:cstheme="minorHAnsi"/>
        </w:rPr>
        <w:t xml:space="preserve">The ongoing component relates to changes in the regulatory burden that will be experienced in respect of future cohorts of apprentices. </w:t>
      </w:r>
    </w:p>
    <w:p w14:paraId="530C1A50" w14:textId="77777777" w:rsidR="00BD1D88" w:rsidRPr="005F5709" w:rsidRDefault="00BD1D88" w:rsidP="00977294">
      <w:pPr>
        <w:pStyle w:val="ListParagraph"/>
        <w:numPr>
          <w:ilvl w:val="0"/>
          <w:numId w:val="52"/>
        </w:numPr>
        <w:rPr>
          <w:rFonts w:asciiTheme="minorHAnsi" w:hAnsiTheme="minorHAnsi" w:cstheme="minorHAnsi"/>
        </w:rPr>
      </w:pPr>
      <w:r w:rsidRPr="005F5709">
        <w:rPr>
          <w:rFonts w:asciiTheme="minorHAnsi" w:hAnsiTheme="minorHAnsi" w:cstheme="minorHAnsi"/>
        </w:rPr>
        <w:lastRenderedPageBreak/>
        <w:t xml:space="preserve">The transitional component includes temporary regulatory costs/savings: associated with an adjustment to the proposed arrangements such as decreased number of apprentices who are no longer eligible for the proposed incentives; associated with existing apprentices who are eligible to transition to the proposed arrangement; and measures with a temporary, rather than ongoing, lifespan. </w:t>
      </w:r>
    </w:p>
    <w:p w14:paraId="125A4695" w14:textId="77777777" w:rsidR="00BD1D88" w:rsidRPr="005F5709" w:rsidRDefault="00BD1D88" w:rsidP="008B1888">
      <w:pPr>
        <w:rPr>
          <w:rFonts w:asciiTheme="minorHAnsi" w:hAnsiTheme="minorHAnsi" w:cstheme="minorHAnsi"/>
        </w:rPr>
      </w:pPr>
      <w:r w:rsidRPr="005F5709">
        <w:rPr>
          <w:rFonts w:asciiTheme="minorHAnsi" w:hAnsiTheme="minorHAnsi" w:cstheme="minorHAnsi"/>
        </w:rPr>
        <w:t>The estimates include compliance related costs imposed on businesses and apprentices. They do not include costs that constitute workforce planning or that arise under the employment arrangement arising under an apprenticeship, such as the time spent in training and support.</w:t>
      </w:r>
    </w:p>
    <w:p w14:paraId="2C527B9A" w14:textId="77777777" w:rsidR="00BD1D88" w:rsidRPr="005F5709" w:rsidRDefault="00BD1D88" w:rsidP="008B1888">
      <w:pPr>
        <w:rPr>
          <w:rFonts w:asciiTheme="minorHAnsi" w:hAnsiTheme="minorHAnsi" w:cstheme="minorHAnsi"/>
        </w:rPr>
      </w:pPr>
      <w:r w:rsidRPr="005F5709">
        <w:rPr>
          <w:rFonts w:asciiTheme="minorHAnsi" w:hAnsiTheme="minorHAnsi" w:cstheme="minorHAnsi"/>
        </w:rPr>
        <w:t>Data underpinning the estimates has been drawn from the models used to cost the proposed arrangements, departmental apprenticeships data and estimates of the time likely to be spent/saved relative to the existing policy setting (introduction of the Australian Apprenticeships Incentives System from 1 July 2022).</w:t>
      </w:r>
    </w:p>
    <w:p w14:paraId="735C82A2" w14:textId="77777777" w:rsidR="00BD1D88" w:rsidRPr="005F5709" w:rsidRDefault="00BD1D88" w:rsidP="008B1888">
      <w:pPr>
        <w:rPr>
          <w:rFonts w:asciiTheme="minorHAnsi" w:hAnsiTheme="minorHAnsi" w:cstheme="minorHAnsi"/>
        </w:rPr>
      </w:pPr>
      <w:r w:rsidRPr="005F5709">
        <w:rPr>
          <w:rFonts w:asciiTheme="minorHAnsi" w:hAnsiTheme="minorHAnsi" w:cstheme="minorHAnsi"/>
        </w:rPr>
        <w:t>The estimates do not include impacts on AASN providers, as they are a government contracted service engaged to support both the employer and apprentice to enter and undertake an apprenticeship, and to understand and avail themselves of their entitlements under the prevailing apprenticeship incentives scheme. AASNs operate in a manner that alleviates much of the compliance burden on employers and apprentices.</w:t>
      </w:r>
    </w:p>
    <w:p w14:paraId="3F0C69D4" w14:textId="77777777" w:rsidR="00BD1D88" w:rsidRPr="005F5709" w:rsidRDefault="00BD1D88" w:rsidP="008B1888">
      <w:pPr>
        <w:rPr>
          <w:rFonts w:asciiTheme="minorHAnsi" w:eastAsia="Times New Roman" w:hAnsiTheme="minorHAnsi" w:cstheme="minorHAnsi"/>
          <w:b/>
        </w:rPr>
      </w:pPr>
      <w:r w:rsidRPr="005F5709" w:rsidDel="00046389">
        <w:rPr>
          <w:rFonts w:asciiTheme="minorHAnsi" w:eastAsia="Times New Roman" w:hAnsiTheme="minorHAnsi" w:cstheme="minorHAnsi"/>
          <w:b/>
        </w:rPr>
        <w:t xml:space="preserve">Table </w:t>
      </w:r>
      <w:r w:rsidRPr="005F5709">
        <w:rPr>
          <w:rFonts w:asciiTheme="minorHAnsi" w:eastAsia="Times New Roman" w:hAnsiTheme="minorHAnsi" w:cstheme="minorHAnsi"/>
          <w:b/>
        </w:rPr>
        <w:t>15</w:t>
      </w:r>
      <w:r w:rsidRPr="005F5709" w:rsidDel="00046389">
        <w:rPr>
          <w:rFonts w:asciiTheme="minorHAnsi" w:eastAsia="Times New Roman" w:hAnsiTheme="minorHAnsi" w:cstheme="minorHAnsi"/>
          <w:b/>
        </w:rPr>
        <w:t xml:space="preserve">: </w:t>
      </w:r>
      <w:r w:rsidRPr="005F5709">
        <w:rPr>
          <w:rFonts w:asciiTheme="minorHAnsi" w:hAnsiTheme="minorHAnsi" w:cstheme="minorHAnsi"/>
          <w:b/>
          <w:bCs/>
        </w:rPr>
        <w:t>Activities</w:t>
      </w:r>
    </w:p>
    <w:tbl>
      <w:tblPr>
        <w:tblStyle w:val="TableGrid"/>
        <w:tblW w:w="0" w:type="auto"/>
        <w:tblLook w:val="04A0" w:firstRow="1" w:lastRow="0" w:firstColumn="1" w:lastColumn="0" w:noHBand="0" w:noVBand="1"/>
      </w:tblPr>
      <w:tblGrid>
        <w:gridCol w:w="2405"/>
        <w:gridCol w:w="1985"/>
        <w:gridCol w:w="4626"/>
      </w:tblGrid>
      <w:tr w:rsidR="00BD1D88" w:rsidRPr="005F5709" w14:paraId="16BDD0F2" w14:textId="77777777" w:rsidTr="00956821">
        <w:trPr>
          <w:tblHeader/>
        </w:trPr>
        <w:tc>
          <w:tcPr>
            <w:tcW w:w="2405" w:type="dxa"/>
          </w:tcPr>
          <w:p w14:paraId="5A44AFEC" w14:textId="77777777" w:rsidR="00BD1D88" w:rsidRPr="005F5709" w:rsidRDefault="00BD1D88" w:rsidP="00693020">
            <w:pPr>
              <w:spacing w:before="60" w:after="60"/>
              <w:rPr>
                <w:rFonts w:asciiTheme="minorHAnsi" w:hAnsiTheme="minorHAnsi" w:cstheme="minorHAnsi"/>
                <w:b/>
                <w:bCs/>
              </w:rPr>
            </w:pPr>
            <w:r w:rsidRPr="005F5709">
              <w:rPr>
                <w:rFonts w:asciiTheme="minorHAnsi" w:hAnsiTheme="minorHAnsi" w:cstheme="minorHAnsi"/>
                <w:b/>
                <w:bCs/>
              </w:rPr>
              <w:t>Proposal</w:t>
            </w:r>
          </w:p>
        </w:tc>
        <w:tc>
          <w:tcPr>
            <w:tcW w:w="1985" w:type="dxa"/>
          </w:tcPr>
          <w:p w14:paraId="181DDCA2" w14:textId="77777777" w:rsidR="00BD1D88" w:rsidRPr="005F5709" w:rsidRDefault="00BD1D88" w:rsidP="00693020">
            <w:pPr>
              <w:spacing w:before="60" w:after="60"/>
              <w:jc w:val="center"/>
              <w:rPr>
                <w:rFonts w:asciiTheme="minorHAnsi" w:hAnsiTheme="minorHAnsi" w:cstheme="minorHAnsi"/>
                <w:b/>
                <w:bCs/>
              </w:rPr>
            </w:pPr>
            <w:r w:rsidRPr="005F5709">
              <w:rPr>
                <w:rFonts w:asciiTheme="minorHAnsi" w:hAnsiTheme="minorHAnsi" w:cstheme="minorHAnsi"/>
                <w:b/>
                <w:bCs/>
              </w:rPr>
              <w:t>Impacted Group</w:t>
            </w:r>
          </w:p>
        </w:tc>
        <w:tc>
          <w:tcPr>
            <w:tcW w:w="4626" w:type="dxa"/>
          </w:tcPr>
          <w:p w14:paraId="4CA5FBE8" w14:textId="77777777" w:rsidR="00BD1D88" w:rsidRPr="005F5709" w:rsidRDefault="00BD1D88" w:rsidP="00693020">
            <w:pPr>
              <w:spacing w:before="60" w:after="60"/>
              <w:jc w:val="center"/>
              <w:rPr>
                <w:rFonts w:asciiTheme="minorHAnsi" w:hAnsiTheme="minorHAnsi" w:cstheme="minorHAnsi"/>
                <w:b/>
                <w:bCs/>
              </w:rPr>
            </w:pPr>
            <w:r w:rsidRPr="005F5709">
              <w:rPr>
                <w:rFonts w:asciiTheme="minorHAnsi" w:hAnsiTheme="minorHAnsi" w:cstheme="minorHAnsi"/>
                <w:b/>
                <w:bCs/>
              </w:rPr>
              <w:t>Activities</w:t>
            </w:r>
          </w:p>
        </w:tc>
      </w:tr>
      <w:tr w:rsidR="00BD1D88" w:rsidRPr="005F5709" w14:paraId="2EF15FC3" w14:textId="77777777" w:rsidTr="00693020">
        <w:tc>
          <w:tcPr>
            <w:tcW w:w="2405" w:type="dxa"/>
          </w:tcPr>
          <w:p w14:paraId="0B058957" w14:textId="77777777" w:rsidR="00BD1D88" w:rsidRPr="005F5709" w:rsidRDefault="00BD1D88" w:rsidP="00693020">
            <w:pPr>
              <w:spacing w:before="60" w:after="60"/>
              <w:rPr>
                <w:rFonts w:asciiTheme="minorHAnsi" w:hAnsiTheme="minorHAnsi" w:cstheme="minorHAnsi"/>
              </w:rPr>
            </w:pPr>
            <w:r w:rsidRPr="005F5709">
              <w:rPr>
                <w:rFonts w:asciiTheme="minorHAnsi" w:hAnsiTheme="minorHAnsi" w:cstheme="minorHAnsi"/>
              </w:rPr>
              <w:t>New incentive structure</w:t>
            </w:r>
          </w:p>
        </w:tc>
        <w:tc>
          <w:tcPr>
            <w:tcW w:w="1985" w:type="dxa"/>
          </w:tcPr>
          <w:p w14:paraId="6E7295A3" w14:textId="77777777" w:rsidR="00BD1D88" w:rsidRPr="005F5709" w:rsidRDefault="00BD1D88" w:rsidP="00693020">
            <w:pPr>
              <w:spacing w:before="60" w:after="60"/>
              <w:jc w:val="center"/>
              <w:rPr>
                <w:rFonts w:asciiTheme="minorHAnsi" w:hAnsiTheme="minorHAnsi" w:cstheme="minorHAnsi"/>
              </w:rPr>
            </w:pPr>
            <w:r w:rsidRPr="005F5709">
              <w:rPr>
                <w:rFonts w:asciiTheme="minorHAnsi" w:hAnsiTheme="minorHAnsi" w:cstheme="minorHAnsi"/>
              </w:rPr>
              <w:t>Employers &amp; Apprentices</w:t>
            </w:r>
          </w:p>
        </w:tc>
        <w:tc>
          <w:tcPr>
            <w:tcW w:w="4626" w:type="dxa"/>
          </w:tcPr>
          <w:p w14:paraId="3CE36F8C" w14:textId="77777777" w:rsidR="00BD1D88" w:rsidRPr="005F5709" w:rsidRDefault="00BD1D88" w:rsidP="00977294">
            <w:pPr>
              <w:pStyle w:val="ListParagraph"/>
              <w:numPr>
                <w:ilvl w:val="0"/>
                <w:numId w:val="53"/>
              </w:numPr>
              <w:spacing w:before="60" w:after="60" w:line="360" w:lineRule="auto"/>
              <w:rPr>
                <w:rFonts w:asciiTheme="minorHAnsi" w:hAnsiTheme="minorHAnsi" w:cstheme="minorHAnsi"/>
              </w:rPr>
            </w:pPr>
            <w:r w:rsidRPr="005F5709">
              <w:rPr>
                <w:rFonts w:asciiTheme="minorHAnsi" w:hAnsiTheme="minorHAnsi" w:cstheme="minorHAnsi"/>
              </w:rPr>
              <w:t xml:space="preserve">Business familiarisation with the changes in the incentives program. </w:t>
            </w:r>
          </w:p>
          <w:p w14:paraId="7C3B25E6" w14:textId="77777777" w:rsidR="00BD1D88" w:rsidRPr="005F5709" w:rsidRDefault="00BD1D88" w:rsidP="00977294">
            <w:pPr>
              <w:pStyle w:val="ListParagraph"/>
              <w:numPr>
                <w:ilvl w:val="0"/>
                <w:numId w:val="53"/>
              </w:numPr>
              <w:spacing w:before="60" w:after="60" w:line="360" w:lineRule="auto"/>
              <w:rPr>
                <w:rFonts w:asciiTheme="minorHAnsi" w:hAnsiTheme="minorHAnsi" w:cstheme="minorHAnsi"/>
              </w:rPr>
            </w:pPr>
            <w:r w:rsidRPr="005F5709">
              <w:rPr>
                <w:rFonts w:asciiTheme="minorHAnsi" w:hAnsiTheme="minorHAnsi" w:cstheme="minorHAnsi"/>
              </w:rPr>
              <w:t>For eligible apprentices, quarterly claiming of the wage incentive, replacing periodic claiming of existing incentives.</w:t>
            </w:r>
          </w:p>
          <w:p w14:paraId="0429D2CF" w14:textId="77777777" w:rsidR="00BD1D88" w:rsidRPr="005F5709" w:rsidRDefault="00BD1D88" w:rsidP="00977294">
            <w:pPr>
              <w:pStyle w:val="ListParagraph"/>
              <w:numPr>
                <w:ilvl w:val="0"/>
                <w:numId w:val="53"/>
              </w:numPr>
              <w:spacing w:before="60" w:after="60" w:line="360" w:lineRule="auto"/>
              <w:rPr>
                <w:rFonts w:asciiTheme="minorHAnsi" w:hAnsiTheme="minorHAnsi" w:cstheme="minorHAnsi"/>
              </w:rPr>
            </w:pPr>
            <w:r w:rsidRPr="005F5709">
              <w:rPr>
                <w:rFonts w:asciiTheme="minorHAnsi" w:hAnsiTheme="minorHAnsi" w:cstheme="minorHAnsi"/>
              </w:rPr>
              <w:t>For ineligible apprentices, the cessation of businesses claiming for incentives.</w:t>
            </w:r>
          </w:p>
          <w:p w14:paraId="5388F231" w14:textId="77777777" w:rsidR="00BD1D88" w:rsidRPr="005F5709" w:rsidRDefault="00BD1D88" w:rsidP="00977294">
            <w:pPr>
              <w:pStyle w:val="ListParagraph"/>
              <w:numPr>
                <w:ilvl w:val="0"/>
                <w:numId w:val="53"/>
              </w:numPr>
              <w:spacing w:before="60" w:after="60" w:line="360" w:lineRule="auto"/>
              <w:rPr>
                <w:rFonts w:asciiTheme="minorHAnsi" w:hAnsiTheme="minorHAnsi" w:cstheme="minorHAnsi"/>
              </w:rPr>
            </w:pPr>
            <w:r w:rsidRPr="005F5709">
              <w:rPr>
                <w:rFonts w:asciiTheme="minorHAnsi" w:hAnsiTheme="minorHAnsi" w:cstheme="minorHAnsi"/>
              </w:rPr>
              <w:t>For apprenticeships no longer commenced, removal of the business compliance costs of the apprenticeship.</w:t>
            </w:r>
          </w:p>
          <w:p w14:paraId="47C014F9" w14:textId="77777777" w:rsidR="00BD1D88" w:rsidRPr="005F5709" w:rsidRDefault="00BD1D88" w:rsidP="00977294">
            <w:pPr>
              <w:pStyle w:val="ListParagraph"/>
              <w:numPr>
                <w:ilvl w:val="0"/>
                <w:numId w:val="53"/>
              </w:numPr>
              <w:spacing w:before="60" w:after="60" w:line="360" w:lineRule="auto"/>
              <w:rPr>
                <w:rFonts w:asciiTheme="minorHAnsi" w:hAnsiTheme="minorHAnsi" w:cstheme="minorHAnsi"/>
              </w:rPr>
            </w:pPr>
            <w:r w:rsidRPr="005F5709">
              <w:rPr>
                <w:rFonts w:asciiTheme="minorHAnsi" w:hAnsiTheme="minorHAnsi" w:cstheme="minorHAnsi"/>
              </w:rPr>
              <w:lastRenderedPageBreak/>
              <w:t>For apprentices, claiming of the Wage Top-Up.</w:t>
            </w:r>
          </w:p>
        </w:tc>
      </w:tr>
      <w:tr w:rsidR="00BD1D88" w:rsidRPr="005F5709" w14:paraId="206F9908" w14:textId="77777777" w:rsidTr="00693020">
        <w:tc>
          <w:tcPr>
            <w:tcW w:w="2405" w:type="dxa"/>
          </w:tcPr>
          <w:p w14:paraId="7CF3845E" w14:textId="77777777" w:rsidR="00BD1D88" w:rsidRPr="005F5709" w:rsidRDefault="00BD1D88" w:rsidP="00693020">
            <w:pPr>
              <w:spacing w:before="60" w:after="60"/>
              <w:rPr>
                <w:rFonts w:asciiTheme="minorHAnsi" w:hAnsiTheme="minorHAnsi" w:cstheme="minorHAnsi"/>
              </w:rPr>
            </w:pPr>
            <w:r w:rsidRPr="005F5709">
              <w:rPr>
                <w:rFonts w:asciiTheme="minorHAnsi" w:hAnsiTheme="minorHAnsi" w:cstheme="minorHAnsi"/>
              </w:rPr>
              <w:lastRenderedPageBreak/>
              <w:t>Prior qualifications</w:t>
            </w:r>
          </w:p>
        </w:tc>
        <w:tc>
          <w:tcPr>
            <w:tcW w:w="1985" w:type="dxa"/>
          </w:tcPr>
          <w:p w14:paraId="252A03C2" w14:textId="77777777" w:rsidR="00BD1D88" w:rsidRPr="005F5709" w:rsidRDefault="00BD1D88" w:rsidP="00693020">
            <w:pPr>
              <w:spacing w:before="60" w:after="60"/>
              <w:jc w:val="center"/>
              <w:rPr>
                <w:rFonts w:asciiTheme="minorHAnsi" w:hAnsiTheme="minorHAnsi" w:cstheme="minorHAnsi"/>
              </w:rPr>
            </w:pPr>
            <w:r w:rsidRPr="005F5709">
              <w:rPr>
                <w:rFonts w:asciiTheme="minorHAnsi" w:hAnsiTheme="minorHAnsi" w:cstheme="minorHAnsi"/>
              </w:rPr>
              <w:t>Apprentices</w:t>
            </w:r>
          </w:p>
        </w:tc>
        <w:tc>
          <w:tcPr>
            <w:tcW w:w="4626" w:type="dxa"/>
          </w:tcPr>
          <w:p w14:paraId="57DEFBD2" w14:textId="77777777" w:rsidR="00BD1D88" w:rsidRPr="005F5709" w:rsidRDefault="00BD1D88" w:rsidP="00693020">
            <w:pPr>
              <w:spacing w:before="60" w:after="60"/>
              <w:rPr>
                <w:rFonts w:asciiTheme="minorHAnsi" w:hAnsiTheme="minorHAnsi" w:cstheme="minorHAnsi"/>
              </w:rPr>
            </w:pPr>
            <w:r w:rsidRPr="005F5709">
              <w:rPr>
                <w:rFonts w:asciiTheme="minorHAnsi" w:hAnsiTheme="minorHAnsi" w:cstheme="minorHAnsi"/>
              </w:rPr>
              <w:t>Removal of evidentiary requirement for affected apprentices.</w:t>
            </w:r>
          </w:p>
        </w:tc>
      </w:tr>
    </w:tbl>
    <w:p w14:paraId="744E9767" w14:textId="77777777" w:rsidR="00BD1D88" w:rsidRPr="005F5709" w:rsidRDefault="00BD1D88" w:rsidP="008B1888">
      <w:pPr>
        <w:rPr>
          <w:rFonts w:asciiTheme="minorHAnsi" w:hAnsiTheme="minorHAnsi" w:cstheme="minorHAnsi"/>
          <w:b/>
          <w:bCs/>
        </w:rPr>
      </w:pPr>
    </w:p>
    <w:p w14:paraId="06133FE9" w14:textId="77777777" w:rsidR="00BD1D88" w:rsidRPr="005F5709" w:rsidRDefault="00BD1D88" w:rsidP="008B1888">
      <w:pPr>
        <w:rPr>
          <w:rFonts w:asciiTheme="minorHAnsi" w:hAnsiTheme="minorHAnsi" w:cstheme="minorHAnsi"/>
          <w:b/>
          <w:bCs/>
        </w:rPr>
      </w:pPr>
      <w:r w:rsidRPr="005F5709">
        <w:rPr>
          <w:rFonts w:asciiTheme="minorHAnsi" w:hAnsiTheme="minorHAnsi" w:cstheme="minorHAnsi"/>
          <w:b/>
          <w:bCs/>
        </w:rPr>
        <w:t xml:space="preserve">Differences in Regulatory Burdens </w:t>
      </w:r>
    </w:p>
    <w:p w14:paraId="2B8779EE" w14:textId="77777777" w:rsidR="00BD1D88" w:rsidRPr="005F5709" w:rsidRDefault="00BD1D88" w:rsidP="008B1888">
      <w:pPr>
        <w:rPr>
          <w:rFonts w:asciiTheme="minorHAnsi" w:hAnsiTheme="minorHAnsi" w:cstheme="minorHAnsi"/>
        </w:rPr>
      </w:pPr>
      <w:r w:rsidRPr="005F5709">
        <w:rPr>
          <w:rFonts w:asciiTheme="minorHAnsi" w:hAnsiTheme="minorHAnsi" w:cstheme="minorHAnsi"/>
        </w:rPr>
        <w:t>The compliance cost impacts of the elements that are common to the existing AAIP and the Reform proposals are measured in an equivalent manner. The compliance costs differ under two stages of the reform (1 July 2022 to 30 June 2024 and 1 July 2024 onwards), for the equivalent proposal, due to the different number of apprentices impacted by the proposal. The number of apprentices impacted is influenced by the commencement and retention response effects modelled under the reform policy settings.</w:t>
      </w:r>
    </w:p>
    <w:p w14:paraId="075D605A" w14:textId="77777777" w:rsidR="00BD1D88" w:rsidRPr="005F5709" w:rsidRDefault="00BD1D88">
      <w:pPr>
        <w:rPr>
          <w:rFonts w:asciiTheme="minorHAnsi" w:hAnsiTheme="minorHAnsi" w:cstheme="minorHAnsi"/>
        </w:rPr>
      </w:pPr>
    </w:p>
    <w:p w14:paraId="24461BB6" w14:textId="77777777" w:rsidR="00BD1D88" w:rsidRPr="005F5709" w:rsidRDefault="00BD1D88">
      <w:pPr>
        <w:rPr>
          <w:rFonts w:asciiTheme="minorHAnsi" w:hAnsiTheme="minorHAnsi" w:cstheme="minorHAnsi"/>
        </w:rPr>
      </w:pPr>
    </w:p>
    <w:p w14:paraId="7D2DEE79" w14:textId="4659EF08" w:rsidR="009343CB" w:rsidRPr="005F5709" w:rsidRDefault="009343CB" w:rsidP="0075209E">
      <w:pPr>
        <w:spacing w:before="360" w:after="120"/>
        <w:rPr>
          <w:rFonts w:asciiTheme="minorHAnsi" w:hAnsiTheme="minorHAnsi" w:cstheme="minorHAnsi"/>
          <w:szCs w:val="24"/>
        </w:rPr>
      </w:pPr>
    </w:p>
    <w:p w14:paraId="4A4E4C6D" w14:textId="13B5DAB3" w:rsidR="00E757D0" w:rsidRPr="005F5709" w:rsidRDefault="00E757D0" w:rsidP="001F6DE1">
      <w:pPr>
        <w:rPr>
          <w:rFonts w:asciiTheme="minorHAnsi" w:hAnsiTheme="minorHAnsi" w:cstheme="minorHAnsi"/>
          <w:b/>
          <w:bCs/>
          <w:szCs w:val="24"/>
        </w:rPr>
      </w:pPr>
    </w:p>
    <w:sectPr w:rsidR="00E757D0" w:rsidRPr="005F5709" w:rsidSect="00352BFA">
      <w:pgSz w:w="11906" w:h="16838"/>
      <w:pgMar w:top="1440" w:right="1440" w:bottom="1440" w:left="1440" w:header="708" w:footer="708" w:gutter="0"/>
      <w:pgNumType w:start="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0E8108" w14:textId="77777777" w:rsidR="00EE43AC" w:rsidRDefault="00EE43AC" w:rsidP="00783FAB">
      <w:pPr>
        <w:spacing w:after="0" w:line="240" w:lineRule="auto"/>
      </w:pPr>
      <w:r>
        <w:separator/>
      </w:r>
    </w:p>
  </w:endnote>
  <w:endnote w:type="continuationSeparator" w:id="0">
    <w:p w14:paraId="308ED4D3" w14:textId="77777777" w:rsidR="00EE43AC" w:rsidRDefault="00EE43AC" w:rsidP="00783FAB">
      <w:pPr>
        <w:spacing w:after="0" w:line="240" w:lineRule="auto"/>
      </w:pPr>
      <w:r>
        <w:continuationSeparator/>
      </w:r>
    </w:p>
  </w:endnote>
  <w:endnote w:type="continuationNotice" w:id="1">
    <w:p w14:paraId="4F308871" w14:textId="77777777" w:rsidR="00EE43AC" w:rsidRDefault="00EE43A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34446" w14:textId="2B0C9867" w:rsidR="0059455B" w:rsidRDefault="005945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1C578" w14:textId="3E21A03A" w:rsidR="00A96A07" w:rsidRPr="00A96A07" w:rsidRDefault="00C11E37">
    <w:pPr>
      <w:pStyle w:val="Footer"/>
      <w:jc w:val="center"/>
      <w:rPr>
        <w:rFonts w:asciiTheme="minorHAnsi" w:hAnsiTheme="minorHAnsi" w:cstheme="minorHAnsi"/>
      </w:rPr>
    </w:pPr>
    <w:sdt>
      <w:sdtPr>
        <w:id w:val="-511148370"/>
        <w:docPartObj>
          <w:docPartGallery w:val="Page Numbers (Bottom of Page)"/>
          <w:docPartUnique/>
        </w:docPartObj>
      </w:sdtPr>
      <w:sdtEndPr>
        <w:rPr>
          <w:rFonts w:asciiTheme="minorHAnsi" w:hAnsiTheme="minorHAnsi" w:cstheme="minorHAnsi"/>
          <w:noProof/>
        </w:rPr>
      </w:sdtEndPr>
      <w:sdtContent>
        <w:r w:rsidR="00A96A07" w:rsidRPr="00A96A07">
          <w:rPr>
            <w:rFonts w:asciiTheme="minorHAnsi" w:hAnsiTheme="minorHAnsi" w:cstheme="minorHAnsi"/>
          </w:rPr>
          <w:fldChar w:fldCharType="begin"/>
        </w:r>
        <w:r w:rsidR="00A96A07" w:rsidRPr="00A96A07">
          <w:rPr>
            <w:rFonts w:asciiTheme="minorHAnsi" w:hAnsiTheme="minorHAnsi" w:cstheme="minorHAnsi"/>
          </w:rPr>
          <w:instrText xml:space="preserve"> PAGE   \* MERGEFORMAT </w:instrText>
        </w:r>
        <w:r w:rsidR="00A96A07" w:rsidRPr="00A96A07">
          <w:rPr>
            <w:rFonts w:asciiTheme="minorHAnsi" w:hAnsiTheme="minorHAnsi" w:cstheme="minorHAnsi"/>
          </w:rPr>
          <w:fldChar w:fldCharType="separate"/>
        </w:r>
        <w:r w:rsidR="00A96A07" w:rsidRPr="00A96A07">
          <w:rPr>
            <w:rFonts w:asciiTheme="minorHAnsi" w:hAnsiTheme="minorHAnsi" w:cstheme="minorHAnsi"/>
            <w:noProof/>
          </w:rPr>
          <w:t>2</w:t>
        </w:r>
        <w:r w:rsidR="00A96A07" w:rsidRPr="00A96A07">
          <w:rPr>
            <w:rFonts w:asciiTheme="minorHAnsi" w:hAnsiTheme="minorHAnsi" w:cstheme="minorHAnsi"/>
            <w:noProof/>
          </w:rPr>
          <w:fldChar w:fldCharType="end"/>
        </w:r>
      </w:sdtContent>
    </w:sdt>
  </w:p>
  <w:p w14:paraId="29267CCD" w14:textId="77777777" w:rsidR="00BD1D88" w:rsidRDefault="00BD1D8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2B05E" w14:textId="038C72ED" w:rsidR="0059455B" w:rsidRDefault="0059455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E3AC7" w14:textId="03A2470D" w:rsidR="00BD1D88" w:rsidRDefault="00BD1D8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A3890" w14:textId="627D7FF2" w:rsidR="00BD1D88" w:rsidRPr="00C40CDB" w:rsidRDefault="00BD1D88">
    <w:pPr>
      <w:pStyle w:val="Footer"/>
      <w:jc w:val="right"/>
      <w:rPr>
        <w:rFonts w:asciiTheme="minorHAnsi" w:hAnsiTheme="minorHAnsi" w:cstheme="minorHAnsi"/>
      </w:rPr>
    </w:pPr>
    <w:r w:rsidRPr="00C40CDB">
      <w:rPr>
        <w:rFonts w:asciiTheme="minorHAnsi" w:hAnsiTheme="minorHAnsi" w:cstheme="minorHAnsi"/>
      </w:rPr>
      <w:t>Apprenticeships Incentives System Reform - Regulation Impact Statement</w:t>
    </w:r>
    <w:r w:rsidR="005F5709" w:rsidRPr="00C40CDB">
      <w:rPr>
        <w:rFonts w:asciiTheme="minorHAnsi" w:hAnsiTheme="minorHAnsi" w:cstheme="minorHAnsi"/>
      </w:rPr>
      <w:t xml:space="preserve"> </w:t>
    </w:r>
    <w:r w:rsidRPr="00C40CDB">
      <w:rPr>
        <w:rFonts w:asciiTheme="minorHAnsi" w:hAnsiTheme="minorHAnsi" w:cstheme="minorHAnsi"/>
      </w:rPr>
      <w:t xml:space="preserve">| </w:t>
    </w:r>
    <w:sdt>
      <w:sdtPr>
        <w:rPr>
          <w:rFonts w:asciiTheme="minorHAnsi" w:hAnsiTheme="minorHAnsi" w:cstheme="minorHAnsi"/>
        </w:rPr>
        <w:id w:val="-1740619223"/>
        <w:docPartObj>
          <w:docPartGallery w:val="Page Numbers (Bottom of Page)"/>
          <w:docPartUnique/>
        </w:docPartObj>
      </w:sdtPr>
      <w:sdtEndPr>
        <w:rPr>
          <w:noProof/>
        </w:rPr>
      </w:sdtEndPr>
      <w:sdtContent>
        <w:r w:rsidRPr="00C40CDB">
          <w:rPr>
            <w:rFonts w:asciiTheme="minorHAnsi" w:hAnsiTheme="minorHAnsi" w:cstheme="minorHAnsi"/>
          </w:rPr>
          <w:fldChar w:fldCharType="begin"/>
        </w:r>
        <w:r w:rsidRPr="00C40CDB">
          <w:rPr>
            <w:rFonts w:asciiTheme="minorHAnsi" w:hAnsiTheme="minorHAnsi" w:cstheme="minorHAnsi"/>
          </w:rPr>
          <w:instrText xml:space="preserve"> PAGE   \* MERGEFORMAT </w:instrText>
        </w:r>
        <w:r w:rsidRPr="00C40CDB">
          <w:rPr>
            <w:rFonts w:asciiTheme="minorHAnsi" w:hAnsiTheme="minorHAnsi" w:cstheme="minorHAnsi"/>
          </w:rPr>
          <w:fldChar w:fldCharType="separate"/>
        </w:r>
        <w:r w:rsidRPr="00C40CDB">
          <w:rPr>
            <w:rFonts w:asciiTheme="minorHAnsi" w:hAnsiTheme="minorHAnsi" w:cstheme="minorHAnsi"/>
            <w:noProof/>
          </w:rPr>
          <w:t>3</w:t>
        </w:r>
        <w:r w:rsidRPr="00C40CDB">
          <w:rPr>
            <w:rFonts w:asciiTheme="minorHAnsi" w:hAnsiTheme="minorHAnsi" w:cstheme="minorHAnsi"/>
            <w:noProof/>
          </w:rPr>
          <w:fldChar w:fldCharType="end"/>
        </w:r>
      </w:sdtContent>
    </w:sdt>
  </w:p>
  <w:p w14:paraId="5E58A2C9" w14:textId="77777777" w:rsidR="00BD1D88" w:rsidRPr="00C40CDB" w:rsidRDefault="00BD1D88">
    <w:pPr>
      <w:pStyle w:val="Footer"/>
      <w:rPr>
        <w:rFonts w:asciiTheme="minorHAnsi" w:hAnsiTheme="minorHAnsi" w:cstheme="minorHAnsi"/>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AAF60" w14:textId="5F8DEB01" w:rsidR="00BD1D88" w:rsidRDefault="00BD1D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468D18" w14:textId="77777777" w:rsidR="00EE43AC" w:rsidRDefault="00EE43AC" w:rsidP="00783FAB">
      <w:pPr>
        <w:spacing w:after="0" w:line="240" w:lineRule="auto"/>
      </w:pPr>
      <w:r>
        <w:separator/>
      </w:r>
    </w:p>
  </w:footnote>
  <w:footnote w:type="continuationSeparator" w:id="0">
    <w:p w14:paraId="6C45736D" w14:textId="77777777" w:rsidR="00EE43AC" w:rsidRDefault="00EE43AC" w:rsidP="00783FAB">
      <w:pPr>
        <w:spacing w:after="0" w:line="240" w:lineRule="auto"/>
      </w:pPr>
      <w:r>
        <w:continuationSeparator/>
      </w:r>
    </w:p>
  </w:footnote>
  <w:footnote w:type="continuationNotice" w:id="1">
    <w:p w14:paraId="5FC0F131" w14:textId="77777777" w:rsidR="00EE43AC" w:rsidRDefault="00EE43AC">
      <w:pPr>
        <w:spacing w:after="0" w:line="240" w:lineRule="auto"/>
      </w:pPr>
    </w:p>
  </w:footnote>
  <w:footnote w:id="2">
    <w:p w14:paraId="4A59A8B8" w14:textId="77777777" w:rsidR="00BD1D88" w:rsidRPr="00890D1B" w:rsidRDefault="00BD1D88" w:rsidP="00B85E18">
      <w:pPr>
        <w:pStyle w:val="FootnoteText"/>
        <w:rPr>
          <w:sz w:val="18"/>
          <w:szCs w:val="18"/>
        </w:rPr>
      </w:pPr>
      <w:r w:rsidRPr="00890D1B">
        <w:rPr>
          <w:rStyle w:val="FootnoteReference"/>
          <w:sz w:val="18"/>
          <w:szCs w:val="18"/>
        </w:rPr>
        <w:footnoteRef/>
      </w:r>
      <w:r w:rsidRPr="00890D1B">
        <w:rPr>
          <w:sz w:val="18"/>
          <w:szCs w:val="18"/>
        </w:rPr>
        <w:t xml:space="preserve"> The use of ‘apprenticeships’ throughout this document refers to both apprenticeships and traineeships.</w:t>
      </w:r>
    </w:p>
  </w:footnote>
  <w:footnote w:id="3">
    <w:p w14:paraId="6CAA7D5F" w14:textId="77777777" w:rsidR="00BD1D88" w:rsidRPr="00890D1B" w:rsidRDefault="00BD1D88" w:rsidP="00B85E18">
      <w:pPr>
        <w:pStyle w:val="FootnoteText"/>
        <w:rPr>
          <w:sz w:val="18"/>
          <w:szCs w:val="18"/>
        </w:rPr>
      </w:pPr>
      <w:r w:rsidRPr="00890D1B">
        <w:rPr>
          <w:rStyle w:val="FootnoteReference"/>
          <w:sz w:val="18"/>
          <w:szCs w:val="18"/>
        </w:rPr>
        <w:footnoteRef/>
      </w:r>
      <w:r w:rsidRPr="00890D1B">
        <w:rPr>
          <w:sz w:val="18"/>
          <w:szCs w:val="18"/>
        </w:rPr>
        <w:t xml:space="preserve"> NCVER (January 2022) </w:t>
      </w:r>
      <w:r w:rsidRPr="00890D1B">
        <w:rPr>
          <w:i/>
          <w:iCs/>
          <w:sz w:val="18"/>
          <w:szCs w:val="18"/>
        </w:rPr>
        <w:t>Apprentices and trainees 2021 – June quarter</w:t>
      </w:r>
      <w:r w:rsidRPr="00890D1B">
        <w:rPr>
          <w:sz w:val="18"/>
          <w:szCs w:val="18"/>
        </w:rPr>
        <w:t xml:space="preserve">, </w:t>
      </w:r>
      <w:hyperlink r:id="rId1">
        <w:r w:rsidRPr="00890D1B">
          <w:rPr>
            <w:rStyle w:val="Hyperlink"/>
            <w:sz w:val="18"/>
            <w:szCs w:val="18"/>
          </w:rPr>
          <w:t>www.ncver.edu.au</w:t>
        </w:r>
      </w:hyperlink>
      <w:r w:rsidRPr="00890D1B">
        <w:rPr>
          <w:sz w:val="18"/>
          <w:szCs w:val="18"/>
        </w:rPr>
        <w:t xml:space="preserve"> (accessed 19 January 2022)</w:t>
      </w:r>
    </w:p>
  </w:footnote>
  <w:footnote w:id="4">
    <w:p w14:paraId="6398A03E" w14:textId="77777777" w:rsidR="00BD1D88" w:rsidRPr="002549D9" w:rsidRDefault="00BD1D88" w:rsidP="004D151D">
      <w:pPr>
        <w:pStyle w:val="FootnoteText"/>
      </w:pPr>
      <w:r w:rsidRPr="00890D1B">
        <w:rPr>
          <w:rStyle w:val="FootnoteReference"/>
          <w:sz w:val="18"/>
          <w:szCs w:val="18"/>
        </w:rPr>
        <w:footnoteRef/>
      </w:r>
      <w:r w:rsidRPr="00890D1B">
        <w:rPr>
          <w:sz w:val="18"/>
          <w:szCs w:val="18"/>
        </w:rPr>
        <w:t xml:space="preserve"> NCVER (January 2022) </w:t>
      </w:r>
      <w:r w:rsidRPr="00890D1B">
        <w:rPr>
          <w:i/>
          <w:iCs/>
          <w:sz w:val="18"/>
          <w:szCs w:val="18"/>
        </w:rPr>
        <w:t>Apprentices and trainees 2021 – June quarter</w:t>
      </w:r>
      <w:r w:rsidRPr="00890D1B">
        <w:rPr>
          <w:sz w:val="18"/>
          <w:szCs w:val="18"/>
        </w:rPr>
        <w:t xml:space="preserve">, </w:t>
      </w:r>
      <w:hyperlink r:id="rId2">
        <w:r w:rsidRPr="00890D1B">
          <w:rPr>
            <w:rStyle w:val="Hyperlink"/>
            <w:sz w:val="18"/>
            <w:szCs w:val="18"/>
          </w:rPr>
          <w:t>www.ncver.edu.au</w:t>
        </w:r>
      </w:hyperlink>
      <w:r w:rsidRPr="00890D1B">
        <w:rPr>
          <w:sz w:val="18"/>
          <w:szCs w:val="18"/>
        </w:rPr>
        <w:t xml:space="preserve"> (accessed 19 January 2022)</w:t>
      </w:r>
    </w:p>
  </w:footnote>
  <w:footnote w:id="5">
    <w:p w14:paraId="714858BE" w14:textId="77777777" w:rsidR="00BD1D88" w:rsidRPr="002B276D" w:rsidRDefault="00BD1D88" w:rsidP="004D151D">
      <w:pPr>
        <w:pStyle w:val="FootnoteText"/>
        <w:rPr>
          <w:sz w:val="18"/>
          <w:szCs w:val="18"/>
        </w:rPr>
      </w:pPr>
      <w:r w:rsidRPr="002B276D">
        <w:rPr>
          <w:rStyle w:val="FootnoteReference"/>
          <w:sz w:val="18"/>
          <w:szCs w:val="18"/>
        </w:rPr>
        <w:footnoteRef/>
      </w:r>
      <w:r w:rsidRPr="002B276D">
        <w:rPr>
          <w:sz w:val="18"/>
          <w:szCs w:val="18"/>
        </w:rPr>
        <w:t xml:space="preserve"> NCVER (January 2022) </w:t>
      </w:r>
      <w:bookmarkStart w:id="8" w:name="_Hlk76554741"/>
      <w:r w:rsidRPr="002B276D">
        <w:rPr>
          <w:i/>
          <w:iCs/>
          <w:sz w:val="18"/>
          <w:szCs w:val="18"/>
        </w:rPr>
        <w:t>Apprentices and trainees 2021 – June quarter</w:t>
      </w:r>
      <w:r w:rsidRPr="002B276D">
        <w:rPr>
          <w:sz w:val="18"/>
          <w:szCs w:val="18"/>
        </w:rPr>
        <w:t xml:space="preserve">, </w:t>
      </w:r>
      <w:hyperlink r:id="rId3">
        <w:r w:rsidRPr="002B276D">
          <w:rPr>
            <w:rStyle w:val="Hyperlink"/>
            <w:sz w:val="18"/>
            <w:szCs w:val="18"/>
          </w:rPr>
          <w:t>www.ncver.edu.au</w:t>
        </w:r>
      </w:hyperlink>
      <w:r w:rsidRPr="002B276D">
        <w:rPr>
          <w:sz w:val="18"/>
          <w:szCs w:val="18"/>
        </w:rPr>
        <w:t xml:space="preserve"> (accessed 19 January 2022)</w:t>
      </w:r>
      <w:bookmarkEnd w:id="8"/>
    </w:p>
  </w:footnote>
  <w:footnote w:id="6">
    <w:p w14:paraId="7F815247" w14:textId="77777777" w:rsidR="00BD1D88" w:rsidRPr="00A8638C" w:rsidRDefault="00BD1D88" w:rsidP="00425C0C">
      <w:pPr>
        <w:pStyle w:val="FootnoteText"/>
        <w:rPr>
          <w:sz w:val="18"/>
          <w:szCs w:val="18"/>
        </w:rPr>
      </w:pPr>
      <w:r w:rsidRPr="00A8638C">
        <w:rPr>
          <w:rStyle w:val="FootnoteReference"/>
          <w:sz w:val="18"/>
          <w:szCs w:val="18"/>
        </w:rPr>
        <w:footnoteRef/>
      </w:r>
      <w:r w:rsidRPr="00A8638C">
        <w:rPr>
          <w:sz w:val="18"/>
          <w:szCs w:val="18"/>
        </w:rPr>
        <w:t xml:space="preserve"> NCVER (2020) </w:t>
      </w:r>
      <w:r w:rsidRPr="00A8638C">
        <w:rPr>
          <w:i/>
          <w:iCs/>
          <w:sz w:val="18"/>
          <w:szCs w:val="18"/>
        </w:rPr>
        <w:t>Apprentices and trainees 2020 – June quarter</w:t>
      </w:r>
      <w:r w:rsidRPr="00A8638C">
        <w:rPr>
          <w:sz w:val="18"/>
          <w:szCs w:val="18"/>
        </w:rPr>
        <w:t xml:space="preserve">, </w:t>
      </w:r>
      <w:hyperlink r:id="rId4">
        <w:r w:rsidRPr="00A8638C">
          <w:rPr>
            <w:rStyle w:val="Hyperlink"/>
            <w:sz w:val="18"/>
            <w:szCs w:val="18"/>
          </w:rPr>
          <w:t>www.ncver.edu.au</w:t>
        </w:r>
      </w:hyperlink>
      <w:r w:rsidRPr="00A8638C">
        <w:rPr>
          <w:sz w:val="18"/>
          <w:szCs w:val="18"/>
        </w:rPr>
        <w:t xml:space="preserve"> (accessed 21 March 2022)</w:t>
      </w:r>
    </w:p>
  </w:footnote>
  <w:footnote w:id="7">
    <w:p w14:paraId="1F3E654E" w14:textId="77777777" w:rsidR="00BD1D88" w:rsidRDefault="00BD1D88">
      <w:pPr>
        <w:pStyle w:val="FootnoteText"/>
      </w:pPr>
      <w:r w:rsidRPr="00A8638C">
        <w:rPr>
          <w:rStyle w:val="FootnoteReference"/>
          <w:sz w:val="18"/>
          <w:szCs w:val="18"/>
        </w:rPr>
        <w:footnoteRef/>
      </w:r>
      <w:r w:rsidRPr="00A8638C">
        <w:rPr>
          <w:sz w:val="18"/>
          <w:szCs w:val="18"/>
        </w:rPr>
        <w:t xml:space="preserve"> NCVER (2021) Total VET students and courses 2020, NCVER, Adelaide. (DataBuilder)</w:t>
      </w:r>
    </w:p>
  </w:footnote>
  <w:footnote w:id="8">
    <w:p w14:paraId="37C13063" w14:textId="77777777" w:rsidR="00BD1D88" w:rsidRPr="008F09A9" w:rsidRDefault="00BD1D88">
      <w:pPr>
        <w:pStyle w:val="FootnoteText"/>
        <w:rPr>
          <w:rFonts w:cs="Arial"/>
          <w:sz w:val="18"/>
          <w:szCs w:val="18"/>
        </w:rPr>
      </w:pPr>
      <w:r w:rsidRPr="008F09A9">
        <w:rPr>
          <w:rStyle w:val="FootnoteReference"/>
          <w:rFonts w:cs="Arial"/>
          <w:sz w:val="18"/>
          <w:szCs w:val="18"/>
        </w:rPr>
        <w:footnoteRef/>
      </w:r>
      <w:r w:rsidRPr="008F09A9">
        <w:rPr>
          <w:rFonts w:cs="Arial"/>
          <w:sz w:val="18"/>
          <w:szCs w:val="18"/>
        </w:rPr>
        <w:t xml:space="preserve"> Internal Department data, unpublished  </w:t>
      </w:r>
    </w:p>
  </w:footnote>
  <w:footnote w:id="9">
    <w:p w14:paraId="096A11A5" w14:textId="77777777" w:rsidR="00BD1D88" w:rsidRPr="008F09A9" w:rsidRDefault="00BD1D88">
      <w:pPr>
        <w:pStyle w:val="FootnoteText"/>
        <w:rPr>
          <w:sz w:val="18"/>
          <w:szCs w:val="18"/>
        </w:rPr>
      </w:pPr>
      <w:r w:rsidRPr="008F09A9">
        <w:rPr>
          <w:rStyle w:val="FootnoteReference"/>
          <w:sz w:val="18"/>
          <w:szCs w:val="18"/>
        </w:rPr>
        <w:footnoteRef/>
      </w:r>
      <w:r w:rsidRPr="008F09A9">
        <w:rPr>
          <w:sz w:val="18"/>
          <w:szCs w:val="18"/>
        </w:rPr>
        <w:t xml:space="preserve"> NCVER (January 2021) </w:t>
      </w:r>
      <w:r w:rsidRPr="008F09A9">
        <w:rPr>
          <w:i/>
          <w:iCs/>
          <w:sz w:val="18"/>
          <w:szCs w:val="18"/>
        </w:rPr>
        <w:t>Apprentices and trainees 2020 – December quarter</w:t>
      </w:r>
      <w:r w:rsidRPr="008F09A9">
        <w:rPr>
          <w:sz w:val="18"/>
          <w:szCs w:val="18"/>
        </w:rPr>
        <w:t xml:space="preserve">, </w:t>
      </w:r>
      <w:hyperlink r:id="rId5">
        <w:r w:rsidRPr="008F09A9">
          <w:rPr>
            <w:rStyle w:val="Hyperlink"/>
            <w:sz w:val="18"/>
            <w:szCs w:val="18"/>
          </w:rPr>
          <w:t>www.ncver.edu.au</w:t>
        </w:r>
      </w:hyperlink>
      <w:r w:rsidRPr="008F09A9">
        <w:rPr>
          <w:sz w:val="18"/>
          <w:szCs w:val="18"/>
        </w:rPr>
        <w:t xml:space="preserve"> (accessed 19 November 2021)</w:t>
      </w:r>
    </w:p>
  </w:footnote>
  <w:footnote w:id="10">
    <w:p w14:paraId="4533ABF3" w14:textId="77777777" w:rsidR="00BD1D88" w:rsidRDefault="00BD1D88">
      <w:pPr>
        <w:pStyle w:val="FootnoteText"/>
      </w:pPr>
      <w:r w:rsidRPr="008F09A9">
        <w:rPr>
          <w:rStyle w:val="FootnoteReference"/>
          <w:sz w:val="18"/>
          <w:szCs w:val="18"/>
        </w:rPr>
        <w:footnoteRef/>
      </w:r>
      <w:r w:rsidRPr="008F09A9">
        <w:rPr>
          <w:sz w:val="18"/>
          <w:szCs w:val="18"/>
        </w:rPr>
        <w:t xml:space="preserve"> NCVER (January 2021) </w:t>
      </w:r>
      <w:r w:rsidRPr="008F09A9">
        <w:rPr>
          <w:i/>
          <w:iCs/>
          <w:sz w:val="18"/>
          <w:szCs w:val="18"/>
        </w:rPr>
        <w:t>Apprentices and trainees 2020 – December quarter</w:t>
      </w:r>
      <w:r w:rsidRPr="008F09A9">
        <w:rPr>
          <w:sz w:val="18"/>
          <w:szCs w:val="18"/>
        </w:rPr>
        <w:t xml:space="preserve">, </w:t>
      </w:r>
      <w:hyperlink r:id="rId6">
        <w:r w:rsidRPr="008F09A9">
          <w:rPr>
            <w:rStyle w:val="Hyperlink"/>
            <w:sz w:val="18"/>
            <w:szCs w:val="18"/>
          </w:rPr>
          <w:t>www.ncver.edu.au</w:t>
        </w:r>
      </w:hyperlink>
      <w:r w:rsidRPr="008F09A9">
        <w:rPr>
          <w:sz w:val="18"/>
          <w:szCs w:val="18"/>
        </w:rPr>
        <w:t xml:space="preserve"> (accessed 19 November 2021)</w:t>
      </w:r>
    </w:p>
  </w:footnote>
  <w:footnote w:id="11">
    <w:p w14:paraId="6A586E47" w14:textId="77777777" w:rsidR="00BD1D88" w:rsidRDefault="00BD1D88">
      <w:pPr>
        <w:pStyle w:val="FootnoteText"/>
      </w:pPr>
      <w:r>
        <w:rPr>
          <w:rStyle w:val="FootnoteReference"/>
        </w:rPr>
        <w:footnoteRef/>
      </w:r>
      <w:r>
        <w:t xml:space="preserve"> </w:t>
      </w:r>
      <w:r w:rsidRPr="007D3F48">
        <w:rPr>
          <w:rFonts w:cs="Arial"/>
          <w:sz w:val="18"/>
          <w:szCs w:val="18"/>
        </w:rPr>
        <w:t>Organisation for Economic Compensation and Development</w:t>
      </w:r>
      <w:r>
        <w:t xml:space="preserve"> </w:t>
      </w:r>
      <w:r w:rsidRPr="00D311DF">
        <w:rPr>
          <w:rFonts w:cs="Arial"/>
          <w:sz w:val="18"/>
          <w:szCs w:val="18"/>
        </w:rPr>
        <w:t>(OECD)</w:t>
      </w:r>
      <w:r>
        <w:rPr>
          <w:rFonts w:cs="Arial"/>
          <w:sz w:val="18"/>
          <w:szCs w:val="18"/>
        </w:rPr>
        <w:t xml:space="preserve"> (2018)</w:t>
      </w:r>
      <w:r w:rsidRPr="00D311DF">
        <w:rPr>
          <w:rFonts w:cs="Arial"/>
          <w:sz w:val="18"/>
          <w:szCs w:val="18"/>
        </w:rPr>
        <w:t xml:space="preserve"> </w:t>
      </w:r>
      <w:r w:rsidRPr="00D311DF">
        <w:rPr>
          <w:rFonts w:cs="Arial"/>
          <w:i/>
          <w:iCs/>
          <w:sz w:val="18"/>
          <w:szCs w:val="18"/>
        </w:rPr>
        <w:t>Seven Questions about Apprenticeships: Answers from International Experience</w:t>
      </w:r>
      <w:r>
        <w:rPr>
          <w:rFonts w:cs="Arial"/>
          <w:i/>
          <w:iCs/>
          <w:sz w:val="18"/>
          <w:szCs w:val="18"/>
        </w:rPr>
        <w:t>,</w:t>
      </w:r>
      <w:r w:rsidRPr="00D311DF">
        <w:rPr>
          <w:rFonts w:cs="Arial"/>
          <w:sz w:val="18"/>
          <w:szCs w:val="18"/>
        </w:rPr>
        <w:t xml:space="preserve"> OECD Reviews of Vocational Education and Training, OECD Publishing, Paris</w:t>
      </w:r>
      <w:r>
        <w:rPr>
          <w:rFonts w:cs="Arial"/>
          <w:sz w:val="18"/>
          <w:szCs w:val="18"/>
        </w:rPr>
        <w:t xml:space="preserve"> </w:t>
      </w:r>
      <w:r w:rsidRPr="00757E91">
        <w:rPr>
          <w:rFonts w:cs="Arial"/>
          <w:sz w:val="18"/>
          <w:szCs w:val="18"/>
        </w:rPr>
        <w:t>(accessed 18 March 2022)</w:t>
      </w:r>
    </w:p>
  </w:footnote>
  <w:footnote w:id="12">
    <w:p w14:paraId="5D8B944D" w14:textId="77777777" w:rsidR="00BD1D88" w:rsidRPr="003D6351" w:rsidRDefault="00BD1D88">
      <w:pPr>
        <w:pStyle w:val="FootnoteText"/>
        <w:rPr>
          <w:sz w:val="18"/>
          <w:szCs w:val="18"/>
        </w:rPr>
      </w:pPr>
      <w:r w:rsidRPr="003D6351">
        <w:rPr>
          <w:rStyle w:val="FootnoteReference"/>
          <w:sz w:val="18"/>
          <w:szCs w:val="18"/>
        </w:rPr>
        <w:footnoteRef/>
      </w:r>
      <w:r w:rsidRPr="003D6351">
        <w:rPr>
          <w:sz w:val="18"/>
          <w:szCs w:val="18"/>
        </w:rPr>
        <w:t xml:space="preserve"> Productivity Commission </w:t>
      </w:r>
      <w:r>
        <w:rPr>
          <w:sz w:val="18"/>
          <w:szCs w:val="18"/>
        </w:rPr>
        <w:t>(</w:t>
      </w:r>
      <w:r w:rsidRPr="003D6351">
        <w:rPr>
          <w:sz w:val="18"/>
          <w:szCs w:val="18"/>
        </w:rPr>
        <w:t>2020</w:t>
      </w:r>
      <w:r>
        <w:rPr>
          <w:sz w:val="18"/>
          <w:szCs w:val="18"/>
        </w:rPr>
        <w:t>)</w:t>
      </w:r>
      <w:r w:rsidRPr="003D6351">
        <w:rPr>
          <w:sz w:val="18"/>
          <w:szCs w:val="18"/>
        </w:rPr>
        <w:t xml:space="preserve">, </w:t>
      </w:r>
      <w:r w:rsidRPr="003D6351">
        <w:rPr>
          <w:i/>
          <w:sz w:val="18"/>
          <w:szCs w:val="18"/>
        </w:rPr>
        <w:t xml:space="preserve">National Agreement for Skills and Workforce Development Review, </w:t>
      </w:r>
      <w:r w:rsidRPr="003D6351">
        <w:rPr>
          <w:sz w:val="18"/>
          <w:szCs w:val="18"/>
        </w:rPr>
        <w:t>Study Report</w:t>
      </w:r>
      <w:r>
        <w:rPr>
          <w:sz w:val="18"/>
          <w:szCs w:val="18"/>
        </w:rPr>
        <w:t xml:space="preserve"> (Accessed 16 March 2022)</w:t>
      </w:r>
    </w:p>
  </w:footnote>
  <w:footnote w:id="13">
    <w:p w14:paraId="4EC52723" w14:textId="77777777" w:rsidR="00BD1D88" w:rsidRPr="000906C7" w:rsidRDefault="00BD1D88" w:rsidP="00CA6497">
      <w:pPr>
        <w:pStyle w:val="FootnoteText"/>
      </w:pPr>
      <w:r w:rsidRPr="003D6351">
        <w:rPr>
          <w:rStyle w:val="FootnoteReference"/>
          <w:sz w:val="18"/>
          <w:szCs w:val="18"/>
        </w:rPr>
        <w:footnoteRef/>
      </w:r>
      <w:r w:rsidRPr="003D6351">
        <w:rPr>
          <w:sz w:val="18"/>
          <w:szCs w:val="18"/>
        </w:rPr>
        <w:t xml:space="preserve"> </w:t>
      </w:r>
      <w:r w:rsidRPr="000906C7">
        <w:rPr>
          <w:sz w:val="18"/>
          <w:szCs w:val="18"/>
        </w:rPr>
        <w:t>Senate Employment, Workplace Relations and Education References Committee</w:t>
      </w:r>
      <w:r>
        <w:rPr>
          <w:sz w:val="18"/>
          <w:szCs w:val="18"/>
        </w:rPr>
        <w:t xml:space="preserve"> (November 2003)</w:t>
      </w:r>
      <w:r w:rsidRPr="000906C7">
        <w:rPr>
          <w:sz w:val="18"/>
          <w:szCs w:val="18"/>
        </w:rPr>
        <w:t xml:space="preserve"> </w:t>
      </w:r>
      <w:r w:rsidRPr="000906C7">
        <w:rPr>
          <w:i/>
          <w:iCs/>
          <w:sz w:val="18"/>
          <w:szCs w:val="18"/>
        </w:rPr>
        <w:t xml:space="preserve">Bridging the skills divide </w:t>
      </w:r>
      <w:hyperlink r:id="rId7" w:history="1">
        <w:r w:rsidRPr="007F4DA9">
          <w:rPr>
            <w:rStyle w:val="Hyperlink"/>
            <w:sz w:val="18"/>
            <w:szCs w:val="18"/>
          </w:rPr>
          <w:t>www.aph.gov.au</w:t>
        </w:r>
      </w:hyperlink>
      <w:r>
        <w:rPr>
          <w:sz w:val="18"/>
          <w:szCs w:val="18"/>
        </w:rPr>
        <w:t xml:space="preserve"> (accessed 16 March 2022)</w:t>
      </w:r>
    </w:p>
  </w:footnote>
  <w:footnote w:id="14">
    <w:p w14:paraId="7C7B4965" w14:textId="77777777" w:rsidR="00BD1D88" w:rsidRPr="0008348E" w:rsidRDefault="00BD1D88" w:rsidP="00D315B0">
      <w:pPr>
        <w:pStyle w:val="FootnoteText"/>
        <w:rPr>
          <w:sz w:val="18"/>
          <w:szCs w:val="18"/>
        </w:rPr>
      </w:pPr>
      <w:r w:rsidRPr="0008348E">
        <w:rPr>
          <w:rStyle w:val="FootnoteReference"/>
          <w:sz w:val="18"/>
          <w:szCs w:val="18"/>
        </w:rPr>
        <w:footnoteRef/>
      </w:r>
      <w:r w:rsidRPr="0008348E">
        <w:rPr>
          <w:sz w:val="18"/>
          <w:szCs w:val="18"/>
        </w:rPr>
        <w:t xml:space="preserve"> Department of Education, Skills and Employment (2021) </w:t>
      </w:r>
      <w:r w:rsidRPr="0008348E">
        <w:rPr>
          <w:i/>
          <w:iCs/>
          <w:sz w:val="18"/>
          <w:szCs w:val="18"/>
        </w:rPr>
        <w:t>What are skill shortages?</w:t>
      </w:r>
      <w:r w:rsidRPr="0008348E">
        <w:rPr>
          <w:sz w:val="18"/>
          <w:szCs w:val="18"/>
        </w:rPr>
        <w:t xml:space="preserve"> </w:t>
      </w:r>
      <w:hyperlink r:id="rId8" w:history="1">
        <w:r w:rsidRPr="0008348E">
          <w:rPr>
            <w:rStyle w:val="Hyperlink"/>
            <w:sz w:val="18"/>
            <w:szCs w:val="18"/>
          </w:rPr>
          <w:t>www.jobjumpstart.gov.au</w:t>
        </w:r>
      </w:hyperlink>
      <w:r w:rsidRPr="0008348E">
        <w:rPr>
          <w:sz w:val="18"/>
          <w:szCs w:val="18"/>
        </w:rPr>
        <w:t xml:space="preserve"> (accessed 28 July 2021)</w:t>
      </w:r>
    </w:p>
  </w:footnote>
  <w:footnote w:id="15">
    <w:p w14:paraId="20BBA62C" w14:textId="77777777" w:rsidR="00BD1D88" w:rsidRPr="0008348E" w:rsidRDefault="00BD1D88" w:rsidP="009119B9">
      <w:pPr>
        <w:pStyle w:val="FootnoteText"/>
        <w:rPr>
          <w:sz w:val="18"/>
          <w:szCs w:val="18"/>
        </w:rPr>
      </w:pPr>
      <w:r w:rsidRPr="0008348E">
        <w:rPr>
          <w:rStyle w:val="FootnoteReference"/>
          <w:sz w:val="18"/>
          <w:szCs w:val="18"/>
        </w:rPr>
        <w:footnoteRef/>
      </w:r>
      <w:r w:rsidRPr="0008348E">
        <w:rPr>
          <w:sz w:val="18"/>
          <w:szCs w:val="18"/>
        </w:rPr>
        <w:t xml:space="preserve"> Kuszera, M. OECD (2017) </w:t>
      </w:r>
      <w:r w:rsidRPr="0008348E">
        <w:rPr>
          <w:i/>
          <w:iCs/>
          <w:sz w:val="18"/>
          <w:szCs w:val="18"/>
        </w:rPr>
        <w:t>Incentives for Apprenticeship</w:t>
      </w:r>
      <w:r w:rsidRPr="0008348E">
        <w:rPr>
          <w:sz w:val="18"/>
          <w:szCs w:val="18"/>
        </w:rPr>
        <w:t xml:space="preserve">, Organisation for Economic Cooperation and Development, </w:t>
      </w:r>
      <w:hyperlink r:id="rId9" w:history="1">
        <w:r w:rsidRPr="0008348E">
          <w:rPr>
            <w:rStyle w:val="Hyperlink"/>
            <w:sz w:val="18"/>
            <w:szCs w:val="18"/>
          </w:rPr>
          <w:t>www.oecd-library.org</w:t>
        </w:r>
      </w:hyperlink>
      <w:r w:rsidRPr="0008348E">
        <w:rPr>
          <w:sz w:val="18"/>
          <w:szCs w:val="18"/>
        </w:rPr>
        <w:t xml:space="preserve"> (accessed 16 June 2021)</w:t>
      </w:r>
    </w:p>
  </w:footnote>
  <w:footnote w:id="16">
    <w:p w14:paraId="59E2B0D6" w14:textId="77777777" w:rsidR="00BD1D88" w:rsidRPr="003D6351" w:rsidRDefault="00BD1D88" w:rsidP="00955FBC">
      <w:pPr>
        <w:pStyle w:val="FootnoteText"/>
        <w:rPr>
          <w:sz w:val="18"/>
          <w:szCs w:val="18"/>
        </w:rPr>
      </w:pPr>
      <w:r w:rsidRPr="0008348E">
        <w:rPr>
          <w:rStyle w:val="FootnoteReference"/>
          <w:sz w:val="18"/>
          <w:szCs w:val="18"/>
        </w:rPr>
        <w:footnoteRef/>
      </w:r>
      <w:r w:rsidRPr="0008348E">
        <w:rPr>
          <w:sz w:val="18"/>
          <w:szCs w:val="18"/>
        </w:rPr>
        <w:t xml:space="preserve"> Productivity Commission </w:t>
      </w:r>
      <w:r>
        <w:rPr>
          <w:sz w:val="18"/>
          <w:szCs w:val="18"/>
        </w:rPr>
        <w:t>(</w:t>
      </w:r>
      <w:r w:rsidRPr="0008348E">
        <w:rPr>
          <w:sz w:val="18"/>
          <w:szCs w:val="18"/>
        </w:rPr>
        <w:t>2020</w:t>
      </w:r>
      <w:r>
        <w:rPr>
          <w:sz w:val="18"/>
          <w:szCs w:val="18"/>
        </w:rPr>
        <w:t>)</w:t>
      </w:r>
      <w:r w:rsidRPr="0008348E">
        <w:rPr>
          <w:sz w:val="18"/>
          <w:szCs w:val="18"/>
        </w:rPr>
        <w:t xml:space="preserve"> </w:t>
      </w:r>
      <w:r w:rsidRPr="0008348E">
        <w:rPr>
          <w:i/>
          <w:sz w:val="18"/>
          <w:szCs w:val="18"/>
        </w:rPr>
        <w:t xml:space="preserve">National Agreement for Skills and Workforce Development Review, </w:t>
      </w:r>
      <w:r w:rsidRPr="0008348E">
        <w:rPr>
          <w:sz w:val="18"/>
          <w:szCs w:val="18"/>
        </w:rPr>
        <w:t>Study Report</w:t>
      </w:r>
      <w:r>
        <w:rPr>
          <w:sz w:val="18"/>
          <w:szCs w:val="18"/>
        </w:rPr>
        <w:t xml:space="preserve"> (Accessed 16 March 2022)</w:t>
      </w:r>
      <w:r w:rsidRPr="003D6351">
        <w:rPr>
          <w:sz w:val="18"/>
          <w:szCs w:val="18"/>
        </w:rPr>
        <w:t xml:space="preserve"> </w:t>
      </w:r>
    </w:p>
  </w:footnote>
  <w:footnote w:id="17">
    <w:p w14:paraId="68A6ED30" w14:textId="77777777" w:rsidR="00BD1D88" w:rsidRPr="008730BB" w:rsidRDefault="00BD1D88" w:rsidP="00854613">
      <w:pPr>
        <w:pStyle w:val="FootnoteText"/>
        <w:rPr>
          <w:rFonts w:cs="Arial"/>
          <w:color w:val="000000"/>
          <w:sz w:val="18"/>
          <w:szCs w:val="18"/>
          <w:shd w:val="clear" w:color="auto" w:fill="FFFFFF"/>
        </w:rPr>
      </w:pPr>
      <w:r w:rsidRPr="00854613">
        <w:rPr>
          <w:rStyle w:val="FootnoteReference"/>
          <w:sz w:val="18"/>
          <w:szCs w:val="18"/>
        </w:rPr>
        <w:footnoteRef/>
      </w:r>
      <w:r w:rsidRPr="00854613">
        <w:rPr>
          <w:rStyle w:val="normaltextrun"/>
          <w:rFonts w:cs="Arial"/>
          <w:color w:val="000000"/>
          <w:sz w:val="18"/>
          <w:szCs w:val="18"/>
          <w:shd w:val="clear" w:color="auto" w:fill="FFFFFF"/>
        </w:rPr>
        <w:t xml:space="preserve"> NCVER (October 2021</w:t>
      </w:r>
      <w:r w:rsidRPr="00854613">
        <w:rPr>
          <w:sz w:val="18"/>
          <w:szCs w:val="18"/>
        </w:rPr>
        <w:t>)</w:t>
      </w:r>
      <w:r w:rsidRPr="00854613">
        <w:rPr>
          <w:i/>
          <w:sz w:val="18"/>
          <w:szCs w:val="18"/>
        </w:rPr>
        <w:t xml:space="preserve"> </w:t>
      </w:r>
      <w:r w:rsidRPr="00854613">
        <w:rPr>
          <w:i/>
          <w:iCs/>
          <w:sz w:val="18"/>
          <w:szCs w:val="18"/>
        </w:rPr>
        <w:t>Apprentices and trainees – March quarter 2021</w:t>
      </w:r>
      <w:r w:rsidRPr="00854613">
        <w:rPr>
          <w:rStyle w:val="normaltextrun"/>
          <w:rFonts w:cs="Arial"/>
          <w:color w:val="000000"/>
          <w:sz w:val="18"/>
          <w:szCs w:val="18"/>
          <w:shd w:val="clear" w:color="auto" w:fill="FFFFFF"/>
        </w:rPr>
        <w:t xml:space="preserve">, </w:t>
      </w:r>
      <w:hyperlink r:id="rId10">
        <w:r w:rsidRPr="00854613">
          <w:rPr>
            <w:rStyle w:val="Hyperlink"/>
            <w:sz w:val="18"/>
            <w:szCs w:val="18"/>
          </w:rPr>
          <w:t>www.ncver.edu.au</w:t>
        </w:r>
      </w:hyperlink>
      <w:r w:rsidRPr="00854613">
        <w:rPr>
          <w:rStyle w:val="normaltextrun"/>
          <w:rFonts w:cs="Arial"/>
          <w:color w:val="000000"/>
          <w:sz w:val="18"/>
          <w:szCs w:val="18"/>
          <w:shd w:val="clear" w:color="auto" w:fill="FFFFFF"/>
        </w:rPr>
        <w:t xml:space="preserve"> (accessed 1 November 2021)</w:t>
      </w:r>
    </w:p>
  </w:footnote>
  <w:footnote w:id="18">
    <w:p w14:paraId="66E63668" w14:textId="77777777" w:rsidR="00BD1D88" w:rsidRPr="00854613" w:rsidRDefault="00BD1D88" w:rsidP="00854613">
      <w:pPr>
        <w:pStyle w:val="FootnoteText"/>
        <w:rPr>
          <w:sz w:val="18"/>
          <w:szCs w:val="18"/>
        </w:rPr>
      </w:pPr>
      <w:r w:rsidRPr="00854613">
        <w:rPr>
          <w:rStyle w:val="FootnoteReference"/>
          <w:sz w:val="18"/>
          <w:szCs w:val="18"/>
        </w:rPr>
        <w:footnoteRef/>
      </w:r>
      <w:r w:rsidRPr="00854613">
        <w:rPr>
          <w:sz w:val="18"/>
          <w:szCs w:val="18"/>
        </w:rPr>
        <w:t xml:space="preserve"> NCVER (January 2022) </w:t>
      </w:r>
      <w:r w:rsidRPr="00854613">
        <w:rPr>
          <w:i/>
          <w:iCs/>
          <w:sz w:val="18"/>
          <w:szCs w:val="18"/>
        </w:rPr>
        <w:t>Apprentices and trainees 2021 – June quarter</w:t>
      </w:r>
      <w:r w:rsidRPr="00854613">
        <w:rPr>
          <w:sz w:val="18"/>
          <w:szCs w:val="18"/>
        </w:rPr>
        <w:t xml:space="preserve">, </w:t>
      </w:r>
      <w:hyperlink r:id="rId11">
        <w:r w:rsidRPr="00854613">
          <w:rPr>
            <w:rStyle w:val="Hyperlink"/>
            <w:sz w:val="18"/>
            <w:szCs w:val="18"/>
          </w:rPr>
          <w:t>www.ncver.edu.au</w:t>
        </w:r>
      </w:hyperlink>
      <w:r w:rsidRPr="00854613">
        <w:rPr>
          <w:sz w:val="18"/>
          <w:szCs w:val="18"/>
        </w:rPr>
        <w:t xml:space="preserve"> (accessed 19 January 2022)</w:t>
      </w:r>
    </w:p>
  </w:footnote>
  <w:footnote w:id="19">
    <w:p w14:paraId="28C22A2B" w14:textId="77777777" w:rsidR="00BD1D88" w:rsidRDefault="00BD1D88" w:rsidP="00854613">
      <w:pPr>
        <w:pStyle w:val="FootnoteText"/>
      </w:pPr>
      <w:r w:rsidRPr="00854613">
        <w:rPr>
          <w:rStyle w:val="FootnoteReference"/>
          <w:sz w:val="18"/>
          <w:szCs w:val="18"/>
        </w:rPr>
        <w:footnoteRef/>
      </w:r>
      <w:r w:rsidRPr="00854613">
        <w:rPr>
          <w:sz w:val="18"/>
          <w:szCs w:val="18"/>
        </w:rPr>
        <w:t xml:space="preserve"> NCVER (January 2022) </w:t>
      </w:r>
      <w:r w:rsidRPr="00854613">
        <w:rPr>
          <w:i/>
          <w:iCs/>
          <w:sz w:val="18"/>
          <w:szCs w:val="18"/>
        </w:rPr>
        <w:t>Apprentices and trainees 2021 – June quarter</w:t>
      </w:r>
      <w:r w:rsidRPr="00854613">
        <w:rPr>
          <w:sz w:val="18"/>
          <w:szCs w:val="18"/>
        </w:rPr>
        <w:t xml:space="preserve">, </w:t>
      </w:r>
      <w:hyperlink r:id="rId12">
        <w:r w:rsidRPr="00854613">
          <w:rPr>
            <w:rStyle w:val="Hyperlink"/>
            <w:sz w:val="18"/>
            <w:szCs w:val="18"/>
          </w:rPr>
          <w:t>www.ncver.edu.au</w:t>
        </w:r>
      </w:hyperlink>
      <w:r w:rsidRPr="00854613">
        <w:rPr>
          <w:sz w:val="18"/>
          <w:szCs w:val="18"/>
        </w:rPr>
        <w:t xml:space="preserve"> (accessed 19 January 2022)</w:t>
      </w:r>
    </w:p>
  </w:footnote>
  <w:footnote w:id="20">
    <w:p w14:paraId="3BD88D29" w14:textId="77777777" w:rsidR="00BD1D88" w:rsidRPr="00E50604" w:rsidRDefault="00BD1D88" w:rsidP="004D151D">
      <w:pPr>
        <w:pStyle w:val="FootnoteText"/>
        <w:rPr>
          <w:i/>
          <w:iCs/>
          <w:sz w:val="18"/>
          <w:szCs w:val="18"/>
        </w:rPr>
      </w:pPr>
      <w:r w:rsidRPr="00E50604">
        <w:rPr>
          <w:rStyle w:val="FootnoteReference"/>
          <w:sz w:val="18"/>
          <w:szCs w:val="18"/>
        </w:rPr>
        <w:footnoteRef/>
      </w:r>
      <w:r w:rsidRPr="00E50604">
        <w:rPr>
          <w:sz w:val="18"/>
          <w:szCs w:val="18"/>
        </w:rPr>
        <w:t xml:space="preserve"> Productivity Commission (2020) </w:t>
      </w:r>
      <w:r w:rsidRPr="00E50604">
        <w:rPr>
          <w:i/>
          <w:iCs/>
          <w:sz w:val="18"/>
          <w:szCs w:val="18"/>
        </w:rPr>
        <w:t>National Agreement for Skills and Workforce Development Review</w:t>
      </w:r>
      <w:r w:rsidRPr="00E50604">
        <w:rPr>
          <w:sz w:val="18"/>
          <w:szCs w:val="18"/>
        </w:rPr>
        <w:t xml:space="preserve">, </w:t>
      </w:r>
      <w:hyperlink r:id="rId13" w:history="1">
        <w:r w:rsidRPr="00E50604">
          <w:rPr>
            <w:rStyle w:val="Hyperlink"/>
            <w:sz w:val="18"/>
            <w:szCs w:val="18"/>
          </w:rPr>
          <w:t>www.pc.gov.au</w:t>
        </w:r>
      </w:hyperlink>
      <w:r w:rsidRPr="00E50604">
        <w:rPr>
          <w:sz w:val="18"/>
          <w:szCs w:val="18"/>
        </w:rPr>
        <w:t xml:space="preserve"> (accessed 23 June 2021)</w:t>
      </w:r>
    </w:p>
  </w:footnote>
  <w:footnote w:id="21">
    <w:p w14:paraId="7DAC3A0E" w14:textId="77777777" w:rsidR="00BD1D88" w:rsidRPr="00E50604" w:rsidRDefault="00BD1D88" w:rsidP="004D151D">
      <w:pPr>
        <w:pStyle w:val="FootnoteText"/>
        <w:rPr>
          <w:sz w:val="18"/>
          <w:szCs w:val="18"/>
        </w:rPr>
      </w:pPr>
      <w:r w:rsidRPr="00E50604">
        <w:rPr>
          <w:rStyle w:val="FootnoteReference"/>
          <w:sz w:val="18"/>
          <w:szCs w:val="18"/>
        </w:rPr>
        <w:footnoteRef/>
      </w:r>
      <w:r w:rsidRPr="00E50604">
        <w:rPr>
          <w:sz w:val="18"/>
          <w:szCs w:val="18"/>
        </w:rPr>
        <w:t xml:space="preserve"> NCVER (2019) </w:t>
      </w:r>
      <w:r w:rsidRPr="00E50604">
        <w:rPr>
          <w:i/>
          <w:iCs/>
          <w:sz w:val="18"/>
          <w:szCs w:val="18"/>
        </w:rPr>
        <w:t>Employers’ use and views of the VET system 2019</w:t>
      </w:r>
      <w:r w:rsidRPr="00E50604">
        <w:rPr>
          <w:sz w:val="18"/>
          <w:szCs w:val="18"/>
        </w:rPr>
        <w:t xml:space="preserve">, </w:t>
      </w:r>
      <w:hyperlink r:id="rId14" w:history="1">
        <w:r w:rsidRPr="00E50604">
          <w:rPr>
            <w:rStyle w:val="Hyperlink"/>
            <w:sz w:val="18"/>
            <w:szCs w:val="18"/>
          </w:rPr>
          <w:t>www.ncver.edu.au</w:t>
        </w:r>
      </w:hyperlink>
      <w:r w:rsidRPr="00E50604">
        <w:rPr>
          <w:sz w:val="18"/>
          <w:szCs w:val="18"/>
        </w:rPr>
        <w:t xml:space="preserve"> (accessed 15 June 2021)</w:t>
      </w:r>
    </w:p>
  </w:footnote>
  <w:footnote w:id="22">
    <w:p w14:paraId="533C14F5" w14:textId="77777777" w:rsidR="00BD1D88" w:rsidRPr="00E50604" w:rsidRDefault="00BD1D88" w:rsidP="004D151D">
      <w:pPr>
        <w:pStyle w:val="FootnoteText"/>
        <w:rPr>
          <w:sz w:val="18"/>
          <w:szCs w:val="18"/>
        </w:rPr>
      </w:pPr>
      <w:r w:rsidRPr="00E50604">
        <w:rPr>
          <w:rStyle w:val="FootnoteReference"/>
          <w:sz w:val="18"/>
          <w:szCs w:val="18"/>
        </w:rPr>
        <w:footnoteRef/>
      </w:r>
      <w:r w:rsidRPr="00E50604">
        <w:rPr>
          <w:sz w:val="18"/>
          <w:szCs w:val="18"/>
        </w:rPr>
        <w:t xml:space="preserve"> Department of Jobs and Small Business (2017) </w:t>
      </w:r>
      <w:r w:rsidRPr="00E50604">
        <w:rPr>
          <w:i/>
          <w:iCs/>
          <w:sz w:val="18"/>
          <w:szCs w:val="18"/>
        </w:rPr>
        <w:t>Labour Market for Apprentices</w:t>
      </w:r>
      <w:r w:rsidRPr="00E50604">
        <w:rPr>
          <w:sz w:val="18"/>
          <w:szCs w:val="18"/>
        </w:rPr>
        <w:t xml:space="preserve">, </w:t>
      </w:r>
      <w:hyperlink r:id="rId15" w:history="1">
        <w:r w:rsidRPr="00E50604">
          <w:rPr>
            <w:rStyle w:val="Hyperlink"/>
            <w:sz w:val="18"/>
            <w:szCs w:val="18"/>
          </w:rPr>
          <w:t>www.dese.gov.au</w:t>
        </w:r>
      </w:hyperlink>
      <w:r w:rsidRPr="00E50604">
        <w:rPr>
          <w:sz w:val="18"/>
          <w:szCs w:val="18"/>
        </w:rPr>
        <w:t xml:space="preserve"> (accessed 23 June 2021)</w:t>
      </w:r>
    </w:p>
  </w:footnote>
  <w:footnote w:id="23">
    <w:p w14:paraId="42FCEE2B" w14:textId="77777777" w:rsidR="00BD1D88" w:rsidRPr="00E50604" w:rsidRDefault="00BD1D88">
      <w:pPr>
        <w:pStyle w:val="FootnoteText"/>
        <w:rPr>
          <w:sz w:val="18"/>
          <w:szCs w:val="18"/>
        </w:rPr>
      </w:pPr>
      <w:r w:rsidRPr="00E50604">
        <w:rPr>
          <w:rStyle w:val="FootnoteReference"/>
          <w:sz w:val="18"/>
          <w:szCs w:val="18"/>
        </w:rPr>
        <w:footnoteRef/>
      </w:r>
      <w:r w:rsidRPr="00E50604">
        <w:rPr>
          <w:sz w:val="18"/>
          <w:szCs w:val="18"/>
        </w:rPr>
        <w:t xml:space="preserve"> ANZ Research (6 December 2021) </w:t>
      </w:r>
      <w:r w:rsidRPr="00E50604">
        <w:rPr>
          <w:i/>
          <w:sz w:val="18"/>
          <w:szCs w:val="18"/>
        </w:rPr>
        <w:t xml:space="preserve">ANZ Australian Job Advertisement Series Media Release, </w:t>
      </w:r>
      <w:hyperlink r:id="rId16" w:history="1">
        <w:r w:rsidRPr="00E50604">
          <w:rPr>
            <w:rStyle w:val="Hyperlink"/>
            <w:sz w:val="18"/>
            <w:szCs w:val="18"/>
          </w:rPr>
          <w:t>www.media.anz.com</w:t>
        </w:r>
      </w:hyperlink>
      <w:r w:rsidRPr="00E50604">
        <w:rPr>
          <w:sz w:val="18"/>
          <w:szCs w:val="18"/>
        </w:rPr>
        <w:t xml:space="preserve"> (accessed 15 March 2021)</w:t>
      </w:r>
    </w:p>
  </w:footnote>
  <w:footnote w:id="24">
    <w:p w14:paraId="7C49C86D" w14:textId="77777777" w:rsidR="00BD1D88" w:rsidRPr="00E50604" w:rsidRDefault="00BD1D88" w:rsidP="00B979BA">
      <w:pPr>
        <w:pStyle w:val="FootnoteText"/>
        <w:rPr>
          <w:sz w:val="18"/>
          <w:szCs w:val="18"/>
        </w:rPr>
      </w:pPr>
      <w:r w:rsidRPr="00E50604">
        <w:rPr>
          <w:rStyle w:val="FootnoteReference"/>
          <w:sz w:val="18"/>
          <w:szCs w:val="18"/>
        </w:rPr>
        <w:footnoteRef/>
      </w:r>
      <w:r w:rsidRPr="00E50604">
        <w:rPr>
          <w:sz w:val="18"/>
          <w:szCs w:val="18"/>
        </w:rPr>
        <w:t xml:space="preserve"> Joyce, S. (2019) </w:t>
      </w:r>
      <w:r w:rsidRPr="00E50604">
        <w:rPr>
          <w:i/>
          <w:iCs/>
          <w:sz w:val="18"/>
          <w:szCs w:val="18"/>
        </w:rPr>
        <w:t>Strengthening Skills: An expert review of Australia’s vocational education and training system</w:t>
      </w:r>
      <w:r w:rsidRPr="00E50604">
        <w:rPr>
          <w:sz w:val="18"/>
          <w:szCs w:val="18"/>
        </w:rPr>
        <w:t>, Commonwealth of Australia</w:t>
      </w:r>
    </w:p>
  </w:footnote>
  <w:footnote w:id="25">
    <w:p w14:paraId="359AF183" w14:textId="77777777" w:rsidR="00BD1D88" w:rsidRPr="00A03103" w:rsidRDefault="00BD1D88" w:rsidP="004D151D">
      <w:pPr>
        <w:pStyle w:val="FootnoteText"/>
        <w:rPr>
          <w:sz w:val="18"/>
          <w:szCs w:val="18"/>
        </w:rPr>
      </w:pPr>
      <w:r w:rsidRPr="00E50604">
        <w:rPr>
          <w:rStyle w:val="FootnoteReference"/>
          <w:sz w:val="18"/>
          <w:szCs w:val="18"/>
        </w:rPr>
        <w:footnoteRef/>
      </w:r>
      <w:r w:rsidRPr="00E50604">
        <w:rPr>
          <w:sz w:val="18"/>
          <w:szCs w:val="18"/>
        </w:rPr>
        <w:t xml:space="preserve"> Productivity Commission (2020) </w:t>
      </w:r>
      <w:r w:rsidRPr="00E50604">
        <w:rPr>
          <w:i/>
          <w:iCs/>
          <w:sz w:val="18"/>
          <w:szCs w:val="18"/>
        </w:rPr>
        <w:t>National Agreement for Skills and Workforce Development Review</w:t>
      </w:r>
      <w:r w:rsidRPr="00E50604">
        <w:rPr>
          <w:sz w:val="18"/>
          <w:szCs w:val="18"/>
        </w:rPr>
        <w:t xml:space="preserve">, </w:t>
      </w:r>
      <w:hyperlink r:id="rId17" w:history="1">
        <w:r w:rsidRPr="00E50604">
          <w:rPr>
            <w:rStyle w:val="Hyperlink"/>
            <w:sz w:val="18"/>
            <w:szCs w:val="18"/>
          </w:rPr>
          <w:t>www.pc.gov.au</w:t>
        </w:r>
      </w:hyperlink>
      <w:r w:rsidRPr="00E50604">
        <w:rPr>
          <w:sz w:val="18"/>
          <w:szCs w:val="18"/>
        </w:rPr>
        <w:t xml:space="preserve"> (accessed 23 June 2021)</w:t>
      </w:r>
    </w:p>
  </w:footnote>
  <w:footnote w:id="26">
    <w:p w14:paraId="1430086F" w14:textId="77777777" w:rsidR="00BD1D88" w:rsidRPr="00946DBC" w:rsidRDefault="00BD1D88" w:rsidP="002C752A">
      <w:pPr>
        <w:pStyle w:val="FootnoteText"/>
        <w:rPr>
          <w:rFonts w:cs="Arial"/>
          <w:sz w:val="18"/>
          <w:szCs w:val="18"/>
        </w:rPr>
      </w:pPr>
      <w:r w:rsidRPr="00946DBC">
        <w:rPr>
          <w:rStyle w:val="FootnoteReference"/>
          <w:rFonts w:cs="Arial"/>
          <w:sz w:val="18"/>
          <w:szCs w:val="18"/>
        </w:rPr>
        <w:footnoteRef/>
      </w:r>
      <w:r w:rsidRPr="00946DBC">
        <w:rPr>
          <w:rFonts w:cs="Arial"/>
          <w:sz w:val="18"/>
          <w:szCs w:val="18"/>
        </w:rPr>
        <w:t xml:space="preserve"> NCVER (2020) </w:t>
      </w:r>
      <w:r w:rsidRPr="00946DBC">
        <w:rPr>
          <w:rFonts w:cs="Arial"/>
          <w:i/>
          <w:iCs/>
          <w:sz w:val="18"/>
          <w:szCs w:val="18"/>
        </w:rPr>
        <w:t>Traditional trade apprenticeships: learnings from the field</w:t>
      </w:r>
      <w:r w:rsidRPr="00946DBC">
        <w:rPr>
          <w:rFonts w:cs="Arial"/>
          <w:sz w:val="18"/>
          <w:szCs w:val="18"/>
        </w:rPr>
        <w:t xml:space="preserve"> </w:t>
      </w:r>
      <w:hyperlink r:id="rId18" w:history="1">
        <w:r w:rsidRPr="00946DBC">
          <w:rPr>
            <w:rStyle w:val="Hyperlink"/>
            <w:rFonts w:cs="Arial"/>
            <w:sz w:val="18"/>
            <w:szCs w:val="18"/>
          </w:rPr>
          <w:t>www.ncver.edu.au</w:t>
        </w:r>
      </w:hyperlink>
      <w:r w:rsidRPr="00946DBC">
        <w:rPr>
          <w:rFonts w:cs="Arial"/>
          <w:sz w:val="18"/>
          <w:szCs w:val="18"/>
        </w:rPr>
        <w:t xml:space="preserve"> (accessed 28 July 2021)</w:t>
      </w:r>
    </w:p>
  </w:footnote>
  <w:footnote w:id="27">
    <w:p w14:paraId="11C035A3" w14:textId="77777777" w:rsidR="00BD1D88" w:rsidRPr="00946DBC" w:rsidRDefault="00BD1D88" w:rsidP="004D151D">
      <w:pPr>
        <w:pStyle w:val="FootnoteText"/>
        <w:rPr>
          <w:rFonts w:cs="Arial"/>
          <w:sz w:val="18"/>
          <w:szCs w:val="18"/>
        </w:rPr>
      </w:pPr>
      <w:r w:rsidRPr="00946DBC">
        <w:rPr>
          <w:rStyle w:val="FootnoteReference"/>
          <w:rFonts w:cs="Arial"/>
          <w:sz w:val="18"/>
          <w:szCs w:val="18"/>
        </w:rPr>
        <w:footnoteRef/>
      </w:r>
      <w:r w:rsidRPr="00946DBC">
        <w:rPr>
          <w:rFonts w:cs="Arial"/>
          <w:sz w:val="18"/>
          <w:szCs w:val="18"/>
        </w:rPr>
        <w:t xml:space="preserve"> Wallis (2021) </w:t>
      </w:r>
      <w:r w:rsidRPr="00946DBC">
        <w:rPr>
          <w:rFonts w:cs="Arial"/>
          <w:i/>
          <w:iCs/>
          <w:sz w:val="18"/>
          <w:szCs w:val="18"/>
        </w:rPr>
        <w:t xml:space="preserve">Apprentice and Employer Support Surveys, </w:t>
      </w:r>
      <w:r w:rsidRPr="00946DBC">
        <w:rPr>
          <w:rFonts w:cs="Arial"/>
          <w:sz w:val="18"/>
          <w:szCs w:val="18"/>
        </w:rPr>
        <w:t>based on a sample size of 500 employers and 500 apprentices</w:t>
      </w:r>
    </w:p>
  </w:footnote>
  <w:footnote w:id="28">
    <w:p w14:paraId="15D6613E" w14:textId="77777777" w:rsidR="00BD1D88" w:rsidRPr="00946DBC" w:rsidRDefault="00BD1D88" w:rsidP="004D151D">
      <w:pPr>
        <w:pStyle w:val="FootnoteText"/>
        <w:rPr>
          <w:rFonts w:cs="Arial"/>
          <w:sz w:val="18"/>
          <w:szCs w:val="18"/>
        </w:rPr>
      </w:pPr>
      <w:r w:rsidRPr="00946DBC">
        <w:rPr>
          <w:rStyle w:val="FootnoteReference"/>
          <w:rFonts w:cs="Arial"/>
          <w:sz w:val="18"/>
          <w:szCs w:val="18"/>
        </w:rPr>
        <w:footnoteRef/>
      </w:r>
      <w:r w:rsidRPr="00946DBC">
        <w:rPr>
          <w:rFonts w:cs="Arial"/>
          <w:sz w:val="18"/>
          <w:szCs w:val="18"/>
        </w:rPr>
        <w:t xml:space="preserve"> Australian Bureau of Statistics (2016) </w:t>
      </w:r>
      <w:r w:rsidRPr="00946DBC">
        <w:rPr>
          <w:rFonts w:cs="Arial"/>
          <w:i/>
          <w:iCs/>
          <w:sz w:val="18"/>
          <w:szCs w:val="18"/>
        </w:rPr>
        <w:t>Household Expenditure Survey Australia: Summary of Results</w:t>
      </w:r>
      <w:r w:rsidRPr="00946DBC">
        <w:rPr>
          <w:rFonts w:cs="Arial"/>
          <w:sz w:val="18"/>
          <w:szCs w:val="18"/>
        </w:rPr>
        <w:t xml:space="preserve"> </w:t>
      </w:r>
      <w:hyperlink r:id="rId19" w:history="1">
        <w:r w:rsidRPr="00946DBC">
          <w:rPr>
            <w:rStyle w:val="Hyperlink"/>
            <w:rFonts w:cs="Arial"/>
            <w:sz w:val="18"/>
            <w:szCs w:val="18"/>
          </w:rPr>
          <w:t>www.abs.gov.au</w:t>
        </w:r>
      </w:hyperlink>
      <w:r w:rsidRPr="00946DBC">
        <w:rPr>
          <w:rFonts w:cs="Arial"/>
          <w:sz w:val="18"/>
          <w:szCs w:val="18"/>
        </w:rPr>
        <w:t xml:space="preserve"> (accessed 28 July 2021)</w:t>
      </w:r>
    </w:p>
  </w:footnote>
  <w:footnote w:id="29">
    <w:p w14:paraId="5C5D55BF" w14:textId="77777777" w:rsidR="00BD1D88" w:rsidRPr="00946DBC" w:rsidRDefault="00BD1D88" w:rsidP="004D151D">
      <w:pPr>
        <w:pStyle w:val="FootnoteText"/>
        <w:rPr>
          <w:rFonts w:cs="Arial"/>
          <w:sz w:val="18"/>
          <w:szCs w:val="18"/>
        </w:rPr>
      </w:pPr>
      <w:r w:rsidRPr="00946DBC">
        <w:rPr>
          <w:rStyle w:val="FootnoteReference"/>
          <w:rFonts w:cs="Arial"/>
          <w:sz w:val="18"/>
          <w:szCs w:val="18"/>
        </w:rPr>
        <w:footnoteRef/>
      </w:r>
      <w:r w:rsidRPr="00946DBC">
        <w:rPr>
          <w:rFonts w:cs="Arial"/>
          <w:sz w:val="18"/>
          <w:szCs w:val="18"/>
        </w:rPr>
        <w:t xml:space="preserve"> Deloitte Access Economics (2012) </w:t>
      </w:r>
      <w:r w:rsidRPr="00946DBC">
        <w:rPr>
          <w:rFonts w:cs="Arial"/>
          <w:i/>
          <w:iCs/>
          <w:sz w:val="18"/>
          <w:szCs w:val="18"/>
        </w:rPr>
        <w:t xml:space="preserve">Econometric analysis of the Australian Apprenticeships Incentives Program </w:t>
      </w:r>
      <w:hyperlink r:id="rId20" w:history="1">
        <w:r w:rsidRPr="00946DBC">
          <w:rPr>
            <w:rStyle w:val="Hyperlink"/>
            <w:rFonts w:cs="Arial"/>
            <w:sz w:val="18"/>
            <w:szCs w:val="18"/>
          </w:rPr>
          <w:t>www.voced.edu.au</w:t>
        </w:r>
      </w:hyperlink>
      <w:r w:rsidRPr="00946DBC">
        <w:rPr>
          <w:rFonts w:cs="Arial"/>
          <w:sz w:val="18"/>
          <w:szCs w:val="18"/>
        </w:rPr>
        <w:t xml:space="preserve"> (accessed 13 July 2021)</w:t>
      </w:r>
    </w:p>
  </w:footnote>
  <w:footnote w:id="30">
    <w:p w14:paraId="03AF7282" w14:textId="77777777" w:rsidR="00BD1D88" w:rsidRPr="00FC0D07" w:rsidRDefault="00BD1D88">
      <w:pPr>
        <w:pStyle w:val="FootnoteText"/>
        <w:rPr>
          <w:sz w:val="18"/>
          <w:szCs w:val="18"/>
        </w:rPr>
      </w:pPr>
      <w:r w:rsidRPr="00FC0D07">
        <w:rPr>
          <w:rStyle w:val="FootnoteReference"/>
          <w:rFonts w:cs="Arial"/>
          <w:sz w:val="18"/>
          <w:szCs w:val="18"/>
        </w:rPr>
        <w:footnoteRef/>
      </w:r>
      <w:r w:rsidRPr="00FC0D07">
        <w:rPr>
          <w:rFonts w:cs="Arial"/>
          <w:sz w:val="18"/>
          <w:szCs w:val="18"/>
        </w:rPr>
        <w:t xml:space="preserve"> NCVER (2001) </w:t>
      </w:r>
      <w:r w:rsidRPr="00FC0D07">
        <w:rPr>
          <w:rFonts w:cs="Arial"/>
          <w:i/>
          <w:sz w:val="18"/>
          <w:szCs w:val="18"/>
        </w:rPr>
        <w:t>Reasons for new apprentices’ non-completions</w:t>
      </w:r>
      <w:r w:rsidRPr="00FC0D07">
        <w:rPr>
          <w:rFonts w:cs="Arial"/>
          <w:sz w:val="18"/>
          <w:szCs w:val="18"/>
        </w:rPr>
        <w:t xml:space="preserve">, </w:t>
      </w:r>
      <w:hyperlink r:id="rId21" w:history="1">
        <w:r w:rsidRPr="00FC0D07">
          <w:rPr>
            <w:rStyle w:val="Hyperlink"/>
            <w:rFonts w:cs="Arial"/>
            <w:sz w:val="18"/>
            <w:szCs w:val="18"/>
          </w:rPr>
          <w:t>www.ncver.edu.au</w:t>
        </w:r>
      </w:hyperlink>
      <w:r w:rsidRPr="00FC0D07">
        <w:rPr>
          <w:rFonts w:cs="Arial"/>
          <w:sz w:val="18"/>
          <w:szCs w:val="18"/>
        </w:rPr>
        <w:t xml:space="preserve"> (accessed 18 March 2022)</w:t>
      </w:r>
      <w:r w:rsidRPr="00FC0D07">
        <w:rPr>
          <w:sz w:val="18"/>
          <w:szCs w:val="18"/>
        </w:rPr>
        <w:t xml:space="preserve"> </w:t>
      </w:r>
    </w:p>
  </w:footnote>
  <w:footnote w:id="31">
    <w:p w14:paraId="7CC88AD6" w14:textId="77777777" w:rsidR="00BD1D88" w:rsidRPr="00FC0D07" w:rsidRDefault="00BD1D88" w:rsidP="008175AE">
      <w:pPr>
        <w:pStyle w:val="FootnoteText"/>
        <w:rPr>
          <w:sz w:val="18"/>
          <w:szCs w:val="18"/>
        </w:rPr>
      </w:pPr>
      <w:r w:rsidRPr="00FC0D07">
        <w:rPr>
          <w:rStyle w:val="FootnoteReference"/>
          <w:sz w:val="18"/>
          <w:szCs w:val="18"/>
        </w:rPr>
        <w:footnoteRef/>
      </w:r>
      <w:r w:rsidRPr="00FC0D07">
        <w:rPr>
          <w:sz w:val="18"/>
          <w:szCs w:val="18"/>
        </w:rPr>
        <w:t xml:space="preserve"> Shergold P. (June 2020) </w:t>
      </w:r>
      <w:r w:rsidRPr="00FC0D07">
        <w:rPr>
          <w:i/>
          <w:sz w:val="18"/>
          <w:szCs w:val="18"/>
        </w:rPr>
        <w:t xml:space="preserve">Looking to the Future: Report of the Review of Senior Secondary Pathways into work, further education and training, </w:t>
      </w:r>
      <w:r w:rsidRPr="00FC0D07">
        <w:rPr>
          <w:sz w:val="18"/>
          <w:szCs w:val="18"/>
        </w:rPr>
        <w:t>Education Council</w:t>
      </w:r>
    </w:p>
  </w:footnote>
  <w:footnote w:id="32">
    <w:p w14:paraId="34833AFD" w14:textId="77777777" w:rsidR="00BD1D88" w:rsidRPr="00FC0D07" w:rsidRDefault="00BD1D88" w:rsidP="0060572B">
      <w:pPr>
        <w:pStyle w:val="FootnoteText"/>
        <w:rPr>
          <w:sz w:val="18"/>
          <w:szCs w:val="18"/>
        </w:rPr>
      </w:pPr>
      <w:r w:rsidRPr="00FC0D07">
        <w:rPr>
          <w:rStyle w:val="FootnoteReference"/>
          <w:sz w:val="18"/>
          <w:szCs w:val="18"/>
        </w:rPr>
        <w:footnoteRef/>
      </w:r>
      <w:r w:rsidRPr="00FC0D07">
        <w:rPr>
          <w:sz w:val="18"/>
          <w:szCs w:val="18"/>
        </w:rPr>
        <w:t xml:space="preserve"> NCVER (2021</w:t>
      </w:r>
      <w:r w:rsidRPr="00FC0D07">
        <w:rPr>
          <w:i/>
          <w:iCs/>
          <w:sz w:val="18"/>
          <w:szCs w:val="18"/>
        </w:rPr>
        <w:t>) Issues in apprenticeships and traineeships – a research synthesis</w:t>
      </w:r>
      <w:r w:rsidRPr="00FC0D07">
        <w:rPr>
          <w:sz w:val="18"/>
          <w:szCs w:val="18"/>
        </w:rPr>
        <w:t xml:space="preserve">, </w:t>
      </w:r>
      <w:hyperlink r:id="rId22" w:history="1">
        <w:r w:rsidRPr="00FC0D07">
          <w:rPr>
            <w:rStyle w:val="Hyperlink"/>
            <w:sz w:val="18"/>
            <w:szCs w:val="18"/>
          </w:rPr>
          <w:t>www.ncver.edu.au</w:t>
        </w:r>
      </w:hyperlink>
      <w:r w:rsidRPr="00FC0D07">
        <w:rPr>
          <w:sz w:val="18"/>
          <w:szCs w:val="18"/>
        </w:rPr>
        <w:t xml:space="preserve"> (accessed 27 January 2022)</w:t>
      </w:r>
    </w:p>
  </w:footnote>
  <w:footnote w:id="33">
    <w:p w14:paraId="297AD082" w14:textId="77777777" w:rsidR="00BD1D88" w:rsidRPr="00FC0D07" w:rsidRDefault="00BD1D88" w:rsidP="0060572B">
      <w:pPr>
        <w:pStyle w:val="FootnoteText"/>
        <w:rPr>
          <w:sz w:val="18"/>
          <w:szCs w:val="18"/>
        </w:rPr>
      </w:pPr>
      <w:r w:rsidRPr="00FC0D07">
        <w:rPr>
          <w:rStyle w:val="FootnoteReference"/>
          <w:sz w:val="18"/>
          <w:szCs w:val="18"/>
        </w:rPr>
        <w:footnoteRef/>
      </w:r>
      <w:r w:rsidRPr="00FC0D07">
        <w:rPr>
          <w:sz w:val="18"/>
          <w:szCs w:val="18"/>
        </w:rPr>
        <w:t xml:space="preserve"> NCVER (2019) </w:t>
      </w:r>
      <w:r w:rsidRPr="00FC0D07">
        <w:rPr>
          <w:i/>
          <w:sz w:val="18"/>
          <w:szCs w:val="18"/>
        </w:rPr>
        <w:t>Apprentice and trainee experience and destination</w:t>
      </w:r>
      <w:r w:rsidRPr="00FC0D07">
        <w:rPr>
          <w:sz w:val="18"/>
          <w:szCs w:val="18"/>
        </w:rPr>
        <w:t xml:space="preserve">, </w:t>
      </w:r>
      <w:hyperlink r:id="rId23" w:history="1">
        <w:r w:rsidRPr="00FC0D07">
          <w:rPr>
            <w:rStyle w:val="Hyperlink"/>
            <w:sz w:val="18"/>
            <w:szCs w:val="18"/>
          </w:rPr>
          <w:t>www.ncver.edu.au</w:t>
        </w:r>
      </w:hyperlink>
      <w:r w:rsidRPr="00FC0D07">
        <w:rPr>
          <w:sz w:val="18"/>
          <w:szCs w:val="18"/>
        </w:rPr>
        <w:t xml:space="preserve"> (accessed 24 June 2021)</w:t>
      </w:r>
    </w:p>
  </w:footnote>
  <w:footnote w:id="34">
    <w:p w14:paraId="679DC179" w14:textId="77777777" w:rsidR="00BD1D88" w:rsidRPr="00544C3E" w:rsidRDefault="00BD1D88" w:rsidP="004D151D">
      <w:pPr>
        <w:pStyle w:val="FootnoteText"/>
        <w:rPr>
          <w:sz w:val="18"/>
          <w:szCs w:val="18"/>
        </w:rPr>
      </w:pPr>
      <w:r w:rsidRPr="00FC0D07">
        <w:rPr>
          <w:rStyle w:val="FootnoteReference"/>
          <w:sz w:val="18"/>
          <w:szCs w:val="18"/>
        </w:rPr>
        <w:footnoteRef/>
      </w:r>
      <w:r w:rsidRPr="00FC0D07">
        <w:rPr>
          <w:sz w:val="18"/>
          <w:szCs w:val="18"/>
        </w:rPr>
        <w:t xml:space="preserve"> NCVER (2021) </w:t>
      </w:r>
      <w:r w:rsidRPr="00FC0D07">
        <w:rPr>
          <w:i/>
          <w:iCs/>
          <w:sz w:val="18"/>
          <w:szCs w:val="18"/>
        </w:rPr>
        <w:t>Issues in apprenticeships and traineeships – a research synthesis</w:t>
      </w:r>
      <w:r w:rsidRPr="00FC0D07">
        <w:rPr>
          <w:sz w:val="18"/>
          <w:szCs w:val="18"/>
        </w:rPr>
        <w:t xml:space="preserve">, </w:t>
      </w:r>
      <w:hyperlink r:id="rId24" w:history="1">
        <w:r w:rsidRPr="00FC0D07">
          <w:rPr>
            <w:rStyle w:val="Hyperlink"/>
            <w:sz w:val="18"/>
            <w:szCs w:val="18"/>
          </w:rPr>
          <w:t>www.ncver.edu.au</w:t>
        </w:r>
      </w:hyperlink>
      <w:r w:rsidRPr="00FC0D07">
        <w:rPr>
          <w:sz w:val="18"/>
          <w:szCs w:val="18"/>
        </w:rPr>
        <w:t xml:space="preserve"> (accessed 27 January 2022)</w:t>
      </w:r>
      <w:r w:rsidRPr="00544C3E">
        <w:rPr>
          <w:sz w:val="18"/>
          <w:szCs w:val="18"/>
        </w:rPr>
        <w:t xml:space="preserve"> </w:t>
      </w:r>
    </w:p>
  </w:footnote>
  <w:footnote w:id="35">
    <w:p w14:paraId="2A142C47" w14:textId="77777777" w:rsidR="00BD1D88" w:rsidRPr="00C541BE" w:rsidRDefault="00BD1D88" w:rsidP="00FC0D07">
      <w:pPr>
        <w:pStyle w:val="FootnoteText"/>
        <w:rPr>
          <w:sz w:val="18"/>
          <w:szCs w:val="18"/>
        </w:rPr>
      </w:pPr>
      <w:r w:rsidRPr="00C541BE">
        <w:rPr>
          <w:rStyle w:val="FootnoteReference"/>
          <w:sz w:val="18"/>
          <w:szCs w:val="18"/>
        </w:rPr>
        <w:footnoteRef/>
      </w:r>
      <w:r w:rsidRPr="00C541BE">
        <w:rPr>
          <w:sz w:val="18"/>
          <w:szCs w:val="18"/>
        </w:rPr>
        <w:t xml:space="preserve"> NCVER (2021) </w:t>
      </w:r>
      <w:r w:rsidRPr="00C541BE">
        <w:rPr>
          <w:i/>
          <w:sz w:val="18"/>
          <w:szCs w:val="18"/>
        </w:rPr>
        <w:t xml:space="preserve">Australian vocational education and training statistics: </w:t>
      </w:r>
      <w:r w:rsidRPr="00D266BA">
        <w:rPr>
          <w:i/>
          <w:iCs/>
          <w:sz w:val="18"/>
          <w:szCs w:val="18"/>
        </w:rPr>
        <w:t>apprentices</w:t>
      </w:r>
      <w:r w:rsidRPr="00C541BE">
        <w:rPr>
          <w:i/>
          <w:sz w:val="18"/>
          <w:szCs w:val="18"/>
        </w:rPr>
        <w:t xml:space="preserve"> and trainees 2021 – June quarter</w:t>
      </w:r>
      <w:r>
        <w:rPr>
          <w:i/>
          <w:iCs/>
          <w:sz w:val="18"/>
          <w:szCs w:val="18"/>
        </w:rPr>
        <w:t xml:space="preserve">, </w:t>
      </w:r>
      <w:hyperlink r:id="rId25" w:history="1">
        <w:r w:rsidRPr="00544C3E">
          <w:rPr>
            <w:rStyle w:val="Hyperlink"/>
            <w:sz w:val="18"/>
            <w:szCs w:val="18"/>
          </w:rPr>
          <w:t>www.ncver.edu.au</w:t>
        </w:r>
      </w:hyperlink>
      <w:r>
        <w:rPr>
          <w:rStyle w:val="Hyperlink"/>
          <w:sz w:val="18"/>
          <w:szCs w:val="18"/>
        </w:rPr>
        <w:t xml:space="preserve"> </w:t>
      </w:r>
      <w:r w:rsidRPr="00C541BE">
        <w:rPr>
          <w:sz w:val="18"/>
          <w:szCs w:val="18"/>
        </w:rPr>
        <w:t>(accessed 21 March 2022)</w:t>
      </w:r>
    </w:p>
  </w:footnote>
  <w:footnote w:id="36">
    <w:p w14:paraId="62F37A28" w14:textId="77777777" w:rsidR="00BD1D88" w:rsidRPr="00F60C50" w:rsidRDefault="00BD1D88" w:rsidP="004D151D">
      <w:pPr>
        <w:pStyle w:val="FootnoteText"/>
        <w:rPr>
          <w:sz w:val="18"/>
          <w:szCs w:val="18"/>
        </w:rPr>
      </w:pPr>
      <w:r w:rsidRPr="00544C3E">
        <w:rPr>
          <w:rStyle w:val="FootnoteReference"/>
          <w:sz w:val="18"/>
          <w:szCs w:val="18"/>
        </w:rPr>
        <w:footnoteRef/>
      </w:r>
      <w:r w:rsidRPr="00544C3E">
        <w:rPr>
          <w:sz w:val="18"/>
          <w:szCs w:val="18"/>
        </w:rPr>
        <w:t xml:space="preserve"> Australian Institute of Health and Welfare (2021) </w:t>
      </w:r>
      <w:r w:rsidRPr="00D854B2">
        <w:rPr>
          <w:i/>
          <w:iCs/>
          <w:sz w:val="18"/>
          <w:szCs w:val="18"/>
        </w:rPr>
        <w:t>Australia's youth., AIHW</w:t>
      </w:r>
      <w:r w:rsidRPr="00544C3E">
        <w:rPr>
          <w:sz w:val="18"/>
          <w:szCs w:val="18"/>
        </w:rPr>
        <w:t>, Australian Government</w:t>
      </w:r>
      <w:r>
        <w:rPr>
          <w:sz w:val="18"/>
          <w:szCs w:val="18"/>
        </w:rPr>
        <w:t xml:space="preserve"> </w:t>
      </w:r>
      <w:r w:rsidRPr="00544C3E">
        <w:rPr>
          <w:sz w:val="18"/>
          <w:szCs w:val="18"/>
        </w:rPr>
        <w:t>(accessed 14 January 2022)</w:t>
      </w:r>
    </w:p>
  </w:footnote>
  <w:footnote w:id="37">
    <w:p w14:paraId="31A22C9F" w14:textId="77777777" w:rsidR="00BD1D88" w:rsidRPr="00544C3E" w:rsidRDefault="00BD1D88" w:rsidP="006F7979">
      <w:pPr>
        <w:pStyle w:val="FootnoteText"/>
        <w:rPr>
          <w:rFonts w:cs="Arial"/>
          <w:sz w:val="18"/>
          <w:szCs w:val="18"/>
        </w:rPr>
      </w:pPr>
      <w:r w:rsidRPr="00544C3E">
        <w:rPr>
          <w:rFonts w:cs="Arial"/>
          <w:sz w:val="18"/>
          <w:szCs w:val="18"/>
          <w:vertAlign w:val="superscript"/>
        </w:rPr>
        <w:footnoteRef/>
      </w:r>
      <w:r w:rsidRPr="00544C3E">
        <w:rPr>
          <w:rFonts w:cs="Arial"/>
          <w:sz w:val="18"/>
          <w:szCs w:val="18"/>
          <w:vertAlign w:val="superscript"/>
        </w:rPr>
        <w:t xml:space="preserve"> </w:t>
      </w:r>
      <w:r w:rsidRPr="000F15DA">
        <w:rPr>
          <w:sz w:val="18"/>
          <w:szCs w:val="18"/>
        </w:rPr>
        <w:t>Australian Bureau of Statistics</w:t>
      </w:r>
      <w:r>
        <w:rPr>
          <w:sz w:val="18"/>
          <w:szCs w:val="18"/>
        </w:rPr>
        <w:t xml:space="preserve"> (2022)</w:t>
      </w:r>
      <w:r w:rsidRPr="000F15DA">
        <w:rPr>
          <w:sz w:val="18"/>
          <w:szCs w:val="18"/>
        </w:rPr>
        <w:t xml:space="preserve"> </w:t>
      </w:r>
      <w:r w:rsidRPr="003F1199">
        <w:rPr>
          <w:i/>
          <w:iCs/>
          <w:sz w:val="18"/>
          <w:szCs w:val="18"/>
        </w:rPr>
        <w:t xml:space="preserve">Labour Force, Australia – </w:t>
      </w:r>
      <w:r>
        <w:rPr>
          <w:i/>
          <w:iCs/>
          <w:sz w:val="18"/>
          <w:szCs w:val="18"/>
        </w:rPr>
        <w:t>February</w:t>
      </w:r>
      <w:r w:rsidRPr="003F1199">
        <w:rPr>
          <w:i/>
          <w:iCs/>
          <w:sz w:val="18"/>
          <w:szCs w:val="18"/>
        </w:rPr>
        <w:t xml:space="preserve"> 202</w:t>
      </w:r>
      <w:r>
        <w:rPr>
          <w:i/>
          <w:iCs/>
          <w:sz w:val="18"/>
          <w:szCs w:val="18"/>
        </w:rPr>
        <w:t>2</w:t>
      </w:r>
      <w:r w:rsidRPr="003F1199">
        <w:rPr>
          <w:i/>
          <w:iCs/>
          <w:sz w:val="18"/>
          <w:szCs w:val="18"/>
        </w:rPr>
        <w:t xml:space="preserve"> Release</w:t>
      </w:r>
      <w:r>
        <w:rPr>
          <w:i/>
          <w:iCs/>
          <w:sz w:val="18"/>
          <w:szCs w:val="18"/>
        </w:rPr>
        <w:t xml:space="preserve"> </w:t>
      </w:r>
      <w:r>
        <w:rPr>
          <w:sz w:val="18"/>
          <w:szCs w:val="18"/>
        </w:rPr>
        <w:t>(accessed 22 March 2022)</w:t>
      </w:r>
    </w:p>
  </w:footnote>
  <w:footnote w:id="38">
    <w:p w14:paraId="35968C4E" w14:textId="77777777" w:rsidR="00BD1D88" w:rsidRPr="00544C3E" w:rsidRDefault="00BD1D88" w:rsidP="004D151D">
      <w:pPr>
        <w:pStyle w:val="FootnoteText"/>
        <w:rPr>
          <w:sz w:val="18"/>
          <w:szCs w:val="18"/>
        </w:rPr>
      </w:pPr>
      <w:r w:rsidRPr="00544C3E">
        <w:rPr>
          <w:rStyle w:val="FootnoteReference"/>
          <w:sz w:val="18"/>
          <w:szCs w:val="18"/>
        </w:rPr>
        <w:footnoteRef/>
      </w:r>
      <w:r w:rsidRPr="00544C3E">
        <w:rPr>
          <w:sz w:val="18"/>
          <w:szCs w:val="18"/>
        </w:rPr>
        <w:t xml:space="preserve"> Department of Education, Skills and Employment (2021) </w:t>
      </w:r>
      <w:r w:rsidRPr="00544C3E">
        <w:rPr>
          <w:i/>
          <w:iCs/>
          <w:sz w:val="18"/>
          <w:szCs w:val="18"/>
        </w:rPr>
        <w:t>Australian Apprenticeships Incentives Program guidelines</w:t>
      </w:r>
      <w:r w:rsidRPr="00544C3E">
        <w:rPr>
          <w:sz w:val="18"/>
          <w:szCs w:val="18"/>
        </w:rPr>
        <w:t xml:space="preserve"> </w:t>
      </w:r>
      <w:hyperlink r:id="rId26" w:history="1">
        <w:r w:rsidRPr="00544C3E">
          <w:rPr>
            <w:rStyle w:val="Hyperlink"/>
            <w:sz w:val="18"/>
            <w:szCs w:val="18"/>
          </w:rPr>
          <w:t>www.dese.gov.au</w:t>
        </w:r>
      </w:hyperlink>
      <w:r w:rsidRPr="00544C3E">
        <w:rPr>
          <w:sz w:val="18"/>
          <w:szCs w:val="18"/>
        </w:rPr>
        <w:t xml:space="preserve"> (accessed 16 June 2021)</w:t>
      </w:r>
    </w:p>
  </w:footnote>
  <w:footnote w:id="39">
    <w:p w14:paraId="6B915D2E" w14:textId="77777777" w:rsidR="00BD1D88" w:rsidRPr="00544C3E" w:rsidRDefault="00BD1D88">
      <w:pPr>
        <w:pStyle w:val="FootnoteText"/>
        <w:rPr>
          <w:sz w:val="18"/>
          <w:szCs w:val="18"/>
        </w:rPr>
      </w:pPr>
      <w:r w:rsidRPr="00544C3E">
        <w:rPr>
          <w:rStyle w:val="FootnoteReference"/>
          <w:sz w:val="18"/>
          <w:szCs w:val="18"/>
        </w:rPr>
        <w:footnoteRef/>
      </w:r>
      <w:r w:rsidRPr="00544C3E">
        <w:rPr>
          <w:sz w:val="18"/>
          <w:szCs w:val="18"/>
        </w:rPr>
        <w:t xml:space="preserve"> </w:t>
      </w:r>
      <w:r w:rsidRPr="00544C3E">
        <w:rPr>
          <w:rFonts w:cs="Arial"/>
          <w:sz w:val="18"/>
          <w:szCs w:val="18"/>
        </w:rPr>
        <w:t>Organisation for Economic Compensation and Development</w:t>
      </w:r>
      <w:r w:rsidRPr="00544C3E">
        <w:rPr>
          <w:sz w:val="18"/>
          <w:szCs w:val="18"/>
        </w:rPr>
        <w:t xml:space="preserve"> </w:t>
      </w:r>
      <w:r w:rsidRPr="00544C3E">
        <w:rPr>
          <w:rFonts w:cs="Arial"/>
          <w:sz w:val="18"/>
          <w:szCs w:val="18"/>
        </w:rPr>
        <w:t xml:space="preserve">(OECD) </w:t>
      </w:r>
      <w:r w:rsidRPr="00544C3E">
        <w:rPr>
          <w:rFonts w:cs="Arial"/>
          <w:i/>
          <w:iCs/>
          <w:sz w:val="18"/>
          <w:szCs w:val="18"/>
        </w:rPr>
        <w:t>Seven Questions about Apprenticeships: Answers from International Experience,</w:t>
      </w:r>
      <w:r w:rsidRPr="00544C3E">
        <w:rPr>
          <w:rFonts w:cs="Arial"/>
          <w:sz w:val="18"/>
          <w:szCs w:val="18"/>
        </w:rPr>
        <w:t xml:space="preserve"> OECD Reviews of Vocational Education and Training, OECD Publishing, Paris (accessed 18 March 2022)</w:t>
      </w:r>
    </w:p>
  </w:footnote>
  <w:footnote w:id="40">
    <w:p w14:paraId="42B0AD8A" w14:textId="77777777" w:rsidR="00BD1D88" w:rsidRPr="00544C3E" w:rsidRDefault="00BD1D88">
      <w:pPr>
        <w:pStyle w:val="FootnoteText"/>
        <w:rPr>
          <w:rFonts w:cs="Arial"/>
          <w:sz w:val="18"/>
          <w:szCs w:val="18"/>
        </w:rPr>
      </w:pPr>
      <w:r w:rsidRPr="00544C3E">
        <w:rPr>
          <w:rStyle w:val="FootnoteReference"/>
          <w:sz w:val="18"/>
          <w:szCs w:val="18"/>
        </w:rPr>
        <w:footnoteRef/>
      </w:r>
      <w:r w:rsidRPr="00544C3E">
        <w:rPr>
          <w:sz w:val="18"/>
          <w:szCs w:val="18"/>
        </w:rPr>
        <w:t xml:space="preserve"> </w:t>
      </w:r>
      <w:r w:rsidRPr="00544C3E">
        <w:rPr>
          <w:rFonts w:cs="Arial"/>
          <w:sz w:val="18"/>
          <w:szCs w:val="18"/>
        </w:rPr>
        <w:t>Organisation for Economic Compensation and Development</w:t>
      </w:r>
      <w:r w:rsidRPr="00544C3E">
        <w:rPr>
          <w:sz w:val="18"/>
          <w:szCs w:val="18"/>
        </w:rPr>
        <w:t xml:space="preserve"> </w:t>
      </w:r>
      <w:r w:rsidRPr="00544C3E">
        <w:rPr>
          <w:rFonts w:cs="Arial"/>
          <w:sz w:val="18"/>
          <w:szCs w:val="18"/>
        </w:rPr>
        <w:t xml:space="preserve">(OECD) </w:t>
      </w:r>
      <w:r w:rsidRPr="00544C3E">
        <w:rPr>
          <w:rFonts w:cs="Arial"/>
          <w:i/>
          <w:sz w:val="18"/>
          <w:szCs w:val="18"/>
        </w:rPr>
        <w:t>Seven Questions about Apprenticeships: Answers from International Experience</w:t>
      </w:r>
      <w:r w:rsidRPr="00544C3E">
        <w:rPr>
          <w:rFonts w:cs="Arial"/>
          <w:i/>
          <w:iCs/>
          <w:sz w:val="18"/>
          <w:szCs w:val="18"/>
        </w:rPr>
        <w:t>,</w:t>
      </w:r>
      <w:r w:rsidRPr="00544C3E">
        <w:rPr>
          <w:rFonts w:cs="Arial"/>
          <w:sz w:val="18"/>
          <w:szCs w:val="18"/>
        </w:rPr>
        <w:t xml:space="preserve"> OECD Reviews of Vocational Education and Training, OECD Publishing, Paris (accessed 18 March 2022)</w:t>
      </w:r>
    </w:p>
  </w:footnote>
  <w:footnote w:id="41">
    <w:p w14:paraId="0EFE5C7B" w14:textId="77777777" w:rsidR="00BD1D88" w:rsidRPr="00D16E5B" w:rsidRDefault="00BD1D88" w:rsidP="007D3639">
      <w:pPr>
        <w:pStyle w:val="FootnoteText"/>
        <w:rPr>
          <w:sz w:val="18"/>
          <w:szCs w:val="18"/>
        </w:rPr>
      </w:pPr>
      <w:r w:rsidRPr="00D16E5B">
        <w:rPr>
          <w:rStyle w:val="FootnoteReference"/>
          <w:sz w:val="18"/>
          <w:szCs w:val="18"/>
        </w:rPr>
        <w:footnoteRef/>
      </w:r>
      <w:r w:rsidRPr="00D16E5B">
        <w:rPr>
          <w:sz w:val="18"/>
          <w:szCs w:val="18"/>
        </w:rPr>
        <w:t xml:space="preserve"> </w:t>
      </w:r>
      <w:r>
        <w:rPr>
          <w:sz w:val="18"/>
          <w:szCs w:val="18"/>
        </w:rPr>
        <w:t xml:space="preserve">National Skills Commission (9 December 2021) </w:t>
      </w:r>
      <w:r>
        <w:rPr>
          <w:i/>
          <w:sz w:val="18"/>
          <w:szCs w:val="18"/>
        </w:rPr>
        <w:t xml:space="preserve">The </w:t>
      </w:r>
      <w:r>
        <w:rPr>
          <w:i/>
          <w:iCs/>
          <w:sz w:val="18"/>
          <w:szCs w:val="18"/>
        </w:rPr>
        <w:t>State</w:t>
      </w:r>
      <w:r>
        <w:rPr>
          <w:i/>
          <w:sz w:val="18"/>
          <w:szCs w:val="18"/>
        </w:rPr>
        <w:t xml:space="preserve"> of Australia’s Skills </w:t>
      </w:r>
      <w:r>
        <w:rPr>
          <w:sz w:val="18"/>
          <w:szCs w:val="18"/>
        </w:rPr>
        <w:t>(accessed 20 January 2022)</w:t>
      </w:r>
    </w:p>
  </w:footnote>
  <w:footnote w:id="42">
    <w:p w14:paraId="4F2E89E3" w14:textId="77777777" w:rsidR="00BD1D88" w:rsidRPr="00BD65EB" w:rsidRDefault="00BD1D88" w:rsidP="004D151D">
      <w:pPr>
        <w:pStyle w:val="FootnoteText"/>
        <w:rPr>
          <w:sz w:val="18"/>
          <w:szCs w:val="18"/>
        </w:rPr>
      </w:pPr>
      <w:r w:rsidRPr="00BD65EB">
        <w:rPr>
          <w:rStyle w:val="FootnoteReference"/>
          <w:sz w:val="18"/>
          <w:szCs w:val="18"/>
        </w:rPr>
        <w:footnoteRef/>
      </w:r>
      <w:r w:rsidRPr="00BD65EB">
        <w:rPr>
          <w:sz w:val="18"/>
          <w:szCs w:val="18"/>
        </w:rPr>
        <w:t xml:space="preserve"> NCVER (January 2022) </w:t>
      </w:r>
      <w:r w:rsidRPr="00BD65EB">
        <w:rPr>
          <w:i/>
          <w:iCs/>
          <w:sz w:val="18"/>
          <w:szCs w:val="18"/>
        </w:rPr>
        <w:t>Apprentices and trainees 2021 – June quarter</w:t>
      </w:r>
      <w:r w:rsidRPr="00BD65EB">
        <w:rPr>
          <w:sz w:val="18"/>
          <w:szCs w:val="18"/>
        </w:rPr>
        <w:t xml:space="preserve">, </w:t>
      </w:r>
      <w:hyperlink r:id="rId27">
        <w:r w:rsidRPr="00BD65EB">
          <w:rPr>
            <w:rStyle w:val="Hyperlink"/>
            <w:sz w:val="18"/>
            <w:szCs w:val="18"/>
          </w:rPr>
          <w:t>www.ncver.edu.au</w:t>
        </w:r>
      </w:hyperlink>
      <w:r w:rsidRPr="00BD65EB">
        <w:rPr>
          <w:sz w:val="18"/>
          <w:szCs w:val="18"/>
        </w:rPr>
        <w:t xml:space="preserve"> (accessed 24 January 2022)</w:t>
      </w:r>
    </w:p>
  </w:footnote>
  <w:footnote w:id="43">
    <w:p w14:paraId="476CB3F0" w14:textId="77777777" w:rsidR="00BD1D88" w:rsidRPr="0037579E" w:rsidRDefault="00BD1D88">
      <w:pPr>
        <w:pStyle w:val="FootnoteText"/>
        <w:rPr>
          <w:sz w:val="18"/>
          <w:szCs w:val="18"/>
        </w:rPr>
      </w:pPr>
      <w:r w:rsidRPr="0037579E">
        <w:rPr>
          <w:rStyle w:val="FootnoteReference"/>
          <w:sz w:val="18"/>
          <w:szCs w:val="18"/>
        </w:rPr>
        <w:footnoteRef/>
      </w:r>
      <w:r w:rsidRPr="0037579E">
        <w:rPr>
          <w:sz w:val="18"/>
          <w:szCs w:val="18"/>
        </w:rPr>
        <w:t xml:space="preserve"> NCVER (January 2022) </w:t>
      </w:r>
      <w:r w:rsidRPr="0037579E">
        <w:rPr>
          <w:i/>
          <w:sz w:val="18"/>
          <w:szCs w:val="18"/>
        </w:rPr>
        <w:t>Apprentices and trainees 2021 – June quarter</w:t>
      </w:r>
      <w:r w:rsidRPr="0037579E">
        <w:rPr>
          <w:sz w:val="18"/>
          <w:szCs w:val="18"/>
        </w:rPr>
        <w:t xml:space="preserve">, </w:t>
      </w:r>
      <w:hyperlink r:id="rId28">
        <w:r w:rsidRPr="0037579E">
          <w:rPr>
            <w:rStyle w:val="Hyperlink"/>
            <w:sz w:val="18"/>
            <w:szCs w:val="18"/>
          </w:rPr>
          <w:t>www.ncver.edu.au</w:t>
        </w:r>
      </w:hyperlink>
      <w:r w:rsidRPr="0037579E">
        <w:rPr>
          <w:sz w:val="18"/>
          <w:szCs w:val="18"/>
        </w:rPr>
        <w:t xml:space="preserve"> (accessed 24 January 2022)</w:t>
      </w:r>
    </w:p>
  </w:footnote>
  <w:footnote w:id="44">
    <w:p w14:paraId="303FDC4C" w14:textId="77777777" w:rsidR="00BD1D88" w:rsidRPr="0037579E" w:rsidRDefault="00BD1D88" w:rsidP="004D151D">
      <w:pPr>
        <w:pStyle w:val="FootnoteText"/>
        <w:rPr>
          <w:sz w:val="18"/>
          <w:szCs w:val="18"/>
        </w:rPr>
      </w:pPr>
      <w:r w:rsidRPr="0037579E">
        <w:rPr>
          <w:rStyle w:val="FootnoteReference"/>
          <w:sz w:val="18"/>
          <w:szCs w:val="18"/>
        </w:rPr>
        <w:footnoteRef/>
      </w:r>
      <w:r w:rsidRPr="0037579E">
        <w:rPr>
          <w:sz w:val="18"/>
          <w:szCs w:val="18"/>
        </w:rPr>
        <w:t xml:space="preserve"> Productivity Commission (2020) </w:t>
      </w:r>
      <w:r w:rsidRPr="0037579E">
        <w:rPr>
          <w:i/>
          <w:iCs/>
          <w:sz w:val="18"/>
          <w:szCs w:val="18"/>
        </w:rPr>
        <w:t>National Agreement for Skills and Workforce Development Review</w:t>
      </w:r>
      <w:r w:rsidRPr="0037579E">
        <w:rPr>
          <w:sz w:val="18"/>
          <w:szCs w:val="18"/>
        </w:rPr>
        <w:t xml:space="preserve">, </w:t>
      </w:r>
      <w:hyperlink r:id="rId29" w:history="1">
        <w:r w:rsidRPr="0037579E">
          <w:rPr>
            <w:rStyle w:val="Hyperlink"/>
            <w:sz w:val="18"/>
            <w:szCs w:val="18"/>
          </w:rPr>
          <w:t>www.pc.gov.au</w:t>
        </w:r>
      </w:hyperlink>
      <w:r w:rsidRPr="0037579E">
        <w:rPr>
          <w:sz w:val="18"/>
          <w:szCs w:val="18"/>
        </w:rPr>
        <w:t xml:space="preserve"> (accessed 23 June 2021)</w:t>
      </w:r>
    </w:p>
  </w:footnote>
  <w:footnote w:id="45">
    <w:p w14:paraId="1CF32ED8" w14:textId="77777777" w:rsidR="00BD1D88" w:rsidRPr="0037579E" w:rsidRDefault="00BD1D88" w:rsidP="004D151D">
      <w:pPr>
        <w:pStyle w:val="FootnoteText"/>
        <w:rPr>
          <w:sz w:val="18"/>
          <w:szCs w:val="18"/>
        </w:rPr>
      </w:pPr>
      <w:r w:rsidRPr="0037579E">
        <w:rPr>
          <w:rStyle w:val="FootnoteReference"/>
          <w:sz w:val="18"/>
          <w:szCs w:val="18"/>
        </w:rPr>
        <w:footnoteRef/>
      </w:r>
      <w:r w:rsidRPr="0037579E">
        <w:rPr>
          <w:sz w:val="18"/>
          <w:szCs w:val="18"/>
        </w:rPr>
        <w:t xml:space="preserve"> Productivity Commission (2020) </w:t>
      </w:r>
      <w:r w:rsidRPr="0037579E">
        <w:rPr>
          <w:i/>
          <w:iCs/>
          <w:sz w:val="18"/>
          <w:szCs w:val="18"/>
        </w:rPr>
        <w:t>National Agreement for Skills and Workforce Development Review</w:t>
      </w:r>
      <w:r w:rsidRPr="0037579E">
        <w:rPr>
          <w:sz w:val="18"/>
          <w:szCs w:val="18"/>
        </w:rPr>
        <w:t xml:space="preserve">, </w:t>
      </w:r>
      <w:hyperlink r:id="rId30" w:history="1">
        <w:r w:rsidRPr="0037579E">
          <w:rPr>
            <w:rStyle w:val="Hyperlink"/>
            <w:sz w:val="18"/>
            <w:szCs w:val="18"/>
          </w:rPr>
          <w:t>www.pc.gov.au</w:t>
        </w:r>
      </w:hyperlink>
      <w:r w:rsidRPr="0037579E">
        <w:rPr>
          <w:sz w:val="18"/>
          <w:szCs w:val="18"/>
        </w:rPr>
        <w:t xml:space="preserve"> (accessed 23 June 2021)</w:t>
      </w:r>
    </w:p>
  </w:footnote>
  <w:footnote w:id="46">
    <w:p w14:paraId="3858E923" w14:textId="77777777" w:rsidR="00BD1D88" w:rsidRPr="0037579E" w:rsidRDefault="00BD1D88">
      <w:pPr>
        <w:pStyle w:val="FootnoteText"/>
        <w:rPr>
          <w:sz w:val="18"/>
          <w:szCs w:val="18"/>
        </w:rPr>
      </w:pPr>
      <w:r w:rsidRPr="0037579E">
        <w:rPr>
          <w:rStyle w:val="FootnoteReference"/>
          <w:sz w:val="18"/>
          <w:szCs w:val="18"/>
        </w:rPr>
        <w:footnoteRef/>
      </w:r>
      <w:r w:rsidRPr="0037579E">
        <w:rPr>
          <w:sz w:val="18"/>
          <w:szCs w:val="18"/>
        </w:rPr>
        <w:t xml:space="preserve"> Deloitte Access Economics (2012) </w:t>
      </w:r>
      <w:r w:rsidRPr="0037579E">
        <w:rPr>
          <w:i/>
          <w:iCs/>
          <w:sz w:val="18"/>
          <w:szCs w:val="18"/>
        </w:rPr>
        <w:t xml:space="preserve">Econometric analysis of the Australian Apprenticeships Incentives Program </w:t>
      </w:r>
      <w:hyperlink r:id="rId31" w:history="1">
        <w:r w:rsidRPr="0037579E">
          <w:rPr>
            <w:rStyle w:val="Hyperlink"/>
            <w:sz w:val="18"/>
            <w:szCs w:val="18"/>
          </w:rPr>
          <w:t>www.voced.edu.au</w:t>
        </w:r>
      </w:hyperlink>
      <w:r w:rsidRPr="0037579E">
        <w:rPr>
          <w:sz w:val="18"/>
          <w:szCs w:val="18"/>
        </w:rPr>
        <w:t xml:space="preserve"> (accessed 13 July 2021</w:t>
      </w:r>
    </w:p>
  </w:footnote>
  <w:footnote w:id="47">
    <w:p w14:paraId="45F4C74B" w14:textId="77777777" w:rsidR="00BD1D88" w:rsidRPr="00644002" w:rsidRDefault="00BD1D88">
      <w:pPr>
        <w:pStyle w:val="FootnoteText"/>
        <w:rPr>
          <w:sz w:val="18"/>
          <w:szCs w:val="18"/>
        </w:rPr>
      </w:pPr>
      <w:r w:rsidRPr="0037579E">
        <w:rPr>
          <w:rStyle w:val="FootnoteReference"/>
          <w:sz w:val="18"/>
          <w:szCs w:val="18"/>
        </w:rPr>
        <w:footnoteRef/>
      </w:r>
      <w:r w:rsidRPr="0037579E">
        <w:rPr>
          <w:sz w:val="18"/>
          <w:szCs w:val="18"/>
        </w:rPr>
        <w:t xml:space="preserve"> Deloitte Access Economics (2012) </w:t>
      </w:r>
      <w:r w:rsidRPr="0037579E">
        <w:rPr>
          <w:i/>
          <w:iCs/>
          <w:sz w:val="18"/>
          <w:szCs w:val="18"/>
        </w:rPr>
        <w:t xml:space="preserve">Econometric analysis of the Australian Apprenticeships Incentives Program </w:t>
      </w:r>
      <w:hyperlink r:id="rId32" w:history="1">
        <w:r w:rsidRPr="0037579E">
          <w:rPr>
            <w:rStyle w:val="Hyperlink"/>
            <w:sz w:val="18"/>
            <w:szCs w:val="18"/>
          </w:rPr>
          <w:t>www.voced.edu.au</w:t>
        </w:r>
      </w:hyperlink>
      <w:r w:rsidRPr="0037579E">
        <w:rPr>
          <w:sz w:val="18"/>
          <w:szCs w:val="18"/>
        </w:rPr>
        <w:t xml:space="preserve"> (accessed 13 July 2021)</w:t>
      </w:r>
    </w:p>
  </w:footnote>
  <w:footnote w:id="48">
    <w:p w14:paraId="5A8E7172" w14:textId="77777777" w:rsidR="00BD1D88" w:rsidRPr="00F60C50" w:rsidRDefault="00BD1D88" w:rsidP="004D151D">
      <w:pPr>
        <w:pStyle w:val="FootnoteText"/>
        <w:rPr>
          <w:sz w:val="18"/>
          <w:szCs w:val="18"/>
        </w:rPr>
      </w:pPr>
      <w:r w:rsidRPr="00F60C50">
        <w:rPr>
          <w:rStyle w:val="FootnoteReference"/>
          <w:sz w:val="18"/>
          <w:szCs w:val="18"/>
        </w:rPr>
        <w:footnoteRef/>
      </w:r>
      <w:r w:rsidRPr="00F60C50">
        <w:rPr>
          <w:sz w:val="18"/>
          <w:szCs w:val="18"/>
        </w:rPr>
        <w:t xml:space="preserve"> Joyce, S. (2019) </w:t>
      </w:r>
      <w:r w:rsidRPr="00F60C50">
        <w:rPr>
          <w:i/>
          <w:iCs/>
          <w:sz w:val="18"/>
          <w:szCs w:val="18"/>
        </w:rPr>
        <w:t>Strengthening Skills: An expert review of Australia’s vocational education and training system</w:t>
      </w:r>
      <w:r w:rsidRPr="00F60C50">
        <w:rPr>
          <w:sz w:val="18"/>
          <w:szCs w:val="18"/>
        </w:rPr>
        <w:t>, Commonwealth of Australia</w:t>
      </w:r>
    </w:p>
  </w:footnote>
  <w:footnote w:id="49">
    <w:p w14:paraId="25A2FD27" w14:textId="77777777" w:rsidR="00BD1D88" w:rsidRPr="0033040A" w:rsidRDefault="00BD1D88">
      <w:pPr>
        <w:pStyle w:val="FootnoteText"/>
        <w:rPr>
          <w:sz w:val="18"/>
          <w:szCs w:val="18"/>
        </w:rPr>
      </w:pPr>
      <w:r w:rsidRPr="0033040A">
        <w:rPr>
          <w:rStyle w:val="FootnoteReference"/>
          <w:sz w:val="18"/>
          <w:szCs w:val="18"/>
        </w:rPr>
        <w:footnoteRef/>
      </w:r>
      <w:r w:rsidRPr="0033040A">
        <w:rPr>
          <w:sz w:val="18"/>
          <w:szCs w:val="18"/>
        </w:rPr>
        <w:t xml:space="preserve"> </w:t>
      </w:r>
      <w:r w:rsidRPr="009E0DCA">
        <w:rPr>
          <w:sz w:val="18"/>
          <w:szCs w:val="18"/>
        </w:rPr>
        <w:t>Program data as at 28 February 2022.</w:t>
      </w:r>
      <w:r w:rsidRPr="0033040A">
        <w:rPr>
          <w:sz w:val="18"/>
          <w:szCs w:val="18"/>
        </w:rPr>
        <w:t xml:space="preserve"> </w:t>
      </w:r>
    </w:p>
  </w:footnote>
  <w:footnote w:id="50">
    <w:p w14:paraId="78D699BB" w14:textId="77777777" w:rsidR="00BD1D88" w:rsidRPr="0037579E" w:rsidRDefault="00BD1D88" w:rsidP="004D151D">
      <w:pPr>
        <w:pStyle w:val="FootnoteText"/>
        <w:rPr>
          <w:rFonts w:cs="Arial"/>
          <w:sz w:val="18"/>
          <w:szCs w:val="18"/>
        </w:rPr>
      </w:pPr>
      <w:r w:rsidRPr="0037579E">
        <w:rPr>
          <w:rStyle w:val="FootnoteReference"/>
          <w:sz w:val="18"/>
          <w:szCs w:val="18"/>
        </w:rPr>
        <w:footnoteRef/>
      </w:r>
      <w:r w:rsidRPr="0037579E">
        <w:rPr>
          <w:sz w:val="18"/>
          <w:szCs w:val="18"/>
        </w:rPr>
        <w:t xml:space="preserve"> Productivity Commission (2020) </w:t>
      </w:r>
      <w:r w:rsidRPr="0037579E">
        <w:rPr>
          <w:rFonts w:cs="Arial"/>
          <w:i/>
          <w:iCs/>
          <w:sz w:val="18"/>
          <w:szCs w:val="18"/>
        </w:rPr>
        <w:t>National Agreement for Skills and Workforce Development Review</w:t>
      </w:r>
      <w:r w:rsidRPr="0037579E">
        <w:rPr>
          <w:rFonts w:cs="Arial"/>
          <w:sz w:val="18"/>
          <w:szCs w:val="18"/>
        </w:rPr>
        <w:t xml:space="preserve">, </w:t>
      </w:r>
      <w:hyperlink r:id="rId33" w:history="1">
        <w:r w:rsidRPr="0037579E">
          <w:rPr>
            <w:rStyle w:val="Hyperlink"/>
            <w:rFonts w:cs="Arial"/>
            <w:sz w:val="18"/>
            <w:szCs w:val="18"/>
          </w:rPr>
          <w:t>www.pc.gov.au</w:t>
        </w:r>
      </w:hyperlink>
      <w:r w:rsidRPr="0037579E">
        <w:rPr>
          <w:sz w:val="18"/>
          <w:szCs w:val="18"/>
        </w:rPr>
        <w:t xml:space="preserve"> (accessed 23 June 2021)</w:t>
      </w:r>
    </w:p>
  </w:footnote>
  <w:footnote w:id="51">
    <w:p w14:paraId="5BD48F98" w14:textId="77777777" w:rsidR="00BD1D88" w:rsidRDefault="00BD1D88">
      <w:pPr>
        <w:pStyle w:val="FootnoteText"/>
      </w:pPr>
      <w:r w:rsidRPr="0037579E">
        <w:rPr>
          <w:rStyle w:val="FootnoteReference"/>
          <w:sz w:val="18"/>
          <w:szCs w:val="18"/>
        </w:rPr>
        <w:footnoteRef/>
      </w:r>
      <w:r w:rsidRPr="0037579E">
        <w:rPr>
          <w:sz w:val="18"/>
          <w:szCs w:val="18"/>
        </w:rPr>
        <w:t xml:space="preserve"> </w:t>
      </w:r>
      <w:r w:rsidRPr="0037579E">
        <w:rPr>
          <w:rStyle w:val="normaltextrun"/>
          <w:rFonts w:cs="Arial"/>
          <w:color w:val="000000"/>
          <w:sz w:val="18"/>
          <w:szCs w:val="18"/>
          <w:shd w:val="clear" w:color="auto" w:fill="FFFFFF"/>
        </w:rPr>
        <w:t>Deloitte Access Economics (2012) </w:t>
      </w:r>
      <w:r w:rsidRPr="0037579E">
        <w:rPr>
          <w:rStyle w:val="normaltextrun"/>
          <w:rFonts w:cs="Arial"/>
          <w:i/>
          <w:color w:val="000000"/>
          <w:sz w:val="18"/>
          <w:szCs w:val="18"/>
          <w:shd w:val="clear" w:color="auto" w:fill="FFFFFF"/>
        </w:rPr>
        <w:t>Econometric Analysis of the Australian Apprenticeships Incentives Program </w:t>
      </w:r>
      <w:r w:rsidRPr="0037579E">
        <w:rPr>
          <w:rStyle w:val="normaltextrun"/>
          <w:rFonts w:cs="Arial"/>
          <w:color w:val="000000"/>
          <w:sz w:val="18"/>
          <w:szCs w:val="18"/>
          <w:shd w:val="clear" w:color="auto" w:fill="FFFFFF"/>
        </w:rPr>
        <w:t>(accessed 16 March 2022)</w:t>
      </w:r>
    </w:p>
  </w:footnote>
  <w:footnote w:id="52">
    <w:p w14:paraId="0495B362" w14:textId="77777777" w:rsidR="00BD1D88" w:rsidRPr="001A6468" w:rsidRDefault="00BD1D88" w:rsidP="001A6468">
      <w:pPr>
        <w:pStyle w:val="EndnoteText"/>
        <w:rPr>
          <w:rFonts w:cstheme="minorHAnsi"/>
          <w:sz w:val="18"/>
          <w:szCs w:val="18"/>
        </w:rPr>
      </w:pPr>
      <w:r w:rsidRPr="001A6468">
        <w:rPr>
          <w:rStyle w:val="FootnoteReference"/>
          <w:sz w:val="18"/>
          <w:szCs w:val="18"/>
        </w:rPr>
        <w:footnoteRef/>
      </w:r>
      <w:r w:rsidRPr="001A6468">
        <w:rPr>
          <w:sz w:val="18"/>
          <w:szCs w:val="18"/>
        </w:rPr>
        <w:t xml:space="preserve"> </w:t>
      </w:r>
      <w:r w:rsidRPr="00336D8E">
        <w:rPr>
          <w:rFonts w:cstheme="minorHAnsi"/>
          <w:sz w:val="18"/>
          <w:szCs w:val="18"/>
        </w:rPr>
        <w:t xml:space="preserve">Organisation for Economic Compensation and Development (OECD) </w:t>
      </w:r>
      <w:r w:rsidRPr="00336D8E">
        <w:rPr>
          <w:rFonts w:cstheme="minorHAnsi"/>
          <w:i/>
          <w:sz w:val="18"/>
          <w:szCs w:val="18"/>
        </w:rPr>
        <w:t>Seven Questions about Apprenticeships: Answers from International Experience,</w:t>
      </w:r>
      <w:r w:rsidRPr="00336D8E">
        <w:rPr>
          <w:rFonts w:cstheme="minorHAnsi"/>
          <w:sz w:val="18"/>
          <w:szCs w:val="18"/>
        </w:rPr>
        <w:t xml:space="preserve"> OECD Reviews of Vocational Education and Training, OECD Publishing, Paris (accessed 18 March 2022)</w:t>
      </w:r>
    </w:p>
    <w:p w14:paraId="7E0F5F0F" w14:textId="77777777" w:rsidR="00BD1D88" w:rsidRDefault="00BD1D88">
      <w:pPr>
        <w:pStyle w:val="FootnoteText"/>
      </w:pPr>
    </w:p>
  </w:footnote>
  <w:footnote w:id="53">
    <w:p w14:paraId="2EBEC5F3" w14:textId="77777777" w:rsidR="00BD1D88" w:rsidRDefault="00BD1D88" w:rsidP="00E72B5E">
      <w:pPr>
        <w:pStyle w:val="FootnoteText"/>
      </w:pPr>
      <w:r>
        <w:rPr>
          <w:rStyle w:val="FootnoteReference"/>
        </w:rPr>
        <w:footnoteRef/>
      </w:r>
      <w:r>
        <w:t xml:space="preserve"> </w:t>
      </w:r>
      <w:r w:rsidRPr="00090583">
        <w:rPr>
          <w:sz w:val="18"/>
          <w:szCs w:val="18"/>
        </w:rPr>
        <w:t xml:space="preserve">Productivity Commission (2020) </w:t>
      </w:r>
      <w:r w:rsidRPr="003C326E">
        <w:rPr>
          <w:i/>
          <w:iCs/>
          <w:sz w:val="18"/>
          <w:szCs w:val="18"/>
        </w:rPr>
        <w:t>National Agreement for Skills and Workforce Development Review</w:t>
      </w:r>
      <w:r w:rsidRPr="00090583">
        <w:rPr>
          <w:sz w:val="18"/>
          <w:szCs w:val="18"/>
        </w:rPr>
        <w:t xml:space="preserve">, </w:t>
      </w:r>
      <w:hyperlink r:id="rId34" w:history="1">
        <w:r w:rsidRPr="00090583">
          <w:rPr>
            <w:sz w:val="18"/>
            <w:szCs w:val="18"/>
          </w:rPr>
          <w:t>www.pc.gov.au</w:t>
        </w:r>
      </w:hyperlink>
      <w:r w:rsidRPr="00090583">
        <w:rPr>
          <w:sz w:val="18"/>
          <w:szCs w:val="18"/>
        </w:rPr>
        <w:t xml:space="preserve"> (accessed 23 June 2021)</w:t>
      </w:r>
    </w:p>
    <w:p w14:paraId="67BCCCB9" w14:textId="77777777" w:rsidR="00BD1D88" w:rsidRDefault="00BD1D88" w:rsidP="00E72B5E">
      <w:pPr>
        <w:pStyle w:val="FootnoteText"/>
      </w:pPr>
    </w:p>
  </w:footnote>
  <w:footnote w:id="54">
    <w:p w14:paraId="5106C00E" w14:textId="77777777" w:rsidR="00BD1D88" w:rsidRDefault="00BD1D88" w:rsidP="00AB5E7F">
      <w:pPr>
        <w:pStyle w:val="FootnoteText"/>
      </w:pPr>
      <w:r w:rsidRPr="007109B0">
        <w:rPr>
          <w:rStyle w:val="FootnoteReference"/>
          <w:sz w:val="18"/>
          <w:szCs w:val="18"/>
        </w:rPr>
        <w:footnoteRef/>
      </w:r>
      <w:r w:rsidRPr="007109B0">
        <w:rPr>
          <w:sz w:val="18"/>
          <w:szCs w:val="18"/>
        </w:rPr>
        <w:t xml:space="preserve"> </w:t>
      </w:r>
      <w:r w:rsidRPr="00CA2478">
        <w:rPr>
          <w:sz w:val="18"/>
          <w:szCs w:val="18"/>
        </w:rPr>
        <w:t xml:space="preserve">NCVER (2021) </w:t>
      </w:r>
      <w:r w:rsidRPr="003C326E">
        <w:rPr>
          <w:i/>
          <w:iCs/>
          <w:sz w:val="18"/>
          <w:szCs w:val="18"/>
        </w:rPr>
        <w:t>Issues in apprenticeships and traineeships – a research synthesis</w:t>
      </w:r>
      <w:r w:rsidRPr="00CA2478">
        <w:rPr>
          <w:sz w:val="18"/>
          <w:szCs w:val="18"/>
        </w:rPr>
        <w:t xml:space="preserve">, </w:t>
      </w:r>
      <w:hyperlink r:id="rId35" w:history="1">
        <w:r w:rsidRPr="00CA2478">
          <w:rPr>
            <w:rStyle w:val="Hyperlink"/>
            <w:sz w:val="18"/>
            <w:szCs w:val="18"/>
          </w:rPr>
          <w:t>www.ncver.edu.au</w:t>
        </w:r>
      </w:hyperlink>
      <w:r w:rsidRPr="00CA2478">
        <w:rPr>
          <w:sz w:val="18"/>
          <w:szCs w:val="18"/>
        </w:rPr>
        <w:t xml:space="preserve"> (accessed 27 January 2022).</w:t>
      </w:r>
    </w:p>
  </w:footnote>
  <w:footnote w:id="55">
    <w:p w14:paraId="0B02B3AE" w14:textId="77777777" w:rsidR="00BD1D88" w:rsidRPr="00126929" w:rsidRDefault="00BD1D88">
      <w:pPr>
        <w:pStyle w:val="FootnoteText"/>
        <w:rPr>
          <w:sz w:val="18"/>
          <w:szCs w:val="18"/>
        </w:rPr>
      </w:pPr>
      <w:r w:rsidRPr="00126929">
        <w:rPr>
          <w:rStyle w:val="FootnoteReference"/>
          <w:sz w:val="18"/>
          <w:szCs w:val="18"/>
        </w:rPr>
        <w:footnoteRef/>
      </w:r>
      <w:r w:rsidRPr="00126929">
        <w:rPr>
          <w:sz w:val="18"/>
          <w:szCs w:val="18"/>
        </w:rPr>
        <w:t xml:space="preserve"> </w:t>
      </w:r>
      <w:r>
        <w:rPr>
          <w:rFonts w:cs="Arial"/>
          <w:sz w:val="18"/>
          <w:szCs w:val="18"/>
        </w:rPr>
        <w:t xml:space="preserve">Internal Department data, unpublished </w:t>
      </w:r>
      <w:r w:rsidRPr="006E7A9B">
        <w:rPr>
          <w:rFonts w:cs="Arial"/>
          <w:sz w:val="18"/>
          <w:szCs w:val="18"/>
        </w:rPr>
        <w:t xml:space="preserve"> </w:t>
      </w:r>
      <w:r w:rsidRPr="00126929">
        <w:rPr>
          <w:sz w:val="18"/>
          <w:szCs w:val="18"/>
        </w:rPr>
        <w:t xml:space="preserve"> </w:t>
      </w:r>
    </w:p>
  </w:footnote>
  <w:footnote w:id="56">
    <w:p w14:paraId="01B3BE7B" w14:textId="77777777" w:rsidR="00BD1D88" w:rsidRPr="00724BE9" w:rsidRDefault="00BD1D88" w:rsidP="00CA2478">
      <w:pPr>
        <w:pStyle w:val="FootnoteText"/>
        <w:rPr>
          <w:sz w:val="18"/>
          <w:szCs w:val="18"/>
        </w:rPr>
      </w:pPr>
      <w:r w:rsidRPr="007109B0">
        <w:rPr>
          <w:sz w:val="18"/>
          <w:szCs w:val="18"/>
          <w:vertAlign w:val="superscript"/>
        </w:rPr>
        <w:footnoteRef/>
      </w:r>
      <w:r w:rsidRPr="007109B0">
        <w:rPr>
          <w:sz w:val="18"/>
          <w:szCs w:val="18"/>
          <w:vertAlign w:val="superscript"/>
        </w:rPr>
        <w:t xml:space="preserve"> </w:t>
      </w:r>
      <w:r w:rsidRPr="00724BE9">
        <w:rPr>
          <w:sz w:val="18"/>
          <w:szCs w:val="18"/>
        </w:rPr>
        <w:t xml:space="preserve">NCVER (October 2021) </w:t>
      </w:r>
      <w:r w:rsidRPr="003C326E">
        <w:rPr>
          <w:i/>
          <w:iCs/>
          <w:sz w:val="18"/>
          <w:szCs w:val="18"/>
        </w:rPr>
        <w:t>Apprentices and trainees – March quarter 2021</w:t>
      </w:r>
      <w:r w:rsidRPr="00724BE9">
        <w:rPr>
          <w:sz w:val="18"/>
          <w:szCs w:val="18"/>
        </w:rPr>
        <w:t xml:space="preserve">, </w:t>
      </w:r>
      <w:hyperlink r:id="rId36" w:history="1">
        <w:r w:rsidRPr="00724BE9">
          <w:rPr>
            <w:sz w:val="18"/>
            <w:szCs w:val="18"/>
          </w:rPr>
          <w:t>www.ncver.edu.au</w:t>
        </w:r>
      </w:hyperlink>
      <w:r w:rsidRPr="00724BE9">
        <w:rPr>
          <w:sz w:val="18"/>
          <w:szCs w:val="18"/>
        </w:rPr>
        <w:t xml:space="preserve"> (accessed 1 November 2021)</w:t>
      </w:r>
    </w:p>
  </w:footnote>
  <w:footnote w:id="57">
    <w:p w14:paraId="679F24DC" w14:textId="77777777" w:rsidR="00BD1D88" w:rsidRPr="003F1199" w:rsidRDefault="00BD1D88" w:rsidP="000B0360">
      <w:pPr>
        <w:pStyle w:val="FootnoteText"/>
      </w:pPr>
      <w:r w:rsidRPr="003304FF">
        <w:rPr>
          <w:sz w:val="18"/>
          <w:szCs w:val="18"/>
          <w:vertAlign w:val="superscript"/>
        </w:rPr>
        <w:footnoteRef/>
      </w:r>
      <w:r w:rsidRPr="003304FF">
        <w:rPr>
          <w:sz w:val="18"/>
          <w:szCs w:val="18"/>
          <w:vertAlign w:val="superscript"/>
        </w:rPr>
        <w:t xml:space="preserve"> </w:t>
      </w:r>
      <w:r w:rsidRPr="000F15DA">
        <w:rPr>
          <w:sz w:val="18"/>
          <w:szCs w:val="18"/>
        </w:rPr>
        <w:t>Australian Bureau of Statistics</w:t>
      </w:r>
      <w:r>
        <w:rPr>
          <w:sz w:val="18"/>
          <w:szCs w:val="18"/>
        </w:rPr>
        <w:t xml:space="preserve"> (2022)</w:t>
      </w:r>
      <w:r w:rsidRPr="000F15DA">
        <w:rPr>
          <w:sz w:val="18"/>
          <w:szCs w:val="18"/>
        </w:rPr>
        <w:t xml:space="preserve"> </w:t>
      </w:r>
      <w:r w:rsidRPr="003F1199">
        <w:rPr>
          <w:i/>
          <w:iCs/>
          <w:sz w:val="18"/>
          <w:szCs w:val="18"/>
        </w:rPr>
        <w:t xml:space="preserve">Labour Force, Australia – </w:t>
      </w:r>
      <w:r>
        <w:rPr>
          <w:i/>
          <w:iCs/>
          <w:sz w:val="18"/>
          <w:szCs w:val="18"/>
        </w:rPr>
        <w:t>February</w:t>
      </w:r>
      <w:r w:rsidRPr="003F1199">
        <w:rPr>
          <w:i/>
          <w:iCs/>
          <w:sz w:val="18"/>
          <w:szCs w:val="18"/>
        </w:rPr>
        <w:t xml:space="preserve"> 202</w:t>
      </w:r>
      <w:r>
        <w:rPr>
          <w:i/>
          <w:iCs/>
          <w:sz w:val="18"/>
          <w:szCs w:val="18"/>
        </w:rPr>
        <w:t>2</w:t>
      </w:r>
      <w:r w:rsidRPr="003F1199">
        <w:rPr>
          <w:i/>
          <w:iCs/>
          <w:sz w:val="18"/>
          <w:szCs w:val="18"/>
        </w:rPr>
        <w:t xml:space="preserve"> Release</w:t>
      </w:r>
      <w:r>
        <w:rPr>
          <w:i/>
          <w:iCs/>
          <w:sz w:val="18"/>
          <w:szCs w:val="18"/>
        </w:rPr>
        <w:t xml:space="preserve"> </w:t>
      </w:r>
      <w:r>
        <w:rPr>
          <w:sz w:val="18"/>
          <w:szCs w:val="18"/>
        </w:rPr>
        <w:t>(accessed 22 March 2022)</w:t>
      </w:r>
    </w:p>
  </w:footnote>
  <w:footnote w:id="58">
    <w:p w14:paraId="5F560442" w14:textId="77777777" w:rsidR="00BD1D88" w:rsidRPr="000F15DA" w:rsidRDefault="00BD1D88" w:rsidP="00D9157A">
      <w:pPr>
        <w:pStyle w:val="FootnoteText"/>
        <w:rPr>
          <w:sz w:val="18"/>
          <w:szCs w:val="18"/>
        </w:rPr>
      </w:pPr>
      <w:r w:rsidRPr="00F12C22">
        <w:rPr>
          <w:sz w:val="18"/>
          <w:szCs w:val="18"/>
          <w:vertAlign w:val="superscript"/>
        </w:rPr>
        <w:footnoteRef/>
      </w:r>
      <w:r w:rsidRPr="000F15DA">
        <w:rPr>
          <w:sz w:val="18"/>
          <w:szCs w:val="18"/>
        </w:rPr>
        <w:t xml:space="preserve"> NCVER (October 2021) </w:t>
      </w:r>
      <w:r w:rsidRPr="003F1199">
        <w:rPr>
          <w:i/>
          <w:iCs/>
          <w:sz w:val="18"/>
          <w:szCs w:val="18"/>
        </w:rPr>
        <w:t>Apprentices and trainees – March quarter 2021</w:t>
      </w:r>
      <w:r w:rsidRPr="000F15DA">
        <w:rPr>
          <w:sz w:val="18"/>
          <w:szCs w:val="18"/>
        </w:rPr>
        <w:t xml:space="preserve">, </w:t>
      </w:r>
      <w:hyperlink r:id="rId37" w:history="1">
        <w:r w:rsidRPr="000F15DA">
          <w:rPr>
            <w:sz w:val="18"/>
            <w:szCs w:val="18"/>
          </w:rPr>
          <w:t>www.ncver.edu.au</w:t>
        </w:r>
      </w:hyperlink>
      <w:r w:rsidRPr="000F15DA">
        <w:rPr>
          <w:sz w:val="18"/>
          <w:szCs w:val="18"/>
        </w:rPr>
        <w:t xml:space="preserve"> (accessed 1 November 2021)</w:t>
      </w:r>
    </w:p>
  </w:footnote>
  <w:footnote w:id="59">
    <w:p w14:paraId="01EE3DE2" w14:textId="77777777" w:rsidR="00BD1D88" w:rsidRPr="000F15DA" w:rsidRDefault="00BD1D88" w:rsidP="008E7EA5">
      <w:pPr>
        <w:pStyle w:val="FootnoteText"/>
        <w:rPr>
          <w:sz w:val="18"/>
          <w:szCs w:val="18"/>
        </w:rPr>
      </w:pPr>
      <w:r w:rsidRPr="000F15DA">
        <w:rPr>
          <w:rStyle w:val="FootnoteReference"/>
          <w:sz w:val="18"/>
          <w:szCs w:val="18"/>
        </w:rPr>
        <w:footnoteRef/>
      </w:r>
      <w:r w:rsidRPr="000F15DA">
        <w:rPr>
          <w:sz w:val="18"/>
          <w:szCs w:val="18"/>
        </w:rPr>
        <w:t xml:space="preserve"> </w:t>
      </w:r>
      <w:r w:rsidRPr="000F15DA">
        <w:rPr>
          <w:rStyle w:val="normaltextrun"/>
          <w:rFonts w:cs="Arial"/>
          <w:color w:val="000000"/>
          <w:sz w:val="18"/>
          <w:szCs w:val="18"/>
          <w:shd w:val="clear" w:color="auto" w:fill="FFFFFF"/>
        </w:rPr>
        <w:t>Deloitte Access Economics</w:t>
      </w:r>
      <w:r w:rsidRPr="000F15DA">
        <w:rPr>
          <w:rStyle w:val="normaltextrun"/>
          <w:rFonts w:cs="Arial"/>
          <w:i/>
          <w:iCs/>
          <w:color w:val="000000"/>
          <w:sz w:val="18"/>
          <w:szCs w:val="18"/>
          <w:shd w:val="clear" w:color="auto" w:fill="FFFFFF"/>
        </w:rPr>
        <w:t> </w:t>
      </w:r>
      <w:r w:rsidRPr="000F15DA">
        <w:rPr>
          <w:rStyle w:val="normaltextrun"/>
          <w:rFonts w:cs="Arial"/>
          <w:color w:val="000000"/>
          <w:sz w:val="18"/>
          <w:szCs w:val="18"/>
          <w:shd w:val="clear" w:color="auto" w:fill="FFFFFF"/>
        </w:rPr>
        <w:t xml:space="preserve">(2012), </w:t>
      </w:r>
      <w:r w:rsidRPr="000F15DA">
        <w:rPr>
          <w:rStyle w:val="normaltextrun"/>
          <w:rFonts w:cs="Arial"/>
          <w:i/>
          <w:iCs/>
          <w:color w:val="000000"/>
          <w:sz w:val="18"/>
          <w:szCs w:val="18"/>
          <w:shd w:val="clear" w:color="auto" w:fill="FFFFFF"/>
        </w:rPr>
        <w:t>Econometric Analysis of the Australian Apprenticeships Incentives Program</w:t>
      </w:r>
      <w:r w:rsidRPr="000F15DA">
        <w:rPr>
          <w:rStyle w:val="normaltextrun"/>
          <w:rFonts w:cs="Arial"/>
          <w:color w:val="000000"/>
          <w:sz w:val="18"/>
          <w:szCs w:val="18"/>
          <w:shd w:val="clear" w:color="auto" w:fill="FFFFFF"/>
        </w:rPr>
        <w:t xml:space="preserve">. </w:t>
      </w:r>
    </w:p>
  </w:footnote>
  <w:footnote w:id="60">
    <w:p w14:paraId="2BC8BBC7" w14:textId="77777777" w:rsidR="00BD1D88" w:rsidRDefault="00BD1D88" w:rsidP="0044034E">
      <w:pPr>
        <w:spacing w:after="0"/>
        <w:rPr>
          <w:sz w:val="18"/>
          <w:szCs w:val="18"/>
        </w:rPr>
      </w:pPr>
      <w:r w:rsidRPr="00F60C50">
        <w:rPr>
          <w:rStyle w:val="FootnoteReference"/>
          <w:rFonts w:ascii="Arial" w:hAnsi="Arial" w:cs="Arial"/>
          <w:sz w:val="18"/>
          <w:szCs w:val="18"/>
        </w:rPr>
        <w:footnoteRef/>
      </w:r>
      <w:r w:rsidRPr="00F60C50">
        <w:rPr>
          <w:rFonts w:ascii="Arial" w:hAnsi="Arial" w:cs="Arial"/>
          <w:sz w:val="18"/>
          <w:szCs w:val="18"/>
        </w:rPr>
        <w:t xml:space="preserve"> </w:t>
      </w:r>
      <w:r w:rsidRPr="00F60C50">
        <w:rPr>
          <w:rFonts w:ascii="Arial" w:hAnsi="Arial" w:cs="Arial"/>
          <w:sz w:val="18"/>
          <w:szCs w:val="18"/>
          <w:lang w:eastAsia="en-AU"/>
        </w:rPr>
        <w:t>Australian Bureau of Statistics</w:t>
      </w:r>
      <w:r>
        <w:rPr>
          <w:rFonts w:ascii="Arial" w:hAnsi="Arial" w:cs="Arial"/>
          <w:sz w:val="18"/>
          <w:szCs w:val="18"/>
          <w:lang w:eastAsia="en-AU"/>
        </w:rPr>
        <w:t xml:space="preserve"> (</w:t>
      </w:r>
      <w:r w:rsidRPr="008D13FB">
        <w:rPr>
          <w:rFonts w:ascii="Arial" w:hAnsi="Arial" w:cs="Arial"/>
          <w:sz w:val="18"/>
          <w:szCs w:val="18"/>
        </w:rPr>
        <w:t xml:space="preserve">2022) </w:t>
      </w:r>
      <w:r w:rsidRPr="008D13FB">
        <w:rPr>
          <w:rFonts w:ascii="Arial" w:hAnsi="Arial" w:cs="Arial"/>
          <w:i/>
          <w:iCs/>
          <w:sz w:val="18"/>
          <w:szCs w:val="18"/>
        </w:rPr>
        <w:t xml:space="preserve">Labour Force, Australia – February 2022 Release </w:t>
      </w:r>
      <w:r w:rsidRPr="008D13FB">
        <w:rPr>
          <w:rFonts w:ascii="Arial" w:hAnsi="Arial" w:cs="Arial"/>
          <w:sz w:val="18"/>
          <w:szCs w:val="18"/>
        </w:rPr>
        <w:t>(accessed 22 March 2022)</w:t>
      </w:r>
    </w:p>
  </w:footnote>
  <w:footnote w:id="61">
    <w:p w14:paraId="4ED88F5F" w14:textId="77777777" w:rsidR="00BD1D88" w:rsidRPr="000F15DA" w:rsidRDefault="00BD1D88" w:rsidP="00A3776F">
      <w:pPr>
        <w:pStyle w:val="FootnoteText"/>
        <w:rPr>
          <w:sz w:val="18"/>
          <w:szCs w:val="18"/>
        </w:rPr>
      </w:pPr>
      <w:r w:rsidRPr="000F15DA">
        <w:rPr>
          <w:rStyle w:val="FootnoteReference"/>
          <w:sz w:val="18"/>
          <w:szCs w:val="18"/>
        </w:rPr>
        <w:footnoteRef/>
      </w:r>
      <w:r w:rsidRPr="000F15DA">
        <w:rPr>
          <w:sz w:val="18"/>
          <w:szCs w:val="18"/>
        </w:rPr>
        <w:t xml:space="preserve"> NCVER (October 2021) </w:t>
      </w:r>
      <w:r w:rsidRPr="00D74BAD">
        <w:rPr>
          <w:i/>
          <w:iCs/>
          <w:sz w:val="18"/>
          <w:szCs w:val="18"/>
        </w:rPr>
        <w:t>Apprentices and trainees – March quarter 2021</w:t>
      </w:r>
      <w:r w:rsidRPr="000F15DA">
        <w:rPr>
          <w:sz w:val="18"/>
          <w:szCs w:val="18"/>
        </w:rPr>
        <w:t xml:space="preserve">, </w:t>
      </w:r>
      <w:hyperlink r:id="rId38" w:history="1">
        <w:r w:rsidRPr="000F15DA">
          <w:rPr>
            <w:sz w:val="18"/>
            <w:szCs w:val="18"/>
          </w:rPr>
          <w:t>www.ncver.edu.au</w:t>
        </w:r>
      </w:hyperlink>
      <w:r w:rsidRPr="000F15DA">
        <w:rPr>
          <w:sz w:val="18"/>
          <w:szCs w:val="18"/>
        </w:rPr>
        <w:t xml:space="preserve"> (accessed 1 November 2021)</w:t>
      </w:r>
    </w:p>
  </w:footnote>
  <w:footnote w:id="62">
    <w:p w14:paraId="65010454" w14:textId="77777777" w:rsidR="00BD1D88" w:rsidRDefault="00BD1D88">
      <w:pPr>
        <w:pStyle w:val="FootnoteText"/>
      </w:pPr>
      <w:r w:rsidRPr="00F12C22">
        <w:rPr>
          <w:rStyle w:val="FootnoteReference"/>
        </w:rPr>
        <w:footnoteRef/>
      </w:r>
      <w:r w:rsidRPr="00F12C22">
        <w:t xml:space="preserve"> </w:t>
      </w:r>
      <w:r w:rsidRPr="00F12C22">
        <w:rPr>
          <w:rStyle w:val="normaltextrun"/>
          <w:rFonts w:cs="Arial"/>
          <w:color w:val="000000"/>
          <w:sz w:val="18"/>
          <w:szCs w:val="18"/>
          <w:shd w:val="clear" w:color="auto" w:fill="FFFFFF"/>
        </w:rPr>
        <w:t>Deloitte Access Economics (2012) </w:t>
      </w:r>
      <w:r w:rsidRPr="00F12C22">
        <w:rPr>
          <w:rStyle w:val="normaltextrun"/>
          <w:rFonts w:cs="Arial"/>
          <w:i/>
          <w:color w:val="000000"/>
          <w:sz w:val="18"/>
          <w:szCs w:val="18"/>
          <w:shd w:val="clear" w:color="auto" w:fill="FFFFFF"/>
        </w:rPr>
        <w:t>Econometric Analysis of the Australian Apprenticeships Incentives Program </w:t>
      </w:r>
      <w:r w:rsidRPr="00F12C22">
        <w:rPr>
          <w:rStyle w:val="normaltextrun"/>
          <w:rFonts w:cs="Arial"/>
          <w:color w:val="000000"/>
          <w:sz w:val="18"/>
          <w:szCs w:val="18"/>
          <w:shd w:val="clear" w:color="auto" w:fill="FFFFFF"/>
        </w:rPr>
        <w:t>(accessed 16 March 2022)</w:t>
      </w:r>
    </w:p>
  </w:footnote>
  <w:footnote w:id="63">
    <w:p w14:paraId="730FFC07" w14:textId="77777777" w:rsidR="00BD1D88" w:rsidRPr="003D30F9" w:rsidDel="006A00B3" w:rsidRDefault="00BD1D88" w:rsidP="00BA7310">
      <w:pPr>
        <w:pStyle w:val="FootnoteText"/>
        <w:rPr>
          <w:sz w:val="18"/>
          <w:szCs w:val="18"/>
        </w:rPr>
      </w:pPr>
      <w:r w:rsidRPr="003D30F9" w:rsidDel="006A00B3">
        <w:rPr>
          <w:rStyle w:val="FootnoteReference"/>
          <w:sz w:val="18"/>
          <w:szCs w:val="18"/>
        </w:rPr>
        <w:footnoteRef/>
      </w:r>
      <w:r w:rsidRPr="003D30F9" w:rsidDel="006A00B3">
        <w:rPr>
          <w:sz w:val="18"/>
          <w:szCs w:val="18"/>
        </w:rPr>
        <w:t xml:space="preserve"> NCVER (January 2022) </w:t>
      </w:r>
      <w:r w:rsidRPr="003D30F9" w:rsidDel="006A00B3">
        <w:rPr>
          <w:i/>
          <w:sz w:val="18"/>
          <w:szCs w:val="18"/>
        </w:rPr>
        <w:t>Apprentices and trainees 2021 – June quarter</w:t>
      </w:r>
      <w:r w:rsidRPr="003D30F9" w:rsidDel="006A00B3">
        <w:rPr>
          <w:sz w:val="18"/>
          <w:szCs w:val="18"/>
        </w:rPr>
        <w:t xml:space="preserve">, </w:t>
      </w:r>
      <w:hyperlink r:id="rId39">
        <w:r w:rsidRPr="003D30F9" w:rsidDel="006A00B3">
          <w:rPr>
            <w:rStyle w:val="Hyperlink"/>
            <w:sz w:val="18"/>
            <w:szCs w:val="18"/>
          </w:rPr>
          <w:t>www.ncver.edu.au</w:t>
        </w:r>
      </w:hyperlink>
      <w:r w:rsidRPr="003D30F9" w:rsidDel="006A00B3">
        <w:rPr>
          <w:sz w:val="18"/>
          <w:szCs w:val="18"/>
        </w:rPr>
        <w:t xml:space="preserve"> (accessed 19 January 2022).</w:t>
      </w:r>
    </w:p>
  </w:footnote>
  <w:footnote w:id="64">
    <w:p w14:paraId="47449FDD" w14:textId="77777777" w:rsidR="00BD1D88" w:rsidRPr="003D30F9" w:rsidDel="006A00B3" w:rsidRDefault="00BD1D88" w:rsidP="00BA7310">
      <w:pPr>
        <w:pStyle w:val="FootnoteText"/>
        <w:rPr>
          <w:sz w:val="18"/>
          <w:szCs w:val="18"/>
        </w:rPr>
      </w:pPr>
      <w:r w:rsidRPr="003D30F9" w:rsidDel="006A00B3">
        <w:rPr>
          <w:rStyle w:val="FootnoteReference"/>
          <w:sz w:val="18"/>
          <w:szCs w:val="18"/>
        </w:rPr>
        <w:footnoteRef/>
      </w:r>
      <w:r w:rsidRPr="003D30F9" w:rsidDel="006A00B3">
        <w:rPr>
          <w:sz w:val="18"/>
          <w:szCs w:val="18"/>
        </w:rPr>
        <w:t xml:space="preserve"> NCVER (January 2022) </w:t>
      </w:r>
      <w:r w:rsidRPr="003D30F9" w:rsidDel="006A00B3">
        <w:rPr>
          <w:i/>
          <w:sz w:val="18"/>
          <w:szCs w:val="18"/>
        </w:rPr>
        <w:t>Apprentices and trainees 2021 – June quarter</w:t>
      </w:r>
      <w:r w:rsidRPr="003D30F9" w:rsidDel="006A00B3">
        <w:rPr>
          <w:sz w:val="18"/>
          <w:szCs w:val="18"/>
        </w:rPr>
        <w:t xml:space="preserve">, </w:t>
      </w:r>
      <w:hyperlink r:id="rId40">
        <w:r w:rsidRPr="003D30F9" w:rsidDel="006A00B3">
          <w:rPr>
            <w:rStyle w:val="Hyperlink"/>
            <w:sz w:val="18"/>
            <w:szCs w:val="18"/>
          </w:rPr>
          <w:t>www.ncver.edu.au</w:t>
        </w:r>
      </w:hyperlink>
      <w:r w:rsidRPr="003D30F9" w:rsidDel="006A00B3">
        <w:rPr>
          <w:sz w:val="18"/>
          <w:szCs w:val="18"/>
        </w:rPr>
        <w:t xml:space="preserve"> (accessed 19 January 2022).</w:t>
      </w:r>
    </w:p>
  </w:footnote>
  <w:footnote w:id="65">
    <w:p w14:paraId="2EB5BCED" w14:textId="77777777" w:rsidR="00BD1D88" w:rsidRPr="0038203C" w:rsidRDefault="00BD1D88" w:rsidP="00BA7310">
      <w:pPr>
        <w:pStyle w:val="FootnoteText"/>
        <w:rPr>
          <w:sz w:val="18"/>
          <w:szCs w:val="18"/>
        </w:rPr>
      </w:pPr>
      <w:r w:rsidRPr="003D30F9" w:rsidDel="006A00B3">
        <w:rPr>
          <w:rStyle w:val="FootnoteReference"/>
          <w:sz w:val="18"/>
          <w:szCs w:val="18"/>
        </w:rPr>
        <w:footnoteRef/>
      </w:r>
      <w:r w:rsidRPr="003D30F9" w:rsidDel="006A00B3">
        <w:rPr>
          <w:sz w:val="18"/>
          <w:szCs w:val="18"/>
        </w:rPr>
        <w:t xml:space="preserve"> NCVER (January 2022) </w:t>
      </w:r>
      <w:r w:rsidRPr="003D30F9" w:rsidDel="006A00B3">
        <w:rPr>
          <w:i/>
          <w:sz w:val="18"/>
          <w:szCs w:val="18"/>
        </w:rPr>
        <w:t>Apprentices and trainees 2021 – June quarter</w:t>
      </w:r>
      <w:r w:rsidRPr="003D30F9" w:rsidDel="006A00B3">
        <w:rPr>
          <w:sz w:val="18"/>
          <w:szCs w:val="18"/>
        </w:rPr>
        <w:t xml:space="preserve">, </w:t>
      </w:r>
      <w:hyperlink r:id="rId41">
        <w:r w:rsidRPr="003D30F9" w:rsidDel="006A00B3">
          <w:rPr>
            <w:rStyle w:val="Hyperlink"/>
            <w:sz w:val="18"/>
            <w:szCs w:val="18"/>
          </w:rPr>
          <w:t>www.ncver.edu.au</w:t>
        </w:r>
      </w:hyperlink>
      <w:r w:rsidRPr="003D30F9" w:rsidDel="006A00B3">
        <w:rPr>
          <w:sz w:val="18"/>
          <w:szCs w:val="18"/>
        </w:rPr>
        <w:t xml:space="preserve"> (accessed 19 January 2022).</w:t>
      </w:r>
    </w:p>
  </w:footnote>
  <w:footnote w:id="66">
    <w:p w14:paraId="0D1D8932" w14:textId="77777777" w:rsidR="00BD1D88" w:rsidRPr="003D30F9" w:rsidRDefault="00BD1D88" w:rsidP="00BA7310">
      <w:pPr>
        <w:pStyle w:val="FootnoteText"/>
        <w:rPr>
          <w:sz w:val="18"/>
          <w:szCs w:val="18"/>
        </w:rPr>
      </w:pPr>
    </w:p>
  </w:footnote>
  <w:footnote w:id="67">
    <w:p w14:paraId="41250660" w14:textId="77777777" w:rsidR="00BD1D88" w:rsidRPr="00A7165B" w:rsidRDefault="00BD1D88">
      <w:pPr>
        <w:pStyle w:val="FootnoteText"/>
        <w:rPr>
          <w:sz w:val="18"/>
          <w:szCs w:val="18"/>
        </w:rPr>
      </w:pPr>
      <w:r w:rsidRPr="00A7165B">
        <w:rPr>
          <w:rStyle w:val="FootnoteReference"/>
          <w:sz w:val="18"/>
          <w:szCs w:val="18"/>
        </w:rPr>
        <w:footnoteRef/>
      </w:r>
      <w:r w:rsidRPr="00A7165B">
        <w:rPr>
          <w:sz w:val="18"/>
          <w:szCs w:val="18"/>
        </w:rPr>
        <w:t xml:space="preserve"> </w:t>
      </w:r>
      <w:r w:rsidRPr="00A7165B" w:rsidDel="006A00B3">
        <w:rPr>
          <w:sz w:val="18"/>
          <w:szCs w:val="18"/>
        </w:rPr>
        <w:t xml:space="preserve">NCVER (January 2022) </w:t>
      </w:r>
      <w:r w:rsidRPr="00A7165B" w:rsidDel="006A00B3">
        <w:rPr>
          <w:i/>
          <w:sz w:val="18"/>
          <w:szCs w:val="18"/>
        </w:rPr>
        <w:t>Apprentices and trainees 2021 – June quarter</w:t>
      </w:r>
      <w:r w:rsidRPr="00A7165B" w:rsidDel="006A00B3">
        <w:rPr>
          <w:sz w:val="18"/>
          <w:szCs w:val="18"/>
        </w:rPr>
        <w:t xml:space="preserve">, </w:t>
      </w:r>
      <w:hyperlink r:id="rId42">
        <w:r w:rsidRPr="00A7165B" w:rsidDel="006A00B3">
          <w:rPr>
            <w:rStyle w:val="Hyperlink"/>
            <w:sz w:val="18"/>
            <w:szCs w:val="18"/>
          </w:rPr>
          <w:t>www.ncver.edu.au</w:t>
        </w:r>
      </w:hyperlink>
      <w:r w:rsidRPr="00A7165B" w:rsidDel="006A00B3">
        <w:rPr>
          <w:sz w:val="18"/>
          <w:szCs w:val="18"/>
        </w:rPr>
        <w:t xml:space="preserve"> (accessed 25 January 2022).</w:t>
      </w:r>
    </w:p>
  </w:footnote>
  <w:footnote w:id="68">
    <w:p w14:paraId="44726817" w14:textId="77777777" w:rsidR="00BD1D88" w:rsidRPr="003D30F9" w:rsidDel="006A00B3" w:rsidRDefault="00BD1D88" w:rsidP="00BA7310">
      <w:pPr>
        <w:pStyle w:val="FootnoteText"/>
        <w:rPr>
          <w:sz w:val="18"/>
          <w:szCs w:val="18"/>
        </w:rPr>
      </w:pPr>
      <w:r w:rsidRPr="003D30F9" w:rsidDel="006A00B3">
        <w:rPr>
          <w:rStyle w:val="FootnoteReference"/>
          <w:sz w:val="18"/>
          <w:szCs w:val="18"/>
        </w:rPr>
        <w:footnoteRef/>
      </w:r>
      <w:r w:rsidRPr="003D30F9" w:rsidDel="006A00B3">
        <w:rPr>
          <w:sz w:val="18"/>
          <w:szCs w:val="18"/>
        </w:rPr>
        <w:t xml:space="preserve"> NCVER (2021) </w:t>
      </w:r>
      <w:r w:rsidRPr="003D30F9" w:rsidDel="006A00B3">
        <w:rPr>
          <w:i/>
          <w:sz w:val="18"/>
          <w:szCs w:val="18"/>
        </w:rPr>
        <w:t>Employers’ use and views of the VET system 2021</w:t>
      </w:r>
      <w:r w:rsidRPr="003D30F9" w:rsidDel="006A00B3">
        <w:rPr>
          <w:sz w:val="18"/>
          <w:szCs w:val="18"/>
        </w:rPr>
        <w:t xml:space="preserve">, </w:t>
      </w:r>
      <w:hyperlink r:id="rId43" w:history="1">
        <w:r w:rsidRPr="003D30F9" w:rsidDel="006A00B3">
          <w:rPr>
            <w:rStyle w:val="Hyperlink"/>
            <w:sz w:val="18"/>
            <w:szCs w:val="18"/>
          </w:rPr>
          <w:t>www.ncver.edu.au</w:t>
        </w:r>
      </w:hyperlink>
      <w:r w:rsidRPr="003D30F9" w:rsidDel="006A00B3">
        <w:rPr>
          <w:sz w:val="18"/>
          <w:szCs w:val="18"/>
        </w:rPr>
        <w:t xml:space="preserve"> (accessed 27 January 2022)</w:t>
      </w:r>
    </w:p>
  </w:footnote>
  <w:footnote w:id="69">
    <w:p w14:paraId="741024AD" w14:textId="77777777" w:rsidR="00BD1D88" w:rsidRDefault="00BD1D88" w:rsidP="00BA7310">
      <w:pPr>
        <w:pStyle w:val="FootnoteText"/>
      </w:pPr>
      <w:r w:rsidRPr="003D30F9" w:rsidDel="006A00B3">
        <w:rPr>
          <w:rStyle w:val="FootnoteReference"/>
          <w:sz w:val="18"/>
          <w:szCs w:val="18"/>
        </w:rPr>
        <w:footnoteRef/>
      </w:r>
      <w:r w:rsidRPr="003D30F9" w:rsidDel="006A00B3">
        <w:rPr>
          <w:sz w:val="18"/>
          <w:szCs w:val="18"/>
        </w:rPr>
        <w:t xml:space="preserve"> NCVER (January 2022) </w:t>
      </w:r>
      <w:r w:rsidRPr="003D30F9" w:rsidDel="006A00B3">
        <w:rPr>
          <w:i/>
          <w:sz w:val="18"/>
          <w:szCs w:val="18"/>
        </w:rPr>
        <w:t>Apprentices and trainees 2021 – June quarter</w:t>
      </w:r>
      <w:r w:rsidRPr="003D30F9" w:rsidDel="006A00B3">
        <w:rPr>
          <w:sz w:val="18"/>
          <w:szCs w:val="18"/>
        </w:rPr>
        <w:t xml:space="preserve">, </w:t>
      </w:r>
      <w:hyperlink r:id="rId44">
        <w:r w:rsidRPr="003D30F9" w:rsidDel="006A00B3">
          <w:rPr>
            <w:rStyle w:val="Hyperlink"/>
            <w:sz w:val="18"/>
            <w:szCs w:val="18"/>
          </w:rPr>
          <w:t>www.ncver.edu.au</w:t>
        </w:r>
      </w:hyperlink>
      <w:r w:rsidRPr="003D30F9" w:rsidDel="006A00B3">
        <w:rPr>
          <w:sz w:val="18"/>
          <w:szCs w:val="18"/>
        </w:rPr>
        <w:t xml:space="preserve"> (accessed 19 January 2022).</w:t>
      </w:r>
    </w:p>
  </w:footnote>
  <w:footnote w:id="70">
    <w:p w14:paraId="2A5BF763" w14:textId="77777777" w:rsidR="00BD1D88" w:rsidRDefault="00BD1D88">
      <w:pPr>
        <w:pStyle w:val="FootnoteText"/>
      </w:pPr>
      <w:r>
        <w:rPr>
          <w:rStyle w:val="FootnoteReference"/>
        </w:rPr>
        <w:footnoteRef/>
      </w:r>
      <w:r>
        <w:t xml:space="preserve"> </w:t>
      </w:r>
      <w:r>
        <w:rPr>
          <w:rFonts w:cs="Arial"/>
          <w:sz w:val="18"/>
          <w:szCs w:val="18"/>
        </w:rPr>
        <w:t xml:space="preserve">Internal Department data, unpublished </w:t>
      </w:r>
    </w:p>
  </w:footnote>
  <w:footnote w:id="71">
    <w:p w14:paraId="252E523B" w14:textId="77777777" w:rsidR="00BD1D88" w:rsidRPr="003D30F9" w:rsidRDefault="00BD1D88" w:rsidP="005D02B6">
      <w:pPr>
        <w:pStyle w:val="FootnoteText"/>
        <w:rPr>
          <w:sz w:val="18"/>
          <w:szCs w:val="18"/>
        </w:rPr>
      </w:pPr>
    </w:p>
  </w:footnote>
  <w:footnote w:id="72">
    <w:p w14:paraId="7D155CEC" w14:textId="77777777" w:rsidR="00BD1D88" w:rsidDel="00F33D73" w:rsidRDefault="00BD1D8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E1594" w14:textId="2EB48CE5" w:rsidR="0059455B" w:rsidRDefault="005945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D49F2" w14:textId="17F50B05" w:rsidR="0059455B" w:rsidRDefault="0059455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8CAC5" w14:textId="083C9A38" w:rsidR="0059455B" w:rsidRDefault="0059455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0C933" w14:textId="7476AFA1" w:rsidR="00BD1D88" w:rsidRDefault="00BD1D8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6544A" w14:textId="6D6C72A2" w:rsidR="00BD1D88" w:rsidRDefault="00BD1D88">
    <w:pPr>
      <w:pStyle w:val="Header"/>
    </w:pPr>
    <w:r>
      <w:rPr>
        <w:noProof/>
        <w:lang w:eastAsia="en-AU"/>
      </w:rPr>
      <w:drawing>
        <wp:anchor distT="0" distB="0" distL="114300" distR="114300" simplePos="0" relativeHeight="251659264" behindDoc="1" locked="1" layoutInCell="1" allowOverlap="1" wp14:anchorId="7AAEC308" wp14:editId="1D7D0325">
          <wp:simplePos x="0" y="0"/>
          <wp:positionH relativeFrom="page">
            <wp:align>right</wp:align>
          </wp:positionH>
          <wp:positionV relativeFrom="page">
            <wp:align>top</wp:align>
          </wp:positionV>
          <wp:extent cx="7783200" cy="1393200"/>
          <wp:effectExtent l="0" t="0" r="8255" b="0"/>
          <wp:wrapNone/>
          <wp:docPr id="2" name="Picture 2" descr="Decorativ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port Template Follower.jpg"/>
                  <pic:cNvPicPr/>
                </pic:nvPicPr>
                <pic:blipFill>
                  <a:blip r:embed="rId1">
                    <a:extLst>
                      <a:ext uri="{28A0092B-C50C-407E-A947-70E740481C1C}">
                        <a14:useLocalDpi xmlns:a14="http://schemas.microsoft.com/office/drawing/2010/main" val="0"/>
                      </a:ext>
                    </a:extLst>
                  </a:blip>
                  <a:stretch>
                    <a:fillRect/>
                  </a:stretch>
                </pic:blipFill>
                <pic:spPr>
                  <a:xfrm>
                    <a:off x="0" y="0"/>
                    <a:ext cx="7783200" cy="1393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8B01A" w14:textId="28700B41" w:rsidR="00BD1D88" w:rsidRDefault="00BD1D8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D5114"/>
    <w:multiLevelType w:val="hybridMultilevel"/>
    <w:tmpl w:val="810A0522"/>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3F56B14"/>
    <w:multiLevelType w:val="hybridMultilevel"/>
    <w:tmpl w:val="275AF1C0"/>
    <w:lvl w:ilvl="0" w:tplc="A4A4A8EC">
      <w:start w:val="1"/>
      <w:numFmt w:val="decimal"/>
      <w:pStyle w:val="MBPoint"/>
      <w:lvlText w:val="%1."/>
      <w:lvlJc w:val="left"/>
      <w:pPr>
        <w:ind w:left="474" w:hanging="360"/>
      </w:pPr>
      <w:rPr>
        <w:rFonts w:hint="default"/>
      </w:rPr>
    </w:lvl>
    <w:lvl w:ilvl="1" w:tplc="DDC6A35C">
      <w:start w:val="1"/>
      <w:numFmt w:val="lowerLetter"/>
      <w:lvlText w:val="%2."/>
      <w:lvlJc w:val="left"/>
      <w:pPr>
        <w:ind w:left="1194" w:hanging="360"/>
      </w:pPr>
    </w:lvl>
    <w:lvl w:ilvl="2" w:tplc="B39AB270" w:tentative="1">
      <w:start w:val="1"/>
      <w:numFmt w:val="lowerRoman"/>
      <w:lvlText w:val="%3."/>
      <w:lvlJc w:val="right"/>
      <w:pPr>
        <w:ind w:left="1914" w:hanging="180"/>
      </w:pPr>
    </w:lvl>
    <w:lvl w:ilvl="3" w:tplc="F4805764" w:tentative="1">
      <w:start w:val="1"/>
      <w:numFmt w:val="decimal"/>
      <w:lvlText w:val="%4."/>
      <w:lvlJc w:val="left"/>
      <w:pPr>
        <w:ind w:left="2634" w:hanging="360"/>
      </w:pPr>
    </w:lvl>
    <w:lvl w:ilvl="4" w:tplc="04A6CA58" w:tentative="1">
      <w:start w:val="1"/>
      <w:numFmt w:val="lowerLetter"/>
      <w:lvlText w:val="%5."/>
      <w:lvlJc w:val="left"/>
      <w:pPr>
        <w:ind w:left="3354" w:hanging="360"/>
      </w:pPr>
    </w:lvl>
    <w:lvl w:ilvl="5" w:tplc="087CC5CC" w:tentative="1">
      <w:start w:val="1"/>
      <w:numFmt w:val="lowerRoman"/>
      <w:lvlText w:val="%6."/>
      <w:lvlJc w:val="right"/>
      <w:pPr>
        <w:ind w:left="4074" w:hanging="180"/>
      </w:pPr>
    </w:lvl>
    <w:lvl w:ilvl="6" w:tplc="B566B9FE" w:tentative="1">
      <w:start w:val="1"/>
      <w:numFmt w:val="decimal"/>
      <w:lvlText w:val="%7."/>
      <w:lvlJc w:val="left"/>
      <w:pPr>
        <w:ind w:left="4794" w:hanging="360"/>
      </w:pPr>
    </w:lvl>
    <w:lvl w:ilvl="7" w:tplc="B5169CAA" w:tentative="1">
      <w:start w:val="1"/>
      <w:numFmt w:val="lowerLetter"/>
      <w:lvlText w:val="%8."/>
      <w:lvlJc w:val="left"/>
      <w:pPr>
        <w:ind w:left="5514" w:hanging="360"/>
      </w:pPr>
    </w:lvl>
    <w:lvl w:ilvl="8" w:tplc="AC10532A" w:tentative="1">
      <w:start w:val="1"/>
      <w:numFmt w:val="lowerRoman"/>
      <w:lvlText w:val="%9."/>
      <w:lvlJc w:val="right"/>
      <w:pPr>
        <w:ind w:left="6234" w:hanging="180"/>
      </w:pPr>
    </w:lvl>
  </w:abstractNum>
  <w:abstractNum w:abstractNumId="2" w15:restartNumberingAfterBreak="0">
    <w:nsid w:val="05762D02"/>
    <w:multiLevelType w:val="hybridMultilevel"/>
    <w:tmpl w:val="D27EAB58"/>
    <w:lvl w:ilvl="0" w:tplc="0C090001">
      <w:start w:val="1"/>
      <w:numFmt w:val="bullet"/>
      <w:lvlText w:val=""/>
      <w:lvlJc w:val="left"/>
      <w:pPr>
        <w:ind w:left="786"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start w:val="1"/>
      <w:numFmt w:val="bullet"/>
      <w:lvlText w:val=""/>
      <w:lvlJc w:val="left"/>
      <w:pPr>
        <w:ind w:left="2084" w:hanging="360"/>
      </w:pPr>
      <w:rPr>
        <w:rFonts w:ascii="Wingdings" w:hAnsi="Wingdings" w:hint="default"/>
      </w:rPr>
    </w:lvl>
    <w:lvl w:ilvl="3" w:tplc="0C090001">
      <w:start w:val="1"/>
      <w:numFmt w:val="bullet"/>
      <w:lvlText w:val=""/>
      <w:lvlJc w:val="left"/>
      <w:pPr>
        <w:ind w:left="2804" w:hanging="360"/>
      </w:pPr>
      <w:rPr>
        <w:rFonts w:ascii="Symbol" w:hAnsi="Symbol" w:hint="default"/>
      </w:rPr>
    </w:lvl>
    <w:lvl w:ilvl="4" w:tplc="0C090003">
      <w:start w:val="1"/>
      <w:numFmt w:val="bullet"/>
      <w:lvlText w:val="o"/>
      <w:lvlJc w:val="left"/>
      <w:pPr>
        <w:ind w:left="3524" w:hanging="360"/>
      </w:pPr>
      <w:rPr>
        <w:rFonts w:ascii="Courier New" w:hAnsi="Courier New" w:cs="Courier New" w:hint="default"/>
      </w:rPr>
    </w:lvl>
    <w:lvl w:ilvl="5" w:tplc="0C090005">
      <w:start w:val="1"/>
      <w:numFmt w:val="bullet"/>
      <w:lvlText w:val=""/>
      <w:lvlJc w:val="left"/>
      <w:pPr>
        <w:ind w:left="4244" w:hanging="360"/>
      </w:pPr>
      <w:rPr>
        <w:rFonts w:ascii="Wingdings" w:hAnsi="Wingdings" w:hint="default"/>
      </w:rPr>
    </w:lvl>
    <w:lvl w:ilvl="6" w:tplc="0C090001">
      <w:start w:val="1"/>
      <w:numFmt w:val="bullet"/>
      <w:lvlText w:val=""/>
      <w:lvlJc w:val="left"/>
      <w:pPr>
        <w:ind w:left="4964" w:hanging="360"/>
      </w:pPr>
      <w:rPr>
        <w:rFonts w:ascii="Symbol" w:hAnsi="Symbol" w:hint="default"/>
      </w:rPr>
    </w:lvl>
    <w:lvl w:ilvl="7" w:tplc="0C090003">
      <w:start w:val="1"/>
      <w:numFmt w:val="bullet"/>
      <w:lvlText w:val="o"/>
      <w:lvlJc w:val="left"/>
      <w:pPr>
        <w:ind w:left="5684" w:hanging="360"/>
      </w:pPr>
      <w:rPr>
        <w:rFonts w:ascii="Courier New" w:hAnsi="Courier New" w:cs="Courier New" w:hint="default"/>
      </w:rPr>
    </w:lvl>
    <w:lvl w:ilvl="8" w:tplc="0C090005">
      <w:start w:val="1"/>
      <w:numFmt w:val="bullet"/>
      <w:lvlText w:val=""/>
      <w:lvlJc w:val="left"/>
      <w:pPr>
        <w:ind w:left="6404" w:hanging="360"/>
      </w:pPr>
      <w:rPr>
        <w:rFonts w:ascii="Wingdings" w:hAnsi="Wingdings" w:hint="default"/>
      </w:rPr>
    </w:lvl>
  </w:abstractNum>
  <w:abstractNum w:abstractNumId="3" w15:restartNumberingAfterBreak="0">
    <w:nsid w:val="0BB84581"/>
    <w:multiLevelType w:val="hybridMultilevel"/>
    <w:tmpl w:val="43E659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DB51A23"/>
    <w:multiLevelType w:val="hybridMultilevel"/>
    <w:tmpl w:val="DCDA5C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EA51063"/>
    <w:multiLevelType w:val="hybridMultilevel"/>
    <w:tmpl w:val="93DE258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 w15:restartNumberingAfterBreak="0">
    <w:nsid w:val="0F9875AC"/>
    <w:multiLevelType w:val="hybridMultilevel"/>
    <w:tmpl w:val="2EF25E0A"/>
    <w:lvl w:ilvl="0" w:tplc="0C090001">
      <w:start w:val="1"/>
      <w:numFmt w:val="bullet"/>
      <w:lvlText w:val=""/>
      <w:lvlJc w:val="left"/>
      <w:pPr>
        <w:ind w:left="765" w:hanging="360"/>
      </w:pPr>
      <w:rPr>
        <w:rFonts w:ascii="Symbol" w:hAnsi="Symbol" w:hint="default"/>
      </w:rPr>
    </w:lvl>
    <w:lvl w:ilvl="1" w:tplc="0C090003">
      <w:start w:val="1"/>
      <w:numFmt w:val="bullet"/>
      <w:lvlText w:val="o"/>
      <w:lvlJc w:val="left"/>
      <w:pPr>
        <w:ind w:left="1485" w:hanging="360"/>
      </w:pPr>
      <w:rPr>
        <w:rFonts w:ascii="Courier New" w:hAnsi="Courier New" w:cs="Courier New" w:hint="default"/>
      </w:rPr>
    </w:lvl>
    <w:lvl w:ilvl="2" w:tplc="0C090005">
      <w:start w:val="1"/>
      <w:numFmt w:val="bullet"/>
      <w:lvlText w:val=""/>
      <w:lvlJc w:val="left"/>
      <w:pPr>
        <w:ind w:left="2205" w:hanging="360"/>
      </w:pPr>
      <w:rPr>
        <w:rFonts w:ascii="Wingdings" w:hAnsi="Wingdings" w:hint="default"/>
      </w:rPr>
    </w:lvl>
    <w:lvl w:ilvl="3" w:tplc="0C090001">
      <w:start w:val="1"/>
      <w:numFmt w:val="bullet"/>
      <w:lvlText w:val=""/>
      <w:lvlJc w:val="left"/>
      <w:pPr>
        <w:ind w:left="2925" w:hanging="360"/>
      </w:pPr>
      <w:rPr>
        <w:rFonts w:ascii="Symbol" w:hAnsi="Symbol" w:hint="default"/>
      </w:rPr>
    </w:lvl>
    <w:lvl w:ilvl="4" w:tplc="0C090003">
      <w:start w:val="1"/>
      <w:numFmt w:val="bullet"/>
      <w:lvlText w:val="o"/>
      <w:lvlJc w:val="left"/>
      <w:pPr>
        <w:ind w:left="3645" w:hanging="360"/>
      </w:pPr>
      <w:rPr>
        <w:rFonts w:ascii="Courier New" w:hAnsi="Courier New" w:cs="Courier New" w:hint="default"/>
      </w:rPr>
    </w:lvl>
    <w:lvl w:ilvl="5" w:tplc="0C090005">
      <w:start w:val="1"/>
      <w:numFmt w:val="bullet"/>
      <w:lvlText w:val=""/>
      <w:lvlJc w:val="left"/>
      <w:pPr>
        <w:ind w:left="4365" w:hanging="360"/>
      </w:pPr>
      <w:rPr>
        <w:rFonts w:ascii="Wingdings" w:hAnsi="Wingdings" w:hint="default"/>
      </w:rPr>
    </w:lvl>
    <w:lvl w:ilvl="6" w:tplc="0C090001">
      <w:start w:val="1"/>
      <w:numFmt w:val="bullet"/>
      <w:lvlText w:val=""/>
      <w:lvlJc w:val="left"/>
      <w:pPr>
        <w:ind w:left="5085" w:hanging="360"/>
      </w:pPr>
      <w:rPr>
        <w:rFonts w:ascii="Symbol" w:hAnsi="Symbol" w:hint="default"/>
      </w:rPr>
    </w:lvl>
    <w:lvl w:ilvl="7" w:tplc="0C090003">
      <w:start w:val="1"/>
      <w:numFmt w:val="bullet"/>
      <w:lvlText w:val="o"/>
      <w:lvlJc w:val="left"/>
      <w:pPr>
        <w:ind w:left="5805" w:hanging="360"/>
      </w:pPr>
      <w:rPr>
        <w:rFonts w:ascii="Courier New" w:hAnsi="Courier New" w:cs="Courier New" w:hint="default"/>
      </w:rPr>
    </w:lvl>
    <w:lvl w:ilvl="8" w:tplc="0C090005">
      <w:start w:val="1"/>
      <w:numFmt w:val="bullet"/>
      <w:lvlText w:val=""/>
      <w:lvlJc w:val="left"/>
      <w:pPr>
        <w:ind w:left="6525" w:hanging="360"/>
      </w:pPr>
      <w:rPr>
        <w:rFonts w:ascii="Wingdings" w:hAnsi="Wingdings" w:hint="default"/>
      </w:rPr>
    </w:lvl>
  </w:abstractNum>
  <w:abstractNum w:abstractNumId="7" w15:restartNumberingAfterBreak="0">
    <w:nsid w:val="10BD63B6"/>
    <w:multiLevelType w:val="hybridMultilevel"/>
    <w:tmpl w:val="F6C80C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11040AF"/>
    <w:multiLevelType w:val="hybridMultilevel"/>
    <w:tmpl w:val="3066FF0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11157457"/>
    <w:multiLevelType w:val="multilevel"/>
    <w:tmpl w:val="23B8A5D2"/>
    <w:name w:val="List number"/>
    <w:lvl w:ilvl="0">
      <w:start w:val="1"/>
      <w:numFmt w:val="decimal"/>
      <w:pStyle w:val="ListNumber"/>
      <w:lvlText w:val="%1."/>
      <w:lvlJc w:val="left"/>
      <w:pPr>
        <w:ind w:left="357" w:hanging="357"/>
      </w:pPr>
      <w:rPr>
        <w:rFonts w:hint="default"/>
      </w:rPr>
    </w:lvl>
    <w:lvl w:ilvl="1">
      <w:start w:val="1"/>
      <w:numFmt w:val="decimal"/>
      <w:lvlText w:val="%2.%1"/>
      <w:lvlJc w:val="left"/>
      <w:pPr>
        <w:ind w:left="851" w:hanging="494"/>
      </w:pPr>
      <w:rPr>
        <w:rFonts w:hint="default"/>
      </w:rPr>
    </w:lvl>
    <w:lvl w:ilvl="2">
      <w:start w:val="1"/>
      <w:numFmt w:val="decimal"/>
      <w:lvlText w:val="%1.%2.%3"/>
      <w:lvlJc w:val="left"/>
      <w:pPr>
        <w:tabs>
          <w:tab w:val="num" w:pos="1985"/>
        </w:tabs>
        <w:ind w:left="1559" w:hanging="708"/>
      </w:pPr>
      <w:rPr>
        <w:rFonts w:hint="default"/>
      </w:rPr>
    </w:lvl>
    <w:lvl w:ilvl="3">
      <w:start w:val="1"/>
      <w:numFmt w:val="decimal"/>
      <w:lvlText w:val="%1.%2.%3.%4"/>
      <w:lvlJc w:val="left"/>
      <w:pPr>
        <w:tabs>
          <w:tab w:val="num" w:pos="2552"/>
        </w:tabs>
        <w:ind w:left="2381" w:hanging="82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25D4053"/>
    <w:multiLevelType w:val="hybridMultilevel"/>
    <w:tmpl w:val="66BEE7D2"/>
    <w:lvl w:ilvl="0" w:tplc="3F9EFE36">
      <w:start w:val="26"/>
      <w:numFmt w:val="bullet"/>
      <w:lvlText w:val="-"/>
      <w:lvlJc w:val="left"/>
      <w:pPr>
        <w:ind w:left="1647" w:hanging="360"/>
      </w:pPr>
      <w:rPr>
        <w:rFonts w:ascii="Calibri" w:eastAsiaTheme="minorHAnsi" w:hAnsi="Calibri" w:cs="Calibri" w:hint="default"/>
      </w:rPr>
    </w:lvl>
    <w:lvl w:ilvl="1" w:tplc="0C090003" w:tentative="1">
      <w:start w:val="1"/>
      <w:numFmt w:val="bullet"/>
      <w:lvlText w:val="o"/>
      <w:lvlJc w:val="left"/>
      <w:pPr>
        <w:ind w:left="2367" w:hanging="360"/>
      </w:pPr>
      <w:rPr>
        <w:rFonts w:ascii="Courier New" w:hAnsi="Courier New" w:cs="Courier New" w:hint="default"/>
      </w:rPr>
    </w:lvl>
    <w:lvl w:ilvl="2" w:tplc="0C090005" w:tentative="1">
      <w:start w:val="1"/>
      <w:numFmt w:val="bullet"/>
      <w:lvlText w:val=""/>
      <w:lvlJc w:val="left"/>
      <w:pPr>
        <w:ind w:left="3087" w:hanging="360"/>
      </w:pPr>
      <w:rPr>
        <w:rFonts w:ascii="Wingdings" w:hAnsi="Wingdings" w:hint="default"/>
      </w:rPr>
    </w:lvl>
    <w:lvl w:ilvl="3" w:tplc="0C090001" w:tentative="1">
      <w:start w:val="1"/>
      <w:numFmt w:val="bullet"/>
      <w:lvlText w:val=""/>
      <w:lvlJc w:val="left"/>
      <w:pPr>
        <w:ind w:left="3807" w:hanging="360"/>
      </w:pPr>
      <w:rPr>
        <w:rFonts w:ascii="Symbol" w:hAnsi="Symbol" w:hint="default"/>
      </w:rPr>
    </w:lvl>
    <w:lvl w:ilvl="4" w:tplc="0C090003" w:tentative="1">
      <w:start w:val="1"/>
      <w:numFmt w:val="bullet"/>
      <w:lvlText w:val="o"/>
      <w:lvlJc w:val="left"/>
      <w:pPr>
        <w:ind w:left="4527" w:hanging="360"/>
      </w:pPr>
      <w:rPr>
        <w:rFonts w:ascii="Courier New" w:hAnsi="Courier New" w:cs="Courier New" w:hint="default"/>
      </w:rPr>
    </w:lvl>
    <w:lvl w:ilvl="5" w:tplc="0C090005" w:tentative="1">
      <w:start w:val="1"/>
      <w:numFmt w:val="bullet"/>
      <w:lvlText w:val=""/>
      <w:lvlJc w:val="left"/>
      <w:pPr>
        <w:ind w:left="5247" w:hanging="360"/>
      </w:pPr>
      <w:rPr>
        <w:rFonts w:ascii="Wingdings" w:hAnsi="Wingdings" w:hint="default"/>
      </w:rPr>
    </w:lvl>
    <w:lvl w:ilvl="6" w:tplc="0C090001" w:tentative="1">
      <w:start w:val="1"/>
      <w:numFmt w:val="bullet"/>
      <w:lvlText w:val=""/>
      <w:lvlJc w:val="left"/>
      <w:pPr>
        <w:ind w:left="5967" w:hanging="360"/>
      </w:pPr>
      <w:rPr>
        <w:rFonts w:ascii="Symbol" w:hAnsi="Symbol" w:hint="default"/>
      </w:rPr>
    </w:lvl>
    <w:lvl w:ilvl="7" w:tplc="0C090003" w:tentative="1">
      <w:start w:val="1"/>
      <w:numFmt w:val="bullet"/>
      <w:lvlText w:val="o"/>
      <w:lvlJc w:val="left"/>
      <w:pPr>
        <w:ind w:left="6687" w:hanging="360"/>
      </w:pPr>
      <w:rPr>
        <w:rFonts w:ascii="Courier New" w:hAnsi="Courier New" w:cs="Courier New" w:hint="default"/>
      </w:rPr>
    </w:lvl>
    <w:lvl w:ilvl="8" w:tplc="0C090005" w:tentative="1">
      <w:start w:val="1"/>
      <w:numFmt w:val="bullet"/>
      <w:lvlText w:val=""/>
      <w:lvlJc w:val="left"/>
      <w:pPr>
        <w:ind w:left="7407" w:hanging="360"/>
      </w:pPr>
      <w:rPr>
        <w:rFonts w:ascii="Wingdings" w:hAnsi="Wingdings" w:hint="default"/>
      </w:rPr>
    </w:lvl>
  </w:abstractNum>
  <w:abstractNum w:abstractNumId="11" w15:restartNumberingAfterBreak="0">
    <w:nsid w:val="12D35848"/>
    <w:multiLevelType w:val="hybridMultilevel"/>
    <w:tmpl w:val="32FC35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4A41EF5"/>
    <w:multiLevelType w:val="hybridMultilevel"/>
    <w:tmpl w:val="960247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6641DF2"/>
    <w:multiLevelType w:val="hybridMultilevel"/>
    <w:tmpl w:val="F7842D62"/>
    <w:lvl w:ilvl="0" w:tplc="7F847DE4">
      <w:start w:val="1"/>
      <w:numFmt w:val="decimal"/>
      <w:pStyle w:val="numberedpara"/>
      <w:lvlText w:val="%1."/>
      <w:lvlJc w:val="right"/>
      <w:pPr>
        <w:tabs>
          <w:tab w:val="num" w:pos="567"/>
        </w:tabs>
        <w:ind w:left="0" w:hanging="567"/>
      </w:pPr>
      <w:rPr>
        <w:rFonts w:ascii="Calibri" w:hAnsi="Calibri" w:cs="Times New Roman" w:hint="default"/>
        <w:b w:val="0"/>
        <w:i w:val="0"/>
        <w:color w:val="auto"/>
        <w:sz w:val="22"/>
      </w:rPr>
    </w:lvl>
    <w:lvl w:ilvl="1" w:tplc="0C090019">
      <w:start w:val="1"/>
      <w:numFmt w:val="lowerLetter"/>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4" w15:restartNumberingAfterBreak="0">
    <w:nsid w:val="17386BCB"/>
    <w:multiLevelType w:val="hybridMultilevel"/>
    <w:tmpl w:val="8E40C3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DC54C92"/>
    <w:multiLevelType w:val="hybridMultilevel"/>
    <w:tmpl w:val="9A4CE3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36B7DCE"/>
    <w:multiLevelType w:val="hybridMultilevel"/>
    <w:tmpl w:val="A3C2B1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25EE511B"/>
    <w:multiLevelType w:val="hybridMultilevel"/>
    <w:tmpl w:val="83C6C3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6676FF7"/>
    <w:multiLevelType w:val="hybridMultilevel"/>
    <w:tmpl w:val="3DEAA7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A814282"/>
    <w:multiLevelType w:val="hybridMultilevel"/>
    <w:tmpl w:val="8346B3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ACA5053"/>
    <w:multiLevelType w:val="hybridMultilevel"/>
    <w:tmpl w:val="78AA94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C9A4373"/>
    <w:multiLevelType w:val="hybridMultilevel"/>
    <w:tmpl w:val="B6AC9D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CB600C9"/>
    <w:multiLevelType w:val="hybridMultilevel"/>
    <w:tmpl w:val="4A68C8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E593562"/>
    <w:multiLevelType w:val="hybridMultilevel"/>
    <w:tmpl w:val="57805BC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4" w15:restartNumberingAfterBreak="0">
    <w:nsid w:val="2EA53E4C"/>
    <w:multiLevelType w:val="hybridMultilevel"/>
    <w:tmpl w:val="F1481754"/>
    <w:name w:val="List number2"/>
    <w:lvl w:ilvl="0" w:tplc="B6126BE2">
      <w:start w:val="1"/>
      <w:numFmt w:val="bullet"/>
      <w:pStyle w:val="ListBullet"/>
      <w:lvlText w:val=""/>
      <w:lvlJc w:val="left"/>
      <w:pPr>
        <w:ind w:left="357" w:hanging="357"/>
      </w:pPr>
      <w:rPr>
        <w:rFonts w:ascii="Symbol" w:hAnsi="Symbol" w:cs="Times New Roman" w:hint="default"/>
        <w:color w:val="auto"/>
      </w:rPr>
    </w:lvl>
    <w:lvl w:ilvl="1" w:tplc="5030A566">
      <w:start w:val="1"/>
      <w:numFmt w:val="bullet"/>
      <w:lvlText w:val="○"/>
      <w:lvlJc w:val="left"/>
      <w:pPr>
        <w:ind w:left="851" w:hanging="494"/>
      </w:pPr>
      <w:rPr>
        <w:rFonts w:ascii="Courier New" w:hAnsi="Courier New" w:cs="Times New Roman" w:hint="default"/>
        <w:color w:val="auto"/>
      </w:rPr>
    </w:lvl>
    <w:lvl w:ilvl="2" w:tplc="A2C84C60">
      <w:start w:val="1"/>
      <w:numFmt w:val="bullet"/>
      <w:lvlText w:val="–"/>
      <w:lvlJc w:val="left"/>
      <w:pPr>
        <w:tabs>
          <w:tab w:val="num" w:pos="1985"/>
        </w:tabs>
        <w:ind w:left="1418" w:hanging="567"/>
      </w:pPr>
      <w:rPr>
        <w:rFonts w:ascii="Calibri" w:hAnsi="Calibri" w:cs="Times New Roman" w:hint="default"/>
        <w:color w:val="auto"/>
      </w:rPr>
    </w:lvl>
    <w:lvl w:ilvl="3" w:tplc="962ECD7E">
      <w:start w:val="1"/>
      <w:numFmt w:val="bullet"/>
      <w:lvlText w:val=""/>
      <w:lvlJc w:val="left"/>
      <w:pPr>
        <w:tabs>
          <w:tab w:val="num" w:pos="2552"/>
        </w:tabs>
        <w:ind w:left="2126" w:hanging="567"/>
      </w:pPr>
      <w:rPr>
        <w:rFonts w:ascii="Wingdings" w:hAnsi="Wingdings" w:cs="Times New Roman" w:hint="default"/>
        <w:color w:val="auto"/>
      </w:rPr>
    </w:lvl>
    <w:lvl w:ilvl="4" w:tplc="DB362D96">
      <w:start w:val="1"/>
      <w:numFmt w:val="lowerLetter"/>
      <w:lvlText w:val="(%5)"/>
      <w:lvlJc w:val="left"/>
      <w:pPr>
        <w:ind w:left="1800" w:hanging="360"/>
      </w:pPr>
      <w:rPr>
        <w:rFonts w:hint="default"/>
      </w:rPr>
    </w:lvl>
    <w:lvl w:ilvl="5" w:tplc="5BEC0178">
      <w:start w:val="1"/>
      <w:numFmt w:val="lowerRoman"/>
      <w:lvlText w:val="(%6)"/>
      <w:lvlJc w:val="left"/>
      <w:pPr>
        <w:ind w:left="2160" w:hanging="360"/>
      </w:pPr>
      <w:rPr>
        <w:rFonts w:hint="default"/>
      </w:rPr>
    </w:lvl>
    <w:lvl w:ilvl="6" w:tplc="C40A279C">
      <w:start w:val="1"/>
      <w:numFmt w:val="decimal"/>
      <w:lvlText w:val="%7."/>
      <w:lvlJc w:val="left"/>
      <w:pPr>
        <w:ind w:left="2520" w:hanging="360"/>
      </w:pPr>
      <w:rPr>
        <w:rFonts w:hint="default"/>
      </w:rPr>
    </w:lvl>
    <w:lvl w:ilvl="7" w:tplc="F1B4483A">
      <w:start w:val="1"/>
      <w:numFmt w:val="lowerLetter"/>
      <w:lvlText w:val="%8."/>
      <w:lvlJc w:val="left"/>
      <w:pPr>
        <w:ind w:left="2880" w:hanging="360"/>
      </w:pPr>
      <w:rPr>
        <w:rFonts w:hint="default"/>
      </w:rPr>
    </w:lvl>
    <w:lvl w:ilvl="8" w:tplc="3E3605CA">
      <w:start w:val="1"/>
      <w:numFmt w:val="lowerRoman"/>
      <w:lvlText w:val="%9."/>
      <w:lvlJc w:val="left"/>
      <w:pPr>
        <w:ind w:left="3240" w:hanging="360"/>
      </w:pPr>
      <w:rPr>
        <w:rFonts w:hint="default"/>
      </w:rPr>
    </w:lvl>
  </w:abstractNum>
  <w:abstractNum w:abstractNumId="25" w15:restartNumberingAfterBreak="0">
    <w:nsid w:val="2F296140"/>
    <w:multiLevelType w:val="hybridMultilevel"/>
    <w:tmpl w:val="34D07BA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6" w15:restartNumberingAfterBreak="0">
    <w:nsid w:val="30991B9C"/>
    <w:multiLevelType w:val="hybridMultilevel"/>
    <w:tmpl w:val="D1D4306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7" w15:restartNumberingAfterBreak="0">
    <w:nsid w:val="3236072B"/>
    <w:multiLevelType w:val="hybridMultilevel"/>
    <w:tmpl w:val="49DCD4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4A96A34"/>
    <w:multiLevelType w:val="hybridMultilevel"/>
    <w:tmpl w:val="1DD82DA6"/>
    <w:name w:val="List number3"/>
    <w:lvl w:ilvl="0" w:tplc="29C24B5C">
      <w:start w:val="1"/>
      <w:numFmt w:val="decimal"/>
      <w:pStyle w:val="List"/>
      <w:lvlText w:val="%1"/>
      <w:lvlJc w:val="left"/>
      <w:pPr>
        <w:ind w:left="357" w:hanging="357"/>
      </w:pPr>
      <w:rPr>
        <w:rFonts w:hint="default"/>
      </w:rPr>
    </w:lvl>
    <w:lvl w:ilvl="1" w:tplc="831A0518">
      <w:start w:val="1"/>
      <w:numFmt w:val="lowerLetter"/>
      <w:lvlText w:val="%2"/>
      <w:lvlJc w:val="left"/>
      <w:pPr>
        <w:ind w:left="851" w:hanging="494"/>
      </w:pPr>
      <w:rPr>
        <w:rFonts w:hint="default"/>
      </w:rPr>
    </w:lvl>
    <w:lvl w:ilvl="2" w:tplc="A70853FE">
      <w:start w:val="1"/>
      <w:numFmt w:val="lowerRoman"/>
      <w:lvlText w:val="%3"/>
      <w:lvlJc w:val="left"/>
      <w:pPr>
        <w:tabs>
          <w:tab w:val="num" w:pos="1985"/>
        </w:tabs>
        <w:ind w:left="1418" w:hanging="567"/>
      </w:pPr>
      <w:rPr>
        <w:rFonts w:hint="default"/>
      </w:rPr>
    </w:lvl>
    <w:lvl w:ilvl="3" w:tplc="B69E59FC">
      <w:start w:val="1"/>
      <w:numFmt w:val="bullet"/>
      <w:lvlText w:val="–"/>
      <w:lvlJc w:val="left"/>
      <w:pPr>
        <w:tabs>
          <w:tab w:val="num" w:pos="2552"/>
        </w:tabs>
        <w:ind w:left="2126" w:hanging="567"/>
      </w:pPr>
      <w:rPr>
        <w:rFonts w:ascii="Calibri" w:hAnsi="Calibri" w:cs="Times New Roman" w:hint="default"/>
        <w:color w:val="auto"/>
      </w:rPr>
    </w:lvl>
    <w:lvl w:ilvl="4" w:tplc="81C25C70">
      <w:start w:val="1"/>
      <w:numFmt w:val="lowerLetter"/>
      <w:lvlText w:val="(%5)"/>
      <w:lvlJc w:val="left"/>
      <w:pPr>
        <w:ind w:left="1800" w:hanging="360"/>
      </w:pPr>
      <w:rPr>
        <w:rFonts w:hint="default"/>
      </w:rPr>
    </w:lvl>
    <w:lvl w:ilvl="5" w:tplc="B12A0542">
      <w:start w:val="1"/>
      <w:numFmt w:val="lowerRoman"/>
      <w:lvlText w:val="(%6)"/>
      <w:lvlJc w:val="left"/>
      <w:pPr>
        <w:ind w:left="2160" w:hanging="360"/>
      </w:pPr>
      <w:rPr>
        <w:rFonts w:hint="default"/>
      </w:rPr>
    </w:lvl>
    <w:lvl w:ilvl="6" w:tplc="06DA4C34">
      <w:start w:val="1"/>
      <w:numFmt w:val="decimal"/>
      <w:lvlText w:val="%7."/>
      <w:lvlJc w:val="left"/>
      <w:pPr>
        <w:ind w:left="2520" w:hanging="360"/>
      </w:pPr>
      <w:rPr>
        <w:rFonts w:hint="default"/>
      </w:rPr>
    </w:lvl>
    <w:lvl w:ilvl="7" w:tplc="DC9CF8AE">
      <w:start w:val="1"/>
      <w:numFmt w:val="lowerLetter"/>
      <w:lvlText w:val="%8."/>
      <w:lvlJc w:val="left"/>
      <w:pPr>
        <w:ind w:left="2880" w:hanging="360"/>
      </w:pPr>
      <w:rPr>
        <w:rFonts w:hint="default"/>
      </w:rPr>
    </w:lvl>
    <w:lvl w:ilvl="8" w:tplc="E370BAFA">
      <w:start w:val="1"/>
      <w:numFmt w:val="lowerRoman"/>
      <w:lvlText w:val="%9."/>
      <w:lvlJc w:val="left"/>
      <w:pPr>
        <w:ind w:left="3240" w:hanging="360"/>
      </w:pPr>
      <w:rPr>
        <w:rFonts w:hint="default"/>
      </w:rPr>
    </w:lvl>
  </w:abstractNum>
  <w:abstractNum w:abstractNumId="29" w15:restartNumberingAfterBreak="0">
    <w:nsid w:val="36313375"/>
    <w:multiLevelType w:val="hybridMultilevel"/>
    <w:tmpl w:val="8E1420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66E6BA5"/>
    <w:multiLevelType w:val="hybridMultilevel"/>
    <w:tmpl w:val="4CD848F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1" w15:restartNumberingAfterBreak="0">
    <w:nsid w:val="38A97046"/>
    <w:multiLevelType w:val="hybridMultilevel"/>
    <w:tmpl w:val="051C4F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8ED1296"/>
    <w:multiLevelType w:val="hybridMultilevel"/>
    <w:tmpl w:val="6C6AA7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A7B4C68"/>
    <w:multiLevelType w:val="hybridMultilevel"/>
    <w:tmpl w:val="D78EEA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A8B30EB"/>
    <w:multiLevelType w:val="hybridMultilevel"/>
    <w:tmpl w:val="B8004C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AD25736"/>
    <w:multiLevelType w:val="hybridMultilevel"/>
    <w:tmpl w:val="178A85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D96594E"/>
    <w:multiLevelType w:val="hybridMultilevel"/>
    <w:tmpl w:val="00C25DB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7" w15:restartNumberingAfterBreak="0">
    <w:nsid w:val="3FB118D6"/>
    <w:multiLevelType w:val="hybridMultilevel"/>
    <w:tmpl w:val="E08E6BB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38" w15:restartNumberingAfterBreak="0">
    <w:nsid w:val="416E66BB"/>
    <w:multiLevelType w:val="hybridMultilevel"/>
    <w:tmpl w:val="E31AEC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4342FC2"/>
    <w:multiLevelType w:val="hybridMultilevel"/>
    <w:tmpl w:val="A4BEBF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4524268F"/>
    <w:multiLevelType w:val="hybridMultilevel"/>
    <w:tmpl w:val="CF6E5C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493C4E6B"/>
    <w:multiLevelType w:val="hybridMultilevel"/>
    <w:tmpl w:val="397488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4E83339D"/>
    <w:multiLevelType w:val="hybridMultilevel"/>
    <w:tmpl w:val="840C25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3" w15:restartNumberingAfterBreak="0">
    <w:nsid w:val="4FAF448D"/>
    <w:multiLevelType w:val="hybridMultilevel"/>
    <w:tmpl w:val="507E4DE6"/>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44" w15:restartNumberingAfterBreak="0">
    <w:nsid w:val="4FBF22E4"/>
    <w:multiLevelType w:val="hybridMultilevel"/>
    <w:tmpl w:val="5942AEC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5" w15:restartNumberingAfterBreak="0">
    <w:nsid w:val="53BF08FD"/>
    <w:multiLevelType w:val="hybridMultilevel"/>
    <w:tmpl w:val="21FC299A"/>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6" w15:restartNumberingAfterBreak="0">
    <w:nsid w:val="554173C9"/>
    <w:multiLevelType w:val="hybridMultilevel"/>
    <w:tmpl w:val="86DC05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57B2007C"/>
    <w:multiLevelType w:val="hybridMultilevel"/>
    <w:tmpl w:val="9FFAA8E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8" w15:restartNumberingAfterBreak="0">
    <w:nsid w:val="5A9A21C1"/>
    <w:multiLevelType w:val="hybridMultilevel"/>
    <w:tmpl w:val="3B3603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5DA37904"/>
    <w:multiLevelType w:val="hybridMultilevel"/>
    <w:tmpl w:val="C57E2A1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0" w15:restartNumberingAfterBreak="0">
    <w:nsid w:val="5E647BF7"/>
    <w:multiLevelType w:val="hybridMultilevel"/>
    <w:tmpl w:val="2A0685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5F284361"/>
    <w:multiLevelType w:val="hybridMultilevel"/>
    <w:tmpl w:val="3506A9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2A776EC"/>
    <w:multiLevelType w:val="hybridMultilevel"/>
    <w:tmpl w:val="155001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63975D4D"/>
    <w:multiLevelType w:val="hybridMultilevel"/>
    <w:tmpl w:val="582AA6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670B6966"/>
    <w:multiLevelType w:val="hybridMultilevel"/>
    <w:tmpl w:val="924AA3A2"/>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5" w15:restartNumberingAfterBreak="0">
    <w:nsid w:val="68BB2B28"/>
    <w:multiLevelType w:val="hybridMultilevel"/>
    <w:tmpl w:val="9E2EB9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69761142"/>
    <w:multiLevelType w:val="hybridMultilevel"/>
    <w:tmpl w:val="8A207AE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7" w15:restartNumberingAfterBreak="0">
    <w:nsid w:val="6A114A91"/>
    <w:multiLevelType w:val="hybridMultilevel"/>
    <w:tmpl w:val="FFE473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6C2934B6"/>
    <w:multiLevelType w:val="hybridMultilevel"/>
    <w:tmpl w:val="D4B6F5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CAA046D"/>
    <w:multiLevelType w:val="hybridMultilevel"/>
    <w:tmpl w:val="D3B8F2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6E045254"/>
    <w:multiLevelType w:val="hybridMultilevel"/>
    <w:tmpl w:val="1AC09314"/>
    <w:lvl w:ilvl="0" w:tplc="D63440F4">
      <w:start w:val="1"/>
      <w:numFmt w:val="decimal"/>
      <w:lvlText w:val="%1."/>
      <w:lvlJc w:val="left"/>
      <w:pPr>
        <w:ind w:left="720" w:hanging="360"/>
      </w:pPr>
      <w:rPr>
        <w:rFonts w:hint="default"/>
        <w:b w:val="0"/>
        <w:bCs w:val="0"/>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6E046100"/>
    <w:multiLevelType w:val="hybridMultilevel"/>
    <w:tmpl w:val="F516D59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6F0152A0"/>
    <w:multiLevelType w:val="hybridMultilevel"/>
    <w:tmpl w:val="00A8669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3" w15:restartNumberingAfterBreak="0">
    <w:nsid w:val="71C302FE"/>
    <w:multiLevelType w:val="hybridMultilevel"/>
    <w:tmpl w:val="B98A72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75FB003A"/>
    <w:multiLevelType w:val="hybridMultilevel"/>
    <w:tmpl w:val="C26E7C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6D630B8"/>
    <w:multiLevelType w:val="multilevel"/>
    <w:tmpl w:val="9814AE7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85B0DCA"/>
    <w:multiLevelType w:val="multilevel"/>
    <w:tmpl w:val="5BF42738"/>
    <w:lvl w:ilvl="0">
      <w:start w:val="1"/>
      <w:numFmt w:val="decimal"/>
      <w:lvlText w:val="%1."/>
      <w:lvlJc w:val="left"/>
      <w:pPr>
        <w:ind w:left="720" w:hanging="360"/>
      </w:pPr>
      <w:rPr>
        <w:rFonts w:hint="default"/>
      </w:rPr>
    </w:lvl>
    <w:lvl w:ilvl="1">
      <w:start w:val="2"/>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7" w15:restartNumberingAfterBreak="0">
    <w:nsid w:val="7A381A5E"/>
    <w:multiLevelType w:val="hybridMultilevel"/>
    <w:tmpl w:val="5C0EE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7BFA7D75"/>
    <w:multiLevelType w:val="hybridMultilevel"/>
    <w:tmpl w:val="B4C476FC"/>
    <w:lvl w:ilvl="0" w:tplc="D14CD410">
      <w:start w:val="1"/>
      <w:numFmt w:val="bullet"/>
      <w:pStyle w:val="RecBullet"/>
      <w:lvlText w:val=""/>
      <w:lvlJc w:val="left"/>
      <w:pPr>
        <w:tabs>
          <w:tab w:val="num" w:pos="340"/>
        </w:tabs>
        <w:ind w:left="340" w:hanging="340"/>
      </w:pPr>
      <w:rPr>
        <w:rFonts w:ascii="Symbol" w:hAnsi="Symbol" w:hint="default"/>
        <w:b w:val="0"/>
        <w:i w:val="0"/>
        <w:sz w:val="18"/>
      </w:rPr>
    </w:lvl>
    <w:lvl w:ilvl="1" w:tplc="1F4C231C">
      <w:numFmt w:val="decimal"/>
      <w:lvlText w:val=""/>
      <w:lvlJc w:val="left"/>
    </w:lvl>
    <w:lvl w:ilvl="2" w:tplc="49826D7A">
      <w:numFmt w:val="decimal"/>
      <w:lvlText w:val=""/>
      <w:lvlJc w:val="left"/>
    </w:lvl>
    <w:lvl w:ilvl="3" w:tplc="78946572">
      <w:numFmt w:val="decimal"/>
      <w:lvlText w:val=""/>
      <w:lvlJc w:val="left"/>
    </w:lvl>
    <w:lvl w:ilvl="4" w:tplc="53962868">
      <w:numFmt w:val="decimal"/>
      <w:lvlText w:val=""/>
      <w:lvlJc w:val="left"/>
    </w:lvl>
    <w:lvl w:ilvl="5" w:tplc="89BEBD70">
      <w:numFmt w:val="decimal"/>
      <w:lvlText w:val=""/>
      <w:lvlJc w:val="left"/>
    </w:lvl>
    <w:lvl w:ilvl="6" w:tplc="E738F45C">
      <w:numFmt w:val="decimal"/>
      <w:lvlText w:val=""/>
      <w:lvlJc w:val="left"/>
    </w:lvl>
    <w:lvl w:ilvl="7" w:tplc="0DE80136">
      <w:numFmt w:val="decimal"/>
      <w:lvlText w:val=""/>
      <w:lvlJc w:val="left"/>
    </w:lvl>
    <w:lvl w:ilvl="8" w:tplc="BCACC2D6">
      <w:numFmt w:val="decimal"/>
      <w:lvlText w:val=""/>
      <w:lvlJc w:val="left"/>
    </w:lvl>
  </w:abstractNum>
  <w:abstractNum w:abstractNumId="69" w15:restartNumberingAfterBreak="0">
    <w:nsid w:val="7CB32E6C"/>
    <w:multiLevelType w:val="hybridMultilevel"/>
    <w:tmpl w:val="1F8247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88259368">
    <w:abstractNumId w:val="1"/>
  </w:num>
  <w:num w:numId="2" w16cid:durableId="1221403430">
    <w:abstractNumId w:val="37"/>
  </w:num>
  <w:num w:numId="3" w16cid:durableId="284433500">
    <w:abstractNumId w:val="10"/>
  </w:num>
  <w:num w:numId="4" w16cid:durableId="648174514">
    <w:abstractNumId w:val="56"/>
  </w:num>
  <w:num w:numId="5" w16cid:durableId="2094013545">
    <w:abstractNumId w:val="9"/>
  </w:num>
  <w:num w:numId="6" w16cid:durableId="482308044">
    <w:abstractNumId w:val="24"/>
  </w:num>
  <w:num w:numId="7" w16cid:durableId="1060709489">
    <w:abstractNumId w:val="28"/>
  </w:num>
  <w:num w:numId="8" w16cid:durableId="3700819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94357700">
    <w:abstractNumId w:val="68"/>
  </w:num>
  <w:num w:numId="10" w16cid:durableId="839585470">
    <w:abstractNumId w:val="57"/>
  </w:num>
  <w:num w:numId="11" w16cid:durableId="199826096">
    <w:abstractNumId w:val="17"/>
  </w:num>
  <w:num w:numId="12" w16cid:durableId="1378353976">
    <w:abstractNumId w:val="50"/>
  </w:num>
  <w:num w:numId="13" w16cid:durableId="2146894096">
    <w:abstractNumId w:val="31"/>
  </w:num>
  <w:num w:numId="14" w16cid:durableId="1512646978">
    <w:abstractNumId w:val="7"/>
  </w:num>
  <w:num w:numId="15" w16cid:durableId="192886061">
    <w:abstractNumId w:val="14"/>
  </w:num>
  <w:num w:numId="16" w16cid:durableId="77212008">
    <w:abstractNumId w:val="46"/>
  </w:num>
  <w:num w:numId="17" w16cid:durableId="425856121">
    <w:abstractNumId w:val="3"/>
  </w:num>
  <w:num w:numId="18" w16cid:durableId="1882402990">
    <w:abstractNumId w:val="11"/>
  </w:num>
  <w:num w:numId="19" w16cid:durableId="1533493006">
    <w:abstractNumId w:val="58"/>
  </w:num>
  <w:num w:numId="20" w16cid:durableId="677928115">
    <w:abstractNumId w:val="0"/>
  </w:num>
  <w:num w:numId="21" w16cid:durableId="1479105753">
    <w:abstractNumId w:val="6"/>
  </w:num>
  <w:num w:numId="22" w16cid:durableId="255745800">
    <w:abstractNumId w:val="8"/>
  </w:num>
  <w:num w:numId="23" w16cid:durableId="1034765513">
    <w:abstractNumId w:val="65"/>
  </w:num>
  <w:num w:numId="24" w16cid:durableId="823088130">
    <w:abstractNumId w:val="42"/>
  </w:num>
  <w:num w:numId="25" w16cid:durableId="1203204619">
    <w:abstractNumId w:val="2"/>
  </w:num>
  <w:num w:numId="26" w16cid:durableId="401677847">
    <w:abstractNumId w:val="36"/>
  </w:num>
  <w:num w:numId="27" w16cid:durableId="1040743724">
    <w:abstractNumId w:val="26"/>
  </w:num>
  <w:num w:numId="28" w16cid:durableId="1708485997">
    <w:abstractNumId w:val="23"/>
  </w:num>
  <w:num w:numId="29" w16cid:durableId="1909921491">
    <w:abstractNumId w:val="49"/>
  </w:num>
  <w:num w:numId="30" w16cid:durableId="1495487240">
    <w:abstractNumId w:val="30"/>
  </w:num>
  <w:num w:numId="31" w16cid:durableId="723985617">
    <w:abstractNumId w:val="61"/>
  </w:num>
  <w:num w:numId="32" w16cid:durableId="1922983235">
    <w:abstractNumId w:val="33"/>
  </w:num>
  <w:num w:numId="33" w16cid:durableId="757943691">
    <w:abstractNumId w:val="20"/>
  </w:num>
  <w:num w:numId="34" w16cid:durableId="814759403">
    <w:abstractNumId w:val="53"/>
  </w:num>
  <w:num w:numId="35" w16cid:durableId="1974016292">
    <w:abstractNumId w:val="59"/>
  </w:num>
  <w:num w:numId="36" w16cid:durableId="1117522964">
    <w:abstractNumId w:val="69"/>
  </w:num>
  <w:num w:numId="37" w16cid:durableId="1650673182">
    <w:abstractNumId w:val="51"/>
  </w:num>
  <w:num w:numId="38" w16cid:durableId="1697927870">
    <w:abstractNumId w:val="41"/>
  </w:num>
  <w:num w:numId="39" w16cid:durableId="632904169">
    <w:abstractNumId w:val="4"/>
  </w:num>
  <w:num w:numId="40" w16cid:durableId="232931795">
    <w:abstractNumId w:val="52"/>
  </w:num>
  <w:num w:numId="41" w16cid:durableId="1625498959">
    <w:abstractNumId w:val="15"/>
  </w:num>
  <w:num w:numId="42" w16cid:durableId="1684088717">
    <w:abstractNumId w:val="12"/>
  </w:num>
  <w:num w:numId="43" w16cid:durableId="1502045580">
    <w:abstractNumId w:val="16"/>
  </w:num>
  <w:num w:numId="44" w16cid:durableId="343437052">
    <w:abstractNumId w:val="27"/>
  </w:num>
  <w:num w:numId="45" w16cid:durableId="1497645704">
    <w:abstractNumId w:val="55"/>
  </w:num>
  <w:num w:numId="46" w16cid:durableId="1216550264">
    <w:abstractNumId w:val="21"/>
  </w:num>
  <w:num w:numId="47" w16cid:durableId="15426810">
    <w:abstractNumId w:val="40"/>
  </w:num>
  <w:num w:numId="48" w16cid:durableId="2016493512">
    <w:abstractNumId w:val="44"/>
  </w:num>
  <w:num w:numId="49" w16cid:durableId="133759487">
    <w:abstractNumId w:val="63"/>
  </w:num>
  <w:num w:numId="50" w16cid:durableId="1276794255">
    <w:abstractNumId w:val="66"/>
  </w:num>
  <w:num w:numId="51" w16cid:durableId="1192500122">
    <w:abstractNumId w:val="43"/>
  </w:num>
  <w:num w:numId="52" w16cid:durableId="400176149">
    <w:abstractNumId w:val="19"/>
  </w:num>
  <w:num w:numId="53" w16cid:durableId="417560002">
    <w:abstractNumId w:val="38"/>
  </w:num>
  <w:num w:numId="54" w16cid:durableId="1188367969">
    <w:abstractNumId w:val="48"/>
  </w:num>
  <w:num w:numId="55" w16cid:durableId="968583267">
    <w:abstractNumId w:val="29"/>
  </w:num>
  <w:num w:numId="56" w16cid:durableId="925068415">
    <w:abstractNumId w:val="35"/>
  </w:num>
  <w:num w:numId="57" w16cid:durableId="1362589887">
    <w:abstractNumId w:val="34"/>
  </w:num>
  <w:num w:numId="58" w16cid:durableId="642076251">
    <w:abstractNumId w:val="64"/>
  </w:num>
  <w:num w:numId="59" w16cid:durableId="927662570">
    <w:abstractNumId w:val="22"/>
  </w:num>
  <w:num w:numId="60" w16cid:durableId="258484803">
    <w:abstractNumId w:val="67"/>
  </w:num>
  <w:num w:numId="61" w16cid:durableId="734822119">
    <w:abstractNumId w:val="39"/>
  </w:num>
  <w:num w:numId="62" w16cid:durableId="1754617669">
    <w:abstractNumId w:val="32"/>
  </w:num>
  <w:num w:numId="63" w16cid:durableId="1590968368">
    <w:abstractNumId w:val="18"/>
  </w:num>
  <w:num w:numId="64" w16cid:durableId="349642871">
    <w:abstractNumId w:val="60"/>
  </w:num>
  <w:num w:numId="65" w16cid:durableId="217594277">
    <w:abstractNumId w:val="25"/>
  </w:num>
  <w:num w:numId="66" w16cid:durableId="473839738">
    <w:abstractNumId w:val="47"/>
  </w:num>
  <w:num w:numId="67" w16cid:durableId="1857383066">
    <w:abstractNumId w:val="62"/>
  </w:num>
  <w:num w:numId="68" w16cid:durableId="321738950">
    <w:abstractNumId w:val="54"/>
  </w:num>
  <w:num w:numId="69" w16cid:durableId="1802068451">
    <w:abstractNumId w:val="5"/>
  </w:num>
  <w:num w:numId="70" w16cid:durableId="134489512">
    <w:abstractNumId w:val="45"/>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3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552F"/>
    <w:rsid w:val="000001ED"/>
    <w:rsid w:val="000009D4"/>
    <w:rsid w:val="00000E98"/>
    <w:rsid w:val="00000F56"/>
    <w:rsid w:val="00002E32"/>
    <w:rsid w:val="0000333D"/>
    <w:rsid w:val="000036EB"/>
    <w:rsid w:val="0000395C"/>
    <w:rsid w:val="00003FBC"/>
    <w:rsid w:val="00004055"/>
    <w:rsid w:val="00005CF6"/>
    <w:rsid w:val="00010163"/>
    <w:rsid w:val="00011E4D"/>
    <w:rsid w:val="000138CF"/>
    <w:rsid w:val="000140D5"/>
    <w:rsid w:val="000146FA"/>
    <w:rsid w:val="0001554B"/>
    <w:rsid w:val="00016AFF"/>
    <w:rsid w:val="00017F54"/>
    <w:rsid w:val="0002412D"/>
    <w:rsid w:val="00025A20"/>
    <w:rsid w:val="000305EA"/>
    <w:rsid w:val="00031E3C"/>
    <w:rsid w:val="00032CB3"/>
    <w:rsid w:val="00033A75"/>
    <w:rsid w:val="00035138"/>
    <w:rsid w:val="00036AF3"/>
    <w:rsid w:val="00036FAE"/>
    <w:rsid w:val="000403CB"/>
    <w:rsid w:val="00043652"/>
    <w:rsid w:val="00044508"/>
    <w:rsid w:val="00047668"/>
    <w:rsid w:val="00047A2A"/>
    <w:rsid w:val="0005020B"/>
    <w:rsid w:val="000502F6"/>
    <w:rsid w:val="00050DF0"/>
    <w:rsid w:val="00050EE4"/>
    <w:rsid w:val="00055B19"/>
    <w:rsid w:val="000564B3"/>
    <w:rsid w:val="00057815"/>
    <w:rsid w:val="00057A1E"/>
    <w:rsid w:val="000614A1"/>
    <w:rsid w:val="00062794"/>
    <w:rsid w:val="0006484E"/>
    <w:rsid w:val="000668B0"/>
    <w:rsid w:val="00067043"/>
    <w:rsid w:val="0007013F"/>
    <w:rsid w:val="000702F3"/>
    <w:rsid w:val="000752BD"/>
    <w:rsid w:val="00076E76"/>
    <w:rsid w:val="0007712C"/>
    <w:rsid w:val="00080150"/>
    <w:rsid w:val="00081B10"/>
    <w:rsid w:val="0008221C"/>
    <w:rsid w:val="00082ED9"/>
    <w:rsid w:val="00083D03"/>
    <w:rsid w:val="00083F41"/>
    <w:rsid w:val="000846B7"/>
    <w:rsid w:val="000863CC"/>
    <w:rsid w:val="00087116"/>
    <w:rsid w:val="000872FA"/>
    <w:rsid w:val="00087D48"/>
    <w:rsid w:val="00093074"/>
    <w:rsid w:val="0009709D"/>
    <w:rsid w:val="000A137D"/>
    <w:rsid w:val="000A2A28"/>
    <w:rsid w:val="000A2D3A"/>
    <w:rsid w:val="000A3124"/>
    <w:rsid w:val="000A35D6"/>
    <w:rsid w:val="000B1BE1"/>
    <w:rsid w:val="000B3914"/>
    <w:rsid w:val="000B4FF5"/>
    <w:rsid w:val="000B6430"/>
    <w:rsid w:val="000B6E80"/>
    <w:rsid w:val="000C224C"/>
    <w:rsid w:val="000C34FD"/>
    <w:rsid w:val="000C4D6B"/>
    <w:rsid w:val="000C72E6"/>
    <w:rsid w:val="000D1472"/>
    <w:rsid w:val="000D5E6D"/>
    <w:rsid w:val="000E3428"/>
    <w:rsid w:val="000E3516"/>
    <w:rsid w:val="000E4FA2"/>
    <w:rsid w:val="000E57DB"/>
    <w:rsid w:val="000E6FD6"/>
    <w:rsid w:val="000F0000"/>
    <w:rsid w:val="000F1811"/>
    <w:rsid w:val="000F1BA3"/>
    <w:rsid w:val="000F1FB8"/>
    <w:rsid w:val="000F28B6"/>
    <w:rsid w:val="000F3320"/>
    <w:rsid w:val="000F6ADD"/>
    <w:rsid w:val="000F6D50"/>
    <w:rsid w:val="000F7A8C"/>
    <w:rsid w:val="00102ACC"/>
    <w:rsid w:val="00103015"/>
    <w:rsid w:val="00103253"/>
    <w:rsid w:val="001042BA"/>
    <w:rsid w:val="001050B0"/>
    <w:rsid w:val="001062DB"/>
    <w:rsid w:val="00113688"/>
    <w:rsid w:val="001145BD"/>
    <w:rsid w:val="00120A34"/>
    <w:rsid w:val="00124260"/>
    <w:rsid w:val="001254E7"/>
    <w:rsid w:val="00125911"/>
    <w:rsid w:val="00125A8E"/>
    <w:rsid w:val="00125ADD"/>
    <w:rsid w:val="00127CD8"/>
    <w:rsid w:val="001301AD"/>
    <w:rsid w:val="00132009"/>
    <w:rsid w:val="001334D9"/>
    <w:rsid w:val="00136A43"/>
    <w:rsid w:val="001377D9"/>
    <w:rsid w:val="00137ACD"/>
    <w:rsid w:val="0014019E"/>
    <w:rsid w:val="00140DAD"/>
    <w:rsid w:val="00140E3D"/>
    <w:rsid w:val="001420B4"/>
    <w:rsid w:val="001421FE"/>
    <w:rsid w:val="001437EA"/>
    <w:rsid w:val="00145BE1"/>
    <w:rsid w:val="00145E66"/>
    <w:rsid w:val="00146DD3"/>
    <w:rsid w:val="0015276C"/>
    <w:rsid w:val="00152947"/>
    <w:rsid w:val="0015508C"/>
    <w:rsid w:val="00156BDE"/>
    <w:rsid w:val="00160153"/>
    <w:rsid w:val="00161A1F"/>
    <w:rsid w:val="00162990"/>
    <w:rsid w:val="00164AE5"/>
    <w:rsid w:val="0017006A"/>
    <w:rsid w:val="00173A64"/>
    <w:rsid w:val="00173E0C"/>
    <w:rsid w:val="00176288"/>
    <w:rsid w:val="0018081C"/>
    <w:rsid w:val="00182ED9"/>
    <w:rsid w:val="00185322"/>
    <w:rsid w:val="00185491"/>
    <w:rsid w:val="00191FDD"/>
    <w:rsid w:val="001928F3"/>
    <w:rsid w:val="00195030"/>
    <w:rsid w:val="00197C25"/>
    <w:rsid w:val="00197C3F"/>
    <w:rsid w:val="001A1430"/>
    <w:rsid w:val="001A2FE9"/>
    <w:rsid w:val="001A4389"/>
    <w:rsid w:val="001B38B0"/>
    <w:rsid w:val="001B3C7A"/>
    <w:rsid w:val="001B42F4"/>
    <w:rsid w:val="001B58C1"/>
    <w:rsid w:val="001C13A7"/>
    <w:rsid w:val="001C298B"/>
    <w:rsid w:val="001C3552"/>
    <w:rsid w:val="001C5330"/>
    <w:rsid w:val="001C5893"/>
    <w:rsid w:val="001D00E3"/>
    <w:rsid w:val="001D0AF3"/>
    <w:rsid w:val="001D1197"/>
    <w:rsid w:val="001D1D8A"/>
    <w:rsid w:val="001D36EE"/>
    <w:rsid w:val="001D76AF"/>
    <w:rsid w:val="001E07CE"/>
    <w:rsid w:val="001E098E"/>
    <w:rsid w:val="001E1585"/>
    <w:rsid w:val="001E52EB"/>
    <w:rsid w:val="001E5A0B"/>
    <w:rsid w:val="001E7168"/>
    <w:rsid w:val="001F127D"/>
    <w:rsid w:val="001F23D6"/>
    <w:rsid w:val="001F3626"/>
    <w:rsid w:val="001F6DE1"/>
    <w:rsid w:val="001F7336"/>
    <w:rsid w:val="00200358"/>
    <w:rsid w:val="002005CD"/>
    <w:rsid w:val="00201F75"/>
    <w:rsid w:val="00202EC1"/>
    <w:rsid w:val="00204283"/>
    <w:rsid w:val="00204D35"/>
    <w:rsid w:val="00204EEF"/>
    <w:rsid w:val="00205415"/>
    <w:rsid w:val="00205DBD"/>
    <w:rsid w:val="00206759"/>
    <w:rsid w:val="00206CC4"/>
    <w:rsid w:val="00207297"/>
    <w:rsid w:val="0021337D"/>
    <w:rsid w:val="00216A1C"/>
    <w:rsid w:val="002222BE"/>
    <w:rsid w:val="002225D6"/>
    <w:rsid w:val="00223705"/>
    <w:rsid w:val="00223F82"/>
    <w:rsid w:val="00224C52"/>
    <w:rsid w:val="00226970"/>
    <w:rsid w:val="00231F5C"/>
    <w:rsid w:val="00232304"/>
    <w:rsid w:val="00236D6D"/>
    <w:rsid w:val="002378EE"/>
    <w:rsid w:val="002445E3"/>
    <w:rsid w:val="00247EBF"/>
    <w:rsid w:val="002511E8"/>
    <w:rsid w:val="0025251B"/>
    <w:rsid w:val="00252DB1"/>
    <w:rsid w:val="00255296"/>
    <w:rsid w:val="00257ED1"/>
    <w:rsid w:val="00261499"/>
    <w:rsid w:val="0026442D"/>
    <w:rsid w:val="00265DC5"/>
    <w:rsid w:val="00266389"/>
    <w:rsid w:val="002672A4"/>
    <w:rsid w:val="002715D0"/>
    <w:rsid w:val="002747E8"/>
    <w:rsid w:val="00274EEA"/>
    <w:rsid w:val="0027686D"/>
    <w:rsid w:val="002808A9"/>
    <w:rsid w:val="00282ABE"/>
    <w:rsid w:val="00282BED"/>
    <w:rsid w:val="00284661"/>
    <w:rsid w:val="00284B97"/>
    <w:rsid w:val="00284C9D"/>
    <w:rsid w:val="00285EE7"/>
    <w:rsid w:val="00290839"/>
    <w:rsid w:val="00292863"/>
    <w:rsid w:val="00293F47"/>
    <w:rsid w:val="002940A8"/>
    <w:rsid w:val="00294430"/>
    <w:rsid w:val="00296CA7"/>
    <w:rsid w:val="00296FAF"/>
    <w:rsid w:val="00297EAB"/>
    <w:rsid w:val="002A061F"/>
    <w:rsid w:val="002A0745"/>
    <w:rsid w:val="002A1424"/>
    <w:rsid w:val="002A15F1"/>
    <w:rsid w:val="002A1651"/>
    <w:rsid w:val="002A1719"/>
    <w:rsid w:val="002A3240"/>
    <w:rsid w:val="002A4961"/>
    <w:rsid w:val="002A672F"/>
    <w:rsid w:val="002A78DD"/>
    <w:rsid w:val="002B2D3B"/>
    <w:rsid w:val="002B313C"/>
    <w:rsid w:val="002B5C28"/>
    <w:rsid w:val="002B7DA1"/>
    <w:rsid w:val="002C1215"/>
    <w:rsid w:val="002C1F84"/>
    <w:rsid w:val="002C39F6"/>
    <w:rsid w:val="002C4637"/>
    <w:rsid w:val="002C6B25"/>
    <w:rsid w:val="002C6D6A"/>
    <w:rsid w:val="002C769E"/>
    <w:rsid w:val="002D0765"/>
    <w:rsid w:val="002D1504"/>
    <w:rsid w:val="002D3B09"/>
    <w:rsid w:val="002D4A96"/>
    <w:rsid w:val="002D564A"/>
    <w:rsid w:val="002E0038"/>
    <w:rsid w:val="002E0FC0"/>
    <w:rsid w:val="002E12E6"/>
    <w:rsid w:val="002E43E5"/>
    <w:rsid w:val="002E5933"/>
    <w:rsid w:val="002F0EE9"/>
    <w:rsid w:val="002F1EA7"/>
    <w:rsid w:val="002F577E"/>
    <w:rsid w:val="002F5C32"/>
    <w:rsid w:val="002F76C6"/>
    <w:rsid w:val="003023A7"/>
    <w:rsid w:val="003042E2"/>
    <w:rsid w:val="00304A88"/>
    <w:rsid w:val="00304E64"/>
    <w:rsid w:val="00305592"/>
    <w:rsid w:val="0030599F"/>
    <w:rsid w:val="00307358"/>
    <w:rsid w:val="0031070C"/>
    <w:rsid w:val="00310B5C"/>
    <w:rsid w:val="00313612"/>
    <w:rsid w:val="00316053"/>
    <w:rsid w:val="003170AC"/>
    <w:rsid w:val="00320805"/>
    <w:rsid w:val="00320ABD"/>
    <w:rsid w:val="00321527"/>
    <w:rsid w:val="00322FDE"/>
    <w:rsid w:val="00326C24"/>
    <w:rsid w:val="00327967"/>
    <w:rsid w:val="00330106"/>
    <w:rsid w:val="0033070E"/>
    <w:rsid w:val="00331944"/>
    <w:rsid w:val="00331C90"/>
    <w:rsid w:val="0034013D"/>
    <w:rsid w:val="00342830"/>
    <w:rsid w:val="003440C7"/>
    <w:rsid w:val="003454DC"/>
    <w:rsid w:val="003465C6"/>
    <w:rsid w:val="00350779"/>
    <w:rsid w:val="00351F00"/>
    <w:rsid w:val="00352BFA"/>
    <w:rsid w:val="00353D81"/>
    <w:rsid w:val="003544EB"/>
    <w:rsid w:val="00354743"/>
    <w:rsid w:val="00357277"/>
    <w:rsid w:val="0036019D"/>
    <w:rsid w:val="00362530"/>
    <w:rsid w:val="0036257F"/>
    <w:rsid w:val="00363994"/>
    <w:rsid w:val="0036427B"/>
    <w:rsid w:val="0036449C"/>
    <w:rsid w:val="00365D2C"/>
    <w:rsid w:val="00367C2D"/>
    <w:rsid w:val="0037028F"/>
    <w:rsid w:val="0037148B"/>
    <w:rsid w:val="003719BF"/>
    <w:rsid w:val="00375010"/>
    <w:rsid w:val="0037635C"/>
    <w:rsid w:val="0037728A"/>
    <w:rsid w:val="00377427"/>
    <w:rsid w:val="00382672"/>
    <w:rsid w:val="0038467F"/>
    <w:rsid w:val="00384AFB"/>
    <w:rsid w:val="00386B68"/>
    <w:rsid w:val="00386E17"/>
    <w:rsid w:val="0038758C"/>
    <w:rsid w:val="0039066A"/>
    <w:rsid w:val="003910C0"/>
    <w:rsid w:val="003913F1"/>
    <w:rsid w:val="00393619"/>
    <w:rsid w:val="00393A61"/>
    <w:rsid w:val="00394454"/>
    <w:rsid w:val="00395655"/>
    <w:rsid w:val="00395F2D"/>
    <w:rsid w:val="003975E3"/>
    <w:rsid w:val="003A3161"/>
    <w:rsid w:val="003A373E"/>
    <w:rsid w:val="003A3D0E"/>
    <w:rsid w:val="003A4424"/>
    <w:rsid w:val="003A530C"/>
    <w:rsid w:val="003A5841"/>
    <w:rsid w:val="003A7181"/>
    <w:rsid w:val="003A7B17"/>
    <w:rsid w:val="003B29B0"/>
    <w:rsid w:val="003B2DA8"/>
    <w:rsid w:val="003B3044"/>
    <w:rsid w:val="003B55E2"/>
    <w:rsid w:val="003B6C2D"/>
    <w:rsid w:val="003C0D20"/>
    <w:rsid w:val="003C16A9"/>
    <w:rsid w:val="003C202D"/>
    <w:rsid w:val="003C5BF0"/>
    <w:rsid w:val="003D1C7B"/>
    <w:rsid w:val="003D22BF"/>
    <w:rsid w:val="003D22F7"/>
    <w:rsid w:val="003D2713"/>
    <w:rsid w:val="003D2851"/>
    <w:rsid w:val="003D2E4A"/>
    <w:rsid w:val="003D3342"/>
    <w:rsid w:val="003D47C4"/>
    <w:rsid w:val="003D7D5D"/>
    <w:rsid w:val="003E1A3E"/>
    <w:rsid w:val="003E2485"/>
    <w:rsid w:val="003E25EF"/>
    <w:rsid w:val="003E2990"/>
    <w:rsid w:val="003E327C"/>
    <w:rsid w:val="003E3956"/>
    <w:rsid w:val="003E4413"/>
    <w:rsid w:val="003E5B26"/>
    <w:rsid w:val="003E7BB0"/>
    <w:rsid w:val="003F09F7"/>
    <w:rsid w:val="003F1AA1"/>
    <w:rsid w:val="003F1C91"/>
    <w:rsid w:val="003F248A"/>
    <w:rsid w:val="003F24BC"/>
    <w:rsid w:val="003F7E53"/>
    <w:rsid w:val="00402CC7"/>
    <w:rsid w:val="00402D70"/>
    <w:rsid w:val="00403CE4"/>
    <w:rsid w:val="0040713D"/>
    <w:rsid w:val="004075A3"/>
    <w:rsid w:val="00410A3F"/>
    <w:rsid w:val="0041144F"/>
    <w:rsid w:val="004143B1"/>
    <w:rsid w:val="00415A55"/>
    <w:rsid w:val="00416327"/>
    <w:rsid w:val="00425A1E"/>
    <w:rsid w:val="00425FCB"/>
    <w:rsid w:val="0042637C"/>
    <w:rsid w:val="004264F5"/>
    <w:rsid w:val="00430F1B"/>
    <w:rsid w:val="004327E1"/>
    <w:rsid w:val="004338E9"/>
    <w:rsid w:val="00434240"/>
    <w:rsid w:val="00434641"/>
    <w:rsid w:val="00434C27"/>
    <w:rsid w:val="00434CDD"/>
    <w:rsid w:val="004355D0"/>
    <w:rsid w:val="004355E8"/>
    <w:rsid w:val="00436435"/>
    <w:rsid w:val="00440BD4"/>
    <w:rsid w:val="00441D05"/>
    <w:rsid w:val="00444D94"/>
    <w:rsid w:val="00445460"/>
    <w:rsid w:val="00446B03"/>
    <w:rsid w:val="004475E6"/>
    <w:rsid w:val="0044797F"/>
    <w:rsid w:val="00450FB9"/>
    <w:rsid w:val="00463BFF"/>
    <w:rsid w:val="004646F2"/>
    <w:rsid w:val="00467FE9"/>
    <w:rsid w:val="00472F61"/>
    <w:rsid w:val="00473583"/>
    <w:rsid w:val="00473F9F"/>
    <w:rsid w:val="00481DE1"/>
    <w:rsid w:val="00484DBC"/>
    <w:rsid w:val="00490BA0"/>
    <w:rsid w:val="00490E26"/>
    <w:rsid w:val="0049268C"/>
    <w:rsid w:val="00494834"/>
    <w:rsid w:val="0049486C"/>
    <w:rsid w:val="004A2F70"/>
    <w:rsid w:val="004A409F"/>
    <w:rsid w:val="004A48D9"/>
    <w:rsid w:val="004A6B2D"/>
    <w:rsid w:val="004B0A4B"/>
    <w:rsid w:val="004B0E45"/>
    <w:rsid w:val="004B2C3F"/>
    <w:rsid w:val="004B3003"/>
    <w:rsid w:val="004B4888"/>
    <w:rsid w:val="004C1248"/>
    <w:rsid w:val="004C2772"/>
    <w:rsid w:val="004C54E6"/>
    <w:rsid w:val="004C5EC4"/>
    <w:rsid w:val="004C71DB"/>
    <w:rsid w:val="004D20E2"/>
    <w:rsid w:val="004D44C4"/>
    <w:rsid w:val="004D5695"/>
    <w:rsid w:val="004D665B"/>
    <w:rsid w:val="004D7B86"/>
    <w:rsid w:val="004E3388"/>
    <w:rsid w:val="004E558B"/>
    <w:rsid w:val="004E598D"/>
    <w:rsid w:val="004E6E72"/>
    <w:rsid w:val="004E71E8"/>
    <w:rsid w:val="004F0415"/>
    <w:rsid w:val="004F0C24"/>
    <w:rsid w:val="004F53E6"/>
    <w:rsid w:val="004F54FF"/>
    <w:rsid w:val="004F7FE0"/>
    <w:rsid w:val="00503218"/>
    <w:rsid w:val="00505873"/>
    <w:rsid w:val="00506F28"/>
    <w:rsid w:val="005077E4"/>
    <w:rsid w:val="00507CAC"/>
    <w:rsid w:val="005116AB"/>
    <w:rsid w:val="00512175"/>
    <w:rsid w:val="005136D5"/>
    <w:rsid w:val="005146EC"/>
    <w:rsid w:val="00515BBE"/>
    <w:rsid w:val="005169CB"/>
    <w:rsid w:val="00517337"/>
    <w:rsid w:val="005173FC"/>
    <w:rsid w:val="00524226"/>
    <w:rsid w:val="00524D87"/>
    <w:rsid w:val="00527330"/>
    <w:rsid w:val="00530AB6"/>
    <w:rsid w:val="00536596"/>
    <w:rsid w:val="005366FF"/>
    <w:rsid w:val="00537A32"/>
    <w:rsid w:val="005402A8"/>
    <w:rsid w:val="0054286E"/>
    <w:rsid w:val="0054340C"/>
    <w:rsid w:val="005447CB"/>
    <w:rsid w:val="0054602B"/>
    <w:rsid w:val="00546375"/>
    <w:rsid w:val="00547433"/>
    <w:rsid w:val="00557A38"/>
    <w:rsid w:val="005620CA"/>
    <w:rsid w:val="00567193"/>
    <w:rsid w:val="00572401"/>
    <w:rsid w:val="005732E6"/>
    <w:rsid w:val="005736CF"/>
    <w:rsid w:val="0057437B"/>
    <w:rsid w:val="00575D67"/>
    <w:rsid w:val="00577C30"/>
    <w:rsid w:val="005807B0"/>
    <w:rsid w:val="005812FF"/>
    <w:rsid w:val="005819C8"/>
    <w:rsid w:val="0058422E"/>
    <w:rsid w:val="00584B84"/>
    <w:rsid w:val="00585B32"/>
    <w:rsid w:val="005905A0"/>
    <w:rsid w:val="0059074E"/>
    <w:rsid w:val="005907BB"/>
    <w:rsid w:val="00591EC0"/>
    <w:rsid w:val="0059455B"/>
    <w:rsid w:val="0059566E"/>
    <w:rsid w:val="00596CA5"/>
    <w:rsid w:val="00597535"/>
    <w:rsid w:val="005A1D6A"/>
    <w:rsid w:val="005A54B4"/>
    <w:rsid w:val="005A6097"/>
    <w:rsid w:val="005A7050"/>
    <w:rsid w:val="005A7E9D"/>
    <w:rsid w:val="005B3CBC"/>
    <w:rsid w:val="005B510A"/>
    <w:rsid w:val="005B52FE"/>
    <w:rsid w:val="005B5F6A"/>
    <w:rsid w:val="005C0740"/>
    <w:rsid w:val="005C1584"/>
    <w:rsid w:val="005C18D0"/>
    <w:rsid w:val="005C56F8"/>
    <w:rsid w:val="005D217F"/>
    <w:rsid w:val="005D50AE"/>
    <w:rsid w:val="005D794F"/>
    <w:rsid w:val="005E2026"/>
    <w:rsid w:val="005E35D9"/>
    <w:rsid w:val="005F4914"/>
    <w:rsid w:val="005F5709"/>
    <w:rsid w:val="005F5DF6"/>
    <w:rsid w:val="005F5FA1"/>
    <w:rsid w:val="005F7D42"/>
    <w:rsid w:val="0060088C"/>
    <w:rsid w:val="00602081"/>
    <w:rsid w:val="00602E17"/>
    <w:rsid w:val="00603C91"/>
    <w:rsid w:val="00604E7E"/>
    <w:rsid w:val="00604F05"/>
    <w:rsid w:val="00605D32"/>
    <w:rsid w:val="00607EB5"/>
    <w:rsid w:val="00611D31"/>
    <w:rsid w:val="006136A8"/>
    <w:rsid w:val="00613B6B"/>
    <w:rsid w:val="006144C6"/>
    <w:rsid w:val="00615547"/>
    <w:rsid w:val="0061777C"/>
    <w:rsid w:val="006202A1"/>
    <w:rsid w:val="00621450"/>
    <w:rsid w:val="0062319E"/>
    <w:rsid w:val="00624B39"/>
    <w:rsid w:val="00625432"/>
    <w:rsid w:val="00626E42"/>
    <w:rsid w:val="00627EDA"/>
    <w:rsid w:val="0063395E"/>
    <w:rsid w:val="00635325"/>
    <w:rsid w:val="00636200"/>
    <w:rsid w:val="006371FA"/>
    <w:rsid w:val="00640F8F"/>
    <w:rsid w:val="0064431A"/>
    <w:rsid w:val="00644F9C"/>
    <w:rsid w:val="00645DC7"/>
    <w:rsid w:val="0064724F"/>
    <w:rsid w:val="00647639"/>
    <w:rsid w:val="006507CB"/>
    <w:rsid w:val="00651D68"/>
    <w:rsid w:val="00652D30"/>
    <w:rsid w:val="00656314"/>
    <w:rsid w:val="006608EE"/>
    <w:rsid w:val="00661786"/>
    <w:rsid w:val="00661BE8"/>
    <w:rsid w:val="006658B1"/>
    <w:rsid w:val="00665BF3"/>
    <w:rsid w:val="00666943"/>
    <w:rsid w:val="00667B6F"/>
    <w:rsid w:val="00667F82"/>
    <w:rsid w:val="006700AA"/>
    <w:rsid w:val="00671B11"/>
    <w:rsid w:val="006734EB"/>
    <w:rsid w:val="00673EC6"/>
    <w:rsid w:val="00677C39"/>
    <w:rsid w:val="00683087"/>
    <w:rsid w:val="00685653"/>
    <w:rsid w:val="006856C8"/>
    <w:rsid w:val="00685960"/>
    <w:rsid w:val="00692770"/>
    <w:rsid w:val="006930D1"/>
    <w:rsid w:val="006931AD"/>
    <w:rsid w:val="006940BB"/>
    <w:rsid w:val="00697001"/>
    <w:rsid w:val="0069746D"/>
    <w:rsid w:val="006A1788"/>
    <w:rsid w:val="006A354E"/>
    <w:rsid w:val="006A551E"/>
    <w:rsid w:val="006A666D"/>
    <w:rsid w:val="006B00BB"/>
    <w:rsid w:val="006B048A"/>
    <w:rsid w:val="006B0726"/>
    <w:rsid w:val="006B2B54"/>
    <w:rsid w:val="006B2D99"/>
    <w:rsid w:val="006B4509"/>
    <w:rsid w:val="006B4AE1"/>
    <w:rsid w:val="006B6469"/>
    <w:rsid w:val="006B6E38"/>
    <w:rsid w:val="006B7FAA"/>
    <w:rsid w:val="006C004A"/>
    <w:rsid w:val="006C2274"/>
    <w:rsid w:val="006C6305"/>
    <w:rsid w:val="006C68B3"/>
    <w:rsid w:val="006D2667"/>
    <w:rsid w:val="006D58E2"/>
    <w:rsid w:val="006D7B6B"/>
    <w:rsid w:val="006E3838"/>
    <w:rsid w:val="006E3C40"/>
    <w:rsid w:val="006E57A1"/>
    <w:rsid w:val="006E7699"/>
    <w:rsid w:val="006F1E88"/>
    <w:rsid w:val="006F27AC"/>
    <w:rsid w:val="006F3E5C"/>
    <w:rsid w:val="006F5306"/>
    <w:rsid w:val="006F53AB"/>
    <w:rsid w:val="006F627D"/>
    <w:rsid w:val="00701CB8"/>
    <w:rsid w:val="00701E47"/>
    <w:rsid w:val="007021F2"/>
    <w:rsid w:val="00707E57"/>
    <w:rsid w:val="00707F49"/>
    <w:rsid w:val="007103B5"/>
    <w:rsid w:val="00712B16"/>
    <w:rsid w:val="0071599A"/>
    <w:rsid w:val="0072101D"/>
    <w:rsid w:val="007213BB"/>
    <w:rsid w:val="007268C6"/>
    <w:rsid w:val="0072758F"/>
    <w:rsid w:val="007314EF"/>
    <w:rsid w:val="007343C1"/>
    <w:rsid w:val="00735E88"/>
    <w:rsid w:val="00737553"/>
    <w:rsid w:val="0073763E"/>
    <w:rsid w:val="007423EB"/>
    <w:rsid w:val="00743513"/>
    <w:rsid w:val="0074507C"/>
    <w:rsid w:val="007452A0"/>
    <w:rsid w:val="00745FCA"/>
    <w:rsid w:val="00747943"/>
    <w:rsid w:val="0075209E"/>
    <w:rsid w:val="00752673"/>
    <w:rsid w:val="00752BD5"/>
    <w:rsid w:val="00752F0A"/>
    <w:rsid w:val="00753090"/>
    <w:rsid w:val="0075573F"/>
    <w:rsid w:val="00756861"/>
    <w:rsid w:val="00756D99"/>
    <w:rsid w:val="00756F20"/>
    <w:rsid w:val="00760772"/>
    <w:rsid w:val="007609D3"/>
    <w:rsid w:val="00760DDE"/>
    <w:rsid w:val="00761FEF"/>
    <w:rsid w:val="007620AE"/>
    <w:rsid w:val="00765A43"/>
    <w:rsid w:val="00770210"/>
    <w:rsid w:val="00772715"/>
    <w:rsid w:val="00772E3E"/>
    <w:rsid w:val="00776A60"/>
    <w:rsid w:val="00782538"/>
    <w:rsid w:val="007828DD"/>
    <w:rsid w:val="00783ADC"/>
    <w:rsid w:val="00783FAB"/>
    <w:rsid w:val="00784739"/>
    <w:rsid w:val="00785B13"/>
    <w:rsid w:val="00785B49"/>
    <w:rsid w:val="00785E0D"/>
    <w:rsid w:val="00791AAC"/>
    <w:rsid w:val="00795969"/>
    <w:rsid w:val="00795EB4"/>
    <w:rsid w:val="007A3CF2"/>
    <w:rsid w:val="007A66C5"/>
    <w:rsid w:val="007A6AF0"/>
    <w:rsid w:val="007B44CD"/>
    <w:rsid w:val="007B4836"/>
    <w:rsid w:val="007B4C9C"/>
    <w:rsid w:val="007C5020"/>
    <w:rsid w:val="007C6775"/>
    <w:rsid w:val="007C7C20"/>
    <w:rsid w:val="007D12B2"/>
    <w:rsid w:val="007D19C9"/>
    <w:rsid w:val="007D1F16"/>
    <w:rsid w:val="007D3D5B"/>
    <w:rsid w:val="007D3F53"/>
    <w:rsid w:val="007D3FA1"/>
    <w:rsid w:val="007D4E08"/>
    <w:rsid w:val="007D53CA"/>
    <w:rsid w:val="007D54BB"/>
    <w:rsid w:val="007D72CF"/>
    <w:rsid w:val="007D7F56"/>
    <w:rsid w:val="007E00A8"/>
    <w:rsid w:val="007E1272"/>
    <w:rsid w:val="007E16D6"/>
    <w:rsid w:val="007E2197"/>
    <w:rsid w:val="007E3446"/>
    <w:rsid w:val="007E3447"/>
    <w:rsid w:val="007E36E5"/>
    <w:rsid w:val="007E6EC6"/>
    <w:rsid w:val="007F025C"/>
    <w:rsid w:val="007F563E"/>
    <w:rsid w:val="00803447"/>
    <w:rsid w:val="008035CF"/>
    <w:rsid w:val="00804AD2"/>
    <w:rsid w:val="0080584E"/>
    <w:rsid w:val="00805FEB"/>
    <w:rsid w:val="008061C2"/>
    <w:rsid w:val="00806E01"/>
    <w:rsid w:val="0081018E"/>
    <w:rsid w:val="00810A1B"/>
    <w:rsid w:val="00811E34"/>
    <w:rsid w:val="00812293"/>
    <w:rsid w:val="00812C37"/>
    <w:rsid w:val="008134D5"/>
    <w:rsid w:val="00813A38"/>
    <w:rsid w:val="00817759"/>
    <w:rsid w:val="008214CA"/>
    <w:rsid w:val="00823B66"/>
    <w:rsid w:val="00824A98"/>
    <w:rsid w:val="008306DC"/>
    <w:rsid w:val="008310AA"/>
    <w:rsid w:val="008313FC"/>
    <w:rsid w:val="00831F1A"/>
    <w:rsid w:val="008320A9"/>
    <w:rsid w:val="00832E78"/>
    <w:rsid w:val="00834114"/>
    <w:rsid w:val="008354C7"/>
    <w:rsid w:val="00836813"/>
    <w:rsid w:val="00844D23"/>
    <w:rsid w:val="00845A07"/>
    <w:rsid w:val="008509BE"/>
    <w:rsid w:val="008517D8"/>
    <w:rsid w:val="00852369"/>
    <w:rsid w:val="00855239"/>
    <w:rsid w:val="00856214"/>
    <w:rsid w:val="00856BC4"/>
    <w:rsid w:val="00860869"/>
    <w:rsid w:val="00867101"/>
    <w:rsid w:val="008674B2"/>
    <w:rsid w:val="008715A9"/>
    <w:rsid w:val="00872EC2"/>
    <w:rsid w:val="008736D4"/>
    <w:rsid w:val="00874BC9"/>
    <w:rsid w:val="008755D8"/>
    <w:rsid w:val="00875747"/>
    <w:rsid w:val="0087697B"/>
    <w:rsid w:val="00876CAE"/>
    <w:rsid w:val="008817E4"/>
    <w:rsid w:val="0088269D"/>
    <w:rsid w:val="00884682"/>
    <w:rsid w:val="0089218F"/>
    <w:rsid w:val="00894DB0"/>
    <w:rsid w:val="008A1162"/>
    <w:rsid w:val="008A1F97"/>
    <w:rsid w:val="008A6224"/>
    <w:rsid w:val="008A7A64"/>
    <w:rsid w:val="008B1AE9"/>
    <w:rsid w:val="008B478B"/>
    <w:rsid w:val="008B61B7"/>
    <w:rsid w:val="008B7FEC"/>
    <w:rsid w:val="008C04F1"/>
    <w:rsid w:val="008C1B0F"/>
    <w:rsid w:val="008C1C70"/>
    <w:rsid w:val="008C2FB7"/>
    <w:rsid w:val="008C48EF"/>
    <w:rsid w:val="008C497B"/>
    <w:rsid w:val="008C4B4C"/>
    <w:rsid w:val="008C76FD"/>
    <w:rsid w:val="008D2EF2"/>
    <w:rsid w:val="008D3EF3"/>
    <w:rsid w:val="008D4FA5"/>
    <w:rsid w:val="008D72EA"/>
    <w:rsid w:val="008D7625"/>
    <w:rsid w:val="008E30D6"/>
    <w:rsid w:val="008E30D9"/>
    <w:rsid w:val="008E68D3"/>
    <w:rsid w:val="008E742D"/>
    <w:rsid w:val="008E79DF"/>
    <w:rsid w:val="008F002D"/>
    <w:rsid w:val="008F04DF"/>
    <w:rsid w:val="008F0A92"/>
    <w:rsid w:val="008F172F"/>
    <w:rsid w:val="008F284A"/>
    <w:rsid w:val="008F326A"/>
    <w:rsid w:val="008F43E8"/>
    <w:rsid w:val="008F5E5C"/>
    <w:rsid w:val="008F7E2C"/>
    <w:rsid w:val="00902A26"/>
    <w:rsid w:val="00903257"/>
    <w:rsid w:val="009048A2"/>
    <w:rsid w:val="00905C61"/>
    <w:rsid w:val="009060D7"/>
    <w:rsid w:val="00907965"/>
    <w:rsid w:val="00907BC6"/>
    <w:rsid w:val="00907D61"/>
    <w:rsid w:val="00910064"/>
    <w:rsid w:val="009114DC"/>
    <w:rsid w:val="00911D92"/>
    <w:rsid w:val="009121D3"/>
    <w:rsid w:val="00913B05"/>
    <w:rsid w:val="00916157"/>
    <w:rsid w:val="0091616E"/>
    <w:rsid w:val="009176F5"/>
    <w:rsid w:val="00926853"/>
    <w:rsid w:val="00933606"/>
    <w:rsid w:val="00933AD6"/>
    <w:rsid w:val="009343CB"/>
    <w:rsid w:val="009421AA"/>
    <w:rsid w:val="0094476A"/>
    <w:rsid w:val="009461D3"/>
    <w:rsid w:val="0094774B"/>
    <w:rsid w:val="00950053"/>
    <w:rsid w:val="00951348"/>
    <w:rsid w:val="00952E76"/>
    <w:rsid w:val="00962182"/>
    <w:rsid w:val="009637DC"/>
    <w:rsid w:val="009668D1"/>
    <w:rsid w:val="00966DA0"/>
    <w:rsid w:val="00970AAB"/>
    <w:rsid w:val="00971EEA"/>
    <w:rsid w:val="00974504"/>
    <w:rsid w:val="00974EB1"/>
    <w:rsid w:val="0097576F"/>
    <w:rsid w:val="00975A4A"/>
    <w:rsid w:val="00976413"/>
    <w:rsid w:val="009765DC"/>
    <w:rsid w:val="009767B4"/>
    <w:rsid w:val="00976A96"/>
    <w:rsid w:val="00977294"/>
    <w:rsid w:val="009807AE"/>
    <w:rsid w:val="00990334"/>
    <w:rsid w:val="00991158"/>
    <w:rsid w:val="0099199E"/>
    <w:rsid w:val="00992256"/>
    <w:rsid w:val="00994722"/>
    <w:rsid w:val="00995C44"/>
    <w:rsid w:val="009A04A5"/>
    <w:rsid w:val="009A1888"/>
    <w:rsid w:val="009A35A0"/>
    <w:rsid w:val="009A7CFA"/>
    <w:rsid w:val="009A7D80"/>
    <w:rsid w:val="009B0C51"/>
    <w:rsid w:val="009B2183"/>
    <w:rsid w:val="009B29AC"/>
    <w:rsid w:val="009B3AFF"/>
    <w:rsid w:val="009B3F33"/>
    <w:rsid w:val="009B4B7F"/>
    <w:rsid w:val="009B5E70"/>
    <w:rsid w:val="009B6BAC"/>
    <w:rsid w:val="009C0F35"/>
    <w:rsid w:val="009C4F55"/>
    <w:rsid w:val="009C5E5D"/>
    <w:rsid w:val="009D23FB"/>
    <w:rsid w:val="009D3350"/>
    <w:rsid w:val="009D4042"/>
    <w:rsid w:val="009D5897"/>
    <w:rsid w:val="009D7562"/>
    <w:rsid w:val="009E04A8"/>
    <w:rsid w:val="009E0803"/>
    <w:rsid w:val="009E145D"/>
    <w:rsid w:val="009E19F7"/>
    <w:rsid w:val="009E34EC"/>
    <w:rsid w:val="009E363D"/>
    <w:rsid w:val="009E421C"/>
    <w:rsid w:val="009E7C1C"/>
    <w:rsid w:val="009F097E"/>
    <w:rsid w:val="009F13BF"/>
    <w:rsid w:val="009F1C14"/>
    <w:rsid w:val="009F1D34"/>
    <w:rsid w:val="009F4C47"/>
    <w:rsid w:val="009F528F"/>
    <w:rsid w:val="009F6AC9"/>
    <w:rsid w:val="009F7FAF"/>
    <w:rsid w:val="00A038B9"/>
    <w:rsid w:val="00A042F8"/>
    <w:rsid w:val="00A06870"/>
    <w:rsid w:val="00A105DA"/>
    <w:rsid w:val="00A12737"/>
    <w:rsid w:val="00A1711A"/>
    <w:rsid w:val="00A20031"/>
    <w:rsid w:val="00A202D5"/>
    <w:rsid w:val="00A219D8"/>
    <w:rsid w:val="00A23CDC"/>
    <w:rsid w:val="00A24596"/>
    <w:rsid w:val="00A24B24"/>
    <w:rsid w:val="00A24D80"/>
    <w:rsid w:val="00A25E6C"/>
    <w:rsid w:val="00A311B2"/>
    <w:rsid w:val="00A40E3D"/>
    <w:rsid w:val="00A40EA6"/>
    <w:rsid w:val="00A41133"/>
    <w:rsid w:val="00A42387"/>
    <w:rsid w:val="00A431AF"/>
    <w:rsid w:val="00A437D8"/>
    <w:rsid w:val="00A46500"/>
    <w:rsid w:val="00A47C4E"/>
    <w:rsid w:val="00A50F60"/>
    <w:rsid w:val="00A52318"/>
    <w:rsid w:val="00A5260A"/>
    <w:rsid w:val="00A52753"/>
    <w:rsid w:val="00A54B83"/>
    <w:rsid w:val="00A550E8"/>
    <w:rsid w:val="00A556D1"/>
    <w:rsid w:val="00A56E8B"/>
    <w:rsid w:val="00A6069E"/>
    <w:rsid w:val="00A6676C"/>
    <w:rsid w:val="00A66C64"/>
    <w:rsid w:val="00A71133"/>
    <w:rsid w:val="00A7209C"/>
    <w:rsid w:val="00A7488E"/>
    <w:rsid w:val="00A75B1B"/>
    <w:rsid w:val="00A761C7"/>
    <w:rsid w:val="00A77116"/>
    <w:rsid w:val="00A77D42"/>
    <w:rsid w:val="00A82E17"/>
    <w:rsid w:val="00A85075"/>
    <w:rsid w:val="00A90245"/>
    <w:rsid w:val="00A93F1F"/>
    <w:rsid w:val="00A94478"/>
    <w:rsid w:val="00A94E99"/>
    <w:rsid w:val="00A96A07"/>
    <w:rsid w:val="00AA0CA4"/>
    <w:rsid w:val="00AA3173"/>
    <w:rsid w:val="00AA3A3E"/>
    <w:rsid w:val="00AA7107"/>
    <w:rsid w:val="00AA71BB"/>
    <w:rsid w:val="00AA73A3"/>
    <w:rsid w:val="00AA76C1"/>
    <w:rsid w:val="00AB0566"/>
    <w:rsid w:val="00AB19B6"/>
    <w:rsid w:val="00AB3ECF"/>
    <w:rsid w:val="00AB3F05"/>
    <w:rsid w:val="00AB5F7E"/>
    <w:rsid w:val="00AB67DF"/>
    <w:rsid w:val="00AB7390"/>
    <w:rsid w:val="00AC1BD5"/>
    <w:rsid w:val="00AC4839"/>
    <w:rsid w:val="00AC5A2E"/>
    <w:rsid w:val="00AC6ABA"/>
    <w:rsid w:val="00AD00C9"/>
    <w:rsid w:val="00AD1C80"/>
    <w:rsid w:val="00AD2E24"/>
    <w:rsid w:val="00AD5627"/>
    <w:rsid w:val="00AD65C9"/>
    <w:rsid w:val="00AD6639"/>
    <w:rsid w:val="00AD6A69"/>
    <w:rsid w:val="00AE4A25"/>
    <w:rsid w:val="00AE5CCB"/>
    <w:rsid w:val="00AE7179"/>
    <w:rsid w:val="00AF2FCF"/>
    <w:rsid w:val="00AF58D0"/>
    <w:rsid w:val="00AF6215"/>
    <w:rsid w:val="00AF6F6E"/>
    <w:rsid w:val="00AF6F73"/>
    <w:rsid w:val="00AF7ACC"/>
    <w:rsid w:val="00B003E6"/>
    <w:rsid w:val="00B00A18"/>
    <w:rsid w:val="00B062BD"/>
    <w:rsid w:val="00B07960"/>
    <w:rsid w:val="00B10225"/>
    <w:rsid w:val="00B10FD8"/>
    <w:rsid w:val="00B11323"/>
    <w:rsid w:val="00B129E9"/>
    <w:rsid w:val="00B13A2F"/>
    <w:rsid w:val="00B13F97"/>
    <w:rsid w:val="00B145D2"/>
    <w:rsid w:val="00B178D3"/>
    <w:rsid w:val="00B2051B"/>
    <w:rsid w:val="00B20A54"/>
    <w:rsid w:val="00B20EE4"/>
    <w:rsid w:val="00B21A38"/>
    <w:rsid w:val="00B2273D"/>
    <w:rsid w:val="00B22F73"/>
    <w:rsid w:val="00B2510D"/>
    <w:rsid w:val="00B2768D"/>
    <w:rsid w:val="00B27960"/>
    <w:rsid w:val="00B27A47"/>
    <w:rsid w:val="00B27CAF"/>
    <w:rsid w:val="00B30078"/>
    <w:rsid w:val="00B32621"/>
    <w:rsid w:val="00B32681"/>
    <w:rsid w:val="00B32C39"/>
    <w:rsid w:val="00B32F1C"/>
    <w:rsid w:val="00B339F8"/>
    <w:rsid w:val="00B40462"/>
    <w:rsid w:val="00B4065C"/>
    <w:rsid w:val="00B416F0"/>
    <w:rsid w:val="00B43512"/>
    <w:rsid w:val="00B45909"/>
    <w:rsid w:val="00B510BC"/>
    <w:rsid w:val="00B52CD8"/>
    <w:rsid w:val="00B5615D"/>
    <w:rsid w:val="00B60487"/>
    <w:rsid w:val="00B604EB"/>
    <w:rsid w:val="00B6108C"/>
    <w:rsid w:val="00B6156A"/>
    <w:rsid w:val="00B67F7B"/>
    <w:rsid w:val="00B739E2"/>
    <w:rsid w:val="00B75E49"/>
    <w:rsid w:val="00B75F72"/>
    <w:rsid w:val="00B76CED"/>
    <w:rsid w:val="00B77239"/>
    <w:rsid w:val="00B819AA"/>
    <w:rsid w:val="00B866E0"/>
    <w:rsid w:val="00B86BA1"/>
    <w:rsid w:val="00B90E81"/>
    <w:rsid w:val="00B91CDE"/>
    <w:rsid w:val="00B928B5"/>
    <w:rsid w:val="00B93CF9"/>
    <w:rsid w:val="00B94911"/>
    <w:rsid w:val="00BA035C"/>
    <w:rsid w:val="00BA1CF2"/>
    <w:rsid w:val="00BA3CE7"/>
    <w:rsid w:val="00BA54AA"/>
    <w:rsid w:val="00BB2109"/>
    <w:rsid w:val="00BB2C6B"/>
    <w:rsid w:val="00BB3542"/>
    <w:rsid w:val="00BB38D4"/>
    <w:rsid w:val="00BB4D85"/>
    <w:rsid w:val="00BB61E4"/>
    <w:rsid w:val="00BB631E"/>
    <w:rsid w:val="00BB71A8"/>
    <w:rsid w:val="00BC221A"/>
    <w:rsid w:val="00BC4BD5"/>
    <w:rsid w:val="00BC4F74"/>
    <w:rsid w:val="00BC50A3"/>
    <w:rsid w:val="00BD1D88"/>
    <w:rsid w:val="00BD38D3"/>
    <w:rsid w:val="00BD3B90"/>
    <w:rsid w:val="00BD41D4"/>
    <w:rsid w:val="00BD44FB"/>
    <w:rsid w:val="00BD465A"/>
    <w:rsid w:val="00BD47A9"/>
    <w:rsid w:val="00BD5316"/>
    <w:rsid w:val="00BD5A86"/>
    <w:rsid w:val="00BD64C5"/>
    <w:rsid w:val="00BD6AC2"/>
    <w:rsid w:val="00BD6D71"/>
    <w:rsid w:val="00BE2FA2"/>
    <w:rsid w:val="00BE4589"/>
    <w:rsid w:val="00BE5381"/>
    <w:rsid w:val="00BE68F9"/>
    <w:rsid w:val="00BF22A8"/>
    <w:rsid w:val="00BF2A9B"/>
    <w:rsid w:val="00BF3DAE"/>
    <w:rsid w:val="00BF5B55"/>
    <w:rsid w:val="00BF5FAD"/>
    <w:rsid w:val="00C00DD8"/>
    <w:rsid w:val="00C00E46"/>
    <w:rsid w:val="00C00E9D"/>
    <w:rsid w:val="00C02595"/>
    <w:rsid w:val="00C02D63"/>
    <w:rsid w:val="00C056CC"/>
    <w:rsid w:val="00C11E37"/>
    <w:rsid w:val="00C11FDD"/>
    <w:rsid w:val="00C12197"/>
    <w:rsid w:val="00C12E81"/>
    <w:rsid w:val="00C1330A"/>
    <w:rsid w:val="00C145EB"/>
    <w:rsid w:val="00C2253B"/>
    <w:rsid w:val="00C2284B"/>
    <w:rsid w:val="00C2416A"/>
    <w:rsid w:val="00C2644F"/>
    <w:rsid w:val="00C2795B"/>
    <w:rsid w:val="00C30E45"/>
    <w:rsid w:val="00C31561"/>
    <w:rsid w:val="00C322DB"/>
    <w:rsid w:val="00C325A5"/>
    <w:rsid w:val="00C33808"/>
    <w:rsid w:val="00C36526"/>
    <w:rsid w:val="00C36A15"/>
    <w:rsid w:val="00C3701B"/>
    <w:rsid w:val="00C37043"/>
    <w:rsid w:val="00C374D3"/>
    <w:rsid w:val="00C40619"/>
    <w:rsid w:val="00C40CDB"/>
    <w:rsid w:val="00C4300F"/>
    <w:rsid w:val="00C4387C"/>
    <w:rsid w:val="00C439B9"/>
    <w:rsid w:val="00C43CDC"/>
    <w:rsid w:val="00C45661"/>
    <w:rsid w:val="00C45D26"/>
    <w:rsid w:val="00C5010C"/>
    <w:rsid w:val="00C50AFE"/>
    <w:rsid w:val="00C60069"/>
    <w:rsid w:val="00C62BC1"/>
    <w:rsid w:val="00C63BBA"/>
    <w:rsid w:val="00C63D28"/>
    <w:rsid w:val="00C64879"/>
    <w:rsid w:val="00C65CED"/>
    <w:rsid w:val="00C66953"/>
    <w:rsid w:val="00C72172"/>
    <w:rsid w:val="00C727FD"/>
    <w:rsid w:val="00C72EBA"/>
    <w:rsid w:val="00C73133"/>
    <w:rsid w:val="00C731FA"/>
    <w:rsid w:val="00C739BF"/>
    <w:rsid w:val="00C7617C"/>
    <w:rsid w:val="00C812C4"/>
    <w:rsid w:val="00C82C91"/>
    <w:rsid w:val="00C83882"/>
    <w:rsid w:val="00C84262"/>
    <w:rsid w:val="00C8465E"/>
    <w:rsid w:val="00C846A2"/>
    <w:rsid w:val="00C85A93"/>
    <w:rsid w:val="00C86317"/>
    <w:rsid w:val="00C87A7C"/>
    <w:rsid w:val="00C903C7"/>
    <w:rsid w:val="00C90EFC"/>
    <w:rsid w:val="00C90FC4"/>
    <w:rsid w:val="00C940CD"/>
    <w:rsid w:val="00C94173"/>
    <w:rsid w:val="00C954B7"/>
    <w:rsid w:val="00C9591A"/>
    <w:rsid w:val="00C96D4A"/>
    <w:rsid w:val="00C97F24"/>
    <w:rsid w:val="00CA3572"/>
    <w:rsid w:val="00CA46AC"/>
    <w:rsid w:val="00CA4F71"/>
    <w:rsid w:val="00CA5A4B"/>
    <w:rsid w:val="00CB337B"/>
    <w:rsid w:val="00CB45D5"/>
    <w:rsid w:val="00CB4C32"/>
    <w:rsid w:val="00CB6259"/>
    <w:rsid w:val="00CB7A83"/>
    <w:rsid w:val="00CC28A1"/>
    <w:rsid w:val="00CC3AE0"/>
    <w:rsid w:val="00CC3C0B"/>
    <w:rsid w:val="00CC3CD3"/>
    <w:rsid w:val="00CC3D87"/>
    <w:rsid w:val="00CC4A42"/>
    <w:rsid w:val="00CC4C6D"/>
    <w:rsid w:val="00CC65F3"/>
    <w:rsid w:val="00CD083E"/>
    <w:rsid w:val="00CD1623"/>
    <w:rsid w:val="00CD20F8"/>
    <w:rsid w:val="00CD3705"/>
    <w:rsid w:val="00CD3E5E"/>
    <w:rsid w:val="00CD5E17"/>
    <w:rsid w:val="00CD61AD"/>
    <w:rsid w:val="00CD6E72"/>
    <w:rsid w:val="00CE3EA5"/>
    <w:rsid w:val="00CE42B5"/>
    <w:rsid w:val="00CE7941"/>
    <w:rsid w:val="00CE7E3E"/>
    <w:rsid w:val="00CF0392"/>
    <w:rsid w:val="00CF1C96"/>
    <w:rsid w:val="00CF5A8C"/>
    <w:rsid w:val="00D0097F"/>
    <w:rsid w:val="00D010D3"/>
    <w:rsid w:val="00D02010"/>
    <w:rsid w:val="00D05A8C"/>
    <w:rsid w:val="00D07FEC"/>
    <w:rsid w:val="00D119DD"/>
    <w:rsid w:val="00D14A9D"/>
    <w:rsid w:val="00D14BA1"/>
    <w:rsid w:val="00D15754"/>
    <w:rsid w:val="00D15BF6"/>
    <w:rsid w:val="00D171CB"/>
    <w:rsid w:val="00D17A67"/>
    <w:rsid w:val="00D17FC6"/>
    <w:rsid w:val="00D217D1"/>
    <w:rsid w:val="00D2517F"/>
    <w:rsid w:val="00D27BDB"/>
    <w:rsid w:val="00D34AEF"/>
    <w:rsid w:val="00D35119"/>
    <w:rsid w:val="00D35FF5"/>
    <w:rsid w:val="00D3758C"/>
    <w:rsid w:val="00D376CC"/>
    <w:rsid w:val="00D37A80"/>
    <w:rsid w:val="00D4069B"/>
    <w:rsid w:val="00D408C0"/>
    <w:rsid w:val="00D430F7"/>
    <w:rsid w:val="00D43714"/>
    <w:rsid w:val="00D46134"/>
    <w:rsid w:val="00D46290"/>
    <w:rsid w:val="00D468A9"/>
    <w:rsid w:val="00D476E0"/>
    <w:rsid w:val="00D507CE"/>
    <w:rsid w:val="00D50946"/>
    <w:rsid w:val="00D52AB7"/>
    <w:rsid w:val="00D531FC"/>
    <w:rsid w:val="00D5387E"/>
    <w:rsid w:val="00D53CE0"/>
    <w:rsid w:val="00D53CEA"/>
    <w:rsid w:val="00D56A3B"/>
    <w:rsid w:val="00D56CAB"/>
    <w:rsid w:val="00D57EC8"/>
    <w:rsid w:val="00D608C0"/>
    <w:rsid w:val="00D61A73"/>
    <w:rsid w:val="00D63270"/>
    <w:rsid w:val="00D63CDD"/>
    <w:rsid w:val="00D640D7"/>
    <w:rsid w:val="00D655C5"/>
    <w:rsid w:val="00D66B65"/>
    <w:rsid w:val="00D70EAE"/>
    <w:rsid w:val="00D726E1"/>
    <w:rsid w:val="00D73415"/>
    <w:rsid w:val="00D74B9B"/>
    <w:rsid w:val="00D773CB"/>
    <w:rsid w:val="00D8103E"/>
    <w:rsid w:val="00D818BA"/>
    <w:rsid w:val="00D81A0D"/>
    <w:rsid w:val="00D842A2"/>
    <w:rsid w:val="00D84946"/>
    <w:rsid w:val="00D93741"/>
    <w:rsid w:val="00D949B8"/>
    <w:rsid w:val="00DA004A"/>
    <w:rsid w:val="00DA224E"/>
    <w:rsid w:val="00DA2465"/>
    <w:rsid w:val="00DA25A7"/>
    <w:rsid w:val="00DA3284"/>
    <w:rsid w:val="00DA4E07"/>
    <w:rsid w:val="00DA5220"/>
    <w:rsid w:val="00DA5224"/>
    <w:rsid w:val="00DA552F"/>
    <w:rsid w:val="00DA59BF"/>
    <w:rsid w:val="00DA62CE"/>
    <w:rsid w:val="00DA7E92"/>
    <w:rsid w:val="00DB0B6C"/>
    <w:rsid w:val="00DB1C9E"/>
    <w:rsid w:val="00DB2434"/>
    <w:rsid w:val="00DB461B"/>
    <w:rsid w:val="00DB4D35"/>
    <w:rsid w:val="00DB70DC"/>
    <w:rsid w:val="00DC2043"/>
    <w:rsid w:val="00DC3E8C"/>
    <w:rsid w:val="00DC4B5E"/>
    <w:rsid w:val="00DD1234"/>
    <w:rsid w:val="00DD2438"/>
    <w:rsid w:val="00DD408F"/>
    <w:rsid w:val="00DD5F43"/>
    <w:rsid w:val="00DD651A"/>
    <w:rsid w:val="00DD7B03"/>
    <w:rsid w:val="00DE01A7"/>
    <w:rsid w:val="00DE02BB"/>
    <w:rsid w:val="00DE1FD8"/>
    <w:rsid w:val="00DE36DE"/>
    <w:rsid w:val="00DE5F92"/>
    <w:rsid w:val="00DE715E"/>
    <w:rsid w:val="00DE7C37"/>
    <w:rsid w:val="00DF13F3"/>
    <w:rsid w:val="00DF17BF"/>
    <w:rsid w:val="00DF3683"/>
    <w:rsid w:val="00DF46B2"/>
    <w:rsid w:val="00DF575D"/>
    <w:rsid w:val="00DF61B7"/>
    <w:rsid w:val="00DF62A7"/>
    <w:rsid w:val="00DF6E22"/>
    <w:rsid w:val="00E00305"/>
    <w:rsid w:val="00E01924"/>
    <w:rsid w:val="00E01C32"/>
    <w:rsid w:val="00E01F85"/>
    <w:rsid w:val="00E036BD"/>
    <w:rsid w:val="00E04EE6"/>
    <w:rsid w:val="00E05570"/>
    <w:rsid w:val="00E0650D"/>
    <w:rsid w:val="00E12027"/>
    <w:rsid w:val="00E1257E"/>
    <w:rsid w:val="00E1486F"/>
    <w:rsid w:val="00E16E1E"/>
    <w:rsid w:val="00E232A3"/>
    <w:rsid w:val="00E24E50"/>
    <w:rsid w:val="00E251EE"/>
    <w:rsid w:val="00E302D5"/>
    <w:rsid w:val="00E30D36"/>
    <w:rsid w:val="00E31E38"/>
    <w:rsid w:val="00E3324A"/>
    <w:rsid w:val="00E33927"/>
    <w:rsid w:val="00E33D9A"/>
    <w:rsid w:val="00E40B27"/>
    <w:rsid w:val="00E42DF3"/>
    <w:rsid w:val="00E43542"/>
    <w:rsid w:val="00E44898"/>
    <w:rsid w:val="00E54C01"/>
    <w:rsid w:val="00E5541C"/>
    <w:rsid w:val="00E55D04"/>
    <w:rsid w:val="00E56938"/>
    <w:rsid w:val="00E6060F"/>
    <w:rsid w:val="00E60A2A"/>
    <w:rsid w:val="00E62C51"/>
    <w:rsid w:val="00E65783"/>
    <w:rsid w:val="00E662FD"/>
    <w:rsid w:val="00E700EC"/>
    <w:rsid w:val="00E711A1"/>
    <w:rsid w:val="00E71E6D"/>
    <w:rsid w:val="00E72FD0"/>
    <w:rsid w:val="00E73D61"/>
    <w:rsid w:val="00E757D0"/>
    <w:rsid w:val="00E767BE"/>
    <w:rsid w:val="00E84C7A"/>
    <w:rsid w:val="00E8671C"/>
    <w:rsid w:val="00E90298"/>
    <w:rsid w:val="00E916A2"/>
    <w:rsid w:val="00E91930"/>
    <w:rsid w:val="00EA3323"/>
    <w:rsid w:val="00EA3E2A"/>
    <w:rsid w:val="00EA503C"/>
    <w:rsid w:val="00EA5245"/>
    <w:rsid w:val="00EA5AA8"/>
    <w:rsid w:val="00EA6D4F"/>
    <w:rsid w:val="00EA716A"/>
    <w:rsid w:val="00EA7DFB"/>
    <w:rsid w:val="00EA7EA8"/>
    <w:rsid w:val="00EB153F"/>
    <w:rsid w:val="00EB61F5"/>
    <w:rsid w:val="00EB7696"/>
    <w:rsid w:val="00EC0A15"/>
    <w:rsid w:val="00EC2A86"/>
    <w:rsid w:val="00EC37F3"/>
    <w:rsid w:val="00EC69C9"/>
    <w:rsid w:val="00ED0975"/>
    <w:rsid w:val="00ED14ED"/>
    <w:rsid w:val="00ED3091"/>
    <w:rsid w:val="00EE159D"/>
    <w:rsid w:val="00EE2EF3"/>
    <w:rsid w:val="00EE412B"/>
    <w:rsid w:val="00EE43AC"/>
    <w:rsid w:val="00EE51C8"/>
    <w:rsid w:val="00EF65BE"/>
    <w:rsid w:val="00EF6E2A"/>
    <w:rsid w:val="00EF7A0B"/>
    <w:rsid w:val="00F00674"/>
    <w:rsid w:val="00F02D34"/>
    <w:rsid w:val="00F03635"/>
    <w:rsid w:val="00F03F0B"/>
    <w:rsid w:val="00F0455E"/>
    <w:rsid w:val="00F0609A"/>
    <w:rsid w:val="00F1230D"/>
    <w:rsid w:val="00F1277A"/>
    <w:rsid w:val="00F139B0"/>
    <w:rsid w:val="00F14B15"/>
    <w:rsid w:val="00F14BCE"/>
    <w:rsid w:val="00F1694C"/>
    <w:rsid w:val="00F21042"/>
    <w:rsid w:val="00F21FAC"/>
    <w:rsid w:val="00F30986"/>
    <w:rsid w:val="00F3264E"/>
    <w:rsid w:val="00F344B7"/>
    <w:rsid w:val="00F36014"/>
    <w:rsid w:val="00F36E18"/>
    <w:rsid w:val="00F36FC5"/>
    <w:rsid w:val="00F37BC2"/>
    <w:rsid w:val="00F37D3C"/>
    <w:rsid w:val="00F37E4C"/>
    <w:rsid w:val="00F426D2"/>
    <w:rsid w:val="00F42A7B"/>
    <w:rsid w:val="00F43288"/>
    <w:rsid w:val="00F43DAD"/>
    <w:rsid w:val="00F4581D"/>
    <w:rsid w:val="00F45857"/>
    <w:rsid w:val="00F47B3E"/>
    <w:rsid w:val="00F50617"/>
    <w:rsid w:val="00F513EB"/>
    <w:rsid w:val="00F51FAB"/>
    <w:rsid w:val="00F5236B"/>
    <w:rsid w:val="00F5252A"/>
    <w:rsid w:val="00F54266"/>
    <w:rsid w:val="00F552D2"/>
    <w:rsid w:val="00F5679F"/>
    <w:rsid w:val="00F5691D"/>
    <w:rsid w:val="00F60D6A"/>
    <w:rsid w:val="00F60F15"/>
    <w:rsid w:val="00F62708"/>
    <w:rsid w:val="00F6460E"/>
    <w:rsid w:val="00F64CB4"/>
    <w:rsid w:val="00F65889"/>
    <w:rsid w:val="00F722B3"/>
    <w:rsid w:val="00F72398"/>
    <w:rsid w:val="00F72E0B"/>
    <w:rsid w:val="00F7680A"/>
    <w:rsid w:val="00F77106"/>
    <w:rsid w:val="00F771F5"/>
    <w:rsid w:val="00F83003"/>
    <w:rsid w:val="00F85B48"/>
    <w:rsid w:val="00F861AE"/>
    <w:rsid w:val="00F871D7"/>
    <w:rsid w:val="00F87FB6"/>
    <w:rsid w:val="00F90098"/>
    <w:rsid w:val="00F9205E"/>
    <w:rsid w:val="00F92EDC"/>
    <w:rsid w:val="00F92FA5"/>
    <w:rsid w:val="00F935BD"/>
    <w:rsid w:val="00F96889"/>
    <w:rsid w:val="00FA49A0"/>
    <w:rsid w:val="00FA5218"/>
    <w:rsid w:val="00FA6309"/>
    <w:rsid w:val="00FA6319"/>
    <w:rsid w:val="00FB050D"/>
    <w:rsid w:val="00FB133A"/>
    <w:rsid w:val="00FB14CA"/>
    <w:rsid w:val="00FB381A"/>
    <w:rsid w:val="00FB46DD"/>
    <w:rsid w:val="00FB656A"/>
    <w:rsid w:val="00FB7019"/>
    <w:rsid w:val="00FC23F3"/>
    <w:rsid w:val="00FC3A57"/>
    <w:rsid w:val="00FC522B"/>
    <w:rsid w:val="00FC63BF"/>
    <w:rsid w:val="00FC7366"/>
    <w:rsid w:val="00FC7EAC"/>
    <w:rsid w:val="00FD0A30"/>
    <w:rsid w:val="00FD1A80"/>
    <w:rsid w:val="00FD6E30"/>
    <w:rsid w:val="00FE2C53"/>
    <w:rsid w:val="00FE2F0A"/>
    <w:rsid w:val="00FE4B50"/>
    <w:rsid w:val="00FF1E5C"/>
    <w:rsid w:val="00FF2A10"/>
    <w:rsid w:val="00FF2FC3"/>
    <w:rsid w:val="00FF4AE8"/>
    <w:rsid w:val="00FF557B"/>
    <w:rsid w:val="00FF57B7"/>
    <w:rsid w:val="00FF5909"/>
    <w:rsid w:val="021EDE65"/>
    <w:rsid w:val="027CAC9B"/>
    <w:rsid w:val="04648295"/>
    <w:rsid w:val="19B66C98"/>
    <w:rsid w:val="2F803E55"/>
    <w:rsid w:val="4482CF57"/>
    <w:rsid w:val="491B008D"/>
    <w:rsid w:val="4EFB5D00"/>
    <w:rsid w:val="588916E9"/>
    <w:rsid w:val="679A3CE9"/>
    <w:rsid w:val="6AEBD72D"/>
    <w:rsid w:val="724E0A7F"/>
    <w:rsid w:val="771A016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1B2EF4"/>
  <w15:docId w15:val="{38F103D2-43EB-49F1-8FFF-E0E41C41F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6"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98"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552F"/>
  </w:style>
  <w:style w:type="paragraph" w:styleId="Heading1">
    <w:name w:val="heading 1"/>
    <w:aliases w:val="Heading 1 Cab,CAB Section Heading"/>
    <w:basedOn w:val="Heading2"/>
    <w:next w:val="Normal"/>
    <w:link w:val="Heading1Char"/>
    <w:uiPriority w:val="9"/>
    <w:qFormat/>
    <w:rsid w:val="00567193"/>
    <w:pPr>
      <w:outlineLvl w:val="0"/>
    </w:pPr>
  </w:style>
  <w:style w:type="paragraph" w:styleId="Heading2">
    <w:name w:val="heading 2"/>
    <w:basedOn w:val="Normal"/>
    <w:next w:val="Normal"/>
    <w:link w:val="Heading2Char"/>
    <w:uiPriority w:val="9"/>
    <w:unhideWhenUsed/>
    <w:qFormat/>
    <w:rsid w:val="00567193"/>
    <w:pPr>
      <w:spacing w:before="120" w:after="120"/>
      <w:outlineLvl w:val="1"/>
    </w:pPr>
    <w:rPr>
      <w:rFonts w:asciiTheme="minorHAnsi" w:hAnsiTheme="minorHAnsi" w:cstheme="minorHAnsi"/>
      <w:b/>
      <w:szCs w:val="24"/>
    </w:rPr>
  </w:style>
  <w:style w:type="paragraph" w:styleId="Heading3">
    <w:name w:val="heading 3"/>
    <w:basedOn w:val="Normal"/>
    <w:next w:val="Normal"/>
    <w:link w:val="Heading3Char"/>
    <w:uiPriority w:val="9"/>
    <w:unhideWhenUsed/>
    <w:qFormat/>
    <w:rsid w:val="00C812C4"/>
    <w:pPr>
      <w:keepNext/>
      <w:keepLines/>
      <w:spacing w:before="360" w:after="0"/>
      <w:outlineLvl w:val="2"/>
    </w:pPr>
    <w:rPr>
      <w:rFonts w:asciiTheme="minorHAnsi" w:eastAsiaTheme="majorEastAsia" w:hAnsiTheme="minorHAnsi" w:cstheme="minorHAnsi"/>
      <w:b/>
      <w:szCs w:val="24"/>
      <w:u w:val="single"/>
    </w:rPr>
  </w:style>
  <w:style w:type="paragraph" w:styleId="Heading4">
    <w:name w:val="heading 4"/>
    <w:basedOn w:val="Normal"/>
    <w:next w:val="Normal"/>
    <w:link w:val="Heading4Char"/>
    <w:uiPriority w:val="9"/>
    <w:unhideWhenUsed/>
    <w:qFormat/>
    <w:rsid w:val="00F513E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F513EB"/>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F513EB"/>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F513EB"/>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AB - List Bullet,List Bullet Cab,List Paragraph - bullets,Recommendation,L,Bullet point,Bulletr List Paragraph,FooterText,List Paragraph1,List Paragraph11,List Paragraph2,List Paragraph21,Listeafsnit1,NFP GP Bulleted List,DDM Gen Text"/>
    <w:basedOn w:val="Normal"/>
    <w:link w:val="ListParagraphChar"/>
    <w:uiPriority w:val="34"/>
    <w:qFormat/>
    <w:rsid w:val="00DA552F"/>
    <w:pPr>
      <w:ind w:left="720"/>
      <w:contextualSpacing/>
    </w:pPr>
  </w:style>
  <w:style w:type="character" w:styleId="Hyperlink">
    <w:name w:val="Hyperlink"/>
    <w:basedOn w:val="DefaultParagraphFont"/>
    <w:uiPriority w:val="99"/>
    <w:unhideWhenUsed/>
    <w:qFormat/>
    <w:rsid w:val="00DA552F"/>
    <w:rPr>
      <w:color w:val="0563C1" w:themeColor="hyperlink"/>
      <w:u w:val="single"/>
    </w:rPr>
  </w:style>
  <w:style w:type="paragraph" w:styleId="BalloonText">
    <w:name w:val="Balloon Text"/>
    <w:basedOn w:val="Normal"/>
    <w:link w:val="BalloonTextChar"/>
    <w:uiPriority w:val="99"/>
    <w:semiHidden/>
    <w:unhideWhenUsed/>
    <w:rsid w:val="0037742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7427"/>
    <w:rPr>
      <w:rFonts w:ascii="Segoe UI" w:hAnsi="Segoe UI" w:cs="Segoe UI"/>
      <w:sz w:val="18"/>
      <w:szCs w:val="18"/>
    </w:rPr>
  </w:style>
  <w:style w:type="character" w:customStyle="1" w:styleId="Heading2Char">
    <w:name w:val="Heading 2 Char"/>
    <w:basedOn w:val="DefaultParagraphFont"/>
    <w:link w:val="Heading2"/>
    <w:uiPriority w:val="9"/>
    <w:rsid w:val="00567193"/>
    <w:rPr>
      <w:rFonts w:asciiTheme="minorHAnsi" w:hAnsiTheme="minorHAnsi" w:cstheme="minorHAnsi"/>
      <w:b/>
      <w:szCs w:val="24"/>
    </w:rPr>
  </w:style>
  <w:style w:type="table" w:styleId="TableGrid">
    <w:name w:val="Table Grid"/>
    <w:basedOn w:val="TableNormal"/>
    <w:uiPriority w:val="39"/>
    <w:rsid w:val="003774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aliases w:val="Explanatory Memorandum"/>
    <w:next w:val="Normal"/>
    <w:autoRedefine/>
    <w:uiPriority w:val="39"/>
    <w:unhideWhenUsed/>
    <w:qFormat/>
    <w:rsid w:val="00B93CF9"/>
    <w:pPr>
      <w:tabs>
        <w:tab w:val="right" w:leader="dot" w:pos="9016"/>
      </w:tabs>
      <w:spacing w:before="240" w:after="120"/>
    </w:pPr>
    <w:rPr>
      <w:rFonts w:asciiTheme="minorHAnsi" w:hAnsiTheme="minorHAnsi" w:cstheme="minorHAnsi"/>
      <w:b/>
      <w:bCs/>
      <w:sz w:val="20"/>
      <w:szCs w:val="20"/>
    </w:rPr>
  </w:style>
  <w:style w:type="paragraph" w:styleId="TOC2">
    <w:name w:val="toc 2"/>
    <w:basedOn w:val="Normal"/>
    <w:next w:val="Normal"/>
    <w:autoRedefine/>
    <w:uiPriority w:val="39"/>
    <w:unhideWhenUsed/>
    <w:rsid w:val="00A042F8"/>
    <w:pPr>
      <w:tabs>
        <w:tab w:val="right" w:pos="9016"/>
      </w:tabs>
      <w:spacing w:before="120" w:after="0"/>
    </w:pPr>
    <w:rPr>
      <w:rFonts w:asciiTheme="minorHAnsi" w:hAnsiTheme="minorHAnsi" w:cstheme="minorHAnsi"/>
      <w:b/>
      <w:bCs/>
      <w:sz w:val="20"/>
      <w:szCs w:val="20"/>
    </w:rPr>
  </w:style>
  <w:style w:type="paragraph" w:styleId="TOC3">
    <w:name w:val="toc 3"/>
    <w:basedOn w:val="Normal"/>
    <w:next w:val="Normal"/>
    <w:autoRedefine/>
    <w:uiPriority w:val="39"/>
    <w:unhideWhenUsed/>
    <w:rsid w:val="00C812C4"/>
    <w:pPr>
      <w:spacing w:after="0"/>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377427"/>
    <w:pPr>
      <w:spacing w:after="0"/>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377427"/>
    <w:pPr>
      <w:spacing w:after="0"/>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377427"/>
    <w:pPr>
      <w:spacing w:after="0"/>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377427"/>
    <w:pPr>
      <w:spacing w:after="0"/>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377427"/>
    <w:pPr>
      <w:spacing w:after="0"/>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377427"/>
    <w:pPr>
      <w:spacing w:after="0"/>
      <w:ind w:left="1920"/>
    </w:pPr>
    <w:rPr>
      <w:rFonts w:asciiTheme="minorHAnsi" w:hAnsiTheme="minorHAnsi" w:cstheme="minorHAnsi"/>
      <w:sz w:val="20"/>
      <w:szCs w:val="20"/>
    </w:rPr>
  </w:style>
  <w:style w:type="character" w:customStyle="1" w:styleId="Heading3Char">
    <w:name w:val="Heading 3 Char"/>
    <w:basedOn w:val="DefaultParagraphFont"/>
    <w:link w:val="Heading3"/>
    <w:uiPriority w:val="9"/>
    <w:rsid w:val="00C812C4"/>
    <w:rPr>
      <w:rFonts w:asciiTheme="minorHAnsi" w:eastAsiaTheme="majorEastAsia" w:hAnsiTheme="minorHAnsi" w:cstheme="minorHAnsi"/>
      <w:b/>
      <w:szCs w:val="24"/>
      <w:u w:val="single"/>
    </w:rPr>
  </w:style>
  <w:style w:type="character" w:styleId="CommentReference">
    <w:name w:val="annotation reference"/>
    <w:basedOn w:val="DefaultParagraphFont"/>
    <w:uiPriority w:val="99"/>
    <w:semiHidden/>
    <w:unhideWhenUsed/>
    <w:rsid w:val="00627EDA"/>
    <w:rPr>
      <w:sz w:val="16"/>
      <w:szCs w:val="16"/>
    </w:rPr>
  </w:style>
  <w:style w:type="paragraph" w:styleId="CommentText">
    <w:name w:val="annotation text"/>
    <w:basedOn w:val="Normal"/>
    <w:link w:val="CommentTextChar"/>
    <w:uiPriority w:val="99"/>
    <w:unhideWhenUsed/>
    <w:rsid w:val="00627EDA"/>
    <w:pPr>
      <w:spacing w:line="240" w:lineRule="auto"/>
    </w:pPr>
    <w:rPr>
      <w:sz w:val="20"/>
      <w:szCs w:val="20"/>
    </w:rPr>
  </w:style>
  <w:style w:type="character" w:customStyle="1" w:styleId="CommentTextChar">
    <w:name w:val="Comment Text Char"/>
    <w:basedOn w:val="DefaultParagraphFont"/>
    <w:link w:val="CommentText"/>
    <w:uiPriority w:val="99"/>
    <w:rsid w:val="00627EDA"/>
    <w:rPr>
      <w:sz w:val="20"/>
      <w:szCs w:val="20"/>
    </w:rPr>
  </w:style>
  <w:style w:type="paragraph" w:styleId="CommentSubject">
    <w:name w:val="annotation subject"/>
    <w:basedOn w:val="CommentText"/>
    <w:next w:val="CommentText"/>
    <w:link w:val="CommentSubjectChar"/>
    <w:uiPriority w:val="99"/>
    <w:semiHidden/>
    <w:unhideWhenUsed/>
    <w:rsid w:val="00627EDA"/>
    <w:rPr>
      <w:b/>
      <w:bCs/>
    </w:rPr>
  </w:style>
  <w:style w:type="character" w:customStyle="1" w:styleId="CommentSubjectChar">
    <w:name w:val="Comment Subject Char"/>
    <w:basedOn w:val="CommentTextChar"/>
    <w:link w:val="CommentSubject"/>
    <w:uiPriority w:val="99"/>
    <w:semiHidden/>
    <w:rsid w:val="00627EDA"/>
    <w:rPr>
      <w:b/>
      <w:bCs/>
      <w:sz w:val="20"/>
      <w:szCs w:val="20"/>
    </w:rPr>
  </w:style>
  <w:style w:type="character" w:customStyle="1" w:styleId="Heading1Char">
    <w:name w:val="Heading 1 Char"/>
    <w:aliases w:val="Heading 1 Cab Char,CAB Section Heading Char"/>
    <w:basedOn w:val="DefaultParagraphFont"/>
    <w:link w:val="Heading1"/>
    <w:uiPriority w:val="9"/>
    <w:rsid w:val="00567193"/>
    <w:rPr>
      <w:rFonts w:asciiTheme="minorHAnsi" w:eastAsiaTheme="majorEastAsia" w:hAnsiTheme="minorHAnsi" w:cstheme="minorHAnsi"/>
      <w:b/>
      <w:szCs w:val="26"/>
    </w:rPr>
  </w:style>
  <w:style w:type="character" w:customStyle="1" w:styleId="Heading4Char">
    <w:name w:val="Heading 4 Char"/>
    <w:basedOn w:val="DefaultParagraphFont"/>
    <w:link w:val="Heading4"/>
    <w:uiPriority w:val="9"/>
    <w:rsid w:val="00F513EB"/>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F513EB"/>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F513EB"/>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F513EB"/>
    <w:rPr>
      <w:rFonts w:asciiTheme="majorHAnsi" w:eastAsiaTheme="majorEastAsia" w:hAnsiTheme="majorHAnsi" w:cstheme="majorBidi"/>
      <w:i/>
      <w:iCs/>
      <w:color w:val="1F4D78" w:themeColor="accent1" w:themeShade="7F"/>
    </w:rPr>
  </w:style>
  <w:style w:type="paragraph" w:styleId="TOCHeading">
    <w:name w:val="TOC Heading"/>
    <w:basedOn w:val="Heading1"/>
    <w:next w:val="Normal"/>
    <w:uiPriority w:val="39"/>
    <w:unhideWhenUsed/>
    <w:qFormat/>
    <w:rsid w:val="00844D23"/>
    <w:pPr>
      <w:outlineLvl w:val="9"/>
    </w:pPr>
    <w:rPr>
      <w:lang w:val="en-US"/>
    </w:rPr>
  </w:style>
  <w:style w:type="character" w:styleId="FollowedHyperlink">
    <w:name w:val="FollowedHyperlink"/>
    <w:basedOn w:val="DefaultParagraphFont"/>
    <w:uiPriority w:val="99"/>
    <w:semiHidden/>
    <w:unhideWhenUsed/>
    <w:rsid w:val="008F002D"/>
    <w:rPr>
      <w:color w:val="954F72" w:themeColor="followedHyperlink"/>
      <w:u w:val="single"/>
    </w:rPr>
  </w:style>
  <w:style w:type="paragraph" w:styleId="Header">
    <w:name w:val="header"/>
    <w:basedOn w:val="Normal"/>
    <w:link w:val="HeaderChar"/>
    <w:uiPriority w:val="99"/>
    <w:unhideWhenUsed/>
    <w:rsid w:val="00783F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783FAB"/>
  </w:style>
  <w:style w:type="paragraph" w:styleId="Footer">
    <w:name w:val="footer"/>
    <w:basedOn w:val="Normal"/>
    <w:link w:val="FooterChar"/>
    <w:uiPriority w:val="99"/>
    <w:unhideWhenUsed/>
    <w:rsid w:val="00783FA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83FAB"/>
  </w:style>
  <w:style w:type="paragraph" w:styleId="Revision">
    <w:name w:val="Revision"/>
    <w:hidden/>
    <w:uiPriority w:val="99"/>
    <w:semiHidden/>
    <w:rsid w:val="00A105DA"/>
    <w:pPr>
      <w:spacing w:after="0" w:line="240" w:lineRule="auto"/>
    </w:pPr>
  </w:style>
  <w:style w:type="paragraph" w:styleId="Title">
    <w:name w:val="Title"/>
    <w:basedOn w:val="Normal"/>
    <w:next w:val="Normal"/>
    <w:link w:val="TitleChar"/>
    <w:uiPriority w:val="10"/>
    <w:qFormat/>
    <w:rsid w:val="00E44898"/>
    <w:pPr>
      <w:jc w:val="center"/>
    </w:pPr>
    <w:rPr>
      <w:rFonts w:asciiTheme="minorHAnsi" w:hAnsiTheme="minorHAnsi" w:cstheme="minorHAnsi"/>
      <w:b/>
      <w:szCs w:val="24"/>
    </w:rPr>
  </w:style>
  <w:style w:type="character" w:customStyle="1" w:styleId="TitleChar">
    <w:name w:val="Title Char"/>
    <w:basedOn w:val="DefaultParagraphFont"/>
    <w:link w:val="Title"/>
    <w:uiPriority w:val="10"/>
    <w:rsid w:val="00E44898"/>
    <w:rPr>
      <w:rFonts w:asciiTheme="minorHAnsi" w:hAnsiTheme="minorHAnsi" w:cstheme="minorHAnsi"/>
      <w:b/>
      <w:szCs w:val="24"/>
    </w:rPr>
  </w:style>
  <w:style w:type="paragraph" w:customStyle="1" w:styleId="MBPoint">
    <w:name w:val="MB Point"/>
    <w:basedOn w:val="ListParagraph"/>
    <w:link w:val="MBPointChar"/>
    <w:qFormat/>
    <w:rsid w:val="00025A20"/>
    <w:pPr>
      <w:numPr>
        <w:numId w:val="1"/>
      </w:numPr>
      <w:spacing w:after="60" w:line="240" w:lineRule="auto"/>
      <w:contextualSpacing w:val="0"/>
    </w:pPr>
    <w:rPr>
      <w:rFonts w:cs="Times New Roman"/>
      <w:szCs w:val="24"/>
    </w:rPr>
  </w:style>
  <w:style w:type="character" w:customStyle="1" w:styleId="MBPointChar">
    <w:name w:val="MB Point Char"/>
    <w:basedOn w:val="DefaultParagraphFont"/>
    <w:link w:val="MBPoint"/>
    <w:rsid w:val="00025A20"/>
    <w:rPr>
      <w:rFonts w:cs="Times New Roman"/>
      <w:szCs w:val="24"/>
    </w:rPr>
  </w:style>
  <w:style w:type="paragraph" w:customStyle="1" w:styleId="paragraph">
    <w:name w:val="paragraph"/>
    <w:basedOn w:val="Normal"/>
    <w:rsid w:val="000F1BA3"/>
    <w:pPr>
      <w:spacing w:before="100" w:beforeAutospacing="1" w:after="100" w:afterAutospacing="1" w:line="240" w:lineRule="auto"/>
    </w:pPr>
    <w:rPr>
      <w:rFonts w:eastAsia="Times New Roman" w:cs="Times New Roman"/>
      <w:szCs w:val="24"/>
      <w:lang w:eastAsia="en-AU"/>
    </w:rPr>
  </w:style>
  <w:style w:type="character" w:customStyle="1" w:styleId="normaltextrun">
    <w:name w:val="normaltextrun"/>
    <w:basedOn w:val="DefaultParagraphFont"/>
    <w:rsid w:val="000F1BA3"/>
  </w:style>
  <w:style w:type="character" w:customStyle="1" w:styleId="eop">
    <w:name w:val="eop"/>
    <w:basedOn w:val="DefaultParagraphFont"/>
    <w:rsid w:val="000F1BA3"/>
  </w:style>
  <w:style w:type="paragraph" w:customStyle="1" w:styleId="Default">
    <w:name w:val="Default"/>
    <w:rsid w:val="004E598D"/>
    <w:pPr>
      <w:autoSpaceDE w:val="0"/>
      <w:autoSpaceDN w:val="0"/>
      <w:adjustRightInd w:val="0"/>
      <w:spacing w:after="0" w:line="240" w:lineRule="auto"/>
    </w:pPr>
    <w:rPr>
      <w:rFonts w:cs="Times New Roman"/>
      <w:color w:val="000000"/>
      <w:szCs w:val="24"/>
    </w:rPr>
  </w:style>
  <w:style w:type="character" w:styleId="UnresolvedMention">
    <w:name w:val="Unresolved Mention"/>
    <w:basedOn w:val="DefaultParagraphFont"/>
    <w:uiPriority w:val="99"/>
    <w:unhideWhenUsed/>
    <w:rsid w:val="009765DC"/>
    <w:rPr>
      <w:color w:val="605E5C"/>
      <w:shd w:val="clear" w:color="auto" w:fill="E1DFDD"/>
    </w:rPr>
  </w:style>
  <w:style w:type="paragraph" w:customStyle="1" w:styleId="tableSub-heading">
    <w:name w:val="table.Sub-heading"/>
    <w:basedOn w:val="Normal"/>
    <w:rsid w:val="001B38B0"/>
    <w:pPr>
      <w:keepNext/>
      <w:tabs>
        <w:tab w:val="left" w:leader="dot" w:pos="6124"/>
      </w:tabs>
      <w:spacing w:before="24" w:after="24" w:line="240" w:lineRule="auto"/>
    </w:pPr>
    <w:rPr>
      <w:b/>
      <w:sz w:val="20"/>
      <w:szCs w:val="20"/>
    </w:rPr>
  </w:style>
  <w:style w:type="paragraph" w:customStyle="1" w:styleId="tableText">
    <w:name w:val="table.Text"/>
    <w:basedOn w:val="Normal"/>
    <w:rsid w:val="001B38B0"/>
    <w:pPr>
      <w:spacing w:before="24" w:after="24" w:line="260" w:lineRule="atLeast"/>
    </w:pPr>
    <w:rPr>
      <w:sz w:val="20"/>
      <w:szCs w:val="20"/>
    </w:rPr>
  </w:style>
  <w:style w:type="paragraph" w:customStyle="1" w:styleId="tableIndentText">
    <w:name w:val="table.Indent.Text"/>
    <w:rsid w:val="001B38B0"/>
    <w:pPr>
      <w:tabs>
        <w:tab w:val="left" w:leader="dot" w:pos="5245"/>
      </w:tabs>
      <w:spacing w:before="24" w:after="24" w:line="240" w:lineRule="auto"/>
      <w:ind w:left="851" w:hanging="284"/>
    </w:pPr>
    <w:rPr>
      <w:rFonts w:ascii="Times" w:eastAsia="Times New Roman" w:hAnsi="Times" w:cs="Times New Roman"/>
      <w:sz w:val="20"/>
      <w:szCs w:val="20"/>
    </w:rPr>
  </w:style>
  <w:style w:type="paragraph" w:styleId="NormalWeb">
    <w:name w:val="Normal (Web)"/>
    <w:basedOn w:val="Normal"/>
    <w:uiPriority w:val="99"/>
    <w:unhideWhenUsed/>
    <w:rsid w:val="00145E66"/>
    <w:pPr>
      <w:spacing w:before="100" w:beforeAutospacing="1" w:after="100" w:afterAutospacing="1" w:line="240" w:lineRule="auto"/>
    </w:pPr>
    <w:rPr>
      <w:rFonts w:eastAsia="Times New Roman" w:cs="Times New Roman"/>
      <w:szCs w:val="24"/>
      <w:lang w:eastAsia="en-AU"/>
    </w:rPr>
  </w:style>
  <w:style w:type="paragraph" w:customStyle="1" w:styleId="Tabletext0">
    <w:name w:val="Tabletext"/>
    <w:aliases w:val="tt"/>
    <w:basedOn w:val="Normal"/>
    <w:rsid w:val="003E327C"/>
    <w:pPr>
      <w:spacing w:before="60" w:after="0" w:line="240" w:lineRule="atLeast"/>
    </w:pPr>
    <w:rPr>
      <w:rFonts w:eastAsia="Times New Roman" w:cs="Times New Roman"/>
      <w:sz w:val="20"/>
      <w:szCs w:val="20"/>
      <w:lang w:eastAsia="en-AU"/>
    </w:rPr>
  </w:style>
  <w:style w:type="paragraph" w:customStyle="1" w:styleId="TableHeading">
    <w:name w:val="TableHeading"/>
    <w:aliases w:val="th"/>
    <w:basedOn w:val="Normal"/>
    <w:next w:val="Tabletext0"/>
    <w:rsid w:val="003E327C"/>
    <w:pPr>
      <w:keepNext/>
      <w:spacing w:before="60" w:after="0" w:line="240" w:lineRule="atLeast"/>
    </w:pPr>
    <w:rPr>
      <w:rFonts w:eastAsia="Times New Roman" w:cs="Times New Roman"/>
      <w:b/>
      <w:sz w:val="20"/>
      <w:szCs w:val="20"/>
      <w:lang w:eastAsia="en-AU"/>
    </w:rPr>
  </w:style>
  <w:style w:type="paragraph" w:styleId="Subtitle">
    <w:name w:val="Subtitle"/>
    <w:basedOn w:val="Normal"/>
    <w:next w:val="Normal"/>
    <w:link w:val="SubtitleChar"/>
    <w:uiPriority w:val="11"/>
    <w:qFormat/>
    <w:rsid w:val="00BD1D88"/>
    <w:pPr>
      <w:numPr>
        <w:ilvl w:val="1"/>
      </w:numPr>
      <w:spacing w:after="0" w:line="276" w:lineRule="auto"/>
    </w:pPr>
    <w:rPr>
      <w:rFonts w:ascii="Calibri" w:eastAsiaTheme="minorEastAsia" w:hAnsi="Calibri"/>
      <w:color w:val="4472C4" w:themeColor="accent5"/>
      <w:spacing w:val="15"/>
      <w:sz w:val="40"/>
    </w:rPr>
  </w:style>
  <w:style w:type="character" w:customStyle="1" w:styleId="SubtitleChar">
    <w:name w:val="Subtitle Char"/>
    <w:basedOn w:val="DefaultParagraphFont"/>
    <w:link w:val="Subtitle"/>
    <w:uiPriority w:val="11"/>
    <w:rsid w:val="00BD1D88"/>
    <w:rPr>
      <w:rFonts w:ascii="Calibri" w:eastAsiaTheme="minorEastAsia" w:hAnsi="Calibri"/>
      <w:color w:val="4472C4" w:themeColor="accent5"/>
      <w:spacing w:val="15"/>
      <w:sz w:val="40"/>
    </w:rPr>
  </w:style>
  <w:style w:type="character" w:customStyle="1" w:styleId="UnresolvedMention1">
    <w:name w:val="Unresolved Mention1"/>
    <w:basedOn w:val="DefaultParagraphFont"/>
    <w:uiPriority w:val="99"/>
    <w:semiHidden/>
    <w:unhideWhenUsed/>
    <w:rsid w:val="00BD1D88"/>
    <w:rPr>
      <w:color w:val="605E5C"/>
      <w:shd w:val="clear" w:color="auto" w:fill="E1DFDD"/>
    </w:rPr>
  </w:style>
  <w:style w:type="character" w:styleId="Strong">
    <w:name w:val="Strong"/>
    <w:basedOn w:val="DefaultParagraphFont"/>
    <w:uiPriority w:val="98"/>
    <w:qFormat/>
    <w:rsid w:val="00BD1D88"/>
    <w:rPr>
      <w:b/>
      <w:bCs/>
    </w:rPr>
  </w:style>
  <w:style w:type="paragraph" w:styleId="Caption">
    <w:name w:val="caption"/>
    <w:basedOn w:val="Normal"/>
    <w:next w:val="Normal"/>
    <w:uiPriority w:val="16"/>
    <w:qFormat/>
    <w:rsid w:val="00BD1D88"/>
    <w:pPr>
      <w:spacing w:before="240" w:after="40" w:line="240" w:lineRule="auto"/>
    </w:pPr>
    <w:rPr>
      <w:rFonts w:asciiTheme="minorHAnsi" w:hAnsiTheme="minorHAnsi"/>
      <w:b/>
      <w:iCs/>
      <w:sz w:val="22"/>
      <w:szCs w:val="18"/>
    </w:rPr>
  </w:style>
  <w:style w:type="paragraph" w:styleId="Quote">
    <w:name w:val="Quote"/>
    <w:basedOn w:val="Normal"/>
    <w:next w:val="Normal"/>
    <w:link w:val="QuoteChar"/>
    <w:uiPriority w:val="29"/>
    <w:qFormat/>
    <w:rsid w:val="00BD1D88"/>
    <w:pPr>
      <w:spacing w:before="200" w:line="276" w:lineRule="auto"/>
      <w:ind w:left="862" w:right="862"/>
      <w:jc w:val="center"/>
    </w:pPr>
    <w:rPr>
      <w:rFonts w:asciiTheme="minorHAnsi" w:hAnsiTheme="minorHAnsi"/>
      <w:iCs/>
      <w:color w:val="595959" w:themeColor="text1" w:themeTint="A6"/>
      <w:sz w:val="22"/>
    </w:rPr>
  </w:style>
  <w:style w:type="character" w:customStyle="1" w:styleId="QuoteChar">
    <w:name w:val="Quote Char"/>
    <w:basedOn w:val="DefaultParagraphFont"/>
    <w:link w:val="Quote"/>
    <w:uiPriority w:val="29"/>
    <w:rsid w:val="00BD1D88"/>
    <w:rPr>
      <w:rFonts w:asciiTheme="minorHAnsi" w:hAnsiTheme="minorHAnsi"/>
      <w:iCs/>
      <w:color w:val="595959" w:themeColor="text1" w:themeTint="A6"/>
      <w:sz w:val="22"/>
    </w:rPr>
  </w:style>
  <w:style w:type="paragraph" w:customStyle="1" w:styleId="Source">
    <w:name w:val="Source"/>
    <w:basedOn w:val="Normal"/>
    <w:uiPriority w:val="17"/>
    <w:qFormat/>
    <w:rsid w:val="00BD1D88"/>
    <w:pPr>
      <w:spacing w:after="200" w:line="276" w:lineRule="auto"/>
    </w:pPr>
    <w:rPr>
      <w:rFonts w:asciiTheme="minorHAnsi" w:hAnsiTheme="minorHAnsi"/>
      <w:sz w:val="18"/>
    </w:rPr>
  </w:style>
  <w:style w:type="table" w:customStyle="1" w:styleId="DESE">
    <w:name w:val="DESE"/>
    <w:basedOn w:val="TableNormal"/>
    <w:uiPriority w:val="99"/>
    <w:rsid w:val="00BD1D88"/>
    <w:pPr>
      <w:spacing w:before="100" w:beforeAutospacing="1" w:after="100" w:afterAutospacing="1"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rFonts w:ascii="Calibri" w:hAnsi="Calibri"/>
        <w:color w:val="FFFFFF" w:themeColor="background1"/>
      </w:rPr>
      <w:tblPr/>
      <w:tcPr>
        <w:shd w:val="clear" w:color="auto" w:fill="5B9BD5" w:themeFill="accent1"/>
      </w:tcPr>
    </w:tblStylePr>
    <w:tblStylePr w:type="firstCol">
      <w:rPr>
        <w:b w:val="0"/>
      </w:rPr>
    </w:tblStylePr>
    <w:tblStylePr w:type="nwCell">
      <w:rPr>
        <w:b w:val="0"/>
      </w:rPr>
    </w:tblStylePr>
  </w:style>
  <w:style w:type="paragraph" w:styleId="ListNumber">
    <w:name w:val="List Number"/>
    <w:basedOn w:val="ListParagraph"/>
    <w:uiPriority w:val="99"/>
    <w:unhideWhenUsed/>
    <w:qFormat/>
    <w:rsid w:val="00BD1D88"/>
    <w:pPr>
      <w:numPr>
        <w:numId w:val="5"/>
      </w:numPr>
      <w:spacing w:after="200" w:line="360" w:lineRule="auto"/>
    </w:pPr>
    <w:rPr>
      <w:rFonts w:asciiTheme="minorHAnsi" w:hAnsiTheme="minorHAnsi"/>
      <w:sz w:val="22"/>
    </w:rPr>
  </w:style>
  <w:style w:type="paragraph" w:styleId="ListBullet">
    <w:name w:val="List Bullet"/>
    <w:basedOn w:val="ListParagraph"/>
    <w:uiPriority w:val="99"/>
    <w:unhideWhenUsed/>
    <w:qFormat/>
    <w:rsid w:val="00BD1D88"/>
    <w:pPr>
      <w:numPr>
        <w:numId w:val="6"/>
      </w:numPr>
      <w:spacing w:after="200" w:line="360" w:lineRule="auto"/>
    </w:pPr>
    <w:rPr>
      <w:rFonts w:asciiTheme="minorHAnsi" w:hAnsiTheme="minorHAnsi"/>
      <w:sz w:val="22"/>
    </w:rPr>
  </w:style>
  <w:style w:type="paragraph" w:styleId="List">
    <w:name w:val="List"/>
    <w:basedOn w:val="ListBullet"/>
    <w:uiPriority w:val="99"/>
    <w:unhideWhenUsed/>
    <w:qFormat/>
    <w:rsid w:val="00BD1D88"/>
    <w:pPr>
      <w:numPr>
        <w:numId w:val="7"/>
      </w:numPr>
    </w:pPr>
  </w:style>
  <w:style w:type="paragraph" w:customStyle="1" w:styleId="numberedpara">
    <w:name w:val="numbered para"/>
    <w:basedOn w:val="Normal"/>
    <w:rsid w:val="00BD1D88"/>
    <w:pPr>
      <w:numPr>
        <w:numId w:val="8"/>
      </w:numPr>
      <w:spacing w:before="120" w:after="0" w:line="240" w:lineRule="auto"/>
    </w:pPr>
    <w:rPr>
      <w:rFonts w:ascii="Calibri" w:hAnsi="Calibri" w:cs="Calibri"/>
      <w:sz w:val="22"/>
      <w:lang w:eastAsia="en-AU"/>
    </w:rPr>
  </w:style>
  <w:style w:type="paragraph" w:styleId="BodyText">
    <w:name w:val="Body Text"/>
    <w:aliases w:val="CAB - Body Text,Body Text Cab,CAB Body Text"/>
    <w:link w:val="BodyTextChar"/>
    <w:qFormat/>
    <w:rsid w:val="00BD1D88"/>
    <w:pPr>
      <w:spacing w:before="120" w:after="0" w:line="240" w:lineRule="auto"/>
    </w:pPr>
    <w:rPr>
      <w:rFonts w:ascii="Arial" w:hAnsi="Arial"/>
      <w:sz w:val="22"/>
    </w:rPr>
  </w:style>
  <w:style w:type="character" w:customStyle="1" w:styleId="BodyTextChar">
    <w:name w:val="Body Text Char"/>
    <w:aliases w:val="CAB - Body Text Char,Body Text Cab Char,CAB Body Text Char"/>
    <w:basedOn w:val="DefaultParagraphFont"/>
    <w:link w:val="BodyText"/>
    <w:rsid w:val="00BD1D88"/>
    <w:rPr>
      <w:rFonts w:ascii="Arial" w:hAnsi="Arial"/>
      <w:sz w:val="22"/>
    </w:rPr>
  </w:style>
  <w:style w:type="paragraph" w:customStyle="1" w:styleId="CAB-NumberedParagraph">
    <w:name w:val="CAB - Numbered Paragraph"/>
    <w:basedOn w:val="Normal"/>
    <w:uiPriority w:val="98"/>
    <w:rsid w:val="00BD1D88"/>
    <w:pPr>
      <w:spacing w:after="200" w:line="276" w:lineRule="auto"/>
    </w:pPr>
    <w:rPr>
      <w:rFonts w:ascii="Arial" w:hAnsi="Arial"/>
      <w:sz w:val="22"/>
    </w:rPr>
  </w:style>
  <w:style w:type="character" w:customStyle="1" w:styleId="ListParagraphChar">
    <w:name w:val="List Paragraph Char"/>
    <w:aliases w:val="CAB - List Bullet Char,List Bullet Cab Char,List Paragraph - bullets Char,Recommendation Char,L Char,Bullet point Char,Bulletr List Paragraph Char,FooterText Char,List Paragraph1 Char,List Paragraph11 Char,List Paragraph2 Char"/>
    <w:basedOn w:val="DefaultParagraphFont"/>
    <w:link w:val="ListParagraph"/>
    <w:uiPriority w:val="34"/>
    <w:qFormat/>
    <w:locked/>
    <w:rsid w:val="00BD1D88"/>
  </w:style>
  <w:style w:type="paragraph" w:customStyle="1" w:styleId="TableTextCab">
    <w:name w:val="Table Text Cab"/>
    <w:basedOn w:val="BodyText"/>
    <w:uiPriority w:val="8"/>
    <w:qFormat/>
    <w:rsid w:val="00BD1D88"/>
    <w:pPr>
      <w:spacing w:before="50" w:after="50"/>
    </w:pPr>
    <w:rPr>
      <w:sz w:val="20"/>
      <w:szCs w:val="20"/>
    </w:rPr>
  </w:style>
  <w:style w:type="paragraph" w:customStyle="1" w:styleId="TableHeadingCab">
    <w:name w:val="Table Heading Cab"/>
    <w:basedOn w:val="TableTextCab"/>
    <w:uiPriority w:val="7"/>
    <w:qFormat/>
    <w:rsid w:val="00BD1D88"/>
    <w:rPr>
      <w:b/>
    </w:rPr>
  </w:style>
  <w:style w:type="paragraph" w:customStyle="1" w:styleId="TableHeader-LChar">
    <w:name w:val="TableHeader-L Char"/>
    <w:basedOn w:val="Normal"/>
    <w:link w:val="TableHeader-LCharChar"/>
    <w:rsid w:val="00BD1D88"/>
    <w:pPr>
      <w:autoSpaceDE w:val="0"/>
      <w:autoSpaceDN w:val="0"/>
      <w:adjustRightInd w:val="0"/>
      <w:spacing w:after="0" w:line="240" w:lineRule="auto"/>
    </w:pPr>
    <w:rPr>
      <w:rFonts w:eastAsia="Times New Roman" w:cs="Times New Roman"/>
      <w:b/>
      <w:color w:val="000000"/>
      <w:sz w:val="20"/>
      <w:szCs w:val="26"/>
      <w:lang w:eastAsia="en-AU"/>
    </w:rPr>
  </w:style>
  <w:style w:type="character" w:customStyle="1" w:styleId="TableHeader-LCharChar">
    <w:name w:val="TableHeader-L Char Char"/>
    <w:basedOn w:val="DefaultParagraphFont"/>
    <w:link w:val="TableHeader-LChar"/>
    <w:rsid w:val="00BD1D88"/>
    <w:rPr>
      <w:rFonts w:eastAsia="Times New Roman" w:cs="Times New Roman"/>
      <w:b/>
      <w:color w:val="000000"/>
      <w:sz w:val="20"/>
      <w:szCs w:val="26"/>
      <w:lang w:eastAsia="en-AU"/>
    </w:rPr>
  </w:style>
  <w:style w:type="paragraph" w:customStyle="1" w:styleId="TableBody-L">
    <w:name w:val="TableBody-L"/>
    <w:basedOn w:val="Normal"/>
    <w:rsid w:val="00BD1D88"/>
    <w:pPr>
      <w:autoSpaceDE w:val="0"/>
      <w:autoSpaceDN w:val="0"/>
      <w:adjustRightInd w:val="0"/>
      <w:spacing w:after="0" w:line="240" w:lineRule="auto"/>
    </w:pPr>
    <w:rPr>
      <w:rFonts w:eastAsia="Times New Roman" w:cs="Times New Roman"/>
      <w:color w:val="000000"/>
      <w:sz w:val="20"/>
      <w:szCs w:val="26"/>
      <w:lang w:eastAsia="en-AU"/>
    </w:rPr>
  </w:style>
  <w:style w:type="paragraph" w:customStyle="1" w:styleId="CABBackGround">
    <w:name w:val="CABBackGround"/>
    <w:basedOn w:val="Normal"/>
    <w:link w:val="CABBackGroundChar1"/>
    <w:rsid w:val="00BD1D88"/>
    <w:pPr>
      <w:spacing w:after="0" w:line="360" w:lineRule="auto"/>
    </w:pPr>
    <w:rPr>
      <w:rFonts w:eastAsia="Times New Roman" w:cs="Times New Roman"/>
      <w:szCs w:val="20"/>
      <w:lang w:eastAsia="en-AU"/>
    </w:rPr>
  </w:style>
  <w:style w:type="character" w:customStyle="1" w:styleId="CABBackGroundChar1">
    <w:name w:val="CABBackGround Char1"/>
    <w:basedOn w:val="DefaultParagraphFont"/>
    <w:link w:val="CABBackGround"/>
    <w:rsid w:val="00BD1D88"/>
    <w:rPr>
      <w:rFonts w:eastAsia="Times New Roman" w:cs="Times New Roman"/>
      <w:szCs w:val="20"/>
      <w:lang w:eastAsia="en-AU"/>
    </w:rPr>
  </w:style>
  <w:style w:type="paragraph" w:customStyle="1" w:styleId="Financialtable">
    <w:name w:val="Financial table"/>
    <w:basedOn w:val="Normal"/>
    <w:link w:val="FinancialtableChar"/>
    <w:uiPriority w:val="1"/>
    <w:qFormat/>
    <w:rsid w:val="00BD1D88"/>
    <w:pPr>
      <w:tabs>
        <w:tab w:val="left" w:pos="284"/>
      </w:tabs>
      <w:spacing w:before="40" w:after="40" w:line="240" w:lineRule="auto"/>
      <w:jc w:val="right"/>
    </w:pPr>
    <w:rPr>
      <w:rFonts w:ascii="Calibri" w:eastAsia="Calibri" w:hAnsi="Calibri" w:cs="Times New Roman"/>
      <w:sz w:val="18"/>
      <w:szCs w:val="18"/>
    </w:rPr>
  </w:style>
  <w:style w:type="character" w:customStyle="1" w:styleId="FinancialtableChar">
    <w:name w:val="Financial table Char"/>
    <w:basedOn w:val="DefaultParagraphFont"/>
    <w:link w:val="Financialtable"/>
    <w:uiPriority w:val="1"/>
    <w:rsid w:val="00BD1D88"/>
    <w:rPr>
      <w:rFonts w:ascii="Calibri" w:eastAsia="Calibri" w:hAnsi="Calibri" w:cs="Times New Roman"/>
      <w:sz w:val="18"/>
      <w:szCs w:val="18"/>
    </w:rPr>
  </w:style>
  <w:style w:type="paragraph" w:customStyle="1" w:styleId="CABHeading1">
    <w:name w:val="CAB Heading 1"/>
    <w:basedOn w:val="CABHeading2"/>
    <w:qFormat/>
    <w:rsid w:val="00BD1D88"/>
  </w:style>
  <w:style w:type="paragraph" w:customStyle="1" w:styleId="CABHeading2">
    <w:name w:val="CAB Heading 2."/>
    <w:basedOn w:val="Normal"/>
    <w:link w:val="CABHeading2Char"/>
    <w:uiPriority w:val="98"/>
    <w:qFormat/>
    <w:rsid w:val="00BD1D88"/>
    <w:pPr>
      <w:keepNext/>
      <w:keepLines/>
      <w:tabs>
        <w:tab w:val="left" w:pos="567"/>
      </w:tabs>
      <w:spacing w:before="200" w:after="0" w:line="240" w:lineRule="auto"/>
      <w:outlineLvl w:val="0"/>
    </w:pPr>
    <w:rPr>
      <w:rFonts w:ascii="Arial" w:eastAsiaTheme="majorEastAsia" w:hAnsi="Arial" w:cstheme="majorBidi"/>
      <w:b/>
      <w:bCs/>
      <w:color w:val="003865"/>
      <w:szCs w:val="28"/>
    </w:rPr>
  </w:style>
  <w:style w:type="character" w:customStyle="1" w:styleId="CABHeading2Char">
    <w:name w:val="CAB Heading 2. Char"/>
    <w:basedOn w:val="DefaultParagraphFont"/>
    <w:link w:val="CABHeading2"/>
    <w:uiPriority w:val="98"/>
    <w:rsid w:val="00BD1D88"/>
    <w:rPr>
      <w:rFonts w:ascii="Arial" w:eastAsiaTheme="majorEastAsia" w:hAnsi="Arial" w:cstheme="majorBidi"/>
      <w:b/>
      <w:bCs/>
      <w:color w:val="003865"/>
      <w:szCs w:val="28"/>
    </w:rPr>
  </w:style>
  <w:style w:type="paragraph" w:customStyle="1" w:styleId="CABNETParagraph">
    <w:name w:val="CABNET Paragraph."/>
    <w:basedOn w:val="Normal"/>
    <w:link w:val="CABNETParagraphChar"/>
    <w:uiPriority w:val="98"/>
    <w:qFormat/>
    <w:rsid w:val="00BD1D88"/>
    <w:pPr>
      <w:spacing w:before="120" w:after="120" w:line="240" w:lineRule="auto"/>
    </w:pPr>
    <w:rPr>
      <w:rFonts w:ascii="Arial" w:hAnsi="Arial" w:cstheme="minorHAnsi"/>
      <w:sz w:val="22"/>
    </w:rPr>
  </w:style>
  <w:style w:type="character" w:customStyle="1" w:styleId="CABNETParagraphChar">
    <w:name w:val="CABNET Paragraph. Char"/>
    <w:basedOn w:val="DefaultParagraphFont"/>
    <w:link w:val="CABNETParagraph"/>
    <w:uiPriority w:val="98"/>
    <w:rsid w:val="00BD1D88"/>
    <w:rPr>
      <w:rFonts w:ascii="Arial" w:hAnsi="Arial" w:cstheme="minorHAnsi"/>
      <w:sz w:val="22"/>
    </w:rPr>
  </w:style>
  <w:style w:type="paragraph" w:styleId="FootnoteText">
    <w:name w:val="footnote text"/>
    <w:basedOn w:val="Normal"/>
    <w:link w:val="FootnoteTextChar"/>
    <w:uiPriority w:val="99"/>
    <w:semiHidden/>
    <w:unhideWhenUsed/>
    <w:rsid w:val="00BD1D88"/>
    <w:pPr>
      <w:spacing w:after="0" w:line="240" w:lineRule="auto"/>
    </w:pPr>
    <w:rPr>
      <w:rFonts w:ascii="Arial" w:hAnsi="Arial"/>
      <w:sz w:val="20"/>
      <w:szCs w:val="20"/>
    </w:rPr>
  </w:style>
  <w:style w:type="character" w:customStyle="1" w:styleId="FootnoteTextChar">
    <w:name w:val="Footnote Text Char"/>
    <w:basedOn w:val="DefaultParagraphFont"/>
    <w:link w:val="FootnoteText"/>
    <w:uiPriority w:val="99"/>
    <w:semiHidden/>
    <w:rsid w:val="00BD1D88"/>
    <w:rPr>
      <w:rFonts w:ascii="Arial" w:hAnsi="Arial"/>
      <w:sz w:val="20"/>
      <w:szCs w:val="20"/>
    </w:rPr>
  </w:style>
  <w:style w:type="character" w:styleId="FootnoteReference">
    <w:name w:val="footnote reference"/>
    <w:basedOn w:val="DefaultParagraphFont"/>
    <w:uiPriority w:val="99"/>
    <w:semiHidden/>
    <w:unhideWhenUsed/>
    <w:rsid w:val="00BD1D88"/>
    <w:rPr>
      <w:vertAlign w:val="superscript"/>
    </w:rPr>
  </w:style>
  <w:style w:type="paragraph" w:customStyle="1" w:styleId="CABParagraph">
    <w:name w:val="CAB Paragraph"/>
    <w:basedOn w:val="BodyText"/>
    <w:link w:val="CABParagraphChar"/>
    <w:uiPriority w:val="98"/>
    <w:qFormat/>
    <w:rsid w:val="00BD1D88"/>
  </w:style>
  <w:style w:type="character" w:customStyle="1" w:styleId="CABParagraphChar">
    <w:name w:val="CAB Paragraph Char"/>
    <w:basedOn w:val="BodyTextChar"/>
    <w:link w:val="CABParagraph"/>
    <w:uiPriority w:val="98"/>
    <w:rsid w:val="00BD1D88"/>
    <w:rPr>
      <w:rFonts w:ascii="Arial" w:hAnsi="Arial"/>
      <w:sz w:val="22"/>
    </w:rPr>
  </w:style>
  <w:style w:type="paragraph" w:customStyle="1" w:styleId="SummaryHeading1Cab">
    <w:name w:val="Summary Heading 1 Cab"/>
    <w:basedOn w:val="Heading1"/>
    <w:link w:val="SummaryHeading1CabChar"/>
    <w:uiPriority w:val="13"/>
    <w:semiHidden/>
    <w:qFormat/>
    <w:rsid w:val="00BD1D88"/>
    <w:pPr>
      <w:keepNext/>
      <w:keepLines/>
      <w:tabs>
        <w:tab w:val="left" w:pos="567"/>
      </w:tabs>
      <w:spacing w:after="0" w:line="240" w:lineRule="auto"/>
    </w:pPr>
    <w:rPr>
      <w:rFonts w:ascii="Arial" w:eastAsiaTheme="majorEastAsia" w:hAnsi="Arial" w:cstheme="majorBidi"/>
      <w:bCs/>
      <w:color w:val="003865"/>
      <w:szCs w:val="28"/>
    </w:rPr>
  </w:style>
  <w:style w:type="character" w:customStyle="1" w:styleId="SummaryHeading1CabChar">
    <w:name w:val="Summary Heading 1 Cab Char"/>
    <w:basedOn w:val="DefaultParagraphFont"/>
    <w:link w:val="SummaryHeading1Cab"/>
    <w:uiPriority w:val="13"/>
    <w:semiHidden/>
    <w:rsid w:val="00BD1D88"/>
    <w:rPr>
      <w:rFonts w:ascii="Arial" w:eastAsiaTheme="majorEastAsia" w:hAnsi="Arial" w:cstheme="majorBidi"/>
      <w:b/>
      <w:bCs/>
      <w:color w:val="003865"/>
      <w:szCs w:val="28"/>
    </w:rPr>
  </w:style>
  <w:style w:type="paragraph" w:customStyle="1" w:styleId="CABList">
    <w:name w:val="CAB List"/>
    <w:basedOn w:val="BodyText"/>
    <w:uiPriority w:val="98"/>
    <w:qFormat/>
    <w:rsid w:val="00BD1D88"/>
    <w:pPr>
      <w:tabs>
        <w:tab w:val="left" w:pos="4253"/>
      </w:tabs>
      <w:ind w:left="720" w:hanging="360"/>
    </w:pPr>
  </w:style>
  <w:style w:type="paragraph" w:customStyle="1" w:styleId="TableTextform">
    <w:name w:val="TableText form"/>
    <w:basedOn w:val="Normal"/>
    <w:qFormat/>
    <w:rsid w:val="00BD1D88"/>
    <w:pPr>
      <w:spacing w:before="40" w:after="240" w:line="240" w:lineRule="auto"/>
    </w:pPr>
    <w:rPr>
      <w:rFonts w:ascii="Arial" w:eastAsiaTheme="majorEastAsia" w:hAnsi="Arial" w:cs="Arial"/>
      <w:bCs/>
      <w:sz w:val="20"/>
      <w:szCs w:val="20"/>
    </w:rPr>
  </w:style>
  <w:style w:type="paragraph" w:customStyle="1" w:styleId="TOCLevel2">
    <w:name w:val="TOCLevel2"/>
    <w:basedOn w:val="Normal"/>
    <w:link w:val="TOCLevel2Char"/>
    <w:uiPriority w:val="98"/>
    <w:qFormat/>
    <w:rsid w:val="00BD1D88"/>
    <w:pPr>
      <w:keepNext/>
      <w:keepLines/>
      <w:tabs>
        <w:tab w:val="left" w:pos="567"/>
      </w:tabs>
      <w:spacing w:before="240" w:after="200" w:line="240" w:lineRule="auto"/>
      <w:jc w:val="center"/>
      <w:outlineLvl w:val="0"/>
    </w:pPr>
    <w:rPr>
      <w:rFonts w:ascii="Arial" w:eastAsiaTheme="majorEastAsia" w:hAnsi="Arial" w:cstheme="majorBidi"/>
      <w:b/>
      <w:bCs/>
      <w:color w:val="003865"/>
      <w:szCs w:val="28"/>
    </w:rPr>
  </w:style>
  <w:style w:type="character" w:customStyle="1" w:styleId="TOCLevel2Char">
    <w:name w:val="TOCLevel2 Char"/>
    <w:basedOn w:val="DefaultParagraphFont"/>
    <w:link w:val="TOCLevel2"/>
    <w:uiPriority w:val="98"/>
    <w:rsid w:val="00BD1D88"/>
    <w:rPr>
      <w:rFonts w:ascii="Arial" w:eastAsiaTheme="majorEastAsia" w:hAnsi="Arial" w:cstheme="majorBidi"/>
      <w:b/>
      <w:bCs/>
      <w:color w:val="003865"/>
      <w:szCs w:val="28"/>
    </w:rPr>
  </w:style>
  <w:style w:type="paragraph" w:customStyle="1" w:styleId="Rec">
    <w:name w:val="Rec"/>
    <w:basedOn w:val="BodyText"/>
    <w:qFormat/>
    <w:rsid w:val="00BD1D88"/>
    <w:pPr>
      <w:keepLines/>
      <w:spacing w:line="280" w:lineRule="atLeast"/>
      <w:jc w:val="both"/>
    </w:pPr>
    <w:rPr>
      <w:rFonts w:eastAsia="Times New Roman" w:cs="Times New Roman"/>
      <w:szCs w:val="20"/>
      <w:lang w:eastAsia="en-AU"/>
    </w:rPr>
  </w:style>
  <w:style w:type="paragraph" w:customStyle="1" w:styleId="RecTitle">
    <w:name w:val="Rec Title"/>
    <w:basedOn w:val="BodyText"/>
    <w:next w:val="Rec"/>
    <w:qFormat/>
    <w:rsid w:val="00BD1D88"/>
    <w:pPr>
      <w:keepNext/>
      <w:keepLines/>
      <w:spacing w:before="240" w:line="280" w:lineRule="atLeast"/>
      <w:jc w:val="both"/>
    </w:pPr>
    <w:rPr>
      <w:rFonts w:eastAsia="Times New Roman" w:cs="Times New Roman"/>
      <w:caps/>
      <w:sz w:val="18"/>
      <w:szCs w:val="20"/>
      <w:lang w:eastAsia="en-AU"/>
    </w:rPr>
  </w:style>
  <w:style w:type="paragraph" w:customStyle="1" w:styleId="RecBullet">
    <w:name w:val="Rec Bullet"/>
    <w:basedOn w:val="Rec"/>
    <w:rsid w:val="00BD1D88"/>
    <w:pPr>
      <w:numPr>
        <w:numId w:val="9"/>
      </w:numPr>
      <w:tabs>
        <w:tab w:val="clear" w:pos="340"/>
        <w:tab w:val="num" w:pos="360"/>
      </w:tabs>
      <w:spacing w:before="80"/>
    </w:pPr>
  </w:style>
  <w:style w:type="character" w:customStyle="1" w:styleId="superscript">
    <w:name w:val="superscript"/>
    <w:basedOn w:val="DefaultParagraphFont"/>
    <w:rsid w:val="00BD1D88"/>
  </w:style>
  <w:style w:type="character" w:customStyle="1" w:styleId="scxw91672747">
    <w:name w:val="scxw91672747"/>
    <w:basedOn w:val="DefaultParagraphFont"/>
    <w:rsid w:val="00BD1D88"/>
  </w:style>
  <w:style w:type="paragraph" w:customStyle="1" w:styleId="TableText1">
    <w:name w:val="TableText"/>
    <w:basedOn w:val="Normal"/>
    <w:rsid w:val="00BD1D88"/>
    <w:pPr>
      <w:spacing w:before="120" w:after="120" w:line="240" w:lineRule="auto"/>
    </w:pPr>
    <w:rPr>
      <w:rFonts w:ascii="Century Gothic" w:hAnsi="Century Gothic" w:cs="Calibri"/>
      <w:sz w:val="20"/>
      <w:szCs w:val="20"/>
    </w:rPr>
  </w:style>
  <w:style w:type="paragraph" w:customStyle="1" w:styleId="TableName">
    <w:name w:val="TableName"/>
    <w:basedOn w:val="Normal"/>
    <w:rsid w:val="00BD1D88"/>
    <w:pPr>
      <w:keepNext/>
      <w:spacing w:after="120" w:line="240" w:lineRule="auto"/>
    </w:pPr>
    <w:rPr>
      <w:rFonts w:ascii="Arial" w:hAnsi="Arial" w:cs="Arial"/>
      <w:sz w:val="22"/>
    </w:rPr>
  </w:style>
  <w:style w:type="table" w:customStyle="1" w:styleId="TableGrid1">
    <w:name w:val="Table Grid1"/>
    <w:basedOn w:val="TableNormal"/>
    <w:next w:val="TableGrid"/>
    <w:uiPriority w:val="59"/>
    <w:rsid w:val="00BD1D88"/>
    <w:pPr>
      <w:spacing w:after="0" w:line="240" w:lineRule="auto"/>
    </w:pPr>
    <w:rPr>
      <w:rFonts w:asciiTheme="minorHAnsi" w:hAnsiTheme="minorHAnsi"/>
      <w:sz w:val="20"/>
    </w:rPr>
    <w:tblPr>
      <w:tblBorders>
        <w:insideH w:val="single" w:sz="4" w:space="0" w:color="7599BB"/>
        <w:insideV w:val="single" w:sz="4" w:space="0" w:color="7599BB"/>
      </w:tblBorders>
    </w:tblPr>
    <w:tblStylePr w:type="firstRow">
      <w:tblPr/>
      <w:tcPr>
        <w:shd w:val="clear" w:color="auto" w:fill="E3EAF1"/>
      </w:tcPr>
    </w:tblStylePr>
  </w:style>
  <w:style w:type="table" w:customStyle="1" w:styleId="TableGrid2">
    <w:name w:val="Table Grid2"/>
    <w:basedOn w:val="TableNormal"/>
    <w:next w:val="TableGrid"/>
    <w:uiPriority w:val="59"/>
    <w:rsid w:val="00BD1D88"/>
    <w:pPr>
      <w:spacing w:after="0" w:line="240" w:lineRule="auto"/>
    </w:pPr>
    <w:rPr>
      <w:rFonts w:asciiTheme="minorHAnsi" w:hAnsiTheme="minorHAnsi"/>
      <w:sz w:val="20"/>
    </w:rPr>
    <w:tblPr>
      <w:tblBorders>
        <w:insideH w:val="single" w:sz="4" w:space="0" w:color="7599BB"/>
        <w:insideV w:val="single" w:sz="4" w:space="0" w:color="7599BB"/>
      </w:tblBorders>
    </w:tblPr>
    <w:tblStylePr w:type="firstRow">
      <w:tblPr/>
      <w:tcPr>
        <w:shd w:val="clear" w:color="auto" w:fill="E3EAF1"/>
      </w:tcPr>
    </w:tblStylePr>
  </w:style>
  <w:style w:type="paragraph" w:customStyle="1" w:styleId="MBPointSub">
    <w:name w:val="MB Point Sub"/>
    <w:basedOn w:val="ListParagraph"/>
    <w:qFormat/>
    <w:rsid w:val="00BD1D88"/>
    <w:pPr>
      <w:spacing w:after="60" w:line="240" w:lineRule="auto"/>
      <w:ind w:left="510" w:hanging="357"/>
      <w:contextualSpacing w:val="0"/>
    </w:pPr>
    <w:rPr>
      <w:rFonts w:cs="Times New Roman"/>
      <w:szCs w:val="24"/>
    </w:rPr>
  </w:style>
  <w:style w:type="character" w:customStyle="1" w:styleId="findhit">
    <w:name w:val="findhit"/>
    <w:basedOn w:val="DefaultParagraphFont"/>
    <w:rsid w:val="00BD1D88"/>
  </w:style>
  <w:style w:type="paragraph" w:styleId="EndnoteText">
    <w:name w:val="endnote text"/>
    <w:basedOn w:val="Normal"/>
    <w:link w:val="EndnoteTextChar"/>
    <w:uiPriority w:val="99"/>
    <w:unhideWhenUsed/>
    <w:rsid w:val="00BD1D88"/>
    <w:pPr>
      <w:spacing w:after="0" w:line="240" w:lineRule="auto"/>
    </w:pPr>
    <w:rPr>
      <w:rFonts w:asciiTheme="minorHAnsi" w:hAnsiTheme="minorHAnsi"/>
      <w:sz w:val="20"/>
      <w:szCs w:val="20"/>
    </w:rPr>
  </w:style>
  <w:style w:type="character" w:customStyle="1" w:styleId="EndnoteTextChar">
    <w:name w:val="Endnote Text Char"/>
    <w:basedOn w:val="DefaultParagraphFont"/>
    <w:link w:val="EndnoteText"/>
    <w:uiPriority w:val="99"/>
    <w:rsid w:val="00BD1D88"/>
    <w:rPr>
      <w:rFonts w:asciiTheme="minorHAnsi" w:hAnsiTheme="minorHAnsi"/>
      <w:sz w:val="20"/>
      <w:szCs w:val="20"/>
    </w:rPr>
  </w:style>
  <w:style w:type="character" w:styleId="EndnoteReference">
    <w:name w:val="endnote reference"/>
    <w:basedOn w:val="DefaultParagraphFont"/>
    <w:uiPriority w:val="99"/>
    <w:semiHidden/>
    <w:unhideWhenUsed/>
    <w:rsid w:val="00BD1D88"/>
    <w:rPr>
      <w:vertAlign w:val="superscript"/>
    </w:rPr>
  </w:style>
  <w:style w:type="character" w:styleId="Mention">
    <w:name w:val="Mention"/>
    <w:basedOn w:val="DefaultParagraphFont"/>
    <w:uiPriority w:val="99"/>
    <w:unhideWhenUsed/>
    <w:rsid w:val="00BD1D88"/>
    <w:rPr>
      <w:color w:val="2B579A"/>
      <w:shd w:val="clear" w:color="auto" w:fill="E1DFDD"/>
    </w:rPr>
  </w:style>
  <w:style w:type="paragraph" w:styleId="NoSpacing">
    <w:name w:val="No Spacing"/>
    <w:uiPriority w:val="1"/>
    <w:qFormat/>
    <w:rsid w:val="00BD1D88"/>
    <w:pPr>
      <w:spacing w:after="0" w:line="240" w:lineRule="auto"/>
    </w:pPr>
    <w:rPr>
      <w:rFonts w:asciiTheme="minorHAnsi" w:eastAsiaTheme="minorEastAsia" w:hAnsiTheme="minorHAnsi"/>
      <w:sz w:val="22"/>
      <w:lang w:eastAsia="en-AU"/>
    </w:rPr>
  </w:style>
  <w:style w:type="table" w:styleId="TableGridLight">
    <w:name w:val="Grid Table Light"/>
    <w:basedOn w:val="TableNormal"/>
    <w:uiPriority w:val="40"/>
    <w:rsid w:val="00BD1D88"/>
    <w:pPr>
      <w:spacing w:after="0" w:line="240" w:lineRule="auto"/>
    </w:pPr>
    <w:rPr>
      <w:rFonts w:asciiTheme="minorHAnsi" w:hAnsiTheme="minorHAnsi"/>
      <w:sz w:val="22"/>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CABH2">
    <w:name w:val="CAB H2"/>
    <w:basedOn w:val="Normal"/>
    <w:link w:val="CABH2Char"/>
    <w:uiPriority w:val="98"/>
    <w:qFormat/>
    <w:rsid w:val="00BD1D88"/>
    <w:pPr>
      <w:keepNext/>
      <w:keepLines/>
      <w:tabs>
        <w:tab w:val="left" w:pos="567"/>
      </w:tabs>
      <w:spacing w:before="240" w:after="200" w:line="276" w:lineRule="auto"/>
      <w:outlineLvl w:val="0"/>
    </w:pPr>
    <w:rPr>
      <w:rFonts w:ascii="Arial" w:eastAsiaTheme="majorEastAsia" w:hAnsi="Arial" w:cstheme="majorBidi"/>
      <w:b/>
      <w:bCs/>
      <w:color w:val="003865"/>
      <w:szCs w:val="28"/>
    </w:rPr>
  </w:style>
  <w:style w:type="character" w:customStyle="1" w:styleId="CABH2Char">
    <w:name w:val="CAB H2 Char"/>
    <w:basedOn w:val="DefaultParagraphFont"/>
    <w:link w:val="CABH2"/>
    <w:uiPriority w:val="98"/>
    <w:rsid w:val="00BD1D88"/>
    <w:rPr>
      <w:rFonts w:ascii="Arial" w:eastAsiaTheme="majorEastAsia" w:hAnsi="Arial" w:cstheme="majorBidi"/>
      <w:b/>
      <w:bCs/>
      <w:color w:val="003865"/>
      <w:szCs w:val="28"/>
    </w:rPr>
  </w:style>
  <w:style w:type="character" w:customStyle="1" w:styleId="contextualspellingandgrammarerror">
    <w:name w:val="contextualspellingandgrammarerror"/>
    <w:basedOn w:val="DefaultParagraphFont"/>
    <w:rsid w:val="00BD1D88"/>
  </w:style>
  <w:style w:type="table" w:styleId="GridTable1Light-Accent2">
    <w:name w:val="Grid Table 1 Light Accent 2"/>
    <w:basedOn w:val="TableNormal"/>
    <w:uiPriority w:val="46"/>
    <w:rsid w:val="00BD1D88"/>
    <w:pPr>
      <w:spacing w:after="0" w:line="240" w:lineRule="auto"/>
    </w:pPr>
    <w:rPr>
      <w:rFonts w:asciiTheme="minorHAnsi" w:hAnsiTheme="minorHAnsi"/>
      <w:sz w:val="22"/>
      <w:lang w:val="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styleId="IntenseEmphasis">
    <w:name w:val="Intense Emphasis"/>
    <w:basedOn w:val="DefaultParagraphFont"/>
    <w:uiPriority w:val="21"/>
    <w:qFormat/>
    <w:rsid w:val="00A96A07"/>
    <w:rPr>
      <w:i/>
      <w:i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380104">
      <w:bodyDiv w:val="1"/>
      <w:marLeft w:val="0"/>
      <w:marRight w:val="0"/>
      <w:marTop w:val="0"/>
      <w:marBottom w:val="0"/>
      <w:divBdr>
        <w:top w:val="none" w:sz="0" w:space="0" w:color="auto"/>
        <w:left w:val="none" w:sz="0" w:space="0" w:color="auto"/>
        <w:bottom w:val="none" w:sz="0" w:space="0" w:color="auto"/>
        <w:right w:val="none" w:sz="0" w:space="0" w:color="auto"/>
      </w:divBdr>
      <w:divsChild>
        <w:div w:id="476536011">
          <w:marLeft w:val="0"/>
          <w:marRight w:val="0"/>
          <w:marTop w:val="0"/>
          <w:marBottom w:val="0"/>
          <w:divBdr>
            <w:top w:val="none" w:sz="0" w:space="0" w:color="auto"/>
            <w:left w:val="none" w:sz="0" w:space="0" w:color="auto"/>
            <w:bottom w:val="none" w:sz="0" w:space="0" w:color="auto"/>
            <w:right w:val="none" w:sz="0" w:space="0" w:color="auto"/>
          </w:divBdr>
        </w:div>
        <w:div w:id="1941067008">
          <w:marLeft w:val="0"/>
          <w:marRight w:val="0"/>
          <w:marTop w:val="0"/>
          <w:marBottom w:val="0"/>
          <w:divBdr>
            <w:top w:val="none" w:sz="0" w:space="0" w:color="auto"/>
            <w:left w:val="none" w:sz="0" w:space="0" w:color="auto"/>
            <w:bottom w:val="none" w:sz="0" w:space="0" w:color="auto"/>
            <w:right w:val="none" w:sz="0" w:space="0" w:color="auto"/>
          </w:divBdr>
        </w:div>
        <w:div w:id="2143421644">
          <w:marLeft w:val="0"/>
          <w:marRight w:val="0"/>
          <w:marTop w:val="0"/>
          <w:marBottom w:val="0"/>
          <w:divBdr>
            <w:top w:val="none" w:sz="0" w:space="0" w:color="auto"/>
            <w:left w:val="none" w:sz="0" w:space="0" w:color="auto"/>
            <w:bottom w:val="none" w:sz="0" w:space="0" w:color="auto"/>
            <w:right w:val="none" w:sz="0" w:space="0" w:color="auto"/>
          </w:divBdr>
        </w:div>
      </w:divsChild>
    </w:div>
    <w:div w:id="273901450">
      <w:bodyDiv w:val="1"/>
      <w:marLeft w:val="0"/>
      <w:marRight w:val="0"/>
      <w:marTop w:val="0"/>
      <w:marBottom w:val="0"/>
      <w:divBdr>
        <w:top w:val="none" w:sz="0" w:space="0" w:color="auto"/>
        <w:left w:val="none" w:sz="0" w:space="0" w:color="auto"/>
        <w:bottom w:val="none" w:sz="0" w:space="0" w:color="auto"/>
        <w:right w:val="none" w:sz="0" w:space="0" w:color="auto"/>
      </w:divBdr>
    </w:div>
    <w:div w:id="414471439">
      <w:bodyDiv w:val="1"/>
      <w:marLeft w:val="0"/>
      <w:marRight w:val="0"/>
      <w:marTop w:val="0"/>
      <w:marBottom w:val="0"/>
      <w:divBdr>
        <w:top w:val="none" w:sz="0" w:space="0" w:color="auto"/>
        <w:left w:val="none" w:sz="0" w:space="0" w:color="auto"/>
        <w:bottom w:val="none" w:sz="0" w:space="0" w:color="auto"/>
        <w:right w:val="none" w:sz="0" w:space="0" w:color="auto"/>
      </w:divBdr>
    </w:div>
    <w:div w:id="662784361">
      <w:bodyDiv w:val="1"/>
      <w:marLeft w:val="0"/>
      <w:marRight w:val="0"/>
      <w:marTop w:val="0"/>
      <w:marBottom w:val="0"/>
      <w:divBdr>
        <w:top w:val="none" w:sz="0" w:space="0" w:color="auto"/>
        <w:left w:val="none" w:sz="0" w:space="0" w:color="auto"/>
        <w:bottom w:val="none" w:sz="0" w:space="0" w:color="auto"/>
        <w:right w:val="none" w:sz="0" w:space="0" w:color="auto"/>
      </w:divBdr>
    </w:div>
    <w:div w:id="1519154620">
      <w:bodyDiv w:val="1"/>
      <w:marLeft w:val="0"/>
      <w:marRight w:val="0"/>
      <w:marTop w:val="0"/>
      <w:marBottom w:val="0"/>
      <w:divBdr>
        <w:top w:val="none" w:sz="0" w:space="0" w:color="auto"/>
        <w:left w:val="none" w:sz="0" w:space="0" w:color="auto"/>
        <w:bottom w:val="none" w:sz="0" w:space="0" w:color="auto"/>
        <w:right w:val="none" w:sz="0" w:space="0" w:color="auto"/>
      </w:divBdr>
    </w:div>
    <w:div w:id="1799496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2.png"/><Relationship Id="rId26" Type="http://schemas.openxmlformats.org/officeDocument/2006/relationships/header" Target="header6.xml"/><Relationship Id="rId39" Type="http://schemas.openxmlformats.org/officeDocument/2006/relationships/hyperlink" Target="http://www.ncver.edu.au" TargetMode="External"/><Relationship Id="rId21" Type="http://schemas.openxmlformats.org/officeDocument/2006/relationships/hyperlink" Target="https://creativecommons.org/licenses/by/4.0/legalcode" TargetMode="External"/><Relationship Id="rId34" Type="http://schemas.openxmlformats.org/officeDocument/2006/relationships/hyperlink" Target="http://www.dese.gov.au" TargetMode="External"/><Relationship Id="rId42" Type="http://schemas.openxmlformats.org/officeDocument/2006/relationships/hyperlink" Target="http://www.ncver.edu.au" TargetMode="External"/><Relationship Id="rId47" Type="http://schemas.openxmlformats.org/officeDocument/2006/relationships/hyperlink" Target="http://www.ncver.edu.au" TargetMode="External"/><Relationship Id="rId50" Type="http://schemas.openxmlformats.org/officeDocument/2006/relationships/hyperlink" Target="http://www.ncver.edu.au" TargetMode="External"/><Relationship Id="rId55" Type="http://schemas.openxmlformats.org/officeDocument/2006/relationships/chart" Target="charts/chart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5.png"/><Relationship Id="rId11" Type="http://schemas.openxmlformats.org/officeDocument/2006/relationships/image" Target="media/image1.png"/><Relationship Id="rId24" Type="http://schemas.openxmlformats.org/officeDocument/2006/relationships/footer" Target="footer4.xml"/><Relationship Id="rId32" Type="http://schemas.openxmlformats.org/officeDocument/2006/relationships/hyperlink" Target="http://www.abs.gov.au" TargetMode="External"/><Relationship Id="rId37" Type="http://schemas.openxmlformats.org/officeDocument/2006/relationships/hyperlink" Target="http://www.pmc.gov.au" TargetMode="External"/><Relationship Id="rId40" Type="http://schemas.openxmlformats.org/officeDocument/2006/relationships/hyperlink" Target="http://www.ncver.edu.au" TargetMode="External"/><Relationship Id="rId45" Type="http://schemas.openxmlformats.org/officeDocument/2006/relationships/hyperlink" Target="http://www.ncver.edu.au" TargetMode="External"/><Relationship Id="rId53" Type="http://schemas.openxmlformats.org/officeDocument/2006/relationships/hyperlink" Target="http://www.rba.gov.au" TargetMode="External"/><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image" Target="cid:image001.png@01CC5B5E.C6C84990"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4.xml"/><Relationship Id="rId27" Type="http://schemas.openxmlformats.org/officeDocument/2006/relationships/footer" Target="footer6.xml"/><Relationship Id="rId30" Type="http://schemas.openxmlformats.org/officeDocument/2006/relationships/image" Target="media/image6.png"/><Relationship Id="rId35" Type="http://schemas.openxmlformats.org/officeDocument/2006/relationships/hyperlink" Target="http://www.jobjumpstart.gov.au" TargetMode="External"/><Relationship Id="rId43" Type="http://schemas.openxmlformats.org/officeDocument/2006/relationships/hyperlink" Target="http://www.ncver.edu.au" TargetMode="External"/><Relationship Id="rId48" Type="http://schemas.openxmlformats.org/officeDocument/2006/relationships/hyperlink" Target="http://www.ncver.edu.au" TargetMode="External"/><Relationship Id="rId56" Type="http://schemas.openxmlformats.org/officeDocument/2006/relationships/chart" Target="charts/chart2.xml"/><Relationship Id="rId8" Type="http://schemas.openxmlformats.org/officeDocument/2006/relationships/webSettings" Target="webSettings.xml"/><Relationship Id="rId51" Type="http://schemas.openxmlformats.org/officeDocument/2006/relationships/hyperlink" Target="http://www.ncver.edu.au"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hyperlink" Target="http://www.voced.edu.au" TargetMode="External"/><Relationship Id="rId38" Type="http://schemas.openxmlformats.org/officeDocument/2006/relationships/hyperlink" Target="http://www.oecd-library.org" TargetMode="External"/><Relationship Id="rId46" Type="http://schemas.openxmlformats.org/officeDocument/2006/relationships/hyperlink" Target="http://www.ncver.edu.au" TargetMode="External"/><Relationship Id="rId20" Type="http://schemas.openxmlformats.org/officeDocument/2006/relationships/hyperlink" Target="https://creativecommons.org/licenses/by/4.0/" TargetMode="External"/><Relationship Id="rId41" Type="http://schemas.openxmlformats.org/officeDocument/2006/relationships/hyperlink" Target="https://aus01.safelinks.protection.outlook.com/?url=https%3A%2F%2Fwww.ncver.edu.au%2F__data%2Fassets%2Ffile%2F0010%2F4132%2F2444.pdf&amp;data=04%7C01%7C%7Cacaf1333c830415085a808d93466421c%7C8c0aa3fabaaf4713a02e487637cf14be%7C0%7C0%7C637598436067625800%7CUnknown%7CTWFpbGZsb3d8eyJWIjoiMC4wLjAwMDAiLCJQIjoiV2luMzIiLCJBTiI6Ik1haWwiLCJXVCI6Mn0%3D%7C1000&amp;sdata=HF%2BI90l55gJrO08Vrr5ddu3WoOOxfX%2Fcpwb%2FVu%2BFXoQ%3D&amp;reserved=0" TargetMode="External"/><Relationship Id="rId54" Type="http://schemas.openxmlformats.org/officeDocument/2006/relationships/hyperlink" Target="http://www.aph.gov.au"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eader" Target="header5.xml"/><Relationship Id="rId28" Type="http://schemas.openxmlformats.org/officeDocument/2006/relationships/image" Target="media/image4.png"/><Relationship Id="rId36" Type="http://schemas.openxmlformats.org/officeDocument/2006/relationships/hyperlink" Target="http://www.dese.gov.au" TargetMode="External"/><Relationship Id="rId49" Type="http://schemas.openxmlformats.org/officeDocument/2006/relationships/hyperlink" Target="http://www.ncver.edu.au" TargetMode="External"/><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www.media.anz.com" TargetMode="External"/><Relationship Id="rId44" Type="http://schemas.openxmlformats.org/officeDocument/2006/relationships/hyperlink" Target="http://www.ncver.edu.au" TargetMode="External"/><Relationship Id="rId52" Type="http://schemas.openxmlformats.org/officeDocument/2006/relationships/hyperlink" Target="http://www.pc.gov.au"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www.pc.gov.au" TargetMode="External"/><Relationship Id="rId18" Type="http://schemas.openxmlformats.org/officeDocument/2006/relationships/hyperlink" Target="http://www.ncver.edu.au" TargetMode="External"/><Relationship Id="rId26" Type="http://schemas.openxmlformats.org/officeDocument/2006/relationships/hyperlink" Target="http://www.dese.gov.au" TargetMode="External"/><Relationship Id="rId39" Type="http://schemas.openxmlformats.org/officeDocument/2006/relationships/hyperlink" Target="http://www.ncver.edu.au" TargetMode="External"/><Relationship Id="rId21" Type="http://schemas.openxmlformats.org/officeDocument/2006/relationships/hyperlink" Target="http://www.ncver.edu.au" TargetMode="External"/><Relationship Id="rId34" Type="http://schemas.openxmlformats.org/officeDocument/2006/relationships/hyperlink" Target="http://www.pc.gov.au" TargetMode="External"/><Relationship Id="rId42" Type="http://schemas.openxmlformats.org/officeDocument/2006/relationships/hyperlink" Target="http://www.ncver.edu.au" TargetMode="External"/><Relationship Id="rId7" Type="http://schemas.openxmlformats.org/officeDocument/2006/relationships/hyperlink" Target="http://www.aph.gov.au" TargetMode="External"/><Relationship Id="rId2" Type="http://schemas.openxmlformats.org/officeDocument/2006/relationships/hyperlink" Target="http://www.ncver.edu.au" TargetMode="External"/><Relationship Id="rId16" Type="http://schemas.openxmlformats.org/officeDocument/2006/relationships/hyperlink" Target="http://www.media.anz.com" TargetMode="External"/><Relationship Id="rId20" Type="http://schemas.openxmlformats.org/officeDocument/2006/relationships/hyperlink" Target="http://www.voced.edu.au" TargetMode="External"/><Relationship Id="rId29" Type="http://schemas.openxmlformats.org/officeDocument/2006/relationships/hyperlink" Target="http://www.pc.gov.au" TargetMode="External"/><Relationship Id="rId41" Type="http://schemas.openxmlformats.org/officeDocument/2006/relationships/hyperlink" Target="http://www.ncver.edu.au" TargetMode="External"/><Relationship Id="rId1" Type="http://schemas.openxmlformats.org/officeDocument/2006/relationships/hyperlink" Target="http://www.ncver.edu.au" TargetMode="External"/><Relationship Id="rId6" Type="http://schemas.openxmlformats.org/officeDocument/2006/relationships/hyperlink" Target="http://www.ncver.edu.au" TargetMode="External"/><Relationship Id="rId11" Type="http://schemas.openxmlformats.org/officeDocument/2006/relationships/hyperlink" Target="http://www.ncver.edu.au" TargetMode="External"/><Relationship Id="rId24" Type="http://schemas.openxmlformats.org/officeDocument/2006/relationships/hyperlink" Target="http://www.ncver.edu.au" TargetMode="External"/><Relationship Id="rId32" Type="http://schemas.openxmlformats.org/officeDocument/2006/relationships/hyperlink" Target="http://www.voced.edu.au" TargetMode="External"/><Relationship Id="rId37" Type="http://schemas.openxmlformats.org/officeDocument/2006/relationships/hyperlink" Target="http://www.ncver.edu.au" TargetMode="External"/><Relationship Id="rId40" Type="http://schemas.openxmlformats.org/officeDocument/2006/relationships/hyperlink" Target="http://www.ncver.edu.au" TargetMode="External"/><Relationship Id="rId5" Type="http://schemas.openxmlformats.org/officeDocument/2006/relationships/hyperlink" Target="http://www.ncver.edu.au" TargetMode="External"/><Relationship Id="rId15" Type="http://schemas.openxmlformats.org/officeDocument/2006/relationships/hyperlink" Target="http://www.dese.gov.au" TargetMode="External"/><Relationship Id="rId23" Type="http://schemas.openxmlformats.org/officeDocument/2006/relationships/hyperlink" Target="http://www.ncver.edu.au" TargetMode="External"/><Relationship Id="rId28" Type="http://schemas.openxmlformats.org/officeDocument/2006/relationships/hyperlink" Target="http://www.ncver.edu.au" TargetMode="External"/><Relationship Id="rId36" Type="http://schemas.openxmlformats.org/officeDocument/2006/relationships/hyperlink" Target="http://www.ncver.edu.au" TargetMode="External"/><Relationship Id="rId10" Type="http://schemas.openxmlformats.org/officeDocument/2006/relationships/hyperlink" Target="http://www.ncver.edu.au" TargetMode="External"/><Relationship Id="rId19" Type="http://schemas.openxmlformats.org/officeDocument/2006/relationships/hyperlink" Target="http://www.abs.gov.au" TargetMode="External"/><Relationship Id="rId31" Type="http://schemas.openxmlformats.org/officeDocument/2006/relationships/hyperlink" Target="http://www.voced.edu.au" TargetMode="External"/><Relationship Id="rId44" Type="http://schemas.openxmlformats.org/officeDocument/2006/relationships/hyperlink" Target="http://www.ncver.edu.au" TargetMode="External"/><Relationship Id="rId4" Type="http://schemas.openxmlformats.org/officeDocument/2006/relationships/hyperlink" Target="http://www.ncver.edu.au" TargetMode="External"/><Relationship Id="rId9" Type="http://schemas.openxmlformats.org/officeDocument/2006/relationships/hyperlink" Target="http://www.oecd-library.org" TargetMode="External"/><Relationship Id="rId14" Type="http://schemas.openxmlformats.org/officeDocument/2006/relationships/hyperlink" Target="http://www.ncver.edu.au" TargetMode="External"/><Relationship Id="rId22" Type="http://schemas.openxmlformats.org/officeDocument/2006/relationships/hyperlink" Target="http://www.ncver.edu.au" TargetMode="External"/><Relationship Id="rId27" Type="http://schemas.openxmlformats.org/officeDocument/2006/relationships/hyperlink" Target="http://www.ncver.edu.au" TargetMode="External"/><Relationship Id="rId30" Type="http://schemas.openxmlformats.org/officeDocument/2006/relationships/hyperlink" Target="http://www.pc.gov.au" TargetMode="External"/><Relationship Id="rId35" Type="http://schemas.openxmlformats.org/officeDocument/2006/relationships/hyperlink" Target="http://www.ncver.edu.au" TargetMode="External"/><Relationship Id="rId43" Type="http://schemas.openxmlformats.org/officeDocument/2006/relationships/hyperlink" Target="http://www.ncver.edu.au" TargetMode="External"/><Relationship Id="rId8" Type="http://schemas.openxmlformats.org/officeDocument/2006/relationships/hyperlink" Target="http://www.jobjumpstart.gov.au" TargetMode="External"/><Relationship Id="rId3" Type="http://schemas.openxmlformats.org/officeDocument/2006/relationships/hyperlink" Target="http://www.ncver.edu.au" TargetMode="External"/><Relationship Id="rId12" Type="http://schemas.openxmlformats.org/officeDocument/2006/relationships/hyperlink" Target="http://www.ncver.edu.au" TargetMode="External"/><Relationship Id="rId17" Type="http://schemas.openxmlformats.org/officeDocument/2006/relationships/hyperlink" Target="http://www.pc.gov.au" TargetMode="External"/><Relationship Id="rId25" Type="http://schemas.openxmlformats.org/officeDocument/2006/relationships/hyperlink" Target="http://www.ncver.edu.au" TargetMode="External"/><Relationship Id="rId33" Type="http://schemas.openxmlformats.org/officeDocument/2006/relationships/hyperlink" Target="http://www.pc.gov.au" TargetMode="External"/><Relationship Id="rId38" Type="http://schemas.openxmlformats.org/officeDocument/2006/relationships/hyperlink" Target="http://www.ncver.edu.au" TargetMode="External"/></Relationships>
</file>

<file path=word/_rels/header5.xml.rels><?xml version="1.0" encoding="UTF-8" standalone="yes"?>
<Relationships xmlns="http://schemas.openxmlformats.org/package/2006/relationships"><Relationship Id="rId1" Type="http://schemas.openxmlformats.org/officeDocument/2006/relationships/image" Target="media/image3.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'States and Territories'!$O$26</c:f>
              <c:strCache>
                <c:ptCount val="1"/>
                <c:pt idx="0">
                  <c:v>2020</c:v>
                </c:pt>
              </c:strCache>
            </c:strRef>
          </c:tx>
          <c:spPr>
            <a:solidFill>
              <a:schemeClr val="tx1">
                <a:lumMod val="50000"/>
                <a:lumOff val="50000"/>
              </a:schemeClr>
            </a:solidFill>
            <a:ln>
              <a:noFill/>
            </a:ln>
            <a:effectLst/>
          </c:spPr>
          <c:invertIfNegative val="0"/>
          <c:cat>
            <c:strRef>
              <c:f>'States and Territories'!$M$27:$M$34</c:f>
              <c:strCache>
                <c:ptCount val="8"/>
                <c:pt idx="0">
                  <c:v>NSW</c:v>
                </c:pt>
                <c:pt idx="1">
                  <c:v>VIC</c:v>
                </c:pt>
                <c:pt idx="2">
                  <c:v>QLD</c:v>
                </c:pt>
                <c:pt idx="3">
                  <c:v>SA</c:v>
                </c:pt>
                <c:pt idx="4">
                  <c:v>WA</c:v>
                </c:pt>
                <c:pt idx="5">
                  <c:v>TAS</c:v>
                </c:pt>
                <c:pt idx="6">
                  <c:v>NT</c:v>
                </c:pt>
                <c:pt idx="7">
                  <c:v>ACT</c:v>
                </c:pt>
              </c:strCache>
            </c:strRef>
          </c:cat>
          <c:val>
            <c:numRef>
              <c:f>'States and Territories'!$O$27:$O$34</c:f>
              <c:numCache>
                <c:formatCode>#,##0</c:formatCode>
                <c:ptCount val="8"/>
                <c:pt idx="0">
                  <c:v>58010</c:v>
                </c:pt>
                <c:pt idx="1">
                  <c:v>46830</c:v>
                </c:pt>
                <c:pt idx="2">
                  <c:v>38225</c:v>
                </c:pt>
                <c:pt idx="3">
                  <c:v>11525</c:v>
                </c:pt>
                <c:pt idx="4">
                  <c:v>17520</c:v>
                </c:pt>
                <c:pt idx="5">
                  <c:v>4805</c:v>
                </c:pt>
                <c:pt idx="6">
                  <c:v>1735</c:v>
                </c:pt>
                <c:pt idx="7">
                  <c:v>3280</c:v>
                </c:pt>
              </c:numCache>
            </c:numRef>
          </c:val>
          <c:extLst>
            <c:ext xmlns:c16="http://schemas.microsoft.com/office/drawing/2014/chart" uri="{C3380CC4-5D6E-409C-BE32-E72D297353CC}">
              <c16:uniqueId val="{00000000-83FE-41A2-A443-03933E26C304}"/>
            </c:ext>
          </c:extLst>
        </c:ser>
        <c:ser>
          <c:idx val="1"/>
          <c:order val="1"/>
          <c:tx>
            <c:strRef>
              <c:f>'States and Territories'!$P$26</c:f>
              <c:strCache>
                <c:ptCount val="1"/>
                <c:pt idx="0">
                  <c:v>2021</c:v>
                </c:pt>
              </c:strCache>
            </c:strRef>
          </c:tx>
          <c:spPr>
            <a:solidFill>
              <a:schemeClr val="accent1"/>
            </a:solidFill>
            <a:ln>
              <a:noFill/>
            </a:ln>
            <a:effectLst/>
          </c:spPr>
          <c:invertIfNegative val="0"/>
          <c:cat>
            <c:strRef>
              <c:f>'States and Territories'!$M$27:$M$34</c:f>
              <c:strCache>
                <c:ptCount val="8"/>
                <c:pt idx="0">
                  <c:v>NSW</c:v>
                </c:pt>
                <c:pt idx="1">
                  <c:v>VIC</c:v>
                </c:pt>
                <c:pt idx="2">
                  <c:v>QLD</c:v>
                </c:pt>
                <c:pt idx="3">
                  <c:v>SA</c:v>
                </c:pt>
                <c:pt idx="4">
                  <c:v>WA</c:v>
                </c:pt>
                <c:pt idx="5">
                  <c:v>TAS</c:v>
                </c:pt>
                <c:pt idx="6">
                  <c:v>NT</c:v>
                </c:pt>
                <c:pt idx="7">
                  <c:v>ACT</c:v>
                </c:pt>
              </c:strCache>
            </c:strRef>
          </c:cat>
          <c:val>
            <c:numRef>
              <c:f>'States and Territories'!$P$27:$P$34</c:f>
              <c:numCache>
                <c:formatCode>#,##0</c:formatCode>
                <c:ptCount val="8"/>
                <c:pt idx="0">
                  <c:v>66225</c:v>
                </c:pt>
                <c:pt idx="1">
                  <c:v>54325</c:v>
                </c:pt>
                <c:pt idx="2">
                  <c:v>46490</c:v>
                </c:pt>
                <c:pt idx="3">
                  <c:v>13695</c:v>
                </c:pt>
                <c:pt idx="4">
                  <c:v>22745</c:v>
                </c:pt>
                <c:pt idx="5">
                  <c:v>6000</c:v>
                </c:pt>
                <c:pt idx="6">
                  <c:v>2005</c:v>
                </c:pt>
                <c:pt idx="7">
                  <c:v>3485</c:v>
                </c:pt>
              </c:numCache>
            </c:numRef>
          </c:val>
          <c:extLst>
            <c:ext xmlns:c16="http://schemas.microsoft.com/office/drawing/2014/chart" uri="{C3380CC4-5D6E-409C-BE32-E72D297353CC}">
              <c16:uniqueId val="{00000001-83FE-41A2-A443-03933E26C304}"/>
            </c:ext>
          </c:extLst>
        </c:ser>
        <c:dLbls>
          <c:showLegendKey val="0"/>
          <c:showVal val="0"/>
          <c:showCatName val="0"/>
          <c:showSerName val="0"/>
          <c:showPercent val="0"/>
          <c:showBubbleSize val="0"/>
        </c:dLbls>
        <c:gapWidth val="100"/>
        <c:overlap val="-15"/>
        <c:axId val="673597407"/>
        <c:axId val="47377807"/>
      </c:barChart>
      <c:catAx>
        <c:axId val="673597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77807"/>
        <c:crosses val="autoZero"/>
        <c:auto val="1"/>
        <c:lblAlgn val="ctr"/>
        <c:lblOffset val="100"/>
        <c:noMultiLvlLbl val="0"/>
      </c:catAx>
      <c:valAx>
        <c:axId val="473778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5974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2"/>
          <c:order val="0"/>
          <c:tx>
            <c:strRef>
              <c:f>'States and Territories'!$Q$26</c:f>
              <c:strCache>
                <c:ptCount val="1"/>
                <c:pt idx="0">
                  <c:v>2020</c:v>
                </c:pt>
              </c:strCache>
            </c:strRef>
          </c:tx>
          <c:spPr>
            <a:solidFill>
              <a:schemeClr val="tx1">
                <a:lumMod val="50000"/>
                <a:lumOff val="50000"/>
              </a:schemeClr>
            </a:solidFill>
          </c:spPr>
          <c:invertIfNegative val="0"/>
          <c:cat>
            <c:strRef>
              <c:f>'States and Territories'!$M$27:$M$34</c:f>
              <c:strCache>
                <c:ptCount val="8"/>
                <c:pt idx="0">
                  <c:v>NSW</c:v>
                </c:pt>
                <c:pt idx="1">
                  <c:v>VIC</c:v>
                </c:pt>
                <c:pt idx="2">
                  <c:v>QLD</c:v>
                </c:pt>
                <c:pt idx="3">
                  <c:v>SA</c:v>
                </c:pt>
                <c:pt idx="4">
                  <c:v>WA</c:v>
                </c:pt>
                <c:pt idx="5">
                  <c:v>TAS</c:v>
                </c:pt>
                <c:pt idx="6">
                  <c:v>NT</c:v>
                </c:pt>
                <c:pt idx="7">
                  <c:v>ACT</c:v>
                </c:pt>
              </c:strCache>
            </c:strRef>
          </c:cat>
          <c:val>
            <c:numRef>
              <c:f>'States and Territories'!$Q$27:$Q$34</c:f>
              <c:numCache>
                <c:formatCode>#,##0</c:formatCode>
                <c:ptCount val="8"/>
                <c:pt idx="0">
                  <c:v>27035</c:v>
                </c:pt>
                <c:pt idx="1">
                  <c:v>14290</c:v>
                </c:pt>
                <c:pt idx="2">
                  <c:v>18695</c:v>
                </c:pt>
                <c:pt idx="3">
                  <c:v>6420</c:v>
                </c:pt>
                <c:pt idx="4">
                  <c:v>10720</c:v>
                </c:pt>
                <c:pt idx="5">
                  <c:v>3985</c:v>
                </c:pt>
                <c:pt idx="6">
                  <c:v>1465</c:v>
                </c:pt>
                <c:pt idx="7">
                  <c:v>3175</c:v>
                </c:pt>
              </c:numCache>
            </c:numRef>
          </c:val>
          <c:extLst>
            <c:ext xmlns:c16="http://schemas.microsoft.com/office/drawing/2014/chart" uri="{C3380CC4-5D6E-409C-BE32-E72D297353CC}">
              <c16:uniqueId val="{00000000-F49B-4DCF-B6CB-F8831D0929B6}"/>
            </c:ext>
          </c:extLst>
        </c:ser>
        <c:ser>
          <c:idx val="3"/>
          <c:order val="1"/>
          <c:tx>
            <c:strRef>
              <c:f>'States and Territories'!$R$26</c:f>
              <c:strCache>
                <c:ptCount val="1"/>
                <c:pt idx="0">
                  <c:v>2021</c:v>
                </c:pt>
              </c:strCache>
            </c:strRef>
          </c:tx>
          <c:spPr>
            <a:solidFill>
              <a:schemeClr val="accent1"/>
            </a:solidFill>
          </c:spPr>
          <c:invertIfNegative val="0"/>
          <c:cat>
            <c:strRef>
              <c:f>'States and Territories'!$M$27:$M$34</c:f>
              <c:strCache>
                <c:ptCount val="8"/>
                <c:pt idx="0">
                  <c:v>NSW</c:v>
                </c:pt>
                <c:pt idx="1">
                  <c:v>VIC</c:v>
                </c:pt>
                <c:pt idx="2">
                  <c:v>QLD</c:v>
                </c:pt>
                <c:pt idx="3">
                  <c:v>SA</c:v>
                </c:pt>
                <c:pt idx="4">
                  <c:v>WA</c:v>
                </c:pt>
                <c:pt idx="5">
                  <c:v>TAS</c:v>
                </c:pt>
                <c:pt idx="6">
                  <c:v>NT</c:v>
                </c:pt>
                <c:pt idx="7">
                  <c:v>ACT</c:v>
                </c:pt>
              </c:strCache>
            </c:strRef>
          </c:cat>
          <c:val>
            <c:numRef>
              <c:f>'States and Territories'!$R$27:$R$34</c:f>
              <c:numCache>
                <c:formatCode>#,##0</c:formatCode>
                <c:ptCount val="8"/>
                <c:pt idx="0">
                  <c:v>40515</c:v>
                </c:pt>
                <c:pt idx="1">
                  <c:v>22295</c:v>
                </c:pt>
                <c:pt idx="2">
                  <c:v>27980</c:v>
                </c:pt>
                <c:pt idx="3">
                  <c:v>9715</c:v>
                </c:pt>
                <c:pt idx="4">
                  <c:v>15655</c:v>
                </c:pt>
                <c:pt idx="5">
                  <c:v>4850</c:v>
                </c:pt>
                <c:pt idx="6">
                  <c:v>1750</c:v>
                </c:pt>
                <c:pt idx="7">
                  <c:v>3655</c:v>
                </c:pt>
              </c:numCache>
            </c:numRef>
          </c:val>
          <c:extLst>
            <c:ext xmlns:c16="http://schemas.microsoft.com/office/drawing/2014/chart" uri="{C3380CC4-5D6E-409C-BE32-E72D297353CC}">
              <c16:uniqueId val="{00000001-F49B-4DCF-B6CB-F8831D0929B6}"/>
            </c:ext>
          </c:extLst>
        </c:ser>
        <c:dLbls>
          <c:showLegendKey val="0"/>
          <c:showVal val="0"/>
          <c:showCatName val="0"/>
          <c:showSerName val="0"/>
          <c:showPercent val="0"/>
          <c:showBubbleSize val="0"/>
        </c:dLbls>
        <c:gapWidth val="100"/>
        <c:overlap val="-15"/>
        <c:axId val="673597407"/>
        <c:axId val="47377807"/>
      </c:barChart>
      <c:catAx>
        <c:axId val="673597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77807"/>
        <c:crosses val="autoZero"/>
        <c:auto val="1"/>
        <c:lblAlgn val="ctr"/>
        <c:lblOffset val="100"/>
        <c:noMultiLvlLbl val="0"/>
      </c:catAx>
      <c:valAx>
        <c:axId val="473778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597407"/>
        <c:crosses val="autoZero"/>
        <c:crossBetween val="between"/>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ln w="9525">
      <a:solidFill>
        <a:schemeClr val="bg1">
          <a:lumMod val="85000"/>
        </a:schemeClr>
      </a:solidFill>
    </a:ln>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Comments1 xmlns="a6ffbb11-35a5-4432-9331-947350e6133a" xsi:nil="true"/>
    <lcf76f155ced4ddcb4097134ff3c332f xmlns="a6ffbb11-35a5-4432-9331-947350e6133a">
      <Terms xmlns="http://schemas.microsoft.com/office/infopath/2007/PartnerControls"/>
    </lcf76f155ced4ddcb4097134ff3c332f>
    <Comment xmlns="a6ffbb11-35a5-4432-9331-947350e6133a" xsi:nil="true"/>
    <TaxCatchAll xmlns="51da406d-ebc4-416a-93b6-1e65940d4d98" xsi:nil="true"/>
    <Year xmlns="a6ffbb11-35a5-4432-9331-947350e6133a">2023</Year>
    <DocumentType xmlns="a6ffbb11-35a5-4432-9331-947350e6133a" xsi:nil="true"/>
    <Notes xmlns="a6ffbb11-35a5-4432-9331-947350e6133a" xsi:nil="true"/>
    <Comments xmlns="a6ffbb11-35a5-4432-9331-947350e6133a" xsi:nil="true"/>
    <Workflow xmlns="a6ffbb11-35a5-4432-9331-947350e6133a" xsi:nil="true"/>
    <Process xmlns="a6ffbb11-35a5-4432-9331-947350e6133a"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0C84A12BC63D544781721748C900D8EB" ma:contentTypeVersion="24" ma:contentTypeDescription="Create a new document." ma:contentTypeScope="" ma:versionID="da2a9b469e15142160c74a339ea2785c">
  <xsd:schema xmlns:xsd="http://www.w3.org/2001/XMLSchema" xmlns:xs="http://www.w3.org/2001/XMLSchema" xmlns:p="http://schemas.microsoft.com/office/2006/metadata/properties" xmlns:ns2="a6ffbb11-35a5-4432-9331-947350e6133a" xmlns:ns3="51da406d-ebc4-416a-93b6-1e65940d4d98" targetNamespace="http://schemas.microsoft.com/office/2006/metadata/properties" ma:root="true" ma:fieldsID="b379d4a004c72bdbb75241c099a6b083" ns2:_="" ns3:_="">
    <xsd:import namespace="a6ffbb11-35a5-4432-9331-947350e6133a"/>
    <xsd:import namespace="51da406d-ebc4-416a-93b6-1e65940d4d9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LengthInSeconds" minOccurs="0"/>
                <xsd:element ref="ns2:Comments" minOccurs="0"/>
                <xsd:element ref="ns2:Comments1" minOccurs="0"/>
                <xsd:element ref="ns2:Comment" minOccurs="0"/>
                <xsd:element ref="ns2:MediaServiceObjectDetectorVersions" minOccurs="0"/>
                <xsd:element ref="ns2:Notes" minOccurs="0"/>
                <xsd:element ref="ns2:Year" minOccurs="0"/>
                <xsd:element ref="ns2:Workflow" minOccurs="0"/>
                <xsd:element ref="ns2:DocumentType" minOccurs="0"/>
                <xsd:element ref="ns2:Proces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ffbb11-35a5-4432-9331-947350e613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147e460-a74b-4414-8224-31362e5846fd"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Comments" ma:index="22" nillable="true" ma:displayName="Comments" ma:format="Dropdown" ma:internalName="Comments">
      <xsd:simpleType>
        <xsd:restriction base="dms:Note">
          <xsd:maxLength value="255"/>
        </xsd:restriction>
      </xsd:simpleType>
    </xsd:element>
    <xsd:element name="Comments1" ma:index="23" nillable="true" ma:displayName="Comments 1" ma:format="Dropdown" ma:internalName="Comments1">
      <xsd:simpleType>
        <xsd:restriction base="dms:Note">
          <xsd:maxLength value="255"/>
        </xsd:restriction>
      </xsd:simpleType>
    </xsd:element>
    <xsd:element name="Comment" ma:index="24" nillable="true" ma:displayName="Comment" ma:format="Dropdown" ma:internalName="Comment">
      <xsd:simpleType>
        <xsd:restriction base="dms:Text">
          <xsd:maxLength value="255"/>
        </xsd:restriction>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Notes" ma:index="26" nillable="true" ma:displayName="Notes" ma:format="Dropdown" ma:internalName="Notes">
      <xsd:simpleType>
        <xsd:restriction base="dms:Note">
          <xsd:maxLength value="255"/>
        </xsd:restriction>
      </xsd:simpleType>
    </xsd:element>
    <xsd:element name="Year" ma:index="27" nillable="true" ma:displayName="Year" ma:default="2023" ma:description="Denotes year of a file" ma:format="Dropdown" ma:indexed="true" ma:internalName="Year">
      <xsd:simpleType>
        <xsd:restriction base="dms:Choice">
          <xsd:enumeration value="2019"/>
          <xsd:enumeration value="2020"/>
          <xsd:enumeration value="2021"/>
          <xsd:enumeration value="2022"/>
          <xsd:enumeration value="2023"/>
        </xsd:restriction>
      </xsd:simpleType>
    </xsd:element>
    <xsd:element name="Workflow" ma:index="28" nillable="true" ma:displayName="Workflow" ma:description="Denotes the workflow the file belongs to " ma:format="Dropdown" ma:internalName="Workflow">
      <xsd:simpleType>
        <xsd:restriction base="dms:Choice">
          <xsd:enumeration value="Incentives System"/>
          <xsd:enumeration value="Clean Energy"/>
          <xsd:enumeration value="Comm-State"/>
          <xsd:enumeration value="Support System"/>
          <xsd:enumeration value="Recruitment"/>
        </xsd:restriction>
      </xsd:simpleType>
    </xsd:element>
    <xsd:element name="DocumentType" ma:index="29" nillable="true" ma:displayName="Document Type" ma:description="Denotes the type of document a file is" ma:format="Dropdown" ma:internalName="DocumentType">
      <xsd:simpleType>
        <xsd:restriction base="dms:Choice">
          <xsd:enumeration value="Presentations"/>
          <xsd:enumeration value="Research"/>
          <xsd:enumeration value="Notes"/>
          <xsd:enumeration value="Admin"/>
          <xsd:enumeration value="Submission"/>
          <xsd:enumeration value="Comments"/>
          <xsd:enumeration value="Policy Development"/>
          <xsd:enumeration value="Briefing"/>
        </xsd:restriction>
      </xsd:simpleType>
    </xsd:element>
    <xsd:element name="Process" ma:index="30" nillable="true" ma:displayName="Process" ma:description="Denotes the Cab Process this work is from" ma:format="Dropdown" ma:internalName="Process">
      <xsd:simpleType>
        <xsd:restriction base="dms:Choice">
          <xsd:enumeration value="MYEFO 23-24"/>
          <xsd:enumeration value="Budget 23-24"/>
          <xsd:enumeration value="Budget 24-25 "/>
          <xsd:enumeration value="Budget 22-23"/>
          <xsd:enumeration value="October Budget 22-23"/>
        </xsd:restriction>
      </xsd:simpleType>
    </xsd:element>
  </xsd:schema>
  <xsd:schema xmlns:xsd="http://www.w3.org/2001/XMLSchema" xmlns:xs="http://www.w3.org/2001/XMLSchema" xmlns:dms="http://schemas.microsoft.com/office/2006/documentManagement/types" xmlns:pc="http://schemas.microsoft.com/office/infopath/2007/PartnerControls" targetNamespace="51da406d-ebc4-416a-93b6-1e65940d4d9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58978941-0b2a-470c-9f63-ba07fca1a3eb}" ma:internalName="TaxCatchAll" ma:showField="CatchAllData" ma:web="51da406d-ebc4-416a-93b6-1e65940d4d9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3B610EE-0F70-4F01-817A-5807EACF19FE}">
  <ds:schemaRefs>
    <ds:schemaRef ds:uri="http://schemas.microsoft.com/sharepoint/v3/contenttype/forms"/>
  </ds:schemaRefs>
</ds:datastoreItem>
</file>

<file path=customXml/itemProps2.xml><?xml version="1.0" encoding="utf-8"?>
<ds:datastoreItem xmlns:ds="http://schemas.openxmlformats.org/officeDocument/2006/customXml" ds:itemID="{EB42F429-4198-4ECD-8E59-23F01B09005A}">
  <ds:schemaRefs>
    <ds:schemaRef ds:uri="http://schemas.microsoft.com/office/infopath/2007/PartnerControls"/>
    <ds:schemaRef ds:uri="a6ffbb11-35a5-4432-9331-947350e6133a"/>
    <ds:schemaRef ds:uri="http://www.w3.org/XML/1998/namespace"/>
    <ds:schemaRef ds:uri="http://schemas.microsoft.com/office/2006/documentManagement/types"/>
    <ds:schemaRef ds:uri="http://schemas.microsoft.com/office/2006/metadata/properties"/>
    <ds:schemaRef ds:uri="http://purl.org/dc/elements/1.1/"/>
    <ds:schemaRef ds:uri="http://schemas.openxmlformats.org/package/2006/metadata/core-properties"/>
    <ds:schemaRef ds:uri="51da406d-ebc4-416a-93b6-1e65940d4d98"/>
    <ds:schemaRef ds:uri="http://purl.org/dc/dcmitype/"/>
    <ds:schemaRef ds:uri="http://purl.org/dc/terms/"/>
  </ds:schemaRefs>
</ds:datastoreItem>
</file>

<file path=customXml/itemProps3.xml><?xml version="1.0" encoding="utf-8"?>
<ds:datastoreItem xmlns:ds="http://schemas.openxmlformats.org/officeDocument/2006/customXml" ds:itemID="{BAA98121-EA0B-434C-8176-C1B15F8E387A}">
  <ds:schemaRefs>
    <ds:schemaRef ds:uri="http://schemas.openxmlformats.org/officeDocument/2006/bibliography"/>
  </ds:schemaRefs>
</ds:datastoreItem>
</file>

<file path=customXml/itemProps4.xml><?xml version="1.0" encoding="utf-8"?>
<ds:datastoreItem xmlns:ds="http://schemas.openxmlformats.org/officeDocument/2006/customXml" ds:itemID="{47891392-DF55-4E1B-9522-24136B8D3B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ffbb11-35a5-4432-9331-947350e6133a"/>
    <ds:schemaRef ds:uri="51da406d-ebc4-416a-93b6-1e65940d4d9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110</Pages>
  <Words>34767</Words>
  <Characters>198178</Characters>
  <Application>Microsoft Office Word</Application>
  <DocSecurity>6</DocSecurity>
  <Lines>1651</Lines>
  <Paragraphs>464</Paragraphs>
  <ScaleCrop>false</ScaleCrop>
  <HeadingPairs>
    <vt:vector size="2" baseType="variant">
      <vt:variant>
        <vt:lpstr>Title</vt:lpstr>
      </vt:variant>
      <vt:variant>
        <vt:i4>1</vt:i4>
      </vt:variant>
    </vt:vector>
  </HeadingPairs>
  <TitlesOfParts>
    <vt:vector size="1" baseType="lpstr">
      <vt:lpstr/>
    </vt:vector>
  </TitlesOfParts>
  <Company>Department of Industry, Innovation and Science</Company>
  <LinksUpToDate>false</LinksUpToDate>
  <CharactersWithSpaces>232481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Solari, Jessica</dc:creator>
  <cp:keywords>[SEC=OFFICIAL]</cp:keywords>
  <dc:description/>
  <cp:lastModifiedBy>GILMOUR,Sarah</cp:lastModifiedBy>
  <cp:revision>2</cp:revision>
  <cp:lastPrinted>2023-05-08T02:15:00Z</cp:lastPrinted>
  <dcterms:created xsi:type="dcterms:W3CDTF">2023-12-19T23:11:00Z</dcterms:created>
  <dcterms:modified xsi:type="dcterms:W3CDTF">2023-12-19T23:11:00Z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0x0101000C84A12BC63D544781721748C900D8EB</vt:lpwstr>
  </property>
  <property fmtid="{D5CDD505-2E9C-101B-9397-08002B2CF9AE}" pid="3" name="DocHub_Year">
    <vt:lpwstr>3075;#2019|7e451fe0-4dc6-437a-a849-bab7965a9aee</vt:lpwstr>
  </property>
  <property fmtid="{D5CDD505-2E9C-101B-9397-08002B2CF9AE}" pid="4" name="DocHub_DocumentType">
    <vt:lpwstr>1456;#Explanatory Memorandum|e1baf4eb-cfb1-4562-a99a-5aebab1aca70</vt:lpwstr>
  </property>
  <property fmtid="{D5CDD505-2E9C-101B-9397-08002B2CF9AE}" pid="5" name="DocHub_SecurityClassification">
    <vt:lpwstr>1;#UNCLASSIFIED|6106d03b-a1a0-4e30-9d91-d5e9fb4314f9</vt:lpwstr>
  </property>
  <property fmtid="{D5CDD505-2E9C-101B-9397-08002B2CF9AE}" pid="6" name="DocHub_GovernmentEntities">
    <vt:lpwstr/>
  </property>
  <property fmtid="{D5CDD505-2E9C-101B-9397-08002B2CF9AE}" pid="7" name="DocHub_OrganisationEntities">
    <vt:lpwstr/>
  </property>
  <property fmtid="{D5CDD505-2E9C-101B-9397-08002B2CF9AE}" pid="8" name="DocHub_WorkActivity">
    <vt:lpwstr>102;#Legislation and Regulation|6cbc66f5-f4a2-4565-a58b-d5f2d2ac9bd0</vt:lpwstr>
  </property>
  <property fmtid="{D5CDD505-2E9C-101B-9397-08002B2CF9AE}" pid="9" name="DocHub_WorkTopic">
    <vt:lpwstr>407;#Legislative Amendments|dd198551-46f6-4185-84c8-5a26b7614e9c</vt:lpwstr>
  </property>
  <property fmtid="{D5CDD505-2E9C-101B-9397-08002B2CF9AE}" pid="10" name="_dlc_DocIdItemGuid">
    <vt:lpwstr>a6680b9a-9763-413f-a3b0-03d98c5ba8f8</vt:lpwstr>
  </property>
  <property fmtid="{D5CDD505-2E9C-101B-9397-08002B2CF9AE}" pid="11" name="PM_OriginatorDomainName_SHA256">
    <vt:lpwstr>9AB3C5023C0D55EE052F9983F7F49A1AE791E80C1AD54D75FDEE8C75CA72618B</vt:lpwstr>
  </property>
  <property fmtid="{D5CDD505-2E9C-101B-9397-08002B2CF9AE}" pid="12" name="PM_Hash_Salt">
    <vt:lpwstr>A5B518F531D52745C7CD15DFC4AD9B0D</vt:lpwstr>
  </property>
  <property fmtid="{D5CDD505-2E9C-101B-9397-08002B2CF9AE}" pid="13" name="PMUuid">
    <vt:lpwstr>ABBFF5E2-9674-55C9-B08D-C9980002FD58</vt:lpwstr>
  </property>
  <property fmtid="{D5CDD505-2E9C-101B-9397-08002B2CF9AE}" pid="14" name="PM_Caveats_Count">
    <vt:lpwstr>0</vt:lpwstr>
  </property>
  <property fmtid="{D5CDD505-2E9C-101B-9397-08002B2CF9AE}" pid="15" name="PM_SecurityClassification">
    <vt:lpwstr>OFFICIAL</vt:lpwstr>
  </property>
  <property fmtid="{D5CDD505-2E9C-101B-9397-08002B2CF9AE}" pid="16" name="PM_Qualifier">
    <vt:lpwstr/>
  </property>
  <property fmtid="{D5CDD505-2E9C-101B-9397-08002B2CF9AE}" pid="17" name="PM_DisplayValueSecClassificationWithQualifier">
    <vt:lpwstr>OFFICIAL</vt:lpwstr>
  </property>
  <property fmtid="{D5CDD505-2E9C-101B-9397-08002B2CF9AE}" pid="18" name="PM_InsertionValue">
    <vt:lpwstr>OFFICIAL</vt:lpwstr>
  </property>
  <property fmtid="{D5CDD505-2E9C-101B-9397-08002B2CF9AE}" pid="19" name="PM_Originator_Hash_SHA1">
    <vt:lpwstr>C2FA50CFF58295E1ADD7F604DDAE3C518DB666F5</vt:lpwstr>
  </property>
  <property fmtid="{D5CDD505-2E9C-101B-9397-08002B2CF9AE}" pid="20" name="PM_OriginationTimeStamp">
    <vt:lpwstr>2022-07-14T06:33:30Z</vt:lpwstr>
  </property>
  <property fmtid="{D5CDD505-2E9C-101B-9397-08002B2CF9AE}" pid="21" name="PM_ProtectiveMarkingValue_Header">
    <vt:lpwstr>OFFICIAL</vt:lpwstr>
  </property>
  <property fmtid="{D5CDD505-2E9C-101B-9397-08002B2CF9AE}" pid="22" name="PM_Originating_FileId">
    <vt:lpwstr>8DD8FE09E7434910B7DC4903085F00F5</vt:lpwstr>
  </property>
  <property fmtid="{D5CDD505-2E9C-101B-9397-08002B2CF9AE}" pid="23" name="PM_ProtectiveMarkingValue_Footer">
    <vt:lpwstr>OFFICIAL</vt:lpwstr>
  </property>
  <property fmtid="{D5CDD505-2E9C-101B-9397-08002B2CF9AE}" pid="24" name="PM_ProtectiveMarkingImage_Header">
    <vt:lpwstr>C:\Program Files\Common Files\janusNET Shared\janusSEAL\Images\DocumentSlashBlue.png</vt:lpwstr>
  </property>
  <property fmtid="{D5CDD505-2E9C-101B-9397-08002B2CF9AE}" pid="25" name="PM_ProtectiveMarkingImage_Footer">
    <vt:lpwstr>C:\Program Files\Common Files\janusNET Shared\janusSEAL\Images\DocumentSlashBlue.png</vt:lpwstr>
  </property>
  <property fmtid="{D5CDD505-2E9C-101B-9397-08002B2CF9AE}" pid="26" name="PM_Namespace">
    <vt:lpwstr>gov.au</vt:lpwstr>
  </property>
  <property fmtid="{D5CDD505-2E9C-101B-9397-08002B2CF9AE}" pid="27" name="PM_Version">
    <vt:lpwstr>2018.4</vt:lpwstr>
  </property>
  <property fmtid="{D5CDD505-2E9C-101B-9397-08002B2CF9AE}" pid="28" name="PM_Note">
    <vt:lpwstr/>
  </property>
  <property fmtid="{D5CDD505-2E9C-101B-9397-08002B2CF9AE}" pid="29" name="PM_Markers">
    <vt:lpwstr/>
  </property>
  <property fmtid="{D5CDD505-2E9C-101B-9397-08002B2CF9AE}" pid="30" name="PM_Display">
    <vt:lpwstr>OFFICIAL</vt:lpwstr>
  </property>
  <property fmtid="{D5CDD505-2E9C-101B-9397-08002B2CF9AE}" pid="31" name="PMUuidVer">
    <vt:lpwstr>2022.1</vt:lpwstr>
  </property>
  <property fmtid="{D5CDD505-2E9C-101B-9397-08002B2CF9AE}" pid="32" name="PM_Hash_Version">
    <vt:lpwstr>2018.0</vt:lpwstr>
  </property>
  <property fmtid="{D5CDD505-2E9C-101B-9397-08002B2CF9AE}" pid="33" name="PM_Hash_Salt_Prev">
    <vt:lpwstr>5A8D194CAEB50AAEA3113C27138B17A9</vt:lpwstr>
  </property>
  <property fmtid="{D5CDD505-2E9C-101B-9397-08002B2CF9AE}" pid="34" name="PM_Hash_SHA1">
    <vt:lpwstr>4FF25E15A678A6194308DC00A7C087F0D2B4AFD6</vt:lpwstr>
  </property>
  <property fmtid="{D5CDD505-2E9C-101B-9397-08002B2CF9AE}" pid="35" name="PM_OriginatorUserAccountName_SHA256">
    <vt:lpwstr>5A9120C01A06B08666535D3E7B31237BFAAC94690145FCCD1B1A2FFA6CCFE64A</vt:lpwstr>
  </property>
  <property fmtid="{D5CDD505-2E9C-101B-9397-08002B2CF9AE}" pid="36" name="PM_MinimumSecurityClassification">
    <vt:lpwstr/>
  </property>
  <property fmtid="{D5CDD505-2E9C-101B-9397-08002B2CF9AE}" pid="37" name="PM_SecurityClassification_Prev">
    <vt:lpwstr>PROTECTED</vt:lpwstr>
  </property>
  <property fmtid="{D5CDD505-2E9C-101B-9397-08002B2CF9AE}" pid="38" name="PM_Qualifier_Prev">
    <vt:lpwstr/>
  </property>
  <property fmtid="{D5CDD505-2E9C-101B-9397-08002B2CF9AE}" pid="39" name="MSIP_Label_79d889eb-932f-4752-8739-64d25806ef64_Enabled">
    <vt:lpwstr>true</vt:lpwstr>
  </property>
  <property fmtid="{D5CDD505-2E9C-101B-9397-08002B2CF9AE}" pid="40" name="MSIP_Label_79d889eb-932f-4752-8739-64d25806ef64_SetDate">
    <vt:lpwstr>2023-11-24T02:16:28Z</vt:lpwstr>
  </property>
  <property fmtid="{D5CDD505-2E9C-101B-9397-08002B2CF9AE}" pid="41" name="MSIP_Label_79d889eb-932f-4752-8739-64d25806ef64_Method">
    <vt:lpwstr>Privileged</vt:lpwstr>
  </property>
  <property fmtid="{D5CDD505-2E9C-101B-9397-08002B2CF9AE}" pid="42" name="MSIP_Label_79d889eb-932f-4752-8739-64d25806ef64_Name">
    <vt:lpwstr>79d889eb-932f-4752-8739-64d25806ef64</vt:lpwstr>
  </property>
  <property fmtid="{D5CDD505-2E9C-101B-9397-08002B2CF9AE}" pid="43" name="MSIP_Label_79d889eb-932f-4752-8739-64d25806ef64_SiteId">
    <vt:lpwstr>dd0cfd15-4558-4b12-8bad-ea26984fc417</vt:lpwstr>
  </property>
  <property fmtid="{D5CDD505-2E9C-101B-9397-08002B2CF9AE}" pid="44" name="MSIP_Label_79d889eb-932f-4752-8739-64d25806ef64_ActionId">
    <vt:lpwstr>5c53f14b-ffcc-4548-8960-c23f8f1853bf</vt:lpwstr>
  </property>
  <property fmtid="{D5CDD505-2E9C-101B-9397-08002B2CF9AE}" pid="45" name="MSIP_Label_79d889eb-932f-4752-8739-64d25806ef64_ContentBits">
    <vt:lpwstr>0</vt:lpwstr>
  </property>
  <property fmtid="{D5CDD505-2E9C-101B-9397-08002B2CF9AE}" pid="46" name="MediaServiceImageTags">
    <vt:lpwstr/>
  </property>
</Properties>
</file>