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29B4" w14:textId="77777777" w:rsidR="00715914" w:rsidRPr="005F1388" w:rsidRDefault="00DA186E" w:rsidP="00715914">
      <w:pPr>
        <w:rPr>
          <w:sz w:val="28"/>
        </w:rPr>
      </w:pPr>
      <w:r>
        <w:rPr>
          <w:noProof/>
          <w:lang w:eastAsia="en-AU"/>
        </w:rPr>
        <w:drawing>
          <wp:inline distT="0" distB="0" distL="0" distR="0" wp14:anchorId="1E45AE7B" wp14:editId="58A51A4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649CF3C" w14:textId="77777777" w:rsidR="00715914" w:rsidRPr="00E500D4" w:rsidRDefault="00715914" w:rsidP="00715914">
      <w:pPr>
        <w:rPr>
          <w:sz w:val="19"/>
        </w:rPr>
      </w:pPr>
    </w:p>
    <w:p w14:paraId="489FF98D" w14:textId="40DDB50B" w:rsidR="00554826" w:rsidRPr="00E500D4" w:rsidRDefault="00830EE1" w:rsidP="00554826">
      <w:pPr>
        <w:pStyle w:val="ShortT"/>
      </w:pPr>
      <w:r>
        <w:t>Australian Apprenticeship Support Loans Rules 2023</w:t>
      </w:r>
    </w:p>
    <w:p w14:paraId="3C357E60" w14:textId="3EF812AB" w:rsidR="00554826" w:rsidRPr="00DA182D" w:rsidRDefault="00554826" w:rsidP="00554826">
      <w:pPr>
        <w:pStyle w:val="SignCoverPageStart"/>
        <w:spacing w:before="240"/>
        <w:ind w:right="91"/>
        <w:rPr>
          <w:szCs w:val="22"/>
        </w:rPr>
      </w:pPr>
      <w:r w:rsidRPr="00DA182D">
        <w:rPr>
          <w:szCs w:val="22"/>
        </w:rPr>
        <w:t xml:space="preserve">I, </w:t>
      </w:r>
      <w:r w:rsidR="00830EE1">
        <w:rPr>
          <w:szCs w:val="22"/>
        </w:rPr>
        <w:t xml:space="preserve">Brendan O’Connor, Minister for </w:t>
      </w:r>
      <w:proofErr w:type="gramStart"/>
      <w:r w:rsidR="00830EE1">
        <w:rPr>
          <w:szCs w:val="22"/>
        </w:rPr>
        <w:t>Skills</w:t>
      </w:r>
      <w:proofErr w:type="gramEnd"/>
      <w:r w:rsidR="00830EE1">
        <w:rPr>
          <w:szCs w:val="22"/>
        </w:rPr>
        <w:t xml:space="preserve"> and Training</w:t>
      </w:r>
      <w:r w:rsidRPr="00DA182D">
        <w:rPr>
          <w:szCs w:val="22"/>
        </w:rPr>
        <w:t xml:space="preserve">, </w:t>
      </w:r>
      <w:r>
        <w:rPr>
          <w:szCs w:val="22"/>
        </w:rPr>
        <w:t xml:space="preserve">make the following </w:t>
      </w:r>
      <w:r w:rsidR="00830EE1">
        <w:rPr>
          <w:szCs w:val="22"/>
        </w:rPr>
        <w:t>rules</w:t>
      </w:r>
      <w:r w:rsidRPr="00DA182D">
        <w:rPr>
          <w:szCs w:val="22"/>
        </w:rPr>
        <w:t>.</w:t>
      </w:r>
    </w:p>
    <w:p w14:paraId="6B3DEEC8" w14:textId="0852C4E7" w:rsidR="00554826" w:rsidRPr="00001A63" w:rsidRDefault="00554826" w:rsidP="00554826">
      <w:pPr>
        <w:keepNext/>
        <w:spacing w:before="300" w:line="240" w:lineRule="atLeast"/>
        <w:ind w:right="397"/>
        <w:jc w:val="both"/>
        <w:rPr>
          <w:szCs w:val="22"/>
        </w:rPr>
      </w:pPr>
      <w:r>
        <w:rPr>
          <w:szCs w:val="22"/>
        </w:rPr>
        <w:t>Dated</w:t>
      </w:r>
      <w:r w:rsidR="00AA3345">
        <w:rPr>
          <w:szCs w:val="22"/>
        </w:rPr>
        <w:tab/>
        <w:t>18 December 2023</w:t>
      </w:r>
      <w:r w:rsidRPr="00001A63">
        <w:rPr>
          <w:szCs w:val="22"/>
        </w:rPr>
        <w:tab/>
      </w:r>
      <w:r w:rsidRPr="00001A63">
        <w:rPr>
          <w:szCs w:val="22"/>
        </w:rPr>
        <w:tab/>
      </w:r>
      <w:r>
        <w:rPr>
          <w:szCs w:val="22"/>
        </w:rPr>
        <w:tab/>
      </w:r>
      <w:r w:rsidRPr="00001A63">
        <w:rPr>
          <w:szCs w:val="22"/>
        </w:rPr>
        <w:tab/>
      </w:r>
    </w:p>
    <w:p w14:paraId="41FE5A8E" w14:textId="4893C833" w:rsidR="00554826" w:rsidRDefault="00830EE1" w:rsidP="00554826">
      <w:pPr>
        <w:keepNext/>
        <w:tabs>
          <w:tab w:val="left" w:pos="3402"/>
        </w:tabs>
        <w:spacing w:before="1440" w:line="300" w:lineRule="atLeast"/>
        <w:ind w:right="397"/>
        <w:rPr>
          <w:b/>
          <w:szCs w:val="22"/>
        </w:rPr>
      </w:pPr>
      <w:r>
        <w:rPr>
          <w:szCs w:val="22"/>
        </w:rPr>
        <w:t>Brendan O’Connor</w:t>
      </w:r>
      <w:r w:rsidR="00554826" w:rsidRPr="00A75FE9">
        <w:rPr>
          <w:szCs w:val="22"/>
        </w:rPr>
        <w:t xml:space="preserve"> </w:t>
      </w:r>
    </w:p>
    <w:p w14:paraId="55E4C2A4" w14:textId="21BEA6B3" w:rsidR="00554826" w:rsidRPr="008E0027" w:rsidRDefault="00830EE1" w:rsidP="00554826">
      <w:pPr>
        <w:pStyle w:val="SignCoverPageEnd"/>
        <w:ind w:right="91"/>
        <w:rPr>
          <w:sz w:val="22"/>
        </w:rPr>
      </w:pPr>
      <w:r>
        <w:rPr>
          <w:sz w:val="22"/>
        </w:rPr>
        <w:t>Minister for Skills and Training</w:t>
      </w:r>
    </w:p>
    <w:p w14:paraId="440BEB3D" w14:textId="77777777" w:rsidR="00554826" w:rsidRDefault="00554826" w:rsidP="00554826"/>
    <w:p w14:paraId="184C5EF3" w14:textId="77777777" w:rsidR="00554826" w:rsidRPr="00ED79B6" w:rsidRDefault="00554826" w:rsidP="00554826"/>
    <w:p w14:paraId="44E3574F" w14:textId="77777777" w:rsidR="00F6696E" w:rsidRDefault="00F6696E" w:rsidP="00F6696E"/>
    <w:p w14:paraId="60995308"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751331DF" w14:textId="77777777" w:rsidR="007500C8" w:rsidRDefault="00715914" w:rsidP="00715914">
      <w:pPr>
        <w:outlineLvl w:val="0"/>
        <w:rPr>
          <w:sz w:val="36"/>
        </w:rPr>
      </w:pPr>
      <w:r w:rsidRPr="007A1328">
        <w:rPr>
          <w:sz w:val="36"/>
        </w:rPr>
        <w:lastRenderedPageBreak/>
        <w:t>Contents</w:t>
      </w:r>
    </w:p>
    <w:p w14:paraId="27BFCDC9" w14:textId="754C347F" w:rsidR="00830EE1" w:rsidRDefault="00B418CB" w:rsidP="00830EE1">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bookmarkStart w:id="0" w:name="_Hlk153300752"/>
      <w:r w:rsidR="00830EE1" w:rsidRPr="00830EE1">
        <w:rPr>
          <w:noProof/>
        </w:rPr>
        <w:t xml:space="preserve"> </w:t>
      </w:r>
      <w:r w:rsidR="00830EE1">
        <w:rPr>
          <w:noProof/>
        </w:rPr>
        <w:t>Part 1—Preliminary</w:t>
      </w:r>
      <w:r w:rsidR="00830EE1">
        <w:rPr>
          <w:noProof/>
        </w:rPr>
        <w:tab/>
      </w:r>
      <w:r w:rsidR="00830EE1" w:rsidRPr="00830EE1">
        <w:rPr>
          <w:b w:val="0"/>
          <w:bCs/>
          <w:noProof/>
          <w:sz w:val="18"/>
          <w:szCs w:val="18"/>
        </w:rPr>
        <w:fldChar w:fldCharType="begin"/>
      </w:r>
      <w:r w:rsidR="00830EE1" w:rsidRPr="00830EE1">
        <w:rPr>
          <w:b w:val="0"/>
          <w:bCs/>
          <w:noProof/>
          <w:sz w:val="18"/>
          <w:szCs w:val="18"/>
        </w:rPr>
        <w:instrText xml:space="preserve"> PAGEREF _Toc113016598 \h </w:instrText>
      </w:r>
      <w:r w:rsidR="00830EE1" w:rsidRPr="00830EE1">
        <w:rPr>
          <w:b w:val="0"/>
          <w:bCs/>
          <w:noProof/>
          <w:sz w:val="18"/>
          <w:szCs w:val="18"/>
        </w:rPr>
      </w:r>
      <w:r w:rsidR="00830EE1" w:rsidRPr="00830EE1">
        <w:rPr>
          <w:b w:val="0"/>
          <w:bCs/>
          <w:noProof/>
          <w:sz w:val="18"/>
          <w:szCs w:val="18"/>
        </w:rPr>
        <w:fldChar w:fldCharType="separate"/>
      </w:r>
      <w:r w:rsidR="00135539">
        <w:rPr>
          <w:b w:val="0"/>
          <w:bCs/>
          <w:noProof/>
          <w:sz w:val="18"/>
          <w:szCs w:val="18"/>
        </w:rPr>
        <w:t>1</w:t>
      </w:r>
      <w:r w:rsidR="00830EE1" w:rsidRPr="00830EE1">
        <w:rPr>
          <w:b w:val="0"/>
          <w:bCs/>
          <w:noProof/>
          <w:sz w:val="18"/>
          <w:szCs w:val="18"/>
        </w:rPr>
        <w:fldChar w:fldCharType="end"/>
      </w:r>
    </w:p>
    <w:p w14:paraId="044670E3" w14:textId="5D42817E" w:rsidR="00830EE1" w:rsidRDefault="00830EE1" w:rsidP="00830EE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_Toc113016599 \h </w:instrText>
      </w:r>
      <w:r>
        <w:rPr>
          <w:noProof/>
        </w:rPr>
      </w:r>
      <w:r>
        <w:rPr>
          <w:noProof/>
        </w:rPr>
        <w:fldChar w:fldCharType="separate"/>
      </w:r>
      <w:r w:rsidR="00135539">
        <w:rPr>
          <w:noProof/>
        </w:rPr>
        <w:t>1</w:t>
      </w:r>
      <w:r>
        <w:rPr>
          <w:noProof/>
        </w:rPr>
        <w:fldChar w:fldCharType="end"/>
      </w:r>
    </w:p>
    <w:p w14:paraId="1D657847" w14:textId="3F9C1148" w:rsidR="00830EE1" w:rsidRDefault="00830EE1" w:rsidP="00830EE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_Toc113016600 \h </w:instrText>
      </w:r>
      <w:r>
        <w:rPr>
          <w:noProof/>
        </w:rPr>
      </w:r>
      <w:r>
        <w:rPr>
          <w:noProof/>
        </w:rPr>
        <w:fldChar w:fldCharType="separate"/>
      </w:r>
      <w:r w:rsidR="00135539">
        <w:rPr>
          <w:noProof/>
        </w:rPr>
        <w:t>1</w:t>
      </w:r>
      <w:r>
        <w:rPr>
          <w:noProof/>
        </w:rPr>
        <w:fldChar w:fldCharType="end"/>
      </w:r>
    </w:p>
    <w:p w14:paraId="58C3FE07" w14:textId="4D67FFF0" w:rsidR="00830EE1" w:rsidRDefault="00830EE1" w:rsidP="00830EE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_Toc113016601 \h </w:instrText>
      </w:r>
      <w:r>
        <w:rPr>
          <w:noProof/>
        </w:rPr>
      </w:r>
      <w:r>
        <w:rPr>
          <w:noProof/>
        </w:rPr>
        <w:fldChar w:fldCharType="separate"/>
      </w:r>
      <w:r w:rsidR="00135539">
        <w:rPr>
          <w:noProof/>
        </w:rPr>
        <w:t>1</w:t>
      </w:r>
      <w:r>
        <w:rPr>
          <w:noProof/>
        </w:rPr>
        <w:fldChar w:fldCharType="end"/>
      </w:r>
    </w:p>
    <w:p w14:paraId="71F54242" w14:textId="0B9A0C9F" w:rsidR="00830EE1" w:rsidRDefault="00830EE1" w:rsidP="00830EE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_Toc113016602 \h </w:instrText>
      </w:r>
      <w:r>
        <w:rPr>
          <w:noProof/>
        </w:rPr>
      </w:r>
      <w:r>
        <w:rPr>
          <w:noProof/>
        </w:rPr>
        <w:fldChar w:fldCharType="separate"/>
      </w:r>
      <w:r w:rsidR="00135539">
        <w:rPr>
          <w:noProof/>
        </w:rPr>
        <w:t>1</w:t>
      </w:r>
      <w:r>
        <w:rPr>
          <w:noProof/>
        </w:rPr>
        <w:fldChar w:fldCharType="end"/>
      </w:r>
    </w:p>
    <w:p w14:paraId="68FBD782" w14:textId="77777777" w:rsidR="00830EE1" w:rsidRDefault="00830EE1" w:rsidP="00830EE1">
      <w:pPr>
        <w:pStyle w:val="TOC5"/>
        <w:rPr>
          <w:rFonts w:asciiTheme="minorHAnsi" w:eastAsiaTheme="minorEastAsia" w:hAnsiTheme="minorHAnsi" w:cstheme="minorBidi"/>
          <w:noProof/>
          <w:kern w:val="0"/>
          <w:sz w:val="22"/>
          <w:szCs w:val="22"/>
        </w:rPr>
      </w:pPr>
      <w:r>
        <w:rPr>
          <w:noProof/>
        </w:rPr>
        <w:t>5  Schedules</w:t>
      </w:r>
      <w:r>
        <w:rPr>
          <w:noProof/>
        </w:rPr>
        <w:tab/>
        <w:t>3</w:t>
      </w:r>
    </w:p>
    <w:p w14:paraId="2087880B" w14:textId="77777777" w:rsidR="00830EE1" w:rsidRDefault="00830EE1" w:rsidP="00830EE1">
      <w:pPr>
        <w:pStyle w:val="TOC2"/>
        <w:rPr>
          <w:noProof/>
        </w:rPr>
      </w:pPr>
      <w:r>
        <w:rPr>
          <w:noProof/>
        </w:rPr>
        <w:t>Part 2—Qualification and payability</w:t>
      </w:r>
      <w:r>
        <w:rPr>
          <w:noProof/>
        </w:rPr>
        <w:tab/>
      </w:r>
      <w:r w:rsidRPr="00830EE1">
        <w:rPr>
          <w:b w:val="0"/>
          <w:bCs/>
          <w:noProof/>
          <w:sz w:val="18"/>
          <w:szCs w:val="18"/>
        </w:rPr>
        <w:t>4</w:t>
      </w:r>
    </w:p>
    <w:p w14:paraId="0A7AE478"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1—Introduction</w:t>
      </w:r>
      <w:r>
        <w:rPr>
          <w:b w:val="0"/>
          <w:noProof/>
          <w:sz w:val="18"/>
        </w:rPr>
        <w:tab/>
        <w:t>4</w:t>
      </w:r>
    </w:p>
    <w:p w14:paraId="279B743C" w14:textId="77777777" w:rsidR="00830EE1" w:rsidRDefault="00830EE1" w:rsidP="00830EE1">
      <w:pPr>
        <w:pStyle w:val="TOC5"/>
        <w:rPr>
          <w:noProof/>
        </w:rPr>
      </w:pPr>
      <w:r>
        <w:rPr>
          <w:noProof/>
        </w:rPr>
        <w:t>6  Simplified outline of this Part</w:t>
      </w:r>
      <w:r>
        <w:rPr>
          <w:noProof/>
        </w:rPr>
        <w:tab/>
        <w:t>4</w:t>
      </w:r>
    </w:p>
    <w:p w14:paraId="11C6F4D2"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2—Qualification</w:t>
      </w:r>
      <w:r>
        <w:rPr>
          <w:b w:val="0"/>
          <w:noProof/>
          <w:sz w:val="18"/>
        </w:rPr>
        <w:tab/>
      </w:r>
      <w:r w:rsidRPr="00830EE1">
        <w:rPr>
          <w:b w:val="0"/>
          <w:bCs/>
          <w:noProof/>
          <w:sz w:val="18"/>
          <w:szCs w:val="18"/>
        </w:rPr>
        <w:t>5</w:t>
      </w:r>
    </w:p>
    <w:p w14:paraId="18AAD9A8" w14:textId="77777777" w:rsidR="00830EE1" w:rsidRDefault="00830EE1" w:rsidP="00830EE1">
      <w:pPr>
        <w:pStyle w:val="TOC5"/>
        <w:rPr>
          <w:rFonts w:asciiTheme="minorHAnsi" w:eastAsiaTheme="minorEastAsia" w:hAnsiTheme="minorHAnsi" w:cstheme="minorBidi"/>
          <w:noProof/>
          <w:kern w:val="0"/>
          <w:sz w:val="22"/>
          <w:szCs w:val="22"/>
        </w:rPr>
      </w:pPr>
      <w:r>
        <w:rPr>
          <w:noProof/>
        </w:rPr>
        <w:t>7  Other conditions</w:t>
      </w:r>
      <w:r>
        <w:rPr>
          <w:noProof/>
        </w:rPr>
        <w:tab/>
        <w:t>5</w:t>
      </w:r>
    </w:p>
    <w:p w14:paraId="6D6CD2CD" w14:textId="77777777" w:rsidR="00830EE1" w:rsidRDefault="00830EE1" w:rsidP="00830EE1">
      <w:pPr>
        <w:pStyle w:val="TOC5"/>
        <w:rPr>
          <w:noProof/>
        </w:rPr>
      </w:pPr>
      <w:r>
        <w:rPr>
          <w:noProof/>
        </w:rPr>
        <w:t>8  Qualifying apprenticeship</w:t>
      </w:r>
      <w:r>
        <w:rPr>
          <w:noProof/>
        </w:rPr>
        <w:tab/>
        <w:t>5</w:t>
      </w:r>
    </w:p>
    <w:p w14:paraId="02DFFB56" w14:textId="77777777" w:rsidR="00830EE1" w:rsidRDefault="00830EE1" w:rsidP="00830EE1">
      <w:pPr>
        <w:pStyle w:val="TOC5"/>
        <w:rPr>
          <w:rFonts w:asciiTheme="minorHAnsi" w:eastAsiaTheme="minorEastAsia" w:hAnsiTheme="minorHAnsi" w:cstheme="minorBidi"/>
          <w:noProof/>
          <w:kern w:val="0"/>
          <w:sz w:val="22"/>
          <w:szCs w:val="22"/>
        </w:rPr>
      </w:pPr>
      <w:r>
        <w:rPr>
          <w:noProof/>
        </w:rPr>
        <w:t>9  Circumstances in which a person is, or is not, taken to be undertaking a qualifying apprenticeship</w:t>
      </w:r>
      <w:r>
        <w:rPr>
          <w:noProof/>
        </w:rPr>
        <w:tab/>
        <w:t>5</w:t>
      </w:r>
    </w:p>
    <w:p w14:paraId="65B9C544"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3—Payability</w:t>
      </w:r>
      <w:r>
        <w:rPr>
          <w:b w:val="0"/>
          <w:noProof/>
          <w:sz w:val="18"/>
        </w:rPr>
        <w:tab/>
      </w:r>
      <w:r w:rsidRPr="00830EE1">
        <w:rPr>
          <w:b w:val="0"/>
          <w:bCs/>
          <w:noProof/>
          <w:sz w:val="18"/>
          <w:szCs w:val="18"/>
        </w:rPr>
        <w:t>7</w:t>
      </w:r>
    </w:p>
    <w:p w14:paraId="22D1B64C" w14:textId="77777777" w:rsidR="00830EE1" w:rsidRDefault="00830EE1" w:rsidP="00830EE1">
      <w:pPr>
        <w:pStyle w:val="TOC5"/>
        <w:rPr>
          <w:rFonts w:asciiTheme="minorHAnsi" w:eastAsiaTheme="minorEastAsia" w:hAnsiTheme="minorHAnsi" w:cstheme="minorBidi"/>
          <w:noProof/>
          <w:kern w:val="0"/>
          <w:sz w:val="22"/>
          <w:szCs w:val="22"/>
        </w:rPr>
      </w:pPr>
      <w:r>
        <w:rPr>
          <w:noProof/>
        </w:rPr>
        <w:t>10  Circumstances in which the Secretary may allow a later day</w:t>
      </w:r>
      <w:r>
        <w:rPr>
          <w:noProof/>
        </w:rPr>
        <w:tab/>
        <w:t>7</w:t>
      </w:r>
    </w:p>
    <w:p w14:paraId="624B3E00" w14:textId="77777777" w:rsidR="00830EE1" w:rsidRDefault="00830EE1" w:rsidP="00830EE1">
      <w:pPr>
        <w:pStyle w:val="TOC5"/>
        <w:rPr>
          <w:rFonts w:asciiTheme="minorHAnsi" w:eastAsiaTheme="minorEastAsia" w:hAnsiTheme="minorHAnsi" w:cstheme="minorBidi"/>
          <w:noProof/>
          <w:kern w:val="0"/>
          <w:sz w:val="22"/>
          <w:szCs w:val="22"/>
        </w:rPr>
      </w:pPr>
      <w:r>
        <w:rPr>
          <w:noProof/>
        </w:rPr>
        <w:t>11  Instalment period</w:t>
      </w:r>
      <w:r>
        <w:rPr>
          <w:noProof/>
        </w:rPr>
        <w:tab/>
        <w:t>7</w:t>
      </w:r>
    </w:p>
    <w:p w14:paraId="7B966F45" w14:textId="77777777" w:rsidR="00830EE1" w:rsidRDefault="00830EE1" w:rsidP="00830EE1">
      <w:pPr>
        <w:pStyle w:val="TOC5"/>
        <w:rPr>
          <w:rFonts w:asciiTheme="minorHAnsi" w:eastAsiaTheme="minorEastAsia" w:hAnsiTheme="minorHAnsi" w:cstheme="minorBidi"/>
          <w:noProof/>
          <w:kern w:val="0"/>
          <w:sz w:val="22"/>
          <w:szCs w:val="22"/>
        </w:rPr>
      </w:pPr>
      <w:r>
        <w:rPr>
          <w:noProof/>
        </w:rPr>
        <w:t>12  Special case qualification and payability</w:t>
      </w:r>
      <w:r>
        <w:rPr>
          <w:noProof/>
        </w:rPr>
        <w:tab/>
        <w:t>7</w:t>
      </w:r>
    </w:p>
    <w:p w14:paraId="5537B223" w14:textId="77777777" w:rsidR="00830EE1" w:rsidRPr="00830EE1" w:rsidRDefault="00830EE1" w:rsidP="00830EE1">
      <w:pPr>
        <w:pStyle w:val="TOC2"/>
        <w:rPr>
          <w:rFonts w:asciiTheme="minorHAnsi" w:eastAsiaTheme="minorEastAsia" w:hAnsiTheme="minorHAnsi" w:cstheme="minorBidi"/>
          <w:b w:val="0"/>
          <w:bCs/>
          <w:noProof/>
          <w:kern w:val="0"/>
          <w:sz w:val="18"/>
          <w:szCs w:val="18"/>
        </w:rPr>
      </w:pPr>
      <w:r>
        <w:rPr>
          <w:noProof/>
        </w:rPr>
        <w:t>Part 3—Applications, determinations, payment and designated State/Territory training authorities</w:t>
      </w:r>
      <w:r>
        <w:rPr>
          <w:noProof/>
        </w:rPr>
        <w:tab/>
      </w:r>
      <w:r w:rsidRPr="00830EE1">
        <w:rPr>
          <w:b w:val="0"/>
          <w:bCs/>
          <w:noProof/>
          <w:sz w:val="18"/>
          <w:szCs w:val="18"/>
        </w:rPr>
        <w:t>8</w:t>
      </w:r>
    </w:p>
    <w:p w14:paraId="54B9BD28" w14:textId="77777777" w:rsidR="00830EE1" w:rsidRDefault="00830EE1" w:rsidP="00830EE1">
      <w:pPr>
        <w:pStyle w:val="TOC5"/>
        <w:rPr>
          <w:rFonts w:asciiTheme="minorHAnsi" w:eastAsiaTheme="minorEastAsia" w:hAnsiTheme="minorHAnsi" w:cstheme="minorBidi"/>
          <w:noProof/>
          <w:kern w:val="0"/>
          <w:sz w:val="22"/>
          <w:szCs w:val="22"/>
        </w:rPr>
      </w:pPr>
      <w:r>
        <w:rPr>
          <w:noProof/>
        </w:rPr>
        <w:t>13  Simplified outline of this Part</w:t>
      </w:r>
      <w:r>
        <w:rPr>
          <w:noProof/>
        </w:rPr>
        <w:tab/>
        <w:t>8</w:t>
      </w:r>
    </w:p>
    <w:p w14:paraId="749A9C91" w14:textId="77777777" w:rsidR="00830EE1" w:rsidRDefault="00830EE1" w:rsidP="00830EE1">
      <w:pPr>
        <w:pStyle w:val="TOC5"/>
        <w:rPr>
          <w:rFonts w:asciiTheme="minorHAnsi" w:eastAsiaTheme="minorEastAsia" w:hAnsiTheme="minorHAnsi" w:cstheme="minorBidi"/>
          <w:noProof/>
          <w:kern w:val="0"/>
          <w:sz w:val="22"/>
          <w:szCs w:val="22"/>
        </w:rPr>
      </w:pPr>
      <w:r>
        <w:rPr>
          <w:noProof/>
        </w:rPr>
        <w:t xml:space="preserve">14  </w:t>
      </w:r>
      <w:r>
        <w:rPr>
          <w:szCs w:val="18"/>
        </w:rPr>
        <w:t>Manner of lodgement for applications</w:t>
      </w:r>
      <w:r>
        <w:rPr>
          <w:noProof/>
        </w:rPr>
        <w:tab/>
        <w:t>8</w:t>
      </w:r>
    </w:p>
    <w:p w14:paraId="6A755C3C" w14:textId="77777777" w:rsidR="00830EE1" w:rsidRDefault="00830EE1" w:rsidP="00830EE1">
      <w:pPr>
        <w:pStyle w:val="TOC5"/>
        <w:rPr>
          <w:rFonts w:asciiTheme="minorHAnsi" w:eastAsiaTheme="minorEastAsia" w:hAnsiTheme="minorHAnsi" w:cstheme="minorBidi"/>
          <w:noProof/>
          <w:kern w:val="0"/>
          <w:sz w:val="22"/>
          <w:szCs w:val="22"/>
        </w:rPr>
      </w:pPr>
      <w:r>
        <w:rPr>
          <w:noProof/>
        </w:rPr>
        <w:t xml:space="preserve">15  </w:t>
      </w:r>
      <w:r>
        <w:rPr>
          <w:szCs w:val="18"/>
        </w:rPr>
        <w:t>Period to be specified in determinations</w:t>
      </w:r>
      <w:r>
        <w:rPr>
          <w:noProof/>
        </w:rPr>
        <w:tab/>
        <w:t>8</w:t>
      </w:r>
    </w:p>
    <w:p w14:paraId="336069DA" w14:textId="77777777" w:rsidR="00830EE1" w:rsidRDefault="00830EE1" w:rsidP="00830EE1">
      <w:pPr>
        <w:pStyle w:val="TOC5"/>
        <w:rPr>
          <w:rFonts w:asciiTheme="minorHAnsi" w:eastAsiaTheme="minorEastAsia" w:hAnsiTheme="minorHAnsi" w:cstheme="minorBidi"/>
          <w:noProof/>
          <w:kern w:val="0"/>
          <w:sz w:val="22"/>
          <w:szCs w:val="22"/>
        </w:rPr>
      </w:pPr>
      <w:r>
        <w:rPr>
          <w:noProof/>
        </w:rPr>
        <w:t>16  Determining year of apprenticeship</w:t>
      </w:r>
      <w:r>
        <w:rPr>
          <w:noProof/>
        </w:rPr>
        <w:tab/>
        <w:t>8</w:t>
      </w:r>
    </w:p>
    <w:p w14:paraId="14C993EF" w14:textId="77777777" w:rsidR="00830EE1" w:rsidRDefault="00830EE1" w:rsidP="00830EE1">
      <w:pPr>
        <w:pStyle w:val="TOC5"/>
        <w:rPr>
          <w:rFonts w:asciiTheme="minorHAnsi" w:eastAsiaTheme="minorEastAsia" w:hAnsiTheme="minorHAnsi" w:cstheme="minorBidi"/>
          <w:noProof/>
          <w:kern w:val="0"/>
          <w:sz w:val="22"/>
          <w:szCs w:val="22"/>
        </w:rPr>
      </w:pPr>
      <w:r>
        <w:rPr>
          <w:noProof/>
        </w:rPr>
        <w:t>17  Designated State/Territory training authorities</w:t>
      </w:r>
      <w:r>
        <w:rPr>
          <w:noProof/>
        </w:rPr>
        <w:tab/>
        <w:t>9</w:t>
      </w:r>
    </w:p>
    <w:p w14:paraId="143CF318" w14:textId="77777777" w:rsidR="00830EE1" w:rsidRDefault="00830EE1" w:rsidP="00830EE1">
      <w:pPr>
        <w:pStyle w:val="TOC2"/>
        <w:rPr>
          <w:noProof/>
        </w:rPr>
      </w:pPr>
      <w:bookmarkStart w:id="1" w:name="_Hlk153300772"/>
      <w:bookmarkEnd w:id="0"/>
      <w:r>
        <w:rPr>
          <w:noProof/>
        </w:rPr>
        <w:t>Part 4—Overseas debtor repayments</w:t>
      </w:r>
      <w:r>
        <w:rPr>
          <w:noProof/>
        </w:rPr>
        <w:tab/>
      </w:r>
      <w:r w:rsidRPr="00830EE1">
        <w:rPr>
          <w:b w:val="0"/>
          <w:bCs/>
          <w:noProof/>
          <w:sz w:val="18"/>
          <w:szCs w:val="18"/>
        </w:rPr>
        <w:t>10</w:t>
      </w:r>
    </w:p>
    <w:p w14:paraId="0146AD33"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1—Introduction</w:t>
      </w:r>
      <w:r>
        <w:rPr>
          <w:b w:val="0"/>
          <w:noProof/>
          <w:sz w:val="18"/>
        </w:rPr>
        <w:tab/>
        <w:t>10</w:t>
      </w:r>
    </w:p>
    <w:p w14:paraId="0F6F29F7" w14:textId="77777777" w:rsidR="00830EE1" w:rsidRDefault="00830EE1" w:rsidP="00830EE1">
      <w:pPr>
        <w:pStyle w:val="TOC5"/>
        <w:rPr>
          <w:noProof/>
        </w:rPr>
      </w:pPr>
      <w:r>
        <w:rPr>
          <w:noProof/>
        </w:rPr>
        <w:t>18  Simplified outline of this Part</w:t>
      </w:r>
      <w:r>
        <w:rPr>
          <w:noProof/>
        </w:rPr>
        <w:tab/>
        <w:t>10</w:t>
      </w:r>
    </w:p>
    <w:p w14:paraId="36A99132"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2—Foreign-sourced income</w:t>
      </w:r>
      <w:r>
        <w:rPr>
          <w:b w:val="0"/>
          <w:noProof/>
          <w:sz w:val="18"/>
        </w:rPr>
        <w:tab/>
      </w:r>
      <w:r w:rsidRPr="00830EE1">
        <w:rPr>
          <w:b w:val="0"/>
          <w:bCs/>
          <w:noProof/>
          <w:sz w:val="18"/>
          <w:szCs w:val="18"/>
        </w:rPr>
        <w:t>11</w:t>
      </w:r>
    </w:p>
    <w:p w14:paraId="2233ED71" w14:textId="77777777" w:rsidR="00830EE1" w:rsidRDefault="00830EE1" w:rsidP="00830EE1">
      <w:pPr>
        <w:pStyle w:val="TOC5"/>
        <w:rPr>
          <w:rFonts w:asciiTheme="minorHAnsi" w:eastAsiaTheme="minorEastAsia" w:hAnsiTheme="minorHAnsi" w:cstheme="minorBidi"/>
          <w:noProof/>
          <w:kern w:val="0"/>
          <w:sz w:val="22"/>
          <w:szCs w:val="22"/>
        </w:rPr>
      </w:pPr>
      <w:r>
        <w:rPr>
          <w:noProof/>
        </w:rPr>
        <w:t>19  Working out a person's foreign-sourced income</w:t>
      </w:r>
      <w:r>
        <w:rPr>
          <w:noProof/>
        </w:rPr>
        <w:tab/>
        <w:t>11</w:t>
      </w:r>
    </w:p>
    <w:p w14:paraId="3D28C1BF" w14:textId="77777777" w:rsidR="00830EE1" w:rsidRDefault="00830EE1" w:rsidP="00830EE1">
      <w:pPr>
        <w:pStyle w:val="TOC5"/>
        <w:rPr>
          <w:rFonts w:asciiTheme="minorHAnsi" w:eastAsiaTheme="minorEastAsia" w:hAnsiTheme="minorHAnsi" w:cstheme="minorBidi"/>
          <w:noProof/>
          <w:kern w:val="0"/>
          <w:sz w:val="22"/>
          <w:szCs w:val="22"/>
        </w:rPr>
      </w:pPr>
      <w:r>
        <w:rPr>
          <w:noProof/>
        </w:rPr>
        <w:t>20  The simple self-assessment method</w:t>
      </w:r>
      <w:r>
        <w:rPr>
          <w:noProof/>
        </w:rPr>
        <w:tab/>
        <w:t>11</w:t>
      </w:r>
    </w:p>
    <w:p w14:paraId="5F9D90FB" w14:textId="77777777" w:rsidR="00830EE1" w:rsidRDefault="00830EE1" w:rsidP="00830EE1">
      <w:pPr>
        <w:pStyle w:val="TOC5"/>
        <w:rPr>
          <w:rFonts w:asciiTheme="minorHAnsi" w:eastAsiaTheme="minorEastAsia" w:hAnsiTheme="minorHAnsi" w:cstheme="minorBidi"/>
          <w:noProof/>
          <w:kern w:val="0"/>
          <w:sz w:val="22"/>
          <w:szCs w:val="22"/>
        </w:rPr>
      </w:pPr>
      <w:r>
        <w:rPr>
          <w:noProof/>
        </w:rPr>
        <w:t>21  The overseas assessed method</w:t>
      </w:r>
      <w:r>
        <w:rPr>
          <w:noProof/>
        </w:rPr>
        <w:tab/>
        <w:t>11</w:t>
      </w:r>
    </w:p>
    <w:p w14:paraId="3ACFC9CC" w14:textId="77777777" w:rsidR="00830EE1" w:rsidRDefault="00830EE1" w:rsidP="00830EE1">
      <w:pPr>
        <w:pStyle w:val="TOC5"/>
        <w:rPr>
          <w:rFonts w:asciiTheme="minorHAnsi" w:eastAsiaTheme="minorEastAsia" w:hAnsiTheme="minorHAnsi" w:cstheme="minorBidi"/>
          <w:noProof/>
          <w:kern w:val="0"/>
          <w:sz w:val="22"/>
          <w:szCs w:val="22"/>
        </w:rPr>
      </w:pPr>
      <w:r>
        <w:rPr>
          <w:noProof/>
        </w:rPr>
        <w:t>22  The comprehensive tax-based assessment method</w:t>
      </w:r>
      <w:r>
        <w:rPr>
          <w:noProof/>
        </w:rPr>
        <w:tab/>
        <w:t>12</w:t>
      </w:r>
    </w:p>
    <w:p w14:paraId="507D5E11" w14:textId="77777777" w:rsidR="00830EE1" w:rsidRDefault="00830EE1" w:rsidP="00830EE1">
      <w:pPr>
        <w:pStyle w:val="TOC5"/>
        <w:rPr>
          <w:rFonts w:asciiTheme="minorHAnsi" w:eastAsiaTheme="minorEastAsia" w:hAnsiTheme="minorHAnsi" w:cstheme="minorBidi"/>
          <w:noProof/>
          <w:kern w:val="0"/>
          <w:sz w:val="22"/>
          <w:szCs w:val="22"/>
        </w:rPr>
      </w:pPr>
      <w:r>
        <w:rPr>
          <w:noProof/>
        </w:rPr>
        <w:t>23  Converting foreign-sourced income into Australian currency</w:t>
      </w:r>
      <w:r>
        <w:rPr>
          <w:noProof/>
        </w:rPr>
        <w:tab/>
        <w:t>12</w:t>
      </w:r>
    </w:p>
    <w:p w14:paraId="748E8C89" w14:textId="77777777" w:rsidR="00830EE1" w:rsidRPr="008C3EED" w:rsidRDefault="00830EE1" w:rsidP="00830EE1">
      <w:pPr>
        <w:pStyle w:val="TOC3"/>
        <w:rPr>
          <w:rFonts w:asciiTheme="minorHAnsi" w:eastAsiaTheme="minorEastAsia" w:hAnsiTheme="minorHAnsi" w:cstheme="minorBidi"/>
          <w:b w:val="0"/>
          <w:noProof/>
          <w:kern w:val="2"/>
          <w:szCs w:val="22"/>
        </w:rPr>
      </w:pPr>
      <w:r>
        <w:rPr>
          <w:noProof/>
        </w:rPr>
        <w:t>Division 3—Notices to be given to the Commisioner</w:t>
      </w:r>
      <w:r>
        <w:rPr>
          <w:b w:val="0"/>
          <w:noProof/>
          <w:sz w:val="18"/>
        </w:rPr>
        <w:tab/>
      </w:r>
      <w:r w:rsidRPr="00830EE1">
        <w:rPr>
          <w:b w:val="0"/>
          <w:bCs/>
          <w:noProof/>
          <w:sz w:val="18"/>
          <w:szCs w:val="18"/>
        </w:rPr>
        <w:t>13</w:t>
      </w:r>
    </w:p>
    <w:p w14:paraId="1BB26639" w14:textId="77777777" w:rsidR="00830EE1" w:rsidRDefault="00830EE1" w:rsidP="00830EE1">
      <w:pPr>
        <w:pStyle w:val="TOC5"/>
        <w:rPr>
          <w:rFonts w:asciiTheme="minorHAnsi" w:eastAsiaTheme="minorEastAsia" w:hAnsiTheme="minorHAnsi" w:cstheme="minorBidi"/>
          <w:noProof/>
          <w:kern w:val="0"/>
          <w:sz w:val="22"/>
          <w:szCs w:val="22"/>
        </w:rPr>
      </w:pPr>
      <w:r>
        <w:rPr>
          <w:noProof/>
        </w:rPr>
        <w:t>24  Notices relating to leaving Australia</w:t>
      </w:r>
      <w:r>
        <w:rPr>
          <w:noProof/>
        </w:rPr>
        <w:tab/>
        <w:t>13</w:t>
      </w:r>
    </w:p>
    <w:p w14:paraId="26085553" w14:textId="77777777" w:rsidR="00830EE1" w:rsidRDefault="00830EE1" w:rsidP="00830EE1">
      <w:pPr>
        <w:pStyle w:val="TOC5"/>
        <w:rPr>
          <w:rFonts w:asciiTheme="minorHAnsi" w:eastAsiaTheme="minorEastAsia" w:hAnsiTheme="minorHAnsi" w:cstheme="minorBidi"/>
          <w:noProof/>
          <w:kern w:val="0"/>
          <w:sz w:val="22"/>
          <w:szCs w:val="22"/>
        </w:rPr>
      </w:pPr>
      <w:r>
        <w:rPr>
          <w:noProof/>
        </w:rPr>
        <w:t>25  Notices relating to absence from Australia</w:t>
      </w:r>
      <w:r>
        <w:rPr>
          <w:noProof/>
        </w:rPr>
        <w:tab/>
        <w:t>13</w:t>
      </w:r>
    </w:p>
    <w:p w14:paraId="28BE28F8" w14:textId="77777777" w:rsidR="00830EE1" w:rsidRDefault="00830EE1" w:rsidP="00830EE1">
      <w:pPr>
        <w:pStyle w:val="TOC5"/>
        <w:rPr>
          <w:rFonts w:asciiTheme="minorHAnsi" w:eastAsiaTheme="minorEastAsia" w:hAnsiTheme="minorHAnsi" w:cstheme="minorBidi"/>
          <w:noProof/>
          <w:kern w:val="0"/>
          <w:sz w:val="22"/>
          <w:szCs w:val="22"/>
        </w:rPr>
      </w:pPr>
      <w:r>
        <w:rPr>
          <w:noProof/>
        </w:rPr>
        <w:t>26  Notices relating to income (including foreign-sourced income)</w:t>
      </w:r>
      <w:r>
        <w:rPr>
          <w:noProof/>
        </w:rPr>
        <w:tab/>
        <w:t>13</w:t>
      </w:r>
    </w:p>
    <w:p w14:paraId="22368770" w14:textId="77777777" w:rsidR="00830EE1" w:rsidRDefault="00830EE1" w:rsidP="00830EE1">
      <w:pPr>
        <w:pStyle w:val="TOC5"/>
        <w:rPr>
          <w:rFonts w:asciiTheme="minorHAnsi" w:eastAsiaTheme="minorEastAsia" w:hAnsiTheme="minorHAnsi" w:cstheme="minorBidi"/>
          <w:noProof/>
          <w:kern w:val="0"/>
          <w:sz w:val="22"/>
          <w:szCs w:val="22"/>
        </w:rPr>
      </w:pPr>
      <w:r>
        <w:rPr>
          <w:noProof/>
        </w:rPr>
        <w:t>27  Approved forms</w:t>
      </w:r>
      <w:r>
        <w:rPr>
          <w:noProof/>
        </w:rPr>
        <w:tab/>
        <w:t>14</w:t>
      </w:r>
    </w:p>
    <w:p w14:paraId="20F6A942" w14:textId="77777777" w:rsidR="00830EE1" w:rsidRDefault="00830EE1" w:rsidP="00830EE1">
      <w:pPr>
        <w:pStyle w:val="TOC2"/>
        <w:rPr>
          <w:rFonts w:asciiTheme="minorHAnsi" w:eastAsiaTheme="minorEastAsia" w:hAnsiTheme="minorHAnsi" w:cstheme="minorBidi"/>
          <w:b w:val="0"/>
          <w:noProof/>
          <w:kern w:val="0"/>
          <w:sz w:val="22"/>
          <w:szCs w:val="22"/>
        </w:rPr>
      </w:pPr>
      <w:r>
        <w:rPr>
          <w:noProof/>
        </w:rPr>
        <w:t>Part 5—Transitional provisions</w:t>
      </w:r>
      <w:r>
        <w:rPr>
          <w:noProof/>
        </w:rPr>
        <w:tab/>
      </w:r>
      <w:r w:rsidRPr="00830EE1">
        <w:rPr>
          <w:b w:val="0"/>
          <w:bCs/>
          <w:noProof/>
          <w:sz w:val="18"/>
          <w:szCs w:val="18"/>
        </w:rPr>
        <w:t>15</w:t>
      </w:r>
    </w:p>
    <w:p w14:paraId="31C80D16" w14:textId="77777777" w:rsidR="00830EE1" w:rsidRDefault="00830EE1" w:rsidP="00830EE1">
      <w:pPr>
        <w:pStyle w:val="TOC5"/>
        <w:rPr>
          <w:rFonts w:asciiTheme="minorHAnsi" w:eastAsiaTheme="minorEastAsia" w:hAnsiTheme="minorHAnsi" w:cstheme="minorBidi"/>
          <w:noProof/>
          <w:kern w:val="0"/>
          <w:sz w:val="22"/>
          <w:szCs w:val="22"/>
        </w:rPr>
      </w:pPr>
      <w:r>
        <w:rPr>
          <w:noProof/>
        </w:rPr>
        <w:t>28  Simplified outline of this Part</w:t>
      </w:r>
      <w:r>
        <w:rPr>
          <w:noProof/>
        </w:rPr>
        <w:tab/>
        <w:t>15</w:t>
      </w:r>
    </w:p>
    <w:p w14:paraId="62AAE31A" w14:textId="77777777" w:rsidR="00830EE1" w:rsidRDefault="00830EE1" w:rsidP="00830EE1">
      <w:pPr>
        <w:pStyle w:val="TOC5"/>
        <w:rPr>
          <w:noProof/>
        </w:rPr>
      </w:pPr>
      <w:r>
        <w:rPr>
          <w:noProof/>
        </w:rPr>
        <w:t xml:space="preserve">29  </w:t>
      </w:r>
      <w:r>
        <w:rPr>
          <w:szCs w:val="18"/>
        </w:rPr>
        <w:t>Transitional</w:t>
      </w:r>
      <w:r w:rsidRPr="00087674">
        <w:rPr>
          <w:szCs w:val="18"/>
        </w:rPr>
        <w:t>—</w:t>
      </w:r>
      <w:r>
        <w:rPr>
          <w:szCs w:val="18"/>
        </w:rPr>
        <w:t>pre-commencement apprenticeships</w:t>
      </w:r>
      <w:r>
        <w:rPr>
          <w:noProof/>
        </w:rPr>
        <w:tab/>
        <w:t>15</w:t>
      </w:r>
    </w:p>
    <w:p w14:paraId="50D73BAE" w14:textId="77777777" w:rsidR="00830EE1" w:rsidRPr="002E7882" w:rsidRDefault="00830EE1" w:rsidP="00830EE1">
      <w:pPr>
        <w:pStyle w:val="TOC5"/>
        <w:rPr>
          <w:rFonts w:asciiTheme="minorHAnsi" w:eastAsiaTheme="minorEastAsia" w:hAnsiTheme="minorHAnsi" w:cstheme="minorBidi"/>
          <w:noProof/>
          <w:kern w:val="0"/>
          <w:sz w:val="22"/>
          <w:szCs w:val="22"/>
        </w:rPr>
      </w:pPr>
      <w:r>
        <w:rPr>
          <w:noProof/>
        </w:rPr>
        <w:t xml:space="preserve">30  </w:t>
      </w:r>
      <w:r>
        <w:rPr>
          <w:szCs w:val="18"/>
        </w:rPr>
        <w:t>Transitional</w:t>
      </w:r>
      <w:r w:rsidRPr="00087674">
        <w:rPr>
          <w:szCs w:val="18"/>
        </w:rPr>
        <w:t>—</w:t>
      </w:r>
      <w:r>
        <w:rPr>
          <w:szCs w:val="18"/>
        </w:rPr>
        <w:t>pre-commencement rural or regional apprenticeships in the horticulture sector</w:t>
      </w:r>
      <w:r>
        <w:rPr>
          <w:noProof/>
        </w:rPr>
        <w:tab/>
        <w:t>15</w:t>
      </w:r>
      <w:bookmarkEnd w:id="1"/>
    </w:p>
    <w:p w14:paraId="519775D2" w14:textId="5E351755" w:rsidR="00B418CB" w:rsidRDefault="00B418CB">
      <w:pPr>
        <w:pStyle w:val="TOC6"/>
        <w:rPr>
          <w:rFonts w:asciiTheme="minorHAnsi" w:eastAsiaTheme="minorEastAsia" w:hAnsiTheme="minorHAnsi" w:cstheme="minorBidi"/>
          <w:b w:val="0"/>
          <w:noProof/>
          <w:kern w:val="0"/>
          <w:sz w:val="22"/>
          <w:szCs w:val="22"/>
        </w:rPr>
      </w:pPr>
      <w:r>
        <w:rPr>
          <w:noProof/>
        </w:rPr>
        <w:t>Schedule 1—Repeals</w:t>
      </w:r>
      <w:r w:rsidRPr="00B418CB">
        <w:rPr>
          <w:b w:val="0"/>
          <w:noProof/>
          <w:sz w:val="18"/>
        </w:rPr>
        <w:tab/>
      </w:r>
      <w:r w:rsidR="00830EE1">
        <w:rPr>
          <w:b w:val="0"/>
          <w:noProof/>
          <w:sz w:val="18"/>
        </w:rPr>
        <w:t>16</w:t>
      </w:r>
    </w:p>
    <w:p w14:paraId="3A8FDD8B" w14:textId="02144B29" w:rsidR="00B418CB" w:rsidRDefault="00830EE1">
      <w:pPr>
        <w:pStyle w:val="TOC9"/>
        <w:rPr>
          <w:rFonts w:asciiTheme="minorHAnsi" w:eastAsiaTheme="minorEastAsia" w:hAnsiTheme="minorHAnsi" w:cstheme="minorBidi"/>
          <w:i w:val="0"/>
          <w:noProof/>
          <w:kern w:val="0"/>
          <w:sz w:val="22"/>
          <w:szCs w:val="22"/>
        </w:rPr>
      </w:pPr>
      <w:r>
        <w:rPr>
          <w:noProof/>
        </w:rPr>
        <w:lastRenderedPageBreak/>
        <w:t>Trade Support Loans Rules 2014</w:t>
      </w:r>
      <w:r w:rsidR="00B418CB" w:rsidRPr="00B418CB">
        <w:rPr>
          <w:i w:val="0"/>
          <w:noProof/>
          <w:sz w:val="18"/>
        </w:rPr>
        <w:tab/>
      </w:r>
      <w:r>
        <w:rPr>
          <w:i w:val="0"/>
          <w:noProof/>
          <w:sz w:val="18"/>
        </w:rPr>
        <w:t>16</w:t>
      </w:r>
    </w:p>
    <w:p w14:paraId="3C32F8AF" w14:textId="77777777" w:rsidR="00F6696E" w:rsidRDefault="00B418CB" w:rsidP="00F6696E">
      <w:pPr>
        <w:outlineLvl w:val="0"/>
      </w:pPr>
      <w:r>
        <w:fldChar w:fldCharType="end"/>
      </w:r>
    </w:p>
    <w:p w14:paraId="0A7B2D97" w14:textId="77777777" w:rsidR="00F6696E" w:rsidRPr="00A802BC" w:rsidRDefault="00F6696E" w:rsidP="00F6696E">
      <w:pPr>
        <w:outlineLvl w:val="0"/>
        <w:rPr>
          <w:sz w:val="20"/>
        </w:rPr>
      </w:pPr>
    </w:p>
    <w:p w14:paraId="3290AF6E"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BEBA35A" w14:textId="77777777" w:rsidR="00830EE1" w:rsidRPr="00B400D5" w:rsidRDefault="00830EE1" w:rsidP="00830EE1">
      <w:pPr>
        <w:pStyle w:val="ActHead2"/>
      </w:pPr>
      <w:bookmarkStart w:id="2" w:name="_Toc113016598"/>
      <w:r w:rsidRPr="00B400D5">
        <w:lastRenderedPageBreak/>
        <w:t>Part 1—Preliminary</w:t>
      </w:r>
      <w:bookmarkEnd w:id="2"/>
    </w:p>
    <w:p w14:paraId="39E66B25" w14:textId="77777777" w:rsidR="00830EE1" w:rsidRPr="00B400D5" w:rsidRDefault="00830EE1" w:rsidP="00830EE1">
      <w:pPr>
        <w:pStyle w:val="ActHead5"/>
      </w:pPr>
      <w:bookmarkStart w:id="3" w:name="_Toc113016599"/>
      <w:proofErr w:type="gramStart"/>
      <w:r w:rsidRPr="00B400D5">
        <w:t>1  Name</w:t>
      </w:r>
      <w:bookmarkEnd w:id="3"/>
      <w:proofErr w:type="gramEnd"/>
    </w:p>
    <w:p w14:paraId="57A92DCD" w14:textId="77777777" w:rsidR="00830EE1" w:rsidRPr="00B400D5" w:rsidRDefault="00830EE1" w:rsidP="00830EE1">
      <w:pPr>
        <w:pStyle w:val="subsection"/>
        <w:rPr>
          <w:bCs/>
          <w:i/>
          <w:iCs/>
        </w:rPr>
      </w:pPr>
      <w:r w:rsidRPr="00B400D5">
        <w:tab/>
      </w:r>
      <w:r w:rsidRPr="00B400D5">
        <w:tab/>
        <w:t xml:space="preserve">This instrument is the </w:t>
      </w:r>
      <w:r w:rsidRPr="00F45F09">
        <w:rPr>
          <w:bCs/>
          <w:i/>
          <w:iCs/>
        </w:rPr>
        <w:t>Australian Apprenticeship Support Loans Rules 202</w:t>
      </w:r>
      <w:r>
        <w:rPr>
          <w:bCs/>
          <w:i/>
          <w:iCs/>
        </w:rPr>
        <w:t>3</w:t>
      </w:r>
      <w:r w:rsidRPr="00B400D5">
        <w:t>.</w:t>
      </w:r>
    </w:p>
    <w:p w14:paraId="104EF6A1" w14:textId="77777777" w:rsidR="00830EE1" w:rsidRPr="00B400D5" w:rsidRDefault="00830EE1" w:rsidP="00830EE1">
      <w:pPr>
        <w:pStyle w:val="ActHead5"/>
      </w:pPr>
      <w:bookmarkStart w:id="4" w:name="_Toc113016600"/>
      <w:proofErr w:type="gramStart"/>
      <w:r w:rsidRPr="00B400D5">
        <w:t>2  Commencement</w:t>
      </w:r>
      <w:bookmarkEnd w:id="4"/>
      <w:proofErr w:type="gramEnd"/>
    </w:p>
    <w:p w14:paraId="40583A35" w14:textId="77777777" w:rsidR="00830EE1" w:rsidRPr="00B400D5" w:rsidRDefault="00830EE1" w:rsidP="00830EE1">
      <w:pPr>
        <w:pStyle w:val="subsection"/>
      </w:pPr>
      <w:r w:rsidRPr="00B400D5">
        <w:tab/>
        <w:t>(1)</w:t>
      </w:r>
      <w:r w:rsidRPr="00B400D5">
        <w:tab/>
        <w:t>Each provision of this instrument specified in column 1 of the table commences, or is taken to have commenced, in accordance with column 2 of the table. Any other statement in column 2 has effect according to its terms.</w:t>
      </w:r>
    </w:p>
    <w:p w14:paraId="13BDD42E" w14:textId="77777777" w:rsidR="00830EE1" w:rsidRPr="00B400D5" w:rsidRDefault="00830EE1" w:rsidP="00830EE1">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30EE1" w:rsidRPr="00B400D5" w14:paraId="2C4EA3BB" w14:textId="77777777" w:rsidTr="009F18E8">
        <w:trPr>
          <w:tblHeader/>
        </w:trPr>
        <w:tc>
          <w:tcPr>
            <w:tcW w:w="8364" w:type="dxa"/>
            <w:gridSpan w:val="3"/>
            <w:tcBorders>
              <w:top w:val="single" w:sz="12" w:space="0" w:color="auto"/>
              <w:bottom w:val="single" w:sz="6" w:space="0" w:color="auto"/>
            </w:tcBorders>
            <w:shd w:val="clear" w:color="auto" w:fill="auto"/>
            <w:hideMark/>
          </w:tcPr>
          <w:p w14:paraId="7481A2C7" w14:textId="77777777" w:rsidR="00830EE1" w:rsidRPr="00B400D5" w:rsidRDefault="00830EE1" w:rsidP="009F18E8">
            <w:pPr>
              <w:pStyle w:val="TableHeading"/>
            </w:pPr>
            <w:r w:rsidRPr="00B400D5">
              <w:t>Commencement information</w:t>
            </w:r>
          </w:p>
        </w:tc>
      </w:tr>
      <w:tr w:rsidR="00830EE1" w:rsidRPr="00B400D5" w14:paraId="2A6C6DB1" w14:textId="77777777" w:rsidTr="009F18E8">
        <w:trPr>
          <w:tblHeader/>
        </w:trPr>
        <w:tc>
          <w:tcPr>
            <w:tcW w:w="2127" w:type="dxa"/>
            <w:tcBorders>
              <w:top w:val="single" w:sz="6" w:space="0" w:color="auto"/>
              <w:bottom w:val="single" w:sz="6" w:space="0" w:color="auto"/>
            </w:tcBorders>
            <w:shd w:val="clear" w:color="auto" w:fill="auto"/>
            <w:hideMark/>
          </w:tcPr>
          <w:p w14:paraId="5FEC0517" w14:textId="77777777" w:rsidR="00830EE1" w:rsidRPr="00B400D5" w:rsidRDefault="00830EE1" w:rsidP="009F18E8">
            <w:pPr>
              <w:pStyle w:val="TableHeading"/>
            </w:pPr>
            <w:r w:rsidRPr="00B400D5">
              <w:t>Column 1</w:t>
            </w:r>
          </w:p>
        </w:tc>
        <w:tc>
          <w:tcPr>
            <w:tcW w:w="4394" w:type="dxa"/>
            <w:tcBorders>
              <w:top w:val="single" w:sz="6" w:space="0" w:color="auto"/>
              <w:bottom w:val="single" w:sz="6" w:space="0" w:color="auto"/>
            </w:tcBorders>
            <w:shd w:val="clear" w:color="auto" w:fill="auto"/>
            <w:hideMark/>
          </w:tcPr>
          <w:p w14:paraId="7C8C1A1E" w14:textId="77777777" w:rsidR="00830EE1" w:rsidRPr="00B400D5" w:rsidRDefault="00830EE1" w:rsidP="009F18E8">
            <w:pPr>
              <w:pStyle w:val="TableHeading"/>
            </w:pPr>
            <w:r w:rsidRPr="00B400D5">
              <w:t>Column 2</w:t>
            </w:r>
          </w:p>
        </w:tc>
        <w:tc>
          <w:tcPr>
            <w:tcW w:w="1843" w:type="dxa"/>
            <w:tcBorders>
              <w:top w:val="single" w:sz="6" w:space="0" w:color="auto"/>
              <w:bottom w:val="single" w:sz="6" w:space="0" w:color="auto"/>
            </w:tcBorders>
            <w:shd w:val="clear" w:color="auto" w:fill="auto"/>
            <w:hideMark/>
          </w:tcPr>
          <w:p w14:paraId="25D2FE24" w14:textId="77777777" w:rsidR="00830EE1" w:rsidRPr="00B400D5" w:rsidRDefault="00830EE1" w:rsidP="009F18E8">
            <w:pPr>
              <w:pStyle w:val="TableHeading"/>
            </w:pPr>
            <w:r w:rsidRPr="00B400D5">
              <w:t>Column 3</w:t>
            </w:r>
          </w:p>
        </w:tc>
      </w:tr>
      <w:tr w:rsidR="00830EE1" w:rsidRPr="00B400D5" w14:paraId="00829352" w14:textId="77777777" w:rsidTr="009F18E8">
        <w:trPr>
          <w:tblHeader/>
        </w:trPr>
        <w:tc>
          <w:tcPr>
            <w:tcW w:w="2127" w:type="dxa"/>
            <w:tcBorders>
              <w:top w:val="single" w:sz="6" w:space="0" w:color="auto"/>
              <w:bottom w:val="single" w:sz="12" w:space="0" w:color="auto"/>
            </w:tcBorders>
            <w:shd w:val="clear" w:color="auto" w:fill="auto"/>
            <w:hideMark/>
          </w:tcPr>
          <w:p w14:paraId="1CB8E523" w14:textId="77777777" w:rsidR="00830EE1" w:rsidRPr="00B400D5" w:rsidRDefault="00830EE1" w:rsidP="009F18E8">
            <w:pPr>
              <w:pStyle w:val="TableHeading"/>
            </w:pPr>
            <w:r w:rsidRPr="00B400D5">
              <w:t>Provisions</w:t>
            </w:r>
          </w:p>
        </w:tc>
        <w:tc>
          <w:tcPr>
            <w:tcW w:w="4394" w:type="dxa"/>
            <w:tcBorders>
              <w:top w:val="single" w:sz="6" w:space="0" w:color="auto"/>
              <w:bottom w:val="single" w:sz="12" w:space="0" w:color="auto"/>
            </w:tcBorders>
            <w:shd w:val="clear" w:color="auto" w:fill="auto"/>
            <w:hideMark/>
          </w:tcPr>
          <w:p w14:paraId="7C3B2E47" w14:textId="77777777" w:rsidR="00830EE1" w:rsidRPr="00B400D5" w:rsidRDefault="00830EE1" w:rsidP="009F18E8">
            <w:pPr>
              <w:pStyle w:val="TableHeading"/>
            </w:pPr>
            <w:r w:rsidRPr="00B400D5">
              <w:t>Commencement</w:t>
            </w:r>
          </w:p>
        </w:tc>
        <w:tc>
          <w:tcPr>
            <w:tcW w:w="1843" w:type="dxa"/>
            <w:tcBorders>
              <w:top w:val="single" w:sz="6" w:space="0" w:color="auto"/>
              <w:bottom w:val="single" w:sz="12" w:space="0" w:color="auto"/>
            </w:tcBorders>
            <w:shd w:val="clear" w:color="auto" w:fill="auto"/>
            <w:hideMark/>
          </w:tcPr>
          <w:p w14:paraId="056B4D56" w14:textId="77777777" w:rsidR="00830EE1" w:rsidRPr="00B400D5" w:rsidRDefault="00830EE1" w:rsidP="009F18E8">
            <w:pPr>
              <w:pStyle w:val="TableHeading"/>
            </w:pPr>
            <w:r w:rsidRPr="00B400D5">
              <w:t>Date/Details</w:t>
            </w:r>
          </w:p>
        </w:tc>
      </w:tr>
      <w:tr w:rsidR="00830EE1" w:rsidRPr="00B400D5" w14:paraId="6616AFB7" w14:textId="77777777" w:rsidTr="009F18E8">
        <w:tc>
          <w:tcPr>
            <w:tcW w:w="2127" w:type="dxa"/>
            <w:tcBorders>
              <w:top w:val="single" w:sz="12" w:space="0" w:color="auto"/>
              <w:bottom w:val="single" w:sz="12" w:space="0" w:color="auto"/>
            </w:tcBorders>
            <w:shd w:val="clear" w:color="auto" w:fill="auto"/>
            <w:hideMark/>
          </w:tcPr>
          <w:p w14:paraId="2C5A514F" w14:textId="77777777" w:rsidR="00830EE1" w:rsidRPr="00B400D5" w:rsidRDefault="00830EE1" w:rsidP="009F18E8">
            <w:pPr>
              <w:pStyle w:val="Tabletext"/>
            </w:pPr>
            <w:r w:rsidRPr="00B400D5">
              <w:t>1.  The whole of this instrument</w:t>
            </w:r>
          </w:p>
        </w:tc>
        <w:tc>
          <w:tcPr>
            <w:tcW w:w="4394" w:type="dxa"/>
            <w:tcBorders>
              <w:top w:val="single" w:sz="12" w:space="0" w:color="auto"/>
              <w:bottom w:val="single" w:sz="12" w:space="0" w:color="auto"/>
            </w:tcBorders>
            <w:shd w:val="clear" w:color="auto" w:fill="auto"/>
            <w:hideMark/>
          </w:tcPr>
          <w:p w14:paraId="1FEE1719" w14:textId="77777777" w:rsidR="00830EE1" w:rsidRDefault="00830EE1" w:rsidP="009F18E8">
            <w:pPr>
              <w:pStyle w:val="Tabletext"/>
              <w:rPr>
                <w:lang w:eastAsia="en-US"/>
              </w:rPr>
            </w:pPr>
            <w:r>
              <w:rPr>
                <w:lang w:eastAsia="en-US"/>
              </w:rPr>
              <w:t>The later of:</w:t>
            </w:r>
          </w:p>
          <w:p w14:paraId="0BF8DF6F" w14:textId="77777777" w:rsidR="00830EE1" w:rsidRDefault="00830EE1" w:rsidP="009F18E8">
            <w:pPr>
              <w:pStyle w:val="Tablea"/>
              <w:rPr>
                <w:lang w:eastAsia="en-US"/>
              </w:rPr>
            </w:pPr>
            <w:r>
              <w:rPr>
                <w:lang w:eastAsia="en-US"/>
              </w:rPr>
              <w:t xml:space="preserve">(a) the commencement of the </w:t>
            </w:r>
            <w:r>
              <w:rPr>
                <w:i/>
                <w:lang w:eastAsia="en-US"/>
              </w:rPr>
              <w:t>Trade Support Loans Amendment Act 2023</w:t>
            </w:r>
            <w:r>
              <w:rPr>
                <w:lang w:eastAsia="en-US"/>
              </w:rPr>
              <w:t>; and</w:t>
            </w:r>
          </w:p>
          <w:p w14:paraId="65A049C6" w14:textId="77777777" w:rsidR="00830EE1" w:rsidRPr="00B400D5" w:rsidRDefault="00830EE1" w:rsidP="009F18E8">
            <w:pPr>
              <w:pStyle w:val="Tablea"/>
              <w:rPr>
                <w:lang w:eastAsia="en-US"/>
              </w:rPr>
            </w:pPr>
            <w:r>
              <w:rPr>
                <w:lang w:eastAsia="en-US"/>
              </w:rPr>
              <w:t>(b) the start of the day after this instrument is registered.</w:t>
            </w:r>
          </w:p>
        </w:tc>
        <w:tc>
          <w:tcPr>
            <w:tcW w:w="1843" w:type="dxa"/>
            <w:tcBorders>
              <w:top w:val="single" w:sz="12" w:space="0" w:color="auto"/>
              <w:bottom w:val="single" w:sz="12" w:space="0" w:color="auto"/>
            </w:tcBorders>
            <w:shd w:val="clear" w:color="auto" w:fill="auto"/>
          </w:tcPr>
          <w:p w14:paraId="513B2C13" w14:textId="77777777" w:rsidR="00830EE1" w:rsidRPr="00B400D5" w:rsidRDefault="00830EE1" w:rsidP="009F18E8">
            <w:pPr>
              <w:pStyle w:val="Tabletext"/>
            </w:pPr>
          </w:p>
        </w:tc>
      </w:tr>
    </w:tbl>
    <w:p w14:paraId="0F5FDF04" w14:textId="77777777" w:rsidR="00830EE1" w:rsidRPr="00B400D5" w:rsidRDefault="00830EE1" w:rsidP="00830EE1">
      <w:pPr>
        <w:pStyle w:val="notetext"/>
      </w:pPr>
      <w:r w:rsidRPr="00B400D5">
        <w:rPr>
          <w:snapToGrid w:val="0"/>
          <w:lang w:eastAsia="en-US"/>
        </w:rPr>
        <w:t>Note:</w:t>
      </w:r>
      <w:r w:rsidRPr="00B400D5">
        <w:rPr>
          <w:snapToGrid w:val="0"/>
          <w:lang w:eastAsia="en-US"/>
        </w:rPr>
        <w:tab/>
        <w:t>This table relates only to the provisions of this instrument</w:t>
      </w:r>
      <w:r w:rsidRPr="00B400D5">
        <w:t xml:space="preserve"> </w:t>
      </w:r>
      <w:r w:rsidRPr="00B400D5">
        <w:rPr>
          <w:snapToGrid w:val="0"/>
          <w:lang w:eastAsia="en-US"/>
        </w:rPr>
        <w:t>as originally made. It will not be amended to deal with any later amendments of this instrument.</w:t>
      </w:r>
    </w:p>
    <w:p w14:paraId="6BFB66A1" w14:textId="77777777" w:rsidR="00830EE1" w:rsidRDefault="00830EE1" w:rsidP="00830EE1">
      <w:pPr>
        <w:pStyle w:val="subsection"/>
      </w:pPr>
      <w:r w:rsidRPr="00B400D5">
        <w:tab/>
        <w:t>(2)</w:t>
      </w:r>
      <w:r w:rsidRPr="00B400D5">
        <w:tab/>
        <w:t>Any information in column 3 of the table is not part of this instrument. Information may be inserted in this column, or information in it may be edited, in any published version of this instrument.</w:t>
      </w:r>
    </w:p>
    <w:p w14:paraId="269D27F3" w14:textId="77777777" w:rsidR="00830EE1" w:rsidRPr="00B400D5" w:rsidRDefault="00830EE1" w:rsidP="00830EE1">
      <w:pPr>
        <w:pStyle w:val="ActHead5"/>
      </w:pPr>
      <w:bookmarkStart w:id="5" w:name="_Toc113016601"/>
      <w:proofErr w:type="gramStart"/>
      <w:r w:rsidRPr="00B400D5">
        <w:t>3  Authority</w:t>
      </w:r>
      <w:bookmarkEnd w:id="5"/>
      <w:proofErr w:type="gramEnd"/>
    </w:p>
    <w:p w14:paraId="761259AF" w14:textId="77777777" w:rsidR="00830EE1" w:rsidRPr="00B400D5" w:rsidRDefault="00830EE1" w:rsidP="00830EE1">
      <w:pPr>
        <w:pStyle w:val="subsection"/>
      </w:pPr>
      <w:r w:rsidRPr="00B400D5">
        <w:tab/>
      </w:r>
      <w:r w:rsidRPr="00B400D5">
        <w:tab/>
      </w:r>
      <w:r w:rsidRPr="00B400D5">
        <w:rPr>
          <w:szCs w:val="22"/>
        </w:rPr>
        <w:t xml:space="preserve">This instrument is made under the </w:t>
      </w:r>
      <w:r w:rsidRPr="00B400D5">
        <w:rPr>
          <w:i/>
          <w:szCs w:val="22"/>
        </w:rPr>
        <w:t>Australian Apprenticeship Support Loans Act 2014</w:t>
      </w:r>
      <w:r w:rsidRPr="00B400D5">
        <w:rPr>
          <w:szCs w:val="22"/>
        </w:rPr>
        <w:t>.</w:t>
      </w:r>
    </w:p>
    <w:p w14:paraId="3907888F" w14:textId="77777777" w:rsidR="00830EE1" w:rsidRPr="00B400D5" w:rsidRDefault="00830EE1" w:rsidP="00830EE1">
      <w:pPr>
        <w:pStyle w:val="ActHead5"/>
      </w:pPr>
      <w:bookmarkStart w:id="6" w:name="_Toc113016602"/>
      <w:proofErr w:type="gramStart"/>
      <w:r w:rsidRPr="00B400D5">
        <w:t>4  Definitions</w:t>
      </w:r>
      <w:bookmarkEnd w:id="6"/>
      <w:proofErr w:type="gramEnd"/>
    </w:p>
    <w:p w14:paraId="710EA4B2" w14:textId="77777777" w:rsidR="00830EE1" w:rsidRPr="00B400D5" w:rsidRDefault="00830EE1" w:rsidP="00830EE1">
      <w:pPr>
        <w:pStyle w:val="notetext"/>
        <w:rPr>
          <w:szCs w:val="18"/>
        </w:rPr>
      </w:pPr>
      <w:r w:rsidRPr="00B400D5">
        <w:t>Note:</w:t>
      </w:r>
      <w:r w:rsidRPr="00B400D5">
        <w:tab/>
      </w:r>
      <w:proofErr w:type="gramStart"/>
      <w:r w:rsidRPr="00B400D5">
        <w:t>A number of</w:t>
      </w:r>
      <w:proofErr w:type="gramEnd"/>
      <w:r w:rsidRPr="00B400D5">
        <w:t xml:space="preserve"> expressions used in this instrument are defined in section </w:t>
      </w:r>
      <w:r>
        <w:t>5</w:t>
      </w:r>
      <w:r w:rsidRPr="00B400D5">
        <w:t xml:space="preserve"> of the Act, </w:t>
      </w:r>
      <w:r w:rsidRPr="00B400D5">
        <w:rPr>
          <w:szCs w:val="18"/>
        </w:rPr>
        <w:t>including the following:</w:t>
      </w:r>
    </w:p>
    <w:p w14:paraId="59D13D32" w14:textId="77777777" w:rsidR="00830EE1" w:rsidRDefault="00830EE1" w:rsidP="00830EE1">
      <w:pPr>
        <w:pStyle w:val="notepara"/>
        <w:rPr>
          <w:szCs w:val="18"/>
        </w:rPr>
      </w:pPr>
      <w:r w:rsidRPr="00B400D5">
        <w:rPr>
          <w:szCs w:val="18"/>
        </w:rPr>
        <w:t>(a)</w:t>
      </w:r>
      <w:r w:rsidRPr="00B400D5">
        <w:rPr>
          <w:szCs w:val="18"/>
        </w:rPr>
        <w:tab/>
      </w:r>
      <w:r>
        <w:rPr>
          <w:szCs w:val="18"/>
        </w:rPr>
        <w:t>a</w:t>
      </w:r>
      <w:r w:rsidRPr="00B400D5">
        <w:rPr>
          <w:szCs w:val="18"/>
        </w:rPr>
        <w:t xml:space="preserve">pproved </w:t>
      </w:r>
      <w:proofErr w:type="gramStart"/>
      <w:r w:rsidRPr="00B400D5">
        <w:rPr>
          <w:szCs w:val="18"/>
        </w:rPr>
        <w:t>form;</w:t>
      </w:r>
      <w:proofErr w:type="gramEnd"/>
    </w:p>
    <w:p w14:paraId="4B257CCF" w14:textId="77777777" w:rsidR="00830EE1" w:rsidRPr="00B400D5" w:rsidRDefault="00830EE1" w:rsidP="00830EE1">
      <w:pPr>
        <w:pStyle w:val="notepara"/>
        <w:rPr>
          <w:szCs w:val="18"/>
        </w:rPr>
      </w:pPr>
      <w:r w:rsidRPr="00B400D5">
        <w:rPr>
          <w:szCs w:val="18"/>
        </w:rPr>
        <w:t>(</w:t>
      </w:r>
      <w:r>
        <w:rPr>
          <w:szCs w:val="18"/>
        </w:rPr>
        <w:t>b</w:t>
      </w:r>
      <w:r w:rsidRPr="00B400D5">
        <w:rPr>
          <w:szCs w:val="18"/>
        </w:rPr>
        <w:t>)</w:t>
      </w:r>
      <w:r w:rsidRPr="00B400D5">
        <w:rPr>
          <w:szCs w:val="18"/>
        </w:rPr>
        <w:tab/>
        <w:t xml:space="preserve">Australian </w:t>
      </w:r>
      <w:r>
        <w:rPr>
          <w:szCs w:val="18"/>
        </w:rPr>
        <w:t xml:space="preserve">Apprenticeships Priority </w:t>
      </w:r>
      <w:proofErr w:type="gramStart"/>
      <w:r>
        <w:rPr>
          <w:szCs w:val="18"/>
        </w:rPr>
        <w:t>List</w:t>
      </w:r>
      <w:r w:rsidRPr="00B400D5">
        <w:rPr>
          <w:szCs w:val="18"/>
        </w:rPr>
        <w:t>;</w:t>
      </w:r>
      <w:proofErr w:type="gramEnd"/>
    </w:p>
    <w:p w14:paraId="7831DC46" w14:textId="77777777" w:rsidR="00830EE1" w:rsidRDefault="00830EE1" w:rsidP="00830EE1">
      <w:pPr>
        <w:pStyle w:val="notepara"/>
        <w:rPr>
          <w:szCs w:val="18"/>
        </w:rPr>
      </w:pPr>
      <w:r w:rsidRPr="00B400D5">
        <w:rPr>
          <w:szCs w:val="18"/>
        </w:rPr>
        <w:t>(</w:t>
      </w:r>
      <w:r>
        <w:rPr>
          <w:szCs w:val="18"/>
        </w:rPr>
        <w:t>c</w:t>
      </w:r>
      <w:r w:rsidRPr="00B400D5">
        <w:rPr>
          <w:szCs w:val="18"/>
        </w:rPr>
        <w:t>)</w:t>
      </w:r>
      <w:r w:rsidRPr="00B400D5">
        <w:rPr>
          <w:szCs w:val="18"/>
        </w:rPr>
        <w:tab/>
        <w:t xml:space="preserve">Australian apprenticeship support </w:t>
      </w:r>
      <w:proofErr w:type="gramStart"/>
      <w:r w:rsidRPr="00B400D5">
        <w:rPr>
          <w:szCs w:val="18"/>
        </w:rPr>
        <w:t>loan;</w:t>
      </w:r>
      <w:proofErr w:type="gramEnd"/>
    </w:p>
    <w:p w14:paraId="2BDC69C9" w14:textId="77777777" w:rsidR="00830EE1" w:rsidRDefault="00830EE1" w:rsidP="00830EE1">
      <w:pPr>
        <w:pStyle w:val="notepara"/>
        <w:rPr>
          <w:szCs w:val="18"/>
        </w:rPr>
      </w:pPr>
      <w:r>
        <w:rPr>
          <w:szCs w:val="18"/>
        </w:rPr>
        <w:t>(d)</w:t>
      </w:r>
      <w:r>
        <w:rPr>
          <w:szCs w:val="18"/>
        </w:rPr>
        <w:tab/>
        <w:t xml:space="preserve">Australian </w:t>
      </w:r>
      <w:proofErr w:type="gramStart"/>
      <w:r>
        <w:rPr>
          <w:szCs w:val="18"/>
        </w:rPr>
        <w:t>resident;</w:t>
      </w:r>
      <w:proofErr w:type="gramEnd"/>
    </w:p>
    <w:p w14:paraId="41D2FD57" w14:textId="77777777" w:rsidR="00830EE1" w:rsidRDefault="00830EE1" w:rsidP="00830EE1">
      <w:pPr>
        <w:pStyle w:val="notepara"/>
        <w:rPr>
          <w:szCs w:val="18"/>
        </w:rPr>
      </w:pPr>
      <w:r>
        <w:rPr>
          <w:szCs w:val="18"/>
        </w:rPr>
        <w:t>(e)</w:t>
      </w:r>
      <w:r>
        <w:rPr>
          <w:szCs w:val="18"/>
        </w:rPr>
        <w:tab/>
      </w:r>
      <w:proofErr w:type="gramStart"/>
      <w:r>
        <w:rPr>
          <w:szCs w:val="18"/>
        </w:rPr>
        <w:t>Commissioner;</w:t>
      </w:r>
      <w:proofErr w:type="gramEnd"/>
      <w:r w:rsidRPr="00B400D5">
        <w:rPr>
          <w:szCs w:val="18"/>
        </w:rPr>
        <w:t xml:space="preserve"> </w:t>
      </w:r>
    </w:p>
    <w:p w14:paraId="564DCAB8" w14:textId="77777777" w:rsidR="00830EE1" w:rsidRDefault="00830EE1" w:rsidP="00830EE1">
      <w:pPr>
        <w:pStyle w:val="notepara"/>
        <w:rPr>
          <w:szCs w:val="18"/>
        </w:rPr>
      </w:pPr>
      <w:r>
        <w:rPr>
          <w:szCs w:val="18"/>
        </w:rPr>
        <w:t>(f)</w:t>
      </w:r>
      <w:r>
        <w:rPr>
          <w:szCs w:val="18"/>
        </w:rPr>
        <w:tab/>
        <w:t xml:space="preserve">designated State/Territory training </w:t>
      </w:r>
      <w:proofErr w:type="gramStart"/>
      <w:r>
        <w:rPr>
          <w:szCs w:val="18"/>
        </w:rPr>
        <w:t>authority;</w:t>
      </w:r>
      <w:proofErr w:type="gramEnd"/>
    </w:p>
    <w:p w14:paraId="0166E611" w14:textId="77777777" w:rsidR="00830EE1" w:rsidRDefault="00830EE1" w:rsidP="00830EE1">
      <w:pPr>
        <w:pStyle w:val="notepara"/>
        <w:rPr>
          <w:szCs w:val="18"/>
        </w:rPr>
      </w:pPr>
      <w:r>
        <w:rPr>
          <w:szCs w:val="18"/>
        </w:rPr>
        <w:t>(g)</w:t>
      </w:r>
      <w:r>
        <w:rPr>
          <w:szCs w:val="18"/>
        </w:rPr>
        <w:tab/>
        <w:t xml:space="preserve">income tax </w:t>
      </w:r>
      <w:proofErr w:type="gramStart"/>
      <w:r>
        <w:rPr>
          <w:szCs w:val="18"/>
        </w:rPr>
        <w:t>law;</w:t>
      </w:r>
      <w:proofErr w:type="gramEnd"/>
    </w:p>
    <w:p w14:paraId="6394B8E5" w14:textId="77777777" w:rsidR="00830EE1" w:rsidRPr="00B400D5" w:rsidRDefault="00830EE1" w:rsidP="00830EE1">
      <w:pPr>
        <w:pStyle w:val="notepara"/>
        <w:rPr>
          <w:szCs w:val="18"/>
        </w:rPr>
      </w:pPr>
      <w:r>
        <w:rPr>
          <w:szCs w:val="18"/>
        </w:rPr>
        <w:t>(h)</w:t>
      </w:r>
      <w:r>
        <w:rPr>
          <w:szCs w:val="18"/>
        </w:rPr>
        <w:tab/>
        <w:t xml:space="preserve">income </w:t>
      </w:r>
      <w:proofErr w:type="gramStart"/>
      <w:r>
        <w:rPr>
          <w:szCs w:val="18"/>
        </w:rPr>
        <w:t>year;</w:t>
      </w:r>
      <w:proofErr w:type="gramEnd"/>
    </w:p>
    <w:p w14:paraId="5B86152A" w14:textId="77777777" w:rsidR="00830EE1" w:rsidRDefault="00830EE1" w:rsidP="00830EE1">
      <w:pPr>
        <w:pStyle w:val="notepara"/>
        <w:rPr>
          <w:szCs w:val="18"/>
        </w:rPr>
      </w:pPr>
      <w:r w:rsidRPr="00B400D5">
        <w:rPr>
          <w:szCs w:val="18"/>
        </w:rPr>
        <w:t>(</w:t>
      </w:r>
      <w:proofErr w:type="spellStart"/>
      <w:r>
        <w:rPr>
          <w:szCs w:val="18"/>
        </w:rPr>
        <w:t>i</w:t>
      </w:r>
      <w:proofErr w:type="spellEnd"/>
      <w:r w:rsidRPr="00B400D5">
        <w:rPr>
          <w:szCs w:val="18"/>
        </w:rPr>
        <w:t>)</w:t>
      </w:r>
      <w:r w:rsidRPr="00B400D5">
        <w:rPr>
          <w:szCs w:val="18"/>
        </w:rPr>
        <w:tab/>
      </w:r>
      <w:r>
        <w:rPr>
          <w:szCs w:val="18"/>
        </w:rPr>
        <w:t>i</w:t>
      </w:r>
      <w:r w:rsidRPr="00B400D5">
        <w:rPr>
          <w:szCs w:val="18"/>
        </w:rPr>
        <w:t xml:space="preserve">nstalment </w:t>
      </w:r>
      <w:proofErr w:type="gramStart"/>
      <w:r w:rsidRPr="00B400D5">
        <w:rPr>
          <w:szCs w:val="18"/>
        </w:rPr>
        <w:t>period;</w:t>
      </w:r>
      <w:proofErr w:type="gramEnd"/>
    </w:p>
    <w:p w14:paraId="41E6C7BF" w14:textId="77777777" w:rsidR="00830EE1" w:rsidRPr="00B400D5" w:rsidRDefault="00830EE1" w:rsidP="00830EE1">
      <w:pPr>
        <w:pStyle w:val="notepara"/>
        <w:rPr>
          <w:szCs w:val="18"/>
        </w:rPr>
      </w:pPr>
      <w:r>
        <w:rPr>
          <w:szCs w:val="18"/>
        </w:rPr>
        <w:t>(j)</w:t>
      </w:r>
      <w:r>
        <w:rPr>
          <w:szCs w:val="18"/>
        </w:rPr>
        <w:tab/>
        <w:t xml:space="preserve">minimum repayment </w:t>
      </w:r>
      <w:proofErr w:type="gramStart"/>
      <w:r>
        <w:rPr>
          <w:szCs w:val="18"/>
        </w:rPr>
        <w:t>income;</w:t>
      </w:r>
      <w:proofErr w:type="gramEnd"/>
      <w:r w:rsidRPr="00B400D5">
        <w:rPr>
          <w:szCs w:val="18"/>
        </w:rPr>
        <w:t xml:space="preserve"> </w:t>
      </w:r>
    </w:p>
    <w:p w14:paraId="4D89BBE8" w14:textId="77777777" w:rsidR="00830EE1" w:rsidRDefault="00830EE1" w:rsidP="00830EE1">
      <w:pPr>
        <w:pStyle w:val="notepara"/>
        <w:rPr>
          <w:szCs w:val="18"/>
        </w:rPr>
      </w:pPr>
      <w:r w:rsidRPr="00B400D5">
        <w:rPr>
          <w:szCs w:val="18"/>
        </w:rPr>
        <w:t>(</w:t>
      </w:r>
      <w:r>
        <w:rPr>
          <w:szCs w:val="18"/>
        </w:rPr>
        <w:t>k</w:t>
      </w:r>
      <w:r w:rsidRPr="00B400D5">
        <w:rPr>
          <w:szCs w:val="18"/>
        </w:rPr>
        <w:t>)</w:t>
      </w:r>
      <w:r>
        <w:rPr>
          <w:szCs w:val="18"/>
        </w:rPr>
        <w:tab/>
        <w:t>q</w:t>
      </w:r>
      <w:r w:rsidRPr="00B400D5">
        <w:rPr>
          <w:szCs w:val="18"/>
        </w:rPr>
        <w:t xml:space="preserve">ualifying </w:t>
      </w:r>
      <w:proofErr w:type="gramStart"/>
      <w:r w:rsidRPr="00B400D5">
        <w:rPr>
          <w:szCs w:val="18"/>
        </w:rPr>
        <w:t>apprenticeship</w:t>
      </w:r>
      <w:r>
        <w:rPr>
          <w:szCs w:val="18"/>
        </w:rPr>
        <w:t>;</w:t>
      </w:r>
      <w:proofErr w:type="gramEnd"/>
    </w:p>
    <w:p w14:paraId="37FAA519" w14:textId="77777777" w:rsidR="00830EE1" w:rsidRDefault="00830EE1" w:rsidP="00830EE1">
      <w:pPr>
        <w:pStyle w:val="notepara"/>
        <w:rPr>
          <w:szCs w:val="18"/>
        </w:rPr>
      </w:pPr>
      <w:r>
        <w:rPr>
          <w:szCs w:val="18"/>
        </w:rPr>
        <w:t>(l)</w:t>
      </w:r>
      <w:r>
        <w:rPr>
          <w:szCs w:val="18"/>
        </w:rPr>
        <w:tab/>
        <w:t xml:space="preserve">relevant instalment </w:t>
      </w:r>
      <w:proofErr w:type="gramStart"/>
      <w:r>
        <w:rPr>
          <w:szCs w:val="18"/>
        </w:rPr>
        <w:t>period;</w:t>
      </w:r>
      <w:proofErr w:type="gramEnd"/>
    </w:p>
    <w:p w14:paraId="30DCACF5" w14:textId="77777777" w:rsidR="00830EE1" w:rsidRDefault="00830EE1" w:rsidP="00830EE1">
      <w:pPr>
        <w:pStyle w:val="notepara"/>
        <w:rPr>
          <w:szCs w:val="18"/>
        </w:rPr>
      </w:pPr>
      <w:r>
        <w:rPr>
          <w:szCs w:val="18"/>
        </w:rPr>
        <w:t>(m)</w:t>
      </w:r>
      <w:r>
        <w:rPr>
          <w:szCs w:val="18"/>
        </w:rPr>
        <w:tab/>
      </w:r>
      <w:proofErr w:type="gramStart"/>
      <w:r>
        <w:rPr>
          <w:szCs w:val="18"/>
        </w:rPr>
        <w:t>Secretary;</w:t>
      </w:r>
      <w:proofErr w:type="gramEnd"/>
    </w:p>
    <w:p w14:paraId="1CE40594" w14:textId="77777777" w:rsidR="00830EE1" w:rsidRPr="00B400D5" w:rsidRDefault="00830EE1" w:rsidP="00830EE1">
      <w:pPr>
        <w:pStyle w:val="notepara"/>
        <w:rPr>
          <w:szCs w:val="18"/>
        </w:rPr>
      </w:pPr>
      <w:r w:rsidRPr="00B400D5">
        <w:rPr>
          <w:szCs w:val="18"/>
        </w:rPr>
        <w:lastRenderedPageBreak/>
        <w:t>(</w:t>
      </w:r>
      <w:r>
        <w:rPr>
          <w:szCs w:val="18"/>
        </w:rPr>
        <w:t>n</w:t>
      </w:r>
      <w:r w:rsidRPr="00B400D5">
        <w:rPr>
          <w:szCs w:val="18"/>
        </w:rPr>
        <w:t>)</w:t>
      </w:r>
      <w:r w:rsidRPr="00B400D5">
        <w:rPr>
          <w:szCs w:val="18"/>
        </w:rPr>
        <w:tab/>
      </w:r>
      <w:r>
        <w:rPr>
          <w:szCs w:val="18"/>
        </w:rPr>
        <w:t>undertaking</w:t>
      </w:r>
      <w:r w:rsidRPr="00B400D5">
        <w:rPr>
          <w:szCs w:val="18"/>
        </w:rPr>
        <w:t>.</w:t>
      </w:r>
    </w:p>
    <w:p w14:paraId="14663EE9" w14:textId="77777777" w:rsidR="00830EE1" w:rsidRPr="00B400D5" w:rsidRDefault="00830EE1" w:rsidP="00830EE1">
      <w:pPr>
        <w:pStyle w:val="subsection"/>
      </w:pPr>
      <w:r w:rsidRPr="00B400D5">
        <w:tab/>
      </w:r>
      <w:r w:rsidRPr="00B400D5">
        <w:tab/>
        <w:t>In this instrument:</w:t>
      </w:r>
    </w:p>
    <w:p w14:paraId="31882AF1" w14:textId="77777777" w:rsidR="00830EE1" w:rsidRPr="00B400D5" w:rsidRDefault="00830EE1" w:rsidP="00830EE1">
      <w:pPr>
        <w:spacing w:before="120" w:after="120" w:line="260" w:lineRule="exact"/>
        <w:ind w:left="1162"/>
        <w:rPr>
          <w:rFonts w:eastAsia="Times New Roman" w:cs="Times New Roman"/>
          <w:szCs w:val="22"/>
          <w:lang w:eastAsia="en-AU"/>
        </w:rPr>
      </w:pPr>
      <w:r w:rsidRPr="00B400D5">
        <w:rPr>
          <w:rFonts w:eastAsia="Times New Roman" w:cs="Times New Roman"/>
          <w:b/>
          <w:i/>
          <w:szCs w:val="22"/>
          <w:lang w:eastAsia="en-AU"/>
        </w:rPr>
        <w:t>Act</w:t>
      </w:r>
      <w:r w:rsidRPr="00B400D5">
        <w:rPr>
          <w:rFonts w:eastAsia="Times New Roman" w:cs="Times New Roman"/>
          <w:szCs w:val="22"/>
          <w:lang w:eastAsia="en-AU"/>
        </w:rPr>
        <w:t xml:space="preserve"> means the </w:t>
      </w:r>
      <w:r w:rsidRPr="00B400D5">
        <w:rPr>
          <w:rFonts w:eastAsia="Times New Roman" w:cs="Times New Roman"/>
          <w:i/>
          <w:szCs w:val="22"/>
          <w:lang w:eastAsia="en-AU"/>
        </w:rPr>
        <w:t>Australian Apprenticeship Support Loans Act 20</w:t>
      </w:r>
      <w:r>
        <w:rPr>
          <w:rFonts w:eastAsia="Times New Roman" w:cs="Times New Roman"/>
          <w:i/>
          <w:szCs w:val="22"/>
          <w:lang w:eastAsia="en-AU"/>
        </w:rPr>
        <w:t>14</w:t>
      </w:r>
      <w:r w:rsidRPr="00B400D5">
        <w:rPr>
          <w:rFonts w:eastAsia="Times New Roman" w:cs="Times New Roman"/>
          <w:szCs w:val="22"/>
          <w:lang w:eastAsia="en-AU"/>
        </w:rPr>
        <w:t>.</w:t>
      </w:r>
    </w:p>
    <w:p w14:paraId="4FE41F2A" w14:textId="77777777" w:rsidR="00830EE1" w:rsidRPr="008E0E9F" w:rsidRDefault="00830EE1" w:rsidP="00830EE1">
      <w:pPr>
        <w:spacing w:before="120" w:after="120" w:line="260" w:lineRule="exact"/>
        <w:ind w:left="1162"/>
      </w:pPr>
      <w:r>
        <w:rPr>
          <w:rFonts w:eastAsia="Times New Roman" w:cs="Times New Roman"/>
          <w:b/>
          <w:i/>
          <w:szCs w:val="22"/>
          <w:lang w:eastAsia="en-AU"/>
        </w:rPr>
        <w:t xml:space="preserve">approved </w:t>
      </w:r>
      <w:r w:rsidRPr="00B400D5">
        <w:rPr>
          <w:rFonts w:eastAsia="Times New Roman" w:cs="Times New Roman"/>
          <w:b/>
          <w:i/>
          <w:szCs w:val="22"/>
          <w:lang w:eastAsia="en-AU"/>
        </w:rPr>
        <w:t>training contract</w:t>
      </w:r>
      <w:r w:rsidRPr="00B400D5">
        <w:rPr>
          <w:rFonts w:eastAsia="Times New Roman" w:cs="Times New Roman"/>
          <w:szCs w:val="22"/>
          <w:lang w:eastAsia="en-AU"/>
        </w:rPr>
        <w:t xml:space="preserve"> means</w:t>
      </w:r>
      <w:r>
        <w:rPr>
          <w:rFonts w:eastAsia="Times New Roman" w:cs="Times New Roman"/>
          <w:szCs w:val="22"/>
          <w:lang w:eastAsia="en-AU"/>
        </w:rPr>
        <w:t xml:space="preserve"> a training contract that has been approved</w:t>
      </w:r>
      <w:r w:rsidRPr="00B400D5">
        <w:rPr>
          <w:rFonts w:eastAsia="Times New Roman" w:cs="Times New Roman"/>
          <w:szCs w:val="22"/>
          <w:lang w:eastAsia="en-AU"/>
        </w:rPr>
        <w:t xml:space="preserve"> </w:t>
      </w:r>
      <w:r>
        <w:t>by a designated State/Territory training authority.</w:t>
      </w:r>
    </w:p>
    <w:p w14:paraId="7D8C7043" w14:textId="77777777" w:rsidR="00830EE1" w:rsidRPr="00226204" w:rsidRDefault="00830EE1" w:rsidP="00830EE1">
      <w:pPr>
        <w:spacing w:before="120" w:after="120" w:line="260" w:lineRule="exact"/>
        <w:ind w:left="1162"/>
        <w:rPr>
          <w:rFonts w:eastAsia="Times New Roman" w:cs="Times New Roman"/>
          <w:lang w:eastAsia="en-AU"/>
        </w:rPr>
      </w:pPr>
      <w:r>
        <w:rPr>
          <w:rFonts w:eastAsia="Times New Roman" w:cs="Times New Roman"/>
          <w:b/>
          <w:bCs/>
          <w:i/>
          <w:iCs/>
          <w:lang w:eastAsia="en-AU"/>
        </w:rPr>
        <w:t xml:space="preserve">assessable income </w:t>
      </w:r>
      <w:r>
        <w:rPr>
          <w:rFonts w:eastAsia="Times New Roman" w:cs="Times New Roman"/>
          <w:lang w:eastAsia="en-AU"/>
        </w:rPr>
        <w:t>h</w:t>
      </w:r>
      <w:r>
        <w:rPr>
          <w:rFonts w:eastAsia="Times New Roman" w:cs="Times New Roman"/>
          <w:szCs w:val="22"/>
          <w:lang w:eastAsia="en-AU"/>
        </w:rPr>
        <w:t xml:space="preserve">as the same meaning as in </w:t>
      </w:r>
      <w:r>
        <w:rPr>
          <w:color w:val="000000"/>
          <w:szCs w:val="22"/>
          <w:shd w:val="clear" w:color="auto" w:fill="FFFFFF"/>
        </w:rPr>
        <w:t>subsection 995</w:t>
      </w:r>
      <w:r>
        <w:rPr>
          <w:color w:val="000000"/>
          <w:szCs w:val="22"/>
          <w:shd w:val="clear" w:color="auto" w:fill="FFFFFF"/>
        </w:rPr>
        <w:noBreakHyphen/>
        <w:t xml:space="preserve">1(1) of </w:t>
      </w:r>
      <w:r>
        <w:rPr>
          <w:rFonts w:eastAsia="Times New Roman" w:cs="Times New Roman"/>
          <w:szCs w:val="22"/>
          <w:lang w:eastAsia="en-AU"/>
        </w:rPr>
        <w:t xml:space="preserve">the </w:t>
      </w:r>
      <w:r>
        <w:rPr>
          <w:rFonts w:eastAsia="Times New Roman" w:cs="Times New Roman"/>
          <w:i/>
          <w:iCs/>
          <w:szCs w:val="22"/>
          <w:lang w:eastAsia="en-AU"/>
        </w:rPr>
        <w:t>Income Tax Assessment Act 1997</w:t>
      </w:r>
      <w:r>
        <w:rPr>
          <w:rFonts w:eastAsia="Times New Roman" w:cs="Times New Roman"/>
          <w:szCs w:val="22"/>
          <w:lang w:eastAsia="en-AU"/>
        </w:rPr>
        <w:t>.</w:t>
      </w:r>
    </w:p>
    <w:p w14:paraId="0FBBAAA9" w14:textId="77777777" w:rsidR="00830EE1" w:rsidRDefault="00830EE1" w:rsidP="00830EE1">
      <w:pPr>
        <w:spacing w:before="120" w:after="120" w:line="260" w:lineRule="exact"/>
        <w:ind w:left="1162"/>
        <w:rPr>
          <w:rFonts w:eastAsia="Times New Roman" w:cs="Times New Roman"/>
          <w:lang w:eastAsia="en-AU"/>
        </w:rPr>
      </w:pPr>
      <w:r w:rsidRPr="7B6C272A">
        <w:rPr>
          <w:rFonts w:eastAsia="Times New Roman" w:cs="Times New Roman"/>
          <w:b/>
          <w:bCs/>
          <w:i/>
          <w:iCs/>
          <w:lang w:eastAsia="en-AU"/>
        </w:rPr>
        <w:t>ATO Occupation Code</w:t>
      </w:r>
      <w:r w:rsidRPr="7B6C272A">
        <w:rPr>
          <w:rFonts w:eastAsia="Times New Roman" w:cs="Times New Roman"/>
          <w:lang w:eastAsia="en-AU"/>
        </w:rPr>
        <w:t xml:space="preserve"> means the document entitled </w:t>
      </w:r>
      <w:r>
        <w:rPr>
          <w:rFonts w:eastAsia="Times New Roman" w:cs="Times New Roman"/>
          <w:lang w:eastAsia="en-AU"/>
        </w:rPr>
        <w:t>“</w:t>
      </w:r>
      <w:r w:rsidRPr="7B6C272A">
        <w:rPr>
          <w:rFonts w:eastAsia="Times New Roman" w:cs="Times New Roman"/>
          <w:lang w:eastAsia="en-AU"/>
        </w:rPr>
        <w:t>Salary and wage occupation codes 2023</w:t>
      </w:r>
      <w:r>
        <w:rPr>
          <w:rFonts w:eastAsia="Times New Roman" w:cs="Times New Roman"/>
          <w:lang w:eastAsia="en-AU"/>
        </w:rPr>
        <w:t xml:space="preserve">” that </w:t>
      </w:r>
      <w:r w:rsidRPr="7B6C272A">
        <w:rPr>
          <w:rFonts w:eastAsia="Times New Roman" w:cs="Times New Roman"/>
          <w:lang w:eastAsia="en-AU"/>
        </w:rPr>
        <w:t>the Australian Taxation Office</w:t>
      </w:r>
      <w:r>
        <w:rPr>
          <w:rFonts w:eastAsia="Times New Roman" w:cs="Times New Roman"/>
          <w:lang w:eastAsia="en-AU"/>
        </w:rPr>
        <w:t xml:space="preserve"> published</w:t>
      </w:r>
      <w:r w:rsidRPr="7B6C272A">
        <w:rPr>
          <w:rFonts w:eastAsia="Times New Roman" w:cs="Times New Roman"/>
          <w:lang w:eastAsia="en-AU"/>
        </w:rPr>
        <w:t xml:space="preserve"> in 2023. </w:t>
      </w:r>
    </w:p>
    <w:p w14:paraId="2D8ED3A9" w14:textId="77777777" w:rsidR="00830EE1" w:rsidRPr="00B400D5" w:rsidRDefault="00830EE1" w:rsidP="00830EE1">
      <w:pPr>
        <w:pStyle w:val="notetext"/>
      </w:pPr>
      <w:r w:rsidRPr="00B400D5">
        <w:rPr>
          <w:snapToGrid w:val="0"/>
          <w:lang w:eastAsia="en-US"/>
        </w:rPr>
        <w:t>Note:</w:t>
      </w:r>
      <w:r w:rsidRPr="00B400D5">
        <w:rPr>
          <w:snapToGrid w:val="0"/>
          <w:lang w:eastAsia="en-US"/>
        </w:rPr>
        <w:tab/>
      </w:r>
      <w:r>
        <w:rPr>
          <w:snapToGrid w:val="0"/>
          <w:lang w:eastAsia="en-US"/>
        </w:rPr>
        <w:t>In 2023, the s</w:t>
      </w:r>
      <w:r w:rsidRPr="00601296">
        <w:rPr>
          <w:snapToGrid w:val="0"/>
          <w:lang w:eastAsia="en-US"/>
        </w:rPr>
        <w:t>alary and wage occupation codes 2023</w:t>
      </w:r>
      <w:r w:rsidRPr="7B6C272A">
        <w:rPr>
          <w:i/>
          <w:iCs/>
          <w:snapToGrid w:val="0"/>
          <w:lang w:eastAsia="en-US"/>
        </w:rPr>
        <w:t xml:space="preserve"> </w:t>
      </w:r>
      <w:r>
        <w:rPr>
          <w:snapToGrid w:val="0"/>
          <w:lang w:eastAsia="en-US"/>
        </w:rPr>
        <w:t xml:space="preserve">could be accessed at </w:t>
      </w:r>
      <w:r>
        <w:t xml:space="preserve">  ato.gov.au/forms/Salary-and-wage-occupation-codes-2023/. </w:t>
      </w:r>
    </w:p>
    <w:p w14:paraId="5B5AD20F" w14:textId="77777777" w:rsidR="00830EE1" w:rsidRPr="00B400D5" w:rsidRDefault="00830EE1" w:rsidP="00830EE1">
      <w:pPr>
        <w:spacing w:before="120" w:after="120" w:line="260" w:lineRule="exact"/>
        <w:ind w:left="1162"/>
      </w:pPr>
      <w:r>
        <w:rPr>
          <w:rFonts w:eastAsia="Times New Roman" w:cs="Times New Roman"/>
          <w:b/>
          <w:i/>
          <w:szCs w:val="22"/>
          <w:lang w:eastAsia="en-AU"/>
        </w:rPr>
        <w:t xml:space="preserve">Australian Qualifications Framework </w:t>
      </w:r>
      <w:r>
        <w:rPr>
          <w:rFonts w:eastAsia="Times New Roman" w:cs="Times New Roman"/>
          <w:bCs/>
          <w:iCs/>
          <w:szCs w:val="22"/>
          <w:lang w:eastAsia="en-AU"/>
        </w:rPr>
        <w:t xml:space="preserve">has the same meaning as in section 6 of the </w:t>
      </w:r>
      <w:r w:rsidRPr="00226204">
        <w:rPr>
          <w:rFonts w:eastAsia="Times New Roman" w:cs="Times New Roman"/>
          <w:bCs/>
          <w:i/>
          <w:szCs w:val="22"/>
          <w:lang w:eastAsia="en-AU"/>
        </w:rPr>
        <w:t>VET Student Loans Act 2016</w:t>
      </w:r>
      <w:r>
        <w:rPr>
          <w:rFonts w:eastAsia="Times New Roman" w:cs="Times New Roman"/>
          <w:bCs/>
          <w:iCs/>
          <w:szCs w:val="22"/>
          <w:lang w:eastAsia="en-AU"/>
        </w:rPr>
        <w:t xml:space="preserve">. </w:t>
      </w:r>
    </w:p>
    <w:p w14:paraId="46397738" w14:textId="77777777" w:rsidR="00830EE1" w:rsidRPr="006E39E3" w:rsidRDefault="00830EE1" w:rsidP="00830EE1">
      <w:pPr>
        <w:spacing w:before="120" w:after="120" w:line="260" w:lineRule="exact"/>
        <w:ind w:left="1162"/>
        <w:rPr>
          <w:rFonts w:eastAsia="Times New Roman" w:cs="Times New Roman"/>
          <w:szCs w:val="22"/>
          <w:lang w:eastAsia="en-AU"/>
        </w:rPr>
      </w:pPr>
      <w:r>
        <w:rPr>
          <w:rFonts w:eastAsia="Times New Roman" w:cs="Times New Roman"/>
          <w:b/>
          <w:i/>
          <w:szCs w:val="22"/>
          <w:lang w:eastAsia="en-AU"/>
        </w:rPr>
        <w:t>Australian source</w:t>
      </w:r>
      <w:r w:rsidRPr="001409EB">
        <w:rPr>
          <w:rFonts w:eastAsia="Times New Roman" w:cs="Times New Roman"/>
          <w:szCs w:val="22"/>
          <w:lang w:eastAsia="en-AU"/>
        </w:rPr>
        <w:t xml:space="preserve"> </w:t>
      </w:r>
      <w:r>
        <w:rPr>
          <w:rFonts w:eastAsia="Times New Roman" w:cs="Times New Roman"/>
          <w:szCs w:val="22"/>
          <w:lang w:eastAsia="en-AU"/>
        </w:rPr>
        <w:t xml:space="preserve">has the same meaning as in </w:t>
      </w:r>
      <w:r>
        <w:rPr>
          <w:color w:val="000000"/>
          <w:szCs w:val="22"/>
          <w:shd w:val="clear" w:color="auto" w:fill="FFFFFF"/>
        </w:rPr>
        <w:t>subsection 995</w:t>
      </w:r>
      <w:r>
        <w:rPr>
          <w:color w:val="000000"/>
          <w:szCs w:val="22"/>
          <w:shd w:val="clear" w:color="auto" w:fill="FFFFFF"/>
        </w:rPr>
        <w:noBreakHyphen/>
        <w:t xml:space="preserve">1(1) of the </w:t>
      </w:r>
      <w:r>
        <w:rPr>
          <w:rFonts w:eastAsia="Times New Roman" w:cs="Times New Roman"/>
          <w:i/>
          <w:iCs/>
          <w:szCs w:val="22"/>
          <w:lang w:eastAsia="en-AU"/>
        </w:rPr>
        <w:t>Income Tax Assessment Act 1997</w:t>
      </w:r>
      <w:r>
        <w:rPr>
          <w:rFonts w:eastAsia="Times New Roman" w:cs="Times New Roman"/>
          <w:szCs w:val="22"/>
          <w:lang w:eastAsia="en-AU"/>
        </w:rPr>
        <w:t>.</w:t>
      </w:r>
    </w:p>
    <w:p w14:paraId="259F7D28" w14:textId="77777777" w:rsidR="00830EE1" w:rsidRPr="001216C3" w:rsidRDefault="00830EE1" w:rsidP="00830EE1">
      <w:pPr>
        <w:spacing w:before="120" w:after="120" w:line="260" w:lineRule="exact"/>
        <w:ind w:left="1162"/>
        <w:rPr>
          <w:rFonts w:cs="Times New Roman"/>
          <w:lang w:eastAsia="en-AU"/>
        </w:rPr>
      </w:pPr>
      <w:r w:rsidRPr="00CB764E">
        <w:rPr>
          <w:rFonts w:eastAsia="Times New Roman" w:cs="Times New Roman"/>
          <w:b/>
          <w:bCs/>
          <w:i/>
          <w:iCs/>
          <w:lang w:eastAsia="en-AU"/>
        </w:rPr>
        <w:t>commencement date</w:t>
      </w:r>
      <w:r w:rsidRPr="00CB764E">
        <w:rPr>
          <w:rFonts w:eastAsia="Times New Roman" w:cs="Times New Roman"/>
          <w:i/>
          <w:iCs/>
          <w:lang w:eastAsia="en-AU"/>
        </w:rPr>
        <w:t xml:space="preserve"> </w:t>
      </w:r>
      <w:r w:rsidRPr="00CB764E">
        <w:rPr>
          <w:rFonts w:eastAsia="Times New Roman" w:cs="Times New Roman"/>
          <w:lang w:eastAsia="en-AU"/>
        </w:rPr>
        <w:t>means the da</w:t>
      </w:r>
      <w:r>
        <w:rPr>
          <w:rFonts w:eastAsia="Times New Roman" w:cs="Times New Roman"/>
          <w:lang w:eastAsia="en-AU"/>
        </w:rPr>
        <w:t>y on which a person is taken to have commenced employment under an approved training contract, as notified to the Secretary or the Department by a designated State/Territory training authority.</w:t>
      </w:r>
    </w:p>
    <w:p w14:paraId="72912AE4" w14:textId="77777777" w:rsidR="00830EE1" w:rsidRPr="00226204" w:rsidRDefault="00830EE1" w:rsidP="00830EE1">
      <w:pPr>
        <w:spacing w:before="120" w:after="120" w:line="260" w:lineRule="exact"/>
        <w:ind w:left="1162"/>
        <w:rPr>
          <w:rFonts w:eastAsia="Times New Roman" w:cs="Times New Roman"/>
          <w:bCs/>
          <w:iCs/>
          <w:szCs w:val="22"/>
          <w:lang w:eastAsia="en-AU"/>
        </w:rPr>
      </w:pPr>
      <w:r>
        <w:rPr>
          <w:rFonts w:eastAsia="Times New Roman" w:cs="Times New Roman"/>
          <w:b/>
          <w:i/>
          <w:szCs w:val="22"/>
          <w:lang w:eastAsia="en-AU"/>
        </w:rPr>
        <w:t xml:space="preserve">financial year </w:t>
      </w:r>
      <w:r>
        <w:rPr>
          <w:rFonts w:eastAsia="Times New Roman" w:cs="Times New Roman"/>
          <w:bCs/>
          <w:iCs/>
          <w:szCs w:val="22"/>
          <w:lang w:eastAsia="en-AU"/>
        </w:rPr>
        <w:t>h</w:t>
      </w:r>
      <w:r>
        <w:rPr>
          <w:rFonts w:eastAsia="Times New Roman" w:cs="Times New Roman"/>
          <w:szCs w:val="22"/>
          <w:lang w:eastAsia="en-AU"/>
        </w:rPr>
        <w:t xml:space="preserve">as the same meaning as in </w:t>
      </w:r>
      <w:r>
        <w:rPr>
          <w:color w:val="000000"/>
          <w:szCs w:val="22"/>
          <w:shd w:val="clear" w:color="auto" w:fill="FFFFFF"/>
        </w:rPr>
        <w:t>subsection 995</w:t>
      </w:r>
      <w:r>
        <w:rPr>
          <w:color w:val="000000"/>
          <w:szCs w:val="22"/>
          <w:shd w:val="clear" w:color="auto" w:fill="FFFFFF"/>
        </w:rPr>
        <w:noBreakHyphen/>
        <w:t xml:space="preserve">1(1) of the </w:t>
      </w:r>
      <w:r>
        <w:rPr>
          <w:rFonts w:eastAsia="Times New Roman" w:cs="Times New Roman"/>
          <w:i/>
          <w:iCs/>
          <w:szCs w:val="22"/>
          <w:lang w:eastAsia="en-AU"/>
        </w:rPr>
        <w:t>Income Tax Assessment Act 1997</w:t>
      </w:r>
      <w:r>
        <w:rPr>
          <w:rFonts w:eastAsia="Times New Roman" w:cs="Times New Roman"/>
          <w:szCs w:val="22"/>
          <w:lang w:eastAsia="en-AU"/>
        </w:rPr>
        <w:t>.</w:t>
      </w:r>
    </w:p>
    <w:p w14:paraId="462751FB" w14:textId="77777777" w:rsidR="00830EE1" w:rsidRPr="00D01645" w:rsidRDefault="00830EE1" w:rsidP="00830EE1">
      <w:pPr>
        <w:spacing w:before="120" w:after="120" w:line="260" w:lineRule="exact"/>
        <w:ind w:left="1162"/>
        <w:rPr>
          <w:rFonts w:eastAsia="Times New Roman" w:cs="Times New Roman"/>
          <w:szCs w:val="22"/>
          <w:lang w:eastAsia="en-AU"/>
        </w:rPr>
      </w:pPr>
      <w:r w:rsidRPr="00B400D5">
        <w:rPr>
          <w:rFonts w:eastAsia="Times New Roman" w:cs="Times New Roman"/>
          <w:b/>
          <w:i/>
          <w:szCs w:val="22"/>
          <w:lang w:eastAsia="en-AU"/>
        </w:rPr>
        <w:t>foreign currency</w:t>
      </w:r>
      <w:r w:rsidRPr="00B400D5">
        <w:rPr>
          <w:rFonts w:eastAsia="Times New Roman" w:cs="Times New Roman"/>
          <w:szCs w:val="22"/>
          <w:lang w:eastAsia="en-AU"/>
        </w:rPr>
        <w:t xml:space="preserve"> </w:t>
      </w:r>
      <w:r>
        <w:rPr>
          <w:rFonts w:eastAsia="Times New Roman" w:cs="Times New Roman"/>
          <w:szCs w:val="22"/>
          <w:lang w:eastAsia="en-AU"/>
        </w:rPr>
        <w:t xml:space="preserve">has the same meaning as in </w:t>
      </w:r>
      <w:r>
        <w:rPr>
          <w:color w:val="000000"/>
          <w:szCs w:val="22"/>
          <w:shd w:val="clear" w:color="auto" w:fill="FFFFFF"/>
        </w:rPr>
        <w:t>subsection 995</w:t>
      </w:r>
      <w:r>
        <w:rPr>
          <w:color w:val="000000"/>
          <w:szCs w:val="22"/>
          <w:shd w:val="clear" w:color="auto" w:fill="FFFFFF"/>
        </w:rPr>
        <w:noBreakHyphen/>
        <w:t xml:space="preserve">1(1) of </w:t>
      </w:r>
      <w:r>
        <w:rPr>
          <w:rFonts w:eastAsia="Times New Roman" w:cs="Times New Roman"/>
          <w:szCs w:val="22"/>
          <w:lang w:eastAsia="en-AU"/>
        </w:rPr>
        <w:t xml:space="preserve">the </w:t>
      </w:r>
      <w:r>
        <w:rPr>
          <w:rFonts w:eastAsia="Times New Roman" w:cs="Times New Roman"/>
          <w:i/>
          <w:iCs/>
          <w:szCs w:val="22"/>
          <w:lang w:eastAsia="en-AU"/>
        </w:rPr>
        <w:t>Income Tax Assessment Act 1997</w:t>
      </w:r>
      <w:r>
        <w:rPr>
          <w:rFonts w:eastAsia="Times New Roman" w:cs="Times New Roman"/>
          <w:szCs w:val="22"/>
          <w:lang w:eastAsia="en-AU"/>
        </w:rPr>
        <w:t>.</w:t>
      </w:r>
    </w:p>
    <w:p w14:paraId="6D80EC6A" w14:textId="77777777" w:rsidR="00830EE1" w:rsidRDefault="00830EE1" w:rsidP="00830EE1">
      <w:pPr>
        <w:spacing w:before="120" w:after="120" w:line="260" w:lineRule="exact"/>
        <w:ind w:left="1162"/>
        <w:rPr>
          <w:rFonts w:eastAsia="Times New Roman" w:cs="Times New Roman"/>
          <w:lang w:eastAsia="en-AU"/>
        </w:rPr>
      </w:pPr>
      <w:r w:rsidRPr="7B6C272A">
        <w:rPr>
          <w:rFonts w:eastAsia="Times New Roman" w:cs="Times New Roman"/>
          <w:b/>
          <w:bCs/>
          <w:i/>
          <w:iCs/>
          <w:lang w:eastAsia="en-AU"/>
        </w:rPr>
        <w:t xml:space="preserve">in gaol </w:t>
      </w:r>
      <w:r w:rsidRPr="7B6C272A">
        <w:rPr>
          <w:rFonts w:eastAsia="Times New Roman" w:cs="Times New Roman"/>
          <w:lang w:eastAsia="en-AU"/>
        </w:rPr>
        <w:t xml:space="preserve">has the same meaning as in the </w:t>
      </w:r>
      <w:r w:rsidRPr="7B6C272A">
        <w:rPr>
          <w:rFonts w:eastAsia="Times New Roman" w:cs="Times New Roman"/>
          <w:i/>
          <w:iCs/>
          <w:lang w:eastAsia="en-AU"/>
        </w:rPr>
        <w:t>Social Security Act 1991</w:t>
      </w:r>
      <w:r w:rsidRPr="7B6C272A">
        <w:rPr>
          <w:rFonts w:eastAsia="Times New Roman" w:cs="Times New Roman"/>
          <w:lang w:eastAsia="en-AU"/>
        </w:rPr>
        <w:t>.</w:t>
      </w:r>
    </w:p>
    <w:p w14:paraId="05FA7D5F" w14:textId="77777777" w:rsidR="00830EE1" w:rsidRPr="00E55DB6" w:rsidRDefault="00830EE1" w:rsidP="00830EE1">
      <w:pPr>
        <w:spacing w:before="120" w:after="120" w:line="260" w:lineRule="exact"/>
        <w:ind w:left="1162"/>
        <w:rPr>
          <w:rFonts w:eastAsia="Times New Roman" w:cs="Times New Roman"/>
          <w:lang w:eastAsia="en-AU"/>
        </w:rPr>
      </w:pPr>
      <w:r>
        <w:rPr>
          <w:rFonts w:eastAsia="Times New Roman" w:cs="Times New Roman"/>
          <w:b/>
          <w:bCs/>
          <w:i/>
          <w:iCs/>
          <w:lang w:eastAsia="en-AU"/>
        </w:rPr>
        <w:t xml:space="preserve">National Register </w:t>
      </w:r>
      <w:r>
        <w:rPr>
          <w:rFonts w:eastAsia="Times New Roman" w:cs="Times New Roman"/>
          <w:lang w:eastAsia="en-AU"/>
        </w:rPr>
        <w:t xml:space="preserve">has the same meaning as in the </w:t>
      </w:r>
      <w:r>
        <w:rPr>
          <w:rFonts w:eastAsia="Times New Roman" w:cs="Times New Roman"/>
          <w:i/>
          <w:iCs/>
          <w:lang w:eastAsia="en-AU"/>
        </w:rPr>
        <w:t>National Vocational Education and Training Regulator Act 2011</w:t>
      </w:r>
      <w:r>
        <w:rPr>
          <w:rFonts w:eastAsia="Times New Roman" w:cs="Times New Roman"/>
          <w:lang w:eastAsia="en-AU"/>
        </w:rPr>
        <w:t>.</w:t>
      </w:r>
    </w:p>
    <w:p w14:paraId="75A8577C" w14:textId="77777777" w:rsidR="00830EE1" w:rsidRPr="00B400D5" w:rsidRDefault="00830EE1" w:rsidP="00830EE1">
      <w:pPr>
        <w:spacing w:before="120" w:after="120" w:line="260" w:lineRule="exact"/>
        <w:ind w:left="1162"/>
        <w:rPr>
          <w:rFonts w:eastAsia="Times New Roman" w:cs="Times New Roman"/>
          <w:lang w:eastAsia="en-AU"/>
        </w:rPr>
      </w:pPr>
      <w:r w:rsidRPr="7B6C272A">
        <w:rPr>
          <w:rFonts w:eastAsia="Times New Roman" w:cs="Times New Roman"/>
          <w:b/>
          <w:bCs/>
          <w:i/>
          <w:iCs/>
          <w:lang w:eastAsia="en-AU"/>
        </w:rPr>
        <w:t xml:space="preserve">ordinary income </w:t>
      </w:r>
      <w:r w:rsidRPr="7B6C272A">
        <w:rPr>
          <w:rFonts w:eastAsia="Times New Roman" w:cs="Times New Roman"/>
          <w:lang w:eastAsia="en-AU"/>
        </w:rPr>
        <w:t xml:space="preserve">has the same meaning as in </w:t>
      </w:r>
      <w:r w:rsidRPr="7B6C272A">
        <w:rPr>
          <w:color w:val="000000"/>
          <w:shd w:val="clear" w:color="auto" w:fill="FFFFFF"/>
        </w:rPr>
        <w:t>subsection 995</w:t>
      </w:r>
      <w:r w:rsidRPr="7B6C272A">
        <w:rPr>
          <w:color w:val="000000"/>
          <w:shd w:val="clear" w:color="auto" w:fill="FFFFFF"/>
        </w:rPr>
        <w:noBreakHyphen/>
        <w:t xml:space="preserve">1(1) of the </w:t>
      </w:r>
      <w:r w:rsidRPr="7B6C272A">
        <w:rPr>
          <w:rFonts w:eastAsia="Times New Roman" w:cs="Times New Roman"/>
          <w:i/>
          <w:iCs/>
          <w:lang w:eastAsia="en-AU"/>
        </w:rPr>
        <w:t>Income Tax Assessment Act 1997</w:t>
      </w:r>
      <w:r w:rsidRPr="7B6C272A">
        <w:rPr>
          <w:rFonts w:eastAsia="Times New Roman" w:cs="Times New Roman"/>
          <w:lang w:eastAsia="en-AU"/>
        </w:rPr>
        <w:t>.</w:t>
      </w:r>
    </w:p>
    <w:p w14:paraId="5631362B" w14:textId="77777777" w:rsidR="00830EE1" w:rsidRPr="00CB764E" w:rsidRDefault="00830EE1" w:rsidP="00830EE1">
      <w:pPr>
        <w:spacing w:before="120" w:after="120" w:line="260" w:lineRule="exact"/>
        <w:ind w:left="1162"/>
        <w:rPr>
          <w:rFonts w:eastAsia="Times New Roman" w:cs="Times New Roman"/>
          <w:lang w:eastAsia="en-AU"/>
        </w:rPr>
      </w:pPr>
      <w:r w:rsidRPr="4948932C">
        <w:rPr>
          <w:rFonts w:eastAsia="Times New Roman" w:cs="Times New Roman"/>
          <w:b/>
          <w:bCs/>
          <w:i/>
          <w:iCs/>
          <w:lang w:eastAsia="en-AU"/>
        </w:rPr>
        <w:t xml:space="preserve">provisional commencement date </w:t>
      </w:r>
      <w:r w:rsidRPr="4948932C">
        <w:rPr>
          <w:rFonts w:eastAsia="Times New Roman" w:cs="Times New Roman"/>
          <w:lang w:eastAsia="en-AU"/>
        </w:rPr>
        <w:t xml:space="preserve">means the </w:t>
      </w:r>
      <w:r>
        <w:t>day on which a person is taken to have commenced employment under a provisional training contract, as specified in that provisional training contract.</w:t>
      </w:r>
    </w:p>
    <w:p w14:paraId="38F7EEDB" w14:textId="77777777" w:rsidR="00830EE1" w:rsidRPr="00686FA4" w:rsidRDefault="00830EE1" w:rsidP="00830EE1">
      <w:pPr>
        <w:spacing w:before="120" w:after="120" w:line="260" w:lineRule="exact"/>
        <w:ind w:left="1162"/>
      </w:pPr>
      <w:r w:rsidRPr="00CB764E">
        <w:rPr>
          <w:rFonts w:eastAsia="Times New Roman" w:cs="Times New Roman"/>
          <w:b/>
          <w:i/>
          <w:szCs w:val="22"/>
          <w:lang w:eastAsia="en-AU"/>
        </w:rPr>
        <w:t xml:space="preserve">provisional training contract </w:t>
      </w:r>
      <w:r w:rsidRPr="00CB764E">
        <w:rPr>
          <w:rFonts w:eastAsia="Times New Roman" w:cs="Times New Roman"/>
          <w:bCs/>
          <w:iCs/>
          <w:szCs w:val="22"/>
          <w:lang w:eastAsia="en-AU"/>
        </w:rPr>
        <w:t xml:space="preserve">means </w:t>
      </w:r>
      <w:r>
        <w:rPr>
          <w:rFonts w:eastAsia="Times New Roman" w:cs="Times New Roman"/>
          <w:bCs/>
          <w:iCs/>
          <w:szCs w:val="22"/>
          <w:lang w:eastAsia="en-AU"/>
        </w:rPr>
        <w:t xml:space="preserve">a training contract </w:t>
      </w:r>
      <w:r>
        <w:t xml:space="preserve">that </w:t>
      </w:r>
      <w:r w:rsidRPr="00CB764E">
        <w:rPr>
          <w:bCs/>
          <w:iCs/>
        </w:rPr>
        <w:t xml:space="preserve">has </w:t>
      </w:r>
      <w:r>
        <w:rPr>
          <w:bCs/>
          <w:iCs/>
        </w:rPr>
        <w:t xml:space="preserve">been submitted to, but </w:t>
      </w:r>
      <w:r w:rsidRPr="00CB764E">
        <w:rPr>
          <w:bCs/>
          <w:iCs/>
        </w:rPr>
        <w:t>not yet been approved by</w:t>
      </w:r>
      <w:r>
        <w:rPr>
          <w:bCs/>
          <w:iCs/>
        </w:rPr>
        <w:t>,</w:t>
      </w:r>
      <w:r w:rsidRPr="00CB764E">
        <w:rPr>
          <w:bCs/>
          <w:iCs/>
        </w:rPr>
        <w:t xml:space="preserve"> </w:t>
      </w:r>
      <w:r>
        <w:rPr>
          <w:bCs/>
          <w:iCs/>
        </w:rPr>
        <w:t>a</w:t>
      </w:r>
      <w:r w:rsidRPr="00CB764E">
        <w:rPr>
          <w:bCs/>
          <w:iCs/>
        </w:rPr>
        <w:t xml:space="preserve"> designated State/Territory training authority.</w:t>
      </w:r>
    </w:p>
    <w:p w14:paraId="1A931C3B" w14:textId="77777777" w:rsidR="00830EE1" w:rsidRDefault="00830EE1" w:rsidP="00830EE1">
      <w:pPr>
        <w:spacing w:before="120" w:after="120" w:line="260" w:lineRule="exact"/>
        <w:ind w:left="1162"/>
        <w:rPr>
          <w:rFonts w:eastAsia="Times New Roman" w:cs="Times New Roman"/>
          <w:lang w:eastAsia="en-AU"/>
        </w:rPr>
      </w:pPr>
      <w:r w:rsidRPr="4948932C">
        <w:rPr>
          <w:rFonts w:eastAsia="Times New Roman" w:cs="Times New Roman"/>
          <w:b/>
          <w:bCs/>
          <w:i/>
          <w:iCs/>
          <w:lang w:eastAsia="en-AU"/>
        </w:rPr>
        <w:t xml:space="preserve">recommencement date </w:t>
      </w:r>
      <w:r w:rsidRPr="4948932C">
        <w:rPr>
          <w:rFonts w:eastAsia="Times New Roman" w:cs="Times New Roman"/>
          <w:lang w:eastAsia="en-AU"/>
        </w:rPr>
        <w:t>means the da</w:t>
      </w:r>
      <w:r>
        <w:rPr>
          <w:rFonts w:eastAsia="Times New Roman" w:cs="Times New Roman"/>
          <w:lang w:eastAsia="en-AU"/>
        </w:rPr>
        <w:t>y</w:t>
      </w:r>
      <w:r w:rsidRPr="4948932C">
        <w:rPr>
          <w:rFonts w:eastAsia="Times New Roman" w:cs="Times New Roman"/>
          <w:lang w:eastAsia="en-AU"/>
        </w:rPr>
        <w:t xml:space="preserve"> </w:t>
      </w:r>
      <w:r>
        <w:rPr>
          <w:rFonts w:eastAsia="Times New Roman" w:cs="Times New Roman"/>
          <w:lang w:eastAsia="en-AU"/>
        </w:rPr>
        <w:t>on which</w:t>
      </w:r>
      <w:r w:rsidRPr="4948932C">
        <w:rPr>
          <w:rFonts w:eastAsia="Times New Roman" w:cs="Times New Roman"/>
          <w:lang w:eastAsia="en-AU"/>
        </w:rPr>
        <w:t xml:space="preserve"> </w:t>
      </w:r>
      <w:r w:rsidRPr="00CB764E">
        <w:rPr>
          <w:rFonts w:eastAsia="Times New Roman" w:cs="Times New Roman"/>
          <w:lang w:eastAsia="en-AU"/>
        </w:rPr>
        <w:t>a</w:t>
      </w:r>
      <w:r>
        <w:rPr>
          <w:rFonts w:eastAsia="Times New Roman" w:cs="Times New Roman"/>
          <w:lang w:eastAsia="en-AU"/>
        </w:rPr>
        <w:t xml:space="preserve"> person is taken to have:</w:t>
      </w:r>
    </w:p>
    <w:p w14:paraId="18AEC0A7" w14:textId="77777777" w:rsidR="00830EE1" w:rsidRPr="008E0E9F" w:rsidRDefault="00830EE1" w:rsidP="00830EE1">
      <w:pPr>
        <w:pStyle w:val="paragraph"/>
      </w:pPr>
      <w:r w:rsidRPr="008E0E9F">
        <w:tab/>
        <w:t>(a)</w:t>
      </w:r>
      <w:r w:rsidRPr="008E0E9F">
        <w:tab/>
      </w:r>
      <w:r>
        <w:t>recommenced employment under an existing approved training contract; or</w:t>
      </w:r>
    </w:p>
    <w:p w14:paraId="03218982" w14:textId="77777777" w:rsidR="00830EE1" w:rsidRPr="008E0E9F" w:rsidRDefault="00830EE1" w:rsidP="00830EE1">
      <w:pPr>
        <w:pStyle w:val="paragraph"/>
      </w:pPr>
      <w:r w:rsidRPr="008E0E9F">
        <w:tab/>
        <w:t>(b)</w:t>
      </w:r>
      <w:r w:rsidRPr="008E0E9F">
        <w:tab/>
      </w:r>
      <w:r>
        <w:t xml:space="preserve">commenced employment under a new approved training contract to continue undertaking an incomplete qualifying </w:t>
      </w:r>
      <w:proofErr w:type="gramStart"/>
      <w:r>
        <w:t>apprenticeship;</w:t>
      </w:r>
      <w:proofErr w:type="gramEnd"/>
    </w:p>
    <w:p w14:paraId="15567232" w14:textId="77777777" w:rsidR="00830EE1" w:rsidRDefault="00830EE1" w:rsidP="00830EE1">
      <w:pPr>
        <w:spacing w:before="120" w:after="120" w:line="260" w:lineRule="exact"/>
        <w:ind w:left="1162"/>
        <w:rPr>
          <w:rFonts w:eastAsia="Times New Roman" w:cs="Times New Roman"/>
          <w:lang w:eastAsia="en-AU"/>
        </w:rPr>
      </w:pPr>
      <w:r>
        <w:rPr>
          <w:rFonts w:eastAsia="Times New Roman" w:cs="Times New Roman"/>
          <w:lang w:eastAsia="en-AU"/>
        </w:rPr>
        <w:t>as notified to the Secretary or the Department by a</w:t>
      </w:r>
      <w:r w:rsidRPr="00CB764E">
        <w:rPr>
          <w:rFonts w:eastAsia="Times New Roman" w:cs="Times New Roman"/>
          <w:lang w:eastAsia="en-AU"/>
        </w:rPr>
        <w:t xml:space="preserve"> designated State/Territory </w:t>
      </w:r>
      <w:r>
        <w:rPr>
          <w:rFonts w:eastAsia="Times New Roman" w:cs="Times New Roman"/>
          <w:lang w:eastAsia="en-AU"/>
        </w:rPr>
        <w:t>t</w:t>
      </w:r>
      <w:r w:rsidRPr="00CB764E">
        <w:rPr>
          <w:rFonts w:eastAsia="Times New Roman" w:cs="Times New Roman"/>
          <w:lang w:eastAsia="en-AU"/>
        </w:rPr>
        <w:t xml:space="preserve">raining </w:t>
      </w:r>
      <w:r>
        <w:rPr>
          <w:rFonts w:eastAsia="Times New Roman" w:cs="Times New Roman"/>
          <w:lang w:eastAsia="en-AU"/>
        </w:rPr>
        <w:t>a</w:t>
      </w:r>
      <w:r w:rsidRPr="00CB764E">
        <w:rPr>
          <w:rFonts w:eastAsia="Times New Roman" w:cs="Times New Roman"/>
          <w:lang w:eastAsia="en-AU"/>
        </w:rPr>
        <w:t>uthority</w:t>
      </w:r>
      <w:r>
        <w:rPr>
          <w:rFonts w:eastAsia="Times New Roman" w:cs="Times New Roman"/>
          <w:lang w:eastAsia="en-AU"/>
        </w:rPr>
        <w:t>.</w:t>
      </w:r>
    </w:p>
    <w:p w14:paraId="3067B69E" w14:textId="77777777" w:rsidR="00830EE1" w:rsidRDefault="00830EE1" w:rsidP="00830EE1">
      <w:pPr>
        <w:spacing w:before="120" w:after="120" w:line="260" w:lineRule="exact"/>
        <w:ind w:left="1162"/>
        <w:rPr>
          <w:rFonts w:eastAsia="Times New Roman" w:cs="Times New Roman"/>
          <w:lang w:eastAsia="en-AU"/>
        </w:rPr>
      </w:pPr>
      <w:r w:rsidRPr="44430574">
        <w:rPr>
          <w:rFonts w:eastAsia="Times New Roman" w:cs="Times New Roman"/>
          <w:b/>
          <w:i/>
          <w:lang w:eastAsia="en-AU"/>
        </w:rPr>
        <w:t xml:space="preserve">statutory income </w:t>
      </w:r>
      <w:r w:rsidRPr="44430574">
        <w:rPr>
          <w:rFonts w:eastAsia="Times New Roman" w:cs="Times New Roman"/>
          <w:lang w:eastAsia="en-AU"/>
        </w:rPr>
        <w:t xml:space="preserve">has the same meaning as in </w:t>
      </w:r>
      <w:r w:rsidRPr="44430574">
        <w:rPr>
          <w:color w:val="000000"/>
          <w:shd w:val="clear" w:color="auto" w:fill="FFFFFF"/>
        </w:rPr>
        <w:t>subsection 995</w:t>
      </w:r>
      <w:r w:rsidRPr="44430574">
        <w:rPr>
          <w:color w:val="000000"/>
          <w:shd w:val="clear" w:color="auto" w:fill="FFFFFF"/>
        </w:rPr>
        <w:noBreakHyphen/>
        <w:t xml:space="preserve">1(1) of </w:t>
      </w:r>
      <w:r w:rsidRPr="44430574">
        <w:rPr>
          <w:rFonts w:eastAsia="Times New Roman" w:cs="Times New Roman"/>
          <w:lang w:eastAsia="en-AU"/>
        </w:rPr>
        <w:t xml:space="preserve">the </w:t>
      </w:r>
      <w:r w:rsidRPr="44430574">
        <w:rPr>
          <w:rFonts w:eastAsia="Times New Roman" w:cs="Times New Roman"/>
          <w:i/>
          <w:lang w:eastAsia="en-AU"/>
        </w:rPr>
        <w:t>Income Tax Assessment Act 1997</w:t>
      </w:r>
      <w:r w:rsidRPr="44430574">
        <w:rPr>
          <w:rFonts w:eastAsia="Times New Roman" w:cs="Times New Roman"/>
          <w:lang w:eastAsia="en-AU"/>
        </w:rPr>
        <w:t>.</w:t>
      </w:r>
    </w:p>
    <w:p w14:paraId="15D585B2" w14:textId="77777777" w:rsidR="00830EE1" w:rsidRPr="001D3F24" w:rsidRDefault="00830EE1" w:rsidP="00830EE1">
      <w:pPr>
        <w:spacing w:before="120" w:after="120" w:line="260" w:lineRule="exact"/>
        <w:ind w:left="1162"/>
        <w:rPr>
          <w:rFonts w:eastAsia="Times New Roman" w:cs="Times New Roman"/>
          <w:lang w:eastAsia="en-AU"/>
        </w:rPr>
      </w:pPr>
      <w:r w:rsidRPr="47924B73">
        <w:rPr>
          <w:rFonts w:eastAsia="Times New Roman" w:cs="Times New Roman"/>
          <w:b/>
          <w:i/>
          <w:lang w:eastAsia="en-AU"/>
        </w:rPr>
        <w:lastRenderedPageBreak/>
        <w:t xml:space="preserve">training contract </w:t>
      </w:r>
      <w:r w:rsidRPr="47924B73">
        <w:rPr>
          <w:rFonts w:eastAsia="Times New Roman" w:cs="Times New Roman"/>
          <w:lang w:eastAsia="en-AU"/>
        </w:rPr>
        <w:t>means a written agreement between an employer and a person for the person to be employed in a</w:t>
      </w:r>
      <w:r>
        <w:rPr>
          <w:rFonts w:eastAsia="Times New Roman" w:cs="Times New Roman"/>
          <w:lang w:eastAsia="en-AU"/>
        </w:rPr>
        <w:t>n</w:t>
      </w:r>
      <w:r w:rsidRPr="47924B73">
        <w:rPr>
          <w:rFonts w:eastAsia="Times New Roman" w:cs="Times New Roman"/>
          <w:lang w:eastAsia="en-AU"/>
        </w:rPr>
        <w:t xml:space="preserve"> apprenticeship.</w:t>
      </w:r>
    </w:p>
    <w:p w14:paraId="5F8C034B" w14:textId="77777777" w:rsidR="00830EE1" w:rsidRPr="00554826" w:rsidRDefault="00830EE1" w:rsidP="00830EE1">
      <w:pPr>
        <w:pStyle w:val="ActHead5"/>
      </w:pPr>
      <w:bookmarkStart w:id="7" w:name="_Toc454512517"/>
      <w:proofErr w:type="gramStart"/>
      <w:r w:rsidRPr="00554826">
        <w:t>5  Schedules</w:t>
      </w:r>
      <w:proofErr w:type="gramEnd"/>
    </w:p>
    <w:p w14:paraId="196733B5" w14:textId="77777777" w:rsidR="00830EE1" w:rsidRDefault="00830EE1" w:rsidP="00830EE1">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E017C4F" w14:textId="77777777" w:rsidR="00830EE1" w:rsidRDefault="00830EE1">
      <w:pPr>
        <w:spacing w:line="240" w:lineRule="auto"/>
        <w:rPr>
          <w:rFonts w:eastAsia="Times New Roman" w:cs="Times New Roman"/>
          <w:b/>
          <w:kern w:val="28"/>
          <w:sz w:val="32"/>
          <w:lang w:eastAsia="en-AU"/>
        </w:rPr>
      </w:pPr>
      <w:bookmarkStart w:id="8" w:name="_Toc113016604"/>
      <w:bookmarkEnd w:id="7"/>
      <w:r>
        <w:br w:type="page"/>
      </w:r>
    </w:p>
    <w:p w14:paraId="611B1EB7" w14:textId="28AA07FF" w:rsidR="00830EE1" w:rsidRDefault="00830EE1" w:rsidP="00830EE1">
      <w:pPr>
        <w:pStyle w:val="ActHead2"/>
      </w:pPr>
      <w:r w:rsidRPr="00B400D5">
        <w:lastRenderedPageBreak/>
        <w:t>Part 2</w:t>
      </w:r>
      <w:bookmarkStart w:id="9" w:name="_Hlk96680846"/>
      <w:r w:rsidRPr="00B400D5">
        <w:t>—</w:t>
      </w:r>
      <w:bookmarkEnd w:id="9"/>
      <w:r w:rsidRPr="00B400D5">
        <w:t>Qualification</w:t>
      </w:r>
      <w:r>
        <w:t xml:space="preserve"> and</w:t>
      </w:r>
      <w:r w:rsidRPr="00B400D5">
        <w:t xml:space="preserve"> </w:t>
      </w:r>
      <w:proofErr w:type="spellStart"/>
      <w:r w:rsidRPr="00B400D5">
        <w:t>payability</w:t>
      </w:r>
      <w:bookmarkEnd w:id="8"/>
      <w:proofErr w:type="spellEnd"/>
    </w:p>
    <w:p w14:paraId="68764B56" w14:textId="77777777" w:rsidR="00830EE1" w:rsidRPr="00852867" w:rsidRDefault="00830EE1" w:rsidP="00830EE1">
      <w:pPr>
        <w:pStyle w:val="ActHead3"/>
      </w:pPr>
      <w:r w:rsidRPr="00852867">
        <w:rPr>
          <w:rStyle w:val="CharDivNo"/>
        </w:rPr>
        <w:t>Division 1</w:t>
      </w:r>
      <w:r w:rsidRPr="00852867">
        <w:t>—</w:t>
      </w:r>
      <w:r>
        <w:rPr>
          <w:rStyle w:val="CharDivText"/>
        </w:rPr>
        <w:t>Introduction</w:t>
      </w:r>
    </w:p>
    <w:p w14:paraId="1D3521EC" w14:textId="77777777" w:rsidR="00830EE1" w:rsidRPr="00B400D5" w:rsidRDefault="00830EE1" w:rsidP="00830EE1">
      <w:pPr>
        <w:pStyle w:val="ActHead5"/>
      </w:pPr>
      <w:proofErr w:type="gramStart"/>
      <w:r>
        <w:t>6</w:t>
      </w:r>
      <w:r w:rsidRPr="00B400D5">
        <w:t xml:space="preserve">  </w:t>
      </w:r>
      <w:r>
        <w:t>Simplified</w:t>
      </w:r>
      <w:proofErr w:type="gramEnd"/>
      <w:r>
        <w:t xml:space="preserve"> outline of this</w:t>
      </w:r>
      <w:r w:rsidRPr="00B400D5">
        <w:t xml:space="preserve"> Part </w:t>
      </w:r>
    </w:p>
    <w:p w14:paraId="1A6321FE" w14:textId="77777777" w:rsidR="00830EE1" w:rsidRDefault="00830EE1" w:rsidP="00830EE1">
      <w:pPr>
        <w:pBdr>
          <w:top w:val="single" w:sz="6" w:space="5" w:color="auto"/>
          <w:left w:val="single" w:sz="6" w:space="5" w:color="auto"/>
          <w:bottom w:val="single" w:sz="6" w:space="5" w:color="auto"/>
          <w:right w:val="single" w:sz="6" w:space="5" w:color="auto"/>
        </w:pBdr>
        <w:spacing w:before="240" w:line="240" w:lineRule="auto"/>
        <w:ind w:left="1134"/>
      </w:pPr>
      <w:r w:rsidRPr="00852867">
        <w:t>This Part</w:t>
      </w:r>
      <w:r>
        <w:t xml:space="preserve"> deals with certain matters relating to a person’s qualification for Australian apprenticeship support loan, including:</w:t>
      </w:r>
    </w:p>
    <w:p w14:paraId="681BDD25" w14:textId="77777777" w:rsidR="00830EE1" w:rsidRDefault="00830EE1" w:rsidP="00830EE1">
      <w:pPr>
        <w:pStyle w:val="SOPara"/>
      </w:pPr>
      <w:r w:rsidRPr="008E0E9F">
        <w:tab/>
        <w:t>(a)</w:t>
      </w:r>
      <w:r w:rsidRPr="008E0E9F">
        <w:tab/>
      </w:r>
      <w:r>
        <w:t xml:space="preserve">that a person is not qualified for Australian apprenticeship support loan if the person is in </w:t>
      </w:r>
      <w:proofErr w:type="gramStart"/>
      <w:r>
        <w:t>gaol</w:t>
      </w:r>
      <w:r w:rsidRPr="008E0E9F">
        <w:t>;</w:t>
      </w:r>
      <w:proofErr w:type="gramEnd"/>
    </w:p>
    <w:p w14:paraId="0FFFC669" w14:textId="77777777" w:rsidR="00830EE1" w:rsidRDefault="00830EE1" w:rsidP="00830EE1">
      <w:pPr>
        <w:pStyle w:val="SOPara"/>
      </w:pPr>
      <w:r w:rsidRPr="008E0E9F">
        <w:tab/>
        <w:t>(b)</w:t>
      </w:r>
      <w:r w:rsidRPr="008E0E9F">
        <w:tab/>
      </w:r>
      <w:r>
        <w:t>that a qualifying apprenticeship is, among other things, an apprenticeship through which a person is undertaking a qualification included on the National Register at an Australian Qualifications Framework level 3, 4, 5 or 6 level; and</w:t>
      </w:r>
    </w:p>
    <w:p w14:paraId="626B682F" w14:textId="77777777" w:rsidR="00830EE1" w:rsidRDefault="00830EE1" w:rsidP="00830EE1">
      <w:pPr>
        <w:pStyle w:val="SOPara"/>
      </w:pPr>
      <w:r w:rsidRPr="008E0E9F">
        <w:tab/>
        <w:t>(</w:t>
      </w:r>
      <w:r>
        <w:t>c</w:t>
      </w:r>
      <w:r w:rsidRPr="008E0E9F">
        <w:t>)</w:t>
      </w:r>
      <w:r w:rsidRPr="008E0E9F">
        <w:tab/>
      </w:r>
      <w:r>
        <w:t xml:space="preserve">the circumstances in which a person is, or is not, taken to be undertaking a qualifying apprenticeship. </w:t>
      </w:r>
    </w:p>
    <w:p w14:paraId="4D88BC33" w14:textId="77777777" w:rsidR="00830EE1" w:rsidRDefault="00830EE1" w:rsidP="00830EE1">
      <w:pPr>
        <w:pBdr>
          <w:top w:val="single" w:sz="6" w:space="5" w:color="auto"/>
          <w:left w:val="single" w:sz="6" w:space="5" w:color="auto"/>
          <w:bottom w:val="single" w:sz="6" w:space="5" w:color="auto"/>
          <w:right w:val="single" w:sz="6" w:space="5" w:color="auto"/>
        </w:pBdr>
        <w:spacing w:before="240" w:line="240" w:lineRule="auto"/>
        <w:ind w:left="1134"/>
      </w:pPr>
      <w:r w:rsidRPr="00852867">
        <w:t>This Part</w:t>
      </w:r>
      <w:r>
        <w:t xml:space="preserve"> also deals with certain matters relating to the </w:t>
      </w:r>
      <w:proofErr w:type="spellStart"/>
      <w:r>
        <w:t>payability</w:t>
      </w:r>
      <w:proofErr w:type="spellEnd"/>
      <w:r>
        <w:t xml:space="preserve"> of Australian apprenticeship support loan to a person, including:</w:t>
      </w:r>
    </w:p>
    <w:p w14:paraId="11A8C44D" w14:textId="77777777" w:rsidR="00830EE1" w:rsidRDefault="00830EE1" w:rsidP="00830EE1">
      <w:pPr>
        <w:pStyle w:val="SOPara"/>
      </w:pPr>
      <w:r w:rsidRPr="008E0E9F">
        <w:tab/>
        <w:t>(</w:t>
      </w:r>
      <w:r>
        <w:t>a</w:t>
      </w:r>
      <w:r w:rsidRPr="008E0E9F">
        <w:t>)</w:t>
      </w:r>
      <w:r w:rsidRPr="008E0E9F">
        <w:tab/>
      </w:r>
      <w:r>
        <w:t xml:space="preserve">the circumstances in which the Secretary may allow a later day for a person to make an application for Australian apprenticeship support </w:t>
      </w:r>
      <w:proofErr w:type="gramStart"/>
      <w:r>
        <w:t>loan;</w:t>
      </w:r>
      <w:proofErr w:type="gramEnd"/>
    </w:p>
    <w:p w14:paraId="127F744C" w14:textId="77777777" w:rsidR="00830EE1" w:rsidRPr="008E0E9F" w:rsidRDefault="00830EE1" w:rsidP="00830EE1">
      <w:pPr>
        <w:pStyle w:val="SOPara"/>
      </w:pPr>
      <w:r w:rsidRPr="008E0E9F">
        <w:tab/>
        <w:t>(</w:t>
      </w:r>
      <w:r>
        <w:t>b</w:t>
      </w:r>
      <w:r w:rsidRPr="008E0E9F">
        <w:t>)</w:t>
      </w:r>
      <w:r w:rsidRPr="008E0E9F">
        <w:tab/>
      </w:r>
      <w:r>
        <w:t xml:space="preserve">when an instalment period for a person </w:t>
      </w:r>
      <w:proofErr w:type="gramStart"/>
      <w:r>
        <w:t>starts;</w:t>
      </w:r>
      <w:proofErr w:type="gramEnd"/>
    </w:p>
    <w:p w14:paraId="3E9D5589" w14:textId="77777777" w:rsidR="00830EE1" w:rsidRDefault="00830EE1" w:rsidP="00830EE1">
      <w:pPr>
        <w:pStyle w:val="SOPara"/>
      </w:pPr>
      <w:r w:rsidRPr="008E0E9F">
        <w:tab/>
        <w:t>(</w:t>
      </w:r>
      <w:r>
        <w:t>c</w:t>
      </w:r>
      <w:r w:rsidRPr="008E0E9F">
        <w:t>)</w:t>
      </w:r>
      <w:r w:rsidRPr="008E0E9F">
        <w:tab/>
      </w:r>
      <w:r>
        <w:t>that an instalment period for a person is a period of the duration of a month; and</w:t>
      </w:r>
    </w:p>
    <w:p w14:paraId="34E73F03" w14:textId="77777777" w:rsidR="00830EE1" w:rsidRPr="008E0E9F" w:rsidRDefault="00830EE1" w:rsidP="00830EE1">
      <w:pPr>
        <w:pStyle w:val="SOPara"/>
      </w:pPr>
      <w:r w:rsidRPr="008E0E9F">
        <w:tab/>
        <w:t>(</w:t>
      </w:r>
      <w:r>
        <w:t>d</w:t>
      </w:r>
      <w:r w:rsidRPr="008E0E9F">
        <w:t>)</w:t>
      </w:r>
      <w:r w:rsidRPr="008E0E9F">
        <w:tab/>
      </w:r>
      <w:r>
        <w:t xml:space="preserve">circumstances relating to special case qualification and </w:t>
      </w:r>
      <w:proofErr w:type="spellStart"/>
      <w:r>
        <w:t>payability</w:t>
      </w:r>
      <w:proofErr w:type="spellEnd"/>
      <w:r w:rsidRPr="008E0E9F">
        <w:t>.</w:t>
      </w:r>
    </w:p>
    <w:p w14:paraId="59A5C383" w14:textId="77777777" w:rsidR="00830EE1" w:rsidRDefault="00830EE1">
      <w:pPr>
        <w:spacing w:line="240" w:lineRule="auto"/>
        <w:rPr>
          <w:rStyle w:val="CharDivNo"/>
          <w:rFonts w:eastAsia="Times New Roman" w:cs="Times New Roman"/>
          <w:b/>
          <w:kern w:val="28"/>
          <w:sz w:val="28"/>
          <w:lang w:eastAsia="en-AU"/>
        </w:rPr>
      </w:pPr>
      <w:bookmarkStart w:id="10" w:name="_Toc113016605"/>
      <w:bookmarkStart w:id="11" w:name="_Hlk98856574"/>
      <w:r>
        <w:rPr>
          <w:rStyle w:val="CharDivNo"/>
        </w:rPr>
        <w:br w:type="page"/>
      </w:r>
    </w:p>
    <w:p w14:paraId="5A593AFD" w14:textId="5FAF0D80" w:rsidR="00830EE1" w:rsidRPr="00852867" w:rsidRDefault="00830EE1" w:rsidP="00830EE1">
      <w:pPr>
        <w:pStyle w:val="ActHead3"/>
      </w:pPr>
      <w:r w:rsidRPr="00852867">
        <w:rPr>
          <w:rStyle w:val="CharDivNo"/>
        </w:rPr>
        <w:lastRenderedPageBreak/>
        <w:t>Division </w:t>
      </w:r>
      <w:r>
        <w:rPr>
          <w:rStyle w:val="CharDivNo"/>
        </w:rPr>
        <w:t>2</w:t>
      </w:r>
      <w:r w:rsidRPr="00852867">
        <w:t>—</w:t>
      </w:r>
      <w:r>
        <w:rPr>
          <w:rStyle w:val="CharDivText"/>
        </w:rPr>
        <w:t>Qualification</w:t>
      </w:r>
    </w:p>
    <w:p w14:paraId="2C38E975" w14:textId="77777777" w:rsidR="00830EE1" w:rsidRPr="00A62455" w:rsidRDefault="00830EE1" w:rsidP="00830EE1">
      <w:pPr>
        <w:pStyle w:val="ActHead5"/>
      </w:pPr>
      <w:proofErr w:type="gramStart"/>
      <w:r>
        <w:t>7</w:t>
      </w:r>
      <w:r w:rsidRPr="00A62455">
        <w:t xml:space="preserve">  </w:t>
      </w:r>
      <w:r>
        <w:t>Other</w:t>
      </w:r>
      <w:proofErr w:type="gramEnd"/>
      <w:r>
        <w:t xml:space="preserve"> conditions</w:t>
      </w:r>
    </w:p>
    <w:p w14:paraId="1E60F669" w14:textId="77777777" w:rsidR="00830EE1" w:rsidRPr="00A62455" w:rsidRDefault="00830EE1" w:rsidP="00830EE1">
      <w:pPr>
        <w:pStyle w:val="subsection"/>
      </w:pPr>
      <w:r w:rsidRPr="00852867">
        <w:tab/>
      </w:r>
      <w:r w:rsidRPr="00852867">
        <w:tab/>
      </w:r>
      <w:r>
        <w:t>For the purposes of paragraph 8(1)(d) of the Act, the other condition a person must meet to be qualified for Australian apprenticeship support loan is that the person is not in gaol.</w:t>
      </w:r>
    </w:p>
    <w:p w14:paraId="08D9E9DF" w14:textId="77777777" w:rsidR="00830EE1" w:rsidRDefault="00830EE1" w:rsidP="00830EE1">
      <w:pPr>
        <w:pStyle w:val="ActHead5"/>
      </w:pPr>
      <w:bookmarkStart w:id="12" w:name="_Toc113016606"/>
      <w:bookmarkEnd w:id="10"/>
      <w:bookmarkEnd w:id="11"/>
      <w:proofErr w:type="gramStart"/>
      <w:r>
        <w:t>8  Qualifying</w:t>
      </w:r>
      <w:proofErr w:type="gramEnd"/>
      <w:r>
        <w:t xml:space="preserve"> apprenticeship</w:t>
      </w:r>
    </w:p>
    <w:p w14:paraId="2AEDCDAE" w14:textId="77777777" w:rsidR="00830EE1" w:rsidRDefault="00830EE1" w:rsidP="00830EE1">
      <w:pPr>
        <w:pStyle w:val="subsection"/>
      </w:pPr>
      <w:r w:rsidRPr="00901502">
        <w:tab/>
        <w:t>(</w:t>
      </w:r>
      <w:r>
        <w:t>1</w:t>
      </w:r>
      <w:r w:rsidRPr="00901502">
        <w:t>)</w:t>
      </w:r>
      <w:r w:rsidRPr="00901502">
        <w:tab/>
      </w:r>
      <w:r>
        <w:t>For the purposes of subparagraph 8(2)(a)(</w:t>
      </w:r>
      <w:proofErr w:type="spellStart"/>
      <w:r>
        <w:t>i</w:t>
      </w:r>
      <w:proofErr w:type="spellEnd"/>
      <w:r>
        <w:t>) of the Act, the following qualification levels are prescribed:</w:t>
      </w:r>
    </w:p>
    <w:p w14:paraId="7FF8527D" w14:textId="77777777" w:rsidR="00830EE1" w:rsidRPr="007E03BF" w:rsidRDefault="00830EE1" w:rsidP="00830EE1">
      <w:pPr>
        <w:pStyle w:val="paragraph"/>
      </w:pPr>
      <w:r w:rsidRPr="007E03BF">
        <w:tab/>
        <w:t>(a)</w:t>
      </w:r>
      <w:r w:rsidRPr="007E03BF">
        <w:tab/>
      </w:r>
      <w:r>
        <w:t xml:space="preserve">level 3 in the Australian Qualifications </w:t>
      </w:r>
      <w:proofErr w:type="gramStart"/>
      <w:r>
        <w:t>Framework</w:t>
      </w:r>
      <w:r w:rsidRPr="007E03BF">
        <w:t>;</w:t>
      </w:r>
      <w:proofErr w:type="gramEnd"/>
      <w:r w:rsidRPr="007E03BF">
        <w:t xml:space="preserve"> </w:t>
      </w:r>
    </w:p>
    <w:p w14:paraId="74819425" w14:textId="77777777" w:rsidR="00830EE1" w:rsidRDefault="00830EE1" w:rsidP="00830EE1">
      <w:pPr>
        <w:pStyle w:val="paragraph"/>
      </w:pPr>
      <w:r w:rsidRPr="007E03BF">
        <w:tab/>
        <w:t>(b)</w:t>
      </w:r>
      <w:r w:rsidRPr="007E03BF">
        <w:tab/>
      </w:r>
      <w:r>
        <w:t xml:space="preserve">level 4 in the Australian Qualifications </w:t>
      </w:r>
      <w:proofErr w:type="gramStart"/>
      <w:r>
        <w:t>Framework;</w:t>
      </w:r>
      <w:proofErr w:type="gramEnd"/>
    </w:p>
    <w:p w14:paraId="2A1D50B2" w14:textId="77777777" w:rsidR="00830EE1" w:rsidRPr="007E03BF" w:rsidRDefault="00830EE1" w:rsidP="00830EE1">
      <w:pPr>
        <w:pStyle w:val="paragraph"/>
      </w:pPr>
      <w:r w:rsidRPr="007E03BF">
        <w:tab/>
        <w:t>(</w:t>
      </w:r>
      <w:r>
        <w:t>c</w:t>
      </w:r>
      <w:r w:rsidRPr="007E03BF">
        <w:t>)</w:t>
      </w:r>
      <w:r w:rsidRPr="007E03BF">
        <w:tab/>
      </w:r>
      <w:r>
        <w:t xml:space="preserve">level 5 in the Australian Qualifications </w:t>
      </w:r>
      <w:proofErr w:type="gramStart"/>
      <w:r>
        <w:t>Framework</w:t>
      </w:r>
      <w:r w:rsidRPr="007E03BF">
        <w:t>;</w:t>
      </w:r>
      <w:proofErr w:type="gramEnd"/>
      <w:r w:rsidRPr="007E03BF">
        <w:t xml:space="preserve"> </w:t>
      </w:r>
    </w:p>
    <w:p w14:paraId="41AD7CE1" w14:textId="77777777" w:rsidR="00830EE1" w:rsidRDefault="00830EE1" w:rsidP="00830EE1">
      <w:pPr>
        <w:pStyle w:val="paragraph"/>
      </w:pPr>
      <w:r w:rsidRPr="007E03BF">
        <w:tab/>
        <w:t>(</w:t>
      </w:r>
      <w:r>
        <w:t>d</w:t>
      </w:r>
      <w:r w:rsidRPr="007E03BF">
        <w:t>)</w:t>
      </w:r>
      <w:r w:rsidRPr="007E03BF">
        <w:tab/>
      </w:r>
      <w:r>
        <w:t>level 6 in the Australian Qualifications Framework</w:t>
      </w:r>
      <w:r w:rsidRPr="007E03BF">
        <w:t>.</w:t>
      </w:r>
    </w:p>
    <w:p w14:paraId="379C90C4" w14:textId="77777777" w:rsidR="00830EE1" w:rsidRDefault="00830EE1" w:rsidP="00830EE1">
      <w:pPr>
        <w:pStyle w:val="subsection"/>
      </w:pPr>
      <w:r w:rsidRPr="00901502">
        <w:tab/>
        <w:t>(</w:t>
      </w:r>
      <w:r>
        <w:t>2</w:t>
      </w:r>
      <w:r w:rsidRPr="00901502">
        <w:t>)</w:t>
      </w:r>
      <w:r w:rsidRPr="00901502">
        <w:tab/>
      </w:r>
      <w:r>
        <w:t xml:space="preserve">For the purposes of paragraph 8(2)(b) of the Act, the qualification the person is undertaking through the apprenticeship must be a qualification that is included on the National Register. </w:t>
      </w:r>
    </w:p>
    <w:bookmarkEnd w:id="12"/>
    <w:p w14:paraId="0C6A7E8E" w14:textId="77777777" w:rsidR="00830EE1" w:rsidRPr="00901502" w:rsidRDefault="00830EE1" w:rsidP="00830EE1">
      <w:pPr>
        <w:pStyle w:val="ActHead5"/>
      </w:pPr>
      <w:proofErr w:type="gramStart"/>
      <w:r>
        <w:t>9  Circumstances</w:t>
      </w:r>
      <w:proofErr w:type="gramEnd"/>
      <w:r>
        <w:t xml:space="preserve"> in which a person is, or is not, taken to be </w:t>
      </w:r>
      <w:r w:rsidRPr="00947CCF">
        <w:t>undertaking</w:t>
      </w:r>
      <w:r>
        <w:t xml:space="preserve"> a qualifying apprenticeship</w:t>
      </w:r>
    </w:p>
    <w:p w14:paraId="6C85CEC5" w14:textId="77777777" w:rsidR="00830EE1" w:rsidRDefault="00830EE1" w:rsidP="00830EE1">
      <w:pPr>
        <w:pStyle w:val="subsection"/>
      </w:pPr>
      <w:r w:rsidRPr="00901502">
        <w:tab/>
        <w:t>(</w:t>
      </w:r>
      <w:r>
        <w:t>1</w:t>
      </w:r>
      <w:r w:rsidRPr="00901502">
        <w:t>)</w:t>
      </w:r>
      <w:r w:rsidRPr="00901502">
        <w:tab/>
      </w:r>
      <w:r>
        <w:t xml:space="preserve">For the purposes of subsection 8(3) of the Act, this section prescribes circumstances in which a person is, or is not, taken to be </w:t>
      </w:r>
      <w:r w:rsidRPr="001A6793">
        <w:t>undertaking</w:t>
      </w:r>
      <w:r>
        <w:t xml:space="preserve"> a qualifying apprenticeship.</w:t>
      </w:r>
    </w:p>
    <w:p w14:paraId="645A5CD1" w14:textId="77777777" w:rsidR="00830EE1" w:rsidRDefault="00830EE1" w:rsidP="00830EE1">
      <w:pPr>
        <w:pStyle w:val="subsection"/>
      </w:pPr>
      <w:r>
        <w:t xml:space="preserve"> </w:t>
      </w:r>
      <w:r w:rsidRPr="00901502">
        <w:tab/>
        <w:t>(</w:t>
      </w:r>
      <w:r>
        <w:t>2</w:t>
      </w:r>
      <w:r w:rsidRPr="00901502">
        <w:t>)</w:t>
      </w:r>
      <w:r w:rsidRPr="00901502">
        <w:tab/>
      </w:r>
      <w:r>
        <w:t xml:space="preserve">A person is taken to be undertaking a qualifying apprenticeship in the period: </w:t>
      </w:r>
    </w:p>
    <w:p w14:paraId="79A7A480" w14:textId="77777777" w:rsidR="00830EE1" w:rsidRDefault="00830EE1" w:rsidP="00830EE1">
      <w:pPr>
        <w:pStyle w:val="paragraph"/>
      </w:pPr>
      <w:r w:rsidRPr="007E03BF">
        <w:tab/>
        <w:t>(a)</w:t>
      </w:r>
      <w:r w:rsidRPr="007E03BF">
        <w:tab/>
      </w:r>
      <w:r>
        <w:t>beginning at the start of the day on:</w:t>
      </w:r>
    </w:p>
    <w:p w14:paraId="2F5EB5E4" w14:textId="77777777" w:rsidR="00830EE1" w:rsidRDefault="00830EE1" w:rsidP="00830EE1">
      <w:pPr>
        <w:pStyle w:val="paragraphsub"/>
      </w:pPr>
      <w:r w:rsidRPr="007E03BF">
        <w:tab/>
        <w:t>(</w:t>
      </w:r>
      <w:proofErr w:type="spellStart"/>
      <w:r w:rsidRPr="007E03BF">
        <w:t>i</w:t>
      </w:r>
      <w:proofErr w:type="spellEnd"/>
      <w:r w:rsidRPr="007E03BF">
        <w:t>)</w:t>
      </w:r>
      <w:r w:rsidRPr="007E03BF">
        <w:tab/>
      </w:r>
      <w:r>
        <w:t>if the person does not have an approved training contract—the person’s provisional commencement date; or</w:t>
      </w:r>
    </w:p>
    <w:p w14:paraId="5F74BB2D" w14:textId="77777777" w:rsidR="00830EE1" w:rsidRPr="007E03BF" w:rsidRDefault="00830EE1" w:rsidP="00830EE1">
      <w:pPr>
        <w:pStyle w:val="paragraphsub"/>
      </w:pPr>
      <w:r w:rsidRPr="007E03BF">
        <w:tab/>
        <w:t>(i</w:t>
      </w:r>
      <w:r>
        <w:t>i</w:t>
      </w:r>
      <w:r w:rsidRPr="007E03BF">
        <w:t>)</w:t>
      </w:r>
      <w:r w:rsidRPr="007E03BF">
        <w:tab/>
      </w:r>
      <w:r>
        <w:t>if the person has a commencement date—that day; or</w:t>
      </w:r>
    </w:p>
    <w:p w14:paraId="1C3D94E7" w14:textId="77777777" w:rsidR="00830EE1" w:rsidRDefault="00830EE1" w:rsidP="00830EE1">
      <w:pPr>
        <w:pStyle w:val="paragraphsub"/>
      </w:pPr>
      <w:r w:rsidRPr="007E03BF">
        <w:tab/>
        <w:t>(ii</w:t>
      </w:r>
      <w:r>
        <w:t>i</w:t>
      </w:r>
      <w:r w:rsidRPr="007E03BF">
        <w:t>)</w:t>
      </w:r>
      <w:r w:rsidRPr="007E03BF">
        <w:tab/>
      </w:r>
      <w:r>
        <w:t>if the person has a recommencement date—that day; and</w:t>
      </w:r>
    </w:p>
    <w:p w14:paraId="01861672" w14:textId="77777777" w:rsidR="00830EE1" w:rsidRPr="007E03BF" w:rsidRDefault="00830EE1" w:rsidP="00830EE1">
      <w:pPr>
        <w:pStyle w:val="paragraph"/>
      </w:pPr>
      <w:r w:rsidRPr="007E03BF">
        <w:tab/>
        <w:t>(</w:t>
      </w:r>
      <w:r>
        <w:t>b</w:t>
      </w:r>
      <w:r w:rsidRPr="007E03BF">
        <w:t>)</w:t>
      </w:r>
      <w:r w:rsidRPr="007E03BF">
        <w:tab/>
      </w:r>
      <w:r>
        <w:t>ending at the end of the day on the day:</w:t>
      </w:r>
    </w:p>
    <w:p w14:paraId="1017D38E" w14:textId="77777777" w:rsidR="00830EE1" w:rsidRPr="007E03BF" w:rsidRDefault="00830EE1" w:rsidP="00830EE1">
      <w:pPr>
        <w:pStyle w:val="paragraphsub"/>
      </w:pPr>
      <w:r w:rsidRPr="007E03BF">
        <w:tab/>
        <w:t>(</w:t>
      </w:r>
      <w:proofErr w:type="spellStart"/>
      <w:r w:rsidRPr="007E03BF">
        <w:t>i</w:t>
      </w:r>
      <w:proofErr w:type="spellEnd"/>
      <w:r w:rsidRPr="007E03BF">
        <w:t>)</w:t>
      </w:r>
      <w:r w:rsidRPr="007E03BF">
        <w:tab/>
      </w:r>
      <w:r>
        <w:t xml:space="preserve">the person successfully completes the qualifying </w:t>
      </w:r>
      <w:proofErr w:type="gramStart"/>
      <w:r>
        <w:t>apprenticeship;</w:t>
      </w:r>
      <w:proofErr w:type="gramEnd"/>
    </w:p>
    <w:p w14:paraId="7D1BB4A4" w14:textId="77777777" w:rsidR="00830EE1" w:rsidRDefault="00830EE1" w:rsidP="00830EE1">
      <w:pPr>
        <w:pStyle w:val="paragraphsub"/>
      </w:pPr>
      <w:r w:rsidRPr="007E03BF">
        <w:tab/>
        <w:t>(ii)</w:t>
      </w:r>
      <w:r w:rsidRPr="007E03BF">
        <w:tab/>
      </w:r>
      <w:r w:rsidRPr="00E2661D">
        <w:t>if the person has an approved training contract—the person is no longer undertaking the qualifying apprenticeship; or</w:t>
      </w:r>
    </w:p>
    <w:p w14:paraId="2AEDFCEA" w14:textId="77777777" w:rsidR="00830EE1" w:rsidRDefault="00830EE1" w:rsidP="00830EE1">
      <w:pPr>
        <w:pStyle w:val="paragraphsub"/>
      </w:pPr>
      <w:r w:rsidRPr="007E03BF">
        <w:tab/>
        <w:t>(ii</w:t>
      </w:r>
      <w:r>
        <w:t>i</w:t>
      </w:r>
      <w:r w:rsidRPr="007E03BF">
        <w:t>)</w:t>
      </w:r>
      <w:r w:rsidRPr="007E03BF">
        <w:tab/>
      </w:r>
      <w:r>
        <w:t xml:space="preserve">a designated State/Territory training authority decides not to approve a person’s provisional training </w:t>
      </w:r>
      <w:proofErr w:type="gramStart"/>
      <w:r>
        <w:t>contract;</w:t>
      </w:r>
      <w:proofErr w:type="gramEnd"/>
    </w:p>
    <w:p w14:paraId="070C6C83" w14:textId="77777777" w:rsidR="00830EE1" w:rsidRDefault="00830EE1" w:rsidP="00830EE1">
      <w:pPr>
        <w:pStyle w:val="paragraph"/>
      </w:pPr>
      <w:r w:rsidRPr="007E03BF">
        <w:tab/>
      </w:r>
      <w:r w:rsidRPr="007E03BF">
        <w:tab/>
      </w:r>
      <w:r>
        <w:t>as notified to the Secretary or the Department by a designated State/Territory training authority.</w:t>
      </w:r>
    </w:p>
    <w:p w14:paraId="02AB865B" w14:textId="77777777" w:rsidR="00830EE1" w:rsidRDefault="00830EE1" w:rsidP="00830EE1">
      <w:pPr>
        <w:pStyle w:val="subsection"/>
      </w:pPr>
      <w:r w:rsidRPr="007E03BF">
        <w:tab/>
        <w:t>(3)</w:t>
      </w:r>
      <w:r w:rsidRPr="007E03BF">
        <w:tab/>
      </w:r>
      <w:r>
        <w:t>If, apart from this subsection, a person would be taken to be undertaking more than one qualifying apprenticeship</w:t>
      </w:r>
      <w:r w:rsidRPr="007E03BF">
        <w:t>:</w:t>
      </w:r>
    </w:p>
    <w:p w14:paraId="227F6799" w14:textId="35D4CEFA" w:rsidR="00830EE1" w:rsidRPr="007E03BF" w:rsidRDefault="00830EE1" w:rsidP="00135539">
      <w:pPr>
        <w:pStyle w:val="paragraph"/>
      </w:pPr>
      <w:r w:rsidRPr="007E03BF">
        <w:tab/>
        <w:t>(a)</w:t>
      </w:r>
      <w:r w:rsidRPr="007E03BF">
        <w:tab/>
      </w:r>
      <w:r>
        <w:t>the person is taken to be undertaking only one qualifying apprenticeship; and</w:t>
      </w:r>
      <w:r w:rsidRPr="007E03BF">
        <w:tab/>
      </w:r>
    </w:p>
    <w:p w14:paraId="0CB610C8" w14:textId="77777777" w:rsidR="00830EE1" w:rsidRDefault="00830EE1" w:rsidP="00830EE1">
      <w:pPr>
        <w:pStyle w:val="paragraph"/>
      </w:pPr>
      <w:r w:rsidRPr="007E03BF">
        <w:tab/>
        <w:t>(b)</w:t>
      </w:r>
      <w:r w:rsidRPr="007E03BF">
        <w:tab/>
      </w:r>
      <w:r>
        <w:t xml:space="preserve">the person may nominate, in the person’s application for Australian apprenticeship support loan under section 13 of the Act, which of those </w:t>
      </w:r>
      <w:r>
        <w:lastRenderedPageBreak/>
        <w:t>apprenticeships should be taken to be the person’s qualifying apprenticeship</w:t>
      </w:r>
      <w:r w:rsidRPr="007E03BF">
        <w:t>.</w:t>
      </w:r>
    </w:p>
    <w:p w14:paraId="25520E4A" w14:textId="382385CE" w:rsidR="00830EE1" w:rsidRDefault="00830EE1" w:rsidP="00830EE1">
      <w:pPr>
        <w:pStyle w:val="notetext"/>
      </w:pPr>
      <w:r w:rsidRPr="00B400D5">
        <w:rPr>
          <w:snapToGrid w:val="0"/>
          <w:lang w:eastAsia="en-US"/>
        </w:rPr>
        <w:t>Note:</w:t>
      </w:r>
      <w:r w:rsidRPr="00B400D5">
        <w:rPr>
          <w:snapToGrid w:val="0"/>
          <w:lang w:eastAsia="en-US"/>
        </w:rPr>
        <w:tab/>
      </w:r>
      <w:r>
        <w:rPr>
          <w:snapToGrid w:val="0"/>
          <w:lang w:eastAsia="en-US"/>
        </w:rPr>
        <w:t xml:space="preserve">Section 30 sets out transitional arrangements for a person who, before the commencement of this instrument, was undertaking a qualification </w:t>
      </w:r>
      <w:r>
        <w:t>in the horticulture sector specified on the TSL Priority List and was not working in a rural or regional area.</w:t>
      </w:r>
    </w:p>
    <w:p w14:paraId="340D1617" w14:textId="77777777" w:rsidR="00135539" w:rsidRDefault="00135539" w:rsidP="00830EE1">
      <w:pPr>
        <w:pStyle w:val="notetext"/>
      </w:pPr>
    </w:p>
    <w:p w14:paraId="4572A978" w14:textId="77777777" w:rsidR="00830EE1" w:rsidRDefault="00830EE1">
      <w:pPr>
        <w:spacing w:line="240" w:lineRule="auto"/>
        <w:rPr>
          <w:rStyle w:val="CharDivNo"/>
          <w:rFonts w:eastAsia="Times New Roman" w:cs="Times New Roman"/>
          <w:b/>
          <w:kern w:val="28"/>
          <w:sz w:val="28"/>
          <w:lang w:eastAsia="en-AU"/>
        </w:rPr>
      </w:pPr>
      <w:r>
        <w:rPr>
          <w:rStyle w:val="CharDivNo"/>
        </w:rPr>
        <w:br w:type="page"/>
      </w:r>
    </w:p>
    <w:p w14:paraId="0B68FA34" w14:textId="1A9E4967" w:rsidR="00830EE1" w:rsidRPr="00852867" w:rsidRDefault="00830EE1" w:rsidP="00830EE1">
      <w:pPr>
        <w:pStyle w:val="ActHead3"/>
      </w:pPr>
      <w:r w:rsidRPr="00852867">
        <w:rPr>
          <w:rStyle w:val="CharDivNo"/>
        </w:rPr>
        <w:lastRenderedPageBreak/>
        <w:t>Division </w:t>
      </w:r>
      <w:r>
        <w:rPr>
          <w:rStyle w:val="CharDivNo"/>
        </w:rPr>
        <w:t>3</w:t>
      </w:r>
      <w:r w:rsidRPr="00852867">
        <w:t>—</w:t>
      </w:r>
      <w:proofErr w:type="spellStart"/>
      <w:r>
        <w:rPr>
          <w:rStyle w:val="CharDivText"/>
        </w:rPr>
        <w:t>Payability</w:t>
      </w:r>
      <w:proofErr w:type="spellEnd"/>
    </w:p>
    <w:p w14:paraId="555361F9" w14:textId="77777777" w:rsidR="00830EE1" w:rsidRPr="00901502" w:rsidRDefault="00830EE1" w:rsidP="00830EE1">
      <w:pPr>
        <w:pStyle w:val="ActHead5"/>
      </w:pPr>
      <w:bookmarkStart w:id="13" w:name="_Hlk150421267"/>
      <w:proofErr w:type="gramStart"/>
      <w:r>
        <w:t>10</w:t>
      </w:r>
      <w:r w:rsidRPr="00901502">
        <w:t xml:space="preserve">  </w:t>
      </w:r>
      <w:r>
        <w:t>Circumstances</w:t>
      </w:r>
      <w:proofErr w:type="gramEnd"/>
      <w:r>
        <w:t xml:space="preserve"> in which the Secretary may allow a later day</w:t>
      </w:r>
    </w:p>
    <w:p w14:paraId="7AE2796D" w14:textId="77777777" w:rsidR="00830EE1" w:rsidRDefault="00830EE1" w:rsidP="00830EE1">
      <w:pPr>
        <w:pStyle w:val="subsection"/>
      </w:pPr>
      <w:r w:rsidRPr="006065DA">
        <w:tab/>
      </w:r>
      <w:r w:rsidRPr="006065DA">
        <w:tab/>
      </w:r>
      <w:r>
        <w:t>For the purposes of subsection 10(1A) of the Act, the Secretary may allow a later day for a person to make an application for Australian apprenticeship support loan in circumstances that:</w:t>
      </w:r>
    </w:p>
    <w:p w14:paraId="5D5940FC" w14:textId="77777777" w:rsidR="00830EE1" w:rsidRPr="007E03BF" w:rsidRDefault="00830EE1" w:rsidP="00830EE1">
      <w:pPr>
        <w:pStyle w:val="paragraph"/>
      </w:pPr>
      <w:r w:rsidRPr="007E03BF">
        <w:tab/>
        <w:t>(a)</w:t>
      </w:r>
      <w:r w:rsidRPr="007E03BF">
        <w:tab/>
      </w:r>
      <w:r>
        <w:t>are beyond the person’s control</w:t>
      </w:r>
      <w:r w:rsidRPr="007E03BF">
        <w:t>; and</w:t>
      </w:r>
    </w:p>
    <w:p w14:paraId="441EDD16" w14:textId="77777777" w:rsidR="00830EE1" w:rsidRPr="007E03BF" w:rsidRDefault="00830EE1" w:rsidP="00830EE1">
      <w:pPr>
        <w:pStyle w:val="paragraph"/>
      </w:pPr>
      <w:r w:rsidRPr="007E03BF">
        <w:tab/>
        <w:t>(b)</w:t>
      </w:r>
      <w:r w:rsidRPr="007E03BF">
        <w:tab/>
      </w:r>
      <w:r>
        <w:t>make it impracticable for the person to make an application for Australian apprenticeship support loan on or before the final day of the instalment period.</w:t>
      </w:r>
    </w:p>
    <w:p w14:paraId="6F147127" w14:textId="77777777" w:rsidR="00830EE1" w:rsidRDefault="00830EE1" w:rsidP="00830EE1">
      <w:pPr>
        <w:pStyle w:val="ActHead5"/>
      </w:pPr>
      <w:bookmarkStart w:id="14" w:name="_Toc113016609"/>
      <w:bookmarkStart w:id="15" w:name="_Hlk150421176"/>
      <w:proofErr w:type="gramStart"/>
      <w:r w:rsidRPr="00B400D5">
        <w:t>1</w:t>
      </w:r>
      <w:r>
        <w:t>1</w:t>
      </w:r>
      <w:r w:rsidRPr="00B400D5">
        <w:t xml:space="preserve">  </w:t>
      </w:r>
      <w:r>
        <w:t>Instalment</w:t>
      </w:r>
      <w:proofErr w:type="gramEnd"/>
      <w:r>
        <w:t xml:space="preserve"> period</w:t>
      </w:r>
      <w:bookmarkEnd w:id="14"/>
    </w:p>
    <w:p w14:paraId="7E45CF0A" w14:textId="77777777" w:rsidR="00830EE1" w:rsidRDefault="00830EE1" w:rsidP="00830EE1">
      <w:pPr>
        <w:pStyle w:val="subsection"/>
      </w:pPr>
      <w:r w:rsidRPr="00901502">
        <w:tab/>
        <w:t>(</w:t>
      </w:r>
      <w:r>
        <w:t>1</w:t>
      </w:r>
      <w:r w:rsidRPr="00901502">
        <w:t>)</w:t>
      </w:r>
      <w:r w:rsidRPr="00901502">
        <w:tab/>
      </w:r>
      <w:r>
        <w:t>For the purposes of paragraph 10(2)(a) of the Act:</w:t>
      </w:r>
    </w:p>
    <w:p w14:paraId="5724A5CC" w14:textId="77777777" w:rsidR="00830EE1" w:rsidRDefault="00830EE1" w:rsidP="00830EE1">
      <w:pPr>
        <w:pStyle w:val="paragraph"/>
      </w:pPr>
      <w:r w:rsidRPr="007E03BF">
        <w:tab/>
        <w:t>(a)</w:t>
      </w:r>
      <w:r w:rsidRPr="007E03BF">
        <w:tab/>
      </w:r>
      <w:r>
        <w:t>the day on which the first instalment period of a person starts is on:</w:t>
      </w:r>
    </w:p>
    <w:p w14:paraId="33F963FE" w14:textId="77777777" w:rsidR="00830EE1" w:rsidRDefault="00830EE1" w:rsidP="00830EE1">
      <w:pPr>
        <w:pStyle w:val="paragraphsub"/>
      </w:pPr>
      <w:r w:rsidRPr="007E03BF">
        <w:tab/>
        <w:t>(</w:t>
      </w:r>
      <w:proofErr w:type="spellStart"/>
      <w:r w:rsidRPr="007E03BF">
        <w:t>i</w:t>
      </w:r>
      <w:proofErr w:type="spellEnd"/>
      <w:r w:rsidRPr="007E03BF">
        <w:t>)</w:t>
      </w:r>
      <w:r w:rsidRPr="007E03BF">
        <w:tab/>
      </w:r>
      <w:r>
        <w:t>if the person does not have an approved training contract—the person’s provisional commencement date; or</w:t>
      </w:r>
    </w:p>
    <w:p w14:paraId="017DDBCC" w14:textId="77777777" w:rsidR="00830EE1" w:rsidRPr="007E03BF" w:rsidRDefault="00830EE1" w:rsidP="00830EE1">
      <w:pPr>
        <w:pStyle w:val="paragraphsub"/>
      </w:pPr>
      <w:r w:rsidRPr="007E03BF">
        <w:tab/>
        <w:t>(i</w:t>
      </w:r>
      <w:r>
        <w:t>i</w:t>
      </w:r>
      <w:r w:rsidRPr="007E03BF">
        <w:t>)</w:t>
      </w:r>
      <w:r w:rsidRPr="007E03BF">
        <w:tab/>
      </w:r>
      <w:r>
        <w:t>if the person has a commencement date—that day; or</w:t>
      </w:r>
    </w:p>
    <w:p w14:paraId="5465D063" w14:textId="77777777" w:rsidR="00830EE1" w:rsidRDefault="00830EE1" w:rsidP="00830EE1">
      <w:pPr>
        <w:pStyle w:val="paragraphsub"/>
      </w:pPr>
      <w:r w:rsidRPr="007E03BF">
        <w:tab/>
        <w:t>(ii</w:t>
      </w:r>
      <w:r>
        <w:t>i</w:t>
      </w:r>
      <w:r w:rsidRPr="007E03BF">
        <w:t>)</w:t>
      </w:r>
      <w:r w:rsidRPr="007E03BF">
        <w:tab/>
      </w:r>
      <w:r>
        <w:t>if the person has a recommencement date—that day; and</w:t>
      </w:r>
    </w:p>
    <w:p w14:paraId="60F85768" w14:textId="77777777" w:rsidR="00830EE1" w:rsidRDefault="00830EE1" w:rsidP="00830EE1">
      <w:pPr>
        <w:pStyle w:val="paragraph"/>
      </w:pPr>
      <w:r w:rsidRPr="007E03BF">
        <w:tab/>
        <w:t>(b)</w:t>
      </w:r>
      <w:r w:rsidRPr="007E03BF">
        <w:tab/>
      </w:r>
      <w:r>
        <w:t>the day on which each subsequent instalment period of a person starts is the day that is a month from the day the previous instalment period starts.</w:t>
      </w:r>
    </w:p>
    <w:p w14:paraId="323E163C" w14:textId="77777777" w:rsidR="00830EE1" w:rsidRPr="007A2CAF" w:rsidRDefault="00830EE1" w:rsidP="00830EE1">
      <w:pPr>
        <w:pStyle w:val="notetext"/>
      </w:pPr>
      <w:r w:rsidRPr="00B400D5">
        <w:rPr>
          <w:snapToGrid w:val="0"/>
          <w:lang w:eastAsia="en-US"/>
        </w:rPr>
        <w:t>Note:</w:t>
      </w:r>
      <w:r w:rsidRPr="00B400D5">
        <w:rPr>
          <w:snapToGrid w:val="0"/>
          <w:lang w:eastAsia="en-US"/>
        </w:rPr>
        <w:tab/>
      </w:r>
      <w:r>
        <w:rPr>
          <w:snapToGrid w:val="0"/>
          <w:lang w:eastAsia="en-US"/>
        </w:rPr>
        <w:t xml:space="preserve">For the meaning of </w:t>
      </w:r>
      <w:r>
        <w:rPr>
          <w:b/>
          <w:bCs/>
          <w:i/>
          <w:iCs/>
          <w:snapToGrid w:val="0"/>
          <w:lang w:eastAsia="en-US"/>
        </w:rPr>
        <w:t>month</w:t>
      </w:r>
      <w:r>
        <w:rPr>
          <w:snapToGrid w:val="0"/>
          <w:lang w:eastAsia="en-US"/>
        </w:rPr>
        <w:t>, see subsection 2</w:t>
      </w:r>
      <w:proofErr w:type="gramStart"/>
      <w:r>
        <w:rPr>
          <w:snapToGrid w:val="0"/>
          <w:lang w:eastAsia="en-US"/>
        </w:rPr>
        <w:t>G(</w:t>
      </w:r>
      <w:proofErr w:type="gramEnd"/>
      <w:r>
        <w:rPr>
          <w:snapToGrid w:val="0"/>
          <w:lang w:eastAsia="en-US"/>
        </w:rPr>
        <w:t xml:space="preserve">1) of the </w:t>
      </w:r>
      <w:r>
        <w:rPr>
          <w:i/>
          <w:iCs/>
          <w:snapToGrid w:val="0"/>
          <w:lang w:eastAsia="en-US"/>
        </w:rPr>
        <w:t>Acts Interpretation Act 1901</w:t>
      </w:r>
      <w:r>
        <w:rPr>
          <w:snapToGrid w:val="0"/>
          <w:lang w:eastAsia="en-US"/>
        </w:rPr>
        <w:t>.</w:t>
      </w:r>
    </w:p>
    <w:p w14:paraId="12E7D364" w14:textId="77777777" w:rsidR="00830EE1" w:rsidRDefault="00830EE1" w:rsidP="00830EE1">
      <w:pPr>
        <w:pStyle w:val="subsection"/>
      </w:pPr>
      <w:r w:rsidRPr="007E03BF">
        <w:tab/>
        <w:t>(</w:t>
      </w:r>
      <w:r>
        <w:t>2</w:t>
      </w:r>
      <w:r w:rsidRPr="007E03BF">
        <w:t>)</w:t>
      </w:r>
      <w:r w:rsidRPr="007E03BF">
        <w:tab/>
      </w:r>
      <w:r>
        <w:t>For the purposes of paragraph 10(2)(b) of the Act, the duration of an instalment period of a person is a month.</w:t>
      </w:r>
    </w:p>
    <w:p w14:paraId="717E98F7" w14:textId="77777777" w:rsidR="00830EE1" w:rsidRDefault="00830EE1" w:rsidP="00830EE1">
      <w:pPr>
        <w:pStyle w:val="ActHead5"/>
        <w:rPr>
          <w:bCs/>
          <w:szCs w:val="24"/>
        </w:rPr>
      </w:pPr>
      <w:bookmarkStart w:id="16" w:name="_Toc113016610"/>
      <w:bookmarkEnd w:id="13"/>
      <w:bookmarkEnd w:id="15"/>
      <w:proofErr w:type="gramStart"/>
      <w:r w:rsidRPr="00B400D5">
        <w:t>1</w:t>
      </w:r>
      <w:r>
        <w:t>2</w:t>
      </w:r>
      <w:r w:rsidRPr="00B400D5">
        <w:t xml:space="preserve">  </w:t>
      </w:r>
      <w:r w:rsidRPr="00B400D5">
        <w:rPr>
          <w:bCs/>
          <w:szCs w:val="24"/>
        </w:rPr>
        <w:t>Special</w:t>
      </w:r>
      <w:proofErr w:type="gramEnd"/>
      <w:r w:rsidRPr="00B400D5">
        <w:rPr>
          <w:bCs/>
          <w:szCs w:val="24"/>
        </w:rPr>
        <w:t xml:space="preserve"> case qualification and </w:t>
      </w:r>
      <w:proofErr w:type="spellStart"/>
      <w:r w:rsidRPr="00B400D5">
        <w:rPr>
          <w:bCs/>
          <w:szCs w:val="24"/>
        </w:rPr>
        <w:t>payability</w:t>
      </w:r>
      <w:bookmarkEnd w:id="16"/>
      <w:proofErr w:type="spellEnd"/>
    </w:p>
    <w:p w14:paraId="20BF20A9" w14:textId="77777777" w:rsidR="00830EE1" w:rsidRDefault="00830EE1" w:rsidP="00830EE1">
      <w:pPr>
        <w:pStyle w:val="subsection"/>
      </w:pPr>
      <w:r w:rsidRPr="007E03BF">
        <w:tab/>
        <w:t>(1)</w:t>
      </w:r>
      <w:r w:rsidRPr="007E03BF">
        <w:tab/>
      </w:r>
      <w:r>
        <w:t>For the purposes of subsection 11(2) of the Act, the Secretary is to determine that subsection 11(1) of the Act applies to a person if:</w:t>
      </w:r>
    </w:p>
    <w:p w14:paraId="5F54C0A5" w14:textId="77777777" w:rsidR="00830EE1" w:rsidRPr="007E03BF" w:rsidRDefault="00830EE1" w:rsidP="00830EE1">
      <w:pPr>
        <w:pStyle w:val="paragraph"/>
      </w:pPr>
      <w:r w:rsidRPr="007E03BF">
        <w:tab/>
        <w:t>(a)</w:t>
      </w:r>
      <w:r w:rsidRPr="007E03BF">
        <w:tab/>
      </w:r>
      <w:r>
        <w:t xml:space="preserve">before the end of an instalment period of a person, the person or a designated State/Territory training authority notifies the Secretary of information that affects the </w:t>
      </w:r>
      <w:proofErr w:type="spellStart"/>
      <w:r>
        <w:t>payability</w:t>
      </w:r>
      <w:proofErr w:type="spellEnd"/>
      <w:r>
        <w:t xml:space="preserve"> of Australian apprenticeship support loan; and</w:t>
      </w:r>
    </w:p>
    <w:p w14:paraId="516F5E32" w14:textId="77777777" w:rsidR="00830EE1" w:rsidRPr="007E03BF" w:rsidRDefault="00830EE1" w:rsidP="00830EE1">
      <w:pPr>
        <w:pStyle w:val="paragraph"/>
      </w:pPr>
      <w:r w:rsidRPr="007E03BF">
        <w:tab/>
        <w:t>(b)</w:t>
      </w:r>
      <w:r w:rsidRPr="007E03BF">
        <w:tab/>
      </w:r>
      <w:r>
        <w:t>amounts continue to be paid to the person in relation to the instalment period.</w:t>
      </w:r>
    </w:p>
    <w:p w14:paraId="387D7F5A" w14:textId="77777777" w:rsidR="00830EE1" w:rsidRPr="007E03BF" w:rsidRDefault="00830EE1" w:rsidP="00830EE1">
      <w:pPr>
        <w:pStyle w:val="subsection"/>
      </w:pPr>
      <w:r w:rsidRPr="007E03BF">
        <w:tab/>
        <w:t>(2)</w:t>
      </w:r>
      <w:r w:rsidRPr="007E03BF">
        <w:tab/>
      </w:r>
      <w:r>
        <w:t>To avoid doubt, subsection (1) of this section does not limit the circumstances in which the Secretary may determine that subsection 11(1) of the Act does, or does not, apply to a person.</w:t>
      </w:r>
    </w:p>
    <w:p w14:paraId="6F55A26B" w14:textId="77777777" w:rsidR="00830EE1" w:rsidRDefault="00830EE1">
      <w:pPr>
        <w:spacing w:line="240" w:lineRule="auto"/>
        <w:rPr>
          <w:rFonts w:eastAsia="Times New Roman" w:cs="Times New Roman"/>
          <w:b/>
          <w:kern w:val="28"/>
          <w:sz w:val="32"/>
          <w:lang w:eastAsia="en-AU"/>
        </w:rPr>
      </w:pPr>
      <w:r>
        <w:br w:type="page"/>
      </w:r>
    </w:p>
    <w:p w14:paraId="6C89832E" w14:textId="2288A604" w:rsidR="00830EE1" w:rsidRDefault="00830EE1" w:rsidP="00830EE1">
      <w:pPr>
        <w:pStyle w:val="ActHead2"/>
      </w:pPr>
      <w:r w:rsidRPr="00B400D5">
        <w:lastRenderedPageBreak/>
        <w:t>Part 3—</w:t>
      </w:r>
      <w:r>
        <w:t xml:space="preserve">Applications, determinations, </w:t>
      </w:r>
      <w:proofErr w:type="gramStart"/>
      <w:r>
        <w:t>payment</w:t>
      </w:r>
      <w:proofErr w:type="gramEnd"/>
      <w:r>
        <w:t xml:space="preserve"> and designated State/Territory training authorities</w:t>
      </w:r>
    </w:p>
    <w:p w14:paraId="727A7923" w14:textId="77777777" w:rsidR="00830EE1" w:rsidRPr="00B400D5" w:rsidRDefault="00830EE1" w:rsidP="00830EE1">
      <w:pPr>
        <w:pStyle w:val="ActHead5"/>
      </w:pPr>
      <w:proofErr w:type="gramStart"/>
      <w:r>
        <w:t>13</w:t>
      </w:r>
      <w:r w:rsidRPr="00B400D5">
        <w:t xml:space="preserve">  </w:t>
      </w:r>
      <w:r>
        <w:t>Simplified</w:t>
      </w:r>
      <w:proofErr w:type="gramEnd"/>
      <w:r>
        <w:t xml:space="preserve"> outline of this</w:t>
      </w:r>
      <w:r w:rsidRPr="00B400D5">
        <w:t xml:space="preserve"> Part </w:t>
      </w:r>
    </w:p>
    <w:p w14:paraId="5F86369D" w14:textId="77777777" w:rsidR="00830EE1" w:rsidRDefault="00830EE1" w:rsidP="00830EE1">
      <w:pPr>
        <w:pStyle w:val="SOText"/>
      </w:pPr>
      <w:r w:rsidRPr="00852867">
        <w:t>This Part</w:t>
      </w:r>
      <w:r>
        <w:t xml:space="preserve"> deals with certain matters relating to applications, </w:t>
      </w:r>
      <w:proofErr w:type="gramStart"/>
      <w:r>
        <w:t>determinations</w:t>
      </w:r>
      <w:proofErr w:type="gramEnd"/>
      <w:r>
        <w:t xml:space="preserve"> and payment, including</w:t>
      </w:r>
      <w:r w:rsidRPr="00852867">
        <w:t>:</w:t>
      </w:r>
    </w:p>
    <w:p w14:paraId="3AEA0B76" w14:textId="77777777" w:rsidR="00830EE1" w:rsidRDefault="00830EE1" w:rsidP="00830EE1">
      <w:pPr>
        <w:pStyle w:val="SOPara"/>
      </w:pPr>
      <w:r w:rsidRPr="008E0E9F">
        <w:tab/>
        <w:t>(a)</w:t>
      </w:r>
      <w:r w:rsidRPr="008E0E9F">
        <w:tab/>
      </w:r>
      <w:r>
        <w:t xml:space="preserve">the manner in which an application for Australian apprenticeship support loan must be </w:t>
      </w:r>
      <w:proofErr w:type="gramStart"/>
      <w:r>
        <w:t>lodged</w:t>
      </w:r>
      <w:r w:rsidRPr="008E0E9F">
        <w:t>;</w:t>
      </w:r>
      <w:proofErr w:type="gramEnd"/>
    </w:p>
    <w:p w14:paraId="3FC69352" w14:textId="77777777" w:rsidR="00830EE1" w:rsidRDefault="00830EE1" w:rsidP="00830EE1">
      <w:pPr>
        <w:pStyle w:val="SOPara"/>
      </w:pPr>
      <w:r w:rsidRPr="008E0E9F">
        <w:tab/>
        <w:t>(</w:t>
      </w:r>
      <w:r>
        <w:t>b</w:t>
      </w:r>
      <w:r w:rsidRPr="008E0E9F">
        <w:t>)</w:t>
      </w:r>
      <w:r w:rsidRPr="008E0E9F">
        <w:tab/>
      </w:r>
      <w:r>
        <w:t>the period that is to be specified in a determination granting an application for Australian apprenticeship support loan; and</w:t>
      </w:r>
    </w:p>
    <w:p w14:paraId="400E8861" w14:textId="77777777" w:rsidR="00830EE1" w:rsidRDefault="00830EE1" w:rsidP="00830EE1">
      <w:pPr>
        <w:pStyle w:val="SOPara"/>
      </w:pPr>
      <w:r w:rsidRPr="008E0E9F">
        <w:tab/>
        <w:t>(</w:t>
      </w:r>
      <w:r>
        <w:t>c</w:t>
      </w:r>
      <w:r w:rsidRPr="008E0E9F">
        <w:t>)</w:t>
      </w:r>
      <w:r w:rsidRPr="008E0E9F">
        <w:tab/>
      </w:r>
      <w:r>
        <w:t xml:space="preserve">how to determine, on any </w:t>
      </w:r>
      <w:proofErr w:type="gramStart"/>
      <w:r>
        <w:t>particular day</w:t>
      </w:r>
      <w:proofErr w:type="gramEnd"/>
      <w:r>
        <w:t>, the year of an apprenticeship a person is undertaking.</w:t>
      </w:r>
    </w:p>
    <w:p w14:paraId="0892D80B" w14:textId="77777777" w:rsidR="00830EE1" w:rsidRPr="00F85F11" w:rsidRDefault="00830EE1" w:rsidP="00830EE1">
      <w:pPr>
        <w:pStyle w:val="SOText"/>
      </w:pPr>
      <w:r w:rsidRPr="00F5343E">
        <w:t>This Part also prescribes designated State/Territory training authorities.</w:t>
      </w:r>
    </w:p>
    <w:p w14:paraId="0476D991" w14:textId="77777777" w:rsidR="00830EE1" w:rsidRDefault="00830EE1" w:rsidP="00830EE1">
      <w:pPr>
        <w:pStyle w:val="ActHead5"/>
        <w:ind w:left="397" w:hanging="397"/>
      </w:pPr>
      <w:proofErr w:type="gramStart"/>
      <w:r w:rsidRPr="00B400D5">
        <w:t>1</w:t>
      </w:r>
      <w:r>
        <w:t>4</w:t>
      </w:r>
      <w:r w:rsidRPr="00B400D5">
        <w:t xml:space="preserve">  </w:t>
      </w:r>
      <w:r w:rsidRPr="00B400D5">
        <w:rPr>
          <w:bCs/>
          <w:szCs w:val="24"/>
        </w:rPr>
        <w:t>Manner</w:t>
      </w:r>
      <w:proofErr w:type="gramEnd"/>
      <w:r w:rsidRPr="00B400D5">
        <w:rPr>
          <w:bCs/>
          <w:szCs w:val="24"/>
        </w:rPr>
        <w:t xml:space="preserve"> of lodgement</w:t>
      </w:r>
      <w:r>
        <w:rPr>
          <w:bCs/>
          <w:szCs w:val="24"/>
        </w:rPr>
        <w:t xml:space="preserve"> for applications</w:t>
      </w:r>
    </w:p>
    <w:p w14:paraId="5E8552A9" w14:textId="77777777" w:rsidR="00830EE1" w:rsidRPr="007E03BF" w:rsidRDefault="00830EE1" w:rsidP="00830EE1">
      <w:pPr>
        <w:pStyle w:val="subsection"/>
      </w:pPr>
      <w:r w:rsidRPr="007E03BF">
        <w:tab/>
      </w:r>
      <w:r w:rsidRPr="007E03BF">
        <w:tab/>
      </w:r>
      <w:r>
        <w:t>For the purposes of paragraph 13(2)(b) of the Act, a person’s initial application for Australian apprenticeship support loan and any subsequent application to continue receiving Australian apprenticeship support loan must be lodged either:</w:t>
      </w:r>
    </w:p>
    <w:p w14:paraId="3BC10612" w14:textId="77777777" w:rsidR="00830EE1" w:rsidRPr="007E03BF" w:rsidRDefault="00830EE1" w:rsidP="00830EE1">
      <w:pPr>
        <w:pStyle w:val="paragraph"/>
      </w:pPr>
      <w:r w:rsidRPr="007E03BF">
        <w:tab/>
        <w:t>(a)</w:t>
      </w:r>
      <w:r w:rsidRPr="007E03BF">
        <w:tab/>
      </w:r>
      <w:r>
        <w:t>in person; or</w:t>
      </w:r>
    </w:p>
    <w:p w14:paraId="7712B0DC" w14:textId="77777777" w:rsidR="00830EE1" w:rsidRDefault="00830EE1" w:rsidP="00830EE1">
      <w:pPr>
        <w:pStyle w:val="paragraph"/>
      </w:pPr>
      <w:r w:rsidRPr="007E03BF">
        <w:tab/>
        <w:t>(b)</w:t>
      </w:r>
      <w:r w:rsidRPr="007E03BF">
        <w:tab/>
      </w:r>
      <w:r>
        <w:t>by mail; or</w:t>
      </w:r>
    </w:p>
    <w:p w14:paraId="2317DD56" w14:textId="77777777" w:rsidR="00830EE1" w:rsidRPr="007E03BF" w:rsidRDefault="00830EE1" w:rsidP="00830EE1">
      <w:pPr>
        <w:pStyle w:val="paragraph"/>
      </w:pPr>
      <w:r w:rsidRPr="007E03BF">
        <w:tab/>
        <w:t>(</w:t>
      </w:r>
      <w:r>
        <w:t>c</w:t>
      </w:r>
      <w:r w:rsidRPr="007E03BF">
        <w:t>)</w:t>
      </w:r>
      <w:r w:rsidRPr="007E03BF">
        <w:tab/>
      </w:r>
      <w:r>
        <w:t>by email; or</w:t>
      </w:r>
    </w:p>
    <w:p w14:paraId="6592F7FE" w14:textId="77777777" w:rsidR="00830EE1" w:rsidRDefault="00830EE1" w:rsidP="00830EE1">
      <w:pPr>
        <w:pStyle w:val="paragraph"/>
      </w:pPr>
      <w:r w:rsidRPr="007E03BF">
        <w:tab/>
        <w:t>(</w:t>
      </w:r>
      <w:r>
        <w:t>d</w:t>
      </w:r>
      <w:r w:rsidRPr="007E03BF">
        <w:t>)</w:t>
      </w:r>
      <w:r w:rsidRPr="007E03BF">
        <w:tab/>
      </w:r>
      <w:r>
        <w:t>electronically through a website or computer program made available by the Department for that purpose.</w:t>
      </w:r>
    </w:p>
    <w:p w14:paraId="5240BD9D" w14:textId="77777777" w:rsidR="00830EE1" w:rsidRDefault="00830EE1" w:rsidP="00830EE1">
      <w:pPr>
        <w:pStyle w:val="ActHead5"/>
        <w:ind w:left="369" w:hanging="369"/>
        <w:rPr>
          <w:bCs/>
          <w:szCs w:val="24"/>
        </w:rPr>
      </w:pPr>
      <w:bookmarkStart w:id="17" w:name="_Toc113016612"/>
      <w:proofErr w:type="gramStart"/>
      <w:r w:rsidRPr="00B400D5">
        <w:t>1</w:t>
      </w:r>
      <w:r>
        <w:t>5</w:t>
      </w:r>
      <w:r w:rsidRPr="00B400D5">
        <w:t xml:space="preserve">  </w:t>
      </w:r>
      <w:bookmarkEnd w:id="17"/>
      <w:r>
        <w:rPr>
          <w:bCs/>
          <w:szCs w:val="24"/>
        </w:rPr>
        <w:t>Period</w:t>
      </w:r>
      <w:proofErr w:type="gramEnd"/>
      <w:r>
        <w:rPr>
          <w:bCs/>
          <w:szCs w:val="24"/>
        </w:rPr>
        <w:t xml:space="preserve"> to be specified in determinations</w:t>
      </w:r>
    </w:p>
    <w:p w14:paraId="18B710EC" w14:textId="77777777" w:rsidR="00830EE1" w:rsidRDefault="00830EE1" w:rsidP="00830EE1">
      <w:pPr>
        <w:pStyle w:val="subsection"/>
      </w:pPr>
      <w:r w:rsidRPr="006065DA">
        <w:tab/>
      </w:r>
      <w:r w:rsidRPr="006065DA">
        <w:tab/>
      </w:r>
      <w:r>
        <w:t>For the purposes of subsection 16(3) of the Act, a determination granting an application for Australian apprenticeship support loan is only to specify up to 6 relevant instalment periods.</w:t>
      </w:r>
    </w:p>
    <w:p w14:paraId="4210DBE4" w14:textId="77777777" w:rsidR="00830EE1" w:rsidRDefault="00830EE1" w:rsidP="00830EE1">
      <w:pPr>
        <w:pStyle w:val="ActHead5"/>
        <w:ind w:left="0" w:firstLine="0"/>
        <w:rPr>
          <w:szCs w:val="22"/>
        </w:rPr>
      </w:pPr>
      <w:bookmarkStart w:id="18" w:name="_Toc113016613"/>
      <w:proofErr w:type="gramStart"/>
      <w:r w:rsidRPr="00B400D5">
        <w:rPr>
          <w:szCs w:val="22"/>
        </w:rPr>
        <w:t>1</w:t>
      </w:r>
      <w:r>
        <w:rPr>
          <w:szCs w:val="22"/>
        </w:rPr>
        <w:t>6</w:t>
      </w:r>
      <w:r w:rsidRPr="00B400D5">
        <w:rPr>
          <w:szCs w:val="22"/>
        </w:rPr>
        <w:t xml:space="preserve">  </w:t>
      </w:r>
      <w:r>
        <w:rPr>
          <w:szCs w:val="22"/>
        </w:rPr>
        <w:t>Determining</w:t>
      </w:r>
      <w:proofErr w:type="gramEnd"/>
      <w:r>
        <w:rPr>
          <w:szCs w:val="22"/>
        </w:rPr>
        <w:t xml:space="preserve"> y</w:t>
      </w:r>
      <w:r w:rsidRPr="00B400D5">
        <w:rPr>
          <w:szCs w:val="22"/>
        </w:rPr>
        <w:t>ear of apprenticeship</w:t>
      </w:r>
      <w:bookmarkEnd w:id="18"/>
    </w:p>
    <w:p w14:paraId="1BD08F79" w14:textId="77777777" w:rsidR="00830EE1" w:rsidRDefault="00830EE1" w:rsidP="00830EE1">
      <w:pPr>
        <w:pStyle w:val="subsection"/>
      </w:pPr>
      <w:r w:rsidRPr="007E03BF">
        <w:tab/>
      </w:r>
      <w:r w:rsidRPr="007E03BF">
        <w:tab/>
      </w:r>
      <w:r>
        <w:t xml:space="preserve">For the purposes of subsection 24(2) of the Act, the following way of determining, on any </w:t>
      </w:r>
      <w:proofErr w:type="gramStart"/>
      <w:r>
        <w:t>particular day</w:t>
      </w:r>
      <w:proofErr w:type="gramEnd"/>
      <w:r>
        <w:t>, the year of an apprenticeship a person is undertaking is prescribed:</w:t>
      </w:r>
    </w:p>
    <w:p w14:paraId="2B1CE009" w14:textId="77777777" w:rsidR="00830EE1" w:rsidRPr="007E03BF" w:rsidRDefault="00830EE1" w:rsidP="00830EE1">
      <w:pPr>
        <w:pStyle w:val="paragraph"/>
      </w:pPr>
      <w:r>
        <w:t xml:space="preserve"> </w:t>
      </w:r>
      <w:r w:rsidRPr="007E03BF">
        <w:tab/>
        <w:t>(a)</w:t>
      </w:r>
      <w:r w:rsidRPr="007E03BF">
        <w:tab/>
      </w:r>
      <w:r>
        <w:t xml:space="preserve">tally the total number of months of </w:t>
      </w:r>
      <w:r w:rsidRPr="00C00299">
        <w:t>a</w:t>
      </w:r>
      <w:r>
        <w:t xml:space="preserve"> qualifying apprenticeship that the person has completed; and</w:t>
      </w:r>
    </w:p>
    <w:p w14:paraId="0DCB9343" w14:textId="77777777" w:rsidR="00830EE1" w:rsidRDefault="00830EE1" w:rsidP="00830EE1">
      <w:pPr>
        <w:pStyle w:val="paragraph"/>
      </w:pPr>
      <w:r w:rsidRPr="007E03BF">
        <w:tab/>
        <w:t>(b)</w:t>
      </w:r>
      <w:r w:rsidRPr="007E03BF">
        <w:tab/>
      </w:r>
      <w:r>
        <w:t>work out the year of the apprenticeship using the following table:</w:t>
      </w:r>
    </w:p>
    <w:p w14:paraId="3EA91CF7" w14:textId="77777777" w:rsidR="00830EE1" w:rsidRDefault="00830EE1" w:rsidP="00830EE1">
      <w:pPr>
        <w:pStyle w:val="paragraph"/>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421"/>
        <w:gridCol w:w="5386"/>
        <w:gridCol w:w="2506"/>
      </w:tblGrid>
      <w:tr w:rsidR="00830EE1" w:rsidRPr="00F73AA4" w14:paraId="3C440ED6" w14:textId="77777777" w:rsidTr="009F18E8">
        <w:trPr>
          <w:tblHeader/>
        </w:trPr>
        <w:tc>
          <w:tcPr>
            <w:tcW w:w="8313" w:type="dxa"/>
            <w:gridSpan w:val="3"/>
            <w:tcBorders>
              <w:top w:val="single" w:sz="12" w:space="0" w:color="auto"/>
              <w:bottom w:val="single" w:sz="6" w:space="0" w:color="auto"/>
            </w:tcBorders>
            <w:shd w:val="clear" w:color="auto" w:fill="auto"/>
          </w:tcPr>
          <w:p w14:paraId="08519169" w14:textId="77777777" w:rsidR="00830EE1" w:rsidRPr="00F73AA4" w:rsidRDefault="00830EE1" w:rsidP="009F18E8">
            <w:pPr>
              <w:pStyle w:val="TableHeading"/>
            </w:pPr>
            <w:r>
              <w:lastRenderedPageBreak/>
              <w:t>Year of apprenticeship a person is undertaking</w:t>
            </w:r>
          </w:p>
        </w:tc>
      </w:tr>
      <w:tr w:rsidR="00830EE1" w:rsidRPr="00F73AA4" w14:paraId="016BE75B" w14:textId="77777777" w:rsidTr="009F18E8">
        <w:trPr>
          <w:tblHeader/>
        </w:trPr>
        <w:tc>
          <w:tcPr>
            <w:tcW w:w="421" w:type="dxa"/>
            <w:tcBorders>
              <w:top w:val="single" w:sz="6" w:space="0" w:color="auto"/>
              <w:bottom w:val="single" w:sz="12" w:space="0" w:color="auto"/>
            </w:tcBorders>
            <w:shd w:val="clear" w:color="auto" w:fill="auto"/>
          </w:tcPr>
          <w:p w14:paraId="19F9E93B" w14:textId="77777777" w:rsidR="00830EE1" w:rsidRPr="00F73AA4" w:rsidRDefault="00830EE1" w:rsidP="009F18E8">
            <w:pPr>
              <w:pStyle w:val="TableHeading"/>
            </w:pPr>
          </w:p>
        </w:tc>
        <w:tc>
          <w:tcPr>
            <w:tcW w:w="5386" w:type="dxa"/>
            <w:tcBorders>
              <w:top w:val="single" w:sz="6" w:space="0" w:color="auto"/>
              <w:bottom w:val="single" w:sz="12" w:space="0" w:color="auto"/>
            </w:tcBorders>
            <w:shd w:val="clear" w:color="auto" w:fill="auto"/>
          </w:tcPr>
          <w:p w14:paraId="23754CD5" w14:textId="77777777" w:rsidR="00830EE1" w:rsidRPr="00F73AA4" w:rsidRDefault="00830EE1" w:rsidP="009F18E8">
            <w:pPr>
              <w:pStyle w:val="TableHeading"/>
            </w:pPr>
            <w:r w:rsidRPr="00F73AA4">
              <w:t>Column 1</w:t>
            </w:r>
          </w:p>
          <w:p w14:paraId="66115D65" w14:textId="77777777" w:rsidR="00830EE1" w:rsidRPr="00F73AA4" w:rsidRDefault="00830EE1" w:rsidP="009F18E8">
            <w:pPr>
              <w:pStyle w:val="TableHeading"/>
            </w:pPr>
            <w:r>
              <w:t>Total number of months of qualifying apprenticeship completed</w:t>
            </w:r>
          </w:p>
        </w:tc>
        <w:tc>
          <w:tcPr>
            <w:tcW w:w="2506" w:type="dxa"/>
            <w:tcBorders>
              <w:top w:val="single" w:sz="6" w:space="0" w:color="auto"/>
              <w:bottom w:val="single" w:sz="12" w:space="0" w:color="auto"/>
            </w:tcBorders>
            <w:shd w:val="clear" w:color="auto" w:fill="auto"/>
          </w:tcPr>
          <w:p w14:paraId="4338D99D" w14:textId="77777777" w:rsidR="00830EE1" w:rsidRPr="00F73AA4" w:rsidRDefault="00830EE1" w:rsidP="009F18E8">
            <w:pPr>
              <w:pStyle w:val="TableHeading"/>
            </w:pPr>
            <w:r w:rsidRPr="00F73AA4">
              <w:t>Column 2</w:t>
            </w:r>
          </w:p>
          <w:p w14:paraId="7701216A" w14:textId="77777777" w:rsidR="00830EE1" w:rsidRPr="00F73AA4" w:rsidRDefault="00830EE1" w:rsidP="009F18E8">
            <w:pPr>
              <w:pStyle w:val="TableHeading"/>
            </w:pPr>
            <w:r>
              <w:t>Year of apprenticeship</w:t>
            </w:r>
          </w:p>
        </w:tc>
      </w:tr>
      <w:tr w:rsidR="00830EE1" w:rsidRPr="00F73AA4" w14:paraId="3B438863" w14:textId="77777777" w:rsidTr="009F18E8">
        <w:tc>
          <w:tcPr>
            <w:tcW w:w="421" w:type="dxa"/>
            <w:tcBorders>
              <w:top w:val="single" w:sz="12" w:space="0" w:color="auto"/>
            </w:tcBorders>
            <w:shd w:val="clear" w:color="auto" w:fill="auto"/>
          </w:tcPr>
          <w:p w14:paraId="23974DAD" w14:textId="77777777" w:rsidR="00830EE1" w:rsidRPr="00F73AA4" w:rsidRDefault="00830EE1" w:rsidP="009F18E8">
            <w:pPr>
              <w:pStyle w:val="Tabletext"/>
            </w:pPr>
            <w:r w:rsidRPr="00F73AA4">
              <w:t>1</w:t>
            </w:r>
          </w:p>
        </w:tc>
        <w:tc>
          <w:tcPr>
            <w:tcW w:w="5386" w:type="dxa"/>
            <w:tcBorders>
              <w:top w:val="single" w:sz="12" w:space="0" w:color="auto"/>
            </w:tcBorders>
            <w:shd w:val="clear" w:color="auto" w:fill="auto"/>
          </w:tcPr>
          <w:p w14:paraId="7E8BA17D" w14:textId="77777777" w:rsidR="00830EE1" w:rsidRPr="00F73AA4" w:rsidRDefault="00830EE1" w:rsidP="009F18E8">
            <w:pPr>
              <w:pStyle w:val="Tabletext"/>
            </w:pPr>
            <w:r>
              <w:t>1 to 12 months</w:t>
            </w:r>
          </w:p>
        </w:tc>
        <w:tc>
          <w:tcPr>
            <w:tcW w:w="2506" w:type="dxa"/>
            <w:tcBorders>
              <w:top w:val="single" w:sz="12" w:space="0" w:color="auto"/>
            </w:tcBorders>
            <w:shd w:val="clear" w:color="auto" w:fill="auto"/>
          </w:tcPr>
          <w:p w14:paraId="4DBF343B" w14:textId="77777777" w:rsidR="00830EE1" w:rsidRPr="00F73AA4" w:rsidRDefault="00830EE1" w:rsidP="009F18E8">
            <w:pPr>
              <w:pStyle w:val="Tabletext"/>
            </w:pPr>
            <w:r>
              <w:t>First year</w:t>
            </w:r>
          </w:p>
        </w:tc>
      </w:tr>
      <w:tr w:rsidR="00830EE1" w:rsidRPr="00F73AA4" w14:paraId="1B3FA362" w14:textId="77777777" w:rsidTr="009F18E8">
        <w:tc>
          <w:tcPr>
            <w:tcW w:w="421" w:type="dxa"/>
            <w:tcBorders>
              <w:bottom w:val="single" w:sz="2" w:space="0" w:color="auto"/>
            </w:tcBorders>
            <w:shd w:val="clear" w:color="auto" w:fill="auto"/>
          </w:tcPr>
          <w:p w14:paraId="28D40659" w14:textId="77777777" w:rsidR="00830EE1" w:rsidRPr="00F73AA4" w:rsidRDefault="00830EE1" w:rsidP="009F18E8">
            <w:pPr>
              <w:pStyle w:val="Tabletext"/>
            </w:pPr>
            <w:r w:rsidRPr="00F73AA4">
              <w:t>2</w:t>
            </w:r>
          </w:p>
        </w:tc>
        <w:tc>
          <w:tcPr>
            <w:tcW w:w="5386" w:type="dxa"/>
            <w:tcBorders>
              <w:bottom w:val="single" w:sz="2" w:space="0" w:color="auto"/>
            </w:tcBorders>
            <w:shd w:val="clear" w:color="auto" w:fill="auto"/>
          </w:tcPr>
          <w:p w14:paraId="690449A3" w14:textId="77777777" w:rsidR="00830EE1" w:rsidRPr="00F73AA4" w:rsidRDefault="00830EE1" w:rsidP="009F18E8">
            <w:pPr>
              <w:pStyle w:val="Tabletext"/>
            </w:pPr>
            <w:r>
              <w:t>13 to 24 months</w:t>
            </w:r>
          </w:p>
        </w:tc>
        <w:tc>
          <w:tcPr>
            <w:tcW w:w="2506" w:type="dxa"/>
            <w:tcBorders>
              <w:bottom w:val="single" w:sz="2" w:space="0" w:color="auto"/>
            </w:tcBorders>
            <w:shd w:val="clear" w:color="auto" w:fill="auto"/>
          </w:tcPr>
          <w:p w14:paraId="6489F317" w14:textId="77777777" w:rsidR="00830EE1" w:rsidRPr="00F73AA4" w:rsidRDefault="00830EE1" w:rsidP="009F18E8">
            <w:pPr>
              <w:pStyle w:val="Tabletext"/>
            </w:pPr>
            <w:r>
              <w:t>Second year</w:t>
            </w:r>
          </w:p>
        </w:tc>
      </w:tr>
      <w:tr w:rsidR="00830EE1" w:rsidRPr="00F73AA4" w14:paraId="3A6D3018" w14:textId="77777777" w:rsidTr="009F18E8">
        <w:tc>
          <w:tcPr>
            <w:tcW w:w="421" w:type="dxa"/>
            <w:tcBorders>
              <w:top w:val="single" w:sz="2" w:space="0" w:color="auto"/>
              <w:bottom w:val="single" w:sz="2" w:space="0" w:color="auto"/>
            </w:tcBorders>
            <w:shd w:val="clear" w:color="auto" w:fill="auto"/>
          </w:tcPr>
          <w:p w14:paraId="736B9AE6" w14:textId="77777777" w:rsidR="00830EE1" w:rsidRPr="00F73AA4" w:rsidRDefault="00830EE1" w:rsidP="009F18E8">
            <w:pPr>
              <w:pStyle w:val="Tabletext"/>
            </w:pPr>
            <w:r w:rsidRPr="00F73AA4">
              <w:t>3</w:t>
            </w:r>
          </w:p>
        </w:tc>
        <w:tc>
          <w:tcPr>
            <w:tcW w:w="5386" w:type="dxa"/>
            <w:tcBorders>
              <w:top w:val="single" w:sz="2" w:space="0" w:color="auto"/>
              <w:bottom w:val="single" w:sz="2" w:space="0" w:color="auto"/>
            </w:tcBorders>
            <w:shd w:val="clear" w:color="auto" w:fill="auto"/>
          </w:tcPr>
          <w:p w14:paraId="02226185" w14:textId="77777777" w:rsidR="00830EE1" w:rsidRPr="00F73AA4" w:rsidRDefault="00830EE1" w:rsidP="009F18E8">
            <w:pPr>
              <w:pStyle w:val="Tabletext"/>
            </w:pPr>
            <w:r>
              <w:t>25 to 36 months</w:t>
            </w:r>
          </w:p>
        </w:tc>
        <w:tc>
          <w:tcPr>
            <w:tcW w:w="2506" w:type="dxa"/>
            <w:tcBorders>
              <w:top w:val="single" w:sz="2" w:space="0" w:color="auto"/>
              <w:bottom w:val="single" w:sz="2" w:space="0" w:color="auto"/>
            </w:tcBorders>
            <w:shd w:val="clear" w:color="auto" w:fill="auto"/>
          </w:tcPr>
          <w:p w14:paraId="7C03D772" w14:textId="77777777" w:rsidR="00830EE1" w:rsidRPr="00F73AA4" w:rsidRDefault="00830EE1" w:rsidP="009F18E8">
            <w:pPr>
              <w:pStyle w:val="Tabletext"/>
            </w:pPr>
            <w:r>
              <w:t>Third year</w:t>
            </w:r>
          </w:p>
        </w:tc>
      </w:tr>
      <w:tr w:rsidR="00830EE1" w:rsidRPr="00F73AA4" w14:paraId="3E332C8F" w14:textId="77777777" w:rsidTr="009F18E8">
        <w:tc>
          <w:tcPr>
            <w:tcW w:w="421" w:type="dxa"/>
            <w:tcBorders>
              <w:top w:val="single" w:sz="2" w:space="0" w:color="auto"/>
              <w:bottom w:val="single" w:sz="12" w:space="0" w:color="auto"/>
            </w:tcBorders>
            <w:shd w:val="clear" w:color="auto" w:fill="auto"/>
          </w:tcPr>
          <w:p w14:paraId="09DAE70F" w14:textId="77777777" w:rsidR="00830EE1" w:rsidRPr="00F73AA4" w:rsidRDefault="00830EE1" w:rsidP="009F18E8">
            <w:pPr>
              <w:pStyle w:val="Tabletext"/>
            </w:pPr>
            <w:r>
              <w:t>4</w:t>
            </w:r>
          </w:p>
        </w:tc>
        <w:tc>
          <w:tcPr>
            <w:tcW w:w="5386" w:type="dxa"/>
            <w:tcBorders>
              <w:top w:val="single" w:sz="2" w:space="0" w:color="auto"/>
              <w:bottom w:val="single" w:sz="12" w:space="0" w:color="auto"/>
            </w:tcBorders>
            <w:shd w:val="clear" w:color="auto" w:fill="auto"/>
          </w:tcPr>
          <w:p w14:paraId="2DDED1DD" w14:textId="77777777" w:rsidR="00830EE1" w:rsidRDefault="00830EE1" w:rsidP="009F18E8">
            <w:pPr>
              <w:pStyle w:val="Tabletext"/>
            </w:pPr>
            <w:r>
              <w:t>37 or more months</w:t>
            </w:r>
          </w:p>
        </w:tc>
        <w:tc>
          <w:tcPr>
            <w:tcW w:w="2506" w:type="dxa"/>
            <w:tcBorders>
              <w:top w:val="single" w:sz="2" w:space="0" w:color="auto"/>
              <w:bottom w:val="single" w:sz="12" w:space="0" w:color="auto"/>
            </w:tcBorders>
            <w:shd w:val="clear" w:color="auto" w:fill="auto"/>
          </w:tcPr>
          <w:p w14:paraId="5825D397" w14:textId="77777777" w:rsidR="00830EE1" w:rsidRDefault="00830EE1" w:rsidP="009F18E8">
            <w:pPr>
              <w:pStyle w:val="Tabletext"/>
            </w:pPr>
            <w:r>
              <w:t>Fourth year</w:t>
            </w:r>
          </w:p>
        </w:tc>
      </w:tr>
    </w:tbl>
    <w:p w14:paraId="4C414895" w14:textId="77777777" w:rsidR="00830EE1" w:rsidRPr="00B400D5" w:rsidRDefault="00830EE1" w:rsidP="00830EE1">
      <w:pPr>
        <w:pStyle w:val="ActHead5"/>
        <w:ind w:left="0" w:firstLine="0"/>
        <w:rPr>
          <w:bCs/>
          <w:szCs w:val="24"/>
        </w:rPr>
      </w:pPr>
      <w:bookmarkStart w:id="19" w:name="_Toc113016614"/>
      <w:proofErr w:type="gramStart"/>
      <w:r w:rsidRPr="00B400D5">
        <w:t>1</w:t>
      </w:r>
      <w:r>
        <w:t>7</w:t>
      </w:r>
      <w:r w:rsidRPr="00B400D5">
        <w:t xml:space="preserve">  </w:t>
      </w:r>
      <w:r w:rsidRPr="00B400D5">
        <w:rPr>
          <w:bCs/>
          <w:szCs w:val="24"/>
        </w:rPr>
        <w:t>Designated</w:t>
      </w:r>
      <w:proofErr w:type="gramEnd"/>
      <w:r w:rsidRPr="00B400D5">
        <w:rPr>
          <w:bCs/>
          <w:szCs w:val="24"/>
        </w:rPr>
        <w:t xml:space="preserve"> State/Territory training authorit</w:t>
      </w:r>
      <w:r>
        <w:rPr>
          <w:bCs/>
          <w:szCs w:val="24"/>
        </w:rPr>
        <w:t>ies</w:t>
      </w:r>
      <w:bookmarkEnd w:id="19"/>
    </w:p>
    <w:p w14:paraId="7B6F6179" w14:textId="10A514E3" w:rsidR="00830EE1" w:rsidRPr="007E03BF" w:rsidRDefault="00830EE1" w:rsidP="00830EE1">
      <w:pPr>
        <w:pStyle w:val="subsection"/>
      </w:pPr>
      <w:r w:rsidRPr="006065DA">
        <w:tab/>
      </w:r>
      <w:r w:rsidRPr="006065DA">
        <w:tab/>
      </w:r>
      <w:r>
        <w:t>For the purposes of subsection 40(3) of the Act, a designated State/Territory training authority is the authority of a State or Territory that is responsible for approving training contracts.</w:t>
      </w:r>
    </w:p>
    <w:p w14:paraId="1D7B8461" w14:textId="77777777" w:rsidR="00830EE1" w:rsidRDefault="00830EE1">
      <w:pPr>
        <w:spacing w:line="240" w:lineRule="auto"/>
        <w:rPr>
          <w:rFonts w:eastAsia="Times New Roman" w:cs="Times New Roman"/>
          <w:b/>
          <w:kern w:val="28"/>
          <w:sz w:val="32"/>
          <w:lang w:eastAsia="en-AU"/>
        </w:rPr>
      </w:pPr>
      <w:bookmarkStart w:id="20" w:name="_Toc113016615"/>
      <w:r>
        <w:br w:type="page"/>
      </w:r>
    </w:p>
    <w:p w14:paraId="5994BB2A" w14:textId="77BCB513" w:rsidR="00830EE1" w:rsidRDefault="00830EE1" w:rsidP="00830EE1">
      <w:pPr>
        <w:pStyle w:val="ActHead2"/>
      </w:pPr>
      <w:r>
        <w:lastRenderedPageBreak/>
        <w:t>Part 4—Overseas debtor</w:t>
      </w:r>
      <w:bookmarkEnd w:id="20"/>
      <w:r>
        <w:t xml:space="preserve"> repayments</w:t>
      </w:r>
    </w:p>
    <w:p w14:paraId="39DD20FC" w14:textId="77777777" w:rsidR="00830EE1" w:rsidRPr="00852867" w:rsidRDefault="00830EE1" w:rsidP="00830EE1">
      <w:pPr>
        <w:pStyle w:val="ActHead3"/>
      </w:pPr>
      <w:bookmarkStart w:id="21" w:name="_Toc517850955"/>
      <w:r w:rsidRPr="00852867">
        <w:rPr>
          <w:rStyle w:val="CharDivNo"/>
        </w:rPr>
        <w:t>Division 1</w:t>
      </w:r>
      <w:r w:rsidRPr="00852867">
        <w:t>—</w:t>
      </w:r>
      <w:bookmarkEnd w:id="21"/>
      <w:r>
        <w:rPr>
          <w:rStyle w:val="CharDivText"/>
        </w:rPr>
        <w:t>Introduction</w:t>
      </w:r>
    </w:p>
    <w:p w14:paraId="5EDD0198" w14:textId="002FD19A" w:rsidR="00830EE1" w:rsidRPr="00B400D5" w:rsidRDefault="00830EE1" w:rsidP="00830EE1">
      <w:pPr>
        <w:pStyle w:val="ActHead5"/>
      </w:pPr>
      <w:bookmarkStart w:id="22" w:name="_Toc113016616"/>
      <w:proofErr w:type="gramStart"/>
      <w:r>
        <w:t>18</w:t>
      </w:r>
      <w:r w:rsidRPr="00B400D5">
        <w:t xml:space="preserve">  </w:t>
      </w:r>
      <w:r>
        <w:t>Simplified</w:t>
      </w:r>
      <w:proofErr w:type="gramEnd"/>
      <w:r>
        <w:t xml:space="preserve"> outline of this</w:t>
      </w:r>
      <w:r w:rsidRPr="00B400D5">
        <w:t xml:space="preserve"> Part </w:t>
      </w:r>
    </w:p>
    <w:p w14:paraId="5F930998" w14:textId="2C90FD6E" w:rsidR="00830EE1" w:rsidRDefault="00830EE1" w:rsidP="00830EE1">
      <w:pPr>
        <w:pBdr>
          <w:top w:val="single" w:sz="6" w:space="5" w:color="auto"/>
          <w:left w:val="single" w:sz="6" w:space="5" w:color="auto"/>
          <w:bottom w:val="single" w:sz="6" w:space="5" w:color="auto"/>
          <w:right w:val="single" w:sz="6" w:space="5" w:color="auto"/>
        </w:pBdr>
        <w:spacing w:before="240" w:line="240" w:lineRule="auto"/>
        <w:ind w:left="1134"/>
      </w:pPr>
      <w:r w:rsidRPr="00852867">
        <w:t>This Part</w:t>
      </w:r>
      <w:r>
        <w:t xml:space="preserve"> provides for:</w:t>
      </w:r>
    </w:p>
    <w:p w14:paraId="26E40335" w14:textId="5B99E47D" w:rsidR="00830EE1" w:rsidRDefault="00830EE1" w:rsidP="00830EE1">
      <w:pPr>
        <w:pStyle w:val="SOPara"/>
      </w:pPr>
      <w:r w:rsidRPr="008E0E9F">
        <w:tab/>
        <w:t>(a)</w:t>
      </w:r>
      <w:r w:rsidRPr="008E0E9F">
        <w:tab/>
      </w:r>
      <w:r>
        <w:t>how to work out a person’s foreign-sourced income for an income year, including how to convert it into Australian currency; and</w:t>
      </w:r>
    </w:p>
    <w:p w14:paraId="145BCCD1" w14:textId="6985A08C" w:rsidR="00830EE1" w:rsidRDefault="00830EE1" w:rsidP="00830EE1">
      <w:pPr>
        <w:pStyle w:val="SOPara"/>
      </w:pPr>
      <w:r w:rsidRPr="008E0E9F">
        <w:tab/>
        <w:t>(b)</w:t>
      </w:r>
      <w:r w:rsidRPr="008E0E9F">
        <w:tab/>
      </w:r>
      <w:r>
        <w:t>the content of certain notices to be given to the Commissioner.</w:t>
      </w:r>
    </w:p>
    <w:p w14:paraId="62976BAD" w14:textId="77777777" w:rsidR="00830EE1" w:rsidRDefault="00830EE1">
      <w:pPr>
        <w:spacing w:line="240" w:lineRule="auto"/>
        <w:rPr>
          <w:rStyle w:val="CharDivNo"/>
          <w:rFonts w:eastAsia="Times New Roman" w:cs="Times New Roman"/>
          <w:b/>
          <w:kern w:val="28"/>
          <w:sz w:val="28"/>
          <w:lang w:eastAsia="en-AU"/>
        </w:rPr>
      </w:pPr>
      <w:r>
        <w:rPr>
          <w:rStyle w:val="CharDivNo"/>
        </w:rPr>
        <w:br w:type="page"/>
      </w:r>
    </w:p>
    <w:p w14:paraId="3B1915ED" w14:textId="6A325600" w:rsidR="00830EE1" w:rsidRPr="00852867" w:rsidRDefault="00830EE1" w:rsidP="00830EE1">
      <w:pPr>
        <w:pStyle w:val="ActHead3"/>
      </w:pPr>
      <w:r w:rsidRPr="00852867">
        <w:rPr>
          <w:rStyle w:val="CharDivNo"/>
        </w:rPr>
        <w:lastRenderedPageBreak/>
        <w:t>Division </w:t>
      </w:r>
      <w:r>
        <w:rPr>
          <w:rStyle w:val="CharDivNo"/>
        </w:rPr>
        <w:t>2</w:t>
      </w:r>
      <w:r w:rsidRPr="00852867">
        <w:t>—</w:t>
      </w:r>
      <w:r>
        <w:rPr>
          <w:rStyle w:val="CharDivText"/>
        </w:rPr>
        <w:t>Foreign-sourced income</w:t>
      </w:r>
    </w:p>
    <w:p w14:paraId="4C6AECE1" w14:textId="199CA0A8" w:rsidR="00830EE1" w:rsidRPr="006A154F" w:rsidRDefault="00830EE1" w:rsidP="00830EE1">
      <w:pPr>
        <w:pStyle w:val="ActHead5"/>
        <w:rPr>
          <w:highlight w:val="yellow"/>
        </w:rPr>
      </w:pPr>
      <w:proofErr w:type="gramStart"/>
      <w:r>
        <w:t>19</w:t>
      </w:r>
      <w:r w:rsidRPr="00B400D5">
        <w:t xml:space="preserve">  </w:t>
      </w:r>
      <w:r>
        <w:t>Working</w:t>
      </w:r>
      <w:proofErr w:type="gramEnd"/>
      <w:r>
        <w:t xml:space="preserve"> out a person’s foreign-sourced income</w:t>
      </w:r>
    </w:p>
    <w:p w14:paraId="3D0E4E07" w14:textId="343AFBF0" w:rsidR="00830EE1" w:rsidRDefault="00830EE1" w:rsidP="00830EE1">
      <w:pPr>
        <w:pStyle w:val="subsection"/>
      </w:pPr>
      <w:bookmarkStart w:id="23" w:name="_Hlk140136675"/>
      <w:r w:rsidRPr="00330323">
        <w:tab/>
        <w:t>(1)</w:t>
      </w:r>
      <w:r w:rsidRPr="00330323">
        <w:tab/>
      </w:r>
      <w:r>
        <w:t>For the purposes of subsection 47</w:t>
      </w:r>
      <w:proofErr w:type="gramStart"/>
      <w:r>
        <w:t>B(</w:t>
      </w:r>
      <w:proofErr w:type="gramEnd"/>
      <w:r>
        <w:t>2) of the Act, one of the following methods may be used to work out a person’s foreign-sourced income for an income year:</w:t>
      </w:r>
      <w:r w:rsidRPr="00330323">
        <w:t xml:space="preserve"> </w:t>
      </w:r>
    </w:p>
    <w:p w14:paraId="68D437A9" w14:textId="335DA279" w:rsidR="00830EE1" w:rsidRPr="007E03BF" w:rsidRDefault="00830EE1" w:rsidP="00830EE1">
      <w:pPr>
        <w:pStyle w:val="paragraph"/>
      </w:pPr>
      <w:r w:rsidRPr="007E03BF">
        <w:tab/>
        <w:t>(a)</w:t>
      </w:r>
      <w:r w:rsidRPr="007E03BF">
        <w:tab/>
      </w:r>
      <w:r>
        <w:t>the simple self-assessment method (see section 20</w:t>
      </w:r>
      <w:proofErr w:type="gramStart"/>
      <w:r>
        <w:t>)</w:t>
      </w:r>
      <w:r w:rsidRPr="007E03BF">
        <w:t>;</w:t>
      </w:r>
      <w:proofErr w:type="gramEnd"/>
      <w:r w:rsidRPr="007E03BF">
        <w:t xml:space="preserve"> </w:t>
      </w:r>
    </w:p>
    <w:p w14:paraId="3068356C" w14:textId="77777777" w:rsidR="00830EE1" w:rsidRDefault="00830EE1" w:rsidP="00830EE1">
      <w:pPr>
        <w:pStyle w:val="paragraph"/>
      </w:pPr>
      <w:r w:rsidRPr="007E03BF">
        <w:tab/>
        <w:t>(b)</w:t>
      </w:r>
      <w:r w:rsidRPr="007E03BF">
        <w:tab/>
      </w:r>
      <w:r>
        <w:t>the overseas assessed method (see section 21</w:t>
      </w:r>
      <w:proofErr w:type="gramStart"/>
      <w:r>
        <w:t>);</w:t>
      </w:r>
      <w:proofErr w:type="gramEnd"/>
      <w:r>
        <w:t xml:space="preserve"> </w:t>
      </w:r>
    </w:p>
    <w:p w14:paraId="28D640B6" w14:textId="1B0F4553" w:rsidR="00830EE1" w:rsidRPr="007E03BF" w:rsidRDefault="00830EE1" w:rsidP="00830EE1">
      <w:pPr>
        <w:pStyle w:val="paragraph"/>
      </w:pPr>
      <w:r w:rsidRPr="007E03BF">
        <w:tab/>
        <w:t>(</w:t>
      </w:r>
      <w:r>
        <w:t>c</w:t>
      </w:r>
      <w:r w:rsidRPr="007E03BF">
        <w:t>)</w:t>
      </w:r>
      <w:r w:rsidRPr="007E03BF">
        <w:tab/>
      </w:r>
      <w:r>
        <w:t>the comprehensive tax-based method (see section 22).</w:t>
      </w:r>
    </w:p>
    <w:p w14:paraId="3E7D3CBE" w14:textId="77777777" w:rsidR="00830EE1" w:rsidRPr="00B400D5" w:rsidRDefault="00830EE1" w:rsidP="00830EE1">
      <w:pPr>
        <w:pStyle w:val="notetext"/>
      </w:pPr>
      <w:r w:rsidRPr="00B400D5">
        <w:rPr>
          <w:snapToGrid w:val="0"/>
          <w:lang w:eastAsia="en-US"/>
        </w:rPr>
        <w:t>Note:</w:t>
      </w:r>
      <w:r w:rsidRPr="00B400D5">
        <w:rPr>
          <w:snapToGrid w:val="0"/>
          <w:lang w:eastAsia="en-US"/>
        </w:rPr>
        <w:tab/>
      </w:r>
      <w:r>
        <w:rPr>
          <w:snapToGrid w:val="0"/>
          <w:lang w:eastAsia="en-US"/>
        </w:rPr>
        <w:t>Subsection 21(2) restricts when the overseas assessed method can be used.</w:t>
      </w:r>
    </w:p>
    <w:bookmarkEnd w:id="23"/>
    <w:p w14:paraId="65900875" w14:textId="22CDD699" w:rsidR="00830EE1" w:rsidRDefault="00830EE1" w:rsidP="00830EE1">
      <w:pPr>
        <w:pStyle w:val="subsection"/>
      </w:pPr>
      <w:r w:rsidRPr="00330323">
        <w:tab/>
        <w:t>(</w:t>
      </w:r>
      <w:r>
        <w:t>2</w:t>
      </w:r>
      <w:r w:rsidRPr="00330323">
        <w:t>)</w:t>
      </w:r>
      <w:r w:rsidRPr="00330323">
        <w:tab/>
      </w:r>
      <w:r>
        <w:t>The method to be used to work out the person’s foreign-sourced income for an income year is the method that the person chooses, as stated in the notice given to the Commissioner under subsection 47</w:t>
      </w:r>
      <w:proofErr w:type="gramStart"/>
      <w:r>
        <w:t>C(</w:t>
      </w:r>
      <w:proofErr w:type="gramEnd"/>
      <w:r>
        <w:t>3) of the Act, relating to the person’s income for that income year.</w:t>
      </w:r>
    </w:p>
    <w:p w14:paraId="61A15CA0" w14:textId="77777777" w:rsidR="00830EE1" w:rsidRDefault="00830EE1" w:rsidP="00830EE1">
      <w:pPr>
        <w:pStyle w:val="subsection"/>
      </w:pPr>
      <w:r w:rsidRPr="00330323">
        <w:tab/>
        <w:t>(</w:t>
      </w:r>
      <w:r>
        <w:t>3</w:t>
      </w:r>
      <w:r w:rsidRPr="00330323">
        <w:t>)</w:t>
      </w:r>
      <w:r w:rsidRPr="00330323">
        <w:tab/>
      </w:r>
      <w:r>
        <w:t>Only one of the methods in subsection (1) may be used for an income year.</w:t>
      </w:r>
    </w:p>
    <w:p w14:paraId="066B4417" w14:textId="4D56ECD1" w:rsidR="00830EE1" w:rsidRDefault="00830EE1" w:rsidP="00830EE1">
      <w:pPr>
        <w:pStyle w:val="subsection"/>
      </w:pPr>
      <w:r w:rsidRPr="00330323">
        <w:tab/>
        <w:t>(</w:t>
      </w:r>
      <w:r>
        <w:t>4</w:t>
      </w:r>
      <w:r w:rsidRPr="00330323">
        <w:t>)</w:t>
      </w:r>
      <w:r w:rsidRPr="00330323">
        <w:tab/>
      </w:r>
      <w:r>
        <w:t>If, in a notice given under subsection 47</w:t>
      </w:r>
      <w:proofErr w:type="gramStart"/>
      <w:r>
        <w:t>C(</w:t>
      </w:r>
      <w:proofErr w:type="gramEnd"/>
      <w:r>
        <w:t>3) of the Act, the person does not state a method that should be used for an income year, then the simple self-assessment method</w:t>
      </w:r>
      <w:r w:rsidRPr="006E39E3">
        <w:t xml:space="preserve"> may</w:t>
      </w:r>
      <w:r>
        <w:t xml:space="preserve"> be used to work out the person’s foreign-sourced income for that income year.</w:t>
      </w:r>
    </w:p>
    <w:p w14:paraId="5C1FD14A" w14:textId="56242BAF" w:rsidR="00830EE1" w:rsidRPr="006D5D26" w:rsidRDefault="00830EE1" w:rsidP="00830EE1">
      <w:pPr>
        <w:pStyle w:val="ActHead5"/>
      </w:pPr>
      <w:proofErr w:type="gramStart"/>
      <w:r>
        <w:t>20</w:t>
      </w:r>
      <w:r w:rsidRPr="006D5D26">
        <w:t xml:space="preserve">  The</w:t>
      </w:r>
      <w:proofErr w:type="gramEnd"/>
      <w:r w:rsidRPr="006D5D26">
        <w:t xml:space="preserve"> simple self</w:t>
      </w:r>
      <w:r>
        <w:t>-</w:t>
      </w:r>
      <w:r w:rsidRPr="006D5D26">
        <w:t>assessment method</w:t>
      </w:r>
    </w:p>
    <w:p w14:paraId="4BACE0CB" w14:textId="0A308C33" w:rsidR="00830EE1" w:rsidRDefault="00830EE1" w:rsidP="00830EE1">
      <w:pPr>
        <w:pStyle w:val="subsection"/>
      </w:pPr>
      <w:r w:rsidRPr="006D5D26">
        <w:tab/>
        <w:t>(1)</w:t>
      </w:r>
      <w:r w:rsidRPr="006D5D26">
        <w:tab/>
      </w:r>
      <w:r>
        <w:t>Under the simple self-assessment method, a person’s foreign-sourced income for an income year is the amount that is equal to the difference between:</w:t>
      </w:r>
    </w:p>
    <w:p w14:paraId="4238AE94" w14:textId="77777777" w:rsidR="00830EE1" w:rsidRPr="007E03BF" w:rsidRDefault="00830EE1" w:rsidP="00830EE1">
      <w:pPr>
        <w:pStyle w:val="paragraph"/>
      </w:pPr>
      <w:r w:rsidRPr="007E03BF">
        <w:tab/>
        <w:t>(a)</w:t>
      </w:r>
      <w:r w:rsidRPr="007E03BF">
        <w:tab/>
      </w:r>
      <w:r>
        <w:t>the total amount of all the person’s income for that income year, other than ordinary income or statutory income that has an Australian source; and</w:t>
      </w:r>
    </w:p>
    <w:p w14:paraId="138E2DA6" w14:textId="77777777" w:rsidR="00830EE1" w:rsidRPr="007E03BF" w:rsidRDefault="00830EE1" w:rsidP="00830EE1">
      <w:pPr>
        <w:pStyle w:val="paragraph"/>
      </w:pPr>
      <w:r w:rsidRPr="007E03BF">
        <w:tab/>
        <w:t>(b)</w:t>
      </w:r>
      <w:r w:rsidRPr="007E03BF">
        <w:tab/>
      </w:r>
      <w:r>
        <w:t>the standard deduction for the income year for the occupation in which the person derived the most income (other than ordinary income or statutory income that has an Australian source) for that income year.</w:t>
      </w:r>
    </w:p>
    <w:p w14:paraId="5079F087" w14:textId="77777777" w:rsidR="00830EE1" w:rsidRDefault="00830EE1" w:rsidP="00830EE1">
      <w:pPr>
        <w:pStyle w:val="subsection"/>
      </w:pPr>
      <w:r w:rsidRPr="006D5D26">
        <w:tab/>
        <w:t>(</w:t>
      </w:r>
      <w:r>
        <w:t>2</w:t>
      </w:r>
      <w:r w:rsidRPr="006D5D26">
        <w:t>)</w:t>
      </w:r>
      <w:r w:rsidRPr="006D5D26">
        <w:tab/>
      </w:r>
      <w:r>
        <w:t>For paragraph 1(b), the standard deduction for an occupation is:</w:t>
      </w:r>
    </w:p>
    <w:p w14:paraId="710D3FDC" w14:textId="432D8C6F" w:rsidR="00830EE1" w:rsidRPr="007E03BF" w:rsidRDefault="00830EE1" w:rsidP="00830EE1">
      <w:pPr>
        <w:pStyle w:val="paragraph"/>
      </w:pPr>
      <w:r w:rsidRPr="007E03BF">
        <w:tab/>
        <w:t>(a)</w:t>
      </w:r>
      <w:r w:rsidRPr="007E03BF">
        <w:tab/>
      </w:r>
      <w:r>
        <w:t>if the occupation has an occupation code listed in the ATO Occupation Code—the median ratio of work-related expenses to employment-related income calculated by the Australian Taxation Office for the occupation with that occupation code</w:t>
      </w:r>
      <w:r w:rsidRPr="007E03BF">
        <w:t xml:space="preserve">; </w:t>
      </w:r>
      <w:r>
        <w:t>or</w:t>
      </w:r>
    </w:p>
    <w:p w14:paraId="2457CC71" w14:textId="77777777" w:rsidR="00830EE1" w:rsidRPr="007E03BF" w:rsidRDefault="00830EE1" w:rsidP="00830EE1">
      <w:pPr>
        <w:pStyle w:val="paragraph"/>
      </w:pPr>
      <w:r w:rsidRPr="007E03BF">
        <w:tab/>
        <w:t>(b)</w:t>
      </w:r>
      <w:r w:rsidRPr="007E03BF">
        <w:tab/>
      </w:r>
      <w:r>
        <w:t xml:space="preserve">otherwise—nil. </w:t>
      </w:r>
    </w:p>
    <w:bookmarkEnd w:id="22"/>
    <w:p w14:paraId="6A1067F0" w14:textId="77777777" w:rsidR="00830EE1" w:rsidRPr="006D5D26" w:rsidRDefault="00830EE1" w:rsidP="00830EE1">
      <w:pPr>
        <w:pStyle w:val="ActHead5"/>
      </w:pPr>
      <w:proofErr w:type="gramStart"/>
      <w:r>
        <w:t>21</w:t>
      </w:r>
      <w:r w:rsidRPr="006D5D26">
        <w:t xml:space="preserve">  The</w:t>
      </w:r>
      <w:proofErr w:type="gramEnd"/>
      <w:r w:rsidRPr="006D5D26">
        <w:t xml:space="preserve"> </w:t>
      </w:r>
      <w:r>
        <w:t>overseas assessed method</w:t>
      </w:r>
    </w:p>
    <w:p w14:paraId="1270470B" w14:textId="51553FC3" w:rsidR="00830EE1" w:rsidRPr="006D5D26" w:rsidRDefault="00830EE1" w:rsidP="00830EE1">
      <w:pPr>
        <w:pStyle w:val="subsection"/>
      </w:pPr>
      <w:r w:rsidRPr="006D5D26">
        <w:tab/>
        <w:t>(1)</w:t>
      </w:r>
      <w:r w:rsidRPr="006D5D26">
        <w:tab/>
      </w:r>
      <w:r>
        <w:t>Under the overseas assessed method, a person’s foreign-sourced income for an income year is the amount that is equal to the person’s income for taxation purposes according to the most recent assessment of that person’s income, for a period of 12 months, by the taxation authority of a foreign country.</w:t>
      </w:r>
    </w:p>
    <w:p w14:paraId="78623733" w14:textId="77777777" w:rsidR="00830EE1" w:rsidRDefault="00830EE1" w:rsidP="00830EE1">
      <w:pPr>
        <w:pStyle w:val="subsection"/>
      </w:pPr>
      <w:r w:rsidRPr="006D5D26">
        <w:tab/>
        <w:t>(</w:t>
      </w:r>
      <w:r>
        <w:t>2</w:t>
      </w:r>
      <w:r w:rsidRPr="006D5D26">
        <w:t>)</w:t>
      </w:r>
      <w:r w:rsidRPr="006D5D26">
        <w:tab/>
      </w:r>
      <w:r>
        <w:t>However, the overseas assessed method cannot be used to work out the person’s foreign</w:t>
      </w:r>
      <w:r>
        <w:noBreakHyphen/>
        <w:t>sourced income for an income year if:</w:t>
      </w:r>
    </w:p>
    <w:p w14:paraId="6AECA74C" w14:textId="77777777" w:rsidR="00830EE1" w:rsidRDefault="00830EE1" w:rsidP="00830EE1">
      <w:pPr>
        <w:pStyle w:val="paragraph"/>
      </w:pPr>
      <w:r w:rsidRPr="007E03BF">
        <w:lastRenderedPageBreak/>
        <w:tab/>
        <w:t>(a)</w:t>
      </w:r>
      <w:r w:rsidRPr="007E03BF">
        <w:tab/>
      </w:r>
      <w:r>
        <w:t>the period to which the most recent assessment relates does not overlap with that income year; or</w:t>
      </w:r>
    </w:p>
    <w:p w14:paraId="13DAED8C" w14:textId="77777777" w:rsidR="00830EE1" w:rsidRPr="007E03BF" w:rsidRDefault="00830EE1" w:rsidP="00830EE1">
      <w:pPr>
        <w:pStyle w:val="paragraph"/>
      </w:pPr>
      <w:r w:rsidRPr="007E03BF">
        <w:tab/>
        <w:t>(</w:t>
      </w:r>
      <w:r>
        <w:t>b</w:t>
      </w:r>
      <w:r w:rsidRPr="007E03BF">
        <w:t>)</w:t>
      </w:r>
      <w:r w:rsidRPr="007E03BF">
        <w:tab/>
      </w:r>
      <w:r>
        <w:t xml:space="preserve">a taxation authority from a different foreign country has also </w:t>
      </w:r>
      <w:proofErr w:type="gramStart"/>
      <w:r>
        <w:t>made an assessment of</w:t>
      </w:r>
      <w:proofErr w:type="gramEnd"/>
      <w:r>
        <w:t xml:space="preserve"> the person’s income for a period of 12 months which overlaps with that income year; or</w:t>
      </w:r>
    </w:p>
    <w:p w14:paraId="50D7CCBB" w14:textId="7E0C795A" w:rsidR="00830EE1" w:rsidRPr="007E03BF" w:rsidRDefault="00830EE1" w:rsidP="00830EE1">
      <w:pPr>
        <w:pStyle w:val="paragraph"/>
      </w:pPr>
      <w:r w:rsidRPr="007E03BF">
        <w:tab/>
        <w:t>(</w:t>
      </w:r>
      <w:r>
        <w:t>c</w:t>
      </w:r>
      <w:r w:rsidRPr="007E03BF">
        <w:t>)</w:t>
      </w:r>
      <w:r w:rsidRPr="007E03BF">
        <w:tab/>
      </w:r>
      <w:r>
        <w:t>the most recent assessment has already been used to work out the person’s foreign-sourced income for a previous income year.</w:t>
      </w:r>
    </w:p>
    <w:p w14:paraId="01D5F69B" w14:textId="77777777" w:rsidR="00830EE1" w:rsidRPr="006D5D26" w:rsidRDefault="00830EE1" w:rsidP="00830EE1">
      <w:pPr>
        <w:pStyle w:val="ActHead5"/>
      </w:pPr>
      <w:proofErr w:type="gramStart"/>
      <w:r>
        <w:t>22</w:t>
      </w:r>
      <w:r w:rsidRPr="006D5D26">
        <w:t xml:space="preserve">  The</w:t>
      </w:r>
      <w:proofErr w:type="gramEnd"/>
      <w:r w:rsidRPr="006D5D26">
        <w:t xml:space="preserve"> </w:t>
      </w:r>
      <w:r>
        <w:t>comprehensive tax-based assessment</w:t>
      </w:r>
      <w:r w:rsidRPr="006D5D26">
        <w:t xml:space="preserve"> method</w:t>
      </w:r>
    </w:p>
    <w:p w14:paraId="08625587" w14:textId="70431B73" w:rsidR="00830EE1" w:rsidRDefault="00830EE1" w:rsidP="00830EE1">
      <w:pPr>
        <w:pStyle w:val="subsection"/>
      </w:pPr>
      <w:r w:rsidRPr="00852867">
        <w:tab/>
      </w:r>
      <w:r w:rsidRPr="00852867">
        <w:tab/>
      </w:r>
      <w:r>
        <w:t>Under the comprehensive tax-based assessment method, a person’s foreign-sourced income for an income year is the amount that is equal to the difference between:</w:t>
      </w:r>
    </w:p>
    <w:p w14:paraId="3F77DEE2" w14:textId="77777777" w:rsidR="00830EE1" w:rsidRPr="007E03BF" w:rsidRDefault="00830EE1" w:rsidP="00830EE1">
      <w:pPr>
        <w:pStyle w:val="paragraph"/>
      </w:pPr>
      <w:r w:rsidRPr="007E03BF">
        <w:tab/>
        <w:t>(a)</w:t>
      </w:r>
      <w:r w:rsidRPr="007E03BF">
        <w:tab/>
      </w:r>
      <w:r>
        <w:t>the total amount of all the person’s income for that income year, other than ordinary income or statutory income that has an Australian source; and</w:t>
      </w:r>
    </w:p>
    <w:p w14:paraId="74AE4F78" w14:textId="77777777" w:rsidR="00830EE1" w:rsidRPr="007E03BF" w:rsidRDefault="00830EE1" w:rsidP="00830EE1">
      <w:pPr>
        <w:pStyle w:val="paragraph"/>
      </w:pPr>
      <w:r w:rsidRPr="007E03BF">
        <w:tab/>
        <w:t>(b)</w:t>
      </w:r>
      <w:r w:rsidRPr="007E03BF">
        <w:tab/>
      </w:r>
      <w:r>
        <w:t>the total amounts of the deductions that would be allowable under the income tax law if that income were assessable income.</w:t>
      </w:r>
    </w:p>
    <w:p w14:paraId="5E2B952B" w14:textId="77777777" w:rsidR="00830EE1" w:rsidRPr="00852867" w:rsidRDefault="00830EE1" w:rsidP="00830EE1">
      <w:pPr>
        <w:pStyle w:val="ActHead5"/>
      </w:pPr>
      <w:proofErr w:type="gramStart"/>
      <w:r>
        <w:rPr>
          <w:rStyle w:val="CharSectno"/>
        </w:rPr>
        <w:t>23  Converting</w:t>
      </w:r>
      <w:proofErr w:type="gramEnd"/>
      <w:r>
        <w:rPr>
          <w:rStyle w:val="CharSectno"/>
        </w:rPr>
        <w:t xml:space="preserve"> foreign-sourced income into Australian currency</w:t>
      </w:r>
    </w:p>
    <w:p w14:paraId="49068616" w14:textId="2FB9B72C" w:rsidR="00830EE1" w:rsidRDefault="00830EE1" w:rsidP="00830EE1">
      <w:pPr>
        <w:pStyle w:val="subsection"/>
      </w:pPr>
      <w:r w:rsidRPr="00852867">
        <w:tab/>
      </w:r>
      <w:r w:rsidRPr="00852867">
        <w:tab/>
      </w:r>
      <w:r>
        <w:t>This section applies to a person’s foreign-sourced income for an income year where an amount of that foreign-sourced income is in a foreign currency. For the purposes of subsection 47</w:t>
      </w:r>
      <w:proofErr w:type="gramStart"/>
      <w:r>
        <w:t>B(</w:t>
      </w:r>
      <w:proofErr w:type="gramEnd"/>
      <w:r>
        <w:t>2), to convert the foreign currency amount, translate that amount to Australian currency at the average exchange rate for the financial year that most closely corresponds to the income year in which the foreign currency amount was received.</w:t>
      </w:r>
    </w:p>
    <w:p w14:paraId="6826A40E" w14:textId="77777777" w:rsidR="00830EE1" w:rsidRDefault="00830EE1">
      <w:pPr>
        <w:spacing w:line="240" w:lineRule="auto"/>
        <w:rPr>
          <w:rStyle w:val="CharDivNo"/>
          <w:rFonts w:eastAsia="Times New Roman" w:cs="Times New Roman"/>
          <w:b/>
          <w:kern w:val="28"/>
          <w:sz w:val="28"/>
          <w:lang w:eastAsia="en-AU"/>
        </w:rPr>
      </w:pPr>
      <w:r>
        <w:rPr>
          <w:rStyle w:val="CharDivNo"/>
        </w:rPr>
        <w:br w:type="page"/>
      </w:r>
    </w:p>
    <w:p w14:paraId="7AAE51B7" w14:textId="1D65DEF2" w:rsidR="00830EE1" w:rsidRPr="00852867" w:rsidRDefault="00830EE1" w:rsidP="00830EE1">
      <w:pPr>
        <w:pStyle w:val="ActHead3"/>
      </w:pPr>
      <w:r w:rsidRPr="00852867">
        <w:rPr>
          <w:rStyle w:val="CharDivNo"/>
        </w:rPr>
        <w:lastRenderedPageBreak/>
        <w:t>Division </w:t>
      </w:r>
      <w:r>
        <w:rPr>
          <w:rStyle w:val="CharDivNo"/>
        </w:rPr>
        <w:t>3</w:t>
      </w:r>
      <w:r w:rsidRPr="00852867">
        <w:t>—</w:t>
      </w:r>
      <w:r>
        <w:rPr>
          <w:rStyle w:val="CharDivText"/>
        </w:rPr>
        <w:t xml:space="preserve">Notices to be given to the </w:t>
      </w:r>
      <w:proofErr w:type="gramStart"/>
      <w:r>
        <w:rPr>
          <w:rStyle w:val="CharDivText"/>
        </w:rPr>
        <w:t>Commissioner</w:t>
      </w:r>
      <w:proofErr w:type="gramEnd"/>
    </w:p>
    <w:p w14:paraId="0C81DCC2" w14:textId="77777777" w:rsidR="00830EE1" w:rsidRPr="00B400D5" w:rsidRDefault="00830EE1" w:rsidP="00830EE1">
      <w:pPr>
        <w:pStyle w:val="ActHead5"/>
        <w:rPr>
          <w:b w:val="0"/>
          <w:kern w:val="0"/>
          <w:sz w:val="22"/>
          <w:szCs w:val="22"/>
        </w:rPr>
      </w:pPr>
      <w:proofErr w:type="gramStart"/>
      <w:r>
        <w:t>24</w:t>
      </w:r>
      <w:r w:rsidRPr="00B400D5">
        <w:t xml:space="preserve">  Notices</w:t>
      </w:r>
      <w:proofErr w:type="gramEnd"/>
      <w:r w:rsidRPr="00B400D5">
        <w:t xml:space="preserve"> </w:t>
      </w:r>
      <w:r>
        <w:t>relating to leaving Australia</w:t>
      </w:r>
    </w:p>
    <w:p w14:paraId="6CFEBAF1" w14:textId="77777777" w:rsidR="00830EE1" w:rsidRDefault="00830EE1" w:rsidP="00830EE1">
      <w:pPr>
        <w:pStyle w:val="subsection"/>
      </w:pPr>
      <w:r w:rsidRPr="00330323">
        <w:tab/>
        <w:t>(</w:t>
      </w:r>
      <w:r>
        <w:t>1</w:t>
      </w:r>
      <w:r w:rsidRPr="00330323">
        <w:t>)</w:t>
      </w:r>
      <w:r w:rsidRPr="00330323">
        <w:tab/>
      </w:r>
      <w:r>
        <w:t>For the purposes of subsection 47</w:t>
      </w:r>
      <w:proofErr w:type="gramStart"/>
      <w:r>
        <w:t>C(</w:t>
      </w:r>
      <w:proofErr w:type="gramEnd"/>
      <w:r>
        <w:t>4) of the Act, a notice a person gives to the Commissioner under subsection 47C(1) of the Act must contain:</w:t>
      </w:r>
    </w:p>
    <w:p w14:paraId="03569FCC" w14:textId="77777777" w:rsidR="00830EE1" w:rsidRPr="007E03BF" w:rsidRDefault="00830EE1" w:rsidP="00830EE1">
      <w:pPr>
        <w:pStyle w:val="paragraph"/>
      </w:pPr>
      <w:r w:rsidRPr="007E03BF">
        <w:tab/>
        <w:t>(a)</w:t>
      </w:r>
      <w:r w:rsidRPr="007E03BF">
        <w:tab/>
      </w:r>
      <w:r>
        <w:t>the person’s name; and</w:t>
      </w:r>
    </w:p>
    <w:p w14:paraId="2D3D0C7C" w14:textId="77777777" w:rsidR="00830EE1" w:rsidRDefault="00830EE1" w:rsidP="00830EE1">
      <w:pPr>
        <w:pStyle w:val="paragraph"/>
      </w:pPr>
      <w:r w:rsidRPr="007E03BF">
        <w:tab/>
        <w:t>(b)</w:t>
      </w:r>
      <w:r w:rsidRPr="007E03BF">
        <w:tab/>
      </w:r>
      <w:r>
        <w:t>the person’s date of birth; and</w:t>
      </w:r>
    </w:p>
    <w:p w14:paraId="1A14AD71" w14:textId="77777777" w:rsidR="00830EE1" w:rsidRPr="007E03BF" w:rsidRDefault="00830EE1" w:rsidP="00830EE1">
      <w:pPr>
        <w:pStyle w:val="paragraph"/>
      </w:pPr>
      <w:r w:rsidRPr="007E03BF">
        <w:tab/>
        <w:t>(</w:t>
      </w:r>
      <w:r>
        <w:t>c</w:t>
      </w:r>
      <w:r w:rsidRPr="007E03BF">
        <w:t>)</w:t>
      </w:r>
      <w:r w:rsidRPr="007E03BF">
        <w:tab/>
      </w:r>
      <w:r>
        <w:t>if known—the person’s intended country of residence; and</w:t>
      </w:r>
    </w:p>
    <w:p w14:paraId="264E8AF7" w14:textId="77777777" w:rsidR="00830EE1" w:rsidRPr="007E03BF" w:rsidRDefault="00830EE1" w:rsidP="00830EE1">
      <w:pPr>
        <w:pStyle w:val="paragraph"/>
      </w:pPr>
      <w:r w:rsidRPr="007E03BF">
        <w:tab/>
        <w:t>(</w:t>
      </w:r>
      <w:r>
        <w:t>d</w:t>
      </w:r>
      <w:r w:rsidRPr="007E03BF">
        <w:t>)</w:t>
      </w:r>
      <w:r w:rsidRPr="007E03BF">
        <w:tab/>
      </w:r>
      <w:r>
        <w:t>if known—the person’s contact details, including the person’s email address and telephone number.</w:t>
      </w:r>
    </w:p>
    <w:p w14:paraId="2E35E113" w14:textId="77777777" w:rsidR="00830EE1" w:rsidRDefault="00830EE1" w:rsidP="00830EE1">
      <w:pPr>
        <w:pStyle w:val="subsection"/>
      </w:pPr>
      <w:r w:rsidRPr="00330323">
        <w:tab/>
        <w:t>(</w:t>
      </w:r>
      <w:r>
        <w:t>2</w:t>
      </w:r>
      <w:r w:rsidRPr="00330323">
        <w:t>)</w:t>
      </w:r>
      <w:r w:rsidRPr="00330323">
        <w:tab/>
      </w:r>
      <w:r>
        <w:t>For the purposes of paragraph 47C(1)(b) of the Act, a person is not required to give a notice under subsection 47</w:t>
      </w:r>
      <w:proofErr w:type="gramStart"/>
      <w:r>
        <w:t>C(</w:t>
      </w:r>
      <w:proofErr w:type="gramEnd"/>
      <w:r>
        <w:t>1) of the Act if:</w:t>
      </w:r>
    </w:p>
    <w:p w14:paraId="64086A58" w14:textId="77777777" w:rsidR="00830EE1" w:rsidRPr="007E03BF" w:rsidRDefault="00830EE1" w:rsidP="00830EE1">
      <w:pPr>
        <w:pStyle w:val="paragraph"/>
      </w:pPr>
      <w:r w:rsidRPr="007E03BF">
        <w:tab/>
        <w:t>(a)</w:t>
      </w:r>
      <w:r w:rsidRPr="007E03BF">
        <w:tab/>
      </w:r>
      <w:r>
        <w:t>the person gave a notice under that subsection in relation to a previous departure from Australia; and</w:t>
      </w:r>
    </w:p>
    <w:p w14:paraId="31E4A702" w14:textId="77777777" w:rsidR="00830EE1" w:rsidRPr="007E03BF" w:rsidRDefault="00830EE1" w:rsidP="00830EE1">
      <w:pPr>
        <w:pStyle w:val="paragraph"/>
      </w:pPr>
      <w:r w:rsidRPr="007E03BF">
        <w:tab/>
        <w:t>(b)</w:t>
      </w:r>
      <w:r w:rsidRPr="007E03BF">
        <w:tab/>
      </w:r>
      <w:r>
        <w:t>since giving that notice, the person has not been an Australian resident.</w:t>
      </w:r>
    </w:p>
    <w:p w14:paraId="2BE7C6ED" w14:textId="77777777" w:rsidR="00830EE1" w:rsidRPr="00B400D5" w:rsidRDefault="00830EE1" w:rsidP="00830EE1">
      <w:pPr>
        <w:pStyle w:val="ActHead5"/>
        <w:rPr>
          <w:b w:val="0"/>
          <w:kern w:val="0"/>
          <w:sz w:val="22"/>
          <w:szCs w:val="22"/>
        </w:rPr>
      </w:pPr>
      <w:proofErr w:type="gramStart"/>
      <w:r>
        <w:t>25</w:t>
      </w:r>
      <w:r w:rsidRPr="00B400D5">
        <w:t xml:space="preserve">  </w:t>
      </w:r>
      <w:r>
        <w:t>Notices</w:t>
      </w:r>
      <w:proofErr w:type="gramEnd"/>
      <w:r w:rsidRPr="00B400D5">
        <w:t xml:space="preserve"> </w:t>
      </w:r>
      <w:r>
        <w:t>relating to absence from Australia</w:t>
      </w:r>
    </w:p>
    <w:p w14:paraId="75C74BB5" w14:textId="77777777" w:rsidR="00830EE1" w:rsidRDefault="00830EE1" w:rsidP="00830EE1">
      <w:pPr>
        <w:pStyle w:val="subsection"/>
      </w:pPr>
      <w:r w:rsidRPr="00852867">
        <w:tab/>
      </w:r>
      <w:r w:rsidRPr="00852867">
        <w:tab/>
      </w:r>
      <w:r>
        <w:t>For the purposes of subsection 47</w:t>
      </w:r>
      <w:proofErr w:type="gramStart"/>
      <w:r>
        <w:t>C(</w:t>
      </w:r>
      <w:proofErr w:type="gramEnd"/>
      <w:r>
        <w:t>4) of the Act, a notice a person gives to the Commissioner under subsection 47C(2) of the Act must contain:</w:t>
      </w:r>
    </w:p>
    <w:p w14:paraId="79B0683E" w14:textId="77777777" w:rsidR="00830EE1" w:rsidRPr="007E03BF" w:rsidRDefault="00830EE1" w:rsidP="00830EE1">
      <w:pPr>
        <w:pStyle w:val="paragraph"/>
      </w:pPr>
      <w:r w:rsidRPr="007E03BF">
        <w:tab/>
        <w:t>(a)</w:t>
      </w:r>
      <w:r w:rsidRPr="007E03BF">
        <w:tab/>
      </w:r>
      <w:r>
        <w:t>the person’s name</w:t>
      </w:r>
      <w:r w:rsidRPr="007E03BF">
        <w:t>; and</w:t>
      </w:r>
    </w:p>
    <w:p w14:paraId="7F9C1EB6" w14:textId="04AC4278" w:rsidR="00830EE1" w:rsidRPr="007E03BF" w:rsidRDefault="00830EE1" w:rsidP="00830EE1">
      <w:pPr>
        <w:pStyle w:val="paragraph"/>
      </w:pPr>
      <w:r w:rsidRPr="007E03BF">
        <w:tab/>
        <w:t>(b)</w:t>
      </w:r>
      <w:r w:rsidRPr="007E03BF">
        <w:tab/>
      </w:r>
      <w:r>
        <w:t xml:space="preserve">the person’s date of birth; </w:t>
      </w:r>
      <w:r w:rsidR="008B2DD1">
        <w:t>and</w:t>
      </w:r>
    </w:p>
    <w:p w14:paraId="235326A1" w14:textId="77777777" w:rsidR="00830EE1" w:rsidRPr="007E03BF" w:rsidRDefault="00830EE1" w:rsidP="00830EE1">
      <w:pPr>
        <w:pStyle w:val="paragraph"/>
      </w:pPr>
      <w:r w:rsidRPr="007E03BF">
        <w:tab/>
        <w:t>(</w:t>
      </w:r>
      <w:r>
        <w:t>c</w:t>
      </w:r>
      <w:r w:rsidRPr="007E03BF">
        <w:t>)</w:t>
      </w:r>
      <w:r w:rsidRPr="007E03BF">
        <w:tab/>
      </w:r>
      <w:r>
        <w:t>the person’s country of residence; and</w:t>
      </w:r>
    </w:p>
    <w:p w14:paraId="47FDA15D" w14:textId="77777777" w:rsidR="00830EE1" w:rsidRPr="007E03BF" w:rsidRDefault="00830EE1" w:rsidP="00830EE1">
      <w:pPr>
        <w:pStyle w:val="paragraph"/>
      </w:pPr>
      <w:r w:rsidRPr="007E03BF">
        <w:tab/>
        <w:t>(</w:t>
      </w:r>
      <w:r>
        <w:t>d</w:t>
      </w:r>
      <w:r w:rsidRPr="007E03BF">
        <w:t>)</w:t>
      </w:r>
      <w:r w:rsidRPr="007E03BF">
        <w:tab/>
      </w:r>
      <w:r>
        <w:t>if known—the person’s contact details, including the person’s email address and telephone number.</w:t>
      </w:r>
    </w:p>
    <w:p w14:paraId="6824536F" w14:textId="77777777" w:rsidR="00830EE1" w:rsidRPr="00B400D5" w:rsidRDefault="00830EE1" w:rsidP="00830EE1">
      <w:pPr>
        <w:pStyle w:val="ActHead5"/>
        <w:rPr>
          <w:b w:val="0"/>
          <w:kern w:val="0"/>
          <w:sz w:val="22"/>
          <w:szCs w:val="22"/>
        </w:rPr>
      </w:pPr>
      <w:proofErr w:type="gramStart"/>
      <w:r>
        <w:t>26</w:t>
      </w:r>
      <w:r w:rsidRPr="00B400D5">
        <w:t xml:space="preserve">  </w:t>
      </w:r>
      <w:r>
        <w:t>N</w:t>
      </w:r>
      <w:r w:rsidRPr="00B400D5">
        <w:t>otice</w:t>
      </w:r>
      <w:r>
        <w:t>s</w:t>
      </w:r>
      <w:proofErr w:type="gramEnd"/>
      <w:r w:rsidRPr="00B400D5">
        <w:t xml:space="preserve"> </w:t>
      </w:r>
      <w:r>
        <w:t>relating to income (including foreign-sourced income)</w:t>
      </w:r>
    </w:p>
    <w:p w14:paraId="54A1C3AE" w14:textId="77777777" w:rsidR="00830EE1" w:rsidRDefault="00830EE1" w:rsidP="00830EE1">
      <w:pPr>
        <w:pStyle w:val="subsection"/>
      </w:pPr>
      <w:r w:rsidRPr="00330323">
        <w:tab/>
        <w:t>(</w:t>
      </w:r>
      <w:r>
        <w:t>1</w:t>
      </w:r>
      <w:r w:rsidRPr="00330323">
        <w:t>)</w:t>
      </w:r>
      <w:r w:rsidRPr="00330323">
        <w:tab/>
      </w:r>
      <w:r>
        <w:t>For the purposes of subsection 47</w:t>
      </w:r>
      <w:proofErr w:type="gramStart"/>
      <w:r>
        <w:t>C(</w:t>
      </w:r>
      <w:proofErr w:type="gramEnd"/>
      <w:r>
        <w:t>4) of the Act, a notice a person gives to the Commissioner under subsection 47C(3) of the Act must contain:</w:t>
      </w:r>
    </w:p>
    <w:p w14:paraId="5CDCDBCD" w14:textId="77777777" w:rsidR="00830EE1" w:rsidRPr="007E03BF" w:rsidRDefault="00830EE1" w:rsidP="00830EE1">
      <w:pPr>
        <w:pStyle w:val="paragraph"/>
      </w:pPr>
      <w:r w:rsidRPr="007E03BF">
        <w:tab/>
        <w:t>(a)</w:t>
      </w:r>
      <w:r w:rsidRPr="007E03BF">
        <w:tab/>
      </w:r>
      <w:r>
        <w:t>the person’s name; and</w:t>
      </w:r>
    </w:p>
    <w:p w14:paraId="1FE92F67" w14:textId="77777777" w:rsidR="00830EE1" w:rsidRDefault="00830EE1" w:rsidP="00830EE1">
      <w:pPr>
        <w:pStyle w:val="paragraph"/>
      </w:pPr>
      <w:r w:rsidRPr="007E03BF">
        <w:tab/>
        <w:t>(b)</w:t>
      </w:r>
      <w:r w:rsidRPr="007E03BF">
        <w:tab/>
      </w:r>
      <w:r>
        <w:t>the person’s date of birth; and</w:t>
      </w:r>
    </w:p>
    <w:p w14:paraId="4FCC336C" w14:textId="77777777" w:rsidR="00830EE1" w:rsidRPr="007E03BF" w:rsidRDefault="00830EE1" w:rsidP="00830EE1">
      <w:pPr>
        <w:pStyle w:val="paragraph"/>
      </w:pPr>
      <w:r w:rsidRPr="007E03BF">
        <w:tab/>
        <w:t>(</w:t>
      </w:r>
      <w:r>
        <w:t>c</w:t>
      </w:r>
      <w:r w:rsidRPr="007E03BF">
        <w:t>)</w:t>
      </w:r>
      <w:r w:rsidRPr="007E03BF">
        <w:tab/>
      </w:r>
      <w:r>
        <w:t>the person’s country of residence; and</w:t>
      </w:r>
    </w:p>
    <w:p w14:paraId="67DD8821" w14:textId="77777777" w:rsidR="00830EE1" w:rsidRPr="007E03BF" w:rsidRDefault="00830EE1" w:rsidP="00830EE1">
      <w:pPr>
        <w:pStyle w:val="paragraph"/>
      </w:pPr>
      <w:r w:rsidRPr="007E03BF">
        <w:tab/>
        <w:t>(</w:t>
      </w:r>
      <w:r>
        <w:t>d</w:t>
      </w:r>
      <w:r w:rsidRPr="007E03BF">
        <w:t>)</w:t>
      </w:r>
      <w:r w:rsidRPr="007E03BF">
        <w:tab/>
      </w:r>
      <w:r>
        <w:t>unless subsection (2) applies—the person’s occupation; and</w:t>
      </w:r>
    </w:p>
    <w:p w14:paraId="38BC4849" w14:textId="77777777" w:rsidR="00830EE1" w:rsidRPr="007E03BF" w:rsidRDefault="00830EE1" w:rsidP="00830EE1">
      <w:pPr>
        <w:pStyle w:val="paragraph"/>
      </w:pPr>
      <w:r w:rsidRPr="007E03BF">
        <w:tab/>
        <w:t>(</w:t>
      </w:r>
      <w:r>
        <w:t>e</w:t>
      </w:r>
      <w:r w:rsidRPr="007E03BF">
        <w:t>)</w:t>
      </w:r>
      <w:r w:rsidRPr="007E03BF">
        <w:tab/>
      </w:r>
      <w:r>
        <w:t>unless subsection (2) applies—the amount of the person’s income (including foreign-sourced income) for the income year; and</w:t>
      </w:r>
    </w:p>
    <w:p w14:paraId="2A2DDA62" w14:textId="77777777" w:rsidR="00830EE1" w:rsidRDefault="00830EE1" w:rsidP="00830EE1">
      <w:pPr>
        <w:pStyle w:val="paragraph"/>
      </w:pPr>
      <w:r w:rsidRPr="007E03BF">
        <w:tab/>
        <w:t>(</w:t>
      </w:r>
      <w:r>
        <w:t>f</w:t>
      </w:r>
      <w:r w:rsidRPr="007E03BF">
        <w:t>)</w:t>
      </w:r>
      <w:r w:rsidRPr="007E03BF">
        <w:tab/>
      </w:r>
      <w:r>
        <w:t>unless subsection (2) applies—the method used to work out that foreign</w:t>
      </w:r>
      <w:r>
        <w:noBreakHyphen/>
        <w:t>sourced income; and</w:t>
      </w:r>
    </w:p>
    <w:p w14:paraId="3C1FAE7B" w14:textId="77777777" w:rsidR="00830EE1" w:rsidRPr="007E03BF" w:rsidRDefault="00830EE1" w:rsidP="00830EE1">
      <w:pPr>
        <w:pStyle w:val="paragraph"/>
      </w:pPr>
      <w:r w:rsidRPr="007E03BF">
        <w:tab/>
        <w:t>(</w:t>
      </w:r>
      <w:r>
        <w:t>g</w:t>
      </w:r>
      <w:r w:rsidRPr="007E03BF">
        <w:t>)</w:t>
      </w:r>
      <w:r w:rsidRPr="007E03BF">
        <w:tab/>
      </w:r>
      <w:r>
        <w:t>if the overseas assessed method was used and unless subsection (2) applies—the person’s identification number used for tax purposes by the taxation authority of a foreign country that made the assessment of the person’s income.</w:t>
      </w:r>
    </w:p>
    <w:p w14:paraId="26756619" w14:textId="77777777" w:rsidR="00830EE1" w:rsidRDefault="00830EE1" w:rsidP="00830EE1">
      <w:pPr>
        <w:pStyle w:val="subsection"/>
      </w:pPr>
      <w:r w:rsidRPr="006D5D26">
        <w:tab/>
        <w:t>(</w:t>
      </w:r>
      <w:r>
        <w:t>2</w:t>
      </w:r>
      <w:r w:rsidRPr="006D5D26">
        <w:t>)</w:t>
      </w:r>
      <w:r w:rsidRPr="006D5D26">
        <w:tab/>
      </w:r>
      <w:r>
        <w:t xml:space="preserve">A notice may not contain the content in paragraphs (1)(d), (e), (f) and (g) if: </w:t>
      </w:r>
    </w:p>
    <w:p w14:paraId="00DA9684" w14:textId="77777777" w:rsidR="00830EE1" w:rsidRPr="007E03BF" w:rsidRDefault="00830EE1" w:rsidP="00830EE1">
      <w:pPr>
        <w:pStyle w:val="paragraph"/>
      </w:pPr>
      <w:r w:rsidRPr="007E03BF">
        <w:lastRenderedPageBreak/>
        <w:tab/>
        <w:t>(a)</w:t>
      </w:r>
      <w:r w:rsidRPr="007E03BF">
        <w:tab/>
      </w:r>
      <w:r>
        <w:t>the person’s income (including foreign-sourced income) for the income year is no more than 25% of the minimum repayment income for that income year; and</w:t>
      </w:r>
    </w:p>
    <w:p w14:paraId="5CCCF9BA" w14:textId="77777777" w:rsidR="00830EE1" w:rsidRDefault="00830EE1" w:rsidP="00830EE1">
      <w:pPr>
        <w:pStyle w:val="paragraph"/>
      </w:pPr>
      <w:r w:rsidRPr="007E03BF">
        <w:tab/>
        <w:t>(b)</w:t>
      </w:r>
      <w:r w:rsidRPr="007E03BF">
        <w:tab/>
      </w:r>
      <w:r>
        <w:t>the notice the person gives to the Commissioner includes a declaration to that effect.</w:t>
      </w:r>
    </w:p>
    <w:p w14:paraId="3E95421E" w14:textId="77777777" w:rsidR="00830EE1" w:rsidRPr="00852867" w:rsidRDefault="00830EE1" w:rsidP="00830EE1">
      <w:pPr>
        <w:pStyle w:val="ActHead5"/>
      </w:pPr>
      <w:proofErr w:type="gramStart"/>
      <w:r>
        <w:rPr>
          <w:rStyle w:val="CharSectno"/>
        </w:rPr>
        <w:t>27  Approved</w:t>
      </w:r>
      <w:proofErr w:type="gramEnd"/>
      <w:r>
        <w:rPr>
          <w:rStyle w:val="CharSectno"/>
        </w:rPr>
        <w:t xml:space="preserve"> forms</w:t>
      </w:r>
    </w:p>
    <w:p w14:paraId="7F164D44" w14:textId="77777777" w:rsidR="00830EE1" w:rsidRDefault="00830EE1" w:rsidP="00830EE1">
      <w:pPr>
        <w:pStyle w:val="subsection"/>
      </w:pPr>
      <w:r w:rsidRPr="00852867">
        <w:tab/>
      </w:r>
      <w:r w:rsidRPr="00852867">
        <w:tab/>
      </w:r>
      <w:r>
        <w:t xml:space="preserve">This Division does not affect the Commissioner’s power under section 388-50 in Schedule 1 to the </w:t>
      </w:r>
      <w:r>
        <w:rPr>
          <w:i/>
          <w:iCs/>
        </w:rPr>
        <w:t>Taxation Administration Act 1953</w:t>
      </w:r>
      <w:r>
        <w:t xml:space="preserve"> to require additional content to be included in the approved form of a notice under section 47C of the Act.</w:t>
      </w:r>
    </w:p>
    <w:p w14:paraId="56CD41A2" w14:textId="77777777" w:rsidR="00830EE1" w:rsidRDefault="00830EE1">
      <w:pPr>
        <w:spacing w:line="240" w:lineRule="auto"/>
        <w:rPr>
          <w:rFonts w:eastAsia="Times New Roman" w:cs="Times New Roman"/>
          <w:b/>
          <w:kern w:val="28"/>
          <w:sz w:val="32"/>
          <w:lang w:eastAsia="en-AU"/>
        </w:rPr>
      </w:pPr>
      <w:r>
        <w:br w:type="page"/>
      </w:r>
    </w:p>
    <w:p w14:paraId="0F5EFAFF" w14:textId="749A1966" w:rsidR="00830EE1" w:rsidRDefault="00830EE1" w:rsidP="00830EE1">
      <w:pPr>
        <w:pStyle w:val="ActHead2"/>
      </w:pPr>
      <w:r w:rsidRPr="00B400D5">
        <w:lastRenderedPageBreak/>
        <w:t xml:space="preserve">Part </w:t>
      </w:r>
      <w:r>
        <w:t>5</w:t>
      </w:r>
      <w:r w:rsidRPr="00B400D5">
        <w:t>—</w:t>
      </w:r>
      <w:r>
        <w:t>Transitional provisions</w:t>
      </w:r>
    </w:p>
    <w:p w14:paraId="49CFC7E0" w14:textId="77777777" w:rsidR="00830EE1" w:rsidRPr="00B400D5" w:rsidRDefault="00830EE1" w:rsidP="00830EE1">
      <w:pPr>
        <w:pStyle w:val="ActHead5"/>
      </w:pPr>
      <w:proofErr w:type="gramStart"/>
      <w:r>
        <w:t>28</w:t>
      </w:r>
      <w:r w:rsidRPr="00B400D5">
        <w:t xml:space="preserve">  </w:t>
      </w:r>
      <w:r>
        <w:t>Simplified</w:t>
      </w:r>
      <w:proofErr w:type="gramEnd"/>
      <w:r>
        <w:t xml:space="preserve"> outline of this</w:t>
      </w:r>
      <w:r w:rsidRPr="00B400D5">
        <w:t xml:space="preserve"> Part </w:t>
      </w:r>
    </w:p>
    <w:p w14:paraId="4333C1E7" w14:textId="77777777" w:rsidR="00830EE1" w:rsidRPr="00F85F11" w:rsidRDefault="00830EE1" w:rsidP="00830EE1">
      <w:pPr>
        <w:pStyle w:val="SOText"/>
      </w:pPr>
      <w:r w:rsidRPr="00852867">
        <w:t>This Part</w:t>
      </w:r>
      <w:r>
        <w:t xml:space="preserve"> deals with transitional matters.</w:t>
      </w:r>
    </w:p>
    <w:p w14:paraId="33A2997B" w14:textId="77777777" w:rsidR="00830EE1" w:rsidRDefault="00830EE1" w:rsidP="00830EE1">
      <w:pPr>
        <w:pStyle w:val="ActHead5"/>
        <w:ind w:left="397" w:hanging="397"/>
      </w:pPr>
      <w:proofErr w:type="gramStart"/>
      <w:r>
        <w:t>29</w:t>
      </w:r>
      <w:r w:rsidRPr="00B400D5">
        <w:t xml:space="preserve">  </w:t>
      </w:r>
      <w:r>
        <w:t>Transitional</w:t>
      </w:r>
      <w:proofErr w:type="gramEnd"/>
      <w:r>
        <w:t>—pre-commencement apprenticeships</w:t>
      </w:r>
    </w:p>
    <w:p w14:paraId="7FE6BFFF" w14:textId="77777777" w:rsidR="00830EE1" w:rsidRDefault="00830EE1" w:rsidP="00830EE1">
      <w:pPr>
        <w:pStyle w:val="subsection"/>
      </w:pPr>
      <w:r>
        <w:tab/>
        <w:t>(1)</w:t>
      </w:r>
      <w:r>
        <w:tab/>
        <w:t>This section applies to a person if:</w:t>
      </w:r>
    </w:p>
    <w:p w14:paraId="5260A24E" w14:textId="77777777" w:rsidR="00830EE1" w:rsidRDefault="00830EE1" w:rsidP="00830EE1">
      <w:pPr>
        <w:pStyle w:val="paragraph"/>
      </w:pPr>
      <w:r>
        <w:tab/>
        <w:t>(a)</w:t>
      </w:r>
      <w:r>
        <w:tab/>
        <w:t xml:space="preserve">before the commencement of this subsection, the person was undertaking, on the person’s commencement date, an apprenticeship through which the person was undertaking a qualification: </w:t>
      </w:r>
    </w:p>
    <w:p w14:paraId="603F7029" w14:textId="77777777" w:rsidR="00830EE1" w:rsidRPr="004E2950" w:rsidRDefault="00830EE1" w:rsidP="00830EE1">
      <w:pPr>
        <w:pStyle w:val="paragraphsub"/>
      </w:pPr>
      <w:r>
        <w:tab/>
        <w:t>(</w:t>
      </w:r>
      <w:proofErr w:type="spellStart"/>
      <w:r>
        <w:t>i</w:t>
      </w:r>
      <w:proofErr w:type="spellEnd"/>
      <w:r>
        <w:t>)</w:t>
      </w:r>
      <w:r>
        <w:tab/>
        <w:t xml:space="preserve">at a level prescribed by the </w:t>
      </w:r>
      <w:r>
        <w:rPr>
          <w:i/>
          <w:iCs/>
        </w:rPr>
        <w:t>Trade Support Loans Rules 2014</w:t>
      </w:r>
      <w:r>
        <w:t>; and</w:t>
      </w:r>
    </w:p>
    <w:p w14:paraId="7CBECF53" w14:textId="77777777" w:rsidR="00830EE1" w:rsidRDefault="00830EE1" w:rsidP="00830EE1">
      <w:pPr>
        <w:pStyle w:val="paragraphsub"/>
      </w:pPr>
      <w:r>
        <w:tab/>
        <w:t>(ii)</w:t>
      </w:r>
      <w:r>
        <w:tab/>
        <w:t>leading to an occupation or a qualification that was specified on the TSL Priority List; and</w:t>
      </w:r>
    </w:p>
    <w:p w14:paraId="3F249BB6" w14:textId="77777777" w:rsidR="00830EE1" w:rsidRPr="004E2950" w:rsidRDefault="00830EE1" w:rsidP="00830EE1">
      <w:pPr>
        <w:pStyle w:val="paragraphsub"/>
      </w:pPr>
      <w:r>
        <w:tab/>
        <w:t>(iii)</w:t>
      </w:r>
      <w:r>
        <w:tab/>
        <w:t xml:space="preserve">which met any other requirements prescribed by the </w:t>
      </w:r>
      <w:r>
        <w:rPr>
          <w:i/>
          <w:iCs/>
        </w:rPr>
        <w:t>Trade Support Loans Rules 2014</w:t>
      </w:r>
      <w:r>
        <w:t>; and</w:t>
      </w:r>
    </w:p>
    <w:p w14:paraId="7A7678FE" w14:textId="77777777" w:rsidR="00830EE1" w:rsidRDefault="00830EE1" w:rsidP="00830EE1">
      <w:pPr>
        <w:pStyle w:val="paragraph"/>
      </w:pPr>
      <w:r>
        <w:tab/>
        <w:t>(b)</w:t>
      </w:r>
      <w:r>
        <w:tab/>
        <w:t>immediately after the commencement of this section, the occupation or qualification is not specified on the Australian Apprenticeships Priority List.</w:t>
      </w:r>
    </w:p>
    <w:p w14:paraId="2E0CAD59" w14:textId="77777777" w:rsidR="00830EE1" w:rsidRDefault="00830EE1" w:rsidP="00830EE1">
      <w:pPr>
        <w:pStyle w:val="subsection"/>
      </w:pPr>
      <w:r>
        <w:tab/>
        <w:t>(2)</w:t>
      </w:r>
      <w:r>
        <w:tab/>
        <w:t xml:space="preserve">The </w:t>
      </w:r>
      <w:r>
        <w:rPr>
          <w:i/>
          <w:iCs/>
        </w:rPr>
        <w:t xml:space="preserve">Australian Apprenticeship Support Loans Act 2014 </w:t>
      </w:r>
      <w:r>
        <w:t>has effect, in relation to the person, as if the occupation or qualification referred to in subparagraph (1)(a)(ii) of this section were specified in the Australian Apprenticeships Priority List.</w:t>
      </w:r>
    </w:p>
    <w:p w14:paraId="3762F996" w14:textId="77777777" w:rsidR="00830EE1" w:rsidRDefault="00830EE1" w:rsidP="00830EE1">
      <w:pPr>
        <w:pStyle w:val="ActHead5"/>
        <w:ind w:left="397" w:hanging="397"/>
      </w:pPr>
      <w:proofErr w:type="gramStart"/>
      <w:r>
        <w:t>30</w:t>
      </w:r>
      <w:r w:rsidRPr="00B400D5">
        <w:t xml:space="preserve">  </w:t>
      </w:r>
      <w:r>
        <w:t>Transitional</w:t>
      </w:r>
      <w:proofErr w:type="gramEnd"/>
      <w:r>
        <w:t>—pre-commencement rural or regional apprenticeships in the horticulture sector</w:t>
      </w:r>
    </w:p>
    <w:p w14:paraId="6B0DC98E" w14:textId="77777777" w:rsidR="00830EE1" w:rsidRDefault="00830EE1" w:rsidP="00830EE1">
      <w:pPr>
        <w:pStyle w:val="subsection"/>
      </w:pPr>
      <w:r w:rsidRPr="00330323">
        <w:tab/>
        <w:t>(</w:t>
      </w:r>
      <w:r>
        <w:t>1</w:t>
      </w:r>
      <w:r w:rsidRPr="00330323">
        <w:t>)</w:t>
      </w:r>
      <w:r w:rsidRPr="00330323">
        <w:tab/>
      </w:r>
      <w:r>
        <w:t>This section applies to a person if:</w:t>
      </w:r>
    </w:p>
    <w:p w14:paraId="0AFA332B" w14:textId="77777777" w:rsidR="00830EE1" w:rsidRDefault="00830EE1" w:rsidP="00830EE1">
      <w:pPr>
        <w:pStyle w:val="paragraph"/>
      </w:pPr>
      <w:r w:rsidRPr="007E03BF">
        <w:tab/>
        <w:t>(a)</w:t>
      </w:r>
      <w:r w:rsidRPr="007E03BF">
        <w:tab/>
      </w:r>
      <w:r>
        <w:t>before the commencement of this section, the person was undertaking an apprenticeship through which the person was undertaking a qualification in the horticulture sector specified on the TSL Priority List; and</w:t>
      </w:r>
    </w:p>
    <w:p w14:paraId="3B899F5C" w14:textId="77777777" w:rsidR="00830EE1" w:rsidRDefault="00830EE1" w:rsidP="00830EE1">
      <w:pPr>
        <w:pStyle w:val="paragraph"/>
      </w:pPr>
      <w:r w:rsidRPr="007E03BF">
        <w:tab/>
        <w:t>(b)</w:t>
      </w:r>
      <w:r w:rsidRPr="007E03BF">
        <w:tab/>
      </w:r>
      <w:r>
        <w:t xml:space="preserve">before the commencement of this section, while undertaking the apprenticeship, the person was not working in a suburb with a postcode listed in Schedule 1 to the </w:t>
      </w:r>
      <w:r>
        <w:rPr>
          <w:i/>
          <w:iCs/>
        </w:rPr>
        <w:t>Trade Support Loans Rules 2014</w:t>
      </w:r>
      <w:r>
        <w:t xml:space="preserve"> (a </w:t>
      </w:r>
      <w:r>
        <w:rPr>
          <w:b/>
          <w:bCs/>
          <w:i/>
          <w:iCs/>
        </w:rPr>
        <w:t>rural or regional area</w:t>
      </w:r>
      <w:r>
        <w:t>); and</w:t>
      </w:r>
    </w:p>
    <w:p w14:paraId="29B362BE" w14:textId="77777777" w:rsidR="00830EE1" w:rsidRDefault="00830EE1" w:rsidP="00830EE1">
      <w:pPr>
        <w:pStyle w:val="paragraph"/>
      </w:pPr>
      <w:r w:rsidRPr="007E03BF">
        <w:tab/>
        <w:t>(</w:t>
      </w:r>
      <w:r>
        <w:t>c</w:t>
      </w:r>
      <w:r w:rsidRPr="007E03BF">
        <w:t>)</w:t>
      </w:r>
      <w:r w:rsidRPr="007E03BF">
        <w:tab/>
      </w:r>
      <w:r>
        <w:t>after the commencement of this section, the person is undertaking the same apprenticeship; and</w:t>
      </w:r>
    </w:p>
    <w:p w14:paraId="61DFD017" w14:textId="77777777" w:rsidR="00830EE1" w:rsidRPr="007D30F0" w:rsidRDefault="00830EE1" w:rsidP="00830EE1">
      <w:pPr>
        <w:pStyle w:val="paragraph"/>
      </w:pPr>
      <w:r w:rsidRPr="007E03BF">
        <w:tab/>
        <w:t>(</w:t>
      </w:r>
      <w:r>
        <w:t>d</w:t>
      </w:r>
      <w:r w:rsidRPr="007E03BF">
        <w:t>)</w:t>
      </w:r>
      <w:r w:rsidRPr="007E03BF">
        <w:tab/>
      </w:r>
      <w:r>
        <w:t>after the commencement of this section, while undertaking the same apprenticeship, the person is not working in a rural or regional area.</w:t>
      </w:r>
    </w:p>
    <w:p w14:paraId="623EDD9E" w14:textId="77777777" w:rsidR="00830EE1" w:rsidRPr="007E03BF" w:rsidRDefault="00830EE1" w:rsidP="00830EE1">
      <w:pPr>
        <w:pStyle w:val="subsection"/>
      </w:pPr>
      <w:r w:rsidRPr="00330323">
        <w:tab/>
        <w:t>(</w:t>
      </w:r>
      <w:r>
        <w:t>2</w:t>
      </w:r>
      <w:r w:rsidRPr="00330323">
        <w:t>)</w:t>
      </w:r>
      <w:r w:rsidRPr="00330323">
        <w:tab/>
      </w:r>
      <w:r>
        <w:t>The person is not taken to be undertaking a qualifying apprenticeship.</w:t>
      </w:r>
    </w:p>
    <w:p w14:paraId="4C2C0E4A" w14:textId="77777777" w:rsidR="00830EE1" w:rsidRDefault="00830EE1">
      <w:pPr>
        <w:spacing w:line="240" w:lineRule="auto"/>
        <w:rPr>
          <w:rFonts w:eastAsia="Times New Roman" w:cs="Times New Roman"/>
          <w:b/>
          <w:kern w:val="28"/>
          <w:sz w:val="32"/>
          <w:lang w:eastAsia="en-AU"/>
        </w:rPr>
      </w:pPr>
      <w:bookmarkStart w:id="24" w:name="_Toc113016619"/>
      <w:r>
        <w:br w:type="page"/>
      </w:r>
    </w:p>
    <w:p w14:paraId="0C3F0B80" w14:textId="3339D1A2" w:rsidR="00830EE1" w:rsidRPr="00B400D5" w:rsidRDefault="00830EE1" w:rsidP="00830EE1">
      <w:pPr>
        <w:pStyle w:val="ActHead6"/>
        <w:rPr>
          <w:rFonts w:ascii="Times New Roman" w:hAnsi="Times New Roman"/>
        </w:rPr>
      </w:pPr>
      <w:r w:rsidRPr="00B400D5">
        <w:rPr>
          <w:rFonts w:ascii="Times New Roman" w:hAnsi="Times New Roman"/>
        </w:rPr>
        <w:lastRenderedPageBreak/>
        <w:t>Schedule 1—Repeals</w:t>
      </w:r>
      <w:bookmarkEnd w:id="24"/>
    </w:p>
    <w:p w14:paraId="69A8ED56" w14:textId="77777777" w:rsidR="00830EE1" w:rsidRPr="00890BF3" w:rsidRDefault="00830EE1" w:rsidP="00830EE1">
      <w:pPr>
        <w:pStyle w:val="ItemHead"/>
        <w:rPr>
          <w:rFonts w:ascii="Times New Roman" w:hAnsi="Times New Roman"/>
          <w:bCs/>
          <w:i/>
          <w:sz w:val="28"/>
        </w:rPr>
      </w:pPr>
      <w:bookmarkStart w:id="25" w:name="_Hlk96504769"/>
      <w:r w:rsidRPr="00890BF3">
        <w:rPr>
          <w:rFonts w:ascii="Times New Roman" w:hAnsi="Times New Roman"/>
          <w:bCs/>
          <w:i/>
          <w:sz w:val="28"/>
        </w:rPr>
        <w:t>Trade Support Loans Rules 2014</w:t>
      </w:r>
    </w:p>
    <w:p w14:paraId="10A5F328" w14:textId="77777777" w:rsidR="00830EE1" w:rsidRDefault="00830EE1" w:rsidP="00830EE1">
      <w:pPr>
        <w:pStyle w:val="ItemHead"/>
      </w:pPr>
      <w:proofErr w:type="gramStart"/>
      <w:r w:rsidRPr="00B1728A">
        <w:t xml:space="preserve">1  </w:t>
      </w:r>
      <w:r>
        <w:t>The</w:t>
      </w:r>
      <w:proofErr w:type="gramEnd"/>
      <w:r>
        <w:t xml:space="preserve"> whole of the instrument</w:t>
      </w:r>
    </w:p>
    <w:p w14:paraId="7094F9F2" w14:textId="230807EF" w:rsidR="00A75FE9" w:rsidRDefault="00830EE1" w:rsidP="00830EE1">
      <w:pPr>
        <w:pStyle w:val="Item"/>
      </w:pPr>
      <w:r>
        <w:t>Repeal the instrument.</w:t>
      </w:r>
      <w:bookmarkEnd w:id="25"/>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92E8" w14:textId="77777777" w:rsidR="0007667C" w:rsidRDefault="0007667C" w:rsidP="00715914">
      <w:pPr>
        <w:spacing w:line="240" w:lineRule="auto"/>
      </w:pPr>
      <w:r>
        <w:separator/>
      </w:r>
    </w:p>
  </w:endnote>
  <w:endnote w:type="continuationSeparator" w:id="0">
    <w:p w14:paraId="503B0C12" w14:textId="77777777" w:rsidR="0007667C" w:rsidRDefault="0007667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A78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2810DC05" w14:textId="77777777" w:rsidTr="00B33709">
      <w:tc>
        <w:tcPr>
          <w:tcW w:w="709" w:type="dxa"/>
          <w:tcBorders>
            <w:top w:val="nil"/>
            <w:left w:val="nil"/>
            <w:bottom w:val="nil"/>
            <w:right w:val="nil"/>
          </w:tcBorders>
        </w:tcPr>
        <w:p w14:paraId="42230550"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48F94DE" w14:textId="58A09A7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5539">
            <w:rPr>
              <w:i/>
              <w:noProof/>
              <w:sz w:val="18"/>
            </w:rPr>
            <w:t>Australian Apprenticeship Support Loans Rules 2023</w:t>
          </w:r>
          <w:r w:rsidRPr="004E1307">
            <w:rPr>
              <w:i/>
              <w:sz w:val="18"/>
            </w:rPr>
            <w:fldChar w:fldCharType="end"/>
          </w:r>
        </w:p>
      </w:tc>
      <w:tc>
        <w:tcPr>
          <w:tcW w:w="1383" w:type="dxa"/>
          <w:tcBorders>
            <w:top w:val="nil"/>
            <w:left w:val="nil"/>
            <w:bottom w:val="nil"/>
            <w:right w:val="nil"/>
          </w:tcBorders>
        </w:tcPr>
        <w:p w14:paraId="234EFB71" w14:textId="77777777" w:rsidR="0072147A" w:rsidRDefault="0072147A" w:rsidP="00A369E3">
          <w:pPr>
            <w:spacing w:line="0" w:lineRule="atLeast"/>
            <w:jc w:val="right"/>
            <w:rPr>
              <w:sz w:val="18"/>
            </w:rPr>
          </w:pPr>
        </w:p>
      </w:tc>
    </w:tr>
    <w:tr w:rsidR="0072147A" w14:paraId="7AF4A38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D5679C" w14:textId="77777777" w:rsidR="0072147A" w:rsidRDefault="0072147A" w:rsidP="00A369E3">
          <w:pPr>
            <w:jc w:val="right"/>
            <w:rPr>
              <w:sz w:val="18"/>
            </w:rPr>
          </w:pPr>
        </w:p>
      </w:tc>
    </w:tr>
  </w:tbl>
  <w:p w14:paraId="1633A7A1"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A9E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0BFD9E28" w14:textId="77777777" w:rsidTr="00A369E3">
      <w:tc>
        <w:tcPr>
          <w:tcW w:w="1384" w:type="dxa"/>
          <w:tcBorders>
            <w:top w:val="nil"/>
            <w:left w:val="nil"/>
            <w:bottom w:val="nil"/>
            <w:right w:val="nil"/>
          </w:tcBorders>
        </w:tcPr>
        <w:p w14:paraId="7E31440D" w14:textId="77777777" w:rsidR="0072147A" w:rsidRDefault="0072147A" w:rsidP="00A369E3">
          <w:pPr>
            <w:spacing w:line="0" w:lineRule="atLeast"/>
            <w:rPr>
              <w:sz w:val="18"/>
            </w:rPr>
          </w:pPr>
        </w:p>
      </w:tc>
      <w:tc>
        <w:tcPr>
          <w:tcW w:w="6379" w:type="dxa"/>
          <w:tcBorders>
            <w:top w:val="nil"/>
            <w:left w:val="nil"/>
            <w:bottom w:val="nil"/>
            <w:right w:val="nil"/>
          </w:tcBorders>
        </w:tcPr>
        <w:p w14:paraId="430C97B7" w14:textId="31A6C8E0"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35539">
            <w:rPr>
              <w:i/>
              <w:noProof/>
              <w:sz w:val="18"/>
            </w:rPr>
            <w:t>Australian Apprenticeship Support Loans Rules 2023</w:t>
          </w:r>
          <w:r w:rsidRPr="004E1307">
            <w:rPr>
              <w:i/>
              <w:sz w:val="18"/>
            </w:rPr>
            <w:fldChar w:fldCharType="end"/>
          </w:r>
        </w:p>
      </w:tc>
      <w:tc>
        <w:tcPr>
          <w:tcW w:w="709" w:type="dxa"/>
          <w:tcBorders>
            <w:top w:val="nil"/>
            <w:left w:val="nil"/>
            <w:bottom w:val="nil"/>
            <w:right w:val="nil"/>
          </w:tcBorders>
        </w:tcPr>
        <w:p w14:paraId="55251E06"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F67294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A90D12" w14:textId="77777777" w:rsidR="0072147A" w:rsidRDefault="0072147A" w:rsidP="00A369E3">
          <w:pPr>
            <w:rPr>
              <w:sz w:val="18"/>
            </w:rPr>
          </w:pPr>
        </w:p>
      </w:tc>
    </w:tr>
  </w:tbl>
  <w:p w14:paraId="73A77C68"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E29C"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41E97E37" w14:textId="77777777" w:rsidTr="00B33709">
      <w:tc>
        <w:tcPr>
          <w:tcW w:w="1384" w:type="dxa"/>
          <w:tcBorders>
            <w:top w:val="nil"/>
            <w:left w:val="nil"/>
            <w:bottom w:val="nil"/>
            <w:right w:val="nil"/>
          </w:tcBorders>
        </w:tcPr>
        <w:p w14:paraId="2F983E55" w14:textId="77777777" w:rsidR="0072147A" w:rsidRDefault="0072147A" w:rsidP="00A369E3">
          <w:pPr>
            <w:spacing w:line="0" w:lineRule="atLeast"/>
            <w:rPr>
              <w:sz w:val="18"/>
            </w:rPr>
          </w:pPr>
        </w:p>
      </w:tc>
      <w:tc>
        <w:tcPr>
          <w:tcW w:w="6379" w:type="dxa"/>
          <w:tcBorders>
            <w:top w:val="nil"/>
            <w:left w:val="nil"/>
            <w:bottom w:val="nil"/>
            <w:right w:val="nil"/>
          </w:tcBorders>
        </w:tcPr>
        <w:p w14:paraId="7E9C1D8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6262F18" w14:textId="77777777" w:rsidR="0072147A" w:rsidRDefault="0072147A" w:rsidP="00A369E3">
          <w:pPr>
            <w:spacing w:line="0" w:lineRule="atLeast"/>
            <w:jc w:val="right"/>
            <w:rPr>
              <w:sz w:val="18"/>
            </w:rPr>
          </w:pPr>
        </w:p>
      </w:tc>
    </w:tr>
  </w:tbl>
  <w:p w14:paraId="359BDD4C"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10AC"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0D682CEE" w14:textId="77777777" w:rsidTr="00A87A58">
      <w:tc>
        <w:tcPr>
          <w:tcW w:w="365" w:type="pct"/>
        </w:tcPr>
        <w:p w14:paraId="56BF732B"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9B22CEA" w14:textId="370FFFA3"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1454">
            <w:rPr>
              <w:i/>
              <w:noProof/>
              <w:sz w:val="18"/>
            </w:rPr>
            <w:t>Australian Apprenticeship Support Loans Rules 2023</w:t>
          </w:r>
          <w:r w:rsidRPr="004E1307">
            <w:rPr>
              <w:i/>
              <w:sz w:val="18"/>
            </w:rPr>
            <w:fldChar w:fldCharType="end"/>
          </w:r>
        </w:p>
      </w:tc>
      <w:tc>
        <w:tcPr>
          <w:tcW w:w="947" w:type="pct"/>
        </w:tcPr>
        <w:p w14:paraId="1371BCE4" w14:textId="77777777" w:rsidR="00F6696E" w:rsidRDefault="00F6696E" w:rsidP="000850AC">
          <w:pPr>
            <w:spacing w:line="0" w:lineRule="atLeast"/>
            <w:jc w:val="right"/>
            <w:rPr>
              <w:sz w:val="18"/>
            </w:rPr>
          </w:pPr>
        </w:p>
      </w:tc>
    </w:tr>
    <w:tr w:rsidR="00F6696E" w14:paraId="6DABD449" w14:textId="77777777" w:rsidTr="00A87A58">
      <w:tc>
        <w:tcPr>
          <w:tcW w:w="5000" w:type="pct"/>
          <w:gridSpan w:val="3"/>
        </w:tcPr>
        <w:p w14:paraId="70905F7B" w14:textId="77777777" w:rsidR="00F6696E" w:rsidRDefault="00F6696E" w:rsidP="000850AC">
          <w:pPr>
            <w:jc w:val="right"/>
            <w:rPr>
              <w:sz w:val="18"/>
            </w:rPr>
          </w:pPr>
        </w:p>
      </w:tc>
    </w:tr>
  </w:tbl>
  <w:p w14:paraId="73FBF638"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6CE3"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30772C1" w14:textId="77777777" w:rsidTr="00A87A58">
      <w:tc>
        <w:tcPr>
          <w:tcW w:w="947" w:type="pct"/>
        </w:tcPr>
        <w:p w14:paraId="02041909" w14:textId="77777777" w:rsidR="00F6696E" w:rsidRDefault="00F6696E" w:rsidP="000850AC">
          <w:pPr>
            <w:spacing w:line="0" w:lineRule="atLeast"/>
            <w:rPr>
              <w:sz w:val="18"/>
            </w:rPr>
          </w:pPr>
        </w:p>
      </w:tc>
      <w:tc>
        <w:tcPr>
          <w:tcW w:w="3688" w:type="pct"/>
        </w:tcPr>
        <w:p w14:paraId="72411634" w14:textId="6431350E"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1454">
            <w:rPr>
              <w:i/>
              <w:noProof/>
              <w:sz w:val="18"/>
            </w:rPr>
            <w:t>Australian Apprenticeship Support Loans Rules 2023</w:t>
          </w:r>
          <w:r w:rsidRPr="004E1307">
            <w:rPr>
              <w:i/>
              <w:sz w:val="18"/>
            </w:rPr>
            <w:fldChar w:fldCharType="end"/>
          </w:r>
        </w:p>
      </w:tc>
      <w:tc>
        <w:tcPr>
          <w:tcW w:w="365" w:type="pct"/>
        </w:tcPr>
        <w:p w14:paraId="45FDC1F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4B6A8C21" w14:textId="77777777" w:rsidTr="00A87A58">
      <w:tc>
        <w:tcPr>
          <w:tcW w:w="5000" w:type="pct"/>
          <w:gridSpan w:val="3"/>
        </w:tcPr>
        <w:p w14:paraId="3FCA3546" w14:textId="77777777" w:rsidR="00F6696E" w:rsidRDefault="00F6696E" w:rsidP="000850AC">
          <w:pPr>
            <w:rPr>
              <w:sz w:val="18"/>
            </w:rPr>
          </w:pPr>
        </w:p>
      </w:tc>
    </w:tr>
  </w:tbl>
  <w:p w14:paraId="518EB5B0"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5A2"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D5B7A24" w14:textId="77777777" w:rsidTr="00A87A58">
      <w:tc>
        <w:tcPr>
          <w:tcW w:w="365" w:type="pct"/>
        </w:tcPr>
        <w:p w14:paraId="05E1636C"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32AFE939" w14:textId="075EBDD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1454">
            <w:rPr>
              <w:i/>
              <w:noProof/>
              <w:sz w:val="18"/>
            </w:rPr>
            <w:t>Australian Apprenticeship Support Loans Rules 2023</w:t>
          </w:r>
          <w:r w:rsidRPr="004E1307">
            <w:rPr>
              <w:i/>
              <w:sz w:val="18"/>
            </w:rPr>
            <w:fldChar w:fldCharType="end"/>
          </w:r>
        </w:p>
      </w:tc>
      <w:tc>
        <w:tcPr>
          <w:tcW w:w="947" w:type="pct"/>
        </w:tcPr>
        <w:p w14:paraId="2192F205" w14:textId="77777777" w:rsidR="008C2EAC" w:rsidRDefault="008C2EAC" w:rsidP="000850AC">
          <w:pPr>
            <w:spacing w:line="0" w:lineRule="atLeast"/>
            <w:jc w:val="right"/>
            <w:rPr>
              <w:sz w:val="18"/>
            </w:rPr>
          </w:pPr>
        </w:p>
      </w:tc>
    </w:tr>
    <w:tr w:rsidR="008C2EAC" w14:paraId="404B6BAB" w14:textId="77777777" w:rsidTr="00A87A58">
      <w:tc>
        <w:tcPr>
          <w:tcW w:w="5000" w:type="pct"/>
          <w:gridSpan w:val="3"/>
        </w:tcPr>
        <w:p w14:paraId="59698620" w14:textId="77777777" w:rsidR="008C2EAC" w:rsidRDefault="008C2EAC" w:rsidP="000850AC">
          <w:pPr>
            <w:jc w:val="right"/>
            <w:rPr>
              <w:sz w:val="18"/>
            </w:rPr>
          </w:pPr>
        </w:p>
      </w:tc>
    </w:tr>
  </w:tbl>
  <w:p w14:paraId="286E4422"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066A"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3AB3C143" w14:textId="77777777" w:rsidTr="00A87A58">
      <w:tc>
        <w:tcPr>
          <w:tcW w:w="947" w:type="pct"/>
        </w:tcPr>
        <w:p w14:paraId="1BB8100A" w14:textId="77777777" w:rsidR="008C2EAC" w:rsidRDefault="008C2EAC" w:rsidP="000850AC">
          <w:pPr>
            <w:spacing w:line="0" w:lineRule="atLeast"/>
            <w:rPr>
              <w:sz w:val="18"/>
            </w:rPr>
          </w:pPr>
        </w:p>
      </w:tc>
      <w:tc>
        <w:tcPr>
          <w:tcW w:w="3688" w:type="pct"/>
        </w:tcPr>
        <w:p w14:paraId="7F4C0919" w14:textId="3FA5F951"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E1454">
            <w:rPr>
              <w:i/>
              <w:noProof/>
              <w:sz w:val="18"/>
            </w:rPr>
            <w:t>Australian Apprenticeship Support Loans Rules 2023</w:t>
          </w:r>
          <w:r w:rsidRPr="004E1307">
            <w:rPr>
              <w:i/>
              <w:sz w:val="18"/>
            </w:rPr>
            <w:fldChar w:fldCharType="end"/>
          </w:r>
        </w:p>
      </w:tc>
      <w:tc>
        <w:tcPr>
          <w:tcW w:w="365" w:type="pct"/>
        </w:tcPr>
        <w:p w14:paraId="23061080"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2F33DDC" w14:textId="77777777" w:rsidTr="00A87A58">
      <w:tc>
        <w:tcPr>
          <w:tcW w:w="5000" w:type="pct"/>
          <w:gridSpan w:val="3"/>
        </w:tcPr>
        <w:p w14:paraId="1D09FB1D" w14:textId="77777777" w:rsidR="008C2EAC" w:rsidRDefault="008C2EAC" w:rsidP="000850AC">
          <w:pPr>
            <w:rPr>
              <w:sz w:val="18"/>
            </w:rPr>
          </w:pPr>
        </w:p>
      </w:tc>
    </w:tr>
  </w:tbl>
  <w:p w14:paraId="6898EED8"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F9CA" w14:textId="77777777" w:rsidR="0007667C" w:rsidRDefault="0007667C" w:rsidP="00715914">
      <w:pPr>
        <w:spacing w:line="240" w:lineRule="auto"/>
      </w:pPr>
      <w:r>
        <w:separator/>
      </w:r>
    </w:p>
  </w:footnote>
  <w:footnote w:type="continuationSeparator" w:id="0">
    <w:p w14:paraId="55451B43" w14:textId="77777777" w:rsidR="0007667C" w:rsidRDefault="0007667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A58F"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437D"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DB86"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018F"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5C1A"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01C8" w14:textId="77777777" w:rsidR="004E1307" w:rsidRDefault="004E1307" w:rsidP="00715914">
    <w:pPr>
      <w:rPr>
        <w:sz w:val="20"/>
      </w:rPr>
    </w:pPr>
  </w:p>
  <w:p w14:paraId="363831BE" w14:textId="77777777" w:rsidR="004E1307" w:rsidRDefault="004E1307" w:rsidP="00715914">
    <w:pPr>
      <w:rPr>
        <w:sz w:val="20"/>
      </w:rPr>
    </w:pPr>
  </w:p>
  <w:p w14:paraId="24D928EE" w14:textId="77777777" w:rsidR="004E1307" w:rsidRPr="007A1328" w:rsidRDefault="004E1307" w:rsidP="00715914">
    <w:pPr>
      <w:rPr>
        <w:sz w:val="20"/>
      </w:rPr>
    </w:pPr>
  </w:p>
  <w:p w14:paraId="3A04034F" w14:textId="77777777" w:rsidR="004E1307" w:rsidRPr="007A1328" w:rsidRDefault="004E1307" w:rsidP="00715914">
    <w:pPr>
      <w:rPr>
        <w:b/>
        <w:sz w:val="24"/>
      </w:rPr>
    </w:pPr>
  </w:p>
  <w:p w14:paraId="46FFC72A"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08C5" w14:textId="77777777" w:rsidR="004E1307" w:rsidRPr="007A1328" w:rsidRDefault="004E1307" w:rsidP="00715914">
    <w:pPr>
      <w:jc w:val="right"/>
      <w:rPr>
        <w:sz w:val="20"/>
      </w:rPr>
    </w:pPr>
  </w:p>
  <w:p w14:paraId="6B506048" w14:textId="77777777" w:rsidR="004E1307" w:rsidRPr="007A1328" w:rsidRDefault="004E1307" w:rsidP="00715914">
    <w:pPr>
      <w:jc w:val="right"/>
      <w:rPr>
        <w:sz w:val="20"/>
      </w:rPr>
    </w:pPr>
  </w:p>
  <w:p w14:paraId="058A8785" w14:textId="77777777" w:rsidR="004E1307" w:rsidRPr="007A1328" w:rsidRDefault="004E1307" w:rsidP="00715914">
    <w:pPr>
      <w:jc w:val="right"/>
      <w:rPr>
        <w:sz w:val="20"/>
      </w:rPr>
    </w:pPr>
  </w:p>
  <w:p w14:paraId="2E7DB962" w14:textId="77777777" w:rsidR="004E1307" w:rsidRPr="007A1328" w:rsidRDefault="004E1307" w:rsidP="00715914">
    <w:pPr>
      <w:jc w:val="right"/>
      <w:rPr>
        <w:b/>
        <w:sz w:val="24"/>
      </w:rPr>
    </w:pPr>
  </w:p>
  <w:p w14:paraId="283DA3B1"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43957704">
    <w:abstractNumId w:val="9"/>
  </w:num>
  <w:num w:numId="2" w16cid:durableId="1522625156">
    <w:abstractNumId w:val="7"/>
  </w:num>
  <w:num w:numId="3" w16cid:durableId="1237017021">
    <w:abstractNumId w:val="6"/>
  </w:num>
  <w:num w:numId="4" w16cid:durableId="72318107">
    <w:abstractNumId w:val="5"/>
  </w:num>
  <w:num w:numId="5" w16cid:durableId="271282376">
    <w:abstractNumId w:val="4"/>
  </w:num>
  <w:num w:numId="6" w16cid:durableId="913200296">
    <w:abstractNumId w:val="8"/>
  </w:num>
  <w:num w:numId="7" w16cid:durableId="1737051251">
    <w:abstractNumId w:val="3"/>
  </w:num>
  <w:num w:numId="8" w16cid:durableId="544562415">
    <w:abstractNumId w:val="2"/>
  </w:num>
  <w:num w:numId="9" w16cid:durableId="1104114699">
    <w:abstractNumId w:val="1"/>
  </w:num>
  <w:num w:numId="10" w16cid:durableId="1310020674">
    <w:abstractNumId w:val="0"/>
  </w:num>
  <w:num w:numId="11" w16cid:durableId="1253396990">
    <w:abstractNumId w:val="12"/>
  </w:num>
  <w:num w:numId="12" w16cid:durableId="2020693244">
    <w:abstractNumId w:val="10"/>
  </w:num>
  <w:num w:numId="13" w16cid:durableId="1804420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E1"/>
    <w:rsid w:val="00004174"/>
    <w:rsid w:val="00004470"/>
    <w:rsid w:val="000136AF"/>
    <w:rsid w:val="000258B1"/>
    <w:rsid w:val="00040A89"/>
    <w:rsid w:val="000437C1"/>
    <w:rsid w:val="0004455A"/>
    <w:rsid w:val="0005365D"/>
    <w:rsid w:val="000614BF"/>
    <w:rsid w:val="0006709C"/>
    <w:rsid w:val="00074376"/>
    <w:rsid w:val="0007667C"/>
    <w:rsid w:val="000978F5"/>
    <w:rsid w:val="000B15CD"/>
    <w:rsid w:val="000B35EB"/>
    <w:rsid w:val="000D05EF"/>
    <w:rsid w:val="000E2261"/>
    <w:rsid w:val="000E78B7"/>
    <w:rsid w:val="000F21C1"/>
    <w:rsid w:val="0010745C"/>
    <w:rsid w:val="00132CEB"/>
    <w:rsid w:val="001339B0"/>
    <w:rsid w:val="00135539"/>
    <w:rsid w:val="00142B62"/>
    <w:rsid w:val="001441B7"/>
    <w:rsid w:val="001516CB"/>
    <w:rsid w:val="00152336"/>
    <w:rsid w:val="00157B8B"/>
    <w:rsid w:val="00166C2F"/>
    <w:rsid w:val="001809D7"/>
    <w:rsid w:val="001939E1"/>
    <w:rsid w:val="00194C3E"/>
    <w:rsid w:val="00195382"/>
    <w:rsid w:val="001B2CB6"/>
    <w:rsid w:val="001C61C5"/>
    <w:rsid w:val="001C69C4"/>
    <w:rsid w:val="001D37EF"/>
    <w:rsid w:val="001E1454"/>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4F8B"/>
    <w:rsid w:val="00335BC6"/>
    <w:rsid w:val="003415D3"/>
    <w:rsid w:val="00344338"/>
    <w:rsid w:val="00344701"/>
    <w:rsid w:val="00352B0F"/>
    <w:rsid w:val="00360459"/>
    <w:rsid w:val="0038049F"/>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30EE1"/>
    <w:rsid w:val="00854D0B"/>
    <w:rsid w:val="00856A31"/>
    <w:rsid w:val="00860B4E"/>
    <w:rsid w:val="00867B37"/>
    <w:rsid w:val="008754D0"/>
    <w:rsid w:val="00875D13"/>
    <w:rsid w:val="008855C9"/>
    <w:rsid w:val="00886456"/>
    <w:rsid w:val="00896176"/>
    <w:rsid w:val="008A46E1"/>
    <w:rsid w:val="008A4F43"/>
    <w:rsid w:val="008B2706"/>
    <w:rsid w:val="008B2DD1"/>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A3345"/>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2C17"/>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C535A"/>
    <w:rsid w:val="00CE051D"/>
    <w:rsid w:val="00CE1335"/>
    <w:rsid w:val="00CE493D"/>
    <w:rsid w:val="00CF07FA"/>
    <w:rsid w:val="00CF0BB2"/>
    <w:rsid w:val="00CF3EE8"/>
    <w:rsid w:val="00D13441"/>
    <w:rsid w:val="00D150E7"/>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F2388"/>
    <w:rsid w:val="00E05704"/>
    <w:rsid w:val="00E338EF"/>
    <w:rsid w:val="00E544BB"/>
    <w:rsid w:val="00E74DC7"/>
    <w:rsid w:val="00E8075A"/>
    <w:rsid w:val="00E940D8"/>
    <w:rsid w:val="00E94D5E"/>
    <w:rsid w:val="00EA7100"/>
    <w:rsid w:val="00EA7F9F"/>
    <w:rsid w:val="00EB1274"/>
    <w:rsid w:val="00EB322F"/>
    <w:rsid w:val="00ED2BB6"/>
    <w:rsid w:val="00ED34E1"/>
    <w:rsid w:val="00ED3B8D"/>
    <w:rsid w:val="00EE5E36"/>
    <w:rsid w:val="00EF2E3A"/>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B939"/>
  <w15:docId w15:val="{6E018902-E670-4CDA-B99B-5923D0F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830EE1"/>
    <w:rPr>
      <w:rFonts w:eastAsia="Times New Roman" w:cs="Times New Roman"/>
      <w:b/>
      <w:kern w:val="28"/>
      <w:sz w:val="24"/>
      <w:lang w:eastAsia="en-AU"/>
    </w:rPr>
  </w:style>
  <w:style w:type="character" w:customStyle="1" w:styleId="paragraphChar">
    <w:name w:val="paragraph Char"/>
    <w:aliases w:val="a Char"/>
    <w:link w:val="paragraph"/>
    <w:rsid w:val="00830EE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2741\Downloads\template_-_principal_instr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(1)</Template>
  <TotalTime>4</TotalTime>
  <Pages>20</Pages>
  <Words>3483</Words>
  <Characters>19854</Characters>
  <Application>Microsoft Office Word</Application>
  <DocSecurity>6</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DALTON,Erin</dc:creator>
  <cp:lastModifiedBy>GILMOUR,Sarah</cp:lastModifiedBy>
  <cp:revision>2</cp:revision>
  <cp:lastPrinted>2023-12-13T00:00:00Z</cp:lastPrinted>
  <dcterms:created xsi:type="dcterms:W3CDTF">2023-12-19T00:27:00Z</dcterms:created>
  <dcterms:modified xsi:type="dcterms:W3CDTF">2023-12-19T00:27:00Z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2023-12-12T08:36:01Z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cc285fad-9dbe-4003-b9d3-8e867642c6e6</vt:lpwstr>
  </property>
  <property fmtid="{D5CDD505-2E9C-101B-9397-08002B2CF9AE}" pid="8" name="MSIP_Label_79d889eb-932f-4752-8739-64d25806ef64_ContentBits">
    <vt:lpwstr>0</vt:lpwstr>
  </property>
</Properties>
</file>