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D7AA7" w14:textId="77777777" w:rsidR="001F3823" w:rsidRPr="000F539C" w:rsidRDefault="001F3823" w:rsidP="001F3823">
      <w:pPr>
        <w:jc w:val="center"/>
        <w:rPr>
          <w:rFonts w:ascii="Times New Roman" w:hAnsi="Times New Roman" w:cs="Times New Roman"/>
          <w:b/>
        </w:rPr>
      </w:pPr>
      <w:r w:rsidRPr="000F539C">
        <w:rPr>
          <w:rFonts w:ascii="Times New Roman" w:hAnsi="Times New Roman" w:cs="Times New Roman"/>
          <w:b/>
        </w:rPr>
        <w:t>EXPLANATORY STATEMENT</w:t>
      </w:r>
    </w:p>
    <w:p w14:paraId="15F72912" w14:textId="77777777" w:rsidR="001F3823" w:rsidRPr="000F539C" w:rsidRDefault="001F3823" w:rsidP="001F3823">
      <w:pPr>
        <w:jc w:val="center"/>
        <w:rPr>
          <w:rFonts w:ascii="Times New Roman" w:hAnsi="Times New Roman" w:cs="Times New Roman"/>
          <w:i/>
        </w:rPr>
      </w:pPr>
      <w:r w:rsidRPr="000F539C">
        <w:rPr>
          <w:rFonts w:ascii="Times New Roman" w:hAnsi="Times New Roman" w:cs="Times New Roman"/>
          <w:i/>
        </w:rPr>
        <w:t>Telecommunications Act 1997</w:t>
      </w:r>
    </w:p>
    <w:p w14:paraId="45EF4732" w14:textId="77777777" w:rsidR="001F3823" w:rsidRPr="000F539C" w:rsidRDefault="001F3823" w:rsidP="001F3823">
      <w:pPr>
        <w:jc w:val="center"/>
        <w:rPr>
          <w:rFonts w:ascii="Times New Roman" w:hAnsi="Times New Roman" w:cs="Times New Roman"/>
          <w:b/>
          <w:i/>
        </w:rPr>
      </w:pPr>
      <w:r w:rsidRPr="000F539C">
        <w:rPr>
          <w:rFonts w:ascii="Times New Roman" w:hAnsi="Times New Roman" w:cs="Times New Roman"/>
          <w:b/>
          <w:i/>
        </w:rPr>
        <w:t>Telecommunications (Carrie</w:t>
      </w:r>
      <w:bookmarkStart w:id="0" w:name="_GoBack"/>
      <w:bookmarkEnd w:id="0"/>
      <w:r w:rsidRPr="000F539C">
        <w:rPr>
          <w:rFonts w:ascii="Times New Roman" w:hAnsi="Times New Roman" w:cs="Times New Roman"/>
          <w:b/>
          <w:i/>
        </w:rPr>
        <w:t xml:space="preserve">r Licence Conditions – Security Information) Amendment </w:t>
      </w:r>
      <w:r w:rsidRPr="000F539C">
        <w:rPr>
          <w:rFonts w:ascii="Times New Roman" w:hAnsi="Times New Roman" w:cs="Times New Roman"/>
          <w:b/>
          <w:i/>
        </w:rPr>
        <w:br/>
        <w:t>Declaration 2023</w:t>
      </w:r>
    </w:p>
    <w:p w14:paraId="078B10B9" w14:textId="77777777" w:rsidR="001F3823" w:rsidRPr="000F539C" w:rsidRDefault="001F3823" w:rsidP="001F3823">
      <w:pPr>
        <w:jc w:val="center"/>
        <w:rPr>
          <w:rFonts w:ascii="Times New Roman" w:hAnsi="Times New Roman" w:cs="Times New Roman"/>
          <w:b/>
          <w:i/>
        </w:rPr>
      </w:pPr>
      <w:r w:rsidRPr="000F539C">
        <w:rPr>
          <w:rFonts w:ascii="Times New Roman" w:hAnsi="Times New Roman" w:cs="Times New Roman"/>
          <w:b/>
          <w:i/>
        </w:rPr>
        <w:t>Telecommunications (Carriage Service Provider – Security Information) Amendment Determination 2023</w:t>
      </w:r>
    </w:p>
    <w:p w14:paraId="7D0D4E96" w14:textId="77777777" w:rsidR="001F3823" w:rsidRPr="000F539C" w:rsidRDefault="001F3823" w:rsidP="001F3823">
      <w:pPr>
        <w:rPr>
          <w:rFonts w:ascii="Times New Roman" w:hAnsi="Times New Roman" w:cs="Times New Roman"/>
          <w:i/>
        </w:rPr>
      </w:pPr>
    </w:p>
    <w:p w14:paraId="028CD857" w14:textId="77777777" w:rsidR="001F3823" w:rsidRPr="000F539C" w:rsidRDefault="001F3823" w:rsidP="001F3823">
      <w:pPr>
        <w:rPr>
          <w:rFonts w:ascii="Times New Roman" w:hAnsi="Times New Roman" w:cs="Times New Roman"/>
          <w:b/>
        </w:rPr>
      </w:pPr>
      <w:r w:rsidRPr="000F539C">
        <w:rPr>
          <w:rFonts w:ascii="Times New Roman" w:hAnsi="Times New Roman" w:cs="Times New Roman"/>
          <w:b/>
        </w:rPr>
        <w:t>Authority</w:t>
      </w:r>
    </w:p>
    <w:p w14:paraId="70544138" w14:textId="77777777" w:rsidR="001F3823" w:rsidRPr="000F539C" w:rsidRDefault="001F3823" w:rsidP="001F3823">
      <w:pPr>
        <w:rPr>
          <w:rFonts w:ascii="Times New Roman" w:hAnsi="Times New Roman" w:cs="Times New Roman"/>
          <w:i/>
        </w:rPr>
      </w:pPr>
      <w:r w:rsidRPr="000F539C">
        <w:rPr>
          <w:rFonts w:ascii="Times New Roman" w:hAnsi="Times New Roman" w:cs="Times New Roman"/>
        </w:rPr>
        <w:t>The Minister for Communications, the Hon Michelle Rowland MP,</w:t>
      </w:r>
      <w:r w:rsidRPr="000F539C">
        <w:rPr>
          <w:rFonts w:ascii="Times New Roman" w:hAnsi="Times New Roman" w:cs="Times New Roman"/>
          <w:b/>
        </w:rPr>
        <w:t xml:space="preserve"> </w:t>
      </w:r>
      <w:r w:rsidRPr="000F539C">
        <w:rPr>
          <w:rFonts w:ascii="Times New Roman" w:hAnsi="Times New Roman" w:cs="Times New Roman"/>
        </w:rPr>
        <w:t xml:space="preserve">has made the </w:t>
      </w:r>
      <w:r w:rsidRPr="000F539C">
        <w:rPr>
          <w:rFonts w:ascii="Times New Roman" w:hAnsi="Times New Roman" w:cs="Times New Roman"/>
          <w:i/>
        </w:rPr>
        <w:t xml:space="preserve">Telecommunications (Carrier Licence Conditions—Security Information) Amendment Declaration 2023 </w:t>
      </w:r>
      <w:r w:rsidRPr="000F539C">
        <w:rPr>
          <w:rFonts w:ascii="Times New Roman" w:hAnsi="Times New Roman" w:cs="Times New Roman"/>
        </w:rPr>
        <w:t>and</w:t>
      </w:r>
      <w:r w:rsidRPr="000F539C">
        <w:rPr>
          <w:rFonts w:ascii="Times New Roman" w:hAnsi="Times New Roman" w:cs="Times New Roman"/>
          <w:i/>
        </w:rPr>
        <w:t xml:space="preserve"> </w:t>
      </w:r>
      <w:r w:rsidRPr="000F539C">
        <w:rPr>
          <w:rFonts w:ascii="Times New Roman" w:hAnsi="Times New Roman" w:cs="Times New Roman"/>
        </w:rPr>
        <w:t>the</w:t>
      </w:r>
      <w:r w:rsidRPr="000F539C">
        <w:rPr>
          <w:rFonts w:ascii="Times New Roman" w:hAnsi="Times New Roman" w:cs="Times New Roman"/>
          <w:i/>
        </w:rPr>
        <w:t xml:space="preserve"> Telecommunications (Carriage Service Provider—Security Information) Amendment Determination 2023 </w:t>
      </w:r>
      <w:r w:rsidRPr="000F539C">
        <w:rPr>
          <w:rFonts w:ascii="Times New Roman" w:hAnsi="Times New Roman" w:cs="Times New Roman"/>
          <w:b/>
        </w:rPr>
        <w:t xml:space="preserve">(the instruments) </w:t>
      </w:r>
      <w:r w:rsidRPr="000F539C">
        <w:rPr>
          <w:rFonts w:ascii="Times New Roman" w:hAnsi="Times New Roman" w:cs="Times New Roman"/>
        </w:rPr>
        <w:t>under the</w:t>
      </w:r>
      <w:r w:rsidRPr="000F539C">
        <w:rPr>
          <w:rFonts w:ascii="Times New Roman" w:hAnsi="Times New Roman" w:cs="Times New Roman"/>
          <w:b/>
        </w:rPr>
        <w:t xml:space="preserve"> </w:t>
      </w:r>
      <w:r w:rsidRPr="000F539C">
        <w:rPr>
          <w:rFonts w:ascii="Times New Roman" w:hAnsi="Times New Roman" w:cs="Times New Roman"/>
          <w:i/>
        </w:rPr>
        <w:t xml:space="preserve">Telecommunications Act 1997 </w:t>
      </w:r>
      <w:r w:rsidRPr="000F539C">
        <w:rPr>
          <w:rFonts w:ascii="Times New Roman" w:hAnsi="Times New Roman" w:cs="Times New Roman"/>
        </w:rPr>
        <w:t>(</w:t>
      </w:r>
      <w:r w:rsidRPr="000F539C">
        <w:rPr>
          <w:rFonts w:ascii="Times New Roman" w:hAnsi="Times New Roman" w:cs="Times New Roman"/>
          <w:b/>
        </w:rPr>
        <w:t>the Tel Act</w:t>
      </w:r>
      <w:r w:rsidRPr="000F539C">
        <w:rPr>
          <w:rFonts w:ascii="Times New Roman" w:hAnsi="Times New Roman" w:cs="Times New Roman"/>
        </w:rPr>
        <w:t>)</w:t>
      </w:r>
      <w:r w:rsidRPr="000F539C">
        <w:rPr>
          <w:rFonts w:ascii="Times New Roman" w:hAnsi="Times New Roman" w:cs="Times New Roman"/>
          <w:i/>
        </w:rPr>
        <w:t>.</w:t>
      </w:r>
    </w:p>
    <w:p w14:paraId="6B56E35A" w14:textId="77777777" w:rsidR="001F3823" w:rsidRPr="000F539C" w:rsidRDefault="001F3823" w:rsidP="001F3823">
      <w:pPr>
        <w:rPr>
          <w:rFonts w:ascii="Times New Roman" w:hAnsi="Times New Roman" w:cs="Times New Roman"/>
        </w:rPr>
      </w:pPr>
      <w:r w:rsidRPr="000F539C">
        <w:rPr>
          <w:rFonts w:ascii="Times New Roman" w:hAnsi="Times New Roman" w:cs="Times New Roman"/>
        </w:rPr>
        <w:t xml:space="preserve">Section 63(1) of the Tel Act provides that the Minister may, by legislative instrument, declare that carrier licenses be made subject to such conditions as are specified in the instrument. </w:t>
      </w:r>
    </w:p>
    <w:p w14:paraId="7F5CD4B9" w14:textId="77777777" w:rsidR="001F3823" w:rsidRPr="000F539C" w:rsidRDefault="001F3823" w:rsidP="001F3823">
      <w:pPr>
        <w:rPr>
          <w:rFonts w:ascii="Times New Roman" w:hAnsi="Times New Roman" w:cs="Times New Roman"/>
        </w:rPr>
      </w:pPr>
      <w:r w:rsidRPr="000F539C">
        <w:rPr>
          <w:rFonts w:ascii="Times New Roman" w:hAnsi="Times New Roman" w:cs="Times New Roman"/>
        </w:rPr>
        <w:t>Section 63(3) provides that the Minister may, by legislative instrument, declare that carrier licenses granted to specified persons during specified period be made subject to such conditions as are specified in the instrument.</w:t>
      </w:r>
    </w:p>
    <w:p w14:paraId="2759C61A" w14:textId="77777777" w:rsidR="001F3823" w:rsidRPr="000F539C" w:rsidRDefault="001F3823" w:rsidP="001F3823">
      <w:pPr>
        <w:rPr>
          <w:rFonts w:ascii="Times New Roman" w:hAnsi="Times New Roman" w:cs="Times New Roman"/>
        </w:rPr>
      </w:pPr>
      <w:r w:rsidRPr="000F539C">
        <w:rPr>
          <w:rFonts w:ascii="Times New Roman" w:hAnsi="Times New Roman" w:cs="Times New Roman"/>
        </w:rPr>
        <w:t xml:space="preserve">Section 99(1A) provides that the Minister may, by legislative instrument, </w:t>
      </w:r>
      <w:proofErr w:type="gramStart"/>
      <w:r w:rsidRPr="000F539C">
        <w:rPr>
          <w:rFonts w:ascii="Times New Roman" w:hAnsi="Times New Roman" w:cs="Times New Roman"/>
        </w:rPr>
        <w:t>make a determination</w:t>
      </w:r>
      <w:proofErr w:type="gramEnd"/>
      <w:r w:rsidRPr="000F539C">
        <w:rPr>
          <w:rFonts w:ascii="Times New Roman" w:hAnsi="Times New Roman" w:cs="Times New Roman"/>
        </w:rPr>
        <w:t xml:space="preserve"> setting out rules that apply to Carriage Service Providers (</w:t>
      </w:r>
      <w:r w:rsidRPr="000F539C">
        <w:rPr>
          <w:rFonts w:ascii="Times New Roman" w:hAnsi="Times New Roman" w:cs="Times New Roman"/>
          <w:b/>
        </w:rPr>
        <w:t>CSPs</w:t>
      </w:r>
      <w:r w:rsidRPr="000F539C">
        <w:rPr>
          <w:rFonts w:ascii="Times New Roman" w:hAnsi="Times New Roman" w:cs="Times New Roman"/>
        </w:rPr>
        <w:t>) in relation to the supply of specified carriage services – known as a Service Provider Determination.</w:t>
      </w:r>
    </w:p>
    <w:p w14:paraId="3A11A7E4" w14:textId="77777777" w:rsidR="001F3823" w:rsidRPr="000F539C" w:rsidRDefault="001F3823" w:rsidP="001F3823">
      <w:pPr>
        <w:rPr>
          <w:rFonts w:ascii="Times New Roman" w:hAnsi="Times New Roman" w:cs="Times New Roman"/>
          <w:b/>
        </w:rPr>
      </w:pPr>
      <w:r w:rsidRPr="000F539C">
        <w:rPr>
          <w:rFonts w:ascii="Times New Roman" w:hAnsi="Times New Roman" w:cs="Times New Roman"/>
          <w:b/>
        </w:rPr>
        <w:t>Purpose and Operation of the Instruments</w:t>
      </w:r>
    </w:p>
    <w:p w14:paraId="5262A481" w14:textId="77777777" w:rsidR="001F3823" w:rsidRPr="000F539C" w:rsidRDefault="001F3823" w:rsidP="001F3823">
      <w:pPr>
        <w:rPr>
          <w:rFonts w:ascii="Times New Roman" w:hAnsi="Times New Roman" w:cs="Times New Roman"/>
        </w:rPr>
      </w:pPr>
      <w:r w:rsidRPr="000F539C">
        <w:rPr>
          <w:rFonts w:ascii="Times New Roman" w:hAnsi="Times New Roman" w:cs="Times New Roman"/>
        </w:rPr>
        <w:t>The instruments extend the existing carrier license condition and service provider rule for a register of critical telecommunications assets and mandatory reporting of cyber security instruments, established in the original instruments of July 2022.</w:t>
      </w:r>
    </w:p>
    <w:p w14:paraId="2D4DB810" w14:textId="77777777" w:rsidR="001F3823" w:rsidRPr="000F539C" w:rsidRDefault="001F3823" w:rsidP="001F3823">
      <w:pPr>
        <w:rPr>
          <w:rFonts w:ascii="Times New Roman" w:hAnsi="Times New Roman" w:cs="Times New Roman"/>
        </w:rPr>
      </w:pPr>
      <w:r w:rsidRPr="000F539C">
        <w:rPr>
          <w:rFonts w:ascii="Times New Roman" w:hAnsi="Times New Roman" w:cs="Times New Roman"/>
        </w:rPr>
        <w:t>The instruments extend the timeframe of the 2022 instruments by 18 months and amend the sunset clauses to provide they will cease operation after a period of three years after they were made. The specific clauses are explained in Appendices A and B.</w:t>
      </w:r>
    </w:p>
    <w:p w14:paraId="199B176E" w14:textId="77777777" w:rsidR="001F3823" w:rsidRPr="000F539C" w:rsidRDefault="001F3823" w:rsidP="001F3823">
      <w:pPr>
        <w:rPr>
          <w:rFonts w:ascii="Times New Roman" w:hAnsi="Times New Roman" w:cs="Times New Roman"/>
          <w:b/>
        </w:rPr>
      </w:pPr>
      <w:r w:rsidRPr="000F539C">
        <w:rPr>
          <w:rFonts w:ascii="Times New Roman" w:hAnsi="Times New Roman" w:cs="Times New Roman"/>
          <w:b/>
        </w:rPr>
        <w:t>Consultation</w:t>
      </w:r>
    </w:p>
    <w:p w14:paraId="6DDE93BA" w14:textId="77777777" w:rsidR="001F3823" w:rsidRPr="000F539C" w:rsidRDefault="001F3823" w:rsidP="001F3823">
      <w:pPr>
        <w:rPr>
          <w:rFonts w:ascii="Times New Roman" w:hAnsi="Times New Roman" w:cs="Times New Roman"/>
        </w:rPr>
      </w:pPr>
      <w:r w:rsidRPr="000F539C">
        <w:rPr>
          <w:rFonts w:ascii="Times New Roman" w:hAnsi="Times New Roman" w:cs="Times New Roman"/>
        </w:rPr>
        <w:t>Section 64 of the Tel Act requires that carrier licence holders be provided with a draft version of the proposed condition and invite submissions within a period of at least 30 days. This process occurred in November and December 2023, during which the Department received no substantial feedback.</w:t>
      </w:r>
    </w:p>
    <w:p w14:paraId="0ED62C54" w14:textId="77777777" w:rsidR="001F3823" w:rsidRPr="000F539C" w:rsidRDefault="001F3823" w:rsidP="001F3823">
      <w:pPr>
        <w:rPr>
          <w:rFonts w:ascii="Times New Roman" w:hAnsi="Times New Roman" w:cs="Times New Roman"/>
          <w:b/>
        </w:rPr>
      </w:pPr>
      <w:r w:rsidRPr="000F539C">
        <w:rPr>
          <w:rFonts w:ascii="Times New Roman" w:hAnsi="Times New Roman" w:cs="Times New Roman"/>
          <w:b/>
        </w:rPr>
        <w:t>Impact Analysis</w:t>
      </w:r>
    </w:p>
    <w:p w14:paraId="496F3967" w14:textId="77777777" w:rsidR="001F3823" w:rsidRPr="000F539C" w:rsidRDefault="001F3823" w:rsidP="001F3823">
      <w:pPr>
        <w:rPr>
          <w:rFonts w:ascii="Times New Roman" w:hAnsi="Times New Roman" w:cs="Times New Roman"/>
        </w:rPr>
      </w:pPr>
      <w:r w:rsidRPr="000F539C">
        <w:rPr>
          <w:rFonts w:ascii="Times New Roman" w:hAnsi="Times New Roman" w:cs="Times New Roman"/>
        </w:rPr>
        <w:t xml:space="preserve">Overall the Department has assessed that the instruments are operating efficiently and effectively, and that their extension will have more than minor impacts in their operation compared to the status quo that the instruments are not in place. On this basis, the Department will certify this in a letter, in lieu of an Impact Analysis process. </w:t>
      </w:r>
    </w:p>
    <w:p w14:paraId="4AFA08AC" w14:textId="77777777" w:rsidR="001F3823" w:rsidRPr="000F539C" w:rsidRDefault="001F3823" w:rsidP="001F3823">
      <w:pPr>
        <w:rPr>
          <w:rFonts w:ascii="Times New Roman" w:hAnsi="Times New Roman" w:cs="Times New Roman"/>
        </w:rPr>
      </w:pPr>
      <w:r w:rsidRPr="000F539C">
        <w:rPr>
          <w:rFonts w:ascii="Times New Roman" w:hAnsi="Times New Roman" w:cs="Times New Roman"/>
        </w:rPr>
        <w:t>The certification letter will be published by the Office of Impact Analysis (OIA) within the Department of Prime Minister and Cabinet for transparency purposes.</w:t>
      </w:r>
    </w:p>
    <w:p w14:paraId="752B89AB" w14:textId="77777777" w:rsidR="001F3823" w:rsidRPr="000F539C" w:rsidRDefault="001F3823" w:rsidP="001F3823">
      <w:pPr>
        <w:keepNext/>
        <w:rPr>
          <w:rFonts w:ascii="Times New Roman" w:hAnsi="Times New Roman" w:cs="Times New Roman"/>
          <w:b/>
        </w:rPr>
      </w:pPr>
      <w:r w:rsidRPr="000F539C">
        <w:rPr>
          <w:rFonts w:ascii="Times New Roman" w:hAnsi="Times New Roman" w:cs="Times New Roman"/>
          <w:b/>
        </w:rPr>
        <w:lastRenderedPageBreak/>
        <w:t>Statement of Compatibility with Human Rights</w:t>
      </w:r>
    </w:p>
    <w:p w14:paraId="224D6780" w14:textId="77777777" w:rsidR="001F3823" w:rsidRPr="000F539C" w:rsidRDefault="001F3823" w:rsidP="001F3823">
      <w:pPr>
        <w:keepNext/>
        <w:rPr>
          <w:rFonts w:ascii="Times New Roman" w:hAnsi="Times New Roman" w:cs="Times New Roman"/>
        </w:rPr>
      </w:pPr>
      <w:r w:rsidRPr="000F539C">
        <w:rPr>
          <w:rFonts w:ascii="Times New Roman" w:hAnsi="Times New Roman" w:cs="Times New Roman"/>
        </w:rPr>
        <w:t>The statement of compatibility can be found in the Explanatory Statement published with the original instruments in July 2022.</w:t>
      </w:r>
      <w:r w:rsidRPr="000F539C">
        <w:rPr>
          <w:rFonts w:ascii="Times New Roman" w:hAnsi="Times New Roman" w:cs="Times New Roman"/>
        </w:rPr>
        <w:br/>
      </w:r>
    </w:p>
    <w:p w14:paraId="0E884F14" w14:textId="77777777" w:rsidR="001F3823" w:rsidRPr="000F539C" w:rsidRDefault="001F3823" w:rsidP="001F3823">
      <w:pPr>
        <w:rPr>
          <w:rFonts w:ascii="Times New Roman" w:hAnsi="Times New Roman" w:cs="Times New Roman"/>
          <w:b/>
          <w:sz w:val="28"/>
        </w:rPr>
      </w:pPr>
    </w:p>
    <w:p w14:paraId="1E4E60E0" w14:textId="77777777" w:rsidR="001F3823" w:rsidRPr="000F539C" w:rsidRDefault="001F3823" w:rsidP="001F3823">
      <w:pPr>
        <w:pBdr>
          <w:bottom w:val="single" w:sz="6" w:space="1" w:color="auto"/>
        </w:pBdr>
        <w:rPr>
          <w:rFonts w:ascii="Times New Roman" w:hAnsi="Times New Roman" w:cs="Times New Roman"/>
          <w:b/>
          <w:sz w:val="28"/>
        </w:rPr>
      </w:pPr>
    </w:p>
    <w:p w14:paraId="3FE7241A" w14:textId="77777777" w:rsidR="001F3823" w:rsidRPr="000F539C" w:rsidRDefault="001F3823" w:rsidP="001F3823">
      <w:pPr>
        <w:rPr>
          <w:rFonts w:ascii="Times New Roman" w:hAnsi="Times New Roman" w:cs="Times New Roman"/>
          <w:b/>
          <w:sz w:val="28"/>
        </w:rPr>
      </w:pPr>
    </w:p>
    <w:p w14:paraId="2160D22A" w14:textId="77777777" w:rsidR="001F3823" w:rsidRPr="000F539C" w:rsidRDefault="001F3823" w:rsidP="001F3823">
      <w:pPr>
        <w:rPr>
          <w:rFonts w:ascii="Times New Roman" w:hAnsi="Times New Roman" w:cs="Times New Roman"/>
          <w:b/>
          <w:sz w:val="28"/>
        </w:rPr>
      </w:pPr>
    </w:p>
    <w:p w14:paraId="1A6B4B22" w14:textId="77777777" w:rsidR="001F3823" w:rsidRPr="000F539C" w:rsidRDefault="001F3823" w:rsidP="001F3823">
      <w:pPr>
        <w:rPr>
          <w:rFonts w:ascii="Times New Roman" w:hAnsi="Times New Roman" w:cs="Times New Roman"/>
          <w:b/>
          <w:sz w:val="28"/>
        </w:rPr>
      </w:pPr>
      <w:r w:rsidRPr="000F539C">
        <w:rPr>
          <w:rFonts w:ascii="Times New Roman" w:hAnsi="Times New Roman" w:cs="Times New Roman"/>
          <w:b/>
          <w:sz w:val="28"/>
        </w:rPr>
        <w:t>APPENDIX A - Detailed explanation of the Instrument</w:t>
      </w:r>
    </w:p>
    <w:p w14:paraId="212E21D5" w14:textId="77777777" w:rsidR="001F3823" w:rsidRPr="000F539C" w:rsidRDefault="001F3823" w:rsidP="001F3823">
      <w:pPr>
        <w:rPr>
          <w:rFonts w:ascii="Times New Roman" w:hAnsi="Times New Roman" w:cs="Times New Roman"/>
          <w:i/>
        </w:rPr>
      </w:pPr>
      <w:r w:rsidRPr="000F539C">
        <w:rPr>
          <w:rFonts w:ascii="Times New Roman" w:hAnsi="Times New Roman" w:cs="Times New Roman"/>
          <w:i/>
        </w:rPr>
        <w:t>Telecommunications (Carrier Licence Conditions – Security Information) Amendment Declaration 2023</w:t>
      </w:r>
    </w:p>
    <w:p w14:paraId="01D4B0FD" w14:textId="77777777" w:rsidR="001F3823" w:rsidRPr="000F539C" w:rsidRDefault="001F3823" w:rsidP="001F3823">
      <w:pPr>
        <w:rPr>
          <w:rFonts w:ascii="Times New Roman" w:hAnsi="Times New Roman" w:cs="Times New Roman"/>
          <w:i/>
        </w:rPr>
      </w:pPr>
    </w:p>
    <w:p w14:paraId="57968DC2" w14:textId="77777777" w:rsidR="001F3823" w:rsidRPr="000F539C" w:rsidRDefault="001F3823" w:rsidP="001F3823">
      <w:pPr>
        <w:rPr>
          <w:rFonts w:ascii="Times New Roman" w:hAnsi="Times New Roman" w:cs="Times New Roman"/>
          <w:u w:val="single"/>
        </w:rPr>
      </w:pPr>
      <w:r w:rsidRPr="000F539C">
        <w:rPr>
          <w:rFonts w:ascii="Times New Roman" w:hAnsi="Times New Roman" w:cs="Times New Roman"/>
          <w:u w:val="single"/>
        </w:rPr>
        <w:t>PART 1 – PRELIMINARY</w:t>
      </w:r>
    </w:p>
    <w:p w14:paraId="45C93FFE" w14:textId="77777777" w:rsidR="001F3823" w:rsidRPr="000F539C" w:rsidRDefault="001F3823" w:rsidP="001F3823">
      <w:pPr>
        <w:rPr>
          <w:rFonts w:ascii="Times New Roman" w:hAnsi="Times New Roman" w:cs="Times New Roman"/>
        </w:rPr>
      </w:pPr>
      <w:r w:rsidRPr="000F539C">
        <w:rPr>
          <w:rFonts w:ascii="Times New Roman" w:hAnsi="Times New Roman" w:cs="Times New Roman"/>
        </w:rPr>
        <w:t xml:space="preserve">1 </w:t>
      </w:r>
      <w:r w:rsidRPr="000F539C">
        <w:rPr>
          <w:rFonts w:ascii="Times New Roman" w:hAnsi="Times New Roman" w:cs="Times New Roman"/>
        </w:rPr>
        <w:tab/>
      </w:r>
      <w:r w:rsidRPr="000F539C">
        <w:rPr>
          <w:rFonts w:ascii="Times New Roman" w:hAnsi="Times New Roman" w:cs="Times New Roman"/>
          <w:u w:val="single"/>
        </w:rPr>
        <w:t>Name of the instrument</w:t>
      </w:r>
    </w:p>
    <w:p w14:paraId="54A8CF0F" w14:textId="77777777" w:rsidR="001F3823" w:rsidRPr="000F539C" w:rsidRDefault="001F3823" w:rsidP="001F3823">
      <w:pPr>
        <w:rPr>
          <w:rFonts w:ascii="Times New Roman" w:hAnsi="Times New Roman" w:cs="Times New Roman"/>
        </w:rPr>
      </w:pPr>
      <w:r w:rsidRPr="000F539C">
        <w:rPr>
          <w:rFonts w:ascii="Times New Roman" w:hAnsi="Times New Roman" w:cs="Times New Roman"/>
        </w:rPr>
        <w:t>Provides the title of the instrument.</w:t>
      </w:r>
    </w:p>
    <w:p w14:paraId="6B1C5FD8" w14:textId="77777777" w:rsidR="001F3823" w:rsidRPr="000F539C" w:rsidRDefault="001F3823" w:rsidP="001F3823">
      <w:pPr>
        <w:rPr>
          <w:rFonts w:ascii="Times New Roman" w:hAnsi="Times New Roman" w:cs="Times New Roman"/>
          <w:u w:val="single"/>
        </w:rPr>
      </w:pPr>
      <w:r w:rsidRPr="000F539C">
        <w:rPr>
          <w:rFonts w:ascii="Times New Roman" w:hAnsi="Times New Roman" w:cs="Times New Roman"/>
        </w:rPr>
        <w:t xml:space="preserve">2 </w:t>
      </w:r>
      <w:r w:rsidRPr="000F539C">
        <w:rPr>
          <w:rFonts w:ascii="Times New Roman" w:hAnsi="Times New Roman" w:cs="Times New Roman"/>
        </w:rPr>
        <w:tab/>
      </w:r>
      <w:r w:rsidRPr="000F539C">
        <w:rPr>
          <w:rFonts w:ascii="Times New Roman" w:hAnsi="Times New Roman" w:cs="Times New Roman"/>
          <w:u w:val="single"/>
        </w:rPr>
        <w:t>Commencement</w:t>
      </w:r>
    </w:p>
    <w:p w14:paraId="3A95C2CD" w14:textId="77777777" w:rsidR="001F3823" w:rsidRPr="000F539C" w:rsidRDefault="001F3823" w:rsidP="001F3823">
      <w:pPr>
        <w:rPr>
          <w:rFonts w:ascii="Times New Roman" w:hAnsi="Times New Roman" w:cs="Times New Roman"/>
        </w:rPr>
      </w:pPr>
      <w:r w:rsidRPr="000F539C">
        <w:rPr>
          <w:rFonts w:ascii="Times New Roman" w:hAnsi="Times New Roman" w:cs="Times New Roman"/>
        </w:rPr>
        <w:t>Explains that the instrument will take effect the day after registration on the Federal Register of Legislation.</w:t>
      </w:r>
    </w:p>
    <w:p w14:paraId="1E5F0A84" w14:textId="77777777" w:rsidR="001F3823" w:rsidRPr="000F539C" w:rsidRDefault="001F3823" w:rsidP="001F3823">
      <w:pPr>
        <w:rPr>
          <w:rFonts w:ascii="Times New Roman" w:hAnsi="Times New Roman" w:cs="Times New Roman"/>
          <w:u w:val="single"/>
        </w:rPr>
      </w:pPr>
      <w:r w:rsidRPr="000F539C">
        <w:rPr>
          <w:rFonts w:ascii="Times New Roman" w:hAnsi="Times New Roman" w:cs="Times New Roman"/>
        </w:rPr>
        <w:t xml:space="preserve">3 </w:t>
      </w:r>
      <w:r w:rsidRPr="000F539C">
        <w:rPr>
          <w:rFonts w:ascii="Times New Roman" w:hAnsi="Times New Roman" w:cs="Times New Roman"/>
        </w:rPr>
        <w:tab/>
      </w:r>
      <w:r w:rsidRPr="000F539C">
        <w:rPr>
          <w:rFonts w:ascii="Times New Roman" w:hAnsi="Times New Roman" w:cs="Times New Roman"/>
          <w:u w:val="single"/>
        </w:rPr>
        <w:t>Authority</w:t>
      </w:r>
    </w:p>
    <w:p w14:paraId="3F232DD7" w14:textId="77777777" w:rsidR="001F3823" w:rsidRPr="000F539C" w:rsidRDefault="001F3823" w:rsidP="001F3823">
      <w:pPr>
        <w:rPr>
          <w:rFonts w:ascii="Times New Roman" w:hAnsi="Times New Roman" w:cs="Times New Roman"/>
        </w:rPr>
      </w:pPr>
      <w:r w:rsidRPr="000F539C">
        <w:rPr>
          <w:rFonts w:ascii="Times New Roman" w:hAnsi="Times New Roman" w:cs="Times New Roman"/>
        </w:rPr>
        <w:t>Provides the legislative authority for the instrument.</w:t>
      </w:r>
    </w:p>
    <w:p w14:paraId="43A25A4F" w14:textId="77777777" w:rsidR="001F3823" w:rsidRPr="000F539C" w:rsidRDefault="001F3823" w:rsidP="001F3823">
      <w:pPr>
        <w:rPr>
          <w:rFonts w:ascii="Times New Roman" w:hAnsi="Times New Roman" w:cs="Times New Roman"/>
          <w:u w:val="single"/>
        </w:rPr>
      </w:pPr>
      <w:r w:rsidRPr="000F539C">
        <w:rPr>
          <w:rFonts w:ascii="Times New Roman" w:hAnsi="Times New Roman" w:cs="Times New Roman"/>
        </w:rPr>
        <w:t>4</w:t>
      </w:r>
      <w:r w:rsidRPr="000F539C">
        <w:rPr>
          <w:rFonts w:ascii="Times New Roman" w:hAnsi="Times New Roman" w:cs="Times New Roman"/>
        </w:rPr>
        <w:tab/>
      </w:r>
      <w:r w:rsidRPr="000F539C">
        <w:rPr>
          <w:rFonts w:ascii="Times New Roman" w:hAnsi="Times New Roman" w:cs="Times New Roman"/>
          <w:u w:val="single"/>
        </w:rPr>
        <w:t>Schedule</w:t>
      </w:r>
    </w:p>
    <w:p w14:paraId="466F744C" w14:textId="0274139D" w:rsidR="001F3823" w:rsidRPr="000F539C" w:rsidRDefault="001F3823" w:rsidP="001F3823">
      <w:pPr>
        <w:rPr>
          <w:rFonts w:ascii="Times New Roman" w:hAnsi="Times New Roman" w:cs="Times New Roman"/>
        </w:rPr>
      </w:pPr>
      <w:r w:rsidRPr="000F539C">
        <w:rPr>
          <w:rFonts w:ascii="Times New Roman" w:hAnsi="Times New Roman" w:cs="Times New Roman"/>
        </w:rPr>
        <w:t>States the original instrument is amended by the clauses in Schedule</w:t>
      </w:r>
      <w:r w:rsidR="00751CF2" w:rsidRPr="000F539C">
        <w:rPr>
          <w:rFonts w:ascii="Times New Roman" w:hAnsi="Times New Roman" w:cs="Times New Roman"/>
        </w:rPr>
        <w:t xml:space="preserve"> 1.</w:t>
      </w:r>
    </w:p>
    <w:p w14:paraId="3CCD5B28" w14:textId="23D8ABA7" w:rsidR="001F3823" w:rsidRPr="000F539C" w:rsidRDefault="001F3823" w:rsidP="001F3823">
      <w:pPr>
        <w:rPr>
          <w:rFonts w:ascii="Times New Roman" w:hAnsi="Times New Roman" w:cs="Times New Roman"/>
          <w:u w:val="single"/>
        </w:rPr>
      </w:pPr>
      <w:r w:rsidRPr="000F539C">
        <w:rPr>
          <w:rFonts w:ascii="Times New Roman" w:hAnsi="Times New Roman" w:cs="Times New Roman"/>
        </w:rPr>
        <w:t>5</w:t>
      </w:r>
      <w:r w:rsidRPr="000F539C">
        <w:rPr>
          <w:rFonts w:ascii="Times New Roman" w:hAnsi="Times New Roman" w:cs="Times New Roman"/>
        </w:rPr>
        <w:tab/>
      </w:r>
      <w:r w:rsidRPr="000F539C">
        <w:rPr>
          <w:rFonts w:ascii="Times New Roman" w:hAnsi="Times New Roman" w:cs="Times New Roman"/>
          <w:u w:val="single"/>
        </w:rPr>
        <w:t>Schedule</w:t>
      </w:r>
      <w:r w:rsidR="00751CF2" w:rsidRPr="000F539C">
        <w:rPr>
          <w:rFonts w:ascii="Times New Roman" w:hAnsi="Times New Roman" w:cs="Times New Roman"/>
          <w:u w:val="single"/>
        </w:rPr>
        <w:t xml:space="preserve"> 1</w:t>
      </w:r>
    </w:p>
    <w:p w14:paraId="2D2ED550" w14:textId="77777777" w:rsidR="001F3823" w:rsidRPr="000F539C" w:rsidRDefault="001F3823" w:rsidP="001F3823">
      <w:pPr>
        <w:rPr>
          <w:rFonts w:ascii="Times New Roman" w:hAnsi="Times New Roman" w:cs="Times New Roman"/>
        </w:rPr>
      </w:pPr>
      <w:r w:rsidRPr="000F539C">
        <w:rPr>
          <w:rFonts w:ascii="Times New Roman" w:hAnsi="Times New Roman" w:cs="Times New Roman"/>
        </w:rPr>
        <w:t>Amends the existing section 4 of the instrument to provide that the instrument will cease to have effect and be automatically repealed after 3 years.</w:t>
      </w:r>
      <w:r w:rsidRPr="000F539C">
        <w:rPr>
          <w:rFonts w:ascii="Times New Roman" w:hAnsi="Times New Roman" w:cs="Times New Roman"/>
        </w:rPr>
        <w:br/>
      </w:r>
    </w:p>
    <w:p w14:paraId="78BA3859" w14:textId="77777777" w:rsidR="001F3823" w:rsidRPr="000F539C" w:rsidRDefault="001F3823" w:rsidP="001F3823">
      <w:pPr>
        <w:rPr>
          <w:rFonts w:ascii="Times New Roman" w:hAnsi="Times New Roman" w:cs="Times New Roman"/>
          <w:b/>
          <w:sz w:val="28"/>
        </w:rPr>
      </w:pPr>
      <w:r w:rsidRPr="000F539C">
        <w:rPr>
          <w:rFonts w:ascii="Times New Roman" w:hAnsi="Times New Roman" w:cs="Times New Roman"/>
          <w:b/>
          <w:sz w:val="28"/>
        </w:rPr>
        <w:br w:type="page"/>
      </w:r>
    </w:p>
    <w:p w14:paraId="1B10A9D1" w14:textId="77777777" w:rsidR="001F3823" w:rsidRPr="000F539C" w:rsidRDefault="001F3823" w:rsidP="001F3823">
      <w:pPr>
        <w:rPr>
          <w:rFonts w:ascii="Times New Roman" w:hAnsi="Times New Roman" w:cs="Times New Roman"/>
          <w:b/>
          <w:sz w:val="28"/>
        </w:rPr>
      </w:pPr>
      <w:r w:rsidRPr="000F539C">
        <w:rPr>
          <w:rFonts w:ascii="Times New Roman" w:hAnsi="Times New Roman" w:cs="Times New Roman"/>
          <w:b/>
          <w:sz w:val="28"/>
        </w:rPr>
        <w:lastRenderedPageBreak/>
        <w:t>APPENDIX B - Detailed explanation of the Instrument</w:t>
      </w:r>
    </w:p>
    <w:p w14:paraId="694F7796" w14:textId="77777777" w:rsidR="001F3823" w:rsidRPr="000F539C" w:rsidRDefault="001F3823" w:rsidP="001F3823">
      <w:pPr>
        <w:rPr>
          <w:rFonts w:ascii="Times New Roman" w:hAnsi="Times New Roman" w:cs="Times New Roman"/>
          <w:i/>
        </w:rPr>
      </w:pPr>
      <w:r w:rsidRPr="000F539C">
        <w:rPr>
          <w:rFonts w:ascii="Times New Roman" w:hAnsi="Times New Roman" w:cs="Times New Roman"/>
          <w:i/>
        </w:rPr>
        <w:t>Telecommunications (Carriage Service Provider – Security Information) Amendment Determination 2023</w:t>
      </w:r>
    </w:p>
    <w:p w14:paraId="28ABAC55" w14:textId="77777777" w:rsidR="001F3823" w:rsidRPr="000F539C" w:rsidRDefault="001F3823" w:rsidP="001F3823">
      <w:pPr>
        <w:rPr>
          <w:rFonts w:ascii="Times New Roman" w:hAnsi="Times New Roman" w:cs="Times New Roman"/>
          <w:u w:val="single"/>
        </w:rPr>
      </w:pPr>
    </w:p>
    <w:p w14:paraId="5CFEEF80" w14:textId="77777777" w:rsidR="001F3823" w:rsidRPr="000F539C" w:rsidRDefault="001F3823" w:rsidP="001F3823">
      <w:pPr>
        <w:rPr>
          <w:rFonts w:ascii="Times New Roman" w:hAnsi="Times New Roman" w:cs="Times New Roman"/>
          <w:u w:val="single"/>
        </w:rPr>
      </w:pPr>
      <w:r w:rsidRPr="000F539C">
        <w:rPr>
          <w:rFonts w:ascii="Times New Roman" w:hAnsi="Times New Roman" w:cs="Times New Roman"/>
          <w:u w:val="single"/>
        </w:rPr>
        <w:t>PART 1 – PRELIMINARY</w:t>
      </w:r>
    </w:p>
    <w:p w14:paraId="3B36EB4D" w14:textId="77777777" w:rsidR="001F3823" w:rsidRPr="000F539C" w:rsidRDefault="001F3823" w:rsidP="001F3823">
      <w:pPr>
        <w:rPr>
          <w:rFonts w:ascii="Times New Roman" w:hAnsi="Times New Roman" w:cs="Times New Roman"/>
        </w:rPr>
      </w:pPr>
      <w:r w:rsidRPr="000F539C">
        <w:rPr>
          <w:rFonts w:ascii="Times New Roman" w:hAnsi="Times New Roman" w:cs="Times New Roman"/>
        </w:rPr>
        <w:t xml:space="preserve">1 </w:t>
      </w:r>
      <w:r w:rsidRPr="000F539C">
        <w:rPr>
          <w:rFonts w:ascii="Times New Roman" w:hAnsi="Times New Roman" w:cs="Times New Roman"/>
        </w:rPr>
        <w:tab/>
      </w:r>
      <w:r w:rsidRPr="000F539C">
        <w:rPr>
          <w:rFonts w:ascii="Times New Roman" w:hAnsi="Times New Roman" w:cs="Times New Roman"/>
          <w:u w:val="single"/>
        </w:rPr>
        <w:t>Name of the instrument</w:t>
      </w:r>
    </w:p>
    <w:p w14:paraId="44EDAEBB" w14:textId="77777777" w:rsidR="001F3823" w:rsidRPr="000F539C" w:rsidRDefault="001F3823" w:rsidP="001F3823">
      <w:pPr>
        <w:rPr>
          <w:rFonts w:ascii="Times New Roman" w:hAnsi="Times New Roman" w:cs="Times New Roman"/>
        </w:rPr>
      </w:pPr>
      <w:r w:rsidRPr="000F539C">
        <w:rPr>
          <w:rFonts w:ascii="Times New Roman" w:hAnsi="Times New Roman" w:cs="Times New Roman"/>
        </w:rPr>
        <w:t>Provides the title of the instrument.</w:t>
      </w:r>
    </w:p>
    <w:p w14:paraId="6D5519E4" w14:textId="77777777" w:rsidR="001F3823" w:rsidRPr="000F539C" w:rsidRDefault="001F3823" w:rsidP="001F3823">
      <w:pPr>
        <w:rPr>
          <w:rFonts w:ascii="Times New Roman" w:hAnsi="Times New Roman" w:cs="Times New Roman"/>
          <w:u w:val="single"/>
        </w:rPr>
      </w:pPr>
      <w:r w:rsidRPr="000F539C">
        <w:rPr>
          <w:rFonts w:ascii="Times New Roman" w:hAnsi="Times New Roman" w:cs="Times New Roman"/>
        </w:rPr>
        <w:t xml:space="preserve">2 </w:t>
      </w:r>
      <w:r w:rsidRPr="000F539C">
        <w:rPr>
          <w:rFonts w:ascii="Times New Roman" w:hAnsi="Times New Roman" w:cs="Times New Roman"/>
        </w:rPr>
        <w:tab/>
      </w:r>
      <w:r w:rsidRPr="000F539C">
        <w:rPr>
          <w:rFonts w:ascii="Times New Roman" w:hAnsi="Times New Roman" w:cs="Times New Roman"/>
          <w:u w:val="single"/>
        </w:rPr>
        <w:t>Commencement</w:t>
      </w:r>
    </w:p>
    <w:p w14:paraId="74CF377C" w14:textId="77777777" w:rsidR="001F3823" w:rsidRPr="000F539C" w:rsidRDefault="001F3823" w:rsidP="001F3823">
      <w:pPr>
        <w:rPr>
          <w:rFonts w:ascii="Times New Roman" w:hAnsi="Times New Roman" w:cs="Times New Roman"/>
        </w:rPr>
      </w:pPr>
      <w:r w:rsidRPr="000F539C">
        <w:rPr>
          <w:rFonts w:ascii="Times New Roman" w:hAnsi="Times New Roman" w:cs="Times New Roman"/>
        </w:rPr>
        <w:t>Explains that the instrument will take effect the day after registration on the Federal Register of Legislation.</w:t>
      </w:r>
    </w:p>
    <w:p w14:paraId="4C909365" w14:textId="77777777" w:rsidR="001F3823" w:rsidRPr="000F539C" w:rsidRDefault="001F3823" w:rsidP="001F3823">
      <w:pPr>
        <w:rPr>
          <w:rFonts w:ascii="Times New Roman" w:hAnsi="Times New Roman" w:cs="Times New Roman"/>
          <w:u w:val="single"/>
        </w:rPr>
      </w:pPr>
      <w:r w:rsidRPr="000F539C">
        <w:rPr>
          <w:rFonts w:ascii="Times New Roman" w:hAnsi="Times New Roman" w:cs="Times New Roman"/>
        </w:rPr>
        <w:t xml:space="preserve">3 </w:t>
      </w:r>
      <w:r w:rsidRPr="000F539C">
        <w:rPr>
          <w:rFonts w:ascii="Times New Roman" w:hAnsi="Times New Roman" w:cs="Times New Roman"/>
        </w:rPr>
        <w:tab/>
      </w:r>
      <w:r w:rsidRPr="000F539C">
        <w:rPr>
          <w:rFonts w:ascii="Times New Roman" w:hAnsi="Times New Roman" w:cs="Times New Roman"/>
          <w:u w:val="single"/>
        </w:rPr>
        <w:t>Authority</w:t>
      </w:r>
    </w:p>
    <w:p w14:paraId="61737390" w14:textId="77777777" w:rsidR="001F3823" w:rsidRPr="000F539C" w:rsidRDefault="001F3823" w:rsidP="001F3823">
      <w:pPr>
        <w:rPr>
          <w:rFonts w:ascii="Times New Roman" w:hAnsi="Times New Roman" w:cs="Times New Roman"/>
        </w:rPr>
      </w:pPr>
      <w:r w:rsidRPr="000F539C">
        <w:rPr>
          <w:rFonts w:ascii="Times New Roman" w:hAnsi="Times New Roman" w:cs="Times New Roman"/>
        </w:rPr>
        <w:t>Provides the legislative authority for the instrument.</w:t>
      </w:r>
    </w:p>
    <w:p w14:paraId="25254E68" w14:textId="77777777" w:rsidR="001F3823" w:rsidRPr="000F539C" w:rsidRDefault="001F3823" w:rsidP="001F3823">
      <w:pPr>
        <w:rPr>
          <w:rFonts w:ascii="Times New Roman" w:hAnsi="Times New Roman" w:cs="Times New Roman"/>
          <w:u w:val="single"/>
        </w:rPr>
      </w:pPr>
      <w:r w:rsidRPr="000F539C">
        <w:rPr>
          <w:rFonts w:ascii="Times New Roman" w:hAnsi="Times New Roman" w:cs="Times New Roman"/>
        </w:rPr>
        <w:t>4</w:t>
      </w:r>
      <w:r w:rsidRPr="000F539C">
        <w:rPr>
          <w:rFonts w:ascii="Times New Roman" w:hAnsi="Times New Roman" w:cs="Times New Roman"/>
        </w:rPr>
        <w:tab/>
      </w:r>
      <w:r w:rsidRPr="000F539C">
        <w:rPr>
          <w:rFonts w:ascii="Times New Roman" w:hAnsi="Times New Roman" w:cs="Times New Roman"/>
          <w:u w:val="single"/>
        </w:rPr>
        <w:t>Schedule</w:t>
      </w:r>
    </w:p>
    <w:p w14:paraId="233D9F42" w14:textId="412765AB" w:rsidR="001F3823" w:rsidRPr="000F539C" w:rsidRDefault="001F3823" w:rsidP="001F3823">
      <w:pPr>
        <w:rPr>
          <w:rFonts w:ascii="Times New Roman" w:hAnsi="Times New Roman" w:cs="Times New Roman"/>
        </w:rPr>
      </w:pPr>
      <w:r w:rsidRPr="000F539C">
        <w:rPr>
          <w:rFonts w:ascii="Times New Roman" w:hAnsi="Times New Roman" w:cs="Times New Roman"/>
        </w:rPr>
        <w:t>States the original instrument is amended by the clauses in Schedule</w:t>
      </w:r>
      <w:r w:rsidR="00751CF2" w:rsidRPr="000F539C">
        <w:rPr>
          <w:rFonts w:ascii="Times New Roman" w:hAnsi="Times New Roman" w:cs="Times New Roman"/>
        </w:rPr>
        <w:t xml:space="preserve"> 1.</w:t>
      </w:r>
    </w:p>
    <w:p w14:paraId="0E1378A7" w14:textId="460897E5" w:rsidR="001F3823" w:rsidRPr="000F539C" w:rsidRDefault="001F3823" w:rsidP="001F3823">
      <w:pPr>
        <w:rPr>
          <w:rFonts w:ascii="Times New Roman" w:hAnsi="Times New Roman" w:cs="Times New Roman"/>
          <w:u w:val="single"/>
        </w:rPr>
      </w:pPr>
      <w:r w:rsidRPr="000F539C">
        <w:rPr>
          <w:rFonts w:ascii="Times New Roman" w:hAnsi="Times New Roman" w:cs="Times New Roman"/>
        </w:rPr>
        <w:t>5</w:t>
      </w:r>
      <w:r w:rsidRPr="000F539C">
        <w:rPr>
          <w:rFonts w:ascii="Times New Roman" w:hAnsi="Times New Roman" w:cs="Times New Roman"/>
        </w:rPr>
        <w:tab/>
      </w:r>
      <w:r w:rsidRPr="000F539C">
        <w:rPr>
          <w:rFonts w:ascii="Times New Roman" w:hAnsi="Times New Roman" w:cs="Times New Roman"/>
          <w:u w:val="single"/>
        </w:rPr>
        <w:t>Schedule</w:t>
      </w:r>
      <w:r w:rsidR="00751CF2" w:rsidRPr="000F539C">
        <w:rPr>
          <w:rFonts w:ascii="Times New Roman" w:hAnsi="Times New Roman" w:cs="Times New Roman"/>
          <w:u w:val="single"/>
        </w:rPr>
        <w:t xml:space="preserve"> 1</w:t>
      </w:r>
    </w:p>
    <w:p w14:paraId="1C0851B2" w14:textId="77777777" w:rsidR="001F3823" w:rsidRDefault="001F3823" w:rsidP="001F3823">
      <w:pPr>
        <w:rPr>
          <w:rFonts w:ascii="Times New Roman" w:hAnsi="Times New Roman" w:cs="Times New Roman"/>
        </w:rPr>
      </w:pPr>
      <w:r w:rsidRPr="000F539C">
        <w:rPr>
          <w:rFonts w:ascii="Times New Roman" w:hAnsi="Times New Roman" w:cs="Times New Roman"/>
        </w:rPr>
        <w:t>Amends the existing section 4 of the instrument to provide that the instrument will cease to have effect and be automatically repealed after 3 years.</w:t>
      </w:r>
    </w:p>
    <w:p w14:paraId="0632E7E5" w14:textId="77777777" w:rsidR="001F3823" w:rsidRDefault="001F3823" w:rsidP="001F3823">
      <w:pPr>
        <w:rPr>
          <w:b/>
          <w:u w:val="single"/>
        </w:rPr>
      </w:pPr>
    </w:p>
    <w:p w14:paraId="1466FC80" w14:textId="14C47732" w:rsidR="00D41B13" w:rsidRPr="001F3823" w:rsidRDefault="00D41B13" w:rsidP="001F3823"/>
    <w:sectPr w:rsidR="00D41B13" w:rsidRPr="001F38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F1D6D" w14:textId="77777777" w:rsidR="005017AD" w:rsidRDefault="005017AD" w:rsidP="00BE1900">
      <w:pPr>
        <w:spacing w:after="0" w:line="240" w:lineRule="auto"/>
      </w:pPr>
      <w:r>
        <w:separator/>
      </w:r>
    </w:p>
  </w:endnote>
  <w:endnote w:type="continuationSeparator" w:id="0">
    <w:p w14:paraId="226DF1CA" w14:textId="77777777" w:rsidR="005017AD" w:rsidRDefault="005017AD" w:rsidP="00BE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B0B67" w14:textId="77777777" w:rsidR="005017AD" w:rsidRDefault="005017AD" w:rsidP="00BE1900">
      <w:pPr>
        <w:spacing w:after="0" w:line="240" w:lineRule="auto"/>
      </w:pPr>
      <w:r>
        <w:separator/>
      </w:r>
    </w:p>
  </w:footnote>
  <w:footnote w:type="continuationSeparator" w:id="0">
    <w:p w14:paraId="5739AE00" w14:textId="77777777" w:rsidR="005017AD" w:rsidRDefault="005017AD" w:rsidP="00BE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205F"/>
    <w:multiLevelType w:val="hybridMultilevel"/>
    <w:tmpl w:val="D66C99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BD0E07"/>
    <w:multiLevelType w:val="multilevel"/>
    <w:tmpl w:val="BD8AC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64F57"/>
    <w:multiLevelType w:val="hybridMultilevel"/>
    <w:tmpl w:val="CB983F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AE4356"/>
    <w:multiLevelType w:val="hybridMultilevel"/>
    <w:tmpl w:val="82429D7E"/>
    <w:lvl w:ilvl="0" w:tplc="0B7294C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B25C6A"/>
    <w:multiLevelType w:val="hybridMultilevel"/>
    <w:tmpl w:val="52A279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E04206"/>
    <w:multiLevelType w:val="hybridMultilevel"/>
    <w:tmpl w:val="BCF6D5EA"/>
    <w:lvl w:ilvl="0" w:tplc="11F0A0A6">
      <w:start w:val="1"/>
      <w:numFmt w:val="decimal"/>
      <w:lvlText w:val="%1."/>
      <w:lvlJc w:val="left"/>
      <w:pPr>
        <w:ind w:left="720" w:hanging="360"/>
      </w:pPr>
      <w:rPr>
        <w:rFonts w:ascii="Times New Roman" w:eastAsiaTheme="minorHAns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6A69B0"/>
    <w:multiLevelType w:val="hybridMultilevel"/>
    <w:tmpl w:val="A0AA20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09"/>
    <w:rsid w:val="000441B5"/>
    <w:rsid w:val="00045936"/>
    <w:rsid w:val="00074D5C"/>
    <w:rsid w:val="000D3908"/>
    <w:rsid w:val="000D6D38"/>
    <w:rsid w:val="000F539C"/>
    <w:rsid w:val="000F5582"/>
    <w:rsid w:val="001024A0"/>
    <w:rsid w:val="001121C5"/>
    <w:rsid w:val="001720E1"/>
    <w:rsid w:val="00176DC5"/>
    <w:rsid w:val="0017765E"/>
    <w:rsid w:val="001B74AD"/>
    <w:rsid w:val="001F35AF"/>
    <w:rsid w:val="001F3823"/>
    <w:rsid w:val="001F6497"/>
    <w:rsid w:val="0020576E"/>
    <w:rsid w:val="00211F01"/>
    <w:rsid w:val="00231817"/>
    <w:rsid w:val="0025172B"/>
    <w:rsid w:val="00267D61"/>
    <w:rsid w:val="002703FB"/>
    <w:rsid w:val="0028334D"/>
    <w:rsid w:val="002A713A"/>
    <w:rsid w:val="002C6667"/>
    <w:rsid w:val="002D590B"/>
    <w:rsid w:val="002D7882"/>
    <w:rsid w:val="002E69EE"/>
    <w:rsid w:val="00304FA0"/>
    <w:rsid w:val="00310C1A"/>
    <w:rsid w:val="0031410F"/>
    <w:rsid w:val="0036235B"/>
    <w:rsid w:val="003626D8"/>
    <w:rsid w:val="00365B2F"/>
    <w:rsid w:val="00366A19"/>
    <w:rsid w:val="00374076"/>
    <w:rsid w:val="00396D76"/>
    <w:rsid w:val="003A15B5"/>
    <w:rsid w:val="003A3705"/>
    <w:rsid w:val="003A5178"/>
    <w:rsid w:val="003C78D8"/>
    <w:rsid w:val="00416610"/>
    <w:rsid w:val="004232FC"/>
    <w:rsid w:val="00440D41"/>
    <w:rsid w:val="0044247E"/>
    <w:rsid w:val="00475B08"/>
    <w:rsid w:val="004A6839"/>
    <w:rsid w:val="004C168B"/>
    <w:rsid w:val="004C3D46"/>
    <w:rsid w:val="004D5F6E"/>
    <w:rsid w:val="005017AD"/>
    <w:rsid w:val="00503525"/>
    <w:rsid w:val="0050524A"/>
    <w:rsid w:val="0051272B"/>
    <w:rsid w:val="00530C58"/>
    <w:rsid w:val="00563E43"/>
    <w:rsid w:val="005D6CA1"/>
    <w:rsid w:val="005F47BF"/>
    <w:rsid w:val="00600516"/>
    <w:rsid w:val="0060170C"/>
    <w:rsid w:val="00614161"/>
    <w:rsid w:val="00627070"/>
    <w:rsid w:val="00635957"/>
    <w:rsid w:val="00641A70"/>
    <w:rsid w:val="00644384"/>
    <w:rsid w:val="00692E4B"/>
    <w:rsid w:val="006A13BF"/>
    <w:rsid w:val="007055A7"/>
    <w:rsid w:val="00740B55"/>
    <w:rsid w:val="00751CF2"/>
    <w:rsid w:val="00754CA7"/>
    <w:rsid w:val="0076264D"/>
    <w:rsid w:val="0076540C"/>
    <w:rsid w:val="0079049B"/>
    <w:rsid w:val="007F37A3"/>
    <w:rsid w:val="007F4095"/>
    <w:rsid w:val="007F46C3"/>
    <w:rsid w:val="0080381B"/>
    <w:rsid w:val="00811458"/>
    <w:rsid w:val="00817BE1"/>
    <w:rsid w:val="00824846"/>
    <w:rsid w:val="00837B55"/>
    <w:rsid w:val="008678DE"/>
    <w:rsid w:val="00891E3F"/>
    <w:rsid w:val="00892FA2"/>
    <w:rsid w:val="00897781"/>
    <w:rsid w:val="008A6E5E"/>
    <w:rsid w:val="009059A2"/>
    <w:rsid w:val="0099111C"/>
    <w:rsid w:val="00991C30"/>
    <w:rsid w:val="009E1DEB"/>
    <w:rsid w:val="00A031B0"/>
    <w:rsid w:val="00A1329D"/>
    <w:rsid w:val="00A534FB"/>
    <w:rsid w:val="00A5477E"/>
    <w:rsid w:val="00A72A04"/>
    <w:rsid w:val="00A8542C"/>
    <w:rsid w:val="00A90972"/>
    <w:rsid w:val="00AA5601"/>
    <w:rsid w:val="00AB4320"/>
    <w:rsid w:val="00AB5916"/>
    <w:rsid w:val="00B06209"/>
    <w:rsid w:val="00B12BB3"/>
    <w:rsid w:val="00B32639"/>
    <w:rsid w:val="00B44FF5"/>
    <w:rsid w:val="00B55477"/>
    <w:rsid w:val="00B64A88"/>
    <w:rsid w:val="00BC6DE3"/>
    <w:rsid w:val="00BD618F"/>
    <w:rsid w:val="00BE1900"/>
    <w:rsid w:val="00BE43BB"/>
    <w:rsid w:val="00BF1E7C"/>
    <w:rsid w:val="00BF4A56"/>
    <w:rsid w:val="00C03DA6"/>
    <w:rsid w:val="00C428A3"/>
    <w:rsid w:val="00C4419E"/>
    <w:rsid w:val="00C46AE5"/>
    <w:rsid w:val="00C60793"/>
    <w:rsid w:val="00C749E6"/>
    <w:rsid w:val="00C80D09"/>
    <w:rsid w:val="00C935B5"/>
    <w:rsid w:val="00CA1C2B"/>
    <w:rsid w:val="00CA7200"/>
    <w:rsid w:val="00CC4DA6"/>
    <w:rsid w:val="00CE1A29"/>
    <w:rsid w:val="00CE5F42"/>
    <w:rsid w:val="00D0127C"/>
    <w:rsid w:val="00D11AA4"/>
    <w:rsid w:val="00D12392"/>
    <w:rsid w:val="00D149C9"/>
    <w:rsid w:val="00D41B13"/>
    <w:rsid w:val="00D86AF2"/>
    <w:rsid w:val="00D94F58"/>
    <w:rsid w:val="00DA1811"/>
    <w:rsid w:val="00DB521D"/>
    <w:rsid w:val="00DE4D8F"/>
    <w:rsid w:val="00DF0954"/>
    <w:rsid w:val="00DF165C"/>
    <w:rsid w:val="00E032E2"/>
    <w:rsid w:val="00E03E80"/>
    <w:rsid w:val="00E04D61"/>
    <w:rsid w:val="00E312AA"/>
    <w:rsid w:val="00E34AFB"/>
    <w:rsid w:val="00E40B39"/>
    <w:rsid w:val="00E46AC4"/>
    <w:rsid w:val="00E72E27"/>
    <w:rsid w:val="00E90D72"/>
    <w:rsid w:val="00E953F1"/>
    <w:rsid w:val="00E96DD3"/>
    <w:rsid w:val="00EA1765"/>
    <w:rsid w:val="00ED01DA"/>
    <w:rsid w:val="00F226F3"/>
    <w:rsid w:val="00F5282E"/>
    <w:rsid w:val="00F8146B"/>
    <w:rsid w:val="00F92085"/>
    <w:rsid w:val="00F97223"/>
    <w:rsid w:val="00FC6D35"/>
    <w:rsid w:val="00FD0CC1"/>
    <w:rsid w:val="00FF43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6ECB"/>
  <w15:chartTrackingRefBased/>
  <w15:docId w15:val="{3E41C69A-9DDE-4058-A135-4711A993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82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46AE5"/>
    <w:pPr>
      <w:spacing w:line="259" w:lineRule="auto"/>
      <w:ind w:left="720"/>
      <w:contextualSpacing/>
    </w:pPr>
  </w:style>
  <w:style w:type="character" w:styleId="CommentReference">
    <w:name w:val="annotation reference"/>
    <w:basedOn w:val="DefaultParagraphFont"/>
    <w:uiPriority w:val="99"/>
    <w:semiHidden/>
    <w:unhideWhenUsed/>
    <w:rsid w:val="00310C1A"/>
    <w:rPr>
      <w:sz w:val="16"/>
      <w:szCs w:val="16"/>
    </w:rPr>
  </w:style>
  <w:style w:type="paragraph" w:styleId="CommentText">
    <w:name w:val="annotation text"/>
    <w:basedOn w:val="Normal"/>
    <w:link w:val="CommentTextChar"/>
    <w:uiPriority w:val="99"/>
    <w:semiHidden/>
    <w:unhideWhenUsed/>
    <w:rsid w:val="00310C1A"/>
    <w:pPr>
      <w:spacing w:line="240" w:lineRule="auto"/>
    </w:pPr>
    <w:rPr>
      <w:sz w:val="20"/>
      <w:szCs w:val="20"/>
    </w:rPr>
  </w:style>
  <w:style w:type="character" w:customStyle="1" w:styleId="CommentTextChar">
    <w:name w:val="Comment Text Char"/>
    <w:basedOn w:val="DefaultParagraphFont"/>
    <w:link w:val="CommentText"/>
    <w:uiPriority w:val="99"/>
    <w:semiHidden/>
    <w:rsid w:val="00310C1A"/>
    <w:rPr>
      <w:sz w:val="20"/>
      <w:szCs w:val="20"/>
    </w:rPr>
  </w:style>
  <w:style w:type="paragraph" w:styleId="CommentSubject">
    <w:name w:val="annotation subject"/>
    <w:basedOn w:val="CommentText"/>
    <w:next w:val="CommentText"/>
    <w:link w:val="CommentSubjectChar"/>
    <w:uiPriority w:val="99"/>
    <w:semiHidden/>
    <w:unhideWhenUsed/>
    <w:rsid w:val="00310C1A"/>
    <w:rPr>
      <w:b/>
      <w:bCs/>
    </w:rPr>
  </w:style>
  <w:style w:type="character" w:customStyle="1" w:styleId="CommentSubjectChar">
    <w:name w:val="Comment Subject Char"/>
    <w:basedOn w:val="CommentTextChar"/>
    <w:link w:val="CommentSubject"/>
    <w:uiPriority w:val="99"/>
    <w:semiHidden/>
    <w:rsid w:val="00310C1A"/>
    <w:rPr>
      <w:b/>
      <w:bCs/>
      <w:sz w:val="20"/>
      <w:szCs w:val="20"/>
    </w:rPr>
  </w:style>
  <w:style w:type="paragraph" w:styleId="BalloonText">
    <w:name w:val="Balloon Text"/>
    <w:basedOn w:val="Normal"/>
    <w:link w:val="BalloonTextChar"/>
    <w:uiPriority w:val="99"/>
    <w:semiHidden/>
    <w:unhideWhenUsed/>
    <w:rsid w:val="00310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C1A"/>
    <w:rPr>
      <w:rFonts w:ascii="Segoe UI" w:hAnsi="Segoe UI" w:cs="Segoe UI"/>
      <w:sz w:val="18"/>
      <w:szCs w:val="18"/>
    </w:rPr>
  </w:style>
  <w:style w:type="paragraph" w:styleId="FootnoteText">
    <w:name w:val="footnote text"/>
    <w:basedOn w:val="Normal"/>
    <w:link w:val="FootnoteTextChar"/>
    <w:uiPriority w:val="99"/>
    <w:semiHidden/>
    <w:unhideWhenUsed/>
    <w:rsid w:val="00BE19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900"/>
    <w:rPr>
      <w:sz w:val="20"/>
      <w:szCs w:val="20"/>
    </w:rPr>
  </w:style>
  <w:style w:type="character" w:styleId="FootnoteReference">
    <w:name w:val="footnote reference"/>
    <w:basedOn w:val="DefaultParagraphFont"/>
    <w:uiPriority w:val="99"/>
    <w:semiHidden/>
    <w:unhideWhenUsed/>
    <w:rsid w:val="00BE1900"/>
    <w:rPr>
      <w:vertAlign w:val="superscript"/>
    </w:rPr>
  </w:style>
  <w:style w:type="character" w:styleId="Hyperlink">
    <w:name w:val="Hyperlink"/>
    <w:basedOn w:val="DefaultParagraphFont"/>
    <w:uiPriority w:val="99"/>
    <w:unhideWhenUsed/>
    <w:rsid w:val="00BE1900"/>
    <w:rPr>
      <w:color w:val="0563C1" w:themeColor="hyperlink"/>
      <w:u w:val="single"/>
    </w:rPr>
  </w:style>
  <w:style w:type="character" w:customStyle="1" w:styleId="UnresolvedMention1">
    <w:name w:val="Unresolved Mention1"/>
    <w:basedOn w:val="DefaultParagraphFont"/>
    <w:uiPriority w:val="99"/>
    <w:semiHidden/>
    <w:unhideWhenUsed/>
    <w:rsid w:val="00BE1900"/>
    <w:rPr>
      <w:color w:val="605E5C"/>
      <w:shd w:val="clear" w:color="auto" w:fill="E1DFDD"/>
    </w:rPr>
  </w:style>
  <w:style w:type="character" w:styleId="FollowedHyperlink">
    <w:name w:val="FollowedHyperlink"/>
    <w:basedOn w:val="DefaultParagraphFont"/>
    <w:uiPriority w:val="99"/>
    <w:semiHidden/>
    <w:unhideWhenUsed/>
    <w:rsid w:val="004D5F6E"/>
    <w:rPr>
      <w:color w:val="954F72" w:themeColor="followedHyperlink"/>
      <w:u w:val="single"/>
    </w:rPr>
  </w:style>
  <w:style w:type="table" w:styleId="TableGrid">
    <w:name w:val="Table Grid"/>
    <w:basedOn w:val="TableNormal"/>
    <w:uiPriority w:val="39"/>
    <w:rsid w:val="00D41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712657">
      <w:bodyDiv w:val="1"/>
      <w:marLeft w:val="0"/>
      <w:marRight w:val="0"/>
      <w:marTop w:val="0"/>
      <w:marBottom w:val="0"/>
      <w:divBdr>
        <w:top w:val="none" w:sz="0" w:space="0" w:color="auto"/>
        <w:left w:val="none" w:sz="0" w:space="0" w:color="auto"/>
        <w:bottom w:val="none" w:sz="0" w:space="0" w:color="auto"/>
        <w:right w:val="none" w:sz="0" w:space="0" w:color="auto"/>
      </w:divBdr>
    </w:div>
    <w:div w:id="1607730932">
      <w:bodyDiv w:val="1"/>
      <w:marLeft w:val="0"/>
      <w:marRight w:val="0"/>
      <w:marTop w:val="0"/>
      <w:marBottom w:val="0"/>
      <w:divBdr>
        <w:top w:val="none" w:sz="0" w:space="0" w:color="auto"/>
        <w:left w:val="none" w:sz="0" w:space="0" w:color="auto"/>
        <w:bottom w:val="none" w:sz="0" w:space="0" w:color="auto"/>
        <w:right w:val="none" w:sz="0" w:space="0" w:color="auto"/>
      </w:divBdr>
    </w:div>
    <w:div w:id="1845850776">
      <w:bodyDiv w:val="1"/>
      <w:marLeft w:val="0"/>
      <w:marRight w:val="0"/>
      <w:marTop w:val="0"/>
      <w:marBottom w:val="0"/>
      <w:divBdr>
        <w:top w:val="none" w:sz="0" w:space="0" w:color="auto"/>
        <w:left w:val="none" w:sz="0" w:space="0" w:color="auto"/>
        <w:bottom w:val="none" w:sz="0" w:space="0" w:color="auto"/>
        <w:right w:val="none" w:sz="0" w:space="0" w:color="auto"/>
      </w:divBdr>
    </w:div>
    <w:div w:id="1863663961">
      <w:bodyDiv w:val="1"/>
      <w:marLeft w:val="0"/>
      <w:marRight w:val="0"/>
      <w:marTop w:val="0"/>
      <w:marBottom w:val="0"/>
      <w:divBdr>
        <w:top w:val="none" w:sz="0" w:space="0" w:color="auto"/>
        <w:left w:val="none" w:sz="0" w:space="0" w:color="auto"/>
        <w:bottom w:val="none" w:sz="0" w:space="0" w:color="auto"/>
        <w:right w:val="none" w:sz="0" w:space="0" w:color="auto"/>
      </w:divBdr>
    </w:div>
    <w:div w:id="18676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065329B6A24FB4AA8297457C7EC89CD" ma:contentTypeVersion="" ma:contentTypeDescription="PDMS Document Site Content Type" ma:contentTypeScope="" ma:versionID="76d598a7a5b777deeda71415bdc29b0d">
  <xsd:schema xmlns:xsd="http://www.w3.org/2001/XMLSchema" xmlns:xs="http://www.w3.org/2001/XMLSchema" xmlns:p="http://schemas.microsoft.com/office/2006/metadata/properties" xmlns:ns2="E995FC5B-FDDC-4158-B77D-FEFFF6AB423D" targetNamespace="http://schemas.microsoft.com/office/2006/metadata/properties" ma:root="true" ma:fieldsID="1f3e826629c78661bb7f73557b9260e6" ns2:_="">
    <xsd:import namespace="E995FC5B-FDDC-4158-B77D-FEFFF6AB423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5FC5B-FDDC-4158-B77D-FEFFF6AB423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995FC5B-FDDC-4158-B77D-FEFFF6AB42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FEB4F-42AE-41BE-80C6-C2287DBAB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5FC5B-FDDC-4158-B77D-FEFFF6AB4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B7231-04FC-4153-B9E6-A434D9577974}">
  <ds:schemaRefs>
    <ds:schemaRef ds:uri="http://schemas.microsoft.com/office/2006/metadata/properties"/>
    <ds:schemaRef ds:uri="http://schemas.microsoft.com/office/infopath/2007/PartnerControls"/>
    <ds:schemaRef ds:uri="E995FC5B-FDDC-4158-B77D-FEFFF6AB423D"/>
  </ds:schemaRefs>
</ds:datastoreItem>
</file>

<file path=customXml/itemProps3.xml><?xml version="1.0" encoding="utf-8"?>
<ds:datastoreItem xmlns:ds="http://schemas.openxmlformats.org/officeDocument/2006/customXml" ds:itemID="{5AB72DC2-E037-452C-A6BB-A3FFEF1852F2}">
  <ds:schemaRefs>
    <ds:schemaRef ds:uri="http://schemas.microsoft.com/sharepoint/v3/contenttype/forms"/>
  </ds:schemaRefs>
</ds:datastoreItem>
</file>

<file path=customXml/itemProps4.xml><?xml version="1.0" encoding="utf-8"?>
<ds:datastoreItem xmlns:ds="http://schemas.openxmlformats.org/officeDocument/2006/customXml" ds:itemID="{9827B63D-D88C-4F18-8065-23658B2A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Thomas</dc:creator>
  <cp:keywords/>
  <dc:description/>
  <cp:lastModifiedBy>MAKRESKA, Angela</cp:lastModifiedBy>
  <cp:revision>3</cp:revision>
  <cp:lastPrinted>2022-07-06T06:12:00Z</cp:lastPrinted>
  <dcterms:created xsi:type="dcterms:W3CDTF">2023-12-20T04:24:00Z</dcterms:created>
  <dcterms:modified xsi:type="dcterms:W3CDTF">2023-12-20T04:25:00Z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0x010100266966F133664895A6EE3632470D45F5009065329B6A24FB4AA8297457C7EC89CD</vt:lpwstr>
  </property>
</Properties>
</file>