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2B680" w14:textId="77777777" w:rsidR="00204D1A" w:rsidRPr="005F1388" w:rsidRDefault="00204D1A" w:rsidP="00204D1A">
      <w:pPr>
        <w:rPr>
          <w:sz w:val="28"/>
        </w:rPr>
      </w:pPr>
      <w:r>
        <w:rPr>
          <w:noProof/>
          <w:lang w:eastAsia="en-AU"/>
        </w:rPr>
        <w:drawing>
          <wp:inline distT="0" distB="0" distL="0" distR="0" wp14:anchorId="2C68AFAC" wp14:editId="6093147B">
            <wp:extent cx="1503328" cy="1105200"/>
            <wp:effectExtent l="0" t="0" r="1905" b="0"/>
            <wp:docPr id="1" name="Picture 1" descr="Commonwealth Coat of Arms of Australi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960248A" w14:textId="77777777" w:rsidR="00204D1A" w:rsidRPr="00E500D4" w:rsidRDefault="00204D1A" w:rsidP="00204D1A">
      <w:pPr>
        <w:rPr>
          <w:sz w:val="19"/>
        </w:rPr>
      </w:pPr>
    </w:p>
    <w:p w14:paraId="5866AC61" w14:textId="39069099" w:rsidR="00204D1A" w:rsidRPr="00E500D4" w:rsidRDefault="00204D1A" w:rsidP="00204D1A">
      <w:pPr>
        <w:pStyle w:val="ShortT"/>
      </w:pPr>
      <w:r>
        <w:t>Customs (Prohibited Exports)</w:t>
      </w:r>
      <w:r w:rsidRPr="00DA182D">
        <w:t xml:space="preserve"> </w:t>
      </w:r>
      <w:r>
        <w:t xml:space="preserve">(Operation of the Australian Domestic Gas Security Mechanism) </w:t>
      </w:r>
      <w:r w:rsidRPr="006208AE">
        <w:t>Guidelines 20</w:t>
      </w:r>
      <w:r w:rsidR="00903982">
        <w:t>2</w:t>
      </w:r>
      <w:r w:rsidR="00EE143C">
        <w:t>3</w:t>
      </w:r>
    </w:p>
    <w:p w14:paraId="75EFF4CE" w14:textId="0832D3E6" w:rsidR="00204D1A" w:rsidRPr="00DA182D" w:rsidRDefault="00204D1A" w:rsidP="00204D1A">
      <w:pPr>
        <w:pStyle w:val="SignCoverPageStart"/>
        <w:spacing w:before="240"/>
        <w:ind w:right="91"/>
        <w:rPr>
          <w:szCs w:val="22"/>
        </w:rPr>
      </w:pPr>
      <w:r w:rsidRPr="00DA182D">
        <w:rPr>
          <w:szCs w:val="22"/>
        </w:rPr>
        <w:t xml:space="preserve">I, </w:t>
      </w:r>
      <w:r w:rsidR="00720383">
        <w:rPr>
          <w:szCs w:val="22"/>
        </w:rPr>
        <w:t>Madeleine King</w:t>
      </w:r>
      <w:r w:rsidRPr="00DA182D">
        <w:rPr>
          <w:szCs w:val="22"/>
        </w:rPr>
        <w:t xml:space="preserve">, </w:t>
      </w:r>
      <w:r>
        <w:rPr>
          <w:szCs w:val="22"/>
        </w:rPr>
        <w:t>Minister for Resources</w:t>
      </w:r>
      <w:r w:rsidRPr="00DA182D">
        <w:rPr>
          <w:szCs w:val="22"/>
        </w:rPr>
        <w:t xml:space="preserve">, </w:t>
      </w:r>
      <w:r>
        <w:rPr>
          <w:szCs w:val="22"/>
        </w:rPr>
        <w:t>make the following Guidelines</w:t>
      </w:r>
      <w:r w:rsidRPr="00DA182D">
        <w:rPr>
          <w:szCs w:val="22"/>
        </w:rPr>
        <w:t>.</w:t>
      </w:r>
    </w:p>
    <w:p w14:paraId="118F6E70" w14:textId="0D257E2A" w:rsidR="00204D1A" w:rsidRPr="00001A63" w:rsidRDefault="00204D1A" w:rsidP="00204D1A">
      <w:pPr>
        <w:keepNext/>
        <w:spacing w:before="300" w:line="240" w:lineRule="atLeast"/>
        <w:ind w:right="397"/>
        <w:jc w:val="both"/>
        <w:rPr>
          <w:szCs w:val="22"/>
        </w:rPr>
      </w:pPr>
      <w:r>
        <w:rPr>
          <w:szCs w:val="22"/>
        </w:rPr>
        <w:t>Dated</w:t>
      </w:r>
      <w:r w:rsidR="007E47E5">
        <w:rPr>
          <w:szCs w:val="22"/>
        </w:rPr>
        <w:t xml:space="preserve"> 30 March 2023</w:t>
      </w:r>
      <w:r w:rsidR="00DA1F96">
        <w:rPr>
          <w:szCs w:val="22"/>
        </w:rPr>
        <w:tab/>
      </w:r>
      <w:r w:rsidRPr="00001A63">
        <w:rPr>
          <w:szCs w:val="22"/>
        </w:rPr>
        <w:tab/>
      </w:r>
    </w:p>
    <w:p w14:paraId="5FEA5CBA" w14:textId="1A3D364B" w:rsidR="0013660C" w:rsidRDefault="0013660C" w:rsidP="00E02001">
      <w:pPr>
        <w:keepNext/>
        <w:tabs>
          <w:tab w:val="left" w:pos="3402"/>
        </w:tabs>
        <w:spacing w:line="300" w:lineRule="atLeast"/>
        <w:ind w:right="397"/>
        <w:rPr>
          <w:szCs w:val="22"/>
        </w:rPr>
      </w:pPr>
    </w:p>
    <w:p w14:paraId="7CFE624E" w14:textId="77777777" w:rsidR="0013660C" w:rsidRDefault="0013660C" w:rsidP="00E02001">
      <w:pPr>
        <w:keepNext/>
        <w:tabs>
          <w:tab w:val="left" w:pos="3402"/>
        </w:tabs>
        <w:spacing w:line="300" w:lineRule="atLeast"/>
        <w:ind w:right="397"/>
        <w:rPr>
          <w:szCs w:val="22"/>
        </w:rPr>
      </w:pPr>
    </w:p>
    <w:p w14:paraId="460E4644" w14:textId="77777777" w:rsidR="0013660C" w:rsidRDefault="0013660C" w:rsidP="00E02001">
      <w:pPr>
        <w:keepNext/>
        <w:tabs>
          <w:tab w:val="left" w:pos="3402"/>
        </w:tabs>
        <w:spacing w:line="300" w:lineRule="atLeast"/>
        <w:ind w:right="397"/>
        <w:rPr>
          <w:szCs w:val="22"/>
        </w:rPr>
      </w:pPr>
    </w:p>
    <w:p w14:paraId="468C6BDF" w14:textId="0407FF8B" w:rsidR="00204D1A" w:rsidRDefault="00657F8D" w:rsidP="00E02001">
      <w:pPr>
        <w:keepNext/>
        <w:tabs>
          <w:tab w:val="left" w:pos="3402"/>
        </w:tabs>
        <w:spacing w:line="300" w:lineRule="atLeast"/>
        <w:ind w:right="397"/>
        <w:rPr>
          <w:b/>
          <w:szCs w:val="22"/>
        </w:rPr>
      </w:pPr>
      <w:r>
        <w:rPr>
          <w:szCs w:val="22"/>
        </w:rPr>
        <w:br/>
      </w:r>
      <w:r w:rsidR="007D4A2F">
        <w:rPr>
          <w:b/>
          <w:szCs w:val="22"/>
        </w:rPr>
        <w:t>Madeleine King</w:t>
      </w:r>
    </w:p>
    <w:p w14:paraId="141311CC" w14:textId="1E3ED46A" w:rsidR="00204D1A" w:rsidRPr="008E0027" w:rsidRDefault="00204D1A" w:rsidP="00204D1A">
      <w:pPr>
        <w:pStyle w:val="SignCoverPageEnd"/>
        <w:ind w:right="91"/>
        <w:rPr>
          <w:sz w:val="22"/>
        </w:rPr>
      </w:pPr>
      <w:r>
        <w:rPr>
          <w:sz w:val="22"/>
        </w:rPr>
        <w:t>Minister for Resources</w:t>
      </w:r>
      <w:r w:rsidR="002862E5">
        <w:rPr>
          <w:sz w:val="22"/>
        </w:rPr>
        <w:t xml:space="preserve"> </w:t>
      </w:r>
      <w:r>
        <w:rPr>
          <w:sz w:val="22"/>
        </w:rPr>
        <w:t xml:space="preserve">and </w:t>
      </w:r>
      <w:r w:rsidR="007D4A2F">
        <w:rPr>
          <w:sz w:val="22"/>
        </w:rPr>
        <w:t xml:space="preserve">Minister for </w:t>
      </w:r>
      <w:r>
        <w:rPr>
          <w:sz w:val="22"/>
        </w:rPr>
        <w:t>Northern Australia</w:t>
      </w:r>
    </w:p>
    <w:p w14:paraId="3A9E7309" w14:textId="77777777" w:rsidR="00204D1A" w:rsidRDefault="00204D1A" w:rsidP="00204D1A"/>
    <w:p w14:paraId="6BAFF563" w14:textId="77777777" w:rsidR="00204D1A" w:rsidRPr="00ED79B6" w:rsidRDefault="00204D1A" w:rsidP="00204D1A"/>
    <w:p w14:paraId="5865BDFD" w14:textId="77777777" w:rsidR="00204D1A" w:rsidRDefault="00204D1A" w:rsidP="00204D1A"/>
    <w:p w14:paraId="523689D2" w14:textId="77777777" w:rsidR="00204D1A" w:rsidRDefault="00204D1A" w:rsidP="00204D1A">
      <w:pPr>
        <w:sectPr w:rsidR="00204D1A" w:rsidSect="00F6696E">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2234" w:right="1797" w:bottom="1440" w:left="1797" w:header="720" w:footer="989" w:gutter="0"/>
          <w:pgNumType w:start="1"/>
          <w:cols w:space="708"/>
          <w:titlePg/>
          <w:docGrid w:linePitch="360"/>
        </w:sectPr>
      </w:pPr>
    </w:p>
    <w:p w14:paraId="1152213F" w14:textId="77777777" w:rsidR="00204D1A" w:rsidRDefault="00204D1A" w:rsidP="00204D1A">
      <w:pPr>
        <w:outlineLvl w:val="0"/>
        <w:rPr>
          <w:sz w:val="36"/>
        </w:rPr>
      </w:pPr>
      <w:r w:rsidRPr="007A1328">
        <w:rPr>
          <w:sz w:val="36"/>
        </w:rPr>
        <w:lastRenderedPageBreak/>
        <w:t>Contents</w:t>
      </w:r>
    </w:p>
    <w:p w14:paraId="3DEA9CE6" w14:textId="4CD099B1" w:rsidR="00712D6C" w:rsidRDefault="00204D1A">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sidR="00712D6C">
        <w:rPr>
          <w:noProof/>
        </w:rPr>
        <w:t>1  Name</w:t>
      </w:r>
      <w:r w:rsidR="00712D6C">
        <w:rPr>
          <w:noProof/>
        </w:rPr>
        <w:tab/>
      </w:r>
      <w:r w:rsidR="00712D6C">
        <w:rPr>
          <w:noProof/>
        </w:rPr>
        <w:fldChar w:fldCharType="begin"/>
      </w:r>
      <w:r w:rsidR="00712D6C">
        <w:rPr>
          <w:noProof/>
        </w:rPr>
        <w:instrText xml:space="preserve"> PAGEREF _Toc130913728 \h </w:instrText>
      </w:r>
      <w:r w:rsidR="00712D6C">
        <w:rPr>
          <w:noProof/>
        </w:rPr>
      </w:r>
      <w:r w:rsidR="00712D6C">
        <w:rPr>
          <w:noProof/>
        </w:rPr>
        <w:fldChar w:fldCharType="separate"/>
      </w:r>
      <w:r w:rsidR="00712D6C">
        <w:rPr>
          <w:noProof/>
        </w:rPr>
        <w:t>1</w:t>
      </w:r>
      <w:r w:rsidR="00712D6C">
        <w:rPr>
          <w:noProof/>
        </w:rPr>
        <w:fldChar w:fldCharType="end"/>
      </w:r>
    </w:p>
    <w:p w14:paraId="6C91EF74" w14:textId="4A67BACD" w:rsidR="00712D6C" w:rsidRDefault="00712D6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_Toc130913729 \h </w:instrText>
      </w:r>
      <w:r>
        <w:rPr>
          <w:noProof/>
        </w:rPr>
      </w:r>
      <w:r>
        <w:rPr>
          <w:noProof/>
        </w:rPr>
        <w:fldChar w:fldCharType="separate"/>
      </w:r>
      <w:r>
        <w:rPr>
          <w:noProof/>
        </w:rPr>
        <w:t>1</w:t>
      </w:r>
      <w:r>
        <w:rPr>
          <w:noProof/>
        </w:rPr>
        <w:fldChar w:fldCharType="end"/>
      </w:r>
    </w:p>
    <w:p w14:paraId="359C356B" w14:textId="5B353CCB" w:rsidR="00712D6C" w:rsidRDefault="00712D6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_Toc130913730 \h </w:instrText>
      </w:r>
      <w:r>
        <w:rPr>
          <w:noProof/>
        </w:rPr>
      </w:r>
      <w:r>
        <w:rPr>
          <w:noProof/>
        </w:rPr>
        <w:fldChar w:fldCharType="separate"/>
      </w:r>
      <w:r>
        <w:rPr>
          <w:noProof/>
        </w:rPr>
        <w:t>1</w:t>
      </w:r>
      <w:r>
        <w:rPr>
          <w:noProof/>
        </w:rPr>
        <w:fldChar w:fldCharType="end"/>
      </w:r>
    </w:p>
    <w:p w14:paraId="44BA2283" w14:textId="11CF5627" w:rsidR="00712D6C" w:rsidRDefault="00712D6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_Toc130913731 \h </w:instrText>
      </w:r>
      <w:r>
        <w:rPr>
          <w:noProof/>
        </w:rPr>
      </w:r>
      <w:r>
        <w:rPr>
          <w:noProof/>
        </w:rPr>
        <w:fldChar w:fldCharType="separate"/>
      </w:r>
      <w:r>
        <w:rPr>
          <w:noProof/>
        </w:rPr>
        <w:t>1</w:t>
      </w:r>
      <w:r>
        <w:rPr>
          <w:noProof/>
        </w:rPr>
        <w:fldChar w:fldCharType="end"/>
      </w:r>
    </w:p>
    <w:p w14:paraId="33CAD0DC" w14:textId="0F34C1E2" w:rsidR="00712D6C" w:rsidRDefault="00712D6C">
      <w:pPr>
        <w:pStyle w:val="TOC5"/>
        <w:rPr>
          <w:rFonts w:asciiTheme="minorHAnsi" w:eastAsiaTheme="minorEastAsia" w:hAnsiTheme="minorHAnsi" w:cstheme="minorBidi"/>
          <w:noProof/>
          <w:kern w:val="0"/>
          <w:sz w:val="22"/>
          <w:szCs w:val="22"/>
        </w:rPr>
      </w:pPr>
      <w:r>
        <w:rPr>
          <w:noProof/>
        </w:rPr>
        <w:t>5  Purpose</w:t>
      </w:r>
      <w:r>
        <w:rPr>
          <w:noProof/>
        </w:rPr>
        <w:tab/>
      </w:r>
      <w:r>
        <w:rPr>
          <w:noProof/>
        </w:rPr>
        <w:fldChar w:fldCharType="begin"/>
      </w:r>
      <w:r>
        <w:rPr>
          <w:noProof/>
        </w:rPr>
        <w:instrText xml:space="preserve"> PAGEREF _Toc130913732 \h </w:instrText>
      </w:r>
      <w:r>
        <w:rPr>
          <w:noProof/>
        </w:rPr>
      </w:r>
      <w:r>
        <w:rPr>
          <w:noProof/>
        </w:rPr>
        <w:fldChar w:fldCharType="separate"/>
      </w:r>
      <w:r>
        <w:rPr>
          <w:noProof/>
        </w:rPr>
        <w:t>2</w:t>
      </w:r>
      <w:r>
        <w:rPr>
          <w:noProof/>
        </w:rPr>
        <w:fldChar w:fldCharType="end"/>
      </w:r>
    </w:p>
    <w:p w14:paraId="06BB5687" w14:textId="26591D4B" w:rsidR="00712D6C" w:rsidRDefault="00712D6C">
      <w:pPr>
        <w:pStyle w:val="TOC5"/>
        <w:rPr>
          <w:rFonts w:asciiTheme="minorHAnsi" w:eastAsiaTheme="minorEastAsia" w:hAnsiTheme="minorHAnsi" w:cstheme="minorBidi"/>
          <w:noProof/>
          <w:kern w:val="0"/>
          <w:sz w:val="22"/>
          <w:szCs w:val="22"/>
        </w:rPr>
      </w:pPr>
      <w:r>
        <w:rPr>
          <w:noProof/>
        </w:rPr>
        <w:t>6  Overview of the ADGSM</w:t>
      </w:r>
      <w:r>
        <w:rPr>
          <w:noProof/>
        </w:rPr>
        <w:tab/>
      </w:r>
      <w:r>
        <w:rPr>
          <w:noProof/>
        </w:rPr>
        <w:fldChar w:fldCharType="begin"/>
      </w:r>
      <w:r>
        <w:rPr>
          <w:noProof/>
        </w:rPr>
        <w:instrText xml:space="preserve"> PAGEREF _Toc130913733 \h </w:instrText>
      </w:r>
      <w:r>
        <w:rPr>
          <w:noProof/>
        </w:rPr>
      </w:r>
      <w:r>
        <w:rPr>
          <w:noProof/>
        </w:rPr>
        <w:fldChar w:fldCharType="separate"/>
      </w:r>
      <w:r>
        <w:rPr>
          <w:noProof/>
        </w:rPr>
        <w:t>2</w:t>
      </w:r>
      <w:r>
        <w:rPr>
          <w:noProof/>
        </w:rPr>
        <w:fldChar w:fldCharType="end"/>
      </w:r>
    </w:p>
    <w:p w14:paraId="5BF31AE9" w14:textId="1B024A2F" w:rsidR="00712D6C" w:rsidRDefault="00712D6C">
      <w:pPr>
        <w:pStyle w:val="TOC5"/>
        <w:rPr>
          <w:rFonts w:asciiTheme="minorHAnsi" w:eastAsiaTheme="minorEastAsia" w:hAnsiTheme="minorHAnsi" w:cstheme="minorBidi"/>
          <w:noProof/>
          <w:kern w:val="0"/>
          <w:sz w:val="22"/>
          <w:szCs w:val="22"/>
        </w:rPr>
      </w:pPr>
      <w:r>
        <w:rPr>
          <w:noProof/>
        </w:rPr>
        <w:t>7  Summary of timeframes</w:t>
      </w:r>
      <w:r>
        <w:rPr>
          <w:noProof/>
        </w:rPr>
        <w:tab/>
      </w:r>
      <w:r>
        <w:rPr>
          <w:noProof/>
        </w:rPr>
        <w:fldChar w:fldCharType="begin"/>
      </w:r>
      <w:r>
        <w:rPr>
          <w:noProof/>
        </w:rPr>
        <w:instrText xml:space="preserve"> PAGEREF _Toc130913734 \h </w:instrText>
      </w:r>
      <w:r>
        <w:rPr>
          <w:noProof/>
        </w:rPr>
      </w:r>
      <w:r>
        <w:rPr>
          <w:noProof/>
        </w:rPr>
        <w:fldChar w:fldCharType="separate"/>
      </w:r>
      <w:r>
        <w:rPr>
          <w:noProof/>
        </w:rPr>
        <w:t>3</w:t>
      </w:r>
      <w:r>
        <w:rPr>
          <w:noProof/>
        </w:rPr>
        <w:fldChar w:fldCharType="end"/>
      </w:r>
    </w:p>
    <w:p w14:paraId="185C3A62" w14:textId="44CABDC9" w:rsidR="00712D6C" w:rsidRDefault="00712D6C">
      <w:pPr>
        <w:pStyle w:val="TOC5"/>
        <w:rPr>
          <w:rFonts w:asciiTheme="minorHAnsi" w:eastAsiaTheme="minorEastAsia" w:hAnsiTheme="minorHAnsi" w:cstheme="minorBidi"/>
          <w:noProof/>
          <w:kern w:val="0"/>
          <w:sz w:val="22"/>
          <w:szCs w:val="22"/>
        </w:rPr>
      </w:pPr>
      <w:r>
        <w:rPr>
          <w:noProof/>
        </w:rPr>
        <w:t>8  Determining a domestic shortfall quarter</w:t>
      </w:r>
      <w:r>
        <w:rPr>
          <w:noProof/>
        </w:rPr>
        <w:tab/>
      </w:r>
      <w:r>
        <w:rPr>
          <w:noProof/>
        </w:rPr>
        <w:fldChar w:fldCharType="begin"/>
      </w:r>
      <w:r>
        <w:rPr>
          <w:noProof/>
        </w:rPr>
        <w:instrText xml:space="preserve"> PAGEREF _Toc130913735 \h </w:instrText>
      </w:r>
      <w:r>
        <w:rPr>
          <w:noProof/>
        </w:rPr>
      </w:r>
      <w:r>
        <w:rPr>
          <w:noProof/>
        </w:rPr>
        <w:fldChar w:fldCharType="separate"/>
      </w:r>
      <w:r>
        <w:rPr>
          <w:noProof/>
        </w:rPr>
        <w:t>4</w:t>
      </w:r>
      <w:r>
        <w:rPr>
          <w:noProof/>
        </w:rPr>
        <w:fldChar w:fldCharType="end"/>
      </w:r>
    </w:p>
    <w:p w14:paraId="25387DFF" w14:textId="2A006964" w:rsidR="00712D6C" w:rsidRDefault="00712D6C">
      <w:pPr>
        <w:pStyle w:val="TOC5"/>
        <w:rPr>
          <w:rFonts w:asciiTheme="minorHAnsi" w:eastAsiaTheme="minorEastAsia" w:hAnsiTheme="minorHAnsi" w:cstheme="minorBidi"/>
          <w:noProof/>
          <w:kern w:val="0"/>
          <w:sz w:val="22"/>
          <w:szCs w:val="22"/>
        </w:rPr>
      </w:pPr>
      <w:r>
        <w:rPr>
          <w:noProof/>
        </w:rPr>
        <w:t>9 Permission types</w:t>
      </w:r>
      <w:r>
        <w:rPr>
          <w:noProof/>
        </w:rPr>
        <w:tab/>
      </w:r>
      <w:r>
        <w:rPr>
          <w:noProof/>
        </w:rPr>
        <w:fldChar w:fldCharType="begin"/>
      </w:r>
      <w:r>
        <w:rPr>
          <w:noProof/>
        </w:rPr>
        <w:instrText xml:space="preserve"> PAGEREF _Toc130913736 \h </w:instrText>
      </w:r>
      <w:r>
        <w:rPr>
          <w:noProof/>
        </w:rPr>
      </w:r>
      <w:r>
        <w:rPr>
          <w:noProof/>
        </w:rPr>
        <w:fldChar w:fldCharType="separate"/>
      </w:r>
      <w:r>
        <w:rPr>
          <w:noProof/>
        </w:rPr>
        <w:t>7</w:t>
      </w:r>
      <w:r>
        <w:rPr>
          <w:noProof/>
        </w:rPr>
        <w:fldChar w:fldCharType="end"/>
      </w:r>
    </w:p>
    <w:p w14:paraId="0346628D" w14:textId="2E06298E" w:rsidR="00712D6C" w:rsidRDefault="00712D6C">
      <w:pPr>
        <w:pStyle w:val="TOC5"/>
        <w:rPr>
          <w:rFonts w:asciiTheme="minorHAnsi" w:eastAsiaTheme="minorEastAsia" w:hAnsiTheme="minorHAnsi" w:cstheme="minorBidi"/>
          <w:noProof/>
          <w:kern w:val="0"/>
          <w:sz w:val="22"/>
          <w:szCs w:val="22"/>
        </w:rPr>
      </w:pPr>
      <w:r>
        <w:rPr>
          <w:noProof/>
        </w:rPr>
        <w:t>10 Protecting long-term contract gas</w:t>
      </w:r>
      <w:r>
        <w:rPr>
          <w:noProof/>
        </w:rPr>
        <w:tab/>
      </w:r>
      <w:r>
        <w:rPr>
          <w:noProof/>
        </w:rPr>
        <w:fldChar w:fldCharType="begin"/>
      </w:r>
      <w:r>
        <w:rPr>
          <w:noProof/>
        </w:rPr>
        <w:instrText xml:space="preserve"> PAGEREF _Toc130913737 \h </w:instrText>
      </w:r>
      <w:r>
        <w:rPr>
          <w:noProof/>
        </w:rPr>
      </w:r>
      <w:r>
        <w:rPr>
          <w:noProof/>
        </w:rPr>
        <w:fldChar w:fldCharType="separate"/>
      </w:r>
      <w:r>
        <w:rPr>
          <w:noProof/>
        </w:rPr>
        <w:t>9</w:t>
      </w:r>
      <w:r>
        <w:rPr>
          <w:noProof/>
        </w:rPr>
        <w:fldChar w:fldCharType="end"/>
      </w:r>
    </w:p>
    <w:p w14:paraId="3E3F7691" w14:textId="6189D885" w:rsidR="00712D6C" w:rsidRDefault="00712D6C">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_Toc130913738 \h </w:instrText>
      </w:r>
      <w:r>
        <w:rPr>
          <w:noProof/>
        </w:rPr>
      </w:r>
      <w:r>
        <w:rPr>
          <w:noProof/>
        </w:rPr>
        <w:fldChar w:fldCharType="separate"/>
      </w:r>
      <w:r>
        <w:rPr>
          <w:noProof/>
        </w:rPr>
        <w:t>12</w:t>
      </w:r>
      <w:r>
        <w:rPr>
          <w:noProof/>
        </w:rPr>
        <w:fldChar w:fldCharType="end"/>
      </w:r>
    </w:p>
    <w:p w14:paraId="23B46D20" w14:textId="5F165AA2" w:rsidR="00712D6C" w:rsidRDefault="00712D6C">
      <w:pPr>
        <w:pStyle w:val="TOC9"/>
        <w:rPr>
          <w:rFonts w:asciiTheme="minorHAnsi" w:eastAsiaTheme="minorEastAsia" w:hAnsiTheme="minorHAnsi" w:cstheme="minorBidi"/>
          <w:i w:val="0"/>
          <w:noProof/>
          <w:kern w:val="0"/>
          <w:sz w:val="22"/>
          <w:szCs w:val="22"/>
        </w:rPr>
      </w:pPr>
      <w:r>
        <w:rPr>
          <w:noProof/>
        </w:rPr>
        <w:t>Customs (Prohibited Exports) (Operation of the Australian Domestic Gas Security Mechanism) Guidelines 2020</w:t>
      </w:r>
      <w:r>
        <w:rPr>
          <w:noProof/>
        </w:rPr>
        <w:tab/>
      </w:r>
      <w:r>
        <w:rPr>
          <w:noProof/>
        </w:rPr>
        <w:fldChar w:fldCharType="begin"/>
      </w:r>
      <w:r>
        <w:rPr>
          <w:noProof/>
        </w:rPr>
        <w:instrText xml:space="preserve"> PAGEREF _Toc130913739 \h </w:instrText>
      </w:r>
      <w:r>
        <w:rPr>
          <w:noProof/>
        </w:rPr>
      </w:r>
      <w:r>
        <w:rPr>
          <w:noProof/>
        </w:rPr>
        <w:fldChar w:fldCharType="separate"/>
      </w:r>
      <w:r>
        <w:rPr>
          <w:noProof/>
        </w:rPr>
        <w:t>12</w:t>
      </w:r>
      <w:r>
        <w:rPr>
          <w:noProof/>
        </w:rPr>
        <w:fldChar w:fldCharType="end"/>
      </w:r>
    </w:p>
    <w:p w14:paraId="5BCB23F0" w14:textId="32BFE498" w:rsidR="00712D6C" w:rsidRDefault="00712D6C">
      <w:pPr>
        <w:pStyle w:val="TOC6"/>
        <w:rPr>
          <w:rFonts w:asciiTheme="minorHAnsi" w:eastAsiaTheme="minorEastAsia" w:hAnsiTheme="minorHAnsi" w:cstheme="minorBidi"/>
          <w:b w:val="0"/>
          <w:noProof/>
          <w:kern w:val="0"/>
          <w:sz w:val="22"/>
          <w:szCs w:val="22"/>
        </w:rPr>
      </w:pPr>
      <w:r>
        <w:rPr>
          <w:noProof/>
        </w:rPr>
        <w:t>Schedule 2—</w:t>
      </w:r>
      <w:r w:rsidRPr="00DB3246">
        <w:rPr>
          <w:iCs/>
          <w:noProof/>
        </w:rPr>
        <w:t>Long-term Contract</w:t>
      </w:r>
      <w:r w:rsidRPr="00DB3246">
        <w:rPr>
          <w:b w:val="0"/>
          <w:iCs/>
          <w:noProof/>
        </w:rPr>
        <w:t xml:space="preserve"> </w:t>
      </w:r>
      <w:r w:rsidRPr="00DB3246">
        <w:rPr>
          <w:bCs/>
          <w:iCs/>
          <w:noProof/>
        </w:rPr>
        <w:t>Gas</w:t>
      </w:r>
      <w:r>
        <w:rPr>
          <w:noProof/>
        </w:rPr>
        <w:tab/>
      </w:r>
      <w:r>
        <w:rPr>
          <w:noProof/>
        </w:rPr>
        <w:fldChar w:fldCharType="begin"/>
      </w:r>
      <w:r>
        <w:rPr>
          <w:noProof/>
        </w:rPr>
        <w:instrText xml:space="preserve"> PAGEREF _Toc130913740 \h </w:instrText>
      </w:r>
      <w:r>
        <w:rPr>
          <w:noProof/>
        </w:rPr>
      </w:r>
      <w:r>
        <w:rPr>
          <w:noProof/>
        </w:rPr>
        <w:fldChar w:fldCharType="separate"/>
      </w:r>
      <w:r>
        <w:rPr>
          <w:noProof/>
        </w:rPr>
        <w:t>13</w:t>
      </w:r>
      <w:r>
        <w:rPr>
          <w:noProof/>
        </w:rPr>
        <w:fldChar w:fldCharType="end"/>
      </w:r>
    </w:p>
    <w:p w14:paraId="78A556E2" w14:textId="26124347" w:rsidR="00204D1A" w:rsidRDefault="00204D1A" w:rsidP="00204D1A">
      <w:pPr>
        <w:outlineLvl w:val="0"/>
      </w:pPr>
      <w:r>
        <w:fldChar w:fldCharType="end"/>
      </w:r>
    </w:p>
    <w:p w14:paraId="7A030BF7" w14:textId="77777777" w:rsidR="00204D1A" w:rsidRPr="00A802BC" w:rsidRDefault="00204D1A" w:rsidP="00204D1A">
      <w:pPr>
        <w:outlineLvl w:val="0"/>
        <w:rPr>
          <w:sz w:val="20"/>
        </w:rPr>
      </w:pPr>
    </w:p>
    <w:p w14:paraId="61EF0A46" w14:textId="77777777" w:rsidR="00204D1A" w:rsidRDefault="00204D1A" w:rsidP="00204D1A">
      <w:pPr>
        <w:sectPr w:rsidR="00204D1A" w:rsidSect="0061187E">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14:paraId="2A6A0FE6" w14:textId="77777777" w:rsidR="00204D1A" w:rsidRPr="00554826" w:rsidRDefault="00204D1A" w:rsidP="00204D1A">
      <w:pPr>
        <w:pStyle w:val="ActHead5"/>
      </w:pPr>
      <w:bookmarkStart w:id="0" w:name="_Toc485134550"/>
      <w:bookmarkStart w:id="1" w:name="_Toc130913728"/>
      <w:r w:rsidRPr="00554826">
        <w:lastRenderedPageBreak/>
        <w:t>1  Name</w:t>
      </w:r>
      <w:bookmarkEnd w:id="0"/>
      <w:bookmarkEnd w:id="1"/>
    </w:p>
    <w:p w14:paraId="41F0B6AF" w14:textId="7BDF667D" w:rsidR="00204D1A" w:rsidRDefault="00204D1A" w:rsidP="00204D1A">
      <w:pPr>
        <w:pStyle w:val="subsection"/>
      </w:pPr>
      <w:r w:rsidRPr="009C2562">
        <w:tab/>
      </w:r>
      <w:r w:rsidRPr="009C2562">
        <w:tab/>
      </w:r>
      <w:r w:rsidR="00BE6862">
        <w:t>This instrument is</w:t>
      </w:r>
      <w:r w:rsidRPr="009C2562">
        <w:t xml:space="preserve"> the </w:t>
      </w:r>
      <w:bookmarkStart w:id="2" w:name="BKCheck15B_3"/>
      <w:bookmarkEnd w:id="2"/>
      <w:r>
        <w:rPr>
          <w:i/>
        </w:rPr>
        <w:t>Customs (Prohibited Exports) (Operation of the Australian Domestic Gas Security Mechanism) Guidelines 20</w:t>
      </w:r>
      <w:r w:rsidR="005B6C37">
        <w:rPr>
          <w:i/>
        </w:rPr>
        <w:t>2</w:t>
      </w:r>
      <w:r w:rsidR="00720383">
        <w:rPr>
          <w:i/>
        </w:rPr>
        <w:t>3</w:t>
      </w:r>
      <w:r w:rsidRPr="009C2562">
        <w:t>.</w:t>
      </w:r>
    </w:p>
    <w:p w14:paraId="4A9D2008" w14:textId="77777777" w:rsidR="00204D1A" w:rsidRPr="00554826" w:rsidRDefault="00204D1A" w:rsidP="00204D1A">
      <w:pPr>
        <w:pStyle w:val="ActHead5"/>
      </w:pPr>
      <w:bookmarkStart w:id="3" w:name="_Toc485134551"/>
      <w:bookmarkStart w:id="4" w:name="_Toc130913729"/>
      <w:r w:rsidRPr="00554826">
        <w:t>2  Commencement</w:t>
      </w:r>
      <w:bookmarkEnd w:id="3"/>
      <w:bookmarkEnd w:id="4"/>
    </w:p>
    <w:p w14:paraId="3BC2D5B1" w14:textId="55BE8C3A" w:rsidR="00B154A2" w:rsidRPr="00232984" w:rsidRDefault="00B154A2" w:rsidP="00B154A2">
      <w:pPr>
        <w:pStyle w:val="subsection"/>
      </w:pPr>
      <w:r>
        <w:tab/>
      </w:r>
      <w:r>
        <w:tab/>
      </w:r>
      <w:r w:rsidR="00C96CE3">
        <w:t xml:space="preserve">This instrument </w:t>
      </w:r>
      <w:r w:rsidRPr="00E87687">
        <w:t>commence</w:t>
      </w:r>
      <w:r w:rsidR="00C96CE3">
        <w:t>s</w:t>
      </w:r>
      <w:r>
        <w:t xml:space="preserve"> the day after </w:t>
      </w:r>
      <w:r w:rsidR="00C96CE3">
        <w:t>it is</w:t>
      </w:r>
      <w:r>
        <w:t xml:space="preserve"> registered on the Federal Register of Legislation.</w:t>
      </w:r>
    </w:p>
    <w:p w14:paraId="7901A477" w14:textId="77777777" w:rsidR="00204D1A" w:rsidRPr="00554826" w:rsidRDefault="00204D1A" w:rsidP="00204D1A">
      <w:pPr>
        <w:pStyle w:val="ActHead5"/>
      </w:pPr>
      <w:bookmarkStart w:id="5" w:name="_Toc485134552"/>
      <w:bookmarkStart w:id="6" w:name="_Toc130913730"/>
      <w:r w:rsidRPr="00554826">
        <w:t>3  Authority</w:t>
      </w:r>
      <w:bookmarkEnd w:id="5"/>
      <w:bookmarkEnd w:id="6"/>
    </w:p>
    <w:p w14:paraId="4F0F53A1" w14:textId="5DF505E6" w:rsidR="00204D1A" w:rsidRPr="00E87687" w:rsidRDefault="00204D1A" w:rsidP="00204D1A">
      <w:pPr>
        <w:pStyle w:val="subsection"/>
      </w:pPr>
      <w:r w:rsidRPr="009C2562">
        <w:tab/>
      </w:r>
      <w:r w:rsidRPr="009C2562">
        <w:tab/>
      </w:r>
      <w:r w:rsidR="00BE6862">
        <w:t xml:space="preserve">This instrument is made under regulation 13GF of the </w:t>
      </w:r>
      <w:r w:rsidR="00BE6862">
        <w:rPr>
          <w:i/>
        </w:rPr>
        <w:t>Customs (Prohibited Exports) Regulations 1958</w:t>
      </w:r>
      <w:r w:rsidR="00BE6862">
        <w:t>.</w:t>
      </w:r>
    </w:p>
    <w:p w14:paraId="1A081EA2" w14:textId="001DC104" w:rsidR="00204D1A" w:rsidRDefault="00204D1A" w:rsidP="00204D1A">
      <w:pPr>
        <w:pStyle w:val="ActHead5"/>
      </w:pPr>
      <w:bookmarkStart w:id="7" w:name="_Toc485134553"/>
      <w:bookmarkStart w:id="8" w:name="_Toc130913731"/>
      <w:r w:rsidRPr="00E87687">
        <w:t>4  Definitions</w:t>
      </w:r>
      <w:bookmarkEnd w:id="7"/>
      <w:bookmarkEnd w:id="8"/>
    </w:p>
    <w:p w14:paraId="7B1CD796" w14:textId="079D5C7D" w:rsidR="00E60A37" w:rsidRDefault="00E60A37" w:rsidP="00E60A37">
      <w:pPr>
        <w:pStyle w:val="notetext0"/>
        <w:shd w:val="clear" w:color="auto" w:fill="FFFFFF"/>
        <w:spacing w:before="122" w:beforeAutospacing="0" w:after="0" w:afterAutospacing="0" w:line="198" w:lineRule="atLeast"/>
        <w:ind w:left="1985" w:hanging="851"/>
        <w:rPr>
          <w:color w:val="000000"/>
          <w:sz w:val="18"/>
          <w:szCs w:val="18"/>
        </w:rPr>
      </w:pPr>
      <w:r>
        <w:rPr>
          <w:color w:val="000000"/>
          <w:sz w:val="18"/>
          <w:szCs w:val="18"/>
        </w:rPr>
        <w:t xml:space="preserve">Note:          A number of expressions used in </w:t>
      </w:r>
      <w:r w:rsidR="00C96CE3">
        <w:rPr>
          <w:color w:val="000000"/>
          <w:sz w:val="18"/>
          <w:szCs w:val="18"/>
        </w:rPr>
        <w:t xml:space="preserve">this instrument </w:t>
      </w:r>
      <w:r>
        <w:rPr>
          <w:color w:val="000000"/>
          <w:sz w:val="18"/>
          <w:szCs w:val="18"/>
        </w:rPr>
        <w:t>are defined in the definitions section of the Regulations, including the following:</w:t>
      </w:r>
    </w:p>
    <w:p w14:paraId="1C878F8E" w14:textId="77777777" w:rsidR="00E60A37" w:rsidRDefault="00E60A37" w:rsidP="00E60A37">
      <w:pPr>
        <w:pStyle w:val="notepara0"/>
        <w:shd w:val="clear" w:color="auto" w:fill="FFFFFF"/>
        <w:spacing w:before="40" w:beforeAutospacing="0" w:after="0" w:afterAutospacing="0" w:line="198" w:lineRule="atLeast"/>
        <w:ind w:left="2360" w:hanging="375"/>
        <w:rPr>
          <w:color w:val="000000"/>
          <w:sz w:val="18"/>
          <w:szCs w:val="18"/>
        </w:rPr>
      </w:pPr>
      <w:r>
        <w:rPr>
          <w:color w:val="000000"/>
          <w:sz w:val="18"/>
          <w:szCs w:val="18"/>
        </w:rPr>
        <w:t>(a)</w:t>
      </w:r>
      <w:r>
        <w:rPr>
          <w:color w:val="000000"/>
          <w:sz w:val="14"/>
          <w:szCs w:val="14"/>
        </w:rPr>
        <w:t>      </w:t>
      </w:r>
      <w:r>
        <w:rPr>
          <w:color w:val="000000"/>
          <w:sz w:val="18"/>
          <w:szCs w:val="18"/>
        </w:rPr>
        <w:t>authorised officer;</w:t>
      </w:r>
    </w:p>
    <w:p w14:paraId="413AAE54" w14:textId="2CED7F14" w:rsidR="00FD6F69" w:rsidRDefault="00922D38" w:rsidP="00E60A37">
      <w:pPr>
        <w:pStyle w:val="notepara0"/>
        <w:shd w:val="clear" w:color="auto" w:fill="FFFFFF"/>
        <w:spacing w:before="40" w:beforeAutospacing="0" w:after="0" w:afterAutospacing="0" w:line="198" w:lineRule="atLeast"/>
        <w:ind w:left="2360" w:hanging="375"/>
        <w:rPr>
          <w:color w:val="000000"/>
          <w:sz w:val="18"/>
          <w:szCs w:val="18"/>
        </w:rPr>
      </w:pPr>
      <w:r>
        <w:rPr>
          <w:color w:val="000000"/>
          <w:sz w:val="18"/>
          <w:szCs w:val="18"/>
        </w:rPr>
        <w:t>(</w:t>
      </w:r>
      <w:r w:rsidR="00816300">
        <w:rPr>
          <w:color w:val="000000"/>
          <w:sz w:val="18"/>
          <w:szCs w:val="18"/>
        </w:rPr>
        <w:t>b</w:t>
      </w:r>
      <w:r>
        <w:rPr>
          <w:color w:val="000000"/>
          <w:sz w:val="18"/>
          <w:szCs w:val="18"/>
        </w:rPr>
        <w:t>)   </w:t>
      </w:r>
      <w:r>
        <w:rPr>
          <w:color w:val="000000"/>
          <w:sz w:val="18"/>
          <w:szCs w:val="18"/>
        </w:rPr>
        <w:tab/>
        <w:t>domestic shortfall quarter;</w:t>
      </w:r>
    </w:p>
    <w:p w14:paraId="38E7679A" w14:textId="7AB2442D" w:rsidR="00922D38" w:rsidRDefault="00922D38" w:rsidP="00E60A37">
      <w:pPr>
        <w:pStyle w:val="notepara0"/>
        <w:shd w:val="clear" w:color="auto" w:fill="FFFFFF"/>
        <w:spacing w:before="40" w:beforeAutospacing="0" w:after="0" w:afterAutospacing="0" w:line="198" w:lineRule="atLeast"/>
        <w:ind w:left="2360" w:hanging="375"/>
        <w:rPr>
          <w:color w:val="000000"/>
          <w:sz w:val="18"/>
          <w:szCs w:val="18"/>
        </w:rPr>
      </w:pPr>
      <w:r>
        <w:rPr>
          <w:color w:val="000000"/>
          <w:sz w:val="18"/>
          <w:szCs w:val="18"/>
        </w:rPr>
        <w:t>(</w:t>
      </w:r>
      <w:r w:rsidR="00816300">
        <w:rPr>
          <w:color w:val="000000"/>
          <w:sz w:val="18"/>
          <w:szCs w:val="18"/>
        </w:rPr>
        <w:t>c</w:t>
      </w:r>
      <w:r>
        <w:rPr>
          <w:color w:val="000000"/>
          <w:sz w:val="18"/>
          <w:szCs w:val="18"/>
        </w:rPr>
        <w:t>)</w:t>
      </w:r>
      <w:r>
        <w:rPr>
          <w:color w:val="000000"/>
          <w:sz w:val="18"/>
          <w:szCs w:val="18"/>
        </w:rPr>
        <w:tab/>
        <w:t>permission;</w:t>
      </w:r>
    </w:p>
    <w:p w14:paraId="6B50F157" w14:textId="69AA4C29" w:rsidR="00E60A37" w:rsidRDefault="00E60A37" w:rsidP="00E60A37">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w:t>
      </w:r>
      <w:r w:rsidR="00816300">
        <w:rPr>
          <w:color w:val="000000"/>
          <w:sz w:val="18"/>
          <w:szCs w:val="18"/>
        </w:rPr>
        <w:t>d</w:t>
      </w:r>
      <w:r>
        <w:rPr>
          <w:color w:val="000000"/>
          <w:sz w:val="18"/>
          <w:szCs w:val="18"/>
        </w:rPr>
        <w:t>)    Resources Department;</w:t>
      </w:r>
    </w:p>
    <w:p w14:paraId="1B4776F7" w14:textId="2ECA38CC" w:rsidR="00E60A37" w:rsidRDefault="00FD6F69" w:rsidP="00E60A37">
      <w:pPr>
        <w:pStyle w:val="notepara0"/>
        <w:shd w:val="clear" w:color="auto" w:fill="FFFFFF"/>
        <w:spacing w:before="40" w:beforeAutospacing="0" w:after="0" w:afterAutospacing="0" w:line="198" w:lineRule="atLeast"/>
        <w:ind w:left="2354" w:hanging="369"/>
        <w:rPr>
          <w:color w:val="000000"/>
          <w:sz w:val="18"/>
          <w:szCs w:val="18"/>
        </w:rPr>
      </w:pPr>
      <w:r>
        <w:rPr>
          <w:color w:val="000000"/>
          <w:sz w:val="18"/>
          <w:szCs w:val="18"/>
        </w:rPr>
        <w:t>(</w:t>
      </w:r>
      <w:r w:rsidR="00816300">
        <w:rPr>
          <w:color w:val="000000"/>
          <w:sz w:val="18"/>
          <w:szCs w:val="18"/>
        </w:rPr>
        <w:t>e</w:t>
      </w:r>
      <w:r>
        <w:rPr>
          <w:color w:val="000000"/>
          <w:sz w:val="18"/>
          <w:szCs w:val="18"/>
        </w:rPr>
        <w:t>)</w:t>
      </w:r>
      <w:r w:rsidR="00E60A37">
        <w:rPr>
          <w:color w:val="000000"/>
          <w:sz w:val="18"/>
          <w:szCs w:val="18"/>
        </w:rPr>
        <w:t>    Resources Minister.</w:t>
      </w:r>
    </w:p>
    <w:p w14:paraId="6C4206FD" w14:textId="2CBFCCD2" w:rsidR="00204D1A" w:rsidRDefault="00204D1A" w:rsidP="00204D1A">
      <w:pPr>
        <w:pStyle w:val="subsection"/>
      </w:pPr>
      <w:r w:rsidRPr="00E87687">
        <w:tab/>
        <w:t>In these Guidelines:</w:t>
      </w:r>
    </w:p>
    <w:p w14:paraId="77009445" w14:textId="1AB9584C" w:rsidR="00D97C49" w:rsidRDefault="00D97C49" w:rsidP="005D78F8">
      <w:pPr>
        <w:pStyle w:val="Definition"/>
      </w:pPr>
      <w:r>
        <w:rPr>
          <w:b/>
          <w:bCs/>
          <w:i/>
          <w:iCs/>
        </w:rPr>
        <w:t>ACCC</w:t>
      </w:r>
      <w:r>
        <w:t xml:space="preserve"> </w:t>
      </w:r>
      <w:r w:rsidR="00CC7963">
        <w:t>means</w:t>
      </w:r>
      <w:r w:rsidR="008D5439">
        <w:t xml:space="preserve"> </w:t>
      </w:r>
      <w:r w:rsidR="002453AF">
        <w:t xml:space="preserve">the </w:t>
      </w:r>
      <w:r>
        <w:t>Australian Competition and Consumer Commission.</w:t>
      </w:r>
    </w:p>
    <w:p w14:paraId="01EDE439" w14:textId="113CA1C6" w:rsidR="003068F0" w:rsidRPr="00D000B9" w:rsidRDefault="003068F0" w:rsidP="005D78F8">
      <w:pPr>
        <w:pStyle w:val="Definition"/>
      </w:pPr>
      <w:r w:rsidRPr="00D000B9">
        <w:rPr>
          <w:b/>
          <w:bCs/>
          <w:i/>
          <w:iCs/>
        </w:rPr>
        <w:t>AEMO</w:t>
      </w:r>
      <w:r w:rsidR="00D000B9" w:rsidRPr="00720383">
        <w:rPr>
          <w:b/>
          <w:bCs/>
        </w:rPr>
        <w:t xml:space="preserve"> </w:t>
      </w:r>
      <w:r w:rsidR="00CC7963">
        <w:t>means</w:t>
      </w:r>
      <w:r w:rsidR="008D5439">
        <w:t xml:space="preserve"> </w:t>
      </w:r>
      <w:r w:rsidR="00D000B9" w:rsidRPr="00720383">
        <w:t>the Australian Energy Market Operator.</w:t>
      </w:r>
    </w:p>
    <w:p w14:paraId="0F6E9578" w14:textId="338576D3" w:rsidR="007F15DE" w:rsidRDefault="00204D1A" w:rsidP="00204D1A">
      <w:pPr>
        <w:pStyle w:val="Definition"/>
      </w:pPr>
      <w:r>
        <w:rPr>
          <w:b/>
          <w:i/>
        </w:rPr>
        <w:t>ADGSM</w:t>
      </w:r>
      <w:r>
        <w:t xml:space="preserve"> </w:t>
      </w:r>
      <w:r w:rsidR="00CC7963">
        <w:t>means the</w:t>
      </w:r>
      <w:r>
        <w:t xml:space="preserve"> Australian Domestic Gas Security Mechanism.</w:t>
      </w:r>
    </w:p>
    <w:p w14:paraId="13A268AB" w14:textId="5E937B67" w:rsidR="00816300" w:rsidRPr="00816300" w:rsidRDefault="00816300" w:rsidP="00816300">
      <w:pPr>
        <w:pStyle w:val="Definition"/>
        <w:rPr>
          <w:bCs/>
          <w:iCs/>
        </w:rPr>
      </w:pPr>
      <w:r w:rsidRPr="00D73899">
        <w:rPr>
          <w:b/>
          <w:i/>
        </w:rPr>
        <w:t>Collector</w:t>
      </w:r>
      <w:r>
        <w:rPr>
          <w:bCs/>
          <w:iCs/>
        </w:rPr>
        <w:t xml:space="preserve"> </w:t>
      </w:r>
      <w:r w:rsidR="00A23B43">
        <w:rPr>
          <w:bCs/>
          <w:iCs/>
        </w:rPr>
        <w:t xml:space="preserve">has the same meaning as in the </w:t>
      </w:r>
      <w:r w:rsidR="00C00530" w:rsidRPr="003C47D4">
        <w:rPr>
          <w:i/>
          <w:iCs/>
        </w:rPr>
        <w:t>Customs Act 1901</w:t>
      </w:r>
      <w:r w:rsidR="00A23B43">
        <w:t>.</w:t>
      </w:r>
    </w:p>
    <w:p w14:paraId="67047709" w14:textId="3ED01912" w:rsidR="00CE5368" w:rsidRPr="00CE5368" w:rsidRDefault="00CE5368" w:rsidP="003E0BD7">
      <w:pPr>
        <w:pStyle w:val="Definition"/>
        <w:rPr>
          <w:bCs/>
          <w:iCs/>
        </w:rPr>
      </w:pPr>
      <w:r>
        <w:rPr>
          <w:b/>
          <w:i/>
        </w:rPr>
        <w:t>Department</w:t>
      </w:r>
      <w:r>
        <w:rPr>
          <w:bCs/>
          <w:iCs/>
        </w:rPr>
        <w:t xml:space="preserve"> means the Resources Department.</w:t>
      </w:r>
    </w:p>
    <w:p w14:paraId="347CAADC" w14:textId="36278B93" w:rsidR="00475D55" w:rsidRPr="00F5570D" w:rsidRDefault="00922D38" w:rsidP="003E0BD7">
      <w:pPr>
        <w:pStyle w:val="Definition"/>
      </w:pPr>
      <w:r>
        <w:rPr>
          <w:b/>
          <w:i/>
        </w:rPr>
        <w:t>g</w:t>
      </w:r>
      <w:r w:rsidR="00475D55" w:rsidRPr="003E0BD7">
        <w:rPr>
          <w:b/>
          <w:i/>
        </w:rPr>
        <w:t>as supply</w:t>
      </w:r>
      <w:r w:rsidR="00475D55" w:rsidRPr="003E0BD7">
        <w:rPr>
          <w:bCs/>
          <w:i/>
        </w:rPr>
        <w:t xml:space="preserve"> </w:t>
      </w:r>
      <w:r w:rsidR="00B55619">
        <w:t xml:space="preserve">has the meaning set out in subsection </w:t>
      </w:r>
      <w:r w:rsidR="007F3618">
        <w:t>8(</w:t>
      </w:r>
      <w:r w:rsidR="00712D6C">
        <w:t>9</w:t>
      </w:r>
      <w:r w:rsidR="007F3618">
        <w:t>)</w:t>
      </w:r>
      <w:r w:rsidR="00475D55" w:rsidRPr="00F5570D">
        <w:t>.</w:t>
      </w:r>
    </w:p>
    <w:p w14:paraId="6EECBEF4" w14:textId="10B3F45A" w:rsidR="00204D1A" w:rsidRDefault="00204D1A" w:rsidP="00204D1A">
      <w:pPr>
        <w:pStyle w:val="Definition"/>
      </w:pPr>
      <w:r>
        <w:rPr>
          <w:b/>
          <w:i/>
        </w:rPr>
        <w:t xml:space="preserve">LNG </w:t>
      </w:r>
      <w:r w:rsidR="008D5439">
        <w:t xml:space="preserve">is short for </w:t>
      </w:r>
      <w:r>
        <w:t>liquefied natural gas.</w:t>
      </w:r>
    </w:p>
    <w:p w14:paraId="61F6EFF4" w14:textId="2DC47879" w:rsidR="00D73899" w:rsidRDefault="00204D1A" w:rsidP="002B330F">
      <w:pPr>
        <w:pStyle w:val="Definition"/>
      </w:pPr>
      <w:r w:rsidRPr="00B72610">
        <w:rPr>
          <w:b/>
          <w:i/>
        </w:rPr>
        <w:t xml:space="preserve">LNG </w:t>
      </w:r>
      <w:r w:rsidR="00C02A49">
        <w:rPr>
          <w:b/>
          <w:i/>
        </w:rPr>
        <w:t>p</w:t>
      </w:r>
      <w:r w:rsidRPr="00B72610">
        <w:rPr>
          <w:b/>
          <w:i/>
        </w:rPr>
        <w:t>roject</w:t>
      </w:r>
      <w:r>
        <w:rPr>
          <w:i/>
        </w:rPr>
        <w:t xml:space="preserve"> </w:t>
      </w:r>
      <w:r>
        <w:t>means</w:t>
      </w:r>
      <w:r w:rsidR="00D74978" w:rsidRPr="00D74978">
        <w:t xml:space="preserve"> </w:t>
      </w:r>
      <w:r w:rsidR="00D74978">
        <w:t>the entity, or group of entities, and any related bodies corporate</w:t>
      </w:r>
      <w:r w:rsidR="002B330F">
        <w:t xml:space="preserve"> that </w:t>
      </w:r>
      <w:r>
        <w:t xml:space="preserve">operate </w:t>
      </w:r>
      <w:r w:rsidR="002F6ECA" w:rsidRPr="004E4991">
        <w:t xml:space="preserve">a facility for the processing of natural gas from a gaseous to a liquefied state </w:t>
      </w:r>
      <w:r>
        <w:t>and</w:t>
      </w:r>
      <w:r w:rsidR="00C06930">
        <w:t xml:space="preserve"> its </w:t>
      </w:r>
      <w:r>
        <w:t>associated upstream operations</w:t>
      </w:r>
      <w:r w:rsidR="002B330F">
        <w:t>.</w:t>
      </w:r>
    </w:p>
    <w:p w14:paraId="1A5B8C92" w14:textId="77777777" w:rsidR="0017464D" w:rsidRPr="00BA36D6" w:rsidRDefault="0017464D" w:rsidP="0017464D">
      <w:pPr>
        <w:pStyle w:val="Definition"/>
        <w:rPr>
          <w:bCs/>
          <w:iCs/>
        </w:rPr>
      </w:pPr>
      <w:r w:rsidRPr="0017464D">
        <w:rPr>
          <w:b/>
          <w:i/>
        </w:rPr>
        <w:t xml:space="preserve">LNG </w:t>
      </w:r>
      <w:proofErr w:type="spellStart"/>
      <w:r w:rsidRPr="0017464D">
        <w:rPr>
          <w:b/>
          <w:i/>
        </w:rPr>
        <w:t>tollee</w:t>
      </w:r>
      <w:proofErr w:type="spellEnd"/>
      <w:r w:rsidRPr="0017464D">
        <w:rPr>
          <w:b/>
          <w:i/>
        </w:rPr>
        <w:t xml:space="preserve"> exporter</w:t>
      </w:r>
      <w:r w:rsidRPr="0017464D">
        <w:rPr>
          <w:b/>
          <w:iCs/>
        </w:rPr>
        <w:t xml:space="preserve"> </w:t>
      </w:r>
      <w:r w:rsidRPr="0017464D">
        <w:rPr>
          <w:bCs/>
          <w:iCs/>
        </w:rPr>
        <w:t xml:space="preserve">means </w:t>
      </w:r>
      <w:r w:rsidRPr="0017464D">
        <w:t xml:space="preserve">a </w:t>
      </w:r>
      <w:proofErr w:type="gramStart"/>
      <w:r w:rsidRPr="0017464D">
        <w:t>third party</w:t>
      </w:r>
      <w:proofErr w:type="gramEnd"/>
      <w:r w:rsidRPr="0017464D">
        <w:t xml:space="preserve"> entity that supplies natural gas to an LNG project under a gas processing agreement for the purpose of exporting LNG.</w:t>
      </w:r>
    </w:p>
    <w:p w14:paraId="6D62B31D" w14:textId="21B1696A" w:rsidR="00D74978" w:rsidRPr="00D74978" w:rsidRDefault="00D74978" w:rsidP="00204D1A">
      <w:pPr>
        <w:pStyle w:val="Definition"/>
        <w:rPr>
          <w:rFonts w:eastAsiaTheme="minorHAnsi"/>
          <w:bCs/>
          <w:iCs/>
        </w:rPr>
      </w:pPr>
      <w:r>
        <w:rPr>
          <w:rFonts w:eastAsiaTheme="minorHAnsi"/>
          <w:b/>
          <w:i/>
        </w:rPr>
        <w:t xml:space="preserve">Minister </w:t>
      </w:r>
      <w:r>
        <w:rPr>
          <w:rFonts w:eastAsiaTheme="minorHAnsi"/>
          <w:bCs/>
          <w:iCs/>
        </w:rPr>
        <w:t>means the Resources Minister.</w:t>
      </w:r>
    </w:p>
    <w:p w14:paraId="4236DF33" w14:textId="164EF03B" w:rsidR="00204D1A" w:rsidRDefault="00204D1A" w:rsidP="00204D1A">
      <w:pPr>
        <w:pStyle w:val="Definition"/>
        <w:rPr>
          <w:rFonts w:eastAsiaTheme="minorHAnsi"/>
        </w:rPr>
      </w:pPr>
      <w:r w:rsidRPr="002C4804">
        <w:rPr>
          <w:rFonts w:eastAsiaTheme="minorHAnsi"/>
          <w:b/>
          <w:i/>
        </w:rPr>
        <w:t xml:space="preserve">Minister’s </w:t>
      </w:r>
      <w:r w:rsidR="007A7DE0">
        <w:rPr>
          <w:rFonts w:eastAsiaTheme="minorHAnsi"/>
          <w:b/>
          <w:i/>
        </w:rPr>
        <w:t>d</w:t>
      </w:r>
      <w:r w:rsidRPr="002C4804">
        <w:rPr>
          <w:rFonts w:eastAsiaTheme="minorHAnsi"/>
          <w:b/>
          <w:i/>
        </w:rPr>
        <w:t>etermination</w:t>
      </w:r>
      <w:r w:rsidRPr="002C4804">
        <w:rPr>
          <w:rFonts w:eastAsiaTheme="minorHAnsi"/>
        </w:rPr>
        <w:t xml:space="preserve"> means a determination made by the Minister in accordance with </w:t>
      </w:r>
      <w:r w:rsidR="00922D38">
        <w:rPr>
          <w:rFonts w:eastAsiaTheme="minorHAnsi"/>
        </w:rPr>
        <w:t>regulation</w:t>
      </w:r>
      <w:r w:rsidR="00922D38" w:rsidRPr="002C4804">
        <w:rPr>
          <w:rFonts w:eastAsiaTheme="minorHAnsi"/>
        </w:rPr>
        <w:t xml:space="preserve"> </w:t>
      </w:r>
      <w:r w:rsidRPr="002C4804">
        <w:rPr>
          <w:rFonts w:eastAsiaTheme="minorHAnsi"/>
        </w:rPr>
        <w:t>13G</w:t>
      </w:r>
      <w:r w:rsidR="00FE0EBF">
        <w:rPr>
          <w:rFonts w:eastAsiaTheme="minorHAnsi"/>
        </w:rPr>
        <w:t>E</w:t>
      </w:r>
      <w:r w:rsidRPr="002C4804">
        <w:rPr>
          <w:rFonts w:eastAsiaTheme="minorHAnsi"/>
        </w:rPr>
        <w:t xml:space="preserve"> of the Regulations.</w:t>
      </w:r>
    </w:p>
    <w:p w14:paraId="055A592D" w14:textId="5B737EB1" w:rsidR="0015232F" w:rsidRDefault="0015232F" w:rsidP="0015232F">
      <w:pPr>
        <w:pStyle w:val="Definition"/>
        <w:rPr>
          <w:rFonts w:eastAsiaTheme="minorHAnsi"/>
        </w:rPr>
      </w:pPr>
      <w:r w:rsidRPr="002C4804">
        <w:rPr>
          <w:rFonts w:eastAsiaTheme="minorHAnsi"/>
          <w:b/>
          <w:i/>
        </w:rPr>
        <w:lastRenderedPageBreak/>
        <w:t xml:space="preserve">Minister’s </w:t>
      </w:r>
      <w:r w:rsidR="007A7DE0">
        <w:rPr>
          <w:rFonts w:eastAsiaTheme="minorHAnsi"/>
          <w:b/>
          <w:i/>
        </w:rPr>
        <w:t>n</w:t>
      </w:r>
      <w:r>
        <w:rPr>
          <w:rFonts w:eastAsiaTheme="minorHAnsi"/>
          <w:b/>
          <w:i/>
        </w:rPr>
        <w:t>otification</w:t>
      </w:r>
      <w:r w:rsidRPr="002C4804">
        <w:rPr>
          <w:rFonts w:eastAsiaTheme="minorHAnsi"/>
        </w:rPr>
        <w:t xml:space="preserve"> means a notifiable instrument made by the Minister in accordance with </w:t>
      </w:r>
      <w:r>
        <w:rPr>
          <w:rFonts w:eastAsiaTheme="minorHAnsi"/>
        </w:rPr>
        <w:t>paragraph</w:t>
      </w:r>
      <w:r w:rsidRPr="002C4804">
        <w:rPr>
          <w:rFonts w:eastAsiaTheme="minorHAnsi"/>
        </w:rPr>
        <w:t xml:space="preserve"> 13G</w:t>
      </w:r>
      <w:r>
        <w:rPr>
          <w:rFonts w:eastAsiaTheme="minorHAnsi"/>
        </w:rPr>
        <w:t>E</w:t>
      </w:r>
      <w:r w:rsidRPr="002C4804">
        <w:rPr>
          <w:rFonts w:eastAsiaTheme="minorHAnsi"/>
        </w:rPr>
        <w:t>(2)(</w:t>
      </w:r>
      <w:r>
        <w:rPr>
          <w:rFonts w:eastAsiaTheme="minorHAnsi"/>
        </w:rPr>
        <w:t>c</w:t>
      </w:r>
      <w:r w:rsidRPr="002C4804">
        <w:rPr>
          <w:rFonts w:eastAsiaTheme="minorHAnsi"/>
        </w:rPr>
        <w:t>) of the Regulations.</w:t>
      </w:r>
    </w:p>
    <w:p w14:paraId="67B9AFBE" w14:textId="67BB3919" w:rsidR="00720383" w:rsidRDefault="00720383" w:rsidP="003D0AAA">
      <w:pPr>
        <w:pStyle w:val="Definition"/>
        <w:rPr>
          <w:rFonts w:eastAsiaTheme="minorHAnsi"/>
          <w:b/>
          <w:i/>
        </w:rPr>
      </w:pPr>
      <w:r>
        <w:rPr>
          <w:rFonts w:eastAsiaTheme="minorHAnsi"/>
          <w:b/>
          <w:i/>
        </w:rPr>
        <w:t xml:space="preserve">Q1 </w:t>
      </w:r>
      <w:r w:rsidRPr="00720383">
        <w:rPr>
          <w:rFonts w:eastAsiaTheme="minorHAnsi"/>
        </w:rPr>
        <w:t>is the first quarter of the calendar year</w:t>
      </w:r>
      <w:r w:rsidR="007A7DE0">
        <w:rPr>
          <w:rFonts w:eastAsiaTheme="minorHAnsi"/>
        </w:rPr>
        <w:t>. That is, the period commencing</w:t>
      </w:r>
      <w:r w:rsidRPr="00720383">
        <w:rPr>
          <w:rFonts w:eastAsiaTheme="minorHAnsi"/>
        </w:rPr>
        <w:t xml:space="preserve"> </w:t>
      </w:r>
      <w:r w:rsidR="007A7DE0" w:rsidRPr="00720383">
        <w:rPr>
          <w:rFonts w:eastAsiaTheme="minorHAnsi"/>
        </w:rPr>
        <w:t>1</w:t>
      </w:r>
      <w:r w:rsidR="007A7DE0">
        <w:rPr>
          <w:rFonts w:eastAsiaTheme="minorHAnsi"/>
        </w:rPr>
        <w:t> </w:t>
      </w:r>
      <w:r w:rsidRPr="00720383">
        <w:rPr>
          <w:rFonts w:eastAsiaTheme="minorHAnsi"/>
        </w:rPr>
        <w:t xml:space="preserve">January </w:t>
      </w:r>
      <w:r w:rsidR="007A7DE0">
        <w:rPr>
          <w:rFonts w:eastAsiaTheme="minorHAnsi"/>
        </w:rPr>
        <w:t>and concluding on</w:t>
      </w:r>
      <w:r w:rsidRPr="00720383">
        <w:rPr>
          <w:rFonts w:eastAsiaTheme="minorHAnsi"/>
        </w:rPr>
        <w:t xml:space="preserve"> 31 March.</w:t>
      </w:r>
    </w:p>
    <w:p w14:paraId="4ED5FF8A" w14:textId="67BB0017" w:rsidR="00720383" w:rsidRDefault="00720383" w:rsidP="003D0AAA">
      <w:pPr>
        <w:pStyle w:val="Definition"/>
        <w:rPr>
          <w:rFonts w:eastAsiaTheme="minorHAnsi"/>
          <w:b/>
          <w:i/>
        </w:rPr>
      </w:pPr>
      <w:r>
        <w:rPr>
          <w:rFonts w:eastAsiaTheme="minorHAnsi"/>
          <w:b/>
          <w:i/>
        </w:rPr>
        <w:t>Q2</w:t>
      </w:r>
      <w:r w:rsidRPr="00720383">
        <w:rPr>
          <w:rFonts w:eastAsiaTheme="minorHAnsi"/>
        </w:rPr>
        <w:t xml:space="preserve"> is the second quarter of the calendar year</w:t>
      </w:r>
      <w:r w:rsidR="003C47D4">
        <w:rPr>
          <w:rFonts w:eastAsiaTheme="minorHAnsi"/>
        </w:rPr>
        <w:t>. That is, the period commencing</w:t>
      </w:r>
      <w:r w:rsidRPr="00720383">
        <w:rPr>
          <w:rFonts w:eastAsiaTheme="minorHAnsi"/>
        </w:rPr>
        <w:t xml:space="preserve"> 1</w:t>
      </w:r>
      <w:r w:rsidR="0091229F">
        <w:rPr>
          <w:rFonts w:eastAsiaTheme="minorHAnsi"/>
        </w:rPr>
        <w:t> </w:t>
      </w:r>
      <w:r w:rsidRPr="00720383">
        <w:rPr>
          <w:rFonts w:eastAsiaTheme="minorHAnsi"/>
        </w:rPr>
        <w:t xml:space="preserve">April </w:t>
      </w:r>
      <w:r w:rsidR="003C47D4">
        <w:rPr>
          <w:rFonts w:eastAsiaTheme="minorHAnsi"/>
        </w:rPr>
        <w:t>and concluding on</w:t>
      </w:r>
      <w:r w:rsidRPr="00720383">
        <w:rPr>
          <w:rFonts w:eastAsiaTheme="minorHAnsi"/>
        </w:rPr>
        <w:t xml:space="preserve"> 30 June.</w:t>
      </w:r>
      <w:r>
        <w:rPr>
          <w:rFonts w:eastAsiaTheme="minorHAnsi"/>
          <w:b/>
          <w:i/>
        </w:rPr>
        <w:t xml:space="preserve"> </w:t>
      </w:r>
    </w:p>
    <w:p w14:paraId="3AC63912" w14:textId="49D7047F" w:rsidR="00720383" w:rsidRPr="00720383" w:rsidRDefault="00720383" w:rsidP="003D0AAA">
      <w:pPr>
        <w:pStyle w:val="Definition"/>
        <w:rPr>
          <w:rFonts w:eastAsiaTheme="minorHAnsi"/>
        </w:rPr>
      </w:pPr>
      <w:r>
        <w:rPr>
          <w:rFonts w:eastAsiaTheme="minorHAnsi"/>
          <w:b/>
          <w:i/>
        </w:rPr>
        <w:t xml:space="preserve">Q3 </w:t>
      </w:r>
      <w:r w:rsidRPr="00720383">
        <w:rPr>
          <w:rFonts w:eastAsiaTheme="minorHAnsi"/>
        </w:rPr>
        <w:t>is the third quarter of the calendar year</w:t>
      </w:r>
      <w:r w:rsidR="003C47D4">
        <w:rPr>
          <w:rFonts w:eastAsiaTheme="minorHAnsi"/>
        </w:rPr>
        <w:t>. That is, the period commencing</w:t>
      </w:r>
      <w:r w:rsidRPr="00720383">
        <w:rPr>
          <w:rFonts w:eastAsiaTheme="minorHAnsi"/>
        </w:rPr>
        <w:t xml:space="preserve"> 1</w:t>
      </w:r>
      <w:r w:rsidR="0091229F">
        <w:rPr>
          <w:rFonts w:eastAsiaTheme="minorHAnsi"/>
        </w:rPr>
        <w:t> </w:t>
      </w:r>
      <w:r w:rsidRPr="00720383">
        <w:rPr>
          <w:rFonts w:eastAsiaTheme="minorHAnsi"/>
        </w:rPr>
        <w:t xml:space="preserve">July </w:t>
      </w:r>
      <w:r w:rsidR="003C47D4">
        <w:rPr>
          <w:rFonts w:eastAsiaTheme="minorHAnsi"/>
        </w:rPr>
        <w:t>and concluding on</w:t>
      </w:r>
      <w:r w:rsidRPr="00720383">
        <w:rPr>
          <w:rFonts w:eastAsiaTheme="minorHAnsi"/>
        </w:rPr>
        <w:t xml:space="preserve"> 30 September.</w:t>
      </w:r>
    </w:p>
    <w:p w14:paraId="06F9676D" w14:textId="408C0FE3" w:rsidR="00720383" w:rsidRDefault="00720383" w:rsidP="003D0AAA">
      <w:pPr>
        <w:pStyle w:val="Definition"/>
        <w:rPr>
          <w:rFonts w:eastAsiaTheme="minorHAnsi"/>
        </w:rPr>
      </w:pPr>
      <w:r>
        <w:rPr>
          <w:rFonts w:eastAsiaTheme="minorHAnsi"/>
          <w:b/>
          <w:i/>
        </w:rPr>
        <w:t>Q4</w:t>
      </w:r>
      <w:r w:rsidRPr="00720383">
        <w:rPr>
          <w:rFonts w:eastAsiaTheme="minorHAnsi"/>
        </w:rPr>
        <w:t xml:space="preserve"> is the fourth quarter of the calendar year</w:t>
      </w:r>
      <w:r w:rsidR="003C47D4">
        <w:rPr>
          <w:rFonts w:eastAsiaTheme="minorHAnsi"/>
        </w:rPr>
        <w:t>. That is, the period commencing 1</w:t>
      </w:r>
      <w:r w:rsidR="0091229F">
        <w:rPr>
          <w:rFonts w:eastAsiaTheme="minorHAnsi"/>
        </w:rPr>
        <w:t> </w:t>
      </w:r>
      <w:r w:rsidRPr="00720383">
        <w:rPr>
          <w:rFonts w:eastAsiaTheme="minorHAnsi"/>
        </w:rPr>
        <w:t xml:space="preserve">October </w:t>
      </w:r>
      <w:r w:rsidR="003C47D4">
        <w:rPr>
          <w:rFonts w:eastAsiaTheme="minorHAnsi"/>
        </w:rPr>
        <w:t>and concluding on</w:t>
      </w:r>
      <w:r w:rsidRPr="00720383">
        <w:rPr>
          <w:rFonts w:eastAsiaTheme="minorHAnsi"/>
        </w:rPr>
        <w:t xml:space="preserve"> 31 December.</w:t>
      </w:r>
    </w:p>
    <w:p w14:paraId="3C131724" w14:textId="2229E3B7" w:rsidR="00204D1A" w:rsidRDefault="00204D1A" w:rsidP="00204D1A">
      <w:pPr>
        <w:pStyle w:val="Definition"/>
      </w:pPr>
      <w:r>
        <w:rPr>
          <w:b/>
          <w:i/>
        </w:rPr>
        <w:t>Regulations</w:t>
      </w:r>
      <w:r w:rsidRPr="009C2562">
        <w:t xml:space="preserve"> means the </w:t>
      </w:r>
      <w:r>
        <w:rPr>
          <w:i/>
        </w:rPr>
        <w:t>Customs (Prohibited Exports) Regulations 1958</w:t>
      </w:r>
      <w:r>
        <w:t>.</w:t>
      </w:r>
    </w:p>
    <w:p w14:paraId="3FA22EEB" w14:textId="2B111BA0" w:rsidR="00204D1A" w:rsidRDefault="00922D38" w:rsidP="00204D1A">
      <w:pPr>
        <w:pStyle w:val="Definition"/>
      </w:pPr>
      <w:r>
        <w:rPr>
          <w:b/>
          <w:i/>
        </w:rPr>
        <w:t>r</w:t>
      </w:r>
      <w:r w:rsidR="00204D1A">
        <w:rPr>
          <w:b/>
          <w:i/>
        </w:rPr>
        <w:t xml:space="preserve">elated bodies corporate </w:t>
      </w:r>
      <w:r w:rsidR="00204D1A">
        <w:t xml:space="preserve">has the same meaning as in the </w:t>
      </w:r>
      <w:r w:rsidR="00204D1A">
        <w:rPr>
          <w:i/>
        </w:rPr>
        <w:t>Corporations Act 2001</w:t>
      </w:r>
      <w:r w:rsidR="00204D1A">
        <w:t xml:space="preserve">. </w:t>
      </w:r>
    </w:p>
    <w:p w14:paraId="4BEAB25E" w14:textId="2075A1B7" w:rsidR="000F3D4B" w:rsidRPr="009C2562" w:rsidRDefault="00922D38" w:rsidP="00204D1A">
      <w:pPr>
        <w:pStyle w:val="Definition"/>
      </w:pPr>
      <w:r>
        <w:rPr>
          <w:b/>
          <w:i/>
        </w:rPr>
        <w:t>s</w:t>
      </w:r>
      <w:r w:rsidR="000F3D4B">
        <w:rPr>
          <w:b/>
          <w:i/>
        </w:rPr>
        <w:t xml:space="preserve">hortfall </w:t>
      </w:r>
      <w:r w:rsidR="000F3D4B">
        <w:t xml:space="preserve">means an insufficient supply of </w:t>
      </w:r>
      <w:r w:rsidR="003B7794">
        <w:t xml:space="preserve">natural </w:t>
      </w:r>
      <w:r w:rsidR="000F3D4B">
        <w:t>gas</w:t>
      </w:r>
      <w:r w:rsidR="00366417">
        <w:t xml:space="preserve"> for Australian consumers</w:t>
      </w:r>
      <w:r w:rsidR="000F3D4B">
        <w:t xml:space="preserve">. </w:t>
      </w:r>
    </w:p>
    <w:p w14:paraId="2184DCCF" w14:textId="554B3911" w:rsidR="00204D1A" w:rsidRDefault="00204D1A" w:rsidP="00204D1A">
      <w:pPr>
        <w:pStyle w:val="ActHead5"/>
        <w:ind w:left="0" w:firstLine="0"/>
      </w:pPr>
      <w:bookmarkStart w:id="9" w:name="_Toc485134554"/>
      <w:bookmarkStart w:id="10" w:name="_Toc130913732"/>
      <w:r>
        <w:t>5</w:t>
      </w:r>
      <w:r w:rsidRPr="00772775">
        <w:t xml:space="preserve">  </w:t>
      </w:r>
      <w:r>
        <w:t>Purpose</w:t>
      </w:r>
      <w:bookmarkEnd w:id="9"/>
      <w:bookmarkEnd w:id="10"/>
    </w:p>
    <w:p w14:paraId="2A743082" w14:textId="400300A6" w:rsidR="00A07AD8" w:rsidRDefault="008F0C2F" w:rsidP="00F56425">
      <w:pPr>
        <w:pStyle w:val="subsection"/>
        <w:numPr>
          <w:ilvl w:val="0"/>
          <w:numId w:val="30"/>
        </w:numPr>
        <w:ind w:left="851" w:hanging="491"/>
      </w:pPr>
      <w:r>
        <w:tab/>
      </w:r>
      <w:r w:rsidR="00A07AD8">
        <w:t xml:space="preserve">The </w:t>
      </w:r>
      <w:r w:rsidR="00A07AD8" w:rsidRPr="00E87687">
        <w:t xml:space="preserve">purpose of the Guidelines is to </w:t>
      </w:r>
      <w:r w:rsidR="00EE6153">
        <w:t xml:space="preserve">set out </w:t>
      </w:r>
      <w:r w:rsidR="00A07AD8">
        <w:t xml:space="preserve">the requirements, indicative timing, processes, and considerations associated with the operation of the ADGSM. This includes </w:t>
      </w:r>
      <w:r w:rsidR="005519A6">
        <w:t xml:space="preserve">in relation to </w:t>
      </w:r>
      <w:r w:rsidR="00A07AD8">
        <w:t xml:space="preserve">decisions by the Minister under Division 6 of </w:t>
      </w:r>
      <w:r w:rsidR="00EF2F3E">
        <w:t xml:space="preserve">Part 3 of </w:t>
      </w:r>
      <w:r w:rsidR="00A07AD8">
        <w:t xml:space="preserve">the Regulations </w:t>
      </w:r>
      <w:r w:rsidR="00486B1E">
        <w:t>regarding</w:t>
      </w:r>
      <w:r w:rsidR="00A07AD8">
        <w:t xml:space="preserve"> the determination of a </w:t>
      </w:r>
      <w:r w:rsidR="00A07AD8" w:rsidRPr="00A3638F">
        <w:t xml:space="preserve">domestic shortfall </w:t>
      </w:r>
      <w:r w:rsidR="000A3A05">
        <w:t>quarter</w:t>
      </w:r>
      <w:r w:rsidR="00A07AD8">
        <w:t xml:space="preserve">, and the granting of </w:t>
      </w:r>
      <w:r w:rsidR="0079531C">
        <w:t>p</w:t>
      </w:r>
      <w:r w:rsidR="00E60A37">
        <w:t>ermis</w:t>
      </w:r>
      <w:r w:rsidR="00351D0E">
        <w:t>sions</w:t>
      </w:r>
      <w:r w:rsidR="00A07AD8">
        <w:t>.</w:t>
      </w:r>
      <w:r w:rsidR="00A07AD8" w:rsidRPr="00A07AD8">
        <w:t xml:space="preserve"> </w:t>
      </w:r>
    </w:p>
    <w:p w14:paraId="0ED06AD8" w14:textId="5DD11245" w:rsidR="00A07AD8" w:rsidRPr="00E87687" w:rsidRDefault="00A07AD8" w:rsidP="00F56425">
      <w:pPr>
        <w:pStyle w:val="subsection"/>
        <w:numPr>
          <w:ilvl w:val="0"/>
          <w:numId w:val="30"/>
        </w:numPr>
        <w:ind w:left="851" w:hanging="491"/>
      </w:pPr>
      <w:r>
        <w:t xml:space="preserve">The Guidelines </w:t>
      </w:r>
      <w:r w:rsidR="0055588D">
        <w:t xml:space="preserve">are </w:t>
      </w:r>
      <w:r>
        <w:t>subject to, and do</w:t>
      </w:r>
      <w:r w:rsidRPr="00E87687">
        <w:t xml:space="preserve"> not replace or amend the requirements of, the </w:t>
      </w:r>
      <w:r>
        <w:t>Regulations</w:t>
      </w:r>
      <w:r w:rsidRPr="00E87687">
        <w:t xml:space="preserve"> and the </w:t>
      </w:r>
      <w:r w:rsidRPr="003C47D4">
        <w:rPr>
          <w:i/>
          <w:iCs/>
        </w:rPr>
        <w:t>Customs Act 1901</w:t>
      </w:r>
      <w:r w:rsidRPr="00E87687">
        <w:t>, which should be read in conjunction with these Guidelines.</w:t>
      </w:r>
    </w:p>
    <w:p w14:paraId="6C9F948B" w14:textId="23A1BD40" w:rsidR="00A07AD8" w:rsidRDefault="00A07AD8" w:rsidP="00F56425">
      <w:pPr>
        <w:pStyle w:val="subsection"/>
        <w:numPr>
          <w:ilvl w:val="0"/>
          <w:numId w:val="30"/>
        </w:numPr>
        <w:ind w:left="851" w:hanging="491"/>
      </w:pPr>
      <w:r>
        <w:t xml:space="preserve">The Guidelines are </w:t>
      </w:r>
      <w:r w:rsidR="000225A2">
        <w:t xml:space="preserve">not a legislative instrument. </w:t>
      </w:r>
      <w:r>
        <w:t xml:space="preserve">The Minister may </w:t>
      </w:r>
      <w:r w:rsidR="00F10133">
        <w:t xml:space="preserve">depart from the Guidelines </w:t>
      </w:r>
      <w:proofErr w:type="spellStart"/>
      <w:proofErr w:type="gramStart"/>
      <w:r w:rsidR="00F10133">
        <w:t>where</w:t>
      </w:r>
      <w:proofErr w:type="spellEnd"/>
      <w:proofErr w:type="gramEnd"/>
      <w:r w:rsidR="00F10133">
        <w:t xml:space="preserve"> </w:t>
      </w:r>
      <w:r w:rsidR="006B7098">
        <w:t xml:space="preserve">justified by </w:t>
      </w:r>
      <w:r w:rsidR="00F10133">
        <w:t xml:space="preserve">circumstances. Where the Minister proposes to depart from the Guidelines, procedural fairness will be afforded to any </w:t>
      </w:r>
      <w:r w:rsidR="007A427D">
        <w:t xml:space="preserve">adversely </w:t>
      </w:r>
      <w:r w:rsidR="00F10133">
        <w:t xml:space="preserve">affected person. </w:t>
      </w:r>
    </w:p>
    <w:p w14:paraId="27308928" w14:textId="13D0D29A" w:rsidR="00204D1A" w:rsidRDefault="00204D1A" w:rsidP="00204D1A">
      <w:pPr>
        <w:pStyle w:val="ActHead5"/>
      </w:pPr>
      <w:bookmarkStart w:id="11" w:name="_Toc485134555"/>
      <w:bookmarkStart w:id="12" w:name="_Toc130913733"/>
      <w:r>
        <w:t>6  Overview of the ADGSM</w:t>
      </w:r>
      <w:bookmarkEnd w:id="11"/>
      <w:bookmarkEnd w:id="12"/>
    </w:p>
    <w:p w14:paraId="647515E8" w14:textId="5DFE2DAC" w:rsidR="00BD2F5C" w:rsidRDefault="00204D1A" w:rsidP="00317E41">
      <w:pPr>
        <w:pStyle w:val="subsection"/>
        <w:numPr>
          <w:ilvl w:val="0"/>
          <w:numId w:val="45"/>
        </w:numPr>
        <w:ind w:left="851" w:hanging="491"/>
      </w:pPr>
      <w:r w:rsidRPr="006C5183">
        <w:t>T</w:t>
      </w:r>
      <w:r>
        <w:t>he objective of t</w:t>
      </w:r>
      <w:r w:rsidR="00A20D01">
        <w:t>he ADGSM</w:t>
      </w:r>
      <w:r>
        <w:t xml:space="preserve"> is to e</w:t>
      </w:r>
      <w:r w:rsidRPr="001D34FC">
        <w:t xml:space="preserve">nsure that there is a </w:t>
      </w:r>
      <w:r w:rsidR="00C169DC">
        <w:t>sufficient</w:t>
      </w:r>
      <w:r w:rsidR="00C169DC" w:rsidRPr="001D34FC">
        <w:t xml:space="preserve"> </w:t>
      </w:r>
      <w:r w:rsidRPr="001D34FC">
        <w:t xml:space="preserve">supply of </w:t>
      </w:r>
      <w:r w:rsidR="00C169DC">
        <w:t xml:space="preserve">natural </w:t>
      </w:r>
      <w:r w:rsidRPr="001D34FC">
        <w:t xml:space="preserve">gas to meet the forecast needs of Australian gas consumers by </w:t>
      </w:r>
      <w:r w:rsidR="000C180A">
        <w:t>controlling</w:t>
      </w:r>
      <w:r w:rsidRPr="001D34FC">
        <w:t xml:space="preserve">, if necessary, </w:t>
      </w:r>
      <w:r w:rsidR="007C70F8">
        <w:t>LNG exports</w:t>
      </w:r>
      <w:r>
        <w:t>.</w:t>
      </w:r>
      <w:r w:rsidR="00670DAB">
        <w:t xml:space="preserve"> </w:t>
      </w:r>
    </w:p>
    <w:p w14:paraId="7B2B187E" w14:textId="7876B532" w:rsidR="00AF31C5" w:rsidRDefault="00AF31C5" w:rsidP="00317E41">
      <w:pPr>
        <w:pStyle w:val="subsection"/>
        <w:numPr>
          <w:ilvl w:val="0"/>
          <w:numId w:val="45"/>
        </w:numPr>
        <w:ind w:left="851" w:hanging="491"/>
      </w:pPr>
      <w:r>
        <w:t>The ADGSM is intended to be a measure of last resort, only used if market-based solutions and other regulatory interventions fail to provide sufficient gas to Australian consumers.</w:t>
      </w:r>
    </w:p>
    <w:p w14:paraId="591B2E36" w14:textId="025B24B5" w:rsidR="00204D1A" w:rsidRPr="00772775" w:rsidRDefault="00BD2F5C" w:rsidP="00317E41">
      <w:pPr>
        <w:pStyle w:val="subsection"/>
        <w:numPr>
          <w:ilvl w:val="0"/>
          <w:numId w:val="45"/>
        </w:numPr>
        <w:ind w:left="851" w:hanging="491"/>
      </w:pPr>
      <w:r>
        <w:t>T</w:t>
      </w:r>
      <w:r w:rsidR="00204D1A">
        <w:t>he ADGSM applies Australia wide. In practice, the ADGSM</w:t>
      </w:r>
      <w:r w:rsidR="00270278">
        <w:t>:</w:t>
      </w:r>
      <w:r w:rsidR="00204D1A">
        <w:t xml:space="preserve"> </w:t>
      </w:r>
    </w:p>
    <w:p w14:paraId="10E21524" w14:textId="41861FEA" w:rsidR="00204D1A" w:rsidRDefault="00204D1A" w:rsidP="00F56425">
      <w:pPr>
        <w:pStyle w:val="subsection"/>
        <w:numPr>
          <w:ilvl w:val="1"/>
          <w:numId w:val="35"/>
        </w:numPr>
      </w:pPr>
      <w:r>
        <w:t>establish</w:t>
      </w:r>
      <w:r w:rsidR="00670DAB">
        <w:t xml:space="preserve">es </w:t>
      </w:r>
      <w:r>
        <w:t xml:space="preserve">a process for the Minister to determine whether </w:t>
      </w:r>
      <w:r w:rsidR="00B60F87">
        <w:t xml:space="preserve">there will be </w:t>
      </w:r>
      <w:r w:rsidR="009D6351">
        <w:t xml:space="preserve">a </w:t>
      </w:r>
      <w:r w:rsidR="009A7E3B">
        <w:t>shortage</w:t>
      </w:r>
      <w:r w:rsidR="00B60F87">
        <w:t xml:space="preserve"> of natural gas for Australian consumers</w:t>
      </w:r>
      <w:r>
        <w:t xml:space="preserve"> in </w:t>
      </w:r>
      <w:r w:rsidR="004E4991">
        <w:t>a</w:t>
      </w:r>
      <w:r>
        <w:t xml:space="preserve"> forthcoming </w:t>
      </w:r>
      <w:r w:rsidR="00A6090C">
        <w:t xml:space="preserve">quarter </w:t>
      </w:r>
      <w:r>
        <w:t xml:space="preserve">(a </w:t>
      </w:r>
      <w:r w:rsidR="00D37B6F" w:rsidRPr="00DE76B7">
        <w:rPr>
          <w:b/>
          <w:bCs/>
          <w:i/>
          <w:iCs/>
        </w:rPr>
        <w:t>domestic</w:t>
      </w:r>
      <w:r w:rsidR="00D37B6F">
        <w:t xml:space="preserve"> </w:t>
      </w:r>
      <w:r w:rsidRPr="003C47D4">
        <w:rPr>
          <w:b/>
          <w:bCs/>
          <w:i/>
          <w:iCs/>
        </w:rPr>
        <w:t xml:space="preserve">shortfall </w:t>
      </w:r>
      <w:r w:rsidR="00A6090C" w:rsidRPr="003C47D4">
        <w:rPr>
          <w:b/>
          <w:bCs/>
          <w:i/>
          <w:iCs/>
        </w:rPr>
        <w:t>quarter</w:t>
      </w:r>
      <w:r>
        <w:t>); and</w:t>
      </w:r>
    </w:p>
    <w:p w14:paraId="4C51C7BF" w14:textId="309BEC17" w:rsidR="00204D1A" w:rsidRDefault="00204D1A" w:rsidP="00F56425">
      <w:pPr>
        <w:pStyle w:val="subsection"/>
        <w:numPr>
          <w:ilvl w:val="1"/>
          <w:numId w:val="35"/>
        </w:numPr>
      </w:pPr>
      <w:r>
        <w:lastRenderedPageBreak/>
        <w:t>prohibit</w:t>
      </w:r>
      <w:r w:rsidR="00670DAB">
        <w:t xml:space="preserve">s </w:t>
      </w:r>
      <w:r>
        <w:t xml:space="preserve">exports of LNG during a </w:t>
      </w:r>
      <w:r w:rsidR="00D37B6F">
        <w:t xml:space="preserve">domestic </w:t>
      </w:r>
      <w:r w:rsidRPr="003C47D4">
        <w:t xml:space="preserve">shortfall </w:t>
      </w:r>
      <w:r w:rsidR="002F1F28" w:rsidRPr="003C47D4">
        <w:t>quarter</w:t>
      </w:r>
      <w:r>
        <w:t>, unless written permission has been granted by the Minister or an authorised officer</w:t>
      </w:r>
      <w:r w:rsidR="00D77A76">
        <w:t xml:space="preserve"> (a </w:t>
      </w:r>
      <w:r w:rsidR="00D77A76">
        <w:rPr>
          <w:b/>
          <w:bCs/>
          <w:i/>
          <w:iCs/>
        </w:rPr>
        <w:t>permission</w:t>
      </w:r>
      <w:r w:rsidR="00D77A76">
        <w:t>)</w:t>
      </w:r>
      <w:r>
        <w:t>; and</w:t>
      </w:r>
    </w:p>
    <w:p w14:paraId="40AD1FD2" w14:textId="0FB04FB8" w:rsidR="00BD2F5C" w:rsidRDefault="006800F0" w:rsidP="00F56425">
      <w:pPr>
        <w:pStyle w:val="subsection"/>
        <w:numPr>
          <w:ilvl w:val="1"/>
          <w:numId w:val="35"/>
        </w:numPr>
      </w:pPr>
      <w:r>
        <w:t>e</w:t>
      </w:r>
      <w:r w:rsidR="00204D1A">
        <w:t>stablish</w:t>
      </w:r>
      <w:r w:rsidR="00670DAB">
        <w:t>es a</w:t>
      </w:r>
      <w:r w:rsidR="00204D1A">
        <w:t xml:space="preserve"> </w:t>
      </w:r>
      <w:r w:rsidR="007A427D">
        <w:t>permission</w:t>
      </w:r>
      <w:r w:rsidR="00204D1A">
        <w:t xml:space="preserve"> </w:t>
      </w:r>
      <w:r w:rsidR="00204D1A" w:rsidRPr="00B36EC4">
        <w:t xml:space="preserve">regime, whereby the Minister </w:t>
      </w:r>
      <w:r w:rsidR="00204D1A">
        <w:t>or an authorised officer may gran</w:t>
      </w:r>
      <w:r w:rsidR="00B60F87">
        <w:t xml:space="preserve">t </w:t>
      </w:r>
      <w:r w:rsidR="00C02A49">
        <w:t>a</w:t>
      </w:r>
      <w:r w:rsidR="00281EFF">
        <w:t xml:space="preserve"> </w:t>
      </w:r>
      <w:r w:rsidR="00C02A49">
        <w:t>p</w:t>
      </w:r>
      <w:r w:rsidR="00B60F87">
        <w:t>ermission</w:t>
      </w:r>
      <w:r w:rsidR="007C70F8">
        <w:t xml:space="preserve"> </w:t>
      </w:r>
      <w:r w:rsidR="00B60F87">
        <w:t xml:space="preserve">to </w:t>
      </w:r>
      <w:r w:rsidR="009A7E3B">
        <w:t>export LNG</w:t>
      </w:r>
      <w:r w:rsidR="00B60F87">
        <w:t xml:space="preserve">. </w:t>
      </w:r>
    </w:p>
    <w:p w14:paraId="681A7752" w14:textId="24481D32" w:rsidR="00204D1A" w:rsidRPr="00720383" w:rsidRDefault="003F6A23" w:rsidP="00317E41">
      <w:pPr>
        <w:pStyle w:val="subsection"/>
        <w:numPr>
          <w:ilvl w:val="0"/>
          <w:numId w:val="45"/>
        </w:numPr>
        <w:ind w:left="851"/>
        <w:rPr>
          <w:kern w:val="28"/>
          <w:sz w:val="24"/>
        </w:rPr>
      </w:pPr>
      <w:r w:rsidRPr="00D000B9">
        <w:t xml:space="preserve">Division 6 </w:t>
      </w:r>
      <w:r w:rsidR="00785BEE">
        <w:t xml:space="preserve">of Part 3 </w:t>
      </w:r>
      <w:r w:rsidRPr="00D000B9">
        <w:t xml:space="preserve">of the Regulations came into effect </w:t>
      </w:r>
      <w:r w:rsidR="00FC7CF5" w:rsidRPr="00D000B9">
        <w:t>from</w:t>
      </w:r>
      <w:r w:rsidR="00034BA4" w:rsidRPr="00D000B9">
        <w:t xml:space="preserve"> 1 </w:t>
      </w:r>
      <w:r w:rsidR="00785BEE">
        <w:t>July</w:t>
      </w:r>
      <w:r w:rsidR="00785BEE" w:rsidRPr="00D000B9">
        <w:t xml:space="preserve"> </w:t>
      </w:r>
      <w:r w:rsidR="00034BA4" w:rsidRPr="00D000B9">
        <w:t>20</w:t>
      </w:r>
      <w:r w:rsidR="00785BEE">
        <w:t>17</w:t>
      </w:r>
      <w:r w:rsidR="00034BA4" w:rsidRPr="00D000B9">
        <w:t xml:space="preserve"> </w:t>
      </w:r>
      <w:r w:rsidRPr="00D000B9">
        <w:t xml:space="preserve">and will </w:t>
      </w:r>
      <w:r w:rsidR="0029061C" w:rsidRPr="00D000B9">
        <w:t>be automatically repealed</w:t>
      </w:r>
      <w:r w:rsidRPr="00D000B9">
        <w:t xml:space="preserve"> on </w:t>
      </w:r>
      <w:r w:rsidR="00FC7CF5" w:rsidRPr="00720383">
        <w:t>1 January 2030.</w:t>
      </w:r>
    </w:p>
    <w:p w14:paraId="057E7919" w14:textId="51110954" w:rsidR="000C2756" w:rsidRDefault="001A1B81" w:rsidP="000C2756">
      <w:pPr>
        <w:pStyle w:val="ActHead5"/>
      </w:pPr>
      <w:bookmarkStart w:id="13" w:name="_Toc485134557"/>
      <w:bookmarkStart w:id="14" w:name="_Toc130913734"/>
      <w:r>
        <w:t>7</w:t>
      </w:r>
      <w:r w:rsidR="000C2756">
        <w:t xml:space="preserve">  Summary of timeframes</w:t>
      </w:r>
      <w:bookmarkEnd w:id="13"/>
      <w:bookmarkEnd w:id="14"/>
    </w:p>
    <w:p w14:paraId="70B0D563" w14:textId="36DE4A57" w:rsidR="00720383" w:rsidRDefault="00720383" w:rsidP="00DF6421">
      <w:pPr>
        <w:pStyle w:val="SubsectionHead"/>
      </w:pPr>
      <w:r>
        <w:t>Minister</w:t>
      </w:r>
      <w:r w:rsidR="001F2ECA">
        <w:t xml:space="preserve"> to be advised of forecast domestic gas supply and demand</w:t>
      </w:r>
    </w:p>
    <w:p w14:paraId="6462DF1F" w14:textId="493D994C" w:rsidR="001C3EF8" w:rsidRDefault="00720383" w:rsidP="00317E41">
      <w:pPr>
        <w:pStyle w:val="subsection"/>
        <w:numPr>
          <w:ilvl w:val="0"/>
          <w:numId w:val="46"/>
        </w:numPr>
      </w:pPr>
      <w:r>
        <w:t xml:space="preserve">The Minister </w:t>
      </w:r>
      <w:r w:rsidR="00DE6B7B">
        <w:t>will base their decision</w:t>
      </w:r>
      <w:r>
        <w:t xml:space="preserve"> </w:t>
      </w:r>
      <w:r w:rsidR="00CE10A0">
        <w:t xml:space="preserve">on whether </w:t>
      </w:r>
      <w:r w:rsidR="00DE6B7B">
        <w:t xml:space="preserve">to make a Minister’s notification </w:t>
      </w:r>
      <w:r>
        <w:t xml:space="preserve">on </w:t>
      </w:r>
      <w:r w:rsidR="00003BFB">
        <w:t>forecast</w:t>
      </w:r>
      <w:r w:rsidR="00CE5368">
        <w:t>s, information and advice on the</w:t>
      </w:r>
      <w:r>
        <w:t xml:space="preserve"> domestic gas supply and demand</w:t>
      </w:r>
      <w:r w:rsidR="00CE10A0">
        <w:t xml:space="preserve"> </w:t>
      </w:r>
      <w:r w:rsidR="00CE5368">
        <w:t>balance</w:t>
      </w:r>
      <w:r w:rsidR="00003BFB">
        <w:t xml:space="preserve">. </w:t>
      </w:r>
      <w:r w:rsidR="00DE5344">
        <w:t>Th</w:t>
      </w:r>
      <w:r w:rsidR="00DE6B7B">
        <w:t>ese forecasts</w:t>
      </w:r>
      <w:r w:rsidR="00CE10A0">
        <w:t>,</w:t>
      </w:r>
      <w:r w:rsidR="00CE5368">
        <w:t xml:space="preserve"> </w:t>
      </w:r>
      <w:r w:rsidR="002540BC">
        <w:t xml:space="preserve">information </w:t>
      </w:r>
      <w:r w:rsidR="00DE5344">
        <w:t xml:space="preserve">and advice </w:t>
      </w:r>
      <w:r w:rsidR="00CE10A0">
        <w:t xml:space="preserve">will be </w:t>
      </w:r>
      <w:r w:rsidR="00DE5344">
        <w:t>provided by</w:t>
      </w:r>
      <w:r w:rsidR="001C3EF8">
        <w:t>:</w:t>
      </w:r>
    </w:p>
    <w:p w14:paraId="1172EC7F" w14:textId="19599AEB" w:rsidR="001C3EF8" w:rsidRDefault="00003BFB" w:rsidP="001C3EF8">
      <w:pPr>
        <w:pStyle w:val="subsection"/>
        <w:numPr>
          <w:ilvl w:val="0"/>
          <w:numId w:val="43"/>
        </w:numPr>
      </w:pPr>
      <w:r>
        <w:t xml:space="preserve">the </w:t>
      </w:r>
      <w:r w:rsidR="00717B4A">
        <w:t xml:space="preserve">Department, </w:t>
      </w:r>
      <w:r w:rsidR="00720383">
        <w:t>ACCC</w:t>
      </w:r>
      <w:r w:rsidR="00CE5368">
        <w:t xml:space="preserve"> and</w:t>
      </w:r>
      <w:r w:rsidR="00DE5344">
        <w:t xml:space="preserve"> </w:t>
      </w:r>
      <w:r w:rsidR="00720383">
        <w:t>AEMO</w:t>
      </w:r>
      <w:r w:rsidR="001C3EF8">
        <w:t>;</w:t>
      </w:r>
    </w:p>
    <w:p w14:paraId="25031512" w14:textId="77777777" w:rsidR="001C3EF8" w:rsidRDefault="001C3EF8" w:rsidP="001C3EF8">
      <w:pPr>
        <w:pStyle w:val="subsection"/>
        <w:numPr>
          <w:ilvl w:val="0"/>
          <w:numId w:val="43"/>
        </w:numPr>
      </w:pPr>
      <w:r>
        <w:t>Australian gas producers and consumers;</w:t>
      </w:r>
      <w:r w:rsidR="001D38F2">
        <w:t xml:space="preserve"> and </w:t>
      </w:r>
    </w:p>
    <w:p w14:paraId="5F57B6B3" w14:textId="303CBBF3" w:rsidR="00720383" w:rsidRDefault="001D38F2" w:rsidP="001C3EF8">
      <w:pPr>
        <w:pStyle w:val="subsection"/>
        <w:numPr>
          <w:ilvl w:val="0"/>
          <w:numId w:val="43"/>
        </w:numPr>
      </w:pPr>
      <w:r>
        <w:t>any other sources of information the Minister considers relevant.</w:t>
      </w:r>
      <w:r w:rsidDel="001D38F2">
        <w:t xml:space="preserve"> </w:t>
      </w:r>
    </w:p>
    <w:p w14:paraId="5FF87857" w14:textId="0604F5E9" w:rsidR="000C2756" w:rsidRPr="00443276" w:rsidRDefault="000C2756" w:rsidP="00DF6421">
      <w:pPr>
        <w:pStyle w:val="SubsectionHead"/>
      </w:pPr>
      <w:r w:rsidRPr="00443276">
        <w:t xml:space="preserve">Minister’s </w:t>
      </w:r>
      <w:r w:rsidR="00E419FC">
        <w:t>n</w:t>
      </w:r>
      <w:r w:rsidR="00FE0EBF" w:rsidRPr="00443276">
        <w:t>otification</w:t>
      </w:r>
    </w:p>
    <w:p w14:paraId="38642543" w14:textId="0061CC24" w:rsidR="00720383" w:rsidRDefault="00BC1BCE" w:rsidP="00317E41">
      <w:pPr>
        <w:pStyle w:val="subsection"/>
        <w:numPr>
          <w:ilvl w:val="0"/>
          <w:numId w:val="46"/>
        </w:numPr>
        <w:ind w:left="851" w:hanging="491"/>
      </w:pPr>
      <w:r w:rsidRPr="00BC1BCE">
        <w:t>The Minister</w:t>
      </w:r>
      <w:r w:rsidR="00785BEE">
        <w:t>’s notification</w:t>
      </w:r>
      <w:r w:rsidRPr="00BC1BCE">
        <w:t xml:space="preserve"> </w:t>
      </w:r>
      <w:r w:rsidR="00785BEE">
        <w:t xml:space="preserve">must be issued </w:t>
      </w:r>
      <w:r w:rsidRPr="00003BFB">
        <w:t xml:space="preserve">at least </w:t>
      </w:r>
      <w:r w:rsidR="00720383" w:rsidRPr="00003BFB">
        <w:t xml:space="preserve">three </w:t>
      </w:r>
      <w:r w:rsidRPr="00003BFB">
        <w:t xml:space="preserve">months prior to the </w:t>
      </w:r>
      <w:r w:rsidR="00003BFB" w:rsidRPr="00003BFB">
        <w:t xml:space="preserve">commencement of the </w:t>
      </w:r>
      <w:r w:rsidR="00D37B6F">
        <w:t xml:space="preserve">domestic </w:t>
      </w:r>
      <w:r w:rsidR="00003BFB" w:rsidRPr="003C47D4">
        <w:t>shortfall quarter</w:t>
      </w:r>
      <w:r w:rsidRPr="00003BFB">
        <w:t>.</w:t>
      </w:r>
      <w:r w:rsidRPr="00BC1BCE">
        <w:t xml:space="preserve"> </w:t>
      </w:r>
    </w:p>
    <w:p w14:paraId="110240F2" w14:textId="1E2B5B04" w:rsidR="00720383" w:rsidRDefault="00003BFB" w:rsidP="003732D4">
      <w:pPr>
        <w:pStyle w:val="subsection"/>
        <w:numPr>
          <w:ilvl w:val="0"/>
          <w:numId w:val="52"/>
        </w:numPr>
      </w:pPr>
      <w:r>
        <w:t xml:space="preserve">For </w:t>
      </w:r>
      <w:r w:rsidR="00720383">
        <w:t>Q1</w:t>
      </w:r>
      <w:r>
        <w:t xml:space="preserve">, this is </w:t>
      </w:r>
      <w:r w:rsidR="00720383">
        <w:t xml:space="preserve">1 October the previous </w:t>
      </w:r>
      <w:r>
        <w:t xml:space="preserve">calendar </w:t>
      </w:r>
      <w:r w:rsidR="00720383">
        <w:t>year.</w:t>
      </w:r>
    </w:p>
    <w:p w14:paraId="59C54953" w14:textId="4D2CF4C1" w:rsidR="00720383" w:rsidRDefault="00003BFB" w:rsidP="003732D4">
      <w:pPr>
        <w:pStyle w:val="subsection"/>
        <w:numPr>
          <w:ilvl w:val="0"/>
          <w:numId w:val="52"/>
        </w:numPr>
      </w:pPr>
      <w:r>
        <w:t xml:space="preserve">For </w:t>
      </w:r>
      <w:r w:rsidR="00720383">
        <w:t>Q2</w:t>
      </w:r>
      <w:r>
        <w:t xml:space="preserve">, this is </w:t>
      </w:r>
      <w:r w:rsidR="00720383">
        <w:t xml:space="preserve">1 January the same </w:t>
      </w:r>
      <w:r>
        <w:t xml:space="preserve">calendar </w:t>
      </w:r>
      <w:r w:rsidR="00720383">
        <w:t xml:space="preserve">year. </w:t>
      </w:r>
    </w:p>
    <w:p w14:paraId="3345632D" w14:textId="6AA7A3D9" w:rsidR="00720383" w:rsidRDefault="00003BFB" w:rsidP="003732D4">
      <w:pPr>
        <w:pStyle w:val="subsection"/>
        <w:numPr>
          <w:ilvl w:val="0"/>
          <w:numId w:val="52"/>
        </w:numPr>
      </w:pPr>
      <w:r>
        <w:t xml:space="preserve">For </w:t>
      </w:r>
      <w:r w:rsidR="00720383">
        <w:t>Q3</w:t>
      </w:r>
      <w:r>
        <w:t>, this is</w:t>
      </w:r>
      <w:r w:rsidR="00720383">
        <w:t xml:space="preserve"> 1 April the same </w:t>
      </w:r>
      <w:r>
        <w:t xml:space="preserve">calendar </w:t>
      </w:r>
      <w:r w:rsidR="00720383">
        <w:t xml:space="preserve">year. </w:t>
      </w:r>
    </w:p>
    <w:p w14:paraId="2D04D9EF" w14:textId="5D5D50BB" w:rsidR="006D16C8" w:rsidRPr="00E40ED2" w:rsidRDefault="00003BFB" w:rsidP="003732D4">
      <w:pPr>
        <w:pStyle w:val="subsection"/>
        <w:numPr>
          <w:ilvl w:val="0"/>
          <w:numId w:val="52"/>
        </w:numPr>
      </w:pPr>
      <w:r>
        <w:t xml:space="preserve">For </w:t>
      </w:r>
      <w:r w:rsidR="00720383">
        <w:t>Q4</w:t>
      </w:r>
      <w:r>
        <w:t>, this is</w:t>
      </w:r>
      <w:r w:rsidR="00720383">
        <w:t xml:space="preserve"> 1 July the same </w:t>
      </w:r>
      <w:r>
        <w:t xml:space="preserve">calendar </w:t>
      </w:r>
      <w:r w:rsidR="00720383">
        <w:t xml:space="preserve">year. </w:t>
      </w:r>
      <w:r w:rsidR="00D000B9">
        <w:t xml:space="preserve"> </w:t>
      </w:r>
    </w:p>
    <w:p w14:paraId="131096A1" w14:textId="4BB7F764" w:rsidR="003E42AE" w:rsidRPr="001B2845" w:rsidRDefault="003E42AE" w:rsidP="003E42AE">
      <w:pPr>
        <w:pStyle w:val="SubsectionHead"/>
      </w:pPr>
      <w:r>
        <w:t>Consultation</w:t>
      </w:r>
    </w:p>
    <w:p w14:paraId="06D205D8" w14:textId="77777777" w:rsidR="003732D4" w:rsidRDefault="0047547D" w:rsidP="00317E41">
      <w:pPr>
        <w:pStyle w:val="subsection"/>
        <w:numPr>
          <w:ilvl w:val="0"/>
          <w:numId w:val="46"/>
        </w:numPr>
        <w:ind w:left="851" w:hanging="491"/>
      </w:pPr>
      <w:r>
        <w:tab/>
      </w:r>
      <w:r w:rsidR="00B57648">
        <w:t xml:space="preserve">Following </w:t>
      </w:r>
      <w:r w:rsidR="00917BB2">
        <w:t>the Minister’s notification</w:t>
      </w:r>
      <w:r w:rsidR="00B57648">
        <w:t xml:space="preserve">, the Minister will consult </w:t>
      </w:r>
      <w:r w:rsidR="003732D4">
        <w:t xml:space="preserve">on whether to determine a domestic shortfall quarter </w:t>
      </w:r>
      <w:r w:rsidR="00E418A3">
        <w:t>with</w:t>
      </w:r>
      <w:r w:rsidR="003732D4">
        <w:t>:</w:t>
      </w:r>
    </w:p>
    <w:p w14:paraId="7DC9570D" w14:textId="4E38FA47" w:rsidR="00B0721D" w:rsidRDefault="00E418A3" w:rsidP="003732D4">
      <w:pPr>
        <w:pStyle w:val="subsection"/>
        <w:numPr>
          <w:ilvl w:val="0"/>
          <w:numId w:val="53"/>
        </w:numPr>
      </w:pPr>
      <w:r>
        <w:t>LNG projects</w:t>
      </w:r>
      <w:r w:rsidR="003732D4">
        <w:t>;</w:t>
      </w:r>
    </w:p>
    <w:p w14:paraId="7AE65C4B" w14:textId="00B7DDDC" w:rsidR="003732D4" w:rsidRDefault="003732D4" w:rsidP="003732D4">
      <w:pPr>
        <w:pStyle w:val="subsection"/>
        <w:numPr>
          <w:ilvl w:val="0"/>
          <w:numId w:val="53"/>
        </w:numPr>
      </w:pPr>
      <w:r>
        <w:t>the Ministers specified in paragraph 13GE(2)(b) of the Regulations.</w:t>
      </w:r>
    </w:p>
    <w:p w14:paraId="7E6F62D2" w14:textId="5175940F" w:rsidR="003E42AE" w:rsidRDefault="00B0721D" w:rsidP="00317E41">
      <w:pPr>
        <w:pStyle w:val="subsection"/>
        <w:numPr>
          <w:ilvl w:val="0"/>
          <w:numId w:val="46"/>
        </w:numPr>
        <w:ind w:left="851" w:hanging="491"/>
      </w:pPr>
      <w:r>
        <w:t xml:space="preserve">Those consulted </w:t>
      </w:r>
      <w:r w:rsidR="000F7480">
        <w:t xml:space="preserve">will have </w:t>
      </w:r>
      <w:r w:rsidR="009C2BED">
        <w:t xml:space="preserve">at least </w:t>
      </w:r>
      <w:r w:rsidR="000F7480">
        <w:t xml:space="preserve">30 </w:t>
      </w:r>
      <w:r w:rsidR="001D38F2">
        <w:t xml:space="preserve">calendar </w:t>
      </w:r>
      <w:r w:rsidR="000F7480">
        <w:t>days from the Minister’s notification to provide any information that would impact on the shortfall</w:t>
      </w:r>
      <w:r w:rsidR="00E7538A">
        <w:t xml:space="preserve"> forecast</w:t>
      </w:r>
      <w:r w:rsidR="000F7480">
        <w:t xml:space="preserve">. </w:t>
      </w:r>
    </w:p>
    <w:p w14:paraId="2E0D636F" w14:textId="344BA0C4" w:rsidR="000C2756" w:rsidRPr="00D22CEB" w:rsidRDefault="000C2756" w:rsidP="00DF6421">
      <w:pPr>
        <w:pStyle w:val="SubsectionHead"/>
      </w:pPr>
      <w:r w:rsidRPr="00D22CEB">
        <w:t xml:space="preserve">Minister’s </w:t>
      </w:r>
      <w:r w:rsidR="006819B4">
        <w:t>d</w:t>
      </w:r>
      <w:r w:rsidRPr="00D22CEB">
        <w:t>etermination</w:t>
      </w:r>
    </w:p>
    <w:p w14:paraId="52AC77CF" w14:textId="531502D3" w:rsidR="000C2756" w:rsidRDefault="000C2756" w:rsidP="00317E41">
      <w:pPr>
        <w:pStyle w:val="subsection"/>
        <w:numPr>
          <w:ilvl w:val="0"/>
          <w:numId w:val="46"/>
        </w:numPr>
        <w:ind w:left="851" w:hanging="491"/>
      </w:pPr>
      <w:r>
        <w:tab/>
        <w:t xml:space="preserve">The Minister’s </w:t>
      </w:r>
      <w:r w:rsidR="00804886">
        <w:t>d</w:t>
      </w:r>
      <w:r>
        <w:t xml:space="preserve">etermination will be </w:t>
      </w:r>
      <w:r w:rsidR="00804886">
        <w:t xml:space="preserve">made </w:t>
      </w:r>
      <w:r w:rsidR="00262AC3">
        <w:t>no later than</w:t>
      </w:r>
      <w:r w:rsidR="007754A3">
        <w:t xml:space="preserve"> 45</w:t>
      </w:r>
      <w:r w:rsidR="002941AB">
        <w:t xml:space="preserve"> calend</w:t>
      </w:r>
      <w:r w:rsidR="00F63342">
        <w:t>a</w:t>
      </w:r>
      <w:r w:rsidR="002941AB">
        <w:t>r</w:t>
      </w:r>
      <w:r w:rsidR="007754A3">
        <w:t xml:space="preserve"> day</w:t>
      </w:r>
      <w:r w:rsidR="002941AB">
        <w:t>s</w:t>
      </w:r>
      <w:r w:rsidR="007754A3">
        <w:t xml:space="preserve"> </w:t>
      </w:r>
      <w:r w:rsidR="00262AC3">
        <w:t>after</w:t>
      </w:r>
      <w:r w:rsidR="007754A3">
        <w:t xml:space="preserve"> the </w:t>
      </w:r>
      <w:r w:rsidR="000E75BE">
        <w:t xml:space="preserve">deadline for the </w:t>
      </w:r>
      <w:r w:rsidR="00657247">
        <w:t>Minister’s notification</w:t>
      </w:r>
      <w:r w:rsidR="000E75BE">
        <w:t xml:space="preserve">, as set out in </w:t>
      </w:r>
      <w:r w:rsidR="000E75BE" w:rsidRPr="003061F7">
        <w:t>subsection (</w:t>
      </w:r>
      <w:r w:rsidR="003061F7" w:rsidRPr="003061F7">
        <w:t>2</w:t>
      </w:r>
      <w:r w:rsidR="000E75BE" w:rsidRPr="003061F7">
        <w:t>) in</w:t>
      </w:r>
      <w:r w:rsidR="000E75BE">
        <w:t xml:space="preserve"> this section.</w:t>
      </w:r>
    </w:p>
    <w:p w14:paraId="69C4CD99" w14:textId="09EBFB08" w:rsidR="000708B7" w:rsidRPr="00D22CEB" w:rsidRDefault="00243771" w:rsidP="00DF6421">
      <w:pPr>
        <w:pStyle w:val="SubsectionHead"/>
      </w:pPr>
      <w:r>
        <w:lastRenderedPageBreak/>
        <w:t>P</w:t>
      </w:r>
      <w:r w:rsidR="00076D4A">
        <w:t>ermissions</w:t>
      </w:r>
    </w:p>
    <w:p w14:paraId="74187A19" w14:textId="77777777" w:rsidR="00C02B68" w:rsidRDefault="000708B7" w:rsidP="00317E41">
      <w:pPr>
        <w:pStyle w:val="subsection"/>
        <w:numPr>
          <w:ilvl w:val="0"/>
          <w:numId w:val="46"/>
        </w:numPr>
        <w:ind w:left="851" w:hanging="491"/>
      </w:pPr>
      <w:r>
        <w:tab/>
      </w:r>
      <w:r w:rsidR="00C02B68">
        <w:t>In accordance with paragraph 13GC(1)(a) of the Regulations, a permission</w:t>
      </w:r>
      <w:r w:rsidR="00C02B68">
        <w:rPr>
          <w:rStyle w:val="CommentReference"/>
          <w:rFonts w:asciiTheme="minorHAnsi" w:eastAsiaTheme="minorHAnsi" w:hAnsiTheme="minorHAnsi" w:cstheme="minorBidi"/>
          <w:lang w:eastAsia="en-US"/>
        </w:rPr>
        <w:t xml:space="preserve"> </w:t>
      </w:r>
      <w:r w:rsidR="00C02B68">
        <w:t>will be required for all LNG exported in a domestic shortfall quarter.</w:t>
      </w:r>
    </w:p>
    <w:p w14:paraId="0D96F5B4" w14:textId="56FE47E1" w:rsidR="00C02B68" w:rsidRDefault="00D65B41" w:rsidP="00317E41">
      <w:pPr>
        <w:pStyle w:val="subsection"/>
        <w:numPr>
          <w:ilvl w:val="0"/>
          <w:numId w:val="46"/>
        </w:numPr>
        <w:ind w:left="851" w:hanging="491"/>
        <w:rPr>
          <w:rStyle w:val="ui-provider"/>
        </w:rPr>
      </w:pPr>
      <w:r>
        <w:rPr>
          <w:rStyle w:val="ui-provider"/>
        </w:rPr>
        <w:t xml:space="preserve">The Minister will grant </w:t>
      </w:r>
      <w:r w:rsidR="00C02B68">
        <w:rPr>
          <w:rStyle w:val="ui-provider"/>
        </w:rPr>
        <w:t>an</w:t>
      </w:r>
      <w:r>
        <w:rPr>
          <w:rStyle w:val="ui-provider"/>
        </w:rPr>
        <w:t xml:space="preserve"> initial permission to an LNG project no less than 30</w:t>
      </w:r>
      <w:r w:rsidR="004E4991">
        <w:rPr>
          <w:rStyle w:val="ui-provider"/>
        </w:rPr>
        <w:t xml:space="preserve"> calend</w:t>
      </w:r>
      <w:r w:rsidR="00F63342">
        <w:rPr>
          <w:rStyle w:val="ui-provider"/>
        </w:rPr>
        <w:t>a</w:t>
      </w:r>
      <w:r w:rsidR="004E4991">
        <w:rPr>
          <w:rStyle w:val="ui-provider"/>
        </w:rPr>
        <w:t>r</w:t>
      </w:r>
      <w:r>
        <w:rPr>
          <w:rStyle w:val="ui-provider"/>
        </w:rPr>
        <w:t xml:space="preserve"> days before the domestic shortfall quarter commences. </w:t>
      </w:r>
    </w:p>
    <w:p w14:paraId="28BD0C2E" w14:textId="330CFF70" w:rsidR="000708B7" w:rsidRDefault="00C02B68" w:rsidP="00317E41">
      <w:pPr>
        <w:pStyle w:val="subsection"/>
        <w:numPr>
          <w:ilvl w:val="0"/>
          <w:numId w:val="46"/>
        </w:numPr>
        <w:ind w:left="851" w:hanging="491"/>
      </w:pPr>
      <w:r>
        <w:rPr>
          <w:rStyle w:val="ui-provider"/>
        </w:rPr>
        <w:t>Following the grant of an initial permission, the Minister may grant</w:t>
      </w:r>
      <w:r w:rsidR="00D65B41">
        <w:rPr>
          <w:rStyle w:val="ui-provider"/>
        </w:rPr>
        <w:t xml:space="preserve"> additional permissions, var</w:t>
      </w:r>
      <w:r>
        <w:rPr>
          <w:rStyle w:val="ui-provider"/>
        </w:rPr>
        <w:t>y</w:t>
      </w:r>
      <w:r w:rsidR="00D65B41">
        <w:rPr>
          <w:rStyle w:val="ui-provider"/>
        </w:rPr>
        <w:t xml:space="preserve"> </w:t>
      </w:r>
      <w:r>
        <w:rPr>
          <w:rStyle w:val="ui-provider"/>
        </w:rPr>
        <w:t>a</w:t>
      </w:r>
      <w:r w:rsidR="00D65B41">
        <w:rPr>
          <w:rStyle w:val="ui-provider"/>
        </w:rPr>
        <w:t xml:space="preserve"> permission</w:t>
      </w:r>
      <w:r w:rsidR="004521D2">
        <w:rPr>
          <w:rStyle w:val="ui-provider"/>
        </w:rPr>
        <w:t>, accept the surrender of a permission,</w:t>
      </w:r>
      <w:r w:rsidR="001E5917">
        <w:rPr>
          <w:rStyle w:val="ui-provider"/>
        </w:rPr>
        <w:t xml:space="preserve"> revoke a permission, or alter the conditions of a permission</w:t>
      </w:r>
      <w:r w:rsidR="00D65B41">
        <w:rPr>
          <w:rStyle w:val="ui-provider"/>
        </w:rPr>
        <w:t>. </w:t>
      </w:r>
      <w:r w:rsidR="00D65B41" w:rsidRPr="000708B7" w:rsidDel="00D65B41">
        <w:t xml:space="preserve"> </w:t>
      </w:r>
    </w:p>
    <w:p w14:paraId="0A710871" w14:textId="46CB6CCA" w:rsidR="00ED39EC" w:rsidRDefault="00C02B68" w:rsidP="00C02B68">
      <w:pPr>
        <w:pStyle w:val="subsection"/>
        <w:numPr>
          <w:ilvl w:val="0"/>
          <w:numId w:val="46"/>
        </w:numPr>
        <w:ind w:left="851" w:hanging="491"/>
      </w:pPr>
      <w:r>
        <w:t>Volumes specified in an allowable volume</w:t>
      </w:r>
      <w:r w:rsidR="00281EFF">
        <w:t xml:space="preserve"> </w:t>
      </w:r>
      <w:r>
        <w:t xml:space="preserve">(AV) </w:t>
      </w:r>
      <w:r w:rsidR="00D54811">
        <w:t>permission can</w:t>
      </w:r>
      <w:r w:rsidR="00ED39EC">
        <w:t xml:space="preserve"> be traded </w:t>
      </w:r>
      <w:r w:rsidR="00356F01">
        <w:t xml:space="preserve">on and </w:t>
      </w:r>
      <w:r w:rsidR="00ED39EC">
        <w:t xml:space="preserve">from the date </w:t>
      </w:r>
      <w:r>
        <w:t>the permission is granted</w:t>
      </w:r>
      <w:r w:rsidR="00ED39EC">
        <w:t>.</w:t>
      </w:r>
    </w:p>
    <w:p w14:paraId="47AE1DBD" w14:textId="742942B5" w:rsidR="00204D1A" w:rsidRPr="00AB41E3" w:rsidRDefault="001A1B81" w:rsidP="00204D1A">
      <w:pPr>
        <w:pStyle w:val="ActHead5"/>
      </w:pPr>
      <w:bookmarkStart w:id="15" w:name="_Toc485134558"/>
      <w:bookmarkStart w:id="16" w:name="_Toc130913735"/>
      <w:r>
        <w:t>8</w:t>
      </w:r>
      <w:r w:rsidR="00204D1A" w:rsidRPr="00AB41E3">
        <w:t xml:space="preserve">  </w:t>
      </w:r>
      <w:r>
        <w:t xml:space="preserve">Determining </w:t>
      </w:r>
      <w:r w:rsidR="00204D1A" w:rsidRPr="00AB41E3">
        <w:t xml:space="preserve">a domestic shortfall </w:t>
      </w:r>
      <w:bookmarkEnd w:id="15"/>
      <w:r w:rsidR="007D7945">
        <w:t>quarter</w:t>
      </w:r>
      <w:bookmarkEnd w:id="16"/>
    </w:p>
    <w:p w14:paraId="1820CA97" w14:textId="01E1D61F" w:rsidR="003F291D" w:rsidRDefault="00CF1092" w:rsidP="00204D1A">
      <w:pPr>
        <w:pStyle w:val="SubsectionHead"/>
      </w:pPr>
      <w:r>
        <w:t>A</w:t>
      </w:r>
      <w:r w:rsidR="00B41D4F">
        <w:t>dvice to Minister</w:t>
      </w:r>
    </w:p>
    <w:p w14:paraId="0CA66FEE" w14:textId="38D75772" w:rsidR="00AB5319" w:rsidRDefault="006E519E" w:rsidP="00E42F9D">
      <w:pPr>
        <w:pStyle w:val="subsection"/>
        <w:numPr>
          <w:ilvl w:val="0"/>
          <w:numId w:val="47"/>
        </w:numPr>
        <w:ind w:left="851" w:hanging="425"/>
      </w:pPr>
      <w:r>
        <w:t>The</w:t>
      </w:r>
      <w:r w:rsidR="00CF1092">
        <w:t xml:space="preserve"> </w:t>
      </w:r>
      <w:r w:rsidR="00BE7C79">
        <w:t xml:space="preserve">Department, AEMO and ACCC will provide the </w:t>
      </w:r>
      <w:r w:rsidR="00B41D4F">
        <w:t xml:space="preserve">Minister </w:t>
      </w:r>
      <w:r w:rsidR="00BE7C79">
        <w:t>information and advice on</w:t>
      </w:r>
      <w:r w:rsidR="00B41D4F">
        <w:t xml:space="preserve"> Australia’s forecast domestic gas supply and demand.</w:t>
      </w:r>
      <w:r w:rsidR="00BD0929">
        <w:t xml:space="preserve"> </w:t>
      </w:r>
      <w:r w:rsidR="00BE7C79">
        <w:t xml:space="preserve">The Minister may also consider information provided by industry, and </w:t>
      </w:r>
      <w:r w:rsidR="00875270">
        <w:t xml:space="preserve">any </w:t>
      </w:r>
      <w:r w:rsidR="00BE7C79">
        <w:t>other sources the Minister considers relevant.</w:t>
      </w:r>
    </w:p>
    <w:p w14:paraId="5081C928" w14:textId="6751C15E" w:rsidR="00AB5319" w:rsidRDefault="009D11BE" w:rsidP="00317E41">
      <w:pPr>
        <w:pStyle w:val="subsection"/>
        <w:numPr>
          <w:ilvl w:val="0"/>
          <w:numId w:val="47"/>
        </w:numPr>
        <w:ind w:left="851" w:hanging="491"/>
      </w:pPr>
      <w:r>
        <w:t>F</w:t>
      </w:r>
      <w:r w:rsidR="00AB5319">
        <w:t>orecast</w:t>
      </w:r>
      <w:r>
        <w:t>s</w:t>
      </w:r>
      <w:r w:rsidR="00AB5319">
        <w:t xml:space="preserve"> </w:t>
      </w:r>
      <w:r w:rsidR="00C417C7">
        <w:t xml:space="preserve">of </w:t>
      </w:r>
      <w:r w:rsidR="00AB5319">
        <w:t>domestic gas supply</w:t>
      </w:r>
      <w:r w:rsidR="00BE7C79">
        <w:t xml:space="preserve"> and demand</w:t>
      </w:r>
      <w:r w:rsidR="00BD0929">
        <w:t xml:space="preserve"> will be based on information </w:t>
      </w:r>
      <w:r w:rsidR="00AB5319">
        <w:t>collecte</w:t>
      </w:r>
      <w:r w:rsidR="00BD0929">
        <w:t xml:space="preserve">d from </w:t>
      </w:r>
      <w:r w:rsidR="00AB5319">
        <w:t>Australia’s gas producers</w:t>
      </w:r>
      <w:r w:rsidR="00BE7C79">
        <w:t xml:space="preserve">, </w:t>
      </w:r>
      <w:r w:rsidR="00F736F5">
        <w:t xml:space="preserve">large gas </w:t>
      </w:r>
      <w:r w:rsidR="00BE7C79">
        <w:t>users</w:t>
      </w:r>
      <w:r w:rsidR="00AB5319">
        <w:t xml:space="preserve"> and </w:t>
      </w:r>
      <w:r w:rsidR="00BD0929">
        <w:t xml:space="preserve">LNG </w:t>
      </w:r>
      <w:r w:rsidR="00E72A7A">
        <w:t>projects</w:t>
      </w:r>
      <w:r w:rsidR="00BD0929">
        <w:t xml:space="preserve">. </w:t>
      </w:r>
      <w:r>
        <w:t>F</w:t>
      </w:r>
      <w:r w:rsidR="00441059">
        <w:t>orecast</w:t>
      </w:r>
      <w:r>
        <w:t>s</w:t>
      </w:r>
      <w:r w:rsidR="00441059">
        <w:t xml:space="preserve"> may </w:t>
      </w:r>
      <w:r w:rsidR="00F736F5">
        <w:t>also take into</w:t>
      </w:r>
      <w:r w:rsidR="00441059">
        <w:t xml:space="preserve"> account information relating to factors influencing domestic gas supply and demand, such as </w:t>
      </w:r>
      <w:r w:rsidR="00F736F5">
        <w:t xml:space="preserve">seasonal </w:t>
      </w:r>
      <w:r w:rsidR="00441059">
        <w:t>weather</w:t>
      </w:r>
      <w:r w:rsidR="00F736F5">
        <w:t xml:space="preserve"> forecasts</w:t>
      </w:r>
      <w:r w:rsidR="00441059">
        <w:t>, domestic electricity markets and demand for Australian LNG.</w:t>
      </w:r>
    </w:p>
    <w:p w14:paraId="3BCE1EB6" w14:textId="16F65DEC" w:rsidR="00204D1A" w:rsidRDefault="00204D1A" w:rsidP="00AB5319">
      <w:pPr>
        <w:pStyle w:val="SubsectionHead"/>
      </w:pPr>
      <w:r>
        <w:t xml:space="preserve">Minister’s </w:t>
      </w:r>
      <w:r w:rsidR="00766AA6">
        <w:t>n</w:t>
      </w:r>
      <w:r w:rsidR="00FE0EBF">
        <w:t>otification</w:t>
      </w:r>
    </w:p>
    <w:p w14:paraId="5DA56977" w14:textId="3C191B58" w:rsidR="00204D1A" w:rsidRDefault="00204D1A" w:rsidP="00317E41">
      <w:pPr>
        <w:pStyle w:val="subsection"/>
        <w:numPr>
          <w:ilvl w:val="0"/>
          <w:numId w:val="47"/>
        </w:numPr>
        <w:ind w:left="851" w:hanging="491"/>
      </w:pPr>
      <w:r>
        <w:t xml:space="preserve">Before the Minister may determine that a </w:t>
      </w:r>
      <w:r w:rsidR="00E237E7">
        <w:t xml:space="preserve">quarter </w:t>
      </w:r>
      <w:r>
        <w:t xml:space="preserve">will be a </w:t>
      </w:r>
      <w:r w:rsidR="00D37B6F">
        <w:t xml:space="preserve">domestic </w:t>
      </w:r>
      <w:r>
        <w:t xml:space="preserve">shortfall </w:t>
      </w:r>
      <w:r w:rsidR="00035161">
        <w:t>quarter</w:t>
      </w:r>
      <w:r>
        <w:t xml:space="preserve">, the Minister must first, by notifiable instrument, </w:t>
      </w:r>
      <w:r w:rsidR="00834152">
        <w:t>notify</w:t>
      </w:r>
      <w:r>
        <w:t xml:space="preserve"> </w:t>
      </w:r>
      <w:r w:rsidR="00356F01">
        <w:t xml:space="preserve">the Minister’s </w:t>
      </w:r>
      <w:r>
        <w:t xml:space="preserve">intent to determine whether </w:t>
      </w:r>
      <w:r w:rsidR="00F000ED">
        <w:t>a</w:t>
      </w:r>
      <w:r>
        <w:t xml:space="preserve"> forthcoming </w:t>
      </w:r>
      <w:r w:rsidR="005B5695">
        <w:t xml:space="preserve">quarter </w:t>
      </w:r>
      <w:r>
        <w:t xml:space="preserve">will be a </w:t>
      </w:r>
      <w:r w:rsidR="00D37B6F">
        <w:t xml:space="preserve">domestic </w:t>
      </w:r>
      <w:r w:rsidR="00AB5319">
        <w:t>s</w:t>
      </w:r>
      <w:r>
        <w:t xml:space="preserve">hortfall </w:t>
      </w:r>
      <w:r w:rsidR="00035161">
        <w:t>quarter</w:t>
      </w:r>
      <w:r w:rsidR="004E444D">
        <w:t>.</w:t>
      </w:r>
    </w:p>
    <w:p w14:paraId="22855DB7" w14:textId="77777777" w:rsidR="003F6DE8" w:rsidRDefault="00A4180A" w:rsidP="00317E41">
      <w:pPr>
        <w:pStyle w:val="subsection"/>
        <w:numPr>
          <w:ilvl w:val="0"/>
          <w:numId w:val="47"/>
        </w:numPr>
        <w:ind w:left="851" w:hanging="491"/>
      </w:pPr>
      <w:r>
        <w:t>The notice will set out</w:t>
      </w:r>
      <w:r w:rsidR="003F6DE8">
        <w:t>:</w:t>
      </w:r>
    </w:p>
    <w:p w14:paraId="619C261F" w14:textId="377DFA5A" w:rsidR="00A4180A" w:rsidRDefault="00A4180A" w:rsidP="003F6DE8">
      <w:pPr>
        <w:pStyle w:val="subsection"/>
        <w:numPr>
          <w:ilvl w:val="1"/>
          <w:numId w:val="47"/>
        </w:numPr>
        <w:ind w:left="1418" w:hanging="284"/>
      </w:pPr>
      <w:r>
        <w:t>in petajoules, the forecast domestic:</w:t>
      </w:r>
    </w:p>
    <w:p w14:paraId="2A00CE6C" w14:textId="275B77B2" w:rsidR="00A4180A" w:rsidRDefault="00A4180A" w:rsidP="003F6DE8">
      <w:pPr>
        <w:pStyle w:val="subsection"/>
        <w:numPr>
          <w:ilvl w:val="2"/>
          <w:numId w:val="47"/>
        </w:numPr>
      </w:pPr>
      <w:r>
        <w:t>demand;</w:t>
      </w:r>
      <w:r w:rsidR="00356F01">
        <w:t xml:space="preserve"> </w:t>
      </w:r>
    </w:p>
    <w:p w14:paraId="1748636B" w14:textId="2DF1BA6C" w:rsidR="00A4180A" w:rsidRDefault="00A4180A" w:rsidP="003F6DE8">
      <w:pPr>
        <w:pStyle w:val="subsection"/>
        <w:numPr>
          <w:ilvl w:val="2"/>
          <w:numId w:val="47"/>
        </w:numPr>
      </w:pPr>
      <w:r>
        <w:t xml:space="preserve">supply; </w:t>
      </w:r>
    </w:p>
    <w:p w14:paraId="185A61AA" w14:textId="08063E82" w:rsidR="00A4180A" w:rsidRDefault="00A4180A" w:rsidP="003F6DE8">
      <w:pPr>
        <w:pStyle w:val="subsection"/>
        <w:numPr>
          <w:ilvl w:val="2"/>
          <w:numId w:val="47"/>
        </w:numPr>
      </w:pPr>
      <w:r>
        <w:t>shortfall</w:t>
      </w:r>
      <w:r w:rsidR="003F6DE8">
        <w:t xml:space="preserve">; </w:t>
      </w:r>
    </w:p>
    <w:p w14:paraId="738DABEA" w14:textId="6C76090F" w:rsidR="003F6DE8" w:rsidRDefault="003F6DE8" w:rsidP="003F6DE8">
      <w:pPr>
        <w:pStyle w:val="subsection"/>
        <w:numPr>
          <w:ilvl w:val="1"/>
          <w:numId w:val="47"/>
        </w:numPr>
        <w:ind w:left="1418" w:hanging="284"/>
      </w:pPr>
      <w:r>
        <w:t>LNG projects for which the Minister is considering issuing allowable volume permission</w:t>
      </w:r>
      <w:r w:rsidR="009D11BE">
        <w:t>s</w:t>
      </w:r>
      <w:r>
        <w:t xml:space="preserve">; </w:t>
      </w:r>
    </w:p>
    <w:p w14:paraId="602324D0" w14:textId="3D4B66AC" w:rsidR="00C206AC" w:rsidRDefault="00C206AC" w:rsidP="00C206AC">
      <w:pPr>
        <w:pStyle w:val="noteToPara"/>
        <w:ind w:left="1843" w:hanging="850"/>
      </w:pPr>
      <w:r>
        <w:t>Note:</w:t>
      </w:r>
      <w:r>
        <w:tab/>
        <w:t xml:space="preserve">An LNG project for which the Minister is considering issuing an allowable volume permission can get an indication of the volume in its initial permission by inputting the values in </w:t>
      </w:r>
      <w:r w:rsidR="009D11BE">
        <w:t>the notice</w:t>
      </w:r>
      <w:r>
        <w:t xml:space="preserve"> into the formula in </w:t>
      </w:r>
      <w:r w:rsidR="009D11BE">
        <w:t>sub</w:t>
      </w:r>
      <w:r>
        <w:t>section</w:t>
      </w:r>
      <w:r w:rsidR="009D11BE">
        <w:t>s</w:t>
      </w:r>
      <w:r>
        <w:t xml:space="preserve"> 9</w:t>
      </w:r>
      <w:r w:rsidR="009D11BE">
        <w:t>(</w:t>
      </w:r>
      <w:r w:rsidR="00BD28DE">
        <w:t>7</w:t>
      </w:r>
      <w:r w:rsidR="009D11BE">
        <w:t>)-(9)</w:t>
      </w:r>
      <w:r>
        <w:t>.</w:t>
      </w:r>
    </w:p>
    <w:p w14:paraId="2CA230D8" w14:textId="75C4B506" w:rsidR="003F6DE8" w:rsidRDefault="003F6DE8" w:rsidP="003F6DE8">
      <w:pPr>
        <w:pStyle w:val="subsection"/>
        <w:numPr>
          <w:ilvl w:val="1"/>
          <w:numId w:val="47"/>
        </w:numPr>
        <w:ind w:left="1418" w:hanging="284"/>
      </w:pPr>
      <w:r>
        <w:t>LNG projects for which the Minister is considering issuing unlimited volume permission</w:t>
      </w:r>
      <w:r w:rsidR="009D11BE">
        <w:t>s</w:t>
      </w:r>
      <w:r>
        <w:t>.</w:t>
      </w:r>
    </w:p>
    <w:p w14:paraId="54BCAECD" w14:textId="3D47E4E8" w:rsidR="003061F7" w:rsidRPr="003061F7" w:rsidRDefault="003061F7" w:rsidP="003061F7">
      <w:pPr>
        <w:pStyle w:val="subsection"/>
        <w:numPr>
          <w:ilvl w:val="0"/>
          <w:numId w:val="47"/>
        </w:numPr>
      </w:pPr>
      <w:r w:rsidRPr="003061F7">
        <w:lastRenderedPageBreak/>
        <w:t xml:space="preserve">Prior to making the Minister’s </w:t>
      </w:r>
      <w:r w:rsidR="00CE10A0">
        <w:t>n</w:t>
      </w:r>
      <w:r w:rsidRPr="003061F7">
        <w:t xml:space="preserve">otification, the Minister may work with industry to identify voluntary, industry-led solutions </w:t>
      </w:r>
      <w:r w:rsidR="00FA5FF5">
        <w:t>for</w:t>
      </w:r>
      <w:r w:rsidRPr="003061F7">
        <w:t xml:space="preserve"> shortfall</w:t>
      </w:r>
      <w:r w:rsidR="00FA5FF5">
        <w:t xml:space="preserve"> avoidance</w:t>
      </w:r>
      <w:r w:rsidRPr="003061F7">
        <w:t xml:space="preserve">. Any volumes of additional gas </w:t>
      </w:r>
      <w:r w:rsidR="00E06B00">
        <w:t>suppli</w:t>
      </w:r>
      <w:r w:rsidRPr="003061F7">
        <w:t xml:space="preserve">ed to </w:t>
      </w:r>
      <w:r w:rsidR="000804C8">
        <w:t>domestic customers</w:t>
      </w:r>
      <w:r w:rsidRPr="003061F7">
        <w:t xml:space="preserve"> through this process would be taken into account in any decisions by the Minister to issue a Minister’s </w:t>
      </w:r>
      <w:r w:rsidR="00CE10A0">
        <w:t>n</w:t>
      </w:r>
      <w:r w:rsidRPr="003061F7">
        <w:t xml:space="preserve">otification or Minister’s </w:t>
      </w:r>
      <w:r w:rsidR="00CE10A0">
        <w:t>d</w:t>
      </w:r>
      <w:r w:rsidRPr="003061F7">
        <w:t>etermination.</w:t>
      </w:r>
    </w:p>
    <w:p w14:paraId="08ADFEE7" w14:textId="63593EA5" w:rsidR="00204D1A" w:rsidRDefault="00204D1A" w:rsidP="00204D1A">
      <w:pPr>
        <w:pStyle w:val="SubsectionHead"/>
      </w:pPr>
      <w:r>
        <w:t xml:space="preserve">Consultation with LNG </w:t>
      </w:r>
      <w:r w:rsidR="00427F72">
        <w:t>p</w:t>
      </w:r>
      <w:r w:rsidR="00911C72">
        <w:t>roject</w:t>
      </w:r>
      <w:r>
        <w:t>s</w:t>
      </w:r>
    </w:p>
    <w:p w14:paraId="4BDC4F61" w14:textId="75643F65" w:rsidR="00AB5319" w:rsidRDefault="00427F72" w:rsidP="00317E41">
      <w:pPr>
        <w:pStyle w:val="subsection"/>
        <w:numPr>
          <w:ilvl w:val="0"/>
          <w:numId w:val="47"/>
        </w:numPr>
        <w:ind w:left="851" w:hanging="491"/>
      </w:pPr>
      <w:r>
        <w:t>T</w:t>
      </w:r>
      <w:r w:rsidR="00204D1A">
        <w:t xml:space="preserve">he Minister will write to LNG </w:t>
      </w:r>
      <w:r>
        <w:t>p</w:t>
      </w:r>
      <w:r w:rsidR="00204D1A">
        <w:t xml:space="preserve">rojects </w:t>
      </w:r>
      <w:r w:rsidR="00AB5319">
        <w:t>to:</w:t>
      </w:r>
    </w:p>
    <w:p w14:paraId="4D5C97DC" w14:textId="46BDDD0F" w:rsidR="00AB5319" w:rsidRDefault="00AB5319" w:rsidP="00317E41">
      <w:pPr>
        <w:pStyle w:val="subsection"/>
        <w:numPr>
          <w:ilvl w:val="1"/>
          <w:numId w:val="47"/>
        </w:numPr>
        <w:ind w:firstLine="359"/>
      </w:pPr>
      <w:r>
        <w:t>alert</w:t>
      </w:r>
      <w:r w:rsidR="00204D1A">
        <w:t xml:space="preserve"> them </w:t>
      </w:r>
      <w:r>
        <w:t xml:space="preserve">to </w:t>
      </w:r>
      <w:r w:rsidR="00204D1A">
        <w:t xml:space="preserve">the Minister’s </w:t>
      </w:r>
      <w:r w:rsidR="00427F72">
        <w:t>n</w:t>
      </w:r>
      <w:r w:rsidR="00FE0EBF">
        <w:t>otification</w:t>
      </w:r>
      <w:r w:rsidR="00A4180A">
        <w:t>;</w:t>
      </w:r>
    </w:p>
    <w:p w14:paraId="5F61AFB3" w14:textId="42665766" w:rsidR="00CC52FC" w:rsidRDefault="00AB5319" w:rsidP="00317E41">
      <w:pPr>
        <w:pStyle w:val="subsection"/>
        <w:numPr>
          <w:ilvl w:val="1"/>
          <w:numId w:val="47"/>
        </w:numPr>
        <w:ind w:firstLine="359"/>
      </w:pPr>
      <w:r>
        <w:t>invite</w:t>
      </w:r>
      <w:r w:rsidR="00204D1A">
        <w:t xml:space="preserve"> views on the </w:t>
      </w:r>
      <w:r w:rsidR="00461403">
        <w:t xml:space="preserve">Australian </w:t>
      </w:r>
      <w:r w:rsidR="00204D1A">
        <w:t xml:space="preserve">domestic </w:t>
      </w:r>
      <w:r w:rsidR="00A20D01">
        <w:t xml:space="preserve">gas </w:t>
      </w:r>
      <w:r w:rsidR="00204D1A">
        <w:t>market outlook</w:t>
      </w:r>
      <w:r>
        <w:t>;</w:t>
      </w:r>
    </w:p>
    <w:p w14:paraId="1A370789" w14:textId="65CDA366" w:rsidR="00AB5319" w:rsidRDefault="00E90F1B" w:rsidP="00317E41">
      <w:pPr>
        <w:pStyle w:val="subsection"/>
        <w:numPr>
          <w:ilvl w:val="1"/>
          <w:numId w:val="47"/>
        </w:numPr>
        <w:ind w:left="1418" w:hanging="284"/>
      </w:pPr>
      <w:r>
        <w:t xml:space="preserve">for </w:t>
      </w:r>
      <w:r w:rsidR="00C0220C">
        <w:t xml:space="preserve">an </w:t>
      </w:r>
      <w:r>
        <w:t xml:space="preserve">LNG </w:t>
      </w:r>
      <w:r w:rsidR="006C07C6">
        <w:t>p</w:t>
      </w:r>
      <w:r>
        <w:t>roject</w:t>
      </w:r>
      <w:r w:rsidR="00356F01">
        <w:t xml:space="preserve"> for which</w:t>
      </w:r>
      <w:r>
        <w:t xml:space="preserve"> the Minister is considering issuing </w:t>
      </w:r>
      <w:r w:rsidR="00C0220C">
        <w:t xml:space="preserve">an </w:t>
      </w:r>
      <w:r w:rsidR="00F736F5">
        <w:t>a</w:t>
      </w:r>
      <w:r w:rsidR="00827640">
        <w:t xml:space="preserve">llowable </w:t>
      </w:r>
      <w:r w:rsidR="00F736F5">
        <w:t>v</w:t>
      </w:r>
      <w:r>
        <w:t xml:space="preserve">olume </w:t>
      </w:r>
      <w:r w:rsidR="00E60A37">
        <w:t>permis</w:t>
      </w:r>
      <w:r w:rsidR="00C01CD7">
        <w:t>sion</w:t>
      </w:r>
      <w:r w:rsidR="00F736F5">
        <w:t xml:space="preserve"> </w:t>
      </w:r>
      <w:r w:rsidR="00356F01">
        <w:t>—</w:t>
      </w:r>
      <w:r w:rsidR="00F736F5">
        <w:t xml:space="preserve"> </w:t>
      </w:r>
      <w:r w:rsidR="00356F01">
        <w:t xml:space="preserve">request </w:t>
      </w:r>
      <w:r>
        <w:t>confirm</w:t>
      </w:r>
      <w:r w:rsidR="00D23E56">
        <w:t>ation</w:t>
      </w:r>
      <w:r>
        <w:t xml:space="preserve"> </w:t>
      </w:r>
      <w:r w:rsidR="00D23E56">
        <w:t>of</w:t>
      </w:r>
      <w:r>
        <w:t xml:space="preserve"> their gas supply for the quarter</w:t>
      </w:r>
      <w:r w:rsidR="000D5AA4">
        <w:t xml:space="preserve"> as at the date of the Minister’s notification</w:t>
      </w:r>
      <w:r>
        <w:t xml:space="preserve">; </w:t>
      </w:r>
    </w:p>
    <w:p w14:paraId="3C5384D7" w14:textId="39CBC1A0" w:rsidR="007A7611" w:rsidRDefault="00C0220C" w:rsidP="00317E41">
      <w:pPr>
        <w:pStyle w:val="subsection"/>
        <w:numPr>
          <w:ilvl w:val="1"/>
          <w:numId w:val="47"/>
        </w:numPr>
        <w:ind w:left="1418" w:hanging="284"/>
      </w:pPr>
      <w:r>
        <w:t xml:space="preserve">for an LNG project for which the Minister is considering issuing an unlimited volume permission — </w:t>
      </w:r>
      <w:r w:rsidR="007A7611">
        <w:t xml:space="preserve">notify </w:t>
      </w:r>
      <w:r>
        <w:t xml:space="preserve">the </w:t>
      </w:r>
      <w:r w:rsidR="007A7611">
        <w:t xml:space="preserve">LNG project </w:t>
      </w:r>
      <w:r>
        <w:t xml:space="preserve">it is </w:t>
      </w:r>
      <w:r w:rsidR="007A7611">
        <w:t xml:space="preserve">located in </w:t>
      </w:r>
      <w:r>
        <w:t xml:space="preserve">a </w:t>
      </w:r>
      <w:r w:rsidR="007A7611">
        <w:t>part of the domestic gas market where Australian consumers are forecast to be unaffected by the shortfall; and</w:t>
      </w:r>
    </w:p>
    <w:p w14:paraId="471B04A0" w14:textId="52BEC49A" w:rsidR="00204D1A" w:rsidRDefault="00AB5319" w:rsidP="00A820C3">
      <w:pPr>
        <w:pStyle w:val="subsection"/>
        <w:numPr>
          <w:ilvl w:val="1"/>
          <w:numId w:val="47"/>
        </w:numPr>
        <w:ind w:firstLine="359"/>
      </w:pPr>
      <w:r>
        <w:t xml:space="preserve">invite </w:t>
      </w:r>
      <w:r w:rsidR="005B5695">
        <w:t>propos</w:t>
      </w:r>
      <w:r>
        <w:t>als for</w:t>
      </w:r>
      <w:r w:rsidR="005B5695">
        <w:t xml:space="preserve"> </w:t>
      </w:r>
      <w:r w:rsidR="006A0BA7">
        <w:t xml:space="preserve">an industry-led solution to </w:t>
      </w:r>
      <w:r>
        <w:t>prevent the forecast</w:t>
      </w:r>
      <w:r w:rsidR="006A0BA7">
        <w:t xml:space="preserve"> shortfall</w:t>
      </w:r>
      <w:r w:rsidR="00204D1A">
        <w:t>.</w:t>
      </w:r>
    </w:p>
    <w:p w14:paraId="34F355A0" w14:textId="5DD38067" w:rsidR="00D352DA" w:rsidRDefault="00D352DA" w:rsidP="00886885">
      <w:pPr>
        <w:pStyle w:val="subsection"/>
        <w:numPr>
          <w:ilvl w:val="0"/>
          <w:numId w:val="47"/>
        </w:numPr>
        <w:ind w:left="851" w:hanging="491"/>
      </w:pPr>
      <w:r>
        <w:t xml:space="preserve">An LNG project should alert any LNG </w:t>
      </w:r>
      <w:proofErr w:type="spellStart"/>
      <w:r>
        <w:t>toll</w:t>
      </w:r>
      <w:r w:rsidR="0098190D">
        <w:t>ee</w:t>
      </w:r>
      <w:proofErr w:type="spellEnd"/>
      <w:r>
        <w:t xml:space="preserve"> exporters with which it has a gas processing agreement to the Minister’s notification.</w:t>
      </w:r>
    </w:p>
    <w:p w14:paraId="0BEEB91C" w14:textId="15F1E06A" w:rsidR="00F736F5" w:rsidRPr="00F736F5" w:rsidRDefault="00F736F5" w:rsidP="00886885">
      <w:pPr>
        <w:pStyle w:val="subsection"/>
        <w:numPr>
          <w:ilvl w:val="0"/>
          <w:numId w:val="47"/>
        </w:numPr>
        <w:ind w:left="851" w:hanging="491"/>
      </w:pPr>
      <w:r>
        <w:t xml:space="preserve">The Minister may </w:t>
      </w:r>
      <w:r w:rsidR="00355470">
        <w:t>consult Australian gas producers</w:t>
      </w:r>
      <w:r w:rsidR="00AD746F">
        <w:t>,</w:t>
      </w:r>
      <w:r w:rsidR="003647F5">
        <w:t xml:space="preserve"> importers</w:t>
      </w:r>
      <w:r w:rsidR="00D352DA">
        <w:t xml:space="preserve">, LNG </w:t>
      </w:r>
      <w:proofErr w:type="spellStart"/>
      <w:r w:rsidR="00D352DA">
        <w:t>toll</w:t>
      </w:r>
      <w:r w:rsidR="00EB7238">
        <w:t>ee</w:t>
      </w:r>
      <w:proofErr w:type="spellEnd"/>
      <w:r w:rsidR="00D352DA">
        <w:t xml:space="preserve"> exporters</w:t>
      </w:r>
      <w:r w:rsidR="003647F5">
        <w:t xml:space="preserve"> </w:t>
      </w:r>
      <w:r w:rsidR="00AD746F">
        <w:t xml:space="preserve">or other gas market participants </w:t>
      </w:r>
      <w:r w:rsidR="003647F5">
        <w:t>t</w:t>
      </w:r>
      <w:r w:rsidR="00355470">
        <w:t>h</w:t>
      </w:r>
      <w:r w:rsidR="003647F5">
        <w:t>at</w:t>
      </w:r>
      <w:r w:rsidR="00355470">
        <w:t xml:space="preserve"> are not LNG projects on the matters specified in subsection </w:t>
      </w:r>
      <w:r w:rsidR="00F07740">
        <w:t>8</w:t>
      </w:r>
      <w:r w:rsidR="00355470">
        <w:t>(6).</w:t>
      </w:r>
    </w:p>
    <w:p w14:paraId="5BA90AA0" w14:textId="6BDBBC0D" w:rsidR="00B55619" w:rsidRDefault="00B55619" w:rsidP="00886885">
      <w:pPr>
        <w:pStyle w:val="subsection"/>
        <w:numPr>
          <w:ilvl w:val="0"/>
          <w:numId w:val="47"/>
        </w:numPr>
        <w:ind w:left="851" w:hanging="491"/>
      </w:pPr>
      <w:r>
        <w:rPr>
          <w:b/>
          <w:bCs/>
          <w:i/>
          <w:iCs/>
        </w:rPr>
        <w:t>Gas supply</w:t>
      </w:r>
      <w:r>
        <w:t xml:space="preserve"> is</w:t>
      </w:r>
      <w:r w:rsidR="00D90038">
        <w:t>, at the time the Minister made the Minister’s notification,</w:t>
      </w:r>
      <w:r>
        <w:t xml:space="preserve"> the LNG </w:t>
      </w:r>
      <w:r w:rsidR="00E6307E">
        <w:t>p</w:t>
      </w:r>
      <w:r>
        <w:t>roject’s:</w:t>
      </w:r>
    </w:p>
    <w:p w14:paraId="5FBE29AF" w14:textId="77777777" w:rsidR="00B55619" w:rsidRDefault="00B55619" w:rsidP="006B309E">
      <w:pPr>
        <w:pStyle w:val="subsection"/>
        <w:numPr>
          <w:ilvl w:val="1"/>
          <w:numId w:val="30"/>
        </w:numPr>
        <w:ind w:left="1418" w:hanging="284"/>
      </w:pPr>
      <w:r>
        <w:t>gas production volume;</w:t>
      </w:r>
    </w:p>
    <w:p w14:paraId="5798C2CB" w14:textId="3FEF9116" w:rsidR="00B55619" w:rsidRDefault="00225CBA" w:rsidP="00886885">
      <w:pPr>
        <w:pStyle w:val="subsection"/>
        <w:numPr>
          <w:ilvl w:val="1"/>
          <w:numId w:val="30"/>
        </w:numPr>
        <w:ind w:left="1418" w:hanging="284"/>
      </w:pPr>
      <w:r>
        <w:t>plu</w:t>
      </w:r>
      <w:r w:rsidR="00B55619">
        <w:t>s volume</w:t>
      </w:r>
      <w:r w:rsidR="00075BBC">
        <w:t>s purchased from participants in the domestic market</w:t>
      </w:r>
      <w:r w:rsidR="00CD0B38">
        <w:t xml:space="preserve"> (</w:t>
      </w:r>
      <w:r w:rsidR="00CD0B38" w:rsidRPr="00CD0B38">
        <w:rPr>
          <w:b/>
          <w:bCs/>
          <w:i/>
          <w:iCs/>
        </w:rPr>
        <w:t xml:space="preserve">domestic gas </w:t>
      </w:r>
      <w:r w:rsidR="00CD0B38">
        <w:rPr>
          <w:b/>
          <w:bCs/>
          <w:i/>
          <w:iCs/>
        </w:rPr>
        <w:t>purchased</w:t>
      </w:r>
      <w:r w:rsidR="00CD0B38" w:rsidRPr="00CD0B38">
        <w:rPr>
          <w:b/>
          <w:bCs/>
          <w:i/>
          <w:iCs/>
        </w:rPr>
        <w:t xml:space="preserve"> volume</w:t>
      </w:r>
      <w:r w:rsidR="00CD0B38">
        <w:t>)</w:t>
      </w:r>
      <w:r w:rsidR="00075BBC">
        <w:t>;</w:t>
      </w:r>
    </w:p>
    <w:p w14:paraId="649DCB09" w14:textId="7B951BD3" w:rsidR="008F2BCF" w:rsidRDefault="008F2BCF" w:rsidP="00886885">
      <w:pPr>
        <w:pStyle w:val="subsection"/>
        <w:numPr>
          <w:ilvl w:val="1"/>
          <w:numId w:val="30"/>
        </w:numPr>
        <w:ind w:left="1418" w:hanging="284"/>
      </w:pPr>
      <w:r>
        <w:t>plus its tolled gas volume;</w:t>
      </w:r>
    </w:p>
    <w:p w14:paraId="6E51373C" w14:textId="69CE6FE5" w:rsidR="00075BBC" w:rsidRDefault="00075BBC" w:rsidP="00886885">
      <w:pPr>
        <w:pStyle w:val="subsection"/>
        <w:numPr>
          <w:ilvl w:val="1"/>
          <w:numId w:val="30"/>
        </w:numPr>
        <w:ind w:left="1418" w:hanging="284"/>
      </w:pPr>
      <w:r>
        <w:t>minus volumes contracted to be sold to domestic customers or Australian LNG projects</w:t>
      </w:r>
      <w:r w:rsidR="00CD0B38">
        <w:t xml:space="preserve"> (</w:t>
      </w:r>
      <w:r w:rsidR="00CD0B38" w:rsidRPr="00CD0B38">
        <w:rPr>
          <w:b/>
          <w:bCs/>
          <w:i/>
          <w:iCs/>
        </w:rPr>
        <w:t>domestic gas sales volume</w:t>
      </w:r>
      <w:r w:rsidR="00CD0B38">
        <w:t>)</w:t>
      </w:r>
      <w:r>
        <w:t>.</w:t>
      </w:r>
    </w:p>
    <w:p w14:paraId="7377F8BB" w14:textId="05D3CC42" w:rsidR="00E90F1B" w:rsidRDefault="00DB57C4">
      <w:pPr>
        <w:pStyle w:val="subsection"/>
        <w:numPr>
          <w:ilvl w:val="0"/>
          <w:numId w:val="47"/>
        </w:numPr>
        <w:ind w:left="851" w:hanging="491"/>
      </w:pPr>
      <w:r>
        <w:t>T</w:t>
      </w:r>
      <w:r w:rsidR="00E90F1B">
        <w:t xml:space="preserve">he Minister may request information on how the LNG </w:t>
      </w:r>
      <w:r>
        <w:t>p</w:t>
      </w:r>
      <w:r w:rsidR="00E90F1B">
        <w:t>roject calculated gas supply</w:t>
      </w:r>
      <w:r>
        <w:t xml:space="preserve">, including </w:t>
      </w:r>
      <w:r w:rsidR="00E90F1B">
        <w:t xml:space="preserve">the LNG </w:t>
      </w:r>
      <w:r w:rsidR="00593833">
        <w:t>p</w:t>
      </w:r>
      <w:r w:rsidR="00E90F1B">
        <w:t>roject’s:</w:t>
      </w:r>
    </w:p>
    <w:p w14:paraId="70727720" w14:textId="406B9737" w:rsidR="00A467CF" w:rsidRDefault="00A467CF" w:rsidP="00A820C3">
      <w:pPr>
        <w:pStyle w:val="subsection"/>
        <w:numPr>
          <w:ilvl w:val="0"/>
          <w:numId w:val="50"/>
        </w:numPr>
        <w:ind w:left="1418"/>
      </w:pPr>
      <w:r>
        <w:t>gas production volume;</w:t>
      </w:r>
      <w:r w:rsidR="00356F01">
        <w:t xml:space="preserve"> and</w:t>
      </w:r>
    </w:p>
    <w:p w14:paraId="7A94DD9D" w14:textId="165A4BAF" w:rsidR="008D060C" w:rsidRDefault="008D060C" w:rsidP="00A820C3">
      <w:pPr>
        <w:pStyle w:val="subsection"/>
        <w:numPr>
          <w:ilvl w:val="0"/>
          <w:numId w:val="50"/>
        </w:numPr>
        <w:ind w:left="1418"/>
      </w:pPr>
      <w:r>
        <w:t>tolled gas volume; and</w:t>
      </w:r>
    </w:p>
    <w:p w14:paraId="34ACDB5C" w14:textId="49CB7605" w:rsidR="00CD0B38" w:rsidRDefault="00A467CF" w:rsidP="00CD0B38">
      <w:pPr>
        <w:pStyle w:val="subsection"/>
        <w:numPr>
          <w:ilvl w:val="0"/>
          <w:numId w:val="50"/>
        </w:numPr>
        <w:ind w:left="1418"/>
      </w:pPr>
      <w:r>
        <w:t>domestic gas purchased volume</w:t>
      </w:r>
      <w:r w:rsidR="00CD0B38">
        <w:t>; and</w:t>
      </w:r>
    </w:p>
    <w:p w14:paraId="462325B8" w14:textId="3AA982ED" w:rsidR="00A467CF" w:rsidRDefault="00CD0B38" w:rsidP="00761DF5">
      <w:pPr>
        <w:pStyle w:val="subsection"/>
        <w:numPr>
          <w:ilvl w:val="0"/>
          <w:numId w:val="50"/>
        </w:numPr>
        <w:ind w:left="1418"/>
      </w:pPr>
      <w:r>
        <w:t>domestic gas sales volume.</w:t>
      </w:r>
    </w:p>
    <w:p w14:paraId="4914EFB6" w14:textId="33D11A0E" w:rsidR="00204D1A" w:rsidRDefault="008668F0" w:rsidP="00204D1A">
      <w:pPr>
        <w:pStyle w:val="SubsectionHead"/>
      </w:pPr>
      <w:r>
        <w:lastRenderedPageBreak/>
        <w:t>Determining a</w:t>
      </w:r>
      <w:r w:rsidR="00D37B6F">
        <w:t xml:space="preserve"> domestic</w:t>
      </w:r>
      <w:r>
        <w:t xml:space="preserve"> shortfall quarter</w:t>
      </w:r>
    </w:p>
    <w:p w14:paraId="5C1573E3" w14:textId="79FD832F" w:rsidR="00204D1A" w:rsidRDefault="00204D1A" w:rsidP="00A820C3">
      <w:pPr>
        <w:pStyle w:val="subsection"/>
        <w:numPr>
          <w:ilvl w:val="0"/>
          <w:numId w:val="47"/>
        </w:numPr>
        <w:ind w:left="851" w:hanging="491"/>
      </w:pPr>
      <w:r>
        <w:tab/>
      </w:r>
      <w:r w:rsidR="00F03672">
        <w:t>T</w:t>
      </w:r>
      <w:r>
        <w:t xml:space="preserve">he Minister </w:t>
      </w:r>
      <w:r w:rsidR="003D709C">
        <w:t>will</w:t>
      </w:r>
      <w:r w:rsidR="00D45EB4">
        <w:t xml:space="preserve"> </w:t>
      </w:r>
      <w:r w:rsidR="00CA0F17">
        <w:t xml:space="preserve">exercise </w:t>
      </w:r>
      <w:r w:rsidR="00A90AF6">
        <w:t xml:space="preserve">fair and reasonable </w:t>
      </w:r>
      <w:r w:rsidR="00CA0F17">
        <w:t xml:space="preserve">discretion and judgement in </w:t>
      </w:r>
      <w:r>
        <w:t>consider</w:t>
      </w:r>
      <w:r w:rsidR="00CA0F17">
        <w:t>ing</w:t>
      </w:r>
      <w:r>
        <w:t xml:space="preserve"> all relevant and available information </w:t>
      </w:r>
      <w:r w:rsidR="00CA0F17">
        <w:t xml:space="preserve">to </w:t>
      </w:r>
      <w:r>
        <w:t>decid</w:t>
      </w:r>
      <w:r w:rsidR="003D709C">
        <w:t>ing</w:t>
      </w:r>
      <w:r>
        <w:t xml:space="preserve"> whether to </w:t>
      </w:r>
      <w:r w:rsidR="003D709C">
        <w:t>make a Minister’s determination</w:t>
      </w:r>
      <w:r>
        <w:t>.</w:t>
      </w:r>
      <w:r w:rsidR="002F05F6" w:rsidDel="002F05F6">
        <w:t xml:space="preserve"> </w:t>
      </w:r>
    </w:p>
    <w:p w14:paraId="20DCB9A9" w14:textId="529E1195" w:rsidR="003F6DE8" w:rsidRDefault="000D5AA4" w:rsidP="00A820C3">
      <w:pPr>
        <w:pStyle w:val="subsection"/>
        <w:numPr>
          <w:ilvl w:val="0"/>
          <w:numId w:val="47"/>
        </w:numPr>
        <w:ind w:left="851" w:hanging="491"/>
      </w:pPr>
      <w:r>
        <w:t xml:space="preserve">For the Minister to </w:t>
      </w:r>
      <w:r w:rsidR="00340409">
        <w:t>make a Minister’s determination</w:t>
      </w:r>
      <w:r>
        <w:t xml:space="preserve">, the Minister must have reasonable grounds for </w:t>
      </w:r>
      <w:r w:rsidR="00AD746F">
        <w:t>their belief</w:t>
      </w:r>
      <w:r>
        <w:t xml:space="preserve"> that</w:t>
      </w:r>
      <w:r w:rsidR="003F6DE8">
        <w:t>:</w:t>
      </w:r>
    </w:p>
    <w:p w14:paraId="7D25F0B2" w14:textId="133994D7" w:rsidR="000D5AA4" w:rsidRDefault="000D5AA4" w:rsidP="00136D77">
      <w:pPr>
        <w:pStyle w:val="subsection"/>
        <w:numPr>
          <w:ilvl w:val="0"/>
          <w:numId w:val="54"/>
        </w:numPr>
        <w:ind w:left="1418" w:hanging="425"/>
      </w:pPr>
      <w:r>
        <w:t>there will not be a sufficient supply of natural gas for Australian consumers unless exports of LNG are controlled.</w:t>
      </w:r>
      <w:r w:rsidR="004569AC">
        <w:t xml:space="preserve"> </w:t>
      </w:r>
    </w:p>
    <w:p w14:paraId="769FBFDE" w14:textId="45124ABA" w:rsidR="00204D1A" w:rsidRDefault="00204D1A" w:rsidP="00A820C3">
      <w:pPr>
        <w:pStyle w:val="subsection"/>
        <w:numPr>
          <w:ilvl w:val="0"/>
          <w:numId w:val="47"/>
        </w:numPr>
        <w:ind w:left="851" w:hanging="491"/>
      </w:pPr>
      <w:r>
        <w:t>When considering whether the</w:t>
      </w:r>
      <w:r w:rsidR="00DA5FC8">
        <w:t>re are reasonable grounds to believe that there will not be a sufficient supply of natural gas for Australian consumers unless exports are controlled,</w:t>
      </w:r>
      <w:r>
        <w:t xml:space="preserve"> </w:t>
      </w:r>
      <w:r w:rsidR="00802093">
        <w:t xml:space="preserve">and that exports of LNG would contribute to that lack of supply, </w:t>
      </w:r>
      <w:r>
        <w:t>the Minister may take into account a range of factors. These may include, but are not limited to</w:t>
      </w:r>
      <w:r w:rsidR="00D91741">
        <w:t>,</w:t>
      </w:r>
      <w:r>
        <w:t xml:space="preserve"> the following</w:t>
      </w:r>
      <w:r w:rsidR="00F925A3">
        <w:t>.</w:t>
      </w:r>
    </w:p>
    <w:p w14:paraId="3B3C0FB3" w14:textId="55308DDE" w:rsidR="00204D1A" w:rsidRDefault="00F925A3" w:rsidP="00A820C3">
      <w:pPr>
        <w:pStyle w:val="subsection"/>
        <w:numPr>
          <w:ilvl w:val="1"/>
          <w:numId w:val="47"/>
        </w:numPr>
        <w:ind w:left="1418" w:hanging="425"/>
      </w:pPr>
      <w:r>
        <w:t>T</w:t>
      </w:r>
      <w:r w:rsidR="00204D1A">
        <w:t xml:space="preserve">he extent to which </w:t>
      </w:r>
      <w:r w:rsidR="0039255A">
        <w:t>limiting</w:t>
      </w:r>
      <w:r w:rsidR="00F000ED">
        <w:t xml:space="preserve"> LNG</w:t>
      </w:r>
      <w:r w:rsidR="0039255A">
        <w:t xml:space="preserve"> </w:t>
      </w:r>
      <w:r w:rsidR="00204D1A">
        <w:t xml:space="preserve">exports </w:t>
      </w:r>
      <w:r w:rsidR="0039255A">
        <w:t xml:space="preserve">could be </w:t>
      </w:r>
      <w:r w:rsidR="00DF2CDA">
        <w:t xml:space="preserve">expected to </w:t>
      </w:r>
      <w:r w:rsidR="0039255A">
        <w:t>reduc</w:t>
      </w:r>
      <w:r w:rsidR="00E2011A">
        <w:t>e</w:t>
      </w:r>
      <w:r w:rsidR="0039255A">
        <w:t xml:space="preserve"> </w:t>
      </w:r>
      <w:r w:rsidR="00204D1A">
        <w:t>a shortfall</w:t>
      </w:r>
      <w:r>
        <w:t>.</w:t>
      </w:r>
    </w:p>
    <w:p w14:paraId="585551C5" w14:textId="410E92DC" w:rsidR="00204D1A" w:rsidRDefault="00F925A3" w:rsidP="00A820C3">
      <w:pPr>
        <w:pStyle w:val="subsection"/>
        <w:numPr>
          <w:ilvl w:val="1"/>
          <w:numId w:val="47"/>
        </w:numPr>
        <w:ind w:left="1418" w:hanging="425"/>
      </w:pPr>
      <w:r>
        <w:t>E</w:t>
      </w:r>
      <w:r w:rsidR="00204D1A">
        <w:t>xternal factors influencing the gas market</w:t>
      </w:r>
      <w:r>
        <w:t>.</w:t>
      </w:r>
    </w:p>
    <w:p w14:paraId="17A2E6B5" w14:textId="55C373F4" w:rsidR="00204D1A" w:rsidRPr="00AA3492" w:rsidRDefault="00204D1A" w:rsidP="00A820C3">
      <w:pPr>
        <w:pStyle w:val="noteToPara"/>
        <w:ind w:left="1843" w:hanging="850"/>
      </w:pPr>
      <w:r w:rsidRPr="00AA3492">
        <w:rPr>
          <w:rStyle w:val="notetextChar"/>
        </w:rPr>
        <w:t>Example:</w:t>
      </w:r>
      <w:r w:rsidRPr="00AA3492">
        <w:rPr>
          <w:rStyle w:val="notetextChar"/>
        </w:rPr>
        <w:tab/>
        <w:t>This may include natural disasters, infrastructure malfunctions</w:t>
      </w:r>
      <w:r w:rsidR="009F71E4">
        <w:rPr>
          <w:rStyle w:val="notetextChar"/>
        </w:rPr>
        <w:t xml:space="preserve"> or closures,</w:t>
      </w:r>
      <w:r w:rsidRPr="00AA3492">
        <w:rPr>
          <w:rStyle w:val="notetextChar"/>
        </w:rPr>
        <w:t xml:space="preserve"> </w:t>
      </w:r>
      <w:r w:rsidR="00DE032B">
        <w:rPr>
          <w:rStyle w:val="notetextChar"/>
        </w:rPr>
        <w:t>or</w:t>
      </w:r>
      <w:r w:rsidRPr="00AA3492">
        <w:rPr>
          <w:rStyle w:val="notetextChar"/>
        </w:rPr>
        <w:t xml:space="preserve"> a sudden rise in demand</w:t>
      </w:r>
      <w:r w:rsidRPr="00AA3492">
        <w:t>.</w:t>
      </w:r>
    </w:p>
    <w:p w14:paraId="373C5432" w14:textId="181FF41E" w:rsidR="00204D1A" w:rsidRDefault="00F925A3" w:rsidP="00A820C3">
      <w:pPr>
        <w:pStyle w:val="subsection"/>
        <w:numPr>
          <w:ilvl w:val="1"/>
          <w:numId w:val="47"/>
        </w:numPr>
        <w:ind w:left="1418"/>
      </w:pPr>
      <w:r>
        <w:t>T</w:t>
      </w:r>
      <w:r w:rsidR="00204D1A">
        <w:t>he materiality of a shortfall</w:t>
      </w:r>
      <w:r>
        <w:t>. T</w:t>
      </w:r>
      <w:r w:rsidR="00204D1A" w:rsidRPr="005721A1">
        <w:t xml:space="preserve">he Minister may choose not to </w:t>
      </w:r>
      <w:r w:rsidR="00834152">
        <w:t>determine</w:t>
      </w:r>
      <w:r w:rsidR="00204D1A" w:rsidRPr="005721A1">
        <w:t xml:space="preserve"> a </w:t>
      </w:r>
      <w:r w:rsidR="00D37B6F">
        <w:t xml:space="preserve">domestic </w:t>
      </w:r>
      <w:r w:rsidR="00204D1A" w:rsidRPr="005721A1">
        <w:t xml:space="preserve">shortfall </w:t>
      </w:r>
      <w:r w:rsidR="00BA448E">
        <w:t>quarter</w:t>
      </w:r>
      <w:r w:rsidR="00204D1A">
        <w:t xml:space="preserve">, even where </w:t>
      </w:r>
      <w:r w:rsidR="004569AC">
        <w:t xml:space="preserve">the Minister </w:t>
      </w:r>
      <w:r w:rsidR="00204D1A">
        <w:t>determine</w:t>
      </w:r>
      <w:r w:rsidR="004569AC">
        <w:t>s</w:t>
      </w:r>
      <w:r w:rsidR="00204D1A">
        <w:t xml:space="preserve"> there will be a </w:t>
      </w:r>
      <w:r w:rsidR="00AD746F">
        <w:t>shortfall</w:t>
      </w:r>
      <w:r w:rsidR="00204D1A">
        <w:t>,</w:t>
      </w:r>
      <w:r w:rsidR="00204D1A" w:rsidRPr="005721A1">
        <w:t xml:space="preserve"> </w:t>
      </w:r>
      <w:r w:rsidR="00204D1A">
        <w:t>if</w:t>
      </w:r>
      <w:r w:rsidR="00204D1A" w:rsidRPr="005721A1">
        <w:t xml:space="preserve"> </w:t>
      </w:r>
      <w:r w:rsidR="004569AC">
        <w:t>the Minister</w:t>
      </w:r>
      <w:r w:rsidR="004569AC" w:rsidRPr="005721A1">
        <w:t xml:space="preserve"> </w:t>
      </w:r>
      <w:r w:rsidR="00204D1A" w:rsidRPr="005721A1">
        <w:t>consider</w:t>
      </w:r>
      <w:r w:rsidR="004569AC">
        <w:t>s</w:t>
      </w:r>
      <w:r w:rsidR="00204D1A" w:rsidRPr="005721A1">
        <w:t xml:space="preserve"> the likely shortfall </w:t>
      </w:r>
      <w:r w:rsidR="00BA448E">
        <w:t>volume to be small compared to forecast demand</w:t>
      </w:r>
      <w:r>
        <w:t>.</w:t>
      </w:r>
    </w:p>
    <w:p w14:paraId="6C5E94FA" w14:textId="5D43629B" w:rsidR="00AD746F" w:rsidRDefault="00AD746F" w:rsidP="00A820C3">
      <w:pPr>
        <w:pStyle w:val="subsection"/>
        <w:numPr>
          <w:ilvl w:val="1"/>
          <w:numId w:val="47"/>
        </w:numPr>
        <w:ind w:left="1418"/>
      </w:pPr>
      <w:r>
        <w:t>T</w:t>
      </w:r>
      <w:r w:rsidRPr="005721A1">
        <w:t xml:space="preserve">he </w:t>
      </w:r>
      <w:r>
        <w:t xml:space="preserve">social and economic </w:t>
      </w:r>
      <w:r w:rsidRPr="005721A1">
        <w:t>costs of imposing export controls</w:t>
      </w:r>
      <w:r>
        <w:t xml:space="preserve">. </w:t>
      </w:r>
      <w:r w:rsidRPr="00AD746F">
        <w:t xml:space="preserve">The Minister </w:t>
      </w:r>
      <w:r w:rsidRPr="005721A1">
        <w:t xml:space="preserve">may choose not to </w:t>
      </w:r>
      <w:r>
        <w:t>determine</w:t>
      </w:r>
      <w:r w:rsidRPr="005721A1">
        <w:t xml:space="preserve"> a </w:t>
      </w:r>
      <w:r>
        <w:t xml:space="preserve">domestic </w:t>
      </w:r>
      <w:r w:rsidRPr="005721A1">
        <w:t xml:space="preserve">shortfall </w:t>
      </w:r>
      <w:r>
        <w:t>quarter, even where the Minister determines there will be a shortfall,</w:t>
      </w:r>
      <w:r w:rsidRPr="005721A1">
        <w:t xml:space="preserve"> </w:t>
      </w:r>
      <w:r>
        <w:t>if</w:t>
      </w:r>
      <w:r w:rsidRPr="005721A1">
        <w:t xml:space="preserve"> </w:t>
      </w:r>
      <w:r>
        <w:t>the Minister</w:t>
      </w:r>
      <w:r w:rsidRPr="005721A1">
        <w:t xml:space="preserve"> consider</w:t>
      </w:r>
      <w:r>
        <w:t>s</w:t>
      </w:r>
      <w:r w:rsidRPr="005721A1">
        <w:t xml:space="preserve"> </w:t>
      </w:r>
      <w:r w:rsidRPr="00AD746F">
        <w:t>the social and economic costs of imposing export controls are likely to be greater than the benefit to Australian consumers affected by a shortfall.</w:t>
      </w:r>
    </w:p>
    <w:p w14:paraId="55BD2321" w14:textId="122D3BDF" w:rsidR="00204D1A" w:rsidRDefault="00872198" w:rsidP="00A820C3">
      <w:pPr>
        <w:pStyle w:val="subsection"/>
        <w:numPr>
          <w:ilvl w:val="1"/>
          <w:numId w:val="47"/>
        </w:numPr>
        <w:ind w:left="1418"/>
      </w:pPr>
      <w:r>
        <w:t>L</w:t>
      </w:r>
      <w:r w:rsidR="0039255A">
        <w:t xml:space="preserve">imitations in </w:t>
      </w:r>
      <w:r w:rsidR="00204D1A">
        <w:t xml:space="preserve">the ability for </w:t>
      </w:r>
      <w:r w:rsidR="008F6715">
        <w:t xml:space="preserve">LNG </w:t>
      </w:r>
      <w:r w:rsidR="00B94E93">
        <w:t>p</w:t>
      </w:r>
      <w:r>
        <w:t xml:space="preserve">rojects </w:t>
      </w:r>
      <w:r w:rsidR="00204D1A">
        <w:t>to redirect gas to the domestic market</w:t>
      </w:r>
      <w:r>
        <w:t>. T</w:t>
      </w:r>
      <w:r w:rsidR="00204D1A">
        <w:t xml:space="preserve">he Minister may consider the practical impact of export controls in the event </w:t>
      </w:r>
      <w:r w:rsidR="000F2BC7">
        <w:t>of a Minister’s determination</w:t>
      </w:r>
      <w:r>
        <w:t>.</w:t>
      </w:r>
    </w:p>
    <w:p w14:paraId="31736799" w14:textId="78C10519" w:rsidR="00204D1A" w:rsidRDefault="00204D1A" w:rsidP="008F1219">
      <w:pPr>
        <w:pStyle w:val="noteToPara"/>
        <w:ind w:left="1843" w:hanging="850"/>
      </w:pPr>
      <w:r>
        <w:t>Example:</w:t>
      </w:r>
      <w:r>
        <w:tab/>
        <w:t>The Minister may consider whether market impediments</w:t>
      </w:r>
      <w:r w:rsidR="00BA448E">
        <w:t xml:space="preserve"> (such as transport and storage infrastructure constraints) </w:t>
      </w:r>
      <w:r>
        <w:t xml:space="preserve">are likely to prevent export controls from resulting in </w:t>
      </w:r>
      <w:r w:rsidR="004C72B2">
        <w:t xml:space="preserve">the </w:t>
      </w:r>
      <w:r>
        <w:t xml:space="preserve">additional </w:t>
      </w:r>
      <w:r w:rsidR="004C72B2">
        <w:t xml:space="preserve">supply of </w:t>
      </w:r>
      <w:r w:rsidR="0046730F">
        <w:t xml:space="preserve">gas </w:t>
      </w:r>
      <w:r>
        <w:t xml:space="preserve">to </w:t>
      </w:r>
      <w:r w:rsidR="00D9732A">
        <w:t>Australian consumers affected by a shortfall</w:t>
      </w:r>
      <w:r>
        <w:t>.</w:t>
      </w:r>
    </w:p>
    <w:p w14:paraId="25D56043" w14:textId="6CAA3236" w:rsidR="003651C2" w:rsidRDefault="00E46E25" w:rsidP="00A820C3">
      <w:pPr>
        <w:pStyle w:val="subsection"/>
        <w:numPr>
          <w:ilvl w:val="1"/>
          <w:numId w:val="47"/>
        </w:numPr>
        <w:ind w:left="1418"/>
      </w:pPr>
      <w:r>
        <w:t>T</w:t>
      </w:r>
      <w:r w:rsidR="00204D1A">
        <w:t>he availability of an industry-led solution to an identified shortfall</w:t>
      </w:r>
      <w:r>
        <w:t>. T</w:t>
      </w:r>
      <w:r w:rsidR="00204D1A">
        <w:t>he</w:t>
      </w:r>
      <w:r w:rsidR="005451CA">
        <w:t> </w:t>
      </w:r>
      <w:r w:rsidR="00204D1A">
        <w:t xml:space="preserve">Minister may </w:t>
      </w:r>
      <w:r w:rsidR="00204D1A" w:rsidRPr="00104620">
        <w:t xml:space="preserve">consider whether </w:t>
      </w:r>
      <w:r w:rsidR="00DF2CDA">
        <w:t>a person has</w:t>
      </w:r>
      <w:r w:rsidR="00204D1A" w:rsidRPr="00104620">
        <w:t xml:space="preserve"> </w:t>
      </w:r>
      <w:r w:rsidR="0039255A">
        <w:t xml:space="preserve">entered into commitments to voluntarily deliver volumes </w:t>
      </w:r>
      <w:r w:rsidR="00204D1A" w:rsidRPr="00104620">
        <w:t xml:space="preserve">to </w:t>
      </w:r>
      <w:r w:rsidR="005E45DA">
        <w:t xml:space="preserve">Australian </w:t>
      </w:r>
      <w:r w:rsidR="00D570D2">
        <w:t xml:space="preserve">consumers in </w:t>
      </w:r>
      <w:r w:rsidR="00204D1A" w:rsidRPr="00104620">
        <w:t xml:space="preserve">the </w:t>
      </w:r>
      <w:r w:rsidR="005E5FE7">
        <w:t xml:space="preserve">relevant part of the </w:t>
      </w:r>
      <w:r w:rsidR="00204D1A" w:rsidRPr="00104620">
        <w:t>Australian domestic gas market which would be sufficient to avoid the occurrence of a shortfall</w:t>
      </w:r>
      <w:r w:rsidR="005451CA">
        <w:t>.</w:t>
      </w:r>
    </w:p>
    <w:p w14:paraId="656327EC" w14:textId="2C768718" w:rsidR="00204D1A" w:rsidRDefault="00E46E25" w:rsidP="00A820C3">
      <w:pPr>
        <w:pStyle w:val="subsection"/>
        <w:numPr>
          <w:ilvl w:val="1"/>
          <w:numId w:val="47"/>
        </w:numPr>
        <w:ind w:left="1418"/>
      </w:pPr>
      <w:r>
        <w:t>T</w:t>
      </w:r>
      <w:r w:rsidR="003651C2">
        <w:t xml:space="preserve">he past performance of all participants in the Australian domestic gas market, including any strategic behaviour or ‘gaming’ of the ADGSM. </w:t>
      </w:r>
    </w:p>
    <w:p w14:paraId="4BC1D4B2" w14:textId="11EF5EA7" w:rsidR="00B4636C" w:rsidRDefault="00361E75" w:rsidP="00A820C3">
      <w:pPr>
        <w:pStyle w:val="subsection"/>
        <w:numPr>
          <w:ilvl w:val="0"/>
          <w:numId w:val="47"/>
        </w:numPr>
        <w:ind w:left="851" w:hanging="491"/>
      </w:pPr>
      <w:r>
        <w:lastRenderedPageBreak/>
        <w:t>T</w:t>
      </w:r>
      <w:r w:rsidR="008B5181">
        <w:t>he</w:t>
      </w:r>
      <w:r w:rsidR="00C30AD0">
        <w:t xml:space="preserve"> Minister’s determination will</w:t>
      </w:r>
      <w:r w:rsidR="00700B7A">
        <w:t xml:space="preserve"> specify the </w:t>
      </w:r>
      <w:r w:rsidR="00700B7A" w:rsidRPr="003C47D4">
        <w:t>shortfall volume</w:t>
      </w:r>
      <w:r w:rsidR="00C30AD0">
        <w:t xml:space="preserve"> </w:t>
      </w:r>
      <w:r w:rsidR="00700B7A">
        <w:t xml:space="preserve">and </w:t>
      </w:r>
      <w:r w:rsidR="00C30AD0">
        <w:t>be accompanied by</w:t>
      </w:r>
      <w:r w:rsidR="00B4636C">
        <w:t xml:space="preserve"> a statement of reasons</w:t>
      </w:r>
      <w:r>
        <w:t>. The statement of reasons</w:t>
      </w:r>
      <w:r w:rsidR="00B4636C">
        <w:t xml:space="preserve"> will be published on the Department’s website.</w:t>
      </w:r>
    </w:p>
    <w:p w14:paraId="2F0C0879" w14:textId="60857A96" w:rsidR="00A251FD" w:rsidRDefault="00A251FD" w:rsidP="00A820C3">
      <w:pPr>
        <w:pStyle w:val="subsection"/>
        <w:numPr>
          <w:ilvl w:val="0"/>
          <w:numId w:val="47"/>
        </w:numPr>
        <w:ind w:left="851" w:hanging="491"/>
      </w:pPr>
      <w:r>
        <w:t xml:space="preserve">The Minister may choose not to </w:t>
      </w:r>
      <w:r w:rsidR="00B565E0">
        <w:t>make a Minister’s determination</w:t>
      </w:r>
      <w:r>
        <w:t xml:space="preserve">, even where </w:t>
      </w:r>
      <w:r w:rsidR="00E71084">
        <w:t xml:space="preserve">the Minister </w:t>
      </w:r>
      <w:r w:rsidR="00B565E0">
        <w:t>considers</w:t>
      </w:r>
      <w:r>
        <w:t xml:space="preserve"> there will be a shortfall, based on consideration of the factors</w:t>
      </w:r>
      <w:r w:rsidR="000E4523">
        <w:t xml:space="preserve"> set out in this section</w:t>
      </w:r>
      <w:r>
        <w:t xml:space="preserve">. </w:t>
      </w:r>
      <w:r w:rsidR="002E6C5F">
        <w:t>The </w:t>
      </w:r>
      <w:r w:rsidR="0046627F">
        <w:t xml:space="preserve">Minister may </w:t>
      </w:r>
      <w:r w:rsidR="00B565E0">
        <w:t>cause</w:t>
      </w:r>
      <w:r w:rsidR="0046627F">
        <w:t xml:space="preserve"> a statement </w:t>
      </w:r>
      <w:r w:rsidR="00B565E0">
        <w:t>of</w:t>
      </w:r>
      <w:r w:rsidR="005B5695">
        <w:t xml:space="preserve"> reasons </w:t>
      </w:r>
      <w:r w:rsidR="00B565E0">
        <w:t xml:space="preserve">to be published on the Department’s website </w:t>
      </w:r>
      <w:r w:rsidR="0046627F">
        <w:t xml:space="preserve">for </w:t>
      </w:r>
      <w:r w:rsidR="00B565E0">
        <w:t>a</w:t>
      </w:r>
      <w:r w:rsidR="0046627F">
        <w:t xml:space="preserve"> decision</w:t>
      </w:r>
      <w:r w:rsidR="00B565E0">
        <w:t xml:space="preserve"> not to make a Minister’s determination</w:t>
      </w:r>
      <w:r w:rsidR="0046627F">
        <w:t>.</w:t>
      </w:r>
    </w:p>
    <w:p w14:paraId="7466FB3F" w14:textId="292EF611" w:rsidR="005374FA" w:rsidRDefault="00204D1A" w:rsidP="00A820C3">
      <w:pPr>
        <w:pStyle w:val="subsection"/>
        <w:numPr>
          <w:ilvl w:val="0"/>
          <w:numId w:val="47"/>
        </w:numPr>
        <w:ind w:left="851" w:hanging="491"/>
      </w:pPr>
      <w:r w:rsidRPr="001723E3">
        <w:t xml:space="preserve">The Minister may revoke a </w:t>
      </w:r>
      <w:r w:rsidR="001A6D73" w:rsidRPr="001723E3">
        <w:t xml:space="preserve">Minister’s </w:t>
      </w:r>
      <w:r w:rsidR="002E6C5F">
        <w:t>d</w:t>
      </w:r>
      <w:r w:rsidR="001A6D73" w:rsidRPr="001723E3">
        <w:t xml:space="preserve">etermination </w:t>
      </w:r>
      <w:r w:rsidRPr="001723E3">
        <w:t xml:space="preserve">at any time. In </w:t>
      </w:r>
      <w:r w:rsidR="005E45DA" w:rsidRPr="001723E3">
        <w:t xml:space="preserve">such </w:t>
      </w:r>
      <w:r w:rsidRPr="001723E3">
        <w:t xml:space="preserve">circumstances, the Minister will make a new notifiable instrument to repeal the Minister’s </w:t>
      </w:r>
      <w:r w:rsidR="002E6C5F">
        <w:t>d</w:t>
      </w:r>
      <w:r w:rsidRPr="001723E3">
        <w:t xml:space="preserve">etermination, and write to each LNG </w:t>
      </w:r>
      <w:r w:rsidR="00A23B43">
        <w:t>p</w:t>
      </w:r>
      <w:r w:rsidRPr="001723E3">
        <w:t>roject to notify them of the decision.</w:t>
      </w:r>
      <w:bookmarkStart w:id="17" w:name="_Toc485134559"/>
    </w:p>
    <w:p w14:paraId="0DB9EBB5" w14:textId="31536A98" w:rsidR="00C30AD0" w:rsidRPr="000D5AA4" w:rsidRDefault="00C30AD0" w:rsidP="00C30AD0">
      <w:pPr>
        <w:pStyle w:val="SubsectionHead"/>
      </w:pPr>
      <w:r w:rsidRPr="000D5AA4">
        <w:t>Shortfalls which only impact consumers in part of Australia</w:t>
      </w:r>
    </w:p>
    <w:p w14:paraId="30942D10" w14:textId="70836D4F" w:rsidR="00C30AD0" w:rsidRDefault="00C30AD0" w:rsidP="00A820C3">
      <w:pPr>
        <w:pStyle w:val="subsection"/>
        <w:numPr>
          <w:ilvl w:val="0"/>
          <w:numId w:val="47"/>
        </w:numPr>
        <w:ind w:left="851" w:hanging="491"/>
      </w:pPr>
      <w:r>
        <w:tab/>
      </w:r>
      <w:r w:rsidRPr="00E30DB2">
        <w:t xml:space="preserve">In deciding whether to make the Minister’s </w:t>
      </w:r>
      <w:r w:rsidR="00E71084">
        <w:t>d</w:t>
      </w:r>
      <w:r w:rsidRPr="00E30DB2">
        <w:t xml:space="preserve">etermination, the Minister will consider </w:t>
      </w:r>
      <w:r>
        <w:t xml:space="preserve">Australian consumers in </w:t>
      </w:r>
      <w:r w:rsidRPr="00E30DB2">
        <w:t>each part of the Australian domestic gas market, including each of the major gas markets that together comprise the Australian domestic gas market (that is, the Western, Northern, and Eastern gas markets)</w:t>
      </w:r>
      <w:r>
        <w:t>.</w:t>
      </w:r>
    </w:p>
    <w:p w14:paraId="3F918788" w14:textId="183E2615" w:rsidR="00C30AD0" w:rsidRDefault="00C30AD0" w:rsidP="00A820C3">
      <w:pPr>
        <w:pStyle w:val="subsection"/>
        <w:numPr>
          <w:ilvl w:val="0"/>
          <w:numId w:val="47"/>
        </w:numPr>
        <w:ind w:left="851" w:hanging="491"/>
      </w:pPr>
      <w:r>
        <w:tab/>
      </w:r>
      <w:r w:rsidR="004B4431">
        <w:t xml:space="preserve">The Minister may determine a </w:t>
      </w:r>
      <w:r w:rsidR="00E03C1A">
        <w:t xml:space="preserve">domestic </w:t>
      </w:r>
      <w:r w:rsidR="004B4431">
        <w:t>shortfall quarter if Australian consumers in a part of the Australian domestic gas market will be affected by a shortfall</w:t>
      </w:r>
      <w:r>
        <w:t>, notwithstanding that consumers in other parts of the Australian domestic gas market will not be affected by a shortfall.</w:t>
      </w:r>
    </w:p>
    <w:p w14:paraId="4D093DE4" w14:textId="714C0824" w:rsidR="00C30AD0" w:rsidRPr="00875BB9" w:rsidRDefault="00C30AD0" w:rsidP="005451CA">
      <w:pPr>
        <w:pStyle w:val="notetext"/>
        <w:ind w:left="1843"/>
      </w:pPr>
      <w:r w:rsidRPr="00875BB9">
        <w:t>Example:</w:t>
      </w:r>
      <w:r w:rsidRPr="00875BB9">
        <w:tab/>
        <w:t xml:space="preserve">The Minister may determine a </w:t>
      </w:r>
      <w:r>
        <w:t>quarter</w:t>
      </w:r>
      <w:r w:rsidRPr="00875BB9">
        <w:t xml:space="preserve"> as a </w:t>
      </w:r>
      <w:r w:rsidR="00D37B6F">
        <w:t xml:space="preserve">domestic </w:t>
      </w:r>
      <w:r w:rsidRPr="00875BB9">
        <w:t xml:space="preserve">shortfall </w:t>
      </w:r>
      <w:r>
        <w:t>quarter</w:t>
      </w:r>
      <w:r w:rsidRPr="00875BB9">
        <w:t xml:space="preserve"> where </w:t>
      </w:r>
      <w:r>
        <w:t>the</w:t>
      </w:r>
      <w:r w:rsidR="00E71084">
        <w:t xml:space="preserve"> Minister has </w:t>
      </w:r>
      <w:r w:rsidRPr="00875BB9">
        <w:t xml:space="preserve">reasonable grounds to believe that there will not be a sufficient supply of natural gas for </w:t>
      </w:r>
      <w:r>
        <w:t xml:space="preserve">Australian consumers in </w:t>
      </w:r>
      <w:r w:rsidRPr="00875BB9">
        <w:t xml:space="preserve">the Eastern gas market during the </w:t>
      </w:r>
      <w:r w:rsidR="00B77976">
        <w:t>quarter</w:t>
      </w:r>
      <w:r w:rsidR="00B77976" w:rsidRPr="00875BB9">
        <w:t xml:space="preserve"> </w:t>
      </w:r>
      <w:r w:rsidRPr="00875BB9">
        <w:t>unless exports are controlled</w:t>
      </w:r>
      <w:r>
        <w:t xml:space="preserve">, </w:t>
      </w:r>
      <w:r w:rsidRPr="00875BB9">
        <w:t xml:space="preserve">despite that </w:t>
      </w:r>
      <w:r>
        <w:t xml:space="preserve">consumers in </w:t>
      </w:r>
      <w:r w:rsidRPr="00875BB9">
        <w:t xml:space="preserve">the Northern and Western gas markets will not be </w:t>
      </w:r>
      <w:r>
        <w:t xml:space="preserve">affected by a </w:t>
      </w:r>
      <w:r w:rsidRPr="00875BB9">
        <w:t xml:space="preserve">shortfall. </w:t>
      </w:r>
    </w:p>
    <w:p w14:paraId="039DC140" w14:textId="77777777" w:rsidR="005D233C" w:rsidRDefault="00C30AD0" w:rsidP="005451CA">
      <w:pPr>
        <w:pStyle w:val="subsection"/>
        <w:numPr>
          <w:ilvl w:val="0"/>
          <w:numId w:val="47"/>
        </w:numPr>
        <w:ind w:left="850" w:hanging="493"/>
      </w:pPr>
      <w:r>
        <w:tab/>
      </w:r>
      <w:r w:rsidR="00B61C3B">
        <w:t xml:space="preserve">Where the Minister determines a quarter as a domestic shortfall quarter, all LNG </w:t>
      </w:r>
      <w:r w:rsidR="003C16EC">
        <w:t xml:space="preserve">projects </w:t>
      </w:r>
      <w:r w:rsidR="00B61C3B">
        <w:t xml:space="preserve">will receive one of two types of </w:t>
      </w:r>
      <w:r w:rsidR="00281EFF">
        <w:t>permissions</w:t>
      </w:r>
      <w:r w:rsidR="005D233C">
        <w:t>. The types of permission distinguish</w:t>
      </w:r>
      <w:r w:rsidR="00B61C3B">
        <w:t xml:space="preserve"> between LNG </w:t>
      </w:r>
      <w:r w:rsidR="003C16EC">
        <w:t>projects</w:t>
      </w:r>
      <w:r w:rsidR="005D233C">
        <w:t>:</w:t>
      </w:r>
    </w:p>
    <w:p w14:paraId="7970D78A" w14:textId="77777777" w:rsidR="005D233C" w:rsidRDefault="00B61C3B" w:rsidP="005D233C">
      <w:pPr>
        <w:pStyle w:val="subsection"/>
        <w:numPr>
          <w:ilvl w:val="1"/>
          <w:numId w:val="47"/>
        </w:numPr>
        <w:ind w:left="1418"/>
      </w:pPr>
      <w:r>
        <w:t xml:space="preserve">in </w:t>
      </w:r>
      <w:r w:rsidR="005D233C">
        <w:t>a</w:t>
      </w:r>
      <w:r w:rsidRPr="005D233C">
        <w:t xml:space="preserve"> shortfall market</w:t>
      </w:r>
      <w:r w:rsidR="005D233C">
        <w:t>;</w:t>
      </w:r>
      <w:r w:rsidRPr="005D233C">
        <w:t xml:space="preserve"> and </w:t>
      </w:r>
    </w:p>
    <w:p w14:paraId="76982EF0" w14:textId="2ED340FC" w:rsidR="00C30AD0" w:rsidRPr="005D233C" w:rsidRDefault="005D233C" w:rsidP="005D233C">
      <w:pPr>
        <w:pStyle w:val="subsection"/>
        <w:numPr>
          <w:ilvl w:val="1"/>
          <w:numId w:val="47"/>
        </w:numPr>
        <w:ind w:left="1418"/>
      </w:pPr>
      <w:r>
        <w:t>not in a shortfall market</w:t>
      </w:r>
      <w:r w:rsidR="00B61C3B" w:rsidRPr="005D233C">
        <w:t>.</w:t>
      </w:r>
    </w:p>
    <w:p w14:paraId="36E2B5DA" w14:textId="39B9A1F0" w:rsidR="00C95F65" w:rsidRDefault="00B22524" w:rsidP="00F56425">
      <w:pPr>
        <w:pStyle w:val="ActHead5"/>
      </w:pPr>
      <w:bookmarkStart w:id="18" w:name="_Toc130913736"/>
      <w:r>
        <w:t>9</w:t>
      </w:r>
      <w:r w:rsidR="002B1080">
        <w:t xml:space="preserve"> </w:t>
      </w:r>
      <w:r w:rsidR="00281EFF">
        <w:t>P</w:t>
      </w:r>
      <w:r w:rsidR="004349D2">
        <w:t>ermission t</w:t>
      </w:r>
      <w:r w:rsidR="00C95F65">
        <w:t>ypes</w:t>
      </w:r>
      <w:bookmarkEnd w:id="18"/>
    </w:p>
    <w:p w14:paraId="6E94D439" w14:textId="24F0196E" w:rsidR="0061471C" w:rsidRDefault="00C95F65">
      <w:pPr>
        <w:pStyle w:val="subsection"/>
        <w:numPr>
          <w:ilvl w:val="0"/>
          <w:numId w:val="48"/>
        </w:numPr>
      </w:pPr>
      <w:r>
        <w:tab/>
      </w:r>
      <w:r w:rsidR="00976BB7">
        <w:t xml:space="preserve">In a domestic shortfall </w:t>
      </w:r>
      <w:r w:rsidR="00132100">
        <w:t>quarter</w:t>
      </w:r>
      <w:r w:rsidR="00976BB7">
        <w:t xml:space="preserve">, the export of LNG from Australia is prohibited unless the LNG </w:t>
      </w:r>
      <w:r w:rsidR="0061471C">
        <w:t>project</w:t>
      </w:r>
      <w:r w:rsidR="00BA36D6">
        <w:t xml:space="preserve"> or </w:t>
      </w:r>
      <w:proofErr w:type="spellStart"/>
      <w:r w:rsidR="00BA36D6">
        <w:t>tollee</w:t>
      </w:r>
      <w:proofErr w:type="spellEnd"/>
      <w:r w:rsidR="00BA36D6">
        <w:t xml:space="preserve"> exporter</w:t>
      </w:r>
      <w:r w:rsidR="0061471C">
        <w:t>:</w:t>
      </w:r>
      <w:r w:rsidR="00976BB7">
        <w:t xml:space="preserve"> </w:t>
      </w:r>
    </w:p>
    <w:p w14:paraId="5FE6EA00" w14:textId="0F6BD9AB" w:rsidR="0061471C" w:rsidRDefault="00976BB7" w:rsidP="0061471C">
      <w:pPr>
        <w:pStyle w:val="subsection"/>
        <w:numPr>
          <w:ilvl w:val="1"/>
          <w:numId w:val="47"/>
        </w:numPr>
        <w:ind w:left="1418"/>
      </w:pPr>
      <w:r>
        <w:t>has a</w:t>
      </w:r>
      <w:r w:rsidR="00243771">
        <w:t xml:space="preserve"> </w:t>
      </w:r>
      <w:r w:rsidR="0061471C">
        <w:t>p</w:t>
      </w:r>
      <w:r>
        <w:t>ermission</w:t>
      </w:r>
      <w:r w:rsidR="0061471C">
        <w:t>;</w:t>
      </w:r>
      <w:r>
        <w:t xml:space="preserve"> and </w:t>
      </w:r>
    </w:p>
    <w:p w14:paraId="7042476D" w14:textId="4BD0F568" w:rsidR="00976BB7" w:rsidRDefault="00976BB7" w:rsidP="00A820C3">
      <w:pPr>
        <w:pStyle w:val="subsection"/>
        <w:numPr>
          <w:ilvl w:val="1"/>
          <w:numId w:val="47"/>
        </w:numPr>
        <w:ind w:left="1418"/>
      </w:pPr>
      <w:r>
        <w:t xml:space="preserve">the </w:t>
      </w:r>
      <w:r w:rsidR="0061471C">
        <w:t>p</w:t>
      </w:r>
      <w:r>
        <w:t>ermission is produced to the Collector.</w:t>
      </w:r>
    </w:p>
    <w:p w14:paraId="1F1DC7C8" w14:textId="2A6376EA" w:rsidR="00823C0D" w:rsidRDefault="00976BB7" w:rsidP="00A820C3">
      <w:pPr>
        <w:pStyle w:val="subsection"/>
        <w:numPr>
          <w:ilvl w:val="0"/>
          <w:numId w:val="48"/>
        </w:numPr>
        <w:ind w:left="851" w:hanging="491"/>
      </w:pPr>
      <w:r>
        <w:tab/>
      </w:r>
      <w:r w:rsidR="00243771">
        <w:t>P</w:t>
      </w:r>
      <w:r w:rsidR="00823C0D" w:rsidRPr="00F56425">
        <w:t>ermis</w:t>
      </w:r>
      <w:r w:rsidR="007E21F3">
        <w:t>sions</w:t>
      </w:r>
      <w:r w:rsidR="00823C0D" w:rsidRPr="00F56425">
        <w:t xml:space="preserve"> will be issued </w:t>
      </w:r>
      <w:r w:rsidR="007E21F3">
        <w:t>for a</w:t>
      </w:r>
      <w:r w:rsidR="00823C0D" w:rsidRPr="00F56425">
        <w:t xml:space="preserve"> </w:t>
      </w:r>
      <w:r w:rsidR="00D37B6F">
        <w:t xml:space="preserve">domestic </w:t>
      </w:r>
      <w:r w:rsidR="00823C0D" w:rsidRPr="00F56425">
        <w:t xml:space="preserve">shortfall </w:t>
      </w:r>
      <w:r w:rsidR="00583D99">
        <w:t>quarter</w:t>
      </w:r>
      <w:r w:rsidR="00022454">
        <w:t xml:space="preserve"> and will expire at the end of the </w:t>
      </w:r>
      <w:r w:rsidR="00D37B6F">
        <w:t xml:space="preserve">domestic </w:t>
      </w:r>
      <w:r w:rsidR="00022454">
        <w:t>shortfall quarter</w:t>
      </w:r>
      <w:r w:rsidR="00823C0D" w:rsidRPr="00F56425">
        <w:t xml:space="preserve">. </w:t>
      </w:r>
    </w:p>
    <w:p w14:paraId="3267369A" w14:textId="4B7D7DEF" w:rsidR="00C95F65" w:rsidRDefault="003C16EC" w:rsidP="00A820C3">
      <w:pPr>
        <w:pStyle w:val="subsection"/>
        <w:numPr>
          <w:ilvl w:val="0"/>
          <w:numId w:val="48"/>
        </w:numPr>
        <w:ind w:left="851" w:hanging="491"/>
      </w:pPr>
      <w:r>
        <w:t>T</w:t>
      </w:r>
      <w:r w:rsidR="00C95F65">
        <w:t xml:space="preserve">he Minister may grant </w:t>
      </w:r>
      <w:r w:rsidR="008909F2">
        <w:t>permi</w:t>
      </w:r>
      <w:r w:rsidR="007E21F3">
        <w:t>s</w:t>
      </w:r>
      <w:r w:rsidR="008909F2">
        <w:t>s</w:t>
      </w:r>
      <w:r w:rsidR="007E21F3">
        <w:t>ions</w:t>
      </w:r>
      <w:r w:rsidR="008909F2">
        <w:t xml:space="preserve"> for </w:t>
      </w:r>
      <w:r w:rsidR="00337485">
        <w:t xml:space="preserve">an </w:t>
      </w:r>
      <w:r w:rsidR="008909F2">
        <w:t>unlimited volume or for an allowable volume.</w:t>
      </w:r>
    </w:p>
    <w:p w14:paraId="716F5ADE" w14:textId="5320F5C5" w:rsidR="008909F2" w:rsidRDefault="00C95F65" w:rsidP="00F56425">
      <w:pPr>
        <w:pStyle w:val="SubsectionHead"/>
      </w:pPr>
      <w:r w:rsidRPr="00EF47E2">
        <w:lastRenderedPageBreak/>
        <w:t xml:space="preserve">Unlimited </w:t>
      </w:r>
      <w:r w:rsidR="00600953">
        <w:t>v</w:t>
      </w:r>
      <w:r w:rsidRPr="00EF47E2">
        <w:t>olume</w:t>
      </w:r>
      <w:r>
        <w:t xml:space="preserve"> (UV) permission</w:t>
      </w:r>
      <w:r w:rsidR="003B0506">
        <w:t>s</w:t>
      </w:r>
    </w:p>
    <w:p w14:paraId="0D6AB27C" w14:textId="751F05F4" w:rsidR="006850B8" w:rsidRPr="00045216" w:rsidRDefault="00ED5655" w:rsidP="008C2BF1">
      <w:pPr>
        <w:pStyle w:val="subsection"/>
        <w:numPr>
          <w:ilvl w:val="0"/>
          <w:numId w:val="48"/>
        </w:numPr>
        <w:ind w:left="851"/>
      </w:pPr>
      <w:r w:rsidRPr="00A820C3">
        <w:t xml:space="preserve">A </w:t>
      </w:r>
      <w:r w:rsidR="008909F2" w:rsidRPr="00A820C3">
        <w:t>UV permis</w:t>
      </w:r>
      <w:r w:rsidRPr="00A820C3">
        <w:t>sion</w:t>
      </w:r>
      <w:r w:rsidR="008909F2" w:rsidRPr="00A820C3">
        <w:t xml:space="preserve"> </w:t>
      </w:r>
      <w:r w:rsidR="00C95F65" w:rsidRPr="00A820C3">
        <w:t>allow</w:t>
      </w:r>
      <w:r w:rsidRPr="00A820C3">
        <w:t>s an</w:t>
      </w:r>
      <w:r w:rsidR="00C95F65" w:rsidRPr="00A820C3">
        <w:t xml:space="preserve"> LNG </w:t>
      </w:r>
      <w:r w:rsidRPr="00A820C3">
        <w:t xml:space="preserve">project </w:t>
      </w:r>
      <w:r w:rsidR="00C95F65" w:rsidRPr="00A820C3">
        <w:t xml:space="preserve">to export an unlimited volume of LNG </w:t>
      </w:r>
      <w:r w:rsidR="00B330D8" w:rsidRPr="00A820C3">
        <w:t>in a</w:t>
      </w:r>
      <w:r w:rsidR="00C95F65" w:rsidRPr="00A820C3">
        <w:t xml:space="preserve"> </w:t>
      </w:r>
      <w:r w:rsidR="00D37B6F" w:rsidRPr="00A820C3">
        <w:t xml:space="preserve">domestic </w:t>
      </w:r>
      <w:r w:rsidR="00583D99" w:rsidRPr="00A820C3">
        <w:t>shortfall quarter</w:t>
      </w:r>
      <w:r w:rsidR="00C95F65" w:rsidRPr="00A820C3">
        <w:t xml:space="preserve">. </w:t>
      </w:r>
      <w:r w:rsidR="006E4E52">
        <w:t>O</w:t>
      </w:r>
      <w:r w:rsidR="00A07548">
        <w:t>t</w:t>
      </w:r>
      <w:r w:rsidR="00B154A2">
        <w:t>her limitations</w:t>
      </w:r>
      <w:r w:rsidR="00C86142">
        <w:t>,</w:t>
      </w:r>
      <w:r w:rsidR="00B154A2">
        <w:t xml:space="preserve"> apart from the </w:t>
      </w:r>
      <w:r w:rsidR="006850B8" w:rsidRPr="00045216">
        <w:t>ADGSM</w:t>
      </w:r>
      <w:r w:rsidR="00C86142">
        <w:t>,</w:t>
      </w:r>
      <w:r w:rsidR="006850B8" w:rsidRPr="00045216">
        <w:t xml:space="preserve"> may </w:t>
      </w:r>
      <w:r w:rsidR="00B154A2">
        <w:t xml:space="preserve">influence </w:t>
      </w:r>
      <w:r w:rsidR="006850B8" w:rsidRPr="00045216">
        <w:t xml:space="preserve">the volume of gas an LNG </w:t>
      </w:r>
      <w:r w:rsidR="003C16EC">
        <w:t>project</w:t>
      </w:r>
      <w:r w:rsidR="003C16EC" w:rsidRPr="00045216">
        <w:t xml:space="preserve"> </w:t>
      </w:r>
      <w:r w:rsidR="00BE6862">
        <w:t>can</w:t>
      </w:r>
      <w:r w:rsidR="006850B8" w:rsidRPr="00045216">
        <w:t xml:space="preserve"> export, including as a result of state</w:t>
      </w:r>
      <w:r w:rsidR="00BE6862">
        <w:t>-</w:t>
      </w:r>
      <w:r w:rsidR="006850B8" w:rsidRPr="00045216">
        <w:t>based agreements</w:t>
      </w:r>
      <w:r w:rsidR="00A4762F">
        <w:t xml:space="preserve"> or licenc</w:t>
      </w:r>
      <w:r w:rsidR="00E86F5D">
        <w:t>ing</w:t>
      </w:r>
      <w:r w:rsidR="00A4762F">
        <w:t xml:space="preserve"> conditions</w:t>
      </w:r>
      <w:r w:rsidR="006850B8" w:rsidRPr="00045216">
        <w:t xml:space="preserve">. </w:t>
      </w:r>
    </w:p>
    <w:p w14:paraId="3CA67395" w14:textId="306C9983" w:rsidR="00C95F65" w:rsidRDefault="00C95F65" w:rsidP="00A820C3">
      <w:pPr>
        <w:pStyle w:val="subsection"/>
        <w:numPr>
          <w:ilvl w:val="0"/>
          <w:numId w:val="48"/>
        </w:numPr>
        <w:ind w:left="851" w:hanging="491"/>
      </w:pPr>
      <w:r>
        <w:t xml:space="preserve">The Minister </w:t>
      </w:r>
      <w:r w:rsidR="005451CA">
        <w:t>may g</w:t>
      </w:r>
      <w:r>
        <w:t xml:space="preserve">rant a UV permission to an LNG </w:t>
      </w:r>
      <w:r w:rsidR="00E71084">
        <w:t>p</w:t>
      </w:r>
      <w:r>
        <w:t xml:space="preserve">roject </w:t>
      </w:r>
      <w:r w:rsidR="00583D99">
        <w:t>that is in a part of the Australian domestic gas market where Australian consumers are unaffected by the shortfall</w:t>
      </w:r>
      <w:r w:rsidR="008909F2">
        <w:t>.</w:t>
      </w:r>
    </w:p>
    <w:p w14:paraId="1B89BE29" w14:textId="77777777" w:rsidR="008C2BF1" w:rsidRDefault="008C2BF1" w:rsidP="008C2BF1">
      <w:pPr>
        <w:pStyle w:val="notetext"/>
        <w:ind w:left="1843"/>
      </w:pPr>
      <w:r w:rsidRPr="00875BB9">
        <w:t>Example:</w:t>
      </w:r>
      <w:r w:rsidRPr="00875BB9">
        <w:tab/>
        <w:t xml:space="preserve">The Minister may </w:t>
      </w:r>
      <w:r>
        <w:t xml:space="preserve">issue UV permissions to LNG projects in the Western and Northern gas markets during a domestic shortfall quarter where consumers in </w:t>
      </w:r>
      <w:r w:rsidRPr="00875BB9">
        <w:t>the Eastern gas market</w:t>
      </w:r>
      <w:r>
        <w:t xml:space="preserve"> would be impacted by the shortfall</w:t>
      </w:r>
      <w:r w:rsidRPr="00875BB9">
        <w:t xml:space="preserve">. </w:t>
      </w:r>
    </w:p>
    <w:p w14:paraId="1733C55A" w14:textId="400685A0" w:rsidR="008C2BF1" w:rsidRDefault="007A0445" w:rsidP="00A820C3">
      <w:pPr>
        <w:pStyle w:val="subsection"/>
        <w:numPr>
          <w:ilvl w:val="0"/>
          <w:numId w:val="48"/>
        </w:numPr>
        <w:ind w:left="851" w:hanging="491"/>
      </w:pPr>
      <w:bookmarkStart w:id="19" w:name="_Hlk130802847"/>
      <w:r>
        <w:t>If</w:t>
      </w:r>
      <w:r w:rsidR="008C2BF1">
        <w:t xml:space="preserve"> </w:t>
      </w:r>
      <w:r w:rsidR="008D060C">
        <w:t xml:space="preserve">an LNG </w:t>
      </w:r>
      <w:proofErr w:type="spellStart"/>
      <w:r w:rsidR="008D060C">
        <w:t>tollee</w:t>
      </w:r>
      <w:proofErr w:type="spellEnd"/>
      <w:r w:rsidR="008D060C">
        <w:t xml:space="preserve"> exporter </w:t>
      </w:r>
      <w:r>
        <w:t>intends to export LNG from an LNG project issued a UV permission</w:t>
      </w:r>
      <w:r w:rsidR="008C2BF1">
        <w:t xml:space="preserve">, the </w:t>
      </w:r>
      <w:r>
        <w:t xml:space="preserve">Minister may </w:t>
      </w:r>
      <w:r w:rsidR="00667BA4">
        <w:t>grant</w:t>
      </w:r>
      <w:r>
        <w:t xml:space="preserve"> a </w:t>
      </w:r>
      <w:r w:rsidR="008C2BF1">
        <w:t xml:space="preserve">UV permission </w:t>
      </w:r>
      <w:r>
        <w:t xml:space="preserve">to the LNG </w:t>
      </w:r>
      <w:proofErr w:type="spellStart"/>
      <w:r>
        <w:t>tollee</w:t>
      </w:r>
      <w:proofErr w:type="spellEnd"/>
      <w:r>
        <w:t xml:space="preserve"> exporter</w:t>
      </w:r>
      <w:r w:rsidR="008C2BF1">
        <w:t>.</w:t>
      </w:r>
    </w:p>
    <w:bookmarkEnd w:id="19"/>
    <w:p w14:paraId="5F756703" w14:textId="0357DC05" w:rsidR="008909F2" w:rsidRDefault="008909F2" w:rsidP="00F56425">
      <w:pPr>
        <w:pStyle w:val="SubsectionHead"/>
      </w:pPr>
      <w:r>
        <w:t xml:space="preserve">Allowable </w:t>
      </w:r>
      <w:r w:rsidR="00050791">
        <w:t>v</w:t>
      </w:r>
      <w:r>
        <w:t>olume (AV) permission</w:t>
      </w:r>
      <w:r w:rsidR="00050791">
        <w:t>s</w:t>
      </w:r>
    </w:p>
    <w:p w14:paraId="6BE7803C" w14:textId="29BB72CB" w:rsidR="00DE0B1A" w:rsidRDefault="00C95F65" w:rsidP="00A820C3">
      <w:pPr>
        <w:pStyle w:val="subsection"/>
        <w:numPr>
          <w:ilvl w:val="0"/>
          <w:numId w:val="48"/>
        </w:numPr>
        <w:ind w:left="851" w:hanging="491"/>
      </w:pPr>
      <w:r>
        <w:tab/>
      </w:r>
      <w:r w:rsidR="00D247FD">
        <w:t xml:space="preserve">An </w:t>
      </w:r>
      <w:r w:rsidR="00976BB7">
        <w:t>AV permi</w:t>
      </w:r>
      <w:r w:rsidR="00B14A09">
        <w:t>ssion</w:t>
      </w:r>
      <w:r w:rsidR="00976BB7">
        <w:t xml:space="preserve"> </w:t>
      </w:r>
      <w:r w:rsidR="005451CA">
        <w:t>will</w:t>
      </w:r>
      <w:r w:rsidR="002540BC">
        <w:t xml:space="preserve"> </w:t>
      </w:r>
      <w:r w:rsidR="009A6D8B">
        <w:t xml:space="preserve">be </w:t>
      </w:r>
      <w:r w:rsidR="005451CA">
        <w:t>grante</w:t>
      </w:r>
      <w:r w:rsidR="00976BB7">
        <w:t xml:space="preserve">d to </w:t>
      </w:r>
      <w:r w:rsidR="00D247FD">
        <w:t xml:space="preserve">an </w:t>
      </w:r>
      <w:r w:rsidR="00976BB7">
        <w:t xml:space="preserve">LNG project </w:t>
      </w:r>
      <w:proofErr w:type="gramStart"/>
      <w:r w:rsidR="00DE0B1A">
        <w:t>not granted</w:t>
      </w:r>
      <w:proofErr w:type="gramEnd"/>
      <w:r w:rsidR="00DE0B1A">
        <w:t xml:space="preserve"> </w:t>
      </w:r>
      <w:r w:rsidR="00D247FD">
        <w:t xml:space="preserve">a </w:t>
      </w:r>
      <w:r w:rsidR="00DE0B1A">
        <w:t xml:space="preserve">UV </w:t>
      </w:r>
      <w:r w:rsidR="00E60A37">
        <w:t>permi</w:t>
      </w:r>
      <w:r w:rsidR="007D4A2F">
        <w:t>ssion</w:t>
      </w:r>
      <w:r w:rsidR="00976BB7">
        <w:t>.</w:t>
      </w:r>
    </w:p>
    <w:p w14:paraId="7488F4FE" w14:textId="425DDA59" w:rsidR="00976BB7" w:rsidRDefault="000C136C" w:rsidP="00A820C3">
      <w:pPr>
        <w:pStyle w:val="subsection"/>
        <w:numPr>
          <w:ilvl w:val="0"/>
          <w:numId w:val="48"/>
        </w:numPr>
        <w:ind w:left="851" w:hanging="491"/>
      </w:pPr>
      <w:r>
        <w:t>A</w:t>
      </w:r>
      <w:r w:rsidR="00DE0B1A">
        <w:t>V permi</w:t>
      </w:r>
      <w:r w:rsidR="00B14A09">
        <w:t>s</w:t>
      </w:r>
      <w:r w:rsidR="00DE0B1A">
        <w:t>s</w:t>
      </w:r>
      <w:r w:rsidR="00B14A09">
        <w:t>ions</w:t>
      </w:r>
      <w:r w:rsidR="00DE0B1A">
        <w:t xml:space="preserve"> will be expressed in tonnes of LNG</w:t>
      </w:r>
      <w:r w:rsidR="00762528">
        <w:t xml:space="preserve">, converted from petajoules using the formula </w:t>
      </w:r>
      <w:r w:rsidR="00353F3E">
        <w:rPr>
          <w:rStyle w:val="ui-provider"/>
        </w:rPr>
        <w:t xml:space="preserve">1 petajoule = </w:t>
      </w:r>
      <w:r w:rsidR="0042276D">
        <w:rPr>
          <w:rStyle w:val="ui-provider"/>
        </w:rPr>
        <w:t>18,382 tonnes</w:t>
      </w:r>
      <w:r w:rsidR="00DE0B1A">
        <w:t>.</w:t>
      </w:r>
    </w:p>
    <w:p w14:paraId="43CA4FFE" w14:textId="6D3C287B" w:rsidR="00E241D9" w:rsidRDefault="00E241D9" w:rsidP="00A820C3">
      <w:pPr>
        <w:pStyle w:val="subsection"/>
        <w:numPr>
          <w:ilvl w:val="0"/>
          <w:numId w:val="48"/>
        </w:numPr>
        <w:ind w:left="851" w:hanging="491"/>
      </w:pPr>
      <w:r>
        <w:t>The allowable volume in an AV permi</w:t>
      </w:r>
      <w:r w:rsidR="00D30A66">
        <w:t>ssion</w:t>
      </w:r>
      <w:r>
        <w:t xml:space="preserve"> will be</w:t>
      </w:r>
      <w:r w:rsidR="00151D50">
        <w:t>:</w:t>
      </w:r>
      <w:r>
        <w:t xml:space="preserve"> </w:t>
      </w:r>
    </w:p>
    <w:p w14:paraId="03A63059" w14:textId="2010CFD2" w:rsidR="000C180A" w:rsidRDefault="00E241D9" w:rsidP="00A820C3">
      <w:pPr>
        <w:pStyle w:val="paragraph"/>
        <w:numPr>
          <w:ilvl w:val="1"/>
          <w:numId w:val="48"/>
        </w:numPr>
        <w:tabs>
          <w:tab w:val="clear" w:pos="1531"/>
          <w:tab w:val="right" w:pos="2835"/>
        </w:tabs>
        <w:ind w:left="1418"/>
      </w:pPr>
      <w:r>
        <w:t xml:space="preserve">the LNG </w:t>
      </w:r>
      <w:r w:rsidR="008B4DD6">
        <w:t>p</w:t>
      </w:r>
      <w:r>
        <w:t xml:space="preserve">roject’s gas supply </w:t>
      </w:r>
      <w:r w:rsidR="00151D50">
        <w:t xml:space="preserve">for the </w:t>
      </w:r>
      <w:r w:rsidR="00D37B6F">
        <w:t xml:space="preserve">domestic </w:t>
      </w:r>
      <w:r w:rsidR="00151D50">
        <w:t>shortfall quarter</w:t>
      </w:r>
      <w:r w:rsidR="00156D28">
        <w:t>;</w:t>
      </w:r>
    </w:p>
    <w:p w14:paraId="4001704C" w14:textId="2DE0FE41" w:rsidR="00B12E43" w:rsidRDefault="00B12E43" w:rsidP="00EB7238">
      <w:pPr>
        <w:pStyle w:val="notetext"/>
        <w:ind w:left="1843"/>
      </w:pPr>
      <w:r>
        <w:t>Not</w:t>
      </w:r>
      <w:r w:rsidRPr="00875BB9">
        <w:t>e:</w:t>
      </w:r>
      <w:r>
        <w:tab/>
        <w:t>Gas supply is defined in subsection 8(</w:t>
      </w:r>
      <w:r w:rsidR="00712D6C">
        <w:t>9</w:t>
      </w:r>
      <w:r>
        <w:t>) of these Guidelines.</w:t>
      </w:r>
    </w:p>
    <w:p w14:paraId="7122F777" w14:textId="0730C9D0" w:rsidR="00E241D9" w:rsidRDefault="00E241D9" w:rsidP="00A820C3">
      <w:pPr>
        <w:pStyle w:val="paragraph"/>
        <w:numPr>
          <w:ilvl w:val="1"/>
          <w:numId w:val="48"/>
        </w:numPr>
        <w:tabs>
          <w:tab w:val="clear" w:pos="1531"/>
          <w:tab w:val="right" w:pos="2835"/>
        </w:tabs>
        <w:ind w:left="1418"/>
      </w:pPr>
      <w:r>
        <w:t>minus the LNG project’s shortfall alleviation contribution.</w:t>
      </w:r>
    </w:p>
    <w:p w14:paraId="5BC002C0" w14:textId="1AF088D1" w:rsidR="00700B7A" w:rsidRDefault="00700B7A" w:rsidP="00A820C3">
      <w:pPr>
        <w:pStyle w:val="Definition"/>
        <w:numPr>
          <w:ilvl w:val="0"/>
          <w:numId w:val="48"/>
        </w:numPr>
        <w:ind w:left="993" w:hanging="567"/>
      </w:pPr>
      <w:r>
        <w:rPr>
          <w:bCs/>
          <w:iCs/>
        </w:rPr>
        <w:t xml:space="preserve">The </w:t>
      </w:r>
      <w:r>
        <w:rPr>
          <w:b/>
          <w:i/>
        </w:rPr>
        <w:t>s</w:t>
      </w:r>
      <w:r w:rsidRPr="00EF681A">
        <w:rPr>
          <w:b/>
          <w:i/>
        </w:rPr>
        <w:t>hortfall alleviation contribution</w:t>
      </w:r>
      <w:r w:rsidRPr="00EF681A">
        <w:rPr>
          <w:bCs/>
          <w:i/>
        </w:rPr>
        <w:t xml:space="preserve"> </w:t>
      </w:r>
      <w:r w:rsidRPr="00EF681A">
        <w:t>is</w:t>
      </w:r>
      <w:r>
        <w:t>:</w:t>
      </w:r>
    </w:p>
    <w:p w14:paraId="142655CE" w14:textId="36BC419F" w:rsidR="00700B7A" w:rsidRDefault="00700B7A" w:rsidP="00A820C3">
      <w:pPr>
        <w:pStyle w:val="Definition"/>
        <w:numPr>
          <w:ilvl w:val="1"/>
          <w:numId w:val="48"/>
        </w:numPr>
        <w:ind w:left="1418"/>
      </w:pPr>
      <w:r w:rsidRPr="00EF681A">
        <w:t>the shortfall volume</w:t>
      </w:r>
      <w:r>
        <w:t xml:space="preserve"> specified in the Minister’s determination;</w:t>
      </w:r>
    </w:p>
    <w:p w14:paraId="4A68EEB2" w14:textId="340A9923" w:rsidR="00700B7A" w:rsidRDefault="00700B7A" w:rsidP="00A820C3">
      <w:pPr>
        <w:pStyle w:val="Definition"/>
        <w:numPr>
          <w:ilvl w:val="1"/>
          <w:numId w:val="48"/>
        </w:numPr>
        <w:ind w:left="1418"/>
      </w:pPr>
      <w:r w:rsidRPr="00EF681A">
        <w:t xml:space="preserve">divided by the number of </w:t>
      </w:r>
      <w:r w:rsidR="00784953">
        <w:t xml:space="preserve">LNG projects </w:t>
      </w:r>
      <w:r w:rsidR="005451CA">
        <w:t>to be granted AV permissions</w:t>
      </w:r>
      <w:r w:rsidRPr="00EF681A">
        <w:t>.</w:t>
      </w:r>
    </w:p>
    <w:p w14:paraId="6146CA93" w14:textId="3FABFE45" w:rsidR="00EA12CE" w:rsidRDefault="00EA12CE" w:rsidP="0023174D">
      <w:pPr>
        <w:pStyle w:val="SubsectionHead"/>
      </w:pPr>
      <w:r>
        <w:t xml:space="preserve">Trade of </w:t>
      </w:r>
      <w:r w:rsidR="005E6C10">
        <w:t>AV</w:t>
      </w:r>
      <w:r>
        <w:t xml:space="preserve"> </w:t>
      </w:r>
      <w:r w:rsidR="00E60A37">
        <w:t>permi</w:t>
      </w:r>
      <w:r w:rsidR="005E6C10">
        <w:t>ssions</w:t>
      </w:r>
    </w:p>
    <w:p w14:paraId="6EA6D0AD" w14:textId="02DA0B91" w:rsidR="00B241E1" w:rsidRDefault="006E6072" w:rsidP="006E6072">
      <w:pPr>
        <w:pStyle w:val="subsection"/>
        <w:numPr>
          <w:ilvl w:val="0"/>
          <w:numId w:val="48"/>
        </w:numPr>
        <w:ind w:left="851" w:hanging="491"/>
      </w:pPr>
      <w:r>
        <w:t xml:space="preserve">An </w:t>
      </w:r>
      <w:r w:rsidR="00EA12CE">
        <w:t xml:space="preserve">LNG </w:t>
      </w:r>
      <w:r w:rsidR="00B14A09">
        <w:t>p</w:t>
      </w:r>
      <w:r w:rsidR="00EA12CE">
        <w:t xml:space="preserve">roject </w:t>
      </w:r>
      <w:r>
        <w:t>granted</w:t>
      </w:r>
      <w:r w:rsidR="0039383D">
        <w:t xml:space="preserve"> </w:t>
      </w:r>
      <w:r>
        <w:t xml:space="preserve">an </w:t>
      </w:r>
      <w:r w:rsidR="0039383D">
        <w:t xml:space="preserve">AV </w:t>
      </w:r>
      <w:r w:rsidR="00E60A37">
        <w:t>permi</w:t>
      </w:r>
      <w:r w:rsidR="00B14A09">
        <w:t>s</w:t>
      </w:r>
      <w:r w:rsidR="00E60A37">
        <w:t>s</w:t>
      </w:r>
      <w:r w:rsidR="00B14A09">
        <w:t>ion</w:t>
      </w:r>
      <w:r w:rsidR="00E60A37">
        <w:t xml:space="preserve"> </w:t>
      </w:r>
      <w:r w:rsidR="00EA12CE">
        <w:t xml:space="preserve">may </w:t>
      </w:r>
      <w:r>
        <w:t>buy or sell a</w:t>
      </w:r>
      <w:r w:rsidR="00EA12CE">
        <w:t xml:space="preserve"> </w:t>
      </w:r>
      <w:r>
        <w:t>volume in its</w:t>
      </w:r>
      <w:r w:rsidR="006D2EBD">
        <w:t xml:space="preserve"> </w:t>
      </w:r>
      <w:r w:rsidR="00B14A09">
        <w:t>AV permission</w:t>
      </w:r>
      <w:r>
        <w:t xml:space="preserve"> with another LNG project granted an AV permission</w:t>
      </w:r>
      <w:r w:rsidR="00EA12CE">
        <w:t xml:space="preserve">. </w:t>
      </w:r>
      <w:r w:rsidR="00B14A09">
        <w:t>For the avoidance of doubt</w:t>
      </w:r>
      <w:r w:rsidR="00B241E1">
        <w:t>:</w:t>
      </w:r>
    </w:p>
    <w:p w14:paraId="2D31065E" w14:textId="2F35CEB7" w:rsidR="00EA12CE" w:rsidRDefault="00B14A09" w:rsidP="00B241E1">
      <w:pPr>
        <w:pStyle w:val="Definition"/>
        <w:numPr>
          <w:ilvl w:val="1"/>
          <w:numId w:val="48"/>
        </w:numPr>
        <w:ind w:left="1418"/>
      </w:pPr>
      <w:r>
        <w:t xml:space="preserve">any person </w:t>
      </w:r>
      <w:proofErr w:type="gramStart"/>
      <w:r>
        <w:t>not issued</w:t>
      </w:r>
      <w:proofErr w:type="gramEnd"/>
      <w:r>
        <w:t xml:space="preserve"> an AV permission</w:t>
      </w:r>
      <w:r w:rsidR="00B241E1">
        <w:t xml:space="preserve"> in accordance with the Guidelines may not trade an AV permission; and</w:t>
      </w:r>
    </w:p>
    <w:p w14:paraId="611B517A" w14:textId="4D9F42A3" w:rsidR="00B241E1" w:rsidRDefault="0006474D" w:rsidP="00A820C3">
      <w:pPr>
        <w:pStyle w:val="Definition"/>
        <w:numPr>
          <w:ilvl w:val="1"/>
          <w:numId w:val="48"/>
        </w:numPr>
        <w:ind w:left="1418"/>
      </w:pPr>
      <w:r>
        <w:t>a volume in</w:t>
      </w:r>
      <w:r w:rsidR="005451CA">
        <w:t>, or associated with,</w:t>
      </w:r>
      <w:r>
        <w:t xml:space="preserve"> a </w:t>
      </w:r>
      <w:r w:rsidR="00B241E1">
        <w:t>UV permission may not be traded.</w:t>
      </w:r>
    </w:p>
    <w:p w14:paraId="133D19D1" w14:textId="3300FEAA" w:rsidR="006F18DE" w:rsidRDefault="006F18DE" w:rsidP="00A820C3">
      <w:pPr>
        <w:pStyle w:val="subsection"/>
        <w:numPr>
          <w:ilvl w:val="0"/>
          <w:numId w:val="48"/>
        </w:numPr>
        <w:ind w:left="851" w:hanging="491"/>
      </w:pPr>
      <w:r>
        <w:t xml:space="preserve">The terms and conditions of </w:t>
      </w:r>
      <w:r w:rsidR="00BB13A5">
        <w:t>the</w:t>
      </w:r>
      <w:r w:rsidR="00EF33F9">
        <w:t xml:space="preserve"> </w:t>
      </w:r>
      <w:r w:rsidR="0039383D">
        <w:t xml:space="preserve">trade </w:t>
      </w:r>
      <w:r w:rsidR="00BB13A5">
        <w:t xml:space="preserve">of a volume in an AV permission </w:t>
      </w:r>
      <w:r>
        <w:t>will be a commercial matter for the buyer and seller.</w:t>
      </w:r>
    </w:p>
    <w:p w14:paraId="18BF2E5B" w14:textId="0258A7E0" w:rsidR="007A02C5" w:rsidRDefault="0039383D" w:rsidP="00A820C3">
      <w:pPr>
        <w:pStyle w:val="subsection"/>
        <w:numPr>
          <w:ilvl w:val="0"/>
          <w:numId w:val="48"/>
        </w:numPr>
        <w:ind w:left="851" w:hanging="491"/>
      </w:pPr>
      <w:r>
        <w:t>The buyer and seller of an AV permission</w:t>
      </w:r>
      <w:r w:rsidR="00BB13A5">
        <w:t xml:space="preserve"> volume </w:t>
      </w:r>
      <w:r w:rsidR="003A4979">
        <w:t xml:space="preserve">should </w:t>
      </w:r>
      <w:r w:rsidR="00EA12CE">
        <w:t xml:space="preserve">notify the Department </w:t>
      </w:r>
      <w:r w:rsidR="00BB13A5">
        <w:t>following</w:t>
      </w:r>
      <w:r w:rsidR="006D2EBD">
        <w:t xml:space="preserve"> the completion of the trade</w:t>
      </w:r>
      <w:r w:rsidR="00EA12CE">
        <w:t>.</w:t>
      </w:r>
      <w:r>
        <w:t xml:space="preserve"> </w:t>
      </w:r>
    </w:p>
    <w:p w14:paraId="007E49BC" w14:textId="60C85D3C" w:rsidR="00BB13A5" w:rsidRDefault="00BB13A5" w:rsidP="007A02C5">
      <w:pPr>
        <w:pStyle w:val="subsection"/>
        <w:numPr>
          <w:ilvl w:val="1"/>
          <w:numId w:val="48"/>
        </w:numPr>
        <w:ind w:left="1418"/>
      </w:pPr>
      <w:r>
        <w:lastRenderedPageBreak/>
        <w:t>Both buyer and seller will need to surrender their AV permissions in exchange for new AV permission</w:t>
      </w:r>
      <w:r w:rsidR="000F7696">
        <w:t>s</w:t>
      </w:r>
      <w:r>
        <w:t>.</w:t>
      </w:r>
    </w:p>
    <w:p w14:paraId="6040DD51" w14:textId="1F81F3C0" w:rsidR="00BB13A5" w:rsidRDefault="00BB13A5" w:rsidP="00BB13A5">
      <w:pPr>
        <w:pStyle w:val="notetext"/>
        <w:tabs>
          <w:tab w:val="right" w:pos="2835"/>
        </w:tabs>
        <w:ind w:left="1843" w:hanging="850"/>
      </w:pPr>
      <w:r>
        <w:t xml:space="preserve"> </w:t>
      </w:r>
      <w:r w:rsidRPr="00875BB9">
        <w:t>Example:</w:t>
      </w:r>
      <w:r w:rsidRPr="00875BB9">
        <w:tab/>
        <w:t>The Minister</w:t>
      </w:r>
      <w:r>
        <w:t xml:space="preserve"> or an authorised officer may accept the surrender of a permission in exchange for granting another permission under section 13GC(3) of the Regulations.</w:t>
      </w:r>
    </w:p>
    <w:p w14:paraId="0169D60E" w14:textId="6C3188F5" w:rsidR="00453F80" w:rsidRDefault="00BB13A5" w:rsidP="00453F80">
      <w:pPr>
        <w:pStyle w:val="subsection"/>
        <w:numPr>
          <w:ilvl w:val="1"/>
          <w:numId w:val="48"/>
        </w:numPr>
        <w:ind w:left="1418"/>
      </w:pPr>
      <w:r>
        <w:t>The volumes in the buyer and seller’s new AV permissions will</w:t>
      </w:r>
      <w:r w:rsidR="00453F80">
        <w:t xml:space="preserve"> </w:t>
      </w:r>
      <w:r>
        <w:t>reflect the traded volume</w:t>
      </w:r>
      <w:r w:rsidR="00453F80">
        <w:t>.</w:t>
      </w:r>
    </w:p>
    <w:p w14:paraId="330D46F5" w14:textId="77777777" w:rsidR="00F1748E" w:rsidRDefault="00453F80" w:rsidP="00730153">
      <w:pPr>
        <w:pStyle w:val="subsection"/>
        <w:numPr>
          <w:ilvl w:val="1"/>
          <w:numId w:val="48"/>
        </w:numPr>
        <w:ind w:left="1418"/>
      </w:pPr>
      <w:r>
        <w:t>The buyer and seller’s new AV permissions</w:t>
      </w:r>
      <w:r w:rsidRPr="00453F80">
        <w:t xml:space="preserve"> </w:t>
      </w:r>
      <w:r>
        <w:t xml:space="preserve">will be for the same domestic shortfall quarter as the surrendered permissions. </w:t>
      </w:r>
    </w:p>
    <w:p w14:paraId="4D835D2E" w14:textId="17C8E375" w:rsidR="008C2BF1" w:rsidRDefault="00F1748E" w:rsidP="00EB7238">
      <w:pPr>
        <w:pStyle w:val="subsection"/>
        <w:spacing w:before="240"/>
        <w:ind w:left="2268"/>
      </w:pPr>
      <w:r w:rsidRPr="00EB7238">
        <w:rPr>
          <w:i/>
          <w:iCs/>
        </w:rPr>
        <w:t xml:space="preserve">AV permission for </w:t>
      </w:r>
      <w:r w:rsidR="00D231C6">
        <w:rPr>
          <w:i/>
          <w:iCs/>
        </w:rPr>
        <w:t xml:space="preserve">an </w:t>
      </w:r>
      <w:r w:rsidRPr="00EB7238">
        <w:rPr>
          <w:i/>
          <w:iCs/>
        </w:rPr>
        <w:t xml:space="preserve">LNG </w:t>
      </w:r>
      <w:proofErr w:type="spellStart"/>
      <w:r w:rsidRPr="00EB7238">
        <w:rPr>
          <w:i/>
          <w:iCs/>
        </w:rPr>
        <w:t>tollee</w:t>
      </w:r>
      <w:proofErr w:type="spellEnd"/>
      <w:r w:rsidRPr="00EB7238">
        <w:rPr>
          <w:i/>
          <w:iCs/>
        </w:rPr>
        <w:t xml:space="preserve"> exporter</w:t>
      </w:r>
    </w:p>
    <w:p w14:paraId="1ABA179B" w14:textId="77777777" w:rsidR="0023391E" w:rsidRPr="001A353C" w:rsidRDefault="00A93C22">
      <w:pPr>
        <w:pStyle w:val="subsection"/>
        <w:numPr>
          <w:ilvl w:val="0"/>
          <w:numId w:val="48"/>
        </w:numPr>
        <w:ind w:left="851" w:hanging="491"/>
      </w:pPr>
      <w:bookmarkStart w:id="20" w:name="_Hlk130908671"/>
      <w:bookmarkStart w:id="21" w:name="_Hlk130806664"/>
      <w:r w:rsidRPr="00A93C22">
        <w:t xml:space="preserve">If an LNG </w:t>
      </w:r>
      <w:proofErr w:type="spellStart"/>
      <w:r w:rsidRPr="00A93C22">
        <w:t>tollee</w:t>
      </w:r>
      <w:proofErr w:type="spellEnd"/>
      <w:r w:rsidRPr="00A93C22">
        <w:t xml:space="preserve"> exporter intends to export LNG from an LNG project issued an AV permission, the LNG </w:t>
      </w:r>
      <w:proofErr w:type="spellStart"/>
      <w:r w:rsidRPr="00A93C22">
        <w:t>tollee</w:t>
      </w:r>
      <w:proofErr w:type="spellEnd"/>
      <w:r w:rsidRPr="00A93C22">
        <w:t xml:space="preserve"> exporter will be granted an AV permission</w:t>
      </w:r>
      <w:r w:rsidR="0023391E">
        <w:t>.</w:t>
      </w:r>
    </w:p>
    <w:p w14:paraId="3D779537" w14:textId="23F545D4" w:rsidR="0023391E" w:rsidRPr="001A353C" w:rsidRDefault="0023391E" w:rsidP="00F05314">
      <w:pPr>
        <w:pStyle w:val="subsection"/>
        <w:numPr>
          <w:ilvl w:val="0"/>
          <w:numId w:val="48"/>
        </w:numPr>
        <w:ind w:left="851" w:hanging="491"/>
      </w:pPr>
      <w:r>
        <w:t>The LNG project’s allowable volume, calculated</w:t>
      </w:r>
      <w:r w:rsidR="00A93C22" w:rsidRPr="00A93C22">
        <w:t xml:space="preserve"> in </w:t>
      </w:r>
      <w:r>
        <w:t xml:space="preserve">accordance with subsection 9(9) of these Guidelines, will be divided between the LNG project and the LNG </w:t>
      </w:r>
      <w:proofErr w:type="spellStart"/>
      <w:r>
        <w:t>tollee</w:t>
      </w:r>
      <w:proofErr w:type="spellEnd"/>
      <w:r>
        <w:t xml:space="preserve"> exporter in a manner that reflects their respective LNG production during the domestic shortfall quarter.</w:t>
      </w:r>
    </w:p>
    <w:p w14:paraId="54F8D6A6" w14:textId="12670943" w:rsidR="00453F80" w:rsidRPr="001A353C" w:rsidRDefault="0023391E" w:rsidP="00EB7238">
      <w:pPr>
        <w:pStyle w:val="subsection"/>
        <w:numPr>
          <w:ilvl w:val="1"/>
          <w:numId w:val="48"/>
        </w:numPr>
        <w:ind w:left="1418"/>
      </w:pPr>
      <w:r>
        <w:t xml:space="preserve">The allowable volume in the LNG </w:t>
      </w:r>
      <w:proofErr w:type="spellStart"/>
      <w:r>
        <w:t>tollee</w:t>
      </w:r>
      <w:proofErr w:type="spellEnd"/>
      <w:r>
        <w:t xml:space="preserve"> exporter’s AV permission will be</w:t>
      </w:r>
      <w:r w:rsidR="00A93C22" w:rsidRPr="00A93C22">
        <w:t xml:space="preserve"> proportion</w:t>
      </w:r>
      <w:r>
        <w:t>ate</w:t>
      </w:r>
      <w:r w:rsidR="00A93C22" w:rsidRPr="00A93C22">
        <w:t xml:space="preserve"> to the forecast LNG production entitlement of the LNG </w:t>
      </w:r>
      <w:proofErr w:type="spellStart"/>
      <w:r w:rsidR="00A93C22" w:rsidRPr="00A93C22">
        <w:t>tollee</w:t>
      </w:r>
      <w:proofErr w:type="spellEnd"/>
      <w:r w:rsidR="00A93C22" w:rsidRPr="00A93C22">
        <w:t xml:space="preserve"> exporter in relation to the</w:t>
      </w:r>
      <w:r w:rsidR="00133FF1">
        <w:t xml:space="preserve"> LNG project’s</w:t>
      </w:r>
      <w:r w:rsidR="00A93C22" w:rsidRPr="00A93C22">
        <w:t xml:space="preserve"> forecast LNG production.</w:t>
      </w:r>
      <w:bookmarkEnd w:id="20"/>
      <w:r w:rsidR="00034AD1" w:rsidDel="00730153">
        <w:t xml:space="preserve"> </w:t>
      </w:r>
    </w:p>
    <w:bookmarkEnd w:id="21"/>
    <w:p w14:paraId="3B2C070F" w14:textId="02CC3B35" w:rsidR="0023174D" w:rsidRPr="00816300" w:rsidRDefault="00243771" w:rsidP="00EB7238">
      <w:pPr>
        <w:pStyle w:val="subsection"/>
        <w:spacing w:before="240"/>
        <w:ind w:firstLine="0"/>
        <w:rPr>
          <w:iCs/>
        </w:rPr>
      </w:pPr>
      <w:r w:rsidRPr="00610897">
        <w:rPr>
          <w:i/>
          <w:iCs/>
        </w:rPr>
        <w:t>P</w:t>
      </w:r>
      <w:r w:rsidR="00FD10B6" w:rsidRPr="00610897">
        <w:rPr>
          <w:i/>
          <w:iCs/>
        </w:rPr>
        <w:t>ermission c</w:t>
      </w:r>
      <w:r w:rsidR="0023174D" w:rsidRPr="00610897">
        <w:rPr>
          <w:i/>
          <w:iCs/>
        </w:rPr>
        <w:t>onditions</w:t>
      </w:r>
    </w:p>
    <w:p w14:paraId="2317A809" w14:textId="66F40DFF" w:rsidR="0023174D" w:rsidRDefault="0023174D" w:rsidP="00A820C3">
      <w:pPr>
        <w:pStyle w:val="subsection"/>
        <w:numPr>
          <w:ilvl w:val="0"/>
          <w:numId w:val="48"/>
        </w:numPr>
        <w:ind w:left="851" w:hanging="491"/>
      </w:pPr>
      <w:r>
        <w:t>The Minister may grant a</w:t>
      </w:r>
      <w:r w:rsidR="00243771">
        <w:t xml:space="preserve"> </w:t>
      </w:r>
      <w:r w:rsidR="00A00BBA">
        <w:t>p</w:t>
      </w:r>
      <w:r>
        <w:t xml:space="preserve">ermission to an LNG </w:t>
      </w:r>
      <w:r w:rsidR="00A00BBA">
        <w:t xml:space="preserve">project </w:t>
      </w:r>
      <w:r>
        <w:t xml:space="preserve">subject to conditions </w:t>
      </w:r>
      <w:r w:rsidR="006D2EBD">
        <w:t xml:space="preserve">the Minister </w:t>
      </w:r>
      <w:r>
        <w:t>deem</w:t>
      </w:r>
      <w:r w:rsidR="006D2EBD">
        <w:t>s</w:t>
      </w:r>
      <w:r>
        <w:t xml:space="preserve"> necessary and appropriate</w:t>
      </w:r>
      <w:r w:rsidR="00321EF0">
        <w:t xml:space="preserve"> to achieve the ADGSM’s objective</w:t>
      </w:r>
      <w:r>
        <w:t>.</w:t>
      </w:r>
    </w:p>
    <w:p w14:paraId="3BC9F024" w14:textId="0D84C4A0" w:rsidR="00321EF0" w:rsidRDefault="001869C5" w:rsidP="00EB7238">
      <w:pPr>
        <w:pStyle w:val="notetext"/>
        <w:tabs>
          <w:tab w:val="right" w:pos="2835"/>
        </w:tabs>
        <w:ind w:left="1843"/>
      </w:pPr>
      <w:r>
        <w:t>Not</w:t>
      </w:r>
      <w:r w:rsidR="00321EF0" w:rsidRPr="00875BB9">
        <w:t>e:</w:t>
      </w:r>
      <w:r w:rsidR="00321EF0" w:rsidRPr="00875BB9">
        <w:tab/>
        <w:t>The</w:t>
      </w:r>
      <w:r w:rsidR="00321EF0">
        <w:t xml:space="preserve"> ADGSM’s objective is set out in subsection 6(1) of these Guidelines.</w:t>
      </w:r>
    </w:p>
    <w:p w14:paraId="03E2EB30" w14:textId="5A5E8B78" w:rsidR="0023174D" w:rsidRDefault="0023174D" w:rsidP="00321EF0">
      <w:pPr>
        <w:pStyle w:val="subsection"/>
        <w:numPr>
          <w:ilvl w:val="0"/>
          <w:numId w:val="48"/>
        </w:numPr>
        <w:ind w:left="851" w:hanging="491"/>
      </w:pPr>
      <w:r>
        <w:tab/>
      </w:r>
      <w:r w:rsidRPr="00594411">
        <w:t xml:space="preserve">If </w:t>
      </w:r>
      <w:r>
        <w:t xml:space="preserve">an LNG </w:t>
      </w:r>
      <w:r w:rsidR="0093661D">
        <w:t>project</w:t>
      </w:r>
      <w:r w:rsidR="0093661D" w:rsidRPr="00594411">
        <w:t xml:space="preserve"> </w:t>
      </w:r>
      <w:r>
        <w:t>does not comply with a</w:t>
      </w:r>
      <w:r w:rsidR="0093661D">
        <w:t xml:space="preserve"> permission</w:t>
      </w:r>
      <w:r>
        <w:t xml:space="preserve"> condition, the </w:t>
      </w:r>
      <w:r w:rsidRPr="004E7B5C">
        <w:t>Minister may</w:t>
      </w:r>
      <w:r w:rsidR="006D2EBD">
        <w:t xml:space="preserve"> in wri</w:t>
      </w:r>
      <w:r w:rsidR="006115AC">
        <w:t>ting</w:t>
      </w:r>
      <w:r w:rsidR="00453F80">
        <w:t xml:space="preserve"> </w:t>
      </w:r>
    </w:p>
    <w:p w14:paraId="7B946EC3" w14:textId="77777777" w:rsidR="00453F80" w:rsidRDefault="0023174D" w:rsidP="000A6ED7">
      <w:pPr>
        <w:pStyle w:val="paragraph"/>
        <w:numPr>
          <w:ilvl w:val="1"/>
          <w:numId w:val="48"/>
        </w:numPr>
        <w:ind w:left="1418"/>
      </w:pPr>
      <w:r>
        <w:t>revoke the permission;</w:t>
      </w:r>
      <w:r w:rsidR="00E55854">
        <w:t xml:space="preserve"> or</w:t>
      </w:r>
      <w:r w:rsidR="000A6ED7">
        <w:t xml:space="preserve"> </w:t>
      </w:r>
    </w:p>
    <w:p w14:paraId="69CED16B" w14:textId="6929970B" w:rsidR="000A6ED7" w:rsidRPr="000A6ED7" w:rsidRDefault="0023174D" w:rsidP="000A6ED7">
      <w:pPr>
        <w:pStyle w:val="paragraph"/>
        <w:numPr>
          <w:ilvl w:val="1"/>
          <w:numId w:val="48"/>
        </w:numPr>
        <w:ind w:left="1418"/>
      </w:pPr>
      <w:r w:rsidRPr="00DF6421">
        <w:t>vary the permission (including in relation to type, volume, and other conditions)</w:t>
      </w:r>
      <w:r w:rsidR="00E55854">
        <w:t xml:space="preserve">. </w:t>
      </w:r>
    </w:p>
    <w:p w14:paraId="0511CDD6" w14:textId="533D38D0" w:rsidR="00976BB7" w:rsidRDefault="00976BB7" w:rsidP="00976BB7">
      <w:pPr>
        <w:pStyle w:val="ActHead5"/>
      </w:pPr>
      <w:bookmarkStart w:id="22" w:name="_Toc130913737"/>
      <w:r>
        <w:t>1</w:t>
      </w:r>
      <w:r w:rsidR="00B22524">
        <w:t>0</w:t>
      </w:r>
      <w:r>
        <w:t xml:space="preserve"> </w:t>
      </w:r>
      <w:r w:rsidR="00147199">
        <w:t>Protecting l</w:t>
      </w:r>
      <w:r>
        <w:t>ong</w:t>
      </w:r>
      <w:r w:rsidR="00D30A66">
        <w:t>-</w:t>
      </w:r>
      <w:r>
        <w:t>term</w:t>
      </w:r>
      <w:r w:rsidR="00147199">
        <w:t xml:space="preserve"> </w:t>
      </w:r>
      <w:r w:rsidR="00FB2496">
        <w:t>contract gas</w:t>
      </w:r>
      <w:bookmarkEnd w:id="22"/>
    </w:p>
    <w:p w14:paraId="02A953CE" w14:textId="29C42A49" w:rsidR="00E55B01" w:rsidRDefault="00E55B01" w:rsidP="001869C5">
      <w:pPr>
        <w:pStyle w:val="subsection"/>
        <w:numPr>
          <w:ilvl w:val="0"/>
          <w:numId w:val="55"/>
        </w:numPr>
      </w:pPr>
      <w:bookmarkStart w:id="23" w:name="_Hlk128730732"/>
      <w:r>
        <w:t xml:space="preserve">In this section, </w:t>
      </w:r>
      <w:r w:rsidRPr="00EB7238">
        <w:rPr>
          <w:b/>
          <w:bCs/>
          <w:i/>
          <w:iCs/>
        </w:rPr>
        <w:t>LNG project</w:t>
      </w:r>
      <w:r>
        <w:t xml:space="preserve"> includes LNG </w:t>
      </w:r>
      <w:proofErr w:type="spellStart"/>
      <w:r>
        <w:t>tollee</w:t>
      </w:r>
      <w:proofErr w:type="spellEnd"/>
      <w:r>
        <w:t xml:space="preserve"> exporter.</w:t>
      </w:r>
    </w:p>
    <w:p w14:paraId="2CBDBFDA" w14:textId="5CEC4B00" w:rsidR="00D30A66" w:rsidRDefault="00D30A66" w:rsidP="001869C5">
      <w:pPr>
        <w:pStyle w:val="subsection"/>
        <w:numPr>
          <w:ilvl w:val="0"/>
          <w:numId w:val="55"/>
        </w:numPr>
      </w:pPr>
      <w:r>
        <w:t xml:space="preserve">If the allowable volume in an AV permission is less than the LNG </w:t>
      </w:r>
      <w:r w:rsidR="00B15642">
        <w:t>p</w:t>
      </w:r>
      <w:r>
        <w:t>roject</w:t>
      </w:r>
      <w:r w:rsidDel="008F2BCF">
        <w:t>’s</w:t>
      </w:r>
      <w:r>
        <w:t xml:space="preserve"> long-term contract gas, the LNG </w:t>
      </w:r>
      <w:r w:rsidR="00263FD1">
        <w:t>p</w:t>
      </w:r>
      <w:r>
        <w:t xml:space="preserve">roject may </w:t>
      </w:r>
      <w:r w:rsidR="00782FF3">
        <w:t>request</w:t>
      </w:r>
      <w:r>
        <w:t xml:space="preserve"> the Minister increase </w:t>
      </w:r>
      <w:r w:rsidR="001E2FF4">
        <w:t>the allowable volume in the AV permission.</w:t>
      </w:r>
      <w:r>
        <w:t xml:space="preserve"> </w:t>
      </w:r>
    </w:p>
    <w:bookmarkEnd w:id="23"/>
    <w:p w14:paraId="31DBE2E3" w14:textId="176E9452" w:rsidR="001E2FF4" w:rsidRDefault="008F2AA1" w:rsidP="001869C5">
      <w:pPr>
        <w:pStyle w:val="subsection"/>
        <w:numPr>
          <w:ilvl w:val="0"/>
          <w:numId w:val="55"/>
        </w:numPr>
      </w:pPr>
      <w:r w:rsidRPr="002B1080">
        <w:rPr>
          <w:b/>
          <w:bCs/>
          <w:i/>
          <w:iCs/>
        </w:rPr>
        <w:t xml:space="preserve">Long-term </w:t>
      </w:r>
      <w:r w:rsidR="00FB2496" w:rsidRPr="002B1080">
        <w:rPr>
          <w:b/>
          <w:bCs/>
          <w:i/>
          <w:iCs/>
        </w:rPr>
        <w:t>contract gas</w:t>
      </w:r>
      <w:r w:rsidR="00FB2496">
        <w:t xml:space="preserve"> </w:t>
      </w:r>
      <w:r w:rsidR="00FB2496" w:rsidRPr="00747080">
        <w:t>is</w:t>
      </w:r>
      <w:r w:rsidR="001E2FF4" w:rsidRPr="00747080">
        <w:t xml:space="preserve"> </w:t>
      </w:r>
      <w:bookmarkStart w:id="24" w:name="_Hlk128563618"/>
      <w:r w:rsidR="00D30A66" w:rsidRPr="00747080">
        <w:t xml:space="preserve">the </w:t>
      </w:r>
      <w:r w:rsidR="00D30A66">
        <w:t>minimum volume</w:t>
      </w:r>
      <w:r w:rsidR="001E2FF4">
        <w:t xml:space="preserve"> the LNG </w:t>
      </w:r>
      <w:r w:rsidR="00C2071F">
        <w:t>p</w:t>
      </w:r>
      <w:r w:rsidR="001E2FF4">
        <w:t xml:space="preserve">roject must supply under a protected </w:t>
      </w:r>
      <w:r w:rsidR="000C180A">
        <w:t xml:space="preserve">long-term </w:t>
      </w:r>
      <w:r w:rsidR="001E2FF4">
        <w:t>contract</w:t>
      </w:r>
      <w:bookmarkEnd w:id="24"/>
      <w:r w:rsidR="001E2FF4">
        <w:t>.</w:t>
      </w:r>
      <w:r w:rsidR="001869C5">
        <w:t xml:space="preserve"> In determining the minimum volume the LNG project must supply, the LNG project’s lack of discretion to supply a volume in the relevant period is the relevant test.</w:t>
      </w:r>
    </w:p>
    <w:p w14:paraId="104C2795" w14:textId="0E4BA5D3" w:rsidR="001869C5" w:rsidRDefault="001869C5" w:rsidP="00EB7238">
      <w:pPr>
        <w:pStyle w:val="notetext"/>
        <w:tabs>
          <w:tab w:val="right" w:pos="2835"/>
        </w:tabs>
        <w:ind w:left="1843"/>
      </w:pPr>
      <w:r>
        <w:t>Example</w:t>
      </w:r>
      <w:r w:rsidRPr="00875BB9">
        <w:t>:</w:t>
      </w:r>
      <w:r w:rsidRPr="00875BB9">
        <w:tab/>
      </w:r>
      <w:r w:rsidR="00613A49">
        <w:t xml:space="preserve">An LNG project (the seller) has a </w:t>
      </w:r>
      <w:r w:rsidR="00613A49" w:rsidRPr="00613A49">
        <w:t>long-term LNG Supply and Purchase Agreement</w:t>
      </w:r>
      <w:r w:rsidR="00613A49">
        <w:t xml:space="preserve"> (SPA) with a foreign energy utility (the buyer). The SPA stipulates: 1) 5 million tonnes of LNG will be delivered annually 2) the buyer can exercise the option to have an </w:t>
      </w:r>
      <w:r w:rsidR="00613A49">
        <w:lastRenderedPageBreak/>
        <w:t>additional 1 million tonnes of LNG delivered in any given year, at a price agreed between buyer and seller. In 2024, the buyer and seller agree a price and the buyer calls in its option to have the additional 1 million tonnes delivered in 2024. The long-term contract gas for 2024 is 6 million tonnes for the SPA.</w:t>
      </w:r>
    </w:p>
    <w:p w14:paraId="03356E5B" w14:textId="661E1289" w:rsidR="007311AA" w:rsidRDefault="007311AA" w:rsidP="007311AA">
      <w:pPr>
        <w:pStyle w:val="subsection"/>
        <w:numPr>
          <w:ilvl w:val="1"/>
          <w:numId w:val="49"/>
        </w:numPr>
        <w:ind w:left="1418"/>
      </w:pPr>
      <w:r>
        <w:t xml:space="preserve">Long-term contract gas cannot be increased as a result of renegotiating or otherwise updating a protected long-term contract. Where the </w:t>
      </w:r>
      <w:r w:rsidRPr="007311AA">
        <w:t xml:space="preserve">minimum volume the LNG project must supply </w:t>
      </w:r>
      <w:r>
        <w:t>increase</w:t>
      </w:r>
      <w:r w:rsidR="00906DD3">
        <w:t>s</w:t>
      </w:r>
      <w:r>
        <w:t xml:space="preserve"> as a result of renegotiating or otherwise updating a protected </w:t>
      </w:r>
      <w:r w:rsidR="00906DD3">
        <w:t xml:space="preserve">long-term contract, the contract’s long-term contract gas is the long-term contract gas in the </w:t>
      </w:r>
      <w:r w:rsidR="00F56122">
        <w:t xml:space="preserve">original </w:t>
      </w:r>
      <w:r w:rsidR="00906DD3">
        <w:t>agreement</w:t>
      </w:r>
      <w:r w:rsidR="0056331C">
        <w:t xml:space="preserve"> </w:t>
      </w:r>
      <w:r w:rsidR="00F56122">
        <w:t xml:space="preserve">that was </w:t>
      </w:r>
      <w:r w:rsidR="0056331C">
        <w:t>renegotiated or updated</w:t>
      </w:r>
      <w:r w:rsidR="00906DD3">
        <w:t>.</w:t>
      </w:r>
    </w:p>
    <w:p w14:paraId="6946BA43" w14:textId="7B48F546" w:rsidR="009013CA" w:rsidRDefault="001E2FF4" w:rsidP="001869C5">
      <w:pPr>
        <w:pStyle w:val="subsection"/>
        <w:numPr>
          <w:ilvl w:val="0"/>
          <w:numId w:val="55"/>
        </w:numPr>
      </w:pPr>
      <w:r>
        <w:t xml:space="preserve">For the purposes of determining long-term contract gas, a </w:t>
      </w:r>
      <w:r w:rsidRPr="002B1080">
        <w:rPr>
          <w:b/>
          <w:bCs/>
          <w:i/>
          <w:iCs/>
        </w:rPr>
        <w:t xml:space="preserve">protected </w:t>
      </w:r>
      <w:r w:rsidR="000C180A">
        <w:rPr>
          <w:b/>
          <w:bCs/>
          <w:i/>
          <w:iCs/>
        </w:rPr>
        <w:t>long-term</w:t>
      </w:r>
      <w:r w:rsidR="000C180A" w:rsidRPr="002B1080">
        <w:rPr>
          <w:b/>
          <w:bCs/>
          <w:i/>
          <w:iCs/>
        </w:rPr>
        <w:t xml:space="preserve"> </w:t>
      </w:r>
      <w:r w:rsidRPr="002B1080">
        <w:rPr>
          <w:b/>
          <w:bCs/>
          <w:i/>
          <w:iCs/>
        </w:rPr>
        <w:t>contract</w:t>
      </w:r>
      <w:r>
        <w:rPr>
          <w:b/>
          <w:bCs/>
          <w:i/>
          <w:iCs/>
        </w:rPr>
        <w:t xml:space="preserve"> </w:t>
      </w:r>
      <w:r>
        <w:t xml:space="preserve">is </w:t>
      </w:r>
      <w:r w:rsidR="00FD1634">
        <w:t>an agreement</w:t>
      </w:r>
      <w:r>
        <w:t xml:space="preserve"> which underpinned the </w:t>
      </w:r>
      <w:r w:rsidR="008F2AA1" w:rsidRPr="00AA55A8">
        <w:t>final</w:t>
      </w:r>
      <w:r w:rsidR="008F2AA1">
        <w:t xml:space="preserve"> </w:t>
      </w:r>
      <w:r w:rsidR="008F2AA1" w:rsidRPr="00AA55A8">
        <w:t xml:space="preserve">investment decision </w:t>
      </w:r>
      <w:r>
        <w:t>of the</w:t>
      </w:r>
      <w:r w:rsidR="008F2AA1" w:rsidRPr="00AA55A8">
        <w:t xml:space="preserve"> LNG project.</w:t>
      </w:r>
      <w:r w:rsidR="007311AA">
        <w:t xml:space="preserve"> These agreements include</w:t>
      </w:r>
      <w:r w:rsidR="00DE5D42">
        <w:t xml:space="preserve">, but are not limited to, </w:t>
      </w:r>
      <w:r w:rsidR="007311AA">
        <w:t>Heads of Agreement</w:t>
      </w:r>
      <w:r w:rsidR="008C5691">
        <w:t xml:space="preserve"> </w:t>
      </w:r>
      <w:r w:rsidR="00B74A52">
        <w:t xml:space="preserve">and memorandums of understanding </w:t>
      </w:r>
      <w:r w:rsidR="00DE5D42">
        <w:t>that</w:t>
      </w:r>
      <w:r w:rsidR="008C5691">
        <w:t xml:space="preserve"> later evolved into an </w:t>
      </w:r>
      <w:r w:rsidR="008C5691" w:rsidRPr="007311AA">
        <w:t>LNG Supply and Purchase Agreement</w:t>
      </w:r>
      <w:r w:rsidR="007311AA">
        <w:t>.</w:t>
      </w:r>
    </w:p>
    <w:p w14:paraId="340F2E44" w14:textId="7F36911C" w:rsidR="0013466F" w:rsidRDefault="0013466F" w:rsidP="007311AA">
      <w:pPr>
        <w:pStyle w:val="subsection"/>
        <w:numPr>
          <w:ilvl w:val="1"/>
          <w:numId w:val="57"/>
        </w:numPr>
      </w:pPr>
      <w:r>
        <w:t>A protected long-term contract may be executed before or up to 12 months after the LNG project’s final investment decision.</w:t>
      </w:r>
    </w:p>
    <w:p w14:paraId="4609C50A" w14:textId="7E0F8A1A" w:rsidR="00680DB2" w:rsidRDefault="001E2FF4" w:rsidP="007311AA">
      <w:pPr>
        <w:pStyle w:val="subsection"/>
        <w:numPr>
          <w:ilvl w:val="1"/>
          <w:numId w:val="57"/>
        </w:numPr>
      </w:pPr>
      <w:r>
        <w:t xml:space="preserve">The Minister may consider a renewed </w:t>
      </w:r>
      <w:r w:rsidR="007311AA">
        <w:t>agreement, or an agreement formalising an earlier agreement,</w:t>
      </w:r>
      <w:r>
        <w:t xml:space="preserve"> to be a protected </w:t>
      </w:r>
      <w:r w:rsidR="000C180A">
        <w:t xml:space="preserve">long-term </w:t>
      </w:r>
      <w:r>
        <w:t>contract</w:t>
      </w:r>
      <w:r w:rsidR="00965644">
        <w:t>, provided the original agreement underwrote the final investment decision of the LNG project</w:t>
      </w:r>
      <w:r w:rsidR="00680DB2">
        <w:t xml:space="preserve">. </w:t>
      </w:r>
    </w:p>
    <w:p w14:paraId="3BA9B4FA" w14:textId="3410FA47" w:rsidR="008F2AA1" w:rsidRPr="00AA55A8" w:rsidRDefault="00704BC4" w:rsidP="00AA55A8">
      <w:pPr>
        <w:pStyle w:val="SubsectionHead"/>
      </w:pPr>
      <w:r>
        <w:t xml:space="preserve">LNG project may write to the </w:t>
      </w:r>
      <w:r w:rsidR="009013CA">
        <w:t xml:space="preserve">Minister </w:t>
      </w:r>
      <w:r w:rsidR="00966848">
        <w:t xml:space="preserve">to confirm </w:t>
      </w:r>
      <w:r w:rsidR="009013CA">
        <w:t>long-term contract gas</w:t>
      </w:r>
    </w:p>
    <w:p w14:paraId="1F9DB98C" w14:textId="5CBF4854" w:rsidR="00F85200" w:rsidRDefault="008F2AA1" w:rsidP="00075D37">
      <w:pPr>
        <w:pStyle w:val="subsection"/>
        <w:numPr>
          <w:ilvl w:val="0"/>
          <w:numId w:val="55"/>
        </w:numPr>
      </w:pPr>
      <w:r w:rsidRPr="00AA55A8">
        <w:t xml:space="preserve">To provide </w:t>
      </w:r>
      <w:r w:rsidR="00B74A52">
        <w:t xml:space="preserve">greater </w:t>
      </w:r>
      <w:r w:rsidRPr="00AA55A8">
        <w:t xml:space="preserve">certainty to LNG projects, </w:t>
      </w:r>
      <w:r w:rsidR="009013CA">
        <w:t>an LNG project</w:t>
      </w:r>
      <w:r w:rsidR="008F2BCF">
        <w:t xml:space="preserve"> </w:t>
      </w:r>
      <w:r w:rsidR="009013CA">
        <w:t xml:space="preserve">may </w:t>
      </w:r>
      <w:r w:rsidR="00966848">
        <w:t>write</w:t>
      </w:r>
      <w:r w:rsidR="009013CA">
        <w:t xml:space="preserve"> to the Minister </w:t>
      </w:r>
      <w:r w:rsidR="00965644">
        <w:t>seeking recognition</w:t>
      </w:r>
      <w:r w:rsidR="00966848">
        <w:t xml:space="preserve"> of the </w:t>
      </w:r>
      <w:r w:rsidR="009013CA">
        <w:t xml:space="preserve">long-term contract gas </w:t>
      </w:r>
      <w:r w:rsidR="00F85200">
        <w:t>under a protected long-term contract</w:t>
      </w:r>
      <w:r w:rsidR="009013CA">
        <w:t>.</w:t>
      </w:r>
      <w:r w:rsidR="00F85200">
        <w:t xml:space="preserve"> Such a request </w:t>
      </w:r>
      <w:r w:rsidR="00491655">
        <w:t>should</w:t>
      </w:r>
      <w:r w:rsidR="00F85200">
        <w:t xml:space="preserve"> annex the protected long-term contract. </w:t>
      </w:r>
    </w:p>
    <w:p w14:paraId="0CB88DA3" w14:textId="767E64AF" w:rsidR="007B7B0A" w:rsidRDefault="00966848" w:rsidP="00075D37">
      <w:pPr>
        <w:pStyle w:val="subsection"/>
        <w:numPr>
          <w:ilvl w:val="0"/>
          <w:numId w:val="55"/>
        </w:numPr>
      </w:pPr>
      <w:r>
        <w:t>Following such a request</w:t>
      </w:r>
      <w:r w:rsidR="007B7B0A">
        <w:t xml:space="preserve">, </w:t>
      </w:r>
      <w:r w:rsidR="00965644">
        <w:t xml:space="preserve">if the Minister determines the annex is a protected long-term contract, </w:t>
      </w:r>
      <w:r w:rsidR="007B7B0A">
        <w:t xml:space="preserve">the </w:t>
      </w:r>
      <w:r w:rsidR="00F85200">
        <w:t xml:space="preserve">Minister will cause </w:t>
      </w:r>
      <w:r w:rsidR="007B7B0A">
        <w:t>Schedule 2 of these Guidelines</w:t>
      </w:r>
      <w:r w:rsidR="00F85200">
        <w:t xml:space="preserve"> to be updated</w:t>
      </w:r>
      <w:r w:rsidR="007B7B0A">
        <w:t>.</w:t>
      </w:r>
      <w:r w:rsidR="00F85200">
        <w:t xml:space="preserve"> The update will specify:</w:t>
      </w:r>
    </w:p>
    <w:p w14:paraId="0CE6858B" w14:textId="22EFA15F" w:rsidR="00F85200" w:rsidRDefault="00F85200" w:rsidP="00F85200">
      <w:pPr>
        <w:pStyle w:val="subsection"/>
        <w:numPr>
          <w:ilvl w:val="0"/>
          <w:numId w:val="59"/>
        </w:numPr>
      </w:pPr>
      <w:r>
        <w:t>the LNG project (the seller);</w:t>
      </w:r>
    </w:p>
    <w:p w14:paraId="1FACF808" w14:textId="099FE218" w:rsidR="00F85200" w:rsidRDefault="00F85200" w:rsidP="00F85200">
      <w:pPr>
        <w:pStyle w:val="subsection"/>
        <w:numPr>
          <w:ilvl w:val="0"/>
          <w:numId w:val="59"/>
        </w:numPr>
      </w:pPr>
      <w:r>
        <w:t>the buyer;</w:t>
      </w:r>
    </w:p>
    <w:p w14:paraId="55B156D5" w14:textId="2005E03C" w:rsidR="00F85200" w:rsidRDefault="00F85200" w:rsidP="00F85200">
      <w:pPr>
        <w:pStyle w:val="subsection"/>
        <w:numPr>
          <w:ilvl w:val="0"/>
          <w:numId w:val="59"/>
        </w:numPr>
      </w:pPr>
      <w:r>
        <w:t>the date the protected long-term contract was executed; and</w:t>
      </w:r>
    </w:p>
    <w:p w14:paraId="01D81381" w14:textId="625E847C" w:rsidR="00F85200" w:rsidRDefault="00F85200" w:rsidP="00F85200">
      <w:pPr>
        <w:pStyle w:val="subsection"/>
        <w:numPr>
          <w:ilvl w:val="0"/>
          <w:numId w:val="59"/>
        </w:numPr>
      </w:pPr>
      <w:r>
        <w:t xml:space="preserve">the protected long-term contract’s long-term contract gas, disaggregated by any </w:t>
      </w:r>
      <w:r w:rsidR="00560350">
        <w:t xml:space="preserve">future </w:t>
      </w:r>
      <w:r>
        <w:t>specified delivery timing.</w:t>
      </w:r>
    </w:p>
    <w:p w14:paraId="610BFC97" w14:textId="15EA11A5" w:rsidR="009013CA" w:rsidRDefault="008F2AA1" w:rsidP="00F75CB3">
      <w:pPr>
        <w:pStyle w:val="subsection"/>
        <w:numPr>
          <w:ilvl w:val="0"/>
          <w:numId w:val="55"/>
        </w:numPr>
      </w:pPr>
      <w:r w:rsidRPr="00AA55A8">
        <w:t xml:space="preserve">In recognition that </w:t>
      </w:r>
      <w:r w:rsidR="00264F21">
        <w:t xml:space="preserve">a </w:t>
      </w:r>
      <w:r w:rsidRPr="00AA55A8">
        <w:t xml:space="preserve">protected </w:t>
      </w:r>
      <w:r w:rsidR="00264F21">
        <w:t xml:space="preserve">long-term </w:t>
      </w:r>
      <w:r w:rsidRPr="00AA55A8">
        <w:t>contract</w:t>
      </w:r>
      <w:r w:rsidR="00264F21">
        <w:t xml:space="preserve"> may</w:t>
      </w:r>
      <w:r w:rsidRPr="00AA55A8">
        <w:t xml:space="preserve"> have a seasonal profile (where the timing of the</w:t>
      </w:r>
      <w:r>
        <w:t xml:space="preserve"> </w:t>
      </w:r>
      <w:r w:rsidRPr="00AA55A8">
        <w:t xml:space="preserve">delivery is specified in the protected </w:t>
      </w:r>
      <w:r w:rsidR="000C180A">
        <w:t xml:space="preserve">long-term </w:t>
      </w:r>
      <w:r w:rsidRPr="00AA55A8">
        <w:t xml:space="preserve">contract), </w:t>
      </w:r>
      <w:r w:rsidR="00F75CB3">
        <w:t xml:space="preserve">Schedule 2 of these Guidelines will disaggregate </w:t>
      </w:r>
      <w:r w:rsidR="009013CA">
        <w:t>long-term contract gas</w:t>
      </w:r>
      <w:r w:rsidRPr="00AA55A8">
        <w:t xml:space="preserve"> by</w:t>
      </w:r>
      <w:r>
        <w:t xml:space="preserve"> </w:t>
      </w:r>
      <w:r w:rsidRPr="00AA55A8">
        <w:t>month.</w:t>
      </w:r>
      <w:r w:rsidR="00F75CB3">
        <w:t xml:space="preserve"> Where the agreement does not specify delivery timing by month,</w:t>
      </w:r>
      <w:r w:rsidR="00CE2065">
        <w:t xml:space="preserve"> </w:t>
      </w:r>
      <w:r w:rsidR="00DE5D42">
        <w:t xml:space="preserve">equal volumetric </w:t>
      </w:r>
      <w:r w:rsidR="00F75CB3">
        <w:t xml:space="preserve">delivery </w:t>
      </w:r>
      <w:r w:rsidR="00DE5D42">
        <w:t xml:space="preserve">in each month </w:t>
      </w:r>
      <w:r w:rsidR="00F75CB3">
        <w:t>will be assumed.</w:t>
      </w:r>
      <w:r w:rsidR="00CE2065">
        <w:t xml:space="preserve"> Where the agreement specifies the buyer’s right to determine delivery timing, </w:t>
      </w:r>
      <w:r w:rsidR="00DE5D42">
        <w:t xml:space="preserve">the Minister will consider </w:t>
      </w:r>
      <w:r w:rsidR="00CE2065">
        <w:t>any delivery timing requests from the buyer.</w:t>
      </w:r>
    </w:p>
    <w:p w14:paraId="61D4EA35" w14:textId="5349B67E" w:rsidR="00F75CB3" w:rsidRDefault="00F75CB3" w:rsidP="00F75CB3">
      <w:pPr>
        <w:pStyle w:val="notetext"/>
        <w:ind w:hanging="992"/>
      </w:pPr>
      <w:r>
        <w:lastRenderedPageBreak/>
        <w:t>Example</w:t>
      </w:r>
      <w:r w:rsidRPr="00875BB9">
        <w:t>:</w:t>
      </w:r>
      <w:r w:rsidRPr="00875BB9">
        <w:tab/>
      </w:r>
      <w:r>
        <w:t xml:space="preserve">A protected long-term contract requires the seller to deliver 30 thousand tonnes of LNG in Q4 of every year, beginning on 1 January 2012 and ending on </w:t>
      </w:r>
      <w:r w:rsidR="00BE650B">
        <w:t>1 January</w:t>
      </w:r>
      <w:r>
        <w:t xml:space="preserve"> 2025. </w:t>
      </w:r>
      <w:r w:rsidR="00BE650B">
        <w:br/>
      </w:r>
      <w:r>
        <w:t>In Q1 2024, the seller writes to the Minister requesting confirmation of the long-term contract gas in the protected long-term contract. The Minister updates Schedule 2 of these Guidelines to specify: a) the seller (Northern LNG); b) the buyer (Asia Gas Inc.); c) the date the protected long-term contract was executed (1 November 2011); d)</w:t>
      </w:r>
      <w:r w:rsidR="00CE2065">
        <w:t> </w:t>
      </w:r>
      <w:r>
        <w:t>for</w:t>
      </w:r>
      <w:r w:rsidR="00CE2065">
        <w:t> </w:t>
      </w:r>
      <w:r>
        <w:t xml:space="preserve">October 2024 – </w:t>
      </w:r>
      <w:r w:rsidR="00BE650B">
        <w:t>long-term contract gas is 10 thousand</w:t>
      </w:r>
      <w:r>
        <w:t xml:space="preserve"> tonnes of LNG; for</w:t>
      </w:r>
      <w:r w:rsidR="00CE2065">
        <w:t> </w:t>
      </w:r>
      <w:r w:rsidR="00BE650B">
        <w:t>November 2024</w:t>
      </w:r>
      <w:r>
        <w:t xml:space="preserve"> </w:t>
      </w:r>
      <w:r w:rsidR="00BE650B">
        <w:t>– long-term contract gas is 10 thousand tonnes of LNG; for</w:t>
      </w:r>
      <w:r w:rsidR="00CE2065">
        <w:t> </w:t>
      </w:r>
      <w:r w:rsidR="00BE650B">
        <w:t>December 2024 – long-term contract gas is 10 thousand tonnes of LNG.</w:t>
      </w:r>
    </w:p>
    <w:p w14:paraId="7A695337" w14:textId="668F628C" w:rsidR="008F2AA1" w:rsidRDefault="009013CA" w:rsidP="00491655">
      <w:pPr>
        <w:pStyle w:val="subsection"/>
        <w:numPr>
          <w:ilvl w:val="0"/>
          <w:numId w:val="55"/>
        </w:numPr>
      </w:pPr>
      <w:r>
        <w:t xml:space="preserve">Long-term contract gas for a </w:t>
      </w:r>
      <w:r w:rsidR="00D37B6F">
        <w:t xml:space="preserve">domestic </w:t>
      </w:r>
      <w:r>
        <w:t xml:space="preserve">shortfall quarter </w:t>
      </w:r>
      <w:r w:rsidR="008F2AA1" w:rsidRPr="00AA55A8">
        <w:t xml:space="preserve">will be the sum of the monthly </w:t>
      </w:r>
      <w:r>
        <w:t xml:space="preserve">long-term contract gas </w:t>
      </w:r>
      <w:r w:rsidR="008F2AA1" w:rsidRPr="00AA55A8">
        <w:t xml:space="preserve">volumes for the </w:t>
      </w:r>
      <w:r w:rsidR="00D37B6F">
        <w:t xml:space="preserve">domestic </w:t>
      </w:r>
      <w:r>
        <w:t>shortfall quarter</w:t>
      </w:r>
      <w:r w:rsidR="008F2AA1" w:rsidRPr="00AA55A8">
        <w:t>.</w:t>
      </w:r>
    </w:p>
    <w:p w14:paraId="333D91FD" w14:textId="3F18C1F0" w:rsidR="008F2AA1" w:rsidRPr="00AA55A8" w:rsidRDefault="00CA6203" w:rsidP="00AA55A8">
      <w:pPr>
        <w:pStyle w:val="SubsectionHead"/>
      </w:pPr>
      <w:r>
        <w:t>Relevant criteria for increasing the allowable volume in the AV permission</w:t>
      </w:r>
    </w:p>
    <w:p w14:paraId="0850D11D" w14:textId="19054169" w:rsidR="008F2AA1" w:rsidRDefault="00CA6203" w:rsidP="00DE5D42">
      <w:pPr>
        <w:pStyle w:val="subsection"/>
        <w:numPr>
          <w:ilvl w:val="0"/>
          <w:numId w:val="55"/>
        </w:numPr>
      </w:pPr>
      <w:r>
        <w:t>When considering an application to increase the allowable volume in an AV permission, the Minister will consider the following criteria.</w:t>
      </w:r>
      <w:r w:rsidR="00615782">
        <w:t xml:space="preserve"> </w:t>
      </w:r>
    </w:p>
    <w:p w14:paraId="349A65CA" w14:textId="3DFDD79F" w:rsidR="004E1985" w:rsidRDefault="00CA6203" w:rsidP="00F85200">
      <w:pPr>
        <w:pStyle w:val="subsection"/>
        <w:numPr>
          <w:ilvl w:val="1"/>
          <w:numId w:val="58"/>
        </w:numPr>
        <w:ind w:left="1418"/>
      </w:pPr>
      <w:r>
        <w:t>Whether t</w:t>
      </w:r>
      <w:r w:rsidR="004E1985">
        <w:t xml:space="preserve">he </w:t>
      </w:r>
      <w:r w:rsidR="00615782">
        <w:t xml:space="preserve">LNG project </w:t>
      </w:r>
      <w:r w:rsidR="004E1985">
        <w:t xml:space="preserve">has exhausted all </w:t>
      </w:r>
      <w:r>
        <w:t xml:space="preserve">available </w:t>
      </w:r>
      <w:r w:rsidR="004E1985">
        <w:t>commercial solutions</w:t>
      </w:r>
      <w:r w:rsidR="006414AE">
        <w:t xml:space="preserve"> to </w:t>
      </w:r>
      <w:r>
        <w:t>fulfil its contractual obligation</w:t>
      </w:r>
      <w:r w:rsidR="00422515">
        <w:t>s</w:t>
      </w:r>
      <w:r w:rsidR="004E1985">
        <w:t xml:space="preserve">, </w:t>
      </w:r>
      <w:r w:rsidR="006414AE">
        <w:t>including</w:t>
      </w:r>
      <w:r w:rsidR="004E1985">
        <w:t xml:space="preserve"> but not limited to</w:t>
      </w:r>
      <w:r>
        <w:t xml:space="preserve"> its protected </w:t>
      </w:r>
      <w:r w:rsidR="000C180A">
        <w:t xml:space="preserve">long-term </w:t>
      </w:r>
      <w:r>
        <w:t xml:space="preserve">contracts. Commercial solutions include </w:t>
      </w:r>
      <w:r w:rsidR="008A59AA">
        <w:t>increasing the</w:t>
      </w:r>
      <w:r>
        <w:t xml:space="preserve"> allowable volume</w:t>
      </w:r>
      <w:r w:rsidR="008A59AA">
        <w:t xml:space="preserve"> in an AV permission</w:t>
      </w:r>
      <w:r>
        <w:t xml:space="preserve"> through trade</w:t>
      </w:r>
      <w:r w:rsidR="008A59AA">
        <w:t xml:space="preserve"> and purchasing LNG on the global market to meet a contractual obligation.</w:t>
      </w:r>
      <w:bookmarkEnd w:id="17"/>
    </w:p>
    <w:p w14:paraId="7676198A" w14:textId="66434064" w:rsidR="00CA6203" w:rsidRDefault="00CA6203" w:rsidP="007B7B0A">
      <w:pPr>
        <w:pStyle w:val="notetext"/>
        <w:ind w:hanging="992"/>
      </w:pPr>
      <w:bookmarkStart w:id="25" w:name="_Hlk128748360"/>
      <w:bookmarkStart w:id="26" w:name="_Hlk128748382"/>
      <w:r>
        <w:t>Not</w:t>
      </w:r>
      <w:r w:rsidRPr="00875BB9">
        <w:t>e:</w:t>
      </w:r>
      <w:r w:rsidRPr="00875BB9">
        <w:tab/>
      </w:r>
      <w:r>
        <w:t>S</w:t>
      </w:r>
      <w:r w:rsidR="00422515">
        <w:t>ubs</w:t>
      </w:r>
      <w:r>
        <w:t>ection</w:t>
      </w:r>
      <w:r w:rsidR="00422515">
        <w:t>s</w:t>
      </w:r>
      <w:r w:rsidR="007924F3">
        <w:t xml:space="preserve"> </w:t>
      </w:r>
      <w:bookmarkEnd w:id="25"/>
      <w:r w:rsidR="007924F3">
        <w:t>9(1</w:t>
      </w:r>
      <w:bookmarkEnd w:id="26"/>
      <w:r w:rsidR="008723FD">
        <w:t>1</w:t>
      </w:r>
      <w:r w:rsidR="00422515">
        <w:t>) to 9(</w:t>
      </w:r>
      <w:r w:rsidR="007924F3">
        <w:t>1</w:t>
      </w:r>
      <w:r w:rsidR="008723FD">
        <w:t>3</w:t>
      </w:r>
      <w:r w:rsidR="007924F3">
        <w:t>)</w:t>
      </w:r>
      <w:r>
        <w:t xml:space="preserve"> of these Guidelines </w:t>
      </w:r>
      <w:r w:rsidR="008A59AA">
        <w:t xml:space="preserve">relate to the trade of AV </w:t>
      </w:r>
      <w:r w:rsidR="00E60A37">
        <w:t>permi</w:t>
      </w:r>
      <w:r w:rsidR="00422515">
        <w:t>s</w:t>
      </w:r>
      <w:r w:rsidR="00E60A37">
        <w:t>s</w:t>
      </w:r>
      <w:r w:rsidR="00422515">
        <w:t>ions</w:t>
      </w:r>
      <w:r w:rsidR="008A59AA">
        <w:t>.</w:t>
      </w:r>
    </w:p>
    <w:p w14:paraId="314E1149" w14:textId="2B928EDF" w:rsidR="005D44B6" w:rsidRDefault="00607333" w:rsidP="00F85200">
      <w:pPr>
        <w:pStyle w:val="paragraph"/>
        <w:numPr>
          <w:ilvl w:val="1"/>
          <w:numId w:val="58"/>
        </w:numPr>
        <w:ind w:left="1418"/>
      </w:pPr>
      <w:r>
        <w:t>T</w:t>
      </w:r>
      <w:r w:rsidR="008A59AA">
        <w:t>he economic and social impacts of a shortfall in Australia equivalent to the increase in the allowable volume under consideration</w:t>
      </w:r>
      <w:r w:rsidR="005D44B6">
        <w:t>.</w:t>
      </w:r>
    </w:p>
    <w:p w14:paraId="307FBBFB" w14:textId="3EBF60C0" w:rsidR="00C63F4D" w:rsidRDefault="00C63F4D" w:rsidP="00F85200">
      <w:pPr>
        <w:pStyle w:val="paragraph"/>
        <w:numPr>
          <w:ilvl w:val="1"/>
          <w:numId w:val="58"/>
        </w:numPr>
        <w:ind w:left="1418"/>
      </w:pPr>
      <w:r>
        <w:t>The likely impact on Aust</w:t>
      </w:r>
      <w:r w:rsidR="003927C9">
        <w:t>r</w:t>
      </w:r>
      <w:r>
        <w:t>alia’s reputation as a reliable trade and investment partner.</w:t>
      </w:r>
    </w:p>
    <w:p w14:paraId="2450DB05" w14:textId="2F3E5171" w:rsidR="00854AFD" w:rsidRDefault="00B0536A" w:rsidP="00F85200">
      <w:pPr>
        <w:pStyle w:val="paragraph"/>
        <w:numPr>
          <w:ilvl w:val="1"/>
          <w:numId w:val="58"/>
        </w:numPr>
        <w:ind w:left="1418"/>
      </w:pPr>
      <w:r>
        <w:t>Whether the LNG project has increased</w:t>
      </w:r>
      <w:r w:rsidR="00854AFD">
        <w:t xml:space="preserve"> produc</w:t>
      </w:r>
      <w:r>
        <w:t>tion to ease the shortfall</w:t>
      </w:r>
      <w:r w:rsidR="005575EF">
        <w:t xml:space="preserve">. </w:t>
      </w:r>
    </w:p>
    <w:p w14:paraId="162BC539" w14:textId="6EB2A23A" w:rsidR="009476B8" w:rsidRDefault="000069A4" w:rsidP="00827F17">
      <w:pPr>
        <w:pStyle w:val="paragraph"/>
        <w:tabs>
          <w:tab w:val="clear" w:pos="1531"/>
          <w:tab w:val="right" w:pos="1843"/>
        </w:tabs>
        <w:ind w:left="1985" w:hanging="851"/>
      </w:pPr>
      <w:r>
        <w:rPr>
          <w:sz w:val="18"/>
          <w:szCs w:val="18"/>
        </w:rPr>
        <w:t>Example:</w:t>
      </w:r>
      <w:r>
        <w:rPr>
          <w:sz w:val="18"/>
          <w:szCs w:val="18"/>
        </w:rPr>
        <w:tab/>
      </w:r>
      <w:r>
        <w:rPr>
          <w:sz w:val="18"/>
          <w:szCs w:val="18"/>
        </w:rPr>
        <w:tab/>
      </w:r>
      <w:r w:rsidR="00B0536A">
        <w:rPr>
          <w:sz w:val="18"/>
          <w:szCs w:val="18"/>
        </w:rPr>
        <w:t>In response to a Minister’s determination, an</w:t>
      </w:r>
      <w:r>
        <w:rPr>
          <w:sz w:val="18"/>
          <w:szCs w:val="18"/>
        </w:rPr>
        <w:t xml:space="preserve"> </w:t>
      </w:r>
      <w:r w:rsidR="00854AFD" w:rsidRPr="00B0536A">
        <w:rPr>
          <w:sz w:val="18"/>
          <w:szCs w:val="18"/>
        </w:rPr>
        <w:t xml:space="preserve">LNG project </w:t>
      </w:r>
      <w:r w:rsidR="00B0536A">
        <w:rPr>
          <w:sz w:val="18"/>
          <w:szCs w:val="18"/>
        </w:rPr>
        <w:t>increases production and enters contracts with domestic customers to ease the shortfall</w:t>
      </w:r>
      <w:r w:rsidR="00854AFD" w:rsidRPr="00B0536A">
        <w:rPr>
          <w:sz w:val="18"/>
          <w:szCs w:val="18"/>
        </w:rPr>
        <w:t xml:space="preserve">. </w:t>
      </w:r>
      <w:r w:rsidR="00B0536A">
        <w:rPr>
          <w:sz w:val="18"/>
          <w:szCs w:val="18"/>
        </w:rPr>
        <w:t>T</w:t>
      </w:r>
      <w:r w:rsidR="00B0536A" w:rsidRPr="00B0536A">
        <w:rPr>
          <w:sz w:val="18"/>
          <w:szCs w:val="18"/>
        </w:rPr>
        <w:t xml:space="preserve">he allowable volume in </w:t>
      </w:r>
      <w:r w:rsidR="00B0536A">
        <w:rPr>
          <w:sz w:val="18"/>
          <w:szCs w:val="18"/>
        </w:rPr>
        <w:t>the project’s</w:t>
      </w:r>
      <w:r w:rsidR="00B0536A" w:rsidRPr="00B0536A">
        <w:rPr>
          <w:sz w:val="18"/>
          <w:szCs w:val="18"/>
        </w:rPr>
        <w:t xml:space="preserve"> AV permission is less than </w:t>
      </w:r>
      <w:r w:rsidR="00B0536A">
        <w:rPr>
          <w:sz w:val="18"/>
          <w:szCs w:val="18"/>
        </w:rPr>
        <w:t>its</w:t>
      </w:r>
      <w:r w:rsidR="00B0536A" w:rsidRPr="00B0536A">
        <w:rPr>
          <w:sz w:val="18"/>
          <w:szCs w:val="18"/>
        </w:rPr>
        <w:t xml:space="preserve"> long-term contract gas, </w:t>
      </w:r>
      <w:r w:rsidR="00B0536A">
        <w:rPr>
          <w:sz w:val="18"/>
          <w:szCs w:val="18"/>
        </w:rPr>
        <w:t xml:space="preserve">so </w:t>
      </w:r>
      <w:r w:rsidR="00B0536A" w:rsidRPr="00B0536A">
        <w:rPr>
          <w:sz w:val="18"/>
          <w:szCs w:val="18"/>
        </w:rPr>
        <w:t>the LNG project request</w:t>
      </w:r>
      <w:r w:rsidR="00B0536A">
        <w:rPr>
          <w:sz w:val="18"/>
          <w:szCs w:val="18"/>
        </w:rPr>
        <w:t>s</w:t>
      </w:r>
      <w:r w:rsidR="00B0536A" w:rsidRPr="00B0536A">
        <w:rPr>
          <w:sz w:val="18"/>
          <w:szCs w:val="18"/>
        </w:rPr>
        <w:t xml:space="preserve"> the Minister increase the allowable volume in the AV permission</w:t>
      </w:r>
      <w:r w:rsidR="00854AFD" w:rsidRPr="00B0536A">
        <w:rPr>
          <w:sz w:val="18"/>
          <w:szCs w:val="18"/>
        </w:rPr>
        <w:t>.</w:t>
      </w:r>
      <w:r w:rsidR="00B0536A">
        <w:rPr>
          <w:sz w:val="18"/>
          <w:szCs w:val="18"/>
        </w:rPr>
        <w:t xml:space="preserve"> Given the LNG </w:t>
      </w:r>
      <w:r w:rsidR="00B0536A" w:rsidRPr="00B0536A">
        <w:rPr>
          <w:sz w:val="18"/>
          <w:szCs w:val="18"/>
        </w:rPr>
        <w:t xml:space="preserve">project increased production </w:t>
      </w:r>
      <w:r w:rsidR="00B0536A">
        <w:rPr>
          <w:sz w:val="18"/>
          <w:szCs w:val="18"/>
        </w:rPr>
        <w:t xml:space="preserve">and supplied it to the domestic market </w:t>
      </w:r>
      <w:r w:rsidR="00B0536A" w:rsidRPr="00B0536A">
        <w:rPr>
          <w:sz w:val="18"/>
          <w:szCs w:val="18"/>
        </w:rPr>
        <w:t>to ease the shortfall</w:t>
      </w:r>
      <w:r w:rsidR="00B0536A">
        <w:rPr>
          <w:sz w:val="18"/>
          <w:szCs w:val="18"/>
        </w:rPr>
        <w:t>, the Minister decides to increase the allowable volume in the LNG project’s AV permission to its long-term contract gas amount.</w:t>
      </w:r>
      <w:r w:rsidR="009476B8">
        <w:br w:type="page"/>
      </w:r>
    </w:p>
    <w:p w14:paraId="5CB40175" w14:textId="77777777" w:rsidR="009476B8" w:rsidRDefault="009476B8" w:rsidP="009476B8">
      <w:pPr>
        <w:pStyle w:val="ActHead6"/>
      </w:pPr>
      <w:bookmarkStart w:id="27" w:name="_Toc454512518"/>
      <w:bookmarkStart w:id="28" w:name="_Toc125537217"/>
      <w:bookmarkStart w:id="29" w:name="_Toc130913738"/>
      <w:bookmarkStart w:id="30" w:name="_Hlk126148053"/>
      <w:r>
        <w:lastRenderedPageBreak/>
        <w:t>Schedule 1—Repeals</w:t>
      </w:r>
      <w:bookmarkEnd w:id="27"/>
      <w:bookmarkEnd w:id="28"/>
      <w:bookmarkEnd w:id="29"/>
    </w:p>
    <w:p w14:paraId="00A8D706" w14:textId="18E29A25" w:rsidR="009476B8" w:rsidRPr="007B0B78" w:rsidRDefault="009476B8" w:rsidP="00886885">
      <w:pPr>
        <w:pStyle w:val="ActHead9"/>
      </w:pPr>
      <w:bookmarkStart w:id="31" w:name="_Toc125537218"/>
      <w:bookmarkStart w:id="32" w:name="_Toc130913739"/>
      <w:r w:rsidRPr="007B0B78">
        <w:t>Customs (Prohibited Exports) (Operation of the Australian Domestic Gas Security Mechanism) Guidelines 2020</w:t>
      </w:r>
      <w:bookmarkEnd w:id="31"/>
      <w:bookmarkEnd w:id="32"/>
    </w:p>
    <w:p w14:paraId="684DBBC5" w14:textId="77777777" w:rsidR="009476B8" w:rsidRDefault="009476B8" w:rsidP="009476B8">
      <w:pPr>
        <w:pStyle w:val="ItemHead"/>
      </w:pPr>
      <w:r>
        <w:t>1  The whole of the instrument</w:t>
      </w:r>
    </w:p>
    <w:p w14:paraId="0929766C" w14:textId="77777777" w:rsidR="009476B8" w:rsidRDefault="009476B8" w:rsidP="009476B8">
      <w:pPr>
        <w:pStyle w:val="Item"/>
      </w:pPr>
      <w:r>
        <w:t>Repeal the instrument</w:t>
      </w:r>
    </w:p>
    <w:bookmarkEnd w:id="30"/>
    <w:p w14:paraId="3D8A7799" w14:textId="396991BE" w:rsidR="003A2771" w:rsidRDefault="003A2771">
      <w:pPr>
        <w:pStyle w:val="subsection"/>
      </w:pPr>
    </w:p>
    <w:p w14:paraId="22090868" w14:textId="77777777" w:rsidR="003A2771" w:rsidRDefault="003A2771">
      <w:pPr>
        <w:spacing w:line="240" w:lineRule="auto"/>
        <w:rPr>
          <w:rFonts w:eastAsia="Times New Roman" w:cs="Times New Roman"/>
          <w:lang w:eastAsia="en-AU"/>
        </w:rPr>
      </w:pPr>
      <w:r>
        <w:br w:type="page"/>
      </w:r>
    </w:p>
    <w:p w14:paraId="0717DBE3" w14:textId="083AC009" w:rsidR="003A2771" w:rsidRDefault="003A2771" w:rsidP="00FB0B4F">
      <w:pPr>
        <w:pStyle w:val="ActHead6"/>
        <w:rPr>
          <w:i/>
          <w:sz w:val="28"/>
        </w:rPr>
      </w:pPr>
      <w:bookmarkStart w:id="33" w:name="_Toc130913740"/>
      <w:r>
        <w:lastRenderedPageBreak/>
        <w:t>Schedule 2</w:t>
      </w:r>
      <w:r w:rsidR="00966899">
        <w:t>—</w:t>
      </w:r>
      <w:r w:rsidRPr="008804A6">
        <w:rPr>
          <w:iCs/>
          <w:sz w:val="28"/>
        </w:rPr>
        <w:t>Long-term Contract</w:t>
      </w:r>
      <w:r w:rsidRPr="008804A6">
        <w:rPr>
          <w:b w:val="0"/>
          <w:iCs/>
          <w:sz w:val="28"/>
        </w:rPr>
        <w:t xml:space="preserve"> </w:t>
      </w:r>
      <w:r w:rsidRPr="008804A6">
        <w:rPr>
          <w:bCs/>
          <w:iCs/>
          <w:sz w:val="28"/>
        </w:rPr>
        <w:t>Gas</w:t>
      </w:r>
      <w:bookmarkEnd w:id="33"/>
    </w:p>
    <w:p w14:paraId="420E4B3F" w14:textId="77777777" w:rsidR="00291D16" w:rsidRPr="00204D1A" w:rsidRDefault="00291D16">
      <w:pPr>
        <w:pStyle w:val="subsection"/>
      </w:pPr>
    </w:p>
    <w:sectPr w:rsidR="00291D16" w:rsidRPr="00204D1A" w:rsidSect="008C2EAC">
      <w:headerReference w:type="even" r:id="rId23"/>
      <w:headerReference w:type="default" r:id="rId24"/>
      <w:footerReference w:type="even" r:id="rId25"/>
      <w:footerReference w:type="default" r:id="rId26"/>
      <w:headerReference w:type="first" r:id="rId27"/>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A7E29" w14:textId="77777777" w:rsidR="007918B5" w:rsidRDefault="007918B5" w:rsidP="00715914">
      <w:pPr>
        <w:spacing w:line="240" w:lineRule="auto"/>
      </w:pPr>
      <w:r>
        <w:separator/>
      </w:r>
    </w:p>
  </w:endnote>
  <w:endnote w:type="continuationSeparator" w:id="0">
    <w:p w14:paraId="2E15FC0F" w14:textId="77777777" w:rsidR="007918B5" w:rsidRDefault="007918B5" w:rsidP="00715914">
      <w:pPr>
        <w:spacing w:line="240" w:lineRule="auto"/>
      </w:pPr>
      <w:r>
        <w:continuationSeparator/>
      </w:r>
    </w:p>
  </w:endnote>
  <w:endnote w:type="continuationNotice" w:id="1">
    <w:p w14:paraId="17F58376" w14:textId="77777777" w:rsidR="007918B5" w:rsidRDefault="007918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Regular r:id="rId1" w:subsetted="1" w:fontKey="{F41DB416-860A-4606-9757-B94A52F0CD85}"/>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266DF" w14:textId="77777777" w:rsidR="00A878D6" w:rsidRPr="00E33C1C" w:rsidRDefault="00A878D6"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878D6" w14:paraId="1B045273" w14:textId="77777777" w:rsidTr="00B33709">
      <w:tc>
        <w:tcPr>
          <w:tcW w:w="709" w:type="dxa"/>
          <w:tcBorders>
            <w:top w:val="nil"/>
            <w:left w:val="nil"/>
            <w:bottom w:val="nil"/>
            <w:right w:val="nil"/>
          </w:tcBorders>
        </w:tcPr>
        <w:p w14:paraId="05F16DAE" w14:textId="77777777" w:rsidR="00A878D6" w:rsidRDefault="00A878D6"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1A095892" w14:textId="53124219" w:rsidR="00A878D6" w:rsidRPr="004E1307" w:rsidRDefault="00A878D6"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3771">
            <w:rPr>
              <w:i/>
              <w:noProof/>
              <w:sz w:val="18"/>
            </w:rPr>
            <w:t>Customs (Prohibited Exports) (Operation of the Australian Domestic Gas Security Mechanism) Guidelines 2023</w:t>
          </w:r>
          <w:r w:rsidRPr="004E1307">
            <w:rPr>
              <w:i/>
              <w:sz w:val="18"/>
            </w:rPr>
            <w:fldChar w:fldCharType="end"/>
          </w:r>
        </w:p>
      </w:tc>
      <w:tc>
        <w:tcPr>
          <w:tcW w:w="1383" w:type="dxa"/>
          <w:tcBorders>
            <w:top w:val="nil"/>
            <w:left w:val="nil"/>
            <w:bottom w:val="nil"/>
            <w:right w:val="nil"/>
          </w:tcBorders>
        </w:tcPr>
        <w:p w14:paraId="7397A0E4" w14:textId="77777777" w:rsidR="00A878D6" w:rsidRDefault="00A878D6" w:rsidP="00A369E3">
          <w:pPr>
            <w:spacing w:line="0" w:lineRule="atLeast"/>
            <w:jc w:val="right"/>
            <w:rPr>
              <w:sz w:val="18"/>
            </w:rPr>
          </w:pPr>
        </w:p>
      </w:tc>
    </w:tr>
    <w:tr w:rsidR="00A878D6" w14:paraId="7FD11112"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DBD6EE" w14:textId="77777777" w:rsidR="00A878D6" w:rsidRDefault="00A878D6" w:rsidP="00A369E3">
          <w:pPr>
            <w:jc w:val="right"/>
            <w:rPr>
              <w:sz w:val="18"/>
            </w:rPr>
          </w:pPr>
        </w:p>
      </w:tc>
    </w:tr>
  </w:tbl>
  <w:p w14:paraId="1288CA9D" w14:textId="77777777" w:rsidR="00A878D6" w:rsidRPr="00ED79B6" w:rsidRDefault="00A878D6"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B9C2" w14:textId="77777777" w:rsidR="00A878D6" w:rsidRPr="00E33C1C" w:rsidRDefault="00A878D6"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6"/>
      <w:gridCol w:w="700"/>
    </w:tblGrid>
    <w:tr w:rsidR="00A878D6" w14:paraId="0A3BD927" w14:textId="77777777" w:rsidTr="00A369E3">
      <w:tc>
        <w:tcPr>
          <w:tcW w:w="1384" w:type="dxa"/>
          <w:tcBorders>
            <w:top w:val="nil"/>
            <w:left w:val="nil"/>
            <w:bottom w:val="nil"/>
            <w:right w:val="nil"/>
          </w:tcBorders>
        </w:tcPr>
        <w:p w14:paraId="3F761B06" w14:textId="77777777" w:rsidR="00A878D6" w:rsidRDefault="00A878D6" w:rsidP="00A369E3">
          <w:pPr>
            <w:spacing w:line="0" w:lineRule="atLeast"/>
            <w:rPr>
              <w:sz w:val="18"/>
            </w:rPr>
          </w:pPr>
        </w:p>
      </w:tc>
      <w:tc>
        <w:tcPr>
          <w:tcW w:w="6379" w:type="dxa"/>
          <w:tcBorders>
            <w:top w:val="nil"/>
            <w:left w:val="nil"/>
            <w:bottom w:val="nil"/>
            <w:right w:val="nil"/>
          </w:tcBorders>
        </w:tcPr>
        <w:p w14:paraId="30F77CF6" w14:textId="5B1BDF48" w:rsidR="00A878D6" w:rsidRDefault="00A878D6"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3771">
            <w:rPr>
              <w:i/>
              <w:noProof/>
              <w:sz w:val="18"/>
            </w:rPr>
            <w:t>Customs (Prohibited Exports) (Operation of the Australian Domestic Gas Security Mechanism) Guidelines 2023</w:t>
          </w:r>
          <w:r w:rsidRPr="004E1307">
            <w:rPr>
              <w:i/>
              <w:sz w:val="18"/>
            </w:rPr>
            <w:fldChar w:fldCharType="end"/>
          </w:r>
        </w:p>
      </w:tc>
      <w:tc>
        <w:tcPr>
          <w:tcW w:w="709" w:type="dxa"/>
          <w:tcBorders>
            <w:top w:val="nil"/>
            <w:left w:val="nil"/>
            <w:bottom w:val="nil"/>
            <w:right w:val="nil"/>
          </w:tcBorders>
        </w:tcPr>
        <w:p w14:paraId="2181C3A8" w14:textId="77777777" w:rsidR="00A878D6" w:rsidRDefault="00A878D6"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A878D6" w14:paraId="52B054D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5066DD5" w14:textId="77777777" w:rsidR="00A878D6" w:rsidRDefault="00A878D6" w:rsidP="00A369E3">
          <w:pPr>
            <w:rPr>
              <w:sz w:val="18"/>
            </w:rPr>
          </w:pPr>
        </w:p>
      </w:tc>
    </w:tr>
  </w:tbl>
  <w:p w14:paraId="51B40C2E" w14:textId="77777777" w:rsidR="00A878D6" w:rsidRPr="00ED79B6" w:rsidRDefault="00A878D6"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FA959" w14:textId="77777777" w:rsidR="00A878D6" w:rsidRPr="00E33C1C" w:rsidRDefault="00A878D6"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A878D6" w14:paraId="3B44BD0C" w14:textId="77777777" w:rsidTr="00B33709">
      <w:tc>
        <w:tcPr>
          <w:tcW w:w="1384" w:type="dxa"/>
          <w:tcBorders>
            <w:top w:val="nil"/>
            <w:left w:val="nil"/>
            <w:bottom w:val="nil"/>
            <w:right w:val="nil"/>
          </w:tcBorders>
        </w:tcPr>
        <w:p w14:paraId="7EB0994A" w14:textId="77777777" w:rsidR="00A878D6" w:rsidRDefault="00A878D6" w:rsidP="00A369E3">
          <w:pPr>
            <w:spacing w:line="0" w:lineRule="atLeast"/>
            <w:rPr>
              <w:sz w:val="18"/>
            </w:rPr>
          </w:pPr>
        </w:p>
      </w:tc>
      <w:tc>
        <w:tcPr>
          <w:tcW w:w="6379" w:type="dxa"/>
          <w:tcBorders>
            <w:top w:val="nil"/>
            <w:left w:val="nil"/>
            <w:bottom w:val="nil"/>
            <w:right w:val="nil"/>
          </w:tcBorders>
        </w:tcPr>
        <w:p w14:paraId="57F5BA8C" w14:textId="77777777" w:rsidR="00A878D6" w:rsidRDefault="00A878D6" w:rsidP="00A369E3">
          <w:pPr>
            <w:spacing w:line="0" w:lineRule="atLeast"/>
            <w:jc w:val="center"/>
            <w:rPr>
              <w:sz w:val="18"/>
            </w:rPr>
          </w:pPr>
        </w:p>
      </w:tc>
      <w:tc>
        <w:tcPr>
          <w:tcW w:w="709" w:type="dxa"/>
          <w:tcBorders>
            <w:top w:val="nil"/>
            <w:left w:val="nil"/>
            <w:bottom w:val="nil"/>
            <w:right w:val="nil"/>
          </w:tcBorders>
        </w:tcPr>
        <w:p w14:paraId="090260B5" w14:textId="77777777" w:rsidR="00A878D6" w:rsidRDefault="00A878D6" w:rsidP="00A369E3">
          <w:pPr>
            <w:spacing w:line="0" w:lineRule="atLeast"/>
            <w:jc w:val="right"/>
            <w:rPr>
              <w:sz w:val="18"/>
            </w:rPr>
          </w:pPr>
        </w:p>
      </w:tc>
    </w:tr>
  </w:tbl>
  <w:p w14:paraId="57153F2A" w14:textId="77777777" w:rsidR="00A878D6" w:rsidRPr="00ED79B6" w:rsidRDefault="00A878D6"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7932C"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878D6" w14:paraId="04E9C872" w14:textId="77777777" w:rsidTr="0061187E">
      <w:tc>
        <w:tcPr>
          <w:tcW w:w="365" w:type="pct"/>
        </w:tcPr>
        <w:p w14:paraId="1785DC0C" w14:textId="77777777" w:rsidR="00A878D6" w:rsidRDefault="00A878D6" w:rsidP="006118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055782C4" w14:textId="7429C32A"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43771">
            <w:rPr>
              <w:i/>
              <w:noProof/>
              <w:sz w:val="18"/>
            </w:rPr>
            <w:t>Customs (Prohibited Exports) (Operation of the Australian Domestic Gas Security Mechanism) Guidelines 2023</w:t>
          </w:r>
          <w:r w:rsidRPr="004E1307">
            <w:rPr>
              <w:i/>
              <w:sz w:val="18"/>
            </w:rPr>
            <w:fldChar w:fldCharType="end"/>
          </w:r>
        </w:p>
      </w:tc>
      <w:tc>
        <w:tcPr>
          <w:tcW w:w="947" w:type="pct"/>
        </w:tcPr>
        <w:p w14:paraId="09405AD8" w14:textId="77777777" w:rsidR="00A878D6" w:rsidRDefault="00A878D6" w:rsidP="0061187E">
          <w:pPr>
            <w:spacing w:line="0" w:lineRule="atLeast"/>
            <w:jc w:val="right"/>
            <w:rPr>
              <w:sz w:val="18"/>
            </w:rPr>
          </w:pPr>
        </w:p>
      </w:tc>
    </w:tr>
    <w:tr w:rsidR="00A878D6" w14:paraId="0B17E153" w14:textId="77777777" w:rsidTr="0061187E">
      <w:tc>
        <w:tcPr>
          <w:tcW w:w="5000" w:type="pct"/>
          <w:gridSpan w:val="3"/>
        </w:tcPr>
        <w:p w14:paraId="17BB64D4" w14:textId="77777777" w:rsidR="00A878D6" w:rsidRDefault="00A878D6" w:rsidP="0061187E">
          <w:pPr>
            <w:jc w:val="right"/>
            <w:rPr>
              <w:sz w:val="18"/>
            </w:rPr>
          </w:pPr>
        </w:p>
      </w:tc>
    </w:tr>
  </w:tbl>
  <w:p w14:paraId="2E2BEB7E" w14:textId="77777777" w:rsidR="00A878D6" w:rsidRPr="00ED79B6" w:rsidRDefault="00A878D6" w:rsidP="0061187E">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C26E"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878D6" w14:paraId="0B049E5E" w14:textId="77777777" w:rsidTr="0061187E">
      <w:tc>
        <w:tcPr>
          <w:tcW w:w="947" w:type="pct"/>
        </w:tcPr>
        <w:p w14:paraId="1372D426" w14:textId="77777777" w:rsidR="00A878D6" w:rsidRDefault="00A878D6" w:rsidP="0061187E">
          <w:pPr>
            <w:spacing w:line="0" w:lineRule="atLeast"/>
            <w:rPr>
              <w:sz w:val="18"/>
            </w:rPr>
          </w:pPr>
        </w:p>
      </w:tc>
      <w:tc>
        <w:tcPr>
          <w:tcW w:w="3688" w:type="pct"/>
        </w:tcPr>
        <w:p w14:paraId="374175A5" w14:textId="75A252D8"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05F0D">
            <w:rPr>
              <w:i/>
              <w:noProof/>
              <w:sz w:val="18"/>
            </w:rPr>
            <w:t>Customs (Prohibited Exports) (Operation of the Australian Domestic Gas Security Mechanism) Guidelines 2023</w:t>
          </w:r>
          <w:r w:rsidRPr="004E1307">
            <w:rPr>
              <w:i/>
              <w:sz w:val="18"/>
            </w:rPr>
            <w:fldChar w:fldCharType="end"/>
          </w:r>
        </w:p>
      </w:tc>
      <w:tc>
        <w:tcPr>
          <w:tcW w:w="365" w:type="pct"/>
        </w:tcPr>
        <w:p w14:paraId="654B0B7D" w14:textId="77777777" w:rsidR="00A878D6" w:rsidRDefault="00A878D6" w:rsidP="006118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734B">
            <w:rPr>
              <w:i/>
              <w:noProof/>
              <w:sz w:val="18"/>
            </w:rPr>
            <w:t>i</w:t>
          </w:r>
          <w:r w:rsidRPr="00ED79B6">
            <w:rPr>
              <w:i/>
              <w:sz w:val="18"/>
            </w:rPr>
            <w:fldChar w:fldCharType="end"/>
          </w:r>
        </w:p>
      </w:tc>
    </w:tr>
    <w:tr w:rsidR="00A878D6" w14:paraId="60C20A5D" w14:textId="77777777" w:rsidTr="0061187E">
      <w:tc>
        <w:tcPr>
          <w:tcW w:w="5000" w:type="pct"/>
          <w:gridSpan w:val="3"/>
        </w:tcPr>
        <w:p w14:paraId="4B3C3B76" w14:textId="77777777" w:rsidR="00A878D6" w:rsidRDefault="00A878D6" w:rsidP="0061187E">
          <w:pPr>
            <w:rPr>
              <w:sz w:val="18"/>
            </w:rPr>
          </w:pPr>
        </w:p>
      </w:tc>
    </w:tr>
  </w:tbl>
  <w:p w14:paraId="0F146C3A" w14:textId="77777777" w:rsidR="00A878D6" w:rsidRPr="00ED79B6" w:rsidRDefault="00A878D6" w:rsidP="0061187E">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ECD8"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A878D6" w14:paraId="2EA3524E" w14:textId="77777777" w:rsidTr="0061187E">
      <w:tc>
        <w:tcPr>
          <w:tcW w:w="365" w:type="pct"/>
        </w:tcPr>
        <w:p w14:paraId="30980385" w14:textId="77777777" w:rsidR="00A878D6" w:rsidRDefault="00A878D6" w:rsidP="0061187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27C7D">
            <w:rPr>
              <w:i/>
              <w:noProof/>
              <w:sz w:val="18"/>
            </w:rPr>
            <w:t>12</w:t>
          </w:r>
          <w:r w:rsidRPr="00ED79B6">
            <w:rPr>
              <w:i/>
              <w:sz w:val="18"/>
            </w:rPr>
            <w:fldChar w:fldCharType="end"/>
          </w:r>
        </w:p>
      </w:tc>
      <w:tc>
        <w:tcPr>
          <w:tcW w:w="3688" w:type="pct"/>
        </w:tcPr>
        <w:p w14:paraId="52CBD21E" w14:textId="1ED4EC22"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05F0D">
            <w:rPr>
              <w:i/>
              <w:noProof/>
              <w:sz w:val="18"/>
            </w:rPr>
            <w:t>Customs (Prohibited Exports) (Operation of the Australian Domestic Gas Security Mechanism) Guidelines 2023</w:t>
          </w:r>
          <w:r w:rsidRPr="004E1307">
            <w:rPr>
              <w:i/>
              <w:sz w:val="18"/>
            </w:rPr>
            <w:fldChar w:fldCharType="end"/>
          </w:r>
        </w:p>
      </w:tc>
      <w:tc>
        <w:tcPr>
          <w:tcW w:w="947" w:type="pct"/>
        </w:tcPr>
        <w:p w14:paraId="7048A9B4" w14:textId="77777777" w:rsidR="00A878D6" w:rsidRDefault="00A878D6" w:rsidP="0061187E">
          <w:pPr>
            <w:spacing w:line="0" w:lineRule="atLeast"/>
            <w:jc w:val="right"/>
            <w:rPr>
              <w:sz w:val="18"/>
            </w:rPr>
          </w:pPr>
        </w:p>
      </w:tc>
    </w:tr>
    <w:tr w:rsidR="00A878D6" w14:paraId="773F1404" w14:textId="77777777" w:rsidTr="0061187E">
      <w:tc>
        <w:tcPr>
          <w:tcW w:w="5000" w:type="pct"/>
          <w:gridSpan w:val="3"/>
        </w:tcPr>
        <w:p w14:paraId="4A99542D" w14:textId="77777777" w:rsidR="00A878D6" w:rsidRDefault="00A878D6" w:rsidP="0061187E">
          <w:pPr>
            <w:jc w:val="right"/>
            <w:rPr>
              <w:sz w:val="18"/>
            </w:rPr>
          </w:pPr>
        </w:p>
      </w:tc>
    </w:tr>
  </w:tbl>
  <w:p w14:paraId="49EFDD35" w14:textId="77777777" w:rsidR="00A878D6" w:rsidRPr="00ED79B6" w:rsidRDefault="00A878D6" w:rsidP="0061187E">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3024F" w14:textId="77777777" w:rsidR="00A878D6" w:rsidRPr="002B0EA5" w:rsidRDefault="00A878D6" w:rsidP="0061187E">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A878D6" w14:paraId="3689EFA2" w14:textId="77777777" w:rsidTr="0061187E">
      <w:tc>
        <w:tcPr>
          <w:tcW w:w="947" w:type="pct"/>
        </w:tcPr>
        <w:p w14:paraId="18FC588F" w14:textId="77777777" w:rsidR="00A878D6" w:rsidRDefault="00A878D6" w:rsidP="0061187E">
          <w:pPr>
            <w:spacing w:line="0" w:lineRule="atLeast"/>
            <w:rPr>
              <w:sz w:val="18"/>
            </w:rPr>
          </w:pPr>
        </w:p>
      </w:tc>
      <w:tc>
        <w:tcPr>
          <w:tcW w:w="3688" w:type="pct"/>
        </w:tcPr>
        <w:p w14:paraId="23DE20D8" w14:textId="69E7BE31" w:rsidR="00A878D6" w:rsidRDefault="00A878D6" w:rsidP="0061187E">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E05F0D">
            <w:rPr>
              <w:i/>
              <w:noProof/>
              <w:sz w:val="18"/>
            </w:rPr>
            <w:t>Customs (Prohibited Exports) (Operation of the Australian Domestic Gas Security Mechanism) Guidelines 2023</w:t>
          </w:r>
          <w:r w:rsidRPr="004E1307">
            <w:rPr>
              <w:i/>
              <w:sz w:val="18"/>
            </w:rPr>
            <w:fldChar w:fldCharType="end"/>
          </w:r>
        </w:p>
      </w:tc>
      <w:tc>
        <w:tcPr>
          <w:tcW w:w="365" w:type="pct"/>
        </w:tcPr>
        <w:p w14:paraId="1B9ECF78" w14:textId="77777777" w:rsidR="00A878D6" w:rsidRDefault="00A878D6" w:rsidP="0061187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A9734B">
            <w:rPr>
              <w:i/>
              <w:noProof/>
              <w:sz w:val="18"/>
            </w:rPr>
            <w:t>13</w:t>
          </w:r>
          <w:r w:rsidRPr="00ED79B6">
            <w:rPr>
              <w:i/>
              <w:sz w:val="18"/>
            </w:rPr>
            <w:fldChar w:fldCharType="end"/>
          </w:r>
        </w:p>
      </w:tc>
    </w:tr>
    <w:tr w:rsidR="00A878D6" w14:paraId="71353537" w14:textId="77777777" w:rsidTr="0061187E">
      <w:tc>
        <w:tcPr>
          <w:tcW w:w="5000" w:type="pct"/>
          <w:gridSpan w:val="3"/>
        </w:tcPr>
        <w:p w14:paraId="64BAE6CD" w14:textId="77777777" w:rsidR="00A878D6" w:rsidRDefault="00A878D6" w:rsidP="0061187E">
          <w:pPr>
            <w:rPr>
              <w:sz w:val="18"/>
            </w:rPr>
          </w:pPr>
        </w:p>
      </w:tc>
    </w:tr>
  </w:tbl>
  <w:p w14:paraId="21476AA8" w14:textId="77777777" w:rsidR="00A878D6" w:rsidRPr="00ED79B6" w:rsidRDefault="00A878D6" w:rsidP="0061187E">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493CB" w14:textId="77777777" w:rsidR="007918B5" w:rsidRDefault="007918B5" w:rsidP="00715914">
      <w:pPr>
        <w:spacing w:line="240" w:lineRule="auto"/>
      </w:pPr>
      <w:r>
        <w:separator/>
      </w:r>
    </w:p>
  </w:footnote>
  <w:footnote w:type="continuationSeparator" w:id="0">
    <w:p w14:paraId="6A19F5BE" w14:textId="77777777" w:rsidR="007918B5" w:rsidRDefault="007918B5" w:rsidP="00715914">
      <w:pPr>
        <w:spacing w:line="240" w:lineRule="auto"/>
      </w:pPr>
      <w:r>
        <w:continuationSeparator/>
      </w:r>
    </w:p>
  </w:footnote>
  <w:footnote w:type="continuationNotice" w:id="1">
    <w:p w14:paraId="6028E53D" w14:textId="77777777" w:rsidR="007918B5" w:rsidRDefault="007918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9108" w14:textId="7B1AEB05" w:rsidR="00A878D6" w:rsidRPr="005F1388" w:rsidRDefault="00A878D6"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9776" w14:textId="52B708FE" w:rsidR="00A878D6" w:rsidRPr="005F1388" w:rsidRDefault="00A878D6"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8E45B" w14:textId="004BE849" w:rsidR="00420042" w:rsidRDefault="004200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8DE50" w14:textId="148AC3FD" w:rsidR="00A878D6" w:rsidRPr="00ED79B6" w:rsidRDefault="00A878D6" w:rsidP="0061187E">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37360" w14:textId="2A8D77FC" w:rsidR="00A878D6" w:rsidRPr="00ED79B6" w:rsidRDefault="00A878D6" w:rsidP="0061187E">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7CA0" w14:textId="52E0C8F8" w:rsidR="00A878D6" w:rsidRPr="00ED79B6" w:rsidRDefault="00A878D6"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4747" w14:textId="1FE2E05C" w:rsidR="00A878D6" w:rsidRDefault="00A878D6" w:rsidP="00715914">
    <w:pPr>
      <w:rPr>
        <w:sz w:val="20"/>
      </w:rPr>
    </w:pPr>
  </w:p>
  <w:p w14:paraId="5C3F2F61" w14:textId="77777777" w:rsidR="00A878D6" w:rsidRDefault="00A878D6" w:rsidP="00715914">
    <w:pPr>
      <w:rPr>
        <w:sz w:val="20"/>
      </w:rPr>
    </w:pPr>
  </w:p>
  <w:p w14:paraId="7F098C1A" w14:textId="77777777" w:rsidR="00A878D6" w:rsidRPr="007A1328" w:rsidRDefault="00A878D6" w:rsidP="00715914">
    <w:pPr>
      <w:rPr>
        <w:sz w:val="20"/>
      </w:rPr>
    </w:pPr>
  </w:p>
  <w:p w14:paraId="2C50C8EB" w14:textId="77777777" w:rsidR="00A878D6" w:rsidRPr="007A1328" w:rsidRDefault="00A878D6" w:rsidP="00715914">
    <w:pPr>
      <w:rPr>
        <w:b/>
        <w:sz w:val="24"/>
      </w:rPr>
    </w:pPr>
  </w:p>
  <w:p w14:paraId="3238A26F" w14:textId="77777777" w:rsidR="00A878D6" w:rsidRPr="007A1328" w:rsidRDefault="00A878D6" w:rsidP="00D6537E">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CC03" w14:textId="5DC5E344" w:rsidR="00A878D6" w:rsidRPr="007A1328" w:rsidRDefault="00A878D6" w:rsidP="00715914">
    <w:pPr>
      <w:jc w:val="right"/>
      <w:rPr>
        <w:sz w:val="20"/>
      </w:rPr>
    </w:pPr>
  </w:p>
  <w:p w14:paraId="65E87D9B" w14:textId="77777777" w:rsidR="00A878D6" w:rsidRPr="007A1328" w:rsidRDefault="00A878D6" w:rsidP="00715914">
    <w:pPr>
      <w:jc w:val="right"/>
      <w:rPr>
        <w:sz w:val="20"/>
      </w:rPr>
    </w:pPr>
  </w:p>
  <w:p w14:paraId="2327A071" w14:textId="77777777" w:rsidR="00A878D6" w:rsidRPr="007A1328" w:rsidRDefault="00A878D6" w:rsidP="00715914">
    <w:pPr>
      <w:jc w:val="right"/>
      <w:rPr>
        <w:b/>
        <w:sz w:val="24"/>
      </w:rPr>
    </w:pPr>
  </w:p>
  <w:p w14:paraId="4242CF90" w14:textId="77777777" w:rsidR="00A878D6" w:rsidRPr="007A1328" w:rsidRDefault="00A878D6" w:rsidP="00D6537E">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061EC" w14:textId="1040C56F" w:rsidR="003F4CB6" w:rsidRDefault="003F4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830"/>
    <w:multiLevelType w:val="hybridMultilevel"/>
    <w:tmpl w:val="B44E8B2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11" w15:restartNumberingAfterBreak="0">
    <w:nsid w:val="06046754"/>
    <w:multiLevelType w:val="hybridMultilevel"/>
    <w:tmpl w:val="0A641896"/>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6192C34"/>
    <w:multiLevelType w:val="hybridMultilevel"/>
    <w:tmpl w:val="62AE0EAC"/>
    <w:lvl w:ilvl="0" w:tplc="D2B29F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E347E5"/>
    <w:multiLevelType w:val="hybridMultilevel"/>
    <w:tmpl w:val="C69CC1B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084D1088"/>
    <w:multiLevelType w:val="hybridMultilevel"/>
    <w:tmpl w:val="73A03DD6"/>
    <w:lvl w:ilvl="0" w:tplc="00724F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089C6C66"/>
    <w:multiLevelType w:val="hybridMultilevel"/>
    <w:tmpl w:val="4D180856"/>
    <w:lvl w:ilvl="0" w:tplc="6B1219A0">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08C1748C"/>
    <w:multiLevelType w:val="hybridMultilevel"/>
    <w:tmpl w:val="EBB06E2E"/>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0ADB1344"/>
    <w:multiLevelType w:val="hybridMultilevel"/>
    <w:tmpl w:val="835E3D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0BEC129C"/>
    <w:multiLevelType w:val="hybridMultilevel"/>
    <w:tmpl w:val="1980AA74"/>
    <w:lvl w:ilvl="0" w:tplc="FA400A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0C7C1D53"/>
    <w:multiLevelType w:val="hybridMultilevel"/>
    <w:tmpl w:val="3F60C55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152F5A25"/>
    <w:multiLevelType w:val="hybridMultilevel"/>
    <w:tmpl w:val="A8B0E16E"/>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19706B"/>
    <w:multiLevelType w:val="hybridMultilevel"/>
    <w:tmpl w:val="5956C1D6"/>
    <w:lvl w:ilvl="0" w:tplc="FF1A3FC8">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193CEDE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207C06"/>
    <w:multiLevelType w:val="hybridMultilevel"/>
    <w:tmpl w:val="EDA0B2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F1D62E5"/>
    <w:multiLevelType w:val="hybridMultilevel"/>
    <w:tmpl w:val="08609B82"/>
    <w:lvl w:ilvl="0" w:tplc="9558EE9A">
      <w:start w:val="1"/>
      <w:numFmt w:val="lowerLetter"/>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27" w15:restartNumberingAfterBreak="0">
    <w:nsid w:val="1FBD4AAA"/>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02C66BB"/>
    <w:multiLevelType w:val="hybridMultilevel"/>
    <w:tmpl w:val="6624E2CE"/>
    <w:lvl w:ilvl="0" w:tplc="FA400A4C">
      <w:start w:val="1"/>
      <w:numFmt w:val="decimal"/>
      <w:lvlText w:val="(%1)"/>
      <w:lvlJc w:val="left"/>
      <w:pPr>
        <w:ind w:left="1800" w:hanging="360"/>
      </w:pPr>
      <w:rPr>
        <w:rFonts w:hint="default"/>
      </w:rPr>
    </w:lvl>
    <w:lvl w:ilvl="1" w:tplc="0C090019">
      <w:start w:val="1"/>
      <w:numFmt w:val="lowerLetter"/>
      <w:lvlText w:val="%2."/>
      <w:lvlJc w:val="left"/>
      <w:pPr>
        <w:ind w:left="1855" w:hanging="360"/>
      </w:pPr>
    </w:lvl>
    <w:lvl w:ilvl="2" w:tplc="0C09001B">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9" w15:restartNumberingAfterBreak="0">
    <w:nsid w:val="26AC46B7"/>
    <w:multiLevelType w:val="hybridMultilevel"/>
    <w:tmpl w:val="9690891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0" w15:restartNumberingAfterBreak="0">
    <w:nsid w:val="27FB76EB"/>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A7930B3"/>
    <w:multiLevelType w:val="hybridMultilevel"/>
    <w:tmpl w:val="E1E84764"/>
    <w:lvl w:ilvl="0" w:tplc="0C090019">
      <w:start w:val="1"/>
      <w:numFmt w:val="lowerLetter"/>
      <w:lvlText w:val="%1."/>
      <w:lvlJc w:val="left"/>
      <w:pPr>
        <w:ind w:left="1855" w:hanging="360"/>
      </w:pPr>
    </w:lvl>
    <w:lvl w:ilvl="1" w:tplc="0C090019" w:tentative="1">
      <w:start w:val="1"/>
      <w:numFmt w:val="lowerLetter"/>
      <w:lvlText w:val="%2."/>
      <w:lvlJc w:val="left"/>
      <w:pPr>
        <w:ind w:left="2575" w:hanging="360"/>
      </w:pPr>
    </w:lvl>
    <w:lvl w:ilvl="2" w:tplc="0C09001B" w:tentative="1">
      <w:start w:val="1"/>
      <w:numFmt w:val="lowerRoman"/>
      <w:lvlText w:val="%3."/>
      <w:lvlJc w:val="right"/>
      <w:pPr>
        <w:ind w:left="3295" w:hanging="180"/>
      </w:pPr>
    </w:lvl>
    <w:lvl w:ilvl="3" w:tplc="0C09000F" w:tentative="1">
      <w:start w:val="1"/>
      <w:numFmt w:val="decimal"/>
      <w:lvlText w:val="%4."/>
      <w:lvlJc w:val="left"/>
      <w:pPr>
        <w:ind w:left="4015" w:hanging="360"/>
      </w:pPr>
    </w:lvl>
    <w:lvl w:ilvl="4" w:tplc="0C090019" w:tentative="1">
      <w:start w:val="1"/>
      <w:numFmt w:val="lowerLetter"/>
      <w:lvlText w:val="%5."/>
      <w:lvlJc w:val="left"/>
      <w:pPr>
        <w:ind w:left="4735" w:hanging="360"/>
      </w:pPr>
    </w:lvl>
    <w:lvl w:ilvl="5" w:tplc="0C09001B" w:tentative="1">
      <w:start w:val="1"/>
      <w:numFmt w:val="lowerRoman"/>
      <w:lvlText w:val="%6."/>
      <w:lvlJc w:val="right"/>
      <w:pPr>
        <w:ind w:left="5455" w:hanging="180"/>
      </w:pPr>
    </w:lvl>
    <w:lvl w:ilvl="6" w:tplc="0C09000F" w:tentative="1">
      <w:start w:val="1"/>
      <w:numFmt w:val="decimal"/>
      <w:lvlText w:val="%7."/>
      <w:lvlJc w:val="left"/>
      <w:pPr>
        <w:ind w:left="6175" w:hanging="360"/>
      </w:pPr>
    </w:lvl>
    <w:lvl w:ilvl="7" w:tplc="0C090019" w:tentative="1">
      <w:start w:val="1"/>
      <w:numFmt w:val="lowerLetter"/>
      <w:lvlText w:val="%8."/>
      <w:lvlJc w:val="left"/>
      <w:pPr>
        <w:ind w:left="6895" w:hanging="360"/>
      </w:pPr>
    </w:lvl>
    <w:lvl w:ilvl="8" w:tplc="0C09001B" w:tentative="1">
      <w:start w:val="1"/>
      <w:numFmt w:val="lowerRoman"/>
      <w:lvlText w:val="%9."/>
      <w:lvlJc w:val="right"/>
      <w:pPr>
        <w:ind w:left="7615" w:hanging="180"/>
      </w:pPr>
    </w:lvl>
  </w:abstractNum>
  <w:abstractNum w:abstractNumId="32" w15:restartNumberingAfterBreak="0">
    <w:nsid w:val="2B546FA7"/>
    <w:multiLevelType w:val="hybridMultilevel"/>
    <w:tmpl w:val="D044721A"/>
    <w:lvl w:ilvl="0" w:tplc="4CC452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BF8136C"/>
    <w:multiLevelType w:val="hybridMultilevel"/>
    <w:tmpl w:val="E00267C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C865A89"/>
    <w:multiLevelType w:val="hybridMultilevel"/>
    <w:tmpl w:val="1B503EE8"/>
    <w:lvl w:ilvl="0" w:tplc="9EEA0834">
      <w:start w:val="1"/>
      <w:numFmt w:val="decimal"/>
      <w:lvlText w:val="(%1)"/>
      <w:lvlJc w:val="left"/>
      <w:pPr>
        <w:ind w:left="1305" w:hanging="360"/>
      </w:pPr>
      <w:rPr>
        <w:rFonts w:ascii="Times New Roman" w:eastAsia="Times New Roman" w:hAnsi="Times New Roman" w:cs="Times New Roman"/>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35" w15:restartNumberingAfterBreak="0">
    <w:nsid w:val="322156ED"/>
    <w:multiLevelType w:val="hybridMultilevel"/>
    <w:tmpl w:val="3B8CB62E"/>
    <w:lvl w:ilvl="0" w:tplc="E6A299BC">
      <w:start w:val="17"/>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4817474"/>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7445B40"/>
    <w:multiLevelType w:val="hybridMultilevel"/>
    <w:tmpl w:val="B9A0CB12"/>
    <w:lvl w:ilvl="0" w:tplc="C18A637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97905A9"/>
    <w:multiLevelType w:val="hybridMultilevel"/>
    <w:tmpl w:val="A322EA56"/>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9DC6D5F"/>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41" w15:restartNumberingAfterBreak="0">
    <w:nsid w:val="3B531F4A"/>
    <w:multiLevelType w:val="hybridMultilevel"/>
    <w:tmpl w:val="34B68C58"/>
    <w:lvl w:ilvl="0" w:tplc="779C2F90">
      <w:start w:val="1"/>
      <w:numFmt w:val="lowerLetter"/>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42" w15:restartNumberingAfterBreak="0">
    <w:nsid w:val="3BBE2BF4"/>
    <w:multiLevelType w:val="hybridMultilevel"/>
    <w:tmpl w:val="BCB87000"/>
    <w:lvl w:ilvl="0" w:tplc="DE482C3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BDD4467"/>
    <w:multiLevelType w:val="hybridMultilevel"/>
    <w:tmpl w:val="E00267C2"/>
    <w:lvl w:ilvl="0" w:tplc="0C090017">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FAD0741"/>
    <w:multiLevelType w:val="hybridMultilevel"/>
    <w:tmpl w:val="FA285A96"/>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start w:val="1"/>
      <w:numFmt w:val="bullet"/>
      <w:lvlText w:val=""/>
      <w:lvlJc w:val="left"/>
      <w:pPr>
        <w:ind w:left="3011" w:hanging="360"/>
      </w:pPr>
      <w:rPr>
        <w:rFonts w:ascii="Wingdings" w:hAnsi="Wingdings" w:hint="default"/>
      </w:rPr>
    </w:lvl>
    <w:lvl w:ilvl="3" w:tplc="0C090001">
      <w:start w:val="1"/>
      <w:numFmt w:val="bullet"/>
      <w:lvlText w:val=""/>
      <w:lvlJc w:val="left"/>
      <w:pPr>
        <w:ind w:left="3731" w:hanging="360"/>
      </w:pPr>
      <w:rPr>
        <w:rFonts w:ascii="Symbol" w:hAnsi="Symbol" w:hint="default"/>
      </w:rPr>
    </w:lvl>
    <w:lvl w:ilvl="4" w:tplc="0C090003">
      <w:start w:val="1"/>
      <w:numFmt w:val="bullet"/>
      <w:lvlText w:val="o"/>
      <w:lvlJc w:val="left"/>
      <w:pPr>
        <w:ind w:left="4451" w:hanging="360"/>
      </w:pPr>
      <w:rPr>
        <w:rFonts w:ascii="Courier New" w:hAnsi="Courier New" w:cs="Courier New" w:hint="default"/>
      </w:rPr>
    </w:lvl>
    <w:lvl w:ilvl="5" w:tplc="0C090005">
      <w:start w:val="1"/>
      <w:numFmt w:val="bullet"/>
      <w:lvlText w:val=""/>
      <w:lvlJc w:val="left"/>
      <w:pPr>
        <w:ind w:left="5171" w:hanging="360"/>
      </w:pPr>
      <w:rPr>
        <w:rFonts w:ascii="Wingdings" w:hAnsi="Wingdings" w:hint="default"/>
      </w:rPr>
    </w:lvl>
    <w:lvl w:ilvl="6" w:tplc="0C090001">
      <w:start w:val="1"/>
      <w:numFmt w:val="bullet"/>
      <w:lvlText w:val=""/>
      <w:lvlJc w:val="left"/>
      <w:pPr>
        <w:ind w:left="5891" w:hanging="360"/>
      </w:pPr>
      <w:rPr>
        <w:rFonts w:ascii="Symbol" w:hAnsi="Symbol" w:hint="default"/>
      </w:rPr>
    </w:lvl>
    <w:lvl w:ilvl="7" w:tplc="0C090003">
      <w:start w:val="1"/>
      <w:numFmt w:val="bullet"/>
      <w:lvlText w:val="o"/>
      <w:lvlJc w:val="left"/>
      <w:pPr>
        <w:ind w:left="6611" w:hanging="360"/>
      </w:pPr>
      <w:rPr>
        <w:rFonts w:ascii="Courier New" w:hAnsi="Courier New" w:cs="Courier New" w:hint="default"/>
      </w:rPr>
    </w:lvl>
    <w:lvl w:ilvl="8" w:tplc="0C090005">
      <w:start w:val="1"/>
      <w:numFmt w:val="bullet"/>
      <w:lvlText w:val=""/>
      <w:lvlJc w:val="left"/>
      <w:pPr>
        <w:ind w:left="7331" w:hanging="360"/>
      </w:pPr>
      <w:rPr>
        <w:rFonts w:ascii="Wingdings" w:hAnsi="Wingdings" w:hint="default"/>
      </w:rPr>
    </w:lvl>
  </w:abstractNum>
  <w:abstractNum w:abstractNumId="45" w15:restartNumberingAfterBreak="0">
    <w:nsid w:val="43821134"/>
    <w:multiLevelType w:val="hybridMultilevel"/>
    <w:tmpl w:val="927E778E"/>
    <w:lvl w:ilvl="0" w:tplc="ABF0AFCC">
      <w:start w:val="1"/>
      <w:numFmt w:val="lowerLetter"/>
      <w:lvlText w:val="(%1)"/>
      <w:lvlJc w:val="left"/>
      <w:pPr>
        <w:ind w:left="1665" w:hanging="360"/>
      </w:pPr>
      <w:rPr>
        <w:rFonts w:hint="default"/>
      </w:rPr>
    </w:lvl>
    <w:lvl w:ilvl="1" w:tplc="0C090019" w:tentative="1">
      <w:start w:val="1"/>
      <w:numFmt w:val="lowerLetter"/>
      <w:lvlText w:val="%2."/>
      <w:lvlJc w:val="left"/>
      <w:pPr>
        <w:ind w:left="2385" w:hanging="360"/>
      </w:pPr>
    </w:lvl>
    <w:lvl w:ilvl="2" w:tplc="0C09001B" w:tentative="1">
      <w:start w:val="1"/>
      <w:numFmt w:val="lowerRoman"/>
      <w:lvlText w:val="%3."/>
      <w:lvlJc w:val="right"/>
      <w:pPr>
        <w:ind w:left="3105" w:hanging="180"/>
      </w:pPr>
    </w:lvl>
    <w:lvl w:ilvl="3" w:tplc="0C09000F" w:tentative="1">
      <w:start w:val="1"/>
      <w:numFmt w:val="decimal"/>
      <w:lvlText w:val="%4."/>
      <w:lvlJc w:val="left"/>
      <w:pPr>
        <w:ind w:left="3825" w:hanging="360"/>
      </w:pPr>
    </w:lvl>
    <w:lvl w:ilvl="4" w:tplc="0C090019" w:tentative="1">
      <w:start w:val="1"/>
      <w:numFmt w:val="lowerLetter"/>
      <w:lvlText w:val="%5."/>
      <w:lvlJc w:val="left"/>
      <w:pPr>
        <w:ind w:left="4545" w:hanging="360"/>
      </w:pPr>
    </w:lvl>
    <w:lvl w:ilvl="5" w:tplc="0C09001B" w:tentative="1">
      <w:start w:val="1"/>
      <w:numFmt w:val="lowerRoman"/>
      <w:lvlText w:val="%6."/>
      <w:lvlJc w:val="right"/>
      <w:pPr>
        <w:ind w:left="5265" w:hanging="180"/>
      </w:pPr>
    </w:lvl>
    <w:lvl w:ilvl="6" w:tplc="0C09000F" w:tentative="1">
      <w:start w:val="1"/>
      <w:numFmt w:val="decimal"/>
      <w:lvlText w:val="%7."/>
      <w:lvlJc w:val="left"/>
      <w:pPr>
        <w:ind w:left="5985" w:hanging="360"/>
      </w:pPr>
    </w:lvl>
    <w:lvl w:ilvl="7" w:tplc="0C090019" w:tentative="1">
      <w:start w:val="1"/>
      <w:numFmt w:val="lowerLetter"/>
      <w:lvlText w:val="%8."/>
      <w:lvlJc w:val="left"/>
      <w:pPr>
        <w:ind w:left="6705" w:hanging="360"/>
      </w:pPr>
    </w:lvl>
    <w:lvl w:ilvl="8" w:tplc="0C09001B" w:tentative="1">
      <w:start w:val="1"/>
      <w:numFmt w:val="lowerRoman"/>
      <w:lvlText w:val="%9."/>
      <w:lvlJc w:val="right"/>
      <w:pPr>
        <w:ind w:left="7425" w:hanging="180"/>
      </w:pPr>
    </w:lvl>
  </w:abstractNum>
  <w:abstractNum w:abstractNumId="46" w15:restartNumberingAfterBreak="0">
    <w:nsid w:val="494E7936"/>
    <w:multiLevelType w:val="hybridMultilevel"/>
    <w:tmpl w:val="BCFEFD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C7B4D47"/>
    <w:multiLevelType w:val="hybridMultilevel"/>
    <w:tmpl w:val="B9A0CB12"/>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4E8459B4"/>
    <w:multiLevelType w:val="hybridMultilevel"/>
    <w:tmpl w:val="B44E8B2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49" w15:restartNumberingAfterBreak="0">
    <w:nsid w:val="5663588C"/>
    <w:multiLevelType w:val="hybridMultilevel"/>
    <w:tmpl w:val="9FE0F2F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A9671CB"/>
    <w:multiLevelType w:val="hybridMultilevel"/>
    <w:tmpl w:val="E1E84764"/>
    <w:lvl w:ilvl="0" w:tplc="FFFFFFFF">
      <w:start w:val="1"/>
      <w:numFmt w:val="lowerLetter"/>
      <w:lvlText w:val="%1."/>
      <w:lvlJc w:val="left"/>
      <w:pPr>
        <w:ind w:left="1855" w:hanging="360"/>
      </w:pPr>
    </w:lvl>
    <w:lvl w:ilvl="1" w:tplc="FFFFFFFF" w:tentative="1">
      <w:start w:val="1"/>
      <w:numFmt w:val="lowerLetter"/>
      <w:lvlText w:val="%2."/>
      <w:lvlJc w:val="left"/>
      <w:pPr>
        <w:ind w:left="2575" w:hanging="360"/>
      </w:pPr>
    </w:lvl>
    <w:lvl w:ilvl="2" w:tplc="FFFFFFFF" w:tentative="1">
      <w:start w:val="1"/>
      <w:numFmt w:val="lowerRoman"/>
      <w:lvlText w:val="%3."/>
      <w:lvlJc w:val="right"/>
      <w:pPr>
        <w:ind w:left="3295" w:hanging="180"/>
      </w:pPr>
    </w:lvl>
    <w:lvl w:ilvl="3" w:tplc="FFFFFFFF" w:tentative="1">
      <w:start w:val="1"/>
      <w:numFmt w:val="decimal"/>
      <w:lvlText w:val="%4."/>
      <w:lvlJc w:val="left"/>
      <w:pPr>
        <w:ind w:left="4015" w:hanging="360"/>
      </w:pPr>
    </w:lvl>
    <w:lvl w:ilvl="4" w:tplc="FFFFFFFF" w:tentative="1">
      <w:start w:val="1"/>
      <w:numFmt w:val="lowerLetter"/>
      <w:lvlText w:val="%5."/>
      <w:lvlJc w:val="left"/>
      <w:pPr>
        <w:ind w:left="4735" w:hanging="360"/>
      </w:pPr>
    </w:lvl>
    <w:lvl w:ilvl="5" w:tplc="FFFFFFFF" w:tentative="1">
      <w:start w:val="1"/>
      <w:numFmt w:val="lowerRoman"/>
      <w:lvlText w:val="%6."/>
      <w:lvlJc w:val="right"/>
      <w:pPr>
        <w:ind w:left="5455" w:hanging="180"/>
      </w:pPr>
    </w:lvl>
    <w:lvl w:ilvl="6" w:tplc="FFFFFFFF" w:tentative="1">
      <w:start w:val="1"/>
      <w:numFmt w:val="decimal"/>
      <w:lvlText w:val="%7."/>
      <w:lvlJc w:val="left"/>
      <w:pPr>
        <w:ind w:left="6175" w:hanging="360"/>
      </w:pPr>
    </w:lvl>
    <w:lvl w:ilvl="7" w:tplc="FFFFFFFF" w:tentative="1">
      <w:start w:val="1"/>
      <w:numFmt w:val="lowerLetter"/>
      <w:lvlText w:val="%8."/>
      <w:lvlJc w:val="left"/>
      <w:pPr>
        <w:ind w:left="6895" w:hanging="360"/>
      </w:pPr>
    </w:lvl>
    <w:lvl w:ilvl="8" w:tplc="FFFFFFFF" w:tentative="1">
      <w:start w:val="1"/>
      <w:numFmt w:val="lowerRoman"/>
      <w:lvlText w:val="%9."/>
      <w:lvlJc w:val="right"/>
      <w:pPr>
        <w:ind w:left="7615" w:hanging="180"/>
      </w:pPr>
    </w:lvl>
  </w:abstractNum>
  <w:abstractNum w:abstractNumId="51" w15:restartNumberingAfterBreak="0">
    <w:nsid w:val="5AAC4598"/>
    <w:multiLevelType w:val="hybridMultilevel"/>
    <w:tmpl w:val="67083C9A"/>
    <w:lvl w:ilvl="0" w:tplc="FFFFFFFF">
      <w:start w:val="1"/>
      <w:numFmt w:val="decimal"/>
      <w:lvlText w:val="(%1)"/>
      <w:lvlJc w:val="left"/>
      <w:pPr>
        <w:ind w:left="720" w:hanging="360"/>
      </w:pPr>
      <w:rPr>
        <w:rFonts w:hint="default"/>
      </w:rPr>
    </w:lvl>
    <w:lvl w:ilvl="1" w:tplc="FFFFFFFF">
      <w:start w:val="1"/>
      <w:numFmt w:val="lowerLetter"/>
      <w:lvlText w:val="%2."/>
      <w:lvlJc w:val="left"/>
      <w:pPr>
        <w:ind w:left="775"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C626ECF"/>
    <w:multiLevelType w:val="hybridMultilevel"/>
    <w:tmpl w:val="932A535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3" w15:restartNumberingAfterBreak="0">
    <w:nsid w:val="5F6D2ED6"/>
    <w:multiLevelType w:val="hybridMultilevel"/>
    <w:tmpl w:val="E74861D0"/>
    <w:lvl w:ilvl="0" w:tplc="F102A220">
      <w:start w:val="1"/>
      <w:numFmt w:val="lowerLetter"/>
      <w:lvlText w:val="(%1)"/>
      <w:lvlJc w:val="left"/>
      <w:pPr>
        <w:ind w:left="2360" w:hanging="375"/>
      </w:pPr>
      <w:rPr>
        <w:rFonts w:ascii="Times New Roman" w:eastAsia="Times New Roman" w:hAnsi="Times New Roman" w:cs="Times New Roman"/>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54" w15:restartNumberingAfterBreak="0">
    <w:nsid w:val="60322377"/>
    <w:multiLevelType w:val="hybridMultilevel"/>
    <w:tmpl w:val="9FE0F2FA"/>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C500CC2"/>
    <w:multiLevelType w:val="hybridMultilevel"/>
    <w:tmpl w:val="B44E8B2E"/>
    <w:lvl w:ilvl="0" w:tplc="DE482C36">
      <w:start w:val="1"/>
      <w:numFmt w:val="decimal"/>
      <w:lvlText w:val="(%1)"/>
      <w:lvlJc w:val="left"/>
      <w:pPr>
        <w:ind w:left="1305" w:hanging="360"/>
      </w:pPr>
      <w:rPr>
        <w:rFonts w:hint="default"/>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56" w15:restartNumberingAfterBreak="0">
    <w:nsid w:val="6FFE454D"/>
    <w:multiLevelType w:val="hybridMultilevel"/>
    <w:tmpl w:val="9FE0F2FA"/>
    <w:lvl w:ilvl="0" w:tplc="FFFFFFFF">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2160974"/>
    <w:multiLevelType w:val="hybridMultilevel"/>
    <w:tmpl w:val="A524DB06"/>
    <w:lvl w:ilvl="0" w:tplc="FFFFFFFF">
      <w:start w:val="1"/>
      <w:numFmt w:val="decimal"/>
      <w:lvlText w:val="(%1)"/>
      <w:lvlJc w:val="left"/>
      <w:pPr>
        <w:ind w:left="775" w:hanging="360"/>
      </w:pPr>
      <w:rPr>
        <w:rFonts w:hint="default"/>
      </w:rPr>
    </w:lvl>
    <w:lvl w:ilvl="1" w:tplc="0C090019" w:tentative="1">
      <w:start w:val="1"/>
      <w:numFmt w:val="lowerLetter"/>
      <w:lvlText w:val="%2."/>
      <w:lvlJc w:val="left"/>
      <w:pPr>
        <w:ind w:left="1495" w:hanging="360"/>
      </w:pPr>
    </w:lvl>
    <w:lvl w:ilvl="2" w:tplc="0C09001B" w:tentative="1">
      <w:start w:val="1"/>
      <w:numFmt w:val="lowerRoman"/>
      <w:lvlText w:val="%3."/>
      <w:lvlJc w:val="right"/>
      <w:pPr>
        <w:ind w:left="2215" w:hanging="180"/>
      </w:pPr>
    </w:lvl>
    <w:lvl w:ilvl="3" w:tplc="0C09000F" w:tentative="1">
      <w:start w:val="1"/>
      <w:numFmt w:val="decimal"/>
      <w:lvlText w:val="%4."/>
      <w:lvlJc w:val="left"/>
      <w:pPr>
        <w:ind w:left="2935" w:hanging="360"/>
      </w:pPr>
    </w:lvl>
    <w:lvl w:ilvl="4" w:tplc="0C090019" w:tentative="1">
      <w:start w:val="1"/>
      <w:numFmt w:val="lowerLetter"/>
      <w:lvlText w:val="%5."/>
      <w:lvlJc w:val="left"/>
      <w:pPr>
        <w:ind w:left="3655" w:hanging="360"/>
      </w:pPr>
    </w:lvl>
    <w:lvl w:ilvl="5" w:tplc="0C09001B" w:tentative="1">
      <w:start w:val="1"/>
      <w:numFmt w:val="lowerRoman"/>
      <w:lvlText w:val="%6."/>
      <w:lvlJc w:val="right"/>
      <w:pPr>
        <w:ind w:left="4375" w:hanging="180"/>
      </w:pPr>
    </w:lvl>
    <w:lvl w:ilvl="6" w:tplc="0C09000F" w:tentative="1">
      <w:start w:val="1"/>
      <w:numFmt w:val="decimal"/>
      <w:lvlText w:val="%7."/>
      <w:lvlJc w:val="left"/>
      <w:pPr>
        <w:ind w:left="5095" w:hanging="360"/>
      </w:pPr>
    </w:lvl>
    <w:lvl w:ilvl="7" w:tplc="0C090019" w:tentative="1">
      <w:start w:val="1"/>
      <w:numFmt w:val="lowerLetter"/>
      <w:lvlText w:val="%8."/>
      <w:lvlJc w:val="left"/>
      <w:pPr>
        <w:ind w:left="5815" w:hanging="360"/>
      </w:pPr>
    </w:lvl>
    <w:lvl w:ilvl="8" w:tplc="0C09001B" w:tentative="1">
      <w:start w:val="1"/>
      <w:numFmt w:val="lowerRoman"/>
      <w:lvlText w:val="%9."/>
      <w:lvlJc w:val="right"/>
      <w:pPr>
        <w:ind w:left="6535" w:hanging="180"/>
      </w:pPr>
    </w:lvl>
  </w:abstractNum>
  <w:abstractNum w:abstractNumId="58" w15:restartNumberingAfterBreak="0">
    <w:nsid w:val="76B97414"/>
    <w:multiLevelType w:val="hybridMultilevel"/>
    <w:tmpl w:val="185007BA"/>
    <w:lvl w:ilvl="0" w:tplc="DBCA50FE">
      <w:start w:val="1"/>
      <w:numFmt w:val="decimal"/>
      <w:pStyle w:val="paragrah"/>
      <w:lvlText w:val="(%1)"/>
      <w:lvlJc w:val="left"/>
      <w:pPr>
        <w:ind w:left="1305" w:hanging="360"/>
      </w:pPr>
      <w:rPr>
        <w:rFonts w:ascii="Times New Roman" w:eastAsia="Times New Roman" w:hAnsi="Times New Roman" w:cs="Times New Roman"/>
      </w:rPr>
    </w:lvl>
    <w:lvl w:ilvl="1" w:tplc="0C090019" w:tentative="1">
      <w:start w:val="1"/>
      <w:numFmt w:val="lowerLetter"/>
      <w:lvlText w:val="%2."/>
      <w:lvlJc w:val="left"/>
      <w:pPr>
        <w:ind w:left="2025" w:hanging="360"/>
      </w:pPr>
    </w:lvl>
    <w:lvl w:ilvl="2" w:tplc="0C09001B" w:tentative="1">
      <w:start w:val="1"/>
      <w:numFmt w:val="lowerRoman"/>
      <w:lvlText w:val="%3."/>
      <w:lvlJc w:val="right"/>
      <w:pPr>
        <w:ind w:left="2745" w:hanging="180"/>
      </w:pPr>
    </w:lvl>
    <w:lvl w:ilvl="3" w:tplc="0C09000F" w:tentative="1">
      <w:start w:val="1"/>
      <w:numFmt w:val="decimal"/>
      <w:lvlText w:val="%4."/>
      <w:lvlJc w:val="left"/>
      <w:pPr>
        <w:ind w:left="3465" w:hanging="360"/>
      </w:pPr>
    </w:lvl>
    <w:lvl w:ilvl="4" w:tplc="0C090019" w:tentative="1">
      <w:start w:val="1"/>
      <w:numFmt w:val="lowerLetter"/>
      <w:lvlText w:val="%5."/>
      <w:lvlJc w:val="left"/>
      <w:pPr>
        <w:ind w:left="4185" w:hanging="360"/>
      </w:pPr>
    </w:lvl>
    <w:lvl w:ilvl="5" w:tplc="0C09001B" w:tentative="1">
      <w:start w:val="1"/>
      <w:numFmt w:val="lowerRoman"/>
      <w:lvlText w:val="%6."/>
      <w:lvlJc w:val="right"/>
      <w:pPr>
        <w:ind w:left="4905" w:hanging="180"/>
      </w:pPr>
    </w:lvl>
    <w:lvl w:ilvl="6" w:tplc="0C09000F" w:tentative="1">
      <w:start w:val="1"/>
      <w:numFmt w:val="decimal"/>
      <w:lvlText w:val="%7."/>
      <w:lvlJc w:val="left"/>
      <w:pPr>
        <w:ind w:left="5625" w:hanging="360"/>
      </w:pPr>
    </w:lvl>
    <w:lvl w:ilvl="7" w:tplc="0C090019" w:tentative="1">
      <w:start w:val="1"/>
      <w:numFmt w:val="lowerLetter"/>
      <w:lvlText w:val="%8."/>
      <w:lvlJc w:val="left"/>
      <w:pPr>
        <w:ind w:left="6345" w:hanging="360"/>
      </w:pPr>
    </w:lvl>
    <w:lvl w:ilvl="8" w:tplc="0C09001B" w:tentative="1">
      <w:start w:val="1"/>
      <w:numFmt w:val="lowerRoman"/>
      <w:lvlText w:val="%9."/>
      <w:lvlJc w:val="right"/>
      <w:pPr>
        <w:ind w:left="7065" w:hanging="180"/>
      </w:pPr>
    </w:lvl>
  </w:abstractNum>
  <w:abstractNum w:abstractNumId="59" w15:restartNumberingAfterBreak="0">
    <w:nsid w:val="777B79AF"/>
    <w:multiLevelType w:val="hybridMultilevel"/>
    <w:tmpl w:val="FD7C181E"/>
    <w:lvl w:ilvl="0" w:tplc="810419C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900FE5"/>
    <w:multiLevelType w:val="hybridMultilevel"/>
    <w:tmpl w:val="BE348B02"/>
    <w:lvl w:ilvl="0" w:tplc="124430C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618002">
    <w:abstractNumId w:val="9"/>
  </w:num>
  <w:num w:numId="2" w16cid:durableId="608195381">
    <w:abstractNumId w:val="7"/>
  </w:num>
  <w:num w:numId="3" w16cid:durableId="762727866">
    <w:abstractNumId w:val="6"/>
  </w:num>
  <w:num w:numId="4" w16cid:durableId="1740009760">
    <w:abstractNumId w:val="5"/>
  </w:num>
  <w:num w:numId="5" w16cid:durableId="1189560305">
    <w:abstractNumId w:val="4"/>
  </w:num>
  <w:num w:numId="6" w16cid:durableId="1324309450">
    <w:abstractNumId w:val="8"/>
  </w:num>
  <w:num w:numId="7" w16cid:durableId="176039942">
    <w:abstractNumId w:val="3"/>
  </w:num>
  <w:num w:numId="8" w16cid:durableId="848760447">
    <w:abstractNumId w:val="2"/>
  </w:num>
  <w:num w:numId="9" w16cid:durableId="1151408840">
    <w:abstractNumId w:val="1"/>
  </w:num>
  <w:num w:numId="10" w16cid:durableId="773942245">
    <w:abstractNumId w:val="0"/>
  </w:num>
  <w:num w:numId="11" w16cid:durableId="1885215168">
    <w:abstractNumId w:val="40"/>
  </w:num>
  <w:num w:numId="12" w16cid:durableId="704015886">
    <w:abstractNumId w:val="13"/>
  </w:num>
  <w:num w:numId="13" w16cid:durableId="183327772">
    <w:abstractNumId w:val="24"/>
  </w:num>
  <w:num w:numId="14" w16cid:durableId="293829340">
    <w:abstractNumId w:val="10"/>
  </w:num>
  <w:num w:numId="15" w16cid:durableId="1753745119">
    <w:abstractNumId w:val="58"/>
  </w:num>
  <w:num w:numId="16" w16cid:durableId="2117821593">
    <w:abstractNumId w:val="45"/>
  </w:num>
  <w:num w:numId="17" w16cid:durableId="2004625901">
    <w:abstractNumId w:val="26"/>
  </w:num>
  <w:num w:numId="18" w16cid:durableId="1701975013">
    <w:abstractNumId w:val="41"/>
  </w:num>
  <w:num w:numId="19" w16cid:durableId="563026905">
    <w:abstractNumId w:val="34"/>
  </w:num>
  <w:num w:numId="20" w16cid:durableId="1864201774">
    <w:abstractNumId w:val="29"/>
  </w:num>
  <w:num w:numId="21" w16cid:durableId="1878346115">
    <w:abstractNumId w:val="42"/>
  </w:num>
  <w:num w:numId="22" w16cid:durableId="332294207">
    <w:abstractNumId w:val="55"/>
  </w:num>
  <w:num w:numId="23" w16cid:durableId="1175146960">
    <w:abstractNumId w:val="48"/>
  </w:num>
  <w:num w:numId="24" w16cid:durableId="1604260422">
    <w:abstractNumId w:val="16"/>
  </w:num>
  <w:num w:numId="25" w16cid:durableId="1474642214">
    <w:abstractNumId w:val="12"/>
  </w:num>
  <w:num w:numId="26" w16cid:durableId="1409690868">
    <w:abstractNumId w:val="32"/>
  </w:num>
  <w:num w:numId="27" w16cid:durableId="962731635">
    <w:abstractNumId w:val="53"/>
  </w:num>
  <w:num w:numId="28" w16cid:durableId="1102727798">
    <w:abstractNumId w:val="35"/>
  </w:num>
  <w:num w:numId="29" w16cid:durableId="1530676482">
    <w:abstractNumId w:val="15"/>
  </w:num>
  <w:num w:numId="30" w16cid:durableId="190807671">
    <w:abstractNumId w:val="28"/>
  </w:num>
  <w:num w:numId="31" w16cid:durableId="1698388086">
    <w:abstractNumId w:val="46"/>
  </w:num>
  <w:num w:numId="32" w16cid:durableId="1874222373">
    <w:abstractNumId w:val="59"/>
  </w:num>
  <w:num w:numId="33" w16cid:durableId="1485776706">
    <w:abstractNumId w:val="60"/>
  </w:num>
  <w:num w:numId="34" w16cid:durableId="637031890">
    <w:abstractNumId w:val="39"/>
  </w:num>
  <w:num w:numId="35" w16cid:durableId="1590965701">
    <w:abstractNumId w:val="30"/>
  </w:num>
  <w:num w:numId="36" w16cid:durableId="257294408">
    <w:abstractNumId w:val="52"/>
  </w:num>
  <w:num w:numId="37" w16cid:durableId="1115368036">
    <w:abstractNumId w:val="14"/>
  </w:num>
  <w:num w:numId="38" w16cid:durableId="266237454">
    <w:abstractNumId w:val="38"/>
  </w:num>
  <w:num w:numId="39" w16cid:durableId="130903013">
    <w:abstractNumId w:val="44"/>
  </w:num>
  <w:num w:numId="40" w16cid:durableId="1680155248">
    <w:abstractNumId w:val="25"/>
  </w:num>
  <w:num w:numId="41" w16cid:durableId="711925725">
    <w:abstractNumId w:val="43"/>
  </w:num>
  <w:num w:numId="42" w16cid:durableId="152841643">
    <w:abstractNumId w:val="33"/>
  </w:num>
  <w:num w:numId="43" w16cid:durableId="1876847169">
    <w:abstractNumId w:val="56"/>
  </w:num>
  <w:num w:numId="44" w16cid:durableId="1324553688">
    <w:abstractNumId w:val="22"/>
  </w:num>
  <w:num w:numId="45" w16cid:durableId="510677890">
    <w:abstractNumId w:val="27"/>
  </w:num>
  <w:num w:numId="46" w16cid:durableId="900212418">
    <w:abstractNumId w:val="51"/>
  </w:num>
  <w:num w:numId="47" w16cid:durableId="1227304656">
    <w:abstractNumId w:val="21"/>
  </w:num>
  <w:num w:numId="48" w16cid:durableId="1922131891">
    <w:abstractNumId w:val="17"/>
  </w:num>
  <w:num w:numId="49" w16cid:durableId="1783919354">
    <w:abstractNumId w:val="36"/>
  </w:num>
  <w:num w:numId="50" w16cid:durableId="2056617927">
    <w:abstractNumId w:val="31"/>
  </w:num>
  <w:num w:numId="51" w16cid:durableId="34357176">
    <w:abstractNumId w:val="23"/>
  </w:num>
  <w:num w:numId="52" w16cid:durableId="1049888361">
    <w:abstractNumId w:val="54"/>
  </w:num>
  <w:num w:numId="53" w16cid:durableId="875629300">
    <w:abstractNumId w:val="49"/>
  </w:num>
  <w:num w:numId="54" w16cid:durableId="1450709732">
    <w:abstractNumId w:val="50"/>
  </w:num>
  <w:num w:numId="55" w16cid:durableId="1314719716">
    <w:abstractNumId w:val="11"/>
  </w:num>
  <w:num w:numId="56" w16cid:durableId="1163399548">
    <w:abstractNumId w:val="57"/>
  </w:num>
  <w:num w:numId="57" w16cid:durableId="359355542">
    <w:abstractNumId w:val="37"/>
  </w:num>
  <w:num w:numId="58" w16cid:durableId="1528635476">
    <w:abstractNumId w:val="47"/>
  </w:num>
  <w:num w:numId="59" w16cid:durableId="461777949">
    <w:abstractNumId w:val="20"/>
  </w:num>
  <w:num w:numId="60" w16cid:durableId="453911129">
    <w:abstractNumId w:val="18"/>
  </w:num>
  <w:num w:numId="61" w16cid:durableId="491456078">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B7F"/>
    <w:rsid w:val="000003DE"/>
    <w:rsid w:val="00000839"/>
    <w:rsid w:val="00003BFB"/>
    <w:rsid w:val="00004174"/>
    <w:rsid w:val="00004470"/>
    <w:rsid w:val="000069A4"/>
    <w:rsid w:val="00007392"/>
    <w:rsid w:val="000110C2"/>
    <w:rsid w:val="00012FF8"/>
    <w:rsid w:val="00013040"/>
    <w:rsid w:val="000130D6"/>
    <w:rsid w:val="000136AF"/>
    <w:rsid w:val="000201F5"/>
    <w:rsid w:val="000204BA"/>
    <w:rsid w:val="000208F5"/>
    <w:rsid w:val="00022454"/>
    <w:rsid w:val="000225A2"/>
    <w:rsid w:val="000246E1"/>
    <w:rsid w:val="000254F4"/>
    <w:rsid w:val="000258B1"/>
    <w:rsid w:val="00025C84"/>
    <w:rsid w:val="000316FB"/>
    <w:rsid w:val="000341AF"/>
    <w:rsid w:val="00034290"/>
    <w:rsid w:val="00034AD1"/>
    <w:rsid w:val="00034BA4"/>
    <w:rsid w:val="00035161"/>
    <w:rsid w:val="00036C2B"/>
    <w:rsid w:val="00040A89"/>
    <w:rsid w:val="000433A9"/>
    <w:rsid w:val="000437C1"/>
    <w:rsid w:val="0004431E"/>
    <w:rsid w:val="0004455A"/>
    <w:rsid w:val="00045216"/>
    <w:rsid w:val="0004667B"/>
    <w:rsid w:val="00046815"/>
    <w:rsid w:val="00050791"/>
    <w:rsid w:val="00050CFD"/>
    <w:rsid w:val="000512C8"/>
    <w:rsid w:val="0005365D"/>
    <w:rsid w:val="000539D6"/>
    <w:rsid w:val="000614BF"/>
    <w:rsid w:val="0006474D"/>
    <w:rsid w:val="00066232"/>
    <w:rsid w:val="00066654"/>
    <w:rsid w:val="0006709C"/>
    <w:rsid w:val="000708B7"/>
    <w:rsid w:val="00074376"/>
    <w:rsid w:val="00075225"/>
    <w:rsid w:val="00075776"/>
    <w:rsid w:val="00075BBC"/>
    <w:rsid w:val="0007628F"/>
    <w:rsid w:val="00076D4A"/>
    <w:rsid w:val="000804C8"/>
    <w:rsid w:val="00082686"/>
    <w:rsid w:val="000843B8"/>
    <w:rsid w:val="00086707"/>
    <w:rsid w:val="00090CE3"/>
    <w:rsid w:val="000978F5"/>
    <w:rsid w:val="000A3A05"/>
    <w:rsid w:val="000A6ED7"/>
    <w:rsid w:val="000B15CD"/>
    <w:rsid w:val="000B35EB"/>
    <w:rsid w:val="000C01BD"/>
    <w:rsid w:val="000C136C"/>
    <w:rsid w:val="000C180A"/>
    <w:rsid w:val="000C1E57"/>
    <w:rsid w:val="000C2756"/>
    <w:rsid w:val="000C71A2"/>
    <w:rsid w:val="000D034F"/>
    <w:rsid w:val="000D05EF"/>
    <w:rsid w:val="000D0A9B"/>
    <w:rsid w:val="000D13DC"/>
    <w:rsid w:val="000D5AA4"/>
    <w:rsid w:val="000D7ACD"/>
    <w:rsid w:val="000E204A"/>
    <w:rsid w:val="000E2261"/>
    <w:rsid w:val="000E4523"/>
    <w:rsid w:val="000E75BE"/>
    <w:rsid w:val="000E78B7"/>
    <w:rsid w:val="000F0A14"/>
    <w:rsid w:val="000F21C1"/>
    <w:rsid w:val="000F2974"/>
    <w:rsid w:val="000F2BC7"/>
    <w:rsid w:val="000F3D4B"/>
    <w:rsid w:val="000F4A6E"/>
    <w:rsid w:val="000F72DB"/>
    <w:rsid w:val="000F7480"/>
    <w:rsid w:val="000F7696"/>
    <w:rsid w:val="00101B48"/>
    <w:rsid w:val="001026BA"/>
    <w:rsid w:val="00104E3D"/>
    <w:rsid w:val="0010745C"/>
    <w:rsid w:val="00107D7C"/>
    <w:rsid w:val="0011051E"/>
    <w:rsid w:val="00114E6D"/>
    <w:rsid w:val="00116C2E"/>
    <w:rsid w:val="0012150F"/>
    <w:rsid w:val="001242A3"/>
    <w:rsid w:val="00124F73"/>
    <w:rsid w:val="00125991"/>
    <w:rsid w:val="00126253"/>
    <w:rsid w:val="00127807"/>
    <w:rsid w:val="00132100"/>
    <w:rsid w:val="00132CEB"/>
    <w:rsid w:val="001339B0"/>
    <w:rsid w:val="00133DD1"/>
    <w:rsid w:val="00133FF1"/>
    <w:rsid w:val="0013466F"/>
    <w:rsid w:val="00134726"/>
    <w:rsid w:val="0013660C"/>
    <w:rsid w:val="00136D77"/>
    <w:rsid w:val="00136FA3"/>
    <w:rsid w:val="00140B51"/>
    <w:rsid w:val="00142125"/>
    <w:rsid w:val="00142872"/>
    <w:rsid w:val="00142B62"/>
    <w:rsid w:val="001441B7"/>
    <w:rsid w:val="00147199"/>
    <w:rsid w:val="00150F67"/>
    <w:rsid w:val="00150F69"/>
    <w:rsid w:val="001516CB"/>
    <w:rsid w:val="00151D50"/>
    <w:rsid w:val="0015232F"/>
    <w:rsid w:val="00152336"/>
    <w:rsid w:val="001531FF"/>
    <w:rsid w:val="0015567A"/>
    <w:rsid w:val="0015636A"/>
    <w:rsid w:val="00156D28"/>
    <w:rsid w:val="00157B8B"/>
    <w:rsid w:val="00157E6A"/>
    <w:rsid w:val="00162E8C"/>
    <w:rsid w:val="00166901"/>
    <w:rsid w:val="00166C2F"/>
    <w:rsid w:val="00170848"/>
    <w:rsid w:val="001723E3"/>
    <w:rsid w:val="00172B1D"/>
    <w:rsid w:val="0017464D"/>
    <w:rsid w:val="0017574B"/>
    <w:rsid w:val="001809D7"/>
    <w:rsid w:val="0018120A"/>
    <w:rsid w:val="00183C8D"/>
    <w:rsid w:val="00184625"/>
    <w:rsid w:val="00184EC7"/>
    <w:rsid w:val="00186125"/>
    <w:rsid w:val="00186438"/>
    <w:rsid w:val="00186782"/>
    <w:rsid w:val="001869C5"/>
    <w:rsid w:val="001878EE"/>
    <w:rsid w:val="00190C33"/>
    <w:rsid w:val="001934B7"/>
    <w:rsid w:val="001939E1"/>
    <w:rsid w:val="00194C3E"/>
    <w:rsid w:val="00195382"/>
    <w:rsid w:val="00197CD3"/>
    <w:rsid w:val="001A1B81"/>
    <w:rsid w:val="001A353C"/>
    <w:rsid w:val="001A6375"/>
    <w:rsid w:val="001A6D73"/>
    <w:rsid w:val="001B1BFA"/>
    <w:rsid w:val="001B2845"/>
    <w:rsid w:val="001B2CB6"/>
    <w:rsid w:val="001B5194"/>
    <w:rsid w:val="001B592A"/>
    <w:rsid w:val="001C1644"/>
    <w:rsid w:val="001C2007"/>
    <w:rsid w:val="001C2266"/>
    <w:rsid w:val="001C2E05"/>
    <w:rsid w:val="001C38D7"/>
    <w:rsid w:val="001C3EF8"/>
    <w:rsid w:val="001C61C5"/>
    <w:rsid w:val="001C69C4"/>
    <w:rsid w:val="001C6E55"/>
    <w:rsid w:val="001D20BF"/>
    <w:rsid w:val="001D2DA8"/>
    <w:rsid w:val="001D37EF"/>
    <w:rsid w:val="001D38F2"/>
    <w:rsid w:val="001E27BA"/>
    <w:rsid w:val="001E2FF4"/>
    <w:rsid w:val="001E3590"/>
    <w:rsid w:val="001E5917"/>
    <w:rsid w:val="001E7407"/>
    <w:rsid w:val="001F12F1"/>
    <w:rsid w:val="001F2E53"/>
    <w:rsid w:val="001F2ECA"/>
    <w:rsid w:val="001F3905"/>
    <w:rsid w:val="001F5D5E"/>
    <w:rsid w:val="001F6219"/>
    <w:rsid w:val="001F6CD4"/>
    <w:rsid w:val="00201FB3"/>
    <w:rsid w:val="00202742"/>
    <w:rsid w:val="00204D1A"/>
    <w:rsid w:val="0020644C"/>
    <w:rsid w:val="00206C4D"/>
    <w:rsid w:val="00207A06"/>
    <w:rsid w:val="00215AF1"/>
    <w:rsid w:val="00216C4B"/>
    <w:rsid w:val="00217E58"/>
    <w:rsid w:val="0022100C"/>
    <w:rsid w:val="0022340F"/>
    <w:rsid w:val="00223C50"/>
    <w:rsid w:val="00225CBA"/>
    <w:rsid w:val="00226D75"/>
    <w:rsid w:val="00227389"/>
    <w:rsid w:val="0022788F"/>
    <w:rsid w:val="0023174D"/>
    <w:rsid w:val="002321E8"/>
    <w:rsid w:val="00232984"/>
    <w:rsid w:val="0023391E"/>
    <w:rsid w:val="00235B43"/>
    <w:rsid w:val="00236804"/>
    <w:rsid w:val="0024010F"/>
    <w:rsid w:val="002402EC"/>
    <w:rsid w:val="00240749"/>
    <w:rsid w:val="00243018"/>
    <w:rsid w:val="00243771"/>
    <w:rsid w:val="002453AF"/>
    <w:rsid w:val="002512E6"/>
    <w:rsid w:val="00251385"/>
    <w:rsid w:val="00251B3B"/>
    <w:rsid w:val="002531AA"/>
    <w:rsid w:val="002534C7"/>
    <w:rsid w:val="00253548"/>
    <w:rsid w:val="002540BC"/>
    <w:rsid w:val="00254A93"/>
    <w:rsid w:val="00254F25"/>
    <w:rsid w:val="0025599F"/>
    <w:rsid w:val="002564A4"/>
    <w:rsid w:val="00262AC3"/>
    <w:rsid w:val="00263FD1"/>
    <w:rsid w:val="00264F21"/>
    <w:rsid w:val="0026671E"/>
    <w:rsid w:val="0026736C"/>
    <w:rsid w:val="00270278"/>
    <w:rsid w:val="002708CC"/>
    <w:rsid w:val="0027313B"/>
    <w:rsid w:val="00274C94"/>
    <w:rsid w:val="00275EC2"/>
    <w:rsid w:val="00281308"/>
    <w:rsid w:val="00281EFF"/>
    <w:rsid w:val="00282059"/>
    <w:rsid w:val="00284719"/>
    <w:rsid w:val="002851D6"/>
    <w:rsid w:val="002862E5"/>
    <w:rsid w:val="0029061C"/>
    <w:rsid w:val="00291725"/>
    <w:rsid w:val="00291D16"/>
    <w:rsid w:val="002941AB"/>
    <w:rsid w:val="00297929"/>
    <w:rsid w:val="00297ECB"/>
    <w:rsid w:val="002A16D3"/>
    <w:rsid w:val="002A2BCB"/>
    <w:rsid w:val="002A50E3"/>
    <w:rsid w:val="002A766B"/>
    <w:rsid w:val="002A7BCF"/>
    <w:rsid w:val="002A7DDA"/>
    <w:rsid w:val="002B1080"/>
    <w:rsid w:val="002B1FE9"/>
    <w:rsid w:val="002B330F"/>
    <w:rsid w:val="002B6E2F"/>
    <w:rsid w:val="002C0F8C"/>
    <w:rsid w:val="002C329C"/>
    <w:rsid w:val="002C3FD1"/>
    <w:rsid w:val="002C4485"/>
    <w:rsid w:val="002C4764"/>
    <w:rsid w:val="002C4804"/>
    <w:rsid w:val="002D043A"/>
    <w:rsid w:val="002D266B"/>
    <w:rsid w:val="002D6224"/>
    <w:rsid w:val="002E0775"/>
    <w:rsid w:val="002E6C5F"/>
    <w:rsid w:val="002E7878"/>
    <w:rsid w:val="002F05F6"/>
    <w:rsid w:val="002F0A7E"/>
    <w:rsid w:val="002F12E6"/>
    <w:rsid w:val="002F1F28"/>
    <w:rsid w:val="002F2579"/>
    <w:rsid w:val="002F4946"/>
    <w:rsid w:val="002F6ECA"/>
    <w:rsid w:val="00304768"/>
    <w:rsid w:val="00304A19"/>
    <w:rsid w:val="00304E5C"/>
    <w:rsid w:val="00304F8B"/>
    <w:rsid w:val="003057FA"/>
    <w:rsid w:val="003061F7"/>
    <w:rsid w:val="003068F0"/>
    <w:rsid w:val="00307863"/>
    <w:rsid w:val="00310FC0"/>
    <w:rsid w:val="00317102"/>
    <w:rsid w:val="00317E41"/>
    <w:rsid w:val="0032021F"/>
    <w:rsid w:val="00321EF0"/>
    <w:rsid w:val="00323CBF"/>
    <w:rsid w:val="003258A4"/>
    <w:rsid w:val="00332A7C"/>
    <w:rsid w:val="00332FB3"/>
    <w:rsid w:val="003331CB"/>
    <w:rsid w:val="00335BC6"/>
    <w:rsid w:val="00337485"/>
    <w:rsid w:val="00340409"/>
    <w:rsid w:val="0034103C"/>
    <w:rsid w:val="003415D3"/>
    <w:rsid w:val="00341B20"/>
    <w:rsid w:val="0034254C"/>
    <w:rsid w:val="00344051"/>
    <w:rsid w:val="00344338"/>
    <w:rsid w:val="00344701"/>
    <w:rsid w:val="00344A09"/>
    <w:rsid w:val="003451F3"/>
    <w:rsid w:val="00345BB9"/>
    <w:rsid w:val="00346EF1"/>
    <w:rsid w:val="003473DB"/>
    <w:rsid w:val="00350A76"/>
    <w:rsid w:val="003511A8"/>
    <w:rsid w:val="00351D0E"/>
    <w:rsid w:val="00352B0F"/>
    <w:rsid w:val="00352D5F"/>
    <w:rsid w:val="00353F3E"/>
    <w:rsid w:val="00355470"/>
    <w:rsid w:val="003564B7"/>
    <w:rsid w:val="00356F01"/>
    <w:rsid w:val="00360459"/>
    <w:rsid w:val="00361E75"/>
    <w:rsid w:val="003647F5"/>
    <w:rsid w:val="003651C2"/>
    <w:rsid w:val="003652B7"/>
    <w:rsid w:val="00365DF2"/>
    <w:rsid w:val="00366417"/>
    <w:rsid w:val="0036654B"/>
    <w:rsid w:val="00366849"/>
    <w:rsid w:val="0037182C"/>
    <w:rsid w:val="00372FDA"/>
    <w:rsid w:val="003732D4"/>
    <w:rsid w:val="00374F9C"/>
    <w:rsid w:val="00376ABB"/>
    <w:rsid w:val="00376B12"/>
    <w:rsid w:val="0037713C"/>
    <w:rsid w:val="0038049F"/>
    <w:rsid w:val="003865E0"/>
    <w:rsid w:val="0039253C"/>
    <w:rsid w:val="0039255A"/>
    <w:rsid w:val="003927C9"/>
    <w:rsid w:val="0039383D"/>
    <w:rsid w:val="003958B0"/>
    <w:rsid w:val="003962B0"/>
    <w:rsid w:val="00397D76"/>
    <w:rsid w:val="003A1579"/>
    <w:rsid w:val="003A17FE"/>
    <w:rsid w:val="003A1810"/>
    <w:rsid w:val="003A2771"/>
    <w:rsid w:val="003A4979"/>
    <w:rsid w:val="003B0506"/>
    <w:rsid w:val="003B2F29"/>
    <w:rsid w:val="003B6305"/>
    <w:rsid w:val="003B75DC"/>
    <w:rsid w:val="003B7794"/>
    <w:rsid w:val="003C031B"/>
    <w:rsid w:val="003C1224"/>
    <w:rsid w:val="003C16EC"/>
    <w:rsid w:val="003C219B"/>
    <w:rsid w:val="003C47D4"/>
    <w:rsid w:val="003C6231"/>
    <w:rsid w:val="003C6249"/>
    <w:rsid w:val="003D0AAA"/>
    <w:rsid w:val="003D0BFE"/>
    <w:rsid w:val="003D44FA"/>
    <w:rsid w:val="003D5212"/>
    <w:rsid w:val="003D5700"/>
    <w:rsid w:val="003D6819"/>
    <w:rsid w:val="003D6D51"/>
    <w:rsid w:val="003D709C"/>
    <w:rsid w:val="003E0BB0"/>
    <w:rsid w:val="003E0BC1"/>
    <w:rsid w:val="003E0BD7"/>
    <w:rsid w:val="003E0F7C"/>
    <w:rsid w:val="003E341B"/>
    <w:rsid w:val="003E42AE"/>
    <w:rsid w:val="003E482A"/>
    <w:rsid w:val="003E4D00"/>
    <w:rsid w:val="003E4FDC"/>
    <w:rsid w:val="003E69E3"/>
    <w:rsid w:val="003E7565"/>
    <w:rsid w:val="003F028A"/>
    <w:rsid w:val="003F291D"/>
    <w:rsid w:val="003F4CB6"/>
    <w:rsid w:val="003F6A23"/>
    <w:rsid w:val="003F6DE8"/>
    <w:rsid w:val="004021B8"/>
    <w:rsid w:val="004030D1"/>
    <w:rsid w:val="0040315B"/>
    <w:rsid w:val="00403457"/>
    <w:rsid w:val="00403FF5"/>
    <w:rsid w:val="004042FB"/>
    <w:rsid w:val="004066DF"/>
    <w:rsid w:val="004116CD"/>
    <w:rsid w:val="00412109"/>
    <w:rsid w:val="00414235"/>
    <w:rsid w:val="00415F0B"/>
    <w:rsid w:val="00417EB9"/>
    <w:rsid w:val="00420042"/>
    <w:rsid w:val="00421FAF"/>
    <w:rsid w:val="00421FE9"/>
    <w:rsid w:val="00422515"/>
    <w:rsid w:val="00422619"/>
    <w:rsid w:val="0042276D"/>
    <w:rsid w:val="00424CA9"/>
    <w:rsid w:val="004251C0"/>
    <w:rsid w:val="004276DF"/>
    <w:rsid w:val="00427F72"/>
    <w:rsid w:val="00431E9B"/>
    <w:rsid w:val="0043358F"/>
    <w:rsid w:val="00434348"/>
    <w:rsid w:val="004349D2"/>
    <w:rsid w:val="004379E3"/>
    <w:rsid w:val="0044015E"/>
    <w:rsid w:val="00441059"/>
    <w:rsid w:val="004414FD"/>
    <w:rsid w:val="0044291A"/>
    <w:rsid w:val="00443276"/>
    <w:rsid w:val="004459D0"/>
    <w:rsid w:val="00445A56"/>
    <w:rsid w:val="00451EB0"/>
    <w:rsid w:val="004521D2"/>
    <w:rsid w:val="00453F80"/>
    <w:rsid w:val="00454F41"/>
    <w:rsid w:val="00456800"/>
    <w:rsid w:val="004569AC"/>
    <w:rsid w:val="0046008B"/>
    <w:rsid w:val="00461403"/>
    <w:rsid w:val="004615D6"/>
    <w:rsid w:val="00462068"/>
    <w:rsid w:val="004628EB"/>
    <w:rsid w:val="0046627F"/>
    <w:rsid w:val="0046730F"/>
    <w:rsid w:val="004674B1"/>
    <w:rsid w:val="00467661"/>
    <w:rsid w:val="00470FDE"/>
    <w:rsid w:val="00471A8E"/>
    <w:rsid w:val="00472DBE"/>
    <w:rsid w:val="00474A19"/>
    <w:rsid w:val="0047547D"/>
    <w:rsid w:val="00475790"/>
    <w:rsid w:val="00475D55"/>
    <w:rsid w:val="00477830"/>
    <w:rsid w:val="00477A43"/>
    <w:rsid w:val="00480603"/>
    <w:rsid w:val="00480A41"/>
    <w:rsid w:val="00481541"/>
    <w:rsid w:val="00484587"/>
    <w:rsid w:val="00486B1E"/>
    <w:rsid w:val="00487764"/>
    <w:rsid w:val="0049028D"/>
    <w:rsid w:val="00491079"/>
    <w:rsid w:val="00491655"/>
    <w:rsid w:val="00494E18"/>
    <w:rsid w:val="004958E9"/>
    <w:rsid w:val="004969B4"/>
    <w:rsid w:val="00496DD0"/>
    <w:rsid w:val="00496F97"/>
    <w:rsid w:val="00497F0D"/>
    <w:rsid w:val="004A1071"/>
    <w:rsid w:val="004A1C05"/>
    <w:rsid w:val="004A31DC"/>
    <w:rsid w:val="004A6954"/>
    <w:rsid w:val="004B1C13"/>
    <w:rsid w:val="004B2607"/>
    <w:rsid w:val="004B373B"/>
    <w:rsid w:val="004B3C43"/>
    <w:rsid w:val="004B42FE"/>
    <w:rsid w:val="004B4431"/>
    <w:rsid w:val="004B6C48"/>
    <w:rsid w:val="004C0C2F"/>
    <w:rsid w:val="004C4E59"/>
    <w:rsid w:val="004C6809"/>
    <w:rsid w:val="004C72B2"/>
    <w:rsid w:val="004D0CAA"/>
    <w:rsid w:val="004D269D"/>
    <w:rsid w:val="004D674B"/>
    <w:rsid w:val="004E02C5"/>
    <w:rsid w:val="004E063A"/>
    <w:rsid w:val="004E0F22"/>
    <w:rsid w:val="004E1307"/>
    <w:rsid w:val="004E1985"/>
    <w:rsid w:val="004E26D6"/>
    <w:rsid w:val="004E36E8"/>
    <w:rsid w:val="004E444D"/>
    <w:rsid w:val="004E4991"/>
    <w:rsid w:val="004E5233"/>
    <w:rsid w:val="004E682A"/>
    <w:rsid w:val="004E7B5C"/>
    <w:rsid w:val="004E7BEC"/>
    <w:rsid w:val="00501E7A"/>
    <w:rsid w:val="00505687"/>
    <w:rsid w:val="00505D3D"/>
    <w:rsid w:val="00506AF6"/>
    <w:rsid w:val="00510A45"/>
    <w:rsid w:val="005133E5"/>
    <w:rsid w:val="005134CC"/>
    <w:rsid w:val="0051354A"/>
    <w:rsid w:val="00516B8D"/>
    <w:rsid w:val="0051778F"/>
    <w:rsid w:val="0052179A"/>
    <w:rsid w:val="005254D5"/>
    <w:rsid w:val="00526457"/>
    <w:rsid w:val="0052668D"/>
    <w:rsid w:val="005303C8"/>
    <w:rsid w:val="00530D88"/>
    <w:rsid w:val="0053601B"/>
    <w:rsid w:val="005374FA"/>
    <w:rsid w:val="00537FBC"/>
    <w:rsid w:val="005435D5"/>
    <w:rsid w:val="005451CA"/>
    <w:rsid w:val="00550088"/>
    <w:rsid w:val="005519A6"/>
    <w:rsid w:val="0055318C"/>
    <w:rsid w:val="00554826"/>
    <w:rsid w:val="0055588D"/>
    <w:rsid w:val="005575EF"/>
    <w:rsid w:val="00560350"/>
    <w:rsid w:val="00561448"/>
    <w:rsid w:val="005630A2"/>
    <w:rsid w:val="0056331C"/>
    <w:rsid w:val="00565945"/>
    <w:rsid w:val="00570285"/>
    <w:rsid w:val="00574CBE"/>
    <w:rsid w:val="00575124"/>
    <w:rsid w:val="005778B2"/>
    <w:rsid w:val="00580C01"/>
    <w:rsid w:val="00583A22"/>
    <w:rsid w:val="00583D99"/>
    <w:rsid w:val="00584811"/>
    <w:rsid w:val="00585784"/>
    <w:rsid w:val="00590A47"/>
    <w:rsid w:val="00593833"/>
    <w:rsid w:val="00593AA6"/>
    <w:rsid w:val="00594161"/>
    <w:rsid w:val="00594749"/>
    <w:rsid w:val="005A019B"/>
    <w:rsid w:val="005A65D5"/>
    <w:rsid w:val="005B2F41"/>
    <w:rsid w:val="005B4067"/>
    <w:rsid w:val="005B5695"/>
    <w:rsid w:val="005B6016"/>
    <w:rsid w:val="005B683D"/>
    <w:rsid w:val="005B6C37"/>
    <w:rsid w:val="005B708B"/>
    <w:rsid w:val="005B7754"/>
    <w:rsid w:val="005C3F41"/>
    <w:rsid w:val="005C3FD3"/>
    <w:rsid w:val="005C6F6A"/>
    <w:rsid w:val="005D1D92"/>
    <w:rsid w:val="005D233C"/>
    <w:rsid w:val="005D2D09"/>
    <w:rsid w:val="005D34F7"/>
    <w:rsid w:val="005D44B6"/>
    <w:rsid w:val="005D5156"/>
    <w:rsid w:val="005D524A"/>
    <w:rsid w:val="005D70E3"/>
    <w:rsid w:val="005D78A1"/>
    <w:rsid w:val="005D78F8"/>
    <w:rsid w:val="005E040A"/>
    <w:rsid w:val="005E335A"/>
    <w:rsid w:val="005E45DA"/>
    <w:rsid w:val="005E4C17"/>
    <w:rsid w:val="005E521C"/>
    <w:rsid w:val="005E5427"/>
    <w:rsid w:val="005E5E5E"/>
    <w:rsid w:val="005E5FE7"/>
    <w:rsid w:val="005E6C10"/>
    <w:rsid w:val="005F0721"/>
    <w:rsid w:val="005F19BA"/>
    <w:rsid w:val="005F2053"/>
    <w:rsid w:val="005F20E3"/>
    <w:rsid w:val="005F5CF8"/>
    <w:rsid w:val="00600219"/>
    <w:rsid w:val="006008CD"/>
    <w:rsid w:val="00600953"/>
    <w:rsid w:val="00601FDB"/>
    <w:rsid w:val="006033DB"/>
    <w:rsid w:val="00604F2A"/>
    <w:rsid w:val="00605CA0"/>
    <w:rsid w:val="00607333"/>
    <w:rsid w:val="0060783F"/>
    <w:rsid w:val="00610897"/>
    <w:rsid w:val="00611340"/>
    <w:rsid w:val="006115AC"/>
    <w:rsid w:val="0061187E"/>
    <w:rsid w:val="00613A49"/>
    <w:rsid w:val="0061471C"/>
    <w:rsid w:val="00615782"/>
    <w:rsid w:val="00617C9E"/>
    <w:rsid w:val="00620076"/>
    <w:rsid w:val="0062010F"/>
    <w:rsid w:val="006208AE"/>
    <w:rsid w:val="00621C63"/>
    <w:rsid w:val="00621DD4"/>
    <w:rsid w:val="006247D7"/>
    <w:rsid w:val="00626DC7"/>
    <w:rsid w:val="0062769D"/>
    <w:rsid w:val="00627E0A"/>
    <w:rsid w:val="0063188F"/>
    <w:rsid w:val="00631978"/>
    <w:rsid w:val="00634BB7"/>
    <w:rsid w:val="006414AE"/>
    <w:rsid w:val="00641571"/>
    <w:rsid w:val="00641969"/>
    <w:rsid w:val="00644BE3"/>
    <w:rsid w:val="00645354"/>
    <w:rsid w:val="00646C7E"/>
    <w:rsid w:val="00650F74"/>
    <w:rsid w:val="00653262"/>
    <w:rsid w:val="0065488B"/>
    <w:rsid w:val="00657247"/>
    <w:rsid w:val="00657B00"/>
    <w:rsid w:val="00657F8D"/>
    <w:rsid w:val="00661005"/>
    <w:rsid w:val="00661B03"/>
    <w:rsid w:val="0066485D"/>
    <w:rsid w:val="0066512C"/>
    <w:rsid w:val="00665C95"/>
    <w:rsid w:val="006667EC"/>
    <w:rsid w:val="00667BA4"/>
    <w:rsid w:val="00670DAB"/>
    <w:rsid w:val="00670EA1"/>
    <w:rsid w:val="00672E7B"/>
    <w:rsid w:val="00677CC2"/>
    <w:rsid w:val="00677CD0"/>
    <w:rsid w:val="00677EBD"/>
    <w:rsid w:val="006800F0"/>
    <w:rsid w:val="00680DB2"/>
    <w:rsid w:val="006811C0"/>
    <w:rsid w:val="006819B4"/>
    <w:rsid w:val="00683DF5"/>
    <w:rsid w:val="00683E13"/>
    <w:rsid w:val="006850B8"/>
    <w:rsid w:val="0068744B"/>
    <w:rsid w:val="006905DE"/>
    <w:rsid w:val="00690A48"/>
    <w:rsid w:val="0069207B"/>
    <w:rsid w:val="00693817"/>
    <w:rsid w:val="00693EFB"/>
    <w:rsid w:val="00696D40"/>
    <w:rsid w:val="00697ABD"/>
    <w:rsid w:val="006A02A8"/>
    <w:rsid w:val="006A05BF"/>
    <w:rsid w:val="006A0BA7"/>
    <w:rsid w:val="006A1427"/>
    <w:rsid w:val="006A154F"/>
    <w:rsid w:val="006A437B"/>
    <w:rsid w:val="006A56EA"/>
    <w:rsid w:val="006A6D80"/>
    <w:rsid w:val="006B2644"/>
    <w:rsid w:val="006B309E"/>
    <w:rsid w:val="006B4557"/>
    <w:rsid w:val="006B5789"/>
    <w:rsid w:val="006B7098"/>
    <w:rsid w:val="006C02B1"/>
    <w:rsid w:val="006C0404"/>
    <w:rsid w:val="006C07C6"/>
    <w:rsid w:val="006C2864"/>
    <w:rsid w:val="006C30C5"/>
    <w:rsid w:val="006C6172"/>
    <w:rsid w:val="006C7F8C"/>
    <w:rsid w:val="006D16C8"/>
    <w:rsid w:val="006D2EBD"/>
    <w:rsid w:val="006D7CAB"/>
    <w:rsid w:val="006E0A4D"/>
    <w:rsid w:val="006E2E1C"/>
    <w:rsid w:val="006E32E2"/>
    <w:rsid w:val="006E4E52"/>
    <w:rsid w:val="006E519E"/>
    <w:rsid w:val="006E5FAE"/>
    <w:rsid w:val="006E6072"/>
    <w:rsid w:val="006E6246"/>
    <w:rsid w:val="006E69C2"/>
    <w:rsid w:val="006E6DCC"/>
    <w:rsid w:val="006F0EFD"/>
    <w:rsid w:val="006F18DE"/>
    <w:rsid w:val="006F1975"/>
    <w:rsid w:val="006F318F"/>
    <w:rsid w:val="006F64DE"/>
    <w:rsid w:val="0070017E"/>
    <w:rsid w:val="00700285"/>
    <w:rsid w:val="00700B2C"/>
    <w:rsid w:val="00700B7A"/>
    <w:rsid w:val="00701A79"/>
    <w:rsid w:val="00701B6D"/>
    <w:rsid w:val="00703DD1"/>
    <w:rsid w:val="00704BC4"/>
    <w:rsid w:val="007050A2"/>
    <w:rsid w:val="00705A3D"/>
    <w:rsid w:val="00706D79"/>
    <w:rsid w:val="007073BB"/>
    <w:rsid w:val="00707F8C"/>
    <w:rsid w:val="0071053E"/>
    <w:rsid w:val="00712D6C"/>
    <w:rsid w:val="00713084"/>
    <w:rsid w:val="00714BB9"/>
    <w:rsid w:val="00714F20"/>
    <w:rsid w:val="0071590F"/>
    <w:rsid w:val="00715914"/>
    <w:rsid w:val="00717B4A"/>
    <w:rsid w:val="00720383"/>
    <w:rsid w:val="00720767"/>
    <w:rsid w:val="00720DC1"/>
    <w:rsid w:val="0072147A"/>
    <w:rsid w:val="0072213D"/>
    <w:rsid w:val="00723791"/>
    <w:rsid w:val="00726A65"/>
    <w:rsid w:val="00727A3C"/>
    <w:rsid w:val="00727B2B"/>
    <w:rsid w:val="00727DB3"/>
    <w:rsid w:val="00730153"/>
    <w:rsid w:val="007311AA"/>
    <w:rsid w:val="00731E00"/>
    <w:rsid w:val="00734308"/>
    <w:rsid w:val="00734806"/>
    <w:rsid w:val="00734E7F"/>
    <w:rsid w:val="00736F9E"/>
    <w:rsid w:val="0074243D"/>
    <w:rsid w:val="0074287B"/>
    <w:rsid w:val="00743F9F"/>
    <w:rsid w:val="007440B7"/>
    <w:rsid w:val="007442A6"/>
    <w:rsid w:val="007454D2"/>
    <w:rsid w:val="007457DF"/>
    <w:rsid w:val="00747080"/>
    <w:rsid w:val="0074760D"/>
    <w:rsid w:val="007500C8"/>
    <w:rsid w:val="00754E22"/>
    <w:rsid w:val="00756272"/>
    <w:rsid w:val="007617D0"/>
    <w:rsid w:val="00762528"/>
    <w:rsid w:val="00762D38"/>
    <w:rsid w:val="00766AA6"/>
    <w:rsid w:val="00771100"/>
    <w:rsid w:val="007715C9"/>
    <w:rsid w:val="00771613"/>
    <w:rsid w:val="00771AC3"/>
    <w:rsid w:val="00772775"/>
    <w:rsid w:val="00772EB0"/>
    <w:rsid w:val="00774482"/>
    <w:rsid w:val="00774EDD"/>
    <w:rsid w:val="007754A3"/>
    <w:rsid w:val="007757EC"/>
    <w:rsid w:val="007768F3"/>
    <w:rsid w:val="00782FF3"/>
    <w:rsid w:val="00783E89"/>
    <w:rsid w:val="0078457A"/>
    <w:rsid w:val="00784953"/>
    <w:rsid w:val="00785BB4"/>
    <w:rsid w:val="00785BEE"/>
    <w:rsid w:val="0079084E"/>
    <w:rsid w:val="0079183B"/>
    <w:rsid w:val="007918B5"/>
    <w:rsid w:val="007924F3"/>
    <w:rsid w:val="0079276A"/>
    <w:rsid w:val="00792AE4"/>
    <w:rsid w:val="00793915"/>
    <w:rsid w:val="00794B5F"/>
    <w:rsid w:val="00795130"/>
    <w:rsid w:val="0079531C"/>
    <w:rsid w:val="007A02C5"/>
    <w:rsid w:val="007A0445"/>
    <w:rsid w:val="007A05BF"/>
    <w:rsid w:val="007A3D1F"/>
    <w:rsid w:val="007A427D"/>
    <w:rsid w:val="007A7611"/>
    <w:rsid w:val="007A7DE0"/>
    <w:rsid w:val="007B0BBF"/>
    <w:rsid w:val="007B2DB3"/>
    <w:rsid w:val="007B3B81"/>
    <w:rsid w:val="007B5EB5"/>
    <w:rsid w:val="007B7121"/>
    <w:rsid w:val="007B743B"/>
    <w:rsid w:val="007B7B0A"/>
    <w:rsid w:val="007C1FD9"/>
    <w:rsid w:val="007C2253"/>
    <w:rsid w:val="007C23AB"/>
    <w:rsid w:val="007C5166"/>
    <w:rsid w:val="007C70F8"/>
    <w:rsid w:val="007D0168"/>
    <w:rsid w:val="007D459C"/>
    <w:rsid w:val="007D4A2F"/>
    <w:rsid w:val="007D74D9"/>
    <w:rsid w:val="007D7911"/>
    <w:rsid w:val="007D7945"/>
    <w:rsid w:val="007E163D"/>
    <w:rsid w:val="007E21F3"/>
    <w:rsid w:val="007E4566"/>
    <w:rsid w:val="007E47E5"/>
    <w:rsid w:val="007E667A"/>
    <w:rsid w:val="007E6686"/>
    <w:rsid w:val="007F0C79"/>
    <w:rsid w:val="007F15DE"/>
    <w:rsid w:val="007F28C9"/>
    <w:rsid w:val="007F3618"/>
    <w:rsid w:val="007F4ADF"/>
    <w:rsid w:val="007F50BA"/>
    <w:rsid w:val="007F51B2"/>
    <w:rsid w:val="007F6FEE"/>
    <w:rsid w:val="007F722F"/>
    <w:rsid w:val="007F7E06"/>
    <w:rsid w:val="00802093"/>
    <w:rsid w:val="008040DD"/>
    <w:rsid w:val="00804886"/>
    <w:rsid w:val="00805A19"/>
    <w:rsid w:val="00810526"/>
    <w:rsid w:val="008117E9"/>
    <w:rsid w:val="00813588"/>
    <w:rsid w:val="008135AF"/>
    <w:rsid w:val="00816300"/>
    <w:rsid w:val="0081681D"/>
    <w:rsid w:val="00816CA3"/>
    <w:rsid w:val="00816E9B"/>
    <w:rsid w:val="00822251"/>
    <w:rsid w:val="00822AD0"/>
    <w:rsid w:val="00823C0D"/>
    <w:rsid w:val="00824498"/>
    <w:rsid w:val="008247C5"/>
    <w:rsid w:val="00825AF2"/>
    <w:rsid w:val="00825CB2"/>
    <w:rsid w:val="00826BD1"/>
    <w:rsid w:val="00827640"/>
    <w:rsid w:val="00827F17"/>
    <w:rsid w:val="0083242E"/>
    <w:rsid w:val="00834152"/>
    <w:rsid w:val="008345B6"/>
    <w:rsid w:val="0083531B"/>
    <w:rsid w:val="0084046A"/>
    <w:rsid w:val="008427EA"/>
    <w:rsid w:val="008454EB"/>
    <w:rsid w:val="00846BBA"/>
    <w:rsid w:val="00853B1E"/>
    <w:rsid w:val="00854AFD"/>
    <w:rsid w:val="00854D0B"/>
    <w:rsid w:val="00855193"/>
    <w:rsid w:val="008565C9"/>
    <w:rsid w:val="00856A31"/>
    <w:rsid w:val="00860B4E"/>
    <w:rsid w:val="0086262E"/>
    <w:rsid w:val="008634F0"/>
    <w:rsid w:val="00865929"/>
    <w:rsid w:val="008668F0"/>
    <w:rsid w:val="00866A76"/>
    <w:rsid w:val="00867B37"/>
    <w:rsid w:val="00867C03"/>
    <w:rsid w:val="00872198"/>
    <w:rsid w:val="008723FD"/>
    <w:rsid w:val="00872FD3"/>
    <w:rsid w:val="00874BA0"/>
    <w:rsid w:val="00875270"/>
    <w:rsid w:val="008754D0"/>
    <w:rsid w:val="00875BB9"/>
    <w:rsid w:val="00875D13"/>
    <w:rsid w:val="00875FF0"/>
    <w:rsid w:val="008804A6"/>
    <w:rsid w:val="008808B2"/>
    <w:rsid w:val="00882308"/>
    <w:rsid w:val="00884454"/>
    <w:rsid w:val="00884865"/>
    <w:rsid w:val="008855C9"/>
    <w:rsid w:val="00886456"/>
    <w:rsid w:val="00886885"/>
    <w:rsid w:val="00890184"/>
    <w:rsid w:val="008909F2"/>
    <w:rsid w:val="00894693"/>
    <w:rsid w:val="008952DD"/>
    <w:rsid w:val="00896176"/>
    <w:rsid w:val="00896B61"/>
    <w:rsid w:val="008A16E2"/>
    <w:rsid w:val="008A41A0"/>
    <w:rsid w:val="008A46E1"/>
    <w:rsid w:val="008A4BD6"/>
    <w:rsid w:val="008A4F43"/>
    <w:rsid w:val="008A59AA"/>
    <w:rsid w:val="008B0340"/>
    <w:rsid w:val="008B0CEC"/>
    <w:rsid w:val="008B2706"/>
    <w:rsid w:val="008B30B4"/>
    <w:rsid w:val="008B4DD6"/>
    <w:rsid w:val="008B5181"/>
    <w:rsid w:val="008C2BF1"/>
    <w:rsid w:val="008C2EAC"/>
    <w:rsid w:val="008C3FD5"/>
    <w:rsid w:val="008C4376"/>
    <w:rsid w:val="008C552A"/>
    <w:rsid w:val="008C5691"/>
    <w:rsid w:val="008C6D09"/>
    <w:rsid w:val="008D0052"/>
    <w:rsid w:val="008D060C"/>
    <w:rsid w:val="008D0EE0"/>
    <w:rsid w:val="008D43F3"/>
    <w:rsid w:val="008D4CBE"/>
    <w:rsid w:val="008D5439"/>
    <w:rsid w:val="008D5D73"/>
    <w:rsid w:val="008D61DA"/>
    <w:rsid w:val="008D6853"/>
    <w:rsid w:val="008D6FB1"/>
    <w:rsid w:val="008E0027"/>
    <w:rsid w:val="008E02E7"/>
    <w:rsid w:val="008E3702"/>
    <w:rsid w:val="008E6067"/>
    <w:rsid w:val="008F03A4"/>
    <w:rsid w:val="008F0C2F"/>
    <w:rsid w:val="008F1219"/>
    <w:rsid w:val="008F2AA1"/>
    <w:rsid w:val="008F2BCF"/>
    <w:rsid w:val="008F54E7"/>
    <w:rsid w:val="008F6715"/>
    <w:rsid w:val="008F73E2"/>
    <w:rsid w:val="008F74DF"/>
    <w:rsid w:val="00900BF2"/>
    <w:rsid w:val="009013CA"/>
    <w:rsid w:val="00903422"/>
    <w:rsid w:val="00903982"/>
    <w:rsid w:val="00903DE7"/>
    <w:rsid w:val="00906DD3"/>
    <w:rsid w:val="00907BAE"/>
    <w:rsid w:val="00911C72"/>
    <w:rsid w:val="0091229F"/>
    <w:rsid w:val="00913096"/>
    <w:rsid w:val="00913F1A"/>
    <w:rsid w:val="009141CC"/>
    <w:rsid w:val="00915251"/>
    <w:rsid w:val="00917BB2"/>
    <w:rsid w:val="00922D38"/>
    <w:rsid w:val="00924749"/>
    <w:rsid w:val="009254C3"/>
    <w:rsid w:val="009265AC"/>
    <w:rsid w:val="00927C7D"/>
    <w:rsid w:val="009312B3"/>
    <w:rsid w:val="00932377"/>
    <w:rsid w:val="0093661D"/>
    <w:rsid w:val="00936E22"/>
    <w:rsid w:val="009372CD"/>
    <w:rsid w:val="00937BE0"/>
    <w:rsid w:val="00937C0F"/>
    <w:rsid w:val="00940EA6"/>
    <w:rsid w:val="00941236"/>
    <w:rsid w:val="00943FD5"/>
    <w:rsid w:val="00944207"/>
    <w:rsid w:val="009476B8"/>
    <w:rsid w:val="00947D5A"/>
    <w:rsid w:val="009532A5"/>
    <w:rsid w:val="009545BD"/>
    <w:rsid w:val="0095786C"/>
    <w:rsid w:val="00960152"/>
    <w:rsid w:val="0096056E"/>
    <w:rsid w:val="00960DC0"/>
    <w:rsid w:val="00964CF0"/>
    <w:rsid w:val="00965644"/>
    <w:rsid w:val="0096658C"/>
    <w:rsid w:val="00966848"/>
    <w:rsid w:val="00966899"/>
    <w:rsid w:val="00973500"/>
    <w:rsid w:val="009738DB"/>
    <w:rsid w:val="00976BB7"/>
    <w:rsid w:val="00977806"/>
    <w:rsid w:val="00977ADB"/>
    <w:rsid w:val="0098190D"/>
    <w:rsid w:val="00981B38"/>
    <w:rsid w:val="00982242"/>
    <w:rsid w:val="009868E9"/>
    <w:rsid w:val="00986C22"/>
    <w:rsid w:val="00987AF0"/>
    <w:rsid w:val="009900A3"/>
    <w:rsid w:val="00990D56"/>
    <w:rsid w:val="009A1D7A"/>
    <w:rsid w:val="009A41B5"/>
    <w:rsid w:val="009A6D8B"/>
    <w:rsid w:val="009A7E3B"/>
    <w:rsid w:val="009B1263"/>
    <w:rsid w:val="009B3733"/>
    <w:rsid w:val="009C2BED"/>
    <w:rsid w:val="009C3413"/>
    <w:rsid w:val="009C7EEB"/>
    <w:rsid w:val="009D0E07"/>
    <w:rsid w:val="009D11BE"/>
    <w:rsid w:val="009D15E3"/>
    <w:rsid w:val="009D6351"/>
    <w:rsid w:val="009D7F61"/>
    <w:rsid w:val="009E11D4"/>
    <w:rsid w:val="009E4782"/>
    <w:rsid w:val="009E4902"/>
    <w:rsid w:val="009E51FD"/>
    <w:rsid w:val="009E7517"/>
    <w:rsid w:val="009E77A4"/>
    <w:rsid w:val="009F05D1"/>
    <w:rsid w:val="009F2B19"/>
    <w:rsid w:val="009F3B3B"/>
    <w:rsid w:val="009F63D6"/>
    <w:rsid w:val="009F71E4"/>
    <w:rsid w:val="00A00BBA"/>
    <w:rsid w:val="00A01BCB"/>
    <w:rsid w:val="00A0441E"/>
    <w:rsid w:val="00A04F95"/>
    <w:rsid w:val="00A07548"/>
    <w:rsid w:val="00A07AD8"/>
    <w:rsid w:val="00A10141"/>
    <w:rsid w:val="00A10CC9"/>
    <w:rsid w:val="00A12128"/>
    <w:rsid w:val="00A124B7"/>
    <w:rsid w:val="00A1291F"/>
    <w:rsid w:val="00A1414B"/>
    <w:rsid w:val="00A178C0"/>
    <w:rsid w:val="00A17945"/>
    <w:rsid w:val="00A20B7F"/>
    <w:rsid w:val="00A20D01"/>
    <w:rsid w:val="00A214CD"/>
    <w:rsid w:val="00A22C98"/>
    <w:rsid w:val="00A231E2"/>
    <w:rsid w:val="00A23B43"/>
    <w:rsid w:val="00A25132"/>
    <w:rsid w:val="00A251FD"/>
    <w:rsid w:val="00A25678"/>
    <w:rsid w:val="00A266B5"/>
    <w:rsid w:val="00A26BDB"/>
    <w:rsid w:val="00A27070"/>
    <w:rsid w:val="00A34D38"/>
    <w:rsid w:val="00A369E3"/>
    <w:rsid w:val="00A36D82"/>
    <w:rsid w:val="00A40B49"/>
    <w:rsid w:val="00A4180A"/>
    <w:rsid w:val="00A45C85"/>
    <w:rsid w:val="00A467CF"/>
    <w:rsid w:val="00A474F8"/>
    <w:rsid w:val="00A4762F"/>
    <w:rsid w:val="00A5133B"/>
    <w:rsid w:val="00A52E80"/>
    <w:rsid w:val="00A539C0"/>
    <w:rsid w:val="00A57600"/>
    <w:rsid w:val="00A60337"/>
    <w:rsid w:val="00A6048E"/>
    <w:rsid w:val="00A6090C"/>
    <w:rsid w:val="00A62CD9"/>
    <w:rsid w:val="00A64912"/>
    <w:rsid w:val="00A65118"/>
    <w:rsid w:val="00A65A70"/>
    <w:rsid w:val="00A70A74"/>
    <w:rsid w:val="00A75249"/>
    <w:rsid w:val="00A75FE9"/>
    <w:rsid w:val="00A820C3"/>
    <w:rsid w:val="00A83B34"/>
    <w:rsid w:val="00A83F39"/>
    <w:rsid w:val="00A856D8"/>
    <w:rsid w:val="00A85D04"/>
    <w:rsid w:val="00A87289"/>
    <w:rsid w:val="00A878D6"/>
    <w:rsid w:val="00A90AF6"/>
    <w:rsid w:val="00A93C22"/>
    <w:rsid w:val="00A943BC"/>
    <w:rsid w:val="00A95C4D"/>
    <w:rsid w:val="00A971C0"/>
    <w:rsid w:val="00A9734B"/>
    <w:rsid w:val="00AA060E"/>
    <w:rsid w:val="00AA3492"/>
    <w:rsid w:val="00AA4E11"/>
    <w:rsid w:val="00AA55A8"/>
    <w:rsid w:val="00AA572A"/>
    <w:rsid w:val="00AA7343"/>
    <w:rsid w:val="00AA7ABD"/>
    <w:rsid w:val="00AB0BE3"/>
    <w:rsid w:val="00AB0E70"/>
    <w:rsid w:val="00AB3A1E"/>
    <w:rsid w:val="00AB41E3"/>
    <w:rsid w:val="00AB4B2B"/>
    <w:rsid w:val="00AB5319"/>
    <w:rsid w:val="00AC6607"/>
    <w:rsid w:val="00AD112A"/>
    <w:rsid w:val="00AD53CC"/>
    <w:rsid w:val="00AD5641"/>
    <w:rsid w:val="00AD60B7"/>
    <w:rsid w:val="00AD746F"/>
    <w:rsid w:val="00AD79FD"/>
    <w:rsid w:val="00AE5A20"/>
    <w:rsid w:val="00AF06CF"/>
    <w:rsid w:val="00AF31C5"/>
    <w:rsid w:val="00AF4358"/>
    <w:rsid w:val="00AF5C83"/>
    <w:rsid w:val="00AF6DD8"/>
    <w:rsid w:val="00AF7CEB"/>
    <w:rsid w:val="00B02FEA"/>
    <w:rsid w:val="00B0320A"/>
    <w:rsid w:val="00B0536A"/>
    <w:rsid w:val="00B056F4"/>
    <w:rsid w:val="00B05AC9"/>
    <w:rsid w:val="00B0721D"/>
    <w:rsid w:val="00B079FC"/>
    <w:rsid w:val="00B07CDB"/>
    <w:rsid w:val="00B1009C"/>
    <w:rsid w:val="00B12E43"/>
    <w:rsid w:val="00B14A09"/>
    <w:rsid w:val="00B154A2"/>
    <w:rsid w:val="00B15642"/>
    <w:rsid w:val="00B15F49"/>
    <w:rsid w:val="00B16A31"/>
    <w:rsid w:val="00B17DFD"/>
    <w:rsid w:val="00B20782"/>
    <w:rsid w:val="00B21E30"/>
    <w:rsid w:val="00B224A4"/>
    <w:rsid w:val="00B22524"/>
    <w:rsid w:val="00B22C9D"/>
    <w:rsid w:val="00B22E8C"/>
    <w:rsid w:val="00B241E1"/>
    <w:rsid w:val="00B24652"/>
    <w:rsid w:val="00B24CDF"/>
    <w:rsid w:val="00B25306"/>
    <w:rsid w:val="00B272BE"/>
    <w:rsid w:val="00B27831"/>
    <w:rsid w:val="00B308FE"/>
    <w:rsid w:val="00B330D8"/>
    <w:rsid w:val="00B33709"/>
    <w:rsid w:val="00B3375C"/>
    <w:rsid w:val="00B33B3C"/>
    <w:rsid w:val="00B33D80"/>
    <w:rsid w:val="00B34C43"/>
    <w:rsid w:val="00B36392"/>
    <w:rsid w:val="00B36805"/>
    <w:rsid w:val="00B36B5F"/>
    <w:rsid w:val="00B41216"/>
    <w:rsid w:val="00B418CB"/>
    <w:rsid w:val="00B41D4F"/>
    <w:rsid w:val="00B429D4"/>
    <w:rsid w:val="00B4441C"/>
    <w:rsid w:val="00B462A7"/>
    <w:rsid w:val="00B4636C"/>
    <w:rsid w:val="00B47444"/>
    <w:rsid w:val="00B50ADC"/>
    <w:rsid w:val="00B50AF7"/>
    <w:rsid w:val="00B527D1"/>
    <w:rsid w:val="00B55619"/>
    <w:rsid w:val="00B565E0"/>
    <w:rsid w:val="00B566B1"/>
    <w:rsid w:val="00B57648"/>
    <w:rsid w:val="00B606FE"/>
    <w:rsid w:val="00B60F87"/>
    <w:rsid w:val="00B61C3B"/>
    <w:rsid w:val="00B6308C"/>
    <w:rsid w:val="00B63834"/>
    <w:rsid w:val="00B63B46"/>
    <w:rsid w:val="00B64AC1"/>
    <w:rsid w:val="00B677E4"/>
    <w:rsid w:val="00B72C80"/>
    <w:rsid w:val="00B74A52"/>
    <w:rsid w:val="00B77976"/>
    <w:rsid w:val="00B77A75"/>
    <w:rsid w:val="00B80199"/>
    <w:rsid w:val="00B80973"/>
    <w:rsid w:val="00B83204"/>
    <w:rsid w:val="00B84659"/>
    <w:rsid w:val="00B856E7"/>
    <w:rsid w:val="00B90029"/>
    <w:rsid w:val="00B94A93"/>
    <w:rsid w:val="00B94E93"/>
    <w:rsid w:val="00B95DB9"/>
    <w:rsid w:val="00B97877"/>
    <w:rsid w:val="00B97AEE"/>
    <w:rsid w:val="00BA03FD"/>
    <w:rsid w:val="00BA1092"/>
    <w:rsid w:val="00BA20DC"/>
    <w:rsid w:val="00BA220B"/>
    <w:rsid w:val="00BA36D6"/>
    <w:rsid w:val="00BA3A57"/>
    <w:rsid w:val="00BA448E"/>
    <w:rsid w:val="00BA70FE"/>
    <w:rsid w:val="00BB0986"/>
    <w:rsid w:val="00BB0BA0"/>
    <w:rsid w:val="00BB0D38"/>
    <w:rsid w:val="00BB13A5"/>
    <w:rsid w:val="00BB1533"/>
    <w:rsid w:val="00BB4E1A"/>
    <w:rsid w:val="00BB5C9A"/>
    <w:rsid w:val="00BB69BF"/>
    <w:rsid w:val="00BB70C3"/>
    <w:rsid w:val="00BB7510"/>
    <w:rsid w:val="00BC015E"/>
    <w:rsid w:val="00BC1BCE"/>
    <w:rsid w:val="00BC76AC"/>
    <w:rsid w:val="00BD0929"/>
    <w:rsid w:val="00BD0ECB"/>
    <w:rsid w:val="00BD28DE"/>
    <w:rsid w:val="00BD2F5C"/>
    <w:rsid w:val="00BD45A0"/>
    <w:rsid w:val="00BD71E8"/>
    <w:rsid w:val="00BD7358"/>
    <w:rsid w:val="00BE0C4F"/>
    <w:rsid w:val="00BE2155"/>
    <w:rsid w:val="00BE4F5F"/>
    <w:rsid w:val="00BE650B"/>
    <w:rsid w:val="00BE6862"/>
    <w:rsid w:val="00BE68D5"/>
    <w:rsid w:val="00BE719A"/>
    <w:rsid w:val="00BE720A"/>
    <w:rsid w:val="00BE74DA"/>
    <w:rsid w:val="00BE7C79"/>
    <w:rsid w:val="00BF0D73"/>
    <w:rsid w:val="00BF145E"/>
    <w:rsid w:val="00BF2465"/>
    <w:rsid w:val="00BF465E"/>
    <w:rsid w:val="00C00530"/>
    <w:rsid w:val="00C01693"/>
    <w:rsid w:val="00C01CD7"/>
    <w:rsid w:val="00C0220C"/>
    <w:rsid w:val="00C02A49"/>
    <w:rsid w:val="00C02B68"/>
    <w:rsid w:val="00C06930"/>
    <w:rsid w:val="00C133C5"/>
    <w:rsid w:val="00C15A15"/>
    <w:rsid w:val="00C16619"/>
    <w:rsid w:val="00C169DC"/>
    <w:rsid w:val="00C17AF5"/>
    <w:rsid w:val="00C206AC"/>
    <w:rsid w:val="00C2071F"/>
    <w:rsid w:val="00C21E07"/>
    <w:rsid w:val="00C22CA6"/>
    <w:rsid w:val="00C2452F"/>
    <w:rsid w:val="00C25E7F"/>
    <w:rsid w:val="00C2746F"/>
    <w:rsid w:val="00C27795"/>
    <w:rsid w:val="00C30944"/>
    <w:rsid w:val="00C30AD0"/>
    <w:rsid w:val="00C312FB"/>
    <w:rsid w:val="00C323D6"/>
    <w:rsid w:val="00C324A0"/>
    <w:rsid w:val="00C33889"/>
    <w:rsid w:val="00C417C7"/>
    <w:rsid w:val="00C42A7B"/>
    <w:rsid w:val="00C42BF8"/>
    <w:rsid w:val="00C44BD0"/>
    <w:rsid w:val="00C459F1"/>
    <w:rsid w:val="00C45B17"/>
    <w:rsid w:val="00C50043"/>
    <w:rsid w:val="00C50E7D"/>
    <w:rsid w:val="00C53DB0"/>
    <w:rsid w:val="00C541E3"/>
    <w:rsid w:val="00C55625"/>
    <w:rsid w:val="00C60BFA"/>
    <w:rsid w:val="00C61164"/>
    <w:rsid w:val="00C62D06"/>
    <w:rsid w:val="00C63F4D"/>
    <w:rsid w:val="00C70175"/>
    <w:rsid w:val="00C7434C"/>
    <w:rsid w:val="00C7573B"/>
    <w:rsid w:val="00C7593F"/>
    <w:rsid w:val="00C75E6B"/>
    <w:rsid w:val="00C86142"/>
    <w:rsid w:val="00C86BE8"/>
    <w:rsid w:val="00C87736"/>
    <w:rsid w:val="00C942B6"/>
    <w:rsid w:val="00C95F65"/>
    <w:rsid w:val="00C96CE3"/>
    <w:rsid w:val="00C96DAF"/>
    <w:rsid w:val="00C97A54"/>
    <w:rsid w:val="00CA0F17"/>
    <w:rsid w:val="00CA5B23"/>
    <w:rsid w:val="00CA6203"/>
    <w:rsid w:val="00CA639D"/>
    <w:rsid w:val="00CB602E"/>
    <w:rsid w:val="00CB6723"/>
    <w:rsid w:val="00CB7E90"/>
    <w:rsid w:val="00CC262F"/>
    <w:rsid w:val="00CC39B0"/>
    <w:rsid w:val="00CC52FC"/>
    <w:rsid w:val="00CC608B"/>
    <w:rsid w:val="00CC727D"/>
    <w:rsid w:val="00CC7306"/>
    <w:rsid w:val="00CC7963"/>
    <w:rsid w:val="00CC7DF0"/>
    <w:rsid w:val="00CD0B38"/>
    <w:rsid w:val="00CD4A90"/>
    <w:rsid w:val="00CD696D"/>
    <w:rsid w:val="00CE051D"/>
    <w:rsid w:val="00CE10A0"/>
    <w:rsid w:val="00CE1335"/>
    <w:rsid w:val="00CE1556"/>
    <w:rsid w:val="00CE2065"/>
    <w:rsid w:val="00CE493D"/>
    <w:rsid w:val="00CE5368"/>
    <w:rsid w:val="00CE6CAB"/>
    <w:rsid w:val="00CE74D3"/>
    <w:rsid w:val="00CE7816"/>
    <w:rsid w:val="00CF060D"/>
    <w:rsid w:val="00CF07FA"/>
    <w:rsid w:val="00CF0BB2"/>
    <w:rsid w:val="00CF1092"/>
    <w:rsid w:val="00CF3EE8"/>
    <w:rsid w:val="00D000B9"/>
    <w:rsid w:val="00D0076A"/>
    <w:rsid w:val="00D027A1"/>
    <w:rsid w:val="00D030D4"/>
    <w:rsid w:val="00D05176"/>
    <w:rsid w:val="00D10314"/>
    <w:rsid w:val="00D11B88"/>
    <w:rsid w:val="00D12C12"/>
    <w:rsid w:val="00D13441"/>
    <w:rsid w:val="00D14734"/>
    <w:rsid w:val="00D150E7"/>
    <w:rsid w:val="00D15FEA"/>
    <w:rsid w:val="00D1661D"/>
    <w:rsid w:val="00D20794"/>
    <w:rsid w:val="00D22CEB"/>
    <w:rsid w:val="00D231C6"/>
    <w:rsid w:val="00D23E56"/>
    <w:rsid w:val="00D247FD"/>
    <w:rsid w:val="00D24A1D"/>
    <w:rsid w:val="00D24D52"/>
    <w:rsid w:val="00D30A66"/>
    <w:rsid w:val="00D311BB"/>
    <w:rsid w:val="00D3143F"/>
    <w:rsid w:val="00D3429E"/>
    <w:rsid w:val="00D352DA"/>
    <w:rsid w:val="00D36A37"/>
    <w:rsid w:val="00D36B19"/>
    <w:rsid w:val="00D37B6F"/>
    <w:rsid w:val="00D37DA0"/>
    <w:rsid w:val="00D45EB4"/>
    <w:rsid w:val="00D46C90"/>
    <w:rsid w:val="00D509C7"/>
    <w:rsid w:val="00D51918"/>
    <w:rsid w:val="00D52DC2"/>
    <w:rsid w:val="00D53BCC"/>
    <w:rsid w:val="00D54811"/>
    <w:rsid w:val="00D54C9E"/>
    <w:rsid w:val="00D570D2"/>
    <w:rsid w:val="00D601BD"/>
    <w:rsid w:val="00D60DE7"/>
    <w:rsid w:val="00D652E6"/>
    <w:rsid w:val="00D6537E"/>
    <w:rsid w:val="00D65B41"/>
    <w:rsid w:val="00D65EF5"/>
    <w:rsid w:val="00D67BE7"/>
    <w:rsid w:val="00D70DFB"/>
    <w:rsid w:val="00D73899"/>
    <w:rsid w:val="00D739F8"/>
    <w:rsid w:val="00D74978"/>
    <w:rsid w:val="00D75AB9"/>
    <w:rsid w:val="00D766DF"/>
    <w:rsid w:val="00D77A76"/>
    <w:rsid w:val="00D800AE"/>
    <w:rsid w:val="00D8206C"/>
    <w:rsid w:val="00D839AE"/>
    <w:rsid w:val="00D90038"/>
    <w:rsid w:val="00D91741"/>
    <w:rsid w:val="00D91F10"/>
    <w:rsid w:val="00D94F49"/>
    <w:rsid w:val="00D9732A"/>
    <w:rsid w:val="00D97C49"/>
    <w:rsid w:val="00DA0D22"/>
    <w:rsid w:val="00DA1849"/>
    <w:rsid w:val="00DA186E"/>
    <w:rsid w:val="00DA1F96"/>
    <w:rsid w:val="00DA4116"/>
    <w:rsid w:val="00DA5BBB"/>
    <w:rsid w:val="00DA5FC8"/>
    <w:rsid w:val="00DB251C"/>
    <w:rsid w:val="00DB372B"/>
    <w:rsid w:val="00DB4630"/>
    <w:rsid w:val="00DB5490"/>
    <w:rsid w:val="00DB57C4"/>
    <w:rsid w:val="00DB69BD"/>
    <w:rsid w:val="00DC0497"/>
    <w:rsid w:val="00DC4F88"/>
    <w:rsid w:val="00DC6B0C"/>
    <w:rsid w:val="00DC7428"/>
    <w:rsid w:val="00DD0DFA"/>
    <w:rsid w:val="00DD1EBA"/>
    <w:rsid w:val="00DD2CA5"/>
    <w:rsid w:val="00DE032B"/>
    <w:rsid w:val="00DE0B1A"/>
    <w:rsid w:val="00DE107C"/>
    <w:rsid w:val="00DE1237"/>
    <w:rsid w:val="00DE2226"/>
    <w:rsid w:val="00DE5344"/>
    <w:rsid w:val="00DE5BAA"/>
    <w:rsid w:val="00DE5D42"/>
    <w:rsid w:val="00DE5FCA"/>
    <w:rsid w:val="00DE6B7B"/>
    <w:rsid w:val="00DE76B7"/>
    <w:rsid w:val="00DE7791"/>
    <w:rsid w:val="00DE7B43"/>
    <w:rsid w:val="00DF2388"/>
    <w:rsid w:val="00DF2CDA"/>
    <w:rsid w:val="00DF3EF6"/>
    <w:rsid w:val="00DF47BA"/>
    <w:rsid w:val="00DF6421"/>
    <w:rsid w:val="00E01096"/>
    <w:rsid w:val="00E02001"/>
    <w:rsid w:val="00E03C1A"/>
    <w:rsid w:val="00E05704"/>
    <w:rsid w:val="00E05F0D"/>
    <w:rsid w:val="00E06B00"/>
    <w:rsid w:val="00E07C50"/>
    <w:rsid w:val="00E2011A"/>
    <w:rsid w:val="00E21877"/>
    <w:rsid w:val="00E237E7"/>
    <w:rsid w:val="00E241D9"/>
    <w:rsid w:val="00E24AEB"/>
    <w:rsid w:val="00E268AD"/>
    <w:rsid w:val="00E2718E"/>
    <w:rsid w:val="00E338EF"/>
    <w:rsid w:val="00E35AC1"/>
    <w:rsid w:val="00E35E6F"/>
    <w:rsid w:val="00E36FE5"/>
    <w:rsid w:val="00E40099"/>
    <w:rsid w:val="00E40ED2"/>
    <w:rsid w:val="00E418A3"/>
    <w:rsid w:val="00E419FC"/>
    <w:rsid w:val="00E42F9D"/>
    <w:rsid w:val="00E44468"/>
    <w:rsid w:val="00E444FF"/>
    <w:rsid w:val="00E44D63"/>
    <w:rsid w:val="00E46819"/>
    <w:rsid w:val="00E46E25"/>
    <w:rsid w:val="00E544BB"/>
    <w:rsid w:val="00E5513F"/>
    <w:rsid w:val="00E55854"/>
    <w:rsid w:val="00E55B01"/>
    <w:rsid w:val="00E60473"/>
    <w:rsid w:val="00E60A37"/>
    <w:rsid w:val="00E6229D"/>
    <w:rsid w:val="00E6307E"/>
    <w:rsid w:val="00E63846"/>
    <w:rsid w:val="00E70485"/>
    <w:rsid w:val="00E70BD9"/>
    <w:rsid w:val="00E71084"/>
    <w:rsid w:val="00E72A7A"/>
    <w:rsid w:val="00E74DC7"/>
    <w:rsid w:val="00E7538A"/>
    <w:rsid w:val="00E7643E"/>
    <w:rsid w:val="00E76E5A"/>
    <w:rsid w:val="00E777E1"/>
    <w:rsid w:val="00E8075A"/>
    <w:rsid w:val="00E816C3"/>
    <w:rsid w:val="00E82BB6"/>
    <w:rsid w:val="00E86F5D"/>
    <w:rsid w:val="00E87687"/>
    <w:rsid w:val="00E90281"/>
    <w:rsid w:val="00E90F1B"/>
    <w:rsid w:val="00E940D8"/>
    <w:rsid w:val="00E94D5E"/>
    <w:rsid w:val="00E95126"/>
    <w:rsid w:val="00E974C8"/>
    <w:rsid w:val="00EA12CE"/>
    <w:rsid w:val="00EA1932"/>
    <w:rsid w:val="00EA4473"/>
    <w:rsid w:val="00EA51E0"/>
    <w:rsid w:val="00EA5311"/>
    <w:rsid w:val="00EA7100"/>
    <w:rsid w:val="00EA76A8"/>
    <w:rsid w:val="00EA7F9F"/>
    <w:rsid w:val="00EB1274"/>
    <w:rsid w:val="00EB7238"/>
    <w:rsid w:val="00EC0B0C"/>
    <w:rsid w:val="00EC6880"/>
    <w:rsid w:val="00ED049D"/>
    <w:rsid w:val="00ED277D"/>
    <w:rsid w:val="00ED2982"/>
    <w:rsid w:val="00ED2BB6"/>
    <w:rsid w:val="00ED34E1"/>
    <w:rsid w:val="00ED39EC"/>
    <w:rsid w:val="00ED3B8D"/>
    <w:rsid w:val="00ED5655"/>
    <w:rsid w:val="00ED68AB"/>
    <w:rsid w:val="00ED7162"/>
    <w:rsid w:val="00EE0281"/>
    <w:rsid w:val="00EE143C"/>
    <w:rsid w:val="00EE28FA"/>
    <w:rsid w:val="00EE5E36"/>
    <w:rsid w:val="00EE6153"/>
    <w:rsid w:val="00EF15E2"/>
    <w:rsid w:val="00EF2E3A"/>
    <w:rsid w:val="00EF2EC1"/>
    <w:rsid w:val="00EF2F3E"/>
    <w:rsid w:val="00EF33F9"/>
    <w:rsid w:val="00F000ED"/>
    <w:rsid w:val="00F006AE"/>
    <w:rsid w:val="00F009B0"/>
    <w:rsid w:val="00F00A87"/>
    <w:rsid w:val="00F02C7C"/>
    <w:rsid w:val="00F0339B"/>
    <w:rsid w:val="00F03672"/>
    <w:rsid w:val="00F041E5"/>
    <w:rsid w:val="00F072A7"/>
    <w:rsid w:val="00F07740"/>
    <w:rsid w:val="00F078DC"/>
    <w:rsid w:val="00F10133"/>
    <w:rsid w:val="00F10AAB"/>
    <w:rsid w:val="00F10B69"/>
    <w:rsid w:val="00F1190D"/>
    <w:rsid w:val="00F1748E"/>
    <w:rsid w:val="00F17A62"/>
    <w:rsid w:val="00F17DDD"/>
    <w:rsid w:val="00F2022E"/>
    <w:rsid w:val="00F2069C"/>
    <w:rsid w:val="00F21776"/>
    <w:rsid w:val="00F225F4"/>
    <w:rsid w:val="00F2261A"/>
    <w:rsid w:val="00F23A28"/>
    <w:rsid w:val="00F25732"/>
    <w:rsid w:val="00F27AD9"/>
    <w:rsid w:val="00F3049E"/>
    <w:rsid w:val="00F30C8E"/>
    <w:rsid w:val="00F32A55"/>
    <w:rsid w:val="00F32BA8"/>
    <w:rsid w:val="00F32D0F"/>
    <w:rsid w:val="00F32EE0"/>
    <w:rsid w:val="00F33968"/>
    <w:rsid w:val="00F349F1"/>
    <w:rsid w:val="00F374FE"/>
    <w:rsid w:val="00F4350D"/>
    <w:rsid w:val="00F479C4"/>
    <w:rsid w:val="00F52431"/>
    <w:rsid w:val="00F53737"/>
    <w:rsid w:val="00F5570D"/>
    <w:rsid w:val="00F55DF4"/>
    <w:rsid w:val="00F56122"/>
    <w:rsid w:val="00F56425"/>
    <w:rsid w:val="00F567F7"/>
    <w:rsid w:val="00F56DF9"/>
    <w:rsid w:val="00F6030D"/>
    <w:rsid w:val="00F63342"/>
    <w:rsid w:val="00F64C8A"/>
    <w:rsid w:val="00F6536B"/>
    <w:rsid w:val="00F655AB"/>
    <w:rsid w:val="00F663B4"/>
    <w:rsid w:val="00F66709"/>
    <w:rsid w:val="00F6696E"/>
    <w:rsid w:val="00F736F5"/>
    <w:rsid w:val="00F73BD6"/>
    <w:rsid w:val="00F75CB3"/>
    <w:rsid w:val="00F82548"/>
    <w:rsid w:val="00F83989"/>
    <w:rsid w:val="00F85099"/>
    <w:rsid w:val="00F85200"/>
    <w:rsid w:val="00F8629F"/>
    <w:rsid w:val="00F90DDA"/>
    <w:rsid w:val="00F91AED"/>
    <w:rsid w:val="00F925A3"/>
    <w:rsid w:val="00F9281B"/>
    <w:rsid w:val="00F9379C"/>
    <w:rsid w:val="00F9590D"/>
    <w:rsid w:val="00F95ABE"/>
    <w:rsid w:val="00F9632C"/>
    <w:rsid w:val="00F9758B"/>
    <w:rsid w:val="00FA1E52"/>
    <w:rsid w:val="00FA2FE3"/>
    <w:rsid w:val="00FA4266"/>
    <w:rsid w:val="00FA5FF5"/>
    <w:rsid w:val="00FB0B4F"/>
    <w:rsid w:val="00FB0BD7"/>
    <w:rsid w:val="00FB12EA"/>
    <w:rsid w:val="00FB1539"/>
    <w:rsid w:val="00FB1A7A"/>
    <w:rsid w:val="00FB1C62"/>
    <w:rsid w:val="00FB2496"/>
    <w:rsid w:val="00FB5A08"/>
    <w:rsid w:val="00FB5C49"/>
    <w:rsid w:val="00FB6269"/>
    <w:rsid w:val="00FC00EA"/>
    <w:rsid w:val="00FC3148"/>
    <w:rsid w:val="00FC4C63"/>
    <w:rsid w:val="00FC5E1F"/>
    <w:rsid w:val="00FC6A80"/>
    <w:rsid w:val="00FC7CF5"/>
    <w:rsid w:val="00FC7FF7"/>
    <w:rsid w:val="00FD10B6"/>
    <w:rsid w:val="00FD1634"/>
    <w:rsid w:val="00FD2661"/>
    <w:rsid w:val="00FD2BE8"/>
    <w:rsid w:val="00FD2C26"/>
    <w:rsid w:val="00FD4B88"/>
    <w:rsid w:val="00FD6F69"/>
    <w:rsid w:val="00FE0EBF"/>
    <w:rsid w:val="00FE1151"/>
    <w:rsid w:val="00FE1480"/>
    <w:rsid w:val="00FE1CC6"/>
    <w:rsid w:val="00FE4688"/>
    <w:rsid w:val="00FE5AAF"/>
    <w:rsid w:val="00FF1560"/>
    <w:rsid w:val="00FF5515"/>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4DA2A"/>
  <w15:docId w15:val="{58939B0F-5AD9-427A-BEE3-BF35E81C1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unhideWhenUsed/>
    <w:rsid w:val="00126253"/>
    <w:rPr>
      <w:color w:val="0000FF" w:themeColor="hyperlink"/>
      <w:u w:val="single"/>
    </w:rPr>
  </w:style>
  <w:style w:type="paragraph" w:customStyle="1" w:styleId="paragrah">
    <w:name w:val="paragrah"/>
    <w:basedOn w:val="subsection"/>
    <w:rsid w:val="00126253"/>
    <w:pPr>
      <w:numPr>
        <w:numId w:val="15"/>
      </w:numPr>
    </w:pPr>
  </w:style>
  <w:style w:type="paragraph" w:styleId="ListParagraph">
    <w:name w:val="List Paragraph"/>
    <w:aliases w:val="1 heading,Bullet List,Bullet point,Dot point 1.5 line spacing,FooterText,L,List Paragraph - bullets,List Paragraph1,List Paragraph11,List Paragraph2,NFP GP Bulleted List,Paragraphe de liste1,Recommendation,bullet point list,numbered,列出段落"/>
    <w:basedOn w:val="Normal"/>
    <w:link w:val="ListParagraphChar"/>
    <w:uiPriority w:val="34"/>
    <w:qFormat/>
    <w:rsid w:val="00FC7FF7"/>
    <w:pPr>
      <w:spacing w:after="160" w:line="259" w:lineRule="auto"/>
      <w:ind w:left="720"/>
      <w:contextualSpacing/>
    </w:pPr>
    <w:rPr>
      <w:rFonts w:asciiTheme="minorHAnsi" w:hAnsiTheme="minorHAnsi"/>
      <w:szCs w:val="22"/>
    </w:rPr>
  </w:style>
  <w:style w:type="character" w:styleId="CommentReference">
    <w:name w:val="annotation reference"/>
    <w:basedOn w:val="DefaultParagraphFont"/>
    <w:uiPriority w:val="99"/>
    <w:semiHidden/>
    <w:unhideWhenUsed/>
    <w:rsid w:val="00FC7FF7"/>
    <w:rPr>
      <w:sz w:val="16"/>
      <w:szCs w:val="16"/>
    </w:rPr>
  </w:style>
  <w:style w:type="paragraph" w:styleId="CommentText">
    <w:name w:val="annotation text"/>
    <w:basedOn w:val="Normal"/>
    <w:link w:val="CommentTextChar"/>
    <w:uiPriority w:val="99"/>
    <w:unhideWhenUsed/>
    <w:rsid w:val="00FC7FF7"/>
    <w:pPr>
      <w:spacing w:after="160" w:line="240" w:lineRule="auto"/>
    </w:pPr>
    <w:rPr>
      <w:rFonts w:asciiTheme="minorHAnsi" w:hAnsiTheme="minorHAnsi"/>
      <w:sz w:val="20"/>
    </w:rPr>
  </w:style>
  <w:style w:type="character" w:customStyle="1" w:styleId="CommentTextChar">
    <w:name w:val="Comment Text Char"/>
    <w:basedOn w:val="DefaultParagraphFont"/>
    <w:link w:val="CommentText"/>
    <w:uiPriority w:val="99"/>
    <w:rsid w:val="00FC7FF7"/>
    <w:rPr>
      <w:rFonts w:asciiTheme="minorHAnsi" w:hAnsiTheme="minorHAnsi"/>
    </w:rPr>
  </w:style>
  <w:style w:type="character" w:customStyle="1" w:styleId="ListParagraphChar">
    <w:name w:val="List Paragraph Char"/>
    <w:aliases w:val="1 heading Char,Bullet List Char,Bullet point Char,Dot point 1.5 line spacing Char,FooterText Char,L Char,List Paragraph - bullets Char,List Paragraph1 Char,List Paragraph11 Char,List Paragraph2 Char,NFP GP Bulleted List Char"/>
    <w:basedOn w:val="DefaultParagraphFont"/>
    <w:link w:val="ListParagraph"/>
    <w:uiPriority w:val="34"/>
    <w:qFormat/>
    <w:locked/>
    <w:rsid w:val="00FC7FF7"/>
    <w:rPr>
      <w:rFonts w:asciiTheme="minorHAnsi" w:hAnsiTheme="minorHAnsi"/>
      <w:sz w:val="22"/>
      <w:szCs w:val="22"/>
    </w:rPr>
  </w:style>
  <w:style w:type="paragraph" w:customStyle="1" w:styleId="Note">
    <w:name w:val="Note"/>
    <w:basedOn w:val="subsection"/>
    <w:rsid w:val="00127807"/>
  </w:style>
  <w:style w:type="paragraph" w:styleId="CommentSubject">
    <w:name w:val="annotation subject"/>
    <w:basedOn w:val="CommentText"/>
    <w:next w:val="CommentText"/>
    <w:link w:val="CommentSubjectChar"/>
    <w:uiPriority w:val="99"/>
    <w:semiHidden/>
    <w:unhideWhenUsed/>
    <w:rsid w:val="00AB41E3"/>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AB41E3"/>
    <w:rPr>
      <w:rFonts w:asciiTheme="minorHAnsi" w:hAnsiTheme="minorHAnsi"/>
      <w:b/>
      <w:bCs/>
    </w:rPr>
  </w:style>
  <w:style w:type="paragraph" w:styleId="Revision">
    <w:name w:val="Revision"/>
    <w:hidden/>
    <w:uiPriority w:val="99"/>
    <w:semiHidden/>
    <w:rsid w:val="00AB41E3"/>
    <w:rPr>
      <w:sz w:val="22"/>
    </w:rPr>
  </w:style>
  <w:style w:type="paragraph" w:styleId="Salutation">
    <w:name w:val="Salutation"/>
    <w:basedOn w:val="Normal"/>
    <w:next w:val="Normal"/>
    <w:link w:val="SalutationChar"/>
    <w:uiPriority w:val="99"/>
    <w:unhideWhenUsed/>
    <w:rsid w:val="00FB6269"/>
  </w:style>
  <w:style w:type="character" w:customStyle="1" w:styleId="SalutationChar">
    <w:name w:val="Salutation Char"/>
    <w:basedOn w:val="DefaultParagraphFont"/>
    <w:link w:val="Salutation"/>
    <w:uiPriority w:val="99"/>
    <w:rsid w:val="00FB6269"/>
    <w:rPr>
      <w:sz w:val="22"/>
    </w:rPr>
  </w:style>
  <w:style w:type="character" w:customStyle="1" w:styleId="ui-provider">
    <w:name w:val="ui-provider"/>
    <w:basedOn w:val="DefaultParagraphFont"/>
    <w:rsid w:val="00621C63"/>
  </w:style>
  <w:style w:type="paragraph" w:customStyle="1" w:styleId="notetext0">
    <w:name w:val="notetext"/>
    <w:basedOn w:val="Normal"/>
    <w:rsid w:val="00E60A37"/>
    <w:pPr>
      <w:spacing w:before="100" w:beforeAutospacing="1" w:after="100" w:afterAutospacing="1" w:line="240" w:lineRule="auto"/>
    </w:pPr>
    <w:rPr>
      <w:rFonts w:eastAsia="Times New Roman" w:cs="Times New Roman"/>
      <w:sz w:val="24"/>
      <w:szCs w:val="24"/>
      <w:lang w:eastAsia="en-AU"/>
    </w:rPr>
  </w:style>
  <w:style w:type="paragraph" w:customStyle="1" w:styleId="notepara0">
    <w:name w:val="notepara"/>
    <w:basedOn w:val="Normal"/>
    <w:rsid w:val="00E60A37"/>
    <w:pPr>
      <w:spacing w:before="100" w:beforeAutospacing="1" w:after="100" w:afterAutospacing="1" w:line="240" w:lineRule="auto"/>
    </w:pPr>
    <w:rPr>
      <w:rFonts w:eastAsia="Times New Roman" w:cs="Times New Roman"/>
      <w:sz w:val="24"/>
      <w:szCs w:val="24"/>
      <w:lang w:eastAsia="en-AU"/>
    </w:rPr>
  </w:style>
  <w:style w:type="paragraph" w:customStyle="1" w:styleId="Default">
    <w:name w:val="Default"/>
    <w:rsid w:val="0074708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4969">
      <w:bodyDiv w:val="1"/>
      <w:marLeft w:val="0"/>
      <w:marRight w:val="0"/>
      <w:marTop w:val="0"/>
      <w:marBottom w:val="0"/>
      <w:divBdr>
        <w:top w:val="none" w:sz="0" w:space="0" w:color="auto"/>
        <w:left w:val="none" w:sz="0" w:space="0" w:color="auto"/>
        <w:bottom w:val="none" w:sz="0" w:space="0" w:color="auto"/>
        <w:right w:val="none" w:sz="0" w:space="0" w:color="auto"/>
      </w:divBdr>
    </w:div>
    <w:div w:id="73741324">
      <w:bodyDiv w:val="1"/>
      <w:marLeft w:val="0"/>
      <w:marRight w:val="0"/>
      <w:marTop w:val="0"/>
      <w:marBottom w:val="0"/>
      <w:divBdr>
        <w:top w:val="none" w:sz="0" w:space="0" w:color="auto"/>
        <w:left w:val="none" w:sz="0" w:space="0" w:color="auto"/>
        <w:bottom w:val="none" w:sz="0" w:space="0" w:color="auto"/>
        <w:right w:val="none" w:sz="0" w:space="0" w:color="auto"/>
      </w:divBdr>
    </w:div>
    <w:div w:id="180432230">
      <w:bodyDiv w:val="1"/>
      <w:marLeft w:val="0"/>
      <w:marRight w:val="0"/>
      <w:marTop w:val="0"/>
      <w:marBottom w:val="0"/>
      <w:divBdr>
        <w:top w:val="none" w:sz="0" w:space="0" w:color="auto"/>
        <w:left w:val="none" w:sz="0" w:space="0" w:color="auto"/>
        <w:bottom w:val="none" w:sz="0" w:space="0" w:color="auto"/>
        <w:right w:val="none" w:sz="0" w:space="0" w:color="auto"/>
      </w:divBdr>
    </w:div>
    <w:div w:id="398018531">
      <w:bodyDiv w:val="1"/>
      <w:marLeft w:val="0"/>
      <w:marRight w:val="0"/>
      <w:marTop w:val="0"/>
      <w:marBottom w:val="0"/>
      <w:divBdr>
        <w:top w:val="none" w:sz="0" w:space="0" w:color="auto"/>
        <w:left w:val="none" w:sz="0" w:space="0" w:color="auto"/>
        <w:bottom w:val="none" w:sz="0" w:space="0" w:color="auto"/>
        <w:right w:val="none" w:sz="0" w:space="0" w:color="auto"/>
      </w:divBdr>
    </w:div>
    <w:div w:id="814220628">
      <w:bodyDiv w:val="1"/>
      <w:marLeft w:val="0"/>
      <w:marRight w:val="0"/>
      <w:marTop w:val="0"/>
      <w:marBottom w:val="0"/>
      <w:divBdr>
        <w:top w:val="none" w:sz="0" w:space="0" w:color="auto"/>
        <w:left w:val="none" w:sz="0" w:space="0" w:color="auto"/>
        <w:bottom w:val="none" w:sz="0" w:space="0" w:color="auto"/>
        <w:right w:val="none" w:sz="0" w:space="0" w:color="auto"/>
      </w:divBdr>
    </w:div>
    <w:div w:id="1169249214">
      <w:bodyDiv w:val="1"/>
      <w:marLeft w:val="0"/>
      <w:marRight w:val="0"/>
      <w:marTop w:val="0"/>
      <w:marBottom w:val="0"/>
      <w:divBdr>
        <w:top w:val="none" w:sz="0" w:space="0" w:color="auto"/>
        <w:left w:val="none" w:sz="0" w:space="0" w:color="auto"/>
        <w:bottom w:val="none" w:sz="0" w:space="0" w:color="auto"/>
        <w:right w:val="none" w:sz="0" w:space="0" w:color="auto"/>
      </w:divBdr>
    </w:div>
    <w:div w:id="1209760140">
      <w:bodyDiv w:val="1"/>
      <w:marLeft w:val="0"/>
      <w:marRight w:val="0"/>
      <w:marTop w:val="0"/>
      <w:marBottom w:val="0"/>
      <w:divBdr>
        <w:top w:val="none" w:sz="0" w:space="0" w:color="auto"/>
        <w:left w:val="none" w:sz="0" w:space="0" w:color="auto"/>
        <w:bottom w:val="none" w:sz="0" w:space="0" w:color="auto"/>
        <w:right w:val="none" w:sz="0" w:space="0" w:color="auto"/>
      </w:divBdr>
    </w:div>
    <w:div w:id="1391343712">
      <w:bodyDiv w:val="1"/>
      <w:marLeft w:val="0"/>
      <w:marRight w:val="0"/>
      <w:marTop w:val="0"/>
      <w:marBottom w:val="0"/>
      <w:divBdr>
        <w:top w:val="none" w:sz="0" w:space="0" w:color="auto"/>
        <w:left w:val="none" w:sz="0" w:space="0" w:color="auto"/>
        <w:bottom w:val="none" w:sz="0" w:space="0" w:color="auto"/>
        <w:right w:val="none" w:sz="0" w:space="0" w:color="auto"/>
      </w:divBdr>
    </w:div>
    <w:div w:id="1607418261">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72313781">
      <w:bodyDiv w:val="1"/>
      <w:marLeft w:val="0"/>
      <w:marRight w:val="0"/>
      <w:marTop w:val="0"/>
      <w:marBottom w:val="0"/>
      <w:divBdr>
        <w:top w:val="none" w:sz="0" w:space="0" w:color="auto"/>
        <w:left w:val="none" w:sz="0" w:space="0" w:color="auto"/>
        <w:bottom w:val="none" w:sz="0" w:space="0" w:color="auto"/>
        <w:right w:val="none" w:sz="0" w:space="0" w:color="auto"/>
      </w:divBdr>
    </w:div>
    <w:div w:id="1801529479">
      <w:bodyDiv w:val="1"/>
      <w:marLeft w:val="0"/>
      <w:marRight w:val="0"/>
      <w:marTop w:val="0"/>
      <w:marBottom w:val="0"/>
      <w:divBdr>
        <w:top w:val="none" w:sz="0" w:space="0" w:color="auto"/>
        <w:left w:val="none" w:sz="0" w:space="0" w:color="auto"/>
        <w:bottom w:val="none" w:sz="0" w:space="0" w:color="auto"/>
        <w:right w:val="none" w:sz="0" w:space="0" w:color="auto"/>
      </w:divBdr>
    </w:div>
    <w:div w:id="1842969878">
      <w:bodyDiv w:val="1"/>
      <w:marLeft w:val="0"/>
      <w:marRight w:val="0"/>
      <w:marTop w:val="0"/>
      <w:marBottom w:val="0"/>
      <w:divBdr>
        <w:top w:val="none" w:sz="0" w:space="0" w:color="auto"/>
        <w:left w:val="none" w:sz="0" w:space="0" w:color="auto"/>
        <w:bottom w:val="none" w:sz="0" w:space="0" w:color="auto"/>
        <w:right w:val="none" w:sz="0" w:space="0" w:color="auto"/>
      </w:divBdr>
    </w:div>
    <w:div w:id="2058888760">
      <w:bodyDiv w:val="1"/>
      <w:marLeft w:val="0"/>
      <w:marRight w:val="0"/>
      <w:marTop w:val="0"/>
      <w:marBottom w:val="0"/>
      <w:divBdr>
        <w:top w:val="none" w:sz="0" w:space="0" w:color="auto"/>
        <w:left w:val="none" w:sz="0" w:space="0" w:color="auto"/>
        <w:bottom w:val="none" w:sz="0" w:space="0" w:color="auto"/>
        <w:right w:val="none" w:sz="0" w:space="0" w:color="auto"/>
      </w:divBdr>
    </w:div>
    <w:div w:id="2071729247">
      <w:bodyDiv w:val="1"/>
      <w:marLeft w:val="0"/>
      <w:marRight w:val="0"/>
      <w:marTop w:val="0"/>
      <w:marBottom w:val="0"/>
      <w:divBdr>
        <w:top w:val="none" w:sz="0" w:space="0" w:color="auto"/>
        <w:left w:val="none" w:sz="0" w:space="0" w:color="auto"/>
        <w:bottom w:val="none" w:sz="0" w:space="0" w:color="auto"/>
        <w:right w:val="none" w:sz="0" w:space="0" w:color="auto"/>
      </w:divBdr>
    </w:div>
    <w:div w:id="209643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CB9709AFF014846A5C64889AEF1B327" ma:contentTypeVersion="" ma:contentTypeDescription="PDMS Document Site Content Type" ma:contentTypeScope="" ma:versionID="bff8f36407fb9aa909b0cb7bdf0a6bcc">
  <xsd:schema xmlns:xsd="http://www.w3.org/2001/XMLSchema" xmlns:xs="http://www.w3.org/2001/XMLSchema" xmlns:p="http://schemas.microsoft.com/office/2006/metadata/properties" xmlns:ns2="ACD4D927-7CBF-4F65-9D15-4A66A19BAD22" targetNamespace="http://schemas.microsoft.com/office/2006/metadata/properties" ma:root="true" ma:fieldsID="f745e9476a199c4a58b155422d768296" ns2:_="">
    <xsd:import namespace="ACD4D927-7CBF-4F65-9D15-4A66A19BAD2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4D927-7CBF-4F65-9D15-4A66A19BAD2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CD4D927-7CBF-4F65-9D15-4A66A19BAD22" xsi:nil="true"/>
  </documentManagement>
</p:properties>
</file>

<file path=customXml/itemProps1.xml><?xml version="1.0" encoding="utf-8"?>
<ds:datastoreItem xmlns:ds="http://schemas.openxmlformats.org/officeDocument/2006/customXml" ds:itemID="{2C85A24C-FD9A-4558-95B9-8688F2A7DDC2}">
  <ds:schemaRefs>
    <ds:schemaRef ds:uri="http://schemas.openxmlformats.org/officeDocument/2006/bibliography"/>
  </ds:schemaRefs>
</ds:datastoreItem>
</file>

<file path=customXml/itemProps2.xml><?xml version="1.0" encoding="utf-8"?>
<ds:datastoreItem xmlns:ds="http://schemas.openxmlformats.org/officeDocument/2006/customXml" ds:itemID="{6ADD306B-1543-4114-9C85-0B569D01CDED}">
  <ds:schemaRefs>
    <ds:schemaRef ds:uri="http://schemas.microsoft.com/sharepoint/v3/contenttype/forms"/>
  </ds:schemaRefs>
</ds:datastoreItem>
</file>

<file path=customXml/itemProps3.xml><?xml version="1.0" encoding="utf-8"?>
<ds:datastoreItem xmlns:ds="http://schemas.openxmlformats.org/officeDocument/2006/customXml" ds:itemID="{524C27FD-3E0D-402A-BF4E-42182D670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4D927-7CBF-4F65-9D15-4A66A19BA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7983FF-007E-4CAD-B4D7-92DBB7A4B851}">
  <ds:schemaRefs>
    <ds:schemaRef ds:uri="http://schemas.microsoft.com/sharepoint/v4"/>
    <ds:schemaRef ds:uri="http://www.w3.org/XML/1998/namespace"/>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http://schemas.microsoft.com/sharepoint/v3"/>
    <ds:schemaRef ds:uri="http://schemas.microsoft.com/office/infopath/2007/PartnerControls"/>
    <ds:schemaRef ds:uri="76c08405-89e9-4c57-a585-b31d7bded94b"/>
    <ds:schemaRef ds:uri="http://purl.org/dc/terms/"/>
    <ds:schemaRef ds:uri="ACD4D927-7CBF-4F65-9D15-4A66A19BAD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3844</Words>
  <Characters>21916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Lisa</dc:creator>
  <cp:lastModifiedBy>Rolfe, Jacqueline</cp:lastModifiedBy>
  <cp:revision>5</cp:revision>
  <cp:lastPrinted>2023-02-01T03:11:00Z</cp:lastPrinted>
  <dcterms:created xsi:type="dcterms:W3CDTF">2023-03-29T02:49:00Z</dcterms:created>
  <dcterms:modified xsi:type="dcterms:W3CDTF">2023-03-31T04:39:00Z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0x010100266966F133664895A6EE3632470D45F5009CB9709AFF014846A5C64889AEF1B327</vt:lpwstr>
  </property>
  <property fmtid="{D5CDD505-2E9C-101B-9397-08002B2CF9AE}" pid="3" name="DocHub_Year">
    <vt:lpwstr/>
  </property>
  <property fmtid="{D5CDD505-2E9C-101B-9397-08002B2CF9AE}" pid="4" name="DocHub_DocumentType">
    <vt:lpwstr>1807;#Legislative Instrument|edbe159b-95f5-40e7-bf23-9dfb62f2e7f0</vt:lpwstr>
  </property>
  <property fmtid="{D5CDD505-2E9C-101B-9397-08002B2CF9AE}" pid="5" name="DocHub_SecurityClassification">
    <vt:lpwstr>1378;#PROTECTED|1f93d6e9-ce72-494e-aefd-be45817cd598</vt:lpwstr>
  </property>
  <property fmtid="{D5CDD505-2E9C-101B-9397-08002B2CF9AE}" pid="6" name="DocHub_Keywords">
    <vt:lpwstr/>
  </property>
  <property fmtid="{D5CDD505-2E9C-101B-9397-08002B2CF9AE}" pid="7" name="DocHub_WorkActivity">
    <vt:lpwstr>102;#Legislation and Regulation|6cbc66f5-f4a2-4565-a58b-d5f2d2ac9bd0</vt:lpwstr>
  </property>
  <property fmtid="{D5CDD505-2E9C-101B-9397-08002B2CF9AE}" pid="8" name="_dlc_DocIdItemGuid">
    <vt:lpwstr>33104fa1-e84a-4779-bb25-92c123587ede</vt:lpwstr>
  </property>
  <property fmtid="{D5CDD505-2E9C-101B-9397-08002B2CF9AE}" pid="9" name="DocHub_LegalKeywords">
    <vt:lpwstr/>
  </property>
  <property fmtid="{D5CDD505-2E9C-101B-9397-08002B2CF9AE}" pid="10" name="DocHub_LegalClient">
    <vt:lpwstr/>
  </property>
  <property fmtid="{D5CDD505-2E9C-101B-9397-08002B2CF9AE}" pid="11" name="DocHub_WorkTopic">
    <vt:lpwstr/>
  </property>
</Properties>
</file>