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6D4" w:rsidRDefault="00B54108">
      <w:pPr>
        <w:spacing w:before="14" w:after="296"/>
        <w:ind w:left="3159" w:right="2932"/>
        <w:textAlignment w:val="baseline"/>
      </w:pPr>
      <w:r>
        <w:rPr>
          <w:noProof/>
          <w:lang w:val="en-AU" w:eastAsia="en-AU"/>
        </w:rPr>
        <w:drawing>
          <wp:inline distT="0" distB="0" distL="0" distR="0">
            <wp:extent cx="1301115" cy="1002665"/>
            <wp:effectExtent l="0" t="0" r="0" b="0"/>
            <wp:docPr id="1" name="Picture" descr="Commonwealth Coat of Arms of Austr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6D4" w:rsidRDefault="00826B8E" w:rsidP="002C0636">
      <w:pPr>
        <w:spacing w:before="14" w:line="361" w:lineRule="exact"/>
        <w:jc w:val="center"/>
        <w:textAlignment w:val="baseline"/>
        <w:rPr>
          <w:rFonts w:eastAsia="Times New Roman"/>
          <w:b/>
          <w:i/>
          <w:color w:val="000000"/>
          <w:sz w:val="32"/>
        </w:rPr>
      </w:pPr>
      <w:r w:rsidRPr="00826B8E">
        <w:rPr>
          <w:rFonts w:eastAsia="Times New Roman"/>
          <w:b/>
          <w:i/>
          <w:color w:val="000000"/>
          <w:sz w:val="32"/>
        </w:rPr>
        <w:t xml:space="preserve">Acts Interpretation (Ministerial Acting Arrangements for the Home Affairs Portfolio) </w:t>
      </w:r>
      <w:proofErr w:type="spellStart"/>
      <w:r w:rsidRPr="00826B8E">
        <w:rPr>
          <w:rFonts w:eastAsia="Times New Roman"/>
          <w:b/>
          <w:i/>
          <w:color w:val="000000"/>
          <w:sz w:val="32"/>
        </w:rPr>
        <w:t>Authorisation</w:t>
      </w:r>
      <w:proofErr w:type="spellEnd"/>
      <w:r w:rsidRPr="00826B8E">
        <w:rPr>
          <w:rFonts w:eastAsia="Times New Roman"/>
          <w:b/>
          <w:i/>
          <w:color w:val="000000"/>
          <w:sz w:val="32"/>
        </w:rPr>
        <w:t xml:space="preserve"> (No. 1) 2022</w:t>
      </w:r>
    </w:p>
    <w:p w:rsidR="002C0636" w:rsidRDefault="002C0636" w:rsidP="002C0636">
      <w:pPr>
        <w:spacing w:before="720" w:line="275" w:lineRule="exact"/>
        <w:ind w:right="357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6E777790" wp14:editId="7832C3E6">
                <wp:extent cx="5067300" cy="635"/>
                <wp:effectExtent l="0" t="0" r="19050" b="37465"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6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09A395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Z2ZwIAAPcEAAAOAAAAZHJzL2Uyb0RvYy54bWysVNFumzAUfZ+0f7D8ToFACEElVQPJXrqu&#10;UrsPcGwTrIFt2W5INO3fZ5uQLtsetmmRYq7t68M95x5ze3fsO3CgSjPBSxjfRBBQjgVhfF/Czy/b&#10;IIdAG8QJ6gSnJTxRDe9W79/dDrKgM9GKjlAFLAjXxSBL2BojizDUuKU90jdCUm43G6F6ZOxU7UOi&#10;0GDR+y6cRVEWDkIRqQSmWtvVetyEK4/fNBSbT02jqQFdCW1txo/Kjzs3hqtbVOwVki3D5zLQP1TR&#10;I8btSy9QNTIIvCr2C1TPsBJaNOYGiz4UTcMw9Rwsmzj6ic1ziyT1XKw4Wl5k0v8PFj8enhRgpIQJ&#10;BBz1tkXPRiG2bw2oBOdWQKFA4rnRo3nQxrG00cjuaxXnSb3YZsE6XeZBmqyTYJnm6yBezPL1fHZ/&#10;n23Sb+40obiwf6GQYQc6SW1X/ozLuetOpUX4hgPBAdnOxq6Poa9revpKw0HqwlN0hvBhxZ+Uo4CP&#10;/Fk+CPxFAy6qFvE99XK/nKTVYAS8OuImWlqxdsNHQWwOejXC63JsVO8gbTfB0VvrdLGWUwrbxXmU&#10;LZLIOhDbvSyZnwuejkqlzQcqeuCCEnaMu76jAh0sj5HblOKWudiyrvPe7TgYSpjny8gf0KJjxG26&#10;NK32u6pTo0aR/53fe5WmxCsnHqyliGzOsUGsG2MrbMcd3u8MsIyWm3yTp0E6yzZBGtV1cL+t0iDb&#10;xot5ndRVVcfeAHFatIwQyl11U//j9K/bH4WXy3aRIURX6JMHpuebF1wDRyvsBDk9KSeta6y9XT75&#10;/CVw1/fHuc96+16tvgMAAP//AwBQSwMEFAAGAAgAAAAhAB2DQdbZAAAAAgEAAA8AAABkcnMvZG93&#10;bnJldi54bWxMj8FOwzAQRO9I/IO1SFwQdeBQShqnCgUuOSCRVD078ZIE4nVku234e7Zc4LLSaEaz&#10;b7LNbEdxRB8GRwruFgkIpNaZgToFu/r1dgUiRE1Gj45QwTcG2OSXF5lOjTvROx6r2AkuoZBqBX2M&#10;UyplaHu0OizchMTeh/NWR5a+k8brE5fbUd4nyVJaPRB/6PWE2x7br+pgFTQvxXJbl273Vu+b0t+U&#10;n0X19KzU9dVcrEFEnONfGM74jA45MzXuQCaIUQEPib+XvYfHFcvmHJJ5Jv+j5z8AAAD//wMAUEsB&#10;Ai0AFAAGAAgAAAAhALaDOJL+AAAA4QEAABMAAAAAAAAAAAAAAAAAAAAAAFtDb250ZW50X1R5cGVz&#10;XS54bWxQSwECLQAUAAYACAAAACEAOP0h/9YAAACUAQAACwAAAAAAAAAAAAAAAAAvAQAAX3JlbHMv&#10;LnJlbHNQSwECLQAUAAYACAAAACEAzvYWdmcCAAD3BAAADgAAAAAAAAAAAAAAAAAuAgAAZHJzL2Uy&#10;b0RvYy54bWxQSwECLQAUAAYACAAAACEAHYNB1tkAAAACAQAADwAAAAAAAAAAAAAAAADBBAAAZHJz&#10;L2Rvd25yZXYueG1sUEsFBgAAAAAEAAQA8wAAAMcFAAAAAA==&#10;" strokeweight=".7pt">
                <w10:anchorlock/>
              </v:line>
            </w:pict>
          </mc:Fallback>
        </mc:AlternateContent>
      </w:r>
    </w:p>
    <w:p w:rsidR="006466D4" w:rsidRDefault="00B54108">
      <w:pPr>
        <w:spacing w:before="425" w:line="275" w:lineRule="exact"/>
        <w:ind w:righ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I, the Hon Clare O’Neil MP, Minister for Home Affairs and Minister for Cyber Security, acting in accordance with sections 19 and 34AAB of the </w:t>
      </w:r>
      <w:r>
        <w:rPr>
          <w:rFonts w:eastAsia="Times New Roman"/>
          <w:i/>
          <w:color w:val="000000"/>
          <w:sz w:val="24"/>
        </w:rPr>
        <w:t>Acts Interpretation Act 1901</w:t>
      </w:r>
      <w:r>
        <w:rPr>
          <w:rFonts w:eastAsia="Times New Roman"/>
          <w:color w:val="000000"/>
          <w:sz w:val="24"/>
        </w:rPr>
        <w:t xml:space="preserve">, and all other powers thereunto enabling, as the case requires, hereby </w:t>
      </w:r>
      <w:proofErr w:type="spellStart"/>
      <w:r>
        <w:rPr>
          <w:rFonts w:eastAsia="Times New Roman"/>
          <w:color w:val="000000"/>
          <w:sz w:val="24"/>
        </w:rPr>
        <w:t>authorise</w:t>
      </w:r>
      <w:proofErr w:type="spellEnd"/>
      <w:r>
        <w:rPr>
          <w:rFonts w:eastAsia="Times New Roman"/>
          <w:color w:val="000000"/>
          <w:sz w:val="24"/>
        </w:rPr>
        <w:t xml:space="preserve"> the </w:t>
      </w:r>
      <w:r w:rsidR="001C08B1">
        <w:rPr>
          <w:rFonts w:eastAsia="Times New Roman"/>
          <w:color w:val="000000"/>
          <w:sz w:val="24"/>
        </w:rPr>
        <w:t>Hon. Mark Dreyfus K</w:t>
      </w:r>
      <w:r>
        <w:rPr>
          <w:rFonts w:eastAsia="Times New Roman"/>
          <w:color w:val="000000"/>
          <w:sz w:val="24"/>
        </w:rPr>
        <w:t xml:space="preserve">C MP, </w:t>
      </w:r>
      <w:r w:rsidR="001C08B1">
        <w:rPr>
          <w:rFonts w:eastAsia="Times New Roman"/>
          <w:color w:val="000000"/>
          <w:sz w:val="24"/>
        </w:rPr>
        <w:t>Attorney-General,</w:t>
      </w:r>
      <w:r w:rsidR="001C08B1"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4"/>
        </w:rPr>
        <w:t>to exercise, on my behalf, all my powers and functions, including powers and functions conferred on me by any law of the Commonwealth.</w:t>
      </w:r>
    </w:p>
    <w:p w:rsidR="006D3FB7" w:rsidRDefault="00B54108" w:rsidP="001C08B1">
      <w:pPr>
        <w:spacing w:before="273" w:after="294" w:line="279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This instrument commences </w:t>
      </w:r>
      <w:r w:rsidR="001C08B1">
        <w:rPr>
          <w:rFonts w:eastAsia="Times New Roman"/>
          <w:color w:val="000000"/>
          <w:sz w:val="24"/>
        </w:rPr>
        <w:t>on Saturday 24 December</w:t>
      </w:r>
      <w:r>
        <w:rPr>
          <w:rFonts w:eastAsia="Times New Roman"/>
          <w:color w:val="000000"/>
          <w:sz w:val="24"/>
        </w:rPr>
        <w:t xml:space="preserve"> 2022 and ceases to have </w:t>
      </w:r>
      <w:r w:rsidR="001C08B1"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4"/>
        </w:rPr>
        <w:t xml:space="preserve">effect at </w:t>
      </w:r>
      <w:r w:rsidR="001C08B1">
        <w:rPr>
          <w:rFonts w:eastAsia="Times New Roman"/>
          <w:color w:val="000000"/>
          <w:sz w:val="24"/>
        </w:rPr>
        <w:t>the end of Friday 13 January 2023</w:t>
      </w:r>
      <w:r>
        <w:rPr>
          <w:rFonts w:eastAsia="Times New Roman"/>
          <w:color w:val="000000"/>
          <w:sz w:val="24"/>
        </w:rPr>
        <w:t>.</w:t>
      </w:r>
      <w:r w:rsidR="006D3FB7">
        <w:rPr>
          <w:rFonts w:eastAsia="Times New Roman"/>
          <w:color w:val="000000"/>
          <w:sz w:val="24"/>
        </w:rPr>
        <w:t xml:space="preserve"> </w:t>
      </w:r>
    </w:p>
    <w:p w:rsidR="0056603A" w:rsidRDefault="0056603A" w:rsidP="002435E0">
      <w:pPr>
        <w:spacing w:before="240" w:line="29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[signed]</w:t>
      </w:r>
    </w:p>
    <w:p w:rsidR="001B3DB1" w:rsidRDefault="0056603A">
      <w:pPr>
        <w:spacing w:line="29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Dated 6 December 2022</w:t>
      </w:r>
      <w:r>
        <w:rPr>
          <w:rFonts w:eastAsia="Times New Roman"/>
          <w:color w:val="000000"/>
          <w:sz w:val="24"/>
        </w:rPr>
        <w:br/>
      </w:r>
      <w:r w:rsidR="00B54108">
        <w:rPr>
          <w:rFonts w:eastAsia="Times New Roman"/>
          <w:color w:val="000000"/>
          <w:sz w:val="24"/>
        </w:rPr>
        <w:t xml:space="preserve">The Hon Clare O’Neil MP </w:t>
      </w:r>
      <w:r w:rsidR="00B54108">
        <w:rPr>
          <w:rFonts w:eastAsia="Times New Roman"/>
          <w:color w:val="000000"/>
          <w:sz w:val="24"/>
        </w:rPr>
        <w:br/>
        <w:t xml:space="preserve">Minister for Home Affairs </w:t>
      </w:r>
      <w:r w:rsidR="00B54108">
        <w:rPr>
          <w:rFonts w:eastAsia="Times New Roman"/>
          <w:color w:val="000000"/>
          <w:sz w:val="24"/>
        </w:rPr>
        <w:br/>
        <w:t>Minister for Cyber Security</w:t>
      </w:r>
    </w:p>
    <w:p w:rsidR="006466D4" w:rsidRDefault="001B3DB1" w:rsidP="0029039D">
      <w:pPr>
        <w:spacing w:before="480" w:line="29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noProof/>
          <w:color w:val="000000"/>
          <w:sz w:val="24"/>
        </w:rPr>
        <mc:AlternateContent>
          <mc:Choice Requires="wps">
            <w:drawing>
              <wp:inline distT="0" distB="0" distL="0" distR="0">
                <wp:extent cx="5067300" cy="635"/>
                <wp:effectExtent l="0" t="0" r="19050" b="37465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6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C0FECF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ASZwIAAPcEAAAOAAAAZHJzL2Uyb0RvYy54bWysVF1v2yAUfZ+0/4B4d/0Rx3GsOlVjJ3vp&#10;ukrtfgABHKPZgIDGiab99wGO02XbwzYtUvAFLsf3nHvw7d2x78CBKs0EL2F8E0FAORaE8X0JP79s&#10;gxwCbRAnqBOclvBENbxbvX93O8iCJqIVHaEKWBCui0GWsDVGFmGocUt7pG+EpNxuNkL1yNip2odE&#10;ocGi912YRFEWDkIRqQSmWtvVetyEK4/fNBSbT02jqQFdCW1txo/Kjzs3hqtbVOwVki3D5zLQP1TR&#10;I8btSy9QNTIIvCr2C1TPsBJaNOYGiz4UTcMw9Rwsmzj6ic1ziyT1XKw4Wl5k0v8PFj8enhRgpIQJ&#10;BBz1tkXPRiG2bw2oBOdWQKFA4rnRo3nQxrG00cjuaxXns3qxzYJ1usyDdLaeBcs0XwfxIsnX8+T+&#10;Ptuk39xpQnFh/0Ihww50ktqu/BmXc9edSovwDQeCA7KdjV0fQ1/X9PSVhoPUhafoDOHDij8pRwEf&#10;+bN8EPiLBlxULeJ76uV+OUmrwQh4dcRNtLRi7YaPgtgc9GqE1+XYqN5B2m6Co7fW6WItpxS2i/Mo&#10;W8wi60Bs97LZ/FzwdFQqbT5Q0QMXlLBj3PUdFehgeYzcphS3zMWWdZ33bsfBUMI8X0b+gBYdI27T&#10;pWm131WdGjWK/O/83qs0JV458WAtRWRzjg1i3RhbYTvu8H5ngGW03OSbPA3SJNsEaVTXwf22SoNs&#10;Gy/m9ayuqjr2BojTomWEUO6qm/ofp3/d/ii8XLaLDCG6Qp88MD3fvOAaOFphJ8jpSTlpXWPt7fLJ&#10;5y+Bu74/zn3W2/dq9R0AAP//AwBQSwMEFAAGAAgAAAAhAB2DQdbZAAAAAgEAAA8AAABkcnMvZG93&#10;bnJldi54bWxMj8FOwzAQRO9I/IO1SFwQdeBQShqnCgUuOSCRVD078ZIE4nVku234e7Zc4LLSaEaz&#10;b7LNbEdxRB8GRwruFgkIpNaZgToFu/r1dgUiRE1Gj45QwTcG2OSXF5lOjTvROx6r2AkuoZBqBX2M&#10;UyplaHu0OizchMTeh/NWR5a+k8brE5fbUd4nyVJaPRB/6PWE2x7br+pgFTQvxXJbl273Vu+b0t+U&#10;n0X19KzU9dVcrEFEnONfGM74jA45MzXuQCaIUQEPib+XvYfHFcvmHJJ5Jv+j5z8AAAD//wMAUEsB&#10;Ai0AFAAGAAgAAAAhALaDOJL+AAAA4QEAABMAAAAAAAAAAAAAAAAAAAAAAFtDb250ZW50X1R5cGVz&#10;XS54bWxQSwECLQAUAAYACAAAACEAOP0h/9YAAACUAQAACwAAAAAAAAAAAAAAAAAvAQAAX3JlbHMv&#10;LnJlbHNQSwECLQAUAAYACAAAACEAea+AEmcCAAD3BAAADgAAAAAAAAAAAAAAAAAuAgAAZHJzL2Uy&#10;b0RvYy54bWxQSwECLQAUAAYACAAAACEAHYNB1tkAAAACAQAADwAAAAAAAAAAAAAAAADBBAAAZHJz&#10;L2Rvd25yZXYueG1sUEsFBgAAAAAEAAQA8wAAAMcFAAAAAA==&#10;" strokeweight=".7pt">
                <w10:anchorlock/>
              </v:line>
            </w:pict>
          </mc:Fallback>
        </mc:AlternateContent>
      </w:r>
    </w:p>
    <w:p w:rsidR="007B268D" w:rsidRPr="007B268D" w:rsidRDefault="007B268D" w:rsidP="007B268D">
      <w:pPr>
        <w:pStyle w:val="BodyParaBullet"/>
        <w:numPr>
          <w:ilvl w:val="0"/>
          <w:numId w:val="0"/>
        </w:numPr>
        <w:tabs>
          <w:tab w:val="clear" w:pos="2160"/>
          <w:tab w:val="left" w:pos="1418"/>
        </w:tabs>
        <w:spacing w:before="3480"/>
        <w:ind w:left="851" w:hanging="851"/>
        <w:rPr>
          <w:sz w:val="18"/>
          <w:szCs w:val="18"/>
        </w:rPr>
      </w:pPr>
      <w:r w:rsidRPr="007B268D">
        <w:rPr>
          <w:sz w:val="18"/>
          <w:szCs w:val="18"/>
        </w:rPr>
        <w:t>Note:</w:t>
      </w:r>
      <w:r w:rsidRPr="007B268D">
        <w:rPr>
          <w:sz w:val="18"/>
          <w:szCs w:val="18"/>
        </w:rPr>
        <w:tab/>
        <w:t>The name of this instrument was amended on registrat</w:t>
      </w:r>
      <w:bookmarkStart w:id="0" w:name="_GoBack"/>
      <w:bookmarkEnd w:id="0"/>
      <w:r w:rsidRPr="007B268D">
        <w:rPr>
          <w:sz w:val="18"/>
          <w:szCs w:val="18"/>
        </w:rPr>
        <w:t xml:space="preserve">ion as the instrument as lodged did not have a unique name (see subsection 10(2), </w:t>
      </w:r>
      <w:r w:rsidRPr="007B268D">
        <w:rPr>
          <w:i/>
          <w:sz w:val="18"/>
          <w:szCs w:val="18"/>
        </w:rPr>
        <w:t>Legislation Rule 2016</w:t>
      </w:r>
      <w:r w:rsidRPr="007B268D">
        <w:rPr>
          <w:sz w:val="18"/>
          <w:szCs w:val="18"/>
        </w:rPr>
        <w:t>).</w:t>
      </w:r>
    </w:p>
    <w:sectPr w:rsidR="007B268D" w:rsidRPr="007B268D" w:rsidSect="007B268D">
      <w:type w:val="continuous"/>
      <w:pgSz w:w="11909" w:h="16838"/>
      <w:pgMar w:top="1820" w:right="2160" w:bottom="1820" w:left="176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08" w:rsidRDefault="00B54108">
      <w:r>
        <w:separator/>
      </w:r>
    </w:p>
  </w:endnote>
  <w:endnote w:type="continuationSeparator" w:id="0">
    <w:p w:rsidR="00B54108" w:rsidRDefault="00B5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08" w:rsidRDefault="00B54108"/>
  </w:footnote>
  <w:footnote w:type="continuationSeparator" w:id="0">
    <w:p w:rsidR="00B54108" w:rsidRDefault="00B5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D4"/>
    <w:rsid w:val="000C4886"/>
    <w:rsid w:val="001B3DB1"/>
    <w:rsid w:val="001C08B1"/>
    <w:rsid w:val="002435E0"/>
    <w:rsid w:val="0029039D"/>
    <w:rsid w:val="002C0636"/>
    <w:rsid w:val="0056603A"/>
    <w:rsid w:val="006466D4"/>
    <w:rsid w:val="006D3FB7"/>
    <w:rsid w:val="007B268D"/>
    <w:rsid w:val="00826B8E"/>
    <w:rsid w:val="00A13F6D"/>
    <w:rsid w:val="00B54108"/>
    <w:rsid w:val="00CB1BAC"/>
    <w:rsid w:val="00D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06108"/>
  <w15:docId w15:val="{0D4BCB4C-B3D6-41A3-AF1E-439732F7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B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8E"/>
  </w:style>
  <w:style w:type="paragraph" w:styleId="Footer">
    <w:name w:val="footer"/>
    <w:basedOn w:val="Normal"/>
    <w:link w:val="FooterChar"/>
    <w:uiPriority w:val="99"/>
    <w:unhideWhenUsed/>
    <w:rsid w:val="00826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8E"/>
  </w:style>
  <w:style w:type="paragraph" w:customStyle="1" w:styleId="BodyNum">
    <w:name w:val="BodyNum"/>
    <w:aliases w:val="b1"/>
    <w:basedOn w:val="Normal"/>
    <w:rsid w:val="007B268D"/>
    <w:pPr>
      <w:numPr>
        <w:numId w:val="1"/>
      </w:numPr>
      <w:spacing w:before="240"/>
    </w:pPr>
    <w:rPr>
      <w:rFonts w:eastAsia="Times New Roman"/>
      <w:sz w:val="24"/>
      <w:szCs w:val="20"/>
      <w:lang w:val="en-AU" w:eastAsia="en-AU"/>
    </w:rPr>
  </w:style>
  <w:style w:type="paragraph" w:customStyle="1" w:styleId="BodyPara">
    <w:name w:val="BodyPara"/>
    <w:aliases w:val="ba"/>
    <w:basedOn w:val="Normal"/>
    <w:rsid w:val="007B268D"/>
    <w:pPr>
      <w:numPr>
        <w:ilvl w:val="1"/>
        <w:numId w:val="1"/>
      </w:numPr>
      <w:spacing w:before="240"/>
    </w:pPr>
    <w:rPr>
      <w:rFonts w:eastAsia="Times New Roman"/>
      <w:sz w:val="24"/>
      <w:szCs w:val="20"/>
      <w:lang w:val="en-AU" w:eastAsia="en-AU"/>
    </w:rPr>
  </w:style>
  <w:style w:type="paragraph" w:customStyle="1" w:styleId="BodyParaBullet">
    <w:name w:val="BodyParaBullet"/>
    <w:aliases w:val="bpb"/>
    <w:basedOn w:val="Normal"/>
    <w:rsid w:val="007B268D"/>
    <w:pPr>
      <w:numPr>
        <w:ilvl w:val="2"/>
        <w:numId w:val="1"/>
      </w:numPr>
      <w:tabs>
        <w:tab w:val="left" w:pos="2160"/>
      </w:tabs>
      <w:spacing w:before="240"/>
    </w:pPr>
    <w:rPr>
      <w:rFonts w:eastAsia="Times New Roman"/>
      <w:sz w:val="24"/>
      <w:szCs w:val="20"/>
      <w:lang w:val="en-AU" w:eastAsia="en-AU"/>
    </w:rPr>
  </w:style>
  <w:style w:type="paragraph" w:customStyle="1" w:styleId="BodySubPara">
    <w:name w:val="BodySubPara"/>
    <w:aliases w:val="bi"/>
    <w:basedOn w:val="Normal"/>
    <w:rsid w:val="007B268D"/>
    <w:pPr>
      <w:numPr>
        <w:ilvl w:val="3"/>
        <w:numId w:val="1"/>
      </w:numPr>
      <w:tabs>
        <w:tab w:val="clear" w:pos="4123"/>
        <w:tab w:val="num" w:pos="2160"/>
      </w:tabs>
      <w:spacing w:before="240"/>
      <w:ind w:left="2160"/>
    </w:pPr>
    <w:rPr>
      <w:rFonts w:eastAsia="Times New Roman"/>
      <w:sz w:val="24"/>
      <w:szCs w:val="20"/>
      <w:lang w:val="en-AU" w:eastAsia="en-AU"/>
    </w:rPr>
  </w:style>
  <w:style w:type="numbering" w:customStyle="1" w:styleId="OPCBodyList">
    <w:name w:val="OPCBodyList"/>
    <w:uiPriority w:val="99"/>
    <w:rsid w:val="007B268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826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BRYANT</dc:creator>
  <cp:lastModifiedBy>Hammond, Rhiannon</cp:lastModifiedBy>
  <cp:revision>7</cp:revision>
  <dcterms:created xsi:type="dcterms:W3CDTF">2023-05-03T06:37:00Z</dcterms:created>
  <dcterms:modified xsi:type="dcterms:W3CDTF">2023-05-03T07:39:00Z</dcterms:modified>
</cp:coreProperties>
</file>