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16E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06229A6" wp14:editId="00E4B9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6FE2" w14:textId="77777777" w:rsidR="00715914" w:rsidRPr="00E500D4" w:rsidRDefault="00715914" w:rsidP="00715914">
      <w:pPr>
        <w:rPr>
          <w:sz w:val="19"/>
        </w:rPr>
      </w:pPr>
      <w:bookmarkStart w:id="0" w:name="_Hlk134692503"/>
    </w:p>
    <w:p w14:paraId="16A10925" w14:textId="1ED8AF5D" w:rsidR="00554826" w:rsidRPr="00E500D4" w:rsidRDefault="00355AB9" w:rsidP="00554826">
      <w:pPr>
        <w:pStyle w:val="ShortT"/>
      </w:pPr>
      <w:r>
        <w:t>Competition and Consumer</w:t>
      </w:r>
      <w:r w:rsidR="00554826" w:rsidRPr="00DA182D">
        <w:t xml:space="preserve"> </w:t>
      </w:r>
      <w:r w:rsidR="00554826">
        <w:t>(</w:t>
      </w:r>
      <w:r>
        <w:t>Industry Code</w:t>
      </w:r>
      <w:r w:rsidRPr="00515D19">
        <w:rPr>
          <w:bCs/>
        </w:rPr>
        <w:t>—</w:t>
      </w:r>
      <w:r w:rsidR="001B35E4">
        <w:rPr>
          <w:bCs/>
        </w:rPr>
        <w:t>Port Terminal Access (Bulk Wheat))</w:t>
      </w:r>
      <w:r w:rsidR="002D1090">
        <w:rPr>
          <w:bCs/>
        </w:rPr>
        <w:t xml:space="preserve"> </w:t>
      </w:r>
      <w:r>
        <w:t>(</w:t>
      </w:r>
      <w:r w:rsidR="00BB5328">
        <w:t>Commodity</w:t>
      </w:r>
      <w:r w:rsidR="00BB5328" w:rsidRPr="0000607E">
        <w:t xml:space="preserve"> </w:t>
      </w:r>
      <w:r w:rsidR="0000607E" w:rsidRPr="0000607E">
        <w:t>Ag</w:t>
      </w:r>
      <w:r>
        <w:t>)</w:t>
      </w:r>
      <w:r w:rsidR="00554826">
        <w:t xml:space="preserve"> </w:t>
      </w:r>
      <w:r w:rsidRPr="00355AB9">
        <w:t>Determination</w:t>
      </w:r>
      <w:r w:rsidR="00554826" w:rsidRPr="00355AB9">
        <w:t xml:space="preserve"> </w:t>
      </w:r>
      <w:r>
        <w:t>2023</w:t>
      </w:r>
    </w:p>
    <w:bookmarkEnd w:id="0"/>
    <w:p w14:paraId="3AE89454" w14:textId="7A673CA2" w:rsidR="00554826" w:rsidRPr="00DA182D" w:rsidRDefault="00694E63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The Australian Competition and Consumer Commission</w:t>
      </w:r>
      <w:r w:rsidR="00554826" w:rsidRPr="00DA182D">
        <w:rPr>
          <w:szCs w:val="22"/>
        </w:rPr>
        <w:t xml:space="preserve"> </w:t>
      </w:r>
      <w:r w:rsidR="00554826">
        <w:rPr>
          <w:szCs w:val="22"/>
        </w:rPr>
        <w:t xml:space="preserve">make the following </w:t>
      </w:r>
      <w:r>
        <w:rPr>
          <w:szCs w:val="22"/>
        </w:rPr>
        <w:t>determination</w:t>
      </w:r>
      <w:r w:rsidR="00554826" w:rsidRPr="00DA182D">
        <w:rPr>
          <w:szCs w:val="22"/>
        </w:rPr>
        <w:t>.</w:t>
      </w:r>
    </w:p>
    <w:p w14:paraId="078F23B9" w14:textId="5FCB821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43DBC">
        <w:rPr>
          <w:szCs w:val="22"/>
        </w:rPr>
        <w:t>2</w:t>
      </w:r>
      <w:r w:rsidR="003D7D26">
        <w:rPr>
          <w:szCs w:val="22"/>
        </w:rPr>
        <w:t>8</w:t>
      </w:r>
      <w:r w:rsidR="00443DBC">
        <w:rPr>
          <w:szCs w:val="22"/>
        </w:rPr>
        <w:t xml:space="preserve"> May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50BEB33" w14:textId="77777777" w:rsidR="004A68A5" w:rsidRDefault="004A68A5" w:rsidP="004A68A5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</w:p>
    <w:p w14:paraId="4F53CCC6" w14:textId="63F7CC69" w:rsidR="004A68A5" w:rsidRDefault="00BD2AE7" w:rsidP="004A68A5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>
        <w:rPr>
          <w:rFonts w:cs="Times New Roman"/>
          <w:szCs w:val="22"/>
        </w:rPr>
        <w:t>[signed]</w:t>
      </w:r>
    </w:p>
    <w:p w14:paraId="6F4DADCD" w14:textId="77777777" w:rsidR="00E2082F" w:rsidRDefault="00E2082F" w:rsidP="00443DB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</w:p>
    <w:p w14:paraId="30455897" w14:textId="2E2F7FFC" w:rsidR="004A68A5" w:rsidRPr="007C621F" w:rsidRDefault="004A68A5" w:rsidP="00443DB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7C621F">
        <w:rPr>
          <w:rFonts w:cs="Times New Roman"/>
          <w:szCs w:val="22"/>
        </w:rPr>
        <w:t>Gina Cass-Gottlieb</w:t>
      </w:r>
    </w:p>
    <w:p w14:paraId="6F646667" w14:textId="77777777" w:rsidR="004A68A5" w:rsidRPr="007C621F" w:rsidRDefault="004A68A5" w:rsidP="00443DB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7C621F">
        <w:rPr>
          <w:rFonts w:cs="Times New Roman"/>
          <w:szCs w:val="22"/>
        </w:rPr>
        <w:t>Chair</w:t>
      </w:r>
    </w:p>
    <w:p w14:paraId="79B97D8B" w14:textId="77777777" w:rsidR="004A68A5" w:rsidRPr="007C621F" w:rsidRDefault="004A68A5" w:rsidP="00443DBC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7C621F">
        <w:rPr>
          <w:rFonts w:cs="Times New Roman"/>
          <w:szCs w:val="22"/>
        </w:rPr>
        <w:t>Australian Competition and Consumer Commission</w:t>
      </w:r>
    </w:p>
    <w:p w14:paraId="5C122EB6" w14:textId="77777777" w:rsidR="004A68A5" w:rsidRPr="007C621F" w:rsidRDefault="004A68A5" w:rsidP="004A68A5">
      <w:pPr>
        <w:keepNext/>
        <w:spacing w:before="300" w:line="240" w:lineRule="atLeast"/>
        <w:ind w:right="397"/>
        <w:jc w:val="both"/>
        <w:rPr>
          <w:szCs w:val="22"/>
        </w:rPr>
      </w:pPr>
      <w:r w:rsidRPr="007C621F">
        <w:rPr>
          <w:szCs w:val="22"/>
        </w:rPr>
        <w:tab/>
      </w:r>
      <w:r w:rsidRPr="007C621F">
        <w:rPr>
          <w:szCs w:val="22"/>
        </w:rPr>
        <w:tab/>
      </w:r>
      <w:r w:rsidRPr="007C621F">
        <w:rPr>
          <w:szCs w:val="22"/>
        </w:rPr>
        <w:tab/>
      </w:r>
    </w:p>
    <w:p w14:paraId="4096E7A4" w14:textId="77777777" w:rsidR="004A68A5" w:rsidRPr="007C621F" w:rsidRDefault="004A68A5" w:rsidP="004A68A5">
      <w:pPr>
        <w:keepNext/>
        <w:pBdr>
          <w:bottom w:val="single" w:sz="4" w:space="1" w:color="auto"/>
        </w:pBdr>
        <w:tabs>
          <w:tab w:val="left" w:pos="3402"/>
        </w:tabs>
        <w:spacing w:before="1440" w:line="300" w:lineRule="atLeast"/>
        <w:ind w:right="397"/>
        <w:sectPr w:rsidR="004A68A5" w:rsidRPr="007C621F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 w:rsidRPr="007C621F">
        <w:rPr>
          <w:szCs w:val="22"/>
        </w:rPr>
        <w:t>Australian Competition and Consumer Commission</w:t>
      </w:r>
    </w:p>
    <w:p w14:paraId="6BB3CC5C" w14:textId="77777777" w:rsidR="00554826" w:rsidRDefault="00554826" w:rsidP="00554826"/>
    <w:p w14:paraId="6BB3E612" w14:textId="77777777" w:rsidR="00554826" w:rsidRPr="00ED79B6" w:rsidRDefault="00554826" w:rsidP="00554826"/>
    <w:p w14:paraId="6F8E3C18" w14:textId="77777777" w:rsidR="00F6696E" w:rsidRDefault="00F6696E" w:rsidP="00F6696E"/>
    <w:p w14:paraId="3EA452CA" w14:textId="77777777" w:rsidR="00F6696E" w:rsidRDefault="00F6696E" w:rsidP="00F6696E">
      <w:pPr>
        <w:sectPr w:rsidR="00F6696E" w:rsidSect="00F6696E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108E2C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E13357A" w14:textId="3E86E22B" w:rsidR="00970A3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70A31">
        <w:rPr>
          <w:noProof/>
        </w:rPr>
        <w:t>1  Name</w:t>
      </w:r>
      <w:r w:rsidR="00970A31">
        <w:rPr>
          <w:noProof/>
        </w:rPr>
        <w:tab/>
      </w:r>
      <w:r w:rsidR="00970A31">
        <w:rPr>
          <w:noProof/>
        </w:rPr>
        <w:fldChar w:fldCharType="begin"/>
      </w:r>
      <w:r w:rsidR="00970A31">
        <w:rPr>
          <w:noProof/>
        </w:rPr>
        <w:instrText xml:space="preserve"> PAGEREF _Toc134691916 \h </w:instrText>
      </w:r>
      <w:r w:rsidR="00970A31">
        <w:rPr>
          <w:noProof/>
        </w:rPr>
      </w:r>
      <w:r w:rsidR="00970A31">
        <w:rPr>
          <w:noProof/>
        </w:rPr>
        <w:fldChar w:fldCharType="separate"/>
      </w:r>
      <w:r w:rsidR="00970A31">
        <w:rPr>
          <w:noProof/>
        </w:rPr>
        <w:t>1</w:t>
      </w:r>
      <w:r w:rsidR="00970A31">
        <w:rPr>
          <w:noProof/>
        </w:rPr>
        <w:fldChar w:fldCharType="end"/>
      </w:r>
    </w:p>
    <w:p w14:paraId="21F767E2" w14:textId="62C607BD" w:rsidR="00970A31" w:rsidRDefault="00970A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_Toc134691917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59056C" w14:textId="4C464B6C" w:rsidR="00970A31" w:rsidRDefault="00970A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_Toc134691918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131BC2E" w14:textId="4EF7E4FA" w:rsidR="00970A31" w:rsidRDefault="00970A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_Toc134691919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0CF02D" w14:textId="285934AE" w:rsidR="00970A31" w:rsidRDefault="00970A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_Toc134691920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60956A9" w14:textId="5766C26B" w:rsidR="00F6696E" w:rsidRDefault="00B418CB" w:rsidP="00F6696E">
      <w:pPr>
        <w:outlineLvl w:val="0"/>
      </w:pPr>
      <w:r>
        <w:fldChar w:fldCharType="end"/>
      </w:r>
    </w:p>
    <w:p w14:paraId="4F4E683C" w14:textId="77777777" w:rsidR="00F6696E" w:rsidRPr="00A802BC" w:rsidRDefault="00F6696E" w:rsidP="00F6696E">
      <w:pPr>
        <w:outlineLvl w:val="0"/>
        <w:rPr>
          <w:sz w:val="20"/>
        </w:rPr>
      </w:pPr>
    </w:p>
    <w:p w14:paraId="0E01B3A5" w14:textId="77777777" w:rsidR="00F6696E" w:rsidRDefault="00F6696E" w:rsidP="00F6696E">
      <w:pPr>
        <w:sectPr w:rsidR="00F6696E" w:rsidSect="00A87A5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557F5B" w14:textId="77777777" w:rsidR="00554826" w:rsidRPr="00554826" w:rsidRDefault="00554826" w:rsidP="00554826">
      <w:pPr>
        <w:pStyle w:val="ActHead5"/>
      </w:pPr>
      <w:bookmarkStart w:id="1" w:name="_Toc134691916"/>
      <w:r w:rsidRPr="00554826">
        <w:lastRenderedPageBreak/>
        <w:t>1  Name</w:t>
      </w:r>
      <w:bookmarkEnd w:id="1"/>
    </w:p>
    <w:p w14:paraId="5503ABA9" w14:textId="0E384DA4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Start w:id="3" w:name="_Hlk134692636"/>
      <w:bookmarkEnd w:id="2"/>
      <w:r w:rsidR="004A68A5">
        <w:rPr>
          <w:i/>
        </w:rPr>
        <w:t>Competition and Consumer (Industry</w:t>
      </w:r>
      <w:r w:rsidR="004A68A5" w:rsidRPr="004A68A5">
        <w:rPr>
          <w:i/>
        </w:rPr>
        <w:t xml:space="preserve"> </w:t>
      </w:r>
      <w:r w:rsidR="004A68A5" w:rsidRPr="007C621F">
        <w:rPr>
          <w:i/>
        </w:rPr>
        <w:t>Code</w:t>
      </w:r>
      <w:r w:rsidR="004A68A5" w:rsidRPr="007C621F">
        <w:rPr>
          <w:bCs/>
          <w:i/>
        </w:rPr>
        <w:t>—Port</w:t>
      </w:r>
      <w:r w:rsidR="004A68A5">
        <w:rPr>
          <w:bCs/>
          <w:i/>
        </w:rPr>
        <w:t xml:space="preserve"> Terminal Access (Bulk Wheat)</w:t>
      </w:r>
      <w:r w:rsidR="00BB5328">
        <w:rPr>
          <w:bCs/>
          <w:i/>
        </w:rPr>
        <w:t>)</w:t>
      </w:r>
      <w:r w:rsidR="0000607E">
        <w:rPr>
          <w:bCs/>
          <w:i/>
        </w:rPr>
        <w:t xml:space="preserve"> </w:t>
      </w:r>
      <w:r w:rsidR="004A68A5">
        <w:rPr>
          <w:bCs/>
          <w:i/>
        </w:rPr>
        <w:t>(</w:t>
      </w:r>
      <w:r w:rsidR="00BB5328">
        <w:rPr>
          <w:bCs/>
          <w:i/>
          <w:iCs/>
        </w:rPr>
        <w:t>Commodity</w:t>
      </w:r>
      <w:r w:rsidR="00BB5328" w:rsidRPr="0000607E">
        <w:rPr>
          <w:bCs/>
          <w:i/>
        </w:rPr>
        <w:t xml:space="preserve"> </w:t>
      </w:r>
      <w:r w:rsidR="0000607E" w:rsidRPr="0000607E">
        <w:rPr>
          <w:bCs/>
          <w:i/>
          <w:iCs/>
        </w:rPr>
        <w:t>Ag</w:t>
      </w:r>
      <w:r w:rsidR="004A68A5">
        <w:rPr>
          <w:bCs/>
          <w:i/>
        </w:rPr>
        <w:t>) Determination 2023</w:t>
      </w:r>
      <w:r w:rsidRPr="009C2562">
        <w:t>.</w:t>
      </w:r>
      <w:bookmarkEnd w:id="3"/>
    </w:p>
    <w:p w14:paraId="08DD57ED" w14:textId="77777777" w:rsidR="00554826" w:rsidRPr="00554826" w:rsidRDefault="00554826" w:rsidP="00554826">
      <w:pPr>
        <w:pStyle w:val="ActHead5"/>
      </w:pPr>
      <w:bookmarkStart w:id="4" w:name="_Toc134691917"/>
      <w:r w:rsidRPr="00554826">
        <w:t>2  Commencement</w:t>
      </w:r>
      <w:bookmarkEnd w:id="4"/>
    </w:p>
    <w:p w14:paraId="3010F007" w14:textId="77777777" w:rsidR="003E6338" w:rsidRPr="003E6338" w:rsidRDefault="003E6338" w:rsidP="003E6338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3E6338">
        <w:rPr>
          <w:rFonts w:eastAsia="Times New Roman" w:cs="Times New Roman"/>
          <w:lang w:eastAsia="en-AU"/>
        </w:rPr>
        <w:tab/>
        <w:t>(1)</w:t>
      </w:r>
      <w:r w:rsidRPr="003E6338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4D51BC8" w14:textId="77777777" w:rsidR="003E6338" w:rsidRPr="003E6338" w:rsidRDefault="003E6338" w:rsidP="003E6338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E6338" w:rsidRPr="003E6338" w14:paraId="239541F3" w14:textId="77777777" w:rsidTr="0062425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9775F6" w14:textId="77777777" w:rsidR="003E6338" w:rsidRPr="003E6338" w:rsidRDefault="003E6338" w:rsidP="003E63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E6338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3E6338" w:rsidRPr="003E6338" w14:paraId="2D91E2F0" w14:textId="77777777" w:rsidTr="0062425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0FCA1D" w14:textId="77777777" w:rsidR="003E6338" w:rsidRPr="003E6338" w:rsidRDefault="003E6338" w:rsidP="003E63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E6338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C99545" w14:textId="77777777" w:rsidR="003E6338" w:rsidRPr="003E6338" w:rsidRDefault="003E6338" w:rsidP="003E63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E6338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7076FF" w14:textId="77777777" w:rsidR="003E6338" w:rsidRPr="003E6338" w:rsidRDefault="003E6338" w:rsidP="003E63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E6338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3E6338" w:rsidRPr="003E6338" w14:paraId="0AE9877A" w14:textId="77777777" w:rsidTr="0062425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BBE3E8" w14:textId="77777777" w:rsidR="003E6338" w:rsidRPr="003E6338" w:rsidRDefault="003E6338" w:rsidP="003E63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E6338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232980" w14:textId="77777777" w:rsidR="003E6338" w:rsidRPr="003E6338" w:rsidRDefault="003E6338" w:rsidP="003E63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E6338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FBF4C3" w14:textId="77777777" w:rsidR="003E6338" w:rsidRPr="003E6338" w:rsidRDefault="003E6338" w:rsidP="003E63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E6338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3E6338" w:rsidRPr="003E6338" w14:paraId="3E907249" w14:textId="77777777" w:rsidTr="0062425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FF145C" w14:textId="77777777" w:rsidR="003E6338" w:rsidRPr="003E6338" w:rsidRDefault="003E6338" w:rsidP="003E633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E6338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BCDA60" w14:textId="77777777" w:rsidR="003E6338" w:rsidRPr="003E6338" w:rsidRDefault="003E6338" w:rsidP="003E633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E6338">
              <w:rPr>
                <w:rFonts w:eastAsia="Times New Roman" w:cs="Times New Roman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125D42" w14:textId="77777777" w:rsidR="003E6338" w:rsidRPr="003E6338" w:rsidRDefault="003E6338" w:rsidP="003E633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467D3508" w14:textId="77777777" w:rsidR="003E6338" w:rsidRPr="003E6338" w:rsidRDefault="003E6338" w:rsidP="003E6338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3E6338">
        <w:rPr>
          <w:rFonts w:eastAsia="Times New Roman" w:cs="Times New Roman"/>
          <w:snapToGrid w:val="0"/>
          <w:sz w:val="18"/>
        </w:rPr>
        <w:t>Note:</w:t>
      </w:r>
      <w:r w:rsidRPr="003E6338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3E6338">
        <w:rPr>
          <w:rFonts w:eastAsia="Times New Roman" w:cs="Times New Roman"/>
          <w:sz w:val="18"/>
          <w:lang w:eastAsia="en-AU"/>
        </w:rPr>
        <w:t xml:space="preserve"> </w:t>
      </w:r>
      <w:r w:rsidRPr="003E6338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16AB4D6A" w14:textId="4E2868F2" w:rsidR="00560037" w:rsidRPr="003E6338" w:rsidRDefault="003E6338" w:rsidP="003E6338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3E6338">
        <w:rPr>
          <w:rFonts w:eastAsia="Times New Roman" w:cs="Times New Roman"/>
          <w:lang w:eastAsia="en-AU"/>
        </w:rPr>
        <w:tab/>
        <w:t>(2)</w:t>
      </w:r>
      <w:r w:rsidRPr="003E6338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C8A3AED" w14:textId="77777777" w:rsidR="00554826" w:rsidRPr="00554826" w:rsidRDefault="00554826" w:rsidP="00554826">
      <w:pPr>
        <w:pStyle w:val="ActHead5"/>
      </w:pPr>
      <w:bookmarkStart w:id="5" w:name="_Toc134691918"/>
      <w:r w:rsidRPr="00554826">
        <w:t>3  Authority</w:t>
      </w:r>
      <w:bookmarkEnd w:id="5"/>
    </w:p>
    <w:p w14:paraId="0E037868" w14:textId="746716E8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A68A5" w:rsidRPr="007C621F">
        <w:t xml:space="preserve">subclause 5(2) of </w:t>
      </w:r>
      <w:r w:rsidR="004A68A5" w:rsidRPr="007C621F">
        <w:rPr>
          <w:szCs w:val="22"/>
        </w:rPr>
        <w:t xml:space="preserve">Schedule 1 to the </w:t>
      </w:r>
      <w:r w:rsidR="004A68A5" w:rsidRPr="007C621F">
        <w:rPr>
          <w:i/>
          <w:iCs/>
          <w:szCs w:val="22"/>
        </w:rPr>
        <w:t>Competition and Consumer (Industry Code—Port Terminal Access (Bulk Wheat)) Regulation 2014</w:t>
      </w:r>
      <w:r w:rsidRPr="009C2562">
        <w:t>.</w:t>
      </w:r>
    </w:p>
    <w:p w14:paraId="362EED3F" w14:textId="77777777" w:rsidR="00554826" w:rsidRPr="00554826" w:rsidRDefault="00554826" w:rsidP="00554826">
      <w:pPr>
        <w:pStyle w:val="ActHead5"/>
      </w:pPr>
      <w:bookmarkStart w:id="6" w:name="_Toc134691919"/>
      <w:r w:rsidRPr="00554826">
        <w:t>4  Definitions</w:t>
      </w:r>
      <w:bookmarkEnd w:id="6"/>
    </w:p>
    <w:p w14:paraId="41505DF5" w14:textId="589786F3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 xml:space="preserve">the </w:t>
      </w:r>
      <w:r w:rsidR="001B2BCD">
        <w:t>Code</w:t>
      </w:r>
      <w:r w:rsidRPr="009C2562">
        <w:t>, including the following:</w:t>
      </w:r>
    </w:p>
    <w:p w14:paraId="43315233" w14:textId="44C644FB" w:rsidR="00554826" w:rsidRDefault="001B2BCD" w:rsidP="001B2BCD">
      <w:pPr>
        <w:pStyle w:val="notepara"/>
        <w:numPr>
          <w:ilvl w:val="0"/>
          <w:numId w:val="14"/>
        </w:numPr>
      </w:pPr>
      <w:r>
        <w:t>ACCC</w:t>
      </w:r>
      <w:r w:rsidR="00554826" w:rsidRPr="009C2562">
        <w:t>;</w:t>
      </w:r>
    </w:p>
    <w:p w14:paraId="211C9859" w14:textId="0D943C5D" w:rsidR="001B2BCD" w:rsidRDefault="001B2BCD" w:rsidP="001B2BCD">
      <w:pPr>
        <w:pStyle w:val="notepara"/>
        <w:numPr>
          <w:ilvl w:val="0"/>
          <w:numId w:val="14"/>
        </w:numPr>
      </w:pPr>
      <w:r>
        <w:t>bulk wheat;</w:t>
      </w:r>
    </w:p>
    <w:p w14:paraId="4DCF8651" w14:textId="77777777" w:rsidR="001B2BCD" w:rsidRDefault="001B2BCD" w:rsidP="001B2BCD">
      <w:pPr>
        <w:pStyle w:val="notepara"/>
        <w:numPr>
          <w:ilvl w:val="0"/>
          <w:numId w:val="14"/>
        </w:numPr>
      </w:pPr>
      <w:r>
        <w:t>exempt service provider</w:t>
      </w:r>
    </w:p>
    <w:p w14:paraId="11CAB8D9" w14:textId="77777777" w:rsidR="001B2BCD" w:rsidRDefault="001B2BCD" w:rsidP="001B2BCD">
      <w:pPr>
        <w:pStyle w:val="notepara"/>
        <w:numPr>
          <w:ilvl w:val="0"/>
          <w:numId w:val="14"/>
        </w:numPr>
      </w:pPr>
      <w:r>
        <w:t>port terminal facility</w:t>
      </w:r>
    </w:p>
    <w:p w14:paraId="33734F32" w14:textId="77777777" w:rsidR="001B2BCD" w:rsidRDefault="001B2BCD" w:rsidP="001B2BCD">
      <w:pPr>
        <w:pStyle w:val="notepara"/>
        <w:numPr>
          <w:ilvl w:val="0"/>
          <w:numId w:val="14"/>
        </w:numPr>
      </w:pPr>
      <w:r>
        <w:t>port terminal service</w:t>
      </w:r>
    </w:p>
    <w:p w14:paraId="562B5255" w14:textId="536DF6EE" w:rsidR="00554826" w:rsidRPr="009C2562" w:rsidRDefault="001B2BCD" w:rsidP="001B2BCD">
      <w:pPr>
        <w:pStyle w:val="notepara"/>
        <w:numPr>
          <w:ilvl w:val="0"/>
          <w:numId w:val="14"/>
        </w:numPr>
      </w:pPr>
      <w:r>
        <w:t>port terminal service provider</w:t>
      </w:r>
      <w:r w:rsidR="00554826">
        <w:t>.</w:t>
      </w:r>
    </w:p>
    <w:p w14:paraId="57025E9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0181984" w14:textId="01C22D55" w:rsidR="00554826" w:rsidRDefault="001B2BCD" w:rsidP="00554826">
      <w:pPr>
        <w:pStyle w:val="Definition"/>
      </w:pPr>
      <w:r>
        <w:rPr>
          <w:b/>
          <w:i/>
        </w:rPr>
        <w:t>Code</w:t>
      </w:r>
      <w:r w:rsidR="00554826" w:rsidRPr="009C2562">
        <w:t xml:space="preserve"> means the </w:t>
      </w:r>
      <w:r w:rsidRPr="007C621F">
        <w:rPr>
          <w:i/>
        </w:rPr>
        <w:t>Port Terminal Access (Bulk Wheat) Code of Conduct</w:t>
      </w:r>
      <w:r w:rsidRPr="007C621F">
        <w:t xml:space="preserve"> as set out in Schedule 1 to the </w:t>
      </w:r>
      <w:r w:rsidRPr="007C621F">
        <w:rPr>
          <w:i/>
          <w:iCs/>
          <w:szCs w:val="22"/>
        </w:rPr>
        <w:t>Competition and Consumer (Industry Code—Port Terminal Access (Bulk Wheat)) Regulation 2014</w:t>
      </w:r>
      <w:r w:rsidR="00554826">
        <w:t>.</w:t>
      </w:r>
    </w:p>
    <w:p w14:paraId="02F6F5E5" w14:textId="39F4BF06" w:rsidR="00554826" w:rsidRPr="001B2BCD" w:rsidRDefault="001B2BCD" w:rsidP="00554826">
      <w:pPr>
        <w:pStyle w:val="ActHead5"/>
      </w:pPr>
      <w:bookmarkStart w:id="7" w:name="_Toc134691920"/>
      <w:bookmarkStart w:id="8" w:name="_Hlk134692875"/>
      <w:r w:rsidRPr="001B2BCD">
        <w:lastRenderedPageBreak/>
        <w:t>5</w:t>
      </w:r>
      <w:r w:rsidR="00554826" w:rsidRPr="001B2BCD">
        <w:t xml:space="preserve">  </w:t>
      </w:r>
      <w:r w:rsidRPr="001B2BCD">
        <w:t>Determination</w:t>
      </w:r>
      <w:bookmarkEnd w:id="7"/>
    </w:p>
    <w:p w14:paraId="270391BD" w14:textId="55268CFF" w:rsidR="00554826" w:rsidRPr="00560037" w:rsidRDefault="00446047" w:rsidP="00560037">
      <w:pPr>
        <w:pStyle w:val="subsection"/>
        <w:rPr>
          <w:highlight w:val="yellow"/>
        </w:rPr>
      </w:pPr>
      <w:r w:rsidRPr="001B2BCD">
        <w:tab/>
      </w:r>
      <w:r w:rsidRPr="001B2BCD">
        <w:tab/>
      </w:r>
      <w:r w:rsidR="001B2BCD" w:rsidRPr="001B2BCD">
        <w:t xml:space="preserve">Under </w:t>
      </w:r>
      <w:r w:rsidR="001B2BCD" w:rsidRPr="007C621F">
        <w:t xml:space="preserve">subclause 5(2) of the Code, the ACCC determines that </w:t>
      </w:r>
      <w:r w:rsidR="00CA26A2" w:rsidRPr="00CA26A2">
        <w:t>Consolidated Ag Pty Ltd (ACN 164 749 151) as trustee of The Cadalelup Trust trading as Commodity Ag</w:t>
      </w:r>
      <w:r w:rsidR="00CA26A2">
        <w:t xml:space="preserve">, </w:t>
      </w:r>
      <w:r w:rsidR="001B2BCD" w:rsidRPr="007C621F">
        <w:t xml:space="preserve">is an exempt service provider of port terminal services provided by means of its port terminal facility at </w:t>
      </w:r>
      <w:r w:rsidR="005D34D8">
        <w:t>Albany</w:t>
      </w:r>
      <w:r w:rsidR="001B2BCD" w:rsidRPr="007C621F">
        <w:t xml:space="preserve">, </w:t>
      </w:r>
      <w:r w:rsidR="005D34D8">
        <w:t>Western</w:t>
      </w:r>
      <w:r w:rsidR="001B2BCD" w:rsidRPr="007C621F">
        <w:t xml:space="preserve"> Australia</w:t>
      </w:r>
      <w:r w:rsidR="001B2BCD">
        <w:t>.</w:t>
      </w:r>
      <w:bookmarkEnd w:id="8"/>
    </w:p>
    <w:sectPr w:rsidR="00554826" w:rsidRPr="00560037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DBF3" w14:textId="77777777" w:rsidR="0049773C" w:rsidRDefault="0049773C" w:rsidP="00715914">
      <w:pPr>
        <w:spacing w:line="240" w:lineRule="auto"/>
      </w:pPr>
      <w:r>
        <w:separator/>
      </w:r>
    </w:p>
  </w:endnote>
  <w:endnote w:type="continuationSeparator" w:id="0">
    <w:p w14:paraId="4204A61E" w14:textId="77777777" w:rsidR="0049773C" w:rsidRDefault="0049773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EC81" w14:textId="77777777" w:rsidR="004A68A5" w:rsidRPr="00E33C1C" w:rsidRDefault="004A68A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68A5" w14:paraId="4F30C89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61DBB7" w14:textId="77777777" w:rsidR="004A68A5" w:rsidRDefault="004A68A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36E6EE" w14:textId="154C68C7" w:rsidR="004A68A5" w:rsidRPr="004E1307" w:rsidRDefault="004A68A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03EB">
            <w:rPr>
              <w:i/>
              <w:noProof/>
              <w:sz w:val="18"/>
            </w:rPr>
            <w:t>Competition and Consumer (Industry Code—Port Terminal Access (Bulk Wheat)) (T-Ports Pty Ltd, Wallaroo)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45FE12" w14:textId="77777777" w:rsidR="004A68A5" w:rsidRDefault="004A68A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A68A5" w14:paraId="7BD2285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8B15DB" w14:textId="77777777" w:rsidR="004A68A5" w:rsidRDefault="004A68A5" w:rsidP="00A369E3">
          <w:pPr>
            <w:jc w:val="right"/>
            <w:rPr>
              <w:sz w:val="18"/>
            </w:rPr>
          </w:pPr>
        </w:p>
      </w:tc>
    </w:tr>
  </w:tbl>
  <w:p w14:paraId="486314EF" w14:textId="77777777" w:rsidR="004A68A5" w:rsidRPr="00ED79B6" w:rsidRDefault="004A68A5" w:rsidP="007500C8">
    <w:pPr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9D6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FB152AF" w14:textId="77777777" w:rsidTr="00A87A58">
      <w:tc>
        <w:tcPr>
          <w:tcW w:w="947" w:type="pct"/>
        </w:tcPr>
        <w:p w14:paraId="0CB05E4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1E24BB" w14:textId="361AE17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3F2C">
            <w:rPr>
              <w:i/>
              <w:noProof/>
              <w:sz w:val="18"/>
            </w:rPr>
            <w:t>Competition and Consumer (Industry Code—Port Terminal Access (Bulk Wheat)) (Commodity Ag)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07410B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C269CBD" w14:textId="77777777" w:rsidTr="00A87A58">
      <w:tc>
        <w:tcPr>
          <w:tcW w:w="5000" w:type="pct"/>
          <w:gridSpan w:val="3"/>
        </w:tcPr>
        <w:p w14:paraId="20BDCB22" w14:textId="77777777" w:rsidR="008C2EAC" w:rsidRDefault="008C2EAC" w:rsidP="000850AC">
          <w:pPr>
            <w:rPr>
              <w:sz w:val="18"/>
            </w:rPr>
          </w:pPr>
        </w:p>
      </w:tc>
    </w:tr>
  </w:tbl>
  <w:p w14:paraId="6057B9C7" w14:textId="77777777" w:rsidR="008C2EAC" w:rsidRPr="00ED79B6" w:rsidRDefault="008C2EAC" w:rsidP="003278F2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97EF" w14:textId="77777777" w:rsidR="004A68A5" w:rsidRPr="00E33C1C" w:rsidRDefault="004A68A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A68A5" w14:paraId="30B646A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937961" w14:textId="77777777" w:rsidR="004A68A5" w:rsidRDefault="004A68A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A431A4" w14:textId="023D3A76" w:rsidR="004A68A5" w:rsidRDefault="004A68A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03EB">
            <w:rPr>
              <w:i/>
              <w:noProof/>
              <w:sz w:val="18"/>
            </w:rPr>
            <w:t>Competition and Consumer (Industry Code—Port Terminal Access (Bulk Wheat)) (T-Ports Pty Ltd, Wallaroo)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112B48" w14:textId="77777777" w:rsidR="004A68A5" w:rsidRDefault="004A68A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68A5" w14:paraId="3720AEB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C1DBF8" w14:textId="77777777" w:rsidR="004A68A5" w:rsidRDefault="004A68A5" w:rsidP="00A369E3">
          <w:pPr>
            <w:rPr>
              <w:sz w:val="18"/>
            </w:rPr>
          </w:pPr>
        </w:p>
      </w:tc>
    </w:tr>
  </w:tbl>
  <w:p w14:paraId="7BDC1C83" w14:textId="77777777" w:rsidR="004A68A5" w:rsidRPr="00ED79B6" w:rsidRDefault="004A68A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0D7E" w14:textId="77777777" w:rsidR="004A68A5" w:rsidRPr="00E33C1C" w:rsidRDefault="004A68A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A68A5" w14:paraId="4FB86A4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828AB8" w14:textId="77777777" w:rsidR="004A68A5" w:rsidRDefault="004A68A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1076B5" w14:textId="77777777" w:rsidR="004A68A5" w:rsidRDefault="004A68A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A6CAA2" w14:textId="77777777" w:rsidR="004A68A5" w:rsidRDefault="004A68A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0D17C21" w14:textId="77777777" w:rsidR="004A68A5" w:rsidRPr="00ED79B6" w:rsidRDefault="004A68A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4FE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77BC93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7570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D2F9B7" w14:textId="308EE86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03EB">
            <w:rPr>
              <w:i/>
              <w:noProof/>
              <w:sz w:val="18"/>
            </w:rPr>
            <w:t>Competition and Consumer (Industry Code—Port Terminal Access (Bulk Wheat)) (T-Ports Pty Ltd, Wallaroo)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C2CE9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B8858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E3783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8ABDA5E" w14:textId="77777777" w:rsidR="0072147A" w:rsidRPr="00ED79B6" w:rsidRDefault="0072147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B25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1CEA35D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DAB54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693532" w14:textId="0BB64512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03EB">
            <w:rPr>
              <w:i/>
              <w:noProof/>
              <w:sz w:val="18"/>
            </w:rPr>
            <w:t>Competition and Consumer (Industry Code—Port Terminal Access (Bulk Wheat)) (T-Ports Pty Ltd, Wallaroo)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2A6ED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B899E7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208B37" w14:textId="77777777" w:rsidR="0072147A" w:rsidRDefault="0072147A" w:rsidP="00A369E3">
          <w:pPr>
            <w:rPr>
              <w:sz w:val="18"/>
            </w:rPr>
          </w:pPr>
        </w:p>
      </w:tc>
    </w:tr>
  </w:tbl>
  <w:p w14:paraId="4990FAC5" w14:textId="77777777" w:rsidR="0072147A" w:rsidRPr="00ED79B6" w:rsidRDefault="0072147A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3263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50340C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ACBDC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975E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2BF28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8D95DE0" w14:textId="77777777" w:rsidR="0072147A" w:rsidRPr="00ED79B6" w:rsidRDefault="0072147A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220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7DB6824E" w14:textId="77777777" w:rsidTr="00A87A58">
      <w:tc>
        <w:tcPr>
          <w:tcW w:w="365" w:type="pct"/>
        </w:tcPr>
        <w:p w14:paraId="3E8D6B8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26376C8" w14:textId="75CE320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03EB">
            <w:rPr>
              <w:i/>
              <w:noProof/>
              <w:sz w:val="18"/>
            </w:rPr>
            <w:t>Competition and Consumer (Industry Code—Port Terminal Access (Bulk Wheat)) (T-Ports Pty Ltd, Wallaroo)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CD0B4D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C1B11EB" w14:textId="77777777" w:rsidTr="00A87A58">
      <w:tc>
        <w:tcPr>
          <w:tcW w:w="5000" w:type="pct"/>
          <w:gridSpan w:val="3"/>
        </w:tcPr>
        <w:p w14:paraId="5DB1E13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58B2AA8" w14:textId="77777777" w:rsidR="00F6696E" w:rsidRPr="00ED79B6" w:rsidRDefault="00F6696E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4DD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6DE1335" w14:textId="77777777" w:rsidTr="00A87A58">
      <w:tc>
        <w:tcPr>
          <w:tcW w:w="947" w:type="pct"/>
        </w:tcPr>
        <w:p w14:paraId="2C33DDB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CE3F79" w14:textId="1644FA5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3F2C">
            <w:rPr>
              <w:i/>
              <w:noProof/>
              <w:sz w:val="18"/>
            </w:rPr>
            <w:t>Competition and Consumer (Industry Code—Port Terminal Access (Bulk Wheat)) (Commodity Ag)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65FE6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B2A2B27" w14:textId="77777777" w:rsidTr="00A87A58">
      <w:tc>
        <w:tcPr>
          <w:tcW w:w="5000" w:type="pct"/>
          <w:gridSpan w:val="3"/>
        </w:tcPr>
        <w:p w14:paraId="0093A4E9" w14:textId="77777777" w:rsidR="00F6696E" w:rsidRDefault="00F6696E" w:rsidP="000850AC">
          <w:pPr>
            <w:rPr>
              <w:sz w:val="18"/>
            </w:rPr>
          </w:pPr>
        </w:p>
      </w:tc>
    </w:tr>
  </w:tbl>
  <w:p w14:paraId="5BC64CF6" w14:textId="77777777" w:rsidR="00F6696E" w:rsidRPr="00ED79B6" w:rsidRDefault="00F6696E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48F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35E7663" w14:textId="77777777" w:rsidTr="00A87A58">
      <w:tc>
        <w:tcPr>
          <w:tcW w:w="365" w:type="pct"/>
        </w:tcPr>
        <w:p w14:paraId="7FCD0958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7EC6356" w14:textId="304BD7F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3F2C">
            <w:rPr>
              <w:i/>
              <w:noProof/>
              <w:sz w:val="18"/>
            </w:rPr>
            <w:t>Competition and Consumer (Industry Code—Port Terminal Access (Bulk Wheat)) (Commodity Ag)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ABC983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F0F2BE4" w14:textId="77777777" w:rsidTr="00A87A58">
      <w:tc>
        <w:tcPr>
          <w:tcW w:w="5000" w:type="pct"/>
          <w:gridSpan w:val="3"/>
        </w:tcPr>
        <w:p w14:paraId="69F09EF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413B295" w14:textId="77777777" w:rsidR="008C2EAC" w:rsidRPr="00ED79B6" w:rsidRDefault="008C2EAC" w:rsidP="000A6C6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6314" w14:textId="77777777" w:rsidR="0049773C" w:rsidRDefault="0049773C" w:rsidP="00715914">
      <w:pPr>
        <w:spacing w:line="240" w:lineRule="auto"/>
      </w:pPr>
      <w:r>
        <w:separator/>
      </w:r>
    </w:p>
  </w:footnote>
  <w:footnote w:type="continuationSeparator" w:id="0">
    <w:p w14:paraId="032A1B86" w14:textId="77777777" w:rsidR="0049773C" w:rsidRDefault="0049773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4B27" w14:textId="77777777" w:rsidR="004A68A5" w:rsidRPr="005F1388" w:rsidRDefault="004A68A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150" w14:textId="77777777" w:rsidR="004A68A5" w:rsidRPr="005F1388" w:rsidRDefault="004A68A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85A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FAF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F39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69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179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C06E" w14:textId="77777777" w:rsidR="004E1307" w:rsidRDefault="004E1307" w:rsidP="00715914">
    <w:pPr>
      <w:rPr>
        <w:sz w:val="20"/>
      </w:rPr>
    </w:pPr>
  </w:p>
  <w:p w14:paraId="395D065E" w14:textId="77777777" w:rsidR="004E1307" w:rsidRDefault="004E1307" w:rsidP="00715914">
    <w:pPr>
      <w:rPr>
        <w:sz w:val="20"/>
      </w:rPr>
    </w:pPr>
  </w:p>
  <w:p w14:paraId="40CA05C9" w14:textId="77777777" w:rsidR="004E1307" w:rsidRPr="007A1328" w:rsidRDefault="004E1307" w:rsidP="00715914">
    <w:pPr>
      <w:rPr>
        <w:sz w:val="20"/>
      </w:rPr>
    </w:pPr>
  </w:p>
  <w:p w14:paraId="214CCE5B" w14:textId="77777777" w:rsidR="004E1307" w:rsidRPr="007A1328" w:rsidRDefault="004E1307" w:rsidP="00715914">
    <w:pPr>
      <w:rPr>
        <w:b/>
        <w:sz w:val="24"/>
      </w:rPr>
    </w:pPr>
  </w:p>
  <w:p w14:paraId="1A9546D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D90F" w14:textId="77777777" w:rsidR="004E1307" w:rsidRPr="007A1328" w:rsidRDefault="004E1307" w:rsidP="00715914">
    <w:pPr>
      <w:jc w:val="right"/>
      <w:rPr>
        <w:sz w:val="20"/>
      </w:rPr>
    </w:pPr>
  </w:p>
  <w:p w14:paraId="0C6F1973" w14:textId="77777777" w:rsidR="004E1307" w:rsidRPr="007A1328" w:rsidRDefault="004E1307" w:rsidP="00715914">
    <w:pPr>
      <w:jc w:val="right"/>
      <w:rPr>
        <w:sz w:val="20"/>
      </w:rPr>
    </w:pPr>
  </w:p>
  <w:p w14:paraId="1D301424" w14:textId="77777777" w:rsidR="004E1307" w:rsidRPr="007A1328" w:rsidRDefault="004E1307" w:rsidP="00715914">
    <w:pPr>
      <w:jc w:val="right"/>
      <w:rPr>
        <w:sz w:val="20"/>
      </w:rPr>
    </w:pPr>
  </w:p>
  <w:p w14:paraId="588167DE" w14:textId="77777777" w:rsidR="004E1307" w:rsidRPr="007A1328" w:rsidRDefault="004E1307" w:rsidP="00715914">
    <w:pPr>
      <w:jc w:val="right"/>
      <w:rPr>
        <w:b/>
        <w:sz w:val="24"/>
      </w:rPr>
    </w:pPr>
  </w:p>
  <w:p w14:paraId="777A91B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941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8C8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3C3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20C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A0C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09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CC7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21F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40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D6F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212C54"/>
    <w:multiLevelType w:val="hybridMultilevel"/>
    <w:tmpl w:val="AEB61558"/>
    <w:lvl w:ilvl="0" w:tplc="3E3CD76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8D7141A"/>
    <w:multiLevelType w:val="hybridMultilevel"/>
    <w:tmpl w:val="7F8462FC"/>
    <w:lvl w:ilvl="0" w:tplc="3410CF5C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049764350">
    <w:abstractNumId w:val="9"/>
  </w:num>
  <w:num w:numId="2" w16cid:durableId="1410688799">
    <w:abstractNumId w:val="7"/>
  </w:num>
  <w:num w:numId="3" w16cid:durableId="290328618">
    <w:abstractNumId w:val="6"/>
  </w:num>
  <w:num w:numId="4" w16cid:durableId="794909486">
    <w:abstractNumId w:val="5"/>
  </w:num>
  <w:num w:numId="5" w16cid:durableId="22823873">
    <w:abstractNumId w:val="4"/>
  </w:num>
  <w:num w:numId="6" w16cid:durableId="859513156">
    <w:abstractNumId w:val="8"/>
  </w:num>
  <w:num w:numId="7" w16cid:durableId="183128814">
    <w:abstractNumId w:val="3"/>
  </w:num>
  <w:num w:numId="8" w16cid:durableId="1310133170">
    <w:abstractNumId w:val="2"/>
  </w:num>
  <w:num w:numId="9" w16cid:durableId="886339489">
    <w:abstractNumId w:val="1"/>
  </w:num>
  <w:num w:numId="10" w16cid:durableId="1293512020">
    <w:abstractNumId w:val="0"/>
  </w:num>
  <w:num w:numId="11" w16cid:durableId="329984237">
    <w:abstractNumId w:val="13"/>
  </w:num>
  <w:num w:numId="12" w16cid:durableId="1172646974">
    <w:abstractNumId w:val="10"/>
  </w:num>
  <w:num w:numId="13" w16cid:durableId="1484076758">
    <w:abstractNumId w:val="11"/>
  </w:num>
  <w:num w:numId="14" w16cid:durableId="1308510596">
    <w:abstractNumId w:val="14"/>
  </w:num>
  <w:num w:numId="15" w16cid:durableId="1672249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47"/>
    <w:rsid w:val="00004174"/>
    <w:rsid w:val="00004470"/>
    <w:rsid w:val="0000607E"/>
    <w:rsid w:val="000136AF"/>
    <w:rsid w:val="000258B1"/>
    <w:rsid w:val="00027E75"/>
    <w:rsid w:val="00040A89"/>
    <w:rsid w:val="000437C1"/>
    <w:rsid w:val="0004455A"/>
    <w:rsid w:val="0005365D"/>
    <w:rsid w:val="000614BF"/>
    <w:rsid w:val="00066D2B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BCD"/>
    <w:rsid w:val="001B2CB6"/>
    <w:rsid w:val="001B35E4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78AE"/>
    <w:rsid w:val="002564A4"/>
    <w:rsid w:val="0026736C"/>
    <w:rsid w:val="00281308"/>
    <w:rsid w:val="00284719"/>
    <w:rsid w:val="00297ECB"/>
    <w:rsid w:val="002A7BCF"/>
    <w:rsid w:val="002B4917"/>
    <w:rsid w:val="002C3FD1"/>
    <w:rsid w:val="002D043A"/>
    <w:rsid w:val="002D1090"/>
    <w:rsid w:val="002D266B"/>
    <w:rsid w:val="002D6224"/>
    <w:rsid w:val="00304F8B"/>
    <w:rsid w:val="003224E7"/>
    <w:rsid w:val="00334A66"/>
    <w:rsid w:val="00335BC6"/>
    <w:rsid w:val="003415D3"/>
    <w:rsid w:val="00344338"/>
    <w:rsid w:val="00344701"/>
    <w:rsid w:val="00352B0F"/>
    <w:rsid w:val="00355AB9"/>
    <w:rsid w:val="00360459"/>
    <w:rsid w:val="0038049F"/>
    <w:rsid w:val="003C6231"/>
    <w:rsid w:val="003D0BFE"/>
    <w:rsid w:val="003D5700"/>
    <w:rsid w:val="003D7D26"/>
    <w:rsid w:val="003E341B"/>
    <w:rsid w:val="003E4D00"/>
    <w:rsid w:val="003E6338"/>
    <w:rsid w:val="004008BE"/>
    <w:rsid w:val="004116CD"/>
    <w:rsid w:val="00417EB9"/>
    <w:rsid w:val="00424CA9"/>
    <w:rsid w:val="004276DF"/>
    <w:rsid w:val="00431E9B"/>
    <w:rsid w:val="0043419F"/>
    <w:rsid w:val="004379E3"/>
    <w:rsid w:val="0044015E"/>
    <w:rsid w:val="0044291A"/>
    <w:rsid w:val="00443DBC"/>
    <w:rsid w:val="00446047"/>
    <w:rsid w:val="00467661"/>
    <w:rsid w:val="00472DBE"/>
    <w:rsid w:val="00474A19"/>
    <w:rsid w:val="00477830"/>
    <w:rsid w:val="00487764"/>
    <w:rsid w:val="00494753"/>
    <w:rsid w:val="00496F97"/>
    <w:rsid w:val="0049773C"/>
    <w:rsid w:val="004A68A5"/>
    <w:rsid w:val="004B6C48"/>
    <w:rsid w:val="004C2E73"/>
    <w:rsid w:val="004C4E59"/>
    <w:rsid w:val="004C6809"/>
    <w:rsid w:val="004E063A"/>
    <w:rsid w:val="004E1307"/>
    <w:rsid w:val="004E7BEC"/>
    <w:rsid w:val="0050123F"/>
    <w:rsid w:val="00505D3D"/>
    <w:rsid w:val="00506AF6"/>
    <w:rsid w:val="00516B8D"/>
    <w:rsid w:val="005303C8"/>
    <w:rsid w:val="00537FBC"/>
    <w:rsid w:val="00554226"/>
    <w:rsid w:val="00554826"/>
    <w:rsid w:val="00560037"/>
    <w:rsid w:val="00562877"/>
    <w:rsid w:val="00584811"/>
    <w:rsid w:val="00585784"/>
    <w:rsid w:val="00593AA6"/>
    <w:rsid w:val="00594161"/>
    <w:rsid w:val="00594749"/>
    <w:rsid w:val="005969C9"/>
    <w:rsid w:val="005A65D5"/>
    <w:rsid w:val="005B4067"/>
    <w:rsid w:val="005C3F41"/>
    <w:rsid w:val="005D1D92"/>
    <w:rsid w:val="005D2D09"/>
    <w:rsid w:val="005D34D8"/>
    <w:rsid w:val="00600219"/>
    <w:rsid w:val="00604F2A"/>
    <w:rsid w:val="00620076"/>
    <w:rsid w:val="00627E0A"/>
    <w:rsid w:val="00633273"/>
    <w:rsid w:val="00642090"/>
    <w:rsid w:val="0065488B"/>
    <w:rsid w:val="00670EA1"/>
    <w:rsid w:val="00677CC2"/>
    <w:rsid w:val="0068744B"/>
    <w:rsid w:val="006905DE"/>
    <w:rsid w:val="0069207B"/>
    <w:rsid w:val="00694E63"/>
    <w:rsid w:val="006A154F"/>
    <w:rsid w:val="006A437B"/>
    <w:rsid w:val="006B5789"/>
    <w:rsid w:val="006C30C5"/>
    <w:rsid w:val="006C44D4"/>
    <w:rsid w:val="006C6278"/>
    <w:rsid w:val="006C7F8C"/>
    <w:rsid w:val="006E2E1C"/>
    <w:rsid w:val="006E6246"/>
    <w:rsid w:val="006E69C2"/>
    <w:rsid w:val="006E6DCC"/>
    <w:rsid w:val="006F0683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59D6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3E8D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33394"/>
    <w:rsid w:val="009377AF"/>
    <w:rsid w:val="00941236"/>
    <w:rsid w:val="00943556"/>
    <w:rsid w:val="00943FD5"/>
    <w:rsid w:val="00947D5A"/>
    <w:rsid w:val="009532A5"/>
    <w:rsid w:val="009545BD"/>
    <w:rsid w:val="00964CF0"/>
    <w:rsid w:val="00970A31"/>
    <w:rsid w:val="00977806"/>
    <w:rsid w:val="00982242"/>
    <w:rsid w:val="009868E9"/>
    <w:rsid w:val="009900A3"/>
    <w:rsid w:val="00996C52"/>
    <w:rsid w:val="009C3413"/>
    <w:rsid w:val="00A0441E"/>
    <w:rsid w:val="00A12128"/>
    <w:rsid w:val="00A22C98"/>
    <w:rsid w:val="00A231E2"/>
    <w:rsid w:val="00A369E3"/>
    <w:rsid w:val="00A44BBD"/>
    <w:rsid w:val="00A57600"/>
    <w:rsid w:val="00A64912"/>
    <w:rsid w:val="00A70A74"/>
    <w:rsid w:val="00A75FE9"/>
    <w:rsid w:val="00AA55E1"/>
    <w:rsid w:val="00AB2FD0"/>
    <w:rsid w:val="00AC231E"/>
    <w:rsid w:val="00AD53CC"/>
    <w:rsid w:val="00AD5641"/>
    <w:rsid w:val="00AE7434"/>
    <w:rsid w:val="00AE7C87"/>
    <w:rsid w:val="00AF06CF"/>
    <w:rsid w:val="00AF7175"/>
    <w:rsid w:val="00B003EB"/>
    <w:rsid w:val="00B07CDB"/>
    <w:rsid w:val="00B16A31"/>
    <w:rsid w:val="00B17DFD"/>
    <w:rsid w:val="00B23F2C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6307"/>
    <w:rsid w:val="00B80199"/>
    <w:rsid w:val="00B83204"/>
    <w:rsid w:val="00B856E7"/>
    <w:rsid w:val="00BA220B"/>
    <w:rsid w:val="00BA3A57"/>
    <w:rsid w:val="00BB1533"/>
    <w:rsid w:val="00BB4E1A"/>
    <w:rsid w:val="00BB5328"/>
    <w:rsid w:val="00BC015E"/>
    <w:rsid w:val="00BC76AC"/>
    <w:rsid w:val="00BD0ECB"/>
    <w:rsid w:val="00BD2AE7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06DB"/>
    <w:rsid w:val="00C67209"/>
    <w:rsid w:val="00C7573B"/>
    <w:rsid w:val="00C97A54"/>
    <w:rsid w:val="00CA26A2"/>
    <w:rsid w:val="00CA5B23"/>
    <w:rsid w:val="00CA678A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7666"/>
    <w:rsid w:val="00DA186E"/>
    <w:rsid w:val="00DA4116"/>
    <w:rsid w:val="00DA507E"/>
    <w:rsid w:val="00DB251C"/>
    <w:rsid w:val="00DB341F"/>
    <w:rsid w:val="00DB4630"/>
    <w:rsid w:val="00DC4F88"/>
    <w:rsid w:val="00DE107C"/>
    <w:rsid w:val="00DF2388"/>
    <w:rsid w:val="00E05704"/>
    <w:rsid w:val="00E2082F"/>
    <w:rsid w:val="00E26895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7D2C"/>
    <w:rsid w:val="00ED2BB6"/>
    <w:rsid w:val="00ED34E1"/>
    <w:rsid w:val="00ED3B8D"/>
    <w:rsid w:val="00EE1AE0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4232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EA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B2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B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BCD"/>
  </w:style>
  <w:style w:type="character" w:styleId="Hyperlink">
    <w:name w:val="Hyperlink"/>
    <w:basedOn w:val="DefaultParagraphFont"/>
    <w:uiPriority w:val="99"/>
    <w:unhideWhenUsed/>
    <w:rsid w:val="001B2BC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E75"/>
    <w:rPr>
      <w:b/>
      <w:bCs/>
    </w:rPr>
  </w:style>
  <w:style w:type="paragraph" w:styleId="Revision">
    <w:name w:val="Revision"/>
    <w:hidden/>
    <w:uiPriority w:val="99"/>
    <w:semiHidden/>
    <w:rsid w:val="005D34D8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976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</Words>
  <Characters>2104</Characters>
  <Application>Microsoft Office Word</Application>
  <DocSecurity>4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2023-05-29T04:13:00Z</dcterms:created>
  <dcterms:modified xsi:type="dcterms:W3CDTF">2023-05-29T04:13:00Z</dcterms:modified>
</cp:coreProperties>
</file>