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9D38FE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386C319" wp14:editId="03F75D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61C7503C" w:rsidR="00BE02B7" w:rsidRPr="00A20961" w:rsidRDefault="001D03D8" w:rsidP="00BE02B7">
      <w:pPr>
        <w:pStyle w:val="ShortT"/>
      </w:pPr>
      <w:r>
        <w:t>Competition and Consumer (Industry Codes</w:t>
      </w:r>
      <w:r w:rsidR="004F30AE" w:rsidRPr="00690204">
        <w:t>—</w:t>
      </w:r>
      <w:r>
        <w:t>Food and Grocery) (Acting Independent Reviewer)</w:t>
      </w:r>
      <w:r w:rsidR="005867CB" w:rsidRPr="00AB70AE">
        <w:t xml:space="preserve"> </w:t>
      </w:r>
      <w:r w:rsidR="00075563">
        <w:t>A</w:t>
      </w:r>
      <w:r w:rsidR="005867CB" w:rsidRPr="00AB70AE">
        <w:t xml:space="preserve">ppointment </w:t>
      </w:r>
      <w:r w:rsidR="005867CB">
        <w:t xml:space="preserve">(No. </w:t>
      </w:r>
      <w:r w:rsidR="00C37B8A">
        <w:t>1</w:t>
      </w:r>
      <w:r w:rsidR="005867CB">
        <w:t xml:space="preserve">) </w:t>
      </w:r>
      <w:r w:rsidR="00AB70AE" w:rsidRPr="00AB70AE">
        <w:t>202</w:t>
      </w:r>
      <w:r>
        <w:t>3</w:t>
      </w:r>
    </w:p>
    <w:p w14:paraId="28B004F2" w14:textId="11635D2B" w:rsidR="009F7A11" w:rsidRDefault="005867CB" w:rsidP="00174C9C">
      <w:pPr>
        <w:pStyle w:val="SignCoverPageStart"/>
        <w:spacing w:before="240"/>
        <w:jc w:val="left"/>
      </w:pPr>
      <w:r w:rsidRPr="00A20961">
        <w:rPr>
          <w:szCs w:val="22"/>
        </w:rPr>
        <w:t xml:space="preserve">I, </w:t>
      </w:r>
      <w:r w:rsidR="001D03D8">
        <w:rPr>
          <w:szCs w:val="22"/>
        </w:rPr>
        <w:t>Andrew Leigh</w:t>
      </w:r>
      <w:r>
        <w:rPr>
          <w:szCs w:val="22"/>
        </w:rPr>
        <w:t xml:space="preserve">, </w:t>
      </w:r>
      <w:r w:rsidR="001D03D8" w:rsidRPr="000B0EFF">
        <w:rPr>
          <w:szCs w:val="22"/>
        </w:rPr>
        <w:t>Assistant Minister for Competition, Charities and Treasury</w:t>
      </w:r>
      <w:r>
        <w:rPr>
          <w:szCs w:val="22"/>
        </w:rPr>
        <w:t xml:space="preserve">, </w:t>
      </w:r>
      <w:r w:rsidRPr="00A20961">
        <w:t xml:space="preserve">under </w:t>
      </w:r>
      <w:r w:rsidR="001D03D8">
        <w:t xml:space="preserve">subclause 37(1) of the </w:t>
      </w:r>
      <w:r w:rsidR="001D03D8" w:rsidRPr="001D03D8">
        <w:rPr>
          <w:i/>
          <w:iCs/>
        </w:rPr>
        <w:t>Food and Grocery Code of Conduct</w:t>
      </w:r>
      <w:r w:rsidR="001D03D8">
        <w:t xml:space="preserve"> (set out in Schedule 1 to the </w:t>
      </w:r>
      <w:r w:rsidR="001D03D8" w:rsidRPr="001D03D8">
        <w:rPr>
          <w:i/>
          <w:iCs/>
        </w:rPr>
        <w:t>Competition and Consumer (Industry Codes</w:t>
      </w:r>
      <w:r w:rsidR="005E35C6" w:rsidRPr="00690204">
        <w:t>—</w:t>
      </w:r>
      <w:r w:rsidR="001D03D8" w:rsidRPr="001D03D8">
        <w:rPr>
          <w:i/>
          <w:iCs/>
        </w:rPr>
        <w:t>Food and Grocery) Regulation 2015)</w:t>
      </w:r>
      <w:r w:rsidR="00BE6996">
        <w:rPr>
          <w:i/>
          <w:iCs/>
        </w:rPr>
        <w:t xml:space="preserve"> </w:t>
      </w:r>
      <w:r w:rsidR="00BE6996">
        <w:t>(the Code)</w:t>
      </w:r>
      <w:r w:rsidR="004A4DAC">
        <w:t xml:space="preserve"> and </w:t>
      </w:r>
      <w:r w:rsidR="009F7A11">
        <w:t xml:space="preserve">subsection 33(4) of the </w:t>
      </w:r>
      <w:r w:rsidR="009F7A11" w:rsidRPr="000B0EFF">
        <w:rPr>
          <w:i/>
          <w:iCs/>
        </w:rPr>
        <w:t>Acts Interpretation Act 1901</w:t>
      </w:r>
      <w:r w:rsidR="009F7A11">
        <w:t>:</w:t>
      </w:r>
    </w:p>
    <w:p w14:paraId="0D522390" w14:textId="4D7B9C2D" w:rsidR="00BE02B7" w:rsidRPr="003F4D69" w:rsidRDefault="001D03D8" w:rsidP="000B0EFF">
      <w:pPr>
        <w:pStyle w:val="SignCoverPageStart"/>
        <w:numPr>
          <w:ilvl w:val="0"/>
          <w:numId w:val="14"/>
        </w:numPr>
        <w:pBdr>
          <w:top w:val="none" w:sz="0" w:space="0" w:color="auto"/>
        </w:pBdr>
        <w:spacing w:before="240"/>
        <w:jc w:val="left"/>
      </w:pPr>
      <w:r>
        <w:t xml:space="preserve">being satisfied </w:t>
      </w:r>
      <w:r w:rsidR="001E1914">
        <w:t>he</w:t>
      </w:r>
      <w:r>
        <w:t xml:space="preserve"> is eligible for appointment under subclause 37(2) of the Code, appoint Christopher (Chris) </w:t>
      </w:r>
      <w:proofErr w:type="spellStart"/>
      <w:r>
        <w:t>Leptos</w:t>
      </w:r>
      <w:proofErr w:type="spellEnd"/>
      <w:r>
        <w:t xml:space="preserve"> AM as the acting Independent Reviewer for </w:t>
      </w:r>
      <w:r w:rsidR="000B0EFF">
        <w:t xml:space="preserve">the </w:t>
      </w:r>
      <w:r>
        <w:t xml:space="preserve">period beginning on 5 August 2023 </w:t>
      </w:r>
      <w:r w:rsidR="000B0EFF">
        <w:t xml:space="preserve">until the earlier of: </w:t>
      </w:r>
    </w:p>
    <w:p w14:paraId="7BA190BB" w14:textId="77777777" w:rsidR="000B0EFF" w:rsidRDefault="000B0EFF" w:rsidP="000B0EFF">
      <w:pPr>
        <w:rPr>
          <w:lang w:eastAsia="en-AU"/>
        </w:rPr>
      </w:pPr>
    </w:p>
    <w:p w14:paraId="003A401C" w14:textId="77777777" w:rsidR="000B0EFF" w:rsidRDefault="000B0EFF" w:rsidP="000B0EFF">
      <w:pPr>
        <w:pStyle w:val="ListParagraph"/>
        <w:widowControl w:val="0"/>
        <w:numPr>
          <w:ilvl w:val="0"/>
          <w:numId w:val="15"/>
        </w:numPr>
        <w:rPr>
          <w:lang w:eastAsia="en-AU"/>
        </w:rPr>
      </w:pPr>
      <w:r>
        <w:rPr>
          <w:lang w:eastAsia="en-AU"/>
        </w:rPr>
        <w:t>4 November 2023; or</w:t>
      </w:r>
      <w:r>
        <w:rPr>
          <w:lang w:eastAsia="en-AU"/>
        </w:rPr>
        <w:br/>
      </w:r>
    </w:p>
    <w:p w14:paraId="55BA347B" w14:textId="3BE32E6D" w:rsidR="000B0EFF" w:rsidRDefault="000B0EFF" w:rsidP="000B0EFF">
      <w:pPr>
        <w:pStyle w:val="ListParagraph"/>
        <w:widowControl w:val="0"/>
        <w:numPr>
          <w:ilvl w:val="0"/>
          <w:numId w:val="15"/>
        </w:numPr>
        <w:rPr>
          <w:lang w:eastAsia="en-AU"/>
        </w:rPr>
      </w:pPr>
      <w:r>
        <w:rPr>
          <w:lang w:eastAsia="en-AU"/>
        </w:rPr>
        <w:t>the appointment of the next</w:t>
      </w:r>
      <w:r w:rsidR="001E1914">
        <w:rPr>
          <w:lang w:eastAsia="en-AU"/>
        </w:rPr>
        <w:t xml:space="preserve"> substantive</w:t>
      </w:r>
      <w:r>
        <w:rPr>
          <w:lang w:eastAsia="en-AU"/>
        </w:rPr>
        <w:t xml:space="preserve"> Independent </w:t>
      </w:r>
      <w:r w:rsidR="00E811D5">
        <w:rPr>
          <w:lang w:eastAsia="en-AU"/>
        </w:rPr>
        <w:t>R</w:t>
      </w:r>
      <w:r>
        <w:rPr>
          <w:lang w:eastAsia="en-AU"/>
        </w:rPr>
        <w:t>eviewer, under subclause 37(1) of the Code, takes effect; and</w:t>
      </w:r>
    </w:p>
    <w:p w14:paraId="0A06AFA4" w14:textId="03E193F0" w:rsidR="000B0EFF" w:rsidRPr="009C648C" w:rsidRDefault="00B20880" w:rsidP="000B0EFF">
      <w:pPr>
        <w:pStyle w:val="SignCoverPageStart"/>
        <w:numPr>
          <w:ilvl w:val="0"/>
          <w:numId w:val="14"/>
        </w:numPr>
        <w:pBdr>
          <w:top w:val="none" w:sz="0" w:space="0" w:color="auto"/>
        </w:pBdr>
        <w:spacing w:before="240"/>
        <w:jc w:val="left"/>
      </w:pPr>
      <w:r>
        <w:t xml:space="preserve">determine that </w:t>
      </w:r>
      <w:r w:rsidR="00F3460D">
        <w:t xml:space="preserve">the remuneration and allowances </w:t>
      </w:r>
      <w:r w:rsidR="00F91FF3">
        <w:t xml:space="preserve">payable </w:t>
      </w:r>
      <w:r>
        <w:t xml:space="preserve">during the period of appointment referred to </w:t>
      </w:r>
      <w:r w:rsidR="00A10D59">
        <w:t>in paragraph (a)</w:t>
      </w:r>
      <w:r w:rsidR="00F91FF3">
        <w:t xml:space="preserve"> are those that would apply to the Independent Reviewer during the period of appointment.</w:t>
      </w:r>
    </w:p>
    <w:p w14:paraId="399E201C" w14:textId="77777777" w:rsidR="00BF3213" w:rsidRDefault="00BF3213" w:rsidP="00D4794E">
      <w:pPr>
        <w:widowControl w:val="0"/>
        <w:spacing w:before="300" w:line="240" w:lineRule="atLeast"/>
        <w:ind w:right="397"/>
        <w:jc w:val="both"/>
        <w:rPr>
          <w:szCs w:val="22"/>
        </w:rPr>
      </w:pPr>
    </w:p>
    <w:p w14:paraId="232AF1FA" w14:textId="6A3B3CE8" w:rsidR="00CC7C9D" w:rsidRPr="00A20961" w:rsidRDefault="009D38FE" w:rsidP="00D4794E">
      <w:pPr>
        <w:widowControl w:val="0"/>
        <w:spacing w:before="300" w:line="240" w:lineRule="atLeast"/>
        <w:ind w:right="397"/>
        <w:jc w:val="both"/>
        <w:rPr>
          <w:szCs w:val="22"/>
        </w:rPr>
      </w:pPr>
      <w:r w:rsidRPr="00A20961">
        <w:rPr>
          <w:szCs w:val="22"/>
        </w:rPr>
        <w:t>Dated</w:t>
      </w:r>
      <w:r w:rsidRPr="00A20961">
        <w:rPr>
          <w:szCs w:val="22"/>
        </w:rPr>
        <w:tab/>
      </w:r>
      <w:r w:rsidRPr="00A20961">
        <w:rPr>
          <w:szCs w:val="22"/>
        </w:rPr>
        <w:tab/>
      </w:r>
      <w:r w:rsidR="00896FE9">
        <w:rPr>
          <w:szCs w:val="22"/>
        </w:rPr>
        <w:t xml:space="preserve">31 July </w:t>
      </w:r>
      <w:r w:rsidR="000E6355">
        <w:rPr>
          <w:szCs w:val="22"/>
        </w:rPr>
        <w:t xml:space="preserve">  </w:t>
      </w:r>
      <w:r w:rsidR="00525AB5">
        <w:rPr>
          <w:szCs w:val="22"/>
        </w:rPr>
        <w:t>202</w:t>
      </w:r>
      <w:r w:rsidR="001D03D8">
        <w:rPr>
          <w:szCs w:val="22"/>
        </w:rPr>
        <w:t>3</w:t>
      </w:r>
    </w:p>
    <w:p w14:paraId="19F26D42" w14:textId="77777777" w:rsidR="00525AB5" w:rsidRDefault="00525AB5" w:rsidP="00D4794E">
      <w:pPr>
        <w:widowControl w:val="0"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4191D32B" w14:textId="3F88B679" w:rsidR="00CC7C9D" w:rsidRPr="00B0705E" w:rsidRDefault="00BA6A8F" w:rsidP="00B0705E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794"/>
        <w:rPr>
          <w:rFonts w:eastAsia="Times New Roman" w:cs="Times New Roman"/>
          <w:szCs w:val="22"/>
          <w:lang w:eastAsia="en-AU"/>
        </w:rPr>
      </w:pPr>
      <w:r w:rsidRPr="00B0705E">
        <w:rPr>
          <w:rFonts w:eastAsia="Times New Roman" w:cs="Times New Roman"/>
          <w:szCs w:val="22"/>
          <w:lang w:eastAsia="en-AU"/>
        </w:rPr>
        <w:t xml:space="preserve">Dr </w:t>
      </w:r>
      <w:r w:rsidR="00BF3213" w:rsidRPr="00B0705E">
        <w:rPr>
          <w:rFonts w:eastAsia="Times New Roman" w:cs="Times New Roman"/>
          <w:szCs w:val="22"/>
          <w:lang w:eastAsia="en-AU"/>
        </w:rPr>
        <w:t>Andrew Leigh</w:t>
      </w:r>
      <w:r w:rsidR="00BF3213" w:rsidRPr="00B0705E">
        <w:rPr>
          <w:rFonts w:eastAsia="Times New Roman" w:cs="Times New Roman"/>
          <w:szCs w:val="22"/>
          <w:lang w:eastAsia="en-AU"/>
        </w:rPr>
        <w:br/>
        <w:t>Assistant Minister for Competition, Charit</w:t>
      </w:r>
      <w:r w:rsidR="00C27C2E">
        <w:rPr>
          <w:rFonts w:eastAsia="Times New Roman" w:cs="Times New Roman"/>
          <w:szCs w:val="22"/>
          <w:lang w:eastAsia="en-AU"/>
        </w:rPr>
        <w:t>i</w:t>
      </w:r>
      <w:r w:rsidR="00BF3213" w:rsidRPr="00B0705E">
        <w:rPr>
          <w:rFonts w:eastAsia="Times New Roman" w:cs="Times New Roman"/>
          <w:szCs w:val="22"/>
          <w:lang w:eastAsia="en-AU"/>
        </w:rPr>
        <w:t>es and Treasury</w:t>
      </w:r>
      <w:r w:rsidR="00BF3213" w:rsidRPr="00B0705E">
        <w:rPr>
          <w:rFonts w:eastAsia="Times New Roman" w:cs="Times New Roman"/>
          <w:szCs w:val="22"/>
          <w:lang w:eastAsia="en-AU"/>
        </w:rPr>
        <w:br/>
      </w:r>
      <w:r w:rsidR="00CA0FBE" w:rsidRPr="00B0705E">
        <w:rPr>
          <w:rFonts w:eastAsia="Times New Roman" w:cs="Times New Roman"/>
          <w:szCs w:val="22"/>
          <w:lang w:eastAsia="en-AU"/>
        </w:rPr>
        <w:t>Parliamentary Secretary to the Treasu</w:t>
      </w:r>
      <w:r w:rsidR="007F6A31" w:rsidRPr="00B0705E">
        <w:rPr>
          <w:rFonts w:eastAsia="Times New Roman" w:cs="Times New Roman"/>
          <w:szCs w:val="22"/>
          <w:lang w:eastAsia="en-AU"/>
        </w:rPr>
        <w:t>rer</w:t>
      </w:r>
    </w:p>
    <w:bookmarkEnd w:id="0"/>
    <w:p w14:paraId="06653AC8" w14:textId="51CBB1FB" w:rsidR="00BF3213" w:rsidRPr="00607FE9" w:rsidRDefault="00BF3213" w:rsidP="00B0705E">
      <w:pPr>
        <w:pStyle w:val="SignCoverPageEnd"/>
        <w:keepNext w:val="0"/>
        <w:widowControl w:val="0"/>
        <w:pBdr>
          <w:bottom w:val="none" w:sz="0" w:space="0" w:color="auto"/>
        </w:pBdr>
        <w:rPr>
          <w:sz w:val="22"/>
        </w:rPr>
      </w:pPr>
    </w:p>
    <w:sectPr w:rsidR="00BF3213" w:rsidRPr="00607FE9" w:rsidSect="00527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F0E5" w14:textId="77777777" w:rsidR="00AD084B" w:rsidRDefault="00AD084B">
      <w:pPr>
        <w:spacing w:line="240" w:lineRule="auto"/>
      </w:pPr>
      <w:r>
        <w:separator/>
      </w:r>
    </w:p>
  </w:endnote>
  <w:endnote w:type="continuationSeparator" w:id="0">
    <w:p w14:paraId="352F6A8B" w14:textId="77777777" w:rsidR="00AD084B" w:rsidRDefault="00AD0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4F83" w14:textId="77777777" w:rsidR="00AD084B" w:rsidRDefault="00AD084B">
      <w:pPr>
        <w:spacing w:line="240" w:lineRule="auto"/>
      </w:pPr>
      <w:r>
        <w:separator/>
      </w:r>
    </w:p>
  </w:footnote>
  <w:footnote w:type="continuationSeparator" w:id="0">
    <w:p w14:paraId="5648AFA9" w14:textId="77777777" w:rsidR="00AD084B" w:rsidRDefault="00AD0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F69"/>
    <w:multiLevelType w:val="hybridMultilevel"/>
    <w:tmpl w:val="245A0E2C"/>
    <w:lvl w:ilvl="0" w:tplc="48EC10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8BF5A39"/>
    <w:multiLevelType w:val="hybridMultilevel"/>
    <w:tmpl w:val="ED88FA9A"/>
    <w:lvl w:ilvl="0" w:tplc="6B6C86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72460">
    <w:abstractNumId w:val="9"/>
  </w:num>
  <w:num w:numId="2" w16cid:durableId="208733256">
    <w:abstractNumId w:val="7"/>
  </w:num>
  <w:num w:numId="3" w16cid:durableId="1550024394">
    <w:abstractNumId w:val="6"/>
  </w:num>
  <w:num w:numId="4" w16cid:durableId="739866750">
    <w:abstractNumId w:val="5"/>
  </w:num>
  <w:num w:numId="5" w16cid:durableId="978996557">
    <w:abstractNumId w:val="4"/>
  </w:num>
  <w:num w:numId="6" w16cid:durableId="549540059">
    <w:abstractNumId w:val="8"/>
  </w:num>
  <w:num w:numId="7" w16cid:durableId="846405700">
    <w:abstractNumId w:val="3"/>
  </w:num>
  <w:num w:numId="8" w16cid:durableId="791172564">
    <w:abstractNumId w:val="2"/>
  </w:num>
  <w:num w:numId="9" w16cid:durableId="1073699652">
    <w:abstractNumId w:val="1"/>
  </w:num>
  <w:num w:numId="10" w16cid:durableId="1407920686">
    <w:abstractNumId w:val="0"/>
  </w:num>
  <w:num w:numId="11" w16cid:durableId="2027096789">
    <w:abstractNumId w:val="13"/>
  </w:num>
  <w:num w:numId="12" w16cid:durableId="434516072">
    <w:abstractNumId w:val="11"/>
  </w:num>
  <w:num w:numId="13" w16cid:durableId="176385758">
    <w:abstractNumId w:val="12"/>
  </w:num>
  <w:num w:numId="14" w16cid:durableId="1871606807">
    <w:abstractNumId w:val="14"/>
  </w:num>
  <w:num w:numId="15" w16cid:durableId="1389919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75563"/>
    <w:rsid w:val="000978F5"/>
    <w:rsid w:val="000B0EFF"/>
    <w:rsid w:val="000D05EF"/>
    <w:rsid w:val="000E2261"/>
    <w:rsid w:val="000E6355"/>
    <w:rsid w:val="000E78B7"/>
    <w:rsid w:val="000F21C1"/>
    <w:rsid w:val="0010745C"/>
    <w:rsid w:val="00107918"/>
    <w:rsid w:val="00132CEB"/>
    <w:rsid w:val="00142B62"/>
    <w:rsid w:val="001441B7"/>
    <w:rsid w:val="00157B8B"/>
    <w:rsid w:val="00166C2F"/>
    <w:rsid w:val="00174C9C"/>
    <w:rsid w:val="001809D7"/>
    <w:rsid w:val="001939E1"/>
    <w:rsid w:val="00194C3E"/>
    <w:rsid w:val="00195382"/>
    <w:rsid w:val="0019689D"/>
    <w:rsid w:val="001C61C5"/>
    <w:rsid w:val="001C69C4"/>
    <w:rsid w:val="001D03D8"/>
    <w:rsid w:val="001D27FD"/>
    <w:rsid w:val="001D37EF"/>
    <w:rsid w:val="001E1914"/>
    <w:rsid w:val="001E3590"/>
    <w:rsid w:val="001E7407"/>
    <w:rsid w:val="001F5D5E"/>
    <w:rsid w:val="001F6219"/>
    <w:rsid w:val="001F6CD4"/>
    <w:rsid w:val="00206C4D"/>
    <w:rsid w:val="00215AF1"/>
    <w:rsid w:val="002321E8"/>
    <w:rsid w:val="00232329"/>
    <w:rsid w:val="0023486A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12DD5"/>
    <w:rsid w:val="00335BC6"/>
    <w:rsid w:val="003415D3"/>
    <w:rsid w:val="00344701"/>
    <w:rsid w:val="00352B0F"/>
    <w:rsid w:val="00360459"/>
    <w:rsid w:val="00373D05"/>
    <w:rsid w:val="00395103"/>
    <w:rsid w:val="003974BD"/>
    <w:rsid w:val="003C073D"/>
    <w:rsid w:val="003C14FF"/>
    <w:rsid w:val="003C6231"/>
    <w:rsid w:val="003D0BFE"/>
    <w:rsid w:val="003D5700"/>
    <w:rsid w:val="003E341B"/>
    <w:rsid w:val="003E7885"/>
    <w:rsid w:val="003F4D69"/>
    <w:rsid w:val="00410000"/>
    <w:rsid w:val="004116CD"/>
    <w:rsid w:val="00417EB9"/>
    <w:rsid w:val="00424CA9"/>
    <w:rsid w:val="00431E9B"/>
    <w:rsid w:val="004379E3"/>
    <w:rsid w:val="0044015E"/>
    <w:rsid w:val="0044291A"/>
    <w:rsid w:val="00446131"/>
    <w:rsid w:val="004474A9"/>
    <w:rsid w:val="00467661"/>
    <w:rsid w:val="00472DBE"/>
    <w:rsid w:val="00474A19"/>
    <w:rsid w:val="00477830"/>
    <w:rsid w:val="00495225"/>
    <w:rsid w:val="00496F97"/>
    <w:rsid w:val="004A4DAC"/>
    <w:rsid w:val="004E063A"/>
    <w:rsid w:val="004E7BEC"/>
    <w:rsid w:val="004F24FB"/>
    <w:rsid w:val="004F30AE"/>
    <w:rsid w:val="00505D3D"/>
    <w:rsid w:val="00506AF6"/>
    <w:rsid w:val="00516B8D"/>
    <w:rsid w:val="00525AB5"/>
    <w:rsid w:val="00527035"/>
    <w:rsid w:val="00537FBC"/>
    <w:rsid w:val="00537FDB"/>
    <w:rsid w:val="005413D8"/>
    <w:rsid w:val="0055130C"/>
    <w:rsid w:val="00555915"/>
    <w:rsid w:val="00577689"/>
    <w:rsid w:val="00584811"/>
    <w:rsid w:val="00585784"/>
    <w:rsid w:val="005867CB"/>
    <w:rsid w:val="0059340D"/>
    <w:rsid w:val="00593AA6"/>
    <w:rsid w:val="00594161"/>
    <w:rsid w:val="00594324"/>
    <w:rsid w:val="00594749"/>
    <w:rsid w:val="005B15B7"/>
    <w:rsid w:val="005B4067"/>
    <w:rsid w:val="005B557E"/>
    <w:rsid w:val="005C2CFD"/>
    <w:rsid w:val="005C3F41"/>
    <w:rsid w:val="005D0CDF"/>
    <w:rsid w:val="005D1D92"/>
    <w:rsid w:val="005D2D09"/>
    <w:rsid w:val="005E35C6"/>
    <w:rsid w:val="005F3FBF"/>
    <w:rsid w:val="005F5DC6"/>
    <w:rsid w:val="00600219"/>
    <w:rsid w:val="006011D1"/>
    <w:rsid w:val="00607FE9"/>
    <w:rsid w:val="00615BE4"/>
    <w:rsid w:val="00620076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64F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A1328"/>
    <w:rsid w:val="007C2253"/>
    <w:rsid w:val="007C6784"/>
    <w:rsid w:val="007E163D"/>
    <w:rsid w:val="007E667A"/>
    <w:rsid w:val="007F28C9"/>
    <w:rsid w:val="007F6A31"/>
    <w:rsid w:val="008067B4"/>
    <w:rsid w:val="008117E9"/>
    <w:rsid w:val="00824498"/>
    <w:rsid w:val="00830B62"/>
    <w:rsid w:val="00856A31"/>
    <w:rsid w:val="00860B4E"/>
    <w:rsid w:val="00867B37"/>
    <w:rsid w:val="008754D0"/>
    <w:rsid w:val="008855C9"/>
    <w:rsid w:val="00886456"/>
    <w:rsid w:val="00896176"/>
    <w:rsid w:val="00896FE9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5E16"/>
    <w:rsid w:val="008E6067"/>
    <w:rsid w:val="008F49CF"/>
    <w:rsid w:val="008F54E7"/>
    <w:rsid w:val="009009EF"/>
    <w:rsid w:val="00903422"/>
    <w:rsid w:val="00904E43"/>
    <w:rsid w:val="00911BA0"/>
    <w:rsid w:val="00916CF2"/>
    <w:rsid w:val="00917EC1"/>
    <w:rsid w:val="009213A2"/>
    <w:rsid w:val="009254C3"/>
    <w:rsid w:val="00932377"/>
    <w:rsid w:val="00947D5A"/>
    <w:rsid w:val="009532A5"/>
    <w:rsid w:val="009539FC"/>
    <w:rsid w:val="00966206"/>
    <w:rsid w:val="00970BE9"/>
    <w:rsid w:val="00974F4B"/>
    <w:rsid w:val="00977806"/>
    <w:rsid w:val="00982242"/>
    <w:rsid w:val="00984BD4"/>
    <w:rsid w:val="009868E9"/>
    <w:rsid w:val="00987B25"/>
    <w:rsid w:val="009900A3"/>
    <w:rsid w:val="00993DCD"/>
    <w:rsid w:val="009A7773"/>
    <w:rsid w:val="009C3413"/>
    <w:rsid w:val="009D13E1"/>
    <w:rsid w:val="009D38FE"/>
    <w:rsid w:val="009D7916"/>
    <w:rsid w:val="009F7A11"/>
    <w:rsid w:val="00A10D59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084B"/>
    <w:rsid w:val="00AD53CC"/>
    <w:rsid w:val="00AD5641"/>
    <w:rsid w:val="00AD6016"/>
    <w:rsid w:val="00AF06CF"/>
    <w:rsid w:val="00B0705E"/>
    <w:rsid w:val="00B07CDB"/>
    <w:rsid w:val="00B16A31"/>
    <w:rsid w:val="00B17DFD"/>
    <w:rsid w:val="00B20880"/>
    <w:rsid w:val="00B25F53"/>
    <w:rsid w:val="00B308FE"/>
    <w:rsid w:val="00B33709"/>
    <w:rsid w:val="00B33B3C"/>
    <w:rsid w:val="00B47444"/>
    <w:rsid w:val="00B50ADC"/>
    <w:rsid w:val="00B5531F"/>
    <w:rsid w:val="00B566B1"/>
    <w:rsid w:val="00B63834"/>
    <w:rsid w:val="00B80199"/>
    <w:rsid w:val="00B83204"/>
    <w:rsid w:val="00BA220B"/>
    <w:rsid w:val="00BA3A57"/>
    <w:rsid w:val="00BA6A8F"/>
    <w:rsid w:val="00BB4E1A"/>
    <w:rsid w:val="00BC015E"/>
    <w:rsid w:val="00BC5CD0"/>
    <w:rsid w:val="00BC76AC"/>
    <w:rsid w:val="00BD0ECB"/>
    <w:rsid w:val="00BE02B7"/>
    <w:rsid w:val="00BE0543"/>
    <w:rsid w:val="00BE2155"/>
    <w:rsid w:val="00BE6996"/>
    <w:rsid w:val="00BE719A"/>
    <w:rsid w:val="00BE720A"/>
    <w:rsid w:val="00BF0D73"/>
    <w:rsid w:val="00BF2465"/>
    <w:rsid w:val="00BF3213"/>
    <w:rsid w:val="00C001E6"/>
    <w:rsid w:val="00C16619"/>
    <w:rsid w:val="00C240BE"/>
    <w:rsid w:val="00C25E7F"/>
    <w:rsid w:val="00C2746F"/>
    <w:rsid w:val="00C27C2E"/>
    <w:rsid w:val="00C324A0"/>
    <w:rsid w:val="00C37B8A"/>
    <w:rsid w:val="00C42BF8"/>
    <w:rsid w:val="00C437A3"/>
    <w:rsid w:val="00C50043"/>
    <w:rsid w:val="00C7573B"/>
    <w:rsid w:val="00CA0FBE"/>
    <w:rsid w:val="00CA1A2F"/>
    <w:rsid w:val="00CB602E"/>
    <w:rsid w:val="00CB7E90"/>
    <w:rsid w:val="00CC6E04"/>
    <w:rsid w:val="00CC7C9D"/>
    <w:rsid w:val="00CD2350"/>
    <w:rsid w:val="00CD2361"/>
    <w:rsid w:val="00CE051D"/>
    <w:rsid w:val="00CE1335"/>
    <w:rsid w:val="00CE493D"/>
    <w:rsid w:val="00CF07FA"/>
    <w:rsid w:val="00CF0BB2"/>
    <w:rsid w:val="00CF2DD5"/>
    <w:rsid w:val="00CF3EE8"/>
    <w:rsid w:val="00D104E9"/>
    <w:rsid w:val="00D13441"/>
    <w:rsid w:val="00D150E7"/>
    <w:rsid w:val="00D153DC"/>
    <w:rsid w:val="00D264AA"/>
    <w:rsid w:val="00D4794E"/>
    <w:rsid w:val="00D52DC2"/>
    <w:rsid w:val="00D53BCC"/>
    <w:rsid w:val="00D6738D"/>
    <w:rsid w:val="00D70DFB"/>
    <w:rsid w:val="00D766DF"/>
    <w:rsid w:val="00D91F10"/>
    <w:rsid w:val="00D9678B"/>
    <w:rsid w:val="00DA186E"/>
    <w:rsid w:val="00DA4116"/>
    <w:rsid w:val="00DB251C"/>
    <w:rsid w:val="00DB4630"/>
    <w:rsid w:val="00DC36F0"/>
    <w:rsid w:val="00DC4F88"/>
    <w:rsid w:val="00DC7FC2"/>
    <w:rsid w:val="00DF2831"/>
    <w:rsid w:val="00E05704"/>
    <w:rsid w:val="00E14817"/>
    <w:rsid w:val="00E24922"/>
    <w:rsid w:val="00E26D36"/>
    <w:rsid w:val="00E30793"/>
    <w:rsid w:val="00E338EF"/>
    <w:rsid w:val="00E33C1C"/>
    <w:rsid w:val="00E544BB"/>
    <w:rsid w:val="00E71D3E"/>
    <w:rsid w:val="00E74DC7"/>
    <w:rsid w:val="00E8075A"/>
    <w:rsid w:val="00E811D5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F2E3A"/>
    <w:rsid w:val="00F072A7"/>
    <w:rsid w:val="00F078DC"/>
    <w:rsid w:val="00F23C96"/>
    <w:rsid w:val="00F32483"/>
    <w:rsid w:val="00F32BA8"/>
    <w:rsid w:val="00F3460D"/>
    <w:rsid w:val="00F349F1"/>
    <w:rsid w:val="00F34D82"/>
    <w:rsid w:val="00F4092D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1FF3"/>
    <w:rsid w:val="00F9379C"/>
    <w:rsid w:val="00F9632C"/>
    <w:rsid w:val="00FA1E52"/>
    <w:rsid w:val="00FD5517"/>
    <w:rsid w:val="00FE3FA1"/>
    <w:rsid w:val="00FE468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C37B8A"/>
    <w:rPr>
      <w:sz w:val="22"/>
    </w:rPr>
  </w:style>
  <w:style w:type="paragraph" w:styleId="ListParagraph">
    <w:name w:val="List Paragraph"/>
    <w:basedOn w:val="Normal"/>
    <w:uiPriority w:val="34"/>
    <w:qFormat/>
    <w:rsid w:val="000B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2AFE273C88543BB7714EA9B46D316" ma:contentTypeVersion="56" ma:contentTypeDescription="Create a new document." ma:contentTypeScope="" ma:versionID="717806256decb50a58ef8d6d6ac66b2e">
  <xsd:schema xmlns:xsd="http://www.w3.org/2001/XMLSchema" xmlns:xs="http://www.w3.org/2001/XMLSchema" xmlns:p="http://schemas.microsoft.com/office/2006/metadata/properties" xmlns:ns2="fe39d773-a83d-4623-ae74-f25711a76616" xmlns:ns3="ff38c824-6e29-4496-8487-69f397e7ed29" xmlns:ns4="8320e0b4-4597-4348-bafe-1f6715d4016c" targetNamespace="http://schemas.microsoft.com/office/2006/metadata/properties" ma:root="true" ma:fieldsID="c570d3008d44349a59936b7b6615720e" ns2:_="" ns3:_="" ns4:_="">
    <xsd:import namespace="fe39d773-a83d-4623-ae74-f25711a76616"/>
    <xsd:import namespace="ff38c824-6e29-4496-8487-69f397e7ed29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/>
                <xsd:element ref="ns3:TaxCatchAll" minOccurs="0"/>
                <xsd:element ref="ns3:TaxCatchAllLabel" minOccurs="0"/>
                <xsd:element ref="ns2:e4fe7dcdd1c0411bbf19a4de3665191f"/>
                <xsd:element ref="ns2:gfba5f33532c49208d2320ce38cc3c2b"/>
                <xsd:element ref="ns2:kfc39f3e4e2747ae990d3c8bb74a5a64"/>
                <xsd:element ref="ns3:_Name" minOccurs="0"/>
                <xsd:element ref="ns3:ResponsibleOfficer" minOccurs="0"/>
                <xsd:element ref="ns2:NextAction" minOccurs="0"/>
                <xsd:element ref="ns3:Date_x0020_Received" minOccurs="0"/>
                <xsd:element ref="ns3:Client" minOccurs="0"/>
                <xsd:element ref="ns2:cefeb78739de4820957bbf83034722da" minOccurs="0"/>
                <xsd:element ref="ns2:hd811e2af7a74596a2880e3ed5c06c3b" minOccurs="0"/>
                <xsd:element ref="ns2:c34aff0947e240ee90af7caf9e4ef304" minOccurs="0"/>
                <xsd:element ref="ns3:LM_x0020_Status" minOccurs="0"/>
                <xsd:element ref="ns3:Second_x0020_Counselling" minOccurs="0"/>
                <xsd:element ref="ns3:Related_x0020_matters" minOccurs="0"/>
                <xsd:element ref="ns4:MediaServiceMetadata" minOccurs="0"/>
                <xsd:element ref="ns4:MediaServiceFastMetadata" minOccurs="0"/>
                <xsd:element ref="ns3:d75f5d71e5f144d3a6025b2bc36336ba" minOccurs="0"/>
                <xsd:element ref="ns2:idbd870b6b4b4977ba694ad605366ad3" minOccurs="0"/>
                <xsd:element ref="ns3:External_x0020_Firm_x0020_Reference_x0020_No" minOccurs="0"/>
                <xsd:element ref="ns3:DueDate1" minOccurs="0"/>
                <xsd:element ref="ns3:CurrentlyWith" minOccurs="0"/>
                <xsd:element ref="ns3:DateAdviceSent" minOccurs="0"/>
                <xsd:element ref="ns3:Matter_x0020_Type" minOccurs="0"/>
                <xsd:element ref="ns3:Tied_x0020_work" minOccurs="0"/>
                <xsd:element ref="ns3:Complexity" minOccurs="0"/>
                <xsd:element ref="ns3:Matter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nillable="true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Action" ma:index="23" nillable="true" ma:displayName="Next Action" ma:internalName="NextAction" ma:readOnly="false">
      <xsd:simpleType>
        <xsd:restriction base="dms:Note">
          <xsd:maxLength value="255"/>
        </xsd:restriction>
      </xsd:simpleType>
    </xsd:element>
    <xsd:element name="cefeb78739de4820957bbf83034722da" ma:index="27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29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4aff0947e240ee90af7caf9e4ef304" ma:index="31" nillable="true" ma:taxonomy="true" ma:internalName="c34aff0947e240ee90af7caf9e4ef304" ma:taxonomyFieldName="Division" ma:displayName="Division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0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Name" ma:index="21" nillable="true" ma:displayName="Matter Name" ma:internalName="_Name">
      <xsd:simpleType>
        <xsd:restriction base="dms:Text">
          <xsd:maxLength value="255"/>
        </xsd:restriction>
      </xsd:simpleType>
    </xsd:element>
    <xsd:element name="ResponsibleOfficer" ma:index="22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Received" ma:index="24" nillable="true" ma:displayName="Date Received" ma:format="DateOnly" ma:indexed="true" ma:internalName="Date_x0020_Received">
      <xsd:simpleType>
        <xsd:restriction base="dms:DateTime"/>
      </xsd:simpleType>
    </xsd:element>
    <xsd:element name="Client" ma:index="25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32" nillable="true" ma:displayName="LM Status" ma:format="Dropdown" ma:indexed="true" ma:internalName="LM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Second_x0020_Counselling" ma:index="33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matters" ma:index="34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xternal_x0020_Firm_x0020_Reference_x0020_No" ma:index="41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DueDate1" ma:index="42" nillable="true" ma:displayName="Due Date" ma:format="DateOnly" ma:internalName="DueDate1" ma:readOnly="false">
      <xsd:simpleType>
        <xsd:restriction base="dms:DateTime"/>
      </xsd:simpleType>
    </xsd:element>
    <xsd:element name="CurrentlyWith" ma:index="43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  <xsd:element name="DateAdviceSent" ma:index="44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Matter_x0020_Type" ma:index="4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4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Complexity" ma:index="47" nillable="true" ma:displayName="Complexity" ma:format="Dropdown" ma:internalName="Complexity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Matter_x0020_Number" ma:index="48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(Regulations and instruments)</TermName>
          <TermId xmlns="http://schemas.microsoft.com/office/infopath/2007/PartnerControls">a6fb55df-12d0-4133-bb20-08ce918d8486</TermId>
        </TermInfo>
      </Terms>
    </kfc39f3e4e2747ae990d3c8bb74a5a64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2023-07-19T14:00:00+00:00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Closed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2023-07-27T14:00:00+00:00</DueDate1>
    <ResponsibleOfficer xmlns="ff38c824-6e29-4496-8487-69f397e7ed29">
      <UserInfo>
        <DisplayName>Mawlanazada, Rosalin</DisplayName>
        <AccountId>42</AccountId>
        <AccountType/>
      </UserInfo>
    </ResponsibleOfficer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>2023-07-24T14:00:00+00:00</DateAdviceS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/>
        <AccountId xsi:nil="true"/>
        <AccountType/>
      </UserInfo>
    </Client>
    <TaxCatchAll xmlns="ff38c824-6e29-4496-8487-69f397e7ed29">
      <Value>5</Value>
      <Value>714</Value>
      <Value>16</Value>
      <Value>43</Value>
      <Value>245</Value>
    </TaxCatchAll>
    <Matter_x0020_Number xmlns="ff38c824-6e29-4496-8487-69f397e7ed29">LM-2023-0667</Matter_x0020_Number>
    <Matter_x0020_Type xmlns="ff38c824-6e29-4496-8487-69f397e7ed29">Appointments Instruments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  <_dlc_DocIdUrl xmlns="fe39d773-a83d-4623-ae74-f25711a76616">
      <Url>https://austreasury.sharepoint.com/sites/legal-ser-function/_layouts/15/DocIdRedir.aspx?ID=5CRS7ES3RZCY-1392583565-27700</Url>
      <Description>5CRS7ES3RZCY-1392583565-27700</Description>
    </_dlc_DocIdUrl>
    <_dlc_DocId xmlns="fe39d773-a83d-4623-ae74-f25711a76616">5CRS7ES3RZCY-1392583565-27700</_dlc_DocId>
    <_Name xmlns="ff38c824-6e29-4496-8487-69f397e7ed29" xsi:nil="true"/>
    <NextAction xmlns="fe39d773-a83d-4623-ae74-f25711a7661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F0A4-3FF4-4454-8427-3CECB369A2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64E81F-AD2C-4B81-A828-38AFC35B8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ff38c824-6e29-4496-8487-69f397e7ed29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13D90-16DF-4186-81FC-21D4B4C8EF44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fe39d773-a83d-4623-ae74-f25711a76616"/>
    <ds:schemaRef ds:uri="http://purl.org/dc/dcmitype/"/>
    <ds:schemaRef ds:uri="ff38c824-6e29-4496-8487-69f397e7ed29"/>
    <ds:schemaRef ds:uri="8320e0b4-4597-4348-bafe-1f6715d4016c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20230725-NI-TSY_47_XXX-Food and Grocery Code Acting Independent Reviewer 2023</dc:title>
  <dc:subject>APPOINTMENTS - FINAL SIGNOFF - Part-Time Member, Tax Practitioners Board</dc:subject>
  <dc:creator>Gallop, Nina</dc:creator>
  <cp:lastModifiedBy>Halse, Katie</cp:lastModifiedBy>
  <cp:revision>2</cp:revision>
  <dcterms:created xsi:type="dcterms:W3CDTF">2023-08-01T05:47:00Z</dcterms:created>
  <dcterms:modified xsi:type="dcterms:W3CDTF">2023-08-01T05:47:00Z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0x0101001F12AFE273C88543BB7714EA9B46D316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dlc_DocIdItemGuid">
    <vt:lpwstr>6a401245-2649-469d-83c2-709c2acfe987</vt:lpwstr>
  </property>
  <property fmtid="{D5CDD505-2E9C-101B-9397-08002B2CF9AE}" pid="76" name="_NewReviewCycle">
    <vt:lpwstr/>
  </property>
  <property fmtid="{D5CDD505-2E9C-101B-9397-08002B2CF9AE}" pid="77" name="eTheme">
    <vt:lpwstr>16</vt:lpwstr>
  </property>
  <property fmtid="{D5CDD505-2E9C-101B-9397-08002B2CF9AE}" pid="78" name="Division">
    <vt:lpwstr>714</vt:lpwstr>
  </property>
  <property fmtid="{D5CDD505-2E9C-101B-9397-08002B2CF9AE}" pid="79" name="eActivity">
    <vt:lpwstr>5</vt:lpwstr>
  </property>
  <property fmtid="{D5CDD505-2E9C-101B-9397-08002B2CF9AE}" pid="80" name="Legislation">
    <vt:lpwstr/>
  </property>
  <property fmtid="{D5CDD505-2E9C-101B-9397-08002B2CF9AE}" pid="81" name="eTopic">
    <vt:lpwstr>43;#Governance|171463dd-b5ce-41ab-bc5b-55cbda90a249</vt:lpwstr>
  </property>
  <property fmtid="{D5CDD505-2E9C-101B-9397-08002B2CF9AE}" pid="82" name="LegalIssues">
    <vt:lpwstr/>
  </property>
  <property fmtid="{D5CDD505-2E9C-101B-9397-08002B2CF9AE}" pid="83" name="Firm engaged">
    <vt:lpwstr/>
  </property>
  <property fmtid="{D5CDD505-2E9C-101B-9397-08002B2CF9AE}" pid="84" name="eDocumentType">
    <vt:lpwstr>245;#Legislation (Regulations and instruments)|a6fb55df-12d0-4133-bb20-08ce918d8486</vt:lpwstr>
  </property>
  <property fmtid="{D5CDD505-2E9C-101B-9397-08002B2CF9AE}" pid="85" name="Branch/Unit">
    <vt:lpwstr/>
  </property>
  <property fmtid="{D5CDD505-2E9C-101B-9397-08002B2CF9AE}" pid="86" name="f262206fa374443e98a3270514ece3d8">
    <vt:lpwstr/>
  </property>
</Properties>
</file>