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9929" w14:textId="22F0B109" w:rsidR="004B1B0E" w:rsidRPr="002E087F" w:rsidRDefault="00054C4D" w:rsidP="004B1B0E">
      <w:pPr>
        <w:pStyle w:val="Heading6"/>
        <w:rPr>
          <w:b w:val="0"/>
          <w:sz w:val="24"/>
          <w:szCs w:val="24"/>
        </w:rPr>
      </w:pPr>
      <w:r w:rsidRPr="002E087F">
        <w:rPr>
          <w:noProof/>
        </w:rPr>
        <w:drawing>
          <wp:anchor distT="0" distB="0" distL="114300" distR="114300" simplePos="0" relativeHeight="251658240" behindDoc="0" locked="0" layoutInCell="1" allowOverlap="1" wp14:anchorId="3B12272D" wp14:editId="3C4C304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1270" b="0"/>
            <wp:wrapSquare wrapText="bothSides"/>
            <wp:docPr id="3" name="Picture 3" descr="Australian Securities and Investments Commission Logo and 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ustralian Securities and Investments Commission Logo and 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B0E" w:rsidRPr="002E087F">
        <w:br/>
      </w:r>
      <w:r w:rsidR="004B1B0E" w:rsidRPr="002E087F">
        <w:rPr>
          <w:b w:val="0"/>
          <w:sz w:val="24"/>
          <w:szCs w:val="24"/>
        </w:rPr>
        <w:t xml:space="preserve">  </w:t>
      </w:r>
    </w:p>
    <w:p w14:paraId="3AD28B16" w14:textId="77777777" w:rsidR="00054C4D" w:rsidRPr="002E087F" w:rsidRDefault="00054C4D" w:rsidP="004B1B0E">
      <w:pPr>
        <w:spacing w:before="63" w:line="479" w:lineRule="auto"/>
        <w:jc w:val="center"/>
        <w:rPr>
          <w:b/>
          <w:color w:val="000000"/>
          <w:sz w:val="28"/>
        </w:rPr>
      </w:pPr>
    </w:p>
    <w:p w14:paraId="4FBBB757" w14:textId="77777777" w:rsidR="00054C4D" w:rsidRPr="002E087F" w:rsidRDefault="00054C4D" w:rsidP="00054C4D">
      <w:pPr>
        <w:spacing w:after="0"/>
        <w:jc w:val="center"/>
        <w:rPr>
          <w:b/>
          <w:sz w:val="24"/>
          <w:szCs w:val="24"/>
        </w:rPr>
      </w:pPr>
      <w:r w:rsidRPr="002E087F">
        <w:rPr>
          <w:b/>
          <w:sz w:val="24"/>
          <w:szCs w:val="24"/>
        </w:rPr>
        <w:t>Explanatory Statement</w:t>
      </w:r>
    </w:p>
    <w:p w14:paraId="6F755168" w14:textId="77777777" w:rsidR="00054C4D" w:rsidRPr="002E087F" w:rsidRDefault="00054C4D" w:rsidP="00054C4D">
      <w:pPr>
        <w:spacing w:after="0" w:line="260" w:lineRule="atLeast"/>
        <w:rPr>
          <w:rFonts w:eastAsia="Calibri"/>
          <w:sz w:val="24"/>
          <w:szCs w:val="24"/>
        </w:rPr>
      </w:pPr>
    </w:p>
    <w:p w14:paraId="02C0E398" w14:textId="0271E43E" w:rsidR="00054C4D" w:rsidRPr="002E087F" w:rsidRDefault="00054C4D" w:rsidP="00054C4D">
      <w:pPr>
        <w:spacing w:after="0" w:line="260" w:lineRule="atLeast"/>
        <w:jc w:val="center"/>
        <w:rPr>
          <w:rFonts w:eastAsia="Calibri"/>
          <w:b/>
          <w:i/>
          <w:sz w:val="24"/>
          <w:szCs w:val="24"/>
        </w:rPr>
      </w:pPr>
      <w:r w:rsidRPr="002E087F">
        <w:rPr>
          <w:rFonts w:eastAsia="Calibri"/>
          <w:b/>
          <w:i/>
          <w:sz w:val="24"/>
          <w:szCs w:val="24"/>
        </w:rPr>
        <w:t>ASIC Corporations (</w:t>
      </w:r>
      <w:r w:rsidR="0013623B" w:rsidRPr="002E087F">
        <w:rPr>
          <w:rFonts w:eastAsia="Calibri"/>
          <w:b/>
          <w:i/>
          <w:sz w:val="24"/>
          <w:szCs w:val="24"/>
        </w:rPr>
        <w:t>Product Intervention Order Extension</w:t>
      </w:r>
      <w:r w:rsidR="0078080A" w:rsidRPr="002E087F">
        <w:rPr>
          <w:rFonts w:eastAsia="Calibri"/>
          <w:b/>
          <w:i/>
          <w:sz w:val="24"/>
          <w:szCs w:val="24"/>
        </w:rPr>
        <w:t>—</w:t>
      </w:r>
      <w:r w:rsidR="00D00690" w:rsidRPr="002E087F">
        <w:rPr>
          <w:b/>
          <w:bCs/>
          <w:i/>
          <w:iCs/>
        </w:rPr>
        <w:t>Continuing Credit Contracts</w:t>
      </w:r>
      <w:r w:rsidRPr="002E087F">
        <w:rPr>
          <w:rFonts w:eastAsia="Calibri"/>
          <w:b/>
          <w:i/>
          <w:sz w:val="24"/>
          <w:szCs w:val="24"/>
        </w:rPr>
        <w:t>) Instrument 202</w:t>
      </w:r>
      <w:r w:rsidR="008236B9" w:rsidRPr="002E087F">
        <w:rPr>
          <w:rFonts w:eastAsia="Calibri"/>
          <w:b/>
          <w:i/>
          <w:sz w:val="24"/>
          <w:szCs w:val="24"/>
        </w:rPr>
        <w:t>3</w:t>
      </w:r>
      <w:r w:rsidRPr="002E087F">
        <w:rPr>
          <w:rFonts w:eastAsia="Calibri"/>
          <w:b/>
          <w:i/>
          <w:sz w:val="24"/>
          <w:szCs w:val="24"/>
        </w:rPr>
        <w:t>/</w:t>
      </w:r>
      <w:r w:rsidR="005B2D3C" w:rsidRPr="002E087F">
        <w:rPr>
          <w:rFonts w:eastAsia="Calibri"/>
          <w:b/>
          <w:i/>
          <w:sz w:val="24"/>
          <w:szCs w:val="24"/>
        </w:rPr>
        <w:t>957</w:t>
      </w:r>
    </w:p>
    <w:p w14:paraId="3CE7E568" w14:textId="23A92FC9" w:rsidR="00054C4D" w:rsidRPr="002E087F" w:rsidRDefault="00054C4D" w:rsidP="00054C4D">
      <w:pPr>
        <w:spacing w:before="240" w:after="0"/>
        <w:rPr>
          <w:sz w:val="24"/>
          <w:szCs w:val="24"/>
        </w:rPr>
      </w:pPr>
      <w:bookmarkStart w:id="0" w:name="BK_S3P1L1C1"/>
      <w:bookmarkEnd w:id="0"/>
      <w:r w:rsidRPr="002E087F">
        <w:rPr>
          <w:sz w:val="24"/>
          <w:szCs w:val="24"/>
        </w:rPr>
        <w:t xml:space="preserve">This is the Explanatory Statement for </w:t>
      </w:r>
      <w:r w:rsidRPr="002E087F">
        <w:rPr>
          <w:i/>
          <w:iCs/>
          <w:sz w:val="24"/>
          <w:szCs w:val="24"/>
        </w:rPr>
        <w:t>ASIC Corporations (</w:t>
      </w:r>
      <w:r w:rsidR="00393396" w:rsidRPr="002E087F">
        <w:rPr>
          <w:i/>
          <w:iCs/>
          <w:sz w:val="24"/>
          <w:szCs w:val="24"/>
        </w:rPr>
        <w:t>Product Intervention Order Extension</w:t>
      </w:r>
      <w:r w:rsidR="0078080A" w:rsidRPr="002E087F">
        <w:rPr>
          <w:i/>
          <w:iCs/>
          <w:sz w:val="24"/>
          <w:szCs w:val="24"/>
        </w:rPr>
        <w:t>—</w:t>
      </w:r>
      <w:r w:rsidR="003D1EE7" w:rsidRPr="002E087F">
        <w:rPr>
          <w:i/>
          <w:iCs/>
          <w:sz w:val="24"/>
          <w:szCs w:val="24"/>
        </w:rPr>
        <w:t>Continuing Credit Contracts</w:t>
      </w:r>
      <w:r w:rsidRPr="002E087F">
        <w:rPr>
          <w:i/>
          <w:iCs/>
          <w:sz w:val="24"/>
          <w:szCs w:val="24"/>
        </w:rPr>
        <w:t>)</w:t>
      </w:r>
      <w:r w:rsidR="0078080A" w:rsidRPr="002E087F">
        <w:rPr>
          <w:i/>
          <w:iCs/>
          <w:sz w:val="24"/>
          <w:szCs w:val="24"/>
        </w:rPr>
        <w:t xml:space="preserve"> </w:t>
      </w:r>
      <w:r w:rsidRPr="002E087F">
        <w:rPr>
          <w:i/>
          <w:iCs/>
          <w:sz w:val="24"/>
          <w:szCs w:val="24"/>
        </w:rPr>
        <w:t>Instrument 20</w:t>
      </w:r>
      <w:r w:rsidR="00181281" w:rsidRPr="002E087F">
        <w:rPr>
          <w:i/>
          <w:iCs/>
          <w:sz w:val="24"/>
          <w:szCs w:val="24"/>
        </w:rPr>
        <w:t>2</w:t>
      </w:r>
      <w:r w:rsidR="008236B9" w:rsidRPr="002E087F">
        <w:rPr>
          <w:i/>
          <w:iCs/>
          <w:sz w:val="24"/>
          <w:szCs w:val="24"/>
        </w:rPr>
        <w:t>3</w:t>
      </w:r>
      <w:r w:rsidRPr="002E087F">
        <w:rPr>
          <w:i/>
          <w:iCs/>
          <w:sz w:val="24"/>
          <w:szCs w:val="24"/>
        </w:rPr>
        <w:t>/</w:t>
      </w:r>
      <w:r w:rsidR="005B2D3C" w:rsidRPr="002E087F">
        <w:rPr>
          <w:i/>
          <w:iCs/>
          <w:sz w:val="24"/>
          <w:szCs w:val="24"/>
        </w:rPr>
        <w:t>957</w:t>
      </w:r>
      <w:r w:rsidRPr="002E087F">
        <w:rPr>
          <w:sz w:val="24"/>
          <w:szCs w:val="24"/>
        </w:rPr>
        <w:t xml:space="preserve"> (the </w:t>
      </w:r>
      <w:r w:rsidRPr="002E087F">
        <w:rPr>
          <w:b/>
          <w:i/>
          <w:sz w:val="24"/>
          <w:szCs w:val="24"/>
        </w:rPr>
        <w:t>instrument</w:t>
      </w:r>
      <w:r w:rsidRPr="002E087F">
        <w:rPr>
          <w:sz w:val="24"/>
          <w:szCs w:val="24"/>
        </w:rPr>
        <w:t>).</w:t>
      </w:r>
    </w:p>
    <w:p w14:paraId="302FC9EB" w14:textId="59FD50C6" w:rsidR="00054C4D" w:rsidRPr="002E087F" w:rsidRDefault="00054C4D" w:rsidP="00054C4D">
      <w:pPr>
        <w:spacing w:before="240" w:after="0"/>
        <w:rPr>
          <w:sz w:val="24"/>
          <w:szCs w:val="24"/>
        </w:rPr>
      </w:pPr>
      <w:r w:rsidRPr="002E087F">
        <w:rPr>
          <w:sz w:val="24"/>
          <w:szCs w:val="24"/>
        </w:rPr>
        <w:t>The Explanatory Statement is approved by the Australian Securities and Investments</w:t>
      </w:r>
      <w:r w:rsidR="001F17EE" w:rsidRPr="002E087F">
        <w:rPr>
          <w:sz w:val="24"/>
          <w:szCs w:val="24"/>
        </w:rPr>
        <w:t xml:space="preserve"> </w:t>
      </w:r>
      <w:r w:rsidRPr="002E087F">
        <w:rPr>
          <w:sz w:val="24"/>
          <w:szCs w:val="24"/>
        </w:rPr>
        <w:t>Commission (</w:t>
      </w:r>
      <w:r w:rsidRPr="002E087F">
        <w:rPr>
          <w:b/>
          <w:i/>
          <w:sz w:val="24"/>
          <w:szCs w:val="24"/>
        </w:rPr>
        <w:t>ASIC</w:t>
      </w:r>
      <w:r w:rsidRPr="002E087F">
        <w:rPr>
          <w:sz w:val="24"/>
          <w:szCs w:val="24"/>
        </w:rPr>
        <w:t>).</w:t>
      </w:r>
    </w:p>
    <w:p w14:paraId="4021169E" w14:textId="368E6A86" w:rsidR="00054C4D" w:rsidRPr="002E087F" w:rsidRDefault="00054C4D" w:rsidP="00054C4D">
      <w:pPr>
        <w:spacing w:before="240" w:after="0"/>
        <w:rPr>
          <w:b/>
          <w:sz w:val="24"/>
          <w:szCs w:val="24"/>
        </w:rPr>
      </w:pPr>
      <w:r w:rsidRPr="002E087F">
        <w:rPr>
          <w:b/>
          <w:sz w:val="24"/>
          <w:szCs w:val="24"/>
        </w:rPr>
        <w:t>Summary</w:t>
      </w:r>
    </w:p>
    <w:p w14:paraId="31B536C8" w14:textId="197D72EF" w:rsidR="000477AA" w:rsidRPr="002E087F" w:rsidRDefault="592E9E46" w:rsidP="00F10875">
      <w:pPr>
        <w:pStyle w:val="LI-BodyTextParaa"/>
        <w:numPr>
          <w:ilvl w:val="0"/>
          <w:numId w:val="34"/>
        </w:numPr>
      </w:pPr>
      <w:bookmarkStart w:id="1" w:name="_Hlk23757589"/>
      <w:r w:rsidRPr="002E087F">
        <w:t>The instrument is a</w:t>
      </w:r>
      <w:r w:rsidR="667FA8F3" w:rsidRPr="002E087F">
        <w:t xml:space="preserve"> declaration that </w:t>
      </w:r>
      <w:hyperlink r:id="rId14" w:history="1">
        <w:r w:rsidR="667FA8F3" w:rsidRPr="002E087F">
          <w:rPr>
            <w:rStyle w:val="Hyperlink"/>
            <w:i/>
            <w:iCs/>
          </w:rPr>
          <w:t>ASIC Corporations (Product Intervention Order</w:t>
        </w:r>
        <w:r w:rsidR="0078080A" w:rsidRPr="002E087F">
          <w:rPr>
            <w:rStyle w:val="Hyperlink"/>
            <w:i/>
            <w:iCs/>
          </w:rPr>
          <w:t>—</w:t>
        </w:r>
        <w:r w:rsidR="00D00690" w:rsidRPr="002E087F">
          <w:rPr>
            <w:rStyle w:val="Hyperlink"/>
            <w:i/>
            <w:iCs/>
          </w:rPr>
          <w:t>Continuing Credit Contracts</w:t>
        </w:r>
        <w:r w:rsidR="667FA8F3" w:rsidRPr="002E087F">
          <w:rPr>
            <w:rStyle w:val="Hyperlink"/>
            <w:i/>
            <w:iCs/>
          </w:rPr>
          <w:t>) Instrument 202</w:t>
        </w:r>
        <w:r w:rsidR="008236B9" w:rsidRPr="002E087F">
          <w:rPr>
            <w:rStyle w:val="Hyperlink"/>
            <w:i/>
            <w:iCs/>
          </w:rPr>
          <w:t>2</w:t>
        </w:r>
        <w:r w:rsidR="667FA8F3" w:rsidRPr="002E087F">
          <w:rPr>
            <w:rStyle w:val="Hyperlink"/>
            <w:i/>
            <w:iCs/>
          </w:rPr>
          <w:t>/</w:t>
        </w:r>
        <w:r w:rsidR="008236B9" w:rsidRPr="002E087F">
          <w:rPr>
            <w:rStyle w:val="Hyperlink"/>
            <w:i/>
            <w:iCs/>
          </w:rPr>
          <w:t>64</w:t>
        </w:r>
        <w:r w:rsidR="00D00690" w:rsidRPr="002E087F">
          <w:rPr>
            <w:rStyle w:val="Hyperlink"/>
            <w:i/>
            <w:iCs/>
          </w:rPr>
          <w:t>8</w:t>
        </w:r>
      </w:hyperlink>
      <w:r w:rsidR="667FA8F3" w:rsidRPr="002E087F">
        <w:t xml:space="preserve"> (the </w:t>
      </w:r>
      <w:r w:rsidR="03EDF23F" w:rsidRPr="002E087F">
        <w:rPr>
          <w:b/>
          <w:bCs/>
          <w:i/>
          <w:iCs/>
        </w:rPr>
        <w:t>Principal Instrument</w:t>
      </w:r>
      <w:r w:rsidR="667FA8F3" w:rsidRPr="002E087F">
        <w:t xml:space="preserve">), a </w:t>
      </w:r>
      <w:r w:rsidRPr="002E087F">
        <w:t xml:space="preserve">product intervention order made under subsection 1023D(3) of the </w:t>
      </w:r>
      <w:r w:rsidRPr="002E087F">
        <w:rPr>
          <w:i/>
          <w:iCs/>
        </w:rPr>
        <w:t xml:space="preserve">Corporations Act 2001 </w:t>
      </w:r>
      <w:r w:rsidRPr="002E087F">
        <w:t xml:space="preserve">(the </w:t>
      </w:r>
      <w:r w:rsidRPr="002E087F">
        <w:rPr>
          <w:b/>
          <w:bCs/>
          <w:i/>
          <w:iCs/>
        </w:rPr>
        <w:t>Act</w:t>
      </w:r>
      <w:r w:rsidRPr="002E087F">
        <w:t>)</w:t>
      </w:r>
      <w:r w:rsidR="667FA8F3" w:rsidRPr="002E087F">
        <w:t xml:space="preserve">, remains in force </w:t>
      </w:r>
      <w:r w:rsidR="3CBFE2DF" w:rsidRPr="002E087F">
        <w:t>until</w:t>
      </w:r>
      <w:r w:rsidR="7660E754" w:rsidRPr="002E087F">
        <w:t xml:space="preserve"> it is revoked</w:t>
      </w:r>
      <w:r w:rsidRPr="002E087F">
        <w:t xml:space="preserve">. </w:t>
      </w:r>
      <w:r w:rsidR="4905FF3A" w:rsidRPr="002E087F">
        <w:t xml:space="preserve">The Principal Instrument commenced on </w:t>
      </w:r>
      <w:r w:rsidR="008236B9" w:rsidRPr="002E087F">
        <w:t>15 July 2022</w:t>
      </w:r>
      <w:r w:rsidR="4905FF3A" w:rsidRPr="002E087F">
        <w:t xml:space="preserve"> and without this declaration </w:t>
      </w:r>
      <w:r w:rsidR="6B9DD2E4" w:rsidRPr="002E087F">
        <w:t xml:space="preserve">would </w:t>
      </w:r>
      <w:r w:rsidR="4905FF3A" w:rsidRPr="002E087F">
        <w:t xml:space="preserve">cease on </w:t>
      </w:r>
      <w:r w:rsidR="008236B9" w:rsidRPr="002E087F">
        <w:t>15 January 2024</w:t>
      </w:r>
      <w:r w:rsidR="645DA952" w:rsidRPr="002E087F">
        <w:t>,</w:t>
      </w:r>
      <w:r w:rsidR="4905FF3A" w:rsidRPr="002E087F">
        <w:t xml:space="preserve"> having remained in force for 18 months. </w:t>
      </w:r>
    </w:p>
    <w:p w14:paraId="36AB0868" w14:textId="1B875D85" w:rsidR="00D00690" w:rsidRPr="002E087F" w:rsidRDefault="00054C4D" w:rsidP="00D00690">
      <w:pPr>
        <w:pStyle w:val="LI-BodyTextParaa"/>
        <w:numPr>
          <w:ilvl w:val="0"/>
          <w:numId w:val="34"/>
        </w:numPr>
      </w:pPr>
      <w:r w:rsidRPr="002E087F">
        <w:t xml:space="preserve">The </w:t>
      </w:r>
      <w:r w:rsidR="002D2832" w:rsidRPr="002E087F">
        <w:t xml:space="preserve">Principal </w:t>
      </w:r>
      <w:r w:rsidR="00F370BD" w:rsidRPr="002E087F">
        <w:t>I</w:t>
      </w:r>
      <w:r w:rsidRPr="002E087F">
        <w:t xml:space="preserve">nstrument </w:t>
      </w:r>
      <w:bookmarkStart w:id="2" w:name="_Hlk101531610"/>
      <w:r w:rsidR="00D00690" w:rsidRPr="002E087F">
        <w:t xml:space="preserve">prohibits continuing credit providers, their </w:t>
      </w:r>
      <w:proofErr w:type="gramStart"/>
      <w:r w:rsidR="00D00690" w:rsidRPr="002E087F">
        <w:t>directors</w:t>
      </w:r>
      <w:proofErr w:type="gramEnd"/>
      <w:r w:rsidR="00D00690" w:rsidRPr="002E087F">
        <w:t xml:space="preserve"> and associates from causing, authorising or providing credit to a retail client, and imposing or providing for certain fees and charges paid or payable by a retail client, in relation to a class of financial products</w:t>
      </w:r>
      <w:bookmarkEnd w:id="2"/>
      <w:r w:rsidR="00D00690" w:rsidRPr="002E087F">
        <w:t>, that ASIC was satisfied:</w:t>
      </w:r>
    </w:p>
    <w:p w14:paraId="5A6E5AC4" w14:textId="2BA06E18" w:rsidR="00D00690" w:rsidRPr="00B6145E" w:rsidRDefault="00D00690" w:rsidP="00D00690">
      <w:pPr>
        <w:pStyle w:val="LI-BodyTextParaa"/>
        <w:numPr>
          <w:ilvl w:val="1"/>
          <w:numId w:val="34"/>
        </w:numPr>
      </w:pPr>
      <w:r w:rsidRPr="002E087F">
        <w:t>was likely to be available</w:t>
      </w:r>
      <w:r w:rsidRPr="00B6145E">
        <w:t xml:space="preserve"> for acquisition by issue to persons as retail clients; and</w:t>
      </w:r>
    </w:p>
    <w:p w14:paraId="569CFB00" w14:textId="3B95E22A" w:rsidR="00D00690" w:rsidRPr="00D00690" w:rsidRDefault="00D00690" w:rsidP="00D00690">
      <w:pPr>
        <w:pStyle w:val="LI-BodyTextParaa"/>
        <w:numPr>
          <w:ilvl w:val="1"/>
          <w:numId w:val="34"/>
        </w:numPr>
      </w:pPr>
      <w:r w:rsidRPr="00B6145E">
        <w:t>had resulted in, and</w:t>
      </w:r>
      <w:r w:rsidRPr="00D00690">
        <w:t xml:space="preserve"> </w:t>
      </w:r>
      <w:r>
        <w:t>was</w:t>
      </w:r>
      <w:r w:rsidRPr="00D00690">
        <w:t xml:space="preserve"> likely to result in, significant detriment to retail clients.</w:t>
      </w:r>
    </w:p>
    <w:p w14:paraId="507D457D" w14:textId="5F561B1F" w:rsidR="00916C3D" w:rsidRDefault="00E902A4" w:rsidP="00D00690">
      <w:pPr>
        <w:pStyle w:val="LI-BodyTextParaa"/>
        <w:numPr>
          <w:ilvl w:val="0"/>
          <w:numId w:val="34"/>
        </w:numPr>
      </w:pPr>
      <w:r w:rsidRPr="00402E0C">
        <w:t xml:space="preserve">Before </w:t>
      </w:r>
      <w:r w:rsidR="00F56DA2" w:rsidRPr="00402E0C">
        <w:t xml:space="preserve">ASIC made </w:t>
      </w:r>
      <w:r w:rsidRPr="00402E0C">
        <w:t>the instrument</w:t>
      </w:r>
      <w:r w:rsidRPr="004C4B5A">
        <w:t xml:space="preserve">, </w:t>
      </w:r>
      <w:r w:rsidR="00AC2100" w:rsidRPr="004C4B5A">
        <w:t xml:space="preserve">ASIC </w:t>
      </w:r>
      <w:r w:rsidR="00AC2100" w:rsidRPr="002738E5">
        <w:t xml:space="preserve">provided a report to </w:t>
      </w:r>
      <w:r w:rsidRPr="002738E5">
        <w:t>the Minister</w:t>
      </w:r>
      <w:r w:rsidR="005C4B84">
        <w:t xml:space="preserve"> </w:t>
      </w:r>
      <w:r w:rsidR="00AC2100">
        <w:t>under s</w:t>
      </w:r>
      <w:r w:rsidR="00E124A1">
        <w:t>ub</w:t>
      </w:r>
      <w:r w:rsidR="007D706D">
        <w:t>section</w:t>
      </w:r>
      <w:r w:rsidR="00AC2100">
        <w:t>1023H(3) of the Act</w:t>
      </w:r>
      <w:r w:rsidR="00777CEF">
        <w:t xml:space="preserve"> on whether the instrument should be made.</w:t>
      </w:r>
      <w:r w:rsidR="002A616D">
        <w:t xml:space="preserve"> </w:t>
      </w:r>
      <w:r w:rsidR="007D3B27">
        <w:t>The Minister</w:t>
      </w:r>
      <w:r w:rsidR="00AC2100">
        <w:t xml:space="preserve"> </w:t>
      </w:r>
      <w:r w:rsidR="005C4B84" w:rsidRPr="002738E5">
        <w:t>gave</w:t>
      </w:r>
      <w:r w:rsidRPr="002738E5">
        <w:t xml:space="preserve"> </w:t>
      </w:r>
      <w:r w:rsidR="005C4B84" w:rsidRPr="002738E5">
        <w:t xml:space="preserve">his written </w:t>
      </w:r>
      <w:r w:rsidRPr="002738E5">
        <w:t>approval</w:t>
      </w:r>
      <w:r>
        <w:t xml:space="preserve"> </w:t>
      </w:r>
      <w:r w:rsidR="00F272F0">
        <w:t>under s</w:t>
      </w:r>
      <w:r w:rsidR="0056105E">
        <w:t xml:space="preserve">ubsection </w:t>
      </w:r>
      <w:r w:rsidR="00F272F0">
        <w:t xml:space="preserve">1023H(4) of the Act </w:t>
      </w:r>
      <w:r w:rsidR="005C4B84">
        <w:t xml:space="preserve">for ASIC </w:t>
      </w:r>
      <w:r>
        <w:t xml:space="preserve">to </w:t>
      </w:r>
      <w:r w:rsidR="00F272F0">
        <w:t>make the instrument.</w:t>
      </w:r>
      <w:r w:rsidR="00197009">
        <w:t xml:space="preserve"> </w:t>
      </w:r>
    </w:p>
    <w:p w14:paraId="2EC870AF" w14:textId="77777777" w:rsidR="00AE7E36" w:rsidRPr="00E46579" w:rsidRDefault="00AE7E36" w:rsidP="00AE7E36">
      <w:pPr>
        <w:pStyle w:val="LI-BodyTextNumbered"/>
        <w:keepNext/>
        <w:ind w:hanging="1134"/>
        <w:rPr>
          <w:b/>
        </w:rPr>
      </w:pPr>
      <w:r w:rsidRPr="00E46579">
        <w:rPr>
          <w:b/>
        </w:rPr>
        <w:t>Purpose of the instrument</w:t>
      </w:r>
    </w:p>
    <w:p w14:paraId="4F7DD8A1" w14:textId="626DFE4D" w:rsidR="00141ECF" w:rsidRDefault="00141ECF" w:rsidP="00F10875">
      <w:pPr>
        <w:pStyle w:val="LI-BodyTextParaa"/>
        <w:numPr>
          <w:ilvl w:val="0"/>
          <w:numId w:val="34"/>
        </w:numPr>
      </w:pPr>
      <w:bookmarkStart w:id="3" w:name="_Ref148441741"/>
      <w:bookmarkStart w:id="4" w:name="_Hlk95914968"/>
      <w:r>
        <w:t xml:space="preserve">The purpose of this instrument is to </w:t>
      </w:r>
      <w:r w:rsidR="005C4B84">
        <w:t xml:space="preserve">declare under </w:t>
      </w:r>
      <w:r w:rsidR="00A853F4">
        <w:t xml:space="preserve">paragraph </w:t>
      </w:r>
      <w:r w:rsidR="005C4B84">
        <w:t>1023H(1)(</w:t>
      </w:r>
      <w:r w:rsidR="00271464">
        <w:t>a</w:t>
      </w:r>
      <w:r w:rsidR="005C4B84">
        <w:t xml:space="preserve">) of the Act that </w:t>
      </w:r>
      <w:r>
        <w:t xml:space="preserve">the Principal Instrument </w:t>
      </w:r>
      <w:r w:rsidR="00E94FC4">
        <w:t xml:space="preserve">remains in force </w:t>
      </w:r>
      <w:r w:rsidR="0013288D">
        <w:t xml:space="preserve">until </w:t>
      </w:r>
      <w:r w:rsidR="00CA77D1">
        <w:t>it is revoked</w:t>
      </w:r>
      <w:r w:rsidR="00E94FC4">
        <w:t xml:space="preserve">. </w:t>
      </w:r>
      <w:r w:rsidR="008E124B">
        <w:t xml:space="preserve">By doing so, the Principal Instrument can continue to reduce the risk of significant detriment to retail clients resulting from </w:t>
      </w:r>
      <w:r w:rsidR="00D00690">
        <w:t>continuing credit contracts</w:t>
      </w:r>
      <w:r w:rsidR="008236B9">
        <w:t xml:space="preserve">, where the </w:t>
      </w:r>
      <w:r w:rsidR="00D00690">
        <w:t>continuing credit contract</w:t>
      </w:r>
      <w:r w:rsidR="008236B9">
        <w:t xml:space="preserve"> is provided:</w:t>
      </w:r>
      <w:bookmarkEnd w:id="3"/>
      <w:r w:rsidR="008236B9">
        <w:t xml:space="preserve"> </w:t>
      </w:r>
    </w:p>
    <w:p w14:paraId="4D599C13" w14:textId="54A4EBC6" w:rsidR="00D00690" w:rsidRPr="00D00690" w:rsidRDefault="00D00690" w:rsidP="00D00690">
      <w:pPr>
        <w:pStyle w:val="ListParagraph"/>
        <w:numPr>
          <w:ilvl w:val="1"/>
          <w:numId w:val="34"/>
        </w:numPr>
        <w:shd w:val="clear" w:color="auto" w:fill="FFFFFF"/>
        <w:spacing w:before="240"/>
        <w:ind w:left="1219" w:hanging="357"/>
        <w:contextualSpacing w:val="0"/>
        <w:rPr>
          <w:color w:val="000000"/>
          <w:sz w:val="24"/>
          <w:szCs w:val="24"/>
        </w:rPr>
      </w:pPr>
      <w:r w:rsidRPr="00D00690">
        <w:rPr>
          <w:color w:val="000000"/>
          <w:sz w:val="14"/>
          <w:szCs w:val="14"/>
        </w:rPr>
        <w:t> </w:t>
      </w:r>
      <w:r w:rsidRPr="00D00690">
        <w:rPr>
          <w:color w:val="000000"/>
          <w:sz w:val="24"/>
          <w:szCs w:val="24"/>
        </w:rPr>
        <w:t>by the continuing credit provider to a retail client; and</w:t>
      </w:r>
    </w:p>
    <w:p w14:paraId="01C552C2" w14:textId="4A4022AF" w:rsidR="00D00690" w:rsidRPr="00D00690" w:rsidRDefault="00D00690" w:rsidP="00D00690">
      <w:pPr>
        <w:pStyle w:val="ListParagraph"/>
        <w:numPr>
          <w:ilvl w:val="1"/>
          <w:numId w:val="34"/>
        </w:numPr>
        <w:shd w:val="clear" w:color="auto" w:fill="FFFFFF"/>
        <w:spacing w:before="240"/>
        <w:ind w:left="1219" w:hanging="357"/>
        <w:contextualSpacing w:val="0"/>
        <w:rPr>
          <w:color w:val="000000"/>
          <w:sz w:val="24"/>
          <w:szCs w:val="24"/>
        </w:rPr>
      </w:pPr>
      <w:r w:rsidRPr="00D00690">
        <w:rPr>
          <w:color w:val="000000"/>
          <w:sz w:val="14"/>
          <w:szCs w:val="14"/>
        </w:rPr>
        <w:t> </w:t>
      </w:r>
      <w:r w:rsidRPr="00D00690">
        <w:rPr>
          <w:color w:val="000000"/>
          <w:sz w:val="24"/>
          <w:szCs w:val="24"/>
        </w:rPr>
        <w:t xml:space="preserve">in conjunction with a separate collateral contract (other than a collateral non-cash payment facility) between the retail client and an associate of the credit </w:t>
      </w:r>
      <w:r w:rsidRPr="00D00690">
        <w:rPr>
          <w:color w:val="000000"/>
          <w:sz w:val="24"/>
          <w:szCs w:val="24"/>
        </w:rPr>
        <w:lastRenderedPageBreak/>
        <w:t>provider, pursuant to which the associate charges significant fees or other charges</w:t>
      </w:r>
      <w:r w:rsidR="00F71859">
        <w:rPr>
          <w:color w:val="000000"/>
          <w:sz w:val="24"/>
          <w:szCs w:val="24"/>
        </w:rPr>
        <w:t>,</w:t>
      </w:r>
    </w:p>
    <w:p w14:paraId="04EFFD11" w14:textId="39152DCE" w:rsidR="00D00690" w:rsidRPr="00D00690" w:rsidRDefault="00D00690" w:rsidP="00D00690">
      <w:pPr>
        <w:shd w:val="clear" w:color="auto" w:fill="FFFFFF"/>
        <w:spacing w:before="240" w:after="0"/>
        <w:ind w:left="862"/>
        <w:rPr>
          <w:color w:val="000000"/>
          <w:sz w:val="24"/>
          <w:szCs w:val="24"/>
        </w:rPr>
      </w:pPr>
      <w:r w:rsidRPr="00D00690">
        <w:rPr>
          <w:color w:val="000000"/>
          <w:sz w:val="24"/>
          <w:szCs w:val="24"/>
        </w:rPr>
        <w:t>but that does not include a continuing credit contract that forms part of a buy now pay later arrangement.</w:t>
      </w:r>
    </w:p>
    <w:bookmarkEnd w:id="4"/>
    <w:p w14:paraId="62E3FE62" w14:textId="5FA2E252" w:rsidR="00D00690" w:rsidRPr="00D00690" w:rsidRDefault="00AE7E36" w:rsidP="00D00690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>Consultation</w:t>
      </w:r>
    </w:p>
    <w:p w14:paraId="7C52E5A4" w14:textId="3991C34B" w:rsidR="00AE7E36" w:rsidRPr="002164F8" w:rsidRDefault="2B19FD82" w:rsidP="00F10875">
      <w:pPr>
        <w:pStyle w:val="LI-BodyTextParaa"/>
        <w:numPr>
          <w:ilvl w:val="0"/>
          <w:numId w:val="34"/>
        </w:numPr>
      </w:pPr>
      <w:r>
        <w:t xml:space="preserve">On </w:t>
      </w:r>
      <w:r w:rsidR="008236B9">
        <w:t>10 August 202</w:t>
      </w:r>
      <w:r w:rsidR="005E2E6A">
        <w:t>3</w:t>
      </w:r>
      <w:r>
        <w:t xml:space="preserve">, ASIC issued </w:t>
      </w:r>
      <w:hyperlink r:id="rId15" w:history="1">
        <w:r w:rsidR="1BB2F524" w:rsidRPr="00777906">
          <w:rPr>
            <w:rStyle w:val="Hyperlink"/>
          </w:rPr>
          <w:t xml:space="preserve">Consultation Paper </w:t>
        </w:r>
        <w:r w:rsidR="008236B9">
          <w:rPr>
            <w:rStyle w:val="Hyperlink"/>
          </w:rPr>
          <w:t>371</w:t>
        </w:r>
        <w:r w:rsidR="1BB2F524" w:rsidRPr="00777906">
          <w:rPr>
            <w:rStyle w:val="Hyperlink"/>
          </w:rPr>
          <w:t xml:space="preserve"> </w:t>
        </w:r>
        <w:r w:rsidR="00A81EA1" w:rsidRPr="00A81EA1">
          <w:rPr>
            <w:rStyle w:val="Hyperlink"/>
            <w:i/>
            <w:iCs/>
          </w:rPr>
          <w:t>Product intervention orders: Short term credit facilities and continuing credit contracts</w:t>
        </w:r>
      </w:hyperlink>
      <w:r>
        <w:t xml:space="preserve"> (</w:t>
      </w:r>
      <w:r w:rsidRPr="09F49626">
        <w:rPr>
          <w:b/>
          <w:bCs/>
          <w:i/>
          <w:iCs/>
        </w:rPr>
        <w:t xml:space="preserve">CP </w:t>
      </w:r>
      <w:r w:rsidR="00A81EA1">
        <w:rPr>
          <w:b/>
          <w:bCs/>
          <w:i/>
          <w:iCs/>
        </w:rPr>
        <w:t>371</w:t>
      </w:r>
      <w:r>
        <w:t>). In CP 3</w:t>
      </w:r>
      <w:r w:rsidR="00A81EA1">
        <w:t>71</w:t>
      </w:r>
      <w:r>
        <w:t xml:space="preserve">, ASIC </w:t>
      </w:r>
      <w:r w:rsidR="2B4078F7">
        <w:t xml:space="preserve">set out its analysis of the impact of the Principal Instrument and </w:t>
      </w:r>
      <w:r>
        <w:t xml:space="preserve">proposed to extend </w:t>
      </w:r>
      <w:r w:rsidR="5B38EB21">
        <w:t xml:space="preserve">the </w:t>
      </w:r>
      <w:r w:rsidR="1BB2F524">
        <w:t>Principal Instrument</w:t>
      </w:r>
      <w:r>
        <w:t xml:space="preserve"> until it is revoked or sunsets on 1</w:t>
      </w:r>
      <w:r w:rsidR="5CEB80EA">
        <w:t xml:space="preserve"> October</w:t>
      </w:r>
      <w:r>
        <w:t xml:space="preserve"> 203</w:t>
      </w:r>
      <w:r w:rsidR="00A81EA1">
        <w:t>2</w:t>
      </w:r>
      <w:r w:rsidR="2E8830B9" w:rsidRPr="09F49626">
        <w:rPr>
          <w:i/>
          <w:iCs/>
        </w:rPr>
        <w:t xml:space="preserve"> </w:t>
      </w:r>
      <w:r>
        <w:t>(</w:t>
      </w:r>
      <w:r w:rsidRPr="09F49626">
        <w:rPr>
          <w:b/>
          <w:bCs/>
          <w:i/>
          <w:iCs/>
        </w:rPr>
        <w:t>CP 3</w:t>
      </w:r>
      <w:r w:rsidR="00A81EA1">
        <w:rPr>
          <w:b/>
          <w:bCs/>
          <w:i/>
          <w:iCs/>
        </w:rPr>
        <w:t>71</w:t>
      </w:r>
      <w:r w:rsidRPr="09F49626">
        <w:rPr>
          <w:b/>
          <w:bCs/>
          <w:i/>
          <w:iCs/>
        </w:rPr>
        <w:t xml:space="preserve"> Extension Proposal</w:t>
      </w:r>
      <w:r w:rsidRPr="000632D9">
        <w:t>)</w:t>
      </w:r>
      <w:r w:rsidRPr="09F49626">
        <w:rPr>
          <w:b/>
          <w:bCs/>
        </w:rPr>
        <w:t>.</w:t>
      </w:r>
      <w:r w:rsidR="2E8830B9" w:rsidRPr="09F49626">
        <w:rPr>
          <w:b/>
          <w:bCs/>
        </w:rPr>
        <w:t xml:space="preserve"> </w:t>
      </w:r>
      <w:r w:rsidR="69F1AEAB">
        <w:t>CP 3</w:t>
      </w:r>
      <w:r w:rsidR="00A81EA1">
        <w:t>71</w:t>
      </w:r>
      <w:r w:rsidR="69F1AEAB">
        <w:t xml:space="preserve"> showed our analysis of </w:t>
      </w:r>
      <w:r w:rsidR="00A81EA1">
        <w:t>the effectiveness of the Principal Instrument in reducing the risk of significant detriment to retail clients</w:t>
      </w:r>
      <w:r w:rsidR="69F1AEAB">
        <w:t xml:space="preserve"> following the implementation of the </w:t>
      </w:r>
      <w:r w:rsidR="060F2F3E">
        <w:t>Principal Instrument</w:t>
      </w:r>
      <w:r w:rsidR="69F1AEAB">
        <w:t xml:space="preserve">. </w:t>
      </w:r>
    </w:p>
    <w:p w14:paraId="16D2BD38" w14:textId="078D82F3" w:rsidR="00356163" w:rsidRDefault="00200F7A" w:rsidP="00F10875">
      <w:pPr>
        <w:pStyle w:val="LI-BodyTextParaa"/>
        <w:numPr>
          <w:ilvl w:val="0"/>
          <w:numId w:val="34"/>
        </w:numPr>
      </w:pPr>
      <w:r>
        <w:t xml:space="preserve">Among other things, </w:t>
      </w:r>
      <w:r w:rsidR="00356163">
        <w:t>ASIC sought feedback on:</w:t>
      </w:r>
    </w:p>
    <w:p w14:paraId="028FBFE8" w14:textId="3AE5DCB3" w:rsidR="00356163" w:rsidRDefault="00200F7A" w:rsidP="00F10875">
      <w:pPr>
        <w:pStyle w:val="LI-BodyTextParaa"/>
        <w:numPr>
          <w:ilvl w:val="1"/>
          <w:numId w:val="34"/>
        </w:numPr>
      </w:pPr>
      <w:r w:rsidRPr="006A41F7">
        <w:t>the</w:t>
      </w:r>
      <w:r w:rsidR="00356163" w:rsidRPr="006A41F7">
        <w:t xml:space="preserve"> proposal to </w:t>
      </w:r>
      <w:r w:rsidRPr="006A41F7">
        <w:t>extend the Principal Instrument;</w:t>
      </w:r>
    </w:p>
    <w:p w14:paraId="1F50919A" w14:textId="7E6B744C" w:rsidR="00A81EA1" w:rsidRPr="006A41F7" w:rsidRDefault="00A81EA1" w:rsidP="00F10875">
      <w:pPr>
        <w:pStyle w:val="LI-BodyTextParaa"/>
        <w:numPr>
          <w:ilvl w:val="1"/>
          <w:numId w:val="34"/>
        </w:numPr>
      </w:pPr>
      <w:r>
        <w:t>the proposed period of the extension of the Principal Instrument;</w:t>
      </w:r>
    </w:p>
    <w:p w14:paraId="2DB1CA56" w14:textId="5251344B" w:rsidR="00356163" w:rsidRPr="006A41F7" w:rsidRDefault="00356163" w:rsidP="00F10875">
      <w:pPr>
        <w:pStyle w:val="LI-BodyTextParaa"/>
        <w:numPr>
          <w:ilvl w:val="1"/>
          <w:numId w:val="34"/>
        </w:numPr>
      </w:pPr>
      <w:r w:rsidRPr="006A41F7">
        <w:t xml:space="preserve">the effectiveness of the Principal Instrument in reducing </w:t>
      </w:r>
      <w:r w:rsidR="00F41F43">
        <w:t xml:space="preserve">the risk of </w:t>
      </w:r>
      <w:r w:rsidRPr="006A41F7">
        <w:t>significant detriment to retail clients;</w:t>
      </w:r>
    </w:p>
    <w:p w14:paraId="013BD975" w14:textId="5AE554D4" w:rsidR="00356163" w:rsidRPr="006A41F7" w:rsidRDefault="00200F7A" w:rsidP="00F10875">
      <w:pPr>
        <w:pStyle w:val="LI-BodyTextParaa"/>
        <w:numPr>
          <w:ilvl w:val="1"/>
          <w:numId w:val="34"/>
        </w:numPr>
      </w:pPr>
      <w:r w:rsidRPr="006A41F7">
        <w:t>t</w:t>
      </w:r>
      <w:r w:rsidR="00356163" w:rsidRPr="006A41F7">
        <w:t>he effects of the Principal Instrument on competition in the financial system; and</w:t>
      </w:r>
    </w:p>
    <w:p w14:paraId="70121001" w14:textId="6FA0B191" w:rsidR="00356163" w:rsidRDefault="00200F7A" w:rsidP="00F10875">
      <w:pPr>
        <w:pStyle w:val="LI-BodyTextParaa"/>
        <w:numPr>
          <w:ilvl w:val="1"/>
          <w:numId w:val="34"/>
        </w:numPr>
      </w:pPr>
      <w:r w:rsidRPr="006A41F7">
        <w:t>t</w:t>
      </w:r>
      <w:r w:rsidR="00356163" w:rsidRPr="006A41F7">
        <w:t xml:space="preserve">he </w:t>
      </w:r>
      <w:r w:rsidR="00A81EA1">
        <w:t xml:space="preserve">alternative approaches (if any) that ASIC could take to address the significant detriment identified in CP 371. </w:t>
      </w:r>
    </w:p>
    <w:p w14:paraId="0FBA2B9F" w14:textId="3F2FC227" w:rsidR="00A81EA1" w:rsidRDefault="00AE7E36" w:rsidP="00463354">
      <w:pPr>
        <w:pStyle w:val="LI-BodyTextParaa"/>
        <w:numPr>
          <w:ilvl w:val="0"/>
          <w:numId w:val="34"/>
        </w:numPr>
      </w:pPr>
      <w:r>
        <w:t xml:space="preserve">ASIC received </w:t>
      </w:r>
      <w:r w:rsidR="00A81EA1">
        <w:t>5</w:t>
      </w:r>
      <w:r w:rsidR="0013623B">
        <w:t xml:space="preserve"> </w:t>
      </w:r>
      <w:r>
        <w:t xml:space="preserve">submissions </w:t>
      </w:r>
      <w:r w:rsidR="00C93AB8">
        <w:t>to CP 3</w:t>
      </w:r>
      <w:r w:rsidR="00A81EA1">
        <w:t>71</w:t>
      </w:r>
      <w:r w:rsidR="00C93AB8">
        <w:t>, from</w:t>
      </w:r>
      <w:r w:rsidR="00A81EA1">
        <w:t>:</w:t>
      </w:r>
    </w:p>
    <w:p w14:paraId="26381C0D" w14:textId="421F1DA5" w:rsidR="00A81EA1" w:rsidRDefault="00A81EA1" w:rsidP="00A81EA1">
      <w:pPr>
        <w:pStyle w:val="LI-BodyTextParaa"/>
        <w:numPr>
          <w:ilvl w:val="1"/>
          <w:numId w:val="34"/>
        </w:numPr>
      </w:pPr>
      <w:r w:rsidRPr="00A81EA1">
        <w:t xml:space="preserve">a joint submission from Consumer Action Law Centre, Financial Rights Legal Centre, Financial Counselling Australia, Indigenous Consumer Assistance Network, </w:t>
      </w:r>
      <w:proofErr w:type="spellStart"/>
      <w:r w:rsidRPr="00A81EA1">
        <w:t>WEs</w:t>
      </w:r>
      <w:r w:rsidR="00622B27">
        <w:t>t</w:t>
      </w:r>
      <w:r w:rsidRPr="00A81EA1">
        <w:t>justice</w:t>
      </w:r>
      <w:proofErr w:type="spellEnd"/>
      <w:r w:rsidRPr="00A81EA1">
        <w:t>, The Salvation Army, Consumer Credit Legal Service WA, Victorian Aboriginal Legal Service and Redfern Legal Centre</w:t>
      </w:r>
      <w:r>
        <w:t>;</w:t>
      </w:r>
    </w:p>
    <w:p w14:paraId="4A23F541" w14:textId="56F77072" w:rsidR="00A81EA1" w:rsidRDefault="00A81EA1" w:rsidP="00A81EA1">
      <w:pPr>
        <w:pStyle w:val="LI-BodyTextParaa"/>
        <w:numPr>
          <w:ilvl w:val="1"/>
          <w:numId w:val="34"/>
        </w:numPr>
      </w:pPr>
      <w:r>
        <w:t xml:space="preserve">the </w:t>
      </w:r>
      <w:r w:rsidRPr="00A81EA1">
        <w:t>Australian Financial Complaints Authority</w:t>
      </w:r>
      <w:r>
        <w:t>;</w:t>
      </w:r>
    </w:p>
    <w:p w14:paraId="6DA1AC4A" w14:textId="2436786A" w:rsidR="00A81EA1" w:rsidRDefault="00A81EA1" w:rsidP="00A81EA1">
      <w:pPr>
        <w:pStyle w:val="LI-BodyTextParaa"/>
        <w:numPr>
          <w:ilvl w:val="1"/>
          <w:numId w:val="34"/>
        </w:numPr>
      </w:pPr>
      <w:r>
        <w:t xml:space="preserve">the </w:t>
      </w:r>
      <w:r w:rsidRPr="00A81EA1">
        <w:t>Consumer Credit Law Centre of South Australia</w:t>
      </w:r>
      <w:r>
        <w:t>;</w:t>
      </w:r>
    </w:p>
    <w:p w14:paraId="1E69A8F1" w14:textId="369F5C49" w:rsidR="00A81EA1" w:rsidRDefault="00A81EA1" w:rsidP="00A81EA1">
      <w:pPr>
        <w:pStyle w:val="LI-BodyTextParaa"/>
        <w:numPr>
          <w:ilvl w:val="1"/>
          <w:numId w:val="34"/>
        </w:numPr>
      </w:pPr>
      <w:r>
        <w:t xml:space="preserve">the </w:t>
      </w:r>
      <w:r w:rsidRPr="00A81EA1">
        <w:t>Financial Counsellors’ Association of Western Australia</w:t>
      </w:r>
      <w:r>
        <w:t>; and</w:t>
      </w:r>
    </w:p>
    <w:p w14:paraId="1AA4243A" w14:textId="28F9174A" w:rsidR="00A81EA1" w:rsidRDefault="00A81EA1" w:rsidP="00A81EA1">
      <w:pPr>
        <w:pStyle w:val="LI-BodyTextParaa"/>
        <w:numPr>
          <w:ilvl w:val="1"/>
          <w:numId w:val="34"/>
        </w:numPr>
      </w:pPr>
      <w:proofErr w:type="spellStart"/>
      <w:r>
        <w:t>LawRight</w:t>
      </w:r>
      <w:proofErr w:type="spellEnd"/>
      <w:r>
        <w:t xml:space="preserve">. </w:t>
      </w:r>
    </w:p>
    <w:p w14:paraId="2F152B8C" w14:textId="38906655" w:rsidR="00E96B9E" w:rsidRDefault="001A7F5F" w:rsidP="00463354">
      <w:pPr>
        <w:pStyle w:val="LI-BodyTextParaa"/>
        <w:numPr>
          <w:ilvl w:val="0"/>
          <w:numId w:val="34"/>
        </w:numPr>
      </w:pPr>
      <w:r>
        <w:t xml:space="preserve">We did not receive any submissions from retail clients. </w:t>
      </w:r>
    </w:p>
    <w:p w14:paraId="197C7B1A" w14:textId="7346706D" w:rsidR="00F62840" w:rsidRDefault="00F62840" w:rsidP="00463354">
      <w:pPr>
        <w:pStyle w:val="LI-BodyTextParaa"/>
        <w:numPr>
          <w:ilvl w:val="0"/>
          <w:numId w:val="34"/>
        </w:numPr>
      </w:pPr>
      <w:r>
        <w:t>All respondents agreed about the effectiveness o</w:t>
      </w:r>
      <w:r w:rsidR="00411CA5">
        <w:t>f</w:t>
      </w:r>
      <w:r>
        <w:t xml:space="preserve"> the </w:t>
      </w:r>
      <w:r w:rsidR="00411CA5">
        <w:t>Principal Instrument</w:t>
      </w:r>
      <w:r>
        <w:t xml:space="preserve"> and supported our proposal to extend it</w:t>
      </w:r>
      <w:r w:rsidR="0087794A">
        <w:t xml:space="preserve"> so that it would remain in force until </w:t>
      </w:r>
      <w:r w:rsidR="00FF45E8">
        <w:t xml:space="preserve">it </w:t>
      </w:r>
      <w:r w:rsidR="0087794A">
        <w:t>is revoked or sunsets on 1 October 203</w:t>
      </w:r>
      <w:r w:rsidR="00A81EA1">
        <w:t>2</w:t>
      </w:r>
      <w:r w:rsidR="0087794A">
        <w:t>.</w:t>
      </w:r>
    </w:p>
    <w:p w14:paraId="5B242371" w14:textId="42D14A12" w:rsidR="002D6AF9" w:rsidRPr="00957FAF" w:rsidRDefault="00E84C6D" w:rsidP="00F10875">
      <w:pPr>
        <w:pStyle w:val="LI-BodyTextParaa"/>
        <w:numPr>
          <w:ilvl w:val="0"/>
          <w:numId w:val="34"/>
        </w:numPr>
      </w:pPr>
      <w:bookmarkStart w:id="5" w:name="_Hlk96003503"/>
      <w:r>
        <w:rPr>
          <w:color w:val="000000"/>
          <w:shd w:val="clear" w:color="auto" w:fill="FFFFFF"/>
        </w:rPr>
        <w:lastRenderedPageBreak/>
        <w:t xml:space="preserve">The </w:t>
      </w:r>
      <w:r w:rsidRPr="002738E5">
        <w:rPr>
          <w:color w:val="000000"/>
          <w:shd w:val="clear" w:color="auto" w:fill="FFFFFF"/>
        </w:rPr>
        <w:t xml:space="preserve">submissions to CP </w:t>
      </w:r>
      <w:r w:rsidR="002D6AF9" w:rsidRPr="002738E5">
        <w:rPr>
          <w:color w:val="000000"/>
          <w:shd w:val="clear" w:color="auto" w:fill="FFFFFF"/>
        </w:rPr>
        <w:t>3</w:t>
      </w:r>
      <w:r w:rsidR="00A81EA1" w:rsidRPr="002738E5">
        <w:rPr>
          <w:color w:val="000000"/>
          <w:shd w:val="clear" w:color="auto" w:fill="FFFFFF"/>
        </w:rPr>
        <w:t>71</w:t>
      </w:r>
      <w:r w:rsidRPr="002738E5">
        <w:rPr>
          <w:color w:val="000000"/>
          <w:shd w:val="clear" w:color="auto" w:fill="FFFFFF"/>
        </w:rPr>
        <w:t xml:space="preserve"> are publicly available on ASIC’s website</w:t>
      </w:r>
      <w:r w:rsidR="002D6AF9" w:rsidRPr="002738E5">
        <w:rPr>
          <w:color w:val="000000"/>
          <w:shd w:val="clear" w:color="auto" w:fill="FFFFFF"/>
        </w:rPr>
        <w:t>.</w:t>
      </w:r>
    </w:p>
    <w:p w14:paraId="37D1CE78" w14:textId="7DDD0446" w:rsidR="00FE4E33" w:rsidRPr="00FF4E2A" w:rsidRDefault="37ADC695" w:rsidP="00F10875">
      <w:pPr>
        <w:pStyle w:val="LI-BodyTextParaa"/>
        <w:numPr>
          <w:ilvl w:val="0"/>
          <w:numId w:val="34"/>
        </w:numPr>
      </w:pPr>
      <w:r>
        <w:t xml:space="preserve">The </w:t>
      </w:r>
      <w:r w:rsidR="0D167CB9">
        <w:t>feedback</w:t>
      </w:r>
      <w:r>
        <w:t xml:space="preserve"> to CP </w:t>
      </w:r>
      <w:r w:rsidR="47FE6010">
        <w:t>3</w:t>
      </w:r>
      <w:r w:rsidR="00021049">
        <w:t>71</w:t>
      </w:r>
      <w:r>
        <w:t xml:space="preserve"> </w:t>
      </w:r>
      <w:r w:rsidR="0D167CB9">
        <w:t>was</w:t>
      </w:r>
      <w:r>
        <w:t xml:space="preserve"> </w:t>
      </w:r>
      <w:proofErr w:type="gramStart"/>
      <w:r>
        <w:t>taken into account</w:t>
      </w:r>
      <w:proofErr w:type="gramEnd"/>
      <w:r>
        <w:t xml:space="preserve"> when making the instrument</w:t>
      </w:r>
      <w:r w:rsidR="4EA57507">
        <w:t xml:space="preserve">. Having considered the </w:t>
      </w:r>
      <w:r w:rsidR="0D167CB9">
        <w:t>consultation feedback</w:t>
      </w:r>
      <w:r w:rsidR="4EA57507">
        <w:t xml:space="preserve"> and </w:t>
      </w:r>
      <w:r w:rsidR="6BDCB25A">
        <w:t xml:space="preserve">having analysed </w:t>
      </w:r>
      <w:r w:rsidR="1143F1C0">
        <w:t xml:space="preserve">data </w:t>
      </w:r>
      <w:r w:rsidR="00021049">
        <w:t>in relation to</w:t>
      </w:r>
      <w:r w:rsidR="1143F1C0">
        <w:t xml:space="preserve"> </w:t>
      </w:r>
      <w:r w:rsidR="00D00690">
        <w:t>continuing credit contracts</w:t>
      </w:r>
      <w:r w:rsidR="75ABF312">
        <w:t xml:space="preserve"> before and after the implementation of the Principal Instrument</w:t>
      </w:r>
      <w:r w:rsidR="1143F1C0">
        <w:t xml:space="preserve"> to assess </w:t>
      </w:r>
      <w:r w:rsidR="75ABF312">
        <w:t xml:space="preserve">its </w:t>
      </w:r>
      <w:r w:rsidR="6BDCB25A">
        <w:t>impact</w:t>
      </w:r>
      <w:r w:rsidR="0D167CB9">
        <w:t>,</w:t>
      </w:r>
      <w:r w:rsidR="4EA57507">
        <w:t xml:space="preserve"> ASIC </w:t>
      </w:r>
      <w:r w:rsidR="28C1782E">
        <w:t xml:space="preserve">is satisfied </w:t>
      </w:r>
      <w:r w:rsidR="4EA57507">
        <w:t xml:space="preserve">that the Principal Instrument is operating efficiently and effectively and that it </w:t>
      </w:r>
      <w:r w:rsidR="28C1782E">
        <w:t xml:space="preserve">is appropriate to </w:t>
      </w:r>
      <w:r w:rsidR="4EA57507">
        <w:t xml:space="preserve">declare under subsection 1023H(1) that the Principal Instrument remains in force </w:t>
      </w:r>
      <w:r w:rsidR="5DD1944F">
        <w:t>until</w:t>
      </w:r>
      <w:r w:rsidR="28C1782E">
        <w:t xml:space="preserve"> it is revoked</w:t>
      </w:r>
      <w:r w:rsidR="323902E4">
        <w:t xml:space="preserve">. </w:t>
      </w:r>
      <w:r w:rsidR="67FC8129">
        <w:t xml:space="preserve">If the Principal Instrument is not revoked, then under the </w:t>
      </w:r>
      <w:r w:rsidR="67FC8129" w:rsidRPr="382217C4">
        <w:rPr>
          <w:i/>
          <w:iCs/>
        </w:rPr>
        <w:t xml:space="preserve">Legislation Act 2003, </w:t>
      </w:r>
      <w:r w:rsidR="67FC8129">
        <w:t xml:space="preserve">it </w:t>
      </w:r>
      <w:proofErr w:type="gramStart"/>
      <w:r w:rsidR="67FC8129">
        <w:t>will</w:t>
      </w:r>
      <w:proofErr w:type="gramEnd"/>
      <w:r w:rsidR="67FC8129">
        <w:t xml:space="preserve"> sunset </w:t>
      </w:r>
      <w:r w:rsidR="45E58D40">
        <w:t>on</w:t>
      </w:r>
      <w:r w:rsidR="74141B80">
        <w:t xml:space="preserve"> </w:t>
      </w:r>
      <w:r w:rsidR="50F0E3A0">
        <w:t>1 October 203</w:t>
      </w:r>
      <w:r w:rsidR="00021049">
        <w:t>2</w:t>
      </w:r>
      <w:r w:rsidR="50F0E3A0">
        <w:t xml:space="preserve">. </w:t>
      </w:r>
    </w:p>
    <w:bookmarkEnd w:id="5"/>
    <w:p w14:paraId="1AF5AD40" w14:textId="04A87624" w:rsidR="00FE3851" w:rsidRPr="006B10C6" w:rsidRDefault="00FE3851" w:rsidP="00FE3851">
      <w:pPr>
        <w:spacing w:before="240" w:after="0"/>
        <w:rPr>
          <w:b/>
          <w:iCs/>
          <w:sz w:val="24"/>
          <w:szCs w:val="24"/>
        </w:rPr>
      </w:pPr>
      <w:r w:rsidRPr="006B10C6">
        <w:rPr>
          <w:b/>
          <w:iCs/>
          <w:sz w:val="24"/>
          <w:szCs w:val="24"/>
        </w:rPr>
        <w:t>Estimate of regulatory compliance burden</w:t>
      </w:r>
    </w:p>
    <w:p w14:paraId="5E0424A0" w14:textId="41DD70C3" w:rsidR="00FE3851" w:rsidRPr="00E96B9E" w:rsidRDefault="00FE3851" w:rsidP="00F10875">
      <w:pPr>
        <w:pStyle w:val="LI-BodyTextParaa"/>
        <w:numPr>
          <w:ilvl w:val="0"/>
          <w:numId w:val="34"/>
        </w:numPr>
      </w:pPr>
      <w:r>
        <w:t>ASIC has reviewed and assessed the performance of the Principal Instrument and found that it is achieving its objectives effectively and efficiently and that therefore a</w:t>
      </w:r>
      <w:r w:rsidR="002124D2">
        <w:t>n</w:t>
      </w:r>
      <w:r>
        <w:t xml:space="preserve"> </w:t>
      </w:r>
      <w:r w:rsidR="006001CC">
        <w:t>Impact An</w:t>
      </w:r>
      <w:r w:rsidR="00157056">
        <w:t>alysis</w:t>
      </w:r>
      <w:r>
        <w:t xml:space="preserve"> is not required for this instrument to be extended (</w:t>
      </w:r>
      <w:r w:rsidR="00CC476E">
        <w:t>OIA23-05380</w:t>
      </w:r>
      <w:r w:rsidR="00C06A4D">
        <w:t>)</w:t>
      </w:r>
      <w:r>
        <w:t>.</w:t>
      </w:r>
    </w:p>
    <w:p w14:paraId="789DE50C" w14:textId="28830731" w:rsidR="00054C4D" w:rsidRPr="00054C4D" w:rsidRDefault="00054C4D" w:rsidP="00054C4D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>Legislative authority</w:t>
      </w:r>
    </w:p>
    <w:bookmarkEnd w:id="1"/>
    <w:p w14:paraId="1A91893F" w14:textId="2BAB6C82" w:rsidR="00B76B44" w:rsidRPr="00907CF4" w:rsidRDefault="00054C4D" w:rsidP="00F10875">
      <w:pPr>
        <w:pStyle w:val="LI-BodyTextParaa"/>
        <w:numPr>
          <w:ilvl w:val="0"/>
          <w:numId w:val="34"/>
        </w:numPr>
      </w:pPr>
      <w:r>
        <w:t>The instrument is made under subsection 1023</w:t>
      </w:r>
      <w:r w:rsidR="00802495">
        <w:t>H</w:t>
      </w:r>
      <w:r>
        <w:t>(</w:t>
      </w:r>
      <w:r w:rsidR="00802495">
        <w:t>1</w:t>
      </w:r>
      <w:r>
        <w:t>) of the</w:t>
      </w:r>
      <w:r w:rsidR="00F370BD">
        <w:t xml:space="preserve"> Act</w:t>
      </w:r>
      <w:r>
        <w:t xml:space="preserve">. </w:t>
      </w:r>
    </w:p>
    <w:p w14:paraId="4A2220C5" w14:textId="58CF253A" w:rsidR="00C31157" w:rsidRPr="00C31157" w:rsidRDefault="008877F1" w:rsidP="00F10875">
      <w:pPr>
        <w:pStyle w:val="LI-BodyTextParaa"/>
        <w:numPr>
          <w:ilvl w:val="0"/>
          <w:numId w:val="34"/>
        </w:numPr>
      </w:pPr>
      <w:r w:rsidRPr="00A55A79">
        <w:t xml:space="preserve">ASIC may, at any time before </w:t>
      </w:r>
      <w:r>
        <w:t xml:space="preserve">a product intervention </w:t>
      </w:r>
      <w:r w:rsidRPr="00A55A79">
        <w:t xml:space="preserve">order ceases to be in force, give the Minister a report on whether the declaration should be made. After considering the report, the Minister may give an approval in writing for the purposes of subsection </w:t>
      </w:r>
      <w:r>
        <w:t>1023H</w:t>
      </w:r>
      <w:r w:rsidRPr="00A55A79">
        <w:t>(1)</w:t>
      </w:r>
      <w:r w:rsidR="00C31157">
        <w:t xml:space="preserve"> of the Act</w:t>
      </w:r>
      <w:r w:rsidRPr="00A55A79">
        <w:t>.</w:t>
      </w:r>
    </w:p>
    <w:p w14:paraId="725BD0D8" w14:textId="5999DD0D" w:rsidR="00C31157" w:rsidRDefault="00C31157" w:rsidP="00F10875">
      <w:pPr>
        <w:pStyle w:val="LI-BodyTextParaa"/>
        <w:numPr>
          <w:ilvl w:val="0"/>
          <w:numId w:val="34"/>
        </w:numPr>
      </w:pPr>
      <w:r>
        <w:t>Before ASIC made the instrument, ASIC provided a report to the Minister under s</w:t>
      </w:r>
      <w:r w:rsidR="00E613C5">
        <w:t xml:space="preserve">ubsection </w:t>
      </w:r>
      <w:r>
        <w:t xml:space="preserve">1023H(3) of the Act on whether the instrument should be made. The Minister gave his written approval under subsection 1023H(4) of the Act for ASIC to make the instrument. </w:t>
      </w:r>
    </w:p>
    <w:p w14:paraId="1C638775" w14:textId="34A1F382" w:rsidR="00B76B44" w:rsidRPr="0021750E" w:rsidRDefault="00054C4D" w:rsidP="00F10875">
      <w:pPr>
        <w:pStyle w:val="LI-BodyTextParaa"/>
        <w:numPr>
          <w:ilvl w:val="0"/>
          <w:numId w:val="34"/>
        </w:numPr>
      </w:pPr>
      <w:r w:rsidRPr="00054C4D">
        <w:t>Under subsection 1023</w:t>
      </w:r>
      <w:r w:rsidR="00802495">
        <w:t>H</w:t>
      </w:r>
      <w:r w:rsidRPr="00054C4D">
        <w:t>(</w:t>
      </w:r>
      <w:r w:rsidR="00802495">
        <w:t>1)</w:t>
      </w:r>
      <w:r w:rsidRPr="00054C4D">
        <w:t xml:space="preserve"> of the Act, </w:t>
      </w:r>
      <w:r w:rsidR="00C44872" w:rsidRPr="00C44872">
        <w:t>ASIC may, in accordance with an approval under subsection (4), by legislative instrument, declare that a product intervention order that is in force</w:t>
      </w:r>
      <w:r w:rsidRPr="00054C4D">
        <w:t>:</w:t>
      </w:r>
    </w:p>
    <w:p w14:paraId="3714FBF1" w14:textId="12979EA6" w:rsidR="00B76B44" w:rsidRPr="0021750E" w:rsidRDefault="00C44872" w:rsidP="00F10875">
      <w:pPr>
        <w:pStyle w:val="LI-BodyTextParaa"/>
        <w:numPr>
          <w:ilvl w:val="1"/>
          <w:numId w:val="34"/>
        </w:numPr>
      </w:pPr>
      <w:r>
        <w:t>remains in force until it is revoked</w:t>
      </w:r>
      <w:r w:rsidR="00054C4D">
        <w:t xml:space="preserve">; </w:t>
      </w:r>
      <w:r>
        <w:t>or</w:t>
      </w:r>
    </w:p>
    <w:p w14:paraId="5CB7AE8C" w14:textId="3397A136" w:rsidR="00382C57" w:rsidRDefault="00C44872" w:rsidP="00F10875">
      <w:pPr>
        <w:pStyle w:val="LI-BodyTextParaa"/>
        <w:numPr>
          <w:ilvl w:val="1"/>
          <w:numId w:val="34"/>
        </w:numPr>
      </w:pPr>
      <w:r w:rsidRPr="00C44872">
        <w:t xml:space="preserve">remains in force for a specified </w:t>
      </w:r>
      <w:proofErr w:type="gramStart"/>
      <w:r w:rsidRPr="00C44872">
        <w:t>period, unless</w:t>
      </w:r>
      <w:proofErr w:type="gramEnd"/>
      <w:r w:rsidRPr="00C44872">
        <w:t xml:space="preserve"> it is revoked earlier</w:t>
      </w:r>
      <w:r w:rsidR="00382C57">
        <w:t>.</w:t>
      </w:r>
    </w:p>
    <w:p w14:paraId="021F7DA1" w14:textId="78B2308D" w:rsidR="00C31157" w:rsidRPr="00C00096" w:rsidRDefault="00C44872" w:rsidP="007E6F1C">
      <w:pPr>
        <w:pStyle w:val="LI-BodyTextParaa"/>
        <w:numPr>
          <w:ilvl w:val="0"/>
          <w:numId w:val="34"/>
        </w:numPr>
      </w:pPr>
      <w:r>
        <w:t xml:space="preserve">A declaration under subsection </w:t>
      </w:r>
      <w:r w:rsidR="00BD2093">
        <w:t xml:space="preserve">1023H(1) </w:t>
      </w:r>
      <w:r>
        <w:t>has the effect of overriding any provisions in a product intervention order about the duration of the order: see subsection 1023G(3).</w:t>
      </w:r>
    </w:p>
    <w:p w14:paraId="4C14CD94" w14:textId="1D272768" w:rsidR="00054C4D" w:rsidRDefault="00054C4D" w:rsidP="00F10875">
      <w:pPr>
        <w:pStyle w:val="LI-BodyTextParaa"/>
        <w:numPr>
          <w:ilvl w:val="0"/>
          <w:numId w:val="34"/>
        </w:numPr>
      </w:pPr>
      <w:r w:rsidRPr="00054C4D">
        <w:t xml:space="preserve">The instrument is a disallowable legislative instrument. </w:t>
      </w:r>
    </w:p>
    <w:p w14:paraId="4410330C" w14:textId="77777777" w:rsidR="00A3304C" w:rsidRPr="00A3304C" w:rsidRDefault="00A3304C" w:rsidP="00A3304C">
      <w:pPr>
        <w:pStyle w:val="ListParagraph"/>
        <w:rPr>
          <w:sz w:val="24"/>
          <w:szCs w:val="24"/>
        </w:rPr>
      </w:pPr>
    </w:p>
    <w:p w14:paraId="333BEB66" w14:textId="499B2B13" w:rsidR="00B57DE1" w:rsidRDefault="00B57DE1" w:rsidP="00B57DE1">
      <w:pPr>
        <w:pStyle w:val="LI-BodyTextNumbered"/>
        <w:keepNext/>
        <w:ind w:hanging="1134"/>
        <w:rPr>
          <w:b/>
        </w:rPr>
      </w:pPr>
      <w:r w:rsidRPr="00E46579">
        <w:rPr>
          <w:b/>
        </w:rPr>
        <w:t>Operation of the instrument</w:t>
      </w:r>
    </w:p>
    <w:p w14:paraId="60D066F2" w14:textId="5C703162" w:rsidR="00B57DE1" w:rsidRPr="00B57DE1" w:rsidRDefault="00B57DE1" w:rsidP="00B57DE1">
      <w:pPr>
        <w:pStyle w:val="LI-BodyTextNumbered"/>
        <w:keepNext/>
        <w:ind w:hanging="1134"/>
        <w:rPr>
          <w:b/>
          <w:i/>
        </w:rPr>
      </w:pPr>
      <w:r>
        <w:rPr>
          <w:b/>
          <w:i/>
        </w:rPr>
        <w:t>Name</w:t>
      </w:r>
    </w:p>
    <w:p w14:paraId="3E45C784" w14:textId="736820FC" w:rsidR="00B57DE1" w:rsidRPr="00B57DE1" w:rsidRDefault="00B57DE1" w:rsidP="00F10875">
      <w:pPr>
        <w:pStyle w:val="LI-BodyTextParaa"/>
        <w:numPr>
          <w:ilvl w:val="0"/>
          <w:numId w:val="34"/>
        </w:numPr>
      </w:pPr>
      <w:r>
        <w:t xml:space="preserve">Section 1 of the instrument provides that the instrument is the </w:t>
      </w:r>
      <w:r w:rsidRPr="27B63B8D">
        <w:rPr>
          <w:i/>
          <w:iCs/>
        </w:rPr>
        <w:t xml:space="preserve">ASIC Corporations </w:t>
      </w:r>
      <w:r w:rsidR="00B73BE8" w:rsidRPr="27B63B8D">
        <w:rPr>
          <w:rFonts w:eastAsia="Calibri"/>
          <w:i/>
          <w:iCs/>
        </w:rPr>
        <w:t>(Product Intervention Order Extension</w:t>
      </w:r>
      <w:r w:rsidR="0078080A">
        <w:rPr>
          <w:rFonts w:eastAsia="Calibri"/>
          <w:i/>
          <w:iCs/>
        </w:rPr>
        <w:t>—</w:t>
      </w:r>
      <w:r w:rsidR="00152AA6">
        <w:rPr>
          <w:i/>
          <w:iCs/>
        </w:rPr>
        <w:t>Continuing Credit Contracts</w:t>
      </w:r>
      <w:r w:rsidR="00B73BE8" w:rsidRPr="27B63B8D">
        <w:rPr>
          <w:rFonts w:eastAsia="Calibri"/>
          <w:i/>
          <w:iCs/>
        </w:rPr>
        <w:t>)</w:t>
      </w:r>
      <w:r w:rsidR="00B73BE8" w:rsidRPr="27B63B8D">
        <w:rPr>
          <w:rFonts w:eastAsia="Calibri"/>
          <w:b/>
          <w:bCs/>
          <w:i/>
          <w:iCs/>
        </w:rPr>
        <w:t xml:space="preserve"> </w:t>
      </w:r>
      <w:r w:rsidRPr="27B63B8D">
        <w:rPr>
          <w:i/>
          <w:iCs/>
        </w:rPr>
        <w:t xml:space="preserve">Instrument </w:t>
      </w:r>
      <w:r w:rsidRPr="005B2D3C">
        <w:rPr>
          <w:i/>
          <w:iCs/>
        </w:rPr>
        <w:t>202</w:t>
      </w:r>
      <w:r w:rsidR="00152AA6" w:rsidRPr="005B2D3C">
        <w:rPr>
          <w:i/>
          <w:iCs/>
        </w:rPr>
        <w:t>3</w:t>
      </w:r>
      <w:r w:rsidR="0055436A" w:rsidRPr="005B2D3C">
        <w:rPr>
          <w:i/>
          <w:iCs/>
        </w:rPr>
        <w:t>/</w:t>
      </w:r>
      <w:r w:rsidR="005B2D3C" w:rsidRPr="005B2D3C">
        <w:rPr>
          <w:i/>
          <w:iCs/>
        </w:rPr>
        <w:t>957</w:t>
      </w:r>
      <w:r w:rsidR="00493349" w:rsidRPr="005B2D3C">
        <w:t>.</w:t>
      </w:r>
    </w:p>
    <w:p w14:paraId="2C1C41E6" w14:textId="1CA68159" w:rsidR="00B57DE1" w:rsidRPr="00B57DE1" w:rsidRDefault="00B57DE1" w:rsidP="00B57DE1">
      <w:pPr>
        <w:pStyle w:val="LI-BodyTextNumbered"/>
        <w:keepNext/>
        <w:ind w:hanging="1134"/>
        <w:rPr>
          <w:b/>
          <w:i/>
        </w:rPr>
      </w:pPr>
      <w:r>
        <w:rPr>
          <w:b/>
          <w:i/>
        </w:rPr>
        <w:lastRenderedPageBreak/>
        <w:t>Commencement</w:t>
      </w:r>
    </w:p>
    <w:p w14:paraId="03D8D6A1" w14:textId="71637A83" w:rsidR="00D75D38" w:rsidRPr="00D75D38" w:rsidRDefault="009510C3" w:rsidP="00F10875">
      <w:pPr>
        <w:pStyle w:val="LI-BodyTextParaa"/>
        <w:numPr>
          <w:ilvl w:val="0"/>
          <w:numId w:val="34"/>
        </w:numPr>
        <w:rPr>
          <w:i/>
        </w:rPr>
      </w:pPr>
      <w:r>
        <w:t xml:space="preserve">Section 2 of the instrument provides that the instrument </w:t>
      </w:r>
      <w:r w:rsidRPr="009C59C9">
        <w:t xml:space="preserve">commences on </w:t>
      </w:r>
      <w:r w:rsidRPr="002738E5">
        <w:t>the day after</w:t>
      </w:r>
      <w:r w:rsidRPr="009C59C9">
        <w:t xml:space="preserve"> </w:t>
      </w:r>
      <w:r w:rsidR="00D75D38" w:rsidRPr="00D75D38">
        <w:t>it is registered on the Federal Register of Legislation.</w:t>
      </w:r>
    </w:p>
    <w:p w14:paraId="4BD8E3E4" w14:textId="77777777" w:rsidR="0032677D" w:rsidRPr="009510C3" w:rsidRDefault="0032677D" w:rsidP="0032677D">
      <w:pPr>
        <w:pStyle w:val="LI-BodyTextNumbered"/>
        <w:keepNext/>
        <w:ind w:hanging="1134"/>
        <w:rPr>
          <w:b/>
          <w:i/>
        </w:rPr>
      </w:pPr>
      <w:r>
        <w:rPr>
          <w:b/>
          <w:i/>
        </w:rPr>
        <w:t xml:space="preserve">Authority </w:t>
      </w:r>
    </w:p>
    <w:p w14:paraId="5AAB75D2" w14:textId="105FF37F" w:rsidR="0032677D" w:rsidRPr="009F7363" w:rsidRDefault="0032677D" w:rsidP="00F10875">
      <w:pPr>
        <w:pStyle w:val="LI-BodyTextParaa"/>
        <w:numPr>
          <w:ilvl w:val="0"/>
          <w:numId w:val="34"/>
        </w:numPr>
      </w:pPr>
      <w:r>
        <w:t>Section 3 of the instrument provides that the instrument is made under subsection 1023</w:t>
      </w:r>
      <w:r w:rsidR="00802495">
        <w:t>H</w:t>
      </w:r>
      <w:r>
        <w:t>(</w:t>
      </w:r>
      <w:r w:rsidR="00802495">
        <w:t>1</w:t>
      </w:r>
      <w:r>
        <w:t xml:space="preserve">) of the </w:t>
      </w:r>
      <w:r w:rsidR="00442274" w:rsidRPr="00A55A79">
        <w:rPr>
          <w:iCs/>
        </w:rPr>
        <w:t>Act</w:t>
      </w:r>
      <w:r>
        <w:rPr>
          <w:i/>
        </w:rPr>
        <w:t xml:space="preserve">. </w:t>
      </w:r>
    </w:p>
    <w:p w14:paraId="540F43D8" w14:textId="71EB6862" w:rsidR="009F7363" w:rsidRPr="009F7363" w:rsidRDefault="009F7363" w:rsidP="009F7363">
      <w:pPr>
        <w:spacing w:before="240"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Terms of declaration</w:t>
      </w:r>
    </w:p>
    <w:p w14:paraId="45E0D801" w14:textId="4C938218" w:rsidR="00E50B40" w:rsidRPr="00452E97" w:rsidRDefault="009F7363" w:rsidP="711FAF45">
      <w:pPr>
        <w:pStyle w:val="LI-BodyTextParaa"/>
        <w:numPr>
          <w:ilvl w:val="0"/>
          <w:numId w:val="34"/>
        </w:numPr>
        <w:rPr>
          <w:i/>
          <w:iCs/>
        </w:rPr>
      </w:pPr>
      <w:r>
        <w:t xml:space="preserve">Section 4 of the instrument provides that </w:t>
      </w:r>
      <w:r w:rsidR="00442274">
        <w:t>the Principal Instrument</w:t>
      </w:r>
      <w:r w:rsidR="00442274" w:rsidRPr="711FAF45">
        <w:rPr>
          <w:i/>
          <w:iCs/>
        </w:rPr>
        <w:t xml:space="preserve"> </w:t>
      </w:r>
      <w:r>
        <w:t xml:space="preserve">remains in force </w:t>
      </w:r>
      <w:r w:rsidR="006A0A23">
        <w:t>until</w:t>
      </w:r>
      <w:r w:rsidR="001E6501">
        <w:t xml:space="preserve"> it is revoked</w:t>
      </w:r>
      <w:r>
        <w:t>.</w:t>
      </w:r>
      <w:r w:rsidRPr="711FAF45">
        <w:rPr>
          <w:i/>
          <w:iCs/>
        </w:rPr>
        <w:t xml:space="preserve"> </w:t>
      </w:r>
    </w:p>
    <w:p w14:paraId="389D8E5A" w14:textId="487FEAB0" w:rsidR="00805561" w:rsidRPr="00717EEB" w:rsidRDefault="00672977" w:rsidP="00805561">
      <w:pPr>
        <w:shd w:val="clear" w:color="auto" w:fill="FFFFFF"/>
        <w:spacing w:before="240" w:after="0"/>
        <w:rPr>
          <w:rFonts w:ascii="Calibri" w:hAnsi="Calibri" w:cs="Calibri"/>
          <w:b/>
          <w:bCs/>
          <w:color w:val="000000"/>
          <w:szCs w:val="22"/>
        </w:rPr>
      </w:pPr>
      <w:r w:rsidRPr="00717EEB">
        <w:rPr>
          <w:b/>
          <w:bCs/>
          <w:color w:val="000000"/>
          <w:sz w:val="24"/>
          <w:szCs w:val="24"/>
        </w:rPr>
        <w:t xml:space="preserve">Considerations relating to delegated </w:t>
      </w:r>
      <w:r w:rsidR="00805561" w:rsidRPr="00717EEB">
        <w:rPr>
          <w:b/>
          <w:bCs/>
          <w:color w:val="000000"/>
          <w:sz w:val="24"/>
          <w:szCs w:val="24"/>
        </w:rPr>
        <w:t xml:space="preserve">and primary </w:t>
      </w:r>
      <w:proofErr w:type="gramStart"/>
      <w:r w:rsidR="00805561" w:rsidRPr="00717EEB">
        <w:rPr>
          <w:b/>
          <w:bCs/>
          <w:color w:val="000000"/>
          <w:sz w:val="24"/>
          <w:szCs w:val="24"/>
        </w:rPr>
        <w:t>legislation</w:t>
      </w:r>
      <w:proofErr w:type="gramEnd"/>
      <w:r w:rsidR="00805561" w:rsidRPr="00717EEB">
        <w:rPr>
          <w:b/>
          <w:bCs/>
          <w:color w:val="000000"/>
          <w:sz w:val="24"/>
          <w:szCs w:val="24"/>
        </w:rPr>
        <w:t> </w:t>
      </w:r>
    </w:p>
    <w:p w14:paraId="6B508B81" w14:textId="70937C15" w:rsidR="009C20BC" w:rsidRPr="00452E97" w:rsidRDefault="001673E3" w:rsidP="00F10875">
      <w:pPr>
        <w:pStyle w:val="LI-BodyTextParaa"/>
        <w:numPr>
          <w:ilvl w:val="0"/>
          <w:numId w:val="34"/>
        </w:numPr>
      </w:pPr>
      <w:r w:rsidRPr="001673E3">
        <w:t xml:space="preserve">The effect of the instrument is to extend the operation of the Principal Instrument until </w:t>
      </w:r>
      <w:r w:rsidR="001E6501">
        <w:t xml:space="preserve">the period ending at the end </w:t>
      </w:r>
      <w:r w:rsidR="001E6501" w:rsidRPr="0057194F">
        <w:t xml:space="preserve">of </w:t>
      </w:r>
      <w:r w:rsidR="00C1195C" w:rsidRPr="0057194F">
        <w:t>1</w:t>
      </w:r>
      <w:r w:rsidR="00B83EA8" w:rsidRPr="0057194F">
        <w:t xml:space="preserve"> </w:t>
      </w:r>
      <w:r w:rsidR="00C1195C" w:rsidRPr="0057194F">
        <w:t>October</w:t>
      </w:r>
      <w:r w:rsidR="00CF4FB2" w:rsidRPr="0057194F">
        <w:t xml:space="preserve"> 20</w:t>
      </w:r>
      <w:r w:rsidR="00C1195C" w:rsidRPr="0057194F">
        <w:t>3</w:t>
      </w:r>
      <w:r w:rsidR="007952E8">
        <w:t>2</w:t>
      </w:r>
      <w:r w:rsidR="00152621" w:rsidRPr="0057194F">
        <w:t>,</w:t>
      </w:r>
      <w:r w:rsidR="00554422" w:rsidRPr="0057194F">
        <w:t xml:space="preserve"> unless</w:t>
      </w:r>
      <w:r w:rsidR="00554422">
        <w:t xml:space="preserve"> it is revoked earlier</w:t>
      </w:r>
      <w:r w:rsidRPr="00FE3851">
        <w:t xml:space="preserve">. </w:t>
      </w:r>
      <w:r w:rsidR="009C20BC" w:rsidRPr="005D412C">
        <w:t>Although t</w:t>
      </w:r>
      <w:r w:rsidR="009C20BC" w:rsidRPr="003B4B62">
        <w:t>he instrument does not itself modify or exempt per</w:t>
      </w:r>
      <w:r w:rsidR="009C20BC" w:rsidRPr="007E53A9">
        <w:t>sons or entities from the operation of primary law</w:t>
      </w:r>
      <w:r w:rsidR="009C20BC" w:rsidRPr="007E59F8">
        <w:t xml:space="preserve">, </w:t>
      </w:r>
      <w:r w:rsidR="00184B14" w:rsidRPr="003F3983">
        <w:t xml:space="preserve">ASIC has </w:t>
      </w:r>
      <w:r w:rsidR="009C20BC" w:rsidRPr="0015609F">
        <w:t xml:space="preserve">assessed </w:t>
      </w:r>
      <w:r w:rsidR="009C20BC" w:rsidRPr="002F4FA1">
        <w:t>in consultation with Treasury</w:t>
      </w:r>
      <w:r w:rsidR="009C20BC" w:rsidRPr="00452E97">
        <w:t xml:space="preserve">: </w:t>
      </w:r>
    </w:p>
    <w:p w14:paraId="2DEF9D07" w14:textId="3A0EF75D" w:rsidR="009C20BC" w:rsidRPr="001673E3" w:rsidRDefault="009C20BC" w:rsidP="00F10875">
      <w:pPr>
        <w:pStyle w:val="LI-BodyTextParaa"/>
        <w:numPr>
          <w:ilvl w:val="1"/>
          <w:numId w:val="34"/>
        </w:numPr>
      </w:pPr>
      <w:r w:rsidRPr="001673E3">
        <w:t xml:space="preserve">whether and why the extension of the measures in the Principal Instrument should be </w:t>
      </w:r>
      <w:r w:rsidR="001673E3" w:rsidRPr="001673E3">
        <w:t>implemented</w:t>
      </w:r>
      <w:r w:rsidRPr="001673E3">
        <w:t xml:space="preserve"> by </w:t>
      </w:r>
      <w:r w:rsidR="001673E3" w:rsidRPr="001673E3">
        <w:t xml:space="preserve">legislative </w:t>
      </w:r>
      <w:r w:rsidRPr="001673E3">
        <w:t xml:space="preserve">instrument </w:t>
      </w:r>
      <w:r w:rsidR="001673E3" w:rsidRPr="001673E3">
        <w:t>made under subsection 1023H(1) of the Act as opposed to</w:t>
      </w:r>
      <w:r w:rsidR="00184B14" w:rsidRPr="001673E3">
        <w:t xml:space="preserve"> amendment to primary legislation, </w:t>
      </w:r>
    </w:p>
    <w:p w14:paraId="19350157" w14:textId="218113DD" w:rsidR="009C20BC" w:rsidRPr="001673E3" w:rsidRDefault="00184B14" w:rsidP="00F10875">
      <w:pPr>
        <w:pStyle w:val="LI-BodyTextParaa"/>
        <w:numPr>
          <w:ilvl w:val="1"/>
          <w:numId w:val="34"/>
        </w:numPr>
      </w:pPr>
      <w:r w:rsidRPr="001673E3">
        <w:t>the appropriate duration of the extension of the Principal Instrument</w:t>
      </w:r>
      <w:r w:rsidR="009C20BC" w:rsidRPr="001673E3">
        <w:t>;</w:t>
      </w:r>
      <w:r w:rsidRPr="001673E3">
        <w:t xml:space="preserve"> and </w:t>
      </w:r>
    </w:p>
    <w:p w14:paraId="205CF6E6" w14:textId="13563DBB" w:rsidR="009C20BC" w:rsidRPr="00946EC4" w:rsidRDefault="00184B14" w:rsidP="00946EC4">
      <w:pPr>
        <w:pStyle w:val="LI-BodyTextParaa"/>
        <w:numPr>
          <w:ilvl w:val="1"/>
          <w:numId w:val="34"/>
        </w:numPr>
      </w:pPr>
      <w:r>
        <w:t xml:space="preserve">whether any amendments to primary legislation may be pursued in future. </w:t>
      </w:r>
    </w:p>
    <w:p w14:paraId="1907C449" w14:textId="57722860" w:rsidR="0066088D" w:rsidRDefault="00FE3851" w:rsidP="00F10875">
      <w:pPr>
        <w:pStyle w:val="LI-BodyTextParaa"/>
        <w:numPr>
          <w:ilvl w:val="0"/>
          <w:numId w:val="34"/>
        </w:numPr>
      </w:pPr>
      <w:r>
        <w:t>ASIC considers that the measures in the Principal Instrument should be extended by the instrument because:</w:t>
      </w:r>
    </w:p>
    <w:p w14:paraId="0D914B2F" w14:textId="6E72EDA0" w:rsidR="007E59F8" w:rsidRPr="00946EC4" w:rsidRDefault="005D412C" w:rsidP="00946EC4">
      <w:pPr>
        <w:pStyle w:val="LI-BodyTextParaa"/>
        <w:numPr>
          <w:ilvl w:val="1"/>
          <w:numId w:val="34"/>
        </w:numPr>
      </w:pPr>
      <w:r>
        <w:t>t</w:t>
      </w:r>
      <w:r w:rsidR="00B73BE8">
        <w:t>he instrument</w:t>
      </w:r>
      <w:r w:rsidR="00C466EB">
        <w:t xml:space="preserve"> </w:t>
      </w:r>
      <w:r w:rsidR="00043146">
        <w:t>(</w:t>
      </w:r>
      <w:r w:rsidR="00C466EB">
        <w:t xml:space="preserve">and </w:t>
      </w:r>
      <w:r w:rsidR="00152621">
        <w:t xml:space="preserve">the </w:t>
      </w:r>
      <w:r w:rsidR="00C466EB">
        <w:t>Principal Instrument</w:t>
      </w:r>
      <w:r w:rsidR="00043146">
        <w:t>)</w:t>
      </w:r>
      <w:r w:rsidR="00B73BE8">
        <w:t xml:space="preserve"> utilise</w:t>
      </w:r>
      <w:r w:rsidR="00152621">
        <w:t>s</w:t>
      </w:r>
      <w:r w:rsidR="00B73BE8">
        <w:t xml:space="preserve"> </w:t>
      </w:r>
      <w:r w:rsidR="0050186A">
        <w:t xml:space="preserve">specific </w:t>
      </w:r>
      <w:r w:rsidR="00B73BE8">
        <w:t xml:space="preserve">powers given </w:t>
      </w:r>
      <w:r w:rsidR="00043146">
        <w:t xml:space="preserve">to ASIC </w:t>
      </w:r>
      <w:r w:rsidR="00B73BE8">
        <w:t xml:space="preserve">by Parliament that </w:t>
      </w:r>
      <w:r w:rsidR="00043146">
        <w:t xml:space="preserve">are intended to be used </w:t>
      </w:r>
      <w:r w:rsidR="00B73BE8">
        <w:t>proactively to reduce the risk of significant detriment to retail clients resulting from financial products.</w:t>
      </w:r>
      <w:r w:rsidR="007E59F8">
        <w:t xml:space="preserve"> Part 7.9A of the Act </w:t>
      </w:r>
      <w:r w:rsidR="00415993">
        <w:t>commenced in April 2019</w:t>
      </w:r>
      <w:r w:rsidR="00EF3372">
        <w:t>,</w:t>
      </w:r>
      <w:r w:rsidR="00415993">
        <w:t xml:space="preserve"> and </w:t>
      </w:r>
      <w:r w:rsidR="007E59F8">
        <w:t xml:space="preserve">sets out a framework and the procedural requirements for ASIC to make, amend, extend, remake and revoke product intervention orders; </w:t>
      </w:r>
    </w:p>
    <w:p w14:paraId="19FE1288" w14:textId="52B9DD8E" w:rsidR="007E59F8" w:rsidRPr="003B4B62" w:rsidRDefault="007E59F8" w:rsidP="00F10875">
      <w:pPr>
        <w:pStyle w:val="LI-BodyTextParaa"/>
        <w:numPr>
          <w:ilvl w:val="1"/>
          <w:numId w:val="34"/>
        </w:numPr>
      </w:pPr>
      <w:r>
        <w:t xml:space="preserve">the instrument is a timely way of extending the Principal Instrument before it expires </w:t>
      </w:r>
      <w:r w:rsidRPr="00DB28AB">
        <w:t xml:space="preserve">on </w:t>
      </w:r>
      <w:r w:rsidR="007952E8">
        <w:t>15 January 2024</w:t>
      </w:r>
      <w:r w:rsidRPr="00DB28AB">
        <w:t>.</w:t>
      </w:r>
      <w:r>
        <w:t xml:space="preserve"> A</w:t>
      </w:r>
      <w:r w:rsidRPr="00C961B2">
        <w:t xml:space="preserve"> product intervention order may remain in force for up to 18 months and may be extended </w:t>
      </w:r>
      <w:r>
        <w:t xml:space="preserve">by ASIC </w:t>
      </w:r>
      <w:r w:rsidRPr="00C961B2">
        <w:t>with the Minister’s written approval, following a report to the Minister from ASIC on whether the extension should be made</w:t>
      </w:r>
      <w:r>
        <w:t>;</w:t>
      </w:r>
      <w:r w:rsidR="000434C7">
        <w:t xml:space="preserve"> and</w:t>
      </w:r>
    </w:p>
    <w:p w14:paraId="6FAD957C" w14:textId="3F75699A" w:rsidR="00805561" w:rsidRPr="009B7C7A" w:rsidRDefault="007E59F8" w:rsidP="00F10875">
      <w:pPr>
        <w:pStyle w:val="LI-BodyTextParaa"/>
        <w:numPr>
          <w:ilvl w:val="1"/>
          <w:numId w:val="34"/>
        </w:numPr>
      </w:pPr>
      <w:r>
        <w:t xml:space="preserve">the product intervention powers in Part 7.9A of the Act allow ASIC to amend a product intervention order, should the need arise, to respond in a flexible and timely way to changes to product features, issuance and sales practices, consumer harm and international regulatory standards. </w:t>
      </w:r>
    </w:p>
    <w:p w14:paraId="43888C04" w14:textId="0EEF0B1B" w:rsidR="001020C0" w:rsidRDefault="00C21D3C" w:rsidP="009D3A07">
      <w:pPr>
        <w:pStyle w:val="LI-BodyTextParaa"/>
        <w:numPr>
          <w:ilvl w:val="0"/>
          <w:numId w:val="34"/>
        </w:numPr>
      </w:pPr>
      <w:r>
        <w:lastRenderedPageBreak/>
        <w:t>Following public consultation and h</w:t>
      </w:r>
      <w:r w:rsidR="007E59F8">
        <w:t>aving assessed that the Principal Instrument is operating efficiently and effectively, ASIC consider</w:t>
      </w:r>
      <w:r w:rsidR="001C27AB">
        <w:t>s</w:t>
      </w:r>
      <w:r w:rsidR="007E59F8">
        <w:t xml:space="preserve"> it is </w:t>
      </w:r>
      <w:r w:rsidR="009D3A07">
        <w:t xml:space="preserve">appropriate to declare under subsection 1023H(1) that the Principal Instrument remains in force until it is revoked. If the Principal Instrument is not revoked, then under the </w:t>
      </w:r>
      <w:r w:rsidR="009D3A07" w:rsidRPr="382217C4">
        <w:rPr>
          <w:i/>
          <w:iCs/>
        </w:rPr>
        <w:t xml:space="preserve">Legislation Act 2003, </w:t>
      </w:r>
      <w:r w:rsidR="009D3A07">
        <w:t xml:space="preserve">it </w:t>
      </w:r>
      <w:proofErr w:type="gramStart"/>
      <w:r w:rsidR="009D3A07">
        <w:t>will</w:t>
      </w:r>
      <w:proofErr w:type="gramEnd"/>
      <w:r w:rsidR="009D3A07">
        <w:t xml:space="preserve"> sunset on 1 October 2032</w:t>
      </w:r>
      <w:r w:rsidR="001C27AB">
        <w:t xml:space="preserve">. </w:t>
      </w:r>
      <w:r w:rsidR="003F3983">
        <w:t>This period</w:t>
      </w:r>
      <w:r w:rsidR="00AA00DA">
        <w:t xml:space="preserve"> is appropriate because it</w:t>
      </w:r>
      <w:r w:rsidR="001020C0">
        <w:t>:</w:t>
      </w:r>
      <w:r w:rsidR="003F3983">
        <w:t xml:space="preserve"> </w:t>
      </w:r>
    </w:p>
    <w:p w14:paraId="19992AC9" w14:textId="073E55B0" w:rsidR="00AA00DA" w:rsidRPr="002F4FA1" w:rsidRDefault="00AA00DA" w:rsidP="00F10875">
      <w:pPr>
        <w:pStyle w:val="LI-BodyTextParaa"/>
        <w:numPr>
          <w:ilvl w:val="1"/>
          <w:numId w:val="34"/>
        </w:numPr>
      </w:pPr>
      <w:r>
        <w:t xml:space="preserve">allows the Principal Instrument to </w:t>
      </w:r>
      <w:r w:rsidR="001020C0">
        <w:t xml:space="preserve">continue to </w:t>
      </w:r>
      <w:r>
        <w:t xml:space="preserve">operate to </w:t>
      </w:r>
      <w:r w:rsidR="001020C0">
        <w:t xml:space="preserve">reduce the risk of significant detriment to retail clients resulting from </w:t>
      </w:r>
      <w:r w:rsidR="001A0EA4">
        <w:t>continuing credit contracts</w:t>
      </w:r>
      <w:r w:rsidR="007952E8">
        <w:t xml:space="preserve"> when provided in the manner described at paragraph </w:t>
      </w:r>
      <w:r w:rsidR="007952E8">
        <w:fldChar w:fldCharType="begin"/>
      </w:r>
      <w:r w:rsidR="007952E8">
        <w:instrText xml:space="preserve"> REF _Ref148441741 \r \h </w:instrText>
      </w:r>
      <w:r w:rsidR="007952E8">
        <w:fldChar w:fldCharType="separate"/>
      </w:r>
      <w:r w:rsidR="007952E8">
        <w:t>4</w:t>
      </w:r>
      <w:r w:rsidR="007952E8">
        <w:fldChar w:fldCharType="end"/>
      </w:r>
      <w:r w:rsidR="007952E8">
        <w:t xml:space="preserve"> </w:t>
      </w:r>
      <w:proofErr w:type="gramStart"/>
      <w:r w:rsidR="007952E8">
        <w:t>above</w:t>
      </w:r>
      <w:r>
        <w:t>;</w:t>
      </w:r>
      <w:proofErr w:type="gramEnd"/>
      <w:r w:rsidR="001020C0">
        <w:t xml:space="preserve"> </w:t>
      </w:r>
    </w:p>
    <w:p w14:paraId="34AAC3EF" w14:textId="051A0916" w:rsidR="001020C0" w:rsidRDefault="003F3983" w:rsidP="00F10875">
      <w:pPr>
        <w:pStyle w:val="LI-BodyTextParaa"/>
        <w:numPr>
          <w:ilvl w:val="1"/>
          <w:numId w:val="34"/>
        </w:numPr>
      </w:pPr>
      <w:r>
        <w:t xml:space="preserve">provides regulatory certainty for </w:t>
      </w:r>
      <w:r w:rsidR="001A0EA4">
        <w:t>continuing</w:t>
      </w:r>
      <w:r w:rsidR="007952E8">
        <w:t xml:space="preserve"> credit </w:t>
      </w:r>
      <w:r w:rsidR="001A0EA4">
        <w:t xml:space="preserve">contract </w:t>
      </w:r>
      <w:r w:rsidR="007952E8">
        <w:t>providers</w:t>
      </w:r>
      <w:r>
        <w:t xml:space="preserve"> and retail clients</w:t>
      </w:r>
      <w:r w:rsidR="001020C0">
        <w:t>;</w:t>
      </w:r>
    </w:p>
    <w:p w14:paraId="19BBFABD" w14:textId="0649656A" w:rsidR="001020C0" w:rsidRDefault="001020C0" w:rsidP="00F10875">
      <w:pPr>
        <w:pStyle w:val="LI-BodyTextParaa"/>
        <w:numPr>
          <w:ilvl w:val="1"/>
          <w:numId w:val="34"/>
        </w:numPr>
      </w:pPr>
      <w:r w:rsidRPr="001020C0">
        <w:t>provides an adequate timeframe for consideration as to whether the protections should be extended further prior to the expiry of the Principal Instrument</w:t>
      </w:r>
      <w:r w:rsidR="00D907FD">
        <w:t>;</w:t>
      </w:r>
      <w:r w:rsidR="00CF0A25" w:rsidRPr="001020C0">
        <w:t xml:space="preserve"> and </w:t>
      </w:r>
    </w:p>
    <w:p w14:paraId="167BB50C" w14:textId="1C3429D3" w:rsidR="001020C0" w:rsidRDefault="001020C0" w:rsidP="00F10875">
      <w:pPr>
        <w:pStyle w:val="LI-BodyTextParaa"/>
        <w:numPr>
          <w:ilvl w:val="1"/>
          <w:numId w:val="34"/>
        </w:numPr>
      </w:pPr>
      <w:r w:rsidRPr="001020C0">
        <w:t xml:space="preserve">balances </w:t>
      </w:r>
      <w:r>
        <w:t xml:space="preserve">the </w:t>
      </w:r>
      <w:r w:rsidR="003F3983" w:rsidRPr="001020C0">
        <w:t xml:space="preserve">additional regulatory burden associated with more frequent data gathering and consultation on further extensions. </w:t>
      </w:r>
    </w:p>
    <w:p w14:paraId="4F6524D5" w14:textId="62B22706" w:rsidR="003F3983" w:rsidRPr="001020C0" w:rsidRDefault="4F46B0C6" w:rsidP="00F10875">
      <w:pPr>
        <w:pStyle w:val="LI-BodyTextParaa"/>
        <w:numPr>
          <w:ilvl w:val="0"/>
          <w:numId w:val="34"/>
        </w:numPr>
      </w:pPr>
      <w:r>
        <w:t>The Minister has considered and approved the duration of the extension provided for in th</w:t>
      </w:r>
      <w:r w:rsidR="00532392">
        <w:t>is</w:t>
      </w:r>
      <w:r w:rsidR="003D6232">
        <w:t xml:space="preserve"> instrument</w:t>
      </w:r>
      <w:r>
        <w:t>.</w:t>
      </w:r>
    </w:p>
    <w:p w14:paraId="4B847AB0" w14:textId="676EDAF6" w:rsidR="005E377C" w:rsidRPr="009B7C7A" w:rsidRDefault="005E377C" w:rsidP="00F10875">
      <w:pPr>
        <w:pStyle w:val="LI-BodyTextParaa"/>
        <w:numPr>
          <w:ilvl w:val="0"/>
          <w:numId w:val="34"/>
        </w:numPr>
      </w:pPr>
      <w:r w:rsidRPr="009B7C7A">
        <w:t>It will be a matter for the Government and for Parliament as to whether any amendments to the Act may be made in future</w:t>
      </w:r>
      <w:r w:rsidR="00CF0A25" w:rsidRPr="009B7C7A">
        <w:t xml:space="preserve"> to include the measures in the Principal Instrument</w:t>
      </w:r>
      <w:r w:rsidRPr="009B7C7A">
        <w:t xml:space="preserve">. ASIC notes the Government’s commitment to consider the merits of making future amendments to the </w:t>
      </w:r>
      <w:r w:rsidR="00ED47F7" w:rsidRPr="009B7C7A">
        <w:t>relevant enabling Acts and regulations</w:t>
      </w:r>
      <w:r w:rsidRPr="009B7C7A">
        <w:t xml:space="preserve"> as part of its review process for </w:t>
      </w:r>
      <w:r w:rsidR="00FE3851" w:rsidRPr="009B7C7A">
        <w:t xml:space="preserve">any </w:t>
      </w:r>
      <w:r w:rsidR="00ED47F7" w:rsidRPr="009B7C7A">
        <w:t>delegated legislation</w:t>
      </w:r>
      <w:r w:rsidRPr="009B7C7A">
        <w:t xml:space="preserve"> </w:t>
      </w:r>
      <w:r w:rsidR="00CF0A25" w:rsidRPr="009B7C7A">
        <w:t xml:space="preserve">within the Treasury portfolio </w:t>
      </w:r>
      <w:r w:rsidRPr="009B7C7A">
        <w:t>prior to its sunsetting.</w:t>
      </w:r>
    </w:p>
    <w:p w14:paraId="4DCB6F4C" w14:textId="77777777" w:rsidR="00952E1A" w:rsidRPr="00E57FC9" w:rsidRDefault="00952E1A" w:rsidP="00952E1A">
      <w:pPr>
        <w:spacing w:before="240" w:after="0"/>
        <w:rPr>
          <w:b/>
          <w:sz w:val="24"/>
          <w:szCs w:val="24"/>
        </w:rPr>
      </w:pPr>
      <w:r w:rsidRPr="00E57FC9">
        <w:rPr>
          <w:b/>
          <w:sz w:val="24"/>
          <w:szCs w:val="24"/>
        </w:rPr>
        <w:t xml:space="preserve">Statement of Compatibility with Human Rights  </w:t>
      </w:r>
    </w:p>
    <w:p w14:paraId="43C2B048" w14:textId="0DED0FE5" w:rsidR="00F35D02" w:rsidRDefault="00952E1A" w:rsidP="00F10875">
      <w:pPr>
        <w:pStyle w:val="LI-BodyTextParaa"/>
        <w:spacing w:after="160" w:line="259" w:lineRule="auto"/>
        <w:ind w:left="0" w:firstLine="0"/>
      </w:pPr>
      <w:bookmarkStart w:id="6" w:name="_Hlk36817707"/>
      <w:r w:rsidRPr="00E57FC9">
        <w:t xml:space="preserve">The Explanatory Statement for a disallowable legislative instrument must contain a Statement of Compatibility with Human Rights under subsection 9(1) of the </w:t>
      </w:r>
      <w:r w:rsidRPr="004F119D">
        <w:rPr>
          <w:i/>
          <w:iCs/>
        </w:rPr>
        <w:t>Human Rights (Parliamentary Scrutiny) Act 2011.</w:t>
      </w:r>
      <w:r w:rsidRPr="004F119D">
        <w:rPr>
          <w:iCs/>
        </w:rPr>
        <w:t xml:space="preserve"> </w:t>
      </w:r>
      <w:r w:rsidRPr="00E57FC9">
        <w:t xml:space="preserve">A Statement of Compatibility with Human Rights is </w:t>
      </w:r>
      <w:r w:rsidR="00111F6E">
        <w:t xml:space="preserve">set out </w:t>
      </w:r>
      <w:r w:rsidRPr="00E57FC9">
        <w:t xml:space="preserve">in </w:t>
      </w:r>
      <w:r w:rsidRPr="0068678E">
        <w:rPr>
          <w:u w:val="single"/>
        </w:rPr>
        <w:t xml:space="preserve">Attachment </w:t>
      </w:r>
      <w:r w:rsidR="007B570C" w:rsidRPr="0068678E">
        <w:rPr>
          <w:u w:val="single"/>
        </w:rPr>
        <w:t>A</w:t>
      </w:r>
      <w:r w:rsidRPr="00E57FC9">
        <w:t xml:space="preserve">. </w:t>
      </w:r>
    </w:p>
    <w:p w14:paraId="670FAAD3" w14:textId="3C5FD6DD" w:rsidR="00493349" w:rsidRPr="004F119D" w:rsidRDefault="00493349" w:rsidP="004F119D">
      <w:pPr>
        <w:pStyle w:val="LI-BodyTextParaa"/>
        <w:numPr>
          <w:ilvl w:val="0"/>
          <w:numId w:val="3"/>
        </w:numPr>
        <w:spacing w:after="160" w:line="259" w:lineRule="auto"/>
      </w:pPr>
      <w:r>
        <w:br w:type="page"/>
      </w:r>
    </w:p>
    <w:p w14:paraId="088279A2" w14:textId="6DA1D6FC" w:rsidR="00493349" w:rsidRPr="00952E1A" w:rsidRDefault="00493349" w:rsidP="00493349">
      <w:pPr>
        <w:spacing w:before="240" w:after="0"/>
        <w:ind w:left="567" w:hanging="567"/>
        <w:jc w:val="right"/>
        <w:rPr>
          <w:sz w:val="24"/>
          <w:szCs w:val="24"/>
          <w:u w:val="single"/>
        </w:rPr>
      </w:pPr>
      <w:r w:rsidRPr="00952E1A">
        <w:rPr>
          <w:sz w:val="24"/>
          <w:szCs w:val="24"/>
          <w:u w:val="single"/>
        </w:rPr>
        <w:lastRenderedPageBreak/>
        <w:t xml:space="preserve">Attachment </w:t>
      </w:r>
      <w:r>
        <w:rPr>
          <w:sz w:val="24"/>
          <w:szCs w:val="24"/>
          <w:u w:val="single"/>
        </w:rPr>
        <w:t>A</w:t>
      </w:r>
    </w:p>
    <w:bookmarkEnd w:id="6"/>
    <w:p w14:paraId="5EEDCA76" w14:textId="77777777" w:rsidR="00952E1A" w:rsidRPr="00952E1A" w:rsidRDefault="00952E1A" w:rsidP="00952E1A">
      <w:pPr>
        <w:spacing w:before="240" w:after="0"/>
        <w:ind w:left="567" w:hanging="567"/>
        <w:jc w:val="center"/>
        <w:rPr>
          <w:b/>
          <w:sz w:val="24"/>
          <w:szCs w:val="24"/>
        </w:rPr>
      </w:pPr>
      <w:r w:rsidRPr="00952E1A">
        <w:rPr>
          <w:b/>
          <w:sz w:val="24"/>
          <w:szCs w:val="24"/>
        </w:rPr>
        <w:t>Statement of Compatibility with Human Rights</w:t>
      </w:r>
    </w:p>
    <w:p w14:paraId="637D0112" w14:textId="77777777" w:rsidR="00952E1A" w:rsidRPr="00952E1A" w:rsidRDefault="00952E1A" w:rsidP="00952E1A">
      <w:pPr>
        <w:spacing w:before="240" w:after="0"/>
        <w:rPr>
          <w:iCs/>
          <w:sz w:val="24"/>
          <w:szCs w:val="24"/>
        </w:rPr>
      </w:pPr>
      <w:bookmarkStart w:id="7" w:name="_Hlk534286677"/>
    </w:p>
    <w:p w14:paraId="4D9EFCC9" w14:textId="77777777" w:rsidR="00952E1A" w:rsidRPr="00952E1A" w:rsidRDefault="00952E1A" w:rsidP="00952E1A">
      <w:pPr>
        <w:spacing w:before="240" w:after="0"/>
        <w:rPr>
          <w:iCs/>
          <w:sz w:val="24"/>
          <w:szCs w:val="24"/>
        </w:rPr>
      </w:pPr>
      <w:r w:rsidRPr="00952E1A">
        <w:rPr>
          <w:iCs/>
          <w:sz w:val="24"/>
          <w:szCs w:val="24"/>
        </w:rPr>
        <w:t xml:space="preserve">This Statement of Compatibility with Human Rights is prepared in accordance with Part 3 of </w:t>
      </w:r>
      <w:bookmarkStart w:id="8" w:name="_Hlk4054932"/>
      <w:r w:rsidRPr="00952E1A">
        <w:rPr>
          <w:iCs/>
          <w:sz w:val="24"/>
          <w:szCs w:val="24"/>
        </w:rPr>
        <w:t xml:space="preserve">the </w:t>
      </w:r>
      <w:r w:rsidRPr="00952E1A">
        <w:rPr>
          <w:i/>
          <w:iCs/>
          <w:sz w:val="24"/>
          <w:szCs w:val="24"/>
        </w:rPr>
        <w:t>Human Rights (Parliamentary Scrutiny) Act 2011</w:t>
      </w:r>
      <w:bookmarkEnd w:id="8"/>
      <w:r w:rsidRPr="00952E1A">
        <w:rPr>
          <w:iCs/>
          <w:sz w:val="24"/>
          <w:szCs w:val="24"/>
        </w:rPr>
        <w:t xml:space="preserve">.   </w:t>
      </w:r>
    </w:p>
    <w:p w14:paraId="67547E6A" w14:textId="2A26E0DC" w:rsidR="00952E1A" w:rsidRPr="00952E1A" w:rsidRDefault="00952E1A" w:rsidP="20A123CF">
      <w:pPr>
        <w:spacing w:before="240" w:after="0"/>
        <w:rPr>
          <w:b/>
          <w:bCs/>
          <w:i/>
          <w:iCs/>
          <w:sz w:val="24"/>
          <w:szCs w:val="24"/>
        </w:rPr>
      </w:pPr>
      <w:r w:rsidRPr="20A123CF">
        <w:rPr>
          <w:b/>
          <w:bCs/>
          <w:i/>
          <w:iCs/>
          <w:sz w:val="24"/>
          <w:szCs w:val="24"/>
        </w:rPr>
        <w:t xml:space="preserve">ASIC Corporations </w:t>
      </w:r>
      <w:r w:rsidRPr="009953CF">
        <w:rPr>
          <w:b/>
          <w:bCs/>
          <w:i/>
          <w:iCs/>
          <w:sz w:val="24"/>
          <w:szCs w:val="24"/>
        </w:rPr>
        <w:t>(</w:t>
      </w:r>
      <w:r w:rsidR="00200D64" w:rsidRPr="006B10C6">
        <w:rPr>
          <w:b/>
          <w:bCs/>
          <w:i/>
          <w:iCs/>
          <w:sz w:val="24"/>
          <w:szCs w:val="24"/>
        </w:rPr>
        <w:t xml:space="preserve">Product Intervention </w:t>
      </w:r>
      <w:r w:rsidR="00393396" w:rsidRPr="006B10C6">
        <w:rPr>
          <w:b/>
          <w:bCs/>
          <w:i/>
          <w:iCs/>
          <w:sz w:val="24"/>
          <w:szCs w:val="24"/>
        </w:rPr>
        <w:t xml:space="preserve">Order </w:t>
      </w:r>
      <w:r w:rsidR="00200D64" w:rsidRPr="006B10C6">
        <w:rPr>
          <w:b/>
          <w:bCs/>
          <w:i/>
          <w:iCs/>
          <w:sz w:val="24"/>
          <w:szCs w:val="24"/>
        </w:rPr>
        <w:t>Extension</w:t>
      </w:r>
      <w:r w:rsidR="0078080A">
        <w:rPr>
          <w:b/>
          <w:bCs/>
          <w:i/>
          <w:iCs/>
          <w:sz w:val="24"/>
          <w:szCs w:val="24"/>
        </w:rPr>
        <w:t>—</w:t>
      </w:r>
      <w:r w:rsidR="00A0370A" w:rsidRPr="006B10C6">
        <w:rPr>
          <w:b/>
          <w:bCs/>
          <w:i/>
          <w:iCs/>
          <w:sz w:val="24"/>
          <w:szCs w:val="24"/>
        </w:rPr>
        <w:t>Continuing Credit Contracts</w:t>
      </w:r>
      <w:r w:rsidR="00200D64" w:rsidRPr="006B10C6">
        <w:rPr>
          <w:b/>
          <w:bCs/>
          <w:i/>
          <w:iCs/>
          <w:sz w:val="24"/>
          <w:szCs w:val="24"/>
        </w:rPr>
        <w:t>)</w:t>
      </w:r>
      <w:r w:rsidRPr="009953CF">
        <w:rPr>
          <w:b/>
          <w:bCs/>
          <w:i/>
          <w:iCs/>
          <w:sz w:val="24"/>
          <w:szCs w:val="24"/>
        </w:rPr>
        <w:t xml:space="preserve"> Instrument 202</w:t>
      </w:r>
      <w:r w:rsidR="009953CF">
        <w:rPr>
          <w:b/>
          <w:bCs/>
          <w:i/>
          <w:iCs/>
          <w:sz w:val="24"/>
          <w:szCs w:val="24"/>
        </w:rPr>
        <w:t>3</w:t>
      </w:r>
      <w:r w:rsidRPr="009953CF">
        <w:rPr>
          <w:b/>
          <w:bCs/>
          <w:i/>
          <w:iCs/>
          <w:sz w:val="24"/>
          <w:szCs w:val="24"/>
        </w:rPr>
        <w:t>/</w:t>
      </w:r>
      <w:r w:rsidR="005B2D3C">
        <w:rPr>
          <w:b/>
          <w:bCs/>
          <w:i/>
          <w:iCs/>
          <w:sz w:val="24"/>
          <w:szCs w:val="24"/>
        </w:rPr>
        <w:t>957</w:t>
      </w:r>
      <w:r w:rsidR="00020F5A" w:rsidRPr="20A123CF">
        <w:rPr>
          <w:b/>
          <w:bCs/>
          <w:i/>
          <w:iCs/>
          <w:sz w:val="24"/>
          <w:szCs w:val="24"/>
        </w:rPr>
        <w:t>.</w:t>
      </w:r>
    </w:p>
    <w:p w14:paraId="2F8288B8" w14:textId="77777777" w:rsidR="00952E1A" w:rsidRPr="00952E1A" w:rsidRDefault="00952E1A" w:rsidP="00952E1A">
      <w:pPr>
        <w:spacing w:before="240" w:after="0"/>
        <w:ind w:left="567" w:hanging="567"/>
        <w:rPr>
          <w:sz w:val="24"/>
          <w:szCs w:val="24"/>
          <w:u w:val="single"/>
        </w:rPr>
      </w:pPr>
      <w:r w:rsidRPr="00952E1A">
        <w:rPr>
          <w:sz w:val="24"/>
          <w:szCs w:val="24"/>
          <w:u w:val="single"/>
        </w:rPr>
        <w:t>Overview</w:t>
      </w:r>
    </w:p>
    <w:p w14:paraId="3ACC68FF" w14:textId="188E52FD" w:rsidR="001A0EA4" w:rsidRPr="00D00690" w:rsidRDefault="001C0125" w:rsidP="006B10C6">
      <w:pPr>
        <w:pStyle w:val="LI-BodyTextParaa"/>
        <w:numPr>
          <w:ilvl w:val="0"/>
          <w:numId w:val="37"/>
        </w:numPr>
      </w:pPr>
      <w:r w:rsidRPr="002B4A89">
        <w:t>Th</w:t>
      </w:r>
      <w:r w:rsidR="00442274">
        <w:t>is</w:t>
      </w:r>
      <w:r w:rsidRPr="002B4A89">
        <w:t xml:space="preserve"> instrument is a </w:t>
      </w:r>
      <w:r w:rsidR="00EC2312">
        <w:t xml:space="preserve">declaration </w:t>
      </w:r>
      <w:r w:rsidRPr="002B4A89">
        <w:t>made under subsection 1023</w:t>
      </w:r>
      <w:r w:rsidR="002B4A89" w:rsidRPr="002B4A89">
        <w:t>H</w:t>
      </w:r>
      <w:r w:rsidRPr="002B4A89">
        <w:t>(</w:t>
      </w:r>
      <w:r w:rsidR="002B4A89" w:rsidRPr="002B4A89">
        <w:t>1</w:t>
      </w:r>
      <w:r w:rsidRPr="002B4A89">
        <w:t xml:space="preserve">) of the </w:t>
      </w:r>
      <w:r w:rsidRPr="006B10C6">
        <w:rPr>
          <w:i/>
          <w:iCs/>
        </w:rPr>
        <w:t xml:space="preserve">Corporations Act 2001 </w:t>
      </w:r>
      <w:r w:rsidRPr="002B4A89">
        <w:t xml:space="preserve">(the </w:t>
      </w:r>
      <w:r w:rsidRPr="00A55A79">
        <w:rPr>
          <w:b/>
          <w:i/>
        </w:rPr>
        <w:t>Act</w:t>
      </w:r>
      <w:r w:rsidRPr="002B4A89">
        <w:t>)</w:t>
      </w:r>
      <w:r w:rsidR="00EC2312">
        <w:t xml:space="preserve"> to extend a </w:t>
      </w:r>
      <w:r w:rsidR="00EC2312" w:rsidRPr="002B4A89">
        <w:t>product intervention order</w:t>
      </w:r>
      <w:r w:rsidR="003A660E">
        <w:t xml:space="preserve"> so that it remains in force </w:t>
      </w:r>
      <w:r w:rsidR="00C14BCE">
        <w:t>until</w:t>
      </w:r>
      <w:r w:rsidR="006A6B32">
        <w:t xml:space="preserve"> </w:t>
      </w:r>
      <w:r w:rsidR="003A660E">
        <w:t>it is revoked</w:t>
      </w:r>
      <w:r w:rsidRPr="002B4A89">
        <w:t xml:space="preserve">. </w:t>
      </w:r>
      <w:r w:rsidR="00442274" w:rsidRPr="002B4A89">
        <w:t>Th</w:t>
      </w:r>
      <w:r w:rsidR="00442274">
        <w:t>is</w:t>
      </w:r>
      <w:r w:rsidR="00442274" w:rsidRPr="002B4A89">
        <w:t xml:space="preserve"> </w:t>
      </w:r>
      <w:r w:rsidR="00EC2312">
        <w:t>instrument</w:t>
      </w:r>
      <w:r w:rsidR="002B4A89" w:rsidRPr="002B4A89">
        <w:t xml:space="preserve"> extends </w:t>
      </w:r>
      <w:hyperlink r:id="rId16" w:history="1">
        <w:r w:rsidR="001A0EA4" w:rsidRPr="00D00690">
          <w:rPr>
            <w:rStyle w:val="Hyperlink"/>
            <w:i/>
            <w:iCs/>
          </w:rPr>
          <w:t>ASIC Corporations (Product Intervention Order</w:t>
        </w:r>
        <w:r w:rsidR="0078080A">
          <w:rPr>
            <w:rStyle w:val="Hyperlink"/>
            <w:i/>
            <w:iCs/>
          </w:rPr>
          <w:t>—</w:t>
        </w:r>
        <w:r w:rsidR="001A0EA4">
          <w:rPr>
            <w:rStyle w:val="Hyperlink"/>
            <w:i/>
            <w:iCs/>
          </w:rPr>
          <w:t>Continuing Credit Contracts</w:t>
        </w:r>
        <w:r w:rsidR="001A0EA4" w:rsidRPr="00D00690">
          <w:rPr>
            <w:rStyle w:val="Hyperlink"/>
            <w:i/>
            <w:iCs/>
          </w:rPr>
          <w:t>) Instrument 2022/648</w:t>
        </w:r>
      </w:hyperlink>
      <w:r w:rsidR="00E47FBE" w:rsidRPr="00402E0C">
        <w:t xml:space="preserve"> </w:t>
      </w:r>
      <w:r w:rsidR="003727E9">
        <w:t>(</w:t>
      </w:r>
      <w:r w:rsidR="003727E9" w:rsidRPr="00AB31F0">
        <w:rPr>
          <w:b/>
          <w:bCs/>
          <w:i/>
          <w:iCs/>
        </w:rPr>
        <w:t>Principal Instrument</w:t>
      </w:r>
      <w:r w:rsidR="003727E9">
        <w:t xml:space="preserve">) </w:t>
      </w:r>
      <w:r w:rsidR="002B4A89" w:rsidRPr="002B4A89">
        <w:t>which</w:t>
      </w:r>
      <w:r w:rsidRPr="002B4A89">
        <w:t xml:space="preserve"> </w:t>
      </w:r>
      <w:r w:rsidR="001A0EA4" w:rsidRPr="00D00690">
        <w:t xml:space="preserve">prohibits continuing credit providers, their directors and associates from causing, authorising or providing credit to a retail client, and imposing or providing for certain fees and charges paid or payable by a retail client, in relation to a class of financial products, that ASIC </w:t>
      </w:r>
      <w:r w:rsidR="001A0EA4">
        <w:t>was</w:t>
      </w:r>
      <w:r w:rsidR="001A0EA4" w:rsidRPr="00D00690">
        <w:t xml:space="preserve"> satisfied:</w:t>
      </w:r>
    </w:p>
    <w:p w14:paraId="4EE4D135" w14:textId="0CB13C1F" w:rsidR="001A0EA4" w:rsidRPr="00D00690" w:rsidRDefault="001A0EA4" w:rsidP="006B10C6">
      <w:pPr>
        <w:pStyle w:val="LI-BodyTextParaa"/>
        <w:numPr>
          <w:ilvl w:val="1"/>
          <w:numId w:val="37"/>
        </w:numPr>
      </w:pPr>
      <w:r>
        <w:t>was</w:t>
      </w:r>
      <w:r w:rsidRPr="00D00690">
        <w:t xml:space="preserve"> likely to be available for acquisition by issue to persons as retail clients; and</w:t>
      </w:r>
    </w:p>
    <w:p w14:paraId="3B3ABE8A" w14:textId="77777777" w:rsidR="001A0EA4" w:rsidRPr="00D00690" w:rsidRDefault="001A0EA4" w:rsidP="006B10C6">
      <w:pPr>
        <w:pStyle w:val="LI-BodyTextParaa"/>
        <w:numPr>
          <w:ilvl w:val="1"/>
          <w:numId w:val="37"/>
        </w:numPr>
      </w:pPr>
      <w:r w:rsidRPr="00D00690">
        <w:t>ha</w:t>
      </w:r>
      <w:r>
        <w:t>d</w:t>
      </w:r>
      <w:r w:rsidRPr="00D00690">
        <w:t xml:space="preserve"> resulted in, and </w:t>
      </w:r>
      <w:r>
        <w:t>was</w:t>
      </w:r>
      <w:r w:rsidRPr="00D00690">
        <w:t xml:space="preserve"> likely to result in, significant detriment to retail clients.</w:t>
      </w:r>
    </w:p>
    <w:p w14:paraId="3DC3B703" w14:textId="6D6ADBFF" w:rsidR="00952E1A" w:rsidRPr="002B4A89" w:rsidRDefault="004C4C1E" w:rsidP="006B10C6">
      <w:pPr>
        <w:pStyle w:val="LI-BodyTextParaa"/>
        <w:numPr>
          <w:ilvl w:val="0"/>
          <w:numId w:val="37"/>
        </w:numPr>
      </w:pPr>
      <w:r w:rsidRPr="00E47FBE">
        <w:t xml:space="preserve">If it is not revoked, it </w:t>
      </w:r>
      <w:proofErr w:type="gramStart"/>
      <w:r w:rsidRPr="00E47FBE">
        <w:t>will</w:t>
      </w:r>
      <w:proofErr w:type="gramEnd"/>
      <w:r w:rsidRPr="00E47FBE">
        <w:t xml:space="preserve"> sunset on 1 October 203</w:t>
      </w:r>
      <w:r w:rsidR="00E47FBE">
        <w:t>2</w:t>
      </w:r>
      <w:r w:rsidRPr="00E47FBE">
        <w:t>.</w:t>
      </w:r>
    </w:p>
    <w:p w14:paraId="4EB34EE1" w14:textId="40C1BB2C" w:rsidR="003A660E" w:rsidRDefault="00AA00DA" w:rsidP="006B10C6">
      <w:pPr>
        <w:pStyle w:val="LI-BodyTextParaa"/>
        <w:numPr>
          <w:ilvl w:val="0"/>
          <w:numId w:val="37"/>
        </w:numPr>
      </w:pPr>
      <w:r w:rsidRPr="002B16CA">
        <w:t>Before ASIC made the instrument, ASIC provided a report to the Minister under s</w:t>
      </w:r>
      <w:r w:rsidR="00FE7E22">
        <w:t xml:space="preserve">ubsection </w:t>
      </w:r>
      <w:r w:rsidRPr="002B16CA">
        <w:t xml:space="preserve">1023H(3) of the Act on whether the instrument should be made. </w:t>
      </w:r>
      <w:r>
        <w:t>T</w:t>
      </w:r>
      <w:r w:rsidR="003A660E" w:rsidRPr="00AB31F0">
        <w:t>he Minister gave his written approval under subsection 1023H(4) of the Act for ASIC to make the instrument.</w:t>
      </w:r>
    </w:p>
    <w:p w14:paraId="53205AB1" w14:textId="007AD4CC" w:rsidR="00E47FBE" w:rsidRDefault="003A660E" w:rsidP="006B10C6">
      <w:pPr>
        <w:pStyle w:val="LI-BodyTextParaa"/>
        <w:numPr>
          <w:ilvl w:val="0"/>
          <w:numId w:val="37"/>
        </w:numPr>
      </w:pPr>
      <w:r w:rsidRPr="00E47FBE">
        <w:t xml:space="preserve">By </w:t>
      </w:r>
      <w:r w:rsidR="00EC2312" w:rsidRPr="00E47FBE">
        <w:t>declar</w:t>
      </w:r>
      <w:r w:rsidRPr="00E47FBE">
        <w:t>ing</w:t>
      </w:r>
      <w:r w:rsidR="00EC2312" w:rsidRPr="00E47FBE">
        <w:t xml:space="preserve"> </w:t>
      </w:r>
      <w:r w:rsidRPr="00AB31F0">
        <w:t xml:space="preserve">that the Principal Instrument remains in force </w:t>
      </w:r>
      <w:r w:rsidR="006D22BE">
        <w:t>until</w:t>
      </w:r>
      <w:r w:rsidR="00AA00DA">
        <w:t xml:space="preserve"> it is revoked</w:t>
      </w:r>
      <w:r w:rsidRPr="00AB31F0">
        <w:t>, the Principal Instrument can continue</w:t>
      </w:r>
      <w:r w:rsidR="00EC2312" w:rsidRPr="00E47FBE">
        <w:t xml:space="preserve"> to </w:t>
      </w:r>
      <w:r w:rsidR="00952E1A" w:rsidRPr="00E47FBE">
        <w:t xml:space="preserve">reduce the risk of significant detriment to retail clients resulting from </w:t>
      </w:r>
      <w:r w:rsidR="000D6B4C">
        <w:t>continuing credit contracts</w:t>
      </w:r>
      <w:r w:rsidR="00E47FBE">
        <w:t xml:space="preserve">, where the </w:t>
      </w:r>
      <w:r w:rsidR="000D6B4C">
        <w:t>continuing credit contract</w:t>
      </w:r>
      <w:r w:rsidR="00E47FBE">
        <w:t xml:space="preserve"> is provided: </w:t>
      </w:r>
    </w:p>
    <w:p w14:paraId="7E1D98DB" w14:textId="77777777" w:rsidR="000D6B4C" w:rsidRPr="00D00690" w:rsidRDefault="000D6B4C" w:rsidP="006B10C6">
      <w:pPr>
        <w:pStyle w:val="ListParagraph"/>
        <w:numPr>
          <w:ilvl w:val="1"/>
          <w:numId w:val="37"/>
        </w:numPr>
        <w:shd w:val="clear" w:color="auto" w:fill="FFFFFF"/>
        <w:spacing w:before="240"/>
        <w:contextualSpacing w:val="0"/>
        <w:rPr>
          <w:color w:val="000000"/>
          <w:sz w:val="24"/>
          <w:szCs w:val="24"/>
        </w:rPr>
      </w:pPr>
      <w:bookmarkStart w:id="9" w:name="_Hlk534286807"/>
      <w:bookmarkEnd w:id="7"/>
      <w:r w:rsidRPr="00D00690">
        <w:rPr>
          <w:color w:val="000000"/>
          <w:sz w:val="14"/>
          <w:szCs w:val="14"/>
        </w:rPr>
        <w:t> </w:t>
      </w:r>
      <w:r w:rsidRPr="00D00690">
        <w:rPr>
          <w:color w:val="000000"/>
          <w:sz w:val="24"/>
          <w:szCs w:val="24"/>
        </w:rPr>
        <w:t>by the continuing credit provider to a retail client; and</w:t>
      </w:r>
    </w:p>
    <w:p w14:paraId="507E04AA" w14:textId="4ACFF062" w:rsidR="000D6B4C" w:rsidRPr="00D00690" w:rsidRDefault="000D6B4C" w:rsidP="006B10C6">
      <w:pPr>
        <w:pStyle w:val="ListParagraph"/>
        <w:numPr>
          <w:ilvl w:val="1"/>
          <w:numId w:val="37"/>
        </w:numPr>
        <w:shd w:val="clear" w:color="auto" w:fill="FFFFFF"/>
        <w:spacing w:before="240"/>
        <w:contextualSpacing w:val="0"/>
        <w:rPr>
          <w:color w:val="000000"/>
          <w:sz w:val="24"/>
          <w:szCs w:val="24"/>
        </w:rPr>
      </w:pPr>
      <w:r w:rsidRPr="00D00690">
        <w:rPr>
          <w:color w:val="000000"/>
          <w:sz w:val="14"/>
          <w:szCs w:val="14"/>
        </w:rPr>
        <w:t> </w:t>
      </w:r>
      <w:r w:rsidRPr="00D00690">
        <w:rPr>
          <w:color w:val="000000"/>
          <w:sz w:val="24"/>
          <w:szCs w:val="24"/>
        </w:rPr>
        <w:t>in conjunction with a separate collateral contract (other than a collateral non-cash payment facility) between the retail client and an associate of the credit provider, pursuant to which the associate charges significant fees or other charges</w:t>
      </w:r>
      <w:r w:rsidR="00A44C4F">
        <w:rPr>
          <w:color w:val="000000"/>
          <w:sz w:val="24"/>
          <w:szCs w:val="24"/>
        </w:rPr>
        <w:t>,</w:t>
      </w:r>
    </w:p>
    <w:p w14:paraId="0D85D862" w14:textId="77777777" w:rsidR="000D6B4C" w:rsidRPr="00D00690" w:rsidRDefault="000D6B4C" w:rsidP="000D6B4C">
      <w:pPr>
        <w:shd w:val="clear" w:color="auto" w:fill="FFFFFF"/>
        <w:spacing w:before="240" w:after="0"/>
        <w:ind w:left="862"/>
        <w:rPr>
          <w:color w:val="000000"/>
          <w:sz w:val="24"/>
          <w:szCs w:val="24"/>
        </w:rPr>
      </w:pPr>
      <w:r w:rsidRPr="00D00690">
        <w:rPr>
          <w:color w:val="000000"/>
          <w:sz w:val="24"/>
          <w:szCs w:val="24"/>
        </w:rPr>
        <w:t>but that does not include a continuing credit contract that forms part of a buy now pay later arrangement.</w:t>
      </w:r>
    </w:p>
    <w:p w14:paraId="655D70A2" w14:textId="7324DF0F" w:rsidR="00952E1A" w:rsidRPr="00952E1A" w:rsidRDefault="00952E1A" w:rsidP="001C0125">
      <w:pPr>
        <w:keepNext/>
        <w:spacing w:before="240" w:after="0"/>
        <w:ind w:left="567" w:hanging="567"/>
        <w:rPr>
          <w:sz w:val="24"/>
          <w:szCs w:val="24"/>
          <w:u w:val="single"/>
        </w:rPr>
      </w:pPr>
      <w:r w:rsidRPr="00952E1A">
        <w:rPr>
          <w:sz w:val="24"/>
          <w:szCs w:val="24"/>
          <w:u w:val="single"/>
        </w:rPr>
        <w:t>Assessment of human rights implications</w:t>
      </w:r>
    </w:p>
    <w:p w14:paraId="4CB6F16F" w14:textId="1007E5A0" w:rsidR="00952E1A" w:rsidRPr="00952E1A" w:rsidRDefault="00B93506" w:rsidP="00952E1A">
      <w:pPr>
        <w:spacing w:before="240" w:after="0"/>
        <w:ind w:left="567" w:hanging="567"/>
        <w:rPr>
          <w:sz w:val="24"/>
          <w:szCs w:val="24"/>
        </w:rPr>
      </w:pPr>
      <w:r>
        <w:rPr>
          <w:sz w:val="24"/>
          <w:szCs w:val="24"/>
        </w:rPr>
        <w:t>5</w:t>
      </w:r>
      <w:r w:rsidR="00952E1A" w:rsidRPr="00952E1A">
        <w:rPr>
          <w:sz w:val="24"/>
          <w:szCs w:val="24"/>
        </w:rPr>
        <w:t>.</w:t>
      </w:r>
      <w:r w:rsidR="00952E1A" w:rsidRPr="00952E1A">
        <w:rPr>
          <w:sz w:val="24"/>
          <w:szCs w:val="24"/>
        </w:rPr>
        <w:tab/>
      </w:r>
      <w:bookmarkEnd w:id="9"/>
      <w:r w:rsidR="00574D51" w:rsidRPr="00952E1A">
        <w:rPr>
          <w:sz w:val="24"/>
          <w:szCs w:val="24"/>
        </w:rPr>
        <w:t>Th</w:t>
      </w:r>
      <w:r w:rsidR="00574D51">
        <w:rPr>
          <w:sz w:val="24"/>
          <w:szCs w:val="24"/>
        </w:rPr>
        <w:t>is</w:t>
      </w:r>
      <w:r w:rsidR="00574D51" w:rsidRPr="00952E1A">
        <w:rPr>
          <w:sz w:val="24"/>
          <w:szCs w:val="24"/>
        </w:rPr>
        <w:t xml:space="preserve"> </w:t>
      </w:r>
      <w:r w:rsidR="00952E1A" w:rsidRPr="00952E1A">
        <w:rPr>
          <w:sz w:val="24"/>
          <w:szCs w:val="24"/>
        </w:rPr>
        <w:t>instrument does not engage any of the applicable rights or freedoms.</w:t>
      </w:r>
    </w:p>
    <w:p w14:paraId="21590F76" w14:textId="77777777" w:rsidR="00952E1A" w:rsidRPr="00952E1A" w:rsidRDefault="00952E1A" w:rsidP="00952E1A">
      <w:pPr>
        <w:spacing w:before="240" w:after="0"/>
        <w:ind w:left="567" w:hanging="567"/>
        <w:rPr>
          <w:sz w:val="24"/>
          <w:szCs w:val="24"/>
          <w:u w:val="single"/>
        </w:rPr>
      </w:pPr>
      <w:r w:rsidRPr="00952E1A">
        <w:rPr>
          <w:sz w:val="24"/>
          <w:szCs w:val="24"/>
          <w:u w:val="single"/>
        </w:rPr>
        <w:lastRenderedPageBreak/>
        <w:t>Conclusion</w:t>
      </w:r>
    </w:p>
    <w:p w14:paraId="70B2D710" w14:textId="7A96E3E5" w:rsidR="00952E1A" w:rsidRPr="00952E1A" w:rsidRDefault="00B93506" w:rsidP="00952E1A">
      <w:pPr>
        <w:spacing w:before="240" w:after="0"/>
        <w:ind w:left="567" w:hanging="567"/>
        <w:rPr>
          <w:sz w:val="24"/>
          <w:szCs w:val="24"/>
        </w:rPr>
      </w:pPr>
      <w:r>
        <w:rPr>
          <w:sz w:val="24"/>
          <w:szCs w:val="24"/>
        </w:rPr>
        <w:t>6</w:t>
      </w:r>
      <w:r w:rsidR="00952E1A" w:rsidRPr="00952E1A">
        <w:rPr>
          <w:sz w:val="24"/>
          <w:szCs w:val="24"/>
        </w:rPr>
        <w:t>.</w:t>
      </w:r>
      <w:r w:rsidR="00952E1A" w:rsidRPr="00952E1A">
        <w:rPr>
          <w:sz w:val="24"/>
          <w:szCs w:val="24"/>
        </w:rPr>
        <w:tab/>
      </w:r>
      <w:r w:rsidR="00574D51" w:rsidRPr="00056925">
        <w:rPr>
          <w:sz w:val="24"/>
          <w:szCs w:val="24"/>
        </w:rPr>
        <w:t>This instrument</w:t>
      </w:r>
      <w:r w:rsidR="001C0125">
        <w:rPr>
          <w:sz w:val="24"/>
          <w:szCs w:val="24"/>
        </w:rPr>
        <w:t xml:space="preserve"> </w:t>
      </w:r>
      <w:r w:rsidR="00952E1A" w:rsidRPr="00952E1A">
        <w:rPr>
          <w:sz w:val="24"/>
          <w:szCs w:val="24"/>
        </w:rPr>
        <w:t xml:space="preserve">is compatible with the human rights and freedoms recognised or declared in the international instruments listed in section 3 of </w:t>
      </w:r>
      <w:r w:rsidR="00952E1A" w:rsidRPr="00952E1A">
        <w:rPr>
          <w:iCs/>
          <w:sz w:val="24"/>
          <w:szCs w:val="24"/>
        </w:rPr>
        <w:t xml:space="preserve">the </w:t>
      </w:r>
      <w:r w:rsidR="00952E1A" w:rsidRPr="00952E1A">
        <w:rPr>
          <w:i/>
          <w:iCs/>
          <w:sz w:val="24"/>
          <w:szCs w:val="24"/>
        </w:rPr>
        <w:t>Human Rights (Parliamentary Scrutiny) Act 2011</w:t>
      </w:r>
      <w:r w:rsidR="00952E1A" w:rsidRPr="00952E1A">
        <w:rPr>
          <w:sz w:val="24"/>
          <w:szCs w:val="24"/>
        </w:rPr>
        <w:t>.</w:t>
      </w:r>
    </w:p>
    <w:sectPr w:rsidR="00952E1A" w:rsidRPr="00952E1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3AFF" w14:textId="77777777" w:rsidR="006C458F" w:rsidRDefault="006C458F" w:rsidP="009B23BE">
      <w:pPr>
        <w:spacing w:after="0"/>
      </w:pPr>
      <w:r>
        <w:separator/>
      </w:r>
    </w:p>
  </w:endnote>
  <w:endnote w:type="continuationSeparator" w:id="0">
    <w:p w14:paraId="60716152" w14:textId="77777777" w:rsidR="006C458F" w:rsidRDefault="006C458F" w:rsidP="009B23BE">
      <w:pPr>
        <w:spacing w:after="0"/>
      </w:pPr>
      <w:r>
        <w:continuationSeparator/>
      </w:r>
    </w:p>
  </w:endnote>
  <w:endnote w:type="continuationNotice" w:id="1">
    <w:p w14:paraId="7B658ECB" w14:textId="77777777" w:rsidR="006C458F" w:rsidRDefault="006C45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6EB2" w14:textId="77777777" w:rsidR="00DC18EB" w:rsidRDefault="00DC18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720462CD" w14:textId="77777777" w:rsidR="00DC18EB" w:rsidRDefault="00DC18EB">
    <w:pPr>
      <w:pStyle w:val="Footer"/>
      <w:ind w:right="360"/>
    </w:pPr>
  </w:p>
  <w:p w14:paraId="2D4F3EE5" w14:textId="77777777" w:rsidR="00DC18EB" w:rsidRDefault="00DC18EB"/>
  <w:p w14:paraId="542CAABC" w14:textId="77777777" w:rsidR="00DC18EB" w:rsidRDefault="00DC18EB"/>
  <w:p w14:paraId="509EDC71" w14:textId="77777777" w:rsidR="00DC18EB" w:rsidRDefault="00DC18EB"/>
  <w:p w14:paraId="797BB556" w14:textId="77777777" w:rsidR="00DC18EB" w:rsidRDefault="00DC18EB"/>
  <w:p w14:paraId="19E89FBA" w14:textId="77777777" w:rsidR="00DC18EB" w:rsidRDefault="00DC18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C545" w14:textId="6E7CA87D" w:rsidR="00DC18EB" w:rsidRDefault="00DC18EB">
    <w:pPr>
      <w:pStyle w:val="Footer"/>
      <w:pBdr>
        <w:top w:val="single" w:sz="4" w:space="1" w:color="117DC7"/>
      </w:pBdr>
      <w:rPr>
        <w:b/>
        <w:color w:val="117DC7"/>
      </w:rPr>
    </w:pPr>
    <w:r>
      <w:rPr>
        <w:noProof/>
        <w:color w:val="117DC7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985F314" wp14:editId="62CB1CA8">
              <wp:simplePos x="0" y="0"/>
              <wp:positionH relativeFrom="rightMargin">
                <wp:posOffset>-648335</wp:posOffset>
              </wp:positionH>
              <wp:positionV relativeFrom="paragraph">
                <wp:posOffset>36195</wp:posOffset>
              </wp:positionV>
              <wp:extent cx="657860" cy="158750"/>
              <wp:effectExtent l="1270" t="254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714B7" w14:textId="77777777" w:rsidR="00DC18EB" w:rsidRPr="008F541E" w:rsidRDefault="00DC18EB" w:rsidP="00C63697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F541E">
                            <w:rPr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noProof/>
                              <w:color w:val="117DC7"/>
                              <w:sz w:val="16"/>
                              <w:szCs w:val="16"/>
                            </w:rPr>
                            <w:t>12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5F3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1.05pt;margin-top:2.85pt;width:51.8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" stroked="f">
              <v:textbox inset="0,0,0,0">
                <w:txbxContent>
                  <w:p w14:paraId="4B0714B7" w14:textId="77777777" w:rsidR="00DC18EB" w:rsidRPr="008F541E" w:rsidRDefault="00DC18EB" w:rsidP="00C63697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F541E">
                      <w:rPr>
                        <w:rFonts w:ascii="Arial" w:hAnsi="Arial" w:cs="Arial"/>
                        <w:color w:val="117DC7"/>
                        <w:sz w:val="16"/>
                        <w:szCs w:val="16"/>
                      </w:rPr>
                      <w:t xml:space="preserve">Page 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begin"/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instrText xml:space="preserve"> PAGE </w:instrTex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noProof/>
                        <w:color w:val="117DC7"/>
                        <w:sz w:val="16"/>
                        <w:szCs w:val="16"/>
                      </w:rPr>
                      <w:t>12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color w:val="117DC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01CD9" w14:textId="77777777" w:rsidR="006C458F" w:rsidRDefault="006C458F" w:rsidP="009B23BE">
      <w:pPr>
        <w:spacing w:after="0"/>
      </w:pPr>
      <w:r>
        <w:separator/>
      </w:r>
    </w:p>
  </w:footnote>
  <w:footnote w:type="continuationSeparator" w:id="0">
    <w:p w14:paraId="58912D2A" w14:textId="77777777" w:rsidR="006C458F" w:rsidRDefault="006C458F" w:rsidP="009B23BE">
      <w:pPr>
        <w:spacing w:after="0"/>
      </w:pPr>
      <w:r>
        <w:continuationSeparator/>
      </w:r>
    </w:p>
  </w:footnote>
  <w:footnote w:type="continuationNotice" w:id="1">
    <w:p w14:paraId="18334328" w14:textId="77777777" w:rsidR="006C458F" w:rsidRDefault="006C458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C113" w14:textId="0E0850E5" w:rsidR="00DC18EB" w:rsidRDefault="00DC18EB"/>
  <w:p w14:paraId="0E30C09C" w14:textId="77777777" w:rsidR="00DC18EB" w:rsidRDefault="00DC18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6124" w14:textId="70142560" w:rsidR="00DC18EB" w:rsidRDefault="00DC18EB" w:rsidP="00E9544C">
    <w:pPr>
      <w:pStyle w:val="Footer"/>
      <w:jc w:val="right"/>
      <w:rPr>
        <w:color w:val="117DC7"/>
      </w:rPr>
    </w:pPr>
  </w:p>
  <w:p w14:paraId="46D0716D" w14:textId="77777777" w:rsidR="00DC18EB" w:rsidRDefault="00DC18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6D86" w14:textId="14409E5F" w:rsidR="00DC18EB" w:rsidRDefault="00DC18EB">
    <w:pPr>
      <w:pStyle w:val="Header"/>
      <w:pBdr>
        <w:bottom w:val="none" w:sz="0" w:space="0" w:color="auto"/>
      </w:pBdr>
      <w:jc w:val="center"/>
      <w:rPr>
        <w:b/>
        <w:bCs/>
        <w:color w:val="C0C0C0"/>
        <w:sz w:val="48"/>
        <w:lang w:val="en-US"/>
      </w:rPr>
    </w:pPr>
    <w:r>
      <w:rPr>
        <w:b/>
        <w:bCs/>
        <w:color w:val="C0C0C0"/>
        <w:sz w:val="48"/>
        <w:lang w:val="en-US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B3E"/>
    <w:multiLevelType w:val="hybridMultilevel"/>
    <w:tmpl w:val="EF58C3F4"/>
    <w:lvl w:ilvl="0" w:tplc="8E361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9D614EA">
      <w:start w:val="1"/>
      <w:numFmt w:val="lowerLetter"/>
      <w:lvlText w:val="(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833EF"/>
    <w:multiLevelType w:val="hybridMultilevel"/>
    <w:tmpl w:val="1E085E60"/>
    <w:lvl w:ilvl="0" w:tplc="246223CE">
      <w:start w:val="1"/>
      <w:numFmt w:val="bullet"/>
      <w:pStyle w:val="box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69D7"/>
    <w:multiLevelType w:val="hybridMultilevel"/>
    <w:tmpl w:val="6620323A"/>
    <w:lvl w:ilvl="0" w:tplc="AAD2B1CE">
      <w:start w:val="1"/>
      <w:numFmt w:val="bullet"/>
      <w:pStyle w:val="tabledash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2962"/>
    <w:multiLevelType w:val="multilevel"/>
    <w:tmpl w:val="999802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B6D2D"/>
    <w:multiLevelType w:val="hybridMultilevel"/>
    <w:tmpl w:val="3F0C2208"/>
    <w:lvl w:ilvl="0" w:tplc="3EAE1A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12A1C"/>
    <w:multiLevelType w:val="multilevel"/>
    <w:tmpl w:val="57420A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769B0"/>
    <w:multiLevelType w:val="hybridMultilevel"/>
    <w:tmpl w:val="22429344"/>
    <w:lvl w:ilvl="0" w:tplc="E3364E6E">
      <w:start w:val="1"/>
      <w:numFmt w:val="bullet"/>
      <w:pStyle w:val="Responsebullet"/>
      <w:lvlText w:val=""/>
      <w:lvlJc w:val="left"/>
      <w:pPr>
        <w:ind w:left="39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9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12" w:hanging="360"/>
      </w:pPr>
      <w:rPr>
        <w:rFonts w:ascii="Wingdings" w:hAnsi="Wingdings" w:hint="default"/>
      </w:rPr>
    </w:lvl>
  </w:abstractNum>
  <w:abstractNum w:abstractNumId="7" w15:restartNumberingAfterBreak="0">
    <w:nsid w:val="15935FDF"/>
    <w:multiLevelType w:val="multilevel"/>
    <w:tmpl w:val="9630476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B4EA2"/>
    <w:multiLevelType w:val="multilevel"/>
    <w:tmpl w:val="AEB28A1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945384"/>
    <w:multiLevelType w:val="hybridMultilevel"/>
    <w:tmpl w:val="18D4C79E"/>
    <w:lvl w:ilvl="0" w:tplc="3EAE1A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A8A65C6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/>
        <w:i w:val="0"/>
      </w:rPr>
    </w:lvl>
    <w:lvl w:ilvl="2" w:tplc="BA34EA80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C6808"/>
    <w:multiLevelType w:val="multilevel"/>
    <w:tmpl w:val="A044F19C"/>
    <w:lvl w:ilvl="0">
      <w:start w:val="1"/>
      <w:numFmt w:val="decimal"/>
      <w:pStyle w:val="BodyText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pStyle w:val="subparaa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numFmt w:val="none"/>
      <w:pStyle w:val="subsubparai"/>
      <w:lvlText w:val=""/>
      <w:lvlJc w:val="left"/>
      <w:pPr>
        <w:tabs>
          <w:tab w:val="num" w:pos="360"/>
        </w:tabs>
      </w:pPr>
    </w:lvl>
    <w:lvl w:ilvl="3">
      <w:numFmt w:val="decimal"/>
      <w:pStyle w:val="sub3paraA"/>
      <w:lvlText w:val=" "/>
      <w:lvlJc w:val="left"/>
      <w:rPr>
        <w:rFonts w:ascii="Wingdings" w:hAnsi="Wingdings" w:cs="Courier New" w:hint="default"/>
        <w:b w:val="0"/>
        <w:bCs/>
        <w:i w:val="0"/>
        <w:color w:val="auto"/>
        <w:sz w:val="20"/>
        <w:szCs w:val="20"/>
        <w:lang w:val="en-ZW"/>
      </w:rPr>
    </w:lvl>
    <w:lvl w:ilvl="4">
      <w:start w:val="655372"/>
      <w:numFmt w:val="aiueo"/>
      <w:pStyle w:val="sub4paraI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284405"/>
    <w:multiLevelType w:val="multilevel"/>
    <w:tmpl w:val="52501C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5D17B1"/>
    <w:multiLevelType w:val="multilevel"/>
    <w:tmpl w:val="17EAA97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30338"/>
    <w:multiLevelType w:val="hybridMultilevel"/>
    <w:tmpl w:val="03BCA6B2"/>
    <w:lvl w:ilvl="0" w:tplc="7F42AEBA">
      <w:numFmt w:val="decimal"/>
      <w:lvlText w:val=""/>
      <w:lvlJc w:val="left"/>
    </w:lvl>
    <w:lvl w:ilvl="1" w:tplc="9DA2E322">
      <w:numFmt w:val="decimal"/>
      <w:lvlText w:val=""/>
      <w:lvlJc w:val="left"/>
    </w:lvl>
    <w:lvl w:ilvl="2" w:tplc="523A1016">
      <w:numFmt w:val="decimal"/>
      <w:lvlText w:val=""/>
      <w:lvlJc w:val="left"/>
    </w:lvl>
    <w:lvl w:ilvl="3" w:tplc="0A8636B4">
      <w:numFmt w:val="decimal"/>
      <w:lvlText w:val=""/>
      <w:lvlJc w:val="left"/>
    </w:lvl>
    <w:lvl w:ilvl="4" w:tplc="0C090019">
      <w:numFmt w:val="decimal"/>
      <w:lvlText w:val=""/>
      <w:lvlJc w:val="left"/>
    </w:lvl>
    <w:lvl w:ilvl="5" w:tplc="0C09001B">
      <w:numFmt w:val="decimal"/>
      <w:lvlText w:val=""/>
      <w:lvlJc w:val="left"/>
    </w:lvl>
    <w:lvl w:ilvl="6" w:tplc="0C09000F">
      <w:numFmt w:val="decimal"/>
      <w:lvlText w:val=""/>
      <w:lvlJc w:val="left"/>
    </w:lvl>
    <w:lvl w:ilvl="7" w:tplc="0C090019">
      <w:numFmt w:val="decimal"/>
      <w:lvlText w:val=""/>
      <w:lvlJc w:val="left"/>
    </w:lvl>
    <w:lvl w:ilvl="8" w:tplc="0C09001B">
      <w:numFmt w:val="decimal"/>
      <w:lvlText w:val=""/>
      <w:lvlJc w:val="left"/>
    </w:lvl>
  </w:abstractNum>
  <w:abstractNum w:abstractNumId="14" w15:restartNumberingAfterBreak="0">
    <w:nsid w:val="23651B9A"/>
    <w:multiLevelType w:val="hybridMultilevel"/>
    <w:tmpl w:val="D20C9232"/>
    <w:lvl w:ilvl="0" w:tplc="F056951E">
      <w:numFmt w:val="decimal"/>
      <w:lvlText w:val=""/>
      <w:lvlJc w:val="left"/>
    </w:lvl>
    <w:lvl w:ilvl="1" w:tplc="19146420">
      <w:numFmt w:val="decimal"/>
      <w:lvlText w:val=""/>
      <w:lvlJc w:val="left"/>
    </w:lvl>
    <w:lvl w:ilvl="2" w:tplc="121E7D2A">
      <w:numFmt w:val="decimal"/>
      <w:lvlText w:val=""/>
      <w:lvlJc w:val="left"/>
    </w:lvl>
    <w:lvl w:ilvl="3" w:tplc="BFACA46A">
      <w:numFmt w:val="decimal"/>
      <w:lvlText w:val=""/>
      <w:lvlJc w:val="left"/>
    </w:lvl>
    <w:lvl w:ilvl="4" w:tplc="0C090019">
      <w:numFmt w:val="decimal"/>
      <w:lvlText w:val=""/>
      <w:lvlJc w:val="left"/>
    </w:lvl>
    <w:lvl w:ilvl="5" w:tplc="0C09001B">
      <w:numFmt w:val="decimal"/>
      <w:lvlText w:val=""/>
      <w:lvlJc w:val="left"/>
    </w:lvl>
    <w:lvl w:ilvl="6" w:tplc="0C09000F">
      <w:numFmt w:val="decimal"/>
      <w:lvlText w:val=""/>
      <w:lvlJc w:val="left"/>
    </w:lvl>
    <w:lvl w:ilvl="7" w:tplc="0C090019">
      <w:numFmt w:val="decimal"/>
      <w:lvlText w:val=""/>
      <w:lvlJc w:val="left"/>
    </w:lvl>
    <w:lvl w:ilvl="8" w:tplc="0C09001B">
      <w:numFmt w:val="decimal"/>
      <w:lvlText w:val=""/>
      <w:lvlJc w:val="left"/>
    </w:lvl>
  </w:abstractNum>
  <w:abstractNum w:abstractNumId="15" w15:restartNumberingAfterBreak="0">
    <w:nsid w:val="243B1A7D"/>
    <w:multiLevelType w:val="multilevel"/>
    <w:tmpl w:val="2BF2360A"/>
    <w:name w:val="ASIC proposal"/>
    <w:lvl w:ilvl="0">
      <w:numFmt w:val="decimal"/>
      <w:pStyle w:val="Heading1"/>
      <w:lvlText w:val=""/>
      <w:lvlJc w:val="left"/>
    </w:lvl>
    <w:lvl w:ilvl="1">
      <w:numFmt w:val="decimal"/>
      <w:pStyle w:val="Proposaltext"/>
      <w:lvlText w:val=""/>
      <w:lvlJc w:val="left"/>
    </w:lvl>
    <w:lvl w:ilvl="2">
      <w:numFmt w:val="decimal"/>
      <w:pStyle w:val="Proposalsubpara"/>
      <w:lvlText w:val=""/>
      <w:lvlJc w:val="left"/>
    </w:lvl>
    <w:lvl w:ilvl="3">
      <w:numFmt w:val="decimal"/>
      <w:pStyle w:val="Proposalsubsubpara"/>
      <w:lvlText w:val=""/>
      <w:lvlJc w:val="left"/>
    </w:lvl>
    <w:lvl w:ilvl="4">
      <w:numFmt w:val="decimal"/>
      <w:pStyle w:val="Feedbackquestion"/>
      <w:lvlText w:val=""/>
      <w:lvlJc w:val="left"/>
    </w:lvl>
    <w:lvl w:ilvl="5">
      <w:numFmt w:val="decimal"/>
      <w:pStyle w:val="Feedbacksubquestion"/>
      <w:lvlText w:val=""/>
      <w:lvlJc w:val="left"/>
    </w:lvl>
    <w:lvl w:ilvl="6">
      <w:numFmt w:val="decimal"/>
      <w:pStyle w:val="Feedbacksubsubquestion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3C2712"/>
    <w:multiLevelType w:val="hybridMultilevel"/>
    <w:tmpl w:val="138C540E"/>
    <w:lvl w:ilvl="0" w:tplc="D7C669E6">
      <w:numFmt w:val="decimal"/>
      <w:lvlText w:val=""/>
      <w:lvlJc w:val="left"/>
    </w:lvl>
    <w:lvl w:ilvl="1" w:tplc="0C090019">
      <w:numFmt w:val="decimal"/>
      <w:lvlText w:val=""/>
      <w:lvlJc w:val="left"/>
    </w:lvl>
    <w:lvl w:ilvl="2" w:tplc="0C09001B">
      <w:numFmt w:val="decimal"/>
      <w:lvlText w:val=""/>
      <w:lvlJc w:val="left"/>
    </w:lvl>
    <w:lvl w:ilvl="3" w:tplc="0C09000F">
      <w:numFmt w:val="decimal"/>
      <w:lvlText w:val=""/>
      <w:lvlJc w:val="left"/>
    </w:lvl>
    <w:lvl w:ilvl="4" w:tplc="0C090019">
      <w:numFmt w:val="decimal"/>
      <w:lvlText w:val=""/>
      <w:lvlJc w:val="left"/>
    </w:lvl>
    <w:lvl w:ilvl="5" w:tplc="0C09001B">
      <w:numFmt w:val="decimal"/>
      <w:lvlText w:val=""/>
      <w:lvlJc w:val="left"/>
    </w:lvl>
    <w:lvl w:ilvl="6" w:tplc="0C09000F">
      <w:numFmt w:val="decimal"/>
      <w:lvlText w:val=""/>
      <w:lvlJc w:val="left"/>
    </w:lvl>
    <w:lvl w:ilvl="7" w:tplc="0C090019">
      <w:numFmt w:val="decimal"/>
      <w:lvlText w:val=""/>
      <w:lvlJc w:val="left"/>
    </w:lvl>
    <w:lvl w:ilvl="8" w:tplc="0C09001B">
      <w:numFmt w:val="decimal"/>
      <w:lvlText w:val=""/>
      <w:lvlJc w:val="left"/>
    </w:lvl>
  </w:abstractNum>
  <w:abstractNum w:abstractNumId="17" w15:restartNumberingAfterBreak="0">
    <w:nsid w:val="2C7D73DE"/>
    <w:multiLevelType w:val="hybridMultilevel"/>
    <w:tmpl w:val="46EAF5A6"/>
    <w:lvl w:ilvl="0" w:tplc="AB988280">
      <w:numFmt w:val="decimal"/>
      <w:pStyle w:val="tablebullet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18" w15:restartNumberingAfterBreak="0">
    <w:nsid w:val="30E85F31"/>
    <w:multiLevelType w:val="hybridMultilevel"/>
    <w:tmpl w:val="53E83C72"/>
    <w:lvl w:ilvl="0" w:tplc="7A8A65C6">
      <w:numFmt w:val="decimal"/>
      <w:lvlText w:val=""/>
      <w:lvlJc w:val="left"/>
    </w:lvl>
    <w:lvl w:ilvl="1" w:tplc="0C090019">
      <w:numFmt w:val="decimal"/>
      <w:lvlText w:val=""/>
      <w:lvlJc w:val="left"/>
    </w:lvl>
    <w:lvl w:ilvl="2" w:tplc="0C09001B">
      <w:numFmt w:val="decimal"/>
      <w:lvlText w:val=""/>
      <w:lvlJc w:val="left"/>
    </w:lvl>
    <w:lvl w:ilvl="3" w:tplc="0C09000F">
      <w:numFmt w:val="decimal"/>
      <w:lvlText w:val=""/>
      <w:lvlJc w:val="left"/>
    </w:lvl>
    <w:lvl w:ilvl="4" w:tplc="0C090019">
      <w:numFmt w:val="decimal"/>
      <w:lvlText w:val=""/>
      <w:lvlJc w:val="left"/>
    </w:lvl>
    <w:lvl w:ilvl="5" w:tplc="0C09001B">
      <w:numFmt w:val="decimal"/>
      <w:lvlText w:val=""/>
      <w:lvlJc w:val="left"/>
    </w:lvl>
    <w:lvl w:ilvl="6" w:tplc="0C09000F">
      <w:numFmt w:val="decimal"/>
      <w:lvlText w:val=""/>
      <w:lvlJc w:val="left"/>
    </w:lvl>
    <w:lvl w:ilvl="7" w:tplc="0C090019">
      <w:numFmt w:val="decimal"/>
      <w:lvlText w:val=""/>
      <w:lvlJc w:val="left"/>
    </w:lvl>
    <w:lvl w:ilvl="8" w:tplc="0C09001B">
      <w:numFmt w:val="decimal"/>
      <w:lvlText w:val=""/>
      <w:lvlJc w:val="left"/>
    </w:lvl>
  </w:abstractNum>
  <w:abstractNum w:abstractNumId="19" w15:restartNumberingAfterBreak="0">
    <w:nsid w:val="3ACA13B0"/>
    <w:multiLevelType w:val="hybridMultilevel"/>
    <w:tmpl w:val="9C807164"/>
    <w:lvl w:ilvl="0" w:tplc="61B61804">
      <w:numFmt w:val="decimal"/>
      <w:pStyle w:val="TLPNotebullet"/>
      <w:lvlText w:val=""/>
      <w:lvlJc w:val="left"/>
    </w:lvl>
    <w:lvl w:ilvl="1" w:tplc="0C090003">
      <w:numFmt w:val="decimal"/>
      <w:lvlText w:val=""/>
      <w:lvlJc w:val="left"/>
    </w:lvl>
    <w:lvl w:ilvl="2" w:tplc="0C090005">
      <w:numFmt w:val="decimal"/>
      <w:lvlText w:val=""/>
      <w:lvlJc w:val="left"/>
    </w:lvl>
    <w:lvl w:ilvl="3" w:tplc="0C090001">
      <w:numFmt w:val="decimal"/>
      <w:lvlText w:val=""/>
      <w:lvlJc w:val="left"/>
    </w:lvl>
    <w:lvl w:ilvl="4" w:tplc="0C090003">
      <w:numFmt w:val="decimal"/>
      <w:lvlText w:val=""/>
      <w:lvlJc w:val="left"/>
    </w:lvl>
    <w:lvl w:ilvl="5" w:tplc="0C090005">
      <w:numFmt w:val="decimal"/>
      <w:lvlText w:val=""/>
      <w:lvlJc w:val="left"/>
    </w:lvl>
    <w:lvl w:ilvl="6" w:tplc="0C090001">
      <w:numFmt w:val="decimal"/>
      <w:lvlText w:val=""/>
      <w:lvlJc w:val="left"/>
    </w:lvl>
    <w:lvl w:ilvl="7" w:tplc="0C090003">
      <w:numFmt w:val="decimal"/>
      <w:lvlText w:val=""/>
      <w:lvlJc w:val="left"/>
    </w:lvl>
    <w:lvl w:ilvl="8" w:tplc="0C090005">
      <w:numFmt w:val="decimal"/>
      <w:lvlText w:val=""/>
      <w:lvlJc w:val="left"/>
    </w:lvl>
  </w:abstractNum>
  <w:abstractNum w:abstractNumId="20" w15:restartNumberingAfterBreak="0">
    <w:nsid w:val="3C041993"/>
    <w:multiLevelType w:val="multilevel"/>
    <w:tmpl w:val="4680F51A"/>
    <w:name w:val="ASIC para nos"/>
    <w:lvl w:ilvl="0">
      <w:start w:val="1"/>
      <w:numFmt w:val="decimal"/>
      <w:lvlText w:val="%1"/>
      <w:lvlJc w:val="left"/>
      <w:pPr>
        <w:tabs>
          <w:tab w:val="num" w:pos="2693"/>
        </w:tabs>
        <w:ind w:left="2693" w:hanging="42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3119"/>
        </w:tabs>
        <w:ind w:left="3119" w:hanging="42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370"/>
        </w:tabs>
        <w:ind w:left="4370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197"/>
        </w:tabs>
        <w:ind w:left="34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7"/>
        </w:tabs>
        <w:ind w:left="39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37"/>
        </w:tabs>
        <w:ind w:left="44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7"/>
        </w:tabs>
        <w:ind w:left="49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17"/>
        </w:tabs>
        <w:ind w:left="54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7"/>
        </w:tabs>
        <w:ind w:left="5997" w:hanging="1440"/>
      </w:pPr>
      <w:rPr>
        <w:rFonts w:hint="default"/>
      </w:rPr>
    </w:lvl>
  </w:abstractNum>
  <w:abstractNum w:abstractNumId="21" w15:restartNumberingAfterBreak="0">
    <w:nsid w:val="400C4EFA"/>
    <w:multiLevelType w:val="hybridMultilevel"/>
    <w:tmpl w:val="5D32B6A0"/>
    <w:lvl w:ilvl="0" w:tplc="FFFFFFFF">
      <w:start w:val="1"/>
      <w:numFmt w:val="decimal"/>
      <w:lvlText w:val="%1."/>
      <w:lvlJc w:val="left"/>
      <w:pPr>
        <w:ind w:left="502" w:hanging="360"/>
      </w:pPr>
      <w:rPr>
        <w:i w:val="0"/>
        <w:iCs/>
      </w:rPr>
    </w:lvl>
    <w:lvl w:ilvl="1" w:tplc="FFFFFFFF">
      <w:start w:val="1"/>
      <w:numFmt w:val="lowerLetter"/>
      <w:lvlText w:val="(%2)"/>
      <w:lvlJc w:val="left"/>
      <w:pPr>
        <w:ind w:left="122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36B65CD"/>
    <w:multiLevelType w:val="hybridMultilevel"/>
    <w:tmpl w:val="C8F0255E"/>
    <w:lvl w:ilvl="0" w:tplc="E63C2630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D5E6804C">
      <w:numFmt w:val="decimal"/>
      <w:pStyle w:val="Frontbullet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3" w15:restartNumberingAfterBreak="0">
    <w:nsid w:val="53E1230F"/>
    <w:multiLevelType w:val="hybridMultilevel"/>
    <w:tmpl w:val="09566386"/>
    <w:lvl w:ilvl="0" w:tplc="D076FF16">
      <w:start w:val="1"/>
      <w:numFmt w:val="decimal"/>
      <w:lvlText w:val="%1."/>
      <w:lvlJc w:val="left"/>
      <w:pPr>
        <w:ind w:left="502" w:hanging="360"/>
      </w:pPr>
      <w:rPr>
        <w:i w:val="0"/>
        <w:iCs/>
      </w:rPr>
    </w:lvl>
    <w:lvl w:ilvl="1" w:tplc="B246B5EC">
      <w:start w:val="1"/>
      <w:numFmt w:val="lowerLetter"/>
      <w:lvlText w:val="(%2)"/>
      <w:lvlJc w:val="left"/>
      <w:pPr>
        <w:ind w:left="1222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AC1642B"/>
    <w:multiLevelType w:val="hybridMultilevel"/>
    <w:tmpl w:val="42CAB630"/>
    <w:lvl w:ilvl="0" w:tplc="3EAE1A4A">
      <w:numFmt w:val="decimal"/>
      <w:lvlText w:val=""/>
      <w:lvlJc w:val="left"/>
    </w:lvl>
    <w:lvl w:ilvl="1" w:tplc="0C090019">
      <w:numFmt w:val="decimal"/>
      <w:lvlText w:val=""/>
      <w:lvlJc w:val="left"/>
    </w:lvl>
    <w:lvl w:ilvl="2" w:tplc="0C09001B">
      <w:numFmt w:val="decimal"/>
      <w:lvlText w:val=""/>
      <w:lvlJc w:val="left"/>
    </w:lvl>
    <w:lvl w:ilvl="3" w:tplc="0C09000F">
      <w:numFmt w:val="decimal"/>
      <w:lvlText w:val=""/>
      <w:lvlJc w:val="left"/>
    </w:lvl>
    <w:lvl w:ilvl="4" w:tplc="0C090019">
      <w:numFmt w:val="decimal"/>
      <w:lvlText w:val=""/>
      <w:lvlJc w:val="left"/>
    </w:lvl>
    <w:lvl w:ilvl="5" w:tplc="0C09001B">
      <w:numFmt w:val="decimal"/>
      <w:lvlText w:val=""/>
      <w:lvlJc w:val="left"/>
    </w:lvl>
    <w:lvl w:ilvl="6" w:tplc="0C09000F">
      <w:numFmt w:val="decimal"/>
      <w:lvlText w:val=""/>
      <w:lvlJc w:val="left"/>
    </w:lvl>
    <w:lvl w:ilvl="7" w:tplc="0C090019">
      <w:numFmt w:val="decimal"/>
      <w:lvlText w:val=""/>
      <w:lvlJc w:val="left"/>
    </w:lvl>
    <w:lvl w:ilvl="8" w:tplc="0C09001B">
      <w:numFmt w:val="decimal"/>
      <w:lvlText w:val=""/>
      <w:lvlJc w:val="left"/>
    </w:lvl>
  </w:abstractNum>
  <w:abstractNum w:abstractNumId="25" w15:restartNumberingAfterBreak="0">
    <w:nsid w:val="5BC14F7E"/>
    <w:multiLevelType w:val="hybridMultilevel"/>
    <w:tmpl w:val="B904640E"/>
    <w:lvl w:ilvl="0" w:tplc="DB5E2A70">
      <w:numFmt w:val="decimal"/>
      <w:pStyle w:val="ListBullet2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6" w15:restartNumberingAfterBreak="0">
    <w:nsid w:val="613A3D6B"/>
    <w:multiLevelType w:val="hybridMultilevel"/>
    <w:tmpl w:val="CB0038BE"/>
    <w:lvl w:ilvl="0" w:tplc="0C09000F">
      <w:numFmt w:val="decimal"/>
      <w:lvlText w:val=""/>
      <w:lvlJc w:val="left"/>
    </w:lvl>
    <w:lvl w:ilvl="1" w:tplc="0C090019">
      <w:numFmt w:val="decimal"/>
      <w:lvlText w:val=""/>
      <w:lvlJc w:val="left"/>
    </w:lvl>
    <w:lvl w:ilvl="2" w:tplc="0C09001B">
      <w:numFmt w:val="decimal"/>
      <w:lvlText w:val=""/>
      <w:lvlJc w:val="left"/>
    </w:lvl>
    <w:lvl w:ilvl="3" w:tplc="0C09000F">
      <w:numFmt w:val="decimal"/>
      <w:lvlText w:val=""/>
      <w:lvlJc w:val="left"/>
    </w:lvl>
    <w:lvl w:ilvl="4" w:tplc="0C090019">
      <w:numFmt w:val="decimal"/>
      <w:lvlText w:val=""/>
      <w:lvlJc w:val="left"/>
    </w:lvl>
    <w:lvl w:ilvl="5" w:tplc="0C09001B">
      <w:numFmt w:val="decimal"/>
      <w:lvlText w:val=""/>
      <w:lvlJc w:val="left"/>
    </w:lvl>
    <w:lvl w:ilvl="6" w:tplc="0C09000F">
      <w:numFmt w:val="decimal"/>
      <w:lvlText w:val=""/>
      <w:lvlJc w:val="left"/>
    </w:lvl>
    <w:lvl w:ilvl="7" w:tplc="0C090019">
      <w:numFmt w:val="decimal"/>
      <w:lvlText w:val=""/>
      <w:lvlJc w:val="left"/>
    </w:lvl>
    <w:lvl w:ilvl="8" w:tplc="0C09001B">
      <w:numFmt w:val="decimal"/>
      <w:lvlText w:val=""/>
      <w:lvlJc w:val="left"/>
    </w:lvl>
  </w:abstractNum>
  <w:abstractNum w:abstractNumId="27" w15:restartNumberingAfterBreak="0">
    <w:nsid w:val="62756F33"/>
    <w:multiLevelType w:val="hybridMultilevel"/>
    <w:tmpl w:val="76EE0A6E"/>
    <w:lvl w:ilvl="0" w:tplc="C700BE30">
      <w:numFmt w:val="decimal"/>
      <w:pStyle w:val="KPbullet"/>
      <w:lvlText w:val=""/>
      <w:lvlJc w:val="left"/>
    </w:lvl>
    <w:lvl w:ilvl="1" w:tplc="0C090003">
      <w:numFmt w:val="decimal"/>
      <w:lvlText w:val=""/>
      <w:lvlJc w:val="left"/>
    </w:lvl>
    <w:lvl w:ilvl="2" w:tplc="0C090005">
      <w:numFmt w:val="decimal"/>
      <w:lvlText w:val=""/>
      <w:lvlJc w:val="left"/>
    </w:lvl>
    <w:lvl w:ilvl="3" w:tplc="0C090001">
      <w:numFmt w:val="decimal"/>
      <w:lvlText w:val=""/>
      <w:lvlJc w:val="left"/>
    </w:lvl>
    <w:lvl w:ilvl="4" w:tplc="0C090003">
      <w:numFmt w:val="decimal"/>
      <w:lvlText w:val=""/>
      <w:lvlJc w:val="left"/>
    </w:lvl>
    <w:lvl w:ilvl="5" w:tplc="0C090005">
      <w:numFmt w:val="decimal"/>
      <w:lvlText w:val=""/>
      <w:lvlJc w:val="left"/>
    </w:lvl>
    <w:lvl w:ilvl="6" w:tplc="0C090001">
      <w:numFmt w:val="decimal"/>
      <w:lvlText w:val=""/>
      <w:lvlJc w:val="left"/>
    </w:lvl>
    <w:lvl w:ilvl="7" w:tplc="0C090003">
      <w:numFmt w:val="decimal"/>
      <w:lvlText w:val=""/>
      <w:lvlJc w:val="left"/>
    </w:lvl>
    <w:lvl w:ilvl="8" w:tplc="0C090005">
      <w:numFmt w:val="decimal"/>
      <w:lvlText w:val=""/>
      <w:lvlJc w:val="left"/>
    </w:lvl>
  </w:abstractNum>
  <w:abstractNum w:abstractNumId="28" w15:restartNumberingAfterBreak="0">
    <w:nsid w:val="69AC34E0"/>
    <w:multiLevelType w:val="multilevel"/>
    <w:tmpl w:val="8904E41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E365C4"/>
    <w:multiLevelType w:val="hybridMultilevel"/>
    <w:tmpl w:val="413E4FAA"/>
    <w:lvl w:ilvl="0" w:tplc="8E62C916">
      <w:numFmt w:val="decimal"/>
      <w:pStyle w:val="ListBullet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30" w15:restartNumberingAfterBreak="0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31" w15:restartNumberingAfterBreak="0">
    <w:nsid w:val="6C2755ED"/>
    <w:multiLevelType w:val="hybridMultilevel"/>
    <w:tmpl w:val="5D32B6A0"/>
    <w:lvl w:ilvl="0" w:tplc="FFFFFFFF">
      <w:start w:val="1"/>
      <w:numFmt w:val="decimal"/>
      <w:lvlText w:val="%1."/>
      <w:lvlJc w:val="left"/>
      <w:pPr>
        <w:ind w:left="502" w:hanging="360"/>
      </w:pPr>
      <w:rPr>
        <w:i w:val="0"/>
        <w:iCs/>
      </w:rPr>
    </w:lvl>
    <w:lvl w:ilvl="1" w:tplc="FFFFFFFF">
      <w:start w:val="1"/>
      <w:numFmt w:val="lowerLetter"/>
      <w:lvlText w:val="(%2)"/>
      <w:lvlJc w:val="left"/>
      <w:pPr>
        <w:ind w:left="122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19355EC"/>
    <w:multiLevelType w:val="multilevel"/>
    <w:tmpl w:val="270C738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9648A1"/>
    <w:multiLevelType w:val="hybridMultilevel"/>
    <w:tmpl w:val="B3322EAA"/>
    <w:lvl w:ilvl="0" w:tplc="3EAE1A4A">
      <w:numFmt w:val="decimal"/>
      <w:lvlText w:val=""/>
      <w:lvlJc w:val="left"/>
    </w:lvl>
    <w:lvl w:ilvl="1" w:tplc="7A8A65C6">
      <w:numFmt w:val="decimal"/>
      <w:lvlText w:val=""/>
      <w:lvlJc w:val="left"/>
    </w:lvl>
    <w:lvl w:ilvl="2" w:tplc="BA34EA80">
      <w:numFmt w:val="decimal"/>
      <w:lvlText w:val=""/>
      <w:lvlJc w:val="left"/>
    </w:lvl>
    <w:lvl w:ilvl="3" w:tplc="0C09000F">
      <w:numFmt w:val="decimal"/>
      <w:lvlText w:val=""/>
      <w:lvlJc w:val="left"/>
    </w:lvl>
    <w:lvl w:ilvl="4" w:tplc="0C090019">
      <w:numFmt w:val="decimal"/>
      <w:lvlText w:val=""/>
      <w:lvlJc w:val="left"/>
    </w:lvl>
    <w:lvl w:ilvl="5" w:tplc="0C09001B">
      <w:numFmt w:val="decimal"/>
      <w:lvlText w:val=""/>
      <w:lvlJc w:val="left"/>
    </w:lvl>
    <w:lvl w:ilvl="6" w:tplc="0C09000F">
      <w:numFmt w:val="decimal"/>
      <w:lvlText w:val=""/>
      <w:lvlJc w:val="left"/>
    </w:lvl>
    <w:lvl w:ilvl="7" w:tplc="0C090019">
      <w:numFmt w:val="decimal"/>
      <w:lvlText w:val=""/>
      <w:lvlJc w:val="left"/>
    </w:lvl>
    <w:lvl w:ilvl="8" w:tplc="0C09001B">
      <w:numFmt w:val="decimal"/>
      <w:lvlText w:val=""/>
      <w:lvlJc w:val="left"/>
    </w:lvl>
  </w:abstractNum>
  <w:num w:numId="1" w16cid:durableId="1583447818">
    <w:abstractNumId w:val="15"/>
  </w:num>
  <w:num w:numId="2" w16cid:durableId="2093579302">
    <w:abstractNumId w:val="10"/>
  </w:num>
  <w:num w:numId="3" w16cid:durableId="576062271">
    <w:abstractNumId w:val="33"/>
  </w:num>
  <w:num w:numId="4" w16cid:durableId="1204976662">
    <w:abstractNumId w:val="19"/>
  </w:num>
  <w:num w:numId="5" w16cid:durableId="1375696355">
    <w:abstractNumId w:val="13"/>
  </w:num>
  <w:num w:numId="6" w16cid:durableId="437601384">
    <w:abstractNumId w:val="9"/>
  </w:num>
  <w:num w:numId="7" w16cid:durableId="418721284">
    <w:abstractNumId w:val="18"/>
  </w:num>
  <w:num w:numId="8" w16cid:durableId="1466776004">
    <w:abstractNumId w:val="17"/>
  </w:num>
  <w:num w:numId="9" w16cid:durableId="1152914827">
    <w:abstractNumId w:val="29"/>
  </w:num>
  <w:num w:numId="10" w16cid:durableId="1987584430">
    <w:abstractNumId w:val="2"/>
  </w:num>
  <w:num w:numId="11" w16cid:durableId="490098296">
    <w:abstractNumId w:val="27"/>
  </w:num>
  <w:num w:numId="12" w16cid:durableId="600650136">
    <w:abstractNumId w:val="22"/>
  </w:num>
  <w:num w:numId="13" w16cid:durableId="1261990103">
    <w:abstractNumId w:val="25"/>
  </w:num>
  <w:num w:numId="14" w16cid:durableId="1929845142">
    <w:abstractNumId w:val="1"/>
  </w:num>
  <w:num w:numId="15" w16cid:durableId="453182809">
    <w:abstractNumId w:val="6"/>
  </w:num>
  <w:num w:numId="16" w16cid:durableId="959606735">
    <w:abstractNumId w:val="14"/>
  </w:num>
  <w:num w:numId="17" w16cid:durableId="20228489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47044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96985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75631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40174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5978811">
    <w:abstractNumId w:val="26"/>
  </w:num>
  <w:num w:numId="23" w16cid:durableId="2014381700">
    <w:abstractNumId w:val="24"/>
  </w:num>
  <w:num w:numId="24" w16cid:durableId="2094886972">
    <w:abstractNumId w:val="4"/>
  </w:num>
  <w:num w:numId="25" w16cid:durableId="1870678155">
    <w:abstractNumId w:val="16"/>
  </w:num>
  <w:num w:numId="26" w16cid:durableId="1415971986">
    <w:abstractNumId w:val="8"/>
  </w:num>
  <w:num w:numId="27" w16cid:durableId="891576722">
    <w:abstractNumId w:val="11"/>
  </w:num>
  <w:num w:numId="28" w16cid:durableId="1698970345">
    <w:abstractNumId w:val="12"/>
  </w:num>
  <w:num w:numId="29" w16cid:durableId="570582350">
    <w:abstractNumId w:val="28"/>
  </w:num>
  <w:num w:numId="30" w16cid:durableId="1467240360">
    <w:abstractNumId w:val="3"/>
  </w:num>
  <w:num w:numId="31" w16cid:durableId="670914696">
    <w:abstractNumId w:val="5"/>
  </w:num>
  <w:num w:numId="32" w16cid:durableId="1382943511">
    <w:abstractNumId w:val="7"/>
  </w:num>
  <w:num w:numId="33" w16cid:durableId="508446907">
    <w:abstractNumId w:val="32"/>
  </w:num>
  <w:num w:numId="34" w16cid:durableId="1072434530">
    <w:abstractNumId w:val="23"/>
  </w:num>
  <w:num w:numId="35" w16cid:durableId="849950769">
    <w:abstractNumId w:val="31"/>
  </w:num>
  <w:num w:numId="36" w16cid:durableId="307174461">
    <w:abstractNumId w:val="21"/>
  </w:num>
  <w:num w:numId="37" w16cid:durableId="68035830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0E"/>
    <w:rsid w:val="000034A1"/>
    <w:rsid w:val="000069F9"/>
    <w:rsid w:val="00010527"/>
    <w:rsid w:val="00015013"/>
    <w:rsid w:val="00020F5A"/>
    <w:rsid w:val="00021049"/>
    <w:rsid w:val="00021267"/>
    <w:rsid w:val="00021AD3"/>
    <w:rsid w:val="00022E9A"/>
    <w:rsid w:val="00022F70"/>
    <w:rsid w:val="0003137F"/>
    <w:rsid w:val="00037044"/>
    <w:rsid w:val="00043146"/>
    <w:rsid w:val="000434C7"/>
    <w:rsid w:val="00045560"/>
    <w:rsid w:val="000465A5"/>
    <w:rsid w:val="000477AA"/>
    <w:rsid w:val="0005489E"/>
    <w:rsid w:val="00054C4D"/>
    <w:rsid w:val="0005633A"/>
    <w:rsid w:val="00056925"/>
    <w:rsid w:val="000632D9"/>
    <w:rsid w:val="0006676D"/>
    <w:rsid w:val="00067A3F"/>
    <w:rsid w:val="00071385"/>
    <w:rsid w:val="00071D8E"/>
    <w:rsid w:val="00072ACC"/>
    <w:rsid w:val="00074A81"/>
    <w:rsid w:val="00076AA7"/>
    <w:rsid w:val="00076D94"/>
    <w:rsid w:val="00077ABE"/>
    <w:rsid w:val="000833B2"/>
    <w:rsid w:val="00084CBC"/>
    <w:rsid w:val="00086268"/>
    <w:rsid w:val="00086413"/>
    <w:rsid w:val="00093337"/>
    <w:rsid w:val="00095229"/>
    <w:rsid w:val="000A1312"/>
    <w:rsid w:val="000A31C8"/>
    <w:rsid w:val="000A3E23"/>
    <w:rsid w:val="000B4813"/>
    <w:rsid w:val="000C4214"/>
    <w:rsid w:val="000C6873"/>
    <w:rsid w:val="000D35CA"/>
    <w:rsid w:val="000D6B4C"/>
    <w:rsid w:val="000E21A2"/>
    <w:rsid w:val="000E4F05"/>
    <w:rsid w:val="000E786D"/>
    <w:rsid w:val="000F4F33"/>
    <w:rsid w:val="000F6063"/>
    <w:rsid w:val="000F6245"/>
    <w:rsid w:val="000F74DE"/>
    <w:rsid w:val="001020C0"/>
    <w:rsid w:val="00103C5E"/>
    <w:rsid w:val="00105C9D"/>
    <w:rsid w:val="00106F06"/>
    <w:rsid w:val="001108FA"/>
    <w:rsid w:val="00110EB5"/>
    <w:rsid w:val="0011133F"/>
    <w:rsid w:val="00111B3E"/>
    <w:rsid w:val="00111F6E"/>
    <w:rsid w:val="00113E08"/>
    <w:rsid w:val="00114AF9"/>
    <w:rsid w:val="0011621F"/>
    <w:rsid w:val="001168B0"/>
    <w:rsid w:val="00126096"/>
    <w:rsid w:val="0013288D"/>
    <w:rsid w:val="0013623B"/>
    <w:rsid w:val="00136ABC"/>
    <w:rsid w:val="00141379"/>
    <w:rsid w:val="001415E1"/>
    <w:rsid w:val="00141ECF"/>
    <w:rsid w:val="00146C25"/>
    <w:rsid w:val="00152621"/>
    <w:rsid w:val="00152AA6"/>
    <w:rsid w:val="0015609F"/>
    <w:rsid w:val="001560E7"/>
    <w:rsid w:val="00157056"/>
    <w:rsid w:val="00165309"/>
    <w:rsid w:val="001661EC"/>
    <w:rsid w:val="001673E3"/>
    <w:rsid w:val="001703F2"/>
    <w:rsid w:val="001722E5"/>
    <w:rsid w:val="00174F08"/>
    <w:rsid w:val="00175B16"/>
    <w:rsid w:val="00176797"/>
    <w:rsid w:val="001772A7"/>
    <w:rsid w:val="00178294"/>
    <w:rsid w:val="00181281"/>
    <w:rsid w:val="00184B14"/>
    <w:rsid w:val="00184EE3"/>
    <w:rsid w:val="001860E7"/>
    <w:rsid w:val="001873C6"/>
    <w:rsid w:val="0019200F"/>
    <w:rsid w:val="00192831"/>
    <w:rsid w:val="00194249"/>
    <w:rsid w:val="00194B75"/>
    <w:rsid w:val="00195446"/>
    <w:rsid w:val="001962B3"/>
    <w:rsid w:val="00197009"/>
    <w:rsid w:val="001A0EA4"/>
    <w:rsid w:val="001A1BD3"/>
    <w:rsid w:val="001A2227"/>
    <w:rsid w:val="001A7F5F"/>
    <w:rsid w:val="001B4117"/>
    <w:rsid w:val="001B76FC"/>
    <w:rsid w:val="001B7A3B"/>
    <w:rsid w:val="001C0125"/>
    <w:rsid w:val="001C27AB"/>
    <w:rsid w:val="001C31DF"/>
    <w:rsid w:val="001C4163"/>
    <w:rsid w:val="001C45E9"/>
    <w:rsid w:val="001C6040"/>
    <w:rsid w:val="001D4627"/>
    <w:rsid w:val="001D6DD8"/>
    <w:rsid w:val="001E0A5C"/>
    <w:rsid w:val="001E1251"/>
    <w:rsid w:val="001E1DC7"/>
    <w:rsid w:val="001E4154"/>
    <w:rsid w:val="001E4E78"/>
    <w:rsid w:val="001E6067"/>
    <w:rsid w:val="001E6501"/>
    <w:rsid w:val="001F17EE"/>
    <w:rsid w:val="001F2E1D"/>
    <w:rsid w:val="001F46D0"/>
    <w:rsid w:val="00200997"/>
    <w:rsid w:val="00200D64"/>
    <w:rsid w:val="00200F7A"/>
    <w:rsid w:val="0020125E"/>
    <w:rsid w:val="00205DD8"/>
    <w:rsid w:val="002124D2"/>
    <w:rsid w:val="002164F8"/>
    <w:rsid w:val="00217141"/>
    <w:rsid w:val="0021750E"/>
    <w:rsid w:val="002214E9"/>
    <w:rsid w:val="00221D75"/>
    <w:rsid w:val="002229EE"/>
    <w:rsid w:val="00224AD2"/>
    <w:rsid w:val="00224C0D"/>
    <w:rsid w:val="00225897"/>
    <w:rsid w:val="0022626F"/>
    <w:rsid w:val="002306F0"/>
    <w:rsid w:val="002319E4"/>
    <w:rsid w:val="002324FD"/>
    <w:rsid w:val="00232D7C"/>
    <w:rsid w:val="002338C2"/>
    <w:rsid w:val="002342BE"/>
    <w:rsid w:val="002400D2"/>
    <w:rsid w:val="002405D5"/>
    <w:rsid w:val="00243DAC"/>
    <w:rsid w:val="00245F5B"/>
    <w:rsid w:val="0025063F"/>
    <w:rsid w:val="00250C7D"/>
    <w:rsid w:val="002525DD"/>
    <w:rsid w:val="00255FBC"/>
    <w:rsid w:val="00257BD5"/>
    <w:rsid w:val="0026376A"/>
    <w:rsid w:val="00264689"/>
    <w:rsid w:val="002669B9"/>
    <w:rsid w:val="002678C1"/>
    <w:rsid w:val="00267F70"/>
    <w:rsid w:val="0027038D"/>
    <w:rsid w:val="00271464"/>
    <w:rsid w:val="002731A5"/>
    <w:rsid w:val="002738E5"/>
    <w:rsid w:val="00274DE0"/>
    <w:rsid w:val="002751CB"/>
    <w:rsid w:val="00281D39"/>
    <w:rsid w:val="00282A06"/>
    <w:rsid w:val="002902A2"/>
    <w:rsid w:val="00290B40"/>
    <w:rsid w:val="00290EC2"/>
    <w:rsid w:val="002925B3"/>
    <w:rsid w:val="002A1E53"/>
    <w:rsid w:val="002A224E"/>
    <w:rsid w:val="002A310D"/>
    <w:rsid w:val="002A5280"/>
    <w:rsid w:val="002A616D"/>
    <w:rsid w:val="002A7548"/>
    <w:rsid w:val="002B0773"/>
    <w:rsid w:val="002B16CA"/>
    <w:rsid w:val="002B4A89"/>
    <w:rsid w:val="002B4B4F"/>
    <w:rsid w:val="002B7CFB"/>
    <w:rsid w:val="002C13B1"/>
    <w:rsid w:val="002C380A"/>
    <w:rsid w:val="002C5369"/>
    <w:rsid w:val="002C5D2B"/>
    <w:rsid w:val="002C60B5"/>
    <w:rsid w:val="002C66F1"/>
    <w:rsid w:val="002C771D"/>
    <w:rsid w:val="002D070F"/>
    <w:rsid w:val="002D2670"/>
    <w:rsid w:val="002D2832"/>
    <w:rsid w:val="002D6AF9"/>
    <w:rsid w:val="002E087F"/>
    <w:rsid w:val="002F28F6"/>
    <w:rsid w:val="002F2B57"/>
    <w:rsid w:val="002F3595"/>
    <w:rsid w:val="002F395C"/>
    <w:rsid w:val="002F4FA1"/>
    <w:rsid w:val="002F54B9"/>
    <w:rsid w:val="003046AA"/>
    <w:rsid w:val="003068B6"/>
    <w:rsid w:val="00311BB8"/>
    <w:rsid w:val="003126AF"/>
    <w:rsid w:val="003143FE"/>
    <w:rsid w:val="00316F9C"/>
    <w:rsid w:val="00317555"/>
    <w:rsid w:val="00317743"/>
    <w:rsid w:val="00320C71"/>
    <w:rsid w:val="00325842"/>
    <w:rsid w:val="00325C07"/>
    <w:rsid w:val="0032677D"/>
    <w:rsid w:val="00332696"/>
    <w:rsid w:val="00337934"/>
    <w:rsid w:val="003428FC"/>
    <w:rsid w:val="00343134"/>
    <w:rsid w:val="00345C6F"/>
    <w:rsid w:val="003462B4"/>
    <w:rsid w:val="00351CFF"/>
    <w:rsid w:val="00356163"/>
    <w:rsid w:val="003607FC"/>
    <w:rsid w:val="00360C9A"/>
    <w:rsid w:val="003616A3"/>
    <w:rsid w:val="0036170E"/>
    <w:rsid w:val="00366532"/>
    <w:rsid w:val="00367985"/>
    <w:rsid w:val="00367A37"/>
    <w:rsid w:val="003727E9"/>
    <w:rsid w:val="003742AD"/>
    <w:rsid w:val="00374DE0"/>
    <w:rsid w:val="00376AD9"/>
    <w:rsid w:val="003822B8"/>
    <w:rsid w:val="003825BD"/>
    <w:rsid w:val="00382C57"/>
    <w:rsid w:val="003830F3"/>
    <w:rsid w:val="00383EBD"/>
    <w:rsid w:val="00385AE1"/>
    <w:rsid w:val="00386F1D"/>
    <w:rsid w:val="0039004C"/>
    <w:rsid w:val="00392EB7"/>
    <w:rsid w:val="00393396"/>
    <w:rsid w:val="003947BF"/>
    <w:rsid w:val="0039703C"/>
    <w:rsid w:val="0039AAAA"/>
    <w:rsid w:val="003A0801"/>
    <w:rsid w:val="003A3F9E"/>
    <w:rsid w:val="003A660E"/>
    <w:rsid w:val="003B2D60"/>
    <w:rsid w:val="003B3F46"/>
    <w:rsid w:val="003B4B62"/>
    <w:rsid w:val="003B6064"/>
    <w:rsid w:val="003B7E7C"/>
    <w:rsid w:val="003C3310"/>
    <w:rsid w:val="003C4DAC"/>
    <w:rsid w:val="003C671E"/>
    <w:rsid w:val="003D1EE7"/>
    <w:rsid w:val="003D6232"/>
    <w:rsid w:val="003E0FE7"/>
    <w:rsid w:val="003E20D9"/>
    <w:rsid w:val="003E336E"/>
    <w:rsid w:val="003E72E8"/>
    <w:rsid w:val="003E7E2D"/>
    <w:rsid w:val="003F072A"/>
    <w:rsid w:val="003F3983"/>
    <w:rsid w:val="003F3F70"/>
    <w:rsid w:val="003F6B17"/>
    <w:rsid w:val="00400263"/>
    <w:rsid w:val="00402206"/>
    <w:rsid w:val="00402780"/>
    <w:rsid w:val="00402E0C"/>
    <w:rsid w:val="00411CA5"/>
    <w:rsid w:val="004126DD"/>
    <w:rsid w:val="00412E36"/>
    <w:rsid w:val="00415993"/>
    <w:rsid w:val="00416DEA"/>
    <w:rsid w:val="00417235"/>
    <w:rsid w:val="00421D7C"/>
    <w:rsid w:val="004226A8"/>
    <w:rsid w:val="00423D0E"/>
    <w:rsid w:val="00427055"/>
    <w:rsid w:val="00433242"/>
    <w:rsid w:val="00433EC4"/>
    <w:rsid w:val="00442274"/>
    <w:rsid w:val="00442944"/>
    <w:rsid w:val="00442A14"/>
    <w:rsid w:val="00444281"/>
    <w:rsid w:val="00447781"/>
    <w:rsid w:val="004501C3"/>
    <w:rsid w:val="00452E97"/>
    <w:rsid w:val="004546A2"/>
    <w:rsid w:val="00454FC5"/>
    <w:rsid w:val="00457E72"/>
    <w:rsid w:val="00462820"/>
    <w:rsid w:val="00463354"/>
    <w:rsid w:val="0046367A"/>
    <w:rsid w:val="0046581D"/>
    <w:rsid w:val="004716F7"/>
    <w:rsid w:val="004721DF"/>
    <w:rsid w:val="00472E85"/>
    <w:rsid w:val="00473196"/>
    <w:rsid w:val="00476E93"/>
    <w:rsid w:val="0048498B"/>
    <w:rsid w:val="00487300"/>
    <w:rsid w:val="00491AD0"/>
    <w:rsid w:val="00493349"/>
    <w:rsid w:val="004951FA"/>
    <w:rsid w:val="004A0AF5"/>
    <w:rsid w:val="004A1B38"/>
    <w:rsid w:val="004A3F77"/>
    <w:rsid w:val="004A480F"/>
    <w:rsid w:val="004A60E9"/>
    <w:rsid w:val="004B1741"/>
    <w:rsid w:val="004B1B0E"/>
    <w:rsid w:val="004B1CDE"/>
    <w:rsid w:val="004B31F8"/>
    <w:rsid w:val="004C1AF7"/>
    <w:rsid w:val="004C2ADD"/>
    <w:rsid w:val="004C4B5A"/>
    <w:rsid w:val="004C4C1E"/>
    <w:rsid w:val="004C6F19"/>
    <w:rsid w:val="004C77C0"/>
    <w:rsid w:val="004C79FC"/>
    <w:rsid w:val="004D0B8E"/>
    <w:rsid w:val="004D381A"/>
    <w:rsid w:val="004D6905"/>
    <w:rsid w:val="004E0ADB"/>
    <w:rsid w:val="004E0DB0"/>
    <w:rsid w:val="004E2440"/>
    <w:rsid w:val="004E585B"/>
    <w:rsid w:val="004E7E07"/>
    <w:rsid w:val="004F0EDD"/>
    <w:rsid w:val="004F119D"/>
    <w:rsid w:val="004F69D0"/>
    <w:rsid w:val="0050056F"/>
    <w:rsid w:val="0050186A"/>
    <w:rsid w:val="005102BC"/>
    <w:rsid w:val="005146EC"/>
    <w:rsid w:val="00514D94"/>
    <w:rsid w:val="00516850"/>
    <w:rsid w:val="00524867"/>
    <w:rsid w:val="005304BA"/>
    <w:rsid w:val="00532392"/>
    <w:rsid w:val="0053375D"/>
    <w:rsid w:val="00535368"/>
    <w:rsid w:val="00541E99"/>
    <w:rsid w:val="00541F5D"/>
    <w:rsid w:val="00542D23"/>
    <w:rsid w:val="0054342E"/>
    <w:rsid w:val="00544652"/>
    <w:rsid w:val="0054702C"/>
    <w:rsid w:val="0055436A"/>
    <w:rsid w:val="00554422"/>
    <w:rsid w:val="00556C23"/>
    <w:rsid w:val="00557422"/>
    <w:rsid w:val="0056105E"/>
    <w:rsid w:val="00562854"/>
    <w:rsid w:val="00562873"/>
    <w:rsid w:val="005646C5"/>
    <w:rsid w:val="005670C4"/>
    <w:rsid w:val="00567D2F"/>
    <w:rsid w:val="0057194F"/>
    <w:rsid w:val="005744E8"/>
    <w:rsid w:val="00574575"/>
    <w:rsid w:val="00574D51"/>
    <w:rsid w:val="00575724"/>
    <w:rsid w:val="005767BD"/>
    <w:rsid w:val="005775DB"/>
    <w:rsid w:val="00580B32"/>
    <w:rsid w:val="0058113F"/>
    <w:rsid w:val="00581575"/>
    <w:rsid w:val="00583FC7"/>
    <w:rsid w:val="0058458D"/>
    <w:rsid w:val="0058559C"/>
    <w:rsid w:val="005864FC"/>
    <w:rsid w:val="00591B6B"/>
    <w:rsid w:val="00593AAF"/>
    <w:rsid w:val="0059703E"/>
    <w:rsid w:val="005A1B94"/>
    <w:rsid w:val="005A2891"/>
    <w:rsid w:val="005A3D3E"/>
    <w:rsid w:val="005A7643"/>
    <w:rsid w:val="005A79A1"/>
    <w:rsid w:val="005B0914"/>
    <w:rsid w:val="005B1782"/>
    <w:rsid w:val="005B1B72"/>
    <w:rsid w:val="005B2D3C"/>
    <w:rsid w:val="005B2F9A"/>
    <w:rsid w:val="005B3CA9"/>
    <w:rsid w:val="005B77FD"/>
    <w:rsid w:val="005B7A86"/>
    <w:rsid w:val="005C0B5E"/>
    <w:rsid w:val="005C4862"/>
    <w:rsid w:val="005C4B11"/>
    <w:rsid w:val="005C4B84"/>
    <w:rsid w:val="005C6F92"/>
    <w:rsid w:val="005D04F0"/>
    <w:rsid w:val="005D3BB9"/>
    <w:rsid w:val="005D412C"/>
    <w:rsid w:val="005D4B93"/>
    <w:rsid w:val="005D627B"/>
    <w:rsid w:val="005E0F2E"/>
    <w:rsid w:val="005E0F90"/>
    <w:rsid w:val="005E2E6A"/>
    <w:rsid w:val="005E32F5"/>
    <w:rsid w:val="005E377C"/>
    <w:rsid w:val="005E75FA"/>
    <w:rsid w:val="005F1F69"/>
    <w:rsid w:val="005F1FF8"/>
    <w:rsid w:val="005F3B42"/>
    <w:rsid w:val="005F5021"/>
    <w:rsid w:val="005F5B6C"/>
    <w:rsid w:val="006001CC"/>
    <w:rsid w:val="0060343C"/>
    <w:rsid w:val="006048E7"/>
    <w:rsid w:val="00610324"/>
    <w:rsid w:val="00610C9E"/>
    <w:rsid w:val="00611522"/>
    <w:rsid w:val="00615B6F"/>
    <w:rsid w:val="00617D8C"/>
    <w:rsid w:val="00622B27"/>
    <w:rsid w:val="00624F6A"/>
    <w:rsid w:val="00627B88"/>
    <w:rsid w:val="00630B1C"/>
    <w:rsid w:val="00635BAF"/>
    <w:rsid w:val="00644E1C"/>
    <w:rsid w:val="0064658A"/>
    <w:rsid w:val="00647A56"/>
    <w:rsid w:val="0065352C"/>
    <w:rsid w:val="00654AC5"/>
    <w:rsid w:val="00656708"/>
    <w:rsid w:val="00656E11"/>
    <w:rsid w:val="00657C85"/>
    <w:rsid w:val="0066088D"/>
    <w:rsid w:val="00662948"/>
    <w:rsid w:val="00662CE3"/>
    <w:rsid w:val="00663865"/>
    <w:rsid w:val="00664100"/>
    <w:rsid w:val="0066416C"/>
    <w:rsid w:val="00665AA3"/>
    <w:rsid w:val="006709D6"/>
    <w:rsid w:val="0067295D"/>
    <w:rsid w:val="00672977"/>
    <w:rsid w:val="006762E6"/>
    <w:rsid w:val="00676C5E"/>
    <w:rsid w:val="006772C2"/>
    <w:rsid w:val="0068090A"/>
    <w:rsid w:val="0068678E"/>
    <w:rsid w:val="00687948"/>
    <w:rsid w:val="00687E4A"/>
    <w:rsid w:val="00687F20"/>
    <w:rsid w:val="00691633"/>
    <w:rsid w:val="006923DA"/>
    <w:rsid w:val="00693C65"/>
    <w:rsid w:val="0069523D"/>
    <w:rsid w:val="00697455"/>
    <w:rsid w:val="006A0A23"/>
    <w:rsid w:val="006A1C4C"/>
    <w:rsid w:val="006A20ED"/>
    <w:rsid w:val="006A41F7"/>
    <w:rsid w:val="006A448E"/>
    <w:rsid w:val="006A6B32"/>
    <w:rsid w:val="006B10C6"/>
    <w:rsid w:val="006B214F"/>
    <w:rsid w:val="006B22CC"/>
    <w:rsid w:val="006B49C4"/>
    <w:rsid w:val="006C0357"/>
    <w:rsid w:val="006C328A"/>
    <w:rsid w:val="006C354A"/>
    <w:rsid w:val="006C458F"/>
    <w:rsid w:val="006D22BE"/>
    <w:rsid w:val="006D5561"/>
    <w:rsid w:val="006E04E5"/>
    <w:rsid w:val="006E1561"/>
    <w:rsid w:val="006E2FE8"/>
    <w:rsid w:val="006F0203"/>
    <w:rsid w:val="006F1F4C"/>
    <w:rsid w:val="006F2AF0"/>
    <w:rsid w:val="006F77C4"/>
    <w:rsid w:val="00703D2E"/>
    <w:rsid w:val="007042D8"/>
    <w:rsid w:val="007043ED"/>
    <w:rsid w:val="00704CD6"/>
    <w:rsid w:val="00705351"/>
    <w:rsid w:val="00710C07"/>
    <w:rsid w:val="0071525D"/>
    <w:rsid w:val="00717EEB"/>
    <w:rsid w:val="00721019"/>
    <w:rsid w:val="007211AB"/>
    <w:rsid w:val="00721EAF"/>
    <w:rsid w:val="00722926"/>
    <w:rsid w:val="00723863"/>
    <w:rsid w:val="007251AA"/>
    <w:rsid w:val="0074054A"/>
    <w:rsid w:val="00740B4F"/>
    <w:rsid w:val="00741732"/>
    <w:rsid w:val="00741E1C"/>
    <w:rsid w:val="0074242C"/>
    <w:rsid w:val="00742D9D"/>
    <w:rsid w:val="0074416B"/>
    <w:rsid w:val="007454CD"/>
    <w:rsid w:val="00746D05"/>
    <w:rsid w:val="007515A5"/>
    <w:rsid w:val="0075403D"/>
    <w:rsid w:val="00755961"/>
    <w:rsid w:val="007567FE"/>
    <w:rsid w:val="007573F6"/>
    <w:rsid w:val="00765977"/>
    <w:rsid w:val="00765F7B"/>
    <w:rsid w:val="00766A33"/>
    <w:rsid w:val="0077416B"/>
    <w:rsid w:val="00776B58"/>
    <w:rsid w:val="00777906"/>
    <w:rsid w:val="00777CEF"/>
    <w:rsid w:val="0078080A"/>
    <w:rsid w:val="00780F1C"/>
    <w:rsid w:val="00781EDE"/>
    <w:rsid w:val="0078218B"/>
    <w:rsid w:val="007828FF"/>
    <w:rsid w:val="00786CDC"/>
    <w:rsid w:val="00793C3D"/>
    <w:rsid w:val="0079440D"/>
    <w:rsid w:val="007952E8"/>
    <w:rsid w:val="00796C24"/>
    <w:rsid w:val="007A20D4"/>
    <w:rsid w:val="007A22EF"/>
    <w:rsid w:val="007A47AA"/>
    <w:rsid w:val="007B0DE0"/>
    <w:rsid w:val="007B1C2E"/>
    <w:rsid w:val="007B570C"/>
    <w:rsid w:val="007B6EE4"/>
    <w:rsid w:val="007B774C"/>
    <w:rsid w:val="007C1C4F"/>
    <w:rsid w:val="007C1E27"/>
    <w:rsid w:val="007C70D5"/>
    <w:rsid w:val="007C7979"/>
    <w:rsid w:val="007D0CE3"/>
    <w:rsid w:val="007D3B27"/>
    <w:rsid w:val="007D6120"/>
    <w:rsid w:val="007D706D"/>
    <w:rsid w:val="007E118F"/>
    <w:rsid w:val="007E2A66"/>
    <w:rsid w:val="007E4DD0"/>
    <w:rsid w:val="007E53A9"/>
    <w:rsid w:val="007E59F8"/>
    <w:rsid w:val="007E63C3"/>
    <w:rsid w:val="007E6F1C"/>
    <w:rsid w:val="007E75C4"/>
    <w:rsid w:val="007F27D8"/>
    <w:rsid w:val="007F6554"/>
    <w:rsid w:val="00802495"/>
    <w:rsid w:val="00805561"/>
    <w:rsid w:val="008069A6"/>
    <w:rsid w:val="008072E0"/>
    <w:rsid w:val="00814FD5"/>
    <w:rsid w:val="008156E4"/>
    <w:rsid w:val="00821D94"/>
    <w:rsid w:val="008236B9"/>
    <w:rsid w:val="00824C2C"/>
    <w:rsid w:val="00824F91"/>
    <w:rsid w:val="00825515"/>
    <w:rsid w:val="00825A3B"/>
    <w:rsid w:val="00825AE0"/>
    <w:rsid w:val="00827568"/>
    <w:rsid w:val="00833CDB"/>
    <w:rsid w:val="00837F13"/>
    <w:rsid w:val="0084047A"/>
    <w:rsid w:val="0084136C"/>
    <w:rsid w:val="00841F00"/>
    <w:rsid w:val="00841FE6"/>
    <w:rsid w:val="0084450F"/>
    <w:rsid w:val="00852876"/>
    <w:rsid w:val="008540D9"/>
    <w:rsid w:val="00855003"/>
    <w:rsid w:val="008551D6"/>
    <w:rsid w:val="008562C6"/>
    <w:rsid w:val="008619D6"/>
    <w:rsid w:val="00862682"/>
    <w:rsid w:val="00873EFE"/>
    <w:rsid w:val="00874426"/>
    <w:rsid w:val="0087720B"/>
    <w:rsid w:val="0087794A"/>
    <w:rsid w:val="008817E4"/>
    <w:rsid w:val="00882AD2"/>
    <w:rsid w:val="008877F1"/>
    <w:rsid w:val="00893817"/>
    <w:rsid w:val="00896B6F"/>
    <w:rsid w:val="008A2237"/>
    <w:rsid w:val="008A4573"/>
    <w:rsid w:val="008A642D"/>
    <w:rsid w:val="008B1582"/>
    <w:rsid w:val="008B1B28"/>
    <w:rsid w:val="008B3304"/>
    <w:rsid w:val="008B496F"/>
    <w:rsid w:val="008B5628"/>
    <w:rsid w:val="008B78AE"/>
    <w:rsid w:val="008C1A4D"/>
    <w:rsid w:val="008C3D60"/>
    <w:rsid w:val="008C54BD"/>
    <w:rsid w:val="008C5D75"/>
    <w:rsid w:val="008D27E8"/>
    <w:rsid w:val="008D7A1C"/>
    <w:rsid w:val="008E04BE"/>
    <w:rsid w:val="008E124B"/>
    <w:rsid w:val="008EAA3E"/>
    <w:rsid w:val="008F3FA8"/>
    <w:rsid w:val="009026F1"/>
    <w:rsid w:val="009051A5"/>
    <w:rsid w:val="00906806"/>
    <w:rsid w:val="00907CF4"/>
    <w:rsid w:val="00911975"/>
    <w:rsid w:val="00911DE4"/>
    <w:rsid w:val="009151DE"/>
    <w:rsid w:val="00916C3D"/>
    <w:rsid w:val="00916FB5"/>
    <w:rsid w:val="00922316"/>
    <w:rsid w:val="00923FF0"/>
    <w:rsid w:val="00924896"/>
    <w:rsid w:val="00926267"/>
    <w:rsid w:val="00930394"/>
    <w:rsid w:val="00932127"/>
    <w:rsid w:val="00932F4F"/>
    <w:rsid w:val="00932F84"/>
    <w:rsid w:val="00933669"/>
    <w:rsid w:val="00936441"/>
    <w:rsid w:val="00936E79"/>
    <w:rsid w:val="00936F73"/>
    <w:rsid w:val="009442E0"/>
    <w:rsid w:val="00944571"/>
    <w:rsid w:val="00944A0F"/>
    <w:rsid w:val="00945420"/>
    <w:rsid w:val="00946EC4"/>
    <w:rsid w:val="00947CFC"/>
    <w:rsid w:val="00947D6D"/>
    <w:rsid w:val="009510C3"/>
    <w:rsid w:val="00952BAA"/>
    <w:rsid w:val="00952E1A"/>
    <w:rsid w:val="00954692"/>
    <w:rsid w:val="00957FAF"/>
    <w:rsid w:val="0096017F"/>
    <w:rsid w:val="0096040B"/>
    <w:rsid w:val="00963DA5"/>
    <w:rsid w:val="00963EB6"/>
    <w:rsid w:val="0096431C"/>
    <w:rsid w:val="00965787"/>
    <w:rsid w:val="00966A9B"/>
    <w:rsid w:val="00970413"/>
    <w:rsid w:val="00970C78"/>
    <w:rsid w:val="00970FC0"/>
    <w:rsid w:val="00971C3B"/>
    <w:rsid w:val="009802EE"/>
    <w:rsid w:val="00980FC5"/>
    <w:rsid w:val="00987943"/>
    <w:rsid w:val="00990B66"/>
    <w:rsid w:val="00992EF4"/>
    <w:rsid w:val="00993AF7"/>
    <w:rsid w:val="00993F4D"/>
    <w:rsid w:val="009953CF"/>
    <w:rsid w:val="009964A3"/>
    <w:rsid w:val="00997588"/>
    <w:rsid w:val="009A0114"/>
    <w:rsid w:val="009A1DC3"/>
    <w:rsid w:val="009A2F9C"/>
    <w:rsid w:val="009A6A2E"/>
    <w:rsid w:val="009B1390"/>
    <w:rsid w:val="009B23BE"/>
    <w:rsid w:val="009B2582"/>
    <w:rsid w:val="009B666A"/>
    <w:rsid w:val="009B734D"/>
    <w:rsid w:val="009B7C7A"/>
    <w:rsid w:val="009C20BC"/>
    <w:rsid w:val="009C3818"/>
    <w:rsid w:val="009C559E"/>
    <w:rsid w:val="009C59C9"/>
    <w:rsid w:val="009D3921"/>
    <w:rsid w:val="009D3A07"/>
    <w:rsid w:val="009D738E"/>
    <w:rsid w:val="009D7B1F"/>
    <w:rsid w:val="009E4C0C"/>
    <w:rsid w:val="009F05E4"/>
    <w:rsid w:val="009F1F9A"/>
    <w:rsid w:val="009F231C"/>
    <w:rsid w:val="009F3412"/>
    <w:rsid w:val="009F3E99"/>
    <w:rsid w:val="009F71F0"/>
    <w:rsid w:val="009F7363"/>
    <w:rsid w:val="00A0187C"/>
    <w:rsid w:val="00A01FF4"/>
    <w:rsid w:val="00A02E37"/>
    <w:rsid w:val="00A0370A"/>
    <w:rsid w:val="00A0371C"/>
    <w:rsid w:val="00A0705B"/>
    <w:rsid w:val="00A12FC5"/>
    <w:rsid w:val="00A1335D"/>
    <w:rsid w:val="00A17647"/>
    <w:rsid w:val="00A2109D"/>
    <w:rsid w:val="00A2242E"/>
    <w:rsid w:val="00A22AD5"/>
    <w:rsid w:val="00A22EBA"/>
    <w:rsid w:val="00A23686"/>
    <w:rsid w:val="00A24192"/>
    <w:rsid w:val="00A24323"/>
    <w:rsid w:val="00A24410"/>
    <w:rsid w:val="00A24616"/>
    <w:rsid w:val="00A263BA"/>
    <w:rsid w:val="00A26492"/>
    <w:rsid w:val="00A31953"/>
    <w:rsid w:val="00A3304C"/>
    <w:rsid w:val="00A36645"/>
    <w:rsid w:val="00A3766A"/>
    <w:rsid w:val="00A37CA6"/>
    <w:rsid w:val="00A37F49"/>
    <w:rsid w:val="00A408E3"/>
    <w:rsid w:val="00A43A1C"/>
    <w:rsid w:val="00A44C4F"/>
    <w:rsid w:val="00A50084"/>
    <w:rsid w:val="00A50A0B"/>
    <w:rsid w:val="00A52F97"/>
    <w:rsid w:val="00A53D98"/>
    <w:rsid w:val="00A55392"/>
    <w:rsid w:val="00A55A79"/>
    <w:rsid w:val="00A55B9C"/>
    <w:rsid w:val="00A56235"/>
    <w:rsid w:val="00A61616"/>
    <w:rsid w:val="00A746A1"/>
    <w:rsid w:val="00A74BEA"/>
    <w:rsid w:val="00A750C6"/>
    <w:rsid w:val="00A76F5C"/>
    <w:rsid w:val="00A807EB"/>
    <w:rsid w:val="00A81EA1"/>
    <w:rsid w:val="00A853F4"/>
    <w:rsid w:val="00A85CAD"/>
    <w:rsid w:val="00A903B3"/>
    <w:rsid w:val="00A9506A"/>
    <w:rsid w:val="00A9529A"/>
    <w:rsid w:val="00A9628B"/>
    <w:rsid w:val="00AA00DA"/>
    <w:rsid w:val="00AA1A12"/>
    <w:rsid w:val="00AA3C0E"/>
    <w:rsid w:val="00AA75E4"/>
    <w:rsid w:val="00AB31F0"/>
    <w:rsid w:val="00AB35D9"/>
    <w:rsid w:val="00AB3807"/>
    <w:rsid w:val="00AB6760"/>
    <w:rsid w:val="00AC2100"/>
    <w:rsid w:val="00AC6D82"/>
    <w:rsid w:val="00AE023F"/>
    <w:rsid w:val="00AE1900"/>
    <w:rsid w:val="00AE36A0"/>
    <w:rsid w:val="00AE5E59"/>
    <w:rsid w:val="00AE7E36"/>
    <w:rsid w:val="00AF5BEF"/>
    <w:rsid w:val="00AF6DAD"/>
    <w:rsid w:val="00B05C7E"/>
    <w:rsid w:val="00B11C7D"/>
    <w:rsid w:val="00B14956"/>
    <w:rsid w:val="00B15C74"/>
    <w:rsid w:val="00B17021"/>
    <w:rsid w:val="00B226CC"/>
    <w:rsid w:val="00B26654"/>
    <w:rsid w:val="00B349D4"/>
    <w:rsid w:val="00B3575D"/>
    <w:rsid w:val="00B47C21"/>
    <w:rsid w:val="00B53494"/>
    <w:rsid w:val="00B5461A"/>
    <w:rsid w:val="00B57388"/>
    <w:rsid w:val="00B57DE1"/>
    <w:rsid w:val="00B6145E"/>
    <w:rsid w:val="00B61CEE"/>
    <w:rsid w:val="00B63FD7"/>
    <w:rsid w:val="00B662EE"/>
    <w:rsid w:val="00B71850"/>
    <w:rsid w:val="00B72C3B"/>
    <w:rsid w:val="00B72DD5"/>
    <w:rsid w:val="00B73BE8"/>
    <w:rsid w:val="00B76B44"/>
    <w:rsid w:val="00B82C97"/>
    <w:rsid w:val="00B838DE"/>
    <w:rsid w:val="00B83EA8"/>
    <w:rsid w:val="00B8554D"/>
    <w:rsid w:val="00B85707"/>
    <w:rsid w:val="00B85C88"/>
    <w:rsid w:val="00B876F4"/>
    <w:rsid w:val="00B92129"/>
    <w:rsid w:val="00B93506"/>
    <w:rsid w:val="00B97469"/>
    <w:rsid w:val="00BA2FB4"/>
    <w:rsid w:val="00BB2A1C"/>
    <w:rsid w:val="00BB6369"/>
    <w:rsid w:val="00BC355D"/>
    <w:rsid w:val="00BC4544"/>
    <w:rsid w:val="00BC69A3"/>
    <w:rsid w:val="00BC7923"/>
    <w:rsid w:val="00BD2093"/>
    <w:rsid w:val="00BD5D9C"/>
    <w:rsid w:val="00BE06D8"/>
    <w:rsid w:val="00BE4A33"/>
    <w:rsid w:val="00BE7503"/>
    <w:rsid w:val="00BF150B"/>
    <w:rsid w:val="00BF1B40"/>
    <w:rsid w:val="00BF402E"/>
    <w:rsid w:val="00BF4897"/>
    <w:rsid w:val="00BF62FE"/>
    <w:rsid w:val="00BF73ED"/>
    <w:rsid w:val="00BF79DF"/>
    <w:rsid w:val="00C00096"/>
    <w:rsid w:val="00C0042E"/>
    <w:rsid w:val="00C00A72"/>
    <w:rsid w:val="00C02941"/>
    <w:rsid w:val="00C057B6"/>
    <w:rsid w:val="00C06A4D"/>
    <w:rsid w:val="00C07C36"/>
    <w:rsid w:val="00C10C75"/>
    <w:rsid w:val="00C1195C"/>
    <w:rsid w:val="00C122F2"/>
    <w:rsid w:val="00C127BF"/>
    <w:rsid w:val="00C12DEB"/>
    <w:rsid w:val="00C14BCE"/>
    <w:rsid w:val="00C21D3C"/>
    <w:rsid w:val="00C236AD"/>
    <w:rsid w:val="00C25A1C"/>
    <w:rsid w:val="00C30329"/>
    <w:rsid w:val="00C30A25"/>
    <w:rsid w:val="00C31157"/>
    <w:rsid w:val="00C320BF"/>
    <w:rsid w:val="00C335D8"/>
    <w:rsid w:val="00C34DD3"/>
    <w:rsid w:val="00C351D8"/>
    <w:rsid w:val="00C358DA"/>
    <w:rsid w:val="00C359E9"/>
    <w:rsid w:val="00C40C4D"/>
    <w:rsid w:val="00C42185"/>
    <w:rsid w:val="00C42B80"/>
    <w:rsid w:val="00C44872"/>
    <w:rsid w:val="00C44FE9"/>
    <w:rsid w:val="00C4531D"/>
    <w:rsid w:val="00C458AF"/>
    <w:rsid w:val="00C466EB"/>
    <w:rsid w:val="00C46CE4"/>
    <w:rsid w:val="00C50F62"/>
    <w:rsid w:val="00C51B56"/>
    <w:rsid w:val="00C5229E"/>
    <w:rsid w:val="00C522F2"/>
    <w:rsid w:val="00C6040E"/>
    <w:rsid w:val="00C6206E"/>
    <w:rsid w:val="00C62E51"/>
    <w:rsid w:val="00C63006"/>
    <w:rsid w:val="00C63697"/>
    <w:rsid w:val="00C64F71"/>
    <w:rsid w:val="00C65503"/>
    <w:rsid w:val="00C67CB0"/>
    <w:rsid w:val="00C705F6"/>
    <w:rsid w:val="00C742BB"/>
    <w:rsid w:val="00C7459B"/>
    <w:rsid w:val="00C753AE"/>
    <w:rsid w:val="00C761EB"/>
    <w:rsid w:val="00C8065B"/>
    <w:rsid w:val="00C81EC1"/>
    <w:rsid w:val="00C81F1F"/>
    <w:rsid w:val="00C83D36"/>
    <w:rsid w:val="00C8637B"/>
    <w:rsid w:val="00C87E72"/>
    <w:rsid w:val="00C927DF"/>
    <w:rsid w:val="00C93AB8"/>
    <w:rsid w:val="00C94B47"/>
    <w:rsid w:val="00C95300"/>
    <w:rsid w:val="00C9553F"/>
    <w:rsid w:val="00C961B2"/>
    <w:rsid w:val="00CA063B"/>
    <w:rsid w:val="00CA1812"/>
    <w:rsid w:val="00CA240E"/>
    <w:rsid w:val="00CA69FD"/>
    <w:rsid w:val="00CA77D1"/>
    <w:rsid w:val="00CB166F"/>
    <w:rsid w:val="00CC2119"/>
    <w:rsid w:val="00CC29F8"/>
    <w:rsid w:val="00CC2BDB"/>
    <w:rsid w:val="00CC2D5D"/>
    <w:rsid w:val="00CC476E"/>
    <w:rsid w:val="00CC602C"/>
    <w:rsid w:val="00CC6059"/>
    <w:rsid w:val="00CC78BE"/>
    <w:rsid w:val="00CD15AA"/>
    <w:rsid w:val="00CD1C39"/>
    <w:rsid w:val="00CD39CC"/>
    <w:rsid w:val="00CD46F1"/>
    <w:rsid w:val="00CD7AF4"/>
    <w:rsid w:val="00CE1318"/>
    <w:rsid w:val="00CE2C97"/>
    <w:rsid w:val="00CE56C2"/>
    <w:rsid w:val="00CE5BC9"/>
    <w:rsid w:val="00CF03CE"/>
    <w:rsid w:val="00CF0A25"/>
    <w:rsid w:val="00CF28AA"/>
    <w:rsid w:val="00CF4FB2"/>
    <w:rsid w:val="00CF5B63"/>
    <w:rsid w:val="00CF7E2B"/>
    <w:rsid w:val="00D00429"/>
    <w:rsid w:val="00D00690"/>
    <w:rsid w:val="00D05DC3"/>
    <w:rsid w:val="00D07607"/>
    <w:rsid w:val="00D10F85"/>
    <w:rsid w:val="00D127BF"/>
    <w:rsid w:val="00D201F1"/>
    <w:rsid w:val="00D22675"/>
    <w:rsid w:val="00D23FB3"/>
    <w:rsid w:val="00D24AB7"/>
    <w:rsid w:val="00D3505A"/>
    <w:rsid w:val="00D354C1"/>
    <w:rsid w:val="00D357F8"/>
    <w:rsid w:val="00D405E5"/>
    <w:rsid w:val="00D44CAF"/>
    <w:rsid w:val="00D456E4"/>
    <w:rsid w:val="00D46AA9"/>
    <w:rsid w:val="00D4722B"/>
    <w:rsid w:val="00D474BC"/>
    <w:rsid w:val="00D5055E"/>
    <w:rsid w:val="00D50CF2"/>
    <w:rsid w:val="00D516FC"/>
    <w:rsid w:val="00D530BA"/>
    <w:rsid w:val="00D541B3"/>
    <w:rsid w:val="00D60399"/>
    <w:rsid w:val="00D606D2"/>
    <w:rsid w:val="00D63350"/>
    <w:rsid w:val="00D64608"/>
    <w:rsid w:val="00D70DEE"/>
    <w:rsid w:val="00D72919"/>
    <w:rsid w:val="00D73C39"/>
    <w:rsid w:val="00D75D38"/>
    <w:rsid w:val="00D77307"/>
    <w:rsid w:val="00D808B4"/>
    <w:rsid w:val="00D80E8E"/>
    <w:rsid w:val="00D85354"/>
    <w:rsid w:val="00D85F30"/>
    <w:rsid w:val="00D86398"/>
    <w:rsid w:val="00D907BA"/>
    <w:rsid w:val="00D907FD"/>
    <w:rsid w:val="00D90D86"/>
    <w:rsid w:val="00D93C74"/>
    <w:rsid w:val="00D94478"/>
    <w:rsid w:val="00D953CD"/>
    <w:rsid w:val="00D9784F"/>
    <w:rsid w:val="00DA0907"/>
    <w:rsid w:val="00DA14B2"/>
    <w:rsid w:val="00DA17E0"/>
    <w:rsid w:val="00DA3321"/>
    <w:rsid w:val="00DA3607"/>
    <w:rsid w:val="00DA386B"/>
    <w:rsid w:val="00DA4BF4"/>
    <w:rsid w:val="00DA70A3"/>
    <w:rsid w:val="00DA7221"/>
    <w:rsid w:val="00DB28AB"/>
    <w:rsid w:val="00DB74EA"/>
    <w:rsid w:val="00DC18EB"/>
    <w:rsid w:val="00DC7705"/>
    <w:rsid w:val="00DD1AE4"/>
    <w:rsid w:val="00DD256E"/>
    <w:rsid w:val="00DD2C88"/>
    <w:rsid w:val="00DD71AD"/>
    <w:rsid w:val="00DE05AD"/>
    <w:rsid w:val="00DE1B1A"/>
    <w:rsid w:val="00DE21DC"/>
    <w:rsid w:val="00DF0DEC"/>
    <w:rsid w:val="00DF2536"/>
    <w:rsid w:val="00DF29E5"/>
    <w:rsid w:val="00DF31AD"/>
    <w:rsid w:val="00DF6AC2"/>
    <w:rsid w:val="00E03019"/>
    <w:rsid w:val="00E0313F"/>
    <w:rsid w:val="00E051BB"/>
    <w:rsid w:val="00E10DB9"/>
    <w:rsid w:val="00E124A1"/>
    <w:rsid w:val="00E13699"/>
    <w:rsid w:val="00E221FC"/>
    <w:rsid w:val="00E2363D"/>
    <w:rsid w:val="00E2437C"/>
    <w:rsid w:val="00E30740"/>
    <w:rsid w:val="00E30993"/>
    <w:rsid w:val="00E45F8F"/>
    <w:rsid w:val="00E47475"/>
    <w:rsid w:val="00E47FBE"/>
    <w:rsid w:val="00E50B40"/>
    <w:rsid w:val="00E51161"/>
    <w:rsid w:val="00E5240B"/>
    <w:rsid w:val="00E53755"/>
    <w:rsid w:val="00E57FC9"/>
    <w:rsid w:val="00E613C5"/>
    <w:rsid w:val="00E61F40"/>
    <w:rsid w:val="00E62147"/>
    <w:rsid w:val="00E64E16"/>
    <w:rsid w:val="00E667CE"/>
    <w:rsid w:val="00E72EA3"/>
    <w:rsid w:val="00E732C2"/>
    <w:rsid w:val="00E73638"/>
    <w:rsid w:val="00E75837"/>
    <w:rsid w:val="00E763BC"/>
    <w:rsid w:val="00E76A0C"/>
    <w:rsid w:val="00E81259"/>
    <w:rsid w:val="00E83A4D"/>
    <w:rsid w:val="00E8499B"/>
    <w:rsid w:val="00E84C6D"/>
    <w:rsid w:val="00E856E2"/>
    <w:rsid w:val="00E85FE4"/>
    <w:rsid w:val="00E87C06"/>
    <w:rsid w:val="00E902A4"/>
    <w:rsid w:val="00E9388D"/>
    <w:rsid w:val="00E94558"/>
    <w:rsid w:val="00E9492C"/>
    <w:rsid w:val="00E94FC4"/>
    <w:rsid w:val="00E9544C"/>
    <w:rsid w:val="00E96B9E"/>
    <w:rsid w:val="00E9705D"/>
    <w:rsid w:val="00EA1E0A"/>
    <w:rsid w:val="00EA2AEF"/>
    <w:rsid w:val="00EB112E"/>
    <w:rsid w:val="00EB12A2"/>
    <w:rsid w:val="00EB1778"/>
    <w:rsid w:val="00EB458F"/>
    <w:rsid w:val="00EB52AE"/>
    <w:rsid w:val="00EB78BD"/>
    <w:rsid w:val="00EC07A2"/>
    <w:rsid w:val="00EC2312"/>
    <w:rsid w:val="00EC329E"/>
    <w:rsid w:val="00EC39D6"/>
    <w:rsid w:val="00EC43F0"/>
    <w:rsid w:val="00EC7864"/>
    <w:rsid w:val="00EC7A29"/>
    <w:rsid w:val="00ED05E5"/>
    <w:rsid w:val="00ED1EBB"/>
    <w:rsid w:val="00ED47F7"/>
    <w:rsid w:val="00EE4566"/>
    <w:rsid w:val="00EE62AF"/>
    <w:rsid w:val="00EF3372"/>
    <w:rsid w:val="00EF4A94"/>
    <w:rsid w:val="00F03766"/>
    <w:rsid w:val="00F04517"/>
    <w:rsid w:val="00F05BB6"/>
    <w:rsid w:val="00F07E75"/>
    <w:rsid w:val="00F105BA"/>
    <w:rsid w:val="00F10875"/>
    <w:rsid w:val="00F13652"/>
    <w:rsid w:val="00F14B84"/>
    <w:rsid w:val="00F1536E"/>
    <w:rsid w:val="00F17E97"/>
    <w:rsid w:val="00F272F0"/>
    <w:rsid w:val="00F3407C"/>
    <w:rsid w:val="00F34C19"/>
    <w:rsid w:val="00F35D02"/>
    <w:rsid w:val="00F35DD0"/>
    <w:rsid w:val="00F364F2"/>
    <w:rsid w:val="00F36675"/>
    <w:rsid w:val="00F36D5F"/>
    <w:rsid w:val="00F370BD"/>
    <w:rsid w:val="00F3764F"/>
    <w:rsid w:val="00F402EC"/>
    <w:rsid w:val="00F41F43"/>
    <w:rsid w:val="00F426BE"/>
    <w:rsid w:val="00F43CAE"/>
    <w:rsid w:val="00F47B6F"/>
    <w:rsid w:val="00F50736"/>
    <w:rsid w:val="00F5275B"/>
    <w:rsid w:val="00F53F76"/>
    <w:rsid w:val="00F54582"/>
    <w:rsid w:val="00F55C0E"/>
    <w:rsid w:val="00F56DA2"/>
    <w:rsid w:val="00F57C5C"/>
    <w:rsid w:val="00F61B06"/>
    <w:rsid w:val="00F62840"/>
    <w:rsid w:val="00F62E70"/>
    <w:rsid w:val="00F71859"/>
    <w:rsid w:val="00F71FF0"/>
    <w:rsid w:val="00F77335"/>
    <w:rsid w:val="00F823BE"/>
    <w:rsid w:val="00F85164"/>
    <w:rsid w:val="00F87D63"/>
    <w:rsid w:val="00F87FD5"/>
    <w:rsid w:val="00F91124"/>
    <w:rsid w:val="00F92794"/>
    <w:rsid w:val="00F93EAA"/>
    <w:rsid w:val="00F94667"/>
    <w:rsid w:val="00F95EE9"/>
    <w:rsid w:val="00FA0745"/>
    <w:rsid w:val="00FA2E29"/>
    <w:rsid w:val="00FA3474"/>
    <w:rsid w:val="00FA44C5"/>
    <w:rsid w:val="00FA4EF0"/>
    <w:rsid w:val="00FA4FFC"/>
    <w:rsid w:val="00FA61C6"/>
    <w:rsid w:val="00FA6D5F"/>
    <w:rsid w:val="00FA7358"/>
    <w:rsid w:val="00FB011A"/>
    <w:rsid w:val="00FB0B96"/>
    <w:rsid w:val="00FB1286"/>
    <w:rsid w:val="00FB3422"/>
    <w:rsid w:val="00FB700C"/>
    <w:rsid w:val="00FB7913"/>
    <w:rsid w:val="00FC1BF1"/>
    <w:rsid w:val="00FC2290"/>
    <w:rsid w:val="00FC3043"/>
    <w:rsid w:val="00FC4F07"/>
    <w:rsid w:val="00FC755E"/>
    <w:rsid w:val="00FC7F5B"/>
    <w:rsid w:val="00FD03F2"/>
    <w:rsid w:val="00FD3D6C"/>
    <w:rsid w:val="00FD7A5A"/>
    <w:rsid w:val="00FE15E7"/>
    <w:rsid w:val="00FE3851"/>
    <w:rsid w:val="00FE4E33"/>
    <w:rsid w:val="00FE677D"/>
    <w:rsid w:val="00FE7E22"/>
    <w:rsid w:val="00FF0007"/>
    <w:rsid w:val="00FF268F"/>
    <w:rsid w:val="00FF28D2"/>
    <w:rsid w:val="00FF2C48"/>
    <w:rsid w:val="00FF45E8"/>
    <w:rsid w:val="00FF4E2A"/>
    <w:rsid w:val="00FF5562"/>
    <w:rsid w:val="00FF641B"/>
    <w:rsid w:val="01542571"/>
    <w:rsid w:val="025554DB"/>
    <w:rsid w:val="02AB80F1"/>
    <w:rsid w:val="02D6CE70"/>
    <w:rsid w:val="02DABB18"/>
    <w:rsid w:val="02E4A671"/>
    <w:rsid w:val="03EDF23F"/>
    <w:rsid w:val="0435946D"/>
    <w:rsid w:val="04875FCD"/>
    <w:rsid w:val="04F50D8C"/>
    <w:rsid w:val="05258E22"/>
    <w:rsid w:val="05B47333"/>
    <w:rsid w:val="060D4539"/>
    <w:rsid w:val="060F2F3E"/>
    <w:rsid w:val="06135F13"/>
    <w:rsid w:val="06155F9E"/>
    <w:rsid w:val="06B189BC"/>
    <w:rsid w:val="06D3A7B7"/>
    <w:rsid w:val="06EE12D8"/>
    <w:rsid w:val="076F9270"/>
    <w:rsid w:val="08084993"/>
    <w:rsid w:val="081A8DEF"/>
    <w:rsid w:val="081F7491"/>
    <w:rsid w:val="082ABB8C"/>
    <w:rsid w:val="08479A33"/>
    <w:rsid w:val="0847DDB9"/>
    <w:rsid w:val="08C86FEA"/>
    <w:rsid w:val="08CEDBB0"/>
    <w:rsid w:val="09655A77"/>
    <w:rsid w:val="09D072D6"/>
    <w:rsid w:val="09F49626"/>
    <w:rsid w:val="0A278B65"/>
    <w:rsid w:val="0AFCF71C"/>
    <w:rsid w:val="0B37AD98"/>
    <w:rsid w:val="0B40596F"/>
    <w:rsid w:val="0B51A34D"/>
    <w:rsid w:val="0B558651"/>
    <w:rsid w:val="0B718C95"/>
    <w:rsid w:val="0BA1F89B"/>
    <w:rsid w:val="0BC21FC3"/>
    <w:rsid w:val="0BDA5B63"/>
    <w:rsid w:val="0CBDD49D"/>
    <w:rsid w:val="0D167CB9"/>
    <w:rsid w:val="0E6A383D"/>
    <w:rsid w:val="0F81A9F2"/>
    <w:rsid w:val="0F8B4695"/>
    <w:rsid w:val="0FC2CA01"/>
    <w:rsid w:val="0FE8890E"/>
    <w:rsid w:val="110DBDE2"/>
    <w:rsid w:val="1143F1C0"/>
    <w:rsid w:val="11B62A92"/>
    <w:rsid w:val="11D482F7"/>
    <w:rsid w:val="12183C12"/>
    <w:rsid w:val="128874BC"/>
    <w:rsid w:val="13077B5D"/>
    <w:rsid w:val="134C6878"/>
    <w:rsid w:val="13609E18"/>
    <w:rsid w:val="138A2403"/>
    <w:rsid w:val="13CECA77"/>
    <w:rsid w:val="1475610F"/>
    <w:rsid w:val="14D8FAE2"/>
    <w:rsid w:val="14E43D24"/>
    <w:rsid w:val="151205F1"/>
    <w:rsid w:val="1572A543"/>
    <w:rsid w:val="15A95F81"/>
    <w:rsid w:val="15AB4D6B"/>
    <w:rsid w:val="15C5379E"/>
    <w:rsid w:val="173EE611"/>
    <w:rsid w:val="176F8E4C"/>
    <w:rsid w:val="17C6338E"/>
    <w:rsid w:val="17F1B907"/>
    <w:rsid w:val="18E905E8"/>
    <w:rsid w:val="1919E70F"/>
    <w:rsid w:val="19ABF3A2"/>
    <w:rsid w:val="19D23404"/>
    <w:rsid w:val="1A955781"/>
    <w:rsid w:val="1AA6FA19"/>
    <w:rsid w:val="1AB15BFE"/>
    <w:rsid w:val="1AF592CE"/>
    <w:rsid w:val="1B13A572"/>
    <w:rsid w:val="1B376B68"/>
    <w:rsid w:val="1B5BF5D8"/>
    <w:rsid w:val="1BB2F524"/>
    <w:rsid w:val="1BF6A753"/>
    <w:rsid w:val="1DD51265"/>
    <w:rsid w:val="1E75FC96"/>
    <w:rsid w:val="1E7AF342"/>
    <w:rsid w:val="1EBF0158"/>
    <w:rsid w:val="1F7CC69E"/>
    <w:rsid w:val="20A123CF"/>
    <w:rsid w:val="213F1D64"/>
    <w:rsid w:val="21AA80BB"/>
    <w:rsid w:val="22ECA238"/>
    <w:rsid w:val="22F78703"/>
    <w:rsid w:val="23210A07"/>
    <w:rsid w:val="238329FA"/>
    <w:rsid w:val="23A71839"/>
    <w:rsid w:val="247D195F"/>
    <w:rsid w:val="249F82F0"/>
    <w:rsid w:val="2505B108"/>
    <w:rsid w:val="2536C956"/>
    <w:rsid w:val="253CA92C"/>
    <w:rsid w:val="254A99E9"/>
    <w:rsid w:val="25F53354"/>
    <w:rsid w:val="26E0A1DC"/>
    <w:rsid w:val="27B63B8D"/>
    <w:rsid w:val="2830FCDD"/>
    <w:rsid w:val="283BE66D"/>
    <w:rsid w:val="285C5036"/>
    <w:rsid w:val="28C1782E"/>
    <w:rsid w:val="28CE4462"/>
    <w:rsid w:val="2906893A"/>
    <w:rsid w:val="29150285"/>
    <w:rsid w:val="29770A9C"/>
    <w:rsid w:val="29DA9C55"/>
    <w:rsid w:val="2A09647B"/>
    <w:rsid w:val="2B19FD82"/>
    <w:rsid w:val="2B4078F7"/>
    <w:rsid w:val="2B4FD3B0"/>
    <w:rsid w:val="2B599EB2"/>
    <w:rsid w:val="2BB59406"/>
    <w:rsid w:val="2C07487C"/>
    <w:rsid w:val="2C1E92B3"/>
    <w:rsid w:val="2CA92E01"/>
    <w:rsid w:val="2CC4DD3B"/>
    <w:rsid w:val="2DD8FBAD"/>
    <w:rsid w:val="2DF8C97D"/>
    <w:rsid w:val="2E8830B9"/>
    <w:rsid w:val="2E8F8766"/>
    <w:rsid w:val="2EED0019"/>
    <w:rsid w:val="2F24EE47"/>
    <w:rsid w:val="2F5E125E"/>
    <w:rsid w:val="2F73FB62"/>
    <w:rsid w:val="2F7BC006"/>
    <w:rsid w:val="2FB79A7F"/>
    <w:rsid w:val="2FD5D81F"/>
    <w:rsid w:val="30DBC929"/>
    <w:rsid w:val="311D2C69"/>
    <w:rsid w:val="3128A9FF"/>
    <w:rsid w:val="31393774"/>
    <w:rsid w:val="3148FA99"/>
    <w:rsid w:val="323902E4"/>
    <w:rsid w:val="329EADB2"/>
    <w:rsid w:val="32AEFA85"/>
    <w:rsid w:val="32CFD982"/>
    <w:rsid w:val="341B4240"/>
    <w:rsid w:val="34A4F19B"/>
    <w:rsid w:val="355FAF48"/>
    <w:rsid w:val="3605605C"/>
    <w:rsid w:val="37A8B5AC"/>
    <w:rsid w:val="37ADC695"/>
    <w:rsid w:val="37DEAB1F"/>
    <w:rsid w:val="37FC2682"/>
    <w:rsid w:val="382217C4"/>
    <w:rsid w:val="383D06EB"/>
    <w:rsid w:val="390815EC"/>
    <w:rsid w:val="39B0F78E"/>
    <w:rsid w:val="3ACA5A42"/>
    <w:rsid w:val="3B03219E"/>
    <w:rsid w:val="3B637302"/>
    <w:rsid w:val="3BB1DB88"/>
    <w:rsid w:val="3CA5FD1B"/>
    <w:rsid w:val="3CAB0CD2"/>
    <w:rsid w:val="3CBFE2DF"/>
    <w:rsid w:val="3DB5CDDF"/>
    <w:rsid w:val="3E8AF36B"/>
    <w:rsid w:val="3F2E9898"/>
    <w:rsid w:val="3FE232BD"/>
    <w:rsid w:val="410ACBEF"/>
    <w:rsid w:val="4134C514"/>
    <w:rsid w:val="419A7265"/>
    <w:rsid w:val="41D80B84"/>
    <w:rsid w:val="41D95463"/>
    <w:rsid w:val="41E64AD8"/>
    <w:rsid w:val="42006D13"/>
    <w:rsid w:val="42114D70"/>
    <w:rsid w:val="426F9D4C"/>
    <w:rsid w:val="42BF88B6"/>
    <w:rsid w:val="43135BB3"/>
    <w:rsid w:val="432C1255"/>
    <w:rsid w:val="43408F96"/>
    <w:rsid w:val="439E5533"/>
    <w:rsid w:val="43D10F03"/>
    <w:rsid w:val="4417E577"/>
    <w:rsid w:val="447FD852"/>
    <w:rsid w:val="44AC4895"/>
    <w:rsid w:val="45267860"/>
    <w:rsid w:val="452B2F2A"/>
    <w:rsid w:val="45E58D40"/>
    <w:rsid w:val="4642D9E1"/>
    <w:rsid w:val="46D9FF98"/>
    <w:rsid w:val="4710A682"/>
    <w:rsid w:val="47602919"/>
    <w:rsid w:val="47CAF3FE"/>
    <w:rsid w:val="47FE6010"/>
    <w:rsid w:val="481E3D23"/>
    <w:rsid w:val="4905FF3A"/>
    <w:rsid w:val="494E174A"/>
    <w:rsid w:val="4971E5D1"/>
    <w:rsid w:val="49C6AD48"/>
    <w:rsid w:val="49F9D9C0"/>
    <w:rsid w:val="4A1F7DAB"/>
    <w:rsid w:val="4A22C9A4"/>
    <w:rsid w:val="4A78D994"/>
    <w:rsid w:val="4B539E47"/>
    <w:rsid w:val="4B57EE01"/>
    <w:rsid w:val="4B806C51"/>
    <w:rsid w:val="4BD4EA11"/>
    <w:rsid w:val="4C123370"/>
    <w:rsid w:val="4C7C321A"/>
    <w:rsid w:val="4C9FA595"/>
    <w:rsid w:val="4CB8503A"/>
    <w:rsid w:val="4D060A7F"/>
    <w:rsid w:val="4D286651"/>
    <w:rsid w:val="4E01FAE3"/>
    <w:rsid w:val="4E76DCF4"/>
    <w:rsid w:val="4E9A4A29"/>
    <w:rsid w:val="4EA57507"/>
    <w:rsid w:val="4EC07D3A"/>
    <w:rsid w:val="4F2BBE18"/>
    <w:rsid w:val="4F2E716D"/>
    <w:rsid w:val="4F38B3D6"/>
    <w:rsid w:val="4F46B0C6"/>
    <w:rsid w:val="4F795101"/>
    <w:rsid w:val="4FF216EB"/>
    <w:rsid w:val="50839587"/>
    <w:rsid w:val="50E90472"/>
    <w:rsid w:val="50F0E3A0"/>
    <w:rsid w:val="51091648"/>
    <w:rsid w:val="51C2AFC8"/>
    <w:rsid w:val="51C6D977"/>
    <w:rsid w:val="532931D7"/>
    <w:rsid w:val="53489404"/>
    <w:rsid w:val="53591082"/>
    <w:rsid w:val="53AD8E61"/>
    <w:rsid w:val="542ED80E"/>
    <w:rsid w:val="547F0F2A"/>
    <w:rsid w:val="54933F59"/>
    <w:rsid w:val="54C40619"/>
    <w:rsid w:val="54F1E92F"/>
    <w:rsid w:val="554FDAB9"/>
    <w:rsid w:val="55751E67"/>
    <w:rsid w:val="55959FC2"/>
    <w:rsid w:val="55DD8AA9"/>
    <w:rsid w:val="5801EC5E"/>
    <w:rsid w:val="5815FEB1"/>
    <w:rsid w:val="5832936B"/>
    <w:rsid w:val="592E9E46"/>
    <w:rsid w:val="597DE510"/>
    <w:rsid w:val="5A928DCD"/>
    <w:rsid w:val="5AAC9893"/>
    <w:rsid w:val="5AE8800A"/>
    <w:rsid w:val="5B2FF046"/>
    <w:rsid w:val="5B38EB21"/>
    <w:rsid w:val="5B63D083"/>
    <w:rsid w:val="5C3E9E5B"/>
    <w:rsid w:val="5CDB1C23"/>
    <w:rsid w:val="5CEB80EA"/>
    <w:rsid w:val="5D0ED73E"/>
    <w:rsid w:val="5DD1944F"/>
    <w:rsid w:val="5E62C1E9"/>
    <w:rsid w:val="5E9E93DE"/>
    <w:rsid w:val="5EBCFCE7"/>
    <w:rsid w:val="5F094DBB"/>
    <w:rsid w:val="601ECF61"/>
    <w:rsid w:val="611C4D39"/>
    <w:rsid w:val="61E9C45B"/>
    <w:rsid w:val="61F1A62E"/>
    <w:rsid w:val="6258ECCF"/>
    <w:rsid w:val="62644842"/>
    <w:rsid w:val="627A7D11"/>
    <w:rsid w:val="62C18596"/>
    <w:rsid w:val="62F3D2ED"/>
    <w:rsid w:val="630FB4F8"/>
    <w:rsid w:val="63807885"/>
    <w:rsid w:val="645DA952"/>
    <w:rsid w:val="64EC4174"/>
    <w:rsid w:val="656187EE"/>
    <w:rsid w:val="65BC90D9"/>
    <w:rsid w:val="65E8E0AE"/>
    <w:rsid w:val="65F12CCD"/>
    <w:rsid w:val="662770E6"/>
    <w:rsid w:val="667FA8F3"/>
    <w:rsid w:val="6681554E"/>
    <w:rsid w:val="670AB08F"/>
    <w:rsid w:val="67685AE7"/>
    <w:rsid w:val="67FC8129"/>
    <w:rsid w:val="68C6EF9D"/>
    <w:rsid w:val="68C93256"/>
    <w:rsid w:val="68D65145"/>
    <w:rsid w:val="696A6DD9"/>
    <w:rsid w:val="69DDD8C4"/>
    <w:rsid w:val="69F1AEAB"/>
    <w:rsid w:val="6B9DD2E4"/>
    <w:rsid w:val="6BDCB25A"/>
    <w:rsid w:val="6C024E6D"/>
    <w:rsid w:val="6CD2E42D"/>
    <w:rsid w:val="6D08F690"/>
    <w:rsid w:val="6D6DBA3A"/>
    <w:rsid w:val="6D9F27B7"/>
    <w:rsid w:val="6F19A64E"/>
    <w:rsid w:val="6F1B0B84"/>
    <w:rsid w:val="6F615E0B"/>
    <w:rsid w:val="70440615"/>
    <w:rsid w:val="7044AFE8"/>
    <w:rsid w:val="711FAF45"/>
    <w:rsid w:val="71A16C2B"/>
    <w:rsid w:val="71AEFBA7"/>
    <w:rsid w:val="7217D5AF"/>
    <w:rsid w:val="724D35EE"/>
    <w:rsid w:val="727F7C23"/>
    <w:rsid w:val="734813EC"/>
    <w:rsid w:val="73C607E1"/>
    <w:rsid w:val="73E68973"/>
    <w:rsid w:val="74141B80"/>
    <w:rsid w:val="741E6EA7"/>
    <w:rsid w:val="74CEC728"/>
    <w:rsid w:val="7532696B"/>
    <w:rsid w:val="755960A1"/>
    <w:rsid w:val="75ABF312"/>
    <w:rsid w:val="75D28B35"/>
    <w:rsid w:val="75FB9C3D"/>
    <w:rsid w:val="7660E754"/>
    <w:rsid w:val="767E651C"/>
    <w:rsid w:val="768DEF6E"/>
    <w:rsid w:val="76C69E62"/>
    <w:rsid w:val="76EAADC3"/>
    <w:rsid w:val="77537F96"/>
    <w:rsid w:val="7775A719"/>
    <w:rsid w:val="77AFACD1"/>
    <w:rsid w:val="77EAFCF1"/>
    <w:rsid w:val="7818CDB4"/>
    <w:rsid w:val="7818E10B"/>
    <w:rsid w:val="78A63F49"/>
    <w:rsid w:val="79038B4D"/>
    <w:rsid w:val="7950A3D8"/>
    <w:rsid w:val="795D0415"/>
    <w:rsid w:val="799D8230"/>
    <w:rsid w:val="79B913AA"/>
    <w:rsid w:val="7A3FAA54"/>
    <w:rsid w:val="7ABF2ECD"/>
    <w:rsid w:val="7B540265"/>
    <w:rsid w:val="7B7F25BB"/>
    <w:rsid w:val="7BCE0243"/>
    <w:rsid w:val="7D6E097A"/>
    <w:rsid w:val="7D84EDDC"/>
    <w:rsid w:val="7E058C9A"/>
    <w:rsid w:val="7F12EA9B"/>
    <w:rsid w:val="7F145A80"/>
    <w:rsid w:val="7F8E75E2"/>
    <w:rsid w:val="7FAEA21C"/>
    <w:rsid w:val="7FE4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0649E"/>
  <w15:chartTrackingRefBased/>
  <w15:docId w15:val="{700CA37E-7329-4996-B507-58933850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561"/>
    <w:pPr>
      <w:spacing w:after="24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Heading1">
    <w:name w:val="heading 1"/>
    <w:basedOn w:val="Normal"/>
    <w:next w:val="BodyText"/>
    <w:link w:val="Heading1Char"/>
    <w:qFormat/>
    <w:rsid w:val="004B1B0E"/>
    <w:pPr>
      <w:keepNext/>
      <w:pageBreakBefore/>
      <w:numPr>
        <w:numId w:val="1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link w:val="Heading2Char"/>
    <w:qFormat/>
    <w:rsid w:val="00C10C75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4B1B0E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link w:val="Heading4Char"/>
    <w:qFormat/>
    <w:rsid w:val="00C10C75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link w:val="Heading5Char"/>
    <w:qFormat/>
    <w:rsid w:val="00C10C75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link w:val="Heading6Char"/>
    <w:unhideWhenUsed/>
    <w:qFormat/>
    <w:rsid w:val="004B1B0E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link w:val="Heading7Char"/>
    <w:unhideWhenUsed/>
    <w:qFormat/>
    <w:rsid w:val="00C10C75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B0E"/>
    <w:rPr>
      <w:rFonts w:ascii="Arial" w:eastAsia="Times New Roman" w:hAnsi="Arial" w:cs="Arial"/>
      <w:b/>
      <w:kern w:val="28"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rsid w:val="004B1B0E"/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rsid w:val="004B1B0E"/>
    <w:rPr>
      <w:rFonts w:ascii="Arial" w:eastAsia="Times New Roman" w:hAnsi="Arial" w:cs="Arial"/>
      <w:b/>
      <w:kern w:val="28"/>
      <w:sz w:val="36"/>
      <w:szCs w:val="36"/>
      <w:lang w:eastAsia="en-AU"/>
    </w:rPr>
  </w:style>
  <w:style w:type="paragraph" w:styleId="BodyText">
    <w:name w:val="Body Text"/>
    <w:basedOn w:val="Normal"/>
    <w:link w:val="BodyTextChar"/>
    <w:rsid w:val="004B1B0E"/>
    <w:pPr>
      <w:numPr>
        <w:numId w:val="17"/>
      </w:numPr>
      <w:spacing w:before="200" w:after="0" w:line="300" w:lineRule="atLeast"/>
    </w:pPr>
    <w:rPr>
      <w:szCs w:val="22"/>
    </w:rPr>
  </w:style>
  <w:style w:type="character" w:customStyle="1" w:styleId="BodyTextChar">
    <w:name w:val="Body Text Char"/>
    <w:basedOn w:val="DefaultParagraphFont"/>
    <w:link w:val="BodyText"/>
    <w:rsid w:val="004B1B0E"/>
    <w:rPr>
      <w:rFonts w:ascii="Times New Roman" w:eastAsia="Times New Roman" w:hAnsi="Times New Roman" w:cs="Times New Roman"/>
      <w:lang w:eastAsia="en-AU"/>
    </w:rPr>
  </w:style>
  <w:style w:type="paragraph" w:styleId="Footer">
    <w:name w:val="footer"/>
    <w:basedOn w:val="Normal"/>
    <w:link w:val="FooterChar"/>
    <w:rsid w:val="004B1B0E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4B1B0E"/>
    <w:rPr>
      <w:rFonts w:ascii="Arial" w:eastAsia="Times New Roman" w:hAnsi="Arial" w:cs="Times New Roman"/>
      <w:sz w:val="16"/>
      <w:szCs w:val="16"/>
      <w:lang w:eastAsia="en-AU"/>
    </w:rPr>
  </w:style>
  <w:style w:type="character" w:styleId="PageNumber">
    <w:name w:val="page number"/>
    <w:basedOn w:val="DefaultParagraphFont"/>
    <w:rsid w:val="004B1B0E"/>
    <w:rPr>
      <w:b/>
      <w:sz w:val="20"/>
    </w:rPr>
  </w:style>
  <w:style w:type="paragraph" w:styleId="Header">
    <w:name w:val="header"/>
    <w:basedOn w:val="Normal"/>
    <w:link w:val="HeaderChar"/>
    <w:rsid w:val="004B1B0E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B1B0E"/>
    <w:rPr>
      <w:rFonts w:ascii="Arial" w:eastAsia="Times New Roman" w:hAnsi="Arial" w:cs="Arial"/>
      <w:caps/>
      <w:color w:val="008291"/>
      <w:sz w:val="16"/>
      <w:szCs w:val="16"/>
      <w:lang w:eastAsia="en-AU"/>
    </w:rPr>
  </w:style>
  <w:style w:type="paragraph" w:customStyle="1" w:styleId="Bodytextplain">
    <w:name w:val="Body text plain"/>
    <w:basedOn w:val="BodyText"/>
    <w:link w:val="BodytextplainChar"/>
    <w:rsid w:val="004B1B0E"/>
    <w:pPr>
      <w:numPr>
        <w:numId w:val="0"/>
      </w:numPr>
      <w:ind w:left="2268"/>
    </w:pPr>
  </w:style>
  <w:style w:type="paragraph" w:customStyle="1" w:styleId="subparaa">
    <w:name w:val="sub para (a)"/>
    <w:basedOn w:val="BodyText"/>
    <w:rsid w:val="004B1B0E"/>
    <w:pPr>
      <w:numPr>
        <w:ilvl w:val="1"/>
      </w:numPr>
      <w:spacing w:before="100"/>
    </w:pPr>
  </w:style>
  <w:style w:type="paragraph" w:customStyle="1" w:styleId="Feedbackquestion">
    <w:name w:val="Feedback question"/>
    <w:basedOn w:val="Normal"/>
    <w:rsid w:val="004B1B0E"/>
    <w:pPr>
      <w:keepLines/>
      <w:numPr>
        <w:ilvl w:val="4"/>
        <w:numId w:val="1"/>
      </w:numPr>
      <w:pBdr>
        <w:left w:val="single" w:sz="6" w:space="2" w:color="117DC7"/>
      </w:pBdr>
      <w:spacing w:before="100" w:after="0" w:line="260" w:lineRule="atLeast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4B1B0E"/>
    <w:pPr>
      <w:numPr>
        <w:ilvl w:val="5"/>
      </w:numPr>
    </w:pPr>
  </w:style>
  <w:style w:type="paragraph" w:customStyle="1" w:styleId="subsubparai">
    <w:name w:val="sub sub para (i)"/>
    <w:basedOn w:val="subparaa"/>
    <w:rsid w:val="004B1B0E"/>
    <w:pPr>
      <w:numPr>
        <w:ilvl w:val="2"/>
      </w:numPr>
    </w:pPr>
  </w:style>
  <w:style w:type="paragraph" w:customStyle="1" w:styleId="Proposaltext">
    <w:name w:val="Proposal text"/>
    <w:basedOn w:val="Bodytextplain"/>
    <w:rsid w:val="004B1B0E"/>
    <w:pPr>
      <w:numPr>
        <w:ilvl w:val="1"/>
        <w:numId w:val="1"/>
      </w:numPr>
      <w:tabs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4B1B0E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4B1B0E"/>
    <w:pPr>
      <w:numPr>
        <w:ilvl w:val="3"/>
      </w:numPr>
      <w:spacing w:before="100"/>
    </w:pPr>
  </w:style>
  <w:style w:type="paragraph" w:customStyle="1" w:styleId="sub3paraA">
    <w:name w:val="sub3para (A)"/>
    <w:basedOn w:val="subsubparai"/>
    <w:qFormat/>
    <w:rsid w:val="004B1B0E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4B1B0E"/>
    <w:pPr>
      <w:numPr>
        <w:ilvl w:val="4"/>
      </w:numPr>
    </w:pPr>
  </w:style>
  <w:style w:type="paragraph" w:customStyle="1" w:styleId="Feedbacksubsubquestion">
    <w:name w:val="Feedback subsubquestion"/>
    <w:basedOn w:val="Feedbacksubquestion"/>
    <w:qFormat/>
    <w:rsid w:val="004B1B0E"/>
    <w:pPr>
      <w:numPr>
        <w:ilvl w:val="6"/>
      </w:numPr>
    </w:pPr>
  </w:style>
  <w:style w:type="paragraph" w:styleId="ListParagraph">
    <w:name w:val="List Paragraph"/>
    <w:aliases w:val="List Paragraph1,Footnote Sam,Issue Action POC,3,POCG Table Text,Dot pt,F5 List Paragraph,List Paragraph Char Char Char,Indicator Text,Colorful List - Accent 11,Numbered Para 1,Bullet 1,Bullet Points,List Paragraph2,MAIN CONTENT"/>
    <w:basedOn w:val="Normal"/>
    <w:uiPriority w:val="34"/>
    <w:qFormat/>
    <w:rsid w:val="004B1B0E"/>
    <w:pPr>
      <w:ind w:left="720"/>
      <w:contextualSpacing/>
    </w:pPr>
  </w:style>
  <w:style w:type="paragraph" w:customStyle="1" w:styleId="LI-BodyTextParaa">
    <w:name w:val="LI - Body Text Para (a)"/>
    <w:basedOn w:val="Normal"/>
    <w:link w:val="LI-BodyTextParaaChar"/>
    <w:rsid w:val="00054C4D"/>
    <w:pPr>
      <w:spacing w:before="240" w:after="0"/>
      <w:ind w:left="1701" w:hanging="567"/>
    </w:pPr>
    <w:rPr>
      <w:sz w:val="24"/>
      <w:szCs w:val="24"/>
    </w:rPr>
  </w:style>
  <w:style w:type="character" w:customStyle="1" w:styleId="LI-BodyTextParaaChar">
    <w:name w:val="LI - Body Text Para (a) Char"/>
    <w:link w:val="LI-BodyTextParaa"/>
    <w:rsid w:val="00054C4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Normal"/>
    <w:link w:val="LI-BodyTextNumberedChar"/>
    <w:qFormat/>
    <w:rsid w:val="00B57DE1"/>
    <w:pPr>
      <w:spacing w:before="240" w:after="0"/>
      <w:ind w:left="1134" w:hanging="567"/>
    </w:pPr>
    <w:rPr>
      <w:sz w:val="24"/>
      <w:szCs w:val="24"/>
    </w:rPr>
  </w:style>
  <w:style w:type="character" w:customStyle="1" w:styleId="LI-BodyTextNumberedChar">
    <w:name w:val="LI - Body Text Numbered Char"/>
    <w:link w:val="LI-BodyTextNumbered"/>
    <w:rsid w:val="00B57DE1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7B6EE4"/>
    <w:pPr>
      <w:spacing w:before="240" w:after="0"/>
      <w:ind w:left="1134"/>
    </w:pPr>
    <w:rPr>
      <w:sz w:val="24"/>
    </w:rPr>
  </w:style>
  <w:style w:type="character" w:customStyle="1" w:styleId="LI-BodyTextUnnumberedChar">
    <w:name w:val="LI - Body Text Unnumbered Char"/>
    <w:link w:val="LI-BodyTextUnnumbered"/>
    <w:rsid w:val="007B6EE4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CommentText">
    <w:name w:val="annotation text"/>
    <w:basedOn w:val="Normal"/>
    <w:link w:val="CommentTextChar"/>
    <w:unhideWhenUsed/>
    <w:rsid w:val="00E474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47475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semiHidden/>
    <w:unhideWhenUsed/>
    <w:rsid w:val="00E47475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E474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7475"/>
    <w:rPr>
      <w:rFonts w:ascii="Segoe UI" w:eastAsia="Times New Roman" w:hAnsi="Segoe UI" w:cs="Segoe UI"/>
      <w:sz w:val="18"/>
      <w:szCs w:val="18"/>
      <w:lang w:eastAsia="en-AU"/>
    </w:rPr>
  </w:style>
  <w:style w:type="paragraph" w:customStyle="1" w:styleId="LI-SectionNote">
    <w:name w:val="LI - Section Note"/>
    <w:basedOn w:val="Normal"/>
    <w:link w:val="LI-SectionNoteChar"/>
    <w:qFormat/>
    <w:rsid w:val="00E47475"/>
    <w:pPr>
      <w:spacing w:before="240" w:after="0"/>
      <w:ind w:left="2835" w:hanging="567"/>
    </w:pPr>
    <w:rPr>
      <w:sz w:val="18"/>
    </w:rPr>
  </w:style>
  <w:style w:type="character" w:customStyle="1" w:styleId="LI-SectionNoteChar">
    <w:name w:val="LI - Section Note Char"/>
    <w:basedOn w:val="DefaultParagraphFont"/>
    <w:link w:val="LI-SectionNote"/>
    <w:rsid w:val="00E47475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EA2AEF"/>
    <w:pPr>
      <w:keepNext/>
      <w:keepLines/>
      <w:spacing w:before="360" w:after="0"/>
      <w:ind w:left="567" w:hanging="567"/>
      <w:outlineLvl w:val="1"/>
    </w:pPr>
    <w:rPr>
      <w:b/>
      <w:kern w:val="28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39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CharAmPartNo">
    <w:name w:val="CharAmPartNo"/>
    <w:basedOn w:val="DefaultParagraphFont"/>
    <w:uiPriority w:val="1"/>
    <w:semiHidden/>
    <w:qFormat/>
    <w:rsid w:val="00952E1A"/>
  </w:style>
  <w:style w:type="paragraph" w:customStyle="1" w:styleId="TLPNotebullet">
    <w:name w:val="TLPNote(bullet)"/>
    <w:basedOn w:val="Normal"/>
    <w:semiHidden/>
    <w:rsid w:val="00952E1A"/>
    <w:pPr>
      <w:numPr>
        <w:numId w:val="4"/>
      </w:numPr>
      <w:tabs>
        <w:tab w:val="left" w:pos="357"/>
      </w:tabs>
      <w:spacing w:before="60" w:after="0" w:line="198" w:lineRule="exact"/>
    </w:pPr>
    <w:rPr>
      <w:sz w:val="18"/>
    </w:rPr>
  </w:style>
  <w:style w:type="character" w:styleId="Hyperlink">
    <w:name w:val="Hyperlink"/>
    <w:uiPriority w:val="99"/>
    <w:rsid w:val="00416DE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F7E2B"/>
    <w:pPr>
      <w:overflowPunct w:val="0"/>
      <w:autoSpaceDE w:val="0"/>
      <w:autoSpaceDN w:val="0"/>
      <w:adjustRightInd w:val="0"/>
      <w:spacing w:after="0"/>
      <w:textAlignment w:val="baseline"/>
    </w:pPr>
    <w:rPr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7E2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E2B"/>
    <w:rPr>
      <w:vertAlign w:val="superscript"/>
    </w:rPr>
  </w:style>
  <w:style w:type="table" w:styleId="GridTable4-Accent5">
    <w:name w:val="Grid Table 4 Accent 5"/>
    <w:basedOn w:val="TableNormal"/>
    <w:uiPriority w:val="49"/>
    <w:rsid w:val="00CF7E2B"/>
    <w:pPr>
      <w:spacing w:after="0" w:line="240" w:lineRule="auto"/>
    </w:pPr>
    <w:rPr>
      <w:rFonts w:ascii="Calibri" w:hAnsi="Calibri"/>
      <w:sz w:val="24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sion">
    <w:name w:val="Revision"/>
    <w:hidden/>
    <w:uiPriority w:val="99"/>
    <w:semiHidden/>
    <w:rsid w:val="007828F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tbltext">
    <w:name w:val="tbl text"/>
    <w:basedOn w:val="Normal"/>
    <w:link w:val="tbltextChar"/>
    <w:rsid w:val="00FC7F5B"/>
    <w:pPr>
      <w:widowControl w:val="0"/>
      <w:spacing w:before="120" w:after="0" w:line="240" w:lineRule="atLeast"/>
    </w:pPr>
    <w:rPr>
      <w:rFonts w:ascii="Arial" w:hAnsi="Arial" w:cs="Arial"/>
      <w:sz w:val="18"/>
      <w:szCs w:val="18"/>
    </w:rPr>
  </w:style>
  <w:style w:type="paragraph" w:customStyle="1" w:styleId="tablehead">
    <w:name w:val="table head"/>
    <w:basedOn w:val="Normal"/>
    <w:rsid w:val="00FC7F5B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C10C75"/>
    <w:rPr>
      <w:rFonts w:ascii="Arial" w:eastAsia="Times New Roman" w:hAnsi="Arial" w:cs="Arial"/>
      <w:b/>
      <w:sz w:val="28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rsid w:val="00C10C75"/>
    <w:rPr>
      <w:rFonts w:ascii="Arial" w:eastAsia="Times New Roman" w:hAnsi="Arial" w:cs="Arial"/>
      <w:b/>
      <w:sz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C10C75"/>
    <w:rPr>
      <w:rFonts w:ascii="Arial" w:eastAsia="Times New Roman" w:hAnsi="Arial" w:cs="Arial"/>
      <w:i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C10C75"/>
    <w:rPr>
      <w:rFonts w:ascii="Arial" w:eastAsia="Times New Roman" w:hAnsi="Arial" w:cs="Arial"/>
      <w:b/>
      <w:sz w:val="28"/>
      <w:szCs w:val="28"/>
      <w:lang w:eastAsia="en-AU"/>
    </w:rPr>
  </w:style>
  <w:style w:type="paragraph" w:customStyle="1" w:styleId="sourcenotefullwidth">
    <w:name w:val="source note full width"/>
    <w:rsid w:val="00C10C75"/>
    <w:pPr>
      <w:spacing w:before="120" w:after="0" w:line="240" w:lineRule="auto"/>
    </w:pPr>
    <w:rPr>
      <w:rFonts w:ascii="Arial" w:eastAsia="Times New Roman" w:hAnsi="Arial" w:cs="Times New Roman"/>
      <w:sz w:val="16"/>
      <w:lang w:eastAsia="en-AU"/>
    </w:rPr>
  </w:style>
  <w:style w:type="paragraph" w:styleId="ListBullet">
    <w:name w:val="List Bullet"/>
    <w:basedOn w:val="Normal"/>
    <w:rsid w:val="00C10C75"/>
    <w:pPr>
      <w:numPr>
        <w:numId w:val="9"/>
      </w:numPr>
      <w:tabs>
        <w:tab w:val="num" w:pos="2694"/>
      </w:tabs>
      <w:spacing w:before="100" w:after="0" w:line="300" w:lineRule="atLeast"/>
    </w:pPr>
    <w:rPr>
      <w:szCs w:val="22"/>
    </w:rPr>
  </w:style>
  <w:style w:type="paragraph" w:customStyle="1" w:styleId="figuretitleindented">
    <w:name w:val="figure title indented"/>
    <w:basedOn w:val="figuretitlefullwidth"/>
    <w:rsid w:val="00C10C75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C10C75"/>
    <w:rPr>
      <w:szCs w:val="22"/>
    </w:rPr>
  </w:style>
  <w:style w:type="paragraph" w:customStyle="1" w:styleId="tabletitlefullwidth">
    <w:name w:val="table title full width"/>
    <w:basedOn w:val="Normal"/>
    <w:rsid w:val="00C10C75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C10C75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styleId="ListBullet2">
    <w:name w:val="List Bullet 2"/>
    <w:basedOn w:val="Normal"/>
    <w:rsid w:val="00C10C75"/>
    <w:pPr>
      <w:numPr>
        <w:numId w:val="13"/>
      </w:numPr>
      <w:tabs>
        <w:tab w:val="left" w:pos="3119"/>
      </w:tabs>
      <w:spacing w:before="100" w:after="0" w:line="300" w:lineRule="atLeast"/>
    </w:pPr>
  </w:style>
  <w:style w:type="paragraph" w:customStyle="1" w:styleId="tablebullet">
    <w:name w:val="table bullet"/>
    <w:basedOn w:val="Normal"/>
    <w:rsid w:val="00C10C75"/>
    <w:pPr>
      <w:widowControl w:val="0"/>
      <w:numPr>
        <w:numId w:val="8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TOC1">
    <w:name w:val="toc 1"/>
    <w:basedOn w:val="Normal"/>
    <w:next w:val="Normal"/>
    <w:autoRedefine/>
    <w:uiPriority w:val="39"/>
    <w:rsid w:val="00C10C75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C10C75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C10C75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C10C75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tabletitleindented">
    <w:name w:val="table title indented"/>
    <w:basedOn w:val="tabletitlefullwidth"/>
    <w:rsid w:val="00C10C75"/>
    <w:pPr>
      <w:ind w:left="3260"/>
    </w:pPr>
  </w:style>
  <w:style w:type="paragraph" w:customStyle="1" w:styleId="tabledash">
    <w:name w:val="table dash"/>
    <w:basedOn w:val="tablebullet"/>
    <w:rsid w:val="00C10C75"/>
    <w:pPr>
      <w:numPr>
        <w:numId w:val="10"/>
      </w:numPr>
    </w:pPr>
  </w:style>
  <w:style w:type="paragraph" w:customStyle="1" w:styleId="Tablebody">
    <w:name w:val="Table body"/>
    <w:basedOn w:val="Normal"/>
    <w:semiHidden/>
    <w:rsid w:val="00C10C75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C10C75"/>
    <w:pPr>
      <w:keepNext w:val="0"/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C10C75"/>
    <w:pPr>
      <w:keepNext/>
      <w:pBdr>
        <w:top w:val="single" w:sz="6" w:space="1" w:color="0072CE"/>
        <w:left w:val="single" w:sz="6" w:space="4" w:color="0072CE"/>
        <w:bottom w:val="single" w:sz="6" w:space="3" w:color="0072CE"/>
        <w:right w:val="single" w:sz="6" w:space="4" w:color="0072CE"/>
      </w:pBdr>
      <w:shd w:val="clear" w:color="auto" w:fill="0072CE"/>
      <w:spacing w:before="24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C10C75"/>
    <w:rPr>
      <w:b w:val="0"/>
    </w:rPr>
  </w:style>
  <w:style w:type="paragraph" w:customStyle="1" w:styleId="KPbullet">
    <w:name w:val="KP bullet"/>
    <w:basedOn w:val="KPtext"/>
    <w:rsid w:val="00C10C75"/>
    <w:pPr>
      <w:numPr>
        <w:numId w:val="11"/>
      </w:numPr>
      <w:tabs>
        <w:tab w:val="left" w:pos="2665"/>
      </w:tabs>
      <w:spacing w:before="100"/>
    </w:pPr>
  </w:style>
  <w:style w:type="paragraph" w:customStyle="1" w:styleId="Note">
    <w:name w:val="Note"/>
    <w:basedOn w:val="BodyText"/>
    <w:next w:val="BodyText"/>
    <w:rsid w:val="00C10C75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Feedbackhead">
    <w:name w:val="Feedback head"/>
    <w:basedOn w:val="KPhead"/>
    <w:next w:val="Feedbackquestion"/>
    <w:rsid w:val="00C10C75"/>
    <w:pPr>
      <w:pBdr>
        <w:left w:val="single" w:sz="6" w:space="2" w:color="0072CE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DescriptorRG">
    <w:name w:val="Descriptor RG"/>
    <w:basedOn w:val="Normal"/>
    <w:next w:val="Normal"/>
    <w:rsid w:val="00C10C75"/>
    <w:pPr>
      <w:pBdr>
        <w:top w:val="single" w:sz="4" w:space="4" w:color="0072CE"/>
        <w:left w:val="single" w:sz="4" w:space="4" w:color="0072CE"/>
        <w:bottom w:val="single" w:sz="4" w:space="4" w:color="0072CE"/>
        <w:right w:val="single" w:sz="4" w:space="4" w:color="0072CE"/>
      </w:pBdr>
      <w:shd w:val="clear" w:color="auto" w:fill="0072CE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DescriptorCP">
    <w:name w:val="Descriptor CP"/>
    <w:basedOn w:val="DescriptorRG"/>
    <w:next w:val="Normal"/>
    <w:rsid w:val="00C10C75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text">
    <w:name w:val="Front text"/>
    <w:basedOn w:val="Bodytextplain"/>
    <w:rsid w:val="00C10C75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Frontbullet">
    <w:name w:val="Front bullet"/>
    <w:basedOn w:val="Fronttext"/>
    <w:rsid w:val="00C10C75"/>
    <w:pPr>
      <w:numPr>
        <w:ilvl w:val="5"/>
        <w:numId w:val="12"/>
      </w:numPr>
      <w:spacing w:before="120"/>
    </w:pPr>
  </w:style>
  <w:style w:type="paragraph" w:customStyle="1" w:styleId="Frontheading">
    <w:name w:val="Front heading"/>
    <w:basedOn w:val="Heading3"/>
    <w:next w:val="Fronttext"/>
    <w:rsid w:val="00C10C75"/>
    <w:pPr>
      <w:outlineLvl w:val="0"/>
    </w:pPr>
  </w:style>
  <w:style w:type="paragraph" w:customStyle="1" w:styleId="Blockquote">
    <w:name w:val="Block quote"/>
    <w:basedOn w:val="Bodytextplain"/>
    <w:rsid w:val="00C10C75"/>
    <w:pPr>
      <w:spacing w:before="100" w:line="240" w:lineRule="auto"/>
      <w:ind w:left="2693"/>
    </w:pPr>
    <w:rPr>
      <w:sz w:val="21"/>
      <w:szCs w:val="21"/>
    </w:rPr>
  </w:style>
  <w:style w:type="paragraph" w:customStyle="1" w:styleId="Proposalhead">
    <w:name w:val="Proposal head"/>
    <w:basedOn w:val="Bodytextplain"/>
    <w:next w:val="Proposaltext"/>
    <w:rsid w:val="00C10C75"/>
    <w:pPr>
      <w:keepNext/>
      <w:pBdr>
        <w:top w:val="single" w:sz="18" w:space="1" w:color="0072CE"/>
        <w:left w:val="single" w:sz="4" w:space="4" w:color="0072CE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note">
    <w:name w:val="Proposal note"/>
    <w:basedOn w:val="Note"/>
    <w:rsid w:val="00C10C75"/>
    <w:pPr>
      <w:spacing w:before="100"/>
      <w:ind w:left="3119"/>
    </w:pPr>
    <w:rPr>
      <w:rFonts w:ascii="Arial" w:hAnsi="Arial" w:cs="Arial"/>
      <w:sz w:val="16"/>
      <w:szCs w:val="16"/>
    </w:rPr>
  </w:style>
  <w:style w:type="paragraph" w:customStyle="1" w:styleId="boxbullet">
    <w:name w:val="box bullet"/>
    <w:basedOn w:val="Frontbullet"/>
    <w:rsid w:val="00C10C75"/>
    <w:pPr>
      <w:numPr>
        <w:ilvl w:val="0"/>
        <w:numId w:val="14"/>
      </w:numPr>
      <w:spacing w:before="60"/>
    </w:pPr>
  </w:style>
  <w:style w:type="paragraph" w:customStyle="1" w:styleId="boxtext">
    <w:name w:val="box text"/>
    <w:basedOn w:val="Fronttext"/>
    <w:rsid w:val="00C10C75"/>
    <w:pPr>
      <w:spacing w:before="120"/>
      <w:ind w:left="0"/>
    </w:pPr>
  </w:style>
  <w:style w:type="paragraph" w:customStyle="1" w:styleId="sourcenoteindented">
    <w:name w:val="source note indented"/>
    <w:basedOn w:val="sourcenotefullwidth"/>
    <w:qFormat/>
    <w:rsid w:val="00C10C75"/>
    <w:pPr>
      <w:ind w:left="2268"/>
    </w:pPr>
  </w:style>
  <w:style w:type="paragraph" w:customStyle="1" w:styleId="tblnote">
    <w:name w:val="tbl note"/>
    <w:basedOn w:val="sourcenotefullwidth"/>
    <w:next w:val="tbltext"/>
    <w:qFormat/>
    <w:rsid w:val="00C10C75"/>
    <w:pPr>
      <w:ind w:left="170"/>
    </w:pPr>
  </w:style>
  <w:style w:type="paragraph" w:customStyle="1" w:styleId="tblProposalsubpara">
    <w:name w:val="tbl Proposal sub para"/>
    <w:basedOn w:val="tbltext"/>
    <w:qFormat/>
    <w:rsid w:val="00C10C75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C10C75"/>
    <w:pPr>
      <w:ind w:left="1310" w:hanging="425"/>
    </w:pPr>
  </w:style>
  <w:style w:type="paragraph" w:customStyle="1" w:styleId="tblProposaltext">
    <w:name w:val="tbl Proposal text"/>
    <w:basedOn w:val="tbltext"/>
    <w:qFormat/>
    <w:rsid w:val="00C10C75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C10C75"/>
    <w:pPr>
      <w:ind w:left="425"/>
    </w:pPr>
  </w:style>
  <w:style w:type="paragraph" w:customStyle="1" w:styleId="tblFeedbackquestion">
    <w:name w:val="tbl Feedback question"/>
    <w:basedOn w:val="Proposaltext"/>
    <w:qFormat/>
    <w:rsid w:val="00C10C75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C10C75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C10C75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C10C75"/>
    <w:pPr>
      <w:ind w:left="1304" w:hanging="340"/>
    </w:pPr>
  </w:style>
  <w:style w:type="paragraph" w:customStyle="1" w:styleId="TOCHeading1">
    <w:name w:val="TOC Heading1"/>
    <w:basedOn w:val="Heading1"/>
    <w:next w:val="Normal"/>
    <w:uiPriority w:val="39"/>
    <w:qFormat/>
    <w:rsid w:val="00C10C75"/>
    <w:pPr>
      <w:numPr>
        <w:numId w:val="0"/>
      </w:numPr>
      <w:spacing w:before="200" w:after="720" w:line="240" w:lineRule="auto"/>
    </w:pPr>
    <w:rPr>
      <w:kern w:val="0"/>
    </w:rPr>
  </w:style>
  <w:style w:type="paragraph" w:customStyle="1" w:styleId="Heading1nonumber">
    <w:name w:val="Heading 1 no number"/>
    <w:basedOn w:val="Heading1"/>
    <w:next w:val="Bodytextplain"/>
    <w:rsid w:val="00C10C75"/>
    <w:pPr>
      <w:numPr>
        <w:numId w:val="0"/>
      </w:numPr>
      <w:spacing w:after="720"/>
    </w:pPr>
  </w:style>
  <w:style w:type="paragraph" w:customStyle="1" w:styleId="Heading2noToC">
    <w:name w:val="Heading 2 no ToC"/>
    <w:basedOn w:val="Bodytextplain"/>
    <w:next w:val="Bodytextplain"/>
    <w:rsid w:val="00C10C75"/>
    <w:pPr>
      <w:keepNext/>
      <w:spacing w:before="720" w:line="280" w:lineRule="atLeast"/>
      <w:ind w:left="0"/>
      <w:outlineLvl w:val="1"/>
    </w:pPr>
    <w:rPr>
      <w:rFonts w:ascii="Arial" w:hAnsi="Arial" w:cs="Arial"/>
      <w:b/>
      <w:sz w:val="28"/>
      <w:szCs w:val="28"/>
    </w:rPr>
  </w:style>
  <w:style w:type="paragraph" w:customStyle="1" w:styleId="Heading2indented">
    <w:name w:val="Heading 2 indented"/>
    <w:basedOn w:val="Normal"/>
    <w:next w:val="Bodytextplain"/>
    <w:qFormat/>
    <w:rsid w:val="00C10C75"/>
    <w:pPr>
      <w:keepNext/>
      <w:spacing w:before="400" w:after="0" w:line="280" w:lineRule="atLeast"/>
      <w:ind w:left="2268"/>
      <w:outlineLvl w:val="1"/>
    </w:pPr>
    <w:rPr>
      <w:rFonts w:ascii="Arial" w:hAnsi="Arial" w:cs="Arial"/>
      <w:b/>
      <w:sz w:val="24"/>
      <w:szCs w:val="24"/>
    </w:rPr>
  </w:style>
  <w:style w:type="paragraph" w:customStyle="1" w:styleId="Frontmatternote">
    <w:name w:val="Front matter note"/>
    <w:basedOn w:val="tblnote"/>
    <w:qFormat/>
    <w:rsid w:val="00C10C75"/>
    <w:pPr>
      <w:spacing w:before="200"/>
      <w:ind w:left="2693"/>
    </w:pPr>
  </w:style>
  <w:style w:type="paragraph" w:customStyle="1" w:styleId="Responsehead">
    <w:name w:val="Response head"/>
    <w:basedOn w:val="Feedbackhead"/>
    <w:next w:val="Responsetext"/>
    <w:qFormat/>
    <w:rsid w:val="00C10C75"/>
    <w:pPr>
      <w:spacing w:before="400"/>
      <w:ind w:right="4309"/>
    </w:pPr>
  </w:style>
  <w:style w:type="paragraph" w:customStyle="1" w:styleId="Responsetext">
    <w:name w:val="Response text"/>
    <w:basedOn w:val="Responsehead"/>
    <w:qFormat/>
    <w:rsid w:val="00C10C75"/>
    <w:pPr>
      <w:keepNext w:val="0"/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Responsebullet">
    <w:name w:val="Response bullet"/>
    <w:basedOn w:val="Responsetext"/>
    <w:qFormat/>
    <w:rsid w:val="00C10C75"/>
    <w:pPr>
      <w:numPr>
        <w:numId w:val="15"/>
      </w:numPr>
      <w:ind w:left="3572" w:hanging="340"/>
    </w:pPr>
  </w:style>
  <w:style w:type="paragraph" w:customStyle="1" w:styleId="tabletext">
    <w:name w:val="table text"/>
    <w:basedOn w:val="tablehead"/>
    <w:rsid w:val="00C10C75"/>
    <w:pPr>
      <w:keepNext w:val="0"/>
    </w:pPr>
    <w:rPr>
      <w:b w:val="0"/>
    </w:rPr>
  </w:style>
  <w:style w:type="paragraph" w:customStyle="1" w:styleId="StyleDescriptorRGBoldCustomColorRGB17125199">
    <w:name w:val="Style Descriptor RG + Bold Custom Color(RGB(17125199))"/>
    <w:basedOn w:val="DescriptorRG"/>
    <w:rsid w:val="00C10C75"/>
    <w:pPr>
      <w:shd w:val="clear" w:color="auto" w:fill="auto"/>
    </w:pPr>
    <w:rPr>
      <w:b/>
      <w:bCs/>
      <w:color w:val="0072CE"/>
    </w:rPr>
  </w:style>
  <w:style w:type="character" w:customStyle="1" w:styleId="tbltextChar">
    <w:name w:val="tbl text Char"/>
    <w:basedOn w:val="DefaultParagraphFont"/>
    <w:link w:val="tbltext"/>
    <w:rsid w:val="00C10C75"/>
    <w:rPr>
      <w:rFonts w:ascii="Arial" w:eastAsia="Times New Roman" w:hAnsi="Arial" w:cs="Arial"/>
      <w:sz w:val="18"/>
      <w:szCs w:val="18"/>
      <w:lang w:eastAsia="en-AU"/>
    </w:rPr>
  </w:style>
  <w:style w:type="character" w:customStyle="1" w:styleId="BodytextplainChar">
    <w:name w:val="Body text plain Char"/>
    <w:basedOn w:val="DefaultParagraphFont"/>
    <w:link w:val="Bodytextplain"/>
    <w:rsid w:val="00C10C75"/>
    <w:rPr>
      <w:rFonts w:ascii="Times New Roman" w:eastAsia="Times New Roman" w:hAnsi="Times New Roman" w:cs="Times New Roman"/>
      <w:lang w:eastAsia="en-AU"/>
    </w:rPr>
  </w:style>
  <w:style w:type="paragraph" w:customStyle="1" w:styleId="Default">
    <w:name w:val="Default"/>
    <w:rsid w:val="00C10C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C10C75"/>
    <w:pPr>
      <w:spacing w:after="0" w:line="240" w:lineRule="auto"/>
    </w:pPr>
    <w:rPr>
      <w:rFonts w:ascii="Calibri" w:hAnsi="Calibri"/>
      <w:sz w:val="24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5Dark-Accent11">
    <w:name w:val="Grid Table 5 Dark - Accent 11"/>
    <w:basedOn w:val="TableNormal"/>
    <w:next w:val="GridTable5Dark-Accent1"/>
    <w:uiPriority w:val="50"/>
    <w:rsid w:val="00C10C75"/>
    <w:pPr>
      <w:spacing w:after="0" w:line="240" w:lineRule="auto"/>
    </w:pPr>
    <w:rPr>
      <w:rFonts w:ascii="Calibri" w:hAnsi="Calibri"/>
      <w:sz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10C75"/>
    <w:rPr>
      <w:color w:val="605E5C"/>
      <w:shd w:val="clear" w:color="auto" w:fill="E1DFDD"/>
    </w:rPr>
  </w:style>
  <w:style w:type="table" w:customStyle="1" w:styleId="GridTable5Dark-Accent111">
    <w:name w:val="Grid Table 5 Dark - Accent 111"/>
    <w:basedOn w:val="TableNormal"/>
    <w:next w:val="GridTable5Dark-Accent1"/>
    <w:uiPriority w:val="50"/>
    <w:rsid w:val="00C10C75"/>
    <w:pPr>
      <w:spacing w:after="0" w:line="240" w:lineRule="auto"/>
    </w:pPr>
    <w:rPr>
      <w:rFonts w:ascii="Calibri" w:eastAsia="Calibri" w:hAnsi="Calibri" w:cs="Times New Roman"/>
      <w:sz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C10C75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0C75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C10C75"/>
    <w:rPr>
      <w:vertAlign w:val="superscript"/>
    </w:rPr>
  </w:style>
  <w:style w:type="paragraph" w:customStyle="1" w:styleId="PIONHeading1">
    <w:name w:val="PION Heading 1"/>
    <w:basedOn w:val="Bodytextplain"/>
    <w:qFormat/>
    <w:rsid w:val="00C10C75"/>
    <w:pPr>
      <w:spacing w:after="480"/>
      <w:ind w:left="0"/>
      <w:jc w:val="center"/>
    </w:pPr>
    <w:rPr>
      <w:b/>
      <w:i/>
    </w:rPr>
  </w:style>
  <w:style w:type="paragraph" w:customStyle="1" w:styleId="PIONtitle">
    <w:name w:val="PION title"/>
    <w:basedOn w:val="Bodytextplain"/>
    <w:qFormat/>
    <w:rsid w:val="00C10C75"/>
    <w:pPr>
      <w:ind w:left="0"/>
      <w:jc w:val="center"/>
    </w:pPr>
    <w:rPr>
      <w:b/>
    </w:rPr>
  </w:style>
  <w:style w:type="paragraph" w:customStyle="1" w:styleId="PIONHeading2">
    <w:name w:val="PION Heading 2"/>
    <w:basedOn w:val="Bodytextplain"/>
    <w:qFormat/>
    <w:rsid w:val="00C10C75"/>
    <w:pPr>
      <w:spacing w:before="0"/>
      <w:ind w:left="0"/>
    </w:pPr>
  </w:style>
  <w:style w:type="paragraph" w:customStyle="1" w:styleId="PIONHeading3">
    <w:name w:val="PION Heading 3"/>
    <w:basedOn w:val="Bodytextplain"/>
    <w:qFormat/>
    <w:rsid w:val="00C10C75"/>
    <w:pPr>
      <w:ind w:left="0"/>
    </w:pPr>
    <w:rPr>
      <w:i/>
    </w:rPr>
  </w:style>
  <w:style w:type="paragraph" w:customStyle="1" w:styleId="PIONsubsubpara">
    <w:name w:val="PION sub subpara"/>
    <w:basedOn w:val="Bodytextplain"/>
    <w:qFormat/>
    <w:rsid w:val="00C10C75"/>
    <w:pPr>
      <w:ind w:left="0"/>
    </w:p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10C75"/>
    <w:rPr>
      <w:color w:val="800080"/>
      <w:u w:val="single"/>
    </w:rPr>
  </w:style>
  <w:style w:type="table" w:styleId="GridTable4-Accent1">
    <w:name w:val="Grid Table 4 Accent 1"/>
    <w:basedOn w:val="TableNormal"/>
    <w:uiPriority w:val="49"/>
    <w:rsid w:val="00C10C7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C10C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10C75"/>
    <w:rPr>
      <w:color w:val="954F72" w:themeColor="followedHyperlink"/>
      <w:u w:val="single"/>
    </w:rPr>
  </w:style>
  <w:style w:type="paragraph" w:customStyle="1" w:styleId="li-bodytextparaa0">
    <w:name w:val="li-bodytextparaa"/>
    <w:basedOn w:val="Normal"/>
    <w:rsid w:val="00141ECF"/>
    <w:pPr>
      <w:spacing w:before="100" w:beforeAutospacing="1" w:after="100" w:afterAutospacing="1"/>
    </w:pPr>
    <w:rPr>
      <w:sz w:val="24"/>
      <w:szCs w:val="24"/>
    </w:rPr>
  </w:style>
  <w:style w:type="paragraph" w:customStyle="1" w:styleId="LI-Title">
    <w:name w:val="LI - Title"/>
    <w:basedOn w:val="Normal"/>
    <w:next w:val="Normal"/>
    <w:qFormat/>
    <w:rsid w:val="00CD7AF4"/>
    <w:pPr>
      <w:pBdr>
        <w:top w:val="single" w:sz="4" w:space="1" w:color="auto"/>
      </w:pBdr>
      <w:spacing w:after="0"/>
    </w:pPr>
    <w:rPr>
      <w:b/>
      <w:sz w:val="40"/>
    </w:rPr>
  </w:style>
  <w:style w:type="paragraph" w:customStyle="1" w:styleId="paragraph">
    <w:name w:val="paragraph"/>
    <w:basedOn w:val="Normal"/>
    <w:rsid w:val="00916C3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916C3D"/>
  </w:style>
  <w:style w:type="character" w:customStyle="1" w:styleId="eop">
    <w:name w:val="eop"/>
    <w:basedOn w:val="DefaultParagraphFont"/>
    <w:rsid w:val="00916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au/Details/F2022L0097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sic.gov.au/regulatory-resources/find-a-document/consultation-papers/cp-371-product-intervention-orders-short-term-credit-facilities-and-continuing-credit-contracts/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legislation.gov.au/Details/F2022L0097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b92ca-6ed0-4085-802d-4c686a2e8c3f">
      <Value>2</Value>
      <Value>1</Value>
    </TaxCatchAll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DocumentNotes xmlns="db2b92ca-6ed0-4085-802d-4c686a2e8c3f" xsi:nil="true"/>
    <NAPReason xmlns="db2b92ca-6ed0-4085-802d-4c686a2e8c3f" xsi:nil="true"/>
    <_dlc_DocId xmlns="1c6f7837-da31-45a6-8aaf-c1cc0bdee6d1">010696r-709337275-66979</_dlc_DocId>
    <_dlc_DocIdUrl xmlns="1c6f7837-da31-45a6-8aaf-c1cc0bdee6d1">
      <Url>https://asiclink.sharepoint.com/sites/010696r/_layouts/15/DocIdRedir.aspx?ID=010696r-709337275-66979</Url>
      <Description>010696r-709337275-66979</Description>
    </_dlc_DocIdUrl>
    <g64765f68d714623afb17a1deb98804e xmlns="1c6f7837-da31-45a6-8aaf-c1cc0bdee6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ASIC DOCUMENT</TermName>
          <TermId xmlns="http://schemas.microsoft.com/office/infopath/2007/PartnerControls">d6dfe730-960e-4670-85d5-e6d25d9f6901</TermId>
        </TermInfo>
      </Terms>
    </g64765f68d714623afb17a1deb98804e>
    <RCRBusinessProcessPattern xmlns="1c6f7837-da31-45a6-8aaf-c1cc0bdee6d1" xsi:nil="true"/>
    <RCRParentRecordType xmlns="1c6f7837-da31-45a6-8aaf-c1cc0bdee6d1" xsi:nil="true"/>
    <RCRDocumentNumber xmlns="1c6f7837-da31-45a6-8aaf-c1cc0bdee6d1" xsi:nil="true"/>
    <RCREntityNames xmlns="1c6f7837-da31-45a6-8aaf-c1cc0bdee6d1" xsi:nil="true"/>
    <RCRRegulatoryConsiderationType xmlns="1c6f7837-da31-45a6-8aaf-c1cc0bdee6d1" xsi:nil="true"/>
    <RCRCfCs xmlns="1c6f7837-da31-45a6-8aaf-c1cc0bdee6d1" xsi:nil="true"/>
    <RCRAttachedBy xmlns="1c6f7837-da31-45a6-8aaf-c1cc0bdee6d1" xsi:nil="true"/>
    <RCRParentRecordTitle xmlns="1c6f7837-da31-45a6-8aaf-c1cc0bdee6d1" xsi:nil="true"/>
    <RCRContext xmlns="1c6f7837-da31-45a6-8aaf-c1cc0bdee6d1" xsi:nil="true"/>
    <RCRCorrespondenceID xmlns="1c6f7837-da31-45a6-8aaf-c1cc0bdee6d1" xsi:nil="true"/>
    <RCRABN xmlns="1c6f7837-da31-45a6-8aaf-c1cc0bdee6d1" xsi:nil="true"/>
    <RCRIndividualNum xmlns="1c6f7837-da31-45a6-8aaf-c1cc0bdee6d1" xsi:nil="true"/>
    <RCRNoticeResponseID xmlns="1c6f7837-da31-45a6-8aaf-c1cc0bdee6d1" xsi:nil="true"/>
    <RCRAttachmentsLinksID xmlns="1c6f7837-da31-45a6-8aaf-c1cc0bdee6d1" xsi:nil="true"/>
    <RCRCaseSubType xmlns="1c6f7837-da31-45a6-8aaf-c1cc0bdee6d1">General</RCRCaseSubType>
    <RCRCaseType xmlns="1c6f7837-da31-45a6-8aaf-c1cc0bdee6d1">Monitoring</RCRCaseType>
    <RCRNoticeID xmlns="1c6f7837-da31-45a6-8aaf-c1cc0bdee6d1" xsi:nil="true"/>
    <RCRSourceRecordTitle xmlns="1c6f7837-da31-45a6-8aaf-c1cc0bdee6d1" xsi:nil="true"/>
    <RCRAttachedOn xmlns="1c6f7837-da31-45a6-8aaf-c1cc0bdee6d1" xsi:nil="true"/>
    <lcf76f155ced4ddcb4097134ff3c332f xmlns="370b4e17-9035-4dd5-b0a5-8e379ae0b130">
      <Terms xmlns="http://schemas.microsoft.com/office/infopath/2007/PartnerControls"/>
    </lcf76f155ced4ddcb4097134ff3c332f>
    <RCRSourceRecordIdentifier xmlns="1c6f7837-da31-45a6-8aaf-c1cc0bdee6d1" xsi:nil="true"/>
    <RCRFolder xmlns="1c6f7837-da31-45a6-8aaf-c1cc0bdee6d1">Working Documents</RCRFolder>
    <RCROrganisationNum xmlns="1c6f7837-da31-45a6-8aaf-c1cc0bdee6d1" xsi:nil="true"/>
    <RCRRegulatoryRole xmlns="1c6f7837-da31-45a6-8aaf-c1cc0bdee6d1" xsi:nil="true"/>
    <RCRRecordNumber xmlns="1c6f7837-da31-45a6-8aaf-c1cc0bdee6d1">CAS-102073-X0X1X4</RCRRecordNumber>
    <RCRRegulatoryConsiderationSubType xmlns="1c6f7837-da31-45a6-8aaf-c1cc0bdee6d1" xsi:nil="true"/>
    <RCRSourceRecordType xmlns="1c6f7837-da31-45a6-8aaf-c1cc0bdee6d1" xsi:nil="true"/>
    <RCRDisclosure xmlns="1c6f7837-da31-45a6-8aaf-c1cc0bdee6d1" xsi:nil="true"/>
    <RCRSourceSystem xmlns="1c6f7837-da31-45a6-8aaf-c1cc0bdee6d1" xsi:nil="true"/>
    <RCRSourceRecordURI xmlns="1c6f7837-da31-45a6-8aaf-c1cc0bdee6d1" xsi:nil="true"/>
    <RCRParentRecordURI xmlns="1c6f7837-da31-45a6-8aaf-c1cc0bdee6d1" xsi:nil="true"/>
    <RCRMetadataUpdate xmlns="1c6f7837-da31-45a6-8aaf-c1cc0bdee6d1">Pending</RCRMetadataUpdate>
    <SPLinkLabel xmlns="1c6f7837-da31-45a6-8aaf-c1cc0bdee6d1" xsi:nil="true"/>
    <RCRDisclosureExported xmlns="1c6f7837-da31-45a6-8aaf-c1cc0bdee6d1" xsi:nil="true"/>
    <RCRRegulatoryTopics xmlns="1c6f7837-da31-45a6-8aaf-c1cc0bdee6d1" xsi:nil="true"/>
    <ECMSP13ModifiedBy xmlns="1c6f7837-da31-45a6-8aaf-c1cc0bdee6d1" xsi:nil="true"/>
    <RCRDocumentSetSource xmlns="1c6f7837-da31-45a6-8aaf-c1cc0bdee6d1" xsi:nil="true"/>
    <RCText xmlns="1c6f7837-da31-45a6-8aaf-c1cc0bdee6d1" xsi:nil="true"/>
    <RCRMarkAsFinal xmlns="1c6f7837-da31-45a6-8aaf-c1cc0bdee6d1">false</RCRMarkAsFinal>
    <IconOverlay xmlns="http://schemas.microsoft.com/sharepoint/v4" xsi:nil="true"/>
    <RCRManage xmlns="1c6f7837-da31-45a6-8aaf-c1cc0bdee6d1" xsi:nil="true"/>
    <ECMSP13CreatedBy xmlns="1c6f7837-da31-45a6-8aaf-c1cc0bdee6d1" xsi:nil="true"/>
    <RTText xmlns="1c6f7837-da31-45a6-8aaf-c1cc0bdee6d1" xsi:nil="true"/>
    <RCR13CaseType xmlns="1c6f7837-da31-45a6-8aaf-c1cc0bdee6d1" xsi:nil="true"/>
    <ECMSP13SecurityClassification xmlns="1c6f7837-da31-45a6-8aaf-c1cc0bdee6d1" xsi:nil="true"/>
    <ECMSP13DocumentID xmlns="1c6f7837-da31-45a6-8aaf-c1cc0bdee6d1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CR Case Document" ma:contentTypeID="0x010100B5F685A1365F544391EF8C813B164F3A000C81C2EC954E544A84B92FB87E511BCA0100D4E5BE655870A444A1672D4F0E74BC26" ma:contentTypeVersion="56" ma:contentTypeDescription="Create a new document." ma:contentTypeScope="" ma:versionID="b361a3d19193c83b01d92b35051f03fb">
  <xsd:schema xmlns:xsd="http://www.w3.org/2001/XMLSchema" xmlns:xs="http://www.w3.org/2001/XMLSchema" xmlns:p="http://schemas.microsoft.com/office/2006/metadata/properties" xmlns:ns2="1c6f7837-da31-45a6-8aaf-c1cc0bdee6d1" xmlns:ns3="db2b92ca-6ed0-4085-802d-4c686a2e8c3f" xmlns:ns4="370b4e17-9035-4dd5-b0a5-8e379ae0b130" xmlns:ns5="http://schemas.microsoft.com/sharepoint/v4" targetNamespace="http://schemas.microsoft.com/office/2006/metadata/properties" ma:root="true" ma:fieldsID="6c706d2a34abb9e728da8c6e0c71ff5f" ns2:_="" ns3:_="" ns4:_="" ns5:_="">
    <xsd:import namespace="1c6f7837-da31-45a6-8aaf-c1cc0bdee6d1"/>
    <xsd:import namespace="db2b92ca-6ed0-4085-802d-4c686a2e8c3f"/>
    <xsd:import namespace="370b4e17-9035-4dd5-b0a5-8e379ae0b13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CRNoticeID" minOccurs="0"/>
                <xsd:element ref="ns2:RCRCorrespondenceID" minOccurs="0"/>
                <xsd:element ref="ns2:RCRNoticeResponseID" minOccurs="0"/>
                <xsd:element ref="ns2:RCRDisclosure" minOccurs="0"/>
                <xsd:element ref="ns2:RCRDisclosureExported" minOccurs="0"/>
                <xsd:element ref="ns3:DocumentNotes" minOccurs="0"/>
                <xsd:element ref="ns3:NAPReason" minOccurs="0"/>
                <xsd:element ref="ns2:RCRFolder" minOccurs="0"/>
                <xsd:element ref="ns2:RCRSourceSystem" minOccurs="0"/>
                <xsd:element ref="ns2:RCRSourceRecordType" minOccurs="0"/>
                <xsd:element ref="ns2:RCRSourceRecordTitle" minOccurs="0"/>
                <xsd:element ref="ns2:RCRSourceRecordIdentifier" minOccurs="0"/>
                <xsd:element ref="ns2:RCRSourceRecordURI" minOccurs="0"/>
                <xsd:element ref="ns2:g64765f68d714623afb17a1deb98804e" minOccurs="0"/>
                <xsd:element ref="ns2:RCRParentRecordType" minOccurs="0"/>
                <xsd:element ref="ns2:RCRParentRecordTitle" minOccurs="0"/>
                <xsd:element ref="ns2:RCRParentRecordURI" minOccurs="0"/>
                <xsd:element ref="ns2:RCRAttachedBy" minOccurs="0"/>
                <xsd:element ref="ns2:RCRAttachedOn" minOccurs="0"/>
                <xsd:element ref="ns2:RCRMetadataUpdate" minOccurs="0"/>
                <xsd:element ref="ns3:p1abb5e704a84578aa4b8ef0390c3b25" minOccurs="0"/>
                <xsd:element ref="ns3:TaxCatchAll" minOccurs="0"/>
                <xsd:element ref="ns3:TaxCatchAllLabel" minOccurs="0"/>
                <xsd:element ref="ns2:RCRAttachmentsLinksID" minOccurs="0"/>
                <xsd:element ref="ns2:RCRDocumentNumber" minOccurs="0"/>
                <xsd:element ref="ns2:RCRContext" minOccurs="0"/>
                <xsd:element ref="ns2:SPLinkLabel" minOccurs="0"/>
                <xsd:element ref="ns2:RCRCaseSubType" minOccurs="0"/>
                <xsd:element ref="ns2:RCRCfCs" minOccurs="0"/>
                <xsd:element ref="ns2:RCRRegulatoryTopics" minOccurs="0"/>
                <xsd:element ref="ns2:RCREntityNames" minOccurs="0"/>
                <xsd:element ref="ns2:RCRBusinessProcessPattern" minOccurs="0"/>
                <xsd:element ref="ns2:RCRCaseType" minOccurs="0"/>
                <xsd:element ref="ns2:RCRABN" minOccurs="0"/>
                <xsd:element ref="ns2:RCROrganisationNum" minOccurs="0"/>
                <xsd:element ref="ns2:RCRIndividualNum" minOccurs="0"/>
                <xsd:element ref="ns2:RCRRecordNumber" minOccurs="0"/>
                <xsd:element ref="ns2:RCRRegulatoryRole" minOccurs="0"/>
                <xsd:element ref="ns2:RCRRegulatoryConsiderationSubType" minOccurs="0"/>
                <xsd:element ref="ns2:RCRRegulatoryConsiderationType" minOccurs="0"/>
                <xsd:element ref="ns2:RCText" minOccurs="0"/>
                <xsd:element ref="ns2:RTText" minOccurs="0"/>
                <xsd:element ref="ns2:RCRDocumentSetSource" minOccurs="0"/>
                <xsd:element ref="ns2:RCRMarkAsFinal" minOccurs="0"/>
                <xsd:element ref="ns2:ECMSP13SecurityClassification" minOccurs="0"/>
                <xsd:element ref="ns2:ECMSP13CreatedBy" minOccurs="0"/>
                <xsd:element ref="ns2:ECMSP13ModifiedBy" minOccurs="0"/>
                <xsd:element ref="ns2:ECMSP13DocumentID" minOccurs="0"/>
                <xsd:element ref="ns2:RCR13CaseType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2:RCRManage" minOccurs="0"/>
                <xsd:element ref="ns5:IconOverlay" minOccurs="0"/>
                <xsd:element ref="ns4:MediaServiceObjectDetectorVersion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f7837-da31-45a6-8aaf-c1cc0bdee6d1" elementFormDefault="qualified">
    <xsd:import namespace="http://schemas.microsoft.com/office/2006/documentManagement/types"/>
    <xsd:import namespace="http://schemas.microsoft.com/office/infopath/2007/PartnerControls"/>
    <xsd:element name="RCRNoticeID" ma:index="4" nillable="true" ma:displayName="Notice ID" ma:internalName="RCRNoticeID">
      <xsd:simpleType>
        <xsd:restriction base="dms:Text"/>
      </xsd:simpleType>
    </xsd:element>
    <xsd:element name="RCRCorrespondenceID" ma:index="5" nillable="true" ma:displayName="Correspondence ID" ma:internalName="RCRCorrespondenceID">
      <xsd:simpleType>
        <xsd:restriction base="dms:Text"/>
      </xsd:simpleType>
    </xsd:element>
    <xsd:element name="RCRNoticeResponseID" ma:index="6" nillable="true" ma:displayName="Notice Response ID" ma:internalName="RCRNoticeResponseID">
      <xsd:simpleType>
        <xsd:restriction base="dms:Text"/>
      </xsd:simpleType>
    </xsd:element>
    <xsd:element name="RCRDisclosure" ma:index="7" nillable="true" ma:displayName="Disclosure" ma:internalName="RCRDisclosure">
      <xsd:simpleType>
        <xsd:restriction base="dms:Choice">
          <xsd:enumeration value="A. Disclosable"/>
          <xsd:enumeration value="B. Credibility &amp; Reliability"/>
          <xsd:enumeration value="C. Not already listed in A or B"/>
          <xsd:enumeration value="D. Potentially immune from production"/>
          <xsd:enumeration value="E. Relevant persons not included in brief"/>
          <xsd:enumeration value="F. Related investigations"/>
          <xsd:enumeration value="G. Already in Ringtail"/>
          <xsd:enumeration value="H. Unused - Not Relevant"/>
        </xsd:restriction>
      </xsd:simpleType>
    </xsd:element>
    <xsd:element name="RCRDisclosureExported" ma:index="8" nillable="true" ma:displayName="Disclosure Exported" ma:internalName="RCRDisclosureExported">
      <xsd:simpleType>
        <xsd:restriction base="dms:DateTime"/>
      </xsd:simpleType>
    </xsd:element>
    <xsd:element name="RCRFolder" ma:index="11" nillable="true" ma:displayName="Folder" ma:internalName="RCRFolder">
      <xsd:simpleType>
        <xsd:restriction base="dms:Choice">
          <xsd:enumeration value="Analysis"/>
          <xsd:enumeration value="Briefs"/>
          <xsd:enumeration value="Correspondence"/>
          <xsd:enumeration value="Decisions"/>
          <xsd:enumeration value="Disclosure"/>
          <xsd:enumeration value="FAS"/>
          <xsd:enumeration value="File Notes"/>
          <xsd:enumeration value="File Review"/>
          <xsd:enumeration value="Finance and Administration"/>
          <xsd:enumeration value="Intel"/>
          <xsd:enumeration value="Legal Advice"/>
          <xsd:enumeration value="Mailstore"/>
          <xsd:enumeration value="Meeting Papers"/>
          <xsd:enumeration value="Memoranda"/>
          <xsd:enumeration value="Notices"/>
          <xsd:enumeration value="Orders"/>
          <xsd:enumeration value="Proceedings Documents"/>
          <xsd:enumeration value="Project Management"/>
          <xsd:enumeration value="Publications"/>
          <xsd:enumeration value="Research"/>
          <xsd:enumeration value="Search Warrant"/>
          <xsd:enumeration value="Transcripts"/>
          <xsd:enumeration value="Voluntary Document Requests"/>
          <xsd:enumeration value="Witness"/>
          <xsd:enumeration value="Working Documents"/>
        </xsd:restriction>
      </xsd:simpleType>
    </xsd:element>
    <xsd:element name="RCRSourceSystem" ma:index="14" nillable="true" ma:displayName="Source System" ma:internalName="RCRSourceSystem">
      <xsd:simpleType>
        <xsd:restriction base="dms:Text"/>
      </xsd:simpleType>
    </xsd:element>
    <xsd:element name="RCRSourceRecordType" ma:index="15" nillable="true" ma:displayName="Source Record Type" ma:internalName="RCRSourceRecordType">
      <xsd:simpleType>
        <xsd:restriction base="dms:Text"/>
      </xsd:simpleType>
    </xsd:element>
    <xsd:element name="RCRSourceRecordTitle" ma:index="16" nillable="true" ma:displayName="Source Record Title" ma:internalName="RCRSourceRecordTitle">
      <xsd:simpleType>
        <xsd:restriction base="dms:Text"/>
      </xsd:simpleType>
    </xsd:element>
    <xsd:element name="RCRSourceRecordIdentifier" ma:index="17" nillable="true" ma:displayName="Source Record Identifier" ma:internalName="RCRSourceRecordIdentifier">
      <xsd:simpleType>
        <xsd:restriction base="dms:Text"/>
      </xsd:simpleType>
    </xsd:element>
    <xsd:element name="RCRSourceRecordURI" ma:index="18" nillable="true" ma:displayName="Source Record URI" ma:internalName="RCRSourceRecordURI">
      <xsd:simpleType>
        <xsd:restriction base="dms:Text"/>
      </xsd:simpleType>
    </xsd:element>
    <xsd:element name="g64765f68d714623afb17a1deb98804e" ma:index="19" ma:taxonomy="true" ma:internalName="g64765f68d714623afb17a1deb98804e" ma:taxonomyFieldName="RCRDocumentType" ma:displayName="Document Type" ma:readOnly="false" ma:fieldId="{064765f6-8d71-4623-afb1-7a1deb98804e}" ma:sspId="af302855-5de3-48f9-83c2-fc1acc0f760b" ma:termSetId="1fe2b1d4-b905-e611-8105-005056a8b0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CRParentRecordType" ma:index="21" nillable="true" ma:displayName="Parent Record Type" ma:internalName="RCRParentRecordType">
      <xsd:simpleType>
        <xsd:restriction base="dms:Text"/>
      </xsd:simpleType>
    </xsd:element>
    <xsd:element name="RCRParentRecordTitle" ma:index="22" nillable="true" ma:displayName="Parent Record Title" ma:internalName="RCRParentRecordTitle">
      <xsd:simpleType>
        <xsd:restriction base="dms:Text"/>
      </xsd:simpleType>
    </xsd:element>
    <xsd:element name="RCRParentRecordURI" ma:index="23" nillable="true" ma:displayName="Parent Record URI" ma:internalName="RCRParentRecordURI">
      <xsd:simpleType>
        <xsd:restriction base="dms:Text"/>
      </xsd:simpleType>
    </xsd:element>
    <xsd:element name="RCRAttachedBy" ma:index="24" nillable="true" ma:displayName="Attached By" ma:internalName="RCRAttachedBy">
      <xsd:simpleType>
        <xsd:restriction base="dms:Text"/>
      </xsd:simpleType>
    </xsd:element>
    <xsd:element name="RCRAttachedOn" ma:index="25" nillable="true" ma:displayName="Attached On" ma:internalName="RCRAttachedOn">
      <xsd:simpleType>
        <xsd:restriction base="dms:DateTime"/>
      </xsd:simpleType>
    </xsd:element>
    <xsd:element name="RCRMetadataUpdate" ma:index="27" nillable="true" ma:displayName="Metadata Update" ma:default="Pending" ma:internalName="RCRMetadataUpdate">
      <xsd:simpleType>
        <xsd:restriction base="dms:Text"/>
      </xsd:simpleType>
    </xsd:element>
    <xsd:element name="RCRAttachmentsLinksID" ma:index="33" nillable="true" ma:displayName="RCRAttachmentsLinksID" ma:internalName="RCRAttachmentsLinksID">
      <xsd:simpleType>
        <xsd:restriction base="dms:Text"/>
      </xsd:simpleType>
    </xsd:element>
    <xsd:element name="RCRDocumentNumber" ma:index="34" nillable="true" ma:displayName="Document Number" ma:internalName="RCRDocumentNumber">
      <xsd:simpleType>
        <xsd:restriction base="dms:Text"/>
      </xsd:simpleType>
    </xsd:element>
    <xsd:element name="RCRContext" ma:index="35" nillable="true" ma:displayName="RCRContext" ma:hidden="true" ma:internalName="RCRContext" ma:readOnly="false">
      <xsd:simpleType>
        <xsd:restriction base="dms:Note"/>
      </xsd:simpleType>
    </xsd:element>
    <xsd:element name="SPLinkLabel" ma:index="36" nillable="true" ma:displayName="SPLinkLabel" ma:internalName="SPLinkLabel">
      <xsd:simpleType>
        <xsd:restriction base="dms:Note">
          <xsd:maxLength value="255"/>
        </xsd:restriction>
      </xsd:simpleType>
    </xsd:element>
    <xsd:element name="RCRCaseSubType" ma:index="37" nillable="true" ma:displayName="Case Sub Type" ma:internalName="RCRCaseSubType">
      <xsd:simpleType>
        <xsd:restriction base="dms:Text"/>
      </xsd:simpleType>
    </xsd:element>
    <xsd:element name="RCRCfCs" ma:index="38" nillable="true" ma:displayName="RC" ma:hidden="true" ma:internalName="RCRCfCs" ma:readOnly="false">
      <xsd:simpleType>
        <xsd:restriction base="dms:Note"/>
      </xsd:simpleType>
    </xsd:element>
    <xsd:element name="RCRRegulatoryTopics" ma:index="39" nillable="true" ma:displayName="Regulatory Topics" ma:hidden="true" ma:internalName="RCRRegulatoryTopics" ma:readOnly="false">
      <xsd:simpleType>
        <xsd:restriction base="dms:Note"/>
      </xsd:simpleType>
    </xsd:element>
    <xsd:element name="RCREntityNames" ma:index="40" nillable="true" ma:displayName="Entity Names" ma:hidden="true" ma:internalName="RCREntityNames" ma:readOnly="false">
      <xsd:simpleType>
        <xsd:restriction base="dms:Note"/>
      </xsd:simpleType>
    </xsd:element>
    <xsd:element name="RCRBusinessProcessPattern" ma:index="41" nillable="true" ma:displayName="Business Process Pattern" ma:hidden="true" ma:internalName="RCRBusinessProcessPattern" ma:readOnly="false">
      <xsd:simpleType>
        <xsd:restriction base="dms:Note"/>
      </xsd:simpleType>
    </xsd:element>
    <xsd:element name="RCRCaseType" ma:index="42" nillable="true" ma:displayName="Case Type" ma:internalName="RCRCaseType">
      <xsd:simpleType>
        <xsd:restriction base="dms:Text"/>
      </xsd:simpleType>
    </xsd:element>
    <xsd:element name="RCRABN" ma:index="43" nillable="true" ma:displayName="ABN" ma:internalName="RCRABN">
      <xsd:simpleType>
        <xsd:restriction base="dms:Note">
          <xsd:maxLength value="255"/>
        </xsd:restriction>
      </xsd:simpleType>
    </xsd:element>
    <xsd:element name="RCROrganisationNum" ma:index="44" nillable="true" ma:displayName="Organisation Num" ma:internalName="RCROrganisationNum">
      <xsd:simpleType>
        <xsd:restriction base="dms:Note">
          <xsd:maxLength value="255"/>
        </xsd:restriction>
      </xsd:simpleType>
    </xsd:element>
    <xsd:element name="RCRIndividualNum" ma:index="45" nillable="true" ma:displayName="Individual Num" ma:internalName="RCRIndividualNum">
      <xsd:simpleType>
        <xsd:restriction base="dms:Note">
          <xsd:maxLength value="255"/>
        </xsd:restriction>
      </xsd:simpleType>
    </xsd:element>
    <xsd:element name="RCRRecordNumber" ma:index="46" nillable="true" ma:displayName="Record Number" ma:internalName="RCRRecordNumber">
      <xsd:simpleType>
        <xsd:restriction base="dms:Text"/>
      </xsd:simpleType>
    </xsd:element>
    <xsd:element name="RCRRegulatoryRole" ma:index="47" nillable="true" ma:displayName="Regulatory Role" ma:hidden="true" ma:internalName="RCRRegulatoryRole" ma:readOnly="false">
      <xsd:simpleType>
        <xsd:restriction base="dms:Note"/>
      </xsd:simpleType>
    </xsd:element>
    <xsd:element name="RCRRegulatoryConsiderationSubType" ma:index="48" nillable="true" ma:displayName="Regulatory Consideration SubType" ma:hidden="true" ma:internalName="RCRRegulatoryConsiderationSubType" ma:readOnly="false">
      <xsd:simpleType>
        <xsd:restriction base="dms:Note"/>
      </xsd:simpleType>
    </xsd:element>
    <xsd:element name="RCRRegulatoryConsiderationType" ma:index="49" nillable="true" ma:displayName="Regulatory Consideration Type" ma:hidden="true" ma:internalName="RCRRegulatoryConsiderationType" ma:readOnly="false">
      <xsd:simpleType>
        <xsd:restriction base="dms:Note"/>
      </xsd:simpleType>
    </xsd:element>
    <xsd:element name="RCText" ma:index="50" nillable="true" ma:displayName="RCText" ma:internalName="RCText">
      <xsd:simpleType>
        <xsd:restriction base="dms:Note">
          <xsd:maxLength value="255"/>
        </xsd:restriction>
      </xsd:simpleType>
    </xsd:element>
    <xsd:element name="RTText" ma:index="51" nillable="true" ma:displayName="RTText" ma:internalName="RTText">
      <xsd:simpleType>
        <xsd:restriction base="dms:Note">
          <xsd:maxLength value="255"/>
        </xsd:restriction>
      </xsd:simpleType>
    </xsd:element>
    <xsd:element name="RCRDocumentSetSource" ma:index="52" nillable="true" ma:displayName="Document Set Source" ma:internalName="RCRDocumentSetSource">
      <xsd:simpleType>
        <xsd:restriction base="dms:Text"/>
      </xsd:simpleType>
    </xsd:element>
    <xsd:element name="RCRMarkAsFinal" ma:index="53" nillable="true" ma:displayName="Mark as Final" ma:default="0" ma:internalName="RCRMarkAsFinal">
      <xsd:simpleType>
        <xsd:restriction base="dms:Boolean"/>
      </xsd:simpleType>
    </xsd:element>
    <xsd:element name="ECMSP13SecurityClassification" ma:index="54" nillable="true" ma:displayName="ECM SP13 Security Classification" ma:internalName="ECMSP13SecurityClassification">
      <xsd:simpleType>
        <xsd:restriction base="dms:Text"/>
      </xsd:simpleType>
    </xsd:element>
    <xsd:element name="ECMSP13CreatedBy" ma:index="55" nillable="true" ma:displayName="ECM SP13 Created By" ma:internalName="ECMSP13CreatedBy">
      <xsd:simpleType>
        <xsd:restriction base="dms:Text"/>
      </xsd:simpleType>
    </xsd:element>
    <xsd:element name="ECMSP13ModifiedBy" ma:index="56" nillable="true" ma:displayName="ECM SP13 Modified By" ma:internalName="ECMSP13ModifiedBy">
      <xsd:simpleType>
        <xsd:restriction base="dms:Text"/>
      </xsd:simpleType>
    </xsd:element>
    <xsd:element name="ECMSP13DocumentID" ma:index="57" nillable="true" ma:displayName="ECM SP13 Document ID" ma:internalName="ECMSP13DocumentID">
      <xsd:simpleType>
        <xsd:restriction base="dms:Text"/>
      </xsd:simpleType>
    </xsd:element>
    <xsd:element name="RCR13CaseType" ma:index="58" nillable="true" ma:displayName="RCR13 Case Type" ma:internalName="RCR13CaseType">
      <xsd:simpleType>
        <xsd:restriction base="dms:Text"/>
      </xsd:simpleType>
    </xsd:element>
    <xsd:element name="RCRManage" ma:index="68" nillable="true" ma:displayName="Manage" ma:internalName="RCRManage">
      <xsd:simpleType>
        <xsd:restriction base="dms:Text"/>
      </xsd:simpleType>
    </xsd:element>
    <xsd:element name="_dlc_DocId" ma:index="7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7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DocumentNotes" ma:index="9" nillable="true" ma:displayName="Document Notes" ma:internalName="DocumentNotes">
      <xsd:simpleType>
        <xsd:restriction base="dms:Note">
          <xsd:maxLength value="255"/>
        </xsd:restriction>
      </xsd:simpleType>
    </xsd:element>
    <xsd:element name="NAPReason" ma:index="10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28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1c9828e9-1f8e-43cb-bed9-f878f1e6f60c}" ma:internalName="TaxCatchAll" ma:showField="CatchAllData" ma:web="1c6f7837-da31-45a6-8aaf-c1cc0bdee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1c9828e9-1f8e-43cb-bed9-f878f1e6f60c}" ma:internalName="TaxCatchAllLabel" ma:readOnly="true" ma:showField="CatchAllDataLabel" ma:web="1c6f7837-da31-45a6-8aaf-c1cc0bdee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b4e17-9035-4dd5-b0a5-8e379ae0b13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af302855-5de3-48f9-83c2-fc1acc0f7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6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6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7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5B197-B8A6-4E25-B076-7053025B2B5E}">
  <ds:schemaRefs>
    <ds:schemaRef ds:uri="http://purl.org/dc/elements/1.1/"/>
    <ds:schemaRef ds:uri="http://schemas.microsoft.com/office/2006/metadata/properties"/>
    <ds:schemaRef ds:uri="370b4e17-9035-4dd5-b0a5-8e379ae0b130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db2b92ca-6ed0-4085-802d-4c686a2e8c3f"/>
    <ds:schemaRef ds:uri="1c6f7837-da31-45a6-8aaf-c1cc0bdee6d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C61947-6BF1-496A-9F9A-5F06AF6C1A1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FA4F80F-A947-473F-B436-14B6E46632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1EF602-334A-414D-822E-701BB6FC4D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F94379-144D-44E9-9D22-5A443F9F872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BF3D09D-30BF-4354-AC2D-1B0594092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f7837-da31-45a6-8aaf-c1cc0bdee6d1"/>
    <ds:schemaRef ds:uri="db2b92ca-6ed0-4085-802d-4c686a2e8c3f"/>
    <ds:schemaRef ds:uri="370b4e17-9035-4dd5-b0a5-8e379ae0b13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Binary Options - PIO Extension Explanatory Statement 20220622</vt:lpstr>
    </vt:vector>
  </TitlesOfParts>
  <Company/>
  <LinksUpToDate>false</LinksUpToDate>
  <CharactersWithSpaces>13495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Binary Options - PIO Extension Explanatory Statement 20220622</dc:title>
  <dc:subject/>
  <dc:creator>Andrew Templer</dc:creator>
  <cp:keywords/>
  <dc:description/>
  <cp:lastModifiedBy>Narelle Kane</cp:lastModifiedBy>
  <cp:revision>4</cp:revision>
  <cp:lastPrinted>2020-07-17T00:08:00Z</cp:lastPrinted>
  <dcterms:created xsi:type="dcterms:W3CDTF">2023-12-21T23:05:00Z</dcterms:created>
  <dcterms:modified xsi:type="dcterms:W3CDTF">2024-01-03T00:11:00Z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0x010100B5F685A1365F544391EF8C813B164F3A000C81C2EC954E544A84B92FB87E511BCA0100D4E5BE655870A444A1672D4F0E74BC26</vt:lpwstr>
  </property>
  <property fmtid="{D5CDD505-2E9C-101B-9397-08002B2CF9AE}" pid="3" name="SecurityClassification">
    <vt:lpwstr>1;#OFFICIAL - Sensitive|6eccc17f-024b-41b0-b6b1-faf98d2aff85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UniqueId">
    <vt:lpwstr>{0e93fb9b-cb7a-4b2e-b800-af4265fdc40b}</vt:lpwstr>
  </property>
  <property fmtid="{D5CDD505-2E9C-101B-9397-08002B2CF9AE}" pid="6" name="RecordPoint_ActiveItemWebId">
    <vt:lpwstr>{271d3771-bc5d-44c5-b742-4005bc4a40a2}</vt:lpwstr>
  </property>
  <property fmtid="{D5CDD505-2E9C-101B-9397-08002B2CF9AE}" pid="7" name="RecordPoint_ActiveItemSiteId">
    <vt:lpwstr>{7e0c2185-ddef-42fa-b41e-deab34af16fe}</vt:lpwstr>
  </property>
  <property fmtid="{D5CDD505-2E9C-101B-9397-08002B2CF9AE}" pid="8" name="RecordPoint_ActiveItemListId">
    <vt:lpwstr>{7a3dbc1e-4520-4203-99fc-8742ee31a232}</vt:lpwstr>
  </property>
  <property fmtid="{D5CDD505-2E9C-101B-9397-08002B2CF9AE}" pid="9" name="RecordPoint_RecordNumberSubmitted">
    <vt:lpwstr>R20210000722011</vt:lpwstr>
  </property>
  <property fmtid="{D5CDD505-2E9C-101B-9397-08002B2CF9AE}" pid="10" name="RecordPoint_SubmissionDate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>2022-04-05T18:31:26.0294820+10:00</vt:lpwstr>
  </property>
  <property fmtid="{D5CDD505-2E9C-101B-9397-08002B2CF9AE}" pid="13" name="_dlc_DocIdItemGuid">
    <vt:lpwstr>1176469a-5416-454b-9383-d697c9cbc230</vt:lpwstr>
  </property>
  <property fmtid="{D5CDD505-2E9C-101B-9397-08002B2CF9AE}" pid="14" name="Order">
    <vt:r8>254500</vt:r8>
  </property>
  <property fmtid="{D5CDD505-2E9C-101B-9397-08002B2CF9AE}" pid="15" name="IBWorkwithIndustry">
    <vt:lpwstr/>
  </property>
  <property fmtid="{D5CDD505-2E9C-101B-9397-08002B2CF9AE}" pid="16" name="MediaServiceImageTags">
    <vt:lpwstr/>
  </property>
  <property fmtid="{D5CDD505-2E9C-101B-9397-08002B2CF9AE}" pid="17" name="lcf76f155ced4ddcb4097134ff3c332f">
    <vt:lpwstr/>
  </property>
  <property fmtid="{D5CDD505-2E9C-101B-9397-08002B2CF9AE}" pid="18" name="n70d075e5c76498c8a212efecbfadefd">
    <vt:lpwstr/>
  </property>
  <property fmtid="{D5CDD505-2E9C-101B-9397-08002B2CF9AE}" pid="19" name="MSIP_Label_a6aead41-07f8-4767-ac8e-ef1c9c793766_Enabled">
    <vt:lpwstr>true</vt:lpwstr>
  </property>
  <property fmtid="{D5CDD505-2E9C-101B-9397-08002B2CF9AE}" pid="20" name="MSIP_Label_a6aead41-07f8-4767-ac8e-ef1c9c793766_SetDate">
    <vt:lpwstr>2022-06-30T07:02:02Z</vt:lpwstr>
  </property>
  <property fmtid="{D5CDD505-2E9C-101B-9397-08002B2CF9AE}" pid="21" name="MSIP_Label_a6aead41-07f8-4767-ac8e-ef1c9c793766_Method">
    <vt:lpwstr>Standard</vt:lpwstr>
  </property>
  <property fmtid="{D5CDD505-2E9C-101B-9397-08002B2CF9AE}" pid="22" name="MSIP_Label_a6aead41-07f8-4767-ac8e-ef1c9c793766_Name">
    <vt:lpwstr>OFFICIAL</vt:lpwstr>
  </property>
  <property fmtid="{D5CDD505-2E9C-101B-9397-08002B2CF9AE}" pid="23" name="MSIP_Label_a6aead41-07f8-4767-ac8e-ef1c9c793766_SiteId">
    <vt:lpwstr>5f1de7c6-55cd-4bb2-902d-514c78cf10f4</vt:lpwstr>
  </property>
  <property fmtid="{D5CDD505-2E9C-101B-9397-08002B2CF9AE}" pid="24" name="MSIP_Label_a6aead41-07f8-4767-ac8e-ef1c9c793766_ActionId">
    <vt:lpwstr>a45286e5-b005-41fb-8fc0-a2b69fb33972</vt:lpwstr>
  </property>
  <property fmtid="{D5CDD505-2E9C-101B-9397-08002B2CF9AE}" pid="25" name="MSIP_Label_a6aead41-07f8-4767-ac8e-ef1c9c793766_ContentBits">
    <vt:lpwstr>0</vt:lpwstr>
  </property>
  <property fmtid="{D5CDD505-2E9C-101B-9397-08002B2CF9AE}" pid="26" name="RCRDocumentType">
    <vt:lpwstr>2;#ASIC DOCUMENT|d6dfe730-960e-4670-85d5-e6d25d9f6901</vt:lpwstr>
  </property>
</Properties>
</file>