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EE4C2" w14:textId="18F76107" w:rsidR="00715914" w:rsidRPr="008C66F7" w:rsidRDefault="00A31D73" w:rsidP="00850F56">
      <w:pPr>
        <w:spacing w:after="600"/>
        <w:rPr>
          <w:sz w:val="28"/>
        </w:rPr>
      </w:pPr>
      <w:r w:rsidRPr="008C66F7">
        <w:rPr>
          <w:noProof/>
        </w:rPr>
        <w:drawing>
          <wp:inline distT="0" distB="0" distL="0" distR="0" wp14:anchorId="14EE4C64" wp14:editId="67E6B695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AAE55" w14:textId="3031F50D" w:rsidR="00243EC0" w:rsidRPr="008C66F7" w:rsidRDefault="00447DB4" w:rsidP="00B16067">
      <w:pPr>
        <w:pStyle w:val="LI-Title"/>
        <w:pBdr>
          <w:bottom w:val="single" w:sz="4" w:space="1" w:color="auto"/>
        </w:pBdr>
      </w:pPr>
      <w:r w:rsidRPr="008C66F7">
        <w:t>A</w:t>
      </w:r>
      <w:r w:rsidR="00327DDF" w:rsidRPr="008C66F7">
        <w:t xml:space="preserve">SIC Corporations </w:t>
      </w:r>
      <w:r w:rsidR="00C11452" w:rsidRPr="008C66F7">
        <w:t>(</w:t>
      </w:r>
      <w:r w:rsidR="008E290E" w:rsidRPr="008C66F7">
        <w:t>Amendment</w:t>
      </w:r>
      <w:r w:rsidR="00C11452" w:rsidRPr="008C66F7">
        <w:t xml:space="preserve">) Instrument </w:t>
      </w:r>
      <w:r w:rsidR="006277A4" w:rsidRPr="008C66F7">
        <w:t>2023</w:t>
      </w:r>
      <w:r w:rsidR="00132B7B" w:rsidRPr="008C66F7">
        <w:t>/</w:t>
      </w:r>
      <w:r w:rsidR="006277A4" w:rsidRPr="008C66F7">
        <w:t>142</w:t>
      </w:r>
    </w:p>
    <w:p w14:paraId="09CED424" w14:textId="4C0DB846" w:rsidR="00F171A1" w:rsidRPr="008C66F7" w:rsidRDefault="00F171A1" w:rsidP="00005446">
      <w:pPr>
        <w:pStyle w:val="LI-Fronttext"/>
        <w:rPr>
          <w:sz w:val="24"/>
          <w:szCs w:val="24"/>
        </w:rPr>
      </w:pPr>
      <w:r w:rsidRPr="008C66F7">
        <w:rPr>
          <w:sz w:val="24"/>
          <w:szCs w:val="24"/>
        </w:rPr>
        <w:t xml:space="preserve">I, </w:t>
      </w:r>
      <w:r w:rsidR="00CD735B" w:rsidRPr="008C66F7">
        <w:rPr>
          <w:sz w:val="24"/>
          <w:szCs w:val="24"/>
        </w:rPr>
        <w:t>Claire LaBouchardiere</w:t>
      </w:r>
      <w:r w:rsidR="00C0544A" w:rsidRPr="008C66F7">
        <w:rPr>
          <w:sz w:val="24"/>
          <w:szCs w:val="24"/>
        </w:rPr>
        <w:t>, delegate of the Australian Securities and Investments Commission</w:t>
      </w:r>
      <w:r w:rsidRPr="008C66F7">
        <w:rPr>
          <w:sz w:val="24"/>
          <w:szCs w:val="24"/>
        </w:rPr>
        <w:t xml:space="preserve">, make the following </w:t>
      </w:r>
      <w:r w:rsidR="008C0F29" w:rsidRPr="008C66F7">
        <w:rPr>
          <w:sz w:val="24"/>
          <w:szCs w:val="24"/>
        </w:rPr>
        <w:t>legislative instrument</w:t>
      </w:r>
      <w:r w:rsidRPr="008C66F7">
        <w:rPr>
          <w:sz w:val="24"/>
          <w:szCs w:val="24"/>
        </w:rPr>
        <w:t>.</w:t>
      </w:r>
    </w:p>
    <w:p w14:paraId="5EAD13B6" w14:textId="77777777" w:rsidR="003A2A48" w:rsidRPr="008C66F7" w:rsidRDefault="003A2A48" w:rsidP="00005446">
      <w:pPr>
        <w:pStyle w:val="LI-Fronttext"/>
      </w:pPr>
    </w:p>
    <w:p w14:paraId="30DA1485" w14:textId="0A9CE004" w:rsidR="006554FF" w:rsidRPr="008C66F7" w:rsidRDefault="00F171A1" w:rsidP="00005446">
      <w:pPr>
        <w:pStyle w:val="LI-Fronttext"/>
        <w:rPr>
          <w:sz w:val="24"/>
          <w:szCs w:val="24"/>
        </w:rPr>
      </w:pPr>
      <w:r w:rsidRPr="008C66F7">
        <w:rPr>
          <w:sz w:val="24"/>
          <w:szCs w:val="24"/>
        </w:rPr>
        <w:t>Date</w:t>
      </w:r>
      <w:r w:rsidRPr="008C66F7">
        <w:rPr>
          <w:sz w:val="24"/>
          <w:szCs w:val="24"/>
        </w:rPr>
        <w:tab/>
      </w:r>
      <w:bookmarkStart w:id="0" w:name="BKCheck15B_1"/>
      <w:bookmarkEnd w:id="0"/>
      <w:r w:rsidR="00C540F6" w:rsidRPr="008C66F7">
        <w:rPr>
          <w:sz w:val="24"/>
          <w:szCs w:val="24"/>
        </w:rPr>
        <w:t>2</w:t>
      </w:r>
      <w:r w:rsidR="00F324F1" w:rsidRPr="008C66F7">
        <w:rPr>
          <w:sz w:val="24"/>
          <w:szCs w:val="24"/>
        </w:rPr>
        <w:t>1</w:t>
      </w:r>
      <w:r w:rsidR="00C540F6" w:rsidRPr="008C66F7">
        <w:rPr>
          <w:sz w:val="24"/>
          <w:szCs w:val="24"/>
        </w:rPr>
        <w:t xml:space="preserve"> December </w:t>
      </w:r>
      <w:r w:rsidR="00255007" w:rsidRPr="008C66F7">
        <w:rPr>
          <w:sz w:val="24"/>
          <w:szCs w:val="24"/>
        </w:rPr>
        <w:t>20</w:t>
      </w:r>
      <w:r w:rsidR="00053940" w:rsidRPr="008C66F7">
        <w:rPr>
          <w:sz w:val="24"/>
          <w:szCs w:val="24"/>
        </w:rPr>
        <w:t>2</w:t>
      </w:r>
      <w:r w:rsidR="00EA1445" w:rsidRPr="008C66F7">
        <w:rPr>
          <w:sz w:val="24"/>
          <w:szCs w:val="24"/>
        </w:rPr>
        <w:t>3</w:t>
      </w:r>
    </w:p>
    <w:p w14:paraId="3951FF45" w14:textId="77777777" w:rsidR="00C22264" w:rsidRPr="008C66F7" w:rsidRDefault="00C22264" w:rsidP="00C22264">
      <w:pPr>
        <w:rPr>
          <w:lang w:eastAsia="en-AU"/>
        </w:rPr>
      </w:pPr>
    </w:p>
    <w:p w14:paraId="469D4CD4" w14:textId="77777777" w:rsidR="00C540F6" w:rsidRPr="008C66F7" w:rsidRDefault="00C540F6" w:rsidP="00005446">
      <w:pPr>
        <w:pStyle w:val="LI-Fronttext"/>
        <w:rPr>
          <w:i/>
          <w:sz w:val="24"/>
          <w:szCs w:val="24"/>
        </w:rPr>
      </w:pPr>
    </w:p>
    <w:p w14:paraId="3BF8D582" w14:textId="1400A719" w:rsidR="00F171A1" w:rsidRPr="00BB5C17" w:rsidRDefault="00CD735B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8C66F7">
        <w:rPr>
          <w:sz w:val="24"/>
          <w:szCs w:val="24"/>
        </w:rPr>
        <w:t>Claire LaBouchardiere</w:t>
      </w:r>
    </w:p>
    <w:p w14:paraId="54239FE3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75B9A220" w14:textId="77777777" w:rsidR="00715914" w:rsidRPr="00F61B09" w:rsidRDefault="00715914" w:rsidP="00715914">
      <w:pPr>
        <w:sectPr w:rsidR="00715914" w:rsidRPr="00F61B09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D8D9D95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5F96C838" w14:textId="24716A21" w:rsidR="00C540F6" w:rsidRDefault="003708C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153967487" w:history="1">
        <w:r w:rsidR="00C540F6" w:rsidRPr="003E7CDD">
          <w:rPr>
            <w:rStyle w:val="Hyperlink"/>
            <w:noProof/>
          </w:rPr>
          <w:t>Part 1—Preliminary</w:t>
        </w:r>
        <w:r w:rsidR="00C540F6">
          <w:rPr>
            <w:noProof/>
            <w:webHidden/>
          </w:rPr>
          <w:tab/>
        </w:r>
        <w:r w:rsidR="00C540F6">
          <w:rPr>
            <w:noProof/>
            <w:webHidden/>
          </w:rPr>
          <w:fldChar w:fldCharType="begin"/>
        </w:r>
        <w:r w:rsidR="00C540F6">
          <w:rPr>
            <w:noProof/>
            <w:webHidden/>
          </w:rPr>
          <w:instrText xml:space="preserve"> PAGEREF _Toc153967487 \h </w:instrText>
        </w:r>
        <w:r w:rsidR="00C540F6">
          <w:rPr>
            <w:noProof/>
            <w:webHidden/>
          </w:rPr>
        </w:r>
        <w:r w:rsidR="00C540F6">
          <w:rPr>
            <w:noProof/>
            <w:webHidden/>
          </w:rPr>
          <w:fldChar w:fldCharType="separate"/>
        </w:r>
        <w:r w:rsidR="00C540F6">
          <w:rPr>
            <w:noProof/>
            <w:webHidden/>
          </w:rPr>
          <w:t>3</w:t>
        </w:r>
        <w:r w:rsidR="00C540F6">
          <w:rPr>
            <w:noProof/>
            <w:webHidden/>
          </w:rPr>
          <w:fldChar w:fldCharType="end"/>
        </w:r>
      </w:hyperlink>
    </w:p>
    <w:p w14:paraId="368C0282" w14:textId="09A97B90" w:rsidR="00C540F6" w:rsidRDefault="008C66F7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3967488" w:history="1">
        <w:r w:rsidR="00C540F6" w:rsidRPr="003E7CDD">
          <w:rPr>
            <w:rStyle w:val="Hyperlink"/>
            <w:noProof/>
          </w:rPr>
          <w:t>1</w:t>
        </w:r>
        <w:r w:rsidR="00C540F6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C540F6" w:rsidRPr="003E7CDD">
          <w:rPr>
            <w:rStyle w:val="Hyperlink"/>
            <w:noProof/>
          </w:rPr>
          <w:t>Name of legislative instrument</w:t>
        </w:r>
        <w:r w:rsidR="00C540F6">
          <w:rPr>
            <w:noProof/>
            <w:webHidden/>
          </w:rPr>
          <w:tab/>
        </w:r>
        <w:r w:rsidR="00C540F6">
          <w:rPr>
            <w:noProof/>
            <w:webHidden/>
          </w:rPr>
          <w:fldChar w:fldCharType="begin"/>
        </w:r>
        <w:r w:rsidR="00C540F6">
          <w:rPr>
            <w:noProof/>
            <w:webHidden/>
          </w:rPr>
          <w:instrText xml:space="preserve"> PAGEREF _Toc153967488 \h </w:instrText>
        </w:r>
        <w:r w:rsidR="00C540F6">
          <w:rPr>
            <w:noProof/>
            <w:webHidden/>
          </w:rPr>
        </w:r>
        <w:r w:rsidR="00C540F6">
          <w:rPr>
            <w:noProof/>
            <w:webHidden/>
          </w:rPr>
          <w:fldChar w:fldCharType="separate"/>
        </w:r>
        <w:r w:rsidR="00C540F6">
          <w:rPr>
            <w:noProof/>
            <w:webHidden/>
          </w:rPr>
          <w:t>3</w:t>
        </w:r>
        <w:r w:rsidR="00C540F6">
          <w:rPr>
            <w:noProof/>
            <w:webHidden/>
          </w:rPr>
          <w:fldChar w:fldCharType="end"/>
        </w:r>
      </w:hyperlink>
    </w:p>
    <w:p w14:paraId="3448F9DD" w14:textId="65863494" w:rsidR="00C540F6" w:rsidRDefault="008C66F7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3967489" w:history="1">
        <w:r w:rsidR="00C540F6" w:rsidRPr="003E7CDD">
          <w:rPr>
            <w:rStyle w:val="Hyperlink"/>
            <w:noProof/>
          </w:rPr>
          <w:t>2</w:t>
        </w:r>
        <w:r w:rsidR="00C540F6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C540F6" w:rsidRPr="003E7CDD">
          <w:rPr>
            <w:rStyle w:val="Hyperlink"/>
            <w:noProof/>
          </w:rPr>
          <w:t>Commencement</w:t>
        </w:r>
        <w:r w:rsidR="00C540F6">
          <w:rPr>
            <w:noProof/>
            <w:webHidden/>
          </w:rPr>
          <w:tab/>
        </w:r>
        <w:r w:rsidR="00C540F6">
          <w:rPr>
            <w:noProof/>
            <w:webHidden/>
          </w:rPr>
          <w:fldChar w:fldCharType="begin"/>
        </w:r>
        <w:r w:rsidR="00C540F6">
          <w:rPr>
            <w:noProof/>
            <w:webHidden/>
          </w:rPr>
          <w:instrText xml:space="preserve"> PAGEREF _Toc153967489 \h </w:instrText>
        </w:r>
        <w:r w:rsidR="00C540F6">
          <w:rPr>
            <w:noProof/>
            <w:webHidden/>
          </w:rPr>
        </w:r>
        <w:r w:rsidR="00C540F6">
          <w:rPr>
            <w:noProof/>
            <w:webHidden/>
          </w:rPr>
          <w:fldChar w:fldCharType="separate"/>
        </w:r>
        <w:r w:rsidR="00C540F6">
          <w:rPr>
            <w:noProof/>
            <w:webHidden/>
          </w:rPr>
          <w:t>3</w:t>
        </w:r>
        <w:r w:rsidR="00C540F6">
          <w:rPr>
            <w:noProof/>
            <w:webHidden/>
          </w:rPr>
          <w:fldChar w:fldCharType="end"/>
        </w:r>
      </w:hyperlink>
    </w:p>
    <w:p w14:paraId="6EA65572" w14:textId="5CDE10FF" w:rsidR="00C540F6" w:rsidRDefault="008C66F7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3967490" w:history="1">
        <w:r w:rsidR="00C540F6" w:rsidRPr="003E7CDD">
          <w:rPr>
            <w:rStyle w:val="Hyperlink"/>
            <w:noProof/>
          </w:rPr>
          <w:t>3</w:t>
        </w:r>
        <w:r w:rsidR="00C540F6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C540F6" w:rsidRPr="003E7CDD">
          <w:rPr>
            <w:rStyle w:val="Hyperlink"/>
            <w:noProof/>
          </w:rPr>
          <w:t>Authority</w:t>
        </w:r>
        <w:r w:rsidR="00C540F6">
          <w:rPr>
            <w:noProof/>
            <w:webHidden/>
          </w:rPr>
          <w:tab/>
        </w:r>
        <w:r w:rsidR="00C540F6">
          <w:rPr>
            <w:noProof/>
            <w:webHidden/>
          </w:rPr>
          <w:fldChar w:fldCharType="begin"/>
        </w:r>
        <w:r w:rsidR="00C540F6">
          <w:rPr>
            <w:noProof/>
            <w:webHidden/>
          </w:rPr>
          <w:instrText xml:space="preserve"> PAGEREF _Toc153967490 \h </w:instrText>
        </w:r>
        <w:r w:rsidR="00C540F6">
          <w:rPr>
            <w:noProof/>
            <w:webHidden/>
          </w:rPr>
        </w:r>
        <w:r w:rsidR="00C540F6">
          <w:rPr>
            <w:noProof/>
            <w:webHidden/>
          </w:rPr>
          <w:fldChar w:fldCharType="separate"/>
        </w:r>
        <w:r w:rsidR="00C540F6">
          <w:rPr>
            <w:noProof/>
            <w:webHidden/>
          </w:rPr>
          <w:t>3</w:t>
        </w:r>
        <w:r w:rsidR="00C540F6">
          <w:rPr>
            <w:noProof/>
            <w:webHidden/>
          </w:rPr>
          <w:fldChar w:fldCharType="end"/>
        </w:r>
      </w:hyperlink>
    </w:p>
    <w:p w14:paraId="7E28DF29" w14:textId="21743BBB" w:rsidR="00C540F6" w:rsidRDefault="008C66F7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3967491" w:history="1">
        <w:r w:rsidR="00C540F6" w:rsidRPr="003E7CDD">
          <w:rPr>
            <w:rStyle w:val="Hyperlink"/>
            <w:noProof/>
          </w:rPr>
          <w:t>4</w:t>
        </w:r>
        <w:r w:rsidR="00C540F6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C540F6" w:rsidRPr="003E7CDD">
          <w:rPr>
            <w:rStyle w:val="Hyperlink"/>
            <w:noProof/>
          </w:rPr>
          <w:t>Schedules</w:t>
        </w:r>
        <w:r w:rsidR="00C540F6">
          <w:rPr>
            <w:noProof/>
            <w:webHidden/>
          </w:rPr>
          <w:tab/>
        </w:r>
        <w:r w:rsidR="00C540F6">
          <w:rPr>
            <w:noProof/>
            <w:webHidden/>
          </w:rPr>
          <w:fldChar w:fldCharType="begin"/>
        </w:r>
        <w:r w:rsidR="00C540F6">
          <w:rPr>
            <w:noProof/>
            <w:webHidden/>
          </w:rPr>
          <w:instrText xml:space="preserve"> PAGEREF _Toc153967491 \h </w:instrText>
        </w:r>
        <w:r w:rsidR="00C540F6">
          <w:rPr>
            <w:noProof/>
            <w:webHidden/>
          </w:rPr>
        </w:r>
        <w:r w:rsidR="00C540F6">
          <w:rPr>
            <w:noProof/>
            <w:webHidden/>
          </w:rPr>
          <w:fldChar w:fldCharType="separate"/>
        </w:r>
        <w:r w:rsidR="00C540F6">
          <w:rPr>
            <w:noProof/>
            <w:webHidden/>
          </w:rPr>
          <w:t>3</w:t>
        </w:r>
        <w:r w:rsidR="00C540F6">
          <w:rPr>
            <w:noProof/>
            <w:webHidden/>
          </w:rPr>
          <w:fldChar w:fldCharType="end"/>
        </w:r>
      </w:hyperlink>
    </w:p>
    <w:p w14:paraId="010625B4" w14:textId="4F498099" w:rsidR="00C540F6" w:rsidRDefault="008C66F7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53967492" w:history="1">
        <w:r w:rsidR="00C540F6" w:rsidRPr="003E7CDD">
          <w:rPr>
            <w:rStyle w:val="Hyperlink"/>
            <w:noProof/>
          </w:rPr>
          <w:t>Schedule 1—Amendments</w:t>
        </w:r>
        <w:r w:rsidR="00C540F6">
          <w:rPr>
            <w:noProof/>
            <w:webHidden/>
          </w:rPr>
          <w:tab/>
        </w:r>
        <w:r w:rsidR="00C540F6">
          <w:rPr>
            <w:noProof/>
            <w:webHidden/>
          </w:rPr>
          <w:fldChar w:fldCharType="begin"/>
        </w:r>
        <w:r w:rsidR="00C540F6">
          <w:rPr>
            <w:noProof/>
            <w:webHidden/>
          </w:rPr>
          <w:instrText xml:space="preserve"> PAGEREF _Toc153967492 \h </w:instrText>
        </w:r>
        <w:r w:rsidR="00C540F6">
          <w:rPr>
            <w:noProof/>
            <w:webHidden/>
          </w:rPr>
        </w:r>
        <w:r w:rsidR="00C540F6">
          <w:rPr>
            <w:noProof/>
            <w:webHidden/>
          </w:rPr>
          <w:fldChar w:fldCharType="separate"/>
        </w:r>
        <w:r w:rsidR="00C540F6">
          <w:rPr>
            <w:noProof/>
            <w:webHidden/>
          </w:rPr>
          <w:t>4</w:t>
        </w:r>
        <w:r w:rsidR="00C540F6">
          <w:rPr>
            <w:noProof/>
            <w:webHidden/>
          </w:rPr>
          <w:fldChar w:fldCharType="end"/>
        </w:r>
      </w:hyperlink>
    </w:p>
    <w:p w14:paraId="63E11CF7" w14:textId="4421A15E" w:rsidR="00C540F6" w:rsidRDefault="008C66F7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3967493" w:history="1">
        <w:r w:rsidR="00C540F6" w:rsidRPr="003E7CDD">
          <w:rPr>
            <w:rStyle w:val="Hyperlink"/>
            <w:i/>
            <w:iCs/>
            <w:noProof/>
          </w:rPr>
          <w:t>ASIC Corporations (Post Balance Date Reporting) Instrument 201/842</w:t>
        </w:r>
        <w:r w:rsidR="00C540F6">
          <w:rPr>
            <w:noProof/>
            <w:webHidden/>
          </w:rPr>
          <w:tab/>
        </w:r>
        <w:r w:rsidR="00C540F6">
          <w:rPr>
            <w:noProof/>
            <w:webHidden/>
          </w:rPr>
          <w:fldChar w:fldCharType="begin"/>
        </w:r>
        <w:r w:rsidR="00C540F6">
          <w:rPr>
            <w:noProof/>
            <w:webHidden/>
          </w:rPr>
          <w:instrText xml:space="preserve"> PAGEREF _Toc153967493 \h </w:instrText>
        </w:r>
        <w:r w:rsidR="00C540F6">
          <w:rPr>
            <w:noProof/>
            <w:webHidden/>
          </w:rPr>
        </w:r>
        <w:r w:rsidR="00C540F6">
          <w:rPr>
            <w:noProof/>
            <w:webHidden/>
          </w:rPr>
          <w:fldChar w:fldCharType="separate"/>
        </w:r>
        <w:r w:rsidR="00C540F6">
          <w:rPr>
            <w:noProof/>
            <w:webHidden/>
          </w:rPr>
          <w:t>4</w:t>
        </w:r>
        <w:r w:rsidR="00C540F6">
          <w:rPr>
            <w:noProof/>
            <w:webHidden/>
          </w:rPr>
          <w:fldChar w:fldCharType="end"/>
        </w:r>
      </w:hyperlink>
    </w:p>
    <w:p w14:paraId="4E2120DF" w14:textId="5535B2FD" w:rsidR="00C540F6" w:rsidRDefault="008C66F7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3967494" w:history="1">
        <w:r w:rsidR="00C540F6" w:rsidRPr="003E7CDD">
          <w:rPr>
            <w:rStyle w:val="Hyperlink"/>
            <w:i/>
            <w:iCs/>
            <w:noProof/>
          </w:rPr>
          <w:t>ASIC Corporations (Disclosing Entities) Instrument 2016/190</w:t>
        </w:r>
        <w:r w:rsidR="00C540F6">
          <w:rPr>
            <w:noProof/>
            <w:webHidden/>
          </w:rPr>
          <w:tab/>
        </w:r>
        <w:r w:rsidR="00C540F6">
          <w:rPr>
            <w:noProof/>
            <w:webHidden/>
          </w:rPr>
          <w:fldChar w:fldCharType="begin"/>
        </w:r>
        <w:r w:rsidR="00C540F6">
          <w:rPr>
            <w:noProof/>
            <w:webHidden/>
          </w:rPr>
          <w:instrText xml:space="preserve"> PAGEREF _Toc153967494 \h </w:instrText>
        </w:r>
        <w:r w:rsidR="00C540F6">
          <w:rPr>
            <w:noProof/>
            <w:webHidden/>
          </w:rPr>
        </w:r>
        <w:r w:rsidR="00C540F6">
          <w:rPr>
            <w:noProof/>
            <w:webHidden/>
          </w:rPr>
          <w:fldChar w:fldCharType="separate"/>
        </w:r>
        <w:r w:rsidR="00C540F6">
          <w:rPr>
            <w:noProof/>
            <w:webHidden/>
          </w:rPr>
          <w:t>4</w:t>
        </w:r>
        <w:r w:rsidR="00C540F6">
          <w:rPr>
            <w:noProof/>
            <w:webHidden/>
          </w:rPr>
          <w:fldChar w:fldCharType="end"/>
        </w:r>
      </w:hyperlink>
    </w:p>
    <w:p w14:paraId="67F6FAF4" w14:textId="2D304FEB" w:rsidR="00C540F6" w:rsidRDefault="008C66F7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3967495" w:history="1">
        <w:r w:rsidR="00C540F6" w:rsidRPr="003E7CDD">
          <w:rPr>
            <w:rStyle w:val="Hyperlink"/>
            <w:i/>
            <w:iCs/>
            <w:noProof/>
          </w:rPr>
          <w:t>ASIC Corporations (Rounding in Financial/Directors’ Reports) Instrument 2016/191</w:t>
        </w:r>
        <w:r w:rsidR="00C540F6">
          <w:rPr>
            <w:noProof/>
            <w:webHidden/>
          </w:rPr>
          <w:tab/>
        </w:r>
        <w:r w:rsidR="00C540F6">
          <w:rPr>
            <w:noProof/>
            <w:webHidden/>
          </w:rPr>
          <w:fldChar w:fldCharType="begin"/>
        </w:r>
        <w:r w:rsidR="00C540F6">
          <w:rPr>
            <w:noProof/>
            <w:webHidden/>
          </w:rPr>
          <w:instrText xml:space="preserve"> PAGEREF _Toc153967495 \h </w:instrText>
        </w:r>
        <w:r w:rsidR="00C540F6">
          <w:rPr>
            <w:noProof/>
            <w:webHidden/>
          </w:rPr>
        </w:r>
        <w:r w:rsidR="00C540F6">
          <w:rPr>
            <w:noProof/>
            <w:webHidden/>
          </w:rPr>
          <w:fldChar w:fldCharType="separate"/>
        </w:r>
        <w:r w:rsidR="00C540F6">
          <w:rPr>
            <w:noProof/>
            <w:webHidden/>
          </w:rPr>
          <w:t>6</w:t>
        </w:r>
        <w:r w:rsidR="00C540F6">
          <w:rPr>
            <w:noProof/>
            <w:webHidden/>
          </w:rPr>
          <w:fldChar w:fldCharType="end"/>
        </w:r>
      </w:hyperlink>
    </w:p>
    <w:p w14:paraId="20C7EE7B" w14:textId="09064AB8" w:rsidR="00670EA1" w:rsidRPr="00F61B09" w:rsidRDefault="003708CA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3114ACB1" w14:textId="77777777" w:rsidR="00670EA1" w:rsidRPr="00F61B09" w:rsidRDefault="00670EA1" w:rsidP="00715914">
      <w:pPr>
        <w:sectPr w:rsidR="00670EA1" w:rsidRPr="00F61B09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0131CB23" w14:textId="77777777" w:rsidR="00FA31DE" w:rsidRPr="00F61B09" w:rsidRDefault="00FA31DE" w:rsidP="006554FF">
      <w:pPr>
        <w:pStyle w:val="LI-Heading1"/>
      </w:pPr>
      <w:bookmarkStart w:id="2" w:name="BK_S3P1L1C1"/>
      <w:bookmarkStart w:id="3" w:name="_Toc153967487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6E4AA01B" w14:textId="77777777" w:rsidR="00FA31DE" w:rsidRDefault="00FA31DE" w:rsidP="00C11452">
      <w:pPr>
        <w:pStyle w:val="LI-Heading2"/>
        <w:rPr>
          <w:szCs w:val="24"/>
        </w:rPr>
      </w:pPr>
      <w:bookmarkStart w:id="4" w:name="_Toc153967488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4"/>
    </w:p>
    <w:p w14:paraId="1948D25A" w14:textId="77777777" w:rsidR="001D7526" w:rsidRDefault="001D7526" w:rsidP="001D7526">
      <w:pPr>
        <w:pStyle w:val="LI-BodyTextUnnumbered"/>
      </w:pPr>
      <w:r>
        <w:t xml:space="preserve">This is the </w:t>
      </w:r>
      <w:r w:rsidRPr="5E6FC03A">
        <w:rPr>
          <w:i/>
          <w:iCs/>
        </w:rPr>
        <w:t>ASIC Corporations (Amendment) Instrument 2023/142.</w:t>
      </w:r>
    </w:p>
    <w:p w14:paraId="052395D1" w14:textId="77777777" w:rsidR="00FA31DE" w:rsidRPr="008C0F29" w:rsidRDefault="00FA31DE" w:rsidP="00C11452">
      <w:pPr>
        <w:pStyle w:val="LI-Heading2"/>
        <w:rPr>
          <w:szCs w:val="24"/>
        </w:rPr>
      </w:pPr>
      <w:bookmarkStart w:id="5" w:name="_Toc153967489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41373769" w14:textId="77777777" w:rsidR="00FA31DE" w:rsidRPr="008C0F29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 w:rsidR="004823C0">
        <w:rPr>
          <w:szCs w:val="24"/>
        </w:rPr>
        <w:t xml:space="preserve">after it is </w:t>
      </w:r>
      <w:r w:rsidR="0075106E">
        <w:rPr>
          <w:szCs w:val="24"/>
        </w:rPr>
        <w:t>registered on</w:t>
      </w:r>
      <w:r w:rsidR="004823C0">
        <w:rPr>
          <w:szCs w:val="24"/>
        </w:rPr>
        <w:t xml:space="preserve"> the </w:t>
      </w:r>
      <w:r w:rsidR="004823C0" w:rsidRPr="00255007">
        <w:rPr>
          <w:szCs w:val="24"/>
        </w:rPr>
        <w:t>Federal</w:t>
      </w:r>
      <w:r w:rsidR="00F60F2F" w:rsidRPr="00255007">
        <w:rPr>
          <w:szCs w:val="24"/>
        </w:rPr>
        <w:t> </w:t>
      </w:r>
      <w:r w:rsidR="004823C0" w:rsidRPr="00255007">
        <w:rPr>
          <w:szCs w:val="24"/>
        </w:rPr>
        <w:t>Register of</w:t>
      </w:r>
      <w:r w:rsidR="00255007" w:rsidRPr="00255007">
        <w:rPr>
          <w:szCs w:val="24"/>
        </w:rPr>
        <w:t xml:space="preserve"> Legislation</w:t>
      </w:r>
      <w:r w:rsidRPr="008C0F29">
        <w:rPr>
          <w:szCs w:val="24"/>
        </w:rPr>
        <w:t>.</w:t>
      </w:r>
    </w:p>
    <w:p w14:paraId="7E5591BB" w14:textId="77777777" w:rsidR="00FA31DE" w:rsidRDefault="00FA31DE" w:rsidP="00BA2950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hyperlink r:id="rId26" w:history="1">
        <w:r w:rsidR="00E763DA" w:rsidRPr="008B4C0E">
          <w:rPr>
            <w:rStyle w:val="Hyperlink"/>
          </w:rPr>
          <w:t>www.legislation.gov.au</w:t>
        </w:r>
      </w:hyperlink>
      <w:r w:rsidR="004823C0">
        <w:t>.</w:t>
      </w:r>
    </w:p>
    <w:p w14:paraId="33C4A3ED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6" w:name="_Toc153967490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6CA3BF9D" w14:textId="4372F86F" w:rsidR="00AE1D1E" w:rsidRPr="008C0F29" w:rsidRDefault="00AE1D1E" w:rsidP="00AE1D1E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instrument is made under </w:t>
      </w:r>
      <w:r>
        <w:rPr>
          <w:szCs w:val="24"/>
        </w:rPr>
        <w:t>subsection</w:t>
      </w:r>
      <w:r w:rsidR="000E7607">
        <w:rPr>
          <w:szCs w:val="24"/>
        </w:rPr>
        <w:t>s</w:t>
      </w:r>
      <w:r>
        <w:rPr>
          <w:szCs w:val="24"/>
        </w:rPr>
        <w:t xml:space="preserve"> 341(1) and 992B(1) </w:t>
      </w:r>
      <w:r w:rsidRPr="005D3D41">
        <w:rPr>
          <w:szCs w:val="24"/>
        </w:rPr>
        <w:t xml:space="preserve">of </w:t>
      </w:r>
      <w:r>
        <w:rPr>
          <w:szCs w:val="24"/>
        </w:rPr>
        <w:t xml:space="preserve">the </w:t>
      </w:r>
      <w:r w:rsidRPr="00AD24B6">
        <w:rPr>
          <w:i/>
          <w:szCs w:val="24"/>
        </w:rPr>
        <w:t>Corporations A</w:t>
      </w:r>
      <w:r>
        <w:rPr>
          <w:i/>
          <w:szCs w:val="24"/>
        </w:rPr>
        <w:t>ct 2001</w:t>
      </w:r>
      <w:r w:rsidRPr="0058087A">
        <w:rPr>
          <w:i/>
          <w:szCs w:val="24"/>
        </w:rPr>
        <w:t>.</w:t>
      </w:r>
    </w:p>
    <w:p w14:paraId="17CD128D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7" w:name="_Toc153967491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Schedules</w:t>
      </w:r>
      <w:bookmarkEnd w:id="7"/>
    </w:p>
    <w:p w14:paraId="314D7A20" w14:textId="77777777" w:rsidR="0040053F" w:rsidRDefault="009B69D4" w:rsidP="009B69D4">
      <w:pPr>
        <w:pStyle w:val="LI-BodyTextUnnumbered"/>
      </w:pPr>
      <w:r w:rsidRPr="009B69D4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BB208C">
        <w:t>.</w:t>
      </w:r>
    </w:p>
    <w:p w14:paraId="2109C918" w14:textId="77777777" w:rsidR="00AC1F70" w:rsidRDefault="00AC1F70" w:rsidP="005C1C22">
      <w:pPr>
        <w:pStyle w:val="LI-BodyTextUnnumbered"/>
        <w:ind w:left="1701" w:hanging="567"/>
      </w:pPr>
    </w:p>
    <w:p w14:paraId="0F746787" w14:textId="77777777" w:rsidR="00AC1F70" w:rsidRDefault="00AC1F70" w:rsidP="005C1C22">
      <w:pPr>
        <w:pStyle w:val="LI-BodyTextUnnumbered"/>
        <w:ind w:left="1701" w:hanging="567"/>
        <w:sectPr w:rsidR="00AC1F70" w:rsidSect="007D230B">
          <w:headerReference w:type="even" r:id="rId27"/>
          <w:headerReference w:type="default" r:id="rId28"/>
          <w:footerReference w:type="even" r:id="rId29"/>
          <w:headerReference w:type="first" r:id="rId30"/>
          <w:footerReference w:type="first" r:id="rId31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7FB4564B" w14:textId="77777777" w:rsidR="00FA31DE" w:rsidRPr="00F61B09" w:rsidRDefault="009B69D4" w:rsidP="006554FF">
      <w:pPr>
        <w:pStyle w:val="LI-Heading1"/>
      </w:pPr>
      <w:bookmarkStart w:id="8" w:name="_Toc153967492"/>
      <w:r>
        <w:lastRenderedPageBreak/>
        <w:t>Schedule 1</w:t>
      </w:r>
      <w:r w:rsidR="00FA31DE" w:rsidRPr="00F61B09">
        <w:t>—</w:t>
      </w:r>
      <w:r w:rsidR="008E290E">
        <w:t>Amendment</w:t>
      </w:r>
      <w:r w:rsidR="00102307">
        <w:t>s</w:t>
      </w:r>
      <w:bookmarkEnd w:id="8"/>
    </w:p>
    <w:p w14:paraId="23910177" w14:textId="77777777" w:rsidR="006277A4" w:rsidRPr="000E48A4" w:rsidRDefault="006277A4" w:rsidP="006277A4">
      <w:pPr>
        <w:pStyle w:val="LI-Heading2"/>
        <w:rPr>
          <w:i/>
          <w:iCs/>
        </w:rPr>
      </w:pPr>
      <w:bookmarkStart w:id="9" w:name="_Toc149668722"/>
      <w:bookmarkStart w:id="10" w:name="_Toc153967493"/>
      <w:r w:rsidRPr="000E48A4">
        <w:rPr>
          <w:i/>
          <w:iCs/>
        </w:rPr>
        <w:t>ASIC Corporations (Post Balance Date Reporting) Instrument 201/842</w:t>
      </w:r>
      <w:bookmarkEnd w:id="9"/>
      <w:bookmarkEnd w:id="10"/>
    </w:p>
    <w:p w14:paraId="0CF1EBB4" w14:textId="77777777" w:rsidR="006277A4" w:rsidRDefault="006277A4" w:rsidP="006277A4">
      <w:pPr>
        <w:pStyle w:val="jade-outdent"/>
        <w:shd w:val="clear" w:color="auto" w:fill="FFFFFF"/>
        <w:ind w:left="567" w:hanging="567"/>
        <w:rPr>
          <w:b/>
          <w:bCs/>
          <w:color w:val="333333"/>
        </w:rPr>
      </w:pPr>
      <w:r w:rsidRPr="006249B6">
        <w:rPr>
          <w:b/>
          <w:bCs/>
          <w:color w:val="333333"/>
        </w:rPr>
        <w:t>1      </w:t>
      </w:r>
      <w:r>
        <w:rPr>
          <w:b/>
          <w:bCs/>
          <w:color w:val="333333"/>
        </w:rPr>
        <w:t>Section 1</w:t>
      </w:r>
    </w:p>
    <w:p w14:paraId="37EC1815" w14:textId="77777777" w:rsidR="006277A4" w:rsidRPr="00C204D8" w:rsidRDefault="006277A4" w:rsidP="006277A4">
      <w:pPr>
        <w:pStyle w:val="jade-outdent"/>
        <w:shd w:val="clear" w:color="auto" w:fill="FFFFFF"/>
        <w:ind w:left="567" w:hanging="567"/>
        <w:rPr>
          <w:color w:val="333333"/>
        </w:rPr>
      </w:pPr>
      <w:r>
        <w:rPr>
          <w:b/>
          <w:bCs/>
          <w:color w:val="333333"/>
        </w:rPr>
        <w:tab/>
      </w:r>
      <w:r>
        <w:rPr>
          <w:color w:val="333333"/>
        </w:rPr>
        <w:t>Omit “201/842”, substitute “2015/842”.</w:t>
      </w:r>
    </w:p>
    <w:p w14:paraId="7764A03D" w14:textId="77777777" w:rsidR="006277A4" w:rsidRPr="006249B6" w:rsidRDefault="006277A4" w:rsidP="006277A4">
      <w:pPr>
        <w:pStyle w:val="jade-outdent"/>
        <w:shd w:val="clear" w:color="auto" w:fill="FFFFFF"/>
        <w:ind w:left="567" w:hanging="567"/>
        <w:rPr>
          <w:color w:val="333333"/>
        </w:rPr>
      </w:pPr>
      <w:r>
        <w:rPr>
          <w:b/>
          <w:bCs/>
          <w:color w:val="333333"/>
        </w:rPr>
        <w:t>2</w:t>
      </w:r>
      <w:r>
        <w:rPr>
          <w:b/>
          <w:bCs/>
          <w:color w:val="333333"/>
        </w:rPr>
        <w:tab/>
        <w:t xml:space="preserve">Subsection </w:t>
      </w:r>
      <w:r w:rsidRPr="006249B6">
        <w:rPr>
          <w:b/>
          <w:bCs/>
          <w:color w:val="333333"/>
        </w:rPr>
        <w:t>4</w:t>
      </w:r>
      <w:r>
        <w:rPr>
          <w:b/>
          <w:bCs/>
          <w:color w:val="333333"/>
        </w:rPr>
        <w:t>(1)</w:t>
      </w:r>
      <w:r w:rsidRPr="006249B6">
        <w:rPr>
          <w:b/>
          <w:bCs/>
          <w:color w:val="333333"/>
        </w:rPr>
        <w:t xml:space="preserve"> (definition of </w:t>
      </w:r>
      <w:r>
        <w:rPr>
          <w:b/>
          <w:bCs/>
          <w:i/>
          <w:iCs/>
          <w:color w:val="333333"/>
        </w:rPr>
        <w:t>relevant entity</w:t>
      </w:r>
      <w:r w:rsidRPr="006249B6">
        <w:rPr>
          <w:b/>
          <w:bCs/>
          <w:color w:val="333333"/>
        </w:rPr>
        <w:t>)</w:t>
      </w:r>
    </w:p>
    <w:p w14:paraId="6A64305B" w14:textId="77777777" w:rsidR="006277A4" w:rsidRDefault="006277A4" w:rsidP="006277A4">
      <w:pPr>
        <w:pStyle w:val="NormalWeb"/>
        <w:shd w:val="clear" w:color="auto" w:fill="FFFFFF"/>
        <w:ind w:left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After “registered scheme”, insert “, </w:t>
      </w:r>
      <w:r w:rsidRPr="00200BCA">
        <w:rPr>
          <w:color w:val="000000"/>
          <w:shd w:val="clear" w:color="auto" w:fill="FFFFFF"/>
        </w:rPr>
        <w:t>registrable superannuation entity</w:t>
      </w:r>
      <w:r>
        <w:rPr>
          <w:color w:val="000000"/>
          <w:shd w:val="clear" w:color="auto" w:fill="FFFFFF"/>
        </w:rPr>
        <w:t>”.</w:t>
      </w:r>
    </w:p>
    <w:p w14:paraId="209FF7FD" w14:textId="77777777" w:rsidR="006277A4" w:rsidRPr="006249B6" w:rsidRDefault="006277A4" w:rsidP="006277A4">
      <w:pPr>
        <w:pStyle w:val="jade-outdent"/>
        <w:shd w:val="clear" w:color="auto" w:fill="FFFFFF"/>
        <w:ind w:left="567" w:hanging="567"/>
        <w:rPr>
          <w:color w:val="333333"/>
        </w:rPr>
      </w:pPr>
      <w:r>
        <w:rPr>
          <w:b/>
          <w:bCs/>
          <w:color w:val="333333"/>
        </w:rPr>
        <w:t>3</w:t>
      </w:r>
      <w:r>
        <w:rPr>
          <w:b/>
          <w:bCs/>
          <w:color w:val="333333"/>
        </w:rPr>
        <w:tab/>
        <w:t>Subsection 5(1)</w:t>
      </w:r>
      <w:r w:rsidRPr="006249B6">
        <w:rPr>
          <w:b/>
          <w:bCs/>
          <w:color w:val="333333"/>
        </w:rPr>
        <w:t xml:space="preserve"> </w:t>
      </w:r>
    </w:p>
    <w:p w14:paraId="33F97216" w14:textId="77777777" w:rsidR="006277A4" w:rsidRDefault="006277A4" w:rsidP="006277A4">
      <w:pPr>
        <w:pStyle w:val="NormalWeb"/>
        <w:shd w:val="clear" w:color="auto" w:fill="FFFFFF"/>
        <w:ind w:left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After “Part 2M.3 of the Act”, insert “, and a retail CCIV</w:t>
      </w:r>
      <w:r w:rsidRPr="00BD4C8F">
        <w:rPr>
          <w:color w:val="000000"/>
          <w:shd w:val="clear" w:color="auto" w:fill="FFFFFF"/>
        </w:rPr>
        <w:t xml:space="preserve"> does not have to comply with Part 2M.3 of the Act</w:t>
      </w:r>
      <w:r>
        <w:rPr>
          <w:color w:val="000000"/>
          <w:shd w:val="clear" w:color="auto" w:fill="FFFFFF"/>
        </w:rPr>
        <w:t xml:space="preserve"> in relation to a sub-fund,”.</w:t>
      </w:r>
    </w:p>
    <w:p w14:paraId="039A9348" w14:textId="77777777" w:rsidR="006277A4" w:rsidRPr="006249B6" w:rsidRDefault="006277A4" w:rsidP="006277A4">
      <w:pPr>
        <w:pStyle w:val="jade-outdent"/>
        <w:shd w:val="clear" w:color="auto" w:fill="FFFFFF"/>
        <w:ind w:left="567" w:hanging="567"/>
        <w:rPr>
          <w:color w:val="333333"/>
        </w:rPr>
      </w:pPr>
      <w:r>
        <w:rPr>
          <w:b/>
          <w:bCs/>
          <w:color w:val="333333"/>
        </w:rPr>
        <w:t>4</w:t>
      </w:r>
      <w:r>
        <w:rPr>
          <w:b/>
          <w:bCs/>
          <w:color w:val="333333"/>
        </w:rPr>
        <w:tab/>
        <w:t>Subparagraph 5(2)(a)(</w:t>
      </w:r>
      <w:proofErr w:type="spellStart"/>
      <w:r>
        <w:rPr>
          <w:b/>
          <w:bCs/>
          <w:color w:val="333333"/>
        </w:rPr>
        <w:t>i</w:t>
      </w:r>
      <w:proofErr w:type="spellEnd"/>
      <w:r>
        <w:rPr>
          <w:b/>
          <w:bCs/>
          <w:color w:val="333333"/>
        </w:rPr>
        <w:t>)</w:t>
      </w:r>
      <w:r w:rsidRPr="006249B6">
        <w:rPr>
          <w:b/>
          <w:bCs/>
          <w:color w:val="333333"/>
        </w:rPr>
        <w:t xml:space="preserve"> </w:t>
      </w:r>
    </w:p>
    <w:p w14:paraId="5C10EA1A" w14:textId="77777777" w:rsidR="006277A4" w:rsidRDefault="006277A4" w:rsidP="006277A4">
      <w:pPr>
        <w:pStyle w:val="NormalWeb"/>
        <w:shd w:val="clear" w:color="auto" w:fill="FFFFFF"/>
        <w:ind w:left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After “relevant entity”, insert “or sub-fund (as the case may be)”.</w:t>
      </w:r>
    </w:p>
    <w:p w14:paraId="0FF1C316" w14:textId="77777777" w:rsidR="006277A4" w:rsidRPr="006249B6" w:rsidRDefault="006277A4" w:rsidP="006277A4">
      <w:pPr>
        <w:pStyle w:val="jade-outdent"/>
        <w:shd w:val="clear" w:color="auto" w:fill="FFFFFF"/>
        <w:ind w:left="567" w:hanging="567"/>
        <w:rPr>
          <w:color w:val="333333"/>
        </w:rPr>
      </w:pPr>
      <w:r>
        <w:rPr>
          <w:b/>
          <w:bCs/>
          <w:color w:val="333333"/>
        </w:rPr>
        <w:t>5</w:t>
      </w:r>
      <w:r>
        <w:rPr>
          <w:b/>
          <w:bCs/>
          <w:color w:val="333333"/>
        </w:rPr>
        <w:tab/>
        <w:t>Sub-subparagraph 5(2)(a)(</w:t>
      </w:r>
      <w:proofErr w:type="spellStart"/>
      <w:r>
        <w:rPr>
          <w:b/>
          <w:bCs/>
          <w:color w:val="333333"/>
        </w:rPr>
        <w:t>i</w:t>
      </w:r>
      <w:proofErr w:type="spellEnd"/>
      <w:r>
        <w:rPr>
          <w:b/>
          <w:bCs/>
          <w:color w:val="333333"/>
        </w:rPr>
        <w:t>)(B)</w:t>
      </w:r>
      <w:r w:rsidRPr="006249B6">
        <w:rPr>
          <w:b/>
          <w:bCs/>
          <w:color w:val="333333"/>
        </w:rPr>
        <w:t xml:space="preserve"> </w:t>
      </w:r>
    </w:p>
    <w:p w14:paraId="48D5DC16" w14:textId="77777777" w:rsidR="006277A4" w:rsidRDefault="006277A4" w:rsidP="006277A4">
      <w:pPr>
        <w:pStyle w:val="NormalWeb"/>
        <w:shd w:val="clear" w:color="auto" w:fill="FFFFFF"/>
        <w:ind w:left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After “relevant entity’s”, insert “or sub-fund’s (as the case may be)”.</w:t>
      </w:r>
    </w:p>
    <w:p w14:paraId="4F692191" w14:textId="77777777" w:rsidR="006277A4" w:rsidRPr="000E48A4" w:rsidRDefault="006277A4" w:rsidP="006277A4">
      <w:pPr>
        <w:pStyle w:val="LI-Heading2"/>
        <w:rPr>
          <w:i/>
          <w:iCs/>
        </w:rPr>
      </w:pPr>
      <w:bookmarkStart w:id="11" w:name="_Toc132725764"/>
      <w:bookmarkStart w:id="12" w:name="_Toc149668723"/>
      <w:bookmarkStart w:id="13" w:name="_Toc153967494"/>
      <w:bookmarkEnd w:id="11"/>
      <w:r w:rsidRPr="000E48A4">
        <w:rPr>
          <w:i/>
          <w:iCs/>
        </w:rPr>
        <w:t>ASIC Corporations (Disclosing Entities) Instrument 2016/190</w:t>
      </w:r>
      <w:bookmarkEnd w:id="12"/>
      <w:bookmarkEnd w:id="13"/>
    </w:p>
    <w:p w14:paraId="0F398EE5" w14:textId="77777777" w:rsidR="006277A4" w:rsidRDefault="006277A4" w:rsidP="006277A4">
      <w:pPr>
        <w:pStyle w:val="jade-outdent"/>
        <w:shd w:val="clear" w:color="auto" w:fill="FFFFFF"/>
        <w:ind w:left="567" w:hanging="567"/>
        <w:rPr>
          <w:b/>
          <w:bCs/>
          <w:color w:val="333333"/>
        </w:rPr>
      </w:pPr>
      <w:r>
        <w:rPr>
          <w:b/>
          <w:bCs/>
          <w:color w:val="333333"/>
        </w:rPr>
        <w:t>6</w:t>
      </w:r>
      <w:r>
        <w:rPr>
          <w:b/>
          <w:bCs/>
          <w:color w:val="333333"/>
        </w:rPr>
        <w:tab/>
        <w:t xml:space="preserve">Section 4 (definition of </w:t>
      </w:r>
      <w:r w:rsidRPr="00541B47">
        <w:rPr>
          <w:b/>
          <w:bCs/>
          <w:i/>
          <w:iCs/>
          <w:color w:val="333333"/>
        </w:rPr>
        <w:t>directors’ report</w:t>
      </w:r>
      <w:r>
        <w:rPr>
          <w:b/>
          <w:bCs/>
          <w:color w:val="333333"/>
        </w:rPr>
        <w:t>)</w:t>
      </w:r>
    </w:p>
    <w:p w14:paraId="2E2BAB27" w14:textId="77777777" w:rsidR="006277A4" w:rsidRPr="00541B47" w:rsidRDefault="006277A4" w:rsidP="006277A4">
      <w:pPr>
        <w:pStyle w:val="jade-outdent"/>
        <w:shd w:val="clear" w:color="auto" w:fill="FFFFFF"/>
        <w:ind w:left="567"/>
        <w:rPr>
          <w:color w:val="333333"/>
        </w:rPr>
      </w:pPr>
      <w:r w:rsidRPr="00541B47">
        <w:rPr>
          <w:color w:val="333333"/>
        </w:rPr>
        <w:t>Repeal the definition.</w:t>
      </w:r>
    </w:p>
    <w:p w14:paraId="5C51C757" w14:textId="77777777" w:rsidR="006277A4" w:rsidRPr="006249B6" w:rsidRDefault="006277A4" w:rsidP="006277A4">
      <w:pPr>
        <w:pStyle w:val="jade-outdent"/>
        <w:shd w:val="clear" w:color="auto" w:fill="FFFFFF"/>
        <w:rPr>
          <w:color w:val="333333"/>
        </w:rPr>
      </w:pPr>
      <w:r>
        <w:rPr>
          <w:b/>
          <w:bCs/>
          <w:color w:val="333333"/>
        </w:rPr>
        <w:t>7</w:t>
      </w:r>
      <w:r w:rsidRPr="006249B6">
        <w:rPr>
          <w:b/>
          <w:bCs/>
          <w:color w:val="333333"/>
        </w:rPr>
        <w:t xml:space="preserve">      Section </w:t>
      </w:r>
      <w:r>
        <w:rPr>
          <w:b/>
          <w:bCs/>
          <w:color w:val="333333"/>
        </w:rPr>
        <w:t>4</w:t>
      </w:r>
    </w:p>
    <w:p w14:paraId="48593C15" w14:textId="77777777" w:rsidR="006277A4" w:rsidRDefault="006277A4" w:rsidP="006277A4">
      <w:pPr>
        <w:pStyle w:val="LI-BodyTextNumbered"/>
        <w:ind w:left="567" w:firstLine="0"/>
      </w:pPr>
      <w:r>
        <w:t>Insert:</w:t>
      </w:r>
    </w:p>
    <w:p w14:paraId="2262C58D" w14:textId="77777777" w:rsidR="006277A4" w:rsidRDefault="006277A4" w:rsidP="006277A4">
      <w:pPr>
        <w:pStyle w:val="LI-BodyTextNumbered"/>
        <w:ind w:left="1701"/>
      </w:pPr>
      <w:r w:rsidRPr="00541B47">
        <w:rPr>
          <w:b/>
          <w:bCs/>
          <w:i/>
          <w:iCs/>
        </w:rPr>
        <w:t>disclosing entity</w:t>
      </w:r>
      <w:r>
        <w:t xml:space="preserve">: </w:t>
      </w:r>
    </w:p>
    <w:p w14:paraId="4241767C" w14:textId="77777777" w:rsidR="006277A4" w:rsidRDefault="006277A4" w:rsidP="006277A4">
      <w:pPr>
        <w:pStyle w:val="LI-BodyTextNumbered"/>
        <w:ind w:left="1701"/>
        <w:rPr>
          <w:shd w:val="clear" w:color="auto" w:fill="FFFFFF"/>
        </w:rPr>
      </w:pPr>
      <w:r>
        <w:t>(a)</w:t>
      </w:r>
      <w:r>
        <w:tab/>
      </w:r>
      <w:r w:rsidRPr="006A6DF6">
        <w:t xml:space="preserve">a </w:t>
      </w:r>
      <w:r w:rsidRPr="006A6DF6">
        <w:rPr>
          <w:shd w:val="clear" w:color="auto" w:fill="FFFFFF"/>
        </w:rPr>
        <w:t xml:space="preserve">retail CCIV is a </w:t>
      </w:r>
      <w:r w:rsidRPr="00C90424">
        <w:rPr>
          <w:b/>
          <w:i/>
          <w:iCs/>
          <w:shd w:val="clear" w:color="auto" w:fill="FFFFFF"/>
        </w:rPr>
        <w:t>disclosing entity</w:t>
      </w:r>
      <w:r w:rsidRPr="00CB149E">
        <w:rPr>
          <w:i/>
          <w:iCs/>
          <w:shd w:val="clear" w:color="auto" w:fill="FFFFFF"/>
        </w:rPr>
        <w:t xml:space="preserve"> </w:t>
      </w:r>
      <w:r w:rsidRPr="006A6DF6">
        <w:rPr>
          <w:shd w:val="clear" w:color="auto" w:fill="FFFFFF"/>
        </w:rPr>
        <w:t xml:space="preserve">in relation to a sub-fund </w:t>
      </w:r>
      <w:r w:rsidRPr="00CB149E">
        <w:rPr>
          <w:bCs/>
          <w:shd w:val="clear" w:color="auto" w:fill="FFFFFF"/>
        </w:rPr>
        <w:t>of the retail CCIV</w:t>
      </w:r>
      <w:r>
        <w:rPr>
          <w:b/>
          <w:shd w:val="clear" w:color="auto" w:fill="FFFFFF"/>
        </w:rPr>
        <w:t xml:space="preserve"> </w:t>
      </w:r>
      <w:r w:rsidRPr="006A6DF6">
        <w:rPr>
          <w:shd w:val="clear" w:color="auto" w:fill="FFFFFF"/>
        </w:rPr>
        <w:t>if any securities referable (within the meaning of subsection 1232F(2)</w:t>
      </w:r>
      <w:r>
        <w:rPr>
          <w:shd w:val="clear" w:color="auto" w:fill="FFFFFF"/>
        </w:rPr>
        <w:t xml:space="preserve"> of the Act</w:t>
      </w:r>
      <w:r w:rsidRPr="006A6DF6">
        <w:rPr>
          <w:shd w:val="clear" w:color="auto" w:fill="FFFFFF"/>
        </w:rPr>
        <w:t>) to the sub-fund are ED securities</w:t>
      </w:r>
      <w:r>
        <w:rPr>
          <w:shd w:val="clear" w:color="auto" w:fill="FFFFFF"/>
        </w:rPr>
        <w:t>; and</w:t>
      </w:r>
    </w:p>
    <w:p w14:paraId="646B38BA" w14:textId="77777777" w:rsidR="006277A4" w:rsidRDefault="006277A4" w:rsidP="006277A4">
      <w:pPr>
        <w:pStyle w:val="LI-BodyTextNumbered"/>
        <w:ind w:left="1701"/>
      </w:pPr>
      <w:r>
        <w:rPr>
          <w:shd w:val="clear" w:color="auto" w:fill="FFFFFF"/>
        </w:rPr>
        <w:t>(b)</w:t>
      </w:r>
      <w:r>
        <w:rPr>
          <w:shd w:val="clear" w:color="auto" w:fill="FFFFFF"/>
        </w:rPr>
        <w:tab/>
        <w:t xml:space="preserve">otherwise, </w:t>
      </w:r>
      <w:r w:rsidRPr="00541B47">
        <w:rPr>
          <w:b/>
          <w:bCs/>
          <w:i/>
          <w:iCs/>
          <w:shd w:val="clear" w:color="auto" w:fill="FFFFFF"/>
        </w:rPr>
        <w:t>disclosing entity</w:t>
      </w:r>
      <w:r>
        <w:rPr>
          <w:shd w:val="clear" w:color="auto" w:fill="FFFFFF"/>
        </w:rPr>
        <w:t xml:space="preserve"> has the same meaning as in section 9 of the Act.</w:t>
      </w:r>
    </w:p>
    <w:p w14:paraId="006C34EE" w14:textId="77777777" w:rsidR="006277A4" w:rsidRPr="006249B6" w:rsidRDefault="006277A4" w:rsidP="006277A4">
      <w:pPr>
        <w:pStyle w:val="jade-outdent"/>
        <w:shd w:val="clear" w:color="auto" w:fill="FFFFFF"/>
        <w:rPr>
          <w:color w:val="333333"/>
        </w:rPr>
      </w:pPr>
      <w:r>
        <w:rPr>
          <w:b/>
          <w:bCs/>
          <w:color w:val="333333"/>
        </w:rPr>
        <w:t>8</w:t>
      </w:r>
      <w:r w:rsidRPr="006249B6">
        <w:rPr>
          <w:b/>
          <w:bCs/>
          <w:color w:val="333333"/>
        </w:rPr>
        <w:t xml:space="preserve">      Section </w:t>
      </w:r>
      <w:r>
        <w:rPr>
          <w:b/>
          <w:bCs/>
          <w:color w:val="333333"/>
        </w:rPr>
        <w:t>5</w:t>
      </w:r>
      <w:r w:rsidRPr="006249B6">
        <w:rPr>
          <w:b/>
          <w:bCs/>
          <w:color w:val="333333"/>
        </w:rPr>
        <w:t xml:space="preserve"> (</w:t>
      </w:r>
      <w:r>
        <w:rPr>
          <w:b/>
          <w:bCs/>
          <w:color w:val="333333"/>
        </w:rPr>
        <w:t>heading</w:t>
      </w:r>
      <w:r w:rsidRPr="006249B6">
        <w:rPr>
          <w:b/>
          <w:bCs/>
          <w:color w:val="333333"/>
        </w:rPr>
        <w:t>)</w:t>
      </w:r>
    </w:p>
    <w:p w14:paraId="52373D84" w14:textId="77777777" w:rsidR="006277A4" w:rsidRDefault="006277A4" w:rsidP="006277A4">
      <w:pPr>
        <w:pStyle w:val="LI-BodyTextNumbered"/>
        <w:ind w:left="567" w:firstLine="0"/>
      </w:pPr>
      <w:r>
        <w:t>Omit “Bodies or schemes”, substitute, “Entities”.</w:t>
      </w:r>
    </w:p>
    <w:p w14:paraId="2C3FCD7E" w14:textId="77777777" w:rsidR="006277A4" w:rsidRPr="00541B47" w:rsidRDefault="006277A4" w:rsidP="006277A4">
      <w:pPr>
        <w:pStyle w:val="jade-outdent"/>
        <w:shd w:val="clear" w:color="auto" w:fill="FFFFFF"/>
        <w:rPr>
          <w:b/>
          <w:bCs/>
          <w:color w:val="333333"/>
        </w:rPr>
      </w:pPr>
      <w:r>
        <w:rPr>
          <w:b/>
          <w:bCs/>
          <w:color w:val="333333"/>
        </w:rPr>
        <w:lastRenderedPageBreak/>
        <w:t>9</w:t>
      </w:r>
      <w:r w:rsidRPr="006249B6">
        <w:rPr>
          <w:b/>
          <w:bCs/>
          <w:color w:val="333333"/>
        </w:rPr>
        <w:t>      </w:t>
      </w:r>
      <w:r>
        <w:rPr>
          <w:b/>
          <w:bCs/>
          <w:color w:val="333333"/>
        </w:rPr>
        <w:t>Subparagraph</w:t>
      </w:r>
      <w:r w:rsidRPr="006249B6">
        <w:rPr>
          <w:b/>
          <w:bCs/>
          <w:color w:val="333333"/>
        </w:rPr>
        <w:t xml:space="preserve"> </w:t>
      </w:r>
      <w:r>
        <w:rPr>
          <w:b/>
          <w:bCs/>
          <w:color w:val="333333"/>
        </w:rPr>
        <w:t>5(1)(a)(ii)</w:t>
      </w:r>
    </w:p>
    <w:p w14:paraId="26BB263A" w14:textId="77777777" w:rsidR="006277A4" w:rsidRPr="00541B47" w:rsidRDefault="006277A4" w:rsidP="006277A4">
      <w:pPr>
        <w:pStyle w:val="LI-BodyTextNumbered"/>
        <w:ind w:left="567" w:firstLine="0"/>
      </w:pPr>
      <w:r>
        <w:t>Omit “year.”, substitute, “year; and”.</w:t>
      </w:r>
    </w:p>
    <w:p w14:paraId="74B65589" w14:textId="77777777" w:rsidR="006277A4" w:rsidRPr="006249B6" w:rsidRDefault="006277A4" w:rsidP="006277A4">
      <w:pPr>
        <w:pStyle w:val="jade-outdent"/>
        <w:shd w:val="clear" w:color="auto" w:fill="FFFFFF"/>
        <w:rPr>
          <w:color w:val="333333"/>
        </w:rPr>
      </w:pPr>
      <w:r>
        <w:rPr>
          <w:b/>
          <w:bCs/>
          <w:color w:val="333333"/>
        </w:rPr>
        <w:t>10</w:t>
      </w:r>
      <w:r w:rsidRPr="006249B6">
        <w:rPr>
          <w:b/>
          <w:bCs/>
          <w:color w:val="333333"/>
        </w:rPr>
        <w:t>       </w:t>
      </w:r>
      <w:r>
        <w:rPr>
          <w:b/>
          <w:bCs/>
          <w:color w:val="333333"/>
        </w:rPr>
        <w:t>After s</w:t>
      </w:r>
      <w:r w:rsidRPr="006249B6">
        <w:rPr>
          <w:b/>
          <w:bCs/>
          <w:color w:val="333333"/>
        </w:rPr>
        <w:t xml:space="preserve">ubsection </w:t>
      </w:r>
      <w:r>
        <w:rPr>
          <w:b/>
          <w:bCs/>
          <w:color w:val="333333"/>
        </w:rPr>
        <w:t>5(1)</w:t>
      </w:r>
    </w:p>
    <w:p w14:paraId="11FC5A24" w14:textId="77777777" w:rsidR="006277A4" w:rsidRDefault="006277A4" w:rsidP="006277A4">
      <w:pPr>
        <w:shd w:val="clear" w:color="auto" w:fill="FFFFFF"/>
        <w:spacing w:before="120" w:after="120"/>
        <w:ind w:left="1134" w:hanging="567"/>
        <w:rPr>
          <w:rFonts w:eastAsia="Times New Roman"/>
          <w:color w:val="000000"/>
          <w:sz w:val="24"/>
          <w:szCs w:val="24"/>
          <w:lang w:eastAsia="en-AU"/>
        </w:rPr>
      </w:pPr>
      <w:r>
        <w:rPr>
          <w:rFonts w:eastAsia="Times New Roman"/>
          <w:color w:val="000000"/>
          <w:sz w:val="24"/>
          <w:szCs w:val="24"/>
          <w:lang w:eastAsia="en-AU"/>
        </w:rPr>
        <w:t>Insert:</w:t>
      </w:r>
    </w:p>
    <w:p w14:paraId="191AC3D0" w14:textId="77777777" w:rsidR="006277A4" w:rsidRDefault="006277A4" w:rsidP="006277A4">
      <w:pPr>
        <w:ind w:left="1701" w:hanging="567"/>
        <w:rPr>
          <w:color w:val="000000"/>
          <w:shd w:val="clear" w:color="auto" w:fill="FFFFFF"/>
        </w:rPr>
      </w:pPr>
      <w:r>
        <w:rPr>
          <w:rFonts w:eastAsia="Times New Roman"/>
          <w:color w:val="000000"/>
          <w:sz w:val="24"/>
          <w:szCs w:val="24"/>
          <w:lang w:eastAsia="en-AU"/>
        </w:rPr>
        <w:t>(1A)</w:t>
      </w:r>
      <w:r>
        <w:rPr>
          <w:rFonts w:eastAsia="Times New Roman"/>
          <w:color w:val="000000"/>
          <w:sz w:val="24"/>
          <w:szCs w:val="24"/>
          <w:lang w:eastAsia="en-AU"/>
        </w:rPr>
        <w:tab/>
        <w:t xml:space="preserve">A retail CCIV (the </w:t>
      </w:r>
      <w:r w:rsidRPr="00541B47">
        <w:rPr>
          <w:rFonts w:eastAsia="Times New Roman"/>
          <w:b/>
          <w:bCs/>
          <w:i/>
          <w:iCs/>
          <w:color w:val="000000"/>
          <w:sz w:val="24"/>
          <w:szCs w:val="24"/>
          <w:lang w:eastAsia="en-AU"/>
        </w:rPr>
        <w:t>entity</w:t>
      </w:r>
      <w:r>
        <w:rPr>
          <w:rFonts w:eastAsia="Times New Roman"/>
          <w:color w:val="000000"/>
          <w:sz w:val="24"/>
          <w:szCs w:val="24"/>
          <w:lang w:eastAsia="en-AU"/>
        </w:rPr>
        <w:t xml:space="preserve">) that </w:t>
      </w:r>
      <w:r w:rsidRPr="007B7A62">
        <w:rPr>
          <w:rFonts w:eastAsia="Times New Roman"/>
          <w:color w:val="000000"/>
          <w:sz w:val="24"/>
          <w:szCs w:val="24"/>
          <w:lang w:eastAsia="en-AU"/>
        </w:rPr>
        <w:t>is a</w:t>
      </w:r>
      <w:r w:rsidRPr="00541B47">
        <w:rPr>
          <w:rFonts w:eastAsiaTheme="minorHAnsi"/>
          <w:sz w:val="24"/>
          <w:szCs w:val="24"/>
        </w:rPr>
        <w:t xml:space="preserve"> disclosing entity </w:t>
      </w:r>
      <w:r w:rsidRPr="007B7A62">
        <w:rPr>
          <w:rFonts w:eastAsia="Times New Roman"/>
          <w:color w:val="000000"/>
          <w:sz w:val="24"/>
          <w:szCs w:val="24"/>
          <w:lang w:eastAsia="en-AU"/>
        </w:rPr>
        <w:t>in relation to a sub-fund of the retail CCIV</w:t>
      </w:r>
      <w:r w:rsidRPr="009E036E">
        <w:rPr>
          <w:rFonts w:eastAsia="Times New Roman"/>
          <w:color w:val="000000"/>
          <w:sz w:val="24"/>
          <w:szCs w:val="24"/>
          <w:lang w:eastAsia="en-AU"/>
        </w:rPr>
        <w:t xml:space="preserve"> at the end of its financial year (the </w:t>
      </w:r>
      <w:r w:rsidRPr="009E036E">
        <w:rPr>
          <w:rFonts w:eastAsia="Times New Roman"/>
          <w:b/>
          <w:bCs/>
          <w:i/>
          <w:iCs/>
          <w:color w:val="000000"/>
          <w:sz w:val="24"/>
          <w:szCs w:val="24"/>
          <w:lang w:eastAsia="en-AU"/>
        </w:rPr>
        <w:t>relevant financial year</w:t>
      </w:r>
      <w:r w:rsidRPr="009E036E">
        <w:rPr>
          <w:rFonts w:eastAsia="Times New Roman"/>
          <w:color w:val="000000"/>
          <w:sz w:val="24"/>
          <w:szCs w:val="24"/>
          <w:lang w:eastAsia="en-AU"/>
        </w:rPr>
        <w:t xml:space="preserve">) does not have to comply with the requirements of Chapter 2M of the Act to the extent that those requirements apply to the </w:t>
      </w:r>
      <w:r>
        <w:rPr>
          <w:rFonts w:eastAsia="Times New Roman"/>
          <w:color w:val="000000"/>
          <w:sz w:val="24"/>
          <w:szCs w:val="24"/>
          <w:lang w:eastAsia="en-AU"/>
        </w:rPr>
        <w:t>entity</w:t>
      </w:r>
      <w:r w:rsidRPr="009E036E">
        <w:rPr>
          <w:rFonts w:eastAsia="Times New Roman"/>
          <w:color w:val="000000"/>
          <w:sz w:val="24"/>
          <w:szCs w:val="24"/>
          <w:lang w:eastAsia="en-AU"/>
        </w:rPr>
        <w:t xml:space="preserve"> as a disclosing entity </w:t>
      </w:r>
      <w:r>
        <w:rPr>
          <w:rFonts w:eastAsia="Times New Roman"/>
          <w:color w:val="000000"/>
          <w:sz w:val="24"/>
          <w:szCs w:val="24"/>
          <w:lang w:eastAsia="en-AU"/>
        </w:rPr>
        <w:t xml:space="preserve">in relation to the sub-fund, </w:t>
      </w:r>
      <w:r w:rsidRPr="009E036E">
        <w:rPr>
          <w:rFonts w:eastAsia="Times New Roman"/>
          <w:color w:val="000000"/>
          <w:sz w:val="24"/>
          <w:szCs w:val="24"/>
          <w:lang w:eastAsia="en-AU"/>
        </w:rPr>
        <w:t xml:space="preserve">if the </w:t>
      </w:r>
      <w:r>
        <w:rPr>
          <w:rFonts w:eastAsia="Times New Roman"/>
          <w:color w:val="000000"/>
          <w:sz w:val="24"/>
          <w:szCs w:val="24"/>
          <w:lang w:eastAsia="en-AU"/>
        </w:rPr>
        <w:t>entity</w:t>
      </w:r>
      <w:r w:rsidRPr="009E036E">
        <w:rPr>
          <w:rFonts w:eastAsia="Times New Roman"/>
          <w:color w:val="000000"/>
          <w:sz w:val="24"/>
          <w:szCs w:val="24"/>
          <w:lang w:eastAsia="en-AU"/>
        </w:rPr>
        <w:t xml:space="preserve"> stops being a disclosing entity</w:t>
      </w:r>
      <w:r>
        <w:rPr>
          <w:rFonts w:eastAsia="Times New Roman"/>
          <w:color w:val="000000"/>
          <w:sz w:val="24"/>
          <w:szCs w:val="24"/>
          <w:lang w:eastAsia="en-AU"/>
        </w:rPr>
        <w:t xml:space="preserve"> in relation to the sub-fund </w:t>
      </w:r>
      <w:r w:rsidRPr="009E036E">
        <w:rPr>
          <w:rFonts w:eastAsia="Times New Roman"/>
          <w:color w:val="000000"/>
          <w:sz w:val="24"/>
          <w:szCs w:val="24"/>
          <w:lang w:eastAsia="en-AU"/>
        </w:rPr>
        <w:t>before the day 3 months after the end of the relevant financial year.</w:t>
      </w:r>
    </w:p>
    <w:p w14:paraId="32D6C6E6" w14:textId="77777777" w:rsidR="006277A4" w:rsidRPr="006249B6" w:rsidRDefault="006277A4" w:rsidP="006277A4">
      <w:pPr>
        <w:pStyle w:val="jade-outdent"/>
        <w:shd w:val="clear" w:color="auto" w:fill="FFFFFF"/>
        <w:rPr>
          <w:color w:val="333333"/>
        </w:rPr>
      </w:pPr>
      <w:r>
        <w:rPr>
          <w:b/>
          <w:bCs/>
          <w:color w:val="333333"/>
        </w:rPr>
        <w:t>11</w:t>
      </w:r>
      <w:r w:rsidRPr="006249B6">
        <w:rPr>
          <w:b/>
          <w:bCs/>
          <w:color w:val="333333"/>
        </w:rPr>
        <w:t>       </w:t>
      </w:r>
      <w:r>
        <w:rPr>
          <w:b/>
          <w:bCs/>
          <w:color w:val="333333"/>
        </w:rPr>
        <w:t>Paragraph</w:t>
      </w:r>
      <w:r w:rsidRPr="006249B6">
        <w:rPr>
          <w:b/>
          <w:bCs/>
          <w:color w:val="333333"/>
        </w:rPr>
        <w:t xml:space="preserve"> </w:t>
      </w:r>
      <w:r>
        <w:rPr>
          <w:b/>
          <w:bCs/>
          <w:color w:val="333333"/>
        </w:rPr>
        <w:t>5(2)(a)</w:t>
      </w:r>
    </w:p>
    <w:p w14:paraId="74993234" w14:textId="77777777" w:rsidR="006277A4" w:rsidRDefault="006277A4" w:rsidP="006277A4">
      <w:pPr>
        <w:pStyle w:val="lista"/>
        <w:shd w:val="clear" w:color="auto" w:fill="FFFFFF"/>
        <w:spacing w:before="120" w:beforeAutospacing="0" w:after="120" w:afterAutospacing="0"/>
        <w:ind w:left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Repeal the paragraph, substitute:</w:t>
      </w:r>
    </w:p>
    <w:p w14:paraId="3427EE20" w14:textId="77777777" w:rsidR="006277A4" w:rsidRDefault="006277A4" w:rsidP="006277A4">
      <w:pPr>
        <w:pStyle w:val="LI-BodyTextNumbered"/>
        <w:ind w:left="1701"/>
        <w:rPr>
          <w:shd w:val="clear" w:color="auto" w:fill="FFFFFF"/>
        </w:rPr>
      </w:pPr>
      <w:r>
        <w:rPr>
          <w:shd w:val="clear" w:color="auto" w:fill="FFFFFF"/>
        </w:rPr>
        <w:t>(a)     in the case of:</w:t>
      </w:r>
    </w:p>
    <w:p w14:paraId="7AE71791" w14:textId="77777777" w:rsidR="006277A4" w:rsidRDefault="006277A4" w:rsidP="006277A4">
      <w:pPr>
        <w:pStyle w:val="LI-BodyTextNumbered"/>
        <w:ind w:left="2268"/>
        <w:rPr>
          <w:shd w:val="clear" w:color="auto" w:fill="FFFFFF"/>
        </w:rPr>
      </w:pPr>
      <w:r>
        <w:rPr>
          <w:shd w:val="clear" w:color="auto" w:fill="FFFFFF"/>
        </w:rPr>
        <w:t>(</w:t>
      </w:r>
      <w:proofErr w:type="spellStart"/>
      <w:r>
        <w:rPr>
          <w:shd w:val="clear" w:color="auto" w:fill="FFFFFF"/>
        </w:rPr>
        <w:t>i</w:t>
      </w:r>
      <w:proofErr w:type="spellEnd"/>
      <w:r>
        <w:rPr>
          <w:shd w:val="clear" w:color="auto" w:fill="FFFFFF"/>
        </w:rPr>
        <w:t>)</w:t>
      </w:r>
      <w:r>
        <w:rPr>
          <w:shd w:val="clear" w:color="auto" w:fill="FFFFFF"/>
        </w:rPr>
        <w:tab/>
        <w:t>a company or scheme—the entity complies with Chapter 2M of the Act as if it had not been a disclosing entity at the end of the relevant financial year; and</w:t>
      </w:r>
    </w:p>
    <w:p w14:paraId="0E7FFCA1" w14:textId="77777777" w:rsidR="006277A4" w:rsidRPr="00541B47" w:rsidRDefault="006277A4" w:rsidP="006277A4">
      <w:pPr>
        <w:pStyle w:val="LI-BodyTextNumbered"/>
        <w:ind w:left="2268"/>
        <w:rPr>
          <w:shd w:val="clear" w:color="auto" w:fill="FFFFFF"/>
        </w:rPr>
      </w:pPr>
      <w:r>
        <w:rPr>
          <w:shd w:val="clear" w:color="auto" w:fill="FFFFFF"/>
        </w:rPr>
        <w:t>(ii)</w:t>
      </w:r>
      <w:r>
        <w:rPr>
          <w:shd w:val="clear" w:color="auto" w:fill="FFFFFF"/>
        </w:rPr>
        <w:tab/>
        <w:t>a retail CCIV—the retail CCIV complies</w:t>
      </w:r>
      <w:r w:rsidRPr="00DC62B4">
        <w:rPr>
          <w:shd w:val="clear" w:color="auto" w:fill="FFFFFF"/>
        </w:rPr>
        <w:t xml:space="preserve"> </w:t>
      </w:r>
      <w:r>
        <w:rPr>
          <w:shd w:val="clear" w:color="auto" w:fill="FFFFFF"/>
        </w:rPr>
        <w:t>with Chapter 2M of the Act in relation to the sub-fund as if it had not been a disclosing entity in relation to the sub-fund at the end of the relevant financial year; and</w:t>
      </w:r>
    </w:p>
    <w:p w14:paraId="5F0B7624" w14:textId="77777777" w:rsidR="006277A4" w:rsidRPr="006249B6" w:rsidRDefault="006277A4" w:rsidP="006277A4">
      <w:pPr>
        <w:pStyle w:val="jade-outdent"/>
        <w:shd w:val="clear" w:color="auto" w:fill="FFFFFF"/>
        <w:rPr>
          <w:color w:val="333333"/>
        </w:rPr>
      </w:pPr>
      <w:r>
        <w:rPr>
          <w:b/>
          <w:bCs/>
          <w:color w:val="333333"/>
        </w:rPr>
        <w:t>12</w:t>
      </w:r>
      <w:r w:rsidRPr="006249B6">
        <w:rPr>
          <w:b/>
          <w:bCs/>
          <w:color w:val="333333"/>
        </w:rPr>
        <w:t>       </w:t>
      </w:r>
      <w:r>
        <w:rPr>
          <w:b/>
          <w:bCs/>
          <w:color w:val="333333"/>
        </w:rPr>
        <w:t>Paragraph</w:t>
      </w:r>
      <w:r w:rsidRPr="006249B6">
        <w:rPr>
          <w:b/>
          <w:bCs/>
          <w:color w:val="333333"/>
        </w:rPr>
        <w:t xml:space="preserve"> </w:t>
      </w:r>
      <w:r>
        <w:rPr>
          <w:b/>
          <w:bCs/>
          <w:color w:val="333333"/>
        </w:rPr>
        <w:t>5(2)(b)</w:t>
      </w:r>
    </w:p>
    <w:p w14:paraId="55C0321F" w14:textId="77777777" w:rsidR="006277A4" w:rsidRDefault="006277A4" w:rsidP="006277A4">
      <w:pPr>
        <w:pStyle w:val="lista"/>
        <w:shd w:val="clear" w:color="auto" w:fill="FFFFFF"/>
        <w:spacing w:before="120" w:beforeAutospacing="0" w:after="120" w:afterAutospacing="0"/>
        <w:ind w:left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After “disclosing entity”, insert “(or in the case of a retail CCIV, a disclosing entity in relation to the sub-fund)”.</w:t>
      </w:r>
    </w:p>
    <w:p w14:paraId="494FB072" w14:textId="77777777" w:rsidR="006277A4" w:rsidRDefault="006277A4" w:rsidP="006277A4">
      <w:pPr>
        <w:pStyle w:val="jade-outdent"/>
        <w:shd w:val="clear" w:color="auto" w:fill="FFFFFF"/>
        <w:ind w:left="567" w:hanging="567"/>
        <w:rPr>
          <w:b/>
          <w:bCs/>
          <w:color w:val="333333"/>
        </w:rPr>
      </w:pPr>
      <w:r>
        <w:rPr>
          <w:b/>
          <w:bCs/>
          <w:color w:val="333333"/>
        </w:rPr>
        <w:t>13</w:t>
      </w:r>
      <w:r>
        <w:rPr>
          <w:b/>
          <w:bCs/>
          <w:color w:val="333333"/>
        </w:rPr>
        <w:tab/>
        <w:t xml:space="preserve">Subsection 6(1) </w:t>
      </w:r>
    </w:p>
    <w:p w14:paraId="1130CF72" w14:textId="77777777" w:rsidR="006277A4" w:rsidRDefault="006277A4" w:rsidP="006277A4">
      <w:pPr>
        <w:pStyle w:val="jade-outdent"/>
        <w:shd w:val="clear" w:color="auto" w:fill="FFFFFF"/>
        <w:ind w:left="567"/>
        <w:rPr>
          <w:color w:val="333333"/>
        </w:rPr>
      </w:pPr>
      <w:r>
        <w:rPr>
          <w:color w:val="333333"/>
        </w:rPr>
        <w:t>Repeal the subsection, substitute:</w:t>
      </w:r>
    </w:p>
    <w:p w14:paraId="18930D93" w14:textId="77777777" w:rsidR="006277A4" w:rsidRPr="00541B47" w:rsidRDefault="006277A4" w:rsidP="006277A4">
      <w:pPr>
        <w:pStyle w:val="jade-outdent"/>
        <w:shd w:val="clear" w:color="auto" w:fill="FFFFFF"/>
        <w:ind w:left="1134"/>
        <w:rPr>
          <w:i/>
          <w:iCs/>
          <w:color w:val="000000"/>
          <w:shd w:val="clear" w:color="auto" w:fill="FFFFFF"/>
        </w:rPr>
      </w:pPr>
      <w:r w:rsidRPr="00541B47">
        <w:rPr>
          <w:i/>
          <w:iCs/>
          <w:color w:val="000000"/>
          <w:shd w:val="clear" w:color="auto" w:fill="FFFFFF"/>
        </w:rPr>
        <w:t>Relief</w:t>
      </w:r>
    </w:p>
    <w:p w14:paraId="5C7C8CFA" w14:textId="77777777" w:rsidR="006277A4" w:rsidRDefault="006277A4" w:rsidP="006277A4">
      <w:pPr>
        <w:pStyle w:val="jade-outdent"/>
        <w:shd w:val="clear" w:color="auto" w:fill="FFFFFF"/>
        <w:ind w:left="1701" w:hanging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(1)</w:t>
      </w:r>
      <w:r>
        <w:rPr>
          <w:color w:val="000000"/>
          <w:shd w:val="clear" w:color="auto" w:fill="FFFFFF"/>
        </w:rPr>
        <w:tab/>
        <w:t xml:space="preserve">None of the following (each an </w:t>
      </w:r>
      <w:r w:rsidRPr="00541B47">
        <w:rPr>
          <w:b/>
          <w:bCs/>
          <w:i/>
          <w:iCs/>
          <w:color w:val="000000"/>
          <w:shd w:val="clear" w:color="auto" w:fill="FFFFFF"/>
        </w:rPr>
        <w:t>entity</w:t>
      </w:r>
      <w:r>
        <w:rPr>
          <w:color w:val="000000"/>
          <w:shd w:val="clear" w:color="auto" w:fill="FFFFFF"/>
        </w:rPr>
        <w:t>) has to comply with sections 302 or 306 of the Act for a half-year within the entity’s first financial year (the </w:t>
      </w:r>
      <w:r>
        <w:rPr>
          <w:b/>
          <w:bCs/>
          <w:i/>
          <w:iCs/>
          <w:color w:val="000000"/>
          <w:shd w:val="clear" w:color="auto" w:fill="FFFFFF"/>
        </w:rPr>
        <w:t>relevant financial year</w:t>
      </w:r>
      <w:r>
        <w:rPr>
          <w:color w:val="000000"/>
          <w:shd w:val="clear" w:color="auto" w:fill="FFFFFF"/>
        </w:rPr>
        <w:t>) where that year lasts for 8 months or less:</w:t>
      </w:r>
    </w:p>
    <w:p w14:paraId="31394516" w14:textId="77777777" w:rsidR="006277A4" w:rsidRDefault="006277A4" w:rsidP="006277A4">
      <w:pPr>
        <w:pStyle w:val="jade-outdent"/>
        <w:shd w:val="clear" w:color="auto" w:fill="FFFFFF"/>
        <w:ind w:left="2268" w:hanging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(a)</w:t>
      </w:r>
      <w:r>
        <w:rPr>
          <w:color w:val="000000"/>
          <w:shd w:val="clear" w:color="auto" w:fill="FFFFFF"/>
        </w:rPr>
        <w:tab/>
        <w:t xml:space="preserve">a company that is a disclosing </w:t>
      </w:r>
      <w:proofErr w:type="gramStart"/>
      <w:r>
        <w:rPr>
          <w:color w:val="000000"/>
          <w:shd w:val="clear" w:color="auto" w:fill="FFFFFF"/>
        </w:rPr>
        <w:t>entity;</w:t>
      </w:r>
      <w:proofErr w:type="gramEnd"/>
    </w:p>
    <w:p w14:paraId="7D1C36E7" w14:textId="77777777" w:rsidR="006277A4" w:rsidRDefault="006277A4" w:rsidP="006277A4">
      <w:pPr>
        <w:pStyle w:val="jade-outdent"/>
        <w:shd w:val="clear" w:color="auto" w:fill="FFFFFF"/>
        <w:ind w:left="2268" w:hanging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(b)</w:t>
      </w:r>
      <w:r>
        <w:rPr>
          <w:color w:val="000000"/>
          <w:shd w:val="clear" w:color="auto" w:fill="FFFFFF"/>
        </w:rPr>
        <w:tab/>
        <w:t xml:space="preserve">a registered scheme that is a disclosing </w:t>
      </w:r>
      <w:proofErr w:type="gramStart"/>
      <w:r>
        <w:rPr>
          <w:color w:val="000000"/>
          <w:shd w:val="clear" w:color="auto" w:fill="FFFFFF"/>
        </w:rPr>
        <w:t>entity;</w:t>
      </w:r>
      <w:proofErr w:type="gramEnd"/>
    </w:p>
    <w:p w14:paraId="3E733AEC" w14:textId="77777777" w:rsidR="006277A4" w:rsidRDefault="006277A4" w:rsidP="006277A4">
      <w:pPr>
        <w:pStyle w:val="jade-outdent"/>
        <w:shd w:val="clear" w:color="auto" w:fill="FFFFFF"/>
        <w:ind w:left="2268" w:hanging="567"/>
        <w:rPr>
          <w:color w:val="333333"/>
        </w:rPr>
      </w:pPr>
      <w:r>
        <w:rPr>
          <w:color w:val="000000"/>
          <w:shd w:val="clear" w:color="auto" w:fill="FFFFFF"/>
        </w:rPr>
        <w:lastRenderedPageBreak/>
        <w:t>(c)</w:t>
      </w:r>
      <w:r>
        <w:rPr>
          <w:color w:val="000000"/>
          <w:shd w:val="clear" w:color="auto" w:fill="FFFFFF"/>
        </w:rPr>
        <w:tab/>
        <w:t>a retail CCIV that is a disclosing entity in relation to a sub-fund of the retail CCIV.</w:t>
      </w:r>
    </w:p>
    <w:p w14:paraId="65A84513" w14:textId="77777777" w:rsidR="006277A4" w:rsidRDefault="006277A4" w:rsidP="006277A4">
      <w:pPr>
        <w:pStyle w:val="jade-outdent"/>
        <w:shd w:val="clear" w:color="auto" w:fill="FFFFFF"/>
        <w:ind w:left="567" w:hanging="567"/>
        <w:rPr>
          <w:b/>
          <w:bCs/>
          <w:color w:val="333333"/>
        </w:rPr>
      </w:pPr>
      <w:r>
        <w:rPr>
          <w:b/>
          <w:bCs/>
          <w:color w:val="333333"/>
        </w:rPr>
        <w:t>14</w:t>
      </w:r>
      <w:r>
        <w:rPr>
          <w:b/>
          <w:bCs/>
          <w:color w:val="333333"/>
        </w:rPr>
        <w:tab/>
        <w:t>Sub-subparagraph 6(2)(a)(</w:t>
      </w:r>
      <w:proofErr w:type="spellStart"/>
      <w:r>
        <w:rPr>
          <w:b/>
          <w:bCs/>
          <w:color w:val="333333"/>
        </w:rPr>
        <w:t>i</w:t>
      </w:r>
      <w:proofErr w:type="spellEnd"/>
      <w:r>
        <w:rPr>
          <w:b/>
          <w:bCs/>
          <w:color w:val="333333"/>
        </w:rPr>
        <w:t xml:space="preserve">)(A) </w:t>
      </w:r>
    </w:p>
    <w:p w14:paraId="036EE5D6" w14:textId="77777777" w:rsidR="006277A4" w:rsidRDefault="006277A4" w:rsidP="006277A4">
      <w:pPr>
        <w:pStyle w:val="jade-outdent"/>
        <w:shd w:val="clear" w:color="auto" w:fill="FFFFFF"/>
        <w:ind w:left="567"/>
        <w:rPr>
          <w:color w:val="333333"/>
        </w:rPr>
      </w:pPr>
      <w:r>
        <w:rPr>
          <w:color w:val="333333"/>
        </w:rPr>
        <w:t>Repeal the sub-subparagraph, substitute:</w:t>
      </w:r>
    </w:p>
    <w:p w14:paraId="507406DA" w14:textId="77777777" w:rsidR="006277A4" w:rsidRDefault="006277A4" w:rsidP="006277A4">
      <w:pPr>
        <w:pStyle w:val="jade-outdent"/>
        <w:shd w:val="clear" w:color="auto" w:fill="FFFFFF"/>
        <w:ind w:left="1701" w:hanging="567"/>
        <w:rPr>
          <w:color w:val="333333"/>
        </w:rPr>
      </w:pPr>
      <w:r>
        <w:rPr>
          <w:color w:val="333333"/>
        </w:rPr>
        <w:t>(A)</w:t>
      </w:r>
      <w:r>
        <w:rPr>
          <w:color w:val="333333"/>
        </w:rPr>
        <w:tab/>
        <w:t>is listed; and</w:t>
      </w:r>
    </w:p>
    <w:p w14:paraId="0E37B74F" w14:textId="77777777" w:rsidR="006277A4" w:rsidRDefault="006277A4" w:rsidP="006277A4">
      <w:pPr>
        <w:pStyle w:val="jade-outdent"/>
        <w:shd w:val="clear" w:color="auto" w:fill="FFFFFF"/>
        <w:ind w:left="1701" w:hanging="567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Note 1:</w:t>
      </w:r>
      <w:r>
        <w:rPr>
          <w:color w:val="333333"/>
          <w:sz w:val="18"/>
          <w:szCs w:val="18"/>
        </w:rPr>
        <w:tab/>
      </w:r>
      <w:r w:rsidRPr="00541B47">
        <w:rPr>
          <w:color w:val="333333"/>
          <w:sz w:val="18"/>
          <w:szCs w:val="18"/>
        </w:rPr>
        <w:t xml:space="preserve">A retail CCIV will be listed if its single sub-fund is included in such an official list even if the retail CCIV is not so included (see the definition of </w:t>
      </w:r>
      <w:r w:rsidRPr="00541B47">
        <w:rPr>
          <w:b/>
          <w:bCs/>
          <w:i/>
          <w:iCs/>
          <w:color w:val="333333"/>
          <w:sz w:val="18"/>
          <w:szCs w:val="18"/>
        </w:rPr>
        <w:t>listed</w:t>
      </w:r>
      <w:r w:rsidRPr="00541B47">
        <w:rPr>
          <w:color w:val="333333"/>
          <w:sz w:val="18"/>
          <w:szCs w:val="18"/>
        </w:rPr>
        <w:t xml:space="preserve"> in section 9</w:t>
      </w:r>
      <w:r>
        <w:rPr>
          <w:color w:val="333333"/>
          <w:sz w:val="18"/>
          <w:szCs w:val="18"/>
        </w:rPr>
        <w:t xml:space="preserve"> of the Act</w:t>
      </w:r>
      <w:r w:rsidRPr="00541B47">
        <w:rPr>
          <w:color w:val="333333"/>
          <w:sz w:val="18"/>
          <w:szCs w:val="18"/>
        </w:rPr>
        <w:t>).</w:t>
      </w:r>
    </w:p>
    <w:p w14:paraId="0A800A93" w14:textId="77777777" w:rsidR="006277A4" w:rsidRPr="00541B47" w:rsidRDefault="006277A4" w:rsidP="006277A4">
      <w:pPr>
        <w:pStyle w:val="jade-outdent"/>
        <w:shd w:val="clear" w:color="auto" w:fill="FFFFFF"/>
        <w:ind w:left="1701" w:hanging="567"/>
        <w:rPr>
          <w:color w:val="333333"/>
          <w:sz w:val="18"/>
          <w:szCs w:val="18"/>
        </w:rPr>
      </w:pPr>
      <w:r w:rsidRPr="00CB149E">
        <w:rPr>
          <w:color w:val="333333"/>
          <w:sz w:val="18"/>
          <w:szCs w:val="18"/>
        </w:rPr>
        <w:t>Note</w:t>
      </w:r>
      <w:r>
        <w:rPr>
          <w:color w:val="333333"/>
          <w:sz w:val="18"/>
          <w:szCs w:val="18"/>
        </w:rPr>
        <w:t xml:space="preserve"> 2:</w:t>
      </w:r>
      <w:r>
        <w:rPr>
          <w:color w:val="333333"/>
          <w:sz w:val="18"/>
          <w:szCs w:val="18"/>
        </w:rPr>
        <w:tab/>
        <w:t xml:space="preserve">Neither a retail CCIV that has more than one sub-fund </w:t>
      </w:r>
      <w:r w:rsidRPr="00B71969">
        <w:rPr>
          <w:color w:val="333333"/>
          <w:sz w:val="18"/>
          <w:szCs w:val="18"/>
        </w:rPr>
        <w:t>nor such a sub-fund may be listed</w:t>
      </w:r>
      <w:r>
        <w:rPr>
          <w:color w:val="333333"/>
          <w:sz w:val="18"/>
          <w:szCs w:val="18"/>
        </w:rPr>
        <w:t>: see section 1222N of the Act.</w:t>
      </w:r>
    </w:p>
    <w:p w14:paraId="6D2257B5" w14:textId="77777777" w:rsidR="006277A4" w:rsidRDefault="006277A4" w:rsidP="006277A4">
      <w:pPr>
        <w:pStyle w:val="jade-outdent"/>
        <w:shd w:val="clear" w:color="auto" w:fill="FFFFFF"/>
        <w:ind w:left="567" w:hanging="567"/>
        <w:rPr>
          <w:b/>
          <w:bCs/>
          <w:color w:val="333333"/>
        </w:rPr>
      </w:pPr>
      <w:r>
        <w:rPr>
          <w:b/>
          <w:bCs/>
          <w:color w:val="333333"/>
        </w:rPr>
        <w:t>15</w:t>
      </w:r>
      <w:r>
        <w:rPr>
          <w:b/>
          <w:bCs/>
          <w:color w:val="333333"/>
        </w:rPr>
        <w:tab/>
        <w:t>Sub-subparagraph 6(2)(a)(</w:t>
      </w:r>
      <w:proofErr w:type="spellStart"/>
      <w:r>
        <w:rPr>
          <w:b/>
          <w:bCs/>
          <w:color w:val="333333"/>
        </w:rPr>
        <w:t>i</w:t>
      </w:r>
      <w:proofErr w:type="spellEnd"/>
      <w:r>
        <w:rPr>
          <w:b/>
          <w:bCs/>
          <w:color w:val="333333"/>
        </w:rPr>
        <w:t xml:space="preserve">)(B) </w:t>
      </w:r>
    </w:p>
    <w:p w14:paraId="598B9E55" w14:textId="77777777" w:rsidR="006277A4" w:rsidRDefault="006277A4" w:rsidP="006277A4">
      <w:pPr>
        <w:pStyle w:val="LI-BodyTextNumbered"/>
        <w:ind w:firstLine="0"/>
        <w:rPr>
          <w:color w:val="000000"/>
          <w:shd w:val="clear" w:color="auto" w:fill="FFFFFF"/>
        </w:rPr>
      </w:pPr>
      <w:r>
        <w:rPr>
          <w:bCs/>
          <w:shd w:val="clear" w:color="auto" w:fill="FFFFFF"/>
        </w:rPr>
        <w:t>Omit “</w:t>
      </w:r>
      <w:r>
        <w:rPr>
          <w:color w:val="000000"/>
          <w:shd w:val="clear" w:color="auto" w:fill="FFFFFF"/>
        </w:rPr>
        <w:t>of which the entity is included on the official list”, substitute “in relation to which the entity is listed”.</w:t>
      </w:r>
    </w:p>
    <w:p w14:paraId="5C460C27" w14:textId="77777777" w:rsidR="006277A4" w:rsidRDefault="006277A4" w:rsidP="006277A4">
      <w:pPr>
        <w:pStyle w:val="jade-outdent"/>
        <w:shd w:val="clear" w:color="auto" w:fill="FFFFFF"/>
        <w:ind w:left="567" w:hanging="567"/>
        <w:rPr>
          <w:b/>
          <w:bCs/>
          <w:color w:val="333333"/>
        </w:rPr>
      </w:pPr>
      <w:r>
        <w:rPr>
          <w:b/>
          <w:bCs/>
          <w:color w:val="333333"/>
        </w:rPr>
        <w:t>16</w:t>
      </w:r>
      <w:r>
        <w:rPr>
          <w:b/>
          <w:bCs/>
          <w:color w:val="333333"/>
        </w:rPr>
        <w:tab/>
        <w:t xml:space="preserve">Sub-subparagraph 6(2)(a)(ii)(A) </w:t>
      </w:r>
    </w:p>
    <w:p w14:paraId="064D15E1" w14:textId="77777777" w:rsidR="006277A4" w:rsidRPr="00541B47" w:rsidRDefault="006277A4" w:rsidP="006277A4">
      <w:pPr>
        <w:pStyle w:val="LI-BodyTextNumbered"/>
        <w:ind w:left="1701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Omit “an unlisted </w:t>
      </w:r>
      <w:r>
        <w:rPr>
          <w:color w:val="000000"/>
          <w:shd w:val="clear" w:color="auto" w:fill="FFFFFF"/>
        </w:rPr>
        <w:t>disclosing entity”, substitute “unlisted”.</w:t>
      </w:r>
    </w:p>
    <w:p w14:paraId="564D06D1" w14:textId="77777777" w:rsidR="006277A4" w:rsidRDefault="006277A4" w:rsidP="006277A4">
      <w:pPr>
        <w:pStyle w:val="jade-outdent"/>
        <w:shd w:val="clear" w:color="auto" w:fill="FFFFFF"/>
        <w:ind w:left="567" w:hanging="567"/>
        <w:rPr>
          <w:b/>
          <w:bCs/>
          <w:color w:val="333333"/>
        </w:rPr>
      </w:pPr>
      <w:r>
        <w:rPr>
          <w:b/>
          <w:bCs/>
          <w:color w:val="333333"/>
        </w:rPr>
        <w:t>17</w:t>
      </w:r>
      <w:r>
        <w:rPr>
          <w:b/>
          <w:bCs/>
          <w:color w:val="333333"/>
        </w:rPr>
        <w:tab/>
        <w:t xml:space="preserve">Paragraph 6(2)(b) </w:t>
      </w:r>
    </w:p>
    <w:p w14:paraId="640B74F6" w14:textId="77777777" w:rsidR="006277A4" w:rsidRDefault="006277A4" w:rsidP="006277A4">
      <w:pPr>
        <w:pStyle w:val="jade-outdent"/>
        <w:shd w:val="clear" w:color="auto" w:fill="FFFFFF"/>
        <w:ind w:left="567"/>
        <w:rPr>
          <w:color w:val="333333"/>
        </w:rPr>
      </w:pPr>
      <w:r>
        <w:rPr>
          <w:color w:val="333333"/>
        </w:rPr>
        <w:t>Repeal the paragraph, substitute:</w:t>
      </w:r>
    </w:p>
    <w:p w14:paraId="2692F6EE" w14:textId="77777777" w:rsidR="006277A4" w:rsidRDefault="006277A4" w:rsidP="006277A4">
      <w:pPr>
        <w:pStyle w:val="LI-BodyTextNumbered"/>
        <w:ind w:left="170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(b)     in the case of:</w:t>
      </w:r>
    </w:p>
    <w:p w14:paraId="6F17E213" w14:textId="77777777" w:rsidR="006277A4" w:rsidRDefault="006277A4" w:rsidP="006277A4">
      <w:pPr>
        <w:pStyle w:val="LI-BodyTextNumbered"/>
        <w:ind w:left="226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(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>)</w:t>
      </w:r>
      <w:r>
        <w:rPr>
          <w:color w:val="000000"/>
          <w:shd w:val="clear" w:color="auto" w:fill="FFFFFF"/>
        </w:rPr>
        <w:tab/>
        <w:t>a company or scheme—the directors’ report of the entity for the relevant financial year explains the effect of this section and states that the entity relied on it; and</w:t>
      </w:r>
    </w:p>
    <w:p w14:paraId="0248D609" w14:textId="77777777" w:rsidR="006277A4" w:rsidRDefault="006277A4" w:rsidP="006277A4">
      <w:pPr>
        <w:pStyle w:val="LI-BodyTextNumbered"/>
        <w:ind w:left="226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(ii)</w:t>
      </w:r>
      <w:r>
        <w:rPr>
          <w:color w:val="000000"/>
          <w:shd w:val="clear" w:color="auto" w:fill="FFFFFF"/>
        </w:rPr>
        <w:tab/>
        <w:t>a retail CCIV—the directors’ report of the retail CCIV in relation to the sub-fund for the relevant financial year explains the effect of this section and states that the retail CCIV relied on it in relation to the sub-fund.</w:t>
      </w:r>
    </w:p>
    <w:p w14:paraId="3F47D6BC" w14:textId="77777777" w:rsidR="006277A4" w:rsidRPr="000E48A4" w:rsidRDefault="006277A4" w:rsidP="006277A4">
      <w:pPr>
        <w:pStyle w:val="LI-Heading2"/>
        <w:rPr>
          <w:i/>
          <w:iCs/>
        </w:rPr>
      </w:pPr>
      <w:bookmarkStart w:id="14" w:name="_Toc149668724"/>
      <w:bookmarkStart w:id="15" w:name="_Toc153967495"/>
      <w:r w:rsidRPr="000E48A4">
        <w:rPr>
          <w:i/>
          <w:iCs/>
        </w:rPr>
        <w:t>ASIC Corporations (Rounding in Financial/Directors’ Reports) Instrument 2016/191</w:t>
      </w:r>
      <w:bookmarkEnd w:id="14"/>
      <w:bookmarkEnd w:id="15"/>
    </w:p>
    <w:p w14:paraId="4205BE5E" w14:textId="77777777" w:rsidR="006277A4" w:rsidRPr="006249B6" w:rsidRDefault="006277A4" w:rsidP="006277A4">
      <w:pPr>
        <w:pStyle w:val="jade-outdent"/>
        <w:shd w:val="clear" w:color="auto" w:fill="FFFFFF"/>
        <w:rPr>
          <w:color w:val="333333"/>
        </w:rPr>
      </w:pPr>
      <w:r>
        <w:rPr>
          <w:b/>
          <w:bCs/>
          <w:color w:val="333333"/>
        </w:rPr>
        <w:t>18</w:t>
      </w:r>
      <w:r w:rsidRPr="006249B6">
        <w:rPr>
          <w:b/>
          <w:bCs/>
          <w:color w:val="333333"/>
        </w:rPr>
        <w:t>       Section 4 (</w:t>
      </w:r>
      <w:r>
        <w:rPr>
          <w:b/>
          <w:bCs/>
          <w:color w:val="333333"/>
        </w:rPr>
        <w:t xml:space="preserve">paragraph (e) of the </w:t>
      </w:r>
      <w:r w:rsidRPr="006249B6">
        <w:rPr>
          <w:b/>
          <w:bCs/>
          <w:color w:val="333333"/>
        </w:rPr>
        <w:t>definition of </w:t>
      </w:r>
      <w:r>
        <w:rPr>
          <w:b/>
          <w:bCs/>
          <w:i/>
          <w:iCs/>
          <w:color w:val="333333"/>
        </w:rPr>
        <w:t>entity</w:t>
      </w:r>
      <w:r w:rsidRPr="006249B6">
        <w:rPr>
          <w:b/>
          <w:bCs/>
          <w:color w:val="333333"/>
        </w:rPr>
        <w:t>)</w:t>
      </w:r>
    </w:p>
    <w:p w14:paraId="71650558" w14:textId="77777777" w:rsidR="006277A4" w:rsidRDefault="006277A4" w:rsidP="006277A4">
      <w:pPr>
        <w:pStyle w:val="NormalWeb"/>
        <w:shd w:val="clear" w:color="auto" w:fill="FFFFFF"/>
        <w:ind w:left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Omit the paragraph, substitute: </w:t>
      </w:r>
    </w:p>
    <w:p w14:paraId="4B8B0212" w14:textId="77777777" w:rsidR="006277A4" w:rsidRDefault="006277A4" w:rsidP="006277A4">
      <w:pPr>
        <w:pStyle w:val="NormalWeb"/>
        <w:shd w:val="clear" w:color="auto" w:fill="FFFFFF"/>
        <w:ind w:left="1701" w:hanging="567"/>
        <w:rPr>
          <w:color w:val="333333"/>
        </w:rPr>
      </w:pPr>
      <w:r>
        <w:rPr>
          <w:color w:val="000000"/>
          <w:shd w:val="clear" w:color="auto" w:fill="FFFFFF"/>
        </w:rPr>
        <w:t xml:space="preserve">(e) </w:t>
      </w:r>
      <w:r>
        <w:rPr>
          <w:color w:val="000000"/>
          <w:shd w:val="clear" w:color="auto" w:fill="FFFFFF"/>
        </w:rPr>
        <w:tab/>
        <w:t xml:space="preserve">a retail CCIV in relation to a sub-fund of the retail </w:t>
      </w:r>
      <w:proofErr w:type="gramStart"/>
      <w:r>
        <w:rPr>
          <w:color w:val="000000"/>
          <w:shd w:val="clear" w:color="auto" w:fill="FFFFFF"/>
        </w:rPr>
        <w:t>CCIV;</w:t>
      </w:r>
      <w:proofErr w:type="gramEnd"/>
      <w:r>
        <w:rPr>
          <w:color w:val="000000"/>
          <w:shd w:val="clear" w:color="auto" w:fill="FFFFFF"/>
        </w:rPr>
        <w:t xml:space="preserve"> </w:t>
      </w:r>
    </w:p>
    <w:p w14:paraId="41CC968B" w14:textId="4CAD9A56" w:rsidR="001C7CD5" w:rsidRPr="00B71969" w:rsidRDefault="006277A4" w:rsidP="00B71969">
      <w:pPr>
        <w:pStyle w:val="NormalWeb"/>
        <w:shd w:val="clear" w:color="auto" w:fill="FFFFFF"/>
        <w:ind w:left="1701" w:hanging="567"/>
        <w:rPr>
          <w:color w:val="000000"/>
          <w:shd w:val="clear" w:color="auto" w:fill="FFFFFF"/>
        </w:rPr>
      </w:pPr>
      <w:r>
        <w:rPr>
          <w:color w:val="333333"/>
        </w:rPr>
        <w:t xml:space="preserve">(f) </w:t>
      </w:r>
      <w:r>
        <w:rPr>
          <w:color w:val="333333"/>
        </w:rPr>
        <w:tab/>
      </w:r>
      <w:r w:rsidRPr="00200BCA">
        <w:rPr>
          <w:color w:val="000000"/>
          <w:shd w:val="clear" w:color="auto" w:fill="FFFFFF"/>
        </w:rPr>
        <w:t>a registrable superannuation entity</w:t>
      </w:r>
      <w:r>
        <w:rPr>
          <w:color w:val="000000"/>
          <w:shd w:val="clear" w:color="auto" w:fill="FFFFFF"/>
        </w:rPr>
        <w:t>.</w:t>
      </w:r>
    </w:p>
    <w:sectPr w:rsidR="001C7CD5" w:rsidRPr="00B71969" w:rsidSect="0040053F">
      <w:headerReference w:type="even" r:id="rId32"/>
      <w:headerReference w:type="default" r:id="rId33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743CC" w14:textId="77777777" w:rsidR="006F0068" w:rsidRDefault="006F0068" w:rsidP="00715914">
      <w:pPr>
        <w:spacing w:line="240" w:lineRule="auto"/>
      </w:pPr>
      <w:r>
        <w:separator/>
      </w:r>
    </w:p>
  </w:endnote>
  <w:endnote w:type="continuationSeparator" w:id="0">
    <w:p w14:paraId="6ABFD911" w14:textId="77777777" w:rsidR="006F0068" w:rsidRDefault="006F0068" w:rsidP="00715914">
      <w:pPr>
        <w:spacing w:line="240" w:lineRule="auto"/>
      </w:pPr>
      <w:r>
        <w:continuationSeparator/>
      </w:r>
    </w:p>
  </w:endnote>
  <w:endnote w:type="continuationNotice" w:id="1">
    <w:p w14:paraId="199ED511" w14:textId="77777777" w:rsidR="006F0068" w:rsidRDefault="006F006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8B9BDAA" w14:textId="77777777" w:rsidTr="00081794">
      <w:tc>
        <w:tcPr>
          <w:tcW w:w="8472" w:type="dxa"/>
          <w:shd w:val="clear" w:color="auto" w:fill="auto"/>
        </w:tcPr>
        <w:p w14:paraId="52E9A708" w14:textId="08AAFAF0" w:rsidR="00102CA6" w:rsidRPr="00081794" w:rsidRDefault="00A31D73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6BAAF0B4" wp14:editId="324E80AB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783770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281813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AAF0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44783770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38AE01D8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CA59" w14:textId="13FF50DF" w:rsidR="00102CA6" w:rsidRDefault="00A31D73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7E10DCC" wp14:editId="60B17C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5F7E0D6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10DC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65F7E0D6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E9BFA6F" w14:textId="77777777" w:rsidTr="00081794">
      <w:tc>
        <w:tcPr>
          <w:tcW w:w="8472" w:type="dxa"/>
          <w:shd w:val="clear" w:color="auto" w:fill="auto"/>
        </w:tcPr>
        <w:p w14:paraId="23E3A0C9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70E37619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D68D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4F47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1890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D66303"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E1AA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EA42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0FCADCAD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849BD92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FFA4A79" w14:textId="77777777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281813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0080C40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05D89832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7480A220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61535F4C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5F7B5" w14:textId="77777777" w:rsidR="006F0068" w:rsidRDefault="006F0068" w:rsidP="00715914">
      <w:pPr>
        <w:spacing w:line="240" w:lineRule="auto"/>
      </w:pPr>
      <w:r>
        <w:separator/>
      </w:r>
    </w:p>
  </w:footnote>
  <w:footnote w:type="continuationSeparator" w:id="0">
    <w:p w14:paraId="1D7FA8D2" w14:textId="77777777" w:rsidR="006F0068" w:rsidRDefault="006F0068" w:rsidP="00715914">
      <w:pPr>
        <w:spacing w:line="240" w:lineRule="auto"/>
      </w:pPr>
      <w:r>
        <w:continuationSeparator/>
      </w:r>
    </w:p>
  </w:footnote>
  <w:footnote w:type="continuationNotice" w:id="1">
    <w:p w14:paraId="4D94E16E" w14:textId="77777777" w:rsidR="006F0068" w:rsidRDefault="006F006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4754" w14:textId="7E4C7838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5D63EFA" wp14:editId="18CCA7C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FDB0DDF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63EF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FDB0DDF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1813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3C79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650"/>
    </w:tblGrid>
    <w:tr w:rsidR="00F4215A" w:rsidRPr="00E40FF8" w14:paraId="475DAE45" w14:textId="77777777" w:rsidTr="000A1655">
      <w:tc>
        <w:tcPr>
          <w:tcW w:w="6663" w:type="dxa"/>
          <w:shd w:val="clear" w:color="auto" w:fill="auto"/>
        </w:tcPr>
        <w:p w14:paraId="2F221026" w14:textId="124F065E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8C66F7">
            <w:rPr>
              <w:noProof/>
            </w:rPr>
            <w:t>ASIC Corporations (Amendment) Instrument 2023/142</w:t>
          </w:r>
          <w:r>
            <w:fldChar w:fldCharType="end"/>
          </w:r>
        </w:p>
      </w:tc>
      <w:tc>
        <w:tcPr>
          <w:tcW w:w="1650" w:type="dxa"/>
          <w:shd w:val="clear" w:color="auto" w:fill="auto"/>
        </w:tcPr>
        <w:p w14:paraId="48D25041" w14:textId="1E664FDA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8C66F7">
            <w:rPr>
              <w:noProof/>
            </w:rPr>
            <w:t>Schedule 1—Amendments</w:t>
          </w:r>
          <w:r>
            <w:fldChar w:fldCharType="end"/>
          </w:r>
        </w:p>
      </w:tc>
    </w:tr>
  </w:tbl>
  <w:p w14:paraId="6FF3730B" w14:textId="77777777"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9A0B" w14:textId="7B9B6B87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3AF3E2" wp14:editId="1E674A5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C19057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AF3E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6C19057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65A7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B40B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2456E23" w14:textId="77777777" w:rsidTr="00BF75C9">
      <w:tc>
        <w:tcPr>
          <w:tcW w:w="6804" w:type="dxa"/>
          <w:shd w:val="clear" w:color="auto" w:fill="auto"/>
        </w:tcPr>
        <w:p w14:paraId="2E0B8F3D" w14:textId="451F4CED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8C66F7">
            <w:rPr>
              <w:noProof/>
            </w:rPr>
            <w:t>ASIC Corporations (Amendment) Instrument 2023/142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C82D581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C9EF801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E5A0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8A95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55B038D3" w14:textId="77777777" w:rsidTr="00BF75C9">
      <w:tc>
        <w:tcPr>
          <w:tcW w:w="6804" w:type="dxa"/>
          <w:shd w:val="clear" w:color="auto" w:fill="auto"/>
        </w:tcPr>
        <w:p w14:paraId="13A1663C" w14:textId="3CEC0D1F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8C66F7">
            <w:rPr>
              <w:noProof/>
            </w:rPr>
            <w:t>ASIC Corporations (Amendment) Instrument 2023/142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31DBBB61" w14:textId="5546A55C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8C66F7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6480E685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8E0D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741CD"/>
    <w:multiLevelType w:val="hybridMultilevel"/>
    <w:tmpl w:val="4C6085E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385176314">
    <w:abstractNumId w:val="9"/>
  </w:num>
  <w:num w:numId="2" w16cid:durableId="1695421024">
    <w:abstractNumId w:val="7"/>
  </w:num>
  <w:num w:numId="3" w16cid:durableId="1030226348">
    <w:abstractNumId w:val="6"/>
  </w:num>
  <w:num w:numId="4" w16cid:durableId="1856729308">
    <w:abstractNumId w:val="5"/>
  </w:num>
  <w:num w:numId="5" w16cid:durableId="1129980912">
    <w:abstractNumId w:val="4"/>
  </w:num>
  <w:num w:numId="6" w16cid:durableId="2002806017">
    <w:abstractNumId w:val="8"/>
  </w:num>
  <w:num w:numId="7" w16cid:durableId="1436242837">
    <w:abstractNumId w:val="3"/>
  </w:num>
  <w:num w:numId="8" w16cid:durableId="1057053609">
    <w:abstractNumId w:val="2"/>
  </w:num>
  <w:num w:numId="9" w16cid:durableId="866717371">
    <w:abstractNumId w:val="1"/>
  </w:num>
  <w:num w:numId="10" w16cid:durableId="1010835685">
    <w:abstractNumId w:val="0"/>
  </w:num>
  <w:num w:numId="11" w16cid:durableId="1326665191">
    <w:abstractNumId w:val="13"/>
  </w:num>
  <w:num w:numId="12" w16cid:durableId="2089618277">
    <w:abstractNumId w:val="10"/>
  </w:num>
  <w:num w:numId="13" w16cid:durableId="1931813894">
    <w:abstractNumId w:val="12"/>
  </w:num>
  <w:num w:numId="14" w16cid:durableId="1954708386">
    <w:abstractNumId w:val="14"/>
  </w:num>
  <w:num w:numId="15" w16cid:durableId="2122021755">
    <w:abstractNumId w:val="11"/>
  </w:num>
  <w:num w:numId="16" w16cid:durableId="1001471143">
    <w:abstractNumId w:val="15"/>
  </w:num>
  <w:num w:numId="17" w16cid:durableId="18112841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hideSpellingErrors/>
  <w:hideGrammaticalErrors/>
  <w:proofState w:spelling="clean" w:grammar="clean"/>
  <w:attachedTemplate r:id="rId1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36AF"/>
    <w:rsid w:val="00013B8D"/>
    <w:rsid w:val="00023D53"/>
    <w:rsid w:val="000437C1"/>
    <w:rsid w:val="0005365D"/>
    <w:rsid w:val="00053940"/>
    <w:rsid w:val="00055696"/>
    <w:rsid w:val="000614BF"/>
    <w:rsid w:val="0006250C"/>
    <w:rsid w:val="00073C95"/>
    <w:rsid w:val="00081794"/>
    <w:rsid w:val="000A0D6F"/>
    <w:rsid w:val="000A142F"/>
    <w:rsid w:val="000A1655"/>
    <w:rsid w:val="000A2A5F"/>
    <w:rsid w:val="000A6C39"/>
    <w:rsid w:val="000B58FA"/>
    <w:rsid w:val="000C55A0"/>
    <w:rsid w:val="000D05EF"/>
    <w:rsid w:val="000E2261"/>
    <w:rsid w:val="000E3C2E"/>
    <w:rsid w:val="000E7607"/>
    <w:rsid w:val="000F0C7B"/>
    <w:rsid w:val="000F21C1"/>
    <w:rsid w:val="00102307"/>
    <w:rsid w:val="00102CA6"/>
    <w:rsid w:val="0010745C"/>
    <w:rsid w:val="0011620F"/>
    <w:rsid w:val="00120985"/>
    <w:rsid w:val="00132B7B"/>
    <w:rsid w:val="00132CEB"/>
    <w:rsid w:val="00142B62"/>
    <w:rsid w:val="00157B8B"/>
    <w:rsid w:val="00157D51"/>
    <w:rsid w:val="00166C2F"/>
    <w:rsid w:val="00171A6E"/>
    <w:rsid w:val="001809D7"/>
    <w:rsid w:val="00180AA6"/>
    <w:rsid w:val="001850D6"/>
    <w:rsid w:val="001939E1"/>
    <w:rsid w:val="00194C3E"/>
    <w:rsid w:val="00195382"/>
    <w:rsid w:val="00195BD4"/>
    <w:rsid w:val="001C61C5"/>
    <w:rsid w:val="001C69C4"/>
    <w:rsid w:val="001C7CD5"/>
    <w:rsid w:val="001D37EF"/>
    <w:rsid w:val="001D7526"/>
    <w:rsid w:val="001E0BF5"/>
    <w:rsid w:val="001E0DDF"/>
    <w:rsid w:val="001E3590"/>
    <w:rsid w:val="001E7407"/>
    <w:rsid w:val="001F5115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43EC0"/>
    <w:rsid w:val="00244742"/>
    <w:rsid w:val="00251BC9"/>
    <w:rsid w:val="00255007"/>
    <w:rsid w:val="002564A4"/>
    <w:rsid w:val="002609C4"/>
    <w:rsid w:val="0026736C"/>
    <w:rsid w:val="00281308"/>
    <w:rsid w:val="00281813"/>
    <w:rsid w:val="00284719"/>
    <w:rsid w:val="00297853"/>
    <w:rsid w:val="00297ECB"/>
    <w:rsid w:val="002A7BCF"/>
    <w:rsid w:val="002B19F3"/>
    <w:rsid w:val="002B4A0D"/>
    <w:rsid w:val="002C40C9"/>
    <w:rsid w:val="002D043A"/>
    <w:rsid w:val="002D6224"/>
    <w:rsid w:val="002E3F4B"/>
    <w:rsid w:val="003017B3"/>
    <w:rsid w:val="00303CAB"/>
    <w:rsid w:val="00304F8B"/>
    <w:rsid w:val="003179A9"/>
    <w:rsid w:val="00327DDF"/>
    <w:rsid w:val="00330AA0"/>
    <w:rsid w:val="003354D2"/>
    <w:rsid w:val="00335BC6"/>
    <w:rsid w:val="003376A6"/>
    <w:rsid w:val="003415D3"/>
    <w:rsid w:val="00344701"/>
    <w:rsid w:val="003528DA"/>
    <w:rsid w:val="00352B0F"/>
    <w:rsid w:val="00356690"/>
    <w:rsid w:val="00360459"/>
    <w:rsid w:val="00365497"/>
    <w:rsid w:val="003708CA"/>
    <w:rsid w:val="00374DDD"/>
    <w:rsid w:val="00387A96"/>
    <w:rsid w:val="00390A86"/>
    <w:rsid w:val="003A2A48"/>
    <w:rsid w:val="003B732F"/>
    <w:rsid w:val="003C3D7D"/>
    <w:rsid w:val="003C6231"/>
    <w:rsid w:val="003D0BFE"/>
    <w:rsid w:val="003D5700"/>
    <w:rsid w:val="003E0F99"/>
    <w:rsid w:val="003E341B"/>
    <w:rsid w:val="003F6896"/>
    <w:rsid w:val="0040053F"/>
    <w:rsid w:val="004116CD"/>
    <w:rsid w:val="004144EC"/>
    <w:rsid w:val="00417EB9"/>
    <w:rsid w:val="0042116C"/>
    <w:rsid w:val="00424CA9"/>
    <w:rsid w:val="00431C3B"/>
    <w:rsid w:val="00431E9B"/>
    <w:rsid w:val="004379E3"/>
    <w:rsid w:val="0044015E"/>
    <w:rsid w:val="0044291A"/>
    <w:rsid w:val="00444ABD"/>
    <w:rsid w:val="00447DB4"/>
    <w:rsid w:val="004539F1"/>
    <w:rsid w:val="00460F1D"/>
    <w:rsid w:val="00467661"/>
    <w:rsid w:val="004705B7"/>
    <w:rsid w:val="00472DBE"/>
    <w:rsid w:val="00474A19"/>
    <w:rsid w:val="004823C0"/>
    <w:rsid w:val="0048276B"/>
    <w:rsid w:val="00496B5F"/>
    <w:rsid w:val="00496F97"/>
    <w:rsid w:val="004A44FC"/>
    <w:rsid w:val="004A5986"/>
    <w:rsid w:val="004D13BD"/>
    <w:rsid w:val="004E063A"/>
    <w:rsid w:val="004E5704"/>
    <w:rsid w:val="004E7BEC"/>
    <w:rsid w:val="0050044F"/>
    <w:rsid w:val="00505D3D"/>
    <w:rsid w:val="00506AF6"/>
    <w:rsid w:val="00516B8D"/>
    <w:rsid w:val="00517E56"/>
    <w:rsid w:val="00530968"/>
    <w:rsid w:val="00532049"/>
    <w:rsid w:val="005356A7"/>
    <w:rsid w:val="00537FBC"/>
    <w:rsid w:val="005574D1"/>
    <w:rsid w:val="005657FE"/>
    <w:rsid w:val="00572BB1"/>
    <w:rsid w:val="00584811"/>
    <w:rsid w:val="00585784"/>
    <w:rsid w:val="00593AA6"/>
    <w:rsid w:val="00594161"/>
    <w:rsid w:val="00594749"/>
    <w:rsid w:val="005B1D21"/>
    <w:rsid w:val="005B4067"/>
    <w:rsid w:val="005B780C"/>
    <w:rsid w:val="005C1C22"/>
    <w:rsid w:val="005C1F38"/>
    <w:rsid w:val="005C3F41"/>
    <w:rsid w:val="005D0489"/>
    <w:rsid w:val="005D2D09"/>
    <w:rsid w:val="005E4810"/>
    <w:rsid w:val="005F65CD"/>
    <w:rsid w:val="00600219"/>
    <w:rsid w:val="00603DC4"/>
    <w:rsid w:val="00604E20"/>
    <w:rsid w:val="00607A71"/>
    <w:rsid w:val="0061693F"/>
    <w:rsid w:val="00620076"/>
    <w:rsid w:val="006277A4"/>
    <w:rsid w:val="00640161"/>
    <w:rsid w:val="00647598"/>
    <w:rsid w:val="00652769"/>
    <w:rsid w:val="0065542F"/>
    <w:rsid w:val="006554FF"/>
    <w:rsid w:val="00655874"/>
    <w:rsid w:val="00662D75"/>
    <w:rsid w:val="0067066A"/>
    <w:rsid w:val="00670EA1"/>
    <w:rsid w:val="00676ACB"/>
    <w:rsid w:val="00677CC2"/>
    <w:rsid w:val="006905DE"/>
    <w:rsid w:val="0069207B"/>
    <w:rsid w:val="006925C3"/>
    <w:rsid w:val="006B5789"/>
    <w:rsid w:val="006C30C5"/>
    <w:rsid w:val="006C48FA"/>
    <w:rsid w:val="006C7F8C"/>
    <w:rsid w:val="006D2D82"/>
    <w:rsid w:val="006E5320"/>
    <w:rsid w:val="006E6246"/>
    <w:rsid w:val="006F0068"/>
    <w:rsid w:val="006F318F"/>
    <w:rsid w:val="006F4226"/>
    <w:rsid w:val="0070017E"/>
    <w:rsid w:val="00700B2C"/>
    <w:rsid w:val="007050A2"/>
    <w:rsid w:val="007078C2"/>
    <w:rsid w:val="00713084"/>
    <w:rsid w:val="00714F20"/>
    <w:rsid w:val="0071590F"/>
    <w:rsid w:val="00715914"/>
    <w:rsid w:val="00722B95"/>
    <w:rsid w:val="00730186"/>
    <w:rsid w:val="00731E00"/>
    <w:rsid w:val="00741EE8"/>
    <w:rsid w:val="007440B7"/>
    <w:rsid w:val="007500C8"/>
    <w:rsid w:val="0075106E"/>
    <w:rsid w:val="00756272"/>
    <w:rsid w:val="007662B5"/>
    <w:rsid w:val="0076681A"/>
    <w:rsid w:val="007715C9"/>
    <w:rsid w:val="00771613"/>
    <w:rsid w:val="00774EDD"/>
    <w:rsid w:val="007757EC"/>
    <w:rsid w:val="00783E89"/>
    <w:rsid w:val="00785A9E"/>
    <w:rsid w:val="00793915"/>
    <w:rsid w:val="007B4C4F"/>
    <w:rsid w:val="007C2253"/>
    <w:rsid w:val="007C61D2"/>
    <w:rsid w:val="007D230B"/>
    <w:rsid w:val="007E163D"/>
    <w:rsid w:val="007E667A"/>
    <w:rsid w:val="007F28C9"/>
    <w:rsid w:val="0080312D"/>
    <w:rsid w:val="00803587"/>
    <w:rsid w:val="008117E9"/>
    <w:rsid w:val="00816888"/>
    <w:rsid w:val="00824498"/>
    <w:rsid w:val="0082759A"/>
    <w:rsid w:val="00840442"/>
    <w:rsid w:val="00850F56"/>
    <w:rsid w:val="008527C0"/>
    <w:rsid w:val="00855E08"/>
    <w:rsid w:val="00856A31"/>
    <w:rsid w:val="00860B58"/>
    <w:rsid w:val="00867B37"/>
    <w:rsid w:val="008754D0"/>
    <w:rsid w:val="008855C9"/>
    <w:rsid w:val="00886456"/>
    <w:rsid w:val="008945E0"/>
    <w:rsid w:val="0089527F"/>
    <w:rsid w:val="00896134"/>
    <w:rsid w:val="008A362B"/>
    <w:rsid w:val="008A46E1"/>
    <w:rsid w:val="008A4F43"/>
    <w:rsid w:val="008B01EE"/>
    <w:rsid w:val="008B2706"/>
    <w:rsid w:val="008B76F9"/>
    <w:rsid w:val="008C0F29"/>
    <w:rsid w:val="008C66F7"/>
    <w:rsid w:val="008D0EE0"/>
    <w:rsid w:val="008D3422"/>
    <w:rsid w:val="008E290E"/>
    <w:rsid w:val="008E6067"/>
    <w:rsid w:val="008F54E7"/>
    <w:rsid w:val="00902B9E"/>
    <w:rsid w:val="00903422"/>
    <w:rsid w:val="009157B9"/>
    <w:rsid w:val="00915DF9"/>
    <w:rsid w:val="009232C9"/>
    <w:rsid w:val="009254C3"/>
    <w:rsid w:val="00930A0A"/>
    <w:rsid w:val="00932377"/>
    <w:rsid w:val="00942303"/>
    <w:rsid w:val="00947D5A"/>
    <w:rsid w:val="009532A5"/>
    <w:rsid w:val="0095528E"/>
    <w:rsid w:val="00962120"/>
    <w:rsid w:val="0096753E"/>
    <w:rsid w:val="00982242"/>
    <w:rsid w:val="009868E9"/>
    <w:rsid w:val="009944E6"/>
    <w:rsid w:val="009A49C9"/>
    <w:rsid w:val="009B69D4"/>
    <w:rsid w:val="009D1818"/>
    <w:rsid w:val="009E0B05"/>
    <w:rsid w:val="009E5CFC"/>
    <w:rsid w:val="009F0047"/>
    <w:rsid w:val="00A0322C"/>
    <w:rsid w:val="00A079CB"/>
    <w:rsid w:val="00A12128"/>
    <w:rsid w:val="00A12F48"/>
    <w:rsid w:val="00A15512"/>
    <w:rsid w:val="00A20FCE"/>
    <w:rsid w:val="00A22C98"/>
    <w:rsid w:val="00A231E2"/>
    <w:rsid w:val="00A31D73"/>
    <w:rsid w:val="00A33D55"/>
    <w:rsid w:val="00A40424"/>
    <w:rsid w:val="00A52B0F"/>
    <w:rsid w:val="00A5632E"/>
    <w:rsid w:val="00A6400A"/>
    <w:rsid w:val="00A64912"/>
    <w:rsid w:val="00A70A74"/>
    <w:rsid w:val="00A800A8"/>
    <w:rsid w:val="00A91966"/>
    <w:rsid w:val="00A954C9"/>
    <w:rsid w:val="00AA66AC"/>
    <w:rsid w:val="00AA671D"/>
    <w:rsid w:val="00AC0886"/>
    <w:rsid w:val="00AC1F70"/>
    <w:rsid w:val="00AC3E7B"/>
    <w:rsid w:val="00AD5315"/>
    <w:rsid w:val="00AD5641"/>
    <w:rsid w:val="00AD7889"/>
    <w:rsid w:val="00AE1D1E"/>
    <w:rsid w:val="00AE7708"/>
    <w:rsid w:val="00AF021B"/>
    <w:rsid w:val="00AF06CF"/>
    <w:rsid w:val="00B07CDB"/>
    <w:rsid w:val="00B156BC"/>
    <w:rsid w:val="00B16067"/>
    <w:rsid w:val="00B16A31"/>
    <w:rsid w:val="00B17DFD"/>
    <w:rsid w:val="00B2799D"/>
    <w:rsid w:val="00B308FE"/>
    <w:rsid w:val="00B33709"/>
    <w:rsid w:val="00B33B3C"/>
    <w:rsid w:val="00B50ADC"/>
    <w:rsid w:val="00B566B1"/>
    <w:rsid w:val="00B63834"/>
    <w:rsid w:val="00B71969"/>
    <w:rsid w:val="00B72734"/>
    <w:rsid w:val="00B80199"/>
    <w:rsid w:val="00B82D81"/>
    <w:rsid w:val="00B83204"/>
    <w:rsid w:val="00BA220B"/>
    <w:rsid w:val="00BA2950"/>
    <w:rsid w:val="00BA2AA6"/>
    <w:rsid w:val="00BA3A57"/>
    <w:rsid w:val="00BB1F09"/>
    <w:rsid w:val="00BB208C"/>
    <w:rsid w:val="00BB4E1A"/>
    <w:rsid w:val="00BB5C17"/>
    <w:rsid w:val="00BC015E"/>
    <w:rsid w:val="00BC7183"/>
    <w:rsid w:val="00BC76AC"/>
    <w:rsid w:val="00BD0ECB"/>
    <w:rsid w:val="00BE2155"/>
    <w:rsid w:val="00BE2213"/>
    <w:rsid w:val="00BE4EA0"/>
    <w:rsid w:val="00BE719A"/>
    <w:rsid w:val="00BE720A"/>
    <w:rsid w:val="00BF0D73"/>
    <w:rsid w:val="00BF2465"/>
    <w:rsid w:val="00BF75C9"/>
    <w:rsid w:val="00C02D44"/>
    <w:rsid w:val="00C0544A"/>
    <w:rsid w:val="00C11452"/>
    <w:rsid w:val="00C22264"/>
    <w:rsid w:val="00C25E7F"/>
    <w:rsid w:val="00C2746F"/>
    <w:rsid w:val="00C324A0"/>
    <w:rsid w:val="00C3300F"/>
    <w:rsid w:val="00C35875"/>
    <w:rsid w:val="00C36A52"/>
    <w:rsid w:val="00C42BF8"/>
    <w:rsid w:val="00C45171"/>
    <w:rsid w:val="00C50043"/>
    <w:rsid w:val="00C50B97"/>
    <w:rsid w:val="00C51297"/>
    <w:rsid w:val="00C540F6"/>
    <w:rsid w:val="00C6434E"/>
    <w:rsid w:val="00C70CA8"/>
    <w:rsid w:val="00C7573B"/>
    <w:rsid w:val="00C93C03"/>
    <w:rsid w:val="00CA3A25"/>
    <w:rsid w:val="00CA66DC"/>
    <w:rsid w:val="00CB2C8E"/>
    <w:rsid w:val="00CB602E"/>
    <w:rsid w:val="00CD2E90"/>
    <w:rsid w:val="00CD735B"/>
    <w:rsid w:val="00CE051D"/>
    <w:rsid w:val="00CE1335"/>
    <w:rsid w:val="00CE3D2A"/>
    <w:rsid w:val="00CE493D"/>
    <w:rsid w:val="00CF07FA"/>
    <w:rsid w:val="00CF0BB2"/>
    <w:rsid w:val="00CF3EE8"/>
    <w:rsid w:val="00D003F4"/>
    <w:rsid w:val="00D02647"/>
    <w:rsid w:val="00D050E6"/>
    <w:rsid w:val="00D13441"/>
    <w:rsid w:val="00D150E7"/>
    <w:rsid w:val="00D32F65"/>
    <w:rsid w:val="00D341C4"/>
    <w:rsid w:val="00D476C7"/>
    <w:rsid w:val="00D52DC2"/>
    <w:rsid w:val="00D53BCC"/>
    <w:rsid w:val="00D54AB4"/>
    <w:rsid w:val="00D66303"/>
    <w:rsid w:val="00D67BA9"/>
    <w:rsid w:val="00D702DE"/>
    <w:rsid w:val="00D70DFB"/>
    <w:rsid w:val="00D73C22"/>
    <w:rsid w:val="00D7567C"/>
    <w:rsid w:val="00D766DF"/>
    <w:rsid w:val="00D93801"/>
    <w:rsid w:val="00DA186E"/>
    <w:rsid w:val="00DA4116"/>
    <w:rsid w:val="00DA41D5"/>
    <w:rsid w:val="00DA7B63"/>
    <w:rsid w:val="00DB251C"/>
    <w:rsid w:val="00DB38AD"/>
    <w:rsid w:val="00DB4630"/>
    <w:rsid w:val="00DC4445"/>
    <w:rsid w:val="00DC4F88"/>
    <w:rsid w:val="00DE79F9"/>
    <w:rsid w:val="00E05704"/>
    <w:rsid w:val="00E06CC3"/>
    <w:rsid w:val="00E11E44"/>
    <w:rsid w:val="00E13AFA"/>
    <w:rsid w:val="00E2168B"/>
    <w:rsid w:val="00E21F03"/>
    <w:rsid w:val="00E338EF"/>
    <w:rsid w:val="00E40FF8"/>
    <w:rsid w:val="00E44D48"/>
    <w:rsid w:val="00E50FCF"/>
    <w:rsid w:val="00E544BB"/>
    <w:rsid w:val="00E578EC"/>
    <w:rsid w:val="00E60423"/>
    <w:rsid w:val="00E662CB"/>
    <w:rsid w:val="00E74DC7"/>
    <w:rsid w:val="00E763DA"/>
    <w:rsid w:val="00E8075A"/>
    <w:rsid w:val="00E818A6"/>
    <w:rsid w:val="00E86920"/>
    <w:rsid w:val="00E94D5E"/>
    <w:rsid w:val="00EA1445"/>
    <w:rsid w:val="00EA7100"/>
    <w:rsid w:val="00EA7F9F"/>
    <w:rsid w:val="00EB1274"/>
    <w:rsid w:val="00EC40B7"/>
    <w:rsid w:val="00EC4757"/>
    <w:rsid w:val="00EC7EDB"/>
    <w:rsid w:val="00ED2BB6"/>
    <w:rsid w:val="00ED34E1"/>
    <w:rsid w:val="00ED3B8D"/>
    <w:rsid w:val="00EF2E3A"/>
    <w:rsid w:val="00F02EF9"/>
    <w:rsid w:val="00F072A7"/>
    <w:rsid w:val="00F078DC"/>
    <w:rsid w:val="00F14593"/>
    <w:rsid w:val="00F171A1"/>
    <w:rsid w:val="00F226ED"/>
    <w:rsid w:val="00F324F1"/>
    <w:rsid w:val="00F32BA8"/>
    <w:rsid w:val="00F349F1"/>
    <w:rsid w:val="00F4215A"/>
    <w:rsid w:val="00F4350D"/>
    <w:rsid w:val="00F50532"/>
    <w:rsid w:val="00F567F7"/>
    <w:rsid w:val="00F60F2F"/>
    <w:rsid w:val="00F61879"/>
    <w:rsid w:val="00F61B09"/>
    <w:rsid w:val="00F62036"/>
    <w:rsid w:val="00F65B52"/>
    <w:rsid w:val="00F67BCA"/>
    <w:rsid w:val="00F73BD6"/>
    <w:rsid w:val="00F83989"/>
    <w:rsid w:val="00F85099"/>
    <w:rsid w:val="00F86B70"/>
    <w:rsid w:val="00F9379C"/>
    <w:rsid w:val="00F9469F"/>
    <w:rsid w:val="00F9632C"/>
    <w:rsid w:val="00FA1E52"/>
    <w:rsid w:val="00FA31DE"/>
    <w:rsid w:val="00FA5C23"/>
    <w:rsid w:val="00FA7D17"/>
    <w:rsid w:val="00FC3EB8"/>
    <w:rsid w:val="00FC7D25"/>
    <w:rsid w:val="00FE4688"/>
    <w:rsid w:val="00FE72D6"/>
    <w:rsid w:val="00FE79D0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134C6"/>
  <w15:chartTrackingRefBased/>
  <w15:docId w15:val="{B8DB689F-4835-4FF3-8540-2DBB0700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NormalWeb">
    <w:name w:val="Normal (Web)"/>
    <w:basedOn w:val="Normal"/>
    <w:uiPriority w:val="99"/>
    <w:unhideWhenUsed/>
    <w:rsid w:val="006277A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jade-outdent">
    <w:name w:val="jade-outdent"/>
    <w:basedOn w:val="Normal"/>
    <w:rsid w:val="006277A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lista">
    <w:name w:val="lista"/>
    <w:basedOn w:val="Normal"/>
    <w:rsid w:val="006277A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bodytextnumberedchar0">
    <w:name w:val="li-bodytextnumberedchar"/>
    <w:basedOn w:val="DefaultParagraphFont"/>
    <w:rsid w:val="006277A4"/>
  </w:style>
  <w:style w:type="paragraph" w:styleId="Revision">
    <w:name w:val="Revision"/>
    <w:hidden/>
    <w:uiPriority w:val="99"/>
    <w:semiHidden/>
    <w:rsid w:val="000E7607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yperlink" Target="http://www.legislation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header" Target="header1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header" Target="header10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header" Target="header8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footer" Target="footer7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header" Target="header9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M SP13 Document" ma:contentTypeID="0x010100B5F685A1365F544391EF8C813B164F3A006A0666AD55E74A4AA7B2AAEA6C351A600062FB3D9270BF5A428E87561F54151E3E" ma:contentTypeVersion="26" ma:contentTypeDescription="Create a new document." ma:contentTypeScope="" ma:versionID="496babfa9fda4422f36a26e5f38d5dea">
  <xsd:schema xmlns:xsd="http://www.w3.org/2001/XMLSchema" xmlns:xs="http://www.w3.org/2001/XMLSchema" xmlns:p="http://schemas.microsoft.com/office/2006/metadata/properties" xmlns:ns2="db2b92ca-6ed0-4085-802d-4c686a2e8c3f" xmlns:ns3="eb44715b-cd74-4c79-92c4-f0e9f1a86440" targetNamespace="http://schemas.microsoft.com/office/2006/metadata/properties" ma:root="true" ma:fieldsID="94a0415fdd354fc9c05211b186ddfda3" ns2:_="" ns3:_="">
    <xsd:import namespace="db2b92ca-6ed0-4085-802d-4c686a2e8c3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ECMSP13CreatedBy" minOccurs="0"/>
                <xsd:element ref="ns3:ECMSP13ModifiedBy" minOccurs="0"/>
                <xsd:element ref="ns3:ECMSP13DocumentID" minOccurs="0"/>
                <xsd:element ref="ns3:ECMSP13SecurityClassificatio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ECMSP13CreatedBy" ma:index="11" nillable="true" ma:displayName="ECM SP13 Created By" ma:internalName="ECMSP13CreatedBy">
      <xsd:simpleType>
        <xsd:restriction base="dms:Text"/>
      </xsd:simpleType>
    </xsd:element>
    <xsd:element name="ECMSP13ModifiedBy" ma:index="12" nillable="true" ma:displayName="ECM SP13 Modified By" ma:internalName="ECMSP13ModifiedBy">
      <xsd:simpleType>
        <xsd:restriction base="dms:Text"/>
      </xsd:simpleType>
    </xsd:element>
    <xsd:element name="ECMSP13DocumentID" ma:index="13" nillable="true" ma:displayName="ECM SP13 Document ID" ma:internalName="ECMSP13DocumentID">
      <xsd:simpleType>
        <xsd:restriction base="dms:Text"/>
      </xsd:simpleType>
    </xsd:element>
    <xsd:element name="ECMSP13SecurityClassification" ma:index="14" nillable="true" ma:displayName="ECM SP13 Security Classification" ma:internalName="ECMSP13SecurityClassification">
      <xsd:simpleType>
        <xsd:restriction base="dms:Text"/>
      </xsd:simpleType>
    </xsd:element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OFFICIALcffd3088-7a74-4edb-8c9e-fbf79371a422</p1abb5e704a84578aa4b8ef0390c3b25>
    <DocumentNotes xmlns="db2b92ca-6ed0-4085-802d-4c686a2e8c3f" xsi:nil="true"/>
    <NAPReason xmlns="db2b92ca-6ed0-4085-802d-4c686a2e8c3f" xsi:nil="true"/>
    <_dlc_DocId xmlns="eb44715b-cd74-4c79-92c4-f0e9f1a86440">000853-1726373233-1544</_dlc_DocId>
    <_dlc_DocIdUrl xmlns="eb44715b-cd74-4c79-92c4-f0e9f1a86440">
      <Url>https://asiclink.sharepoint.com/teams/000853/_layouts/15/DocIdRedir.aspx?ID=000853-1726373233-1544</Url>
      <Description>000853-1726373233-1544</Description>
    </_dlc_DocIdUrl>
    <ECMSP13DocumentID xmlns="eb44715b-cd74-4c79-92c4-f0e9f1a86440">R20150000005024</ECMSP13DocumentID>
    <ECMSP13CreatedBy xmlns="eb44715b-cd74-4c79-92c4-f0e9f1a86440">Grant Moodie</ECMSP13CreatedBy>
    <ECMSP13ModifiedBy xmlns="eb44715b-cd74-4c79-92c4-f0e9f1a86440">Anthony Graham</ECMSP13ModifiedBy>
    <ECMSP13SecurityClassification xmlns="eb44715b-cd74-4c79-92c4-f0e9f1a86440">Sensitive</ECMSP13SecurityClassification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Props1.xml><?xml version="1.0" encoding="utf-8"?>
<ds:datastoreItem xmlns:ds="http://schemas.openxmlformats.org/officeDocument/2006/customXml" ds:itemID="{3DABB042-F2E9-4003-BC90-328991AC2DE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70C2D01-A4D8-4E04-BF10-9381274B2A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9BA9FD-5AAD-45C9-8DF3-5F22624877E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9689A90-0F22-4442-A01F-52CB476AC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31789F3-F682-45D9-8B9D-64FA1972108D}">
  <ds:schemaRefs>
    <ds:schemaRef ds:uri="http://purl.org/dc/elements/1.1/"/>
    <ds:schemaRef ds:uri="http://schemas.microsoft.com/office/2006/metadata/properties"/>
    <ds:schemaRef ds:uri="eb44715b-cd74-4c79-92c4-f0e9f1a86440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b2b92ca-6ed0-4085-802d-4c686a2e8c3f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FEC8352B-F62E-435D-B6A7-B752B1B8D0D2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EBA3D1B1-998C-4995-B953-2780C5DDAE7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17</TotalTime>
  <Pages>6</Pages>
  <Words>921</Words>
  <Characters>5256</Characters>
  <Application>Microsoft Office Word</Application>
  <DocSecurity>0</DocSecurity>
  <PresentationFormat/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6165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Graham</dc:creator>
  <cp:keywords/>
  <cp:lastModifiedBy>Narelle Kane</cp:lastModifiedBy>
  <cp:revision>14</cp:revision>
  <cp:lastPrinted>2014-06-13T06:38:00Z</cp:lastPrinted>
  <dcterms:created xsi:type="dcterms:W3CDTF">2023-11-10T05:46:00Z</dcterms:created>
  <dcterms:modified xsi:type="dcterms:W3CDTF">2024-01-03T02:05:00Z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{a099b343-bdc0-4199-a0ae-3a06ab89fbde}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SecurityClassification">
    <vt:lpwstr>7;#Sensitive|19fd2cb8-3e97-4464-ae71-8c2c2095d028</vt:lpwstr>
  </property>
  <property fmtid="{D5CDD505-2E9C-101B-9397-08002B2CF9AE}" pid="46" name="IconOverlay">
    <vt:lpwstr/>
  </property>
  <property fmtid="{D5CDD505-2E9C-101B-9397-08002B2CF9AE}" pid="47" name="RecordNumber">
    <vt:lpwstr>R20150000005024</vt:lpwstr>
  </property>
  <property fmtid="{D5CDD505-2E9C-101B-9397-08002B2CF9AE}" pid="48" name="RecordPoint_SubmissionCompleted">
    <vt:lpwstr>2022-03-31T09:28:32.1801734+11:00</vt:lpwstr>
  </property>
  <property fmtid="{D5CDD505-2E9C-101B-9397-08002B2CF9AE}" pid="49" name="RecordPoint_RecordNumberSubmitted">
    <vt:lpwstr>R20150000005024</vt:lpwstr>
  </property>
  <property fmtid="{D5CDD505-2E9C-101B-9397-08002B2CF9AE}" pid="50" name="ObjectiveID">
    <vt:lpwstr/>
  </property>
  <property fmtid="{D5CDD505-2E9C-101B-9397-08002B2CF9AE}" pid="51" name="SignificantFlag">
    <vt:lpwstr>0</vt:lpwstr>
  </property>
  <property fmtid="{D5CDD505-2E9C-101B-9397-08002B2CF9AE}" pid="52" name="SenateOrder12">
    <vt:lpwstr>0</vt:lpwstr>
  </property>
  <property fmtid="{D5CDD505-2E9C-101B-9397-08002B2CF9AE}" pid="53" name="ded95d7ab059406991d558011d18c177">
    <vt:lpwstr/>
  </property>
  <property fmtid="{D5CDD505-2E9C-101B-9397-08002B2CF9AE}" pid="54" name="Approvers">
    <vt:lpwstr/>
  </property>
  <property fmtid="{D5CDD505-2E9C-101B-9397-08002B2CF9AE}" pid="55" name="Reviewers">
    <vt:lpwstr/>
  </property>
  <property fmtid="{D5CDD505-2E9C-101B-9397-08002B2CF9AE}" pid="56" name="SignificantReason">
    <vt:lpwstr/>
  </property>
  <property fmtid="{D5CDD505-2E9C-101B-9397-08002B2CF9AE}" pid="57" name="NotesLinks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Anthony Graham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0x010100B5F685A1365F544391EF8C813B164F3A006A0666AD55E74A4AA7B2AAEA6C351A600062FB3D9270BF5A428E87561F54151E3E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000853-1726373233-5</vt:lpwstr>
  </property>
  <property fmtid="{D5CDD505-2E9C-101B-9397-08002B2CF9AE}" pid="74" name="_dlc_DocIdItemGuid">
    <vt:lpwstr>26356305-2d2c-480c-81ff-d77969c43633</vt:lpwstr>
  </property>
  <property fmtid="{D5CDD505-2E9C-101B-9397-08002B2CF9AE}" pid="75" name="_dlc_DocIdUrl">
    <vt:lpwstr>https://asiclink.sharepoint.com/teams/000853/_layouts/15/DocIdRedir.aspx?ID=000853-1726373233-5, 000853-1726373233-5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2023-06-13T23:25:15Z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378843a0-1763-4d26-b06d-4674f2a9de77</vt:lpwstr>
  </property>
  <property fmtid="{D5CDD505-2E9C-101B-9397-08002B2CF9AE}" pid="82" name="MSIP_Label_a6aead41-07f8-4767-ac8e-ef1c9c793766_ContentBits">
    <vt:lpwstr>0</vt:lpwstr>
  </property>
</Properties>
</file>