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3ACD" w14:textId="6DB0F724" w:rsidR="00FF6E25" w:rsidRPr="00FC1BF0" w:rsidRDefault="00FF6E25" w:rsidP="000C310A">
      <w:pPr>
        <w:pStyle w:val="Title"/>
      </w:pPr>
      <w:r w:rsidRPr="00FC1BF0">
        <w:t>EXPLANATORY STATEMENT</w:t>
      </w:r>
    </w:p>
    <w:p w14:paraId="145EC655" w14:textId="53005B6C" w:rsidR="0088497A" w:rsidRPr="00FC1BF0" w:rsidRDefault="0088497A" w:rsidP="000C310A">
      <w:pPr>
        <w:pStyle w:val="Subtitle"/>
        <w:rPr>
          <w:rStyle w:val="IntenseEmphasis"/>
          <w:color w:val="auto"/>
        </w:rPr>
      </w:pPr>
      <w:r w:rsidRPr="000C310A">
        <w:rPr>
          <w:rStyle w:val="IntenseEmphasis"/>
          <w:color w:val="auto"/>
        </w:rPr>
        <w:t xml:space="preserve">Issued by the authority </w:t>
      </w:r>
      <w:r w:rsidRPr="00FC1BF0">
        <w:rPr>
          <w:rStyle w:val="IntenseEmphasis"/>
          <w:color w:val="auto"/>
        </w:rPr>
        <w:t xml:space="preserve">of </w:t>
      </w:r>
      <w:r w:rsidR="00FC1BF0" w:rsidRPr="00FC1BF0">
        <w:rPr>
          <w:rStyle w:val="IntenseEmphasis"/>
          <w:color w:val="auto"/>
        </w:rPr>
        <w:t>the Minister for Education</w:t>
      </w:r>
    </w:p>
    <w:p w14:paraId="12EB6806" w14:textId="1539AE4A" w:rsidR="00455C2A" w:rsidRPr="00FC1BF0" w:rsidRDefault="00FC1BF0" w:rsidP="000C310A">
      <w:pPr>
        <w:pStyle w:val="Subtitle"/>
      </w:pPr>
      <w:r w:rsidRPr="00FC1BF0">
        <w:t>Higher Education Support Act 2003</w:t>
      </w:r>
    </w:p>
    <w:p w14:paraId="6C026A0C" w14:textId="2AACF9D9" w:rsidR="00503218" w:rsidRPr="0088497A" w:rsidRDefault="00FC1BF0" w:rsidP="000C310A">
      <w:pPr>
        <w:pStyle w:val="Subtitle"/>
      </w:pPr>
      <w:r w:rsidRPr="00FC1BF0">
        <w:t>Higher Education Support</w:t>
      </w:r>
      <w:r w:rsidR="00020555">
        <w:t xml:space="preserve"> Amendment</w:t>
      </w:r>
      <w:r w:rsidRPr="00FC1BF0">
        <w:t xml:space="preserve"> (</w:t>
      </w:r>
      <w:r w:rsidR="00020555">
        <w:t>Startup Year</w:t>
      </w:r>
      <w:r w:rsidRPr="00FC1BF0">
        <w:t>) Guidelines 2023</w:t>
      </w:r>
    </w:p>
    <w:p w14:paraId="33AB2D38" w14:textId="77777777" w:rsidR="00455C2A" w:rsidRPr="009D0999" w:rsidRDefault="00144950" w:rsidP="000C310A">
      <w:pPr>
        <w:pStyle w:val="Heading1"/>
      </w:pPr>
      <w:bookmarkStart w:id="0" w:name="_Toc23942238"/>
      <w:bookmarkStart w:id="1" w:name="_Toc34293358"/>
      <w:r w:rsidRPr="009D0999">
        <w:t>AUTHORITY</w:t>
      </w:r>
    </w:p>
    <w:p w14:paraId="48F295AF" w14:textId="78B21436" w:rsidR="00DB6247" w:rsidRDefault="00FC1BF0" w:rsidP="000C310A">
      <w:pPr>
        <w:spacing w:before="120" w:after="120"/>
        <w:rPr>
          <w:rFonts w:asciiTheme="minorHAnsi" w:hAnsiTheme="minorHAnsi" w:cstheme="minorHAnsi"/>
          <w:szCs w:val="24"/>
        </w:rPr>
      </w:pPr>
      <w:r>
        <w:rPr>
          <w:rFonts w:asciiTheme="minorHAnsi" w:hAnsiTheme="minorHAnsi" w:cstheme="minorHAnsi"/>
          <w:szCs w:val="24"/>
        </w:rPr>
        <w:t xml:space="preserve">Section 238-10 of the </w:t>
      </w:r>
      <w:r>
        <w:rPr>
          <w:rFonts w:asciiTheme="minorHAnsi" w:hAnsiTheme="minorHAnsi" w:cstheme="minorHAnsi"/>
          <w:i/>
          <w:iCs/>
          <w:szCs w:val="24"/>
        </w:rPr>
        <w:t xml:space="preserve">Higher Education Support Act 2003 </w:t>
      </w:r>
      <w:r>
        <w:rPr>
          <w:rFonts w:asciiTheme="minorHAnsi" w:hAnsiTheme="minorHAnsi" w:cstheme="minorHAnsi"/>
          <w:szCs w:val="24"/>
        </w:rPr>
        <w:t xml:space="preserve">(the Act) provides that the Minister may make </w:t>
      </w:r>
      <w:r w:rsidR="00020555">
        <w:rPr>
          <w:rFonts w:asciiTheme="minorHAnsi" w:hAnsiTheme="minorHAnsi" w:cstheme="minorHAnsi"/>
          <w:szCs w:val="24"/>
        </w:rPr>
        <w:t xml:space="preserve">Administration Guidelines and Higher Education Provider Guidelines to, amongst other things, provide for matters necessary or convenient to be provided in order to carry out, or give effect to, certain provisions in the Act. </w:t>
      </w:r>
    </w:p>
    <w:p w14:paraId="38F859F1" w14:textId="48F9B925" w:rsidR="00020555" w:rsidRPr="00020555" w:rsidRDefault="00020555" w:rsidP="000C310A">
      <w:pPr>
        <w:spacing w:before="120" w:after="120"/>
      </w:pPr>
      <w:r>
        <w:rPr>
          <w:rFonts w:asciiTheme="minorHAnsi" w:hAnsiTheme="minorHAnsi" w:cstheme="minorHAnsi"/>
          <w:szCs w:val="24"/>
        </w:rPr>
        <w:t xml:space="preserve">Under subsection 33(3) of the </w:t>
      </w:r>
      <w:r>
        <w:rPr>
          <w:rFonts w:asciiTheme="minorHAnsi" w:hAnsiTheme="minorHAnsi" w:cstheme="minorHAnsi"/>
          <w:i/>
          <w:iCs/>
          <w:szCs w:val="24"/>
        </w:rPr>
        <w:t>Acts Interpretation Act 1901</w:t>
      </w:r>
      <w:r>
        <w:rPr>
          <w:rFonts w:asciiTheme="minorHAnsi" w:hAnsiTheme="minorHAnsi" w:cstheme="minorHAnsi"/>
          <w:szCs w:val="24"/>
        </w:rPr>
        <w:t>, where an Act c</w:t>
      </w:r>
      <w:r w:rsidRPr="00020555">
        <w:rPr>
          <w:rFonts w:asciiTheme="minorHAnsi" w:hAnsiTheme="minorHAnsi" w:cstheme="minorHAnsi"/>
          <w:szCs w:val="24"/>
        </w:rPr>
        <w:t>onfers a power to make, grant or issue any instrument of a legislative or administrative character (including rules, regulations or by</w:t>
      </w:r>
      <w:r w:rsidRPr="00020555">
        <w:rPr>
          <w:rFonts w:ascii="Cambria Math" w:hAnsi="Cambria Math" w:cs="Cambria Math"/>
          <w:szCs w:val="24"/>
        </w:rPr>
        <w:t>‑</w:t>
      </w:r>
      <w:r w:rsidRPr="00020555">
        <w:rPr>
          <w:rFonts w:asciiTheme="minorHAnsi" w:hAnsiTheme="minorHAnsi" w:cstheme="minorHAnsi"/>
          <w:szCs w:val="24"/>
        </w:rPr>
        <w:t>laws), the power shall be construed as including a power exercisable in the like manner and subject to the like conditions (if any) to repeal, rescind, revoke, amend, or vary any such instrument. The amendments to the</w:t>
      </w:r>
      <w:r>
        <w:rPr>
          <w:rFonts w:asciiTheme="minorHAnsi" w:hAnsiTheme="minorHAnsi" w:cstheme="minorHAnsi"/>
          <w:szCs w:val="24"/>
        </w:rPr>
        <w:t xml:space="preserve"> </w:t>
      </w:r>
      <w:r>
        <w:rPr>
          <w:rFonts w:asciiTheme="minorHAnsi" w:hAnsiTheme="minorHAnsi" w:cstheme="minorHAnsi"/>
          <w:i/>
          <w:iCs/>
          <w:szCs w:val="24"/>
        </w:rPr>
        <w:t xml:space="preserve">Higher Education Support (Administration) Guidelines 2022 </w:t>
      </w:r>
      <w:r>
        <w:rPr>
          <w:rFonts w:asciiTheme="minorHAnsi" w:hAnsiTheme="minorHAnsi" w:cstheme="minorHAnsi"/>
          <w:szCs w:val="24"/>
        </w:rPr>
        <w:t xml:space="preserve">and the </w:t>
      </w:r>
      <w:r>
        <w:rPr>
          <w:rFonts w:asciiTheme="minorHAnsi" w:hAnsiTheme="minorHAnsi" w:cstheme="minorHAnsi"/>
          <w:i/>
          <w:iCs/>
          <w:szCs w:val="24"/>
        </w:rPr>
        <w:t xml:space="preserve">Higher Education Provider Guidelines 2023 </w:t>
      </w:r>
      <w:r>
        <w:rPr>
          <w:rFonts w:asciiTheme="minorHAnsi" w:hAnsiTheme="minorHAnsi" w:cstheme="minorHAnsi"/>
          <w:szCs w:val="24"/>
        </w:rPr>
        <w:t xml:space="preserve">(together, the ‘Principal Instruments’) made by the </w:t>
      </w:r>
      <w:r>
        <w:rPr>
          <w:rFonts w:asciiTheme="minorHAnsi" w:hAnsiTheme="minorHAnsi" w:cstheme="minorHAnsi"/>
          <w:i/>
          <w:iCs/>
          <w:szCs w:val="24"/>
        </w:rPr>
        <w:t xml:space="preserve">Higher Education Support Amendment (Startup Year) Guidelines 2023 </w:t>
      </w:r>
      <w:r>
        <w:rPr>
          <w:rFonts w:asciiTheme="minorHAnsi" w:hAnsiTheme="minorHAnsi" w:cstheme="minorHAnsi"/>
          <w:szCs w:val="24"/>
        </w:rPr>
        <w:t>(</w:t>
      </w:r>
      <w:r w:rsidR="00345D58">
        <w:rPr>
          <w:rFonts w:asciiTheme="minorHAnsi" w:hAnsiTheme="minorHAnsi" w:cstheme="minorHAnsi"/>
          <w:szCs w:val="24"/>
        </w:rPr>
        <w:t xml:space="preserve">the </w:t>
      </w:r>
      <w:r>
        <w:rPr>
          <w:rFonts w:asciiTheme="minorHAnsi" w:hAnsiTheme="minorHAnsi" w:cstheme="minorHAnsi"/>
          <w:szCs w:val="24"/>
        </w:rPr>
        <w:t>Amendment Instrument) rely on this provision.</w:t>
      </w:r>
    </w:p>
    <w:bookmarkEnd w:id="0"/>
    <w:bookmarkEnd w:id="1"/>
    <w:p w14:paraId="56CDA376" w14:textId="77777777" w:rsidR="00DA552F" w:rsidRPr="008134D5" w:rsidRDefault="00144950" w:rsidP="000C310A">
      <w:pPr>
        <w:pStyle w:val="Heading1"/>
      </w:pPr>
      <w:r>
        <w:t>PURPOSE AND OPERATION</w:t>
      </w:r>
    </w:p>
    <w:p w14:paraId="2A3B7820" w14:textId="5738AD6E" w:rsidR="008F31D4" w:rsidRDefault="008F31D4" w:rsidP="00DA552F">
      <w:pPr>
        <w:spacing w:before="120" w:after="120"/>
        <w:rPr>
          <w:rFonts w:asciiTheme="minorHAnsi" w:hAnsiTheme="minorHAnsi" w:cstheme="minorHAnsi"/>
          <w:iCs/>
          <w:szCs w:val="24"/>
        </w:rPr>
      </w:pPr>
      <w:r>
        <w:rPr>
          <w:rFonts w:asciiTheme="minorHAnsi" w:hAnsiTheme="minorHAnsi" w:cstheme="minorHAnsi"/>
          <w:iCs/>
          <w:szCs w:val="24"/>
        </w:rPr>
        <w:t xml:space="preserve">The </w:t>
      </w:r>
      <w:r>
        <w:rPr>
          <w:rFonts w:asciiTheme="minorHAnsi" w:hAnsiTheme="minorHAnsi" w:cstheme="minorHAnsi"/>
          <w:i/>
          <w:szCs w:val="24"/>
        </w:rPr>
        <w:t>Education Legislation Amendment (Startup Year and Other Measures) Act 2023</w:t>
      </w:r>
      <w:r>
        <w:rPr>
          <w:rFonts w:asciiTheme="minorHAnsi" w:hAnsiTheme="minorHAnsi" w:cstheme="minorHAnsi"/>
          <w:iCs/>
          <w:szCs w:val="24"/>
        </w:rPr>
        <w:t xml:space="preserve"> </w:t>
      </w:r>
      <w:r w:rsidR="003B6793">
        <w:rPr>
          <w:rFonts w:asciiTheme="minorHAnsi" w:hAnsiTheme="minorHAnsi" w:cstheme="minorHAnsi"/>
          <w:iCs/>
          <w:szCs w:val="24"/>
        </w:rPr>
        <w:t xml:space="preserve">amended </w:t>
      </w:r>
      <w:r w:rsidR="0055238D">
        <w:rPr>
          <w:rFonts w:asciiTheme="minorHAnsi" w:hAnsiTheme="minorHAnsi" w:cstheme="minorHAnsi"/>
          <w:iCs/>
          <w:szCs w:val="24"/>
        </w:rPr>
        <w:t>the Act</w:t>
      </w:r>
      <w:r w:rsidR="003B6793">
        <w:rPr>
          <w:rFonts w:asciiTheme="minorHAnsi" w:hAnsiTheme="minorHAnsi" w:cstheme="minorHAnsi"/>
          <w:iCs/>
          <w:szCs w:val="24"/>
        </w:rPr>
        <w:t xml:space="preserve"> to </w:t>
      </w:r>
      <w:r>
        <w:rPr>
          <w:rFonts w:asciiTheme="minorHAnsi" w:hAnsiTheme="minorHAnsi" w:cstheme="minorHAnsi"/>
          <w:iCs/>
          <w:szCs w:val="24"/>
        </w:rPr>
        <w:t>create a new form of Higher Education Loan Program (HELP) assistance, STARTUP-HELP, for students undertaking accelerator program courses</w:t>
      </w:r>
      <w:r w:rsidR="003B6793">
        <w:rPr>
          <w:rFonts w:asciiTheme="minorHAnsi" w:hAnsiTheme="minorHAnsi" w:cstheme="minorHAnsi"/>
          <w:iCs/>
          <w:szCs w:val="24"/>
        </w:rPr>
        <w:t xml:space="preserve"> at approved higher education providers</w:t>
      </w:r>
      <w:r>
        <w:rPr>
          <w:rFonts w:asciiTheme="minorHAnsi" w:hAnsiTheme="minorHAnsi" w:cstheme="minorHAnsi"/>
          <w:iCs/>
          <w:szCs w:val="24"/>
        </w:rPr>
        <w:t xml:space="preserve">. </w:t>
      </w:r>
      <w:r w:rsidR="00512FCE">
        <w:rPr>
          <w:rFonts w:asciiTheme="minorHAnsi" w:hAnsiTheme="minorHAnsi" w:cstheme="minorHAnsi"/>
          <w:iCs/>
          <w:szCs w:val="24"/>
        </w:rPr>
        <w:t xml:space="preserve">The Amendment Instrument amends the Principal Instruments to make changes to </w:t>
      </w:r>
      <w:r w:rsidR="00944B8F">
        <w:rPr>
          <w:rFonts w:asciiTheme="minorHAnsi" w:hAnsiTheme="minorHAnsi" w:cstheme="minorHAnsi"/>
          <w:iCs/>
          <w:szCs w:val="24"/>
        </w:rPr>
        <w:t>prescribe</w:t>
      </w:r>
      <w:r w:rsidR="00512FCE">
        <w:rPr>
          <w:rFonts w:asciiTheme="minorHAnsi" w:hAnsiTheme="minorHAnsi" w:cstheme="minorHAnsi"/>
          <w:iCs/>
          <w:szCs w:val="24"/>
        </w:rPr>
        <w:t xml:space="preserve"> requirements </w:t>
      </w:r>
      <w:r w:rsidR="00944B8F">
        <w:rPr>
          <w:rFonts w:asciiTheme="minorHAnsi" w:hAnsiTheme="minorHAnsi" w:cstheme="minorHAnsi"/>
          <w:iCs/>
          <w:szCs w:val="24"/>
        </w:rPr>
        <w:t>for</w:t>
      </w:r>
      <w:r w:rsidR="00512FCE">
        <w:rPr>
          <w:rFonts w:asciiTheme="minorHAnsi" w:hAnsiTheme="minorHAnsi" w:cstheme="minorHAnsi"/>
          <w:iCs/>
          <w:szCs w:val="24"/>
        </w:rPr>
        <w:t xml:space="preserve"> higher education providers in relation to the delivery of accelerator program courses and the provision of STARTUP-HELP assistance.</w:t>
      </w:r>
    </w:p>
    <w:p w14:paraId="1F34B29D" w14:textId="38FFF9BC" w:rsidR="008F31D4" w:rsidRDefault="008F31D4" w:rsidP="00DA552F">
      <w:pPr>
        <w:spacing w:before="120" w:after="120"/>
        <w:rPr>
          <w:rFonts w:asciiTheme="minorHAnsi" w:hAnsiTheme="minorHAnsi" w:cstheme="minorHAnsi"/>
          <w:iCs/>
          <w:szCs w:val="24"/>
        </w:rPr>
      </w:pPr>
      <w:r>
        <w:rPr>
          <w:rFonts w:asciiTheme="minorHAnsi" w:hAnsiTheme="minorHAnsi" w:cstheme="minorHAnsi"/>
          <w:iCs/>
          <w:szCs w:val="24"/>
        </w:rPr>
        <w:t xml:space="preserve">The Amendment Instrument amends the </w:t>
      </w:r>
      <w:r>
        <w:rPr>
          <w:rFonts w:asciiTheme="minorHAnsi" w:hAnsiTheme="minorHAnsi" w:cstheme="minorHAnsi"/>
          <w:i/>
          <w:szCs w:val="24"/>
        </w:rPr>
        <w:t xml:space="preserve">Higher Education Support (Administration) Guidelines 2022 </w:t>
      </w:r>
      <w:r>
        <w:rPr>
          <w:rFonts w:asciiTheme="minorHAnsi" w:hAnsiTheme="minorHAnsi" w:cstheme="minorHAnsi"/>
          <w:iCs/>
          <w:szCs w:val="24"/>
        </w:rPr>
        <w:t xml:space="preserve">(Administration Guidelines) to specify requirements in relation to the administration of accelerator program courses and the provision of STARTUP-HELP assistance. This includes </w:t>
      </w:r>
      <w:r w:rsidR="00EB6BAE">
        <w:rPr>
          <w:rFonts w:asciiTheme="minorHAnsi" w:hAnsiTheme="minorHAnsi" w:cstheme="minorHAnsi"/>
          <w:iCs/>
          <w:szCs w:val="24"/>
        </w:rPr>
        <w:t>prescribin</w:t>
      </w:r>
      <w:r w:rsidR="00512FCE">
        <w:rPr>
          <w:rFonts w:asciiTheme="minorHAnsi" w:hAnsiTheme="minorHAnsi" w:cstheme="minorHAnsi"/>
          <w:iCs/>
          <w:szCs w:val="24"/>
        </w:rPr>
        <w:t xml:space="preserve">g requirements </w:t>
      </w:r>
      <w:r w:rsidR="00EB6BAE">
        <w:rPr>
          <w:rFonts w:asciiTheme="minorHAnsi" w:hAnsiTheme="minorHAnsi" w:cstheme="minorHAnsi"/>
          <w:iCs/>
          <w:szCs w:val="24"/>
        </w:rPr>
        <w:t>for</w:t>
      </w:r>
      <w:r w:rsidR="00512FCE">
        <w:rPr>
          <w:rFonts w:asciiTheme="minorHAnsi" w:hAnsiTheme="minorHAnsi" w:cstheme="minorHAnsi"/>
          <w:iCs/>
          <w:szCs w:val="24"/>
        </w:rPr>
        <w:t xml:space="preserve"> higher education providers in relation to the provision of certain information to students in accelerator program courses in </w:t>
      </w:r>
      <w:r w:rsidR="003B6793">
        <w:rPr>
          <w:rFonts w:asciiTheme="minorHAnsi" w:hAnsiTheme="minorHAnsi" w:cstheme="minorHAnsi"/>
          <w:iCs/>
          <w:szCs w:val="24"/>
        </w:rPr>
        <w:t xml:space="preserve">a </w:t>
      </w:r>
      <w:r w:rsidR="00512FCE">
        <w:rPr>
          <w:rFonts w:asciiTheme="minorHAnsi" w:hAnsiTheme="minorHAnsi" w:cstheme="minorHAnsi"/>
          <w:iCs/>
          <w:szCs w:val="24"/>
        </w:rPr>
        <w:t>Commonwealth Assistance Notice, requirements in relation to the publication of information in relation to census dates and</w:t>
      </w:r>
      <w:r w:rsidR="0001247F">
        <w:rPr>
          <w:rFonts w:asciiTheme="minorHAnsi" w:hAnsiTheme="minorHAnsi" w:cstheme="minorHAnsi"/>
          <w:iCs/>
          <w:szCs w:val="24"/>
        </w:rPr>
        <w:t xml:space="preserve"> Equivalent Full Time Student Load</w:t>
      </w:r>
      <w:r w:rsidR="00512FCE">
        <w:rPr>
          <w:rFonts w:asciiTheme="minorHAnsi" w:hAnsiTheme="minorHAnsi" w:cstheme="minorHAnsi"/>
          <w:iCs/>
          <w:szCs w:val="24"/>
        </w:rPr>
        <w:t xml:space="preserve"> </w:t>
      </w:r>
      <w:r w:rsidR="0001247F">
        <w:rPr>
          <w:rFonts w:asciiTheme="minorHAnsi" w:hAnsiTheme="minorHAnsi" w:cstheme="minorHAnsi"/>
          <w:iCs/>
          <w:szCs w:val="24"/>
        </w:rPr>
        <w:t>(</w:t>
      </w:r>
      <w:r w:rsidR="00512FCE">
        <w:rPr>
          <w:rFonts w:asciiTheme="minorHAnsi" w:hAnsiTheme="minorHAnsi" w:cstheme="minorHAnsi"/>
          <w:iCs/>
          <w:szCs w:val="24"/>
        </w:rPr>
        <w:t>EFTSL</w:t>
      </w:r>
      <w:r w:rsidR="0001247F">
        <w:rPr>
          <w:rFonts w:asciiTheme="minorHAnsi" w:hAnsiTheme="minorHAnsi" w:cstheme="minorHAnsi"/>
          <w:iCs/>
          <w:szCs w:val="24"/>
        </w:rPr>
        <w:t>)</w:t>
      </w:r>
      <w:r w:rsidR="00512FCE">
        <w:rPr>
          <w:rFonts w:asciiTheme="minorHAnsi" w:hAnsiTheme="minorHAnsi" w:cstheme="minorHAnsi"/>
          <w:iCs/>
          <w:szCs w:val="24"/>
        </w:rPr>
        <w:t xml:space="preserve"> values for accelerator program courses, and in relation to determining the EFTSL value for </w:t>
      </w:r>
      <w:r w:rsidR="003B6793">
        <w:rPr>
          <w:rFonts w:asciiTheme="minorHAnsi" w:hAnsiTheme="minorHAnsi" w:cstheme="minorHAnsi"/>
          <w:iCs/>
          <w:szCs w:val="24"/>
        </w:rPr>
        <w:t xml:space="preserve">an </w:t>
      </w:r>
      <w:r w:rsidR="00512FCE">
        <w:rPr>
          <w:rFonts w:asciiTheme="minorHAnsi" w:hAnsiTheme="minorHAnsi" w:cstheme="minorHAnsi"/>
          <w:iCs/>
          <w:szCs w:val="24"/>
        </w:rPr>
        <w:t xml:space="preserve">accelerator program course. </w:t>
      </w:r>
    </w:p>
    <w:p w14:paraId="370703B8" w14:textId="0E0ADBA8" w:rsidR="004B48EF" w:rsidRDefault="00345D58" w:rsidP="004B48EF">
      <w:pPr>
        <w:spacing w:before="120" w:after="120"/>
        <w:rPr>
          <w:rFonts w:asciiTheme="minorHAnsi" w:hAnsiTheme="minorHAnsi" w:cstheme="minorHAnsi"/>
          <w:iCs/>
          <w:szCs w:val="24"/>
        </w:rPr>
      </w:pPr>
      <w:r>
        <w:rPr>
          <w:rFonts w:asciiTheme="minorHAnsi" w:hAnsiTheme="minorHAnsi" w:cstheme="minorHAnsi"/>
          <w:iCs/>
          <w:szCs w:val="24"/>
        </w:rPr>
        <w:t xml:space="preserve">The Amendment Instrument also amends the </w:t>
      </w:r>
      <w:r>
        <w:rPr>
          <w:rFonts w:asciiTheme="minorHAnsi" w:hAnsiTheme="minorHAnsi" w:cstheme="minorHAnsi"/>
          <w:i/>
          <w:szCs w:val="24"/>
        </w:rPr>
        <w:t xml:space="preserve">Higher Education Provider Guidelines 2023 </w:t>
      </w:r>
      <w:r>
        <w:rPr>
          <w:rFonts w:asciiTheme="minorHAnsi" w:hAnsiTheme="minorHAnsi" w:cstheme="minorHAnsi"/>
          <w:iCs/>
          <w:szCs w:val="24"/>
        </w:rPr>
        <w:t xml:space="preserve">(HEP Guidelines) to </w:t>
      </w:r>
      <w:r w:rsidR="00944B8F">
        <w:rPr>
          <w:rFonts w:asciiTheme="minorHAnsi" w:hAnsiTheme="minorHAnsi" w:cstheme="minorHAnsi"/>
          <w:iCs/>
          <w:szCs w:val="24"/>
        </w:rPr>
        <w:t>prescribe</w:t>
      </w:r>
      <w:r>
        <w:rPr>
          <w:rFonts w:asciiTheme="minorHAnsi" w:hAnsiTheme="minorHAnsi" w:cstheme="minorHAnsi"/>
          <w:iCs/>
          <w:szCs w:val="24"/>
        </w:rPr>
        <w:t xml:space="preserve"> updated requirements </w:t>
      </w:r>
      <w:r w:rsidR="00944B8F">
        <w:rPr>
          <w:rFonts w:asciiTheme="minorHAnsi" w:hAnsiTheme="minorHAnsi" w:cstheme="minorHAnsi"/>
          <w:iCs/>
          <w:szCs w:val="24"/>
        </w:rPr>
        <w:t>for</w:t>
      </w:r>
      <w:r>
        <w:rPr>
          <w:rFonts w:asciiTheme="minorHAnsi" w:hAnsiTheme="minorHAnsi" w:cstheme="minorHAnsi"/>
          <w:iCs/>
          <w:szCs w:val="24"/>
        </w:rPr>
        <w:t xml:space="preserve"> higher education providers in relation to accelerator program courses and STARTUP-HELP assistance. This includes </w:t>
      </w:r>
      <w:r>
        <w:rPr>
          <w:rFonts w:asciiTheme="minorHAnsi" w:hAnsiTheme="minorHAnsi" w:cstheme="minorHAnsi"/>
          <w:iCs/>
          <w:szCs w:val="24"/>
        </w:rPr>
        <w:lastRenderedPageBreak/>
        <w:t xml:space="preserve">updating the relevant sections </w:t>
      </w:r>
      <w:r w:rsidR="00C02034">
        <w:rPr>
          <w:rFonts w:asciiTheme="minorHAnsi" w:hAnsiTheme="minorHAnsi" w:cstheme="minorHAnsi"/>
          <w:iCs/>
          <w:szCs w:val="24"/>
        </w:rPr>
        <w:t>in</w:t>
      </w:r>
      <w:r w:rsidR="0001247F">
        <w:rPr>
          <w:rFonts w:asciiTheme="minorHAnsi" w:hAnsiTheme="minorHAnsi" w:cstheme="minorHAnsi"/>
          <w:iCs/>
          <w:szCs w:val="24"/>
        </w:rPr>
        <w:t xml:space="preserve"> the HEP Guidelines </w:t>
      </w:r>
      <w:r>
        <w:rPr>
          <w:rFonts w:asciiTheme="minorHAnsi" w:hAnsiTheme="minorHAnsi" w:cstheme="minorHAnsi"/>
          <w:iCs/>
          <w:szCs w:val="24"/>
        </w:rPr>
        <w:t xml:space="preserve">which </w:t>
      </w:r>
      <w:r w:rsidR="00944B8F">
        <w:rPr>
          <w:rFonts w:asciiTheme="minorHAnsi" w:hAnsiTheme="minorHAnsi" w:cstheme="minorHAnsi"/>
          <w:iCs/>
          <w:szCs w:val="24"/>
        </w:rPr>
        <w:t>prescribe</w:t>
      </w:r>
      <w:r>
        <w:rPr>
          <w:rFonts w:asciiTheme="minorHAnsi" w:hAnsiTheme="minorHAnsi" w:cstheme="minorHAnsi"/>
          <w:iCs/>
          <w:szCs w:val="24"/>
        </w:rPr>
        <w:t xml:space="preserve"> requirements in relation to </w:t>
      </w:r>
      <w:r w:rsidR="003B6793">
        <w:rPr>
          <w:rFonts w:asciiTheme="minorHAnsi" w:hAnsiTheme="minorHAnsi" w:cstheme="minorHAnsi"/>
          <w:iCs/>
          <w:szCs w:val="24"/>
        </w:rPr>
        <w:t xml:space="preserve">a provider’s </w:t>
      </w:r>
      <w:r>
        <w:rPr>
          <w:rFonts w:asciiTheme="minorHAnsi" w:hAnsiTheme="minorHAnsi" w:cstheme="minorHAnsi"/>
          <w:iCs/>
          <w:szCs w:val="24"/>
        </w:rPr>
        <w:t xml:space="preserve">grievance procedures, </w:t>
      </w:r>
      <w:r w:rsidR="004B48EF">
        <w:rPr>
          <w:rFonts w:asciiTheme="minorHAnsi" w:hAnsiTheme="minorHAnsi" w:cstheme="minorHAnsi"/>
          <w:iCs/>
          <w:szCs w:val="24"/>
        </w:rPr>
        <w:t xml:space="preserve">the </w:t>
      </w:r>
      <w:r>
        <w:rPr>
          <w:rFonts w:asciiTheme="minorHAnsi" w:hAnsiTheme="minorHAnsi" w:cstheme="minorHAnsi"/>
          <w:iCs/>
          <w:szCs w:val="24"/>
        </w:rPr>
        <w:t>p</w:t>
      </w:r>
      <w:r w:rsidR="004B48EF">
        <w:rPr>
          <w:rFonts w:asciiTheme="minorHAnsi" w:hAnsiTheme="minorHAnsi" w:cstheme="minorHAnsi"/>
          <w:iCs/>
          <w:szCs w:val="24"/>
        </w:rPr>
        <w:t>eriod in which the higher education</w:t>
      </w:r>
      <w:r w:rsidR="003B6793">
        <w:rPr>
          <w:rFonts w:asciiTheme="minorHAnsi" w:hAnsiTheme="minorHAnsi" w:cstheme="minorHAnsi"/>
          <w:iCs/>
          <w:szCs w:val="24"/>
        </w:rPr>
        <w:t xml:space="preserve"> provider proposes to</w:t>
      </w:r>
      <w:r w:rsidR="004B48EF">
        <w:rPr>
          <w:rFonts w:asciiTheme="minorHAnsi" w:hAnsiTheme="minorHAnsi" w:cstheme="minorHAnsi"/>
          <w:iCs/>
          <w:szCs w:val="24"/>
        </w:rPr>
        <w:t xml:space="preserve"> provide units of study or accelerator program courses, </w:t>
      </w:r>
      <w:r w:rsidR="007F4244">
        <w:rPr>
          <w:rFonts w:asciiTheme="minorHAnsi" w:hAnsiTheme="minorHAnsi" w:cstheme="minorHAnsi"/>
          <w:iCs/>
          <w:szCs w:val="24"/>
        </w:rPr>
        <w:t xml:space="preserve">the </w:t>
      </w:r>
      <w:r w:rsidR="004B48EF">
        <w:rPr>
          <w:rFonts w:asciiTheme="minorHAnsi" w:hAnsiTheme="minorHAnsi" w:cstheme="minorHAnsi"/>
          <w:iCs/>
          <w:szCs w:val="24"/>
        </w:rPr>
        <w:t>publication of certain information</w:t>
      </w:r>
      <w:r w:rsidR="007F4244">
        <w:rPr>
          <w:rFonts w:asciiTheme="minorHAnsi" w:hAnsiTheme="minorHAnsi" w:cstheme="minorHAnsi"/>
          <w:iCs/>
          <w:szCs w:val="24"/>
        </w:rPr>
        <w:t xml:space="preserve"> by higher education providers</w:t>
      </w:r>
      <w:r w:rsidR="004B48EF">
        <w:rPr>
          <w:rFonts w:asciiTheme="minorHAnsi" w:hAnsiTheme="minorHAnsi" w:cstheme="minorHAnsi"/>
          <w:iCs/>
          <w:szCs w:val="24"/>
        </w:rPr>
        <w:t xml:space="preserve">, </w:t>
      </w:r>
      <w:r w:rsidR="007F4244">
        <w:rPr>
          <w:rFonts w:asciiTheme="minorHAnsi" w:hAnsiTheme="minorHAnsi" w:cstheme="minorHAnsi"/>
          <w:iCs/>
          <w:szCs w:val="24"/>
        </w:rPr>
        <w:t xml:space="preserve">the offering of </w:t>
      </w:r>
      <w:r w:rsidR="004B48EF">
        <w:rPr>
          <w:rFonts w:asciiTheme="minorHAnsi" w:hAnsiTheme="minorHAnsi" w:cstheme="minorHAnsi"/>
          <w:iCs/>
          <w:szCs w:val="24"/>
        </w:rPr>
        <w:t xml:space="preserve">inducements </w:t>
      </w:r>
      <w:r w:rsidR="007F4244">
        <w:rPr>
          <w:rFonts w:asciiTheme="minorHAnsi" w:hAnsiTheme="minorHAnsi" w:cstheme="minorHAnsi"/>
          <w:iCs/>
          <w:szCs w:val="24"/>
        </w:rPr>
        <w:t xml:space="preserve">by higher education providers </w:t>
      </w:r>
      <w:r w:rsidR="004B48EF">
        <w:rPr>
          <w:rFonts w:asciiTheme="minorHAnsi" w:hAnsiTheme="minorHAnsi" w:cstheme="minorHAnsi"/>
          <w:iCs/>
          <w:szCs w:val="24"/>
        </w:rPr>
        <w:t>and withdrawal</w:t>
      </w:r>
      <w:r w:rsidR="007F4244" w:rsidRPr="007F4244">
        <w:rPr>
          <w:sz w:val="22"/>
          <w:szCs w:val="20"/>
        </w:rPr>
        <w:t xml:space="preserve"> </w:t>
      </w:r>
      <w:r w:rsidR="007F4244" w:rsidRPr="007F4244">
        <w:rPr>
          <w:rFonts w:asciiTheme="minorHAnsi" w:hAnsiTheme="minorHAnsi" w:cstheme="minorHAnsi"/>
          <w:iCs/>
          <w:szCs w:val="24"/>
        </w:rPr>
        <w:t>from units of study or accelerator program courses</w:t>
      </w:r>
      <w:r w:rsidR="004B48EF">
        <w:rPr>
          <w:rFonts w:asciiTheme="minorHAnsi" w:hAnsiTheme="minorHAnsi" w:cstheme="minorHAnsi"/>
          <w:iCs/>
          <w:szCs w:val="24"/>
        </w:rPr>
        <w:t xml:space="preserve">. </w:t>
      </w:r>
    </w:p>
    <w:p w14:paraId="626F1531" w14:textId="21BCA2BF" w:rsidR="00350779" w:rsidRPr="00350779" w:rsidRDefault="00144950" w:rsidP="000C310A">
      <w:pPr>
        <w:pStyle w:val="Heading1"/>
      </w:pPr>
      <w:r>
        <w:t>IMPACT</w:t>
      </w:r>
      <w:r w:rsidR="00C90E38">
        <w:t xml:space="preserve"> </w:t>
      </w:r>
      <w:r w:rsidR="00C90E38" w:rsidRPr="00C90E38">
        <w:t>ANALYSIS</w:t>
      </w:r>
    </w:p>
    <w:p w14:paraId="43F117EF" w14:textId="62D39176" w:rsidR="004B48EF" w:rsidRDefault="002B24EA" w:rsidP="00801CDE">
      <w:pPr>
        <w:spacing w:before="120" w:after="120"/>
        <w:rPr>
          <w:rFonts w:asciiTheme="minorHAnsi" w:hAnsiTheme="minorHAnsi" w:cstheme="minorHAnsi"/>
          <w:iCs/>
          <w:szCs w:val="24"/>
        </w:rPr>
      </w:pPr>
      <w:r>
        <w:rPr>
          <w:rFonts w:asciiTheme="minorHAnsi" w:hAnsiTheme="minorHAnsi" w:cstheme="minorHAnsi"/>
          <w:iCs/>
          <w:szCs w:val="24"/>
        </w:rPr>
        <w:t>The Office of Impact Analysis has</w:t>
      </w:r>
      <w:r w:rsidR="00CF62D3">
        <w:rPr>
          <w:rFonts w:asciiTheme="minorHAnsi" w:hAnsiTheme="minorHAnsi" w:cstheme="minorHAnsi"/>
          <w:iCs/>
          <w:szCs w:val="24"/>
        </w:rPr>
        <w:t xml:space="preserve"> advised</w:t>
      </w:r>
      <w:r w:rsidR="004B48EF">
        <w:rPr>
          <w:rFonts w:asciiTheme="minorHAnsi" w:hAnsiTheme="minorHAnsi" w:cstheme="minorHAnsi"/>
          <w:iCs/>
          <w:szCs w:val="24"/>
        </w:rPr>
        <w:t xml:space="preserve"> </w:t>
      </w:r>
      <w:r w:rsidR="00801CDE" w:rsidRPr="00E23B46">
        <w:rPr>
          <w:rFonts w:asciiTheme="minorHAnsi" w:hAnsiTheme="minorHAnsi" w:cstheme="minorHAnsi"/>
          <w:iCs/>
          <w:szCs w:val="24"/>
        </w:rPr>
        <w:t>that</w:t>
      </w:r>
      <w:r w:rsidR="0055238D">
        <w:rPr>
          <w:rFonts w:asciiTheme="minorHAnsi" w:hAnsiTheme="minorHAnsi" w:cstheme="minorHAnsi"/>
          <w:iCs/>
          <w:szCs w:val="24"/>
        </w:rPr>
        <w:t xml:space="preserve"> </w:t>
      </w:r>
      <w:r w:rsidR="00801CDE" w:rsidRPr="00E23B46">
        <w:rPr>
          <w:rFonts w:asciiTheme="minorHAnsi" w:hAnsiTheme="minorHAnsi" w:cstheme="minorHAnsi"/>
          <w:iCs/>
          <w:szCs w:val="24"/>
        </w:rPr>
        <w:t>an Impact Analysis is not required</w:t>
      </w:r>
      <w:r w:rsidR="0055238D">
        <w:rPr>
          <w:rFonts w:asciiTheme="minorHAnsi" w:hAnsiTheme="minorHAnsi" w:cstheme="minorHAnsi"/>
          <w:iCs/>
          <w:szCs w:val="24"/>
        </w:rPr>
        <w:t xml:space="preserve"> for the </w:t>
      </w:r>
      <w:r w:rsidR="00774940">
        <w:rPr>
          <w:rFonts w:asciiTheme="minorHAnsi" w:hAnsiTheme="minorHAnsi" w:cstheme="minorHAnsi"/>
          <w:iCs/>
          <w:szCs w:val="24"/>
        </w:rPr>
        <w:t>Amendment Instrument</w:t>
      </w:r>
      <w:r w:rsidR="00801CDE" w:rsidRPr="00E23B46">
        <w:rPr>
          <w:rFonts w:asciiTheme="minorHAnsi" w:hAnsiTheme="minorHAnsi" w:cstheme="minorHAnsi"/>
          <w:iCs/>
          <w:szCs w:val="24"/>
        </w:rPr>
        <w:t xml:space="preserve"> as </w:t>
      </w:r>
      <w:r w:rsidR="00774940">
        <w:rPr>
          <w:rFonts w:asciiTheme="minorHAnsi" w:hAnsiTheme="minorHAnsi" w:cstheme="minorHAnsi"/>
          <w:iCs/>
          <w:szCs w:val="24"/>
        </w:rPr>
        <w:t xml:space="preserve">it is </w:t>
      </w:r>
      <w:r w:rsidR="00801CDE" w:rsidRPr="00E23B46">
        <w:rPr>
          <w:rFonts w:asciiTheme="minorHAnsi" w:hAnsiTheme="minorHAnsi" w:cstheme="minorHAnsi"/>
          <w:iCs/>
          <w:szCs w:val="24"/>
        </w:rPr>
        <w:t xml:space="preserve">unlikely to have a more than minor impact (OIA23-06065). </w:t>
      </w:r>
    </w:p>
    <w:p w14:paraId="4818CCF0" w14:textId="77777777" w:rsidR="00696CF0" w:rsidRPr="0088497A" w:rsidRDefault="00144950" w:rsidP="000C310A">
      <w:pPr>
        <w:pStyle w:val="Heading1"/>
      </w:pPr>
      <w:r w:rsidRPr="0088497A">
        <w:t>COMMENC</w:t>
      </w:r>
      <w:r>
        <w:t>E</w:t>
      </w:r>
      <w:r w:rsidRPr="0088497A">
        <w:t>MENT</w:t>
      </w:r>
    </w:p>
    <w:p w14:paraId="2F390B90" w14:textId="736FE775" w:rsidR="00774940" w:rsidRPr="00E645CC" w:rsidRDefault="00774940" w:rsidP="00774940">
      <w:pPr>
        <w:spacing w:before="120" w:after="120"/>
        <w:rPr>
          <w:rFonts w:asciiTheme="minorHAnsi" w:hAnsiTheme="minorHAnsi" w:cstheme="minorHAnsi"/>
          <w:iCs/>
          <w:szCs w:val="24"/>
        </w:rPr>
      </w:pPr>
      <w:r>
        <w:rPr>
          <w:rFonts w:asciiTheme="minorHAnsi" w:hAnsiTheme="minorHAnsi" w:cstheme="minorHAnsi"/>
          <w:iCs/>
          <w:szCs w:val="24"/>
        </w:rPr>
        <w:t>The Amendment Instrument commences on the day after it is registered on the Federal Register of Legislation.</w:t>
      </w:r>
    </w:p>
    <w:p w14:paraId="59906F74" w14:textId="77777777" w:rsidR="00696CF0" w:rsidRPr="008134D5" w:rsidRDefault="00144950" w:rsidP="000C310A">
      <w:pPr>
        <w:pStyle w:val="Heading1"/>
      </w:pPr>
      <w:bookmarkStart w:id="2" w:name="_Toc34293360"/>
      <w:r w:rsidRPr="008134D5">
        <w:t>CONSULTATION</w:t>
      </w:r>
      <w:bookmarkEnd w:id="2"/>
    </w:p>
    <w:p w14:paraId="2AD3E3EF" w14:textId="1B129101" w:rsidR="00801CDE" w:rsidRDefault="00801CDE" w:rsidP="00801CDE">
      <w:pPr>
        <w:spacing w:before="120" w:after="120"/>
        <w:rPr>
          <w:rFonts w:asciiTheme="minorHAnsi" w:hAnsiTheme="minorHAnsi" w:cstheme="minorHAnsi"/>
          <w:iCs/>
        </w:rPr>
      </w:pPr>
      <w:r w:rsidRPr="00BA4B03">
        <w:rPr>
          <w:rFonts w:asciiTheme="minorHAnsi" w:hAnsiTheme="minorHAnsi" w:cstheme="minorHAnsi"/>
          <w:iCs/>
        </w:rPr>
        <w:t xml:space="preserve">The </w:t>
      </w:r>
      <w:r w:rsidR="00EE6734">
        <w:rPr>
          <w:rFonts w:asciiTheme="minorHAnsi" w:hAnsiTheme="minorHAnsi" w:cstheme="minorHAnsi"/>
          <w:iCs/>
        </w:rPr>
        <w:t>D</w:t>
      </w:r>
      <w:r w:rsidRPr="00BA4B03">
        <w:rPr>
          <w:rFonts w:asciiTheme="minorHAnsi" w:hAnsiTheme="minorHAnsi" w:cstheme="minorHAnsi"/>
          <w:iCs/>
        </w:rPr>
        <w:t>epartment</w:t>
      </w:r>
      <w:r w:rsidR="00EE6734">
        <w:rPr>
          <w:rFonts w:asciiTheme="minorHAnsi" w:hAnsiTheme="minorHAnsi" w:cstheme="minorHAnsi"/>
          <w:iCs/>
        </w:rPr>
        <w:t xml:space="preserve"> of Education </w:t>
      </w:r>
      <w:r>
        <w:rPr>
          <w:rFonts w:asciiTheme="minorHAnsi" w:hAnsiTheme="minorHAnsi" w:cstheme="minorHAnsi"/>
          <w:iCs/>
        </w:rPr>
        <w:t xml:space="preserve">undertook a targeted consultation process from late October to early November 2023 on the drafting of the </w:t>
      </w:r>
      <w:r w:rsidR="00826264">
        <w:rPr>
          <w:rFonts w:asciiTheme="minorHAnsi" w:hAnsiTheme="minorHAnsi" w:cstheme="minorHAnsi"/>
          <w:iCs/>
        </w:rPr>
        <w:t xml:space="preserve">Amendment </w:t>
      </w:r>
      <w:r>
        <w:rPr>
          <w:rFonts w:asciiTheme="minorHAnsi" w:hAnsiTheme="minorHAnsi" w:cstheme="minorHAnsi"/>
          <w:iCs/>
        </w:rPr>
        <w:t>Instrument with key stakeholders from the Startup Year Working Group representing universities and higher education peak bodies. Stakeholders were asked about options for the proposed calculation method to d</w:t>
      </w:r>
      <w:r w:rsidRPr="00BA4B03">
        <w:rPr>
          <w:rFonts w:asciiTheme="minorHAnsi" w:hAnsiTheme="minorHAnsi" w:cstheme="minorHAnsi"/>
          <w:iCs/>
        </w:rPr>
        <w:t>etermin</w:t>
      </w:r>
      <w:r>
        <w:rPr>
          <w:rFonts w:asciiTheme="minorHAnsi" w:hAnsiTheme="minorHAnsi" w:cstheme="minorHAnsi"/>
          <w:iCs/>
        </w:rPr>
        <w:t>e</w:t>
      </w:r>
      <w:r w:rsidRPr="00BA4B03">
        <w:rPr>
          <w:rFonts w:asciiTheme="minorHAnsi" w:hAnsiTheme="minorHAnsi" w:cstheme="minorHAnsi"/>
          <w:iCs/>
        </w:rPr>
        <w:t xml:space="preserve"> the EFTSL value of an accelerator program course</w:t>
      </w:r>
      <w:r>
        <w:rPr>
          <w:rFonts w:asciiTheme="minorHAnsi" w:hAnsiTheme="minorHAnsi" w:cstheme="minorHAnsi"/>
          <w:iCs/>
        </w:rPr>
        <w:t>, as well as the</w:t>
      </w:r>
      <w:r w:rsidR="00826264">
        <w:rPr>
          <w:rFonts w:asciiTheme="minorHAnsi" w:hAnsiTheme="minorHAnsi" w:cstheme="minorHAnsi"/>
          <w:iCs/>
        </w:rPr>
        <w:t xml:space="preserve"> Amendment</w:t>
      </w:r>
      <w:r>
        <w:rPr>
          <w:rFonts w:asciiTheme="minorHAnsi" w:hAnsiTheme="minorHAnsi" w:cstheme="minorHAnsi"/>
          <w:iCs/>
        </w:rPr>
        <w:t xml:space="preserve"> Instrument more broadly. Feedback from this consultation process informed the drafting of the </w:t>
      </w:r>
      <w:r w:rsidR="005B3AC0">
        <w:rPr>
          <w:rFonts w:asciiTheme="minorHAnsi" w:hAnsiTheme="minorHAnsi" w:cstheme="minorHAnsi"/>
          <w:iCs/>
        </w:rPr>
        <w:t>requirement in relation to the determination of the EFTSL value for an accelerator program course</w:t>
      </w:r>
      <w:r>
        <w:rPr>
          <w:rFonts w:asciiTheme="minorHAnsi" w:hAnsiTheme="minorHAnsi" w:cstheme="minorHAnsi"/>
          <w:iCs/>
        </w:rPr>
        <w:t xml:space="preserve">, and stakeholders did not otherwise raise any issues or concerns about the </w:t>
      </w:r>
      <w:r w:rsidR="00826264">
        <w:rPr>
          <w:rFonts w:asciiTheme="minorHAnsi" w:hAnsiTheme="minorHAnsi" w:cstheme="minorHAnsi"/>
          <w:iCs/>
        </w:rPr>
        <w:t xml:space="preserve">Amendment </w:t>
      </w:r>
      <w:r>
        <w:rPr>
          <w:rFonts w:asciiTheme="minorHAnsi" w:hAnsiTheme="minorHAnsi" w:cstheme="minorHAnsi"/>
          <w:iCs/>
        </w:rPr>
        <w:t>Instrument</w:t>
      </w:r>
      <w:r w:rsidR="004B6FDB">
        <w:rPr>
          <w:rFonts w:asciiTheme="minorHAnsi" w:hAnsiTheme="minorHAnsi" w:cstheme="minorHAnsi"/>
          <w:iCs/>
        </w:rPr>
        <w:t xml:space="preserve">. </w:t>
      </w:r>
    </w:p>
    <w:p w14:paraId="3A6EE0A5" w14:textId="77777777" w:rsidR="00DA552F" w:rsidRPr="008134D5" w:rsidRDefault="00DA552F" w:rsidP="00B22F73">
      <w:pPr>
        <w:spacing w:before="120" w:after="120"/>
        <w:rPr>
          <w:rFonts w:asciiTheme="minorHAnsi" w:hAnsiTheme="minorHAnsi" w:cstheme="minorHAnsi"/>
        </w:rPr>
      </w:pPr>
      <w:r w:rsidRPr="008134D5">
        <w:rPr>
          <w:rFonts w:asciiTheme="minorHAnsi" w:hAnsiTheme="minorHAnsi" w:cstheme="minorHAnsi"/>
        </w:rPr>
        <w:br w:type="page"/>
      </w:r>
    </w:p>
    <w:p w14:paraId="2023D52E" w14:textId="77777777" w:rsidR="00DA552F" w:rsidRPr="0080510C" w:rsidRDefault="00DA552F" w:rsidP="000C310A">
      <w:pPr>
        <w:pStyle w:val="Title"/>
      </w:pPr>
      <w:bookmarkStart w:id="3" w:name="_Toc23942241"/>
      <w:bookmarkStart w:id="4" w:name="_Toc34293362"/>
      <w:r w:rsidRPr="0080510C">
        <w:rPr>
          <w:u w:val="none"/>
        </w:rPr>
        <w:lastRenderedPageBreak/>
        <w:t>STATEMENT OF COMPATIBILITY WITH HUMAN RIGHTS</w:t>
      </w:r>
      <w:bookmarkEnd w:id="3"/>
      <w:bookmarkEnd w:id="4"/>
    </w:p>
    <w:p w14:paraId="19B61A02" w14:textId="77777777" w:rsidR="00DA552F" w:rsidRPr="008134D5" w:rsidRDefault="00DA552F" w:rsidP="00DA552F">
      <w:pPr>
        <w:spacing w:before="120" w:after="120"/>
        <w:jc w:val="center"/>
        <w:rPr>
          <w:rFonts w:asciiTheme="minorHAnsi" w:hAnsiTheme="minorHAnsi" w:cstheme="minorHAnsi"/>
          <w:szCs w:val="24"/>
        </w:rPr>
      </w:pPr>
      <w:r w:rsidRPr="008134D5">
        <w:rPr>
          <w:rFonts w:asciiTheme="minorHAnsi" w:hAnsiTheme="minorHAnsi" w:cstheme="minorHAnsi"/>
          <w:i/>
          <w:szCs w:val="24"/>
        </w:rPr>
        <w:t xml:space="preserve">Prepared in accordance with Part 3 of the Human Rights (Parliamentary </w:t>
      </w:r>
      <w:r w:rsidR="003440C7" w:rsidRPr="008134D5">
        <w:rPr>
          <w:rFonts w:asciiTheme="minorHAnsi" w:hAnsiTheme="minorHAnsi" w:cstheme="minorHAnsi"/>
          <w:i/>
          <w:szCs w:val="24"/>
        </w:rPr>
        <w:t>Scrutiny) Act 2011</w:t>
      </w:r>
    </w:p>
    <w:p w14:paraId="7A107F76" w14:textId="1F751914" w:rsidR="00DA552F" w:rsidRPr="00CA23D5" w:rsidRDefault="007E0B9C" w:rsidP="000C310A">
      <w:pPr>
        <w:pStyle w:val="Subtitle"/>
        <w:rPr>
          <w:bCs/>
        </w:rPr>
      </w:pPr>
      <w:r w:rsidRPr="00CA23D5">
        <w:rPr>
          <w:b w:val="0"/>
          <w:bCs/>
        </w:rPr>
        <w:t xml:space="preserve">Higher Education Support </w:t>
      </w:r>
      <w:r w:rsidR="004B48EF">
        <w:rPr>
          <w:b w:val="0"/>
          <w:bCs/>
        </w:rPr>
        <w:t xml:space="preserve">Amendment </w:t>
      </w:r>
      <w:r w:rsidRPr="00CA23D5">
        <w:rPr>
          <w:b w:val="0"/>
          <w:bCs/>
        </w:rPr>
        <w:t>(</w:t>
      </w:r>
      <w:r w:rsidR="004B48EF">
        <w:rPr>
          <w:b w:val="0"/>
          <w:bCs/>
        </w:rPr>
        <w:t>Startup Year</w:t>
      </w:r>
      <w:r w:rsidRPr="00CA23D5">
        <w:rPr>
          <w:b w:val="0"/>
          <w:bCs/>
        </w:rPr>
        <w:t>) Guidelines 2023</w:t>
      </w:r>
    </w:p>
    <w:p w14:paraId="65F6CFAB" w14:textId="6A4FD2D4" w:rsidR="00DA552F"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szCs w:val="24"/>
        </w:rPr>
        <w:t xml:space="preserve">The </w:t>
      </w:r>
      <w:r w:rsidR="007E0B9C">
        <w:rPr>
          <w:rFonts w:asciiTheme="minorHAnsi" w:hAnsiTheme="minorHAnsi" w:cstheme="minorHAnsi"/>
          <w:i/>
          <w:iCs/>
          <w:szCs w:val="24"/>
        </w:rPr>
        <w:t>Higher Education Support</w:t>
      </w:r>
      <w:r w:rsidR="004B48EF">
        <w:rPr>
          <w:rFonts w:asciiTheme="minorHAnsi" w:hAnsiTheme="minorHAnsi" w:cstheme="minorHAnsi"/>
          <w:i/>
          <w:iCs/>
          <w:szCs w:val="24"/>
        </w:rPr>
        <w:t xml:space="preserve"> Amendment</w:t>
      </w:r>
      <w:r w:rsidR="007E0B9C">
        <w:rPr>
          <w:rFonts w:asciiTheme="minorHAnsi" w:hAnsiTheme="minorHAnsi" w:cstheme="minorHAnsi"/>
          <w:i/>
          <w:iCs/>
          <w:szCs w:val="24"/>
        </w:rPr>
        <w:t xml:space="preserve"> (</w:t>
      </w:r>
      <w:r w:rsidR="004B48EF">
        <w:rPr>
          <w:rFonts w:asciiTheme="minorHAnsi" w:hAnsiTheme="minorHAnsi" w:cstheme="minorHAnsi"/>
          <w:i/>
          <w:iCs/>
          <w:szCs w:val="24"/>
        </w:rPr>
        <w:t>Startup Year</w:t>
      </w:r>
      <w:r w:rsidR="007E0B9C">
        <w:rPr>
          <w:rFonts w:asciiTheme="minorHAnsi" w:hAnsiTheme="minorHAnsi" w:cstheme="minorHAnsi"/>
          <w:i/>
          <w:iCs/>
          <w:szCs w:val="24"/>
        </w:rPr>
        <w:t>) Guidelines 2023</w:t>
      </w:r>
      <w:r w:rsidR="001E52EB">
        <w:rPr>
          <w:rFonts w:asciiTheme="minorHAnsi" w:hAnsiTheme="minorHAnsi" w:cstheme="minorHAnsi"/>
          <w:szCs w:val="24"/>
        </w:rPr>
        <w:t xml:space="preserve"> (the </w:t>
      </w:r>
      <w:r w:rsidR="004B48EF">
        <w:rPr>
          <w:rFonts w:asciiTheme="minorHAnsi" w:hAnsiTheme="minorHAnsi" w:cstheme="minorHAnsi"/>
          <w:szCs w:val="24"/>
        </w:rPr>
        <w:t xml:space="preserve">Amendment </w:t>
      </w:r>
      <w:r w:rsidR="00FF6E25">
        <w:rPr>
          <w:rFonts w:asciiTheme="minorHAnsi" w:hAnsiTheme="minorHAnsi" w:cstheme="minorHAnsi"/>
          <w:szCs w:val="24"/>
        </w:rPr>
        <w:t>Instrument</w:t>
      </w:r>
      <w:r w:rsidR="001E52EB">
        <w:rPr>
          <w:rFonts w:asciiTheme="minorHAnsi" w:hAnsiTheme="minorHAnsi" w:cstheme="minorHAnsi"/>
          <w:szCs w:val="24"/>
        </w:rPr>
        <w:t xml:space="preserve">) </w:t>
      </w:r>
      <w:r w:rsidR="002B5C28">
        <w:rPr>
          <w:rFonts w:asciiTheme="minorHAnsi" w:hAnsiTheme="minorHAnsi" w:cstheme="minorHAnsi"/>
          <w:szCs w:val="24"/>
        </w:rPr>
        <w:t xml:space="preserve">is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4889D26D" w14:textId="28589A1B" w:rsidR="00F9205E" w:rsidRPr="00774144" w:rsidRDefault="00F9205E" w:rsidP="000C310A">
      <w:pPr>
        <w:pStyle w:val="Heading2"/>
      </w:pPr>
      <w:r w:rsidRPr="00774144">
        <w:t xml:space="preserve">Overview of the </w:t>
      </w:r>
      <w:r w:rsidR="002C40FB" w:rsidRPr="00774144">
        <w:t>Legislative Instrument</w:t>
      </w:r>
    </w:p>
    <w:p w14:paraId="08988585" w14:textId="65C3DDA9" w:rsidR="0055238D" w:rsidRDefault="0055238D" w:rsidP="0055238D">
      <w:pPr>
        <w:spacing w:before="120" w:after="120"/>
        <w:rPr>
          <w:rFonts w:asciiTheme="minorHAnsi" w:hAnsiTheme="minorHAnsi" w:cstheme="minorHAnsi"/>
          <w:iCs/>
          <w:szCs w:val="24"/>
        </w:rPr>
      </w:pPr>
      <w:r>
        <w:rPr>
          <w:rFonts w:asciiTheme="minorHAnsi" w:hAnsiTheme="minorHAnsi" w:cstheme="minorHAnsi"/>
          <w:iCs/>
          <w:szCs w:val="24"/>
        </w:rPr>
        <w:t xml:space="preserve">The </w:t>
      </w:r>
      <w:r>
        <w:rPr>
          <w:rFonts w:asciiTheme="minorHAnsi" w:hAnsiTheme="minorHAnsi" w:cstheme="minorHAnsi"/>
          <w:i/>
          <w:szCs w:val="24"/>
        </w:rPr>
        <w:t>Education Legislation Amendment (Startup Year and Other Measures) Act 2023</w:t>
      </w:r>
      <w:r>
        <w:rPr>
          <w:rFonts w:asciiTheme="minorHAnsi" w:hAnsiTheme="minorHAnsi" w:cstheme="minorHAnsi"/>
          <w:iCs/>
          <w:szCs w:val="24"/>
        </w:rPr>
        <w:t xml:space="preserve"> amended the </w:t>
      </w:r>
      <w:r w:rsidRPr="003B6793">
        <w:rPr>
          <w:rFonts w:asciiTheme="minorHAnsi" w:hAnsiTheme="minorHAnsi" w:cstheme="minorHAnsi"/>
          <w:i/>
          <w:szCs w:val="24"/>
        </w:rPr>
        <w:t>Higher Education Support Act 2003</w:t>
      </w:r>
      <w:r>
        <w:rPr>
          <w:rFonts w:asciiTheme="minorHAnsi" w:hAnsiTheme="minorHAnsi" w:cstheme="minorHAnsi"/>
          <w:iCs/>
          <w:szCs w:val="24"/>
        </w:rPr>
        <w:t xml:space="preserve"> (the Act) to create a new form of Higher Education Loan Program (HELP) assistance, STARTUP-HELP, for students undertaking accelerator program courses at approved higher education providers. The Amendment Instrument amends the </w:t>
      </w:r>
      <w:r w:rsidR="00774940">
        <w:rPr>
          <w:rFonts w:asciiTheme="minorHAnsi" w:hAnsiTheme="minorHAnsi" w:cstheme="minorHAnsi"/>
          <w:i/>
          <w:iCs/>
          <w:szCs w:val="24"/>
        </w:rPr>
        <w:t xml:space="preserve">Higher Education Support (Administration) Guidelines 2022 </w:t>
      </w:r>
      <w:r w:rsidR="00774940">
        <w:rPr>
          <w:rFonts w:asciiTheme="minorHAnsi" w:hAnsiTheme="minorHAnsi" w:cstheme="minorHAnsi"/>
          <w:szCs w:val="24"/>
        </w:rPr>
        <w:t xml:space="preserve">and the </w:t>
      </w:r>
      <w:r w:rsidR="00774940">
        <w:rPr>
          <w:rFonts w:asciiTheme="minorHAnsi" w:hAnsiTheme="minorHAnsi" w:cstheme="minorHAnsi"/>
          <w:i/>
          <w:iCs/>
          <w:szCs w:val="24"/>
        </w:rPr>
        <w:t xml:space="preserve">Higher Education Provider Guidelines 2023 </w:t>
      </w:r>
      <w:r w:rsidR="00774940">
        <w:rPr>
          <w:rFonts w:asciiTheme="minorHAnsi" w:hAnsiTheme="minorHAnsi" w:cstheme="minorHAnsi"/>
          <w:szCs w:val="24"/>
        </w:rPr>
        <w:t>(together, the ‘Principal Instruments’)</w:t>
      </w:r>
      <w:r w:rsidR="00774940">
        <w:rPr>
          <w:rFonts w:asciiTheme="minorHAnsi" w:hAnsiTheme="minorHAnsi" w:cstheme="minorHAnsi"/>
          <w:iCs/>
          <w:szCs w:val="24"/>
        </w:rPr>
        <w:t xml:space="preserve"> </w:t>
      </w:r>
      <w:r>
        <w:rPr>
          <w:rFonts w:asciiTheme="minorHAnsi" w:hAnsiTheme="minorHAnsi" w:cstheme="minorHAnsi"/>
          <w:iCs/>
          <w:szCs w:val="24"/>
        </w:rPr>
        <w:t xml:space="preserve">to make changes to </w:t>
      </w:r>
      <w:r w:rsidR="00944B8F">
        <w:rPr>
          <w:rFonts w:asciiTheme="minorHAnsi" w:hAnsiTheme="minorHAnsi" w:cstheme="minorHAnsi"/>
          <w:iCs/>
          <w:szCs w:val="24"/>
        </w:rPr>
        <w:t>prescribe</w:t>
      </w:r>
      <w:r>
        <w:rPr>
          <w:rFonts w:asciiTheme="minorHAnsi" w:hAnsiTheme="minorHAnsi" w:cstheme="minorHAnsi"/>
          <w:iCs/>
          <w:szCs w:val="24"/>
        </w:rPr>
        <w:t xml:space="preserve"> requirements </w:t>
      </w:r>
      <w:r w:rsidR="00944B8F">
        <w:rPr>
          <w:rFonts w:asciiTheme="minorHAnsi" w:hAnsiTheme="minorHAnsi" w:cstheme="minorHAnsi"/>
          <w:iCs/>
          <w:szCs w:val="24"/>
        </w:rPr>
        <w:t>for</w:t>
      </w:r>
      <w:r>
        <w:rPr>
          <w:rFonts w:asciiTheme="minorHAnsi" w:hAnsiTheme="minorHAnsi" w:cstheme="minorHAnsi"/>
          <w:iCs/>
          <w:szCs w:val="24"/>
        </w:rPr>
        <w:t xml:space="preserve"> higher education providers in relation to the delivery of accelerator program courses and the provision of STARTUP-HELP assistance.</w:t>
      </w:r>
    </w:p>
    <w:p w14:paraId="5E46E53B" w14:textId="33C8F06E" w:rsidR="0055238D" w:rsidRDefault="0055238D" w:rsidP="0055238D">
      <w:pPr>
        <w:spacing w:before="120" w:after="120"/>
        <w:rPr>
          <w:rFonts w:asciiTheme="minorHAnsi" w:hAnsiTheme="minorHAnsi" w:cstheme="minorHAnsi"/>
          <w:iCs/>
          <w:szCs w:val="24"/>
        </w:rPr>
      </w:pPr>
      <w:r>
        <w:rPr>
          <w:rFonts w:asciiTheme="minorHAnsi" w:hAnsiTheme="minorHAnsi" w:cstheme="minorHAnsi"/>
          <w:iCs/>
          <w:szCs w:val="24"/>
        </w:rPr>
        <w:t xml:space="preserve">The Amendment Instrument amends the </w:t>
      </w:r>
      <w:r>
        <w:rPr>
          <w:rFonts w:asciiTheme="minorHAnsi" w:hAnsiTheme="minorHAnsi" w:cstheme="minorHAnsi"/>
          <w:i/>
          <w:szCs w:val="24"/>
        </w:rPr>
        <w:t xml:space="preserve">Higher Education Support (Administration) Guidelines 2022 </w:t>
      </w:r>
      <w:r>
        <w:rPr>
          <w:rFonts w:asciiTheme="minorHAnsi" w:hAnsiTheme="minorHAnsi" w:cstheme="minorHAnsi"/>
          <w:iCs/>
          <w:szCs w:val="24"/>
        </w:rPr>
        <w:t xml:space="preserve">(Administration Guidelines) to specify requirements in relation to the administration of accelerator program courses and the provision of STARTUP-HELP assistance. This includes </w:t>
      </w:r>
      <w:r w:rsidR="00EB6BAE">
        <w:rPr>
          <w:rFonts w:asciiTheme="minorHAnsi" w:hAnsiTheme="minorHAnsi" w:cstheme="minorHAnsi"/>
          <w:iCs/>
          <w:szCs w:val="24"/>
        </w:rPr>
        <w:t>prescrib</w:t>
      </w:r>
      <w:r>
        <w:rPr>
          <w:rFonts w:asciiTheme="minorHAnsi" w:hAnsiTheme="minorHAnsi" w:cstheme="minorHAnsi"/>
          <w:iCs/>
          <w:szCs w:val="24"/>
        </w:rPr>
        <w:t xml:space="preserve">ing requirements </w:t>
      </w:r>
      <w:r w:rsidR="00EB6BAE">
        <w:rPr>
          <w:rFonts w:asciiTheme="minorHAnsi" w:hAnsiTheme="minorHAnsi" w:cstheme="minorHAnsi"/>
          <w:iCs/>
          <w:szCs w:val="24"/>
        </w:rPr>
        <w:t>for</w:t>
      </w:r>
      <w:r>
        <w:rPr>
          <w:rFonts w:asciiTheme="minorHAnsi" w:hAnsiTheme="minorHAnsi" w:cstheme="minorHAnsi"/>
          <w:iCs/>
          <w:szCs w:val="24"/>
        </w:rPr>
        <w:t xml:space="preserve"> higher education providers in relation to the provision of certain information to students in accelerator program courses in a Commonwealth Assistance Notice, requirements in relation to the publication of information in relation to census dates and </w:t>
      </w:r>
      <w:r w:rsidR="007D500E">
        <w:rPr>
          <w:rFonts w:asciiTheme="minorHAnsi" w:hAnsiTheme="minorHAnsi" w:cstheme="minorHAnsi"/>
          <w:iCs/>
          <w:szCs w:val="24"/>
        </w:rPr>
        <w:t>Equivalent Full Time Student Load (</w:t>
      </w:r>
      <w:r>
        <w:rPr>
          <w:rFonts w:asciiTheme="minorHAnsi" w:hAnsiTheme="minorHAnsi" w:cstheme="minorHAnsi"/>
          <w:iCs/>
          <w:szCs w:val="24"/>
        </w:rPr>
        <w:t>EFTSL</w:t>
      </w:r>
      <w:r w:rsidR="007D500E">
        <w:rPr>
          <w:rFonts w:asciiTheme="minorHAnsi" w:hAnsiTheme="minorHAnsi" w:cstheme="minorHAnsi"/>
          <w:iCs/>
          <w:szCs w:val="24"/>
        </w:rPr>
        <w:t>)</w:t>
      </w:r>
      <w:r>
        <w:rPr>
          <w:rFonts w:asciiTheme="minorHAnsi" w:hAnsiTheme="minorHAnsi" w:cstheme="minorHAnsi"/>
          <w:iCs/>
          <w:szCs w:val="24"/>
        </w:rPr>
        <w:t xml:space="preserve"> values for accelerator program courses, and in relation to determining the EFTSL value for an accelerator program course. </w:t>
      </w:r>
    </w:p>
    <w:p w14:paraId="60D4ED33" w14:textId="6E22DEDD" w:rsidR="0055238D" w:rsidRDefault="0055238D" w:rsidP="0055238D">
      <w:pPr>
        <w:spacing w:before="120" w:after="120"/>
        <w:rPr>
          <w:rFonts w:asciiTheme="minorHAnsi" w:hAnsiTheme="minorHAnsi" w:cstheme="minorHAnsi"/>
          <w:iCs/>
          <w:szCs w:val="24"/>
        </w:rPr>
      </w:pPr>
      <w:r>
        <w:rPr>
          <w:rFonts w:asciiTheme="minorHAnsi" w:hAnsiTheme="minorHAnsi" w:cstheme="minorHAnsi"/>
          <w:iCs/>
          <w:szCs w:val="24"/>
        </w:rPr>
        <w:t xml:space="preserve">The Amendment Instrument also amends the </w:t>
      </w:r>
      <w:r>
        <w:rPr>
          <w:rFonts w:asciiTheme="minorHAnsi" w:hAnsiTheme="minorHAnsi" w:cstheme="minorHAnsi"/>
          <w:i/>
          <w:szCs w:val="24"/>
        </w:rPr>
        <w:t xml:space="preserve">Higher Education Provider Guidelines 2023 </w:t>
      </w:r>
      <w:r>
        <w:rPr>
          <w:rFonts w:asciiTheme="minorHAnsi" w:hAnsiTheme="minorHAnsi" w:cstheme="minorHAnsi"/>
          <w:iCs/>
          <w:szCs w:val="24"/>
        </w:rPr>
        <w:t xml:space="preserve">(HEP Guidelines) to </w:t>
      </w:r>
      <w:r w:rsidR="00944B8F">
        <w:rPr>
          <w:rFonts w:asciiTheme="minorHAnsi" w:hAnsiTheme="minorHAnsi" w:cstheme="minorHAnsi"/>
          <w:iCs/>
          <w:szCs w:val="24"/>
        </w:rPr>
        <w:t>prescribe</w:t>
      </w:r>
      <w:r>
        <w:rPr>
          <w:rFonts w:asciiTheme="minorHAnsi" w:hAnsiTheme="minorHAnsi" w:cstheme="minorHAnsi"/>
          <w:iCs/>
          <w:szCs w:val="24"/>
        </w:rPr>
        <w:t xml:space="preserve"> updated requirements </w:t>
      </w:r>
      <w:r w:rsidR="00944B8F">
        <w:rPr>
          <w:rFonts w:asciiTheme="minorHAnsi" w:hAnsiTheme="minorHAnsi" w:cstheme="minorHAnsi"/>
          <w:iCs/>
          <w:szCs w:val="24"/>
        </w:rPr>
        <w:t>for</w:t>
      </w:r>
      <w:r>
        <w:rPr>
          <w:rFonts w:asciiTheme="minorHAnsi" w:hAnsiTheme="minorHAnsi" w:cstheme="minorHAnsi"/>
          <w:iCs/>
          <w:szCs w:val="24"/>
        </w:rPr>
        <w:t xml:space="preserve"> higher education providers in relation to accelerator program courses and STARTUP-HELP assistance. This includes updating the relevant sections</w:t>
      </w:r>
      <w:r w:rsidR="005B3AC0">
        <w:rPr>
          <w:rFonts w:asciiTheme="minorHAnsi" w:hAnsiTheme="minorHAnsi" w:cstheme="minorHAnsi"/>
          <w:iCs/>
          <w:szCs w:val="24"/>
        </w:rPr>
        <w:t xml:space="preserve"> </w:t>
      </w:r>
      <w:r w:rsidR="00C02034">
        <w:rPr>
          <w:rFonts w:asciiTheme="minorHAnsi" w:hAnsiTheme="minorHAnsi" w:cstheme="minorHAnsi"/>
          <w:iCs/>
          <w:szCs w:val="24"/>
        </w:rPr>
        <w:t>in</w:t>
      </w:r>
      <w:r w:rsidR="005B3AC0">
        <w:rPr>
          <w:rFonts w:asciiTheme="minorHAnsi" w:hAnsiTheme="minorHAnsi" w:cstheme="minorHAnsi"/>
          <w:iCs/>
          <w:szCs w:val="24"/>
        </w:rPr>
        <w:t xml:space="preserve"> the HEP Guidelines</w:t>
      </w:r>
      <w:r>
        <w:rPr>
          <w:rFonts w:asciiTheme="minorHAnsi" w:hAnsiTheme="minorHAnsi" w:cstheme="minorHAnsi"/>
          <w:iCs/>
          <w:szCs w:val="24"/>
        </w:rPr>
        <w:t xml:space="preserve"> which </w:t>
      </w:r>
      <w:r w:rsidR="00944B8F">
        <w:rPr>
          <w:rFonts w:asciiTheme="minorHAnsi" w:hAnsiTheme="minorHAnsi" w:cstheme="minorHAnsi"/>
          <w:iCs/>
          <w:szCs w:val="24"/>
        </w:rPr>
        <w:t>prescribe</w:t>
      </w:r>
      <w:r>
        <w:rPr>
          <w:rFonts w:asciiTheme="minorHAnsi" w:hAnsiTheme="minorHAnsi" w:cstheme="minorHAnsi"/>
          <w:iCs/>
          <w:szCs w:val="24"/>
        </w:rPr>
        <w:t xml:space="preserve"> requirements in relation to a provider’s grievance procedures, the period in which the higher education provider proposes to provide units of study or accelerator program courses, the publication of certain information by higher education providers, the offering of inducements by higher education providers and withdrawal</w:t>
      </w:r>
      <w:r w:rsidRPr="007F4244">
        <w:rPr>
          <w:sz w:val="22"/>
          <w:szCs w:val="20"/>
        </w:rPr>
        <w:t xml:space="preserve"> </w:t>
      </w:r>
      <w:r w:rsidRPr="007F4244">
        <w:rPr>
          <w:rFonts w:asciiTheme="minorHAnsi" w:hAnsiTheme="minorHAnsi" w:cstheme="minorHAnsi"/>
          <w:iCs/>
          <w:szCs w:val="24"/>
        </w:rPr>
        <w:t>from units of study or accelerator program courses</w:t>
      </w:r>
      <w:r>
        <w:rPr>
          <w:rFonts w:asciiTheme="minorHAnsi" w:hAnsiTheme="minorHAnsi" w:cstheme="minorHAnsi"/>
          <w:iCs/>
          <w:szCs w:val="24"/>
        </w:rPr>
        <w:t xml:space="preserve">. </w:t>
      </w:r>
    </w:p>
    <w:p w14:paraId="57CC71C9" w14:textId="77777777" w:rsidR="00F9205E" w:rsidRPr="008134D5" w:rsidRDefault="00F9205E" w:rsidP="000C310A">
      <w:pPr>
        <w:pStyle w:val="Heading2"/>
      </w:pPr>
      <w:r w:rsidRPr="008134D5">
        <w:t>Human rights implications</w:t>
      </w:r>
    </w:p>
    <w:p w14:paraId="55E0BDBC" w14:textId="275D6D0A" w:rsidR="00063C10" w:rsidRPr="00913A23" w:rsidRDefault="00063C10" w:rsidP="00821A93">
      <w:pPr>
        <w:spacing w:before="120" w:after="120"/>
        <w:rPr>
          <w:rFonts w:asciiTheme="minorHAnsi" w:hAnsiTheme="minorHAnsi" w:cstheme="minorHAnsi"/>
          <w:szCs w:val="24"/>
        </w:rPr>
      </w:pPr>
      <w:r w:rsidRPr="00913A23">
        <w:rPr>
          <w:rFonts w:asciiTheme="minorHAnsi" w:hAnsiTheme="minorHAnsi" w:cstheme="minorHAnsi"/>
          <w:szCs w:val="24"/>
        </w:rPr>
        <w:t xml:space="preserve">The </w:t>
      </w:r>
      <w:r>
        <w:rPr>
          <w:rFonts w:asciiTheme="minorHAnsi" w:hAnsiTheme="minorHAnsi" w:cstheme="minorHAnsi"/>
          <w:szCs w:val="24"/>
        </w:rPr>
        <w:t xml:space="preserve">Amendment </w:t>
      </w:r>
      <w:r w:rsidRPr="00913A23">
        <w:rPr>
          <w:rFonts w:asciiTheme="minorHAnsi" w:hAnsiTheme="minorHAnsi" w:cstheme="minorHAnsi"/>
          <w:szCs w:val="24"/>
        </w:rPr>
        <w:t xml:space="preserve">Instrument engages the </w:t>
      </w:r>
      <w:r w:rsidRPr="00913A23">
        <w:rPr>
          <w:rFonts w:asciiTheme="minorHAnsi" w:hAnsiTheme="minorHAnsi" w:cstheme="minorHAnsi"/>
          <w:iCs/>
          <w:szCs w:val="24"/>
        </w:rPr>
        <w:t>right to education in Article 13 of the International Covenant on Economic, Social and Cultural Rights (ICESCR)</w:t>
      </w:r>
      <w:r w:rsidR="001D445B">
        <w:rPr>
          <w:rFonts w:asciiTheme="minorHAnsi" w:hAnsiTheme="minorHAnsi" w:cstheme="minorHAnsi"/>
          <w:iCs/>
          <w:szCs w:val="24"/>
        </w:rPr>
        <w:t>.</w:t>
      </w:r>
    </w:p>
    <w:p w14:paraId="68A294CE" w14:textId="49DA5792" w:rsidR="008310AA" w:rsidRPr="00774144" w:rsidRDefault="00A97947" w:rsidP="000C310A">
      <w:pPr>
        <w:pStyle w:val="Heading3"/>
      </w:pPr>
      <w:r>
        <w:lastRenderedPageBreak/>
        <w:t>Right to education</w:t>
      </w:r>
    </w:p>
    <w:p w14:paraId="5CB85488" w14:textId="6EC913ED" w:rsidR="00A97947" w:rsidRDefault="00A97947" w:rsidP="00DA552F">
      <w:pPr>
        <w:spacing w:before="120" w:after="120"/>
        <w:rPr>
          <w:rFonts w:asciiTheme="minorHAnsi" w:hAnsiTheme="minorHAnsi" w:cstheme="minorHAnsi"/>
          <w:iCs/>
          <w:szCs w:val="24"/>
        </w:rPr>
      </w:pPr>
      <w:r>
        <w:rPr>
          <w:rFonts w:asciiTheme="minorHAnsi" w:hAnsiTheme="minorHAnsi" w:cstheme="minorHAnsi"/>
          <w:iCs/>
          <w:szCs w:val="24"/>
        </w:rPr>
        <w:t xml:space="preserve">Article 13(2)(c) of the ICESCR provides that ‘higher education shall be made equally accessible to all, on the basis of capacity, by every appropriate means, and in particular by the progressive introduction of free education’. </w:t>
      </w:r>
    </w:p>
    <w:p w14:paraId="567151C2" w14:textId="6F3BD6D0" w:rsidR="008862F4" w:rsidRDefault="00A97947" w:rsidP="00DA552F">
      <w:pPr>
        <w:spacing w:before="120" w:after="120"/>
        <w:rPr>
          <w:rFonts w:asciiTheme="minorHAnsi" w:hAnsiTheme="minorHAnsi" w:cstheme="minorHAnsi"/>
          <w:iCs/>
          <w:szCs w:val="24"/>
        </w:rPr>
      </w:pPr>
      <w:r>
        <w:rPr>
          <w:rFonts w:asciiTheme="minorHAnsi" w:hAnsiTheme="minorHAnsi" w:cstheme="minorHAnsi"/>
          <w:iCs/>
          <w:szCs w:val="24"/>
        </w:rPr>
        <w:t xml:space="preserve">The </w:t>
      </w:r>
      <w:r w:rsidR="002171C3">
        <w:rPr>
          <w:rFonts w:asciiTheme="minorHAnsi" w:hAnsiTheme="minorHAnsi" w:cstheme="minorHAnsi"/>
          <w:iCs/>
          <w:szCs w:val="24"/>
        </w:rPr>
        <w:t xml:space="preserve">Amendment </w:t>
      </w:r>
      <w:r>
        <w:rPr>
          <w:rFonts w:asciiTheme="minorHAnsi" w:hAnsiTheme="minorHAnsi" w:cstheme="minorHAnsi"/>
          <w:iCs/>
          <w:szCs w:val="24"/>
        </w:rPr>
        <w:t xml:space="preserve">Instrument </w:t>
      </w:r>
      <w:r w:rsidR="002171C3">
        <w:rPr>
          <w:rFonts w:asciiTheme="minorHAnsi" w:hAnsiTheme="minorHAnsi" w:cstheme="minorHAnsi"/>
          <w:iCs/>
          <w:szCs w:val="24"/>
        </w:rPr>
        <w:t>provides for new requirements that must</w:t>
      </w:r>
      <w:r w:rsidR="000C3A50">
        <w:rPr>
          <w:rFonts w:asciiTheme="minorHAnsi" w:hAnsiTheme="minorHAnsi" w:cstheme="minorHAnsi"/>
          <w:iCs/>
          <w:szCs w:val="24"/>
        </w:rPr>
        <w:t xml:space="preserve"> be</w:t>
      </w:r>
      <w:r w:rsidR="002171C3">
        <w:rPr>
          <w:rFonts w:asciiTheme="minorHAnsi" w:hAnsiTheme="minorHAnsi" w:cstheme="minorHAnsi"/>
          <w:iCs/>
          <w:szCs w:val="24"/>
        </w:rPr>
        <w:t xml:space="preserve"> met by higher education providers</w:t>
      </w:r>
      <w:r w:rsidR="00160AC6">
        <w:rPr>
          <w:rFonts w:asciiTheme="minorHAnsi" w:hAnsiTheme="minorHAnsi" w:cstheme="minorHAnsi"/>
          <w:iCs/>
          <w:szCs w:val="24"/>
        </w:rPr>
        <w:t xml:space="preserve"> in relation to the provision of STARTUP-HELP assistance to students</w:t>
      </w:r>
      <w:r w:rsidR="002171C3">
        <w:rPr>
          <w:rFonts w:asciiTheme="minorHAnsi" w:hAnsiTheme="minorHAnsi" w:cstheme="minorHAnsi"/>
          <w:iCs/>
          <w:szCs w:val="24"/>
        </w:rPr>
        <w:t>. These requirements support the right to education as they</w:t>
      </w:r>
      <w:r w:rsidR="00D411D4">
        <w:rPr>
          <w:rFonts w:asciiTheme="minorHAnsi" w:hAnsiTheme="minorHAnsi" w:cstheme="minorHAnsi"/>
          <w:iCs/>
          <w:szCs w:val="24"/>
        </w:rPr>
        <w:t xml:space="preserve"> require higher education providers to provide students with information which affects their enrolment in their accelerator program course, such as information relating to the census dates and </w:t>
      </w:r>
      <w:r w:rsidR="00904500">
        <w:rPr>
          <w:rFonts w:asciiTheme="minorHAnsi" w:hAnsiTheme="minorHAnsi" w:cstheme="minorHAnsi"/>
          <w:iCs/>
          <w:szCs w:val="24"/>
        </w:rPr>
        <w:t xml:space="preserve">the </w:t>
      </w:r>
      <w:r w:rsidR="00D411D4">
        <w:rPr>
          <w:rFonts w:asciiTheme="minorHAnsi" w:hAnsiTheme="minorHAnsi" w:cstheme="minorHAnsi"/>
          <w:iCs/>
          <w:szCs w:val="24"/>
        </w:rPr>
        <w:t xml:space="preserve">EFTSL value of their accelerator program course. The requirements also provide certain protections for students, by requiring that higher education providers provide information about grievance procedures </w:t>
      </w:r>
      <w:r w:rsidR="00904500">
        <w:rPr>
          <w:rFonts w:asciiTheme="minorHAnsi" w:hAnsiTheme="minorHAnsi" w:cstheme="minorHAnsi"/>
          <w:iCs/>
          <w:szCs w:val="24"/>
        </w:rPr>
        <w:t xml:space="preserve">to students </w:t>
      </w:r>
      <w:r w:rsidR="00D411D4">
        <w:rPr>
          <w:rFonts w:asciiTheme="minorHAnsi" w:hAnsiTheme="minorHAnsi" w:cstheme="minorHAnsi"/>
          <w:iCs/>
          <w:szCs w:val="24"/>
        </w:rPr>
        <w:t xml:space="preserve">and ensuring that information about accelerator program courses offered by </w:t>
      </w:r>
      <w:r w:rsidR="00904500">
        <w:rPr>
          <w:rFonts w:asciiTheme="minorHAnsi" w:hAnsiTheme="minorHAnsi" w:cstheme="minorHAnsi"/>
          <w:iCs/>
          <w:szCs w:val="24"/>
        </w:rPr>
        <w:t xml:space="preserve">a </w:t>
      </w:r>
      <w:r w:rsidR="00D411D4">
        <w:rPr>
          <w:rFonts w:asciiTheme="minorHAnsi" w:hAnsiTheme="minorHAnsi" w:cstheme="minorHAnsi"/>
          <w:iCs/>
          <w:szCs w:val="24"/>
        </w:rPr>
        <w:t xml:space="preserve">higher education provider is made publicly available, so that students can make an informed choice about undertaking an accelerator program course. </w:t>
      </w:r>
    </w:p>
    <w:p w14:paraId="0D664062" w14:textId="77777777" w:rsidR="00DA552F" w:rsidRPr="008134D5" w:rsidRDefault="00F9205E" w:rsidP="000C310A">
      <w:pPr>
        <w:pStyle w:val="Heading2"/>
      </w:pPr>
      <w:r w:rsidRPr="008134D5">
        <w:t>Conclusion</w:t>
      </w:r>
    </w:p>
    <w:p w14:paraId="246A2D01" w14:textId="02EBC778" w:rsidR="00063C10" w:rsidRPr="008134D5" w:rsidRDefault="00063C10" w:rsidP="00063C10">
      <w:pPr>
        <w:spacing w:before="120" w:after="120"/>
        <w:rPr>
          <w:rFonts w:asciiTheme="minorHAnsi" w:hAnsiTheme="minorHAnsi" w:cstheme="minorHAnsi"/>
          <w:szCs w:val="24"/>
        </w:rPr>
      </w:pPr>
      <w:r w:rsidRPr="008134D5">
        <w:rPr>
          <w:rFonts w:asciiTheme="minorHAnsi" w:hAnsiTheme="minorHAnsi" w:cstheme="minorHAnsi"/>
          <w:szCs w:val="24"/>
        </w:rPr>
        <w:t xml:space="preserve">The </w:t>
      </w:r>
      <w:r>
        <w:rPr>
          <w:rFonts w:asciiTheme="minorHAnsi" w:hAnsiTheme="minorHAnsi" w:cstheme="minorHAnsi"/>
          <w:szCs w:val="24"/>
        </w:rPr>
        <w:t>Amendment Instrument</w:t>
      </w:r>
      <w:r w:rsidRPr="008134D5">
        <w:rPr>
          <w:rFonts w:asciiTheme="minorHAnsi" w:hAnsiTheme="minorHAnsi" w:cstheme="minorHAnsi"/>
          <w:szCs w:val="24"/>
        </w:rPr>
        <w:t xml:space="preserve"> is compatible with human rights because </w:t>
      </w:r>
      <w:r>
        <w:rPr>
          <w:rFonts w:asciiTheme="minorHAnsi" w:hAnsiTheme="minorHAnsi" w:cstheme="minorHAnsi"/>
          <w:szCs w:val="24"/>
        </w:rPr>
        <w:t>it supports the right to education</w:t>
      </w:r>
      <w:r w:rsidRPr="00365F0D">
        <w:rPr>
          <w:rFonts w:asciiTheme="minorHAnsi" w:hAnsiTheme="minorHAnsi" w:cstheme="minorHAnsi"/>
          <w:iCs/>
          <w:szCs w:val="24"/>
        </w:rPr>
        <w:t>.</w:t>
      </w:r>
    </w:p>
    <w:p w14:paraId="49175299" w14:textId="77777777" w:rsidR="00D8103E" w:rsidRPr="008134D5" w:rsidRDefault="00D8103E" w:rsidP="00DA552F">
      <w:pPr>
        <w:spacing w:before="120" w:after="120"/>
        <w:rPr>
          <w:rFonts w:asciiTheme="minorHAnsi" w:hAnsiTheme="minorHAnsi" w:cstheme="minorHAnsi"/>
          <w:b/>
          <w:szCs w:val="24"/>
        </w:rPr>
      </w:pPr>
    </w:p>
    <w:p w14:paraId="1EC89B8A" w14:textId="54DFB1F9" w:rsidR="00DA552F" w:rsidRPr="008134D5" w:rsidRDefault="00D8103E" w:rsidP="00DD7496">
      <w:pPr>
        <w:spacing w:before="120" w:after="120"/>
        <w:jc w:val="center"/>
        <w:rPr>
          <w:rFonts w:asciiTheme="minorHAnsi" w:hAnsiTheme="minorHAnsi" w:cstheme="minorHAnsi"/>
          <w:szCs w:val="24"/>
        </w:rPr>
      </w:pPr>
      <w:r w:rsidRPr="008134D5">
        <w:rPr>
          <w:rFonts w:asciiTheme="minorHAnsi" w:hAnsiTheme="minorHAnsi" w:cstheme="minorHAnsi"/>
          <w:b/>
          <w:szCs w:val="24"/>
        </w:rPr>
        <w:t xml:space="preserve">Minister for </w:t>
      </w:r>
      <w:r w:rsidR="00A60777">
        <w:rPr>
          <w:rFonts w:asciiTheme="minorHAnsi" w:hAnsiTheme="minorHAnsi" w:cstheme="minorHAnsi"/>
          <w:b/>
          <w:szCs w:val="24"/>
        </w:rPr>
        <w:t>Education</w:t>
      </w:r>
      <w:r w:rsidR="00E8671C">
        <w:rPr>
          <w:rFonts w:asciiTheme="minorHAnsi" w:hAnsiTheme="minorHAnsi" w:cstheme="minorHAnsi"/>
          <w:b/>
          <w:szCs w:val="24"/>
        </w:rPr>
        <w:t xml:space="preserve">, </w:t>
      </w:r>
      <w:r w:rsidR="00A60777">
        <w:rPr>
          <w:rFonts w:asciiTheme="minorHAnsi" w:hAnsiTheme="minorHAnsi" w:cstheme="minorHAnsi"/>
          <w:b/>
          <w:szCs w:val="24"/>
        </w:rPr>
        <w:t>The Hon Jason Clare MP</w:t>
      </w:r>
    </w:p>
    <w:p w14:paraId="1103BC73" w14:textId="77777777" w:rsidR="00DA552F" w:rsidRPr="008134D5" w:rsidRDefault="00DA552F" w:rsidP="00DA552F">
      <w:pPr>
        <w:spacing w:before="240" w:after="240"/>
        <w:rPr>
          <w:rFonts w:asciiTheme="minorHAnsi" w:hAnsiTheme="minorHAnsi" w:cstheme="minorHAnsi"/>
          <w:szCs w:val="24"/>
        </w:rPr>
        <w:sectPr w:rsidR="00DA552F" w:rsidRPr="008134D5" w:rsidSect="00785B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14:paraId="192B2E5C" w14:textId="59D76F19" w:rsidR="00DA552F" w:rsidRPr="00A60777" w:rsidRDefault="00A60777" w:rsidP="000C310A">
      <w:pPr>
        <w:pStyle w:val="Title"/>
        <w:rPr>
          <w:b w:val="0"/>
        </w:rPr>
      </w:pPr>
      <w:r w:rsidRPr="00A60777">
        <w:rPr>
          <w:u w:val="none"/>
        </w:rPr>
        <w:lastRenderedPageBreak/>
        <w:t xml:space="preserve">HIGHER EDUCATION SUPPORT </w:t>
      </w:r>
      <w:r w:rsidR="00D411D4">
        <w:rPr>
          <w:u w:val="none"/>
        </w:rPr>
        <w:t xml:space="preserve">AMENDMENT </w:t>
      </w:r>
      <w:r w:rsidRPr="00A60777">
        <w:rPr>
          <w:u w:val="none"/>
        </w:rPr>
        <w:t>(</w:t>
      </w:r>
      <w:r w:rsidR="00D411D4">
        <w:rPr>
          <w:u w:val="none"/>
        </w:rPr>
        <w:t>STARTUP YEAR</w:t>
      </w:r>
      <w:r w:rsidRPr="00A60777">
        <w:rPr>
          <w:u w:val="none"/>
        </w:rPr>
        <w:t>) GUIDELINES 2023</w:t>
      </w:r>
    </w:p>
    <w:p w14:paraId="289E50B9" w14:textId="77777777" w:rsidR="00DA552F" w:rsidRDefault="00DB6247" w:rsidP="000C310A">
      <w:pPr>
        <w:pStyle w:val="Heading1"/>
      </w:pPr>
      <w:r>
        <w:t>EXPLANATION OF PROVISIONS</w:t>
      </w:r>
    </w:p>
    <w:p w14:paraId="0D2E3309" w14:textId="77C6665B" w:rsidR="00F93E99" w:rsidRPr="00F93E99" w:rsidRDefault="00F93E99" w:rsidP="00F93E99">
      <w:pPr>
        <w:pStyle w:val="Heading1"/>
      </w:pPr>
      <w:r>
        <w:t xml:space="preserve">Part 1 – Introduction </w:t>
      </w:r>
    </w:p>
    <w:p w14:paraId="5C8B7FC1"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1: </w:t>
      </w:r>
      <w:r w:rsidR="00E631F9" w:rsidRPr="000C310A">
        <w:rPr>
          <w:b/>
          <w:bCs/>
        </w:rPr>
        <w:t>Name</w:t>
      </w:r>
    </w:p>
    <w:p w14:paraId="30BF8498" w14:textId="38CE05FF" w:rsidR="00A60777" w:rsidRDefault="00A60777" w:rsidP="00760FF8">
      <w:pPr>
        <w:pStyle w:val="ListParagraph"/>
        <w:numPr>
          <w:ilvl w:val="0"/>
          <w:numId w:val="4"/>
        </w:numPr>
        <w:spacing w:before="360" w:after="120"/>
        <w:rPr>
          <w:rFonts w:asciiTheme="minorHAnsi" w:hAnsiTheme="minorHAnsi" w:cstheme="minorHAnsi"/>
          <w:szCs w:val="24"/>
        </w:rPr>
      </w:pPr>
      <w:r>
        <w:rPr>
          <w:rFonts w:asciiTheme="minorHAnsi" w:hAnsiTheme="minorHAnsi" w:cstheme="minorHAnsi"/>
          <w:szCs w:val="24"/>
        </w:rPr>
        <w:t xml:space="preserve">This section specifies the name of the instrument as the </w:t>
      </w:r>
      <w:r>
        <w:rPr>
          <w:rFonts w:asciiTheme="minorHAnsi" w:hAnsiTheme="minorHAnsi" w:cstheme="minorHAnsi"/>
          <w:i/>
          <w:iCs/>
          <w:szCs w:val="24"/>
        </w:rPr>
        <w:t xml:space="preserve">Higher Education Support </w:t>
      </w:r>
      <w:r w:rsidR="008F6C19">
        <w:rPr>
          <w:rFonts w:asciiTheme="minorHAnsi" w:hAnsiTheme="minorHAnsi" w:cstheme="minorHAnsi"/>
          <w:i/>
          <w:iCs/>
          <w:szCs w:val="24"/>
        </w:rPr>
        <w:t xml:space="preserve">Amendment </w:t>
      </w:r>
      <w:r>
        <w:rPr>
          <w:rFonts w:asciiTheme="minorHAnsi" w:hAnsiTheme="minorHAnsi" w:cstheme="minorHAnsi"/>
          <w:i/>
          <w:iCs/>
          <w:szCs w:val="24"/>
        </w:rPr>
        <w:t>(</w:t>
      </w:r>
      <w:r w:rsidR="002371AE">
        <w:rPr>
          <w:rFonts w:asciiTheme="minorHAnsi" w:hAnsiTheme="minorHAnsi" w:cstheme="minorHAnsi"/>
          <w:i/>
          <w:iCs/>
          <w:szCs w:val="24"/>
        </w:rPr>
        <w:t>S</w:t>
      </w:r>
      <w:r w:rsidR="008F6C19">
        <w:rPr>
          <w:rFonts w:asciiTheme="minorHAnsi" w:hAnsiTheme="minorHAnsi" w:cstheme="minorHAnsi"/>
          <w:i/>
          <w:iCs/>
          <w:szCs w:val="24"/>
        </w:rPr>
        <w:t>tartup Year</w:t>
      </w:r>
      <w:r>
        <w:rPr>
          <w:rFonts w:asciiTheme="minorHAnsi" w:hAnsiTheme="minorHAnsi" w:cstheme="minorHAnsi"/>
          <w:i/>
          <w:iCs/>
          <w:szCs w:val="24"/>
        </w:rPr>
        <w:t>) Guidelines 2023</w:t>
      </w:r>
      <w:r>
        <w:rPr>
          <w:rFonts w:asciiTheme="minorHAnsi" w:hAnsiTheme="minorHAnsi" w:cstheme="minorHAnsi"/>
          <w:szCs w:val="24"/>
        </w:rPr>
        <w:t xml:space="preserve"> (the</w:t>
      </w:r>
      <w:r w:rsidR="008F6C19">
        <w:rPr>
          <w:rFonts w:asciiTheme="minorHAnsi" w:hAnsiTheme="minorHAnsi" w:cstheme="minorHAnsi"/>
          <w:szCs w:val="24"/>
        </w:rPr>
        <w:t xml:space="preserve"> Amendment</w:t>
      </w:r>
      <w:r>
        <w:rPr>
          <w:rFonts w:asciiTheme="minorHAnsi" w:hAnsiTheme="minorHAnsi" w:cstheme="minorHAnsi"/>
          <w:szCs w:val="24"/>
        </w:rPr>
        <w:t xml:space="preserve"> Instrument). </w:t>
      </w:r>
    </w:p>
    <w:p w14:paraId="153E9ACC" w14:textId="77777777" w:rsidR="00DA552F" w:rsidRPr="000C310A" w:rsidRDefault="00DB6247" w:rsidP="000C310A">
      <w:pPr>
        <w:pStyle w:val="Heading3"/>
        <w:spacing w:before="240"/>
        <w:rPr>
          <w:b/>
          <w:bCs/>
        </w:rPr>
      </w:pPr>
      <w:r w:rsidRPr="000C310A">
        <w:rPr>
          <w:b/>
          <w:bCs/>
        </w:rPr>
        <w:t>Section</w:t>
      </w:r>
      <w:r w:rsidR="00DA552F" w:rsidRPr="000C310A">
        <w:rPr>
          <w:b/>
          <w:bCs/>
        </w:rPr>
        <w:t xml:space="preserve"> 2: Commencement</w:t>
      </w:r>
    </w:p>
    <w:p w14:paraId="538C9C75" w14:textId="79700831" w:rsidR="00A60777" w:rsidRDefault="001D445B" w:rsidP="00760FF8">
      <w:pPr>
        <w:pStyle w:val="ListParagraph"/>
        <w:keepNext/>
        <w:numPr>
          <w:ilvl w:val="0"/>
          <w:numId w:val="4"/>
        </w:numPr>
        <w:spacing w:before="360" w:after="120"/>
        <w:rPr>
          <w:rFonts w:asciiTheme="minorHAnsi" w:hAnsiTheme="minorHAnsi" w:cstheme="minorHAnsi"/>
          <w:iCs/>
        </w:rPr>
      </w:pPr>
      <w:r>
        <w:rPr>
          <w:rFonts w:asciiTheme="minorHAnsi" w:hAnsiTheme="minorHAnsi" w:cstheme="minorHAnsi"/>
          <w:iCs/>
        </w:rPr>
        <w:t>This section provides that the Amendment Instrument commences on the day after it is registered on the Federal Register of Legislation</w:t>
      </w:r>
      <w:r w:rsidR="001323FA">
        <w:rPr>
          <w:rFonts w:asciiTheme="minorHAnsi" w:hAnsiTheme="minorHAnsi" w:cstheme="minorHAnsi"/>
          <w:iCs/>
        </w:rPr>
        <w:t>.</w:t>
      </w:r>
    </w:p>
    <w:p w14:paraId="3287C071" w14:textId="77777777" w:rsidR="00E631F9" w:rsidRPr="000C310A" w:rsidRDefault="00E631F9" w:rsidP="000C310A">
      <w:pPr>
        <w:pStyle w:val="Heading3"/>
        <w:spacing w:before="240"/>
        <w:rPr>
          <w:b/>
          <w:bCs/>
        </w:rPr>
      </w:pPr>
      <w:r w:rsidRPr="000C310A">
        <w:rPr>
          <w:b/>
          <w:bCs/>
        </w:rPr>
        <w:t>Section 3: Authority</w:t>
      </w:r>
    </w:p>
    <w:p w14:paraId="394D06A5" w14:textId="7FA37F79" w:rsidR="00A60777" w:rsidRDefault="00A60777" w:rsidP="00760FF8">
      <w:pPr>
        <w:pStyle w:val="ListParagraph"/>
        <w:keepNext/>
        <w:numPr>
          <w:ilvl w:val="0"/>
          <w:numId w:val="4"/>
        </w:numPr>
        <w:spacing w:before="360" w:after="120"/>
        <w:rPr>
          <w:rFonts w:asciiTheme="minorHAnsi" w:hAnsiTheme="minorHAnsi" w:cstheme="minorHAnsi"/>
          <w:iCs/>
        </w:rPr>
      </w:pPr>
      <w:r>
        <w:rPr>
          <w:rFonts w:asciiTheme="minorHAnsi" w:hAnsiTheme="minorHAnsi" w:cstheme="minorHAnsi"/>
          <w:iCs/>
        </w:rPr>
        <w:t>This section provides that the</w:t>
      </w:r>
      <w:r w:rsidR="001D445B">
        <w:rPr>
          <w:rFonts w:asciiTheme="minorHAnsi" w:hAnsiTheme="minorHAnsi" w:cstheme="minorHAnsi"/>
          <w:iCs/>
        </w:rPr>
        <w:t xml:space="preserve"> Amendment</w:t>
      </w:r>
      <w:r>
        <w:rPr>
          <w:rFonts w:asciiTheme="minorHAnsi" w:hAnsiTheme="minorHAnsi" w:cstheme="minorHAnsi"/>
          <w:iCs/>
        </w:rPr>
        <w:t xml:space="preserve"> Instrument is made under section 238-10 of the </w:t>
      </w:r>
      <w:r>
        <w:rPr>
          <w:rFonts w:asciiTheme="minorHAnsi" w:hAnsiTheme="minorHAnsi" w:cstheme="minorHAnsi"/>
          <w:i/>
        </w:rPr>
        <w:t xml:space="preserve">Higher Education Support Act 2003 </w:t>
      </w:r>
      <w:r>
        <w:rPr>
          <w:rFonts w:asciiTheme="minorHAnsi" w:hAnsiTheme="minorHAnsi" w:cstheme="minorHAnsi"/>
          <w:iCs/>
        </w:rPr>
        <w:t xml:space="preserve">(the Act). </w:t>
      </w:r>
    </w:p>
    <w:p w14:paraId="41B5753B" w14:textId="1E4B9822" w:rsidR="00A60777" w:rsidRDefault="00A60777" w:rsidP="00A60777">
      <w:pPr>
        <w:pStyle w:val="Heading3"/>
        <w:spacing w:before="240"/>
        <w:rPr>
          <w:b/>
          <w:bCs/>
        </w:rPr>
      </w:pPr>
      <w:r>
        <w:rPr>
          <w:b/>
          <w:bCs/>
        </w:rPr>
        <w:t xml:space="preserve">Section 4: </w:t>
      </w:r>
      <w:r w:rsidR="008F6C19">
        <w:rPr>
          <w:b/>
          <w:bCs/>
        </w:rPr>
        <w:t>Schedules</w:t>
      </w:r>
    </w:p>
    <w:p w14:paraId="695F2E73" w14:textId="2D93A4D3" w:rsidR="00A60777" w:rsidRDefault="002371AE" w:rsidP="00760FF8">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This </w:t>
      </w:r>
      <w:r w:rsidR="008F6C19">
        <w:rPr>
          <w:rFonts w:asciiTheme="minorHAnsi" w:hAnsiTheme="minorHAnsi" w:cstheme="minorHAnsi"/>
          <w:iCs/>
          <w:szCs w:val="24"/>
        </w:rPr>
        <w:t xml:space="preserve">is a technical provision that explains that each instrument that is specified in a Schedule to the Instrument is amended or repealed as set out in the applicable items in the Schedule concerned. </w:t>
      </w:r>
    </w:p>
    <w:p w14:paraId="60E45A35" w14:textId="77777777" w:rsidR="00E675A2" w:rsidRDefault="00E675A2">
      <w:pPr>
        <w:spacing w:after="160" w:line="259" w:lineRule="auto"/>
        <w:rPr>
          <w:rFonts w:asciiTheme="minorHAnsi" w:hAnsiTheme="minorHAnsi" w:cstheme="minorHAnsi"/>
          <w:b/>
          <w:bCs/>
          <w:szCs w:val="24"/>
          <w:u w:val="single"/>
        </w:rPr>
      </w:pPr>
      <w:r>
        <w:rPr>
          <w:b/>
          <w:bCs/>
        </w:rPr>
        <w:br w:type="page"/>
      </w:r>
    </w:p>
    <w:p w14:paraId="2A0905DE" w14:textId="7A7C796B" w:rsidR="00F93E99" w:rsidRDefault="008F6C19" w:rsidP="00F93E99">
      <w:pPr>
        <w:pStyle w:val="Heading3"/>
        <w:spacing w:before="240"/>
      </w:pPr>
      <w:r>
        <w:rPr>
          <w:b/>
          <w:bCs/>
        </w:rPr>
        <w:lastRenderedPageBreak/>
        <w:t xml:space="preserve">Schedule 1 – Amendments to the </w:t>
      </w:r>
      <w:r>
        <w:rPr>
          <w:b/>
          <w:bCs/>
          <w:i/>
          <w:iCs/>
        </w:rPr>
        <w:t>Higher Education Support (Administration) Guidelines 2022</w:t>
      </w:r>
    </w:p>
    <w:p w14:paraId="16BC12FC" w14:textId="753BD9B8" w:rsidR="008F6C19" w:rsidRPr="008F6C19" w:rsidRDefault="008F6C19" w:rsidP="008F6C19">
      <w:pPr>
        <w:spacing w:before="360" w:after="120"/>
        <w:rPr>
          <w:rFonts w:asciiTheme="minorHAnsi" w:hAnsiTheme="minorHAnsi" w:cstheme="minorHAnsi"/>
          <w:i/>
          <w:szCs w:val="24"/>
        </w:rPr>
      </w:pPr>
      <w:r w:rsidRPr="008F6C19">
        <w:rPr>
          <w:rFonts w:asciiTheme="minorHAnsi" w:hAnsiTheme="minorHAnsi" w:cstheme="minorHAnsi"/>
          <w:i/>
          <w:szCs w:val="24"/>
        </w:rPr>
        <w:t>Higher Education Support (Administration) Guidelines 2022</w:t>
      </w:r>
    </w:p>
    <w:p w14:paraId="061326A2" w14:textId="547A64A3" w:rsidR="008F6C19" w:rsidRPr="008F6C19" w:rsidRDefault="008F6C19" w:rsidP="008F6C19">
      <w:pPr>
        <w:spacing w:before="360" w:after="120"/>
        <w:rPr>
          <w:rFonts w:asciiTheme="minorHAnsi" w:hAnsiTheme="minorHAnsi" w:cstheme="minorHAnsi"/>
          <w:iCs/>
          <w:szCs w:val="24"/>
          <w:u w:val="single"/>
        </w:rPr>
      </w:pPr>
      <w:r w:rsidRPr="008F6C19">
        <w:rPr>
          <w:rFonts w:asciiTheme="minorHAnsi" w:hAnsiTheme="minorHAnsi" w:cstheme="minorHAnsi"/>
          <w:iCs/>
          <w:szCs w:val="24"/>
          <w:u w:val="single"/>
        </w:rPr>
        <w:t>Item</w:t>
      </w:r>
      <w:r w:rsidR="00E675A2">
        <w:rPr>
          <w:rFonts w:asciiTheme="minorHAnsi" w:hAnsiTheme="minorHAnsi" w:cstheme="minorHAnsi"/>
          <w:iCs/>
          <w:szCs w:val="24"/>
          <w:u w:val="single"/>
        </w:rPr>
        <w:t>s</w:t>
      </w:r>
      <w:r w:rsidRPr="008F6C19">
        <w:rPr>
          <w:rFonts w:asciiTheme="minorHAnsi" w:hAnsiTheme="minorHAnsi" w:cstheme="minorHAnsi"/>
          <w:iCs/>
          <w:szCs w:val="24"/>
          <w:u w:val="single"/>
        </w:rPr>
        <w:t xml:space="preserve"> 1</w:t>
      </w:r>
      <w:r w:rsidR="00E675A2">
        <w:rPr>
          <w:rFonts w:asciiTheme="minorHAnsi" w:hAnsiTheme="minorHAnsi" w:cstheme="minorHAnsi"/>
          <w:iCs/>
          <w:szCs w:val="24"/>
          <w:u w:val="single"/>
        </w:rPr>
        <w:t xml:space="preserve"> to 3: Sections 12 to 14</w:t>
      </w:r>
    </w:p>
    <w:p w14:paraId="3618B538" w14:textId="29AF8025" w:rsidR="00E675A2" w:rsidRDefault="008E7C75" w:rsidP="002C532F">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Sections</w:t>
      </w:r>
      <w:r w:rsidR="00E675A2">
        <w:rPr>
          <w:rFonts w:asciiTheme="minorHAnsi" w:hAnsiTheme="minorHAnsi" w:cstheme="minorHAnsi"/>
          <w:iCs/>
          <w:szCs w:val="24"/>
        </w:rPr>
        <w:t xml:space="preserve"> 12 to 14 </w:t>
      </w:r>
      <w:r w:rsidR="00EC2CBE">
        <w:rPr>
          <w:rFonts w:asciiTheme="minorHAnsi" w:hAnsiTheme="minorHAnsi" w:cstheme="minorHAnsi"/>
          <w:iCs/>
          <w:szCs w:val="24"/>
        </w:rPr>
        <w:t xml:space="preserve">of the </w:t>
      </w:r>
      <w:r w:rsidR="00EC2CBE" w:rsidRPr="00EC2CBE">
        <w:rPr>
          <w:rFonts w:asciiTheme="minorHAnsi" w:hAnsiTheme="minorHAnsi" w:cstheme="minorHAnsi"/>
          <w:i/>
          <w:szCs w:val="24"/>
        </w:rPr>
        <w:t>Higher Education Support (Administration) Guidelines 2022</w:t>
      </w:r>
      <w:r w:rsidR="00EC2CBE">
        <w:rPr>
          <w:rFonts w:asciiTheme="minorHAnsi" w:hAnsiTheme="minorHAnsi" w:cstheme="minorHAnsi"/>
          <w:iCs/>
          <w:szCs w:val="24"/>
        </w:rPr>
        <w:t xml:space="preserve"> (Administration Guidelines) </w:t>
      </w:r>
      <w:r w:rsidR="00E675A2">
        <w:rPr>
          <w:rFonts w:asciiTheme="minorHAnsi" w:hAnsiTheme="minorHAnsi" w:cstheme="minorHAnsi"/>
          <w:iCs/>
          <w:szCs w:val="24"/>
        </w:rPr>
        <w:t xml:space="preserve">specify the circumstances that are beyond a person’s control, circumstances that did not make their full impact until on or after the census date, and circumstances that make it impracticable for the person to complete the requirements </w:t>
      </w:r>
      <w:r w:rsidR="008E7E50">
        <w:rPr>
          <w:rFonts w:asciiTheme="minorHAnsi" w:hAnsiTheme="minorHAnsi" w:cstheme="minorHAnsi"/>
          <w:iCs/>
          <w:szCs w:val="24"/>
        </w:rPr>
        <w:t xml:space="preserve">for the purposes of subsections 36-13(3) and 36-21(1) of the Act. </w:t>
      </w:r>
    </w:p>
    <w:p w14:paraId="7FF28E1C" w14:textId="2CC91875" w:rsidR="008E7E50" w:rsidRDefault="008E7E50" w:rsidP="002C532F">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The notes in those sections provide that the circumstances specified in those sections also apply for the purposes of subsections 97-30(2) and 104</w:t>
      </w:r>
      <w:r w:rsidR="00EC701F">
        <w:rPr>
          <w:rFonts w:asciiTheme="minorHAnsi" w:hAnsiTheme="minorHAnsi" w:cstheme="minorHAnsi"/>
          <w:iCs/>
          <w:szCs w:val="24"/>
        </w:rPr>
        <w:t>-30</w:t>
      </w:r>
      <w:r>
        <w:rPr>
          <w:rFonts w:asciiTheme="minorHAnsi" w:hAnsiTheme="minorHAnsi" w:cstheme="minorHAnsi"/>
          <w:iCs/>
          <w:szCs w:val="24"/>
        </w:rPr>
        <w:t xml:space="preserve">(2) of the Act. Those subsections </w:t>
      </w:r>
      <w:r w:rsidR="00F92EA7">
        <w:rPr>
          <w:rFonts w:asciiTheme="minorHAnsi" w:hAnsiTheme="minorHAnsi" w:cstheme="minorHAnsi"/>
          <w:iCs/>
          <w:szCs w:val="24"/>
        </w:rPr>
        <w:t>are relevant</w:t>
      </w:r>
      <w:r>
        <w:rPr>
          <w:rFonts w:asciiTheme="minorHAnsi" w:hAnsiTheme="minorHAnsi" w:cstheme="minorHAnsi"/>
          <w:iCs/>
          <w:szCs w:val="24"/>
        </w:rPr>
        <w:t xml:space="preserve"> to the determination of whether </w:t>
      </w:r>
      <w:r w:rsidR="00AF41B4">
        <w:rPr>
          <w:rFonts w:asciiTheme="minorHAnsi" w:hAnsiTheme="minorHAnsi" w:cstheme="minorHAnsi"/>
          <w:iCs/>
          <w:szCs w:val="24"/>
        </w:rPr>
        <w:t xml:space="preserve">a person’s HELP balance should be re-credited </w:t>
      </w:r>
      <w:r w:rsidR="00EF06E7">
        <w:rPr>
          <w:rFonts w:asciiTheme="minorHAnsi" w:hAnsiTheme="minorHAnsi" w:cstheme="minorHAnsi"/>
          <w:iCs/>
          <w:szCs w:val="24"/>
        </w:rPr>
        <w:t>in relation to HECS-HELP and FEE-HELP assistance the person received where special circumstances apply to the person</w:t>
      </w:r>
      <w:r>
        <w:rPr>
          <w:rFonts w:asciiTheme="minorHAnsi" w:hAnsiTheme="minorHAnsi" w:cstheme="minorHAnsi"/>
          <w:iCs/>
          <w:szCs w:val="24"/>
        </w:rPr>
        <w:t>.</w:t>
      </w:r>
    </w:p>
    <w:p w14:paraId="3C1465E6" w14:textId="40EF101C" w:rsidR="002C532F" w:rsidRDefault="00E675A2" w:rsidP="002C532F">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Items 1 to 3 amend the notes in sections 12 to 14 to reflect that circumstances specified in sections </w:t>
      </w:r>
      <w:r w:rsidR="008E7E50">
        <w:rPr>
          <w:rFonts w:asciiTheme="minorHAnsi" w:hAnsiTheme="minorHAnsi" w:cstheme="minorHAnsi"/>
          <w:iCs/>
          <w:szCs w:val="24"/>
        </w:rPr>
        <w:t>12 to 14 also apply for the purposes of subsection 128E-5(2)</w:t>
      </w:r>
      <w:r w:rsidR="00F92EA7">
        <w:rPr>
          <w:rFonts w:asciiTheme="minorHAnsi" w:hAnsiTheme="minorHAnsi" w:cstheme="minorHAnsi"/>
          <w:iCs/>
          <w:szCs w:val="24"/>
        </w:rPr>
        <w:t>. Subsection 128E-5(2) is relevant to the determination of whether a person’s STARTUP-HELP assistance should be reversed</w:t>
      </w:r>
      <w:r w:rsidR="009C5CA9">
        <w:rPr>
          <w:rFonts w:asciiTheme="minorHAnsi" w:hAnsiTheme="minorHAnsi" w:cstheme="minorHAnsi"/>
          <w:iCs/>
          <w:szCs w:val="24"/>
        </w:rPr>
        <w:t xml:space="preserve"> because special circumstances apply to the person</w:t>
      </w:r>
      <w:r w:rsidR="00F92EA7">
        <w:rPr>
          <w:rFonts w:asciiTheme="minorHAnsi" w:hAnsiTheme="minorHAnsi" w:cstheme="minorHAnsi"/>
          <w:iCs/>
          <w:szCs w:val="24"/>
        </w:rPr>
        <w:t>.</w:t>
      </w:r>
    </w:p>
    <w:p w14:paraId="7A8F7499" w14:textId="25C22DA1" w:rsidR="00F92EA7" w:rsidRPr="008F6C19" w:rsidRDefault="00F92EA7" w:rsidP="00F92EA7">
      <w:pPr>
        <w:spacing w:before="360" w:after="120"/>
        <w:rPr>
          <w:rFonts w:asciiTheme="minorHAnsi" w:hAnsiTheme="minorHAnsi" w:cstheme="minorHAnsi"/>
          <w:iCs/>
          <w:szCs w:val="24"/>
          <w:u w:val="single"/>
        </w:rPr>
      </w:pPr>
      <w:r w:rsidRPr="008F6C19">
        <w:rPr>
          <w:rFonts w:asciiTheme="minorHAnsi" w:hAnsiTheme="minorHAnsi" w:cstheme="minorHAnsi"/>
          <w:iCs/>
          <w:szCs w:val="24"/>
          <w:u w:val="single"/>
        </w:rPr>
        <w:t>Item</w:t>
      </w:r>
      <w:r>
        <w:rPr>
          <w:rFonts w:asciiTheme="minorHAnsi" w:hAnsiTheme="minorHAnsi" w:cstheme="minorHAnsi"/>
          <w:iCs/>
          <w:szCs w:val="24"/>
          <w:u w:val="single"/>
        </w:rPr>
        <w:t xml:space="preserve"> 4: Section 16</w:t>
      </w:r>
    </w:p>
    <w:p w14:paraId="06220869" w14:textId="4A3C69F0" w:rsidR="00F92EA7" w:rsidRDefault="00F92EA7" w:rsidP="00F92EA7">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Item 4 </w:t>
      </w:r>
      <w:r w:rsidR="00EC2CBE">
        <w:rPr>
          <w:rFonts w:asciiTheme="minorHAnsi" w:hAnsiTheme="minorHAnsi" w:cstheme="minorHAnsi"/>
          <w:iCs/>
          <w:szCs w:val="24"/>
        </w:rPr>
        <w:t xml:space="preserve">repeals and replaces section 16 of the Administration Guidelines. </w:t>
      </w:r>
    </w:p>
    <w:p w14:paraId="734D8D06" w14:textId="070A4092" w:rsidR="00EC2CBE" w:rsidRDefault="008E7C75" w:rsidP="00F92EA7">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Old section 16 provides that for the purposes of subsection 169-5(1) of the Act, a higher education provider must give a Commonwealth Assistance Notice to any person who meets the requirements set out in subsection 169-5(1) of the Act. Subsection 169-5(1) of the Act requires that a higher education provider must give notices required by the Administration Guidelines to a person who is enrolled in a unit of study and who is seeking Commonwealth assistance or is a Commonwealth supported student for the unit. </w:t>
      </w:r>
    </w:p>
    <w:p w14:paraId="584C4F2C" w14:textId="57463A3C" w:rsidR="008E7C75" w:rsidRDefault="008E7C75" w:rsidP="00F92EA7">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New section 16 is largely the same as the previous section 16, except it provides that a higher education provider must also give a Commonwealth Assistance Notice to any person who meets the requirements set out in subsection 169-5(</w:t>
      </w:r>
      <w:r w:rsidR="00531DD2">
        <w:rPr>
          <w:rFonts w:asciiTheme="minorHAnsi" w:hAnsiTheme="minorHAnsi" w:cstheme="minorHAnsi"/>
          <w:iCs/>
          <w:szCs w:val="24"/>
        </w:rPr>
        <w:t>1A</w:t>
      </w:r>
      <w:r>
        <w:rPr>
          <w:rFonts w:asciiTheme="minorHAnsi" w:hAnsiTheme="minorHAnsi" w:cstheme="minorHAnsi"/>
          <w:iCs/>
          <w:szCs w:val="24"/>
        </w:rPr>
        <w:t>) of the Act. Subsection 169-5(</w:t>
      </w:r>
      <w:r w:rsidR="00531DD2">
        <w:rPr>
          <w:rFonts w:asciiTheme="minorHAnsi" w:hAnsiTheme="minorHAnsi" w:cstheme="minorHAnsi"/>
          <w:iCs/>
          <w:szCs w:val="24"/>
        </w:rPr>
        <w:t>1A</w:t>
      </w:r>
      <w:r>
        <w:rPr>
          <w:rFonts w:asciiTheme="minorHAnsi" w:hAnsiTheme="minorHAnsi" w:cstheme="minorHAnsi"/>
          <w:iCs/>
          <w:szCs w:val="24"/>
        </w:rPr>
        <w:t xml:space="preserve">) </w:t>
      </w:r>
      <w:r w:rsidR="0034790B">
        <w:rPr>
          <w:rFonts w:asciiTheme="minorHAnsi" w:hAnsiTheme="minorHAnsi" w:cstheme="minorHAnsi"/>
          <w:iCs/>
          <w:szCs w:val="24"/>
        </w:rPr>
        <w:t>of the Act requires that a higher education provider must give notices required by the Administration Guidelines to a person who is enrolled in an accelerator program course and who is seeking Commonwealth assistance for the accelerator program course or for a student services and amenities fee imposed on the person.</w:t>
      </w:r>
    </w:p>
    <w:p w14:paraId="12E5A5A2" w14:textId="501F2FF3" w:rsidR="0034790B" w:rsidRPr="0034790B" w:rsidRDefault="0034790B" w:rsidP="0034790B">
      <w:pPr>
        <w:spacing w:before="360" w:after="120"/>
        <w:rPr>
          <w:rFonts w:asciiTheme="minorHAnsi" w:hAnsiTheme="minorHAnsi" w:cstheme="minorHAnsi"/>
          <w:iCs/>
          <w:szCs w:val="24"/>
          <w:u w:val="single"/>
        </w:rPr>
      </w:pPr>
      <w:r>
        <w:rPr>
          <w:rFonts w:asciiTheme="minorHAnsi" w:hAnsiTheme="minorHAnsi" w:cstheme="minorHAnsi"/>
          <w:iCs/>
          <w:szCs w:val="24"/>
          <w:u w:val="single"/>
        </w:rPr>
        <w:lastRenderedPageBreak/>
        <w:t>Item 5: After subsection 17(6)</w:t>
      </w:r>
    </w:p>
    <w:p w14:paraId="2CAA7A50" w14:textId="67137849" w:rsidR="0034790B" w:rsidRDefault="0034790B" w:rsidP="00F92EA7">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Section 17 of the Administration Guidelines sets out the information that a Commonwealth Assistance Notice must contain. </w:t>
      </w:r>
    </w:p>
    <w:p w14:paraId="41F905DF" w14:textId="61E80D58" w:rsidR="0034790B" w:rsidRDefault="0034790B" w:rsidP="00F92EA7">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Item 5 inserts a new subsection 17(6A) that sets out what information must be included in a Commonwealth Assistance Notice where a higher education provider has selected a person to receive STARTUP-HELP assistance. </w:t>
      </w:r>
    </w:p>
    <w:p w14:paraId="37942D76" w14:textId="169680AA" w:rsidR="0034790B" w:rsidRPr="0034790B" w:rsidRDefault="0034790B" w:rsidP="0034790B">
      <w:pPr>
        <w:spacing w:before="360" w:after="120"/>
        <w:rPr>
          <w:rFonts w:asciiTheme="minorHAnsi" w:hAnsiTheme="minorHAnsi" w:cstheme="minorHAnsi"/>
          <w:iCs/>
          <w:szCs w:val="24"/>
          <w:u w:val="single"/>
        </w:rPr>
      </w:pPr>
      <w:r>
        <w:rPr>
          <w:rFonts w:asciiTheme="minorHAnsi" w:hAnsiTheme="minorHAnsi" w:cstheme="minorHAnsi"/>
          <w:iCs/>
          <w:szCs w:val="24"/>
          <w:u w:val="single"/>
        </w:rPr>
        <w:t>Item 6: After subsection 18(3)</w:t>
      </w:r>
    </w:p>
    <w:p w14:paraId="2612036E" w14:textId="732770B6" w:rsidR="0034790B" w:rsidRDefault="0034790B" w:rsidP="00F92EA7">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Section 18 of the Administration Guidelines provides for the requirements </w:t>
      </w:r>
      <w:r w:rsidR="00681A97">
        <w:rPr>
          <w:rFonts w:asciiTheme="minorHAnsi" w:hAnsiTheme="minorHAnsi" w:cstheme="minorHAnsi"/>
          <w:iCs/>
          <w:szCs w:val="24"/>
        </w:rPr>
        <w:t xml:space="preserve">for </w:t>
      </w:r>
      <w:r>
        <w:rPr>
          <w:rFonts w:asciiTheme="minorHAnsi" w:hAnsiTheme="minorHAnsi" w:cstheme="minorHAnsi"/>
          <w:iCs/>
          <w:szCs w:val="24"/>
        </w:rPr>
        <w:t xml:space="preserve">the period within which a notice described in section 169-5 of the Act must be given. </w:t>
      </w:r>
    </w:p>
    <w:p w14:paraId="4BFC9575" w14:textId="1E47C7CE" w:rsidR="0034790B" w:rsidRDefault="0034790B" w:rsidP="0034790B">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Item 6 inserts new subsection 18(4), which provides that</w:t>
      </w:r>
      <w:r w:rsidR="00AC2F05">
        <w:rPr>
          <w:rFonts w:asciiTheme="minorHAnsi" w:hAnsiTheme="minorHAnsi" w:cstheme="minorHAnsi"/>
          <w:iCs/>
          <w:szCs w:val="24"/>
        </w:rPr>
        <w:t>,</w:t>
      </w:r>
      <w:r>
        <w:rPr>
          <w:rFonts w:asciiTheme="minorHAnsi" w:hAnsiTheme="minorHAnsi" w:cstheme="minorHAnsi"/>
          <w:iCs/>
          <w:szCs w:val="24"/>
        </w:rPr>
        <w:t xml:space="preserve"> for the purposes of subsection 169-5(3) of the Act, a notice that contains information in respect of STARTUP-HELP assistance must be given within 28 days of the earliest census date</w:t>
      </w:r>
      <w:r w:rsidR="004B6FDB">
        <w:rPr>
          <w:rFonts w:asciiTheme="minorHAnsi" w:hAnsiTheme="minorHAnsi" w:cstheme="minorHAnsi"/>
          <w:iCs/>
          <w:szCs w:val="24"/>
        </w:rPr>
        <w:t xml:space="preserve"> </w:t>
      </w:r>
      <w:r>
        <w:rPr>
          <w:rFonts w:asciiTheme="minorHAnsi" w:hAnsiTheme="minorHAnsi" w:cstheme="minorHAnsi"/>
          <w:iCs/>
          <w:szCs w:val="24"/>
        </w:rPr>
        <w:t>indicated in the notice.</w:t>
      </w:r>
    </w:p>
    <w:p w14:paraId="45B6DC01" w14:textId="4D686BFB" w:rsidR="0034790B" w:rsidRPr="0034790B" w:rsidRDefault="0034790B" w:rsidP="0034790B">
      <w:pPr>
        <w:spacing w:before="360" w:after="120"/>
        <w:rPr>
          <w:rFonts w:asciiTheme="minorHAnsi" w:hAnsiTheme="minorHAnsi" w:cstheme="minorHAnsi"/>
          <w:iCs/>
          <w:szCs w:val="24"/>
          <w:u w:val="single"/>
        </w:rPr>
      </w:pPr>
      <w:r>
        <w:rPr>
          <w:rFonts w:asciiTheme="minorHAnsi" w:hAnsiTheme="minorHAnsi" w:cstheme="minorHAnsi"/>
          <w:iCs/>
          <w:szCs w:val="24"/>
          <w:u w:val="single"/>
        </w:rPr>
        <w:t>Item 7: Part 6</w:t>
      </w:r>
    </w:p>
    <w:p w14:paraId="38124AB9" w14:textId="2D4D78D1" w:rsidR="0034790B" w:rsidRDefault="0034790B" w:rsidP="0034790B">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Item 7 repeals and </w:t>
      </w:r>
      <w:r w:rsidR="004B7D8E">
        <w:rPr>
          <w:rFonts w:asciiTheme="minorHAnsi" w:hAnsiTheme="minorHAnsi" w:cstheme="minorHAnsi"/>
          <w:iCs/>
          <w:szCs w:val="24"/>
        </w:rPr>
        <w:t>re</w:t>
      </w:r>
      <w:r>
        <w:rPr>
          <w:rFonts w:asciiTheme="minorHAnsi" w:hAnsiTheme="minorHAnsi" w:cstheme="minorHAnsi"/>
          <w:iCs/>
          <w:szCs w:val="24"/>
        </w:rPr>
        <w:t xml:space="preserve">places Part 6 in the Administration Guidelines. </w:t>
      </w:r>
    </w:p>
    <w:p w14:paraId="5966CD61" w14:textId="0AFD9061" w:rsidR="0034790B" w:rsidRDefault="0034790B" w:rsidP="0034790B">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Part 6 specifies the publication requirements for census dates and EFTSL values. </w:t>
      </w:r>
    </w:p>
    <w:p w14:paraId="6FAE2BCD" w14:textId="5579D2BC" w:rsidR="00476E24" w:rsidRDefault="0034790B" w:rsidP="00476E24">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The requirements in Part 6 which relate to units of study are unchanged, and Part 6 has been amended to include the new requirements in relation to </w:t>
      </w:r>
      <w:r w:rsidR="004A65CB">
        <w:rPr>
          <w:rFonts w:asciiTheme="minorHAnsi" w:hAnsiTheme="minorHAnsi" w:cstheme="minorHAnsi"/>
          <w:iCs/>
          <w:szCs w:val="24"/>
        </w:rPr>
        <w:t xml:space="preserve">the publication requirements for census dates and EFTSL values for </w:t>
      </w:r>
      <w:r>
        <w:rPr>
          <w:rFonts w:asciiTheme="minorHAnsi" w:hAnsiTheme="minorHAnsi" w:cstheme="minorHAnsi"/>
          <w:iCs/>
          <w:szCs w:val="24"/>
        </w:rPr>
        <w:t xml:space="preserve">accelerator program courses. </w:t>
      </w:r>
    </w:p>
    <w:p w14:paraId="63FD2302" w14:textId="06A4CC31" w:rsidR="004A65CB" w:rsidRDefault="004A65CB" w:rsidP="00476E24">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The new requirements in relation to the publication requirements for census dates and EFTSL values for accelerator program courses are </w:t>
      </w:r>
      <w:r w:rsidR="008100AC">
        <w:rPr>
          <w:rFonts w:asciiTheme="minorHAnsi" w:hAnsiTheme="minorHAnsi" w:cstheme="minorHAnsi"/>
          <w:iCs/>
          <w:szCs w:val="24"/>
        </w:rPr>
        <w:t xml:space="preserve">largely </w:t>
      </w:r>
      <w:r>
        <w:rPr>
          <w:rFonts w:asciiTheme="minorHAnsi" w:hAnsiTheme="minorHAnsi" w:cstheme="minorHAnsi"/>
          <w:iCs/>
          <w:szCs w:val="24"/>
        </w:rPr>
        <w:t>similar to the existing publication requirements for census dates and EFTSL values for units of study.</w:t>
      </w:r>
    </w:p>
    <w:p w14:paraId="256C1FDE" w14:textId="4CD3D7DE" w:rsidR="008100AC" w:rsidRDefault="008100AC" w:rsidP="00476E24">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However, new subsection 22(2) </w:t>
      </w:r>
      <w:r w:rsidR="00944B8F">
        <w:rPr>
          <w:rFonts w:asciiTheme="minorHAnsi" w:hAnsiTheme="minorHAnsi" w:cstheme="minorHAnsi"/>
          <w:iCs/>
          <w:szCs w:val="24"/>
        </w:rPr>
        <w:t>prescribe</w:t>
      </w:r>
      <w:r>
        <w:rPr>
          <w:rFonts w:asciiTheme="minorHAnsi" w:hAnsiTheme="minorHAnsi" w:cstheme="minorHAnsi"/>
          <w:iCs/>
          <w:szCs w:val="24"/>
        </w:rPr>
        <w:t xml:space="preserve">s a new publication requirement in relation to accelerator program courses, and requires that providers publishing EFTSL values for accelerator program course </w:t>
      </w:r>
      <w:r w:rsidR="007B46F2">
        <w:rPr>
          <w:rFonts w:asciiTheme="minorHAnsi" w:hAnsiTheme="minorHAnsi" w:cstheme="minorHAnsi"/>
          <w:iCs/>
          <w:szCs w:val="24"/>
        </w:rPr>
        <w:t xml:space="preserve">must </w:t>
      </w:r>
      <w:r>
        <w:rPr>
          <w:rFonts w:asciiTheme="minorHAnsi" w:hAnsiTheme="minorHAnsi" w:cstheme="minorHAnsi"/>
          <w:iCs/>
          <w:szCs w:val="24"/>
        </w:rPr>
        <w:t>also publish</w:t>
      </w:r>
      <w:r w:rsidR="007B46F2">
        <w:rPr>
          <w:rFonts w:asciiTheme="minorHAnsi" w:hAnsiTheme="minorHAnsi" w:cstheme="minorHAnsi"/>
          <w:iCs/>
          <w:szCs w:val="24"/>
        </w:rPr>
        <w:t xml:space="preserve"> information on</w:t>
      </w:r>
      <w:r>
        <w:rPr>
          <w:rFonts w:asciiTheme="minorHAnsi" w:hAnsiTheme="minorHAnsi" w:cstheme="minorHAnsi"/>
          <w:iCs/>
          <w:szCs w:val="24"/>
        </w:rPr>
        <w:t xml:space="preserve"> how the provider determined the EFTSL value for that accelerator program course under new section 28A. </w:t>
      </w:r>
    </w:p>
    <w:p w14:paraId="2E5749F6" w14:textId="3061C490" w:rsidR="004A65CB" w:rsidRPr="004A65CB" w:rsidRDefault="004A65CB" w:rsidP="004A65CB">
      <w:pPr>
        <w:spacing w:before="360" w:after="120"/>
        <w:rPr>
          <w:rFonts w:asciiTheme="minorHAnsi" w:hAnsiTheme="minorHAnsi" w:cstheme="minorHAnsi"/>
          <w:iCs/>
          <w:szCs w:val="24"/>
          <w:u w:val="single"/>
        </w:rPr>
      </w:pPr>
      <w:r>
        <w:rPr>
          <w:rFonts w:asciiTheme="minorHAnsi" w:hAnsiTheme="minorHAnsi" w:cstheme="minorHAnsi"/>
          <w:iCs/>
          <w:szCs w:val="24"/>
          <w:u w:val="single"/>
        </w:rPr>
        <w:t>Item 8: After Part 7</w:t>
      </w:r>
    </w:p>
    <w:p w14:paraId="09BC0229" w14:textId="0E912C23" w:rsidR="004A65CB" w:rsidRDefault="004A65CB" w:rsidP="00476E24">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t xml:space="preserve">Item 8 inserts a new Part 7A in the Administration Guidelines, which </w:t>
      </w:r>
      <w:r w:rsidR="00F809CF">
        <w:rPr>
          <w:rFonts w:asciiTheme="minorHAnsi" w:hAnsiTheme="minorHAnsi" w:cstheme="minorHAnsi"/>
          <w:iCs/>
          <w:szCs w:val="24"/>
        </w:rPr>
        <w:t>specifies the requirement for higher education providers when those providers are determining the EFTSL value of an accelerator program course.</w:t>
      </w:r>
    </w:p>
    <w:p w14:paraId="35BC7D4B" w14:textId="77777777" w:rsidR="00EB6BAE" w:rsidRDefault="00EB6BAE">
      <w:pPr>
        <w:spacing w:after="160" w:line="259" w:lineRule="auto"/>
        <w:rPr>
          <w:rFonts w:asciiTheme="minorHAnsi" w:hAnsiTheme="minorHAnsi" w:cstheme="minorHAnsi"/>
          <w:iCs/>
          <w:szCs w:val="24"/>
        </w:rPr>
      </w:pPr>
      <w:r>
        <w:rPr>
          <w:rFonts w:asciiTheme="minorHAnsi" w:hAnsiTheme="minorHAnsi" w:cstheme="minorHAnsi"/>
          <w:iCs/>
          <w:szCs w:val="24"/>
        </w:rPr>
        <w:br w:type="page"/>
      </w:r>
    </w:p>
    <w:p w14:paraId="758D3BBA" w14:textId="1296941B" w:rsidR="008100AC" w:rsidRDefault="008100AC" w:rsidP="00476E24">
      <w:pPr>
        <w:pStyle w:val="ListParagraph"/>
        <w:numPr>
          <w:ilvl w:val="0"/>
          <w:numId w:val="4"/>
        </w:numPr>
        <w:spacing w:before="360" w:after="120"/>
        <w:rPr>
          <w:rFonts w:asciiTheme="minorHAnsi" w:hAnsiTheme="minorHAnsi" w:cstheme="minorHAnsi"/>
          <w:iCs/>
          <w:szCs w:val="24"/>
        </w:rPr>
      </w:pPr>
      <w:r>
        <w:rPr>
          <w:rFonts w:asciiTheme="minorHAnsi" w:hAnsiTheme="minorHAnsi" w:cstheme="minorHAnsi"/>
          <w:iCs/>
          <w:szCs w:val="24"/>
        </w:rPr>
        <w:lastRenderedPageBreak/>
        <w:t xml:space="preserve">New section 28A requires that higher education providers determining the EFTSL value of an accelerator program course must determine the EFTSL value by reference to the amount of time taken to complete the accelerator program course on a full-time basis. </w:t>
      </w:r>
    </w:p>
    <w:p w14:paraId="30B8F4F9" w14:textId="3B20D13F" w:rsidR="00F809CF" w:rsidRDefault="00F809CF">
      <w:pPr>
        <w:spacing w:after="160" w:line="259" w:lineRule="auto"/>
        <w:rPr>
          <w:rFonts w:asciiTheme="minorHAnsi" w:hAnsiTheme="minorHAnsi" w:cstheme="minorHAnsi"/>
          <w:iCs/>
          <w:szCs w:val="24"/>
        </w:rPr>
      </w:pPr>
      <w:r>
        <w:rPr>
          <w:rFonts w:asciiTheme="minorHAnsi" w:hAnsiTheme="minorHAnsi" w:cstheme="minorHAnsi"/>
          <w:iCs/>
          <w:szCs w:val="24"/>
        </w:rPr>
        <w:br w:type="page"/>
      </w:r>
    </w:p>
    <w:p w14:paraId="591D776B" w14:textId="1BC59371" w:rsidR="00F809CF" w:rsidRDefault="00F809CF" w:rsidP="00F809CF">
      <w:pPr>
        <w:pStyle w:val="Heading3"/>
        <w:spacing w:before="240"/>
      </w:pPr>
      <w:r>
        <w:rPr>
          <w:b/>
          <w:bCs/>
        </w:rPr>
        <w:lastRenderedPageBreak/>
        <w:t xml:space="preserve">Schedule 2 – Amendments to the </w:t>
      </w:r>
      <w:r>
        <w:rPr>
          <w:b/>
          <w:bCs/>
          <w:i/>
          <w:iCs/>
        </w:rPr>
        <w:t>Higher Education Provider Guidelines 2023</w:t>
      </w:r>
    </w:p>
    <w:p w14:paraId="5A7B3862" w14:textId="04C92ED9" w:rsidR="00F809CF" w:rsidRDefault="00F809CF" w:rsidP="00F809CF">
      <w:pPr>
        <w:spacing w:before="360" w:after="120"/>
        <w:rPr>
          <w:rFonts w:asciiTheme="minorHAnsi" w:hAnsiTheme="minorHAnsi" w:cstheme="minorHAnsi"/>
          <w:iCs/>
          <w:szCs w:val="24"/>
        </w:rPr>
      </w:pPr>
      <w:r w:rsidRPr="008F6C19">
        <w:rPr>
          <w:rFonts w:asciiTheme="minorHAnsi" w:hAnsiTheme="minorHAnsi" w:cstheme="minorHAnsi"/>
          <w:i/>
          <w:szCs w:val="24"/>
        </w:rPr>
        <w:t xml:space="preserve">Higher Education </w:t>
      </w:r>
      <w:r>
        <w:rPr>
          <w:rFonts w:asciiTheme="minorHAnsi" w:hAnsiTheme="minorHAnsi" w:cstheme="minorHAnsi"/>
          <w:i/>
          <w:szCs w:val="24"/>
        </w:rPr>
        <w:t>Provider</w:t>
      </w:r>
      <w:r w:rsidRPr="008F6C19">
        <w:rPr>
          <w:rFonts w:asciiTheme="minorHAnsi" w:hAnsiTheme="minorHAnsi" w:cstheme="minorHAnsi"/>
          <w:i/>
          <w:szCs w:val="24"/>
        </w:rPr>
        <w:t xml:space="preserve"> Guidelines 202</w:t>
      </w:r>
      <w:r>
        <w:rPr>
          <w:rFonts w:asciiTheme="minorHAnsi" w:hAnsiTheme="minorHAnsi" w:cstheme="minorHAnsi"/>
          <w:i/>
          <w:szCs w:val="24"/>
        </w:rPr>
        <w:t>3</w:t>
      </w:r>
    </w:p>
    <w:p w14:paraId="7AEDEC92" w14:textId="543C5201" w:rsidR="00F809CF" w:rsidRPr="00F809CF" w:rsidRDefault="00F809CF" w:rsidP="00F809CF">
      <w:pPr>
        <w:spacing w:before="360" w:after="120"/>
        <w:rPr>
          <w:rFonts w:asciiTheme="minorHAnsi" w:hAnsiTheme="minorHAnsi" w:cstheme="minorHAnsi"/>
          <w:iCs/>
          <w:szCs w:val="24"/>
          <w:u w:val="single"/>
        </w:rPr>
      </w:pPr>
      <w:r>
        <w:rPr>
          <w:rFonts w:asciiTheme="minorHAnsi" w:hAnsiTheme="minorHAnsi" w:cstheme="minorHAnsi"/>
          <w:iCs/>
          <w:szCs w:val="24"/>
          <w:u w:val="single"/>
        </w:rPr>
        <w:t>Item 1: Section 20</w:t>
      </w:r>
    </w:p>
    <w:p w14:paraId="750843C9" w14:textId="66534C66" w:rsidR="00F809CF" w:rsidRDefault="00F809CF"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1 repeals and replaces section 20 of the </w:t>
      </w:r>
      <w:r>
        <w:rPr>
          <w:rFonts w:asciiTheme="minorHAnsi" w:hAnsiTheme="minorHAnsi" w:cstheme="minorHAnsi"/>
          <w:i/>
          <w:szCs w:val="24"/>
        </w:rPr>
        <w:t xml:space="preserve">Higher Education Provider Guidelines 2023 </w:t>
      </w:r>
      <w:r>
        <w:rPr>
          <w:rFonts w:asciiTheme="minorHAnsi" w:hAnsiTheme="minorHAnsi" w:cstheme="minorHAnsi"/>
          <w:iCs/>
          <w:szCs w:val="24"/>
        </w:rPr>
        <w:t xml:space="preserve">(HEP Guidelines). </w:t>
      </w:r>
    </w:p>
    <w:p w14:paraId="3085345C" w14:textId="2E6C620C" w:rsidR="00F809CF" w:rsidRDefault="00DF6F62"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Section 20 specifies</w:t>
      </w:r>
      <w:r w:rsidR="00BF1D5C">
        <w:rPr>
          <w:rFonts w:asciiTheme="minorHAnsi" w:hAnsiTheme="minorHAnsi" w:cstheme="minorHAnsi"/>
          <w:iCs/>
          <w:szCs w:val="24"/>
        </w:rPr>
        <w:t xml:space="preserve"> additional</w:t>
      </w:r>
      <w:r>
        <w:rPr>
          <w:rFonts w:asciiTheme="minorHAnsi" w:hAnsiTheme="minorHAnsi" w:cstheme="minorHAnsi"/>
          <w:iCs/>
          <w:szCs w:val="24"/>
        </w:rPr>
        <w:t xml:space="preserve"> requirements on</w:t>
      </w:r>
      <w:r w:rsidR="00BF1D5C">
        <w:rPr>
          <w:rFonts w:asciiTheme="minorHAnsi" w:hAnsiTheme="minorHAnsi" w:cstheme="minorHAnsi"/>
          <w:iCs/>
          <w:szCs w:val="24"/>
        </w:rPr>
        <w:t xml:space="preserve"> non-Table A</w:t>
      </w:r>
      <w:r>
        <w:rPr>
          <w:rFonts w:asciiTheme="minorHAnsi" w:hAnsiTheme="minorHAnsi" w:cstheme="minorHAnsi"/>
          <w:iCs/>
          <w:szCs w:val="24"/>
        </w:rPr>
        <w:t xml:space="preserve"> higher education providers </w:t>
      </w:r>
      <w:r w:rsidR="00BF1D5C">
        <w:rPr>
          <w:rFonts w:asciiTheme="minorHAnsi" w:hAnsiTheme="minorHAnsi" w:cstheme="minorHAnsi"/>
          <w:iCs/>
          <w:szCs w:val="24"/>
        </w:rPr>
        <w:t>in relation to their</w:t>
      </w:r>
      <w:r>
        <w:rPr>
          <w:rFonts w:asciiTheme="minorHAnsi" w:hAnsiTheme="minorHAnsi" w:cstheme="minorHAnsi"/>
          <w:iCs/>
          <w:szCs w:val="24"/>
        </w:rPr>
        <w:t xml:space="preserve"> grievance procedures. </w:t>
      </w:r>
    </w:p>
    <w:p w14:paraId="7E5F546B" w14:textId="616F1FBD" w:rsidR="00041F45" w:rsidRDefault="00DF6F62"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New section 20 is largely unchanged from old section 20. The changes to section 20 simply extend the requirements in old section 20 that relate to courses of study to accelerator program courses.</w:t>
      </w:r>
    </w:p>
    <w:p w14:paraId="07C3BB31" w14:textId="0029255C" w:rsidR="00041F45" w:rsidRPr="00041F45" w:rsidRDefault="00041F45" w:rsidP="00041F45">
      <w:pPr>
        <w:spacing w:before="360" w:after="120"/>
        <w:rPr>
          <w:rFonts w:asciiTheme="minorHAnsi" w:hAnsiTheme="minorHAnsi" w:cstheme="minorHAnsi"/>
          <w:iCs/>
          <w:szCs w:val="24"/>
        </w:rPr>
      </w:pPr>
      <w:r>
        <w:rPr>
          <w:rFonts w:asciiTheme="minorHAnsi" w:hAnsiTheme="minorHAnsi" w:cstheme="minorHAnsi"/>
          <w:iCs/>
          <w:szCs w:val="24"/>
          <w:u w:val="single"/>
        </w:rPr>
        <w:t>Item 2: Section 22</w:t>
      </w:r>
    </w:p>
    <w:p w14:paraId="31FAB79B" w14:textId="555BFFA5" w:rsidR="00DF6F62" w:rsidRDefault="00041F45"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2 repeals and replaces section 22 of the HEP Guidelines. </w:t>
      </w:r>
    </w:p>
    <w:p w14:paraId="3EA856BD" w14:textId="6F31A73E" w:rsidR="00041F45" w:rsidRDefault="00041F45"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Previous section 22 set out the requirements </w:t>
      </w:r>
      <w:r w:rsidR="00EB1842">
        <w:rPr>
          <w:rFonts w:asciiTheme="minorHAnsi" w:hAnsiTheme="minorHAnsi" w:cstheme="minorHAnsi"/>
          <w:iCs/>
          <w:szCs w:val="24"/>
        </w:rPr>
        <w:t xml:space="preserve">for </w:t>
      </w:r>
      <w:r>
        <w:rPr>
          <w:rFonts w:asciiTheme="minorHAnsi" w:hAnsiTheme="minorHAnsi" w:cstheme="minorHAnsi"/>
          <w:iCs/>
          <w:szCs w:val="24"/>
        </w:rPr>
        <w:t>the period in which a higher education provides or proposes to provide a unit of study</w:t>
      </w:r>
      <w:r w:rsidR="00EB1842">
        <w:rPr>
          <w:rFonts w:asciiTheme="minorHAnsi" w:hAnsiTheme="minorHAnsi" w:cstheme="minorHAnsi"/>
          <w:iCs/>
          <w:szCs w:val="24"/>
        </w:rPr>
        <w:t>.</w:t>
      </w:r>
      <w:r>
        <w:rPr>
          <w:rFonts w:asciiTheme="minorHAnsi" w:hAnsiTheme="minorHAnsi" w:cstheme="minorHAnsi"/>
          <w:iCs/>
          <w:szCs w:val="24"/>
        </w:rPr>
        <w:t xml:space="preserve"> </w:t>
      </w:r>
    </w:p>
    <w:p w14:paraId="1CF4DBA9" w14:textId="70215F4E" w:rsidR="00041F45" w:rsidRDefault="00041F45"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New section 22 extends the requirements that were previously specified for unit</w:t>
      </w:r>
      <w:r w:rsidR="007A3E39">
        <w:rPr>
          <w:rFonts w:asciiTheme="minorHAnsi" w:hAnsiTheme="minorHAnsi" w:cstheme="minorHAnsi"/>
          <w:iCs/>
          <w:szCs w:val="24"/>
        </w:rPr>
        <w:t>s</w:t>
      </w:r>
      <w:r>
        <w:rPr>
          <w:rFonts w:asciiTheme="minorHAnsi" w:hAnsiTheme="minorHAnsi" w:cstheme="minorHAnsi"/>
          <w:iCs/>
          <w:szCs w:val="24"/>
        </w:rPr>
        <w:t xml:space="preserve"> of study to accelerator program courses. </w:t>
      </w:r>
    </w:p>
    <w:p w14:paraId="43DA524C" w14:textId="7C282AE1" w:rsidR="00041F45" w:rsidRPr="00041F45" w:rsidRDefault="00041F45" w:rsidP="00041F45">
      <w:pPr>
        <w:spacing w:before="360" w:after="120"/>
        <w:rPr>
          <w:rFonts w:asciiTheme="minorHAnsi" w:hAnsiTheme="minorHAnsi" w:cstheme="minorHAnsi"/>
          <w:iCs/>
          <w:szCs w:val="24"/>
          <w:u w:val="single"/>
        </w:rPr>
      </w:pPr>
      <w:r>
        <w:rPr>
          <w:rFonts w:asciiTheme="minorHAnsi" w:hAnsiTheme="minorHAnsi" w:cstheme="minorHAnsi"/>
          <w:iCs/>
          <w:szCs w:val="24"/>
          <w:u w:val="single"/>
        </w:rPr>
        <w:t>Item 3: Section 23</w:t>
      </w:r>
    </w:p>
    <w:p w14:paraId="5B3F8D07" w14:textId="22699423" w:rsidR="00041F45" w:rsidRDefault="00041F45"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3 repeals and replaces section 23 of the HEP Guidelines. </w:t>
      </w:r>
    </w:p>
    <w:p w14:paraId="7FD90E82" w14:textId="05A3B61A" w:rsidR="00041F45" w:rsidRDefault="00041F45" w:rsidP="00F809CF">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Previous section 23 set out </w:t>
      </w:r>
      <w:r w:rsidR="00CE026B">
        <w:rPr>
          <w:rFonts w:asciiTheme="minorHAnsi" w:hAnsiTheme="minorHAnsi" w:cstheme="minorHAnsi"/>
          <w:iCs/>
          <w:szCs w:val="24"/>
        </w:rPr>
        <w:t xml:space="preserve">requirements for </w:t>
      </w:r>
      <w:r>
        <w:rPr>
          <w:rFonts w:asciiTheme="minorHAnsi" w:hAnsiTheme="minorHAnsi" w:cstheme="minorHAnsi"/>
          <w:iCs/>
          <w:szCs w:val="24"/>
        </w:rPr>
        <w:t xml:space="preserve">the date by which, and manner by which, a higher education must publish the schedules of student contribution amounts for places and tuition fees for a particular period for a unit of study. </w:t>
      </w:r>
    </w:p>
    <w:p w14:paraId="544F12D8" w14:textId="50174685" w:rsidR="00041F45" w:rsidRDefault="00041F45"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New section 23 continues to set out the date by which, and manner by which a higher education provider must publish the schedules of student contribution amounts for places and tuition fees for a particular period for a unit of study, and also sets out the dates by which, and manner by which the higher education provider must publish schedules of accelerator program course fees for an accelerator program course. </w:t>
      </w:r>
    </w:p>
    <w:p w14:paraId="4234C176" w14:textId="76FAC546" w:rsidR="00041F45" w:rsidRPr="00041F45" w:rsidRDefault="00041F45" w:rsidP="00041F45">
      <w:pPr>
        <w:spacing w:before="360" w:after="120"/>
        <w:rPr>
          <w:rFonts w:asciiTheme="minorHAnsi" w:hAnsiTheme="minorHAnsi" w:cstheme="minorHAnsi"/>
          <w:iCs/>
          <w:szCs w:val="24"/>
          <w:u w:val="single"/>
        </w:rPr>
      </w:pPr>
      <w:r>
        <w:rPr>
          <w:rFonts w:asciiTheme="minorHAnsi" w:hAnsiTheme="minorHAnsi" w:cstheme="minorHAnsi"/>
          <w:iCs/>
          <w:szCs w:val="24"/>
          <w:u w:val="single"/>
        </w:rPr>
        <w:t>Item 4: Section 34</w:t>
      </w:r>
    </w:p>
    <w:p w14:paraId="1E20F3E5" w14:textId="61C32E1F" w:rsidR="00041F45" w:rsidRDefault="00041F45"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4 repeals and replaces section 34 of the HEP Guidelines. </w:t>
      </w:r>
    </w:p>
    <w:p w14:paraId="3A6ECA98" w14:textId="1EF20962" w:rsidR="00041F45"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Subsections</w:t>
      </w:r>
      <w:r w:rsidR="00041F45">
        <w:rPr>
          <w:rFonts w:asciiTheme="minorHAnsi" w:hAnsiTheme="minorHAnsi" w:cstheme="minorHAnsi"/>
          <w:iCs/>
          <w:szCs w:val="24"/>
        </w:rPr>
        <w:t xml:space="preserve"> 19-36A(1) </w:t>
      </w:r>
      <w:r>
        <w:rPr>
          <w:rFonts w:asciiTheme="minorHAnsi" w:hAnsiTheme="minorHAnsi" w:cstheme="minorHAnsi"/>
          <w:iCs/>
          <w:szCs w:val="24"/>
        </w:rPr>
        <w:t xml:space="preserve">and (2) </w:t>
      </w:r>
      <w:r w:rsidR="00041F45">
        <w:rPr>
          <w:rFonts w:asciiTheme="minorHAnsi" w:hAnsiTheme="minorHAnsi" w:cstheme="minorHAnsi"/>
          <w:iCs/>
          <w:szCs w:val="24"/>
        </w:rPr>
        <w:t>of the Act</w:t>
      </w:r>
      <w:r>
        <w:rPr>
          <w:rFonts w:asciiTheme="minorHAnsi" w:hAnsiTheme="minorHAnsi" w:cstheme="minorHAnsi"/>
          <w:iCs/>
          <w:szCs w:val="24"/>
        </w:rPr>
        <w:t xml:space="preserve"> provide</w:t>
      </w:r>
      <w:r w:rsidR="00041F45">
        <w:rPr>
          <w:rFonts w:asciiTheme="minorHAnsi" w:hAnsiTheme="minorHAnsi" w:cstheme="minorHAnsi"/>
          <w:iCs/>
          <w:szCs w:val="24"/>
        </w:rPr>
        <w:t xml:space="preserve"> that a higher education provider must not offer or provide a benefit, or cause a benefit to be offered or provided if </w:t>
      </w:r>
      <w:r w:rsidR="00041F45">
        <w:rPr>
          <w:rFonts w:asciiTheme="minorHAnsi" w:hAnsiTheme="minorHAnsi" w:cstheme="minorHAnsi"/>
          <w:iCs/>
          <w:szCs w:val="24"/>
        </w:rPr>
        <w:lastRenderedPageBreak/>
        <w:t>the benefit would be reasonably likely to induce a person to make a request for Commonwealth assistance in relation to enrolling in a unit of study with the provider</w:t>
      </w:r>
      <w:r>
        <w:rPr>
          <w:rFonts w:asciiTheme="minorHAnsi" w:hAnsiTheme="minorHAnsi" w:cstheme="minorHAnsi"/>
          <w:iCs/>
          <w:szCs w:val="24"/>
        </w:rPr>
        <w:t>, unless the benefit is specified in the HEP Guidelines.</w:t>
      </w:r>
    </w:p>
    <w:p w14:paraId="39D2C862" w14:textId="7D5B1717" w:rsidR="00CB7DD0"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Old section 34 specified benefits that the requirement in subsection 19-36A(1) did not apply to. </w:t>
      </w:r>
    </w:p>
    <w:p w14:paraId="3836E54C" w14:textId="769CF309" w:rsidR="00CB7DD0"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Subsections 19-36A(3) and (4) of the Act provide that a higher education provider must not offer or provide a benefit, or cause a benefit to be offered or provided if the benefit would be reasonably likely to induce a person to make a request for Commonwealth assistance in relation to enrolling in an accelerator program course with the provider, unless the benefit is specified in the HEP Guidelines. </w:t>
      </w:r>
    </w:p>
    <w:p w14:paraId="5F2FC810" w14:textId="55AF888E" w:rsidR="00CB7DD0"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New section 34 specifies benefits that the requirement in subsections 19-36A(1) and (3) do not apply to. The benefits listed in new section 34 are largely the same as those listed in old section 34, but new section 34 includes a new benefit</w:t>
      </w:r>
      <w:r w:rsidR="00143826">
        <w:rPr>
          <w:rFonts w:asciiTheme="minorHAnsi" w:hAnsiTheme="minorHAnsi" w:cstheme="minorHAnsi"/>
          <w:iCs/>
          <w:szCs w:val="24"/>
        </w:rPr>
        <w:t xml:space="preserve"> in relation to accelerator program courses</w:t>
      </w:r>
      <w:r>
        <w:rPr>
          <w:rFonts w:asciiTheme="minorHAnsi" w:hAnsiTheme="minorHAnsi" w:cstheme="minorHAnsi"/>
          <w:iCs/>
          <w:szCs w:val="24"/>
        </w:rPr>
        <w:t>. The new benefit is the offering of money in the form of investments into the student’s startup business.</w:t>
      </w:r>
    </w:p>
    <w:p w14:paraId="67F1D10C" w14:textId="1C768E3C" w:rsidR="00CB7DD0" w:rsidRPr="00CB7DD0" w:rsidRDefault="00CB7DD0" w:rsidP="00CB7DD0">
      <w:pPr>
        <w:spacing w:before="360" w:after="120"/>
        <w:rPr>
          <w:rFonts w:asciiTheme="minorHAnsi" w:hAnsiTheme="minorHAnsi" w:cstheme="minorHAnsi"/>
          <w:iCs/>
          <w:szCs w:val="24"/>
          <w:u w:val="single"/>
        </w:rPr>
      </w:pPr>
      <w:r>
        <w:rPr>
          <w:rFonts w:asciiTheme="minorHAnsi" w:hAnsiTheme="minorHAnsi" w:cstheme="minorHAnsi"/>
          <w:iCs/>
          <w:szCs w:val="24"/>
          <w:u w:val="single"/>
        </w:rPr>
        <w:t>Item 5: Section 37</w:t>
      </w:r>
    </w:p>
    <w:p w14:paraId="2A6AE27A" w14:textId="71D64D09" w:rsidR="00CB7DD0"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5 repeals and replaces section 37 of the HEP Guidelines. </w:t>
      </w:r>
    </w:p>
    <w:p w14:paraId="1A0E9012" w14:textId="6FFAD7BF" w:rsidR="00CB7DD0"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Old section 37 set out the requirements on higher education providers to publish certain information in relation to units of study offered by the provider, and imposed requirements on how and when that information must be published. </w:t>
      </w:r>
    </w:p>
    <w:p w14:paraId="2879736C" w14:textId="17800850" w:rsidR="00CB7DD0" w:rsidRDefault="00CB7DD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New section 37 amends old section 37 to also include requirements on higher education providers to publish certain information in relation to accelerator program courses, and include requirements on how and when that accelerator program course information must be published. </w:t>
      </w:r>
    </w:p>
    <w:p w14:paraId="4E67E4D4" w14:textId="3C9B2109" w:rsidR="00E82580" w:rsidRPr="00E82580" w:rsidRDefault="00E82580" w:rsidP="00E82580">
      <w:pPr>
        <w:spacing w:before="360" w:after="120"/>
        <w:rPr>
          <w:rFonts w:asciiTheme="minorHAnsi" w:hAnsiTheme="minorHAnsi" w:cstheme="minorHAnsi"/>
          <w:iCs/>
          <w:szCs w:val="24"/>
          <w:u w:val="single"/>
        </w:rPr>
      </w:pPr>
      <w:r>
        <w:rPr>
          <w:rFonts w:asciiTheme="minorHAnsi" w:hAnsiTheme="minorHAnsi" w:cstheme="minorHAnsi"/>
          <w:iCs/>
          <w:szCs w:val="24"/>
          <w:u w:val="single"/>
        </w:rPr>
        <w:t>Item 6: Section 38</w:t>
      </w:r>
    </w:p>
    <w:p w14:paraId="116AD7FE" w14:textId="7F8E2E67" w:rsidR="00CB7DD0" w:rsidRDefault="00E8258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6 repeals and replaces section 38 of the HEP Guidelines. </w:t>
      </w:r>
    </w:p>
    <w:p w14:paraId="1DF291DB" w14:textId="7C6BC9DD" w:rsidR="00E82580" w:rsidRDefault="00E82580" w:rsidP="00041F45">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Old section 38 set out the requirements on higher education providers to have processes and procedures for a student’s withdrawal from a unit of study or course of study. </w:t>
      </w:r>
    </w:p>
    <w:p w14:paraId="5B851ADA" w14:textId="647945E1" w:rsidR="00E82580" w:rsidRDefault="00E82580" w:rsidP="00E82580">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New section 38 extends the requirements in old section 38 to also apply to a student’s withdrawal from an accelerator program course. </w:t>
      </w:r>
    </w:p>
    <w:p w14:paraId="2FAFD16A" w14:textId="087CD154" w:rsidR="00E82580" w:rsidRPr="00E82580" w:rsidRDefault="00E82580" w:rsidP="00E82580">
      <w:pPr>
        <w:spacing w:before="360" w:after="120"/>
        <w:rPr>
          <w:rFonts w:asciiTheme="minorHAnsi" w:hAnsiTheme="minorHAnsi" w:cstheme="minorHAnsi"/>
          <w:iCs/>
          <w:szCs w:val="24"/>
          <w:u w:val="single"/>
        </w:rPr>
      </w:pPr>
      <w:r>
        <w:rPr>
          <w:rFonts w:asciiTheme="minorHAnsi" w:hAnsiTheme="minorHAnsi" w:cstheme="minorHAnsi"/>
          <w:iCs/>
          <w:szCs w:val="24"/>
          <w:u w:val="single"/>
        </w:rPr>
        <w:t>Item 7: Section 39</w:t>
      </w:r>
    </w:p>
    <w:p w14:paraId="4B3A53BF" w14:textId="357FAAB2" w:rsidR="00E82580" w:rsidRDefault="00E82580" w:rsidP="00E82580">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Item 7 repeals and replaces section 39 of the HEP Guidelines. </w:t>
      </w:r>
    </w:p>
    <w:p w14:paraId="57BB99BF" w14:textId="1238D22E" w:rsidR="00E82580" w:rsidRPr="00E82580" w:rsidRDefault="00E82580" w:rsidP="00E82580">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lastRenderedPageBreak/>
        <w:t>Subsection</w:t>
      </w:r>
      <w:r w:rsidR="00C1747B">
        <w:rPr>
          <w:rFonts w:asciiTheme="minorHAnsi" w:hAnsiTheme="minorHAnsi" w:cstheme="minorHAnsi"/>
          <w:iCs/>
          <w:szCs w:val="24"/>
        </w:rPr>
        <w:t>s</w:t>
      </w:r>
      <w:r>
        <w:rPr>
          <w:rFonts w:asciiTheme="minorHAnsi" w:hAnsiTheme="minorHAnsi" w:cstheme="minorHAnsi"/>
          <w:iCs/>
          <w:szCs w:val="24"/>
        </w:rPr>
        <w:t xml:space="preserve"> 36-5(6), 104-1(1AB) and 128B-10(2) of the Act provide that, in determining whether a person is a genuine student for the purposes of the Act, the Secretary must have regard to the matters specified in the HEP Guidelines. </w:t>
      </w:r>
    </w:p>
    <w:p w14:paraId="6C104633" w14:textId="24F292AE" w:rsidR="00E82580" w:rsidRDefault="00E82580" w:rsidP="00E82580">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Old section 39 only provided for the matters that the Secretary must have regard to for the purposes of subsection 36-5(6) and 104-1(1AB) (which relate to the Secretary determining whether a person is a genuine student in relation to a unit of study, for the purposes of determining whether the student is a Commonwealth supported student or </w:t>
      </w:r>
      <w:r w:rsidR="009721CA">
        <w:rPr>
          <w:rFonts w:asciiTheme="minorHAnsi" w:hAnsiTheme="minorHAnsi" w:cstheme="minorHAnsi"/>
          <w:iCs/>
          <w:szCs w:val="24"/>
        </w:rPr>
        <w:t xml:space="preserve">entitled to </w:t>
      </w:r>
      <w:r>
        <w:rPr>
          <w:rFonts w:asciiTheme="minorHAnsi" w:hAnsiTheme="minorHAnsi" w:cstheme="minorHAnsi"/>
          <w:iCs/>
          <w:szCs w:val="24"/>
        </w:rPr>
        <w:t>FEE-HELP assistance)</w:t>
      </w:r>
      <w:r w:rsidR="009721CA">
        <w:rPr>
          <w:rFonts w:asciiTheme="minorHAnsi" w:hAnsiTheme="minorHAnsi" w:cstheme="minorHAnsi"/>
          <w:iCs/>
          <w:szCs w:val="24"/>
        </w:rPr>
        <w:t xml:space="preserve">. </w:t>
      </w:r>
    </w:p>
    <w:p w14:paraId="766213DC" w14:textId="0C1BAA13" w:rsidR="009721CA" w:rsidRDefault="009721CA" w:rsidP="00E82580">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New section 39 sets out the matters that the Secretary must have regard to for the purposes of subsection 36-5(6), 104-1(1AB) and 128B-10(2) of the Act. Subsection 128B-10(2) of the Act relates to the Secretary determining whether a person is a genuine student in relation to an accelerator program course for the purposes of determining whether the student is entitled to STARTUP-HELP assistance. </w:t>
      </w:r>
    </w:p>
    <w:p w14:paraId="04DA58DC" w14:textId="6B597717" w:rsidR="001323FA" w:rsidRDefault="009721CA" w:rsidP="00E82580">
      <w:pPr>
        <w:pStyle w:val="ListParagraph"/>
        <w:numPr>
          <w:ilvl w:val="0"/>
          <w:numId w:val="8"/>
        </w:numPr>
        <w:spacing w:before="360" w:after="120"/>
        <w:rPr>
          <w:rFonts w:asciiTheme="minorHAnsi" w:hAnsiTheme="minorHAnsi" w:cstheme="minorHAnsi"/>
          <w:iCs/>
          <w:szCs w:val="24"/>
        </w:rPr>
      </w:pPr>
      <w:r>
        <w:rPr>
          <w:rFonts w:asciiTheme="minorHAnsi" w:hAnsiTheme="minorHAnsi" w:cstheme="minorHAnsi"/>
          <w:iCs/>
          <w:szCs w:val="24"/>
        </w:rPr>
        <w:t xml:space="preserve">New section 39 is largely unchanged from old section 39, and simply makes minor amendments to </w:t>
      </w:r>
      <w:r w:rsidR="0062607C">
        <w:rPr>
          <w:rFonts w:asciiTheme="minorHAnsi" w:hAnsiTheme="minorHAnsi" w:cstheme="minorHAnsi"/>
          <w:iCs/>
          <w:szCs w:val="24"/>
        </w:rPr>
        <w:t>extend</w:t>
      </w:r>
      <w:r w:rsidR="00082866">
        <w:rPr>
          <w:rFonts w:asciiTheme="minorHAnsi" w:hAnsiTheme="minorHAnsi" w:cstheme="minorHAnsi"/>
          <w:iCs/>
          <w:szCs w:val="24"/>
        </w:rPr>
        <w:t xml:space="preserve"> </w:t>
      </w:r>
      <w:r>
        <w:rPr>
          <w:rFonts w:asciiTheme="minorHAnsi" w:hAnsiTheme="minorHAnsi" w:cstheme="minorHAnsi"/>
          <w:iCs/>
          <w:szCs w:val="24"/>
        </w:rPr>
        <w:t xml:space="preserve">the listed matters in old section 39 to accelerator program courses. </w:t>
      </w:r>
    </w:p>
    <w:p w14:paraId="623AABD5" w14:textId="05B620D5" w:rsidR="001323FA" w:rsidRDefault="001323FA">
      <w:pPr>
        <w:spacing w:after="160" w:line="259" w:lineRule="auto"/>
        <w:rPr>
          <w:rFonts w:asciiTheme="minorHAnsi" w:hAnsiTheme="minorHAnsi" w:cstheme="minorHAnsi"/>
          <w:iCs/>
          <w:szCs w:val="24"/>
        </w:rPr>
      </w:pPr>
    </w:p>
    <w:p w14:paraId="164B8C7E" w14:textId="77777777" w:rsidR="009721CA" w:rsidRPr="001323FA" w:rsidRDefault="009721CA" w:rsidP="00821A93">
      <w:pPr>
        <w:keepNext/>
        <w:spacing w:before="240" w:after="120"/>
        <w:outlineLvl w:val="2"/>
        <w:rPr>
          <w:rFonts w:asciiTheme="minorHAnsi" w:hAnsiTheme="minorHAnsi" w:cstheme="minorHAnsi"/>
          <w:iCs/>
          <w:szCs w:val="24"/>
        </w:rPr>
      </w:pPr>
    </w:p>
    <w:sectPr w:rsidR="009721CA" w:rsidRPr="00132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6B6E" w14:textId="77777777" w:rsidR="00E44826" w:rsidRDefault="00E44826" w:rsidP="00783FAB">
      <w:pPr>
        <w:spacing w:after="0" w:line="240" w:lineRule="auto"/>
      </w:pPr>
      <w:r>
        <w:separator/>
      </w:r>
    </w:p>
  </w:endnote>
  <w:endnote w:type="continuationSeparator" w:id="0">
    <w:p w14:paraId="1E2646B8" w14:textId="77777777" w:rsidR="00E44826" w:rsidRDefault="00E44826" w:rsidP="00783FAB">
      <w:pPr>
        <w:spacing w:after="0" w:line="240" w:lineRule="auto"/>
      </w:pPr>
      <w:r>
        <w:continuationSeparator/>
      </w:r>
    </w:p>
  </w:endnote>
  <w:endnote w:type="continuationNotice" w:id="1">
    <w:p w14:paraId="1D23E515" w14:textId="77777777" w:rsidR="00E44826" w:rsidRDefault="00E44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2FE" w14:textId="77777777" w:rsidR="00DE1334" w:rsidRDefault="00DE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61254"/>
      <w:docPartObj>
        <w:docPartGallery w:val="Page Numbers (Bottom of Page)"/>
        <w:docPartUnique/>
      </w:docPartObj>
    </w:sdtPr>
    <w:sdtEndPr>
      <w:rPr>
        <w:noProof/>
      </w:rPr>
    </w:sdtEndPr>
    <w:sdtContent>
      <w:p w14:paraId="28328C77" w14:textId="77777777" w:rsidR="008134D5" w:rsidRDefault="008134D5">
        <w:pPr>
          <w:pStyle w:val="Footer"/>
          <w:jc w:val="center"/>
        </w:pPr>
        <w:r>
          <w:fldChar w:fldCharType="begin"/>
        </w:r>
        <w:r>
          <w:instrText xml:space="preserve"> PAGE   \* MERGEFORMAT </w:instrText>
        </w:r>
        <w:r>
          <w:fldChar w:fldCharType="separate"/>
        </w:r>
        <w:r w:rsidR="00EF4ACB">
          <w:rPr>
            <w:noProof/>
          </w:rPr>
          <w:t>3</w:t>
        </w:r>
        <w:r>
          <w:rPr>
            <w:noProof/>
          </w:rPr>
          <w:fldChar w:fldCharType="end"/>
        </w:r>
      </w:p>
    </w:sdtContent>
  </w:sdt>
  <w:p w14:paraId="36437BB6" w14:textId="77777777" w:rsidR="008134D5" w:rsidRDefault="008134D5" w:rsidP="00785B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EE6F" w14:textId="77777777" w:rsidR="00DE1334" w:rsidRDefault="00DE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B7F4" w14:textId="77777777" w:rsidR="00E44826" w:rsidRDefault="00E44826" w:rsidP="00783FAB">
      <w:pPr>
        <w:spacing w:after="0" w:line="240" w:lineRule="auto"/>
      </w:pPr>
      <w:r>
        <w:separator/>
      </w:r>
    </w:p>
  </w:footnote>
  <w:footnote w:type="continuationSeparator" w:id="0">
    <w:p w14:paraId="08DB2281" w14:textId="77777777" w:rsidR="00E44826" w:rsidRDefault="00E44826" w:rsidP="00783FAB">
      <w:pPr>
        <w:spacing w:after="0" w:line="240" w:lineRule="auto"/>
      </w:pPr>
      <w:r>
        <w:continuationSeparator/>
      </w:r>
    </w:p>
  </w:footnote>
  <w:footnote w:type="continuationNotice" w:id="1">
    <w:p w14:paraId="4FFAC1F3" w14:textId="77777777" w:rsidR="00E44826" w:rsidRDefault="00E44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113" w14:textId="77777777" w:rsidR="00DE1334" w:rsidRDefault="00DE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8E03" w14:textId="77777777" w:rsidR="00DE1334" w:rsidRDefault="00DE1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A46B" w14:textId="77777777" w:rsidR="00DE1334" w:rsidRDefault="00DE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F77A1"/>
    <w:multiLevelType w:val="hybridMultilevel"/>
    <w:tmpl w:val="5F60633E"/>
    <w:lvl w:ilvl="0" w:tplc="FFFFFFFF">
      <w:start w:val="1"/>
      <w:numFmt w:val="decimal"/>
      <w:suff w:val="space"/>
      <w:lvlText w:val="%1."/>
      <w:lvlJc w:val="left"/>
      <w:pPr>
        <w:ind w:left="720" w:hanging="360"/>
      </w:pPr>
      <w:rPr>
        <w:rFonts w:asciiTheme="minorHAnsi" w:hAnsiTheme="minorHAnsi" w:cstheme="minorHAnsi"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670DC8"/>
    <w:multiLevelType w:val="hybridMultilevel"/>
    <w:tmpl w:val="783638EA"/>
    <w:lvl w:ilvl="0" w:tplc="A89AA6F4">
      <w:start w:val="1"/>
      <w:numFmt w:val="decimal"/>
      <w:suff w:val="space"/>
      <w:lvlText w:val="%1."/>
      <w:lvlJc w:val="left"/>
      <w:pPr>
        <w:ind w:left="720" w:hanging="360"/>
      </w:pPr>
      <w:rPr>
        <w:rFonts w:asciiTheme="minorHAnsi" w:hAnsiTheme="minorHAnsi" w:cstheme="minorHAnsi"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DB6A73"/>
    <w:multiLevelType w:val="hybridMultilevel"/>
    <w:tmpl w:val="AB52EBFC"/>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2215E94"/>
    <w:multiLevelType w:val="hybridMultilevel"/>
    <w:tmpl w:val="4CFCBF8C"/>
    <w:lvl w:ilvl="0" w:tplc="FFFFFFFF">
      <w:start w:val="1"/>
      <w:numFmt w:val="decimal"/>
      <w:suff w:val="space"/>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75220E"/>
    <w:multiLevelType w:val="hybridMultilevel"/>
    <w:tmpl w:val="3C8E7BA8"/>
    <w:lvl w:ilvl="0" w:tplc="FFFFFFFF">
      <w:start w:val="1"/>
      <w:numFmt w:val="decimal"/>
      <w:suff w:val="space"/>
      <w:lvlText w:val="%1."/>
      <w:lvlJc w:val="left"/>
      <w:pPr>
        <w:ind w:left="720" w:hanging="360"/>
      </w:pPr>
      <w:rPr>
        <w:rFonts w:asciiTheme="minorHAnsi" w:hAnsiTheme="minorHAnsi" w:cstheme="minorHAnsi"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B26D55"/>
    <w:multiLevelType w:val="hybridMultilevel"/>
    <w:tmpl w:val="783638EA"/>
    <w:lvl w:ilvl="0" w:tplc="FFFFFFFF">
      <w:start w:val="1"/>
      <w:numFmt w:val="decimal"/>
      <w:suff w:val="space"/>
      <w:lvlText w:val="%1."/>
      <w:lvlJc w:val="left"/>
      <w:pPr>
        <w:ind w:left="720" w:hanging="360"/>
      </w:pPr>
      <w:rPr>
        <w:rFonts w:asciiTheme="minorHAnsi" w:hAnsiTheme="minorHAnsi" w:cstheme="minorHAnsi"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C101F6"/>
    <w:multiLevelType w:val="hybridMultilevel"/>
    <w:tmpl w:val="783638EA"/>
    <w:lvl w:ilvl="0" w:tplc="FFFFFFFF">
      <w:start w:val="1"/>
      <w:numFmt w:val="decimal"/>
      <w:suff w:val="space"/>
      <w:lvlText w:val="%1."/>
      <w:lvlJc w:val="left"/>
      <w:pPr>
        <w:ind w:left="720" w:hanging="360"/>
      </w:pPr>
      <w:rPr>
        <w:rFonts w:asciiTheme="minorHAnsi" w:hAnsiTheme="minorHAnsi" w:cstheme="minorHAnsi"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434D9B"/>
    <w:multiLevelType w:val="hybridMultilevel"/>
    <w:tmpl w:val="01D6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16370"/>
    <w:multiLevelType w:val="hybridMultilevel"/>
    <w:tmpl w:val="121065F4"/>
    <w:lvl w:ilvl="0" w:tplc="BCEAEF04">
      <w:start w:val="1"/>
      <w:numFmt w:val="bullet"/>
      <w:lvlText w:val=""/>
      <w:lvlJc w:val="left"/>
      <w:pPr>
        <w:ind w:left="720" w:hanging="360"/>
      </w:pPr>
      <w:rPr>
        <w:rFonts w:ascii="Symbol" w:hAnsi="Symbol"/>
      </w:rPr>
    </w:lvl>
    <w:lvl w:ilvl="1" w:tplc="2F287E90">
      <w:start w:val="1"/>
      <w:numFmt w:val="bullet"/>
      <w:lvlText w:val=""/>
      <w:lvlJc w:val="left"/>
      <w:pPr>
        <w:ind w:left="720" w:hanging="360"/>
      </w:pPr>
      <w:rPr>
        <w:rFonts w:ascii="Symbol" w:hAnsi="Symbol"/>
      </w:rPr>
    </w:lvl>
    <w:lvl w:ilvl="2" w:tplc="C17C5DF8">
      <w:start w:val="1"/>
      <w:numFmt w:val="bullet"/>
      <w:lvlText w:val=""/>
      <w:lvlJc w:val="left"/>
      <w:pPr>
        <w:ind w:left="720" w:hanging="360"/>
      </w:pPr>
      <w:rPr>
        <w:rFonts w:ascii="Symbol" w:hAnsi="Symbol"/>
      </w:rPr>
    </w:lvl>
    <w:lvl w:ilvl="3" w:tplc="7E68EEC0">
      <w:start w:val="1"/>
      <w:numFmt w:val="bullet"/>
      <w:lvlText w:val=""/>
      <w:lvlJc w:val="left"/>
      <w:pPr>
        <w:ind w:left="720" w:hanging="360"/>
      </w:pPr>
      <w:rPr>
        <w:rFonts w:ascii="Symbol" w:hAnsi="Symbol"/>
      </w:rPr>
    </w:lvl>
    <w:lvl w:ilvl="4" w:tplc="BC186A52">
      <w:start w:val="1"/>
      <w:numFmt w:val="bullet"/>
      <w:lvlText w:val=""/>
      <w:lvlJc w:val="left"/>
      <w:pPr>
        <w:ind w:left="720" w:hanging="360"/>
      </w:pPr>
      <w:rPr>
        <w:rFonts w:ascii="Symbol" w:hAnsi="Symbol"/>
      </w:rPr>
    </w:lvl>
    <w:lvl w:ilvl="5" w:tplc="66E2778E">
      <w:start w:val="1"/>
      <w:numFmt w:val="bullet"/>
      <w:lvlText w:val=""/>
      <w:lvlJc w:val="left"/>
      <w:pPr>
        <w:ind w:left="720" w:hanging="360"/>
      </w:pPr>
      <w:rPr>
        <w:rFonts w:ascii="Symbol" w:hAnsi="Symbol"/>
      </w:rPr>
    </w:lvl>
    <w:lvl w:ilvl="6" w:tplc="FBE8B772">
      <w:start w:val="1"/>
      <w:numFmt w:val="bullet"/>
      <w:lvlText w:val=""/>
      <w:lvlJc w:val="left"/>
      <w:pPr>
        <w:ind w:left="720" w:hanging="360"/>
      </w:pPr>
      <w:rPr>
        <w:rFonts w:ascii="Symbol" w:hAnsi="Symbol"/>
      </w:rPr>
    </w:lvl>
    <w:lvl w:ilvl="7" w:tplc="0610FE70">
      <w:start w:val="1"/>
      <w:numFmt w:val="bullet"/>
      <w:lvlText w:val=""/>
      <w:lvlJc w:val="left"/>
      <w:pPr>
        <w:ind w:left="720" w:hanging="360"/>
      </w:pPr>
      <w:rPr>
        <w:rFonts w:ascii="Symbol" w:hAnsi="Symbol"/>
      </w:rPr>
    </w:lvl>
    <w:lvl w:ilvl="8" w:tplc="C6146D3C">
      <w:start w:val="1"/>
      <w:numFmt w:val="bullet"/>
      <w:lvlText w:val=""/>
      <w:lvlJc w:val="left"/>
      <w:pPr>
        <w:ind w:left="720" w:hanging="360"/>
      </w:pPr>
      <w:rPr>
        <w:rFonts w:ascii="Symbol" w:hAnsi="Symbol"/>
      </w:rPr>
    </w:lvl>
  </w:abstractNum>
  <w:abstractNum w:abstractNumId="11" w15:restartNumberingAfterBreak="0">
    <w:nsid w:val="7D3B1EC6"/>
    <w:multiLevelType w:val="hybridMultilevel"/>
    <w:tmpl w:val="783638EA"/>
    <w:lvl w:ilvl="0" w:tplc="FFFFFFFF">
      <w:start w:val="1"/>
      <w:numFmt w:val="decimal"/>
      <w:suff w:val="space"/>
      <w:lvlText w:val="%1."/>
      <w:lvlJc w:val="left"/>
      <w:pPr>
        <w:ind w:left="720" w:hanging="360"/>
      </w:pPr>
      <w:rPr>
        <w:rFonts w:asciiTheme="minorHAnsi" w:hAnsiTheme="minorHAnsi" w:cstheme="minorHAnsi"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A93CEF"/>
    <w:multiLevelType w:val="hybridMultilevel"/>
    <w:tmpl w:val="C19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2919948">
    <w:abstractNumId w:val="2"/>
  </w:num>
  <w:num w:numId="2" w16cid:durableId="815727077">
    <w:abstractNumId w:val="3"/>
  </w:num>
  <w:num w:numId="3" w16cid:durableId="1858540607">
    <w:abstractNumId w:val="4"/>
  </w:num>
  <w:num w:numId="4" w16cid:durableId="491992941">
    <w:abstractNumId w:val="2"/>
  </w:num>
  <w:num w:numId="5" w16cid:durableId="492335255">
    <w:abstractNumId w:val="5"/>
  </w:num>
  <w:num w:numId="6" w16cid:durableId="528418662">
    <w:abstractNumId w:val="1"/>
  </w:num>
  <w:num w:numId="7" w16cid:durableId="516504536">
    <w:abstractNumId w:val="6"/>
  </w:num>
  <w:num w:numId="8" w16cid:durableId="480342799">
    <w:abstractNumId w:val="7"/>
  </w:num>
  <w:num w:numId="9" w16cid:durableId="82650275">
    <w:abstractNumId w:val="10"/>
  </w:num>
  <w:num w:numId="10" w16cid:durableId="74205519">
    <w:abstractNumId w:val="12"/>
  </w:num>
  <w:num w:numId="11" w16cid:durableId="1254704518">
    <w:abstractNumId w:val="9"/>
  </w:num>
  <w:num w:numId="12" w16cid:durableId="1400783981">
    <w:abstractNumId w:val="11"/>
  </w:num>
  <w:num w:numId="13" w16cid:durableId="45877802">
    <w:abstractNumId w:val="0"/>
  </w:num>
  <w:num w:numId="14" w16cid:durableId="17378967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6EB"/>
    <w:rsid w:val="0000395C"/>
    <w:rsid w:val="00006CDC"/>
    <w:rsid w:val="00011E4D"/>
    <w:rsid w:val="0001247F"/>
    <w:rsid w:val="000138AF"/>
    <w:rsid w:val="000138CF"/>
    <w:rsid w:val="000140D5"/>
    <w:rsid w:val="000146FA"/>
    <w:rsid w:val="000154F0"/>
    <w:rsid w:val="0001554B"/>
    <w:rsid w:val="00016AFF"/>
    <w:rsid w:val="00017F54"/>
    <w:rsid w:val="00020555"/>
    <w:rsid w:val="00021E04"/>
    <w:rsid w:val="000305EA"/>
    <w:rsid w:val="00031E3C"/>
    <w:rsid w:val="00032CB3"/>
    <w:rsid w:val="00036FAE"/>
    <w:rsid w:val="00041F45"/>
    <w:rsid w:val="00044508"/>
    <w:rsid w:val="00047668"/>
    <w:rsid w:val="00047A2A"/>
    <w:rsid w:val="0005020B"/>
    <w:rsid w:val="00057815"/>
    <w:rsid w:val="00057A1E"/>
    <w:rsid w:val="000614A1"/>
    <w:rsid w:val="00062794"/>
    <w:rsid w:val="00063C10"/>
    <w:rsid w:val="0006484E"/>
    <w:rsid w:val="000668B0"/>
    <w:rsid w:val="0007034D"/>
    <w:rsid w:val="00070E7D"/>
    <w:rsid w:val="00076E76"/>
    <w:rsid w:val="00082866"/>
    <w:rsid w:val="00083F41"/>
    <w:rsid w:val="000846B7"/>
    <w:rsid w:val="000A2A28"/>
    <w:rsid w:val="000A2D3A"/>
    <w:rsid w:val="000A3124"/>
    <w:rsid w:val="000A35D6"/>
    <w:rsid w:val="000B0376"/>
    <w:rsid w:val="000B1BE1"/>
    <w:rsid w:val="000B3914"/>
    <w:rsid w:val="000B6430"/>
    <w:rsid w:val="000B745D"/>
    <w:rsid w:val="000C224C"/>
    <w:rsid w:val="000C310A"/>
    <w:rsid w:val="000C34FD"/>
    <w:rsid w:val="000C3A50"/>
    <w:rsid w:val="000C4D6B"/>
    <w:rsid w:val="000D1472"/>
    <w:rsid w:val="000D5E6D"/>
    <w:rsid w:val="000D5F48"/>
    <w:rsid w:val="000D7AE4"/>
    <w:rsid w:val="000E3516"/>
    <w:rsid w:val="000E57DB"/>
    <w:rsid w:val="000E67EA"/>
    <w:rsid w:val="000E6FD6"/>
    <w:rsid w:val="000F1811"/>
    <w:rsid w:val="000F5379"/>
    <w:rsid w:val="000F7A8C"/>
    <w:rsid w:val="00101D71"/>
    <w:rsid w:val="00103015"/>
    <w:rsid w:val="00103253"/>
    <w:rsid w:val="001042BA"/>
    <w:rsid w:val="00120A34"/>
    <w:rsid w:val="00124260"/>
    <w:rsid w:val="00125A8E"/>
    <w:rsid w:val="00127CD8"/>
    <w:rsid w:val="001301AD"/>
    <w:rsid w:val="00131837"/>
    <w:rsid w:val="001323FA"/>
    <w:rsid w:val="001334D9"/>
    <w:rsid w:val="001377D9"/>
    <w:rsid w:val="00137ACD"/>
    <w:rsid w:val="00140DAD"/>
    <w:rsid w:val="00140E3D"/>
    <w:rsid w:val="001421FE"/>
    <w:rsid w:val="001437EA"/>
    <w:rsid w:val="00143826"/>
    <w:rsid w:val="00144950"/>
    <w:rsid w:val="00145BE1"/>
    <w:rsid w:val="0015276C"/>
    <w:rsid w:val="00152947"/>
    <w:rsid w:val="0015508C"/>
    <w:rsid w:val="00160153"/>
    <w:rsid w:val="00160AC6"/>
    <w:rsid w:val="00161A1F"/>
    <w:rsid w:val="001671BD"/>
    <w:rsid w:val="0017006A"/>
    <w:rsid w:val="00173A64"/>
    <w:rsid w:val="00173E0C"/>
    <w:rsid w:val="00185491"/>
    <w:rsid w:val="00195030"/>
    <w:rsid w:val="00195BE0"/>
    <w:rsid w:val="00197C3F"/>
    <w:rsid w:val="001A18FA"/>
    <w:rsid w:val="001A2FE9"/>
    <w:rsid w:val="001A4389"/>
    <w:rsid w:val="001B3C7A"/>
    <w:rsid w:val="001B49F5"/>
    <w:rsid w:val="001D00E3"/>
    <w:rsid w:val="001D0AF3"/>
    <w:rsid w:val="001D1D8A"/>
    <w:rsid w:val="001D36EE"/>
    <w:rsid w:val="001D419C"/>
    <w:rsid w:val="001D445B"/>
    <w:rsid w:val="001D4D32"/>
    <w:rsid w:val="001E07CE"/>
    <w:rsid w:val="001E52EB"/>
    <w:rsid w:val="001E5A0B"/>
    <w:rsid w:val="001F127D"/>
    <w:rsid w:val="001F3626"/>
    <w:rsid w:val="001F7336"/>
    <w:rsid w:val="00200358"/>
    <w:rsid w:val="002005CD"/>
    <w:rsid w:val="00201F75"/>
    <w:rsid w:val="00202EC1"/>
    <w:rsid w:val="00204283"/>
    <w:rsid w:val="00204EEF"/>
    <w:rsid w:val="0020505A"/>
    <w:rsid w:val="00205DBD"/>
    <w:rsid w:val="00206B44"/>
    <w:rsid w:val="00207297"/>
    <w:rsid w:val="0021217A"/>
    <w:rsid w:val="0021337D"/>
    <w:rsid w:val="00216A1C"/>
    <w:rsid w:val="002171C3"/>
    <w:rsid w:val="00223F82"/>
    <w:rsid w:val="00224C52"/>
    <w:rsid w:val="00231BE3"/>
    <w:rsid w:val="00232304"/>
    <w:rsid w:val="002371AE"/>
    <w:rsid w:val="002378EE"/>
    <w:rsid w:val="00243BCB"/>
    <w:rsid w:val="002445E3"/>
    <w:rsid w:val="00247EBF"/>
    <w:rsid w:val="00250DEA"/>
    <w:rsid w:val="00261499"/>
    <w:rsid w:val="002672A4"/>
    <w:rsid w:val="002703AD"/>
    <w:rsid w:val="002747E8"/>
    <w:rsid w:val="00274EEA"/>
    <w:rsid w:val="002759C4"/>
    <w:rsid w:val="0027686D"/>
    <w:rsid w:val="002808A9"/>
    <w:rsid w:val="00284C9D"/>
    <w:rsid w:val="00292863"/>
    <w:rsid w:val="00294430"/>
    <w:rsid w:val="00296CA7"/>
    <w:rsid w:val="00296FAF"/>
    <w:rsid w:val="00297EAB"/>
    <w:rsid w:val="002A15F1"/>
    <w:rsid w:val="002A4961"/>
    <w:rsid w:val="002A7768"/>
    <w:rsid w:val="002B24EA"/>
    <w:rsid w:val="002B313C"/>
    <w:rsid w:val="002B4DC9"/>
    <w:rsid w:val="002B5C28"/>
    <w:rsid w:val="002C1F84"/>
    <w:rsid w:val="002C40FB"/>
    <w:rsid w:val="002C532F"/>
    <w:rsid w:val="002D0D39"/>
    <w:rsid w:val="002D1504"/>
    <w:rsid w:val="002D3C4C"/>
    <w:rsid w:val="002D3E03"/>
    <w:rsid w:val="002D5109"/>
    <w:rsid w:val="002D564A"/>
    <w:rsid w:val="002E12E6"/>
    <w:rsid w:val="002E4492"/>
    <w:rsid w:val="002F76C6"/>
    <w:rsid w:val="00304A88"/>
    <w:rsid w:val="00304E64"/>
    <w:rsid w:val="00307358"/>
    <w:rsid w:val="0031070C"/>
    <w:rsid w:val="00313612"/>
    <w:rsid w:val="00316053"/>
    <w:rsid w:val="003170AC"/>
    <w:rsid w:val="00326C24"/>
    <w:rsid w:val="0033070E"/>
    <w:rsid w:val="00331155"/>
    <w:rsid w:val="003440C7"/>
    <w:rsid w:val="00345D58"/>
    <w:rsid w:val="00347150"/>
    <w:rsid w:val="0034790B"/>
    <w:rsid w:val="00350779"/>
    <w:rsid w:val="00353D81"/>
    <w:rsid w:val="00354743"/>
    <w:rsid w:val="00357737"/>
    <w:rsid w:val="00360CA7"/>
    <w:rsid w:val="00364911"/>
    <w:rsid w:val="00365D2C"/>
    <w:rsid w:val="00367C2D"/>
    <w:rsid w:val="0037028F"/>
    <w:rsid w:val="003719BF"/>
    <w:rsid w:val="00375010"/>
    <w:rsid w:val="0037728A"/>
    <w:rsid w:val="00377427"/>
    <w:rsid w:val="0037765F"/>
    <w:rsid w:val="0038524C"/>
    <w:rsid w:val="00386B68"/>
    <w:rsid w:val="00386E17"/>
    <w:rsid w:val="0038758C"/>
    <w:rsid w:val="003913F1"/>
    <w:rsid w:val="00393A61"/>
    <w:rsid w:val="00394454"/>
    <w:rsid w:val="00395655"/>
    <w:rsid w:val="00396260"/>
    <w:rsid w:val="003A0965"/>
    <w:rsid w:val="003A373E"/>
    <w:rsid w:val="003A3D0E"/>
    <w:rsid w:val="003A4424"/>
    <w:rsid w:val="003A530C"/>
    <w:rsid w:val="003A5841"/>
    <w:rsid w:val="003A6C32"/>
    <w:rsid w:val="003A7B17"/>
    <w:rsid w:val="003B2919"/>
    <w:rsid w:val="003B29B0"/>
    <w:rsid w:val="003B2DA8"/>
    <w:rsid w:val="003B3044"/>
    <w:rsid w:val="003B6793"/>
    <w:rsid w:val="003B6C2D"/>
    <w:rsid w:val="003C0D20"/>
    <w:rsid w:val="003C16A9"/>
    <w:rsid w:val="003C202D"/>
    <w:rsid w:val="003C660F"/>
    <w:rsid w:val="003D014F"/>
    <w:rsid w:val="003D43B0"/>
    <w:rsid w:val="003D47C4"/>
    <w:rsid w:val="003D7CE2"/>
    <w:rsid w:val="003E4413"/>
    <w:rsid w:val="003E4469"/>
    <w:rsid w:val="003E5B26"/>
    <w:rsid w:val="003F09F7"/>
    <w:rsid w:val="003F1AA1"/>
    <w:rsid w:val="003F24BC"/>
    <w:rsid w:val="00402CC7"/>
    <w:rsid w:val="00402D70"/>
    <w:rsid w:val="00403CE4"/>
    <w:rsid w:val="004071CB"/>
    <w:rsid w:val="004075A3"/>
    <w:rsid w:val="00410A3F"/>
    <w:rsid w:val="0041144F"/>
    <w:rsid w:val="004143B1"/>
    <w:rsid w:val="00415A55"/>
    <w:rsid w:val="004228EE"/>
    <w:rsid w:val="00425A1E"/>
    <w:rsid w:val="00425FCB"/>
    <w:rsid w:val="00430EE4"/>
    <w:rsid w:val="00430F1B"/>
    <w:rsid w:val="004327E1"/>
    <w:rsid w:val="00434240"/>
    <w:rsid w:val="00434641"/>
    <w:rsid w:val="00434CDD"/>
    <w:rsid w:val="004355D0"/>
    <w:rsid w:val="004355E8"/>
    <w:rsid w:val="00436435"/>
    <w:rsid w:val="004372D0"/>
    <w:rsid w:val="00445460"/>
    <w:rsid w:val="00446B03"/>
    <w:rsid w:val="0044797F"/>
    <w:rsid w:val="00455C2A"/>
    <w:rsid w:val="00472F61"/>
    <w:rsid w:val="00476E24"/>
    <w:rsid w:val="00481DE1"/>
    <w:rsid w:val="00484DBC"/>
    <w:rsid w:val="00490BA0"/>
    <w:rsid w:val="00494834"/>
    <w:rsid w:val="0049486C"/>
    <w:rsid w:val="004A2F70"/>
    <w:rsid w:val="004A409F"/>
    <w:rsid w:val="004A48D9"/>
    <w:rsid w:val="004A65CB"/>
    <w:rsid w:val="004A6B2D"/>
    <w:rsid w:val="004A7ACC"/>
    <w:rsid w:val="004B1170"/>
    <w:rsid w:val="004B2C3F"/>
    <w:rsid w:val="004B3D95"/>
    <w:rsid w:val="004B48EF"/>
    <w:rsid w:val="004B6FDB"/>
    <w:rsid w:val="004B7D8E"/>
    <w:rsid w:val="004D5695"/>
    <w:rsid w:val="004D665B"/>
    <w:rsid w:val="004D7B86"/>
    <w:rsid w:val="004F53E6"/>
    <w:rsid w:val="004F54FF"/>
    <w:rsid w:val="00503218"/>
    <w:rsid w:val="00505873"/>
    <w:rsid w:val="00506F28"/>
    <w:rsid w:val="00510E6F"/>
    <w:rsid w:val="00512FCE"/>
    <w:rsid w:val="005146EC"/>
    <w:rsid w:val="00515BBE"/>
    <w:rsid w:val="005169CB"/>
    <w:rsid w:val="00517337"/>
    <w:rsid w:val="005173FC"/>
    <w:rsid w:val="00524226"/>
    <w:rsid w:val="00527330"/>
    <w:rsid w:val="00531DD2"/>
    <w:rsid w:val="00536596"/>
    <w:rsid w:val="005366FF"/>
    <w:rsid w:val="00537A32"/>
    <w:rsid w:val="0054602B"/>
    <w:rsid w:val="00546375"/>
    <w:rsid w:val="00551D81"/>
    <w:rsid w:val="0055238D"/>
    <w:rsid w:val="00555C0C"/>
    <w:rsid w:val="005620CA"/>
    <w:rsid w:val="0056483F"/>
    <w:rsid w:val="00572401"/>
    <w:rsid w:val="005732E6"/>
    <w:rsid w:val="00577C30"/>
    <w:rsid w:val="005812FF"/>
    <w:rsid w:val="005819C8"/>
    <w:rsid w:val="0058422E"/>
    <w:rsid w:val="005842DF"/>
    <w:rsid w:val="00584B84"/>
    <w:rsid w:val="005905A0"/>
    <w:rsid w:val="00591EC0"/>
    <w:rsid w:val="005951A8"/>
    <w:rsid w:val="00597535"/>
    <w:rsid w:val="005A54B4"/>
    <w:rsid w:val="005A7050"/>
    <w:rsid w:val="005B3AC0"/>
    <w:rsid w:val="005B3CBC"/>
    <w:rsid w:val="005B510A"/>
    <w:rsid w:val="005C0740"/>
    <w:rsid w:val="005C1726"/>
    <w:rsid w:val="005C18D0"/>
    <w:rsid w:val="005C6713"/>
    <w:rsid w:val="005D172B"/>
    <w:rsid w:val="005D62A9"/>
    <w:rsid w:val="005E2026"/>
    <w:rsid w:val="005F4914"/>
    <w:rsid w:val="005F5DF6"/>
    <w:rsid w:val="005F5FA1"/>
    <w:rsid w:val="005F7D42"/>
    <w:rsid w:val="0060088C"/>
    <w:rsid w:val="00600CAD"/>
    <w:rsid w:val="00604F05"/>
    <w:rsid w:val="00611D31"/>
    <w:rsid w:val="00615218"/>
    <w:rsid w:val="006202A1"/>
    <w:rsid w:val="0062319E"/>
    <w:rsid w:val="00625432"/>
    <w:rsid w:val="0062607C"/>
    <w:rsid w:val="00626E42"/>
    <w:rsid w:val="00627EDA"/>
    <w:rsid w:val="006328B8"/>
    <w:rsid w:val="0063343E"/>
    <w:rsid w:val="00636200"/>
    <w:rsid w:val="00645DC7"/>
    <w:rsid w:val="0064724F"/>
    <w:rsid w:val="006507CB"/>
    <w:rsid w:val="00650E45"/>
    <w:rsid w:val="00651D68"/>
    <w:rsid w:val="00652D30"/>
    <w:rsid w:val="00656314"/>
    <w:rsid w:val="00661BE8"/>
    <w:rsid w:val="00663EA4"/>
    <w:rsid w:val="00667B6F"/>
    <w:rsid w:val="00667F82"/>
    <w:rsid w:val="006700AA"/>
    <w:rsid w:val="0067450F"/>
    <w:rsid w:val="00677A0D"/>
    <w:rsid w:val="00681197"/>
    <w:rsid w:val="00681A97"/>
    <w:rsid w:val="00683087"/>
    <w:rsid w:val="00685653"/>
    <w:rsid w:val="006930D1"/>
    <w:rsid w:val="006931AD"/>
    <w:rsid w:val="006940BB"/>
    <w:rsid w:val="00696CF0"/>
    <w:rsid w:val="00697001"/>
    <w:rsid w:val="006A1788"/>
    <w:rsid w:val="006A2A96"/>
    <w:rsid w:val="006A4213"/>
    <w:rsid w:val="006A666D"/>
    <w:rsid w:val="006B2D99"/>
    <w:rsid w:val="006B6E38"/>
    <w:rsid w:val="006D3958"/>
    <w:rsid w:val="006D58E2"/>
    <w:rsid w:val="006D7B6B"/>
    <w:rsid w:val="006E3838"/>
    <w:rsid w:val="006E3C40"/>
    <w:rsid w:val="006E7699"/>
    <w:rsid w:val="006F27AC"/>
    <w:rsid w:val="006F3E5C"/>
    <w:rsid w:val="006F627D"/>
    <w:rsid w:val="006F75A9"/>
    <w:rsid w:val="00701CB8"/>
    <w:rsid w:val="00701E47"/>
    <w:rsid w:val="007079B3"/>
    <w:rsid w:val="00707E57"/>
    <w:rsid w:val="00707F49"/>
    <w:rsid w:val="007103B5"/>
    <w:rsid w:val="00720261"/>
    <w:rsid w:val="00721056"/>
    <w:rsid w:val="007213BB"/>
    <w:rsid w:val="00721480"/>
    <w:rsid w:val="0072758F"/>
    <w:rsid w:val="007314EF"/>
    <w:rsid w:val="0073763E"/>
    <w:rsid w:val="007452A0"/>
    <w:rsid w:val="00745FCA"/>
    <w:rsid w:val="007468C4"/>
    <w:rsid w:val="00747943"/>
    <w:rsid w:val="007479A7"/>
    <w:rsid w:val="00747ED1"/>
    <w:rsid w:val="00752BD5"/>
    <w:rsid w:val="00753090"/>
    <w:rsid w:val="0075573F"/>
    <w:rsid w:val="00756861"/>
    <w:rsid w:val="00756D99"/>
    <w:rsid w:val="00756F20"/>
    <w:rsid w:val="00760772"/>
    <w:rsid w:val="00760DDE"/>
    <w:rsid w:val="00760FF8"/>
    <w:rsid w:val="007620AE"/>
    <w:rsid w:val="00772715"/>
    <w:rsid w:val="00774144"/>
    <w:rsid w:val="00774940"/>
    <w:rsid w:val="0077536C"/>
    <w:rsid w:val="00780967"/>
    <w:rsid w:val="00782538"/>
    <w:rsid w:val="007828DD"/>
    <w:rsid w:val="00783FAB"/>
    <w:rsid w:val="0078437E"/>
    <w:rsid w:val="0078595D"/>
    <w:rsid w:val="00785B13"/>
    <w:rsid w:val="007909B9"/>
    <w:rsid w:val="00790DC8"/>
    <w:rsid w:val="00791AAC"/>
    <w:rsid w:val="00795969"/>
    <w:rsid w:val="00797FA1"/>
    <w:rsid w:val="007A3E39"/>
    <w:rsid w:val="007A6AF0"/>
    <w:rsid w:val="007B00A7"/>
    <w:rsid w:val="007B0A7C"/>
    <w:rsid w:val="007B30E7"/>
    <w:rsid w:val="007B44CD"/>
    <w:rsid w:val="007B46F2"/>
    <w:rsid w:val="007B4836"/>
    <w:rsid w:val="007C1516"/>
    <w:rsid w:val="007C5020"/>
    <w:rsid w:val="007C5773"/>
    <w:rsid w:val="007D12B2"/>
    <w:rsid w:val="007D1F16"/>
    <w:rsid w:val="007D250B"/>
    <w:rsid w:val="007D4E08"/>
    <w:rsid w:val="007D500E"/>
    <w:rsid w:val="007E00A8"/>
    <w:rsid w:val="007E0B9C"/>
    <w:rsid w:val="007E16D6"/>
    <w:rsid w:val="007E2197"/>
    <w:rsid w:val="007E3446"/>
    <w:rsid w:val="007E3447"/>
    <w:rsid w:val="007E36E5"/>
    <w:rsid w:val="007E6EC6"/>
    <w:rsid w:val="007F4244"/>
    <w:rsid w:val="007F563E"/>
    <w:rsid w:val="007F6339"/>
    <w:rsid w:val="00801CDE"/>
    <w:rsid w:val="00803447"/>
    <w:rsid w:val="008035CF"/>
    <w:rsid w:val="0080510C"/>
    <w:rsid w:val="0080584E"/>
    <w:rsid w:val="00805FEB"/>
    <w:rsid w:val="008100AC"/>
    <w:rsid w:val="00811E34"/>
    <w:rsid w:val="00812C37"/>
    <w:rsid w:val="008134D5"/>
    <w:rsid w:val="00813A38"/>
    <w:rsid w:val="00821A93"/>
    <w:rsid w:val="00822B2F"/>
    <w:rsid w:val="00823B66"/>
    <w:rsid w:val="00824A98"/>
    <w:rsid w:val="00826264"/>
    <w:rsid w:val="00830B2E"/>
    <w:rsid w:val="008310AA"/>
    <w:rsid w:val="00834114"/>
    <w:rsid w:val="0083448A"/>
    <w:rsid w:val="00842AD8"/>
    <w:rsid w:val="00844D23"/>
    <w:rsid w:val="008459F2"/>
    <w:rsid w:val="00846F5A"/>
    <w:rsid w:val="008517D8"/>
    <w:rsid w:val="00855239"/>
    <w:rsid w:val="00856BC4"/>
    <w:rsid w:val="008604CE"/>
    <w:rsid w:val="0086382E"/>
    <w:rsid w:val="00866CFD"/>
    <w:rsid w:val="00867101"/>
    <w:rsid w:val="008755D8"/>
    <w:rsid w:val="0088497A"/>
    <w:rsid w:val="008862F4"/>
    <w:rsid w:val="00890B11"/>
    <w:rsid w:val="008A1F97"/>
    <w:rsid w:val="008A310C"/>
    <w:rsid w:val="008A6224"/>
    <w:rsid w:val="008B3C7C"/>
    <w:rsid w:val="008B478B"/>
    <w:rsid w:val="008B61B7"/>
    <w:rsid w:val="008C23E9"/>
    <w:rsid w:val="008C48EF"/>
    <w:rsid w:val="008C497B"/>
    <w:rsid w:val="008C5CE9"/>
    <w:rsid w:val="008C76FD"/>
    <w:rsid w:val="008D126D"/>
    <w:rsid w:val="008D72EA"/>
    <w:rsid w:val="008D7625"/>
    <w:rsid w:val="008E1686"/>
    <w:rsid w:val="008E30D6"/>
    <w:rsid w:val="008E30D9"/>
    <w:rsid w:val="008E68D3"/>
    <w:rsid w:val="008E79DF"/>
    <w:rsid w:val="008E7C75"/>
    <w:rsid w:val="008E7E50"/>
    <w:rsid w:val="008F002D"/>
    <w:rsid w:val="008F0B18"/>
    <w:rsid w:val="008F31D4"/>
    <w:rsid w:val="008F43E8"/>
    <w:rsid w:val="008F5314"/>
    <w:rsid w:val="008F6C19"/>
    <w:rsid w:val="00902A26"/>
    <w:rsid w:val="00903257"/>
    <w:rsid w:val="00904500"/>
    <w:rsid w:val="009048A2"/>
    <w:rsid w:val="00905C61"/>
    <w:rsid w:val="00907D61"/>
    <w:rsid w:val="00910064"/>
    <w:rsid w:val="009114DC"/>
    <w:rsid w:val="00911D92"/>
    <w:rsid w:val="009121D3"/>
    <w:rsid w:val="009176F5"/>
    <w:rsid w:val="00933AD6"/>
    <w:rsid w:val="00936B48"/>
    <w:rsid w:val="009421AA"/>
    <w:rsid w:val="0094476A"/>
    <w:rsid w:val="00944B8F"/>
    <w:rsid w:val="0094774B"/>
    <w:rsid w:val="009519F1"/>
    <w:rsid w:val="009679E9"/>
    <w:rsid w:val="00970AAB"/>
    <w:rsid w:val="009721CA"/>
    <w:rsid w:val="00974504"/>
    <w:rsid w:val="00975A4A"/>
    <w:rsid w:val="00976413"/>
    <w:rsid w:val="009767B4"/>
    <w:rsid w:val="00977D37"/>
    <w:rsid w:val="009807AE"/>
    <w:rsid w:val="00990334"/>
    <w:rsid w:val="00991158"/>
    <w:rsid w:val="0099199E"/>
    <w:rsid w:val="00993BCC"/>
    <w:rsid w:val="00993DBE"/>
    <w:rsid w:val="00995C44"/>
    <w:rsid w:val="009A04A5"/>
    <w:rsid w:val="009A35A0"/>
    <w:rsid w:val="009A7CFA"/>
    <w:rsid w:val="009B0C51"/>
    <w:rsid w:val="009B2183"/>
    <w:rsid w:val="009B29AC"/>
    <w:rsid w:val="009B41F6"/>
    <w:rsid w:val="009B4B7F"/>
    <w:rsid w:val="009C0F35"/>
    <w:rsid w:val="009C10C1"/>
    <w:rsid w:val="009C4F55"/>
    <w:rsid w:val="009C5CA9"/>
    <w:rsid w:val="009C5E5D"/>
    <w:rsid w:val="009D0999"/>
    <w:rsid w:val="009D13A8"/>
    <w:rsid w:val="009D23FB"/>
    <w:rsid w:val="009D7562"/>
    <w:rsid w:val="009E0803"/>
    <w:rsid w:val="009E7C1C"/>
    <w:rsid w:val="009F13BF"/>
    <w:rsid w:val="009F1D34"/>
    <w:rsid w:val="009F4C47"/>
    <w:rsid w:val="009F528F"/>
    <w:rsid w:val="009F6AC9"/>
    <w:rsid w:val="00A0333B"/>
    <w:rsid w:val="00A067A0"/>
    <w:rsid w:val="00A105DA"/>
    <w:rsid w:val="00A1186E"/>
    <w:rsid w:val="00A16806"/>
    <w:rsid w:val="00A20031"/>
    <w:rsid w:val="00A202D5"/>
    <w:rsid w:val="00A23CDC"/>
    <w:rsid w:val="00A24596"/>
    <w:rsid w:val="00A24B24"/>
    <w:rsid w:val="00A25E6C"/>
    <w:rsid w:val="00A3637B"/>
    <w:rsid w:val="00A40E3D"/>
    <w:rsid w:val="00A40EA6"/>
    <w:rsid w:val="00A43343"/>
    <w:rsid w:val="00A465C6"/>
    <w:rsid w:val="00A46B61"/>
    <w:rsid w:val="00A47C4E"/>
    <w:rsid w:val="00A47C89"/>
    <w:rsid w:val="00A52753"/>
    <w:rsid w:val="00A550E8"/>
    <w:rsid w:val="00A556D1"/>
    <w:rsid w:val="00A56E8B"/>
    <w:rsid w:val="00A60777"/>
    <w:rsid w:val="00A71133"/>
    <w:rsid w:val="00A7209C"/>
    <w:rsid w:val="00A727BD"/>
    <w:rsid w:val="00A761C7"/>
    <w:rsid w:val="00A77D42"/>
    <w:rsid w:val="00A82E17"/>
    <w:rsid w:val="00A85075"/>
    <w:rsid w:val="00A871B2"/>
    <w:rsid w:val="00A90245"/>
    <w:rsid w:val="00A93F1F"/>
    <w:rsid w:val="00A97611"/>
    <w:rsid w:val="00A97852"/>
    <w:rsid w:val="00A97947"/>
    <w:rsid w:val="00AA12F7"/>
    <w:rsid w:val="00AA3173"/>
    <w:rsid w:val="00AA3A3E"/>
    <w:rsid w:val="00AA3FB5"/>
    <w:rsid w:val="00AA59F9"/>
    <w:rsid w:val="00AB19B6"/>
    <w:rsid w:val="00AB40CF"/>
    <w:rsid w:val="00AC1B4C"/>
    <w:rsid w:val="00AC2F05"/>
    <w:rsid w:val="00AC6ABA"/>
    <w:rsid w:val="00AD1C80"/>
    <w:rsid w:val="00AD2E24"/>
    <w:rsid w:val="00AD5627"/>
    <w:rsid w:val="00AD65C9"/>
    <w:rsid w:val="00AD6639"/>
    <w:rsid w:val="00AD74B6"/>
    <w:rsid w:val="00AE4A25"/>
    <w:rsid w:val="00AE5CCB"/>
    <w:rsid w:val="00AE7179"/>
    <w:rsid w:val="00AF1345"/>
    <w:rsid w:val="00AF41B4"/>
    <w:rsid w:val="00AF58D0"/>
    <w:rsid w:val="00AF6215"/>
    <w:rsid w:val="00AF6F6E"/>
    <w:rsid w:val="00B00A18"/>
    <w:rsid w:val="00B00E93"/>
    <w:rsid w:val="00B11323"/>
    <w:rsid w:val="00B13A2F"/>
    <w:rsid w:val="00B145D2"/>
    <w:rsid w:val="00B178D3"/>
    <w:rsid w:val="00B21E93"/>
    <w:rsid w:val="00B22F73"/>
    <w:rsid w:val="00B26F47"/>
    <w:rsid w:val="00B27AB6"/>
    <w:rsid w:val="00B339F8"/>
    <w:rsid w:val="00B4065C"/>
    <w:rsid w:val="00B43512"/>
    <w:rsid w:val="00B45631"/>
    <w:rsid w:val="00B52CD8"/>
    <w:rsid w:val="00B604EB"/>
    <w:rsid w:val="00B6108C"/>
    <w:rsid w:val="00B61600"/>
    <w:rsid w:val="00B651DE"/>
    <w:rsid w:val="00B67F7B"/>
    <w:rsid w:val="00B70A9B"/>
    <w:rsid w:val="00B739E2"/>
    <w:rsid w:val="00B77958"/>
    <w:rsid w:val="00B8151D"/>
    <w:rsid w:val="00B819AA"/>
    <w:rsid w:val="00B90911"/>
    <w:rsid w:val="00B92E67"/>
    <w:rsid w:val="00B93895"/>
    <w:rsid w:val="00BA54AA"/>
    <w:rsid w:val="00BA6BF2"/>
    <w:rsid w:val="00BA7A46"/>
    <w:rsid w:val="00BB2109"/>
    <w:rsid w:val="00BB2C6B"/>
    <w:rsid w:val="00BB38D4"/>
    <w:rsid w:val="00BB4D85"/>
    <w:rsid w:val="00BB61E4"/>
    <w:rsid w:val="00BB631E"/>
    <w:rsid w:val="00BB71A8"/>
    <w:rsid w:val="00BC076F"/>
    <w:rsid w:val="00BC4BD5"/>
    <w:rsid w:val="00BC50A3"/>
    <w:rsid w:val="00BD41D4"/>
    <w:rsid w:val="00BD465A"/>
    <w:rsid w:val="00BD47A9"/>
    <w:rsid w:val="00BD5316"/>
    <w:rsid w:val="00BD5A86"/>
    <w:rsid w:val="00BD6AC2"/>
    <w:rsid w:val="00BE214C"/>
    <w:rsid w:val="00BE68F9"/>
    <w:rsid w:val="00BE70E3"/>
    <w:rsid w:val="00BF1D5C"/>
    <w:rsid w:val="00BF2A9B"/>
    <w:rsid w:val="00BF3DAE"/>
    <w:rsid w:val="00BF7D88"/>
    <w:rsid w:val="00C02034"/>
    <w:rsid w:val="00C02595"/>
    <w:rsid w:val="00C0775F"/>
    <w:rsid w:val="00C12197"/>
    <w:rsid w:val="00C1330A"/>
    <w:rsid w:val="00C145EB"/>
    <w:rsid w:val="00C1747B"/>
    <w:rsid w:val="00C2416A"/>
    <w:rsid w:val="00C26B86"/>
    <w:rsid w:val="00C30E45"/>
    <w:rsid w:val="00C325A5"/>
    <w:rsid w:val="00C36A15"/>
    <w:rsid w:val="00C3701B"/>
    <w:rsid w:val="00C37043"/>
    <w:rsid w:val="00C4300F"/>
    <w:rsid w:val="00C45661"/>
    <w:rsid w:val="00C5010C"/>
    <w:rsid w:val="00C57727"/>
    <w:rsid w:val="00C62BC1"/>
    <w:rsid w:val="00C64879"/>
    <w:rsid w:val="00C66953"/>
    <w:rsid w:val="00C73133"/>
    <w:rsid w:val="00C731FA"/>
    <w:rsid w:val="00C7617C"/>
    <w:rsid w:val="00C76A82"/>
    <w:rsid w:val="00C82C91"/>
    <w:rsid w:val="00C846A2"/>
    <w:rsid w:val="00C90E38"/>
    <w:rsid w:val="00C90EFC"/>
    <w:rsid w:val="00C90FC4"/>
    <w:rsid w:val="00C954B7"/>
    <w:rsid w:val="00C9591A"/>
    <w:rsid w:val="00CA23D5"/>
    <w:rsid w:val="00CA46AC"/>
    <w:rsid w:val="00CA4F71"/>
    <w:rsid w:val="00CB337B"/>
    <w:rsid w:val="00CB3C48"/>
    <w:rsid w:val="00CB45D5"/>
    <w:rsid w:val="00CB7A83"/>
    <w:rsid w:val="00CB7DD0"/>
    <w:rsid w:val="00CC3AE0"/>
    <w:rsid w:val="00CC3C0B"/>
    <w:rsid w:val="00CC3CD3"/>
    <w:rsid w:val="00CC4C6D"/>
    <w:rsid w:val="00CD07F4"/>
    <w:rsid w:val="00CD20F8"/>
    <w:rsid w:val="00CD3705"/>
    <w:rsid w:val="00CD6E72"/>
    <w:rsid w:val="00CE026B"/>
    <w:rsid w:val="00CE0373"/>
    <w:rsid w:val="00CE0B9D"/>
    <w:rsid w:val="00CE2EE3"/>
    <w:rsid w:val="00CE3EA5"/>
    <w:rsid w:val="00CF1C96"/>
    <w:rsid w:val="00CF5A8C"/>
    <w:rsid w:val="00CF62D3"/>
    <w:rsid w:val="00D010D3"/>
    <w:rsid w:val="00D05A8C"/>
    <w:rsid w:val="00D119DD"/>
    <w:rsid w:val="00D14A9D"/>
    <w:rsid w:val="00D15D8D"/>
    <w:rsid w:val="00D17A67"/>
    <w:rsid w:val="00D17FC6"/>
    <w:rsid w:val="00D217D1"/>
    <w:rsid w:val="00D2517F"/>
    <w:rsid w:val="00D25C62"/>
    <w:rsid w:val="00D27624"/>
    <w:rsid w:val="00D3758C"/>
    <w:rsid w:val="00D40F2F"/>
    <w:rsid w:val="00D411D4"/>
    <w:rsid w:val="00D46134"/>
    <w:rsid w:val="00D468A9"/>
    <w:rsid w:val="00D50946"/>
    <w:rsid w:val="00D50A48"/>
    <w:rsid w:val="00D5387E"/>
    <w:rsid w:val="00D5649D"/>
    <w:rsid w:val="00D56A3B"/>
    <w:rsid w:val="00D61A73"/>
    <w:rsid w:val="00D63270"/>
    <w:rsid w:val="00D63CDD"/>
    <w:rsid w:val="00D6472B"/>
    <w:rsid w:val="00D66B65"/>
    <w:rsid w:val="00D66D67"/>
    <w:rsid w:val="00D70EAE"/>
    <w:rsid w:val="00D71B5E"/>
    <w:rsid w:val="00D73415"/>
    <w:rsid w:val="00D74B9B"/>
    <w:rsid w:val="00D773CB"/>
    <w:rsid w:val="00D8103E"/>
    <w:rsid w:val="00D818BA"/>
    <w:rsid w:val="00D842A2"/>
    <w:rsid w:val="00D84946"/>
    <w:rsid w:val="00D8652E"/>
    <w:rsid w:val="00D93741"/>
    <w:rsid w:val="00D97937"/>
    <w:rsid w:val="00DA3328"/>
    <w:rsid w:val="00DA552F"/>
    <w:rsid w:val="00DB1C9E"/>
    <w:rsid w:val="00DB2434"/>
    <w:rsid w:val="00DB461B"/>
    <w:rsid w:val="00DB4D35"/>
    <w:rsid w:val="00DB6247"/>
    <w:rsid w:val="00DC19DD"/>
    <w:rsid w:val="00DC3E8C"/>
    <w:rsid w:val="00DC4B5E"/>
    <w:rsid w:val="00DC7F02"/>
    <w:rsid w:val="00DD1234"/>
    <w:rsid w:val="00DD408F"/>
    <w:rsid w:val="00DD5F43"/>
    <w:rsid w:val="00DD651A"/>
    <w:rsid w:val="00DD7496"/>
    <w:rsid w:val="00DD7B03"/>
    <w:rsid w:val="00DE02BB"/>
    <w:rsid w:val="00DE1334"/>
    <w:rsid w:val="00DE5F92"/>
    <w:rsid w:val="00DE715E"/>
    <w:rsid w:val="00DE7C37"/>
    <w:rsid w:val="00DF13F3"/>
    <w:rsid w:val="00DF2B43"/>
    <w:rsid w:val="00DF3683"/>
    <w:rsid w:val="00DF46B2"/>
    <w:rsid w:val="00DF61B7"/>
    <w:rsid w:val="00DF6F62"/>
    <w:rsid w:val="00DF77D1"/>
    <w:rsid w:val="00E01C32"/>
    <w:rsid w:val="00E01F85"/>
    <w:rsid w:val="00E1257E"/>
    <w:rsid w:val="00E2213C"/>
    <w:rsid w:val="00E23F4D"/>
    <w:rsid w:val="00E24E50"/>
    <w:rsid w:val="00E251EE"/>
    <w:rsid w:val="00E302D5"/>
    <w:rsid w:val="00E3043E"/>
    <w:rsid w:val="00E334E5"/>
    <w:rsid w:val="00E33927"/>
    <w:rsid w:val="00E33FED"/>
    <w:rsid w:val="00E43542"/>
    <w:rsid w:val="00E43AE2"/>
    <w:rsid w:val="00E44826"/>
    <w:rsid w:val="00E456F8"/>
    <w:rsid w:val="00E5541C"/>
    <w:rsid w:val="00E55D04"/>
    <w:rsid w:val="00E57803"/>
    <w:rsid w:val="00E60A2A"/>
    <w:rsid w:val="00E62C51"/>
    <w:rsid w:val="00E631F9"/>
    <w:rsid w:val="00E645CC"/>
    <w:rsid w:val="00E662FD"/>
    <w:rsid w:val="00E675A2"/>
    <w:rsid w:val="00E72FD0"/>
    <w:rsid w:val="00E757D0"/>
    <w:rsid w:val="00E767BE"/>
    <w:rsid w:val="00E82580"/>
    <w:rsid w:val="00E83FD3"/>
    <w:rsid w:val="00E8671C"/>
    <w:rsid w:val="00E90298"/>
    <w:rsid w:val="00E916A2"/>
    <w:rsid w:val="00E91930"/>
    <w:rsid w:val="00EA6D4F"/>
    <w:rsid w:val="00EA716A"/>
    <w:rsid w:val="00EA7EA8"/>
    <w:rsid w:val="00EB1842"/>
    <w:rsid w:val="00EB47DF"/>
    <w:rsid w:val="00EB6BAE"/>
    <w:rsid w:val="00EC0A15"/>
    <w:rsid w:val="00EC2CBE"/>
    <w:rsid w:val="00EC701F"/>
    <w:rsid w:val="00ED68A5"/>
    <w:rsid w:val="00EE412B"/>
    <w:rsid w:val="00EE6734"/>
    <w:rsid w:val="00EF06E7"/>
    <w:rsid w:val="00EF2B00"/>
    <w:rsid w:val="00EF4ACB"/>
    <w:rsid w:val="00F00674"/>
    <w:rsid w:val="00F03635"/>
    <w:rsid w:val="00F0455E"/>
    <w:rsid w:val="00F0609A"/>
    <w:rsid w:val="00F1230D"/>
    <w:rsid w:val="00F14BCE"/>
    <w:rsid w:val="00F15B3D"/>
    <w:rsid w:val="00F21042"/>
    <w:rsid w:val="00F21FAC"/>
    <w:rsid w:val="00F24FB3"/>
    <w:rsid w:val="00F3264E"/>
    <w:rsid w:val="00F33BE3"/>
    <w:rsid w:val="00F36014"/>
    <w:rsid w:val="00F364FD"/>
    <w:rsid w:val="00F36E18"/>
    <w:rsid w:val="00F379EF"/>
    <w:rsid w:val="00F37BC2"/>
    <w:rsid w:val="00F43DAD"/>
    <w:rsid w:val="00F45857"/>
    <w:rsid w:val="00F459FB"/>
    <w:rsid w:val="00F50A18"/>
    <w:rsid w:val="00F513EB"/>
    <w:rsid w:val="00F5236B"/>
    <w:rsid w:val="00F5252A"/>
    <w:rsid w:val="00F534A6"/>
    <w:rsid w:val="00F53C6E"/>
    <w:rsid w:val="00F54266"/>
    <w:rsid w:val="00F552D2"/>
    <w:rsid w:val="00F5679F"/>
    <w:rsid w:val="00F60D6A"/>
    <w:rsid w:val="00F60F15"/>
    <w:rsid w:val="00F62708"/>
    <w:rsid w:val="00F6460E"/>
    <w:rsid w:val="00F64CB4"/>
    <w:rsid w:val="00F65889"/>
    <w:rsid w:val="00F676AC"/>
    <w:rsid w:val="00F72398"/>
    <w:rsid w:val="00F74CC9"/>
    <w:rsid w:val="00F77106"/>
    <w:rsid w:val="00F809CF"/>
    <w:rsid w:val="00F85B48"/>
    <w:rsid w:val="00F861AE"/>
    <w:rsid w:val="00F86E01"/>
    <w:rsid w:val="00F871D7"/>
    <w:rsid w:val="00F87FB6"/>
    <w:rsid w:val="00F90098"/>
    <w:rsid w:val="00F91DF0"/>
    <w:rsid w:val="00F9205E"/>
    <w:rsid w:val="00F92EA7"/>
    <w:rsid w:val="00F92FA5"/>
    <w:rsid w:val="00F935BD"/>
    <w:rsid w:val="00F93E99"/>
    <w:rsid w:val="00F961B9"/>
    <w:rsid w:val="00F96889"/>
    <w:rsid w:val="00FA6309"/>
    <w:rsid w:val="00FA6319"/>
    <w:rsid w:val="00FA643B"/>
    <w:rsid w:val="00FB14CA"/>
    <w:rsid w:val="00FB379D"/>
    <w:rsid w:val="00FB46DD"/>
    <w:rsid w:val="00FB656A"/>
    <w:rsid w:val="00FB7019"/>
    <w:rsid w:val="00FC1BF0"/>
    <w:rsid w:val="00FC522B"/>
    <w:rsid w:val="00FC6F5F"/>
    <w:rsid w:val="00FD0A30"/>
    <w:rsid w:val="00FD1A80"/>
    <w:rsid w:val="00FE2F0A"/>
    <w:rsid w:val="00FE6310"/>
    <w:rsid w:val="00FE7154"/>
    <w:rsid w:val="00FF2A10"/>
    <w:rsid w:val="00FF3E40"/>
    <w:rsid w:val="00FF557B"/>
    <w:rsid w:val="00FF57B7"/>
    <w:rsid w:val="00FF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9FBF"/>
  <w15:docId w15:val="{A71A134A-1A8B-49E3-841E-0AC8B0A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67"/>
    <w:pPr>
      <w:spacing w:after="200" w:line="276" w:lineRule="auto"/>
    </w:pPr>
  </w:style>
  <w:style w:type="paragraph" w:styleId="Heading1">
    <w:name w:val="heading 1"/>
    <w:basedOn w:val="Heading2"/>
    <w:next w:val="Normal"/>
    <w:link w:val="Heading1Char"/>
    <w:uiPriority w:val="9"/>
    <w:qFormat/>
    <w:rsid w:val="004B3D95"/>
    <w:pPr>
      <w:outlineLvl w:val="0"/>
    </w:pPr>
  </w:style>
  <w:style w:type="paragraph" w:styleId="Heading2">
    <w:name w:val="heading 2"/>
    <w:basedOn w:val="Normal"/>
    <w:next w:val="Normal"/>
    <w:link w:val="Heading2Char"/>
    <w:uiPriority w:val="9"/>
    <w:unhideWhenUsed/>
    <w:qFormat/>
    <w:rsid w:val="004B3D95"/>
    <w:pPr>
      <w:keepNext/>
      <w:spacing w:before="240" w:after="120"/>
      <w:outlineLvl w:val="1"/>
    </w:pPr>
    <w:rPr>
      <w:rFonts w:asciiTheme="minorHAnsi" w:hAnsiTheme="minorHAnsi" w:cstheme="minorHAnsi"/>
      <w:b/>
      <w:szCs w:val="24"/>
    </w:rPr>
  </w:style>
  <w:style w:type="paragraph" w:styleId="Heading3">
    <w:name w:val="heading 3"/>
    <w:basedOn w:val="Normal"/>
    <w:next w:val="Normal"/>
    <w:link w:val="Heading3Char"/>
    <w:uiPriority w:val="9"/>
    <w:unhideWhenUsed/>
    <w:qFormat/>
    <w:rsid w:val="004B3D95"/>
    <w:pPr>
      <w:keepNext/>
      <w:spacing w:before="120" w:after="120"/>
      <w:outlineLvl w:val="2"/>
    </w:pPr>
    <w:rPr>
      <w:rFonts w:asciiTheme="minorHAnsi" w:hAnsiTheme="minorHAnsi" w:cstheme="minorHAnsi"/>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4B3D95"/>
    <w:rPr>
      <w:rFonts w:asciiTheme="minorHAnsi" w:hAnsiTheme="minorHAnsi" w:cstheme="minorHAnsi"/>
      <w:b/>
      <w:szCs w:val="24"/>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spacing w:after="0"/>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4B3D95"/>
    <w:rPr>
      <w:rFonts w:asciiTheme="minorHAnsi" w:hAnsiTheme="minorHAnsi" w:cstheme="minorHAnsi"/>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4B3D95"/>
    <w:rPr>
      <w:rFonts w:asciiTheme="minorHAnsi" w:hAnsiTheme="minorHAnsi" w:cstheme="minorHAnsi"/>
      <w:b/>
      <w:szCs w:val="24"/>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2"/>
      </w:numPr>
      <w:spacing w:before="240" w:after="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2"/>
      </w:numPr>
      <w:spacing w:before="240" w:after="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2"/>
      </w:numPr>
      <w:tabs>
        <w:tab w:val="left" w:pos="2160"/>
      </w:tabs>
      <w:spacing w:before="240" w:after="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2"/>
      </w:numPr>
      <w:spacing w:before="240" w:after="0" w:line="240" w:lineRule="auto"/>
    </w:pPr>
    <w:rPr>
      <w:rFonts w:eastAsia="Times New Roman" w:cs="Times New Roman"/>
      <w:szCs w:val="20"/>
      <w:lang w:eastAsia="en-AU"/>
    </w:rPr>
  </w:style>
  <w:style w:type="numbering" w:customStyle="1" w:styleId="OPCBodyList">
    <w:name w:val="OPCBodyList"/>
    <w:rsid w:val="00677A0D"/>
    <w:pPr>
      <w:numPr>
        <w:numId w:val="2"/>
      </w:numPr>
    </w:pPr>
  </w:style>
  <w:style w:type="paragraph" w:styleId="FootnoteText">
    <w:name w:val="footnote text"/>
    <w:basedOn w:val="Normal"/>
    <w:link w:val="FootnoteTextChar"/>
    <w:semiHidden/>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semiHidden/>
    <w:rsid w:val="00DB6247"/>
    <w:rPr>
      <w:rFonts w:eastAsia="Times New Roman" w:cs="Times New Roman"/>
      <w:sz w:val="20"/>
      <w:szCs w:val="20"/>
      <w:lang w:val="x-none" w:eastAsia="en-AU"/>
    </w:rPr>
  </w:style>
  <w:style w:type="character" w:styleId="FootnoteReference">
    <w:name w:val="footnote reference"/>
    <w:semiHidden/>
    <w:rsid w:val="00DB6247"/>
    <w:rPr>
      <w:vertAlign w:val="superscript"/>
    </w:rPr>
  </w:style>
  <w:style w:type="paragraph" w:styleId="Quote">
    <w:name w:val="Quote"/>
    <w:basedOn w:val="Normal"/>
    <w:link w:val="QuoteChar"/>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paragraph" w:styleId="Title">
    <w:name w:val="Title"/>
    <w:basedOn w:val="Normal"/>
    <w:next w:val="Normal"/>
    <w:link w:val="TitleChar"/>
    <w:uiPriority w:val="10"/>
    <w:qFormat/>
    <w:rsid w:val="009D0999"/>
    <w:pPr>
      <w:jc w:val="center"/>
    </w:pPr>
    <w:rPr>
      <w:rFonts w:asciiTheme="minorHAnsi" w:hAnsiTheme="minorHAnsi" w:cstheme="minorHAnsi"/>
      <w:b/>
      <w:szCs w:val="24"/>
      <w:u w:val="single"/>
    </w:rPr>
  </w:style>
  <w:style w:type="character" w:customStyle="1" w:styleId="TitleChar">
    <w:name w:val="Title Char"/>
    <w:basedOn w:val="DefaultParagraphFont"/>
    <w:link w:val="Title"/>
    <w:uiPriority w:val="10"/>
    <w:rsid w:val="009D0999"/>
    <w:rPr>
      <w:rFonts w:asciiTheme="minorHAnsi" w:hAnsiTheme="minorHAnsi" w:cstheme="minorHAnsi"/>
      <w:b/>
      <w:szCs w:val="24"/>
      <w:u w:val="single"/>
    </w:rPr>
  </w:style>
  <w:style w:type="paragraph" w:styleId="Subtitle">
    <w:name w:val="Subtitle"/>
    <w:basedOn w:val="Normal"/>
    <w:next w:val="Normal"/>
    <w:link w:val="SubtitleChar"/>
    <w:uiPriority w:val="11"/>
    <w:qFormat/>
    <w:rsid w:val="009D0999"/>
    <w:pPr>
      <w:jc w:val="center"/>
    </w:pPr>
    <w:rPr>
      <w:rFonts w:asciiTheme="minorHAnsi" w:hAnsiTheme="minorHAnsi" w:cstheme="minorHAnsi"/>
      <w:b/>
      <w:i/>
      <w:szCs w:val="24"/>
    </w:rPr>
  </w:style>
  <w:style w:type="character" w:customStyle="1" w:styleId="SubtitleChar">
    <w:name w:val="Subtitle Char"/>
    <w:basedOn w:val="DefaultParagraphFont"/>
    <w:link w:val="Subtitle"/>
    <w:uiPriority w:val="11"/>
    <w:rsid w:val="009D0999"/>
    <w:rPr>
      <w:rFonts w:asciiTheme="minorHAnsi" w:hAnsiTheme="minorHAnsi" w:cstheme="minorHAnsi"/>
      <w:b/>
      <w:i/>
      <w:szCs w:val="24"/>
    </w:rPr>
  </w:style>
  <w:style w:type="character" w:styleId="IntenseEmphasis">
    <w:name w:val="Intense Emphasis"/>
    <w:basedOn w:val="DefaultParagraphFont"/>
    <w:uiPriority w:val="21"/>
    <w:qFormat/>
    <w:rsid w:val="00D6472B"/>
    <w:rPr>
      <w:i/>
      <w:iCs/>
      <w:color w:val="5B9BD5" w:themeColor="accent1"/>
    </w:rPr>
  </w:style>
  <w:style w:type="character" w:styleId="UnresolvedMention">
    <w:name w:val="Unresolved Mention"/>
    <w:basedOn w:val="DefaultParagraphFont"/>
    <w:uiPriority w:val="99"/>
    <w:semiHidden/>
    <w:unhideWhenUsed/>
    <w:rsid w:val="00C9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5969">
      <w:bodyDiv w:val="1"/>
      <w:marLeft w:val="0"/>
      <w:marRight w:val="0"/>
      <w:marTop w:val="0"/>
      <w:marBottom w:val="0"/>
      <w:divBdr>
        <w:top w:val="none" w:sz="0" w:space="0" w:color="auto"/>
        <w:left w:val="none" w:sz="0" w:space="0" w:color="auto"/>
        <w:bottom w:val="none" w:sz="0" w:space="0" w:color="auto"/>
        <w:right w:val="none" w:sz="0" w:space="0" w:color="auto"/>
      </w:divBdr>
    </w:div>
    <w:div w:id="169490789">
      <w:bodyDiv w:val="1"/>
      <w:marLeft w:val="0"/>
      <w:marRight w:val="0"/>
      <w:marTop w:val="0"/>
      <w:marBottom w:val="0"/>
      <w:divBdr>
        <w:top w:val="none" w:sz="0" w:space="0" w:color="auto"/>
        <w:left w:val="none" w:sz="0" w:space="0" w:color="auto"/>
        <w:bottom w:val="none" w:sz="0" w:space="0" w:color="auto"/>
        <w:right w:val="none" w:sz="0" w:space="0" w:color="auto"/>
      </w:divBdr>
    </w:div>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1071467084">
      <w:bodyDiv w:val="1"/>
      <w:marLeft w:val="0"/>
      <w:marRight w:val="0"/>
      <w:marTop w:val="0"/>
      <w:marBottom w:val="0"/>
      <w:divBdr>
        <w:top w:val="none" w:sz="0" w:space="0" w:color="auto"/>
        <w:left w:val="none" w:sz="0" w:space="0" w:color="auto"/>
        <w:bottom w:val="none" w:sz="0" w:space="0" w:color="auto"/>
        <w:right w:val="none" w:sz="0" w:space="0" w:color="auto"/>
      </w:divBdr>
    </w:div>
    <w:div w:id="1231768054">
      <w:bodyDiv w:val="1"/>
      <w:marLeft w:val="0"/>
      <w:marRight w:val="0"/>
      <w:marTop w:val="0"/>
      <w:marBottom w:val="0"/>
      <w:divBdr>
        <w:top w:val="none" w:sz="0" w:space="0" w:color="auto"/>
        <w:left w:val="none" w:sz="0" w:space="0" w:color="auto"/>
        <w:bottom w:val="none" w:sz="0" w:space="0" w:color="auto"/>
        <w:right w:val="none" w:sz="0" w:space="0" w:color="auto"/>
      </w:divBdr>
    </w:div>
    <w:div w:id="1244610446">
      <w:bodyDiv w:val="1"/>
      <w:marLeft w:val="0"/>
      <w:marRight w:val="0"/>
      <w:marTop w:val="0"/>
      <w:marBottom w:val="0"/>
      <w:divBdr>
        <w:top w:val="none" w:sz="0" w:space="0" w:color="auto"/>
        <w:left w:val="none" w:sz="0" w:space="0" w:color="auto"/>
        <w:bottom w:val="none" w:sz="0" w:space="0" w:color="auto"/>
        <w:right w:val="none" w:sz="0" w:space="0" w:color="auto"/>
      </w:divBdr>
    </w:div>
    <w:div w:id="1437871245">
      <w:bodyDiv w:val="1"/>
      <w:marLeft w:val="0"/>
      <w:marRight w:val="0"/>
      <w:marTop w:val="0"/>
      <w:marBottom w:val="0"/>
      <w:divBdr>
        <w:top w:val="none" w:sz="0" w:space="0" w:color="auto"/>
        <w:left w:val="none" w:sz="0" w:space="0" w:color="auto"/>
        <w:bottom w:val="none" w:sz="0" w:space="0" w:color="auto"/>
        <w:right w:val="none" w:sz="0" w:space="0" w:color="auto"/>
      </w:divBdr>
    </w:div>
    <w:div w:id="1530532985">
      <w:bodyDiv w:val="1"/>
      <w:marLeft w:val="0"/>
      <w:marRight w:val="0"/>
      <w:marTop w:val="0"/>
      <w:marBottom w:val="0"/>
      <w:divBdr>
        <w:top w:val="none" w:sz="0" w:space="0" w:color="auto"/>
        <w:left w:val="none" w:sz="0" w:space="0" w:color="auto"/>
        <w:bottom w:val="none" w:sz="0" w:space="0" w:color="auto"/>
        <w:right w:val="none" w:sz="0" w:space="0" w:color="auto"/>
      </w:divBdr>
    </w:div>
    <w:div w:id="1581063326">
      <w:bodyDiv w:val="1"/>
      <w:marLeft w:val="0"/>
      <w:marRight w:val="0"/>
      <w:marTop w:val="0"/>
      <w:marBottom w:val="0"/>
      <w:divBdr>
        <w:top w:val="none" w:sz="0" w:space="0" w:color="auto"/>
        <w:left w:val="none" w:sz="0" w:space="0" w:color="auto"/>
        <w:bottom w:val="none" w:sz="0" w:space="0" w:color="auto"/>
        <w:right w:val="none" w:sz="0" w:space="0" w:color="auto"/>
      </w:divBdr>
    </w:div>
    <w:div w:id="17879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394711AC8A1A4EAB81C627F495EF1F" ma:contentTypeVersion="" ma:contentTypeDescription="PDMS Document Site Content Type" ma:contentTypeScope="" ma:versionID="61e33d34cd4f9e9af934fe911496bd63">
  <xsd:schema xmlns:xsd="http://www.w3.org/2001/XMLSchema" xmlns:xs="http://www.w3.org/2001/XMLSchema" xmlns:p="http://schemas.microsoft.com/office/2006/metadata/properties" xmlns:ns2="CFB91FBA-E741-402B-816C-302129E93924" targetNamespace="http://schemas.microsoft.com/office/2006/metadata/properties" ma:root="true" ma:fieldsID="d702dd4998d236bb4b6d8f9f1200c6e5" ns2:_="">
    <xsd:import namespace="CFB91FBA-E741-402B-816C-302129E9392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91FBA-E741-402B-816C-302129E9392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FB91FBA-E741-402B-816C-302129E939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0CF8B-BF75-464D-8F5B-9FE55892D6DC}">
  <ds:schemaRefs>
    <ds:schemaRef ds:uri="http://schemas.openxmlformats.org/officeDocument/2006/bibliography"/>
  </ds:schemaRefs>
</ds:datastoreItem>
</file>

<file path=customXml/itemProps2.xml><?xml version="1.0" encoding="utf-8"?>
<ds:datastoreItem xmlns:ds="http://schemas.openxmlformats.org/officeDocument/2006/customXml" ds:itemID="{3CEADE4C-DF34-472D-85A6-94FB6303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91FBA-E741-402B-816C-302129E93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234CBF69-4079-475C-B2A5-755203FDD032"/>
    <ds:schemaRef ds:uri="CFB91FBA-E741-402B-816C-302129E93924"/>
  </ds:schemaRefs>
</ds:datastoreItem>
</file>

<file path=customXml/itemProps4.xml><?xml version="1.0" encoding="utf-8"?>
<ds:datastoreItem xmlns:ds="http://schemas.openxmlformats.org/officeDocument/2006/customXml" ds:itemID="{F3B610EE-0F70-4F01-817A-5807EACF1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Solari, Jessica</dc:creator>
  <cp:lastModifiedBy>James McLaren</cp:lastModifiedBy>
  <cp:revision>3</cp:revision>
  <cp:lastPrinted>2023-07-17T04:59:00Z</cp:lastPrinted>
  <dcterms:created xsi:type="dcterms:W3CDTF">2023-12-14T03:55:00Z</dcterms:created>
  <dcterms:modified xsi:type="dcterms:W3CDTF">2024-01-18T05:10:00Z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0x010100266966F133664895A6EE3632470D45F500A5394711AC8A1A4EAB81C627F495EF1F</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y fmtid="{D5CDD505-2E9C-101B-9397-08002B2CF9AE}" pid="11" name="MSIP_Label_79d889eb-932f-4752-8739-64d25806ef64_Enabled">
    <vt:lpwstr>true</vt:lpwstr>
  </property>
  <property fmtid="{D5CDD505-2E9C-101B-9397-08002B2CF9AE}" pid="12" name="MSIP_Label_79d889eb-932f-4752-8739-64d25806ef64_SetDate">
    <vt:lpwstr>2022-10-19T11:25:40Z</vt:lpwstr>
  </property>
  <property fmtid="{D5CDD505-2E9C-101B-9397-08002B2CF9AE}" pid="13" name="MSIP_Label_79d889eb-932f-4752-8739-64d25806ef64_Method">
    <vt:lpwstr>Privileged</vt:lpwstr>
  </property>
  <property fmtid="{D5CDD505-2E9C-101B-9397-08002B2CF9AE}" pid="14" name="MSIP_Label_79d889eb-932f-4752-8739-64d25806ef64_Name">
    <vt:lpwstr>79d889eb-932f-4752-8739-64d25806ef64</vt:lpwstr>
  </property>
  <property fmtid="{D5CDD505-2E9C-101B-9397-08002B2CF9AE}" pid="15" name="MSIP_Label_79d889eb-932f-4752-8739-64d25806ef64_SiteId">
    <vt:lpwstr>dd0cfd15-4558-4b12-8bad-ea26984fc417</vt:lpwstr>
  </property>
  <property fmtid="{D5CDD505-2E9C-101B-9397-08002B2CF9AE}" pid="16" name="MSIP_Label_79d889eb-932f-4752-8739-64d25806ef64_ActionId">
    <vt:lpwstr>9bc28db1-1627-49b0-a1fc-e4fbb1c176e0</vt:lpwstr>
  </property>
  <property fmtid="{D5CDD505-2E9C-101B-9397-08002B2CF9AE}" pid="17" name="MSIP_Label_79d889eb-932f-4752-8739-64d25806ef64_ContentBits">
    <vt:lpwstr>0</vt:lpwstr>
  </property>
</Properties>
</file>