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5708" w14:textId="77777777" w:rsidR="005E317F" w:rsidRDefault="005E317F" w:rsidP="005E317F">
      <w:pPr>
        <w:rPr>
          <w:sz w:val="28"/>
        </w:rPr>
      </w:pPr>
      <w:r>
        <w:rPr>
          <w:noProof/>
          <w:lang w:eastAsia="en-AU"/>
        </w:rPr>
        <w:drawing>
          <wp:inline distT="0" distB="0" distL="0" distR="0" wp14:anchorId="191747D0" wp14:editId="10B99F7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C3094B6" w14:textId="77777777" w:rsidR="005E317F" w:rsidRDefault="005E317F" w:rsidP="005E317F">
      <w:pPr>
        <w:rPr>
          <w:sz w:val="19"/>
        </w:rPr>
      </w:pPr>
    </w:p>
    <w:p w14:paraId="1EC5FCE9" w14:textId="26E1B01D" w:rsidR="005E317F" w:rsidRPr="00E500D4" w:rsidRDefault="00CE4A71" w:rsidP="005E317F">
      <w:pPr>
        <w:pStyle w:val="ShortT"/>
      </w:pPr>
      <w:r>
        <w:t xml:space="preserve">Higher Education Support </w:t>
      </w:r>
      <w:r w:rsidR="005E317F">
        <w:t>Amendment (</w:t>
      </w:r>
      <w:r>
        <w:t>Startup Year</w:t>
      </w:r>
      <w:r w:rsidR="005E317F">
        <w:t xml:space="preserve">) </w:t>
      </w:r>
      <w:r>
        <w:t>Guidelines</w:t>
      </w:r>
      <w:r w:rsidR="005E317F" w:rsidRPr="00B973E5">
        <w:t xml:space="preserve"> </w:t>
      </w:r>
      <w:r>
        <w:t>2023</w:t>
      </w:r>
    </w:p>
    <w:p w14:paraId="2C84349D" w14:textId="3E083F64" w:rsidR="005E317F" w:rsidRPr="00DA182D" w:rsidRDefault="005E317F" w:rsidP="005E317F">
      <w:pPr>
        <w:pStyle w:val="SignCoverPageStart"/>
        <w:spacing w:before="240"/>
        <w:ind w:right="91"/>
        <w:rPr>
          <w:szCs w:val="22"/>
        </w:rPr>
      </w:pPr>
      <w:r w:rsidRPr="00DA182D">
        <w:rPr>
          <w:szCs w:val="22"/>
        </w:rPr>
        <w:t xml:space="preserve">I, </w:t>
      </w:r>
      <w:r w:rsidR="00CE4A71">
        <w:rPr>
          <w:szCs w:val="22"/>
        </w:rPr>
        <w:t>Jason Clare</w:t>
      </w:r>
      <w:r w:rsidRPr="00DA182D">
        <w:rPr>
          <w:szCs w:val="22"/>
        </w:rPr>
        <w:t xml:space="preserve">, </w:t>
      </w:r>
      <w:r w:rsidR="00CE4A71">
        <w:rPr>
          <w:szCs w:val="22"/>
        </w:rPr>
        <w:t>Minister for Education</w:t>
      </w:r>
      <w:r w:rsidRPr="00DA182D">
        <w:rPr>
          <w:szCs w:val="22"/>
        </w:rPr>
        <w:t xml:space="preserve">, </w:t>
      </w:r>
      <w:r>
        <w:rPr>
          <w:szCs w:val="22"/>
        </w:rPr>
        <w:t xml:space="preserve">make the following </w:t>
      </w:r>
      <w:r w:rsidR="00CE4A71">
        <w:rPr>
          <w:szCs w:val="22"/>
        </w:rPr>
        <w:t>guidelines</w:t>
      </w:r>
      <w:r w:rsidRPr="00DA182D">
        <w:rPr>
          <w:szCs w:val="22"/>
        </w:rPr>
        <w:t>.</w:t>
      </w:r>
    </w:p>
    <w:p w14:paraId="66E326D3" w14:textId="7F903363"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00FD5C8B">
        <w:rPr>
          <w:szCs w:val="22"/>
        </w:rPr>
        <w:t>18 January 2024</w:t>
      </w:r>
      <w:r w:rsidRPr="00001A63">
        <w:rPr>
          <w:szCs w:val="22"/>
        </w:rPr>
        <w:tab/>
      </w:r>
      <w:r>
        <w:rPr>
          <w:szCs w:val="22"/>
        </w:rPr>
        <w:tab/>
      </w:r>
      <w:r w:rsidRPr="00001A63">
        <w:rPr>
          <w:szCs w:val="22"/>
        </w:rPr>
        <w:tab/>
      </w:r>
    </w:p>
    <w:p w14:paraId="33556AE8" w14:textId="21210ED4" w:rsidR="005E317F" w:rsidRDefault="00CE4A71" w:rsidP="005E317F">
      <w:pPr>
        <w:keepNext/>
        <w:tabs>
          <w:tab w:val="left" w:pos="3402"/>
        </w:tabs>
        <w:spacing w:before="1440" w:line="300" w:lineRule="atLeast"/>
        <w:ind w:right="397"/>
        <w:rPr>
          <w:b/>
          <w:szCs w:val="22"/>
        </w:rPr>
      </w:pPr>
      <w:r>
        <w:rPr>
          <w:szCs w:val="22"/>
        </w:rPr>
        <w:t>Jason Clare</w:t>
      </w:r>
      <w:r w:rsidR="005E317F" w:rsidRPr="00A75FE9">
        <w:rPr>
          <w:szCs w:val="22"/>
        </w:rPr>
        <w:t xml:space="preserve"> </w:t>
      </w:r>
    </w:p>
    <w:p w14:paraId="6EF32297" w14:textId="5DDCAB00" w:rsidR="005E317F" w:rsidRPr="000D3FB9" w:rsidRDefault="00CE4A71" w:rsidP="005E317F">
      <w:pPr>
        <w:pStyle w:val="SignCoverPageEnd"/>
        <w:ind w:right="91"/>
        <w:rPr>
          <w:sz w:val="22"/>
        </w:rPr>
      </w:pPr>
      <w:r>
        <w:rPr>
          <w:sz w:val="22"/>
        </w:rPr>
        <w:t>Minister for Education</w:t>
      </w:r>
    </w:p>
    <w:p w14:paraId="0082F2AC" w14:textId="77777777" w:rsidR="00B20990" w:rsidRDefault="00B20990" w:rsidP="00B20990"/>
    <w:p w14:paraId="3AA44EAE" w14:textId="77777777" w:rsidR="00B20990" w:rsidRDefault="00B20990" w:rsidP="00B20990">
      <w:pPr>
        <w:sectPr w:rsidR="00B20990" w:rsidSect="00B20990">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709" w:gutter="0"/>
          <w:cols w:space="708"/>
          <w:titlePg/>
          <w:docGrid w:linePitch="360"/>
        </w:sectPr>
      </w:pPr>
    </w:p>
    <w:p w14:paraId="4C6B4AC5" w14:textId="77777777" w:rsidR="00B20990" w:rsidRDefault="00B20990" w:rsidP="00B20990">
      <w:pPr>
        <w:outlineLvl w:val="0"/>
        <w:rPr>
          <w:sz w:val="36"/>
        </w:rPr>
      </w:pPr>
      <w:r w:rsidRPr="007A1328">
        <w:rPr>
          <w:sz w:val="36"/>
        </w:rPr>
        <w:lastRenderedPageBreak/>
        <w:t>Contents</w:t>
      </w:r>
    </w:p>
    <w:bookmarkStart w:id="0" w:name="BKCheck15B_2"/>
    <w:bookmarkEnd w:id="0"/>
    <w:p w14:paraId="43B46B42" w14:textId="38412108" w:rsidR="000F3799" w:rsidRDefault="00B20990">
      <w:pPr>
        <w:pStyle w:val="TOC5"/>
        <w:rPr>
          <w:rFonts w:asciiTheme="minorHAnsi" w:eastAsiaTheme="minorEastAsia" w:hAnsiTheme="minorHAnsi" w:cstheme="minorBidi"/>
          <w:noProof/>
          <w:kern w:val="2"/>
          <w:sz w:val="22"/>
          <w:szCs w:val="22"/>
          <w14:ligatures w14:val="standardContextual"/>
        </w:rPr>
      </w:pPr>
      <w:r w:rsidRPr="005E317F">
        <w:fldChar w:fldCharType="begin"/>
      </w:r>
      <w:r>
        <w:instrText xml:space="preserve"> TOC \o "1-9" </w:instrText>
      </w:r>
      <w:r w:rsidRPr="005E317F">
        <w:fldChar w:fldCharType="separate"/>
      </w:r>
      <w:r w:rsidR="000F3799">
        <w:rPr>
          <w:noProof/>
        </w:rPr>
        <w:t>1  Name</w:t>
      </w:r>
      <w:r w:rsidR="000F3799">
        <w:rPr>
          <w:noProof/>
        </w:rPr>
        <w:tab/>
      </w:r>
      <w:r w:rsidR="000F3799">
        <w:rPr>
          <w:noProof/>
        </w:rPr>
        <w:fldChar w:fldCharType="begin"/>
      </w:r>
      <w:r w:rsidR="000F3799">
        <w:rPr>
          <w:noProof/>
        </w:rPr>
        <w:instrText xml:space="preserve"> PAGEREF _Toc153449392 \h </w:instrText>
      </w:r>
      <w:r w:rsidR="000F3799">
        <w:rPr>
          <w:noProof/>
        </w:rPr>
      </w:r>
      <w:r w:rsidR="000F3799">
        <w:rPr>
          <w:noProof/>
        </w:rPr>
        <w:fldChar w:fldCharType="separate"/>
      </w:r>
      <w:r w:rsidR="000F3799">
        <w:rPr>
          <w:noProof/>
        </w:rPr>
        <w:t>1</w:t>
      </w:r>
      <w:r w:rsidR="000F3799">
        <w:rPr>
          <w:noProof/>
        </w:rPr>
        <w:fldChar w:fldCharType="end"/>
      </w:r>
    </w:p>
    <w:p w14:paraId="7B838DAD" w14:textId="3D47EEAF" w:rsidR="000F3799" w:rsidRDefault="000F3799">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_Toc153449393 \h </w:instrText>
      </w:r>
      <w:r>
        <w:rPr>
          <w:noProof/>
        </w:rPr>
      </w:r>
      <w:r>
        <w:rPr>
          <w:noProof/>
        </w:rPr>
        <w:fldChar w:fldCharType="separate"/>
      </w:r>
      <w:r>
        <w:rPr>
          <w:noProof/>
        </w:rPr>
        <w:t>1</w:t>
      </w:r>
      <w:r>
        <w:rPr>
          <w:noProof/>
        </w:rPr>
        <w:fldChar w:fldCharType="end"/>
      </w:r>
    </w:p>
    <w:p w14:paraId="00DF29BA" w14:textId="30E62D46" w:rsidR="000F3799" w:rsidRDefault="000F3799">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_Toc153449394 \h </w:instrText>
      </w:r>
      <w:r>
        <w:rPr>
          <w:noProof/>
        </w:rPr>
      </w:r>
      <w:r>
        <w:rPr>
          <w:noProof/>
        </w:rPr>
        <w:fldChar w:fldCharType="separate"/>
      </w:r>
      <w:r>
        <w:rPr>
          <w:noProof/>
        </w:rPr>
        <w:t>1</w:t>
      </w:r>
      <w:r>
        <w:rPr>
          <w:noProof/>
        </w:rPr>
        <w:fldChar w:fldCharType="end"/>
      </w:r>
    </w:p>
    <w:p w14:paraId="0C506C10" w14:textId="483829DD" w:rsidR="000F3799" w:rsidRDefault="000F3799">
      <w:pPr>
        <w:pStyle w:val="TOC5"/>
        <w:rPr>
          <w:rFonts w:asciiTheme="minorHAnsi" w:eastAsiaTheme="minorEastAsia" w:hAnsiTheme="minorHAnsi" w:cstheme="minorBidi"/>
          <w:noProof/>
          <w:kern w:val="2"/>
          <w:sz w:val="22"/>
          <w:szCs w:val="22"/>
          <w14:ligatures w14:val="standardContextual"/>
        </w:rPr>
      </w:pPr>
      <w:r>
        <w:rPr>
          <w:noProof/>
        </w:rPr>
        <w:t>4  Schedules</w:t>
      </w:r>
      <w:r>
        <w:rPr>
          <w:noProof/>
        </w:rPr>
        <w:tab/>
      </w:r>
      <w:r>
        <w:rPr>
          <w:noProof/>
        </w:rPr>
        <w:fldChar w:fldCharType="begin"/>
      </w:r>
      <w:r>
        <w:rPr>
          <w:noProof/>
        </w:rPr>
        <w:instrText xml:space="preserve"> PAGEREF _Toc153449395 \h </w:instrText>
      </w:r>
      <w:r>
        <w:rPr>
          <w:noProof/>
        </w:rPr>
      </w:r>
      <w:r>
        <w:rPr>
          <w:noProof/>
        </w:rPr>
        <w:fldChar w:fldCharType="separate"/>
      </w:r>
      <w:r>
        <w:rPr>
          <w:noProof/>
        </w:rPr>
        <w:t>1</w:t>
      </w:r>
      <w:r>
        <w:rPr>
          <w:noProof/>
        </w:rPr>
        <w:fldChar w:fldCharType="end"/>
      </w:r>
    </w:p>
    <w:p w14:paraId="044E4ABA" w14:textId="3FFC0B03" w:rsidR="000F3799" w:rsidRDefault="000F3799">
      <w:pPr>
        <w:pStyle w:val="TOC6"/>
        <w:rPr>
          <w:rFonts w:asciiTheme="minorHAnsi" w:eastAsiaTheme="minorEastAsia" w:hAnsiTheme="minorHAnsi" w:cstheme="minorBidi"/>
          <w:b w:val="0"/>
          <w:noProof/>
          <w:kern w:val="2"/>
          <w:sz w:val="22"/>
          <w:szCs w:val="22"/>
          <w14:ligatures w14:val="standardContextual"/>
        </w:rPr>
      </w:pPr>
      <w:r>
        <w:rPr>
          <w:noProof/>
        </w:rPr>
        <w:t xml:space="preserve">Schedule 1—Amendments to the </w:t>
      </w:r>
      <w:r w:rsidRPr="00635FDA">
        <w:rPr>
          <w:i/>
          <w:iCs/>
          <w:noProof/>
        </w:rPr>
        <w:t>Higher Education Support (Administration) Guidelines 2022</w:t>
      </w:r>
      <w:r>
        <w:rPr>
          <w:noProof/>
        </w:rPr>
        <w:tab/>
      </w:r>
      <w:r>
        <w:rPr>
          <w:noProof/>
        </w:rPr>
        <w:fldChar w:fldCharType="begin"/>
      </w:r>
      <w:r>
        <w:rPr>
          <w:noProof/>
        </w:rPr>
        <w:instrText xml:space="preserve"> PAGEREF _Toc153449396 \h </w:instrText>
      </w:r>
      <w:r>
        <w:rPr>
          <w:noProof/>
        </w:rPr>
      </w:r>
      <w:r>
        <w:rPr>
          <w:noProof/>
        </w:rPr>
        <w:fldChar w:fldCharType="separate"/>
      </w:r>
      <w:r>
        <w:rPr>
          <w:noProof/>
        </w:rPr>
        <w:t>2</w:t>
      </w:r>
      <w:r>
        <w:rPr>
          <w:noProof/>
        </w:rPr>
        <w:fldChar w:fldCharType="end"/>
      </w:r>
    </w:p>
    <w:p w14:paraId="4A95874A" w14:textId="7CB5CBC6" w:rsidR="000F3799" w:rsidRDefault="000F3799">
      <w:pPr>
        <w:pStyle w:val="TOC9"/>
        <w:rPr>
          <w:rFonts w:asciiTheme="minorHAnsi" w:eastAsiaTheme="minorEastAsia" w:hAnsiTheme="minorHAnsi" w:cstheme="minorBidi"/>
          <w:i w:val="0"/>
          <w:noProof/>
          <w:kern w:val="2"/>
          <w:sz w:val="22"/>
          <w:szCs w:val="22"/>
          <w14:ligatures w14:val="standardContextual"/>
        </w:rPr>
      </w:pPr>
      <w:r>
        <w:rPr>
          <w:noProof/>
        </w:rPr>
        <w:t>Higher Education Support (Administration) Guidelines 2022</w:t>
      </w:r>
      <w:r>
        <w:rPr>
          <w:noProof/>
        </w:rPr>
        <w:tab/>
      </w:r>
      <w:r>
        <w:rPr>
          <w:noProof/>
        </w:rPr>
        <w:fldChar w:fldCharType="begin"/>
      </w:r>
      <w:r>
        <w:rPr>
          <w:noProof/>
        </w:rPr>
        <w:instrText xml:space="preserve"> PAGEREF _Toc153449397 \h </w:instrText>
      </w:r>
      <w:r>
        <w:rPr>
          <w:noProof/>
        </w:rPr>
      </w:r>
      <w:r>
        <w:rPr>
          <w:noProof/>
        </w:rPr>
        <w:fldChar w:fldCharType="separate"/>
      </w:r>
      <w:r>
        <w:rPr>
          <w:noProof/>
        </w:rPr>
        <w:t>2</w:t>
      </w:r>
      <w:r>
        <w:rPr>
          <w:noProof/>
        </w:rPr>
        <w:fldChar w:fldCharType="end"/>
      </w:r>
    </w:p>
    <w:p w14:paraId="65740F8A" w14:textId="4386C06E" w:rsidR="000F3799" w:rsidRDefault="000F3799">
      <w:pPr>
        <w:pStyle w:val="TOC5"/>
        <w:rPr>
          <w:rFonts w:asciiTheme="minorHAnsi" w:eastAsiaTheme="minorEastAsia" w:hAnsiTheme="minorHAnsi" w:cstheme="minorBidi"/>
          <w:noProof/>
          <w:kern w:val="2"/>
          <w:sz w:val="22"/>
          <w:szCs w:val="22"/>
          <w14:ligatures w14:val="standardContextual"/>
        </w:rPr>
      </w:pPr>
      <w:r>
        <w:rPr>
          <w:noProof/>
        </w:rPr>
        <w:t>16  People who must receive a Commonwealth Assistance Notice</w:t>
      </w:r>
      <w:r>
        <w:rPr>
          <w:noProof/>
        </w:rPr>
        <w:tab/>
      </w:r>
      <w:r>
        <w:rPr>
          <w:noProof/>
        </w:rPr>
        <w:fldChar w:fldCharType="begin"/>
      </w:r>
      <w:r>
        <w:rPr>
          <w:noProof/>
        </w:rPr>
        <w:instrText xml:space="preserve"> PAGEREF _Toc153449398 \h </w:instrText>
      </w:r>
      <w:r>
        <w:rPr>
          <w:noProof/>
        </w:rPr>
      </w:r>
      <w:r>
        <w:rPr>
          <w:noProof/>
        </w:rPr>
        <w:fldChar w:fldCharType="separate"/>
      </w:r>
      <w:r>
        <w:rPr>
          <w:noProof/>
        </w:rPr>
        <w:t>2</w:t>
      </w:r>
      <w:r>
        <w:rPr>
          <w:noProof/>
        </w:rPr>
        <w:fldChar w:fldCharType="end"/>
      </w:r>
    </w:p>
    <w:p w14:paraId="308507A3" w14:textId="75710ACC" w:rsidR="000F3799" w:rsidRDefault="000F3799">
      <w:pPr>
        <w:pStyle w:val="TOC6"/>
        <w:rPr>
          <w:rFonts w:asciiTheme="minorHAnsi" w:eastAsiaTheme="minorEastAsia" w:hAnsiTheme="minorHAnsi" w:cstheme="minorBidi"/>
          <w:b w:val="0"/>
          <w:noProof/>
          <w:kern w:val="2"/>
          <w:sz w:val="22"/>
          <w:szCs w:val="22"/>
          <w14:ligatures w14:val="standardContextual"/>
        </w:rPr>
      </w:pPr>
      <w:r>
        <w:rPr>
          <w:noProof/>
        </w:rPr>
        <w:t>Part 6 – Publication requirements for census dates and EFTSL values</w:t>
      </w:r>
      <w:r>
        <w:rPr>
          <w:noProof/>
        </w:rPr>
        <w:tab/>
      </w:r>
      <w:r>
        <w:rPr>
          <w:noProof/>
        </w:rPr>
        <w:fldChar w:fldCharType="begin"/>
      </w:r>
      <w:r>
        <w:rPr>
          <w:noProof/>
        </w:rPr>
        <w:instrText xml:space="preserve"> PAGEREF _Toc153449399 \h </w:instrText>
      </w:r>
      <w:r>
        <w:rPr>
          <w:noProof/>
        </w:rPr>
      </w:r>
      <w:r>
        <w:rPr>
          <w:noProof/>
        </w:rPr>
        <w:fldChar w:fldCharType="separate"/>
      </w:r>
      <w:r>
        <w:rPr>
          <w:noProof/>
        </w:rPr>
        <w:t>3</w:t>
      </w:r>
      <w:r>
        <w:rPr>
          <w:noProof/>
        </w:rPr>
        <w:fldChar w:fldCharType="end"/>
      </w:r>
    </w:p>
    <w:p w14:paraId="7A82BE45" w14:textId="376B753A" w:rsidR="000F3799" w:rsidRDefault="000F3799">
      <w:pPr>
        <w:pStyle w:val="TOC5"/>
        <w:rPr>
          <w:rFonts w:asciiTheme="minorHAnsi" w:eastAsiaTheme="minorEastAsia" w:hAnsiTheme="minorHAnsi" w:cstheme="minorBidi"/>
          <w:noProof/>
          <w:kern w:val="2"/>
          <w:sz w:val="22"/>
          <w:szCs w:val="22"/>
          <w14:ligatures w14:val="standardContextual"/>
        </w:rPr>
      </w:pPr>
      <w:r>
        <w:rPr>
          <w:noProof/>
        </w:rPr>
        <w:t>21  Period for the purpose of determining census dates and EFTSL values</w:t>
      </w:r>
      <w:r>
        <w:rPr>
          <w:noProof/>
        </w:rPr>
        <w:tab/>
      </w:r>
      <w:r>
        <w:rPr>
          <w:noProof/>
        </w:rPr>
        <w:fldChar w:fldCharType="begin"/>
      </w:r>
      <w:r>
        <w:rPr>
          <w:noProof/>
        </w:rPr>
        <w:instrText xml:space="preserve"> PAGEREF _Toc153449400 \h </w:instrText>
      </w:r>
      <w:r>
        <w:rPr>
          <w:noProof/>
        </w:rPr>
      </w:r>
      <w:r>
        <w:rPr>
          <w:noProof/>
        </w:rPr>
        <w:fldChar w:fldCharType="separate"/>
      </w:r>
      <w:r>
        <w:rPr>
          <w:noProof/>
        </w:rPr>
        <w:t>3</w:t>
      </w:r>
      <w:r>
        <w:rPr>
          <w:noProof/>
        </w:rPr>
        <w:fldChar w:fldCharType="end"/>
      </w:r>
    </w:p>
    <w:p w14:paraId="04CA56E7" w14:textId="0BE66BCB" w:rsidR="000F3799" w:rsidRDefault="000F3799">
      <w:pPr>
        <w:pStyle w:val="TOC5"/>
        <w:rPr>
          <w:rFonts w:asciiTheme="minorHAnsi" w:eastAsiaTheme="minorEastAsia" w:hAnsiTheme="minorHAnsi" w:cstheme="minorBidi"/>
          <w:noProof/>
          <w:kern w:val="2"/>
          <w:sz w:val="22"/>
          <w:szCs w:val="22"/>
          <w14:ligatures w14:val="standardContextual"/>
        </w:rPr>
      </w:pPr>
      <w:r>
        <w:rPr>
          <w:noProof/>
        </w:rPr>
        <w:t>22  Date by which, and manner in which, census dates and EFTSL values must be published by a higher education provider</w:t>
      </w:r>
      <w:r>
        <w:rPr>
          <w:noProof/>
        </w:rPr>
        <w:tab/>
      </w:r>
      <w:r>
        <w:rPr>
          <w:noProof/>
        </w:rPr>
        <w:fldChar w:fldCharType="begin"/>
      </w:r>
      <w:r>
        <w:rPr>
          <w:noProof/>
        </w:rPr>
        <w:instrText xml:space="preserve"> PAGEREF _Toc153449401 \h </w:instrText>
      </w:r>
      <w:r>
        <w:rPr>
          <w:noProof/>
        </w:rPr>
      </w:r>
      <w:r>
        <w:rPr>
          <w:noProof/>
        </w:rPr>
        <w:fldChar w:fldCharType="separate"/>
      </w:r>
      <w:r>
        <w:rPr>
          <w:noProof/>
        </w:rPr>
        <w:t>3</w:t>
      </w:r>
      <w:r>
        <w:rPr>
          <w:noProof/>
        </w:rPr>
        <w:fldChar w:fldCharType="end"/>
      </w:r>
    </w:p>
    <w:p w14:paraId="61749CE1" w14:textId="732DD76B" w:rsidR="000F3799" w:rsidRDefault="000F3799">
      <w:pPr>
        <w:pStyle w:val="TOC5"/>
        <w:rPr>
          <w:rFonts w:asciiTheme="minorHAnsi" w:eastAsiaTheme="minorEastAsia" w:hAnsiTheme="minorHAnsi" w:cstheme="minorBidi"/>
          <w:noProof/>
          <w:kern w:val="2"/>
          <w:sz w:val="22"/>
          <w:szCs w:val="22"/>
          <w14:ligatures w14:val="standardContextual"/>
        </w:rPr>
      </w:pPr>
      <w:r>
        <w:rPr>
          <w:noProof/>
        </w:rPr>
        <w:t>23  Date by which and circumstances in which a published census date or published EFTSL value may be varied</w:t>
      </w:r>
      <w:r>
        <w:rPr>
          <w:noProof/>
        </w:rPr>
        <w:tab/>
      </w:r>
      <w:r>
        <w:rPr>
          <w:noProof/>
        </w:rPr>
        <w:fldChar w:fldCharType="begin"/>
      </w:r>
      <w:r>
        <w:rPr>
          <w:noProof/>
        </w:rPr>
        <w:instrText xml:space="preserve"> PAGEREF _Toc153449402 \h </w:instrText>
      </w:r>
      <w:r>
        <w:rPr>
          <w:noProof/>
        </w:rPr>
      </w:r>
      <w:r>
        <w:rPr>
          <w:noProof/>
        </w:rPr>
        <w:fldChar w:fldCharType="separate"/>
      </w:r>
      <w:r>
        <w:rPr>
          <w:noProof/>
        </w:rPr>
        <w:t>3</w:t>
      </w:r>
      <w:r>
        <w:rPr>
          <w:noProof/>
        </w:rPr>
        <w:fldChar w:fldCharType="end"/>
      </w:r>
    </w:p>
    <w:p w14:paraId="51B35015" w14:textId="41AA7797" w:rsidR="000F3799" w:rsidRDefault="000F3799">
      <w:pPr>
        <w:pStyle w:val="TOC5"/>
        <w:rPr>
          <w:rFonts w:asciiTheme="minorHAnsi" w:eastAsiaTheme="minorEastAsia" w:hAnsiTheme="minorHAnsi" w:cstheme="minorBidi"/>
          <w:noProof/>
          <w:kern w:val="2"/>
          <w:sz w:val="22"/>
          <w:szCs w:val="22"/>
          <w14:ligatures w14:val="standardContextual"/>
        </w:rPr>
      </w:pPr>
      <w:r>
        <w:rPr>
          <w:noProof/>
        </w:rPr>
        <w:t>24  Date by which, and manner in which, a varied census date or EFTSL value must be published</w:t>
      </w:r>
      <w:r>
        <w:rPr>
          <w:noProof/>
        </w:rPr>
        <w:tab/>
      </w:r>
      <w:r>
        <w:rPr>
          <w:noProof/>
        </w:rPr>
        <w:fldChar w:fldCharType="begin"/>
      </w:r>
      <w:r>
        <w:rPr>
          <w:noProof/>
        </w:rPr>
        <w:instrText xml:space="preserve"> PAGEREF _Toc153449403 \h </w:instrText>
      </w:r>
      <w:r>
        <w:rPr>
          <w:noProof/>
        </w:rPr>
      </w:r>
      <w:r>
        <w:rPr>
          <w:noProof/>
        </w:rPr>
        <w:fldChar w:fldCharType="separate"/>
      </w:r>
      <w:r>
        <w:rPr>
          <w:noProof/>
        </w:rPr>
        <w:t>4</w:t>
      </w:r>
      <w:r>
        <w:rPr>
          <w:noProof/>
        </w:rPr>
        <w:fldChar w:fldCharType="end"/>
      </w:r>
    </w:p>
    <w:p w14:paraId="6714287E" w14:textId="61156313" w:rsidR="000F3799" w:rsidRDefault="000F3799">
      <w:pPr>
        <w:pStyle w:val="TOC5"/>
        <w:rPr>
          <w:rFonts w:asciiTheme="minorHAnsi" w:eastAsiaTheme="minorEastAsia" w:hAnsiTheme="minorHAnsi" w:cstheme="minorBidi"/>
          <w:noProof/>
          <w:kern w:val="2"/>
          <w:sz w:val="22"/>
          <w:szCs w:val="22"/>
          <w14:ligatures w14:val="standardContextual"/>
        </w:rPr>
      </w:pPr>
      <w:r>
        <w:rPr>
          <w:noProof/>
        </w:rPr>
        <w:t>25  Requirements for determining a census date</w:t>
      </w:r>
      <w:r>
        <w:rPr>
          <w:noProof/>
        </w:rPr>
        <w:tab/>
      </w:r>
      <w:r>
        <w:rPr>
          <w:noProof/>
        </w:rPr>
        <w:fldChar w:fldCharType="begin"/>
      </w:r>
      <w:r>
        <w:rPr>
          <w:noProof/>
        </w:rPr>
        <w:instrText xml:space="preserve"> PAGEREF _Toc153449404 \h </w:instrText>
      </w:r>
      <w:r>
        <w:rPr>
          <w:noProof/>
        </w:rPr>
      </w:r>
      <w:r>
        <w:rPr>
          <w:noProof/>
        </w:rPr>
        <w:fldChar w:fldCharType="separate"/>
      </w:r>
      <w:r>
        <w:rPr>
          <w:noProof/>
        </w:rPr>
        <w:t>4</w:t>
      </w:r>
      <w:r>
        <w:rPr>
          <w:noProof/>
        </w:rPr>
        <w:fldChar w:fldCharType="end"/>
      </w:r>
    </w:p>
    <w:p w14:paraId="0B625513" w14:textId="79006F18" w:rsidR="000F3799" w:rsidRDefault="000F3799">
      <w:pPr>
        <w:pStyle w:val="TOC6"/>
        <w:rPr>
          <w:rFonts w:asciiTheme="minorHAnsi" w:eastAsiaTheme="minorEastAsia" w:hAnsiTheme="minorHAnsi" w:cstheme="minorBidi"/>
          <w:b w:val="0"/>
          <w:noProof/>
          <w:kern w:val="2"/>
          <w:sz w:val="22"/>
          <w:szCs w:val="22"/>
          <w14:ligatures w14:val="standardContextual"/>
        </w:rPr>
      </w:pPr>
      <w:r>
        <w:rPr>
          <w:noProof/>
        </w:rPr>
        <w:t>Part 7A – Determining the EFTSL value of an accelerator program course</w:t>
      </w:r>
      <w:r>
        <w:rPr>
          <w:noProof/>
        </w:rPr>
        <w:tab/>
      </w:r>
      <w:r>
        <w:rPr>
          <w:noProof/>
        </w:rPr>
        <w:fldChar w:fldCharType="begin"/>
      </w:r>
      <w:r>
        <w:rPr>
          <w:noProof/>
        </w:rPr>
        <w:instrText xml:space="preserve"> PAGEREF _Toc153449405 \h </w:instrText>
      </w:r>
      <w:r>
        <w:rPr>
          <w:noProof/>
        </w:rPr>
      </w:r>
      <w:r>
        <w:rPr>
          <w:noProof/>
        </w:rPr>
        <w:fldChar w:fldCharType="separate"/>
      </w:r>
      <w:r>
        <w:rPr>
          <w:noProof/>
        </w:rPr>
        <w:t>4</w:t>
      </w:r>
      <w:r>
        <w:rPr>
          <w:noProof/>
        </w:rPr>
        <w:fldChar w:fldCharType="end"/>
      </w:r>
    </w:p>
    <w:p w14:paraId="56667193" w14:textId="754BFE02" w:rsidR="000F3799" w:rsidRDefault="000F3799">
      <w:pPr>
        <w:pStyle w:val="TOC5"/>
        <w:rPr>
          <w:rFonts w:asciiTheme="minorHAnsi" w:eastAsiaTheme="minorEastAsia" w:hAnsiTheme="minorHAnsi" w:cstheme="minorBidi"/>
          <w:noProof/>
          <w:kern w:val="2"/>
          <w:sz w:val="22"/>
          <w:szCs w:val="22"/>
          <w14:ligatures w14:val="standardContextual"/>
        </w:rPr>
      </w:pPr>
      <w:r>
        <w:rPr>
          <w:noProof/>
        </w:rPr>
        <w:t>28A  EFTSL value for an accelerator program course</w:t>
      </w:r>
      <w:r>
        <w:rPr>
          <w:noProof/>
        </w:rPr>
        <w:tab/>
      </w:r>
      <w:r>
        <w:rPr>
          <w:noProof/>
        </w:rPr>
        <w:fldChar w:fldCharType="begin"/>
      </w:r>
      <w:r>
        <w:rPr>
          <w:noProof/>
        </w:rPr>
        <w:instrText xml:space="preserve"> PAGEREF _Toc153449406 \h </w:instrText>
      </w:r>
      <w:r>
        <w:rPr>
          <w:noProof/>
        </w:rPr>
      </w:r>
      <w:r>
        <w:rPr>
          <w:noProof/>
        </w:rPr>
        <w:fldChar w:fldCharType="separate"/>
      </w:r>
      <w:r>
        <w:rPr>
          <w:noProof/>
        </w:rPr>
        <w:t>4</w:t>
      </w:r>
      <w:r>
        <w:rPr>
          <w:noProof/>
        </w:rPr>
        <w:fldChar w:fldCharType="end"/>
      </w:r>
    </w:p>
    <w:p w14:paraId="331FECAB" w14:textId="13B45835" w:rsidR="000F3799" w:rsidRDefault="000F3799">
      <w:pPr>
        <w:pStyle w:val="TOC6"/>
        <w:rPr>
          <w:rFonts w:asciiTheme="minorHAnsi" w:eastAsiaTheme="minorEastAsia" w:hAnsiTheme="minorHAnsi" w:cstheme="minorBidi"/>
          <w:b w:val="0"/>
          <w:noProof/>
          <w:kern w:val="2"/>
          <w:sz w:val="22"/>
          <w:szCs w:val="22"/>
          <w14:ligatures w14:val="standardContextual"/>
        </w:rPr>
      </w:pPr>
      <w:r>
        <w:rPr>
          <w:noProof/>
        </w:rPr>
        <w:t xml:space="preserve">Schedule 2—Amendments to the </w:t>
      </w:r>
      <w:r w:rsidRPr="00635FDA">
        <w:rPr>
          <w:i/>
          <w:iCs/>
          <w:noProof/>
        </w:rPr>
        <w:t>Higher Education Provider Guidelines 2023</w:t>
      </w:r>
      <w:r>
        <w:rPr>
          <w:noProof/>
        </w:rPr>
        <w:tab/>
      </w:r>
      <w:r>
        <w:rPr>
          <w:noProof/>
        </w:rPr>
        <w:fldChar w:fldCharType="begin"/>
      </w:r>
      <w:r>
        <w:rPr>
          <w:noProof/>
        </w:rPr>
        <w:instrText xml:space="preserve"> PAGEREF _Toc153449407 \h </w:instrText>
      </w:r>
      <w:r>
        <w:rPr>
          <w:noProof/>
        </w:rPr>
      </w:r>
      <w:r>
        <w:rPr>
          <w:noProof/>
        </w:rPr>
        <w:fldChar w:fldCharType="separate"/>
      </w:r>
      <w:r>
        <w:rPr>
          <w:noProof/>
        </w:rPr>
        <w:t>5</w:t>
      </w:r>
      <w:r>
        <w:rPr>
          <w:noProof/>
        </w:rPr>
        <w:fldChar w:fldCharType="end"/>
      </w:r>
    </w:p>
    <w:p w14:paraId="6AC734E9" w14:textId="223CA02A" w:rsidR="000F3799" w:rsidRDefault="000F3799">
      <w:pPr>
        <w:pStyle w:val="TOC9"/>
        <w:rPr>
          <w:rFonts w:asciiTheme="minorHAnsi" w:eastAsiaTheme="minorEastAsia" w:hAnsiTheme="minorHAnsi" w:cstheme="minorBidi"/>
          <w:i w:val="0"/>
          <w:noProof/>
          <w:kern w:val="2"/>
          <w:sz w:val="22"/>
          <w:szCs w:val="22"/>
          <w14:ligatures w14:val="standardContextual"/>
        </w:rPr>
      </w:pPr>
      <w:r>
        <w:rPr>
          <w:noProof/>
        </w:rPr>
        <w:t>Higher Education Provider Guidelines 2023</w:t>
      </w:r>
      <w:r>
        <w:rPr>
          <w:noProof/>
        </w:rPr>
        <w:tab/>
      </w:r>
      <w:r>
        <w:rPr>
          <w:noProof/>
        </w:rPr>
        <w:fldChar w:fldCharType="begin"/>
      </w:r>
      <w:r>
        <w:rPr>
          <w:noProof/>
        </w:rPr>
        <w:instrText xml:space="preserve"> PAGEREF _Toc153449408 \h </w:instrText>
      </w:r>
      <w:r>
        <w:rPr>
          <w:noProof/>
        </w:rPr>
      </w:r>
      <w:r>
        <w:rPr>
          <w:noProof/>
        </w:rPr>
        <w:fldChar w:fldCharType="separate"/>
      </w:r>
      <w:r>
        <w:rPr>
          <w:noProof/>
        </w:rPr>
        <w:t>5</w:t>
      </w:r>
      <w:r>
        <w:rPr>
          <w:noProof/>
        </w:rPr>
        <w:fldChar w:fldCharType="end"/>
      </w:r>
    </w:p>
    <w:p w14:paraId="7745B1D9" w14:textId="06EA98B6" w:rsidR="000F3799" w:rsidRDefault="000F3799">
      <w:pPr>
        <w:pStyle w:val="TOC5"/>
        <w:rPr>
          <w:rFonts w:asciiTheme="minorHAnsi" w:eastAsiaTheme="minorEastAsia" w:hAnsiTheme="minorHAnsi" w:cstheme="minorBidi"/>
          <w:noProof/>
          <w:kern w:val="2"/>
          <w:sz w:val="22"/>
          <w:szCs w:val="22"/>
          <w14:ligatures w14:val="standardContextual"/>
        </w:rPr>
      </w:pPr>
      <w:r>
        <w:rPr>
          <w:noProof/>
        </w:rPr>
        <w:t>20  Requirements for grievance procedures</w:t>
      </w:r>
      <w:r>
        <w:rPr>
          <w:noProof/>
        </w:rPr>
        <w:tab/>
      </w:r>
      <w:r>
        <w:rPr>
          <w:noProof/>
        </w:rPr>
        <w:fldChar w:fldCharType="begin"/>
      </w:r>
      <w:r>
        <w:rPr>
          <w:noProof/>
        </w:rPr>
        <w:instrText xml:space="preserve"> PAGEREF _Toc153449409 \h </w:instrText>
      </w:r>
      <w:r>
        <w:rPr>
          <w:noProof/>
        </w:rPr>
      </w:r>
      <w:r>
        <w:rPr>
          <w:noProof/>
        </w:rPr>
        <w:fldChar w:fldCharType="separate"/>
      </w:r>
      <w:r>
        <w:rPr>
          <w:noProof/>
        </w:rPr>
        <w:t>5</w:t>
      </w:r>
      <w:r>
        <w:rPr>
          <w:noProof/>
        </w:rPr>
        <w:fldChar w:fldCharType="end"/>
      </w:r>
    </w:p>
    <w:p w14:paraId="47C4BE8E" w14:textId="1D0C6757" w:rsidR="000F3799" w:rsidRDefault="000F3799">
      <w:pPr>
        <w:pStyle w:val="TOC5"/>
        <w:rPr>
          <w:rFonts w:asciiTheme="minorHAnsi" w:eastAsiaTheme="minorEastAsia" w:hAnsiTheme="minorHAnsi" w:cstheme="minorBidi"/>
          <w:noProof/>
          <w:kern w:val="2"/>
          <w:sz w:val="22"/>
          <w:szCs w:val="22"/>
          <w14:ligatures w14:val="standardContextual"/>
        </w:rPr>
      </w:pPr>
      <w:r>
        <w:rPr>
          <w:noProof/>
        </w:rPr>
        <w:t>22  Period in which a higher education provider provides or proposes to provide a unit of study or accelerator program course</w:t>
      </w:r>
      <w:r>
        <w:rPr>
          <w:noProof/>
        </w:rPr>
        <w:tab/>
      </w:r>
      <w:r>
        <w:rPr>
          <w:noProof/>
        </w:rPr>
        <w:fldChar w:fldCharType="begin"/>
      </w:r>
      <w:r>
        <w:rPr>
          <w:noProof/>
        </w:rPr>
        <w:instrText xml:space="preserve"> PAGEREF _Toc153449410 \h </w:instrText>
      </w:r>
      <w:r>
        <w:rPr>
          <w:noProof/>
        </w:rPr>
      </w:r>
      <w:r>
        <w:rPr>
          <w:noProof/>
        </w:rPr>
        <w:fldChar w:fldCharType="separate"/>
      </w:r>
      <w:r>
        <w:rPr>
          <w:noProof/>
        </w:rPr>
        <w:t>6</w:t>
      </w:r>
      <w:r>
        <w:rPr>
          <w:noProof/>
        </w:rPr>
        <w:fldChar w:fldCharType="end"/>
      </w:r>
    </w:p>
    <w:p w14:paraId="61CF16A4" w14:textId="552D8D47" w:rsidR="000F3799" w:rsidRDefault="000F3799">
      <w:pPr>
        <w:pStyle w:val="TOC5"/>
        <w:rPr>
          <w:rFonts w:asciiTheme="minorHAnsi" w:eastAsiaTheme="minorEastAsia" w:hAnsiTheme="minorHAnsi" w:cstheme="minorBidi"/>
          <w:noProof/>
          <w:kern w:val="2"/>
          <w:sz w:val="22"/>
          <w:szCs w:val="22"/>
          <w14:ligatures w14:val="standardContextual"/>
        </w:rPr>
      </w:pPr>
      <w:r>
        <w:rPr>
          <w:noProof/>
        </w:rPr>
        <w:t>23  Date by which, and manner by which, a higher education provider must publish the schedules of student contribution amounts, tuition fees and accelerator program course fees for a particular period</w:t>
      </w:r>
      <w:r>
        <w:rPr>
          <w:noProof/>
        </w:rPr>
        <w:tab/>
      </w:r>
      <w:r>
        <w:rPr>
          <w:noProof/>
        </w:rPr>
        <w:fldChar w:fldCharType="begin"/>
      </w:r>
      <w:r>
        <w:rPr>
          <w:noProof/>
        </w:rPr>
        <w:instrText xml:space="preserve"> PAGEREF _Toc153449411 \h </w:instrText>
      </w:r>
      <w:r>
        <w:rPr>
          <w:noProof/>
        </w:rPr>
      </w:r>
      <w:r>
        <w:rPr>
          <w:noProof/>
        </w:rPr>
        <w:fldChar w:fldCharType="separate"/>
      </w:r>
      <w:r>
        <w:rPr>
          <w:noProof/>
        </w:rPr>
        <w:t>6</w:t>
      </w:r>
      <w:r>
        <w:rPr>
          <w:noProof/>
        </w:rPr>
        <w:fldChar w:fldCharType="end"/>
      </w:r>
    </w:p>
    <w:p w14:paraId="60A46F3D" w14:textId="5B79018F" w:rsidR="000F3799" w:rsidRDefault="000F3799">
      <w:pPr>
        <w:pStyle w:val="TOC5"/>
        <w:rPr>
          <w:rFonts w:asciiTheme="minorHAnsi" w:eastAsiaTheme="minorEastAsia" w:hAnsiTheme="minorHAnsi" w:cstheme="minorBidi"/>
          <w:noProof/>
          <w:kern w:val="2"/>
          <w:sz w:val="22"/>
          <w:szCs w:val="22"/>
          <w14:ligatures w14:val="standardContextual"/>
        </w:rPr>
      </w:pPr>
      <w:r>
        <w:rPr>
          <w:noProof/>
        </w:rPr>
        <w:t>34  Offering certain inducements</w:t>
      </w:r>
      <w:r>
        <w:rPr>
          <w:noProof/>
        </w:rPr>
        <w:tab/>
      </w:r>
      <w:r>
        <w:rPr>
          <w:noProof/>
        </w:rPr>
        <w:fldChar w:fldCharType="begin"/>
      </w:r>
      <w:r>
        <w:rPr>
          <w:noProof/>
        </w:rPr>
        <w:instrText xml:space="preserve"> PAGEREF _Toc153449412 \h </w:instrText>
      </w:r>
      <w:r>
        <w:rPr>
          <w:noProof/>
        </w:rPr>
      </w:r>
      <w:r>
        <w:rPr>
          <w:noProof/>
        </w:rPr>
        <w:fldChar w:fldCharType="separate"/>
      </w:r>
      <w:r>
        <w:rPr>
          <w:noProof/>
        </w:rPr>
        <w:t>7</w:t>
      </w:r>
      <w:r>
        <w:rPr>
          <w:noProof/>
        </w:rPr>
        <w:fldChar w:fldCharType="end"/>
      </w:r>
    </w:p>
    <w:p w14:paraId="1F4C52F3" w14:textId="01CE77DC" w:rsidR="000F3799" w:rsidRDefault="000F3799">
      <w:pPr>
        <w:pStyle w:val="TOC5"/>
        <w:rPr>
          <w:rFonts w:asciiTheme="minorHAnsi" w:eastAsiaTheme="minorEastAsia" w:hAnsiTheme="minorHAnsi" w:cstheme="minorBidi"/>
          <w:noProof/>
          <w:kern w:val="2"/>
          <w:sz w:val="22"/>
          <w:szCs w:val="22"/>
          <w14:ligatures w14:val="standardContextual"/>
        </w:rPr>
      </w:pPr>
      <w:r>
        <w:rPr>
          <w:noProof/>
        </w:rPr>
        <w:t>37 Publishing information</w:t>
      </w:r>
      <w:r>
        <w:rPr>
          <w:noProof/>
        </w:rPr>
        <w:tab/>
      </w:r>
      <w:r>
        <w:rPr>
          <w:noProof/>
        </w:rPr>
        <w:fldChar w:fldCharType="begin"/>
      </w:r>
      <w:r>
        <w:rPr>
          <w:noProof/>
        </w:rPr>
        <w:instrText xml:space="preserve"> PAGEREF _Toc153449413 \h </w:instrText>
      </w:r>
      <w:r>
        <w:rPr>
          <w:noProof/>
        </w:rPr>
      </w:r>
      <w:r>
        <w:rPr>
          <w:noProof/>
        </w:rPr>
        <w:fldChar w:fldCharType="separate"/>
      </w:r>
      <w:r>
        <w:rPr>
          <w:noProof/>
        </w:rPr>
        <w:t>7</w:t>
      </w:r>
      <w:r>
        <w:rPr>
          <w:noProof/>
        </w:rPr>
        <w:fldChar w:fldCharType="end"/>
      </w:r>
    </w:p>
    <w:p w14:paraId="4E16FB4F" w14:textId="542B5CAC" w:rsidR="000F3799" w:rsidRDefault="000F3799">
      <w:pPr>
        <w:pStyle w:val="TOC5"/>
        <w:rPr>
          <w:rFonts w:asciiTheme="minorHAnsi" w:eastAsiaTheme="minorEastAsia" w:hAnsiTheme="minorHAnsi" w:cstheme="minorBidi"/>
          <w:noProof/>
          <w:kern w:val="2"/>
          <w:sz w:val="22"/>
          <w:szCs w:val="22"/>
          <w14:ligatures w14:val="standardContextual"/>
        </w:rPr>
      </w:pPr>
      <w:r>
        <w:rPr>
          <w:noProof/>
        </w:rPr>
        <w:t>38  Withdrawal from units of study or accelerator program courses</w:t>
      </w:r>
      <w:r>
        <w:rPr>
          <w:noProof/>
        </w:rPr>
        <w:tab/>
      </w:r>
      <w:r>
        <w:rPr>
          <w:noProof/>
        </w:rPr>
        <w:fldChar w:fldCharType="begin"/>
      </w:r>
      <w:r>
        <w:rPr>
          <w:noProof/>
        </w:rPr>
        <w:instrText xml:space="preserve"> PAGEREF _Toc153449414 \h </w:instrText>
      </w:r>
      <w:r>
        <w:rPr>
          <w:noProof/>
        </w:rPr>
      </w:r>
      <w:r>
        <w:rPr>
          <w:noProof/>
        </w:rPr>
        <w:fldChar w:fldCharType="separate"/>
      </w:r>
      <w:r>
        <w:rPr>
          <w:noProof/>
        </w:rPr>
        <w:t>8</w:t>
      </w:r>
      <w:r>
        <w:rPr>
          <w:noProof/>
        </w:rPr>
        <w:fldChar w:fldCharType="end"/>
      </w:r>
    </w:p>
    <w:p w14:paraId="62B3E707" w14:textId="40ED46D4" w:rsidR="000F3799" w:rsidRDefault="000F3799">
      <w:pPr>
        <w:pStyle w:val="TOC5"/>
        <w:rPr>
          <w:rFonts w:asciiTheme="minorHAnsi" w:eastAsiaTheme="minorEastAsia" w:hAnsiTheme="minorHAnsi" w:cstheme="minorBidi"/>
          <w:noProof/>
          <w:kern w:val="2"/>
          <w:sz w:val="22"/>
          <w:szCs w:val="22"/>
          <w14:ligatures w14:val="standardContextual"/>
        </w:rPr>
      </w:pPr>
      <w:r>
        <w:rPr>
          <w:noProof/>
        </w:rPr>
        <w:t>39  Genuine student</w:t>
      </w:r>
      <w:r>
        <w:rPr>
          <w:noProof/>
        </w:rPr>
        <w:tab/>
      </w:r>
      <w:r>
        <w:rPr>
          <w:noProof/>
        </w:rPr>
        <w:fldChar w:fldCharType="begin"/>
      </w:r>
      <w:r>
        <w:rPr>
          <w:noProof/>
        </w:rPr>
        <w:instrText xml:space="preserve"> PAGEREF _Toc153449415 \h </w:instrText>
      </w:r>
      <w:r>
        <w:rPr>
          <w:noProof/>
        </w:rPr>
      </w:r>
      <w:r>
        <w:rPr>
          <w:noProof/>
        </w:rPr>
        <w:fldChar w:fldCharType="separate"/>
      </w:r>
      <w:r>
        <w:rPr>
          <w:noProof/>
        </w:rPr>
        <w:t>8</w:t>
      </w:r>
      <w:r>
        <w:rPr>
          <w:noProof/>
        </w:rPr>
        <w:fldChar w:fldCharType="end"/>
      </w:r>
    </w:p>
    <w:p w14:paraId="6146D546" w14:textId="367B83B8" w:rsidR="00B20990" w:rsidRDefault="00B20990" w:rsidP="005E317F">
      <w:r w:rsidRPr="005E317F">
        <w:rPr>
          <w:rFonts w:cs="Times New Roman"/>
          <w:sz w:val="20"/>
        </w:rPr>
        <w:fldChar w:fldCharType="end"/>
      </w:r>
    </w:p>
    <w:p w14:paraId="7570DAA8" w14:textId="77777777" w:rsidR="00B20990" w:rsidRDefault="00B20990" w:rsidP="00B20990"/>
    <w:p w14:paraId="05816562" w14:textId="77777777" w:rsidR="00B20990" w:rsidRDefault="00B20990" w:rsidP="00B20990">
      <w:pPr>
        <w:sectPr w:rsidR="00B20990" w:rsidSect="00C160A1">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501B07F0" w14:textId="77777777" w:rsidR="005E317F" w:rsidRPr="009C2562" w:rsidRDefault="005E317F" w:rsidP="005E317F">
      <w:pPr>
        <w:pStyle w:val="ActHead5"/>
      </w:pPr>
      <w:bookmarkStart w:id="1" w:name="_Toc153449392"/>
      <w:r w:rsidRPr="009C2562">
        <w:rPr>
          <w:rStyle w:val="CharSectno"/>
        </w:rPr>
        <w:lastRenderedPageBreak/>
        <w:t>1</w:t>
      </w:r>
      <w:r w:rsidRPr="009C2562">
        <w:t xml:space="preserve">  Name</w:t>
      </w:r>
      <w:bookmarkEnd w:id="1"/>
    </w:p>
    <w:p w14:paraId="380C69E4" w14:textId="725440C7"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870F60">
        <w:rPr>
          <w:i/>
        </w:rPr>
        <w:t>Higher Education Support Amendment (Startup Year) Guidelines 2023</w:t>
      </w:r>
      <w:r w:rsidRPr="009C2562">
        <w:t>.</w:t>
      </w:r>
    </w:p>
    <w:p w14:paraId="3349AC7F" w14:textId="77777777" w:rsidR="000F3799" w:rsidRDefault="000F3799" w:rsidP="000F3799">
      <w:pPr>
        <w:pStyle w:val="ActHead5"/>
      </w:pPr>
      <w:bookmarkStart w:id="3" w:name="_Toc146025438"/>
      <w:bookmarkStart w:id="4" w:name="_Toc153449393"/>
      <w:bookmarkStart w:id="5" w:name="_Toc115768164"/>
      <w:r w:rsidRPr="009C2562">
        <w:rPr>
          <w:rStyle w:val="CharSectno"/>
        </w:rPr>
        <w:t>2</w:t>
      </w:r>
      <w:r w:rsidRPr="009C2562">
        <w:t xml:space="preserve">  Commencement</w:t>
      </w:r>
      <w:bookmarkEnd w:id="3"/>
      <w:bookmarkEnd w:id="4"/>
    </w:p>
    <w:p w14:paraId="2C6B42A1" w14:textId="77777777" w:rsidR="000F3799" w:rsidRPr="00232984" w:rsidRDefault="000F3799" w:rsidP="000F3799">
      <w:pPr>
        <w:pStyle w:val="subsection"/>
      </w:pPr>
      <w:r>
        <w:tab/>
      </w:r>
      <w:r>
        <w:tab/>
        <w:t>This instrument commences the day after this instrument is registered.</w:t>
      </w:r>
    </w:p>
    <w:p w14:paraId="263B7540" w14:textId="77777777" w:rsidR="005E317F" w:rsidRPr="009C2562" w:rsidRDefault="005E317F" w:rsidP="005E317F">
      <w:pPr>
        <w:pStyle w:val="ActHead5"/>
      </w:pPr>
      <w:bookmarkStart w:id="6" w:name="_Toc153449394"/>
      <w:bookmarkEnd w:id="5"/>
      <w:r w:rsidRPr="009C2562">
        <w:rPr>
          <w:rStyle w:val="CharSectno"/>
        </w:rPr>
        <w:t>3</w:t>
      </w:r>
      <w:r w:rsidRPr="009C2562">
        <w:t xml:space="preserve">  Authority</w:t>
      </w:r>
      <w:bookmarkEnd w:id="6"/>
    </w:p>
    <w:p w14:paraId="520DE4C0" w14:textId="1D947FF4" w:rsidR="005E317F" w:rsidRPr="009C2562" w:rsidRDefault="005E317F" w:rsidP="005E317F">
      <w:pPr>
        <w:pStyle w:val="subsection"/>
      </w:pPr>
      <w:r w:rsidRPr="009C2562">
        <w:tab/>
      </w:r>
      <w:r w:rsidRPr="009C2562">
        <w:tab/>
        <w:t xml:space="preserve">This instrument is made under </w:t>
      </w:r>
      <w:r w:rsidR="00870F60">
        <w:t xml:space="preserve">section 238-10 of the </w:t>
      </w:r>
      <w:r w:rsidR="00870F60">
        <w:rPr>
          <w:i/>
          <w:iCs/>
        </w:rPr>
        <w:t>Higher Education Support Act 2003</w:t>
      </w:r>
      <w:r w:rsidRPr="009C2562">
        <w:t>.</w:t>
      </w:r>
    </w:p>
    <w:p w14:paraId="7A0D850B" w14:textId="77777777" w:rsidR="005E317F" w:rsidRPr="006065DA" w:rsidRDefault="005E317F" w:rsidP="005E317F">
      <w:pPr>
        <w:pStyle w:val="ActHead5"/>
      </w:pPr>
      <w:bookmarkStart w:id="7" w:name="_Toc153449395"/>
      <w:r w:rsidRPr="006065DA">
        <w:t>4  Schedules</w:t>
      </w:r>
      <w:bookmarkEnd w:id="7"/>
    </w:p>
    <w:p w14:paraId="73B5FB64"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277A2A09" w14:textId="7F584673" w:rsidR="005E317F" w:rsidRPr="002F12AC" w:rsidRDefault="005E317F" w:rsidP="005E317F">
      <w:pPr>
        <w:pStyle w:val="ActHead6"/>
        <w:pageBreakBefore/>
        <w:rPr>
          <w:i/>
          <w:iCs/>
        </w:rPr>
      </w:pPr>
      <w:bookmarkStart w:id="8" w:name="_Toc153449396"/>
      <w:r w:rsidRPr="00DB64FC">
        <w:rPr>
          <w:rStyle w:val="CharAmSchNo"/>
        </w:rPr>
        <w:lastRenderedPageBreak/>
        <w:t>Schedule 1</w:t>
      </w:r>
      <w:r>
        <w:t>—</w:t>
      </w:r>
      <w:r w:rsidRPr="00DB64FC">
        <w:rPr>
          <w:rStyle w:val="CharAmSchText"/>
        </w:rPr>
        <w:t>Amendments</w:t>
      </w:r>
      <w:r w:rsidR="002F12AC">
        <w:rPr>
          <w:rStyle w:val="CharAmSchText"/>
        </w:rPr>
        <w:t xml:space="preserve"> to the </w:t>
      </w:r>
      <w:r w:rsidR="002F12AC">
        <w:rPr>
          <w:rStyle w:val="CharAmSchText"/>
          <w:i/>
          <w:iCs/>
        </w:rPr>
        <w:t>Higher Education Support (Administration) Guidelines 2022</w:t>
      </w:r>
      <w:bookmarkEnd w:id="8"/>
      <w:r w:rsidR="004F429E">
        <w:rPr>
          <w:rStyle w:val="CharAmSchText"/>
          <w:i/>
          <w:iCs/>
        </w:rPr>
        <w:t xml:space="preserve"> </w:t>
      </w:r>
    </w:p>
    <w:p w14:paraId="14AB54BE" w14:textId="183F3C8F" w:rsidR="005E317F" w:rsidRDefault="00870F60" w:rsidP="005E317F">
      <w:pPr>
        <w:pStyle w:val="ActHead9"/>
      </w:pPr>
      <w:bookmarkStart w:id="9" w:name="_Toc153449397"/>
      <w:r>
        <w:t>Higher Education Support (Administration) Guidelines 2022</w:t>
      </w:r>
      <w:bookmarkEnd w:id="9"/>
    </w:p>
    <w:p w14:paraId="74271241" w14:textId="02144A68" w:rsidR="002F12AC" w:rsidRDefault="002F12AC" w:rsidP="002F12AC">
      <w:pPr>
        <w:pStyle w:val="ItemHead"/>
      </w:pPr>
      <w:r>
        <w:t>1  Section 12 (note)</w:t>
      </w:r>
    </w:p>
    <w:p w14:paraId="19F42AAC" w14:textId="25E8BC23" w:rsidR="002F12AC" w:rsidRDefault="002F12AC" w:rsidP="002F12AC">
      <w:pPr>
        <w:pStyle w:val="Item"/>
      </w:pPr>
      <w:r>
        <w:t>Omit “97-30(2) and 104-30(2)”, substitute “97-30(2), 104-30(2) and 128E-5(2)”</w:t>
      </w:r>
      <w:r w:rsidR="00153C23">
        <w:t>.</w:t>
      </w:r>
    </w:p>
    <w:p w14:paraId="07F1AE69" w14:textId="2F96CFA8" w:rsidR="00153C23" w:rsidRDefault="00153C23" w:rsidP="00153C23">
      <w:pPr>
        <w:pStyle w:val="ItemHead"/>
      </w:pPr>
      <w:r>
        <w:t>2  Section 13 (note)</w:t>
      </w:r>
    </w:p>
    <w:p w14:paraId="5DBC955C" w14:textId="2DB82EDA" w:rsidR="00153C23" w:rsidRDefault="00153C23" w:rsidP="00153C23">
      <w:pPr>
        <w:pStyle w:val="Item"/>
      </w:pPr>
      <w:r>
        <w:t>Omit “97-30(2) and 104-30(2)”, substitute “97-30(2), 104-30(2) and 128E-5(2)”.</w:t>
      </w:r>
    </w:p>
    <w:p w14:paraId="386FF68F" w14:textId="5CB3D0C3" w:rsidR="00153C23" w:rsidRDefault="00153C23" w:rsidP="00153C23">
      <w:pPr>
        <w:pStyle w:val="ItemHead"/>
      </w:pPr>
      <w:r>
        <w:t>3  Section 14 (note)</w:t>
      </w:r>
    </w:p>
    <w:p w14:paraId="3A529767" w14:textId="29C8D5D8" w:rsidR="00153C23" w:rsidRDefault="00153C23" w:rsidP="00153C23">
      <w:pPr>
        <w:pStyle w:val="Item"/>
      </w:pPr>
      <w:r>
        <w:t>Omit “97-30(2) and 104-30(2)”, substitute “97-30(2), 104-30(2) and 128E-5(2)”.</w:t>
      </w:r>
    </w:p>
    <w:p w14:paraId="0BDEBCB7" w14:textId="13999DA8" w:rsidR="005E317F" w:rsidRDefault="00153C23" w:rsidP="005E317F">
      <w:pPr>
        <w:pStyle w:val="ItemHead"/>
      </w:pPr>
      <w:r>
        <w:t>4</w:t>
      </w:r>
      <w:r w:rsidR="005E317F">
        <w:t xml:space="preserve">  </w:t>
      </w:r>
      <w:r w:rsidR="001D3071">
        <w:t>Section 16</w:t>
      </w:r>
    </w:p>
    <w:p w14:paraId="68929971" w14:textId="3B1A1828" w:rsidR="001D3071" w:rsidRDefault="001D3071" w:rsidP="001D3071">
      <w:pPr>
        <w:pStyle w:val="Item"/>
      </w:pPr>
      <w:r>
        <w:t>Repeal section 16, substitute:</w:t>
      </w:r>
    </w:p>
    <w:p w14:paraId="366E803E" w14:textId="77777777" w:rsidR="001D3071" w:rsidRPr="00386CB4" w:rsidRDefault="001D3071" w:rsidP="001D3071">
      <w:pPr>
        <w:pStyle w:val="ActHead5"/>
      </w:pPr>
      <w:bookmarkStart w:id="10" w:name="_Toc96340059"/>
      <w:bookmarkStart w:id="11" w:name="_Toc153449398"/>
      <w:r>
        <w:t>16</w:t>
      </w:r>
      <w:r w:rsidRPr="00554826">
        <w:t xml:space="preserve">  </w:t>
      </w:r>
      <w:r>
        <w:t>People who must receive a Commonwealth Assistance Notice</w:t>
      </w:r>
      <w:bookmarkEnd w:id="10"/>
      <w:bookmarkEnd w:id="11"/>
      <w:r>
        <w:t xml:space="preserve"> </w:t>
      </w:r>
    </w:p>
    <w:p w14:paraId="483A92AE" w14:textId="53EB2495" w:rsidR="001D3071" w:rsidRDefault="001D3071" w:rsidP="001D3071">
      <w:pPr>
        <w:pStyle w:val="subsection"/>
      </w:pPr>
      <w:r>
        <w:tab/>
      </w:r>
      <w:r>
        <w:tab/>
        <w:t xml:space="preserve">For the purposes of subsections 169-5(1) and (1A) of the Act, a higher </w:t>
      </w:r>
      <w:r w:rsidRPr="000D69F7">
        <w:t>education provider must</w:t>
      </w:r>
      <w:r>
        <w:t xml:space="preserve"> give a Commonwealth Assistance Notice to any person who meets the requirements set out in subsections 169-5(1) and (1A) of the Act. </w:t>
      </w:r>
    </w:p>
    <w:p w14:paraId="76510D8D" w14:textId="5E8C8489" w:rsidR="005E317F" w:rsidRDefault="00153C23" w:rsidP="005E317F">
      <w:pPr>
        <w:pStyle w:val="ItemHead"/>
      </w:pPr>
      <w:r>
        <w:t>5</w:t>
      </w:r>
      <w:r w:rsidR="005E317F">
        <w:t xml:space="preserve">  </w:t>
      </w:r>
      <w:r w:rsidR="001D3071">
        <w:t>After subsection 17(6)</w:t>
      </w:r>
    </w:p>
    <w:p w14:paraId="1E81BF27" w14:textId="54452D59" w:rsidR="005E317F" w:rsidRDefault="001D3071" w:rsidP="005E317F">
      <w:pPr>
        <w:pStyle w:val="Item"/>
      </w:pPr>
      <w:r>
        <w:t>Insert:</w:t>
      </w:r>
    </w:p>
    <w:p w14:paraId="1B010595" w14:textId="42AEF1E4" w:rsidR="001D3071" w:rsidRPr="00B318F9" w:rsidRDefault="001D3071" w:rsidP="001D3071">
      <w:pPr>
        <w:pStyle w:val="subsection"/>
      </w:pPr>
      <w:r>
        <w:tab/>
        <w:t>(6A)</w:t>
      </w:r>
      <w:r>
        <w:tab/>
        <w:t xml:space="preserve">Where a </w:t>
      </w:r>
      <w:r w:rsidRPr="00C56480">
        <w:t xml:space="preserve">higher education provider has selected a person to receive </w:t>
      </w:r>
      <w:r>
        <w:t>STARTUP</w:t>
      </w:r>
      <w:r>
        <w:noBreakHyphen/>
      </w:r>
      <w:r w:rsidRPr="00C56480">
        <w:t>HELP assistance, the notice must include the following information</w:t>
      </w:r>
      <w:r w:rsidR="00692A76">
        <w:t>, as applicable, to each person’s enrolment in an accelerator program course:</w:t>
      </w:r>
    </w:p>
    <w:p w14:paraId="113FE964" w14:textId="656D9823" w:rsidR="001D3071" w:rsidRDefault="001D3071" w:rsidP="001D3071">
      <w:pPr>
        <w:pStyle w:val="paragraph"/>
      </w:pPr>
      <w:r>
        <w:tab/>
        <w:t>(a)</w:t>
      </w:r>
      <w:r>
        <w:tab/>
      </w:r>
      <w:r w:rsidRPr="00B318F9">
        <w:t xml:space="preserve">the </w:t>
      </w:r>
      <w:r w:rsidR="00692A76">
        <w:t>identification code for the accelerator program course</w:t>
      </w:r>
      <w:r w:rsidRPr="002F1CAA">
        <w:t>;</w:t>
      </w:r>
    </w:p>
    <w:p w14:paraId="5BE96703" w14:textId="0C433FB3" w:rsidR="001D3071" w:rsidRDefault="001D3071" w:rsidP="001D3071">
      <w:pPr>
        <w:pStyle w:val="paragraph"/>
      </w:pPr>
      <w:r>
        <w:tab/>
        <w:t>(b)</w:t>
      </w:r>
      <w:r>
        <w:tab/>
      </w:r>
      <w:r w:rsidR="00692A76">
        <w:t>the census date;</w:t>
      </w:r>
    </w:p>
    <w:p w14:paraId="64C6C9C8" w14:textId="5D88FFF7" w:rsidR="00692A76" w:rsidRDefault="001D3071" w:rsidP="009F46A1">
      <w:pPr>
        <w:pStyle w:val="paragraph"/>
      </w:pPr>
      <w:r>
        <w:tab/>
        <w:t>(c)</w:t>
      </w:r>
      <w:r>
        <w:tab/>
      </w:r>
      <w:r w:rsidR="00692A76">
        <w:t xml:space="preserve">the EFTSL value of the accelerator program course; </w:t>
      </w:r>
    </w:p>
    <w:p w14:paraId="22D0A74D" w14:textId="3DBDDAB7" w:rsidR="00692A76" w:rsidRDefault="00692A76" w:rsidP="001D3071">
      <w:pPr>
        <w:pStyle w:val="paragraph"/>
      </w:pPr>
      <w:r>
        <w:tab/>
        <w:t>(</w:t>
      </w:r>
      <w:r w:rsidR="009F46A1">
        <w:t>d</w:t>
      </w:r>
      <w:r>
        <w:t>)</w:t>
      </w:r>
      <w:r>
        <w:tab/>
        <w:t xml:space="preserve">the </w:t>
      </w:r>
      <w:r w:rsidR="009F46A1">
        <w:t>accelerator program course fee amount</w:t>
      </w:r>
      <w:r>
        <w:t xml:space="preserve">; </w:t>
      </w:r>
    </w:p>
    <w:p w14:paraId="5D846FFA" w14:textId="377C643D" w:rsidR="00692A76" w:rsidRDefault="00692A76" w:rsidP="001D3071">
      <w:pPr>
        <w:pStyle w:val="paragraph"/>
      </w:pPr>
      <w:r>
        <w:tab/>
        <w:t>(</w:t>
      </w:r>
      <w:r w:rsidR="009F46A1">
        <w:t>e</w:t>
      </w:r>
      <w:r>
        <w:t>)</w:t>
      </w:r>
      <w:r>
        <w:tab/>
        <w:t xml:space="preserve">the amount of any up-front payments; </w:t>
      </w:r>
    </w:p>
    <w:p w14:paraId="4B04A420" w14:textId="3A1E561F" w:rsidR="00692A76" w:rsidRDefault="00692A76" w:rsidP="001D3071">
      <w:pPr>
        <w:pStyle w:val="paragraph"/>
      </w:pPr>
      <w:r>
        <w:tab/>
        <w:t>(</w:t>
      </w:r>
      <w:r w:rsidR="009F46A1">
        <w:t>f</w:t>
      </w:r>
      <w:r>
        <w:t>)</w:t>
      </w:r>
      <w:r>
        <w:tab/>
        <w:t xml:space="preserve">the amount of STARTUP-HELP assistance; and </w:t>
      </w:r>
    </w:p>
    <w:p w14:paraId="15801C7E" w14:textId="38DAB48F" w:rsidR="00692A76" w:rsidRDefault="00692A76" w:rsidP="001D3071">
      <w:pPr>
        <w:pStyle w:val="paragraph"/>
      </w:pPr>
      <w:r>
        <w:tab/>
        <w:t>(</w:t>
      </w:r>
      <w:r w:rsidR="009F46A1">
        <w:t>g</w:t>
      </w:r>
      <w:r>
        <w:t>)</w:t>
      </w:r>
      <w:r>
        <w:tab/>
        <w:t xml:space="preserve">the amount of STARTUP-HELP debt. </w:t>
      </w:r>
    </w:p>
    <w:p w14:paraId="728F086B" w14:textId="27DD2BCB" w:rsidR="005E317F" w:rsidRDefault="00153C23" w:rsidP="005E317F">
      <w:pPr>
        <w:pStyle w:val="ItemHead"/>
      </w:pPr>
      <w:r>
        <w:t>6</w:t>
      </w:r>
      <w:r w:rsidR="005E317F">
        <w:t xml:space="preserve">  </w:t>
      </w:r>
      <w:r w:rsidR="000A1988">
        <w:t>After subsection 18(3)</w:t>
      </w:r>
    </w:p>
    <w:p w14:paraId="59CE6BB0" w14:textId="77777777" w:rsidR="000A1988" w:rsidRDefault="000A1988" w:rsidP="000A1988">
      <w:pPr>
        <w:pStyle w:val="Item"/>
      </w:pPr>
      <w:r>
        <w:t>Insert:</w:t>
      </w:r>
    </w:p>
    <w:p w14:paraId="5F061D7F" w14:textId="5242C065" w:rsidR="000A1988" w:rsidRPr="00B318F9" w:rsidRDefault="000A1988" w:rsidP="000A1988">
      <w:pPr>
        <w:pStyle w:val="subsection"/>
      </w:pPr>
      <w:r>
        <w:tab/>
        <w:t>(4)</w:t>
      </w:r>
      <w:r>
        <w:tab/>
        <w:t xml:space="preserve">For the purposes of subsection 169-5(3) of the Act, a notice that contains information in </w:t>
      </w:r>
      <w:r w:rsidR="005C2D04">
        <w:t>respect of STARTUP-HELP assistance must be given within 28</w:t>
      </w:r>
      <w:r w:rsidR="00420516">
        <w:t> </w:t>
      </w:r>
      <w:r w:rsidR="005C2D04">
        <w:t xml:space="preserve">days of the earliest census date indicated in the notice under paragraph 17(6A)(b). </w:t>
      </w:r>
    </w:p>
    <w:p w14:paraId="42F707F6" w14:textId="56D87442" w:rsidR="005E317F" w:rsidRDefault="00153C23" w:rsidP="005E317F">
      <w:pPr>
        <w:pStyle w:val="ItemHead"/>
      </w:pPr>
      <w:r>
        <w:t>7</w:t>
      </w:r>
      <w:r w:rsidR="005E317F">
        <w:t xml:space="preserve">  </w:t>
      </w:r>
      <w:r w:rsidR="00241564">
        <w:t>Part 6</w:t>
      </w:r>
    </w:p>
    <w:p w14:paraId="19F95265" w14:textId="7187792D" w:rsidR="005E317F" w:rsidRDefault="0069385A" w:rsidP="005E317F">
      <w:pPr>
        <w:pStyle w:val="Item"/>
      </w:pPr>
      <w:r>
        <w:t xml:space="preserve">Repeal </w:t>
      </w:r>
      <w:r w:rsidR="00241564">
        <w:t>Part 6</w:t>
      </w:r>
      <w:r>
        <w:t xml:space="preserve">, </w:t>
      </w:r>
      <w:r w:rsidR="00241564">
        <w:t>insert</w:t>
      </w:r>
      <w:r>
        <w:t>:</w:t>
      </w:r>
    </w:p>
    <w:p w14:paraId="6F30EEF2" w14:textId="77777777" w:rsidR="00241564" w:rsidRPr="00BD030D" w:rsidRDefault="00241564" w:rsidP="00241564">
      <w:pPr>
        <w:pStyle w:val="ActHead6"/>
      </w:pPr>
      <w:bookmarkStart w:id="12" w:name="_Toc96340065"/>
      <w:bookmarkStart w:id="13" w:name="_Toc153449399"/>
      <w:r w:rsidRPr="00BD030D">
        <w:lastRenderedPageBreak/>
        <w:t>Part 6 – Publication requirements for census dates and EFTSL values</w:t>
      </w:r>
      <w:bookmarkEnd w:id="12"/>
      <w:bookmarkEnd w:id="13"/>
      <w:r w:rsidRPr="00BD030D">
        <w:t xml:space="preserve">  </w:t>
      </w:r>
    </w:p>
    <w:p w14:paraId="1A2F8928" w14:textId="77777777" w:rsidR="0069385A" w:rsidRPr="00386CB4" w:rsidRDefault="0069385A" w:rsidP="0069385A">
      <w:pPr>
        <w:pStyle w:val="ActHead5"/>
      </w:pPr>
      <w:bookmarkStart w:id="14" w:name="_Toc96340066"/>
      <w:bookmarkStart w:id="15" w:name="_Toc153449400"/>
      <w:r>
        <w:t>21</w:t>
      </w:r>
      <w:r w:rsidRPr="00554826">
        <w:t xml:space="preserve">  </w:t>
      </w:r>
      <w:r>
        <w:t>Period for the purpose of determining census dates and EFTSL values</w:t>
      </w:r>
      <w:bookmarkEnd w:id="14"/>
      <w:bookmarkEnd w:id="15"/>
      <w:r>
        <w:t xml:space="preserve"> </w:t>
      </w:r>
    </w:p>
    <w:p w14:paraId="2CAD9521" w14:textId="14D37609" w:rsidR="0069385A" w:rsidRDefault="0069385A" w:rsidP="0069385A">
      <w:pPr>
        <w:pStyle w:val="subsection"/>
      </w:pPr>
      <w:r>
        <w:tab/>
        <w:t>(1)</w:t>
      </w:r>
      <w:r>
        <w:tab/>
        <w:t xml:space="preserve">For </w:t>
      </w:r>
      <w:r w:rsidRPr="00125C78">
        <w:t xml:space="preserve">the purposes of subsection 169-25(1) of </w:t>
      </w:r>
      <w:r w:rsidRPr="00125C78">
        <w:rPr>
          <w:iCs/>
        </w:rPr>
        <w:t>the Act</w:t>
      </w:r>
      <w:r>
        <w:rPr>
          <w:iCs/>
        </w:rPr>
        <w:t>,</w:t>
      </w:r>
      <w:r w:rsidRPr="00125C78">
        <w:t xml:space="preserve"> the period commences on the earliest enrolment date for the unit as determined by the higher education provider and ends on the completion date for the unit as determined by the higher education provider</w:t>
      </w:r>
      <w:r>
        <w:t>.</w:t>
      </w:r>
    </w:p>
    <w:p w14:paraId="43B970DE" w14:textId="50BA1A0B" w:rsidR="0069385A" w:rsidRDefault="0069385A" w:rsidP="0069385A">
      <w:pPr>
        <w:pStyle w:val="subsection"/>
      </w:pPr>
      <w:r>
        <w:tab/>
        <w:t>(2)</w:t>
      </w:r>
      <w:r>
        <w:tab/>
      </w:r>
      <w:r w:rsidR="00241564">
        <w:t>For the purposes of subsection 169-25(1A) of the Act, the period commences on the earliest enrolment date for the accelerator program course as determined by the higher education provider and ends on the completion date for the accelerator program course as determined by the higher education provider.</w:t>
      </w:r>
    </w:p>
    <w:p w14:paraId="1A3EE569" w14:textId="2277DCFB" w:rsidR="0069385A" w:rsidRDefault="0069385A" w:rsidP="0069385A">
      <w:pPr>
        <w:pStyle w:val="subsection"/>
      </w:pPr>
      <w:r>
        <w:tab/>
        <w:t>(3)</w:t>
      </w:r>
      <w:r>
        <w:tab/>
        <w:t>A period ascertained in accordance with</w:t>
      </w:r>
      <w:r w:rsidRPr="00125C78">
        <w:t xml:space="preserve"> </w:t>
      </w:r>
      <w:r>
        <w:t>subsection</w:t>
      </w:r>
      <w:r w:rsidR="00241564">
        <w:t>s</w:t>
      </w:r>
      <w:r w:rsidRPr="00125C78">
        <w:t xml:space="preserve"> </w:t>
      </w:r>
      <w:r>
        <w:t>(1)</w:t>
      </w:r>
      <w:r w:rsidRPr="00125C78">
        <w:t xml:space="preserve"> </w:t>
      </w:r>
      <w:r w:rsidR="00241564">
        <w:t xml:space="preserve">and (2) </w:t>
      </w:r>
      <w:r>
        <w:t>is</w:t>
      </w:r>
      <w:r w:rsidRPr="00125C78">
        <w:t xml:space="preserve"> relevant only for the purposes of subsection</w:t>
      </w:r>
      <w:r w:rsidR="00241564">
        <w:t>s</w:t>
      </w:r>
      <w:r w:rsidRPr="00125C78">
        <w:t xml:space="preserve"> 169-25(1)</w:t>
      </w:r>
      <w:r w:rsidR="00241564">
        <w:t xml:space="preserve"> and (1A)</w:t>
      </w:r>
      <w:r w:rsidRPr="00125C78">
        <w:t xml:space="preserve"> of the Act and </w:t>
      </w:r>
      <w:r>
        <w:t>section 22</w:t>
      </w:r>
      <w:r w:rsidRPr="00125C78">
        <w:t xml:space="preserve"> of </w:t>
      </w:r>
      <w:r>
        <w:t xml:space="preserve">this instrument. </w:t>
      </w:r>
    </w:p>
    <w:p w14:paraId="773A711C" w14:textId="73635E13" w:rsidR="00241564" w:rsidRPr="00386CB4" w:rsidRDefault="00241564" w:rsidP="00241564">
      <w:pPr>
        <w:pStyle w:val="ActHead5"/>
      </w:pPr>
      <w:bookmarkStart w:id="16" w:name="_Toc96340067"/>
      <w:bookmarkStart w:id="17" w:name="_Toc153449401"/>
      <w:r>
        <w:t>22</w:t>
      </w:r>
      <w:r w:rsidRPr="00554826">
        <w:t xml:space="preserve">  </w:t>
      </w:r>
      <w:r>
        <w:t>Date by which, and manner in which, census dates and EFTSL values must be published by a higher education provider</w:t>
      </w:r>
      <w:bookmarkEnd w:id="16"/>
      <w:bookmarkEnd w:id="17"/>
    </w:p>
    <w:p w14:paraId="18124931" w14:textId="7BEF86AF" w:rsidR="00241564" w:rsidRDefault="00241564" w:rsidP="00241564">
      <w:pPr>
        <w:pStyle w:val="subsection"/>
      </w:pPr>
      <w:r>
        <w:tab/>
      </w:r>
      <w:r w:rsidR="0072783D">
        <w:t>(1)</w:t>
      </w:r>
      <w:r>
        <w:tab/>
        <w:t xml:space="preserve">In accordance with </w:t>
      </w:r>
      <w:r w:rsidRPr="00125C78">
        <w:t xml:space="preserve">subsection 169-25(3) of the Act, the higher education provider must publish census dates and EFTSL values for units of study </w:t>
      </w:r>
      <w:r>
        <w:t xml:space="preserve">and accelerator program courses, </w:t>
      </w:r>
      <w:r w:rsidRPr="00125C78">
        <w:t xml:space="preserve">on the higher education provider’s website on or before the earliest enrolment date for the </w:t>
      </w:r>
      <w:r>
        <w:t xml:space="preserve">relevant </w:t>
      </w:r>
      <w:r w:rsidRPr="00125C78">
        <w:t xml:space="preserve">units of study </w:t>
      </w:r>
      <w:r>
        <w:t>or accelerator program course</w:t>
      </w:r>
      <w:r w:rsidR="00E73E8E">
        <w:t>s</w:t>
      </w:r>
      <w:r>
        <w:t xml:space="preserve">, </w:t>
      </w:r>
      <w:r w:rsidRPr="00125C78">
        <w:t>as determined by the higher education provider</w:t>
      </w:r>
      <w:r>
        <w:t>.</w:t>
      </w:r>
    </w:p>
    <w:p w14:paraId="55F247BC" w14:textId="0F189E78" w:rsidR="0072783D" w:rsidRDefault="0072783D" w:rsidP="00241564">
      <w:pPr>
        <w:pStyle w:val="subsection"/>
      </w:pPr>
      <w:r>
        <w:tab/>
        <w:t>(2)</w:t>
      </w:r>
      <w:r>
        <w:tab/>
        <w:t xml:space="preserve">For the purposes of subsection (1), a higher education provider publishing EFTSL values for accelerator program courses must also publish </w:t>
      </w:r>
      <w:r w:rsidR="00BC5CC3">
        <w:t xml:space="preserve">information on </w:t>
      </w:r>
      <w:r>
        <w:t>how the provider determined the EFTSL value for the accelerator program course under section 28A.</w:t>
      </w:r>
    </w:p>
    <w:p w14:paraId="122FE454" w14:textId="77777777" w:rsidR="00183220" w:rsidRDefault="00183220" w:rsidP="00183220">
      <w:pPr>
        <w:pStyle w:val="ActHead5"/>
      </w:pPr>
      <w:bookmarkStart w:id="18" w:name="_Toc96340068"/>
      <w:bookmarkStart w:id="19" w:name="_Toc153449402"/>
      <w:r>
        <w:t>23</w:t>
      </w:r>
      <w:r w:rsidRPr="00554826">
        <w:t xml:space="preserve">  </w:t>
      </w:r>
      <w:r>
        <w:t>Date by which and circumstances in which a published census date or published EFTSL value may be varied</w:t>
      </w:r>
      <w:bookmarkEnd w:id="18"/>
      <w:bookmarkEnd w:id="19"/>
      <w:r>
        <w:t xml:space="preserve"> </w:t>
      </w:r>
    </w:p>
    <w:p w14:paraId="525724BC" w14:textId="0CD89E2D" w:rsidR="00183220" w:rsidRDefault="00183220" w:rsidP="00183220">
      <w:pPr>
        <w:pStyle w:val="subsection"/>
      </w:pPr>
      <w:r>
        <w:tab/>
        <w:t>(1)</w:t>
      </w:r>
      <w:r>
        <w:tab/>
        <w:t xml:space="preserve">For </w:t>
      </w:r>
      <w:r w:rsidRPr="00125C78">
        <w:t xml:space="preserve">the purposes of </w:t>
      </w:r>
      <w:r w:rsidRPr="00704A5B">
        <w:rPr>
          <w:bCs/>
        </w:rPr>
        <w:t>paragraph 169-25(4)(a) of the Act, a higher education provider may only vary a published census date or published EFTSL value if the variation occurs prior to the published census date for the unit</w:t>
      </w:r>
      <w:r>
        <w:rPr>
          <w:bCs/>
        </w:rPr>
        <w:t xml:space="preserve"> or accelerator program course</w:t>
      </w:r>
      <w:r w:rsidRPr="00704A5B">
        <w:rPr>
          <w:bCs/>
        </w:rPr>
        <w:t>,</w:t>
      </w:r>
      <w:r>
        <w:rPr>
          <w:bCs/>
        </w:rPr>
        <w:t xml:space="preserve"> the higher education provider has written approval of the Minister in accordance with paragraph 169-25(4)(b),</w:t>
      </w:r>
      <w:r w:rsidRPr="00704A5B">
        <w:rPr>
          <w:bCs/>
        </w:rPr>
        <w:t xml:space="preserve"> and</w:t>
      </w:r>
      <w:r>
        <w:rPr>
          <w:bCs/>
        </w:rPr>
        <w:t>:</w:t>
      </w:r>
    </w:p>
    <w:p w14:paraId="74291F4E" w14:textId="6A506F58" w:rsidR="00183220" w:rsidRDefault="00183220" w:rsidP="00183220">
      <w:pPr>
        <w:pStyle w:val="paragraph"/>
      </w:pPr>
      <w:r>
        <w:tab/>
        <w:t>(a)</w:t>
      </w:r>
      <w:r>
        <w:tab/>
      </w:r>
      <w:r w:rsidRPr="00DA1A13">
        <w:t>the variation does not disadvantage a student enrolled, or a person seekin</w:t>
      </w:r>
      <w:r w:rsidRPr="00FE323A">
        <w:t>g to enrol</w:t>
      </w:r>
      <w:r w:rsidR="00516F90">
        <w:t xml:space="preserve"> in the unit or course</w:t>
      </w:r>
      <w:r w:rsidRPr="00FE323A">
        <w:t>; and</w:t>
      </w:r>
    </w:p>
    <w:p w14:paraId="68A2D976" w14:textId="7A20BA7E" w:rsidR="00183220" w:rsidRDefault="00183220" w:rsidP="00183220">
      <w:pPr>
        <w:pStyle w:val="paragraph"/>
      </w:pPr>
      <w:r>
        <w:tab/>
        <w:t>(b)</w:t>
      </w:r>
      <w:r>
        <w:tab/>
        <w:t xml:space="preserve">the </w:t>
      </w:r>
      <w:r w:rsidRPr="00704A5B">
        <w:t>variation is necessary to correct the published census date or EFTSL value</w:t>
      </w:r>
      <w:r w:rsidR="00DD2455">
        <w:t xml:space="preserve"> of the unit or course</w:t>
      </w:r>
      <w:r w:rsidRPr="00704A5B">
        <w:t xml:space="preserve"> due to administrative error or circumstances that did not apply at the time the census date or EFTSL value was determined</w:t>
      </w:r>
      <w:r>
        <w:t xml:space="preserve">.  </w:t>
      </w:r>
    </w:p>
    <w:p w14:paraId="4A7D73E2" w14:textId="77777777" w:rsidR="00183220" w:rsidRDefault="00183220" w:rsidP="00183220">
      <w:pPr>
        <w:pStyle w:val="subsection"/>
      </w:pPr>
      <w:r>
        <w:tab/>
        <w:t>(2)</w:t>
      </w:r>
      <w:r>
        <w:tab/>
        <w:t xml:space="preserve">Without </w:t>
      </w:r>
      <w:r w:rsidRPr="00704A5B">
        <w:t xml:space="preserve">limiting the generality of paragraph </w:t>
      </w:r>
      <w:r>
        <w:t>(1)</w:t>
      </w:r>
      <w:r w:rsidRPr="00704A5B">
        <w:t xml:space="preserve">(a), a student will be disadvantaged by a </w:t>
      </w:r>
      <w:r w:rsidRPr="00DA1A13">
        <w:rPr>
          <w:bCs/>
        </w:rPr>
        <w:t>v</w:t>
      </w:r>
      <w:r w:rsidRPr="00FE323A">
        <w:rPr>
          <w:bCs/>
        </w:rPr>
        <w:t>ariation</w:t>
      </w:r>
      <w:r w:rsidRPr="00704A5B">
        <w:t xml:space="preserve"> that</w:t>
      </w:r>
      <w:r>
        <w:t xml:space="preserve">: </w:t>
      </w:r>
    </w:p>
    <w:p w14:paraId="49D39425" w14:textId="61F4B49B" w:rsidR="00183220" w:rsidRDefault="00183220" w:rsidP="00183220">
      <w:pPr>
        <w:pStyle w:val="paragraph"/>
      </w:pPr>
      <w:r>
        <w:rPr>
          <w:bCs/>
        </w:rPr>
        <w:tab/>
        <w:t>(a)</w:t>
      </w:r>
      <w:r>
        <w:rPr>
          <w:bCs/>
        </w:rPr>
        <w:tab/>
        <w:t xml:space="preserve">reduces </w:t>
      </w:r>
      <w:r w:rsidRPr="00704A5B">
        <w:rPr>
          <w:bCs/>
        </w:rPr>
        <w:t xml:space="preserve">the </w:t>
      </w:r>
      <w:r w:rsidRPr="00DA1A13">
        <w:t>EFTSL</w:t>
      </w:r>
      <w:r w:rsidRPr="00704A5B">
        <w:rPr>
          <w:bCs/>
        </w:rPr>
        <w:t xml:space="preserve"> value for a unit of study</w:t>
      </w:r>
      <w:r>
        <w:rPr>
          <w:bCs/>
        </w:rPr>
        <w:t xml:space="preserve"> or accelerator program course</w:t>
      </w:r>
      <w:r w:rsidRPr="00704A5B">
        <w:rPr>
          <w:bCs/>
        </w:rPr>
        <w:t>; or</w:t>
      </w:r>
    </w:p>
    <w:p w14:paraId="54E7309F" w14:textId="397E9389" w:rsidR="00183220" w:rsidRDefault="00183220" w:rsidP="00183220">
      <w:pPr>
        <w:pStyle w:val="paragraph"/>
      </w:pPr>
      <w:r>
        <w:lastRenderedPageBreak/>
        <w:tab/>
        <w:t>(b)</w:t>
      </w:r>
      <w:r>
        <w:tab/>
        <w:t xml:space="preserve">brings </w:t>
      </w:r>
      <w:r w:rsidRPr="00AF547D">
        <w:t xml:space="preserve">the census date for a unit of study </w:t>
      </w:r>
      <w:r>
        <w:t xml:space="preserve">or accelerator program course to an earlier date. </w:t>
      </w:r>
    </w:p>
    <w:p w14:paraId="44413427" w14:textId="77777777" w:rsidR="00183220" w:rsidRDefault="00183220" w:rsidP="00183220">
      <w:pPr>
        <w:pStyle w:val="ActHead5"/>
      </w:pPr>
      <w:bookmarkStart w:id="20" w:name="_Toc96340069"/>
      <w:bookmarkStart w:id="21" w:name="_Toc153449403"/>
      <w:r>
        <w:t>24</w:t>
      </w:r>
      <w:r w:rsidRPr="00554826">
        <w:t xml:space="preserve">  </w:t>
      </w:r>
      <w:r>
        <w:t>Date by which, and manner in which, a varied census date or EFTSL value must be published</w:t>
      </w:r>
      <w:bookmarkEnd w:id="20"/>
      <w:bookmarkEnd w:id="21"/>
      <w:r>
        <w:t xml:space="preserve"> </w:t>
      </w:r>
    </w:p>
    <w:p w14:paraId="147AA7B1" w14:textId="77777777" w:rsidR="00183220" w:rsidRDefault="00183220" w:rsidP="00183220">
      <w:pPr>
        <w:pStyle w:val="subsection"/>
      </w:pPr>
      <w:r>
        <w:tab/>
        <w:t>(1)</w:t>
      </w:r>
      <w:r>
        <w:tab/>
        <w:t xml:space="preserve">This section </w:t>
      </w:r>
      <w:r w:rsidRPr="00AF547D">
        <w:t>applies only if subsection</w:t>
      </w:r>
      <w:r>
        <w:t xml:space="preserve"> 23(1) </w:t>
      </w:r>
      <w:r w:rsidRPr="00AF547D">
        <w:t>applies</w:t>
      </w:r>
      <w:r>
        <w:t xml:space="preserve">. </w:t>
      </w:r>
    </w:p>
    <w:p w14:paraId="407FFDE1" w14:textId="77777777" w:rsidR="00183220" w:rsidRDefault="00183220" w:rsidP="00183220">
      <w:pPr>
        <w:pStyle w:val="subsection"/>
      </w:pPr>
      <w:r>
        <w:tab/>
        <w:t>(2)</w:t>
      </w:r>
      <w:r>
        <w:tab/>
        <w:t xml:space="preserve">For the </w:t>
      </w:r>
      <w:r w:rsidRPr="00AF547D">
        <w:t xml:space="preserve">purposes of </w:t>
      </w:r>
      <w:r w:rsidRPr="00DA1A13">
        <w:rPr>
          <w:bCs/>
        </w:rPr>
        <w:t>subsection</w:t>
      </w:r>
      <w:r w:rsidRPr="00AF547D">
        <w:t xml:space="preserve"> 169-25(5) of the Act, </w:t>
      </w:r>
      <w:r>
        <w:t xml:space="preserve">where </w:t>
      </w:r>
      <w:r w:rsidRPr="00AF547D">
        <w:t>a higher education provider varies a published census date or published EFTSL value</w:t>
      </w:r>
      <w:r>
        <w:t>, the provider</w:t>
      </w:r>
      <w:r w:rsidRPr="00AF547D">
        <w:t xml:space="preserve"> must publish the varied census date or EFTSL value on the higher education provider’s website as soon as practicable after making th</w:t>
      </w:r>
      <w:r>
        <w:t xml:space="preserve">e variation. </w:t>
      </w:r>
    </w:p>
    <w:p w14:paraId="093B6CA5" w14:textId="77777777" w:rsidR="00183220" w:rsidRDefault="00183220" w:rsidP="00183220">
      <w:pPr>
        <w:pStyle w:val="ActHead5"/>
      </w:pPr>
      <w:bookmarkStart w:id="22" w:name="_Toc96340070"/>
      <w:bookmarkStart w:id="23" w:name="_Toc153449404"/>
      <w:r>
        <w:t>25</w:t>
      </w:r>
      <w:r w:rsidRPr="00554826">
        <w:t xml:space="preserve">  </w:t>
      </w:r>
      <w:r>
        <w:t>Requirements for determining a census date</w:t>
      </w:r>
      <w:bookmarkEnd w:id="22"/>
      <w:bookmarkEnd w:id="23"/>
      <w:r>
        <w:t xml:space="preserve">  </w:t>
      </w:r>
    </w:p>
    <w:p w14:paraId="47C3A97E" w14:textId="23CFB1B6" w:rsidR="00183220" w:rsidRDefault="00183220" w:rsidP="00183220">
      <w:pPr>
        <w:pStyle w:val="subsection"/>
      </w:pPr>
      <w:r>
        <w:tab/>
      </w:r>
      <w:r>
        <w:tab/>
      </w:r>
      <w:r w:rsidRPr="00AF547D">
        <w:t xml:space="preserve">For the purposes of subsection 169-25(2) of the Act, the date determined to be the </w:t>
      </w:r>
      <w:r w:rsidRPr="00D81B31">
        <w:rPr>
          <w:bCs/>
        </w:rPr>
        <w:t>census</w:t>
      </w:r>
      <w:r w:rsidRPr="00AF547D">
        <w:t xml:space="preserve"> date under paragraph</w:t>
      </w:r>
      <w:r>
        <w:t>s</w:t>
      </w:r>
      <w:r w:rsidRPr="00AF547D">
        <w:t xml:space="preserve"> 169-25(1)(a) </w:t>
      </w:r>
      <w:r>
        <w:t xml:space="preserve">or (1A)(a) </w:t>
      </w:r>
      <w:r w:rsidRPr="00AF547D">
        <w:t xml:space="preserve">must not </w:t>
      </w:r>
      <w:r>
        <w:t>be a date that falls</w:t>
      </w:r>
      <w:r w:rsidRPr="00AF547D">
        <w:t xml:space="preserve"> less than 20 per cent of the </w:t>
      </w:r>
      <w:r>
        <w:t>time</w:t>
      </w:r>
      <w:r w:rsidRPr="00AF547D">
        <w:t xml:space="preserve"> between the commencement and completion dates</w:t>
      </w:r>
      <w:r>
        <w:t xml:space="preserve"> for the unit of study or accelerator program course. </w:t>
      </w:r>
    </w:p>
    <w:p w14:paraId="56EA764B" w14:textId="77777777" w:rsidR="00C87218" w:rsidRDefault="00C87218" w:rsidP="00C87218">
      <w:pPr>
        <w:pStyle w:val="ItemHead"/>
      </w:pPr>
      <w:r>
        <w:t>8  After Part 7</w:t>
      </w:r>
    </w:p>
    <w:p w14:paraId="7BC8ED5D" w14:textId="77777777" w:rsidR="00C87218" w:rsidRDefault="00C87218" w:rsidP="00C87218">
      <w:pPr>
        <w:pStyle w:val="Item"/>
      </w:pPr>
      <w:r>
        <w:t>Insert:</w:t>
      </w:r>
      <w:r>
        <w:br/>
      </w:r>
    </w:p>
    <w:p w14:paraId="66470BFC" w14:textId="77777777" w:rsidR="00C87218" w:rsidRPr="00BD030D" w:rsidRDefault="00C87218" w:rsidP="00C87218">
      <w:pPr>
        <w:pStyle w:val="ActHead6"/>
      </w:pPr>
      <w:bookmarkStart w:id="24" w:name="_Toc153449405"/>
      <w:r w:rsidRPr="00BD030D">
        <w:t xml:space="preserve">Part </w:t>
      </w:r>
      <w:r>
        <w:t>7A</w:t>
      </w:r>
      <w:r w:rsidRPr="00BD030D">
        <w:t xml:space="preserve"> – </w:t>
      </w:r>
      <w:r>
        <w:t>Determining the EFTSL value of an accelerator program course</w:t>
      </w:r>
      <w:bookmarkEnd w:id="24"/>
      <w:r w:rsidRPr="00BD030D">
        <w:t xml:space="preserve">  </w:t>
      </w:r>
    </w:p>
    <w:p w14:paraId="4EA39E7C" w14:textId="77777777" w:rsidR="00C87218" w:rsidRPr="00386CB4" w:rsidRDefault="00C87218" w:rsidP="00C87218">
      <w:pPr>
        <w:pStyle w:val="ActHead5"/>
      </w:pPr>
      <w:bookmarkStart w:id="25" w:name="_Toc153449406"/>
      <w:r>
        <w:t>28A</w:t>
      </w:r>
      <w:r w:rsidRPr="00554826">
        <w:t xml:space="preserve">  </w:t>
      </w:r>
      <w:r>
        <w:t>EFTSL value for an accelerator program course</w:t>
      </w:r>
      <w:bookmarkEnd w:id="25"/>
      <w:r>
        <w:t xml:space="preserve"> </w:t>
      </w:r>
    </w:p>
    <w:p w14:paraId="66076384" w14:textId="7122840A" w:rsidR="00216C35" w:rsidRDefault="00C87218" w:rsidP="0072783D">
      <w:pPr>
        <w:pStyle w:val="subsection"/>
      </w:pPr>
      <w:r>
        <w:tab/>
      </w:r>
      <w:r>
        <w:tab/>
        <w:t>For the purposes of subsection 169-28(4) of the Act, a higher education provider determining the EFTSL value of an accelerator program course under subsection 169-28(3A) of the Act, must determine the EFTSL value by reference to the amount of time taken to complete the accelerator program course on a full-time basis</w:t>
      </w:r>
      <w:r w:rsidR="0072783D">
        <w:t>.</w:t>
      </w:r>
    </w:p>
    <w:p w14:paraId="4027F032" w14:textId="2D3C7113" w:rsidR="002F12AC" w:rsidRDefault="002F12AC">
      <w:pPr>
        <w:spacing w:line="240" w:lineRule="auto"/>
        <w:rPr>
          <w:rFonts w:eastAsia="Times New Roman" w:cs="Times New Roman"/>
          <w:lang w:eastAsia="en-AU"/>
        </w:rPr>
      </w:pPr>
      <w:r>
        <w:br w:type="page"/>
      </w:r>
    </w:p>
    <w:p w14:paraId="14B33E93" w14:textId="7893A7BB" w:rsidR="002F12AC" w:rsidRDefault="002F12AC" w:rsidP="002F12AC">
      <w:pPr>
        <w:pStyle w:val="ActHead6"/>
        <w:pageBreakBefore/>
        <w:rPr>
          <w:rStyle w:val="CharAmSchText"/>
          <w:i/>
          <w:iCs/>
        </w:rPr>
      </w:pPr>
      <w:bookmarkStart w:id="26" w:name="_Toc153449407"/>
      <w:r w:rsidRPr="00DB64FC">
        <w:rPr>
          <w:rStyle w:val="CharAmSchNo"/>
        </w:rPr>
        <w:lastRenderedPageBreak/>
        <w:t>Schedule </w:t>
      </w:r>
      <w:r>
        <w:rPr>
          <w:rStyle w:val="CharAmSchNo"/>
        </w:rPr>
        <w:t>2</w:t>
      </w:r>
      <w:r>
        <w:t>—</w:t>
      </w:r>
      <w:r w:rsidRPr="00DB64FC">
        <w:rPr>
          <w:rStyle w:val="CharAmSchText"/>
        </w:rPr>
        <w:t>Amendments</w:t>
      </w:r>
      <w:r>
        <w:rPr>
          <w:rStyle w:val="CharAmSchText"/>
        </w:rPr>
        <w:t xml:space="preserve"> to the </w:t>
      </w:r>
      <w:r>
        <w:rPr>
          <w:rStyle w:val="CharAmSchText"/>
          <w:i/>
          <w:iCs/>
        </w:rPr>
        <w:t>Higher Education Provider Guidelines 2023</w:t>
      </w:r>
      <w:bookmarkEnd w:id="26"/>
      <w:r w:rsidR="004F429E" w:rsidRPr="004F429E">
        <w:rPr>
          <w:rStyle w:val="CharAmSchText"/>
        </w:rPr>
        <w:t xml:space="preserve"> </w:t>
      </w:r>
    </w:p>
    <w:p w14:paraId="59E17F41" w14:textId="77777777" w:rsidR="002F12AC" w:rsidRDefault="002F12AC" w:rsidP="002F12AC">
      <w:pPr>
        <w:pStyle w:val="ActHead9"/>
      </w:pPr>
      <w:bookmarkStart w:id="27" w:name="_Toc153449408"/>
      <w:r>
        <w:t>Higher Education Provider Guidelines 2023</w:t>
      </w:r>
      <w:bookmarkEnd w:id="27"/>
    </w:p>
    <w:p w14:paraId="1AC07786" w14:textId="4E3D7756" w:rsidR="002A7362" w:rsidRDefault="002A7362" w:rsidP="002A7362">
      <w:pPr>
        <w:pStyle w:val="ItemHead"/>
      </w:pPr>
      <w:r>
        <w:t>1  Section 20</w:t>
      </w:r>
    </w:p>
    <w:p w14:paraId="64B61E21" w14:textId="0BE1921C" w:rsidR="002A7362" w:rsidRDefault="002A7362" w:rsidP="002A7362">
      <w:pPr>
        <w:pStyle w:val="Item"/>
      </w:pPr>
      <w:r>
        <w:t xml:space="preserve">Repeal section 20, substitute: </w:t>
      </w:r>
    </w:p>
    <w:p w14:paraId="5C8CFB14" w14:textId="77777777" w:rsidR="002A7362" w:rsidRPr="00376AD2" w:rsidRDefault="002A7362" w:rsidP="002A7362">
      <w:pPr>
        <w:pStyle w:val="ActHead5"/>
        <w:keepLines w:val="0"/>
        <w:spacing w:after="240"/>
      </w:pPr>
      <w:bookmarkStart w:id="28" w:name="_Toc129849895"/>
      <w:bookmarkStart w:id="29" w:name="_Toc153449409"/>
      <w:r w:rsidRPr="00376AD2">
        <w:t>20  Requirements for grievance procedures</w:t>
      </w:r>
      <w:bookmarkEnd w:id="28"/>
      <w:bookmarkEnd w:id="29"/>
    </w:p>
    <w:p w14:paraId="278926D4" w14:textId="77777777" w:rsidR="002A7362" w:rsidRPr="00376AD2" w:rsidRDefault="002A7362" w:rsidP="002A7362">
      <w:pPr>
        <w:pStyle w:val="subsection"/>
        <w:keepNext/>
      </w:pPr>
      <w:r w:rsidRPr="00376AD2">
        <w:tab/>
        <w:t>(1)</w:t>
      </w:r>
      <w:r w:rsidRPr="00376AD2">
        <w:tab/>
        <w:t>For the purposes of paragraphs 19-45(1)(a) and (b) and subsection 19-45(2) of the Act, a higher education provider, other than a Table A provider, must have a grievance procedure that meets the requirements specified in subsection (2) to ensure effective and fair handling of complaints:</w:t>
      </w:r>
    </w:p>
    <w:p w14:paraId="53A35075" w14:textId="79D207DE" w:rsidR="002A7362" w:rsidRPr="00376AD2" w:rsidRDefault="002A7362" w:rsidP="002A7362">
      <w:pPr>
        <w:pStyle w:val="paragraph"/>
      </w:pPr>
      <w:r w:rsidRPr="00376AD2">
        <w:tab/>
        <w:t>(a)</w:t>
      </w:r>
      <w:r w:rsidRPr="00376AD2">
        <w:tab/>
        <w:t>from the provider’s students, and from persons seeking to enrol in courses of study</w:t>
      </w:r>
      <w:r>
        <w:t xml:space="preserve"> or accelerator program courses</w:t>
      </w:r>
      <w:r w:rsidRPr="00376AD2">
        <w:t xml:space="preserve"> with the provider, relating to non-academic matters; and</w:t>
      </w:r>
    </w:p>
    <w:p w14:paraId="3B52703F" w14:textId="77777777" w:rsidR="002A7362" w:rsidRPr="00376AD2" w:rsidRDefault="002A7362" w:rsidP="002A7362">
      <w:pPr>
        <w:pStyle w:val="paragraph"/>
      </w:pPr>
      <w:r w:rsidRPr="00376AD2">
        <w:tab/>
        <w:t>(b)</w:t>
      </w:r>
      <w:r w:rsidRPr="00376AD2">
        <w:tab/>
        <w:t>from the provider’s students, relating to academic matters.</w:t>
      </w:r>
    </w:p>
    <w:p w14:paraId="64A8EF43" w14:textId="77777777" w:rsidR="002A7362" w:rsidRPr="00376AD2" w:rsidRDefault="002A7362" w:rsidP="002A7362">
      <w:pPr>
        <w:pStyle w:val="subsection"/>
        <w:keepNext/>
      </w:pPr>
      <w:r w:rsidRPr="00376AD2">
        <w:tab/>
        <w:t>(2)</w:t>
      </w:r>
      <w:r w:rsidRPr="00376AD2">
        <w:tab/>
        <w:t>These grievance procedures must contain the following elements:</w:t>
      </w:r>
    </w:p>
    <w:p w14:paraId="3FEFB708" w14:textId="77777777" w:rsidR="002A7362" w:rsidRPr="00376AD2" w:rsidRDefault="002A7362" w:rsidP="002A7362">
      <w:pPr>
        <w:pStyle w:val="paragraph"/>
      </w:pPr>
      <w:r w:rsidRPr="00376AD2">
        <w:tab/>
        <w:t>(a)</w:t>
      </w:r>
      <w:r w:rsidRPr="00376AD2">
        <w:tab/>
        <w:t>a formal arrangement for handling complaints which is easily accessible to students; is without charge, or at reasonable cost to students; and encourages timely resolution; and</w:t>
      </w:r>
    </w:p>
    <w:p w14:paraId="6A4D71A4" w14:textId="77777777" w:rsidR="002A7362" w:rsidRPr="00376AD2" w:rsidRDefault="002A7362" w:rsidP="002A7362">
      <w:pPr>
        <w:pStyle w:val="paragraph"/>
      </w:pPr>
      <w:r w:rsidRPr="00376AD2">
        <w:tab/>
        <w:t>(b)</w:t>
      </w:r>
      <w:r w:rsidRPr="00376AD2">
        <w:tab/>
        <w:t>an arrangement for the internal investigation of complaints which remain unresolved by the process outlined at paragraph (2)(a) by an independent and impartial senior officer of the higher education provider nominated by the provider, or dedicated complaints committee or unit established by the provider; and</w:t>
      </w:r>
    </w:p>
    <w:p w14:paraId="380D8236" w14:textId="77777777" w:rsidR="002A7362" w:rsidRPr="00376AD2" w:rsidRDefault="002A7362" w:rsidP="002A7362">
      <w:pPr>
        <w:pStyle w:val="paragraph"/>
      </w:pPr>
      <w:r w:rsidRPr="00376AD2">
        <w:tab/>
        <w:t>(c)</w:t>
      </w:r>
      <w:r w:rsidRPr="00376AD2">
        <w:tab/>
        <w:t>a provision for external review of decisions made under paragraph (2)(b) by an independent person or body established or nominated by the higher education provider.</w:t>
      </w:r>
    </w:p>
    <w:p w14:paraId="79491F17" w14:textId="77777777" w:rsidR="002A7362" w:rsidRPr="00376AD2" w:rsidRDefault="002A7362" w:rsidP="002A7362">
      <w:pPr>
        <w:pStyle w:val="subsection"/>
        <w:keepNext/>
      </w:pPr>
      <w:r w:rsidRPr="00376AD2">
        <w:tab/>
        <w:t>(3)</w:t>
      </w:r>
      <w:r w:rsidRPr="00376AD2">
        <w:tab/>
        <w:t>The higher education provider must:</w:t>
      </w:r>
    </w:p>
    <w:p w14:paraId="053AAE85" w14:textId="77777777" w:rsidR="002A7362" w:rsidRPr="00376AD2" w:rsidRDefault="002A7362" w:rsidP="002A7362">
      <w:pPr>
        <w:pStyle w:val="paragraph"/>
      </w:pPr>
      <w:r w:rsidRPr="00376AD2">
        <w:tab/>
        <w:t>(a)</w:t>
      </w:r>
      <w:r w:rsidRPr="00376AD2">
        <w:tab/>
        <w:t>have a mechanism in place to implement the grievance procedures, including implementation of recommendations arising from any external review under paragraph (2)(c);</w:t>
      </w:r>
    </w:p>
    <w:p w14:paraId="3745CCDA" w14:textId="77777777" w:rsidR="002A7362" w:rsidRPr="00376AD2" w:rsidRDefault="002A7362" w:rsidP="002A7362">
      <w:pPr>
        <w:pStyle w:val="paragraph"/>
      </w:pPr>
      <w:r w:rsidRPr="00376AD2">
        <w:tab/>
        <w:t>(b)</w:t>
      </w:r>
      <w:r w:rsidRPr="00376AD2">
        <w:tab/>
        <w:t>ensure that the grievance procedures are complete, unambiguous and agreed to and ratified by the provider’s governing body;</w:t>
      </w:r>
    </w:p>
    <w:p w14:paraId="0BD0AB4E" w14:textId="77777777" w:rsidR="002A7362" w:rsidRPr="00376AD2" w:rsidRDefault="002A7362" w:rsidP="002A7362">
      <w:pPr>
        <w:pStyle w:val="paragraph"/>
      </w:pPr>
      <w:r w:rsidRPr="00376AD2">
        <w:tab/>
        <w:t>(c)</w:t>
      </w:r>
      <w:r w:rsidRPr="00376AD2">
        <w:tab/>
        <w:t>not victimise or discriminate against any complainant or respondent;</w:t>
      </w:r>
    </w:p>
    <w:p w14:paraId="5F487639" w14:textId="77777777" w:rsidR="002A7362" w:rsidRPr="00376AD2" w:rsidRDefault="002A7362" w:rsidP="002A7362">
      <w:pPr>
        <w:pStyle w:val="paragraph"/>
      </w:pPr>
      <w:r w:rsidRPr="00376AD2">
        <w:tab/>
        <w:t>(d)</w:t>
      </w:r>
      <w:r w:rsidRPr="00376AD2">
        <w:tab/>
        <w:t>make details of the grievance procedures publicly available;</w:t>
      </w:r>
    </w:p>
    <w:p w14:paraId="79EC4CF5" w14:textId="77777777" w:rsidR="002A7362" w:rsidRPr="00376AD2" w:rsidRDefault="002A7362" w:rsidP="002A7362">
      <w:pPr>
        <w:pStyle w:val="paragraph"/>
      </w:pPr>
      <w:r w:rsidRPr="00376AD2">
        <w:tab/>
        <w:t>(e)</w:t>
      </w:r>
      <w:r w:rsidRPr="00376AD2">
        <w:tab/>
        <w:t xml:space="preserve">communicate the grievance procedures in writing to its staff and train its staff in their application; </w:t>
      </w:r>
    </w:p>
    <w:p w14:paraId="7951548D" w14:textId="77777777" w:rsidR="002A7362" w:rsidRPr="00376AD2" w:rsidRDefault="002A7362" w:rsidP="002A7362">
      <w:pPr>
        <w:pStyle w:val="paragraph"/>
      </w:pPr>
      <w:r w:rsidRPr="00376AD2">
        <w:tab/>
        <w:t>(f)</w:t>
      </w:r>
      <w:r w:rsidRPr="00376AD2">
        <w:tab/>
        <w:t xml:space="preserve">specify reasonable timelines for responses to each stage of the process; </w:t>
      </w:r>
    </w:p>
    <w:p w14:paraId="4025A7AC" w14:textId="77777777" w:rsidR="002A7362" w:rsidRPr="00376AD2" w:rsidRDefault="002A7362" w:rsidP="002A7362">
      <w:pPr>
        <w:pStyle w:val="paragraph"/>
      </w:pPr>
      <w:r w:rsidRPr="00376AD2">
        <w:tab/>
        <w:t>(g)</w:t>
      </w:r>
      <w:r w:rsidRPr="00376AD2">
        <w:tab/>
        <w:t>allow the complainant and/or respondent to be accompanied and assisted by a third party if desired;</w:t>
      </w:r>
    </w:p>
    <w:p w14:paraId="7F9E5476" w14:textId="77777777" w:rsidR="002A7362" w:rsidRPr="00376AD2" w:rsidRDefault="002A7362" w:rsidP="002A7362">
      <w:pPr>
        <w:pStyle w:val="paragraph"/>
      </w:pPr>
      <w:r w:rsidRPr="00376AD2">
        <w:tab/>
        <w:t>(h)</w:t>
      </w:r>
      <w:r w:rsidRPr="00376AD2">
        <w:tab/>
        <w:t>give reasons and full explanation in writing for decisions and actions taken as part of the procedures, if requested by the complainant and/or respondent;</w:t>
      </w:r>
    </w:p>
    <w:p w14:paraId="781B310B" w14:textId="77777777" w:rsidR="002A7362" w:rsidRPr="00376AD2" w:rsidRDefault="002A7362" w:rsidP="002A7362">
      <w:pPr>
        <w:pStyle w:val="paragraph"/>
      </w:pPr>
      <w:r w:rsidRPr="00376AD2">
        <w:lastRenderedPageBreak/>
        <w:tab/>
        <w:t>(i)</w:t>
      </w:r>
      <w:r w:rsidRPr="00376AD2">
        <w:tab/>
        <w:t>keep appropriate records of all grievances for at least five years, and allow parties to the complaint appropriate access to these records;</w:t>
      </w:r>
    </w:p>
    <w:p w14:paraId="46356EB4" w14:textId="77777777" w:rsidR="002A7362" w:rsidRPr="00376AD2" w:rsidRDefault="002A7362" w:rsidP="002A7362">
      <w:pPr>
        <w:pStyle w:val="paragraph"/>
      </w:pPr>
      <w:r w:rsidRPr="00376AD2">
        <w:tab/>
        <w:t>(j)</w:t>
      </w:r>
      <w:r w:rsidRPr="00376AD2">
        <w:tab/>
        <w:t>ensure that such records are treated as confidential.</w:t>
      </w:r>
    </w:p>
    <w:p w14:paraId="0AE4C50A" w14:textId="229094D3" w:rsidR="002A7362" w:rsidRPr="00376AD2" w:rsidRDefault="002A7362" w:rsidP="002A7362">
      <w:pPr>
        <w:pStyle w:val="subsection"/>
        <w:keepNext/>
      </w:pPr>
      <w:r w:rsidRPr="00376AD2">
        <w:tab/>
        <w:t>(4)</w:t>
      </w:r>
      <w:r w:rsidRPr="00376AD2">
        <w:tab/>
        <w:t xml:space="preserve">Students or persons seeking to enrol in a course of study </w:t>
      </w:r>
      <w:r>
        <w:t xml:space="preserve">or accelerator program course </w:t>
      </w:r>
      <w:r w:rsidRPr="00376AD2">
        <w:t>with a higher education provider are entitled to access the grievance procedures as set out by that provider, regardless of the location of the campus at which the grievance has arisen, the student’s place of residence or the mode in which they study.</w:t>
      </w:r>
    </w:p>
    <w:p w14:paraId="0567B55A" w14:textId="77777777" w:rsidR="002A7362" w:rsidRPr="00376AD2" w:rsidRDefault="002A7362" w:rsidP="002A7362">
      <w:pPr>
        <w:pStyle w:val="subsection"/>
        <w:keepNext/>
      </w:pPr>
      <w:r w:rsidRPr="00376AD2">
        <w:tab/>
        <w:t>(5)</w:t>
      </w:r>
      <w:r w:rsidRPr="00376AD2">
        <w:tab/>
        <w:t>The procedures set out in the grievance procedures document do not replace or modify procedures or any other responsibilities which may arise under other higher education provider policies or under statute or any other law.</w:t>
      </w:r>
    </w:p>
    <w:p w14:paraId="4E23A5BF" w14:textId="74D0F8D5" w:rsidR="002F12AC" w:rsidRDefault="002A7362" w:rsidP="002F12AC">
      <w:pPr>
        <w:pStyle w:val="ItemHead"/>
      </w:pPr>
      <w:r>
        <w:t>2</w:t>
      </w:r>
      <w:r w:rsidR="002F12AC">
        <w:t xml:space="preserve">  Section 22</w:t>
      </w:r>
    </w:p>
    <w:p w14:paraId="489A5E3D" w14:textId="77777777" w:rsidR="002F12AC" w:rsidRDefault="002F12AC" w:rsidP="002F12AC">
      <w:pPr>
        <w:pStyle w:val="Item"/>
      </w:pPr>
      <w:r>
        <w:t xml:space="preserve">Repeal section 22, substitute: </w:t>
      </w:r>
    </w:p>
    <w:p w14:paraId="651E27D2" w14:textId="77777777" w:rsidR="002F12AC" w:rsidRPr="00376AD2" w:rsidRDefault="002F12AC" w:rsidP="002F12AC">
      <w:pPr>
        <w:pStyle w:val="ActHead5"/>
      </w:pPr>
      <w:bookmarkStart w:id="30" w:name="_Toc129849898"/>
      <w:bookmarkStart w:id="31" w:name="_Toc153449410"/>
      <w:r w:rsidRPr="00376AD2">
        <w:t>22  Period in which a higher education provider provides or proposes to provide a unit of study</w:t>
      </w:r>
      <w:bookmarkEnd w:id="30"/>
      <w:r>
        <w:t xml:space="preserve"> or accelerator program course</w:t>
      </w:r>
      <w:bookmarkEnd w:id="31"/>
    </w:p>
    <w:p w14:paraId="50EA7F13" w14:textId="77777777" w:rsidR="002F12AC" w:rsidRDefault="002F12AC" w:rsidP="002F12AC">
      <w:pPr>
        <w:pStyle w:val="subsection"/>
        <w:keepNext/>
      </w:pPr>
      <w:r w:rsidRPr="00376AD2">
        <w:tab/>
      </w:r>
      <w:r>
        <w:t>(1)</w:t>
      </w:r>
      <w:r w:rsidRPr="00376AD2">
        <w:tab/>
        <w:t>For the purposes of subsections 19-87(1), 19-90(1) and 19-95(1) of the Act, the period commences on the earliest enrolment date for the unit of study as determined by the higher education provider and ends on the completion date for the unit of study as determined by the provider.</w:t>
      </w:r>
    </w:p>
    <w:p w14:paraId="4F19E94C" w14:textId="77777777" w:rsidR="002F12AC" w:rsidRPr="00376AD2" w:rsidRDefault="002F12AC" w:rsidP="002F12AC">
      <w:pPr>
        <w:pStyle w:val="subsection"/>
        <w:keepNext/>
      </w:pPr>
      <w:r>
        <w:tab/>
        <w:t>(2)</w:t>
      </w:r>
      <w:r>
        <w:tab/>
        <w:t>For the purposes of subsection 19-92(1) and subsection 19-97(1) of the Act, the period commences on the earliest enrolment date for the accelerator program course as determined by the higher education provider and ends on the completion date for the accelerator program course as determined by the provider.</w:t>
      </w:r>
    </w:p>
    <w:p w14:paraId="3017E9F1" w14:textId="0D978A9C" w:rsidR="002F12AC" w:rsidRDefault="002A7362" w:rsidP="002F12AC">
      <w:pPr>
        <w:pStyle w:val="ItemHead"/>
      </w:pPr>
      <w:r>
        <w:t>3</w:t>
      </w:r>
      <w:r w:rsidR="002F12AC">
        <w:t xml:space="preserve">  Section 23</w:t>
      </w:r>
    </w:p>
    <w:p w14:paraId="20769A85" w14:textId="77777777" w:rsidR="002F12AC" w:rsidRDefault="002F12AC" w:rsidP="002F12AC">
      <w:pPr>
        <w:pStyle w:val="Item"/>
      </w:pPr>
      <w:r>
        <w:t xml:space="preserve">Repeal section 23, substitute: </w:t>
      </w:r>
    </w:p>
    <w:p w14:paraId="01129D3D" w14:textId="6245E593" w:rsidR="002F12AC" w:rsidRPr="00376AD2" w:rsidRDefault="002F12AC" w:rsidP="002F12AC">
      <w:pPr>
        <w:pStyle w:val="ActHead5"/>
      </w:pPr>
      <w:bookmarkStart w:id="32" w:name="_Toc129849899"/>
      <w:bookmarkStart w:id="33" w:name="_Toc153449411"/>
      <w:r w:rsidRPr="00376AD2">
        <w:t>23  Date by which, and manner by which, a higher education provider must publish the schedule</w:t>
      </w:r>
      <w:r w:rsidR="00196D6B">
        <w:t>s</w:t>
      </w:r>
      <w:r w:rsidRPr="00376AD2">
        <w:t xml:space="preserve"> of student contribution amounts</w:t>
      </w:r>
      <w:r w:rsidR="00C050EF">
        <w:t>, tuition fees</w:t>
      </w:r>
      <w:r w:rsidRPr="00376AD2">
        <w:t xml:space="preserve"> </w:t>
      </w:r>
      <w:r w:rsidR="00196D6B">
        <w:t xml:space="preserve">and accelerator program course fees </w:t>
      </w:r>
      <w:r w:rsidRPr="00376AD2">
        <w:t>for a particular period</w:t>
      </w:r>
      <w:bookmarkEnd w:id="32"/>
      <w:bookmarkEnd w:id="33"/>
    </w:p>
    <w:p w14:paraId="4226D420" w14:textId="77777777" w:rsidR="002F12AC" w:rsidRDefault="002F12AC" w:rsidP="002F12AC">
      <w:pPr>
        <w:pStyle w:val="subsection"/>
        <w:keepNext/>
      </w:pPr>
      <w:r w:rsidRPr="00376AD2">
        <w:tab/>
      </w:r>
      <w:r>
        <w:t>(1)</w:t>
      </w:r>
      <w:r w:rsidRPr="00376AD2">
        <w:tab/>
        <w:t>For the purposes of paragraph 19-95(2)(b) of the Act, a higher education provider must publish a schedule of student contribution amounts for places and tuition fees on the provider’s website on or before the earliest enrolment date for the unit of study as determined by the provider.</w:t>
      </w:r>
    </w:p>
    <w:p w14:paraId="66A4947C" w14:textId="77777777" w:rsidR="002F12AC" w:rsidRPr="00376AD2" w:rsidRDefault="002F12AC" w:rsidP="002F12AC">
      <w:pPr>
        <w:pStyle w:val="subsection"/>
        <w:keepNext/>
      </w:pPr>
      <w:r>
        <w:tab/>
        <w:t>(2)</w:t>
      </w:r>
      <w:r>
        <w:tab/>
        <w:t>For the purposes of paragraph 19-97(3)(b) of the Act, a higher education provider must publish a schedule of the accelerator program course fees on the provider’s website on or before the earliest enrolment date for the accelerator program course as determined by the provider.</w:t>
      </w:r>
    </w:p>
    <w:p w14:paraId="37AD103F" w14:textId="55C6E7AF" w:rsidR="005E4E28" w:rsidRDefault="002A7362" w:rsidP="005E4E28">
      <w:pPr>
        <w:pStyle w:val="ItemHead"/>
      </w:pPr>
      <w:r>
        <w:t>4</w:t>
      </w:r>
      <w:r w:rsidR="005E4E28">
        <w:t xml:space="preserve">  Section 34</w:t>
      </w:r>
    </w:p>
    <w:p w14:paraId="05551FE6" w14:textId="426EE019" w:rsidR="005E4E28" w:rsidRDefault="005E4E28" w:rsidP="005E4E28">
      <w:pPr>
        <w:pStyle w:val="Item"/>
      </w:pPr>
      <w:r>
        <w:t xml:space="preserve">Repeal section 34, substitute: </w:t>
      </w:r>
    </w:p>
    <w:p w14:paraId="4D8A73B6" w14:textId="4340B08A" w:rsidR="005E4E28" w:rsidRPr="00376AD2" w:rsidRDefault="005E4E28" w:rsidP="005E4E28">
      <w:pPr>
        <w:pStyle w:val="ActHead5"/>
      </w:pPr>
      <w:bookmarkStart w:id="34" w:name="_Toc153449412"/>
      <w:r w:rsidRPr="00376AD2">
        <w:lastRenderedPageBreak/>
        <w:t>3</w:t>
      </w:r>
      <w:r>
        <w:t>4</w:t>
      </w:r>
      <w:r w:rsidRPr="00376AD2">
        <w:t xml:space="preserve">  Offering certain inducements</w:t>
      </w:r>
      <w:bookmarkEnd w:id="34"/>
    </w:p>
    <w:p w14:paraId="5385FEDC" w14:textId="4A111473" w:rsidR="005E4E28" w:rsidRPr="00376AD2" w:rsidRDefault="005E4E28" w:rsidP="005E4E28">
      <w:pPr>
        <w:pStyle w:val="subsection"/>
        <w:keepNext/>
      </w:pPr>
      <w:r w:rsidRPr="00376AD2">
        <w:tab/>
      </w:r>
      <w:r w:rsidRPr="00376AD2">
        <w:tab/>
        <w:t>For the purposes of subsection</w:t>
      </w:r>
      <w:r>
        <w:t>s</w:t>
      </w:r>
      <w:r w:rsidRPr="00376AD2">
        <w:t xml:space="preserve"> 19</w:t>
      </w:r>
      <w:r w:rsidRPr="00376AD2">
        <w:noBreakHyphen/>
        <w:t xml:space="preserve">36A(2) </w:t>
      </w:r>
      <w:r>
        <w:t xml:space="preserve">and (4) </w:t>
      </w:r>
      <w:r w:rsidRPr="00376AD2">
        <w:t>of the Act, subsection</w:t>
      </w:r>
      <w:r>
        <w:t>s</w:t>
      </w:r>
      <w:r w:rsidR="002222FA">
        <w:t> </w:t>
      </w:r>
      <w:r w:rsidRPr="00376AD2">
        <w:t>19</w:t>
      </w:r>
      <w:r w:rsidR="002222FA">
        <w:noBreakHyphen/>
      </w:r>
      <w:r w:rsidRPr="00376AD2">
        <w:t xml:space="preserve">36A(1) </w:t>
      </w:r>
      <w:r>
        <w:t xml:space="preserve">and (2) </w:t>
      </w:r>
      <w:r w:rsidRPr="00376AD2">
        <w:t>of the Act do not apply to the following specified benefits</w:t>
      </w:r>
      <w:r w:rsidR="00196D6B">
        <w:t>:</w:t>
      </w:r>
    </w:p>
    <w:p w14:paraId="568F0D6B" w14:textId="57C6954F" w:rsidR="005E4E28" w:rsidRDefault="005E4E28" w:rsidP="005E4E28">
      <w:pPr>
        <w:pStyle w:val="paragraph"/>
      </w:pPr>
      <w:r w:rsidRPr="00376AD2">
        <w:tab/>
        <w:t>(a)</w:t>
      </w:r>
      <w:r w:rsidRPr="00376AD2">
        <w:tab/>
        <w:t>the content and quality of the unit of study</w:t>
      </w:r>
      <w:r>
        <w:t xml:space="preserve"> or accelerator program course</w:t>
      </w:r>
      <w:r w:rsidRPr="00376AD2">
        <w:t>;</w:t>
      </w:r>
    </w:p>
    <w:p w14:paraId="6A0F5693" w14:textId="1A6AFAB3" w:rsidR="005E4E28" w:rsidRPr="00376AD2" w:rsidRDefault="005E4E28" w:rsidP="005E4E28">
      <w:pPr>
        <w:pStyle w:val="paragraph"/>
      </w:pPr>
      <w:r w:rsidRPr="00376AD2">
        <w:tab/>
        <w:t>(b)</w:t>
      </w:r>
      <w:r w:rsidRPr="00376AD2">
        <w:tab/>
        <w:t>the amount of the tuition fees for the unit of study</w:t>
      </w:r>
      <w:r>
        <w:t xml:space="preserve"> or accelerator program course</w:t>
      </w:r>
      <w:r w:rsidR="00251CE6">
        <w:t xml:space="preserve"> fees for the accelerator program course</w:t>
      </w:r>
      <w:r w:rsidRPr="00376AD2">
        <w:t>;</w:t>
      </w:r>
    </w:p>
    <w:p w14:paraId="71554788" w14:textId="5D3FDC73" w:rsidR="005E4E28" w:rsidRPr="00376AD2" w:rsidRDefault="005E4E28" w:rsidP="002222FA">
      <w:pPr>
        <w:pStyle w:val="paragraph"/>
      </w:pPr>
      <w:r w:rsidRPr="00376AD2">
        <w:tab/>
        <w:t>(c)</w:t>
      </w:r>
      <w:r w:rsidRPr="00376AD2">
        <w:tab/>
        <w:t>the availability of FEE</w:t>
      </w:r>
      <w:r w:rsidRPr="00376AD2">
        <w:noBreakHyphen/>
        <w:t>HELP assistance and HECS-HELP assistance for the unit of study</w:t>
      </w:r>
      <w:r w:rsidR="002222FA">
        <w:t xml:space="preserve"> or the</w:t>
      </w:r>
      <w:r>
        <w:t xml:space="preserve"> availability of STARTUP-HELP assistance for the accelerator program course;</w:t>
      </w:r>
    </w:p>
    <w:p w14:paraId="69931DF5" w14:textId="309CB934" w:rsidR="005E4E28" w:rsidRPr="00376AD2" w:rsidRDefault="005E4E28" w:rsidP="005E4E28">
      <w:pPr>
        <w:pStyle w:val="paragraph"/>
      </w:pPr>
      <w:r w:rsidRPr="00376AD2">
        <w:tab/>
        <w:t>(</w:t>
      </w:r>
      <w:r w:rsidR="002222FA">
        <w:t>d</w:t>
      </w:r>
      <w:r w:rsidRPr="00376AD2">
        <w:t>)</w:t>
      </w:r>
      <w:r w:rsidRPr="00376AD2">
        <w:tab/>
        <w:t>marketing merchandise up to the total value of $30 per person;</w:t>
      </w:r>
    </w:p>
    <w:p w14:paraId="4BF12874" w14:textId="065500EC" w:rsidR="005E4E28" w:rsidRDefault="005E4E28" w:rsidP="005E4E28">
      <w:pPr>
        <w:pStyle w:val="paragraph"/>
      </w:pPr>
      <w:r w:rsidRPr="00376AD2">
        <w:tab/>
        <w:t>(</w:t>
      </w:r>
      <w:r w:rsidR="002222FA">
        <w:t>e</w:t>
      </w:r>
      <w:r w:rsidRPr="00376AD2">
        <w:t>)</w:t>
      </w:r>
      <w:r w:rsidRPr="00376AD2">
        <w:tab/>
        <w:t>the offering of money in the form of scholarships or bursaries</w:t>
      </w:r>
      <w:r w:rsidR="00415B65">
        <w:t>;</w:t>
      </w:r>
    </w:p>
    <w:p w14:paraId="1CB0C5FE" w14:textId="0466C289" w:rsidR="00415B65" w:rsidRPr="00376AD2" w:rsidRDefault="00415B65" w:rsidP="005E4E28">
      <w:pPr>
        <w:pStyle w:val="paragraph"/>
      </w:pPr>
      <w:r>
        <w:tab/>
        <w:t>(f)</w:t>
      </w:r>
      <w:r>
        <w:tab/>
        <w:t>for an accelerator program course, the offering of money in the form of investments into the student’s startup business.</w:t>
      </w:r>
    </w:p>
    <w:p w14:paraId="593E6BA9" w14:textId="7A7A969D" w:rsidR="00D301C5" w:rsidRDefault="00D301C5" w:rsidP="00D301C5">
      <w:pPr>
        <w:pStyle w:val="ItemHead"/>
      </w:pPr>
      <w:r>
        <w:t>5  Section 37</w:t>
      </w:r>
    </w:p>
    <w:p w14:paraId="4AB524A9" w14:textId="32CB20FE" w:rsidR="00D301C5" w:rsidRDefault="00D301C5" w:rsidP="00D301C5">
      <w:pPr>
        <w:pStyle w:val="Item"/>
      </w:pPr>
      <w:r>
        <w:t xml:space="preserve">Repeal section 37, substitute: </w:t>
      </w:r>
    </w:p>
    <w:p w14:paraId="61FC89CC" w14:textId="77777777" w:rsidR="00D301C5" w:rsidRPr="00376AD2" w:rsidRDefault="00D301C5" w:rsidP="00D301C5">
      <w:pPr>
        <w:pStyle w:val="ActHead5"/>
      </w:pPr>
      <w:bookmarkStart w:id="35" w:name="_Toc129849916"/>
      <w:bookmarkStart w:id="36" w:name="_Toc153449413"/>
      <w:r w:rsidRPr="00376AD2">
        <w:t>37 Publishing information</w:t>
      </w:r>
      <w:bookmarkEnd w:id="35"/>
      <w:bookmarkEnd w:id="36"/>
    </w:p>
    <w:p w14:paraId="303F40E9" w14:textId="778282DC" w:rsidR="00D301C5" w:rsidRPr="00376AD2" w:rsidRDefault="00D301C5" w:rsidP="00D301C5">
      <w:pPr>
        <w:pStyle w:val="subsection"/>
        <w:rPr>
          <w:rFonts w:cs="Arial"/>
          <w:color w:val="000000"/>
          <w:szCs w:val="22"/>
        </w:rPr>
      </w:pPr>
      <w:r w:rsidRPr="00376AD2">
        <w:rPr>
          <w:rFonts w:cs="Arial"/>
          <w:color w:val="000000"/>
          <w:szCs w:val="22"/>
        </w:rPr>
        <w:tab/>
        <w:t>(1)</w:t>
      </w:r>
      <w:r w:rsidRPr="00376AD2">
        <w:rPr>
          <w:rFonts w:cs="Arial"/>
          <w:color w:val="000000"/>
          <w:szCs w:val="22"/>
        </w:rPr>
        <w:tab/>
        <w:t>For the purposes of section 19</w:t>
      </w:r>
      <w:r w:rsidRPr="00376AD2">
        <w:rPr>
          <w:rFonts w:cs="Arial"/>
          <w:color w:val="000000"/>
          <w:szCs w:val="22"/>
        </w:rPr>
        <w:noBreakHyphen/>
        <w:t>73 of the Act, a higher education provider must publish the following information in relation to each unit of study</w:t>
      </w:r>
      <w:r>
        <w:rPr>
          <w:rFonts w:cs="Arial"/>
          <w:color w:val="000000"/>
          <w:szCs w:val="22"/>
        </w:rPr>
        <w:t xml:space="preserve"> or accelerator program course</w:t>
      </w:r>
      <w:r w:rsidRPr="00376AD2">
        <w:rPr>
          <w:rFonts w:cs="Arial"/>
          <w:color w:val="000000"/>
          <w:szCs w:val="22"/>
        </w:rPr>
        <w:t xml:space="preserve"> offered by the provider:</w:t>
      </w:r>
    </w:p>
    <w:p w14:paraId="05A9F068" w14:textId="1F9B271B" w:rsidR="00D301C5" w:rsidRPr="00376AD2" w:rsidRDefault="00D301C5" w:rsidP="00D301C5">
      <w:pPr>
        <w:pStyle w:val="paragraph"/>
      </w:pPr>
      <w:r w:rsidRPr="00376AD2">
        <w:tab/>
        <w:t>(a)</w:t>
      </w:r>
      <w:r w:rsidRPr="00376AD2">
        <w:tab/>
        <w:t>the mode of delivery of the unit of study</w:t>
      </w:r>
      <w:r>
        <w:t xml:space="preserve"> or accelerator program course</w:t>
      </w:r>
      <w:r w:rsidRPr="00376AD2">
        <w:t>;</w:t>
      </w:r>
    </w:p>
    <w:p w14:paraId="63787D60" w14:textId="49C31750" w:rsidR="00D301C5" w:rsidRPr="00376AD2" w:rsidRDefault="00D301C5" w:rsidP="00D301C5">
      <w:pPr>
        <w:pStyle w:val="paragraph"/>
      </w:pPr>
      <w:r w:rsidRPr="00376AD2">
        <w:tab/>
        <w:t>(b)</w:t>
      </w:r>
      <w:r w:rsidRPr="00376AD2">
        <w:tab/>
        <w:t xml:space="preserve">whether the unit of study </w:t>
      </w:r>
      <w:r>
        <w:t xml:space="preserve">or accelerator program course </w:t>
      </w:r>
      <w:r w:rsidRPr="00376AD2">
        <w:t>will be delivered by the provider or by a third party;</w:t>
      </w:r>
    </w:p>
    <w:p w14:paraId="234BA64C" w14:textId="77777777" w:rsidR="00650938" w:rsidRDefault="00D301C5" w:rsidP="00D301C5">
      <w:pPr>
        <w:pStyle w:val="paragraph"/>
      </w:pPr>
      <w:r w:rsidRPr="00376AD2">
        <w:tab/>
        <w:t>(c)</w:t>
      </w:r>
      <w:r w:rsidRPr="00376AD2">
        <w:tab/>
      </w:r>
      <w:r>
        <w:t xml:space="preserve">in relation to units of study, </w:t>
      </w:r>
      <w:r w:rsidRPr="00376AD2">
        <w:t>whether FEE-HELP assistance or HECS-HELP assistance is available for the unit of study and whether a person can be a Commonwealth supported student in relation to the unit of study</w:t>
      </w:r>
      <w:r w:rsidR="00650938">
        <w:t xml:space="preserve">; </w:t>
      </w:r>
    </w:p>
    <w:p w14:paraId="206EC38A" w14:textId="0B4A3824" w:rsidR="00D301C5" w:rsidRPr="00376AD2" w:rsidRDefault="00650938" w:rsidP="00D301C5">
      <w:pPr>
        <w:pStyle w:val="paragraph"/>
      </w:pPr>
      <w:r>
        <w:tab/>
        <w:t>(d)</w:t>
      </w:r>
      <w:r>
        <w:tab/>
        <w:t xml:space="preserve">in relation to accelerator program courses, </w:t>
      </w:r>
      <w:r w:rsidR="00D301C5">
        <w:t>whether STARTUP-HELP assistance is available for the accelerator program course</w:t>
      </w:r>
      <w:r w:rsidR="00D301C5" w:rsidRPr="00376AD2">
        <w:t>;</w:t>
      </w:r>
    </w:p>
    <w:p w14:paraId="54503BAE" w14:textId="203BDC8E" w:rsidR="00D301C5" w:rsidRDefault="00D301C5" w:rsidP="00D301C5">
      <w:pPr>
        <w:pStyle w:val="paragraph"/>
      </w:pPr>
      <w:r w:rsidRPr="00376AD2">
        <w:tab/>
        <w:t>(</w:t>
      </w:r>
      <w:r w:rsidR="00650938">
        <w:t>e</w:t>
      </w:r>
      <w:r w:rsidRPr="00376AD2">
        <w:t>)</w:t>
      </w:r>
      <w:r w:rsidRPr="00376AD2">
        <w:tab/>
      </w:r>
      <w:r w:rsidR="00650938">
        <w:t xml:space="preserve">in relation to units of study, </w:t>
      </w:r>
      <w:r w:rsidRPr="00376AD2">
        <w:t>whether there are any limits or conditions on the FEE</w:t>
      </w:r>
      <w:r w:rsidRPr="00376AD2">
        <w:noBreakHyphen/>
        <w:t>HELP assistance or HECS-HELP assistance available for the unit of study imposed on the provider’s approval as a higher education provider</w:t>
      </w:r>
      <w:r w:rsidR="00650938">
        <w:t>; and</w:t>
      </w:r>
    </w:p>
    <w:p w14:paraId="3DBCEFBD" w14:textId="512970FC" w:rsidR="00650938" w:rsidRPr="00376AD2" w:rsidRDefault="00650938" w:rsidP="00D301C5">
      <w:pPr>
        <w:pStyle w:val="paragraph"/>
      </w:pPr>
      <w:r>
        <w:tab/>
        <w:t>(f)</w:t>
      </w:r>
      <w:r>
        <w:tab/>
        <w:t>in relation to accelerator program courses, whether there are any limits or conditions on the STARTUP-HELP assistance available for the accelerator program course imposed on the provider’s approval as a higher education provider.</w:t>
      </w:r>
    </w:p>
    <w:p w14:paraId="250E650B" w14:textId="77777777" w:rsidR="00D301C5" w:rsidRPr="00376AD2" w:rsidRDefault="00D301C5" w:rsidP="00D301C5">
      <w:pPr>
        <w:pStyle w:val="subsection"/>
        <w:rPr>
          <w:rFonts w:cs="Arial"/>
          <w:color w:val="000000"/>
          <w:szCs w:val="22"/>
        </w:rPr>
      </w:pPr>
      <w:r w:rsidRPr="00376AD2">
        <w:rPr>
          <w:rFonts w:cs="Arial"/>
          <w:color w:val="000000"/>
          <w:szCs w:val="22"/>
        </w:rPr>
        <w:tab/>
        <w:t>(2)</w:t>
      </w:r>
      <w:r w:rsidRPr="00376AD2">
        <w:rPr>
          <w:rFonts w:cs="Arial"/>
          <w:color w:val="000000"/>
          <w:szCs w:val="22"/>
        </w:rPr>
        <w:tab/>
        <w:t>The information must be published by the higher education provider prominently on its website, and in a manner that is easily accessible without provision of login or contact information.</w:t>
      </w:r>
    </w:p>
    <w:p w14:paraId="344720E0" w14:textId="77777777" w:rsidR="00D301C5" w:rsidRPr="00376AD2" w:rsidRDefault="00D301C5" w:rsidP="00D301C5">
      <w:pPr>
        <w:pStyle w:val="subsection"/>
      </w:pPr>
      <w:r w:rsidRPr="00376AD2">
        <w:tab/>
        <w:t>(3)</w:t>
      </w:r>
      <w:r w:rsidRPr="00376AD2">
        <w:tab/>
        <w:t>The information must:</w:t>
      </w:r>
    </w:p>
    <w:p w14:paraId="27C50EF6" w14:textId="386D63D3" w:rsidR="00D301C5" w:rsidRPr="00376AD2" w:rsidRDefault="00D301C5" w:rsidP="00D301C5">
      <w:pPr>
        <w:pStyle w:val="paragraph"/>
      </w:pPr>
      <w:r w:rsidRPr="00376AD2">
        <w:tab/>
        <w:t>(a)</w:t>
      </w:r>
      <w:r w:rsidRPr="00376AD2">
        <w:tab/>
        <w:t>be published before the earliest day for enrolment in the unit of study</w:t>
      </w:r>
      <w:r w:rsidR="00650938">
        <w:t xml:space="preserve"> or accelerator program course</w:t>
      </w:r>
      <w:r w:rsidRPr="00376AD2">
        <w:t>; and</w:t>
      </w:r>
    </w:p>
    <w:p w14:paraId="4DDBC82F" w14:textId="2E76CE3D" w:rsidR="00D301C5" w:rsidRPr="00376AD2" w:rsidRDefault="00D301C5" w:rsidP="00D301C5">
      <w:pPr>
        <w:pStyle w:val="paragraph"/>
      </w:pPr>
      <w:r w:rsidRPr="00376AD2">
        <w:tab/>
        <w:t>(b)</w:t>
      </w:r>
      <w:r w:rsidRPr="00376AD2">
        <w:tab/>
        <w:t xml:space="preserve">must remain published at least until the end of the period in which the unit </w:t>
      </w:r>
      <w:r w:rsidR="00650938">
        <w:t xml:space="preserve">of study or accelerator program course </w:t>
      </w:r>
      <w:r w:rsidRPr="00376AD2">
        <w:t>can be undertaken.</w:t>
      </w:r>
    </w:p>
    <w:p w14:paraId="086DECA2" w14:textId="6831EF1E" w:rsidR="001059DD" w:rsidRDefault="00D301C5" w:rsidP="001059DD">
      <w:pPr>
        <w:pStyle w:val="ItemHead"/>
      </w:pPr>
      <w:r>
        <w:lastRenderedPageBreak/>
        <w:t>6</w:t>
      </w:r>
      <w:r w:rsidR="001059DD">
        <w:t xml:space="preserve">  Section 38</w:t>
      </w:r>
    </w:p>
    <w:p w14:paraId="7C1BC8AE" w14:textId="077DD4D9" w:rsidR="001059DD" w:rsidRDefault="001059DD" w:rsidP="001059DD">
      <w:pPr>
        <w:pStyle w:val="Item"/>
      </w:pPr>
      <w:r>
        <w:t xml:space="preserve">Repeal section 38, substitute: </w:t>
      </w:r>
    </w:p>
    <w:p w14:paraId="07A8C444" w14:textId="50E41699" w:rsidR="001059DD" w:rsidRPr="00376AD2" w:rsidRDefault="001059DD" w:rsidP="001059DD">
      <w:pPr>
        <w:pStyle w:val="ActHead5"/>
      </w:pPr>
      <w:bookmarkStart w:id="37" w:name="_Toc129849917"/>
      <w:bookmarkStart w:id="38" w:name="_Toc153449414"/>
      <w:r w:rsidRPr="00376AD2">
        <w:t>38  Withdrawal from units of study</w:t>
      </w:r>
      <w:bookmarkEnd w:id="37"/>
      <w:r w:rsidR="00B95582">
        <w:t xml:space="preserve"> or accelerator program courses</w:t>
      </w:r>
      <w:bookmarkEnd w:id="38"/>
    </w:p>
    <w:p w14:paraId="707E25AA" w14:textId="1ABC919F" w:rsidR="001059DD" w:rsidRPr="00376AD2" w:rsidRDefault="001059DD" w:rsidP="001059DD">
      <w:pPr>
        <w:pStyle w:val="subsection"/>
        <w:rPr>
          <w:rFonts w:cs="Arial"/>
          <w:color w:val="000000"/>
          <w:szCs w:val="22"/>
        </w:rPr>
      </w:pPr>
      <w:r w:rsidRPr="00376AD2">
        <w:rPr>
          <w:rFonts w:cs="Arial"/>
          <w:color w:val="000000"/>
          <w:szCs w:val="22"/>
        </w:rPr>
        <w:tab/>
        <w:t>(1)</w:t>
      </w:r>
      <w:r w:rsidRPr="00376AD2">
        <w:rPr>
          <w:rFonts w:cs="Arial"/>
          <w:color w:val="000000"/>
          <w:szCs w:val="22"/>
        </w:rPr>
        <w:tab/>
        <w:t>For the purposes of s</w:t>
      </w:r>
      <w:r w:rsidR="00B95582">
        <w:rPr>
          <w:rFonts w:cs="Arial"/>
          <w:color w:val="000000"/>
          <w:szCs w:val="22"/>
        </w:rPr>
        <w:t>ubs</w:t>
      </w:r>
      <w:r w:rsidRPr="00376AD2">
        <w:rPr>
          <w:rFonts w:cs="Arial"/>
          <w:color w:val="000000"/>
          <w:szCs w:val="22"/>
        </w:rPr>
        <w:t>ection</w:t>
      </w:r>
      <w:r w:rsidR="00B95582">
        <w:rPr>
          <w:rFonts w:cs="Arial"/>
          <w:color w:val="000000"/>
          <w:szCs w:val="22"/>
        </w:rPr>
        <w:t>s</w:t>
      </w:r>
      <w:r w:rsidRPr="00376AD2">
        <w:rPr>
          <w:rFonts w:cs="Arial"/>
          <w:color w:val="000000"/>
          <w:szCs w:val="22"/>
        </w:rPr>
        <w:t> 169</w:t>
      </w:r>
      <w:r w:rsidRPr="00376AD2">
        <w:rPr>
          <w:rFonts w:cs="Arial"/>
          <w:color w:val="000000"/>
          <w:szCs w:val="22"/>
        </w:rPr>
        <w:noBreakHyphen/>
        <w:t>17</w:t>
      </w:r>
      <w:r w:rsidR="00B95582">
        <w:rPr>
          <w:rFonts w:cs="Arial"/>
          <w:color w:val="000000"/>
          <w:szCs w:val="22"/>
        </w:rPr>
        <w:t>(1) and 169-18(1)</w:t>
      </w:r>
      <w:r w:rsidRPr="00376AD2">
        <w:rPr>
          <w:rFonts w:cs="Arial"/>
          <w:color w:val="000000"/>
          <w:szCs w:val="22"/>
        </w:rPr>
        <w:t xml:space="preserve"> of the Act, a higher education provider must have processes and procedures that include:</w:t>
      </w:r>
    </w:p>
    <w:p w14:paraId="3277D71B" w14:textId="004F013C" w:rsidR="001059DD" w:rsidRPr="00376AD2" w:rsidRDefault="001059DD" w:rsidP="001059DD">
      <w:pPr>
        <w:pStyle w:val="paragraph"/>
      </w:pPr>
      <w:r w:rsidRPr="00376AD2">
        <w:tab/>
        <w:t>(a)</w:t>
      </w:r>
      <w:r w:rsidRPr="00376AD2">
        <w:tab/>
        <w:t>procedures for a student to withdraw from a unit of study</w:t>
      </w:r>
      <w:r w:rsidR="00D22CC6">
        <w:t>,</w:t>
      </w:r>
      <w:r w:rsidRPr="00376AD2">
        <w:t xml:space="preserve"> course of study</w:t>
      </w:r>
      <w:r w:rsidR="00D22CC6">
        <w:t xml:space="preserve"> or accelerator program course</w:t>
      </w:r>
      <w:r w:rsidRPr="00376AD2">
        <w:t>; and</w:t>
      </w:r>
    </w:p>
    <w:p w14:paraId="3A83F376" w14:textId="77777777" w:rsidR="001059DD" w:rsidRPr="00376AD2" w:rsidRDefault="001059DD" w:rsidP="001059DD">
      <w:pPr>
        <w:pStyle w:val="paragraph"/>
      </w:pPr>
      <w:r w:rsidRPr="00376AD2">
        <w:tab/>
        <w:t>(b)</w:t>
      </w:r>
      <w:r w:rsidRPr="00376AD2">
        <w:tab/>
        <w:t>a procedure for a student to enrol in a unit of study that was part of a course of study with the provider in circumstances where the student had earlier withdrawn from a unit of study of that course undertaken with the provider.</w:t>
      </w:r>
    </w:p>
    <w:p w14:paraId="731FC8BC" w14:textId="37D818EC" w:rsidR="001059DD" w:rsidRPr="00376AD2" w:rsidRDefault="001059DD" w:rsidP="001059DD">
      <w:pPr>
        <w:pStyle w:val="subsection"/>
      </w:pPr>
      <w:r w:rsidRPr="00376AD2">
        <w:tab/>
        <w:t>(2)</w:t>
      </w:r>
      <w:r w:rsidRPr="00376AD2">
        <w:tab/>
        <w:t>The procedures for a student to withdraw from a unit of study</w:t>
      </w:r>
      <w:r w:rsidR="00D22CC6">
        <w:t>,</w:t>
      </w:r>
      <w:r w:rsidRPr="00376AD2">
        <w:t xml:space="preserve"> course of study, </w:t>
      </w:r>
      <w:r w:rsidR="00D22CC6">
        <w:t xml:space="preserve">or accelerator program course, </w:t>
      </w:r>
      <w:r w:rsidRPr="00376AD2">
        <w:t xml:space="preserve">on or before </w:t>
      </w:r>
      <w:r w:rsidR="00D22CC6">
        <w:t>the relevant census date,</w:t>
      </w:r>
      <w:r w:rsidRPr="00376AD2">
        <w:t xml:space="preserve"> must not involve financial, administrative or other barriers to the withdrawal.</w:t>
      </w:r>
    </w:p>
    <w:p w14:paraId="54912908" w14:textId="54E6FA67" w:rsidR="001059DD" w:rsidRPr="001059DD" w:rsidRDefault="001059DD" w:rsidP="00415B65">
      <w:pPr>
        <w:pStyle w:val="subsection"/>
      </w:pPr>
      <w:r w:rsidRPr="00376AD2">
        <w:tab/>
        <w:t>(3)</w:t>
      </w:r>
      <w:r w:rsidRPr="00376AD2">
        <w:tab/>
        <w:t>If a student withdraws from a unit of study</w:t>
      </w:r>
      <w:r w:rsidR="00D22CC6">
        <w:t>,</w:t>
      </w:r>
      <w:r w:rsidRPr="00376AD2">
        <w:t xml:space="preserve"> course of study</w:t>
      </w:r>
      <w:r w:rsidR="00D22CC6">
        <w:t xml:space="preserve"> or accelerator program course</w:t>
      </w:r>
      <w:r w:rsidRPr="00376AD2">
        <w:t>, the higher education provider must not, after the withdrawal, enrol the student in a unit of study</w:t>
      </w:r>
      <w:r w:rsidR="00D22CC6">
        <w:t xml:space="preserve">, </w:t>
      </w:r>
      <w:r w:rsidRPr="00376AD2">
        <w:t>course of study</w:t>
      </w:r>
      <w:r w:rsidR="00D22CC6">
        <w:t xml:space="preserve"> or accelerator program course</w:t>
      </w:r>
      <w:r w:rsidRPr="00376AD2">
        <w:t xml:space="preserve"> without the written permission of the student (which must be given after the withdrawal).</w:t>
      </w:r>
    </w:p>
    <w:p w14:paraId="0F356604" w14:textId="7D72ADF8" w:rsidR="00C87218" w:rsidRDefault="00D301C5" w:rsidP="00C87218">
      <w:pPr>
        <w:pStyle w:val="ItemHead"/>
      </w:pPr>
      <w:r>
        <w:t>7</w:t>
      </w:r>
      <w:r w:rsidR="00C87218">
        <w:t xml:space="preserve">  Section 39</w:t>
      </w:r>
    </w:p>
    <w:p w14:paraId="0E9769FE" w14:textId="48F304D9" w:rsidR="00C87218" w:rsidRDefault="00C87218" w:rsidP="00C87218">
      <w:pPr>
        <w:pStyle w:val="Item"/>
      </w:pPr>
      <w:r>
        <w:t xml:space="preserve">Repeal section 39, substitute: </w:t>
      </w:r>
    </w:p>
    <w:p w14:paraId="31291FB3" w14:textId="77777777" w:rsidR="00C87218" w:rsidRPr="00376AD2" w:rsidRDefault="00C87218" w:rsidP="00C87218">
      <w:pPr>
        <w:pStyle w:val="ActHead5"/>
      </w:pPr>
      <w:bookmarkStart w:id="39" w:name="_Toc129849919"/>
      <w:bookmarkStart w:id="40" w:name="_Toc153449415"/>
      <w:r w:rsidRPr="00376AD2">
        <w:t>39  Genuine student</w:t>
      </w:r>
      <w:bookmarkEnd w:id="39"/>
      <w:bookmarkEnd w:id="40"/>
    </w:p>
    <w:p w14:paraId="11B1E6BB" w14:textId="65970A9B" w:rsidR="00C87218" w:rsidRPr="00376AD2" w:rsidRDefault="00C87218" w:rsidP="00C87218">
      <w:pPr>
        <w:pStyle w:val="subsection"/>
      </w:pPr>
      <w:r w:rsidRPr="00376AD2">
        <w:tab/>
      </w:r>
      <w:r w:rsidRPr="00376AD2">
        <w:tab/>
        <w:t>For the purposes of subsections 36-5(6)</w:t>
      </w:r>
      <w:r>
        <w:t xml:space="preserve">, </w:t>
      </w:r>
      <w:r w:rsidRPr="00376AD2">
        <w:t xml:space="preserve">104-1(1AB) </w:t>
      </w:r>
      <w:r>
        <w:t xml:space="preserve">and 128B-10(2) </w:t>
      </w:r>
      <w:r w:rsidRPr="00376AD2">
        <w:t>of the Act, in determining whether a student is a genuine student in relation to a unit of study being undertaken as part of a course of study</w:t>
      </w:r>
      <w:r w:rsidR="001059DD">
        <w:t xml:space="preserve"> or an accelerator program course</w:t>
      </w:r>
      <w:r w:rsidRPr="00376AD2">
        <w:t>, regard must be had to the following matters:</w:t>
      </w:r>
    </w:p>
    <w:p w14:paraId="70ED5019" w14:textId="26A23415" w:rsidR="00C87218" w:rsidRPr="00376AD2" w:rsidRDefault="00C87218" w:rsidP="00C87218">
      <w:pPr>
        <w:pStyle w:val="paragraph"/>
      </w:pPr>
      <w:r w:rsidRPr="00376AD2">
        <w:tab/>
        <w:t>(a)</w:t>
      </w:r>
      <w:r w:rsidRPr="00376AD2">
        <w:tab/>
        <w:t>whether the student is reasonably engaged in the course</w:t>
      </w:r>
      <w:r w:rsidR="001059DD">
        <w:t xml:space="preserve"> of study or accelerator program course</w:t>
      </w:r>
      <w:r w:rsidRPr="00376AD2">
        <w:t>;</w:t>
      </w:r>
    </w:p>
    <w:p w14:paraId="5B26C9D0" w14:textId="72132A46" w:rsidR="00C87218" w:rsidRPr="00376AD2" w:rsidRDefault="00C87218" w:rsidP="00C87218">
      <w:pPr>
        <w:pStyle w:val="paragraph"/>
      </w:pPr>
      <w:r w:rsidRPr="00376AD2">
        <w:tab/>
        <w:t>(b)</w:t>
      </w:r>
      <w:r w:rsidRPr="00376AD2">
        <w:tab/>
        <w:t>whether the student has been provided with information about the requirements for the course</w:t>
      </w:r>
      <w:r w:rsidR="001059DD">
        <w:t xml:space="preserve"> of study or accelerator program course</w:t>
      </w:r>
      <w:r w:rsidRPr="00376AD2">
        <w:t>, and the cost and duration of the course</w:t>
      </w:r>
      <w:r w:rsidR="001059DD">
        <w:t xml:space="preserve"> of study or accelerator program course</w:t>
      </w:r>
      <w:r w:rsidRPr="00376AD2">
        <w:t>;</w:t>
      </w:r>
    </w:p>
    <w:p w14:paraId="7A191EC7" w14:textId="6282C960" w:rsidR="00C87218" w:rsidRPr="00376AD2" w:rsidRDefault="00C87218" w:rsidP="00C87218">
      <w:pPr>
        <w:pStyle w:val="paragraph"/>
      </w:pPr>
      <w:r w:rsidRPr="00376AD2">
        <w:tab/>
        <w:t>(c)</w:t>
      </w:r>
      <w:r w:rsidRPr="00376AD2">
        <w:tab/>
        <w:t>whether the student has satisfied course requirements for the course</w:t>
      </w:r>
      <w:r w:rsidR="001059DD">
        <w:t xml:space="preserve"> of study or accelerator program course</w:t>
      </w:r>
      <w:r w:rsidRPr="00376AD2">
        <w:t xml:space="preserve"> or participated in assessment activities for the course</w:t>
      </w:r>
      <w:r w:rsidR="001059DD">
        <w:t xml:space="preserve"> of study or accelerator program course</w:t>
      </w:r>
      <w:r w:rsidRPr="00376AD2">
        <w:t>;</w:t>
      </w:r>
    </w:p>
    <w:p w14:paraId="30BEBFEA" w14:textId="41C13EBE" w:rsidR="00C87218" w:rsidRPr="00376AD2" w:rsidRDefault="00C87218" w:rsidP="00C87218">
      <w:pPr>
        <w:pStyle w:val="paragraph"/>
      </w:pPr>
      <w:r w:rsidRPr="00376AD2">
        <w:tab/>
        <w:t>(d)</w:t>
      </w:r>
      <w:r w:rsidRPr="00376AD2">
        <w:tab/>
        <w:t>if the course</w:t>
      </w:r>
      <w:r w:rsidR="001059DD">
        <w:t xml:space="preserve"> of study or accelerator program course</w:t>
      </w:r>
      <w:r w:rsidRPr="00376AD2">
        <w:t xml:space="preserve"> is an online course—the number of occasions on which the student has logged in to the course is not insignificant;</w:t>
      </w:r>
    </w:p>
    <w:p w14:paraId="20D54528" w14:textId="049D1A5B" w:rsidR="00C87218" w:rsidRPr="00376AD2" w:rsidRDefault="00C87218" w:rsidP="00C87218">
      <w:pPr>
        <w:pStyle w:val="paragraph"/>
      </w:pPr>
      <w:r w:rsidRPr="00376AD2">
        <w:tab/>
        <w:t>(e)</w:t>
      </w:r>
      <w:r w:rsidRPr="00376AD2">
        <w:tab/>
        <w:t>whether the student has provided up</w:t>
      </w:r>
      <w:r w:rsidRPr="00376AD2">
        <w:noBreakHyphen/>
        <w:t>to</w:t>
      </w:r>
      <w:r w:rsidRPr="00376AD2">
        <w:noBreakHyphen/>
        <w:t>date contact details that enable the Department to contact the student to verify the student’s enrolment in the course</w:t>
      </w:r>
      <w:r w:rsidR="001059DD">
        <w:t xml:space="preserve"> of study or accelerator program course</w:t>
      </w:r>
      <w:r w:rsidRPr="00376AD2">
        <w:t>; and</w:t>
      </w:r>
    </w:p>
    <w:p w14:paraId="60690740" w14:textId="53BEA3D8" w:rsidR="00D222A3" w:rsidRDefault="00C87218" w:rsidP="00B46E18">
      <w:pPr>
        <w:pStyle w:val="paragraph"/>
      </w:pPr>
      <w:r w:rsidRPr="00376AD2">
        <w:tab/>
        <w:t>(f)</w:t>
      </w:r>
      <w:r w:rsidRPr="00376AD2">
        <w:tab/>
        <w:t>if the student is enrolled in another course</w:t>
      </w:r>
      <w:r w:rsidR="001059DD">
        <w:t xml:space="preserve"> of study or accelerator program course</w:t>
      </w:r>
      <w:r w:rsidRPr="00376AD2">
        <w:t>—the number of the enrolments and associated course loads would not make successful completion of a course</w:t>
      </w:r>
      <w:r w:rsidR="001059DD">
        <w:t xml:space="preserve"> of study or accelerator program course</w:t>
      </w:r>
      <w:r w:rsidRPr="00376AD2">
        <w:t xml:space="preserve"> by the student impossible or highly improbable.</w:t>
      </w:r>
    </w:p>
    <w:p w14:paraId="2C6825DA" w14:textId="77777777" w:rsidR="00C87218" w:rsidRPr="00376AD2" w:rsidRDefault="00C87218" w:rsidP="00C87218">
      <w:pPr>
        <w:pStyle w:val="paragraph"/>
      </w:pPr>
    </w:p>
    <w:sectPr w:rsidR="00C87218" w:rsidRPr="00376AD2" w:rsidSect="00B20990">
      <w:headerReference w:type="even" r:id="rId22"/>
      <w:headerReference w:type="default" r:id="rId23"/>
      <w:footerReference w:type="even" r:id="rId24"/>
      <w:footerReference w:type="default" r:id="rId25"/>
      <w:footerReference w:type="first" r:id="rId26"/>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0D90" w14:textId="77777777" w:rsidR="00573CB8" w:rsidRDefault="00573CB8" w:rsidP="0048364F">
      <w:pPr>
        <w:spacing w:line="240" w:lineRule="auto"/>
      </w:pPr>
      <w:r>
        <w:separator/>
      </w:r>
    </w:p>
  </w:endnote>
  <w:endnote w:type="continuationSeparator" w:id="0">
    <w:p w14:paraId="2B7598C7" w14:textId="77777777" w:rsidR="00573CB8" w:rsidRDefault="00573CB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7FE595AD" w14:textId="77777777" w:rsidTr="0001176A">
      <w:tc>
        <w:tcPr>
          <w:tcW w:w="5000" w:type="pct"/>
        </w:tcPr>
        <w:p w14:paraId="6395AB9D" w14:textId="77777777" w:rsidR="009278C1" w:rsidRDefault="009278C1" w:rsidP="0001176A">
          <w:pPr>
            <w:rPr>
              <w:sz w:val="18"/>
            </w:rPr>
          </w:pPr>
        </w:p>
      </w:tc>
    </w:tr>
  </w:tbl>
  <w:p w14:paraId="25AC006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44400ED7" w14:textId="77777777" w:rsidTr="00C160A1">
      <w:tc>
        <w:tcPr>
          <w:tcW w:w="5000" w:type="pct"/>
        </w:tcPr>
        <w:p w14:paraId="46F1C5DA" w14:textId="77777777" w:rsidR="00B20990" w:rsidRDefault="00B20990" w:rsidP="007946FE">
          <w:pPr>
            <w:rPr>
              <w:sz w:val="18"/>
            </w:rPr>
          </w:pPr>
        </w:p>
      </w:tc>
    </w:tr>
  </w:tbl>
  <w:p w14:paraId="6886355B"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E052"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099DEA88" w14:textId="77777777" w:rsidTr="00C160A1">
      <w:tc>
        <w:tcPr>
          <w:tcW w:w="5000" w:type="pct"/>
        </w:tcPr>
        <w:p w14:paraId="5EE1704C" w14:textId="77777777" w:rsidR="00B20990" w:rsidRDefault="00B20990" w:rsidP="00465764">
          <w:pPr>
            <w:rPr>
              <w:sz w:val="18"/>
            </w:rPr>
          </w:pPr>
        </w:p>
      </w:tc>
    </w:tr>
  </w:tbl>
  <w:p w14:paraId="0A3B0B7F"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08F4"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694C0D0D" w14:textId="77777777" w:rsidTr="00C160A1">
      <w:tc>
        <w:tcPr>
          <w:tcW w:w="365" w:type="pct"/>
          <w:tcBorders>
            <w:top w:val="nil"/>
            <w:left w:val="nil"/>
            <w:bottom w:val="nil"/>
            <w:right w:val="nil"/>
          </w:tcBorders>
        </w:tcPr>
        <w:p w14:paraId="1DC12DEB"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70B4978" w14:textId="7CC71641"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F3799">
            <w:rPr>
              <w:i/>
              <w:noProof/>
              <w:sz w:val="18"/>
            </w:rPr>
            <w:t>Higher Education Support Amendment (Startup Year and Support for Students Policy) Guidelines 2023</w:t>
          </w:r>
          <w:r w:rsidRPr="00B20990">
            <w:rPr>
              <w:i/>
              <w:sz w:val="18"/>
            </w:rPr>
            <w:fldChar w:fldCharType="end"/>
          </w:r>
        </w:p>
      </w:tc>
      <w:tc>
        <w:tcPr>
          <w:tcW w:w="947" w:type="pct"/>
          <w:tcBorders>
            <w:top w:val="nil"/>
            <w:left w:val="nil"/>
            <w:bottom w:val="nil"/>
            <w:right w:val="nil"/>
          </w:tcBorders>
        </w:tcPr>
        <w:p w14:paraId="270E43CE" w14:textId="77777777" w:rsidR="00B20990" w:rsidRDefault="00B20990" w:rsidP="00E33C1C">
          <w:pPr>
            <w:spacing w:line="0" w:lineRule="atLeast"/>
            <w:jc w:val="right"/>
            <w:rPr>
              <w:sz w:val="18"/>
            </w:rPr>
          </w:pPr>
        </w:p>
      </w:tc>
    </w:tr>
    <w:tr w:rsidR="00B20990" w14:paraId="29921A89"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59D960C" w14:textId="77777777" w:rsidR="00B20990" w:rsidRDefault="00B20990" w:rsidP="007946FE">
          <w:pPr>
            <w:jc w:val="right"/>
            <w:rPr>
              <w:sz w:val="18"/>
            </w:rPr>
          </w:pPr>
        </w:p>
      </w:tc>
    </w:tr>
  </w:tbl>
  <w:p w14:paraId="6510BAE1"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5E70"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4DB59F61" w14:textId="77777777" w:rsidTr="00C160A1">
      <w:tc>
        <w:tcPr>
          <w:tcW w:w="947" w:type="pct"/>
          <w:tcBorders>
            <w:top w:val="nil"/>
            <w:left w:val="nil"/>
            <w:bottom w:val="nil"/>
            <w:right w:val="nil"/>
          </w:tcBorders>
        </w:tcPr>
        <w:p w14:paraId="6E07DABB" w14:textId="77777777" w:rsidR="00B20990" w:rsidRDefault="00B20990" w:rsidP="00E33C1C">
          <w:pPr>
            <w:spacing w:line="0" w:lineRule="atLeast"/>
            <w:rPr>
              <w:sz w:val="18"/>
            </w:rPr>
          </w:pPr>
        </w:p>
      </w:tc>
      <w:tc>
        <w:tcPr>
          <w:tcW w:w="3688" w:type="pct"/>
          <w:tcBorders>
            <w:top w:val="nil"/>
            <w:left w:val="nil"/>
            <w:bottom w:val="nil"/>
            <w:right w:val="nil"/>
          </w:tcBorders>
        </w:tcPr>
        <w:p w14:paraId="3E5F354A" w14:textId="09AA1E82"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D5C8B">
            <w:rPr>
              <w:i/>
              <w:noProof/>
              <w:sz w:val="18"/>
            </w:rPr>
            <w:t>Higher Education Support Amendment (Startup Year) Guidelines 2023</w:t>
          </w:r>
          <w:r w:rsidRPr="00B20990">
            <w:rPr>
              <w:i/>
              <w:sz w:val="18"/>
            </w:rPr>
            <w:fldChar w:fldCharType="end"/>
          </w:r>
        </w:p>
      </w:tc>
      <w:tc>
        <w:tcPr>
          <w:tcW w:w="365" w:type="pct"/>
          <w:tcBorders>
            <w:top w:val="nil"/>
            <w:left w:val="nil"/>
            <w:bottom w:val="nil"/>
            <w:right w:val="nil"/>
          </w:tcBorders>
        </w:tcPr>
        <w:p w14:paraId="658C2D60"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40F39074"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BB02E78" w14:textId="77777777" w:rsidR="00B20990" w:rsidRDefault="00B20990" w:rsidP="007946FE">
          <w:pPr>
            <w:rPr>
              <w:sz w:val="18"/>
            </w:rPr>
          </w:pPr>
        </w:p>
      </w:tc>
    </w:tr>
  </w:tbl>
  <w:p w14:paraId="5AF98A54"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C591"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EED29D0" w14:textId="77777777" w:rsidTr="007A6863">
      <w:tc>
        <w:tcPr>
          <w:tcW w:w="709" w:type="dxa"/>
          <w:tcBorders>
            <w:top w:val="nil"/>
            <w:left w:val="nil"/>
            <w:bottom w:val="nil"/>
            <w:right w:val="nil"/>
          </w:tcBorders>
        </w:tcPr>
        <w:p w14:paraId="30F4267D"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217568F2" w14:textId="400EBEC7"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D5C8B">
            <w:rPr>
              <w:i/>
              <w:noProof/>
              <w:sz w:val="18"/>
            </w:rPr>
            <w:t>Higher Education Support Amendment (Startup Year) Guidelines 2023</w:t>
          </w:r>
          <w:r w:rsidRPr="00B20990">
            <w:rPr>
              <w:i/>
              <w:sz w:val="18"/>
            </w:rPr>
            <w:fldChar w:fldCharType="end"/>
          </w:r>
        </w:p>
      </w:tc>
      <w:tc>
        <w:tcPr>
          <w:tcW w:w="1383" w:type="dxa"/>
          <w:tcBorders>
            <w:top w:val="nil"/>
            <w:left w:val="nil"/>
            <w:bottom w:val="nil"/>
            <w:right w:val="nil"/>
          </w:tcBorders>
        </w:tcPr>
        <w:p w14:paraId="3047D618" w14:textId="77777777" w:rsidR="00EE57E8" w:rsidRDefault="00EE57E8" w:rsidP="00EE57E8">
          <w:pPr>
            <w:spacing w:line="0" w:lineRule="atLeast"/>
            <w:jc w:val="right"/>
            <w:rPr>
              <w:sz w:val="18"/>
            </w:rPr>
          </w:pPr>
        </w:p>
      </w:tc>
    </w:tr>
    <w:tr w:rsidR="00EE57E8" w14:paraId="2BD905F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B69FB42" w14:textId="77777777" w:rsidR="00EE57E8" w:rsidRDefault="00EE57E8" w:rsidP="00EE57E8">
          <w:pPr>
            <w:jc w:val="right"/>
            <w:rPr>
              <w:sz w:val="18"/>
            </w:rPr>
          </w:pPr>
        </w:p>
      </w:tc>
    </w:tr>
  </w:tbl>
  <w:p w14:paraId="3FC7B438"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D1B3"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8442012" w14:textId="77777777" w:rsidTr="00EE57E8">
      <w:tc>
        <w:tcPr>
          <w:tcW w:w="1384" w:type="dxa"/>
          <w:tcBorders>
            <w:top w:val="nil"/>
            <w:left w:val="nil"/>
            <w:bottom w:val="nil"/>
            <w:right w:val="nil"/>
          </w:tcBorders>
        </w:tcPr>
        <w:p w14:paraId="04BCB897" w14:textId="77777777" w:rsidR="00EE57E8" w:rsidRDefault="00EE57E8" w:rsidP="00EE57E8">
          <w:pPr>
            <w:spacing w:line="0" w:lineRule="atLeast"/>
            <w:rPr>
              <w:sz w:val="18"/>
            </w:rPr>
          </w:pPr>
        </w:p>
      </w:tc>
      <w:tc>
        <w:tcPr>
          <w:tcW w:w="6379" w:type="dxa"/>
          <w:tcBorders>
            <w:top w:val="nil"/>
            <w:left w:val="nil"/>
            <w:bottom w:val="nil"/>
            <w:right w:val="nil"/>
          </w:tcBorders>
        </w:tcPr>
        <w:p w14:paraId="5702364C" w14:textId="54415DAD"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D5C8B">
            <w:rPr>
              <w:i/>
              <w:noProof/>
              <w:sz w:val="18"/>
            </w:rPr>
            <w:t>Higher Education Support Amendment (Startup Year) Guidelines 2023</w:t>
          </w:r>
          <w:r w:rsidRPr="00B20990">
            <w:rPr>
              <w:i/>
              <w:sz w:val="18"/>
            </w:rPr>
            <w:fldChar w:fldCharType="end"/>
          </w:r>
        </w:p>
      </w:tc>
      <w:tc>
        <w:tcPr>
          <w:tcW w:w="709" w:type="dxa"/>
          <w:tcBorders>
            <w:top w:val="nil"/>
            <w:left w:val="nil"/>
            <w:bottom w:val="nil"/>
            <w:right w:val="nil"/>
          </w:tcBorders>
        </w:tcPr>
        <w:p w14:paraId="0AE9D95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27A0972C"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88F2C3A" w14:textId="77777777" w:rsidR="00EE57E8" w:rsidRDefault="00EE57E8" w:rsidP="00EE57E8">
          <w:pPr>
            <w:rPr>
              <w:sz w:val="18"/>
            </w:rPr>
          </w:pPr>
        </w:p>
      </w:tc>
    </w:tr>
  </w:tbl>
  <w:p w14:paraId="56D42E40"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E226"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0986B9D6" w14:textId="77777777" w:rsidTr="007A6863">
      <w:tc>
        <w:tcPr>
          <w:tcW w:w="1384" w:type="dxa"/>
          <w:tcBorders>
            <w:top w:val="nil"/>
            <w:left w:val="nil"/>
            <w:bottom w:val="nil"/>
            <w:right w:val="nil"/>
          </w:tcBorders>
        </w:tcPr>
        <w:p w14:paraId="58A0C0FE" w14:textId="77777777" w:rsidR="00EE57E8" w:rsidRDefault="00EE57E8" w:rsidP="00EE57E8">
          <w:pPr>
            <w:spacing w:line="0" w:lineRule="atLeast"/>
            <w:rPr>
              <w:sz w:val="18"/>
            </w:rPr>
          </w:pPr>
        </w:p>
      </w:tc>
      <w:tc>
        <w:tcPr>
          <w:tcW w:w="6379" w:type="dxa"/>
          <w:tcBorders>
            <w:top w:val="nil"/>
            <w:left w:val="nil"/>
            <w:bottom w:val="nil"/>
            <w:right w:val="nil"/>
          </w:tcBorders>
        </w:tcPr>
        <w:p w14:paraId="2A18AD69"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E4A71">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FC16685"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8ADDF9D"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93FF17" w14:textId="1020CCA3"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CE4A71">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FD5C8B">
            <w:rPr>
              <w:i/>
              <w:noProof/>
              <w:sz w:val="18"/>
            </w:rPr>
            <w:t>18/1/2024 4:07 PM</w:t>
          </w:r>
          <w:r w:rsidRPr="00ED79B6">
            <w:rPr>
              <w:i/>
              <w:sz w:val="18"/>
            </w:rPr>
            <w:fldChar w:fldCharType="end"/>
          </w:r>
        </w:p>
      </w:tc>
    </w:tr>
  </w:tbl>
  <w:p w14:paraId="61683DBC"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100D" w14:textId="77777777" w:rsidR="00573CB8" w:rsidRDefault="00573CB8" w:rsidP="0048364F">
      <w:pPr>
        <w:spacing w:line="240" w:lineRule="auto"/>
      </w:pPr>
      <w:r>
        <w:separator/>
      </w:r>
    </w:p>
  </w:footnote>
  <w:footnote w:type="continuationSeparator" w:id="0">
    <w:p w14:paraId="1615A300" w14:textId="77777777" w:rsidR="00573CB8" w:rsidRDefault="00573CB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C763"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4663"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9E50"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7EF1"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0B1E"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AA5A"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1180" w14:textId="77777777" w:rsidR="00EE57E8" w:rsidRPr="00A961C4" w:rsidRDefault="00EE57E8" w:rsidP="0048364F">
    <w:pPr>
      <w:rPr>
        <w:b/>
        <w:sz w:val="20"/>
      </w:rPr>
    </w:pPr>
  </w:p>
  <w:p w14:paraId="7FFF2081" w14:textId="77777777" w:rsidR="00EE57E8" w:rsidRPr="00A961C4" w:rsidRDefault="00EE57E8" w:rsidP="0048364F">
    <w:pPr>
      <w:rPr>
        <w:b/>
        <w:sz w:val="20"/>
      </w:rPr>
    </w:pPr>
  </w:p>
  <w:p w14:paraId="798F003A"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2602" w14:textId="77777777" w:rsidR="00EE57E8" w:rsidRPr="00A961C4" w:rsidRDefault="00EE57E8" w:rsidP="0048364F">
    <w:pPr>
      <w:jc w:val="right"/>
      <w:rPr>
        <w:sz w:val="20"/>
      </w:rPr>
    </w:pPr>
  </w:p>
  <w:p w14:paraId="19DDDB18" w14:textId="77777777" w:rsidR="00EE57E8" w:rsidRPr="00A961C4" w:rsidRDefault="00EE57E8" w:rsidP="0048364F">
    <w:pPr>
      <w:jc w:val="right"/>
      <w:rPr>
        <w:b/>
        <w:sz w:val="20"/>
      </w:rPr>
    </w:pPr>
  </w:p>
  <w:p w14:paraId="6F2ADC51"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467B3E"/>
    <w:multiLevelType w:val="hybridMultilevel"/>
    <w:tmpl w:val="7576D350"/>
    <w:lvl w:ilvl="0" w:tplc="3A8C8918">
      <w:start w:val="1"/>
      <w:numFmt w:val="bullet"/>
      <w:lvlText w:val=""/>
      <w:lvlJc w:val="left"/>
      <w:pPr>
        <w:ind w:left="720" w:hanging="360"/>
      </w:pPr>
      <w:rPr>
        <w:rFonts w:ascii="Symbol" w:hAnsi="Symbol"/>
      </w:rPr>
    </w:lvl>
    <w:lvl w:ilvl="1" w:tplc="BE76690E">
      <w:start w:val="1"/>
      <w:numFmt w:val="bullet"/>
      <w:lvlText w:val=""/>
      <w:lvlJc w:val="left"/>
      <w:pPr>
        <w:ind w:left="720" w:hanging="360"/>
      </w:pPr>
      <w:rPr>
        <w:rFonts w:ascii="Symbol" w:hAnsi="Symbol"/>
      </w:rPr>
    </w:lvl>
    <w:lvl w:ilvl="2" w:tplc="CDDC2DD4">
      <w:start w:val="1"/>
      <w:numFmt w:val="bullet"/>
      <w:lvlText w:val=""/>
      <w:lvlJc w:val="left"/>
      <w:pPr>
        <w:ind w:left="720" w:hanging="360"/>
      </w:pPr>
      <w:rPr>
        <w:rFonts w:ascii="Symbol" w:hAnsi="Symbol"/>
      </w:rPr>
    </w:lvl>
    <w:lvl w:ilvl="3" w:tplc="65D88BC0">
      <w:start w:val="1"/>
      <w:numFmt w:val="bullet"/>
      <w:lvlText w:val=""/>
      <w:lvlJc w:val="left"/>
      <w:pPr>
        <w:ind w:left="720" w:hanging="360"/>
      </w:pPr>
      <w:rPr>
        <w:rFonts w:ascii="Symbol" w:hAnsi="Symbol"/>
      </w:rPr>
    </w:lvl>
    <w:lvl w:ilvl="4" w:tplc="D134653C">
      <w:start w:val="1"/>
      <w:numFmt w:val="bullet"/>
      <w:lvlText w:val=""/>
      <w:lvlJc w:val="left"/>
      <w:pPr>
        <w:ind w:left="720" w:hanging="360"/>
      </w:pPr>
      <w:rPr>
        <w:rFonts w:ascii="Symbol" w:hAnsi="Symbol"/>
      </w:rPr>
    </w:lvl>
    <w:lvl w:ilvl="5" w:tplc="152A6836">
      <w:start w:val="1"/>
      <w:numFmt w:val="bullet"/>
      <w:lvlText w:val=""/>
      <w:lvlJc w:val="left"/>
      <w:pPr>
        <w:ind w:left="720" w:hanging="360"/>
      </w:pPr>
      <w:rPr>
        <w:rFonts w:ascii="Symbol" w:hAnsi="Symbol"/>
      </w:rPr>
    </w:lvl>
    <w:lvl w:ilvl="6" w:tplc="4CC0F7CC">
      <w:start w:val="1"/>
      <w:numFmt w:val="bullet"/>
      <w:lvlText w:val=""/>
      <w:lvlJc w:val="left"/>
      <w:pPr>
        <w:ind w:left="720" w:hanging="360"/>
      </w:pPr>
      <w:rPr>
        <w:rFonts w:ascii="Symbol" w:hAnsi="Symbol"/>
      </w:rPr>
    </w:lvl>
    <w:lvl w:ilvl="7" w:tplc="DCD8EBD0">
      <w:start w:val="1"/>
      <w:numFmt w:val="bullet"/>
      <w:lvlText w:val=""/>
      <w:lvlJc w:val="left"/>
      <w:pPr>
        <w:ind w:left="720" w:hanging="360"/>
      </w:pPr>
      <w:rPr>
        <w:rFonts w:ascii="Symbol" w:hAnsi="Symbol"/>
      </w:rPr>
    </w:lvl>
    <w:lvl w:ilvl="8" w:tplc="1F1CBE82">
      <w:start w:val="1"/>
      <w:numFmt w:val="bullet"/>
      <w:lvlText w:val=""/>
      <w:lvlJc w:val="left"/>
      <w:pPr>
        <w:ind w:left="720" w:hanging="360"/>
      </w:pPr>
      <w:rPr>
        <w:rFonts w:ascii="Symbol" w:hAnsi="Symbol"/>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79239D"/>
    <w:multiLevelType w:val="hybridMultilevel"/>
    <w:tmpl w:val="F8B49626"/>
    <w:lvl w:ilvl="0" w:tplc="29B0A58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30740DA2"/>
    <w:multiLevelType w:val="hybridMultilevel"/>
    <w:tmpl w:val="65501FDA"/>
    <w:lvl w:ilvl="0" w:tplc="36E8E268">
      <w:start w:val="1"/>
      <w:numFmt w:val="bullet"/>
      <w:lvlText w:val=""/>
      <w:lvlJc w:val="left"/>
      <w:pPr>
        <w:ind w:left="720" w:hanging="360"/>
      </w:pPr>
      <w:rPr>
        <w:rFonts w:ascii="Symbol" w:hAnsi="Symbol"/>
      </w:rPr>
    </w:lvl>
    <w:lvl w:ilvl="1" w:tplc="3C5297AA">
      <w:start w:val="1"/>
      <w:numFmt w:val="bullet"/>
      <w:lvlText w:val=""/>
      <w:lvlJc w:val="left"/>
      <w:pPr>
        <w:ind w:left="720" w:hanging="360"/>
      </w:pPr>
      <w:rPr>
        <w:rFonts w:ascii="Symbol" w:hAnsi="Symbol"/>
      </w:rPr>
    </w:lvl>
    <w:lvl w:ilvl="2" w:tplc="C41C1A92">
      <w:start w:val="1"/>
      <w:numFmt w:val="bullet"/>
      <w:lvlText w:val=""/>
      <w:lvlJc w:val="left"/>
      <w:pPr>
        <w:ind w:left="720" w:hanging="360"/>
      </w:pPr>
      <w:rPr>
        <w:rFonts w:ascii="Symbol" w:hAnsi="Symbol"/>
      </w:rPr>
    </w:lvl>
    <w:lvl w:ilvl="3" w:tplc="D9ECAA72">
      <w:start w:val="1"/>
      <w:numFmt w:val="bullet"/>
      <w:lvlText w:val=""/>
      <w:lvlJc w:val="left"/>
      <w:pPr>
        <w:ind w:left="720" w:hanging="360"/>
      </w:pPr>
      <w:rPr>
        <w:rFonts w:ascii="Symbol" w:hAnsi="Symbol"/>
      </w:rPr>
    </w:lvl>
    <w:lvl w:ilvl="4" w:tplc="7E4E1928">
      <w:start w:val="1"/>
      <w:numFmt w:val="bullet"/>
      <w:lvlText w:val=""/>
      <w:lvlJc w:val="left"/>
      <w:pPr>
        <w:ind w:left="720" w:hanging="360"/>
      </w:pPr>
      <w:rPr>
        <w:rFonts w:ascii="Symbol" w:hAnsi="Symbol"/>
      </w:rPr>
    </w:lvl>
    <w:lvl w:ilvl="5" w:tplc="81144EF4">
      <w:start w:val="1"/>
      <w:numFmt w:val="bullet"/>
      <w:lvlText w:val=""/>
      <w:lvlJc w:val="left"/>
      <w:pPr>
        <w:ind w:left="720" w:hanging="360"/>
      </w:pPr>
      <w:rPr>
        <w:rFonts w:ascii="Symbol" w:hAnsi="Symbol"/>
      </w:rPr>
    </w:lvl>
    <w:lvl w:ilvl="6" w:tplc="3872F1D4">
      <w:start w:val="1"/>
      <w:numFmt w:val="bullet"/>
      <w:lvlText w:val=""/>
      <w:lvlJc w:val="left"/>
      <w:pPr>
        <w:ind w:left="720" w:hanging="360"/>
      </w:pPr>
      <w:rPr>
        <w:rFonts w:ascii="Symbol" w:hAnsi="Symbol"/>
      </w:rPr>
    </w:lvl>
    <w:lvl w:ilvl="7" w:tplc="0C3467B0">
      <w:start w:val="1"/>
      <w:numFmt w:val="bullet"/>
      <w:lvlText w:val=""/>
      <w:lvlJc w:val="left"/>
      <w:pPr>
        <w:ind w:left="720" w:hanging="360"/>
      </w:pPr>
      <w:rPr>
        <w:rFonts w:ascii="Symbol" w:hAnsi="Symbol"/>
      </w:rPr>
    </w:lvl>
    <w:lvl w:ilvl="8" w:tplc="4B6E1B64">
      <w:start w:val="1"/>
      <w:numFmt w:val="bullet"/>
      <w:lvlText w:val=""/>
      <w:lvlJc w:val="left"/>
      <w:pPr>
        <w:ind w:left="720" w:hanging="360"/>
      </w:pPr>
      <w:rPr>
        <w:rFonts w:ascii="Symbol" w:hAnsi="Symbol"/>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70275702"/>
    <w:multiLevelType w:val="hybridMultilevel"/>
    <w:tmpl w:val="7B7A643C"/>
    <w:lvl w:ilvl="0" w:tplc="BE181C96">
      <w:start w:val="1"/>
      <w:numFmt w:val="bullet"/>
      <w:lvlText w:val=""/>
      <w:lvlJc w:val="left"/>
      <w:pPr>
        <w:ind w:left="720" w:hanging="360"/>
      </w:pPr>
      <w:rPr>
        <w:rFonts w:ascii="Symbol" w:hAnsi="Symbol"/>
      </w:rPr>
    </w:lvl>
    <w:lvl w:ilvl="1" w:tplc="2AC2C312">
      <w:start w:val="1"/>
      <w:numFmt w:val="bullet"/>
      <w:lvlText w:val=""/>
      <w:lvlJc w:val="left"/>
      <w:pPr>
        <w:ind w:left="720" w:hanging="360"/>
      </w:pPr>
      <w:rPr>
        <w:rFonts w:ascii="Symbol" w:hAnsi="Symbol"/>
      </w:rPr>
    </w:lvl>
    <w:lvl w:ilvl="2" w:tplc="4692ADD4">
      <w:start w:val="1"/>
      <w:numFmt w:val="bullet"/>
      <w:lvlText w:val=""/>
      <w:lvlJc w:val="left"/>
      <w:pPr>
        <w:ind w:left="720" w:hanging="360"/>
      </w:pPr>
      <w:rPr>
        <w:rFonts w:ascii="Symbol" w:hAnsi="Symbol"/>
      </w:rPr>
    </w:lvl>
    <w:lvl w:ilvl="3" w:tplc="10249D58">
      <w:start w:val="1"/>
      <w:numFmt w:val="bullet"/>
      <w:lvlText w:val=""/>
      <w:lvlJc w:val="left"/>
      <w:pPr>
        <w:ind w:left="720" w:hanging="360"/>
      </w:pPr>
      <w:rPr>
        <w:rFonts w:ascii="Symbol" w:hAnsi="Symbol"/>
      </w:rPr>
    </w:lvl>
    <w:lvl w:ilvl="4" w:tplc="C83C3184">
      <w:start w:val="1"/>
      <w:numFmt w:val="bullet"/>
      <w:lvlText w:val=""/>
      <w:lvlJc w:val="left"/>
      <w:pPr>
        <w:ind w:left="720" w:hanging="360"/>
      </w:pPr>
      <w:rPr>
        <w:rFonts w:ascii="Symbol" w:hAnsi="Symbol"/>
      </w:rPr>
    </w:lvl>
    <w:lvl w:ilvl="5" w:tplc="23746788">
      <w:start w:val="1"/>
      <w:numFmt w:val="bullet"/>
      <w:lvlText w:val=""/>
      <w:lvlJc w:val="left"/>
      <w:pPr>
        <w:ind w:left="720" w:hanging="360"/>
      </w:pPr>
      <w:rPr>
        <w:rFonts w:ascii="Symbol" w:hAnsi="Symbol"/>
      </w:rPr>
    </w:lvl>
    <w:lvl w:ilvl="6" w:tplc="23746C2E">
      <w:start w:val="1"/>
      <w:numFmt w:val="bullet"/>
      <w:lvlText w:val=""/>
      <w:lvlJc w:val="left"/>
      <w:pPr>
        <w:ind w:left="720" w:hanging="360"/>
      </w:pPr>
      <w:rPr>
        <w:rFonts w:ascii="Symbol" w:hAnsi="Symbol"/>
      </w:rPr>
    </w:lvl>
    <w:lvl w:ilvl="7" w:tplc="B212D3B6">
      <w:start w:val="1"/>
      <w:numFmt w:val="bullet"/>
      <w:lvlText w:val=""/>
      <w:lvlJc w:val="left"/>
      <w:pPr>
        <w:ind w:left="720" w:hanging="360"/>
      </w:pPr>
      <w:rPr>
        <w:rFonts w:ascii="Symbol" w:hAnsi="Symbol"/>
      </w:rPr>
    </w:lvl>
    <w:lvl w:ilvl="8" w:tplc="86C6C472">
      <w:start w:val="1"/>
      <w:numFmt w:val="bullet"/>
      <w:lvlText w:val=""/>
      <w:lvlJc w:val="left"/>
      <w:pPr>
        <w:ind w:left="720" w:hanging="360"/>
      </w:pPr>
      <w:rPr>
        <w:rFonts w:ascii="Symbol" w:hAnsi="Symbol"/>
      </w:rPr>
    </w:lvl>
  </w:abstractNum>
  <w:abstractNum w:abstractNumId="17" w15:restartNumberingAfterBreak="0">
    <w:nsid w:val="72197B59"/>
    <w:multiLevelType w:val="hybridMultilevel"/>
    <w:tmpl w:val="C81A06AA"/>
    <w:lvl w:ilvl="0" w:tplc="FF560F80">
      <w:start w:val="1"/>
      <w:numFmt w:val="bullet"/>
      <w:lvlText w:val=""/>
      <w:lvlJc w:val="left"/>
      <w:pPr>
        <w:ind w:left="720" w:hanging="360"/>
      </w:pPr>
      <w:rPr>
        <w:rFonts w:ascii="Symbol" w:hAnsi="Symbol"/>
      </w:rPr>
    </w:lvl>
    <w:lvl w:ilvl="1" w:tplc="0F64EE92">
      <w:start w:val="1"/>
      <w:numFmt w:val="bullet"/>
      <w:lvlText w:val=""/>
      <w:lvlJc w:val="left"/>
      <w:pPr>
        <w:ind w:left="720" w:hanging="360"/>
      </w:pPr>
      <w:rPr>
        <w:rFonts w:ascii="Symbol" w:hAnsi="Symbol"/>
      </w:rPr>
    </w:lvl>
    <w:lvl w:ilvl="2" w:tplc="1DBE5BF0">
      <w:start w:val="1"/>
      <w:numFmt w:val="bullet"/>
      <w:lvlText w:val=""/>
      <w:lvlJc w:val="left"/>
      <w:pPr>
        <w:ind w:left="720" w:hanging="360"/>
      </w:pPr>
      <w:rPr>
        <w:rFonts w:ascii="Symbol" w:hAnsi="Symbol"/>
      </w:rPr>
    </w:lvl>
    <w:lvl w:ilvl="3" w:tplc="57EC5764">
      <w:start w:val="1"/>
      <w:numFmt w:val="bullet"/>
      <w:lvlText w:val=""/>
      <w:lvlJc w:val="left"/>
      <w:pPr>
        <w:ind w:left="720" w:hanging="360"/>
      </w:pPr>
      <w:rPr>
        <w:rFonts w:ascii="Symbol" w:hAnsi="Symbol"/>
      </w:rPr>
    </w:lvl>
    <w:lvl w:ilvl="4" w:tplc="189EC422">
      <w:start w:val="1"/>
      <w:numFmt w:val="bullet"/>
      <w:lvlText w:val=""/>
      <w:lvlJc w:val="left"/>
      <w:pPr>
        <w:ind w:left="720" w:hanging="360"/>
      </w:pPr>
      <w:rPr>
        <w:rFonts w:ascii="Symbol" w:hAnsi="Symbol"/>
      </w:rPr>
    </w:lvl>
    <w:lvl w:ilvl="5" w:tplc="FCCA9DC6">
      <w:start w:val="1"/>
      <w:numFmt w:val="bullet"/>
      <w:lvlText w:val=""/>
      <w:lvlJc w:val="left"/>
      <w:pPr>
        <w:ind w:left="720" w:hanging="360"/>
      </w:pPr>
      <w:rPr>
        <w:rFonts w:ascii="Symbol" w:hAnsi="Symbol"/>
      </w:rPr>
    </w:lvl>
    <w:lvl w:ilvl="6" w:tplc="5DD2B572">
      <w:start w:val="1"/>
      <w:numFmt w:val="bullet"/>
      <w:lvlText w:val=""/>
      <w:lvlJc w:val="left"/>
      <w:pPr>
        <w:ind w:left="720" w:hanging="360"/>
      </w:pPr>
      <w:rPr>
        <w:rFonts w:ascii="Symbol" w:hAnsi="Symbol"/>
      </w:rPr>
    </w:lvl>
    <w:lvl w:ilvl="7" w:tplc="7944CBDA">
      <w:start w:val="1"/>
      <w:numFmt w:val="bullet"/>
      <w:lvlText w:val=""/>
      <w:lvlJc w:val="left"/>
      <w:pPr>
        <w:ind w:left="720" w:hanging="360"/>
      </w:pPr>
      <w:rPr>
        <w:rFonts w:ascii="Symbol" w:hAnsi="Symbol"/>
      </w:rPr>
    </w:lvl>
    <w:lvl w:ilvl="8" w:tplc="FF38CD7C">
      <w:start w:val="1"/>
      <w:numFmt w:val="bullet"/>
      <w:lvlText w:val=""/>
      <w:lvlJc w:val="left"/>
      <w:pPr>
        <w:ind w:left="720" w:hanging="360"/>
      </w:pPr>
      <w:rPr>
        <w:rFonts w:ascii="Symbol" w:hAnsi="Symbol"/>
      </w:rPr>
    </w:lvl>
  </w:abstractNum>
  <w:abstractNum w:abstractNumId="18" w15:restartNumberingAfterBreak="0">
    <w:nsid w:val="7FD57535"/>
    <w:multiLevelType w:val="hybridMultilevel"/>
    <w:tmpl w:val="61C2CCE0"/>
    <w:lvl w:ilvl="0" w:tplc="4C92CB56">
      <w:start w:val="1"/>
      <w:numFmt w:val="bullet"/>
      <w:lvlText w:val=""/>
      <w:lvlJc w:val="left"/>
      <w:pPr>
        <w:ind w:left="720" w:hanging="360"/>
      </w:pPr>
      <w:rPr>
        <w:rFonts w:ascii="Symbol" w:hAnsi="Symbol"/>
      </w:rPr>
    </w:lvl>
    <w:lvl w:ilvl="1" w:tplc="2D14B87E">
      <w:start w:val="1"/>
      <w:numFmt w:val="bullet"/>
      <w:lvlText w:val=""/>
      <w:lvlJc w:val="left"/>
      <w:pPr>
        <w:ind w:left="720" w:hanging="360"/>
      </w:pPr>
      <w:rPr>
        <w:rFonts w:ascii="Symbol" w:hAnsi="Symbol"/>
      </w:rPr>
    </w:lvl>
    <w:lvl w:ilvl="2" w:tplc="5AE443EE">
      <w:start w:val="1"/>
      <w:numFmt w:val="bullet"/>
      <w:lvlText w:val=""/>
      <w:lvlJc w:val="left"/>
      <w:pPr>
        <w:ind w:left="720" w:hanging="360"/>
      </w:pPr>
      <w:rPr>
        <w:rFonts w:ascii="Symbol" w:hAnsi="Symbol"/>
      </w:rPr>
    </w:lvl>
    <w:lvl w:ilvl="3" w:tplc="5A36573A">
      <w:start w:val="1"/>
      <w:numFmt w:val="bullet"/>
      <w:lvlText w:val=""/>
      <w:lvlJc w:val="left"/>
      <w:pPr>
        <w:ind w:left="720" w:hanging="360"/>
      </w:pPr>
      <w:rPr>
        <w:rFonts w:ascii="Symbol" w:hAnsi="Symbol"/>
      </w:rPr>
    </w:lvl>
    <w:lvl w:ilvl="4" w:tplc="E0884D2A">
      <w:start w:val="1"/>
      <w:numFmt w:val="bullet"/>
      <w:lvlText w:val=""/>
      <w:lvlJc w:val="left"/>
      <w:pPr>
        <w:ind w:left="720" w:hanging="360"/>
      </w:pPr>
      <w:rPr>
        <w:rFonts w:ascii="Symbol" w:hAnsi="Symbol"/>
      </w:rPr>
    </w:lvl>
    <w:lvl w:ilvl="5" w:tplc="D9726670">
      <w:start w:val="1"/>
      <w:numFmt w:val="bullet"/>
      <w:lvlText w:val=""/>
      <w:lvlJc w:val="left"/>
      <w:pPr>
        <w:ind w:left="720" w:hanging="360"/>
      </w:pPr>
      <w:rPr>
        <w:rFonts w:ascii="Symbol" w:hAnsi="Symbol"/>
      </w:rPr>
    </w:lvl>
    <w:lvl w:ilvl="6" w:tplc="428ECDA0">
      <w:start w:val="1"/>
      <w:numFmt w:val="bullet"/>
      <w:lvlText w:val=""/>
      <w:lvlJc w:val="left"/>
      <w:pPr>
        <w:ind w:left="720" w:hanging="360"/>
      </w:pPr>
      <w:rPr>
        <w:rFonts w:ascii="Symbol" w:hAnsi="Symbol"/>
      </w:rPr>
    </w:lvl>
    <w:lvl w:ilvl="7" w:tplc="ECB8E672">
      <w:start w:val="1"/>
      <w:numFmt w:val="bullet"/>
      <w:lvlText w:val=""/>
      <w:lvlJc w:val="left"/>
      <w:pPr>
        <w:ind w:left="720" w:hanging="360"/>
      </w:pPr>
      <w:rPr>
        <w:rFonts w:ascii="Symbol" w:hAnsi="Symbol"/>
      </w:rPr>
    </w:lvl>
    <w:lvl w:ilvl="8" w:tplc="634A8E2A">
      <w:start w:val="1"/>
      <w:numFmt w:val="bullet"/>
      <w:lvlText w:val=""/>
      <w:lvlJc w:val="left"/>
      <w:pPr>
        <w:ind w:left="720" w:hanging="360"/>
      </w:pPr>
      <w:rPr>
        <w:rFonts w:ascii="Symbol" w:hAnsi="Symbol"/>
      </w:rPr>
    </w:lvl>
  </w:abstractNum>
  <w:num w:numId="1" w16cid:durableId="146090766">
    <w:abstractNumId w:val="9"/>
  </w:num>
  <w:num w:numId="2" w16cid:durableId="690113282">
    <w:abstractNumId w:val="7"/>
  </w:num>
  <w:num w:numId="3" w16cid:durableId="1180001307">
    <w:abstractNumId w:val="6"/>
  </w:num>
  <w:num w:numId="4" w16cid:durableId="1553732036">
    <w:abstractNumId w:val="5"/>
  </w:num>
  <w:num w:numId="5" w16cid:durableId="891233018">
    <w:abstractNumId w:val="4"/>
  </w:num>
  <w:num w:numId="6" w16cid:durableId="714890382">
    <w:abstractNumId w:val="8"/>
  </w:num>
  <w:num w:numId="7" w16cid:durableId="1161383329">
    <w:abstractNumId w:val="3"/>
  </w:num>
  <w:num w:numId="8" w16cid:durableId="2129737756">
    <w:abstractNumId w:val="2"/>
  </w:num>
  <w:num w:numId="9" w16cid:durableId="330522090">
    <w:abstractNumId w:val="1"/>
  </w:num>
  <w:num w:numId="10" w16cid:durableId="1937864093">
    <w:abstractNumId w:val="0"/>
  </w:num>
  <w:num w:numId="11" w16cid:durableId="1428891184">
    <w:abstractNumId w:val="15"/>
  </w:num>
  <w:num w:numId="12" w16cid:durableId="45877802">
    <w:abstractNumId w:val="10"/>
  </w:num>
  <w:num w:numId="13" w16cid:durableId="1133409017">
    <w:abstractNumId w:val="12"/>
  </w:num>
  <w:num w:numId="14" w16cid:durableId="434834018">
    <w:abstractNumId w:val="11"/>
  </w:num>
  <w:num w:numId="15" w16cid:durableId="2022854301">
    <w:abstractNumId w:val="14"/>
  </w:num>
  <w:num w:numId="16" w16cid:durableId="638461421">
    <w:abstractNumId w:val="18"/>
  </w:num>
  <w:num w:numId="17" w16cid:durableId="1395011940">
    <w:abstractNumId w:val="17"/>
  </w:num>
  <w:num w:numId="18" w16cid:durableId="1922565563">
    <w:abstractNumId w:val="16"/>
  </w:num>
  <w:num w:numId="19" w16cid:durableId="2834696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71"/>
    <w:rsid w:val="00000263"/>
    <w:rsid w:val="000113BC"/>
    <w:rsid w:val="000136AF"/>
    <w:rsid w:val="0003503D"/>
    <w:rsid w:val="0004044E"/>
    <w:rsid w:val="0005120E"/>
    <w:rsid w:val="00054577"/>
    <w:rsid w:val="000614BF"/>
    <w:rsid w:val="0007169C"/>
    <w:rsid w:val="00077593"/>
    <w:rsid w:val="00082BCA"/>
    <w:rsid w:val="00083F48"/>
    <w:rsid w:val="00095F5D"/>
    <w:rsid w:val="000A1988"/>
    <w:rsid w:val="000A479A"/>
    <w:rsid w:val="000A55B6"/>
    <w:rsid w:val="000A7DF9"/>
    <w:rsid w:val="000D05EF"/>
    <w:rsid w:val="000D26FF"/>
    <w:rsid w:val="000D2FCA"/>
    <w:rsid w:val="000D3FB9"/>
    <w:rsid w:val="000D5485"/>
    <w:rsid w:val="000E598E"/>
    <w:rsid w:val="000E5A3D"/>
    <w:rsid w:val="000F0ADA"/>
    <w:rsid w:val="000F21C1"/>
    <w:rsid w:val="000F3799"/>
    <w:rsid w:val="001059DD"/>
    <w:rsid w:val="0010745C"/>
    <w:rsid w:val="001122FF"/>
    <w:rsid w:val="00127C98"/>
    <w:rsid w:val="00146664"/>
    <w:rsid w:val="00153C23"/>
    <w:rsid w:val="00160BD7"/>
    <w:rsid w:val="001643C9"/>
    <w:rsid w:val="00165568"/>
    <w:rsid w:val="00165EBA"/>
    <w:rsid w:val="00166082"/>
    <w:rsid w:val="00166C2F"/>
    <w:rsid w:val="001716C9"/>
    <w:rsid w:val="0017216E"/>
    <w:rsid w:val="00175B32"/>
    <w:rsid w:val="00183220"/>
    <w:rsid w:val="00184261"/>
    <w:rsid w:val="0018628F"/>
    <w:rsid w:val="00193461"/>
    <w:rsid w:val="001934E9"/>
    <w:rsid w:val="001939E1"/>
    <w:rsid w:val="0019452E"/>
    <w:rsid w:val="00195382"/>
    <w:rsid w:val="00195621"/>
    <w:rsid w:val="00196D6B"/>
    <w:rsid w:val="001A3B9F"/>
    <w:rsid w:val="001A5520"/>
    <w:rsid w:val="001A65C0"/>
    <w:rsid w:val="001B7A5D"/>
    <w:rsid w:val="001C69C4"/>
    <w:rsid w:val="001D3071"/>
    <w:rsid w:val="001E0A8D"/>
    <w:rsid w:val="001E3590"/>
    <w:rsid w:val="001E7407"/>
    <w:rsid w:val="001F1A46"/>
    <w:rsid w:val="00201D27"/>
    <w:rsid w:val="002061FA"/>
    <w:rsid w:val="0021153A"/>
    <w:rsid w:val="00216C35"/>
    <w:rsid w:val="002222FA"/>
    <w:rsid w:val="002245A6"/>
    <w:rsid w:val="002302EA"/>
    <w:rsid w:val="00232152"/>
    <w:rsid w:val="0023754A"/>
    <w:rsid w:val="00237614"/>
    <w:rsid w:val="00240749"/>
    <w:rsid w:val="00241564"/>
    <w:rsid w:val="002468D7"/>
    <w:rsid w:val="0024754D"/>
    <w:rsid w:val="00247E97"/>
    <w:rsid w:val="00251CE6"/>
    <w:rsid w:val="002564B3"/>
    <w:rsid w:val="00256C81"/>
    <w:rsid w:val="00285CDD"/>
    <w:rsid w:val="00291167"/>
    <w:rsid w:val="0029489E"/>
    <w:rsid w:val="00297ECB"/>
    <w:rsid w:val="002A71FE"/>
    <w:rsid w:val="002A7362"/>
    <w:rsid w:val="002C152A"/>
    <w:rsid w:val="002C4DEF"/>
    <w:rsid w:val="002D043A"/>
    <w:rsid w:val="002F12AC"/>
    <w:rsid w:val="0031713F"/>
    <w:rsid w:val="003222D1"/>
    <w:rsid w:val="0032750F"/>
    <w:rsid w:val="003415D3"/>
    <w:rsid w:val="00342B69"/>
    <w:rsid w:val="003442F6"/>
    <w:rsid w:val="00346335"/>
    <w:rsid w:val="00352B0F"/>
    <w:rsid w:val="003561B0"/>
    <w:rsid w:val="00375B4C"/>
    <w:rsid w:val="00384EB6"/>
    <w:rsid w:val="00397893"/>
    <w:rsid w:val="003A15AC"/>
    <w:rsid w:val="003B0627"/>
    <w:rsid w:val="003C5F2B"/>
    <w:rsid w:val="003C7D35"/>
    <w:rsid w:val="003D0BFE"/>
    <w:rsid w:val="003D5700"/>
    <w:rsid w:val="003E5D1C"/>
    <w:rsid w:val="003F6F52"/>
    <w:rsid w:val="004022CA"/>
    <w:rsid w:val="00402B8A"/>
    <w:rsid w:val="004116CD"/>
    <w:rsid w:val="00414ADE"/>
    <w:rsid w:val="00415B65"/>
    <w:rsid w:val="00420516"/>
    <w:rsid w:val="00424CA9"/>
    <w:rsid w:val="004257BB"/>
    <w:rsid w:val="00431786"/>
    <w:rsid w:val="0044291A"/>
    <w:rsid w:val="004600B0"/>
    <w:rsid w:val="00460499"/>
    <w:rsid w:val="00460FBA"/>
    <w:rsid w:val="00474835"/>
    <w:rsid w:val="004819C7"/>
    <w:rsid w:val="004824AE"/>
    <w:rsid w:val="0048364F"/>
    <w:rsid w:val="004877FC"/>
    <w:rsid w:val="00490F2E"/>
    <w:rsid w:val="00494DB8"/>
    <w:rsid w:val="00496F97"/>
    <w:rsid w:val="004A53EA"/>
    <w:rsid w:val="004B35E7"/>
    <w:rsid w:val="004F1FAC"/>
    <w:rsid w:val="004F429E"/>
    <w:rsid w:val="004F676E"/>
    <w:rsid w:val="004F71C0"/>
    <w:rsid w:val="00516B8D"/>
    <w:rsid w:val="00516F90"/>
    <w:rsid w:val="0052756C"/>
    <w:rsid w:val="00530230"/>
    <w:rsid w:val="00530CC9"/>
    <w:rsid w:val="00531B46"/>
    <w:rsid w:val="005364B4"/>
    <w:rsid w:val="00537FBC"/>
    <w:rsid w:val="005417C6"/>
    <w:rsid w:val="00541D73"/>
    <w:rsid w:val="00543469"/>
    <w:rsid w:val="00546FA3"/>
    <w:rsid w:val="00551606"/>
    <w:rsid w:val="00557C7A"/>
    <w:rsid w:val="00560720"/>
    <w:rsid w:val="00562A58"/>
    <w:rsid w:val="005653CE"/>
    <w:rsid w:val="0056541A"/>
    <w:rsid w:val="00573CB8"/>
    <w:rsid w:val="00574182"/>
    <w:rsid w:val="00581211"/>
    <w:rsid w:val="00584811"/>
    <w:rsid w:val="00593AA6"/>
    <w:rsid w:val="00594161"/>
    <w:rsid w:val="00594749"/>
    <w:rsid w:val="00594956"/>
    <w:rsid w:val="005A4719"/>
    <w:rsid w:val="005B1555"/>
    <w:rsid w:val="005B4067"/>
    <w:rsid w:val="005C2D04"/>
    <w:rsid w:val="005C3F41"/>
    <w:rsid w:val="005C4EF0"/>
    <w:rsid w:val="005C73C9"/>
    <w:rsid w:val="005D49DE"/>
    <w:rsid w:val="005D5EA1"/>
    <w:rsid w:val="005E098C"/>
    <w:rsid w:val="005E1F8D"/>
    <w:rsid w:val="005E317F"/>
    <w:rsid w:val="005E3A7C"/>
    <w:rsid w:val="005E4E28"/>
    <w:rsid w:val="005E61D3"/>
    <w:rsid w:val="00600219"/>
    <w:rsid w:val="006065DA"/>
    <w:rsid w:val="00606AA4"/>
    <w:rsid w:val="00632691"/>
    <w:rsid w:val="00640402"/>
    <w:rsid w:val="00640F78"/>
    <w:rsid w:val="006461FC"/>
    <w:rsid w:val="00650938"/>
    <w:rsid w:val="00652343"/>
    <w:rsid w:val="00655D6A"/>
    <w:rsid w:val="00656DE9"/>
    <w:rsid w:val="00672876"/>
    <w:rsid w:val="00677CC2"/>
    <w:rsid w:val="00685F42"/>
    <w:rsid w:val="0069207B"/>
    <w:rsid w:val="00692A76"/>
    <w:rsid w:val="0069385A"/>
    <w:rsid w:val="006A304E"/>
    <w:rsid w:val="006B7006"/>
    <w:rsid w:val="006C7F8C"/>
    <w:rsid w:val="006D7AB9"/>
    <w:rsid w:val="006E1D73"/>
    <w:rsid w:val="00700B2C"/>
    <w:rsid w:val="00705B86"/>
    <w:rsid w:val="00707C61"/>
    <w:rsid w:val="00713084"/>
    <w:rsid w:val="00717463"/>
    <w:rsid w:val="00720FC2"/>
    <w:rsid w:val="00722E89"/>
    <w:rsid w:val="0072783D"/>
    <w:rsid w:val="00731E00"/>
    <w:rsid w:val="007339C7"/>
    <w:rsid w:val="007440B7"/>
    <w:rsid w:val="00747993"/>
    <w:rsid w:val="007634AD"/>
    <w:rsid w:val="007715C9"/>
    <w:rsid w:val="00774EDD"/>
    <w:rsid w:val="007757EC"/>
    <w:rsid w:val="007A14E6"/>
    <w:rsid w:val="007A6863"/>
    <w:rsid w:val="007B13EA"/>
    <w:rsid w:val="007C78B4"/>
    <w:rsid w:val="007E0135"/>
    <w:rsid w:val="007E32B6"/>
    <w:rsid w:val="007E486B"/>
    <w:rsid w:val="007E7D4A"/>
    <w:rsid w:val="007F48ED"/>
    <w:rsid w:val="007F5E3F"/>
    <w:rsid w:val="00812F45"/>
    <w:rsid w:val="00836FE9"/>
    <w:rsid w:val="0084172C"/>
    <w:rsid w:val="00843B45"/>
    <w:rsid w:val="0085175E"/>
    <w:rsid w:val="00856A31"/>
    <w:rsid w:val="00857519"/>
    <w:rsid w:val="00866747"/>
    <w:rsid w:val="008706C7"/>
    <w:rsid w:val="00870F60"/>
    <w:rsid w:val="00874E4C"/>
    <w:rsid w:val="008754D0"/>
    <w:rsid w:val="00877C69"/>
    <w:rsid w:val="00877D48"/>
    <w:rsid w:val="0088345B"/>
    <w:rsid w:val="00883A9F"/>
    <w:rsid w:val="0089098D"/>
    <w:rsid w:val="008A16A5"/>
    <w:rsid w:val="008A5C57"/>
    <w:rsid w:val="008C0629"/>
    <w:rsid w:val="008C088C"/>
    <w:rsid w:val="008D0EE0"/>
    <w:rsid w:val="008D2E35"/>
    <w:rsid w:val="008D7483"/>
    <w:rsid w:val="008D7A27"/>
    <w:rsid w:val="008E4702"/>
    <w:rsid w:val="008E69AA"/>
    <w:rsid w:val="008E6BA1"/>
    <w:rsid w:val="008F4F1C"/>
    <w:rsid w:val="009069AD"/>
    <w:rsid w:val="00910E64"/>
    <w:rsid w:val="00912A55"/>
    <w:rsid w:val="00917E61"/>
    <w:rsid w:val="00922764"/>
    <w:rsid w:val="0092733F"/>
    <w:rsid w:val="009278C1"/>
    <w:rsid w:val="00932377"/>
    <w:rsid w:val="00932DBF"/>
    <w:rsid w:val="009346E3"/>
    <w:rsid w:val="00935ABC"/>
    <w:rsid w:val="0094523D"/>
    <w:rsid w:val="00952E5D"/>
    <w:rsid w:val="00976A63"/>
    <w:rsid w:val="00982BC4"/>
    <w:rsid w:val="009B2490"/>
    <w:rsid w:val="009B50E5"/>
    <w:rsid w:val="009C3431"/>
    <w:rsid w:val="009C5989"/>
    <w:rsid w:val="009C6A32"/>
    <w:rsid w:val="009D08DA"/>
    <w:rsid w:val="009F46A1"/>
    <w:rsid w:val="00A065B0"/>
    <w:rsid w:val="00A06860"/>
    <w:rsid w:val="00A12CE0"/>
    <w:rsid w:val="00A136F5"/>
    <w:rsid w:val="00A231E2"/>
    <w:rsid w:val="00A2550D"/>
    <w:rsid w:val="00A331F7"/>
    <w:rsid w:val="00A379BB"/>
    <w:rsid w:val="00A4169B"/>
    <w:rsid w:val="00A50D55"/>
    <w:rsid w:val="00A52FDA"/>
    <w:rsid w:val="00A56088"/>
    <w:rsid w:val="00A64912"/>
    <w:rsid w:val="00A70A74"/>
    <w:rsid w:val="00A9231A"/>
    <w:rsid w:val="00A95BC7"/>
    <w:rsid w:val="00A970A8"/>
    <w:rsid w:val="00AA0343"/>
    <w:rsid w:val="00AA78CE"/>
    <w:rsid w:val="00AA7B26"/>
    <w:rsid w:val="00AC767C"/>
    <w:rsid w:val="00AD22F4"/>
    <w:rsid w:val="00AD3467"/>
    <w:rsid w:val="00AD5641"/>
    <w:rsid w:val="00AF33DB"/>
    <w:rsid w:val="00B032D8"/>
    <w:rsid w:val="00B05D72"/>
    <w:rsid w:val="00B117BF"/>
    <w:rsid w:val="00B11A64"/>
    <w:rsid w:val="00B20990"/>
    <w:rsid w:val="00B21912"/>
    <w:rsid w:val="00B23FAF"/>
    <w:rsid w:val="00B33B3C"/>
    <w:rsid w:val="00B33D8C"/>
    <w:rsid w:val="00B40CBD"/>
    <w:rsid w:val="00B40D74"/>
    <w:rsid w:val="00B42649"/>
    <w:rsid w:val="00B46467"/>
    <w:rsid w:val="00B46E18"/>
    <w:rsid w:val="00B52663"/>
    <w:rsid w:val="00B56DCB"/>
    <w:rsid w:val="00B61728"/>
    <w:rsid w:val="00B770D2"/>
    <w:rsid w:val="00B8032B"/>
    <w:rsid w:val="00B87701"/>
    <w:rsid w:val="00B93516"/>
    <w:rsid w:val="00B950CD"/>
    <w:rsid w:val="00B95582"/>
    <w:rsid w:val="00B96776"/>
    <w:rsid w:val="00B973E5"/>
    <w:rsid w:val="00BA0158"/>
    <w:rsid w:val="00BA385C"/>
    <w:rsid w:val="00BA47A3"/>
    <w:rsid w:val="00BA5026"/>
    <w:rsid w:val="00BA7B5B"/>
    <w:rsid w:val="00BB6E79"/>
    <w:rsid w:val="00BC5CC3"/>
    <w:rsid w:val="00BE1C11"/>
    <w:rsid w:val="00BE42C5"/>
    <w:rsid w:val="00BE719A"/>
    <w:rsid w:val="00BE720A"/>
    <w:rsid w:val="00BF0723"/>
    <w:rsid w:val="00BF6650"/>
    <w:rsid w:val="00C050EF"/>
    <w:rsid w:val="00C067E5"/>
    <w:rsid w:val="00C164CA"/>
    <w:rsid w:val="00C26051"/>
    <w:rsid w:val="00C415C2"/>
    <w:rsid w:val="00C42BF8"/>
    <w:rsid w:val="00C460AE"/>
    <w:rsid w:val="00C50043"/>
    <w:rsid w:val="00C5015F"/>
    <w:rsid w:val="00C50A0F"/>
    <w:rsid w:val="00C50F4A"/>
    <w:rsid w:val="00C535A6"/>
    <w:rsid w:val="00C72D10"/>
    <w:rsid w:val="00C7573B"/>
    <w:rsid w:val="00C76CF3"/>
    <w:rsid w:val="00C87218"/>
    <w:rsid w:val="00C93205"/>
    <w:rsid w:val="00C945DC"/>
    <w:rsid w:val="00CA7844"/>
    <w:rsid w:val="00CB58EF"/>
    <w:rsid w:val="00CE0A93"/>
    <w:rsid w:val="00CE4A71"/>
    <w:rsid w:val="00CE5657"/>
    <w:rsid w:val="00CE7508"/>
    <w:rsid w:val="00CF0BB2"/>
    <w:rsid w:val="00D12B0D"/>
    <w:rsid w:val="00D13441"/>
    <w:rsid w:val="00D222A3"/>
    <w:rsid w:val="00D22CC6"/>
    <w:rsid w:val="00D243A3"/>
    <w:rsid w:val="00D301C5"/>
    <w:rsid w:val="00D33440"/>
    <w:rsid w:val="00D52EFE"/>
    <w:rsid w:val="00D56A0D"/>
    <w:rsid w:val="00D63EF6"/>
    <w:rsid w:val="00D66518"/>
    <w:rsid w:val="00D70DFB"/>
    <w:rsid w:val="00D71EEA"/>
    <w:rsid w:val="00D735CD"/>
    <w:rsid w:val="00D766DF"/>
    <w:rsid w:val="00D90841"/>
    <w:rsid w:val="00DA2439"/>
    <w:rsid w:val="00DA6F05"/>
    <w:rsid w:val="00DB64FC"/>
    <w:rsid w:val="00DD2455"/>
    <w:rsid w:val="00DE149E"/>
    <w:rsid w:val="00E034DB"/>
    <w:rsid w:val="00E05704"/>
    <w:rsid w:val="00E12F1A"/>
    <w:rsid w:val="00E22935"/>
    <w:rsid w:val="00E46E23"/>
    <w:rsid w:val="00E51C5F"/>
    <w:rsid w:val="00E54292"/>
    <w:rsid w:val="00E60191"/>
    <w:rsid w:val="00E73E8E"/>
    <w:rsid w:val="00E74DC7"/>
    <w:rsid w:val="00E805B4"/>
    <w:rsid w:val="00E837AB"/>
    <w:rsid w:val="00E87699"/>
    <w:rsid w:val="00E900D8"/>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67798"/>
    <w:rsid w:val="00F677A9"/>
    <w:rsid w:val="00F8121C"/>
    <w:rsid w:val="00F84CF5"/>
    <w:rsid w:val="00F8612E"/>
    <w:rsid w:val="00F94583"/>
    <w:rsid w:val="00FA0A21"/>
    <w:rsid w:val="00FA420B"/>
    <w:rsid w:val="00FB6AEE"/>
    <w:rsid w:val="00FC3EAC"/>
    <w:rsid w:val="00FD13FD"/>
    <w:rsid w:val="00FD5C8B"/>
    <w:rsid w:val="00FE13CA"/>
    <w:rsid w:val="00FE514E"/>
    <w:rsid w:val="00FE58D9"/>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0C1C1"/>
  <w15:docId w15:val="{F2B62D46-8CC2-44DF-B5C7-22BB151A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1D3071"/>
    <w:rPr>
      <w:sz w:val="16"/>
      <w:szCs w:val="16"/>
    </w:rPr>
  </w:style>
  <w:style w:type="paragraph" w:styleId="CommentText">
    <w:name w:val="annotation text"/>
    <w:basedOn w:val="Normal"/>
    <w:link w:val="CommentTextChar"/>
    <w:uiPriority w:val="99"/>
    <w:unhideWhenUsed/>
    <w:rsid w:val="001D3071"/>
    <w:pPr>
      <w:spacing w:line="240" w:lineRule="auto"/>
    </w:pPr>
    <w:rPr>
      <w:sz w:val="20"/>
    </w:rPr>
  </w:style>
  <w:style w:type="character" w:customStyle="1" w:styleId="CommentTextChar">
    <w:name w:val="Comment Text Char"/>
    <w:basedOn w:val="DefaultParagraphFont"/>
    <w:link w:val="CommentText"/>
    <w:uiPriority w:val="99"/>
    <w:rsid w:val="001D3071"/>
  </w:style>
  <w:style w:type="paragraph" w:styleId="CommentSubject">
    <w:name w:val="annotation subject"/>
    <w:basedOn w:val="CommentText"/>
    <w:next w:val="CommentText"/>
    <w:link w:val="CommentSubjectChar"/>
    <w:uiPriority w:val="99"/>
    <w:semiHidden/>
    <w:unhideWhenUsed/>
    <w:rsid w:val="001D3071"/>
    <w:rPr>
      <w:b/>
      <w:bCs/>
    </w:rPr>
  </w:style>
  <w:style w:type="character" w:customStyle="1" w:styleId="CommentSubjectChar">
    <w:name w:val="Comment Subject Char"/>
    <w:basedOn w:val="CommentTextChar"/>
    <w:link w:val="CommentSubject"/>
    <w:uiPriority w:val="99"/>
    <w:semiHidden/>
    <w:rsid w:val="001D3071"/>
    <w:rPr>
      <w:b/>
      <w:bCs/>
    </w:rPr>
  </w:style>
  <w:style w:type="paragraph" w:styleId="Revision">
    <w:name w:val="Revision"/>
    <w:hidden/>
    <w:uiPriority w:val="99"/>
    <w:semiHidden/>
    <w:rsid w:val="009F46A1"/>
    <w:rPr>
      <w:sz w:val="22"/>
    </w:rPr>
  </w:style>
  <w:style w:type="character" w:customStyle="1" w:styleId="ActHead5Char">
    <w:name w:val="ActHead 5 Char"/>
    <w:aliases w:val="s Char"/>
    <w:basedOn w:val="DefaultParagraphFont"/>
    <w:link w:val="ActHead5"/>
    <w:locked/>
    <w:rsid w:val="002F12AC"/>
    <w:rPr>
      <w:rFonts w:eastAsia="Times New Roman" w:cs="Times New Roman"/>
      <w:b/>
      <w:kern w:val="28"/>
      <w:sz w:val="24"/>
      <w:lang w:eastAsia="en-AU"/>
    </w:rPr>
  </w:style>
  <w:style w:type="character" w:styleId="PlaceholderText">
    <w:name w:val="Placeholder Text"/>
    <w:basedOn w:val="DefaultParagraphFont"/>
    <w:uiPriority w:val="99"/>
    <w:semiHidden/>
    <w:rsid w:val="00384EB6"/>
    <w:rPr>
      <w:color w:val="808080"/>
    </w:rPr>
  </w:style>
  <w:style w:type="character" w:customStyle="1" w:styleId="paragraphChar">
    <w:name w:val="paragraph Char"/>
    <w:aliases w:val="a Char"/>
    <w:basedOn w:val="DefaultParagraphFont"/>
    <w:link w:val="paragraph"/>
    <w:rsid w:val="00C87218"/>
    <w:rPr>
      <w:rFonts w:eastAsia="Times New Roman" w:cs="Times New Roman"/>
      <w:sz w:val="22"/>
      <w:lang w:eastAsia="en-AU"/>
    </w:rPr>
  </w:style>
  <w:style w:type="character" w:customStyle="1" w:styleId="notetextChar">
    <w:name w:val="note(text) Char"/>
    <w:aliases w:val="n Char"/>
    <w:basedOn w:val="DefaultParagraphFont"/>
    <w:link w:val="notetext"/>
    <w:rsid w:val="00D222A3"/>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3157\Downloads\template_-_amending_instrument%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FB91FBA-E741-402B-816C-302129E939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394711AC8A1A4EAB81C627F495EF1F" ma:contentTypeVersion="" ma:contentTypeDescription="PDMS Document Site Content Type" ma:contentTypeScope="" ma:versionID="61e33d34cd4f9e9af934fe911496bd63">
  <xsd:schema xmlns:xsd="http://www.w3.org/2001/XMLSchema" xmlns:xs="http://www.w3.org/2001/XMLSchema" xmlns:p="http://schemas.microsoft.com/office/2006/metadata/properties" xmlns:ns2="CFB91FBA-E741-402B-816C-302129E93924" targetNamespace="http://schemas.microsoft.com/office/2006/metadata/properties" ma:root="true" ma:fieldsID="d702dd4998d236bb4b6d8f9f1200c6e5" ns2:_="">
    <xsd:import namespace="CFB91FBA-E741-402B-816C-302129E9392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91FBA-E741-402B-816C-302129E939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351D2-B5C6-4465-9073-38A31E39D349}">
  <ds:schemaRefs>
    <ds:schemaRef ds:uri="http://schemas.microsoft.com/office/2006/metadata/properties"/>
    <ds:schemaRef ds:uri="http://schemas.microsoft.com/office/infopath/2007/PartnerControls"/>
    <ds:schemaRef ds:uri="234CBF69-4079-475C-B2A5-755203FDD032"/>
    <ds:schemaRef ds:uri="CFB91FBA-E741-402B-816C-302129E93924"/>
  </ds:schemaRefs>
</ds:datastoreItem>
</file>

<file path=customXml/itemProps2.xml><?xml version="1.0" encoding="utf-8"?>
<ds:datastoreItem xmlns:ds="http://schemas.openxmlformats.org/officeDocument/2006/customXml" ds:itemID="{53E3AF84-484A-411F-B910-A83D268942E7}">
  <ds:schemaRefs>
    <ds:schemaRef ds:uri="http://schemas.microsoft.com/sharepoint/v3/contenttype/forms"/>
  </ds:schemaRefs>
</ds:datastoreItem>
</file>

<file path=customXml/itemProps3.xml><?xml version="1.0" encoding="utf-8"?>
<ds:datastoreItem xmlns:ds="http://schemas.openxmlformats.org/officeDocument/2006/customXml" ds:itemID="{536FA3AC-DC66-480F-BA35-B55F7047A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91FBA-E741-402B-816C-302129E93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template_-_amending_instrument (5).dotx</Template>
  <TotalTime>2</TotalTime>
  <Pages>12</Pages>
  <Words>2826</Words>
  <Characters>16113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SIM,Tanya</dc:creator>
  <cp:lastModifiedBy>James McLaren</cp:lastModifiedBy>
  <cp:revision>4</cp:revision>
  <dcterms:created xsi:type="dcterms:W3CDTF">2023-12-14T03:54:00Z</dcterms:created>
  <dcterms:modified xsi:type="dcterms:W3CDTF">2024-01-18T05:07:00Z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2023-08-07T01:28:45Z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5ed07d36-9729-4bba-9f7c-4b6550e974d8</vt:lpwstr>
  </property>
  <property fmtid="{D5CDD505-2E9C-101B-9397-08002B2CF9AE}" pid="8" name="MSIP_Label_79d889eb-932f-4752-8739-64d25806ef64_ContentBits">
    <vt:lpwstr>0</vt:lpwstr>
  </property>
  <property fmtid="{D5CDD505-2E9C-101B-9397-08002B2CF9AE}" pid="9" name="ContentTypeId">
    <vt:lpwstr>0x010100266966F133664895A6EE3632470D45F500A5394711AC8A1A4EAB81C627F495EF1F</vt:lpwstr>
  </property>
</Properties>
</file>