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63BD" w14:textId="77777777" w:rsidR="003A081C" w:rsidRPr="00C25023" w:rsidRDefault="003A081C" w:rsidP="003A081C">
      <w:pPr>
        <w:spacing w:after="0" w:line="240" w:lineRule="auto"/>
        <w:jc w:val="center"/>
        <w:rPr>
          <w:rFonts w:ascii="Times New Roman" w:eastAsia="Times New Roman" w:hAnsi="Times New Roman" w:cs="Times New Roman"/>
          <w:b/>
          <w:u w:val="single"/>
          <w:lang w:val="en-US"/>
        </w:rPr>
      </w:pPr>
      <w:r w:rsidRPr="00C25023">
        <w:rPr>
          <w:rFonts w:ascii="Times New Roman" w:eastAsia="Times New Roman" w:hAnsi="Times New Roman" w:cs="Times New Roman"/>
          <w:b/>
          <w:u w:val="single"/>
          <w:lang w:val="en-US"/>
        </w:rPr>
        <w:t>EXPLANATORY STATEMENT</w:t>
      </w:r>
    </w:p>
    <w:p w14:paraId="0A9E2E4B" w14:textId="77777777" w:rsidR="003A081C" w:rsidRPr="00FB38E8" w:rsidRDefault="003A081C" w:rsidP="003A081C">
      <w:pPr>
        <w:spacing w:after="0" w:line="240" w:lineRule="auto"/>
        <w:jc w:val="center"/>
        <w:rPr>
          <w:rFonts w:ascii="Times New Roman" w:eastAsia="Times New Roman" w:hAnsi="Times New Roman" w:cs="Times New Roman"/>
          <w:iCs/>
          <w:lang w:val="en-US"/>
        </w:rPr>
      </w:pPr>
    </w:p>
    <w:p w14:paraId="7162A48C" w14:textId="77777777" w:rsidR="003A081C" w:rsidRPr="00C25023" w:rsidRDefault="003A081C" w:rsidP="003A081C">
      <w:pPr>
        <w:spacing w:after="0" w:line="240" w:lineRule="auto"/>
        <w:jc w:val="center"/>
        <w:rPr>
          <w:rFonts w:ascii="Times New Roman" w:eastAsia="Times New Roman" w:hAnsi="Times New Roman" w:cs="Times New Roman"/>
          <w:i/>
          <w:lang w:val="en-US"/>
        </w:rPr>
      </w:pPr>
      <w:r w:rsidRPr="00C25023">
        <w:rPr>
          <w:rFonts w:ascii="Times New Roman" w:eastAsia="Times New Roman" w:hAnsi="Times New Roman" w:cs="Times New Roman"/>
          <w:i/>
          <w:lang w:val="en-US"/>
        </w:rPr>
        <w:t>Therapeutic Goods Act 1989</w:t>
      </w:r>
    </w:p>
    <w:p w14:paraId="704F7CA0" w14:textId="77777777" w:rsidR="003A081C" w:rsidRPr="00FB38E8" w:rsidRDefault="003A081C" w:rsidP="003A081C">
      <w:pPr>
        <w:spacing w:after="0" w:line="240" w:lineRule="auto"/>
        <w:jc w:val="center"/>
        <w:rPr>
          <w:rFonts w:ascii="Times New Roman" w:eastAsia="Times New Roman" w:hAnsi="Times New Roman" w:cs="Times New Roman"/>
          <w:iCs/>
          <w:lang w:val="en-US"/>
        </w:rPr>
      </w:pPr>
    </w:p>
    <w:p w14:paraId="346D0A60" w14:textId="7D2B6ABB" w:rsidR="003A081C" w:rsidRPr="00C25023" w:rsidRDefault="003A081C" w:rsidP="003A081C">
      <w:pPr>
        <w:spacing w:after="0" w:line="240" w:lineRule="auto"/>
        <w:jc w:val="center"/>
        <w:rPr>
          <w:rFonts w:ascii="Times New Roman" w:eastAsia="Times New Roman" w:hAnsi="Times New Roman" w:cs="Times New Roman"/>
          <w:i/>
          <w:lang w:val="en-US"/>
        </w:rPr>
      </w:pPr>
      <w:r w:rsidRPr="00C25023">
        <w:rPr>
          <w:rFonts w:ascii="Times New Roman" w:eastAsia="Times New Roman" w:hAnsi="Times New Roman" w:cs="Times New Roman"/>
          <w:i/>
          <w:lang w:val="en-US"/>
        </w:rPr>
        <w:t>Therapeutic Goods (Poisons Standard</w:t>
      </w:r>
      <w:r w:rsidRPr="00C25023">
        <w:rPr>
          <w:rFonts w:ascii="Times New Roman" w:eastAsia="Times New Roman" w:hAnsi="Times New Roman" w:cs="Times New Roman"/>
          <w:lang w:val="en-US"/>
        </w:rPr>
        <w:t>—</w:t>
      </w:r>
      <w:r w:rsidR="0058539F" w:rsidRPr="00C25023">
        <w:rPr>
          <w:rFonts w:ascii="Times New Roman" w:eastAsia="Times New Roman" w:hAnsi="Times New Roman" w:cs="Times New Roman"/>
          <w:i/>
          <w:lang w:val="en-US"/>
        </w:rPr>
        <w:t>February</w:t>
      </w:r>
      <w:r w:rsidRPr="00C25023">
        <w:rPr>
          <w:rFonts w:ascii="Times New Roman" w:eastAsia="Times New Roman" w:hAnsi="Times New Roman" w:cs="Times New Roman"/>
          <w:i/>
          <w:lang w:val="en-US"/>
        </w:rPr>
        <w:t xml:space="preserve"> 202</w:t>
      </w:r>
      <w:r w:rsidR="0058539F" w:rsidRPr="00C25023">
        <w:rPr>
          <w:rFonts w:ascii="Times New Roman" w:eastAsia="Times New Roman" w:hAnsi="Times New Roman" w:cs="Times New Roman"/>
          <w:i/>
          <w:lang w:val="en-US"/>
        </w:rPr>
        <w:t>4</w:t>
      </w:r>
      <w:r w:rsidRPr="00C25023">
        <w:rPr>
          <w:rFonts w:ascii="Times New Roman" w:eastAsia="Times New Roman" w:hAnsi="Times New Roman" w:cs="Times New Roman"/>
          <w:i/>
          <w:lang w:val="en-US"/>
        </w:rPr>
        <w:t>) Instrument 202</w:t>
      </w:r>
      <w:r w:rsidR="00CD51C2" w:rsidRPr="00C25023">
        <w:rPr>
          <w:rFonts w:ascii="Times New Roman" w:eastAsia="Times New Roman" w:hAnsi="Times New Roman" w:cs="Times New Roman"/>
          <w:i/>
          <w:lang w:val="en-US"/>
        </w:rPr>
        <w:t>4</w:t>
      </w:r>
    </w:p>
    <w:p w14:paraId="5633CF47" w14:textId="77777777" w:rsidR="003A081C" w:rsidRPr="00C25023" w:rsidRDefault="003A081C" w:rsidP="003A081C">
      <w:pPr>
        <w:spacing w:after="0" w:line="240" w:lineRule="auto"/>
        <w:jc w:val="center"/>
        <w:rPr>
          <w:rFonts w:ascii="Times New Roman" w:eastAsia="Times New Roman" w:hAnsi="Times New Roman" w:cs="Times New Roman"/>
          <w:lang w:val="en-US"/>
        </w:rPr>
      </w:pPr>
    </w:p>
    <w:p w14:paraId="1CA3BECC" w14:textId="29BFF51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 xml:space="preserve">The </w:t>
      </w:r>
      <w:r w:rsidRPr="00C25023">
        <w:rPr>
          <w:rFonts w:ascii="Times New Roman" w:eastAsia="Times New Roman" w:hAnsi="Times New Roman" w:cs="Times New Roman"/>
          <w:i/>
          <w:lang w:val="en-US"/>
        </w:rPr>
        <w:t>Therapeutic Goods Act 1989</w:t>
      </w:r>
      <w:r w:rsidRPr="00C25023">
        <w:rPr>
          <w:rFonts w:ascii="Times New Roman" w:eastAsia="Times New Roman" w:hAnsi="Times New Roman" w:cs="Times New Roman"/>
          <w:lang w:val="en-US"/>
        </w:rPr>
        <w:t xml:space="preserve"> (“the Act”) provides for the establishment and maintenance of a national system of controls for the quality, safety, efficacy</w:t>
      </w:r>
      <w:r w:rsidR="00F62803" w:rsidRPr="00C25023">
        <w:rPr>
          <w:rFonts w:ascii="Times New Roman" w:eastAsia="Times New Roman" w:hAnsi="Times New Roman" w:cs="Times New Roman"/>
          <w:lang w:val="en-US"/>
        </w:rPr>
        <w:t xml:space="preserve"> or performance</w:t>
      </w:r>
      <w:r w:rsidRPr="00C25023">
        <w:rPr>
          <w:rFonts w:ascii="Times New Roman" w:eastAsia="Times New Roman" w:hAnsi="Times New Roman" w:cs="Times New Roman"/>
          <w:lang w:val="en-US"/>
        </w:rPr>
        <w:t>,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 Australian Government Department of Health and Aged Care.</w:t>
      </w:r>
    </w:p>
    <w:p w14:paraId="50DB5015"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089C0368"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643B7516"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5807B1B2"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Subsection 52D(2) of the Act empowers the Secretary to amend the current Poisons Standard or to prepare a document in substitution for the current Poisons Standard. The current Poisons Standard includes Schedules containing the names or descriptions of substances, with certain levels of control applying to each Schedule in accordance with the risk associated with the substances in a Schedule.</w:t>
      </w:r>
    </w:p>
    <w:p w14:paraId="3A38D84D"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56A335E8" w14:textId="6A13D95D" w:rsidR="00F12E5D" w:rsidRPr="00C25023" w:rsidRDefault="003A081C" w:rsidP="003A081C">
      <w:pPr>
        <w:autoSpaceDE w:val="0"/>
        <w:autoSpaceDN w:val="0"/>
        <w:adjustRightInd w:val="0"/>
        <w:spacing w:after="0" w:line="240" w:lineRule="auto"/>
        <w:rPr>
          <w:rFonts w:ascii="Times New Roman" w:eastAsia="Times New Roman" w:hAnsi="Times New Roman" w:cs="Times New Roman"/>
          <w:iCs/>
          <w:lang w:val="en-US"/>
        </w:rPr>
      </w:pPr>
      <w:r w:rsidRPr="00C25023">
        <w:rPr>
          <w:rFonts w:ascii="Times New Roman" w:eastAsia="Calibri" w:hAnsi="Times New Roman" w:cs="Times New Roman"/>
          <w:color w:val="000000"/>
        </w:rPr>
        <w:t xml:space="preserve">The </w:t>
      </w:r>
      <w:r w:rsidRPr="00C25023">
        <w:rPr>
          <w:rFonts w:ascii="Times New Roman" w:eastAsia="Times New Roman" w:hAnsi="Times New Roman" w:cs="Times New Roman"/>
          <w:i/>
          <w:lang w:val="en-US"/>
        </w:rPr>
        <w:t>Therapeutic Goods (Poisons Standard</w:t>
      </w:r>
      <w:r w:rsidRPr="00C25023">
        <w:rPr>
          <w:rFonts w:ascii="Times New Roman" w:eastAsia="Times New Roman" w:hAnsi="Times New Roman" w:cs="Times New Roman"/>
          <w:lang w:val="en-US"/>
        </w:rPr>
        <w:t>—</w:t>
      </w:r>
      <w:r w:rsidR="0058539F" w:rsidRPr="00C25023">
        <w:rPr>
          <w:rFonts w:ascii="Times New Roman" w:eastAsia="Times New Roman" w:hAnsi="Times New Roman" w:cs="Times New Roman"/>
          <w:i/>
          <w:lang w:val="en-US"/>
        </w:rPr>
        <w:t>February</w:t>
      </w:r>
      <w:r w:rsidRPr="00C25023">
        <w:rPr>
          <w:rFonts w:ascii="Times New Roman" w:eastAsia="Times New Roman" w:hAnsi="Times New Roman" w:cs="Times New Roman"/>
          <w:i/>
          <w:lang w:val="en-US"/>
        </w:rPr>
        <w:t xml:space="preserve"> 202</w:t>
      </w:r>
      <w:r w:rsidR="0058539F" w:rsidRPr="00C25023">
        <w:rPr>
          <w:rFonts w:ascii="Times New Roman" w:eastAsia="Times New Roman" w:hAnsi="Times New Roman" w:cs="Times New Roman"/>
          <w:i/>
          <w:lang w:val="en-US"/>
        </w:rPr>
        <w:t>4</w:t>
      </w:r>
      <w:r w:rsidRPr="00C25023">
        <w:rPr>
          <w:rFonts w:ascii="Times New Roman" w:eastAsia="Times New Roman" w:hAnsi="Times New Roman" w:cs="Times New Roman"/>
          <w:i/>
          <w:lang w:val="en-US"/>
        </w:rPr>
        <w:t>) Instrument 202</w:t>
      </w:r>
      <w:r w:rsidR="00CD51C2" w:rsidRPr="00C25023">
        <w:rPr>
          <w:rFonts w:ascii="Times New Roman" w:eastAsia="Times New Roman" w:hAnsi="Times New Roman" w:cs="Times New Roman"/>
          <w:i/>
          <w:lang w:val="en-US"/>
        </w:rPr>
        <w:t>4</w:t>
      </w:r>
      <w:r w:rsidRPr="00C25023">
        <w:rPr>
          <w:rFonts w:ascii="Times New Roman" w:eastAsia="Times New Roman" w:hAnsi="Times New Roman" w:cs="Times New Roman"/>
          <w:i/>
          <w:lang w:val="en-US"/>
        </w:rPr>
        <w:t xml:space="preserve"> </w:t>
      </w:r>
      <w:r w:rsidRPr="00C25023">
        <w:rPr>
          <w:rFonts w:ascii="Times New Roman" w:eastAsia="Times New Roman" w:hAnsi="Times New Roman" w:cs="Times New Roman"/>
          <w:iCs/>
          <w:lang w:val="en-US"/>
        </w:rPr>
        <w:t xml:space="preserve">(“the Instrument”) repeals and replaces the </w:t>
      </w:r>
      <w:r w:rsidRPr="00C25023">
        <w:rPr>
          <w:rFonts w:ascii="Times New Roman" w:eastAsia="Times New Roman" w:hAnsi="Times New Roman" w:cs="Times New Roman"/>
          <w:i/>
          <w:lang w:val="en-US"/>
        </w:rPr>
        <w:t>Therapeutic Goods (Poisons Standard</w:t>
      </w:r>
      <w:r w:rsidRPr="00C25023">
        <w:rPr>
          <w:rFonts w:ascii="Times New Roman" w:eastAsia="Times New Roman" w:hAnsi="Times New Roman" w:cs="Times New Roman"/>
          <w:lang w:val="en-US"/>
        </w:rPr>
        <w:t>—</w:t>
      </w:r>
      <w:r w:rsidR="0058539F" w:rsidRPr="00C25023">
        <w:rPr>
          <w:rFonts w:ascii="Times New Roman" w:eastAsia="Times New Roman" w:hAnsi="Times New Roman" w:cs="Times New Roman"/>
          <w:i/>
          <w:iCs/>
          <w:lang w:val="en-US"/>
        </w:rPr>
        <w:t>October</w:t>
      </w:r>
      <w:r w:rsidR="002F6F33" w:rsidRPr="00C25023">
        <w:rPr>
          <w:rFonts w:ascii="Times New Roman" w:eastAsia="Times New Roman" w:hAnsi="Times New Roman" w:cs="Times New Roman"/>
          <w:i/>
          <w:iCs/>
          <w:lang w:val="en-US"/>
        </w:rPr>
        <w:t xml:space="preserve"> </w:t>
      </w:r>
      <w:r w:rsidRPr="00C25023">
        <w:rPr>
          <w:rFonts w:ascii="Times New Roman" w:eastAsia="Times New Roman" w:hAnsi="Times New Roman" w:cs="Times New Roman"/>
          <w:i/>
          <w:lang w:val="en-US"/>
        </w:rPr>
        <w:t>2023) Instrument 2023</w:t>
      </w:r>
      <w:r w:rsidRPr="00C25023">
        <w:rPr>
          <w:rFonts w:ascii="Times New Roman" w:eastAsia="Times New Roman" w:hAnsi="Times New Roman" w:cs="Times New Roman"/>
          <w:iCs/>
          <w:lang w:val="en-US"/>
        </w:rPr>
        <w:t xml:space="preserve">, which had been in effect since 1 </w:t>
      </w:r>
      <w:r w:rsidR="00434E34" w:rsidRPr="00C25023">
        <w:rPr>
          <w:rFonts w:ascii="Times New Roman" w:eastAsia="Times New Roman" w:hAnsi="Times New Roman" w:cs="Times New Roman"/>
          <w:iCs/>
          <w:lang w:val="en-US"/>
        </w:rPr>
        <w:t>October</w:t>
      </w:r>
      <w:r w:rsidR="00CE18D1"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Cs/>
          <w:lang w:val="en-US"/>
        </w:rPr>
        <w:t>2023.</w:t>
      </w:r>
    </w:p>
    <w:p w14:paraId="2B43ED58" w14:textId="77777777" w:rsidR="00F12E5D" w:rsidRPr="00C25023" w:rsidRDefault="00F12E5D" w:rsidP="003A081C">
      <w:pPr>
        <w:autoSpaceDE w:val="0"/>
        <w:autoSpaceDN w:val="0"/>
        <w:adjustRightInd w:val="0"/>
        <w:spacing w:after="0" w:line="240" w:lineRule="auto"/>
        <w:rPr>
          <w:rFonts w:ascii="Times New Roman" w:eastAsia="Times New Roman" w:hAnsi="Times New Roman" w:cs="Times New Roman"/>
          <w:iCs/>
          <w:lang w:val="en-US"/>
        </w:rPr>
      </w:pPr>
    </w:p>
    <w:p w14:paraId="31CEC542" w14:textId="22F6924D" w:rsidR="003A081C" w:rsidRPr="00C25023" w:rsidRDefault="00C338F5" w:rsidP="003A081C">
      <w:pPr>
        <w:autoSpaceDE w:val="0"/>
        <w:autoSpaceDN w:val="0"/>
        <w:adjustRightInd w:val="0"/>
        <w:spacing w:after="0" w:line="240" w:lineRule="auto"/>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The purpose of the Instrument is principally to </w:t>
      </w:r>
      <w:r w:rsidR="00F12E5D" w:rsidRPr="00C25023">
        <w:rPr>
          <w:rFonts w:ascii="Times New Roman" w:eastAsia="Times New Roman" w:hAnsi="Times New Roman" w:cs="Times New Roman"/>
          <w:iCs/>
          <w:lang w:val="en-US"/>
        </w:rPr>
        <w:t xml:space="preserve">incorporate a number of changes to existing </w:t>
      </w:r>
      <w:r w:rsidR="005C2652">
        <w:rPr>
          <w:rFonts w:ascii="Times New Roman" w:eastAsia="Times New Roman" w:hAnsi="Times New Roman" w:cs="Times New Roman"/>
          <w:iCs/>
          <w:lang w:val="en-US"/>
        </w:rPr>
        <w:t xml:space="preserve">Schedule </w:t>
      </w:r>
      <w:r w:rsidR="00F12E5D" w:rsidRPr="00C25023">
        <w:rPr>
          <w:rFonts w:ascii="Times New Roman" w:eastAsia="Times New Roman" w:hAnsi="Times New Roman" w:cs="Times New Roman"/>
          <w:iCs/>
          <w:lang w:val="en-US"/>
        </w:rPr>
        <w:t>entries</w:t>
      </w:r>
      <w:r w:rsidR="005C2652">
        <w:rPr>
          <w:rFonts w:ascii="Times New Roman" w:eastAsia="Times New Roman" w:hAnsi="Times New Roman" w:cs="Times New Roman"/>
          <w:iCs/>
          <w:lang w:val="en-US"/>
        </w:rPr>
        <w:t>,</w:t>
      </w:r>
      <w:r w:rsidR="00F12E5D" w:rsidRPr="00C25023">
        <w:rPr>
          <w:rFonts w:ascii="Times New Roman" w:eastAsia="Times New Roman" w:hAnsi="Times New Roman" w:cs="Times New Roman"/>
          <w:iCs/>
          <w:lang w:val="en-US"/>
        </w:rPr>
        <w:t xml:space="preserve"> and to include a number of specified substances in the current Poisons Standard for the first time.</w:t>
      </w:r>
    </w:p>
    <w:p w14:paraId="78839AFA" w14:textId="77777777" w:rsidR="00940ECC" w:rsidRPr="00C25023" w:rsidRDefault="00940ECC" w:rsidP="003A081C">
      <w:pPr>
        <w:autoSpaceDE w:val="0"/>
        <w:autoSpaceDN w:val="0"/>
        <w:adjustRightInd w:val="0"/>
        <w:spacing w:after="0" w:line="240" w:lineRule="auto"/>
        <w:rPr>
          <w:rFonts w:ascii="Times New Roman" w:eastAsia="Times New Roman" w:hAnsi="Times New Roman" w:cs="Times New Roman"/>
          <w:iCs/>
          <w:lang w:val="en-US"/>
        </w:rPr>
      </w:pPr>
    </w:p>
    <w:p w14:paraId="27EE09C7" w14:textId="24D98855" w:rsidR="00940ECC" w:rsidRPr="00C25023" w:rsidRDefault="00940ECC" w:rsidP="00FB38E8">
      <w:pPr>
        <w:pStyle w:val="ListParagraph"/>
        <w:autoSpaceDE w:val="0"/>
        <w:autoSpaceDN w:val="0"/>
        <w:adjustRightInd w:val="0"/>
        <w:spacing w:before="20" w:after="0" w:line="240" w:lineRule="auto"/>
        <w:ind w:left="0"/>
        <w:contextualSpacing w:val="0"/>
        <w:rPr>
          <w:rFonts w:ascii="Times New Roman" w:eastAsia="Times New Roman" w:hAnsi="Times New Roman" w:cs="Times New Roman"/>
          <w:iCs/>
          <w:lang w:val="en-US"/>
        </w:rPr>
      </w:pPr>
      <w:r w:rsidRPr="00C25023">
        <w:rPr>
          <w:rFonts w:ascii="Times New Roman" w:eastAsia="Calibri" w:hAnsi="Times New Roman" w:cs="Times New Roman"/>
        </w:rPr>
        <w:t xml:space="preserve">In relation to existing entries in the current Poisons Standard, </w:t>
      </w:r>
      <w:r w:rsidRPr="00C25023">
        <w:rPr>
          <w:rFonts w:ascii="Times New Roman" w:eastAsia="Times New Roman" w:hAnsi="Times New Roman" w:cs="Times New Roman"/>
          <w:iCs/>
          <w:lang w:val="en-US"/>
        </w:rPr>
        <w:t>t</w:t>
      </w:r>
      <w:r w:rsidR="00DB428E" w:rsidRPr="00C25023">
        <w:rPr>
          <w:rFonts w:ascii="Times New Roman" w:eastAsia="Times New Roman" w:hAnsi="Times New Roman" w:cs="Times New Roman"/>
          <w:iCs/>
          <w:lang w:val="en-US"/>
        </w:rPr>
        <w:t>he Instrument</w:t>
      </w:r>
      <w:r w:rsidRPr="00C25023">
        <w:rPr>
          <w:rFonts w:ascii="Times New Roman" w:eastAsia="Times New Roman" w:hAnsi="Times New Roman" w:cs="Times New Roman"/>
          <w:iCs/>
          <w:lang w:val="en-US"/>
        </w:rPr>
        <w:t xml:space="preserve"> incorporates minor amendments to the entries for amidopropyl betaines, bismuth compounds, asparaginase,</w:t>
      </w:r>
      <w:r w:rsidR="00DB428E"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Cs/>
          <w:lang w:val="en-US"/>
        </w:rPr>
        <w:t>benzene, gliptins, immunoglobulins, psilocybine, somatropin, alprazolam, bromazepam, chlordiazepoxide, clonazepam, clorazepate, diazepam, nitrazepam, triazolam and flunitazene, principally to add clarity and correct typographical errors. For example, the Index entry for psilocybine has been amended to include a cross reference to psilocybin.</w:t>
      </w:r>
    </w:p>
    <w:p w14:paraId="71FC8FBB" w14:textId="77777777" w:rsidR="002A6B5E" w:rsidRPr="00C25023" w:rsidRDefault="002A6B5E" w:rsidP="00FB38E8">
      <w:pPr>
        <w:pStyle w:val="ListParagraph"/>
        <w:autoSpaceDE w:val="0"/>
        <w:autoSpaceDN w:val="0"/>
        <w:adjustRightInd w:val="0"/>
        <w:spacing w:before="20" w:after="0" w:line="240" w:lineRule="auto"/>
        <w:ind w:left="0"/>
        <w:contextualSpacing w:val="0"/>
        <w:rPr>
          <w:rFonts w:ascii="Times New Roman" w:eastAsia="Times New Roman" w:hAnsi="Times New Roman" w:cs="Times New Roman"/>
          <w:iCs/>
          <w:lang w:val="en-US"/>
        </w:rPr>
      </w:pPr>
    </w:p>
    <w:p w14:paraId="7A5C90E0" w14:textId="484FF786" w:rsidR="00EB6D70" w:rsidRPr="00C25023" w:rsidRDefault="00BB3B77" w:rsidP="00CE18D1">
      <w:pPr>
        <w:autoSpaceDE w:val="0"/>
        <w:autoSpaceDN w:val="0"/>
        <w:adjustRightInd w:val="0"/>
        <w:spacing w:after="0" w:line="240" w:lineRule="auto"/>
        <w:rPr>
          <w:rFonts w:ascii="Times New Roman" w:eastAsia="Times New Roman" w:hAnsi="Times New Roman" w:cs="Times New Roman"/>
          <w:iCs/>
          <w:lang w:val="en-US"/>
        </w:rPr>
      </w:pPr>
      <w:r w:rsidRPr="00C25023">
        <w:rPr>
          <w:rStyle w:val="cf01"/>
          <w:rFonts w:ascii="Times New Roman" w:hAnsi="Times New Roman" w:cs="Times New Roman"/>
          <w:sz w:val="22"/>
          <w:szCs w:val="22"/>
        </w:rPr>
        <w:t xml:space="preserve">In relation to substances that have been introduced in the Poisons Standard for the first time, the Instrument introduces </w:t>
      </w:r>
      <w:r w:rsidR="008F74AF" w:rsidRPr="00C25023">
        <w:rPr>
          <w:rStyle w:val="cf01"/>
          <w:rFonts w:ascii="Times New Roman" w:hAnsi="Times New Roman" w:cs="Times New Roman"/>
          <w:sz w:val="22"/>
          <w:szCs w:val="22"/>
        </w:rPr>
        <w:t xml:space="preserve">the following </w:t>
      </w:r>
      <w:r w:rsidRPr="00C25023">
        <w:rPr>
          <w:rStyle w:val="cf01"/>
          <w:rFonts w:ascii="Times New Roman" w:hAnsi="Times New Roman" w:cs="Times New Roman"/>
          <w:sz w:val="22"/>
          <w:szCs w:val="22"/>
        </w:rPr>
        <w:t>entries:</w:t>
      </w:r>
    </w:p>
    <w:p w14:paraId="310EFFEB" w14:textId="5E4AECBB" w:rsidR="00EB6D70" w:rsidRPr="00C25023" w:rsidRDefault="008619F7" w:rsidP="00C2072D">
      <w:pPr>
        <w:pStyle w:val="ListParagraph"/>
        <w:numPr>
          <w:ilvl w:val="0"/>
          <w:numId w:val="6"/>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Schedule 9 — </w:t>
      </w:r>
      <w:r w:rsidR="002A6B5E" w:rsidRPr="00C25023">
        <w:rPr>
          <w:rFonts w:ascii="Times New Roman" w:eastAsia="Times New Roman" w:hAnsi="Times New Roman" w:cs="Times New Roman"/>
          <w:i/>
          <w:lang w:val="en-US"/>
        </w:rPr>
        <w:t>ibotenic acid</w:t>
      </w:r>
      <w:r w:rsidR="005E6A63" w:rsidRPr="00C25023">
        <w:rPr>
          <w:rFonts w:ascii="Times New Roman" w:eastAsia="Times New Roman" w:hAnsi="Times New Roman" w:cs="Times New Roman"/>
          <w:iCs/>
          <w:lang w:val="en-US"/>
        </w:rPr>
        <w:t>;</w:t>
      </w:r>
    </w:p>
    <w:p w14:paraId="7B68A0A4" w14:textId="3533DB51" w:rsidR="00002DC3" w:rsidRPr="00C25023" w:rsidRDefault="00002DC3" w:rsidP="00C2072D">
      <w:pPr>
        <w:pStyle w:val="ListParagraph"/>
        <w:numPr>
          <w:ilvl w:val="0"/>
          <w:numId w:val="6"/>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Schedule 4 — </w:t>
      </w:r>
      <w:r w:rsidRPr="00C25023">
        <w:rPr>
          <w:rFonts w:ascii="Times New Roman" w:eastAsia="Times New Roman" w:hAnsi="Times New Roman" w:cs="Times New Roman"/>
          <w:i/>
          <w:lang w:val="en-US"/>
        </w:rPr>
        <w:t>palovarotene</w:t>
      </w:r>
      <w:r w:rsidRPr="00C25023">
        <w:rPr>
          <w:rFonts w:ascii="Times New Roman" w:eastAsia="Times New Roman" w:hAnsi="Times New Roman" w:cs="Times New Roman"/>
          <w:iCs/>
          <w:lang w:val="en-US"/>
        </w:rPr>
        <w:t xml:space="preserve"> (which is also </w:t>
      </w:r>
      <w:r w:rsidRPr="00C25023">
        <w:rPr>
          <w:rFonts w:ascii="Times New Roman" w:eastAsia="Calibri" w:hAnsi="Times New Roman" w:cs="Times New Roman"/>
        </w:rPr>
        <w:t>included in clause 4 of Appendix F, and clause 2 in Appendix L)</w:t>
      </w:r>
      <w:r w:rsidR="004826FD">
        <w:rPr>
          <w:rFonts w:ascii="Times New Roman" w:eastAsia="Calibri" w:hAnsi="Times New Roman" w:cs="Times New Roman"/>
        </w:rPr>
        <w:t>;</w:t>
      </w:r>
    </w:p>
    <w:p w14:paraId="6BB554D7" w14:textId="4C5533D6" w:rsidR="00DB26D9" w:rsidRPr="00C25023" w:rsidRDefault="00DB26D9" w:rsidP="00C2072D">
      <w:pPr>
        <w:pStyle w:val="ListParagraph"/>
        <w:numPr>
          <w:ilvl w:val="0"/>
          <w:numId w:val="6"/>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Schedule 4 — </w:t>
      </w:r>
      <w:r w:rsidRPr="00C25023">
        <w:rPr>
          <w:rFonts w:ascii="Times New Roman" w:eastAsia="Times New Roman" w:hAnsi="Times New Roman" w:cs="Times New Roman"/>
          <w:i/>
          <w:lang w:val="en-US"/>
        </w:rPr>
        <w:t>nirsevimab</w:t>
      </w:r>
      <w:r w:rsidRPr="00C25023">
        <w:rPr>
          <w:rFonts w:ascii="Times New Roman" w:eastAsia="Times New Roman" w:hAnsi="Times New Roman" w:cs="Times New Roman"/>
          <w:iCs/>
          <w:lang w:val="en-US"/>
        </w:rPr>
        <w:t>; and</w:t>
      </w:r>
    </w:p>
    <w:p w14:paraId="7125D3B1" w14:textId="77A4D854" w:rsidR="008619F7" w:rsidRPr="00DA4401" w:rsidRDefault="008619F7" w:rsidP="00C2072D">
      <w:pPr>
        <w:pStyle w:val="ListParagraph"/>
        <w:numPr>
          <w:ilvl w:val="0"/>
          <w:numId w:val="6"/>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C25023">
        <w:rPr>
          <w:rFonts w:ascii="Times New Roman" w:eastAsia="Calibri" w:hAnsi="Times New Roman" w:cs="Times New Roman"/>
        </w:rPr>
        <w:t>in Schedule 4 —</w:t>
      </w:r>
      <w:r w:rsidR="00E70B83" w:rsidRPr="00C25023">
        <w:rPr>
          <w:rFonts w:ascii="Times New Roman" w:eastAsia="Calibri" w:hAnsi="Times New Roman" w:cs="Times New Roman"/>
        </w:rPr>
        <w:t xml:space="preserve"> </w:t>
      </w:r>
      <w:r w:rsidR="002A6B5E" w:rsidRPr="00C25023">
        <w:rPr>
          <w:rFonts w:ascii="Times New Roman" w:eastAsia="Calibri" w:hAnsi="Times New Roman" w:cs="Times New Roman"/>
          <w:i/>
          <w:iCs/>
        </w:rPr>
        <w:t>tislelizumab</w:t>
      </w:r>
      <w:r w:rsidR="002A6B5E" w:rsidRPr="00C25023">
        <w:rPr>
          <w:rFonts w:ascii="Times New Roman" w:eastAsia="Calibri" w:hAnsi="Times New Roman" w:cs="Times New Roman"/>
        </w:rPr>
        <w:t>.</w:t>
      </w:r>
    </w:p>
    <w:p w14:paraId="0A0BFD90" w14:textId="0A9BFB6C" w:rsidR="00DA4401" w:rsidRDefault="00DA4401" w:rsidP="00DA4401">
      <w:pPr>
        <w:autoSpaceDE w:val="0"/>
        <w:autoSpaceDN w:val="0"/>
        <w:adjustRightInd w:val="0"/>
        <w:spacing w:before="20" w:after="0" w:line="240" w:lineRule="auto"/>
        <w:rPr>
          <w:rFonts w:ascii="Times New Roman" w:eastAsia="Times New Roman" w:hAnsi="Times New Roman" w:cs="Times New Roman"/>
          <w:iCs/>
          <w:lang w:val="en-US"/>
        </w:rPr>
      </w:pPr>
    </w:p>
    <w:p w14:paraId="6996F6D9" w14:textId="64A70BEA" w:rsidR="00DA4401" w:rsidRDefault="005C2652" w:rsidP="00DA4401">
      <w:pPr>
        <w:autoSpaceDE w:val="0"/>
        <w:autoSpaceDN w:val="0"/>
        <w:adjustRightInd w:val="0"/>
        <w:spacing w:before="20" w:after="0" w:line="240" w:lineRule="auto"/>
        <w:rPr>
          <w:rFonts w:ascii="Times New Roman" w:eastAsia="Times New Roman" w:hAnsi="Times New Roman" w:cs="Times New Roman"/>
          <w:iCs/>
          <w:lang w:val="en-US"/>
        </w:rPr>
      </w:pPr>
      <w:r>
        <w:rPr>
          <w:rFonts w:ascii="Times New Roman" w:eastAsia="Times New Roman" w:hAnsi="Times New Roman" w:cs="Times New Roman"/>
          <w:iCs/>
          <w:lang w:val="en-US"/>
        </w:rPr>
        <w:t>The Instrument</w:t>
      </w:r>
      <w:r w:rsidR="00DA4401">
        <w:rPr>
          <w:rFonts w:ascii="Times New Roman" w:eastAsia="Times New Roman" w:hAnsi="Times New Roman" w:cs="Times New Roman"/>
          <w:iCs/>
          <w:lang w:val="en-US"/>
        </w:rPr>
        <w:t xml:space="preserve"> also includes several changes to the </w:t>
      </w:r>
      <w:r>
        <w:rPr>
          <w:rFonts w:ascii="Times New Roman" w:eastAsia="Times New Roman" w:hAnsi="Times New Roman" w:cs="Times New Roman"/>
          <w:iCs/>
          <w:lang w:val="en-US"/>
        </w:rPr>
        <w:t xml:space="preserve">existing entries for </w:t>
      </w:r>
      <w:r w:rsidR="00DA4401">
        <w:rPr>
          <w:rFonts w:ascii="Times New Roman" w:eastAsia="Times New Roman" w:hAnsi="Times New Roman" w:cs="Times New Roman"/>
          <w:iCs/>
          <w:lang w:val="en-US"/>
        </w:rPr>
        <w:t>lead and lead compounds</w:t>
      </w:r>
      <w:r>
        <w:rPr>
          <w:rFonts w:ascii="Times New Roman" w:eastAsia="Times New Roman" w:hAnsi="Times New Roman" w:cs="Times New Roman"/>
          <w:iCs/>
          <w:lang w:val="en-US"/>
        </w:rPr>
        <w:t>,</w:t>
      </w:r>
      <w:r w:rsidR="00DA4401">
        <w:rPr>
          <w:rFonts w:ascii="Times New Roman" w:eastAsia="Times New Roman" w:hAnsi="Times New Roman" w:cs="Times New Roman"/>
          <w:iCs/>
          <w:lang w:val="en-US"/>
        </w:rPr>
        <w:t xml:space="preserve"> that were inadvertently omitted from the </w:t>
      </w:r>
      <w:r w:rsidRPr="00C25023">
        <w:rPr>
          <w:rFonts w:ascii="Times New Roman" w:eastAsia="Times New Roman" w:hAnsi="Times New Roman" w:cs="Times New Roman"/>
          <w:i/>
          <w:lang w:val="en-US"/>
        </w:rPr>
        <w:t>Therapeutic Goods (Poisons Standard</w:t>
      </w:r>
      <w:r w:rsidRPr="00C25023">
        <w:rPr>
          <w:rFonts w:ascii="Times New Roman" w:eastAsia="Times New Roman" w:hAnsi="Times New Roman" w:cs="Times New Roman"/>
          <w:lang w:val="en-US"/>
        </w:rPr>
        <w:t>—</w:t>
      </w:r>
      <w:r w:rsidRPr="00C25023">
        <w:rPr>
          <w:rFonts w:ascii="Times New Roman" w:eastAsia="Times New Roman" w:hAnsi="Times New Roman" w:cs="Times New Roman"/>
          <w:i/>
          <w:iCs/>
          <w:lang w:val="en-US"/>
        </w:rPr>
        <w:t xml:space="preserve">October </w:t>
      </w:r>
      <w:r w:rsidRPr="00C25023">
        <w:rPr>
          <w:rFonts w:ascii="Times New Roman" w:eastAsia="Times New Roman" w:hAnsi="Times New Roman" w:cs="Times New Roman"/>
          <w:i/>
          <w:lang w:val="en-US"/>
        </w:rPr>
        <w:t>2023) Instrument 2023</w:t>
      </w:r>
      <w:r w:rsidR="00DA4401">
        <w:rPr>
          <w:rFonts w:ascii="Times New Roman" w:eastAsia="Times New Roman" w:hAnsi="Times New Roman" w:cs="Times New Roman"/>
          <w:iCs/>
          <w:lang w:val="en-US"/>
        </w:rPr>
        <w:t>. These include:</w:t>
      </w:r>
    </w:p>
    <w:p w14:paraId="5F88D073" w14:textId="77777777" w:rsidR="00DA4401" w:rsidRPr="00E16972" w:rsidRDefault="00DA4401" w:rsidP="00DA4401">
      <w:pPr>
        <w:pStyle w:val="ListParagraph"/>
        <w:numPr>
          <w:ilvl w:val="0"/>
          <w:numId w:val="20"/>
        </w:numPr>
        <w:autoSpaceDE w:val="0"/>
        <w:autoSpaceDN w:val="0"/>
        <w:adjustRightInd w:val="0"/>
        <w:spacing w:before="20" w:after="0" w:line="240" w:lineRule="auto"/>
        <w:rPr>
          <w:rFonts w:ascii="Times New Roman" w:eastAsia="Times New Roman" w:hAnsi="Times New Roman" w:cs="Times New Roman"/>
          <w:iCs/>
          <w:lang w:val="en-US"/>
        </w:rPr>
      </w:pPr>
      <w:r w:rsidRPr="00E16972">
        <w:rPr>
          <w:rFonts w:ascii="Times New Roman" w:eastAsia="Times New Roman" w:hAnsi="Times New Roman" w:cs="Times New Roman"/>
          <w:iCs/>
          <w:lang w:val="en-US"/>
        </w:rPr>
        <w:t>deletion of the Schedule 4 entry for lead;</w:t>
      </w:r>
    </w:p>
    <w:p w14:paraId="1EB1C204" w14:textId="77777777" w:rsidR="00DA4401" w:rsidRPr="00E16972" w:rsidRDefault="00DA4401" w:rsidP="00DA4401">
      <w:pPr>
        <w:pStyle w:val="ListParagraph"/>
        <w:numPr>
          <w:ilvl w:val="0"/>
          <w:numId w:val="20"/>
        </w:numPr>
        <w:autoSpaceDE w:val="0"/>
        <w:autoSpaceDN w:val="0"/>
        <w:adjustRightInd w:val="0"/>
        <w:spacing w:before="20" w:after="0" w:line="240" w:lineRule="auto"/>
        <w:rPr>
          <w:rFonts w:ascii="Times New Roman" w:eastAsia="Times New Roman" w:hAnsi="Times New Roman" w:cs="Times New Roman"/>
          <w:iCs/>
          <w:lang w:val="en-US"/>
        </w:rPr>
      </w:pPr>
      <w:r w:rsidRPr="00E16972">
        <w:rPr>
          <w:rFonts w:ascii="Times New Roman" w:eastAsia="Times New Roman" w:hAnsi="Times New Roman" w:cs="Times New Roman"/>
          <w:iCs/>
          <w:lang w:val="en-US"/>
        </w:rPr>
        <w:lastRenderedPageBreak/>
        <w:t>changes to the permissible limits in the Schedule 6 entry for lead compounds in preparations for cosmetic use and graphic materials;</w:t>
      </w:r>
    </w:p>
    <w:p w14:paraId="246CDF0F" w14:textId="77777777" w:rsidR="00DA4401" w:rsidRPr="00E16972" w:rsidRDefault="00DA4401" w:rsidP="00DA4401">
      <w:pPr>
        <w:pStyle w:val="ListParagraph"/>
        <w:numPr>
          <w:ilvl w:val="0"/>
          <w:numId w:val="20"/>
        </w:numPr>
        <w:autoSpaceDE w:val="0"/>
        <w:autoSpaceDN w:val="0"/>
        <w:adjustRightInd w:val="0"/>
        <w:spacing w:before="20" w:after="0" w:line="240" w:lineRule="auto"/>
        <w:rPr>
          <w:rFonts w:ascii="Times New Roman" w:eastAsia="Times New Roman" w:hAnsi="Times New Roman" w:cs="Times New Roman"/>
          <w:iCs/>
          <w:lang w:val="en-US"/>
        </w:rPr>
      </w:pPr>
      <w:r>
        <w:rPr>
          <w:rFonts w:ascii="Times New Roman" w:eastAsia="Times New Roman" w:hAnsi="Times New Roman" w:cs="Times New Roman"/>
          <w:iCs/>
          <w:lang w:val="en-US"/>
        </w:rPr>
        <w:t xml:space="preserve">a </w:t>
      </w:r>
      <w:r w:rsidRPr="00E16972">
        <w:rPr>
          <w:rFonts w:ascii="Times New Roman" w:eastAsia="Times New Roman" w:hAnsi="Times New Roman" w:cs="Times New Roman"/>
          <w:iCs/>
          <w:lang w:val="en-US"/>
        </w:rPr>
        <w:t>change to the Schedule 10 entry to include therapeutic use of lead;</w:t>
      </w:r>
    </w:p>
    <w:p w14:paraId="7FB6007C" w14:textId="77777777" w:rsidR="00DA4401" w:rsidRPr="00E16972" w:rsidRDefault="00DA4401" w:rsidP="00DA4401">
      <w:pPr>
        <w:pStyle w:val="ListParagraph"/>
        <w:numPr>
          <w:ilvl w:val="0"/>
          <w:numId w:val="20"/>
        </w:numPr>
        <w:autoSpaceDE w:val="0"/>
        <w:autoSpaceDN w:val="0"/>
        <w:adjustRightInd w:val="0"/>
        <w:spacing w:before="20" w:after="0" w:line="240" w:lineRule="auto"/>
        <w:rPr>
          <w:rFonts w:ascii="Times New Roman" w:eastAsia="Times New Roman" w:hAnsi="Times New Roman" w:cs="Times New Roman"/>
          <w:iCs/>
          <w:lang w:val="en-US"/>
        </w:rPr>
      </w:pPr>
      <w:r w:rsidRPr="00E16972">
        <w:rPr>
          <w:rFonts w:ascii="Times New Roman" w:eastAsia="Times New Roman" w:hAnsi="Times New Roman" w:cs="Times New Roman"/>
          <w:iCs/>
          <w:lang w:val="en-US"/>
        </w:rPr>
        <w:t>update to Appendix A regarding lead in paint;</w:t>
      </w:r>
    </w:p>
    <w:p w14:paraId="043DA48A" w14:textId="77777777" w:rsidR="00DA4401" w:rsidRPr="00E16972" w:rsidRDefault="00DA4401" w:rsidP="00DA4401">
      <w:pPr>
        <w:pStyle w:val="ListParagraph"/>
        <w:numPr>
          <w:ilvl w:val="0"/>
          <w:numId w:val="20"/>
        </w:numPr>
        <w:autoSpaceDE w:val="0"/>
        <w:autoSpaceDN w:val="0"/>
        <w:adjustRightInd w:val="0"/>
        <w:spacing w:before="20" w:after="0" w:line="240" w:lineRule="auto"/>
        <w:rPr>
          <w:rFonts w:ascii="Times New Roman" w:eastAsia="Times New Roman" w:hAnsi="Times New Roman" w:cs="Times New Roman"/>
          <w:iCs/>
          <w:lang w:val="en-US"/>
        </w:rPr>
      </w:pPr>
      <w:r w:rsidRPr="00E16972">
        <w:rPr>
          <w:rFonts w:ascii="Times New Roman" w:eastAsia="Times New Roman" w:hAnsi="Times New Roman" w:cs="Times New Roman"/>
          <w:iCs/>
          <w:lang w:val="en-US"/>
        </w:rPr>
        <w:t xml:space="preserve">update to Appendix F to reflect the changes to </w:t>
      </w:r>
      <w:r>
        <w:rPr>
          <w:rFonts w:ascii="Times New Roman" w:eastAsia="Times New Roman" w:hAnsi="Times New Roman" w:cs="Times New Roman"/>
          <w:iCs/>
          <w:lang w:val="en-US"/>
        </w:rPr>
        <w:t xml:space="preserve">the </w:t>
      </w:r>
      <w:r w:rsidRPr="00E16972">
        <w:rPr>
          <w:rFonts w:ascii="Times New Roman" w:eastAsia="Times New Roman" w:hAnsi="Times New Roman" w:cs="Times New Roman"/>
          <w:iCs/>
          <w:lang w:val="en-US"/>
        </w:rPr>
        <w:t>Schedule 6</w:t>
      </w:r>
      <w:r>
        <w:rPr>
          <w:rFonts w:ascii="Times New Roman" w:eastAsia="Times New Roman" w:hAnsi="Times New Roman" w:cs="Times New Roman"/>
          <w:iCs/>
          <w:lang w:val="en-US"/>
        </w:rPr>
        <w:t xml:space="preserve"> entry</w:t>
      </w:r>
      <w:r w:rsidRPr="00E16972">
        <w:rPr>
          <w:rFonts w:ascii="Times New Roman" w:eastAsia="Times New Roman" w:hAnsi="Times New Roman" w:cs="Times New Roman"/>
          <w:iCs/>
          <w:lang w:val="en-US"/>
        </w:rPr>
        <w:t>.</w:t>
      </w:r>
    </w:p>
    <w:p w14:paraId="1D09104A" w14:textId="77777777" w:rsidR="00DA4401" w:rsidRPr="00DA4401" w:rsidRDefault="00DA4401" w:rsidP="00DA4401">
      <w:pPr>
        <w:autoSpaceDE w:val="0"/>
        <w:autoSpaceDN w:val="0"/>
        <w:adjustRightInd w:val="0"/>
        <w:spacing w:before="20" w:after="0" w:line="240" w:lineRule="auto"/>
        <w:rPr>
          <w:rFonts w:ascii="Times New Roman" w:eastAsia="Times New Roman" w:hAnsi="Times New Roman" w:cs="Times New Roman"/>
          <w:iCs/>
          <w:lang w:val="en-US"/>
        </w:rPr>
      </w:pPr>
    </w:p>
    <w:p w14:paraId="1B893972" w14:textId="77777777" w:rsidR="003A081C" w:rsidRPr="00C25023" w:rsidRDefault="003A081C" w:rsidP="00940ECC">
      <w:pPr>
        <w:keepNext/>
        <w:keepLines/>
        <w:autoSpaceDE w:val="0"/>
        <w:autoSpaceDN w:val="0"/>
        <w:adjustRightInd w:val="0"/>
        <w:spacing w:after="0" w:line="240" w:lineRule="auto"/>
        <w:rPr>
          <w:rFonts w:ascii="Times New Roman" w:eastAsia="Calibri" w:hAnsi="Times New Roman" w:cs="Times New Roman"/>
          <w:b/>
          <w:bCs/>
          <w:color w:val="000000"/>
        </w:rPr>
      </w:pPr>
      <w:r w:rsidRPr="00C25023">
        <w:rPr>
          <w:rFonts w:ascii="Times New Roman" w:eastAsia="Calibri" w:hAnsi="Times New Roman" w:cs="Times New Roman"/>
          <w:b/>
          <w:bCs/>
          <w:color w:val="000000"/>
        </w:rPr>
        <w:t>Background</w:t>
      </w:r>
    </w:p>
    <w:p w14:paraId="7A6D89E0" w14:textId="77777777" w:rsidR="003A081C" w:rsidRPr="00C25023" w:rsidRDefault="003A081C" w:rsidP="00940ECC">
      <w:pPr>
        <w:keepNext/>
        <w:keepLines/>
        <w:autoSpaceDE w:val="0"/>
        <w:autoSpaceDN w:val="0"/>
        <w:adjustRightInd w:val="0"/>
        <w:spacing w:after="0" w:line="240" w:lineRule="auto"/>
        <w:rPr>
          <w:rFonts w:ascii="Times New Roman" w:eastAsia="Calibri" w:hAnsi="Times New Roman" w:cs="Times New Roman"/>
          <w:color w:val="000000"/>
        </w:rPr>
      </w:pPr>
    </w:p>
    <w:p w14:paraId="574F50CF" w14:textId="49967259" w:rsidR="003A081C" w:rsidRPr="00C25023" w:rsidRDefault="003A081C" w:rsidP="00940ECC">
      <w:pPr>
        <w:keepNext/>
        <w:keepLines/>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 These decisions are published on the TGA website.</w:t>
      </w:r>
    </w:p>
    <w:p w14:paraId="7DB1575E" w14:textId="77777777" w:rsidR="002443A7" w:rsidRPr="00C25023" w:rsidRDefault="002443A7" w:rsidP="003A081C">
      <w:pPr>
        <w:autoSpaceDE w:val="0"/>
        <w:autoSpaceDN w:val="0"/>
        <w:adjustRightInd w:val="0"/>
        <w:spacing w:after="0" w:line="240" w:lineRule="auto"/>
        <w:rPr>
          <w:rFonts w:ascii="Times New Roman" w:eastAsia="Calibri" w:hAnsi="Times New Roman" w:cs="Times New Roman"/>
          <w:color w:val="000000"/>
        </w:rPr>
      </w:pPr>
    </w:p>
    <w:p w14:paraId="474EB13D" w14:textId="530EE699" w:rsidR="003A081C" w:rsidRPr="00C25023" w:rsidRDefault="003A081C" w:rsidP="00940EC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The Act establishes two expert advisory committees, the Advisory Committee on Medicines Scheduling (“the ACMS”) (section 52B of the Act refers) and the Advisory Committee on Chemicals Scheduling (“the ACCS”) (section 52C of the Act refers), which provide advice and make recommendations to the Secretary on matters relating to medicines and chemicals scheduling decisions.</w:t>
      </w:r>
    </w:p>
    <w:p w14:paraId="30F240A9" w14:textId="77777777" w:rsidR="003A081C" w:rsidRPr="00C25023" w:rsidRDefault="003A081C" w:rsidP="002B61EB">
      <w:pPr>
        <w:autoSpaceDE w:val="0"/>
        <w:autoSpaceDN w:val="0"/>
        <w:adjustRightInd w:val="0"/>
        <w:spacing w:after="0" w:line="240" w:lineRule="auto"/>
        <w:rPr>
          <w:rFonts w:ascii="Times New Roman" w:eastAsia="Calibri" w:hAnsi="Times New Roman" w:cs="Times New Roman"/>
          <w:color w:val="000000"/>
        </w:rPr>
      </w:pPr>
    </w:p>
    <w:p w14:paraId="58A76285" w14:textId="6A1F4C78" w:rsidR="003A081C" w:rsidRPr="00C25023" w:rsidRDefault="003A081C" w:rsidP="002B61EB">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 xml:space="preserve">The Scheduling Policy Framework (“the SPF”) provides guidance on whether a decision concerning the scheduling of substances would benefit from being referred to ACMS or ACCS for advice. A copy of the SPF can be found at: </w:t>
      </w:r>
      <w:r w:rsidR="009E0C8B" w:rsidRPr="00C25023">
        <w:rPr>
          <w:rFonts w:ascii="Times New Roman" w:eastAsia="Calibri" w:hAnsi="Times New Roman" w:cs="Times New Roman"/>
        </w:rPr>
        <w:t>www.tga</w:t>
      </w:r>
      <w:r w:rsidRPr="00C25023">
        <w:rPr>
          <w:rFonts w:ascii="Times New Roman" w:eastAsia="Calibri" w:hAnsi="Times New Roman" w:cs="Times New Roman"/>
        </w:rPr>
        <w:t>.gov.au/publication/ahmac-scheduling-policy-framework-medicines-and-chemicals</w:t>
      </w:r>
      <w:r w:rsidRPr="00C25023">
        <w:rPr>
          <w:rFonts w:ascii="Times New Roman" w:eastAsia="Calibri" w:hAnsi="Times New Roman" w:cs="Times New Roman"/>
          <w:color w:val="000000"/>
        </w:rPr>
        <w:t>.</w:t>
      </w:r>
    </w:p>
    <w:p w14:paraId="287B5AF7"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1F5D769F"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The Schedules to the Poisons Standard are incorporated by reference in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w:t>
      </w:r>
    </w:p>
    <w:p w14:paraId="5F9C70C6"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0F9F52EB" w14:textId="2BFADD2F"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Similarly, the Commonwealth utilises the scheduling and classification of substances in the current Poisons Standard for some regulatory and enforcement purposes under the Act. For example, the Act prohibits the publication or broadcasting of advertisements to consumers about prescription medicines containing substances included in Schedule 4 or Schedule 8 to the current Poisons Standard, or over-the-counter medicines containing substances included in Schedule 3 and not included in Appendix H of the current Poisons Standard. The advertising of substances included in Schedule 9 or Schedule 10 to the</w:t>
      </w:r>
      <w:r w:rsidR="00B352B9" w:rsidRPr="00C25023">
        <w:rPr>
          <w:rFonts w:ascii="Times New Roman" w:eastAsia="Calibri" w:hAnsi="Times New Roman" w:cs="Times New Roman"/>
          <w:color w:val="000000"/>
        </w:rPr>
        <w:t xml:space="preserve"> current</w:t>
      </w:r>
      <w:r w:rsidRPr="00C25023">
        <w:rPr>
          <w:rFonts w:ascii="Times New Roman" w:eastAsia="Calibri" w:hAnsi="Times New Roman" w:cs="Times New Roman"/>
          <w:color w:val="000000"/>
        </w:rPr>
        <w:t xml:space="preserve"> Poisons Standard is also prohibited.</w:t>
      </w:r>
    </w:p>
    <w:p w14:paraId="6E3CC5EE"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2C821D05" w14:textId="77777777" w:rsidR="003A081C" w:rsidRPr="00C25023" w:rsidDel="00590E00" w:rsidRDefault="003A081C" w:rsidP="0025499A">
      <w:pPr>
        <w:keepNext/>
        <w:keepLines/>
        <w:autoSpaceDE w:val="0"/>
        <w:autoSpaceDN w:val="0"/>
        <w:adjustRightInd w:val="0"/>
        <w:spacing w:after="0" w:line="240" w:lineRule="auto"/>
        <w:rPr>
          <w:rFonts w:ascii="Times New Roman" w:eastAsia="Calibri" w:hAnsi="Times New Roman" w:cs="Times New Roman"/>
          <w:b/>
          <w:bCs/>
          <w:color w:val="000000"/>
        </w:rPr>
      </w:pPr>
      <w:r w:rsidRPr="00C25023">
        <w:rPr>
          <w:rFonts w:ascii="Times New Roman" w:eastAsia="Calibri" w:hAnsi="Times New Roman" w:cs="Times New Roman"/>
          <w:b/>
          <w:bCs/>
          <w:color w:val="000000"/>
        </w:rPr>
        <w:t>Purpose</w:t>
      </w:r>
    </w:p>
    <w:p w14:paraId="16A00F7A" w14:textId="77777777" w:rsidR="003A081C" w:rsidRPr="00C25023" w:rsidRDefault="003A081C" w:rsidP="0025499A">
      <w:pPr>
        <w:keepNext/>
        <w:autoSpaceDE w:val="0"/>
        <w:autoSpaceDN w:val="0"/>
        <w:adjustRightInd w:val="0"/>
        <w:spacing w:after="0" w:line="240" w:lineRule="auto"/>
        <w:rPr>
          <w:rFonts w:ascii="Times New Roman" w:eastAsia="Calibri" w:hAnsi="Times New Roman" w:cs="Times New Roman"/>
          <w:color w:val="000000"/>
        </w:rPr>
      </w:pPr>
    </w:p>
    <w:p w14:paraId="157E79D0" w14:textId="4FCE877E" w:rsidR="003A081C" w:rsidRPr="00C25023" w:rsidRDefault="003A081C" w:rsidP="003A081C">
      <w:pPr>
        <w:spacing w:after="0" w:line="240" w:lineRule="auto"/>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The Instrument incorporates changes to </w:t>
      </w:r>
      <w:r w:rsidR="00557C2B" w:rsidRPr="00C25023">
        <w:rPr>
          <w:rFonts w:ascii="Times New Roman" w:eastAsia="Times New Roman" w:hAnsi="Times New Roman" w:cs="Times New Roman"/>
          <w:iCs/>
          <w:lang w:val="en-US"/>
        </w:rPr>
        <w:t>several</w:t>
      </w:r>
      <w:r w:rsidR="009E0C8B"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Cs/>
          <w:lang w:val="en-US"/>
        </w:rPr>
        <w:t xml:space="preserve">existing entries in the </w:t>
      </w:r>
      <w:r w:rsidR="00940ECC" w:rsidRPr="00C25023">
        <w:rPr>
          <w:rFonts w:ascii="Times New Roman" w:eastAsia="Times New Roman" w:hAnsi="Times New Roman" w:cs="Times New Roman"/>
          <w:iCs/>
          <w:lang w:val="en-US"/>
        </w:rPr>
        <w:t>current Poisons Standard</w:t>
      </w:r>
      <w:r w:rsidR="008D07B2" w:rsidRPr="00C25023">
        <w:rPr>
          <w:rFonts w:ascii="Times New Roman" w:eastAsia="Times New Roman" w:hAnsi="Times New Roman" w:cs="Times New Roman"/>
          <w:iCs/>
          <w:lang w:val="en-US"/>
        </w:rPr>
        <w:t xml:space="preserve"> </w:t>
      </w:r>
      <w:r w:rsidR="006C36CE" w:rsidRPr="00C25023">
        <w:rPr>
          <w:rFonts w:ascii="Times New Roman" w:eastAsia="Times New Roman" w:hAnsi="Times New Roman" w:cs="Times New Roman"/>
          <w:iCs/>
          <w:lang w:val="en-US"/>
        </w:rPr>
        <w:t>and</w:t>
      </w:r>
      <w:r w:rsidRPr="00C25023">
        <w:rPr>
          <w:rFonts w:ascii="Times New Roman" w:eastAsia="Times New Roman" w:hAnsi="Times New Roman" w:cs="Times New Roman"/>
          <w:iCs/>
          <w:lang w:val="en-US"/>
        </w:rPr>
        <w:t xml:space="preserve"> </w:t>
      </w:r>
      <w:r w:rsidR="00307714" w:rsidRPr="00C25023">
        <w:rPr>
          <w:rFonts w:ascii="Times New Roman" w:eastAsia="Times New Roman" w:hAnsi="Times New Roman" w:cs="Times New Roman"/>
          <w:iCs/>
          <w:lang w:val="en-US"/>
        </w:rPr>
        <w:t>provides for the inclusion of a number of specified</w:t>
      </w:r>
      <w:r w:rsidRPr="00C25023">
        <w:rPr>
          <w:rFonts w:ascii="Times New Roman" w:eastAsia="Times New Roman" w:hAnsi="Times New Roman" w:cs="Times New Roman"/>
          <w:iCs/>
          <w:lang w:val="en-US"/>
        </w:rPr>
        <w:t xml:space="preserve"> substances in the current Poisons Standard for the first time. </w:t>
      </w:r>
      <w:r w:rsidR="005B011B" w:rsidRPr="00C25023">
        <w:rPr>
          <w:rFonts w:ascii="Times New Roman" w:eastAsia="Calibri" w:hAnsi="Times New Roman" w:cs="Times New Roman"/>
        </w:rPr>
        <w:t xml:space="preserve">Some of these changes </w:t>
      </w:r>
      <w:r w:rsidR="009346BA" w:rsidRPr="00C25023">
        <w:rPr>
          <w:rFonts w:ascii="Times New Roman" w:eastAsia="Calibri" w:hAnsi="Times New Roman" w:cs="Times New Roman"/>
        </w:rPr>
        <w:t>are</w:t>
      </w:r>
      <w:r w:rsidR="005B011B" w:rsidRPr="00C25023">
        <w:rPr>
          <w:rFonts w:ascii="Times New Roman" w:eastAsia="Calibri" w:hAnsi="Times New Roman" w:cs="Times New Roman"/>
        </w:rPr>
        <w:t xml:space="preserve"> made following the provision of advice from the ACMS or the ACCS, in accordance with the procedures set out in Subdivision 3D.2 of Part 6 of the </w:t>
      </w:r>
      <w:r w:rsidR="005B011B" w:rsidRPr="00C25023">
        <w:rPr>
          <w:rFonts w:ascii="Times New Roman" w:eastAsia="Calibri" w:hAnsi="Times New Roman" w:cs="Times New Roman"/>
          <w:i/>
        </w:rPr>
        <w:t>Therapeutic Goods Regulations 1990</w:t>
      </w:r>
      <w:r w:rsidR="005B011B" w:rsidRPr="00C25023">
        <w:rPr>
          <w:rFonts w:ascii="Times New Roman" w:eastAsia="Calibri" w:hAnsi="Times New Roman" w:cs="Times New Roman"/>
          <w:iCs/>
        </w:rPr>
        <w:t xml:space="preserve"> (“the Regulations”)</w:t>
      </w:r>
      <w:r w:rsidR="005B011B" w:rsidRPr="00C25023">
        <w:rPr>
          <w:rFonts w:ascii="Times New Roman" w:eastAsia="Calibri" w:hAnsi="Times New Roman" w:cs="Times New Roman"/>
        </w:rPr>
        <w:t xml:space="preserve"> for amending the Poisons Standard when a proposed amendment is referred to an expert advisory committee. Other </w:t>
      </w:r>
      <w:r w:rsidR="00CC5A57" w:rsidRPr="00C25023">
        <w:rPr>
          <w:rFonts w:ascii="Times New Roman" w:eastAsia="Calibri" w:hAnsi="Times New Roman" w:cs="Times New Roman"/>
        </w:rPr>
        <w:t>changes</w:t>
      </w:r>
      <w:r w:rsidR="005B011B" w:rsidRPr="00C25023">
        <w:rPr>
          <w:rFonts w:ascii="Times New Roman" w:eastAsia="Calibri" w:hAnsi="Times New Roman" w:cs="Times New Roman"/>
        </w:rPr>
        <w:t xml:space="preserve"> are made </w:t>
      </w:r>
      <w:r w:rsidR="00F62803" w:rsidRPr="00C25023">
        <w:rPr>
          <w:rFonts w:ascii="Times New Roman" w:eastAsia="Calibri" w:hAnsi="Times New Roman" w:cs="Times New Roman"/>
        </w:rPr>
        <w:t>following</w:t>
      </w:r>
      <w:r w:rsidR="005B011B" w:rsidRPr="00C25023">
        <w:rPr>
          <w:rFonts w:ascii="Times New Roman" w:eastAsia="Calibri" w:hAnsi="Times New Roman" w:cs="Times New Roman"/>
        </w:rPr>
        <w:t xml:space="preserve"> a delegate-only-decision.</w:t>
      </w:r>
    </w:p>
    <w:p w14:paraId="158A76A3" w14:textId="77777777" w:rsidR="004C1208" w:rsidRPr="00C25023" w:rsidRDefault="004C1208" w:rsidP="004C1208">
      <w:pPr>
        <w:keepNext/>
        <w:autoSpaceDE w:val="0"/>
        <w:autoSpaceDN w:val="0"/>
        <w:adjustRightInd w:val="0"/>
        <w:spacing w:after="0" w:line="240" w:lineRule="auto"/>
        <w:rPr>
          <w:rFonts w:ascii="Times New Roman" w:eastAsia="Calibri" w:hAnsi="Times New Roman" w:cs="Times New Roman"/>
          <w:color w:val="000000"/>
        </w:rPr>
      </w:pPr>
    </w:p>
    <w:p w14:paraId="4476FFE6" w14:textId="4130CE55" w:rsidR="0080330A" w:rsidRPr="00C25023" w:rsidRDefault="003A081C" w:rsidP="003A081C">
      <w:pPr>
        <w:spacing w:after="0" w:line="240" w:lineRule="auto"/>
        <w:rPr>
          <w:rFonts w:ascii="Times New Roman" w:eastAsia="Calibri" w:hAnsi="Times New Roman" w:cs="Times New Roman"/>
        </w:rPr>
      </w:pPr>
      <w:r w:rsidRPr="00C25023">
        <w:rPr>
          <w:rFonts w:ascii="Times New Roman" w:eastAsia="Calibri" w:hAnsi="Times New Roman" w:cs="Times New Roman"/>
          <w:i/>
          <w:iCs/>
        </w:rPr>
        <w:t>New schedule entries</w:t>
      </w:r>
    </w:p>
    <w:p w14:paraId="02FE88EC" w14:textId="77777777" w:rsidR="0080330A" w:rsidRPr="00FB38E8" w:rsidRDefault="0080330A" w:rsidP="003A081C">
      <w:pPr>
        <w:spacing w:after="0" w:line="240" w:lineRule="auto"/>
        <w:rPr>
          <w:rFonts w:ascii="Times New Roman" w:eastAsia="Calibri" w:hAnsi="Times New Roman" w:cs="Times New Roman"/>
        </w:rPr>
      </w:pPr>
    </w:p>
    <w:p w14:paraId="08C2A2B0" w14:textId="4237449C" w:rsidR="009C5E40" w:rsidRPr="00C25023" w:rsidRDefault="006170ED" w:rsidP="002B61EB">
      <w:pPr>
        <w:keepNext/>
        <w:spacing w:after="0" w:line="240" w:lineRule="auto"/>
        <w:rPr>
          <w:rFonts w:ascii="Times New Roman" w:eastAsia="Calibri" w:hAnsi="Times New Roman" w:cs="Times New Roman"/>
        </w:rPr>
      </w:pPr>
      <w:r w:rsidRPr="00C25023">
        <w:rPr>
          <w:rFonts w:ascii="Times New Roman" w:eastAsia="Calibri" w:hAnsi="Times New Roman" w:cs="Times New Roman"/>
        </w:rPr>
        <w:t xml:space="preserve">The Instrument incorporates </w:t>
      </w:r>
      <w:r w:rsidR="005E6A63" w:rsidRPr="00C25023">
        <w:rPr>
          <w:rFonts w:ascii="Times New Roman" w:eastAsia="Calibri" w:hAnsi="Times New Roman" w:cs="Times New Roman"/>
        </w:rPr>
        <w:t>entries</w:t>
      </w:r>
      <w:r w:rsidRPr="00C25023">
        <w:rPr>
          <w:rFonts w:ascii="Times New Roman" w:eastAsia="Calibri" w:hAnsi="Times New Roman" w:cs="Times New Roman"/>
        </w:rPr>
        <w:t xml:space="preserve"> in the current Poisons Standard for </w:t>
      </w:r>
      <w:r w:rsidR="00A362EE">
        <w:rPr>
          <w:rFonts w:ascii="Times New Roman" w:eastAsia="Calibri" w:hAnsi="Times New Roman" w:cs="Times New Roman"/>
        </w:rPr>
        <w:t>three</w:t>
      </w:r>
      <w:r w:rsidR="00A362EE" w:rsidRPr="00C25023">
        <w:rPr>
          <w:rFonts w:ascii="Times New Roman" w:eastAsia="Calibri" w:hAnsi="Times New Roman" w:cs="Times New Roman"/>
        </w:rPr>
        <w:t xml:space="preserve"> </w:t>
      </w:r>
      <w:r w:rsidRPr="00C25023">
        <w:rPr>
          <w:rFonts w:ascii="Times New Roman" w:eastAsia="Calibri" w:hAnsi="Times New Roman" w:cs="Times New Roman"/>
        </w:rPr>
        <w:t>new chemical enti</w:t>
      </w:r>
      <w:r w:rsidR="001D2C34" w:rsidRPr="00C25023">
        <w:rPr>
          <w:rFonts w:ascii="Times New Roman" w:eastAsia="Calibri" w:hAnsi="Times New Roman" w:cs="Times New Roman"/>
        </w:rPr>
        <w:t>t</w:t>
      </w:r>
      <w:r w:rsidR="005E6A63" w:rsidRPr="00C25023">
        <w:rPr>
          <w:rFonts w:ascii="Times New Roman" w:eastAsia="Calibri" w:hAnsi="Times New Roman" w:cs="Times New Roman"/>
        </w:rPr>
        <w:t>ies</w:t>
      </w:r>
      <w:r w:rsidR="009031F1" w:rsidRPr="00C25023">
        <w:rPr>
          <w:rFonts w:ascii="Times New Roman" w:eastAsia="Calibri" w:hAnsi="Times New Roman" w:cs="Times New Roman"/>
        </w:rPr>
        <w:t xml:space="preserve"> </w:t>
      </w:r>
      <w:r w:rsidR="00772E47" w:rsidRPr="00C25023">
        <w:rPr>
          <w:rFonts w:ascii="Times New Roman" w:eastAsia="Calibri" w:hAnsi="Times New Roman" w:cs="Times New Roman"/>
        </w:rPr>
        <w:t>in</w:t>
      </w:r>
      <w:r w:rsidR="00AE1402" w:rsidRPr="00C25023">
        <w:rPr>
          <w:rFonts w:ascii="Times New Roman" w:eastAsia="Calibri" w:hAnsi="Times New Roman" w:cs="Times New Roman"/>
        </w:rPr>
        <w:t xml:space="preserve"> </w:t>
      </w:r>
      <w:r w:rsidR="00214C13" w:rsidRPr="00C25023">
        <w:rPr>
          <w:rFonts w:ascii="Times New Roman" w:eastAsia="Calibri" w:hAnsi="Times New Roman" w:cs="Times New Roman"/>
        </w:rPr>
        <w:t>Schedule 4 (</w:t>
      </w:r>
      <w:r w:rsidR="007E1B02" w:rsidRPr="00C25023">
        <w:rPr>
          <w:rFonts w:ascii="Times New Roman" w:eastAsia="Calibri" w:hAnsi="Times New Roman" w:cs="Times New Roman"/>
        </w:rPr>
        <w:t>“</w:t>
      </w:r>
      <w:r w:rsidR="00214C13" w:rsidRPr="00C25023">
        <w:rPr>
          <w:rFonts w:ascii="Times New Roman" w:eastAsia="Calibri" w:hAnsi="Times New Roman" w:cs="Times New Roman"/>
        </w:rPr>
        <w:t>prescription-only medicines”)</w:t>
      </w:r>
      <w:r w:rsidR="00AE1402" w:rsidRPr="00C25023">
        <w:rPr>
          <w:rFonts w:ascii="Times New Roman" w:eastAsia="Calibri" w:hAnsi="Times New Roman" w:cs="Times New Roman"/>
        </w:rPr>
        <w:t>:</w:t>
      </w:r>
    </w:p>
    <w:p w14:paraId="7505CA5A" w14:textId="77777777" w:rsidR="00A362EE" w:rsidRDefault="005E6A63" w:rsidP="00002DC3">
      <w:pPr>
        <w:pStyle w:val="ListParagraph"/>
        <w:numPr>
          <w:ilvl w:val="0"/>
          <w:numId w:val="1"/>
        </w:numPr>
        <w:spacing w:before="20" w:after="0"/>
        <w:ind w:left="714" w:hanging="357"/>
        <w:contextualSpacing w:val="0"/>
        <w:rPr>
          <w:rFonts w:ascii="Times New Roman" w:eastAsia="Calibri" w:hAnsi="Times New Roman" w:cs="Times New Roman"/>
        </w:rPr>
      </w:pPr>
      <w:r w:rsidRPr="00C25023">
        <w:rPr>
          <w:rFonts w:ascii="Times New Roman" w:eastAsia="Calibri" w:hAnsi="Times New Roman" w:cs="Times New Roman"/>
          <w:i/>
          <w:iCs/>
        </w:rPr>
        <w:t>nirsevimab</w:t>
      </w:r>
      <w:r w:rsidRPr="00C25023">
        <w:rPr>
          <w:rFonts w:ascii="Times New Roman" w:eastAsia="Calibri" w:hAnsi="Times New Roman" w:cs="Times New Roman"/>
        </w:rPr>
        <w:t xml:space="preserve">; </w:t>
      </w:r>
    </w:p>
    <w:p w14:paraId="0B5CB435" w14:textId="699650AE" w:rsidR="005E6A63" w:rsidRPr="00C25023" w:rsidRDefault="00A362EE" w:rsidP="00002DC3">
      <w:pPr>
        <w:pStyle w:val="ListParagraph"/>
        <w:numPr>
          <w:ilvl w:val="0"/>
          <w:numId w:val="1"/>
        </w:numPr>
        <w:spacing w:before="20" w:after="0"/>
        <w:ind w:left="714" w:hanging="357"/>
        <w:contextualSpacing w:val="0"/>
        <w:rPr>
          <w:rFonts w:ascii="Times New Roman" w:eastAsia="Calibri" w:hAnsi="Times New Roman" w:cs="Times New Roman"/>
        </w:rPr>
      </w:pPr>
      <w:r w:rsidRPr="00C25023">
        <w:rPr>
          <w:rFonts w:ascii="Times New Roman" w:eastAsia="Times New Roman" w:hAnsi="Times New Roman" w:cs="Times New Roman"/>
          <w:i/>
          <w:lang w:val="en-US"/>
        </w:rPr>
        <w:lastRenderedPageBreak/>
        <w:t>palovarotene</w:t>
      </w:r>
      <w:r w:rsidRPr="00C25023">
        <w:rPr>
          <w:rFonts w:ascii="Times New Roman" w:eastAsia="Times New Roman" w:hAnsi="Times New Roman" w:cs="Times New Roman"/>
          <w:iCs/>
          <w:lang w:val="en-US"/>
        </w:rPr>
        <w:t xml:space="preserve"> (which is also </w:t>
      </w:r>
      <w:r w:rsidRPr="00C25023">
        <w:rPr>
          <w:rFonts w:ascii="Times New Roman" w:eastAsia="Calibri" w:hAnsi="Times New Roman" w:cs="Times New Roman"/>
        </w:rPr>
        <w:t>included in clause 4 of Appendix F, and clause 2 in Appendix L);</w:t>
      </w:r>
      <w:r>
        <w:rPr>
          <w:rFonts w:ascii="Times New Roman" w:eastAsia="Calibri" w:hAnsi="Times New Roman" w:cs="Times New Roman"/>
        </w:rPr>
        <w:t xml:space="preserve"> </w:t>
      </w:r>
      <w:r w:rsidR="005E6A63" w:rsidRPr="00C25023">
        <w:rPr>
          <w:rFonts w:ascii="Times New Roman" w:eastAsia="Calibri" w:hAnsi="Times New Roman" w:cs="Times New Roman"/>
        </w:rPr>
        <w:t>and</w:t>
      </w:r>
    </w:p>
    <w:p w14:paraId="7456DE03" w14:textId="10905013" w:rsidR="00F33661" w:rsidRPr="00C25023" w:rsidRDefault="001D2C34" w:rsidP="00940ECC">
      <w:pPr>
        <w:pStyle w:val="ListParagraph"/>
        <w:numPr>
          <w:ilvl w:val="0"/>
          <w:numId w:val="1"/>
        </w:numPr>
        <w:spacing w:before="20" w:after="0"/>
        <w:ind w:left="714" w:hanging="357"/>
        <w:contextualSpacing w:val="0"/>
        <w:rPr>
          <w:rFonts w:ascii="Times New Roman" w:eastAsia="Calibri" w:hAnsi="Times New Roman" w:cs="Times New Roman"/>
        </w:rPr>
      </w:pPr>
      <w:r w:rsidRPr="00C25023">
        <w:rPr>
          <w:rFonts w:ascii="Times New Roman" w:eastAsia="Calibri" w:hAnsi="Times New Roman" w:cs="Times New Roman"/>
          <w:i/>
          <w:iCs/>
        </w:rPr>
        <w:t>tislelizumab.</w:t>
      </w:r>
    </w:p>
    <w:p w14:paraId="40E15400" w14:textId="77777777" w:rsidR="00214C13" w:rsidRPr="00FB38E8" w:rsidRDefault="00214C13" w:rsidP="00FB38E8">
      <w:pPr>
        <w:spacing w:before="40" w:after="0"/>
        <w:rPr>
          <w:rFonts w:ascii="Times New Roman" w:eastAsia="Calibri" w:hAnsi="Times New Roman" w:cs="Times New Roman"/>
        </w:rPr>
      </w:pPr>
    </w:p>
    <w:p w14:paraId="20924693" w14:textId="61C1FF1E" w:rsidR="00D40420" w:rsidRPr="00C25023" w:rsidRDefault="00322948" w:rsidP="00940ECC">
      <w:pPr>
        <w:spacing w:after="0"/>
        <w:rPr>
          <w:rFonts w:ascii="Times New Roman" w:eastAsia="Calibri" w:hAnsi="Times New Roman" w:cs="Times New Roman"/>
        </w:rPr>
      </w:pPr>
      <w:r w:rsidRPr="00C25023">
        <w:rPr>
          <w:rFonts w:ascii="Times New Roman" w:eastAsia="Calibri" w:hAnsi="Times New Roman" w:cs="Times New Roman"/>
        </w:rPr>
        <w:t xml:space="preserve">In addition, </w:t>
      </w:r>
      <w:r w:rsidR="00D40420" w:rsidRPr="00C25023">
        <w:rPr>
          <w:rFonts w:ascii="Times New Roman" w:eastAsia="Calibri" w:hAnsi="Times New Roman" w:cs="Times New Roman"/>
        </w:rPr>
        <w:t>the Instrument provides for the inclusion of entr</w:t>
      </w:r>
      <w:r w:rsidR="00030D9F" w:rsidRPr="00C25023">
        <w:rPr>
          <w:rFonts w:ascii="Times New Roman" w:eastAsia="Calibri" w:hAnsi="Times New Roman" w:cs="Times New Roman"/>
        </w:rPr>
        <w:t>ies</w:t>
      </w:r>
      <w:r w:rsidR="00D40420" w:rsidRPr="00C25023">
        <w:rPr>
          <w:rFonts w:ascii="Times New Roman" w:eastAsia="Calibri" w:hAnsi="Times New Roman" w:cs="Times New Roman"/>
        </w:rPr>
        <w:t xml:space="preserve"> in the current Poisons Standard for:</w:t>
      </w:r>
    </w:p>
    <w:p w14:paraId="7AAE9BAC" w14:textId="7640BA02" w:rsidR="0041243C" w:rsidRPr="00C25023" w:rsidRDefault="002466A5">
      <w:pPr>
        <w:pStyle w:val="ListParagraph"/>
        <w:numPr>
          <w:ilvl w:val="0"/>
          <w:numId w:val="14"/>
        </w:numPr>
        <w:spacing w:before="20" w:after="0"/>
        <w:ind w:left="714" w:hanging="357"/>
        <w:contextualSpacing w:val="0"/>
        <w:rPr>
          <w:rFonts w:ascii="Times New Roman" w:eastAsia="Calibri" w:hAnsi="Times New Roman" w:cs="Times New Roman"/>
        </w:rPr>
      </w:pPr>
      <w:r w:rsidRPr="00C25023">
        <w:rPr>
          <w:rFonts w:ascii="Times New Roman" w:eastAsia="Calibri" w:hAnsi="Times New Roman" w:cs="Times New Roman"/>
        </w:rPr>
        <w:t xml:space="preserve">in Schedule </w:t>
      </w:r>
      <w:r w:rsidR="007A765E" w:rsidRPr="00C25023">
        <w:rPr>
          <w:rFonts w:ascii="Times New Roman" w:eastAsia="Calibri" w:hAnsi="Times New Roman" w:cs="Times New Roman"/>
        </w:rPr>
        <w:t>9</w:t>
      </w:r>
      <w:r w:rsidRPr="00C25023">
        <w:rPr>
          <w:rFonts w:ascii="Times New Roman" w:eastAsia="Calibri" w:hAnsi="Times New Roman" w:cs="Times New Roman"/>
        </w:rPr>
        <w:t xml:space="preserve"> — </w:t>
      </w:r>
      <w:r w:rsidR="0041243C" w:rsidRPr="00C25023">
        <w:rPr>
          <w:rFonts w:ascii="Times New Roman" w:eastAsia="Calibri" w:hAnsi="Times New Roman" w:cs="Times New Roman"/>
          <w:i/>
          <w:iCs/>
        </w:rPr>
        <w:t>ibotenic acid</w:t>
      </w:r>
      <w:r w:rsidRPr="00C25023">
        <w:rPr>
          <w:rFonts w:ascii="Times New Roman" w:eastAsia="Calibri" w:hAnsi="Times New Roman" w:cs="Times New Roman"/>
        </w:rPr>
        <w:t xml:space="preserve">, </w:t>
      </w:r>
      <w:r w:rsidR="0041243C" w:rsidRPr="00C25023">
        <w:rPr>
          <w:rFonts w:ascii="Times New Roman" w:eastAsia="Calibri" w:hAnsi="Times New Roman" w:cs="Times New Roman"/>
        </w:rPr>
        <w:t>meaning that</w:t>
      </w:r>
      <w:r w:rsidR="00940ECC" w:rsidRPr="00C25023">
        <w:rPr>
          <w:rFonts w:ascii="Times New Roman" w:hAnsi="Times New Roman" w:cs="Times New Roman"/>
          <w:color w:val="000000"/>
          <w:shd w:val="clear" w:color="auto" w:fill="FFFFFF"/>
        </w:rPr>
        <w:t xml:space="preserve"> </w:t>
      </w:r>
      <w:r w:rsidR="0041243C" w:rsidRPr="00C25023">
        <w:rPr>
          <w:rFonts w:ascii="Times New Roman" w:eastAsia="Calibri" w:hAnsi="Times New Roman" w:cs="Times New Roman"/>
        </w:rPr>
        <w:t>the manufacture, possession, supply or use of this substance is prohibited by law except when required for medical or scientific research, or for analytical, teaching or training purposes with approval of Commonwealth and/or State or Territory Health Authorities</w:t>
      </w:r>
      <w:r w:rsidR="00FF1B15" w:rsidRPr="00C25023">
        <w:rPr>
          <w:rFonts w:ascii="Times New Roman" w:eastAsia="Calibri" w:hAnsi="Times New Roman" w:cs="Times New Roman"/>
        </w:rPr>
        <w:t>;</w:t>
      </w:r>
    </w:p>
    <w:p w14:paraId="3F5F503B" w14:textId="54E49780" w:rsidR="00030D9F" w:rsidRPr="00C25023" w:rsidRDefault="006C02D0">
      <w:pPr>
        <w:pStyle w:val="ListParagraph"/>
        <w:numPr>
          <w:ilvl w:val="0"/>
          <w:numId w:val="14"/>
        </w:numPr>
        <w:spacing w:before="20" w:after="0"/>
        <w:ind w:left="714" w:hanging="357"/>
        <w:contextualSpacing w:val="0"/>
        <w:rPr>
          <w:rFonts w:ascii="Times New Roman" w:eastAsia="Calibri" w:hAnsi="Times New Roman" w:cs="Times New Roman"/>
        </w:rPr>
      </w:pPr>
      <w:r w:rsidRPr="00C25023">
        <w:rPr>
          <w:rFonts w:ascii="Times New Roman" w:eastAsia="Calibri" w:hAnsi="Times New Roman" w:cs="Times New Roman"/>
        </w:rPr>
        <w:t>i</w:t>
      </w:r>
      <w:r w:rsidR="00030D9F" w:rsidRPr="00C25023">
        <w:rPr>
          <w:rFonts w:ascii="Times New Roman" w:eastAsia="Calibri" w:hAnsi="Times New Roman" w:cs="Times New Roman"/>
        </w:rPr>
        <w:t xml:space="preserve">n Schedule 3 and Appendix H, clause 1 — </w:t>
      </w:r>
      <w:r w:rsidR="00030D9F" w:rsidRPr="00C25023">
        <w:rPr>
          <w:rFonts w:ascii="Times New Roman" w:eastAsia="Calibri" w:hAnsi="Times New Roman" w:cs="Times New Roman"/>
          <w:i/>
          <w:iCs/>
        </w:rPr>
        <w:t>celecoxib</w:t>
      </w:r>
      <w:r w:rsidR="00030D9F" w:rsidRPr="00C25023">
        <w:rPr>
          <w:rFonts w:ascii="Times New Roman" w:eastAsia="Calibri" w:hAnsi="Times New Roman" w:cs="Times New Roman"/>
        </w:rPr>
        <w:t xml:space="preserve">, and the consequential amendment to the Schedule 4 entry of </w:t>
      </w:r>
      <w:r w:rsidR="00030D9F" w:rsidRPr="00C25023">
        <w:rPr>
          <w:rFonts w:ascii="Times New Roman" w:eastAsia="Calibri" w:hAnsi="Times New Roman" w:cs="Times New Roman"/>
          <w:i/>
          <w:iCs/>
        </w:rPr>
        <w:t>celecoxib</w:t>
      </w:r>
      <w:r w:rsidR="00030D9F" w:rsidRPr="00C25023">
        <w:rPr>
          <w:rFonts w:ascii="Times New Roman" w:eastAsia="Calibri" w:hAnsi="Times New Roman" w:cs="Times New Roman"/>
        </w:rPr>
        <w:t xml:space="preserve">, meaning that </w:t>
      </w:r>
      <w:r w:rsidR="005E6A63" w:rsidRPr="00C25023">
        <w:rPr>
          <w:rFonts w:ascii="Times New Roman" w:eastAsia="Calibri" w:hAnsi="Times New Roman" w:cs="Times New Roman"/>
        </w:rPr>
        <w:t xml:space="preserve">Schedule 3 preparations of </w:t>
      </w:r>
      <w:r w:rsidR="00FF1B15" w:rsidRPr="00C25023">
        <w:rPr>
          <w:rFonts w:ascii="Times New Roman" w:eastAsia="Calibri" w:hAnsi="Times New Roman" w:cs="Times New Roman"/>
          <w:i/>
          <w:iCs/>
        </w:rPr>
        <w:t>celecoxib</w:t>
      </w:r>
      <w:r w:rsidR="00030D9F" w:rsidRPr="00C25023">
        <w:rPr>
          <w:rFonts w:ascii="Times New Roman" w:eastAsia="Calibri" w:hAnsi="Times New Roman" w:cs="Times New Roman"/>
        </w:rPr>
        <w:t xml:space="preserve"> </w:t>
      </w:r>
      <w:r w:rsidR="005E6A63" w:rsidRPr="00C25023">
        <w:rPr>
          <w:rFonts w:ascii="Times New Roman" w:eastAsia="Calibri" w:hAnsi="Times New Roman" w:cs="Times New Roman"/>
        </w:rPr>
        <w:t>are</w:t>
      </w:r>
      <w:r w:rsidR="00030D9F" w:rsidRPr="00C25023">
        <w:rPr>
          <w:rFonts w:ascii="Times New Roman" w:eastAsia="Calibri" w:hAnsi="Times New Roman" w:cs="Times New Roman"/>
        </w:rPr>
        <w:t xml:space="preserve"> available from pharmacists without a prescription</w:t>
      </w:r>
      <w:r w:rsidR="003B3CB1" w:rsidRPr="00C25023">
        <w:rPr>
          <w:rFonts w:ascii="Times New Roman" w:eastAsia="Calibri" w:hAnsi="Times New Roman" w:cs="Times New Roman"/>
        </w:rPr>
        <w:t>,</w:t>
      </w:r>
      <w:r w:rsidR="00030D9F" w:rsidRPr="00C25023">
        <w:rPr>
          <w:rFonts w:ascii="Times New Roman" w:eastAsia="Calibri" w:hAnsi="Times New Roman" w:cs="Times New Roman"/>
        </w:rPr>
        <w:t xml:space="preserve"> and</w:t>
      </w:r>
      <w:r w:rsidR="0008687D" w:rsidRPr="00C25023">
        <w:rPr>
          <w:rFonts w:ascii="Times New Roman" w:eastAsia="Calibri" w:hAnsi="Times New Roman" w:cs="Times New Roman"/>
        </w:rPr>
        <w:t xml:space="preserve"> </w:t>
      </w:r>
      <w:r w:rsidR="005E6A63" w:rsidRPr="00C25023">
        <w:rPr>
          <w:rFonts w:ascii="Times New Roman" w:eastAsia="Calibri" w:hAnsi="Times New Roman" w:cs="Times New Roman"/>
        </w:rPr>
        <w:t xml:space="preserve">such </w:t>
      </w:r>
      <w:r w:rsidR="0008687D" w:rsidRPr="00C25023">
        <w:rPr>
          <w:rFonts w:ascii="Times New Roman" w:eastAsia="Calibri" w:hAnsi="Times New Roman" w:cs="Times New Roman"/>
        </w:rPr>
        <w:t>preparations are</w:t>
      </w:r>
      <w:r w:rsidR="00030D9F" w:rsidRPr="00C25023">
        <w:rPr>
          <w:rFonts w:ascii="Times New Roman" w:eastAsia="Calibri" w:hAnsi="Times New Roman" w:cs="Times New Roman"/>
        </w:rPr>
        <w:t xml:space="preserve"> permitted for advertising;</w:t>
      </w:r>
      <w:r w:rsidR="00A362EE">
        <w:rPr>
          <w:rFonts w:ascii="Times New Roman" w:eastAsia="Calibri" w:hAnsi="Times New Roman" w:cs="Times New Roman"/>
        </w:rPr>
        <w:t xml:space="preserve"> and</w:t>
      </w:r>
    </w:p>
    <w:p w14:paraId="0252CCF5" w14:textId="7D03B9E3" w:rsidR="00030D9F" w:rsidRPr="00C25023" w:rsidRDefault="006C02D0">
      <w:pPr>
        <w:pStyle w:val="ListParagraph"/>
        <w:numPr>
          <w:ilvl w:val="0"/>
          <w:numId w:val="14"/>
        </w:numPr>
        <w:spacing w:before="20" w:after="0"/>
        <w:ind w:left="714" w:hanging="357"/>
        <w:contextualSpacing w:val="0"/>
        <w:rPr>
          <w:rFonts w:ascii="Times New Roman" w:eastAsia="Calibri" w:hAnsi="Times New Roman" w:cs="Times New Roman"/>
        </w:rPr>
      </w:pPr>
      <w:r w:rsidRPr="00C25023">
        <w:rPr>
          <w:rFonts w:ascii="Times New Roman" w:eastAsia="Calibri" w:hAnsi="Times New Roman" w:cs="Times New Roman"/>
        </w:rPr>
        <w:t>i</w:t>
      </w:r>
      <w:r w:rsidR="00030D9F" w:rsidRPr="00C25023">
        <w:rPr>
          <w:rFonts w:ascii="Times New Roman" w:eastAsia="Calibri" w:hAnsi="Times New Roman" w:cs="Times New Roman"/>
        </w:rPr>
        <w:t xml:space="preserve">n Schedule 2 — </w:t>
      </w:r>
      <w:r w:rsidR="00030D9F" w:rsidRPr="00C25023">
        <w:rPr>
          <w:rFonts w:ascii="Times New Roman" w:eastAsia="Calibri" w:hAnsi="Times New Roman" w:cs="Times New Roman"/>
          <w:i/>
          <w:iCs/>
        </w:rPr>
        <w:t>olopatadine</w:t>
      </w:r>
      <w:r w:rsidR="00030D9F" w:rsidRPr="00C25023">
        <w:rPr>
          <w:rFonts w:ascii="Times New Roman" w:eastAsia="Calibri" w:hAnsi="Times New Roman" w:cs="Times New Roman"/>
        </w:rPr>
        <w:t xml:space="preserve">, and consequential amendment to the Schedule 4 entry for </w:t>
      </w:r>
      <w:r w:rsidR="00030D9F" w:rsidRPr="00C25023">
        <w:rPr>
          <w:rFonts w:ascii="Times New Roman" w:eastAsia="Calibri" w:hAnsi="Times New Roman" w:cs="Times New Roman"/>
          <w:i/>
          <w:iCs/>
        </w:rPr>
        <w:t>olopatadine</w:t>
      </w:r>
      <w:r w:rsidR="00030D9F" w:rsidRPr="00C25023">
        <w:rPr>
          <w:rFonts w:ascii="Times New Roman" w:eastAsia="Calibri" w:hAnsi="Times New Roman" w:cs="Times New Roman"/>
        </w:rPr>
        <w:t xml:space="preserve"> and Appendix F, clause 1 for </w:t>
      </w:r>
      <w:r w:rsidR="00030D9F" w:rsidRPr="00C25023">
        <w:rPr>
          <w:rFonts w:ascii="Times New Roman" w:eastAsia="Calibri" w:hAnsi="Times New Roman" w:cs="Times New Roman"/>
          <w:i/>
          <w:iCs/>
        </w:rPr>
        <w:t>antihistamines</w:t>
      </w:r>
      <w:r w:rsidR="00030D9F" w:rsidRPr="00C25023">
        <w:rPr>
          <w:rFonts w:ascii="Times New Roman" w:eastAsia="Calibri" w:hAnsi="Times New Roman" w:cs="Times New Roman"/>
        </w:rPr>
        <w:t>.</w:t>
      </w:r>
      <w:r w:rsidR="00434340" w:rsidRPr="00C25023">
        <w:rPr>
          <w:rFonts w:ascii="Times New Roman" w:eastAsia="Calibri" w:hAnsi="Times New Roman" w:cs="Times New Roman"/>
        </w:rPr>
        <w:t xml:space="preserve"> Schedule 2 preparations of </w:t>
      </w:r>
      <w:r w:rsidR="00434340" w:rsidRPr="00C25023">
        <w:rPr>
          <w:rFonts w:ascii="Times New Roman" w:eastAsia="Calibri" w:hAnsi="Times New Roman" w:cs="Times New Roman"/>
          <w:i/>
          <w:iCs/>
        </w:rPr>
        <w:t>olopatadine</w:t>
      </w:r>
      <w:r w:rsidR="00434340" w:rsidRPr="00C25023">
        <w:rPr>
          <w:rFonts w:ascii="Times New Roman" w:eastAsia="Calibri" w:hAnsi="Times New Roman" w:cs="Times New Roman"/>
        </w:rPr>
        <w:t xml:space="preserve"> is available in pharmacies without a prescription</w:t>
      </w:r>
      <w:r w:rsidR="004826FD">
        <w:rPr>
          <w:rFonts w:ascii="Times New Roman" w:eastAsia="Calibri" w:hAnsi="Times New Roman" w:cs="Times New Roman"/>
        </w:rPr>
        <w:t>.</w:t>
      </w:r>
    </w:p>
    <w:p w14:paraId="035FFABA" w14:textId="77777777" w:rsidR="00A974B1" w:rsidRPr="00C25023" w:rsidRDefault="00A974B1" w:rsidP="006705AC">
      <w:pPr>
        <w:pStyle w:val="ListParagraph"/>
        <w:spacing w:after="0"/>
        <w:contextualSpacing w:val="0"/>
        <w:rPr>
          <w:rFonts w:ascii="Times New Roman" w:eastAsia="Calibri" w:hAnsi="Times New Roman" w:cs="Times New Roman"/>
        </w:rPr>
      </w:pPr>
    </w:p>
    <w:p w14:paraId="093E9405" w14:textId="32D0FFDC" w:rsidR="0060744C" w:rsidRPr="00C25023" w:rsidRDefault="0060744C" w:rsidP="006705AC">
      <w:pPr>
        <w:keepNext/>
        <w:spacing w:after="0" w:line="240" w:lineRule="auto"/>
        <w:rPr>
          <w:rFonts w:ascii="Times New Roman" w:eastAsia="Calibri" w:hAnsi="Times New Roman" w:cs="Times New Roman"/>
          <w:i/>
          <w:iCs/>
        </w:rPr>
      </w:pPr>
      <w:r w:rsidRPr="00C25023">
        <w:rPr>
          <w:rFonts w:ascii="Times New Roman" w:eastAsia="Calibri" w:hAnsi="Times New Roman" w:cs="Times New Roman"/>
          <w:i/>
          <w:iCs/>
        </w:rPr>
        <w:t>Amendments</w:t>
      </w:r>
      <w:r w:rsidR="00AF7183" w:rsidRPr="00C25023">
        <w:rPr>
          <w:rFonts w:ascii="Times New Roman" w:eastAsia="Calibri" w:hAnsi="Times New Roman" w:cs="Times New Roman"/>
          <w:i/>
          <w:iCs/>
        </w:rPr>
        <w:t xml:space="preserve"> </w:t>
      </w:r>
      <w:r w:rsidRPr="00C25023">
        <w:rPr>
          <w:rFonts w:ascii="Times New Roman" w:eastAsia="Calibri" w:hAnsi="Times New Roman" w:cs="Times New Roman"/>
          <w:i/>
          <w:iCs/>
        </w:rPr>
        <w:t>to</w:t>
      </w:r>
      <w:r w:rsidR="00B020B9" w:rsidRPr="00C25023">
        <w:rPr>
          <w:rFonts w:ascii="Times New Roman" w:eastAsia="Calibri" w:hAnsi="Times New Roman" w:cs="Times New Roman"/>
          <w:i/>
          <w:iCs/>
        </w:rPr>
        <w:t xml:space="preserve"> existing</w:t>
      </w:r>
      <w:r w:rsidRPr="00C25023">
        <w:rPr>
          <w:rFonts w:ascii="Times New Roman" w:eastAsia="Calibri" w:hAnsi="Times New Roman" w:cs="Times New Roman"/>
          <w:i/>
          <w:iCs/>
        </w:rPr>
        <w:t xml:space="preserve"> schedule entries</w:t>
      </w:r>
    </w:p>
    <w:p w14:paraId="265539B5" w14:textId="77777777" w:rsidR="0041243C" w:rsidRPr="00C25023" w:rsidRDefault="0041243C" w:rsidP="00C42C47">
      <w:pPr>
        <w:autoSpaceDE w:val="0"/>
        <w:autoSpaceDN w:val="0"/>
        <w:adjustRightInd w:val="0"/>
        <w:spacing w:after="0" w:line="240" w:lineRule="auto"/>
        <w:contextualSpacing/>
        <w:rPr>
          <w:rFonts w:ascii="Times New Roman" w:eastAsia="Calibri" w:hAnsi="Times New Roman" w:cs="Times New Roman"/>
        </w:rPr>
      </w:pPr>
    </w:p>
    <w:p w14:paraId="7241D4DF" w14:textId="46AF64E5" w:rsidR="00420AF1" w:rsidRPr="00C25023" w:rsidRDefault="00D65F89" w:rsidP="00FB38E8">
      <w:pPr>
        <w:autoSpaceDE w:val="0"/>
        <w:autoSpaceDN w:val="0"/>
        <w:adjustRightInd w:val="0"/>
        <w:spacing w:after="0" w:line="240" w:lineRule="auto"/>
        <w:contextualSpacing/>
        <w:rPr>
          <w:rFonts w:ascii="Times New Roman" w:eastAsia="Calibri" w:hAnsi="Times New Roman" w:cs="Times New Roman"/>
        </w:rPr>
      </w:pPr>
      <w:r w:rsidRPr="00C25023">
        <w:rPr>
          <w:rFonts w:ascii="Times New Roman" w:eastAsia="Calibri" w:hAnsi="Times New Roman" w:cs="Times New Roman"/>
        </w:rPr>
        <w:t xml:space="preserve">The Instrument </w:t>
      </w:r>
      <w:r w:rsidR="00CA7CC8" w:rsidRPr="00C25023">
        <w:rPr>
          <w:rFonts w:ascii="Times New Roman" w:eastAsia="Calibri" w:hAnsi="Times New Roman" w:cs="Times New Roman"/>
        </w:rPr>
        <w:t>incorporates</w:t>
      </w:r>
      <w:r w:rsidR="0045359C" w:rsidRPr="00C25023">
        <w:rPr>
          <w:rFonts w:ascii="Times New Roman" w:eastAsia="Calibri" w:hAnsi="Times New Roman" w:cs="Times New Roman"/>
        </w:rPr>
        <w:t xml:space="preserve"> </w:t>
      </w:r>
      <w:r w:rsidR="00940ECC" w:rsidRPr="00C25023">
        <w:rPr>
          <w:rFonts w:ascii="Times New Roman" w:eastAsia="Calibri" w:hAnsi="Times New Roman" w:cs="Times New Roman"/>
        </w:rPr>
        <w:t xml:space="preserve">minor </w:t>
      </w:r>
      <w:r w:rsidR="0008687D" w:rsidRPr="00C25023">
        <w:rPr>
          <w:rFonts w:ascii="Times New Roman" w:eastAsia="Calibri" w:hAnsi="Times New Roman" w:cs="Times New Roman"/>
        </w:rPr>
        <w:t xml:space="preserve">editorial </w:t>
      </w:r>
      <w:r w:rsidRPr="00C25023">
        <w:rPr>
          <w:rFonts w:ascii="Times New Roman" w:eastAsia="Calibri" w:hAnsi="Times New Roman" w:cs="Times New Roman"/>
        </w:rPr>
        <w:t>amend</w:t>
      </w:r>
      <w:r w:rsidR="0045359C" w:rsidRPr="00C25023">
        <w:rPr>
          <w:rFonts w:ascii="Times New Roman" w:eastAsia="Calibri" w:hAnsi="Times New Roman" w:cs="Times New Roman"/>
        </w:rPr>
        <w:t>ments</w:t>
      </w:r>
      <w:r w:rsidR="00CA7CC8" w:rsidRPr="00C25023">
        <w:rPr>
          <w:rFonts w:ascii="Times New Roman" w:eastAsia="Calibri" w:hAnsi="Times New Roman" w:cs="Times New Roman"/>
        </w:rPr>
        <w:t xml:space="preserve"> </w:t>
      </w:r>
      <w:r w:rsidR="0008687D" w:rsidRPr="00C25023">
        <w:rPr>
          <w:rFonts w:ascii="Times New Roman" w:eastAsia="Calibri" w:hAnsi="Times New Roman" w:cs="Times New Roman"/>
        </w:rPr>
        <w:t>to</w:t>
      </w:r>
      <w:r w:rsidR="00940ECC" w:rsidRPr="00C25023">
        <w:rPr>
          <w:rFonts w:ascii="Times New Roman" w:eastAsia="Calibri" w:hAnsi="Times New Roman" w:cs="Times New Roman"/>
        </w:rPr>
        <w:t xml:space="preserve"> the </w:t>
      </w:r>
      <w:r w:rsidR="008E25BB" w:rsidRPr="00C25023">
        <w:rPr>
          <w:rFonts w:ascii="Times New Roman" w:eastAsia="Calibri" w:hAnsi="Times New Roman" w:cs="Times New Roman"/>
        </w:rPr>
        <w:t>existing</w:t>
      </w:r>
      <w:r w:rsidR="00720608" w:rsidRPr="00C25023">
        <w:rPr>
          <w:rFonts w:ascii="Times New Roman" w:eastAsia="Calibri" w:hAnsi="Times New Roman" w:cs="Times New Roman"/>
        </w:rPr>
        <w:t xml:space="preserve"> </w:t>
      </w:r>
      <w:r w:rsidRPr="00C25023">
        <w:rPr>
          <w:rFonts w:ascii="Times New Roman" w:eastAsia="Calibri" w:hAnsi="Times New Roman" w:cs="Times New Roman"/>
        </w:rPr>
        <w:t>entr</w:t>
      </w:r>
      <w:r w:rsidR="00FB1311" w:rsidRPr="00C25023">
        <w:rPr>
          <w:rFonts w:ascii="Times New Roman" w:eastAsia="Calibri" w:hAnsi="Times New Roman" w:cs="Times New Roman"/>
        </w:rPr>
        <w:t>ies</w:t>
      </w:r>
      <w:r w:rsidR="00AB1950" w:rsidRPr="00C25023">
        <w:rPr>
          <w:rFonts w:ascii="Times New Roman" w:eastAsia="Calibri" w:hAnsi="Times New Roman" w:cs="Times New Roman"/>
        </w:rPr>
        <w:t xml:space="preserve"> </w:t>
      </w:r>
      <w:r w:rsidR="00940ECC" w:rsidRPr="00C25023">
        <w:rPr>
          <w:rFonts w:ascii="Times New Roman" w:eastAsia="Calibri" w:hAnsi="Times New Roman" w:cs="Times New Roman"/>
        </w:rPr>
        <w:t xml:space="preserve">for </w:t>
      </w:r>
      <w:r w:rsidR="00940ECC" w:rsidRPr="00C25023">
        <w:rPr>
          <w:rFonts w:ascii="Times New Roman" w:eastAsia="Times New Roman" w:hAnsi="Times New Roman" w:cs="Times New Roman"/>
          <w:iCs/>
          <w:lang w:val="en-US"/>
        </w:rPr>
        <w:t>amidopropyl betaines</w:t>
      </w:r>
      <w:r w:rsidR="00940ECC" w:rsidRPr="00C25023">
        <w:rPr>
          <w:rFonts w:ascii="Times New Roman" w:eastAsia="Calibri" w:hAnsi="Times New Roman" w:cs="Times New Roman"/>
        </w:rPr>
        <w:t xml:space="preserve"> (Schedule 6) and bismuth compounds (Schedule 4) to correct formatting and typographical errors.</w:t>
      </w:r>
      <w:r w:rsidR="00DA4401">
        <w:rPr>
          <w:rFonts w:ascii="Times New Roman" w:eastAsia="Calibri" w:hAnsi="Times New Roman" w:cs="Times New Roman"/>
        </w:rPr>
        <w:t xml:space="preserve"> Several changes regarding the scheduling of lead (Schedule 4) and lead compounds (Schedules 6 and 10) that were intended to be included in the 1 October 2023 update to the Poisons Standard have also been incorporated into the Instrument.</w:t>
      </w:r>
    </w:p>
    <w:p w14:paraId="3EDB8BF5" w14:textId="77777777" w:rsidR="00F838F6" w:rsidRPr="00C25023" w:rsidRDefault="00F838F6" w:rsidP="00420AF1">
      <w:pPr>
        <w:autoSpaceDE w:val="0"/>
        <w:autoSpaceDN w:val="0"/>
        <w:adjustRightInd w:val="0"/>
        <w:spacing w:after="0" w:line="240" w:lineRule="auto"/>
        <w:rPr>
          <w:rFonts w:ascii="Times New Roman" w:eastAsia="Calibri" w:hAnsi="Times New Roman" w:cs="Times New Roman"/>
        </w:rPr>
      </w:pPr>
    </w:p>
    <w:p w14:paraId="121C40BC" w14:textId="51DB81E2" w:rsidR="00EB5F38" w:rsidRPr="00C25023" w:rsidRDefault="00C25023" w:rsidP="00EB5F38">
      <w:pPr>
        <w:autoSpaceDE w:val="0"/>
        <w:autoSpaceDN w:val="0"/>
        <w:adjustRightInd w:val="0"/>
        <w:spacing w:before="20" w:after="0" w:line="240" w:lineRule="auto"/>
        <w:rPr>
          <w:rFonts w:ascii="Times New Roman" w:eastAsia="Times New Roman" w:hAnsi="Times New Roman" w:cs="Times New Roman"/>
          <w:iCs/>
          <w:lang w:val="en-US"/>
        </w:rPr>
      </w:pPr>
      <w:r w:rsidRPr="00C25023">
        <w:rPr>
          <w:rFonts w:ascii="Times New Roman" w:eastAsia="Calibri" w:hAnsi="Times New Roman" w:cs="Times New Roman"/>
        </w:rPr>
        <w:t>T</w:t>
      </w:r>
      <w:r w:rsidR="00EB5F38" w:rsidRPr="00C25023">
        <w:rPr>
          <w:rFonts w:ascii="Times New Roman" w:eastAsia="Times New Roman" w:hAnsi="Times New Roman" w:cs="Times New Roman"/>
          <w:iCs/>
          <w:lang w:val="en-US"/>
        </w:rPr>
        <w:t>he Instrument</w:t>
      </w:r>
      <w:r w:rsidRPr="00C25023">
        <w:rPr>
          <w:rFonts w:ascii="Times New Roman" w:eastAsia="Times New Roman" w:hAnsi="Times New Roman" w:cs="Times New Roman"/>
          <w:iCs/>
          <w:lang w:val="en-US"/>
        </w:rPr>
        <w:t xml:space="preserve"> also</w:t>
      </w:r>
      <w:r w:rsidR="00EB5F38" w:rsidRPr="00C25023">
        <w:rPr>
          <w:rFonts w:ascii="Times New Roman" w:eastAsia="Times New Roman" w:hAnsi="Times New Roman" w:cs="Times New Roman"/>
          <w:iCs/>
          <w:lang w:val="en-US"/>
        </w:rPr>
        <w:t xml:space="preserve"> </w:t>
      </w:r>
      <w:r w:rsidR="00DC75E2" w:rsidRPr="00C25023">
        <w:rPr>
          <w:rFonts w:ascii="Times New Roman" w:eastAsia="Times New Roman" w:hAnsi="Times New Roman" w:cs="Times New Roman"/>
          <w:iCs/>
          <w:lang w:val="en-US"/>
        </w:rPr>
        <w:t>incorporates</w:t>
      </w:r>
      <w:r w:rsidR="00EB5F38" w:rsidRPr="00C25023">
        <w:rPr>
          <w:rFonts w:ascii="Times New Roman" w:eastAsia="Times New Roman" w:hAnsi="Times New Roman" w:cs="Times New Roman"/>
          <w:iCs/>
          <w:lang w:val="en-US"/>
        </w:rPr>
        <w:t xml:space="preserve"> editorial amendments to the Index in relation to a small number of substances</w:t>
      </w:r>
      <w:r w:rsidR="00F70FF9" w:rsidRPr="00C25023">
        <w:rPr>
          <w:rFonts w:ascii="Times New Roman" w:eastAsia="Times New Roman" w:hAnsi="Times New Roman" w:cs="Times New Roman"/>
          <w:iCs/>
          <w:lang w:val="en-US"/>
        </w:rPr>
        <w:t xml:space="preserve"> with existing entries</w:t>
      </w:r>
      <w:r w:rsidR="00EB5F38" w:rsidRPr="00C25023">
        <w:rPr>
          <w:rFonts w:ascii="Times New Roman" w:eastAsia="Times New Roman" w:hAnsi="Times New Roman" w:cs="Times New Roman"/>
          <w:iCs/>
          <w:lang w:val="en-US"/>
        </w:rPr>
        <w:t xml:space="preserve"> in the current Poisons Standard. The purpose of these amendments is</w:t>
      </w:r>
      <w:r w:rsidR="007E3F27" w:rsidRPr="00C25023">
        <w:rPr>
          <w:rFonts w:ascii="Times New Roman" w:eastAsia="Times New Roman" w:hAnsi="Times New Roman" w:cs="Times New Roman"/>
          <w:iCs/>
          <w:lang w:val="en-US"/>
        </w:rPr>
        <w:t xml:space="preserve"> to</w:t>
      </w:r>
      <w:r w:rsidR="00EB5F38" w:rsidRPr="00C25023">
        <w:rPr>
          <w:rFonts w:ascii="Times New Roman" w:eastAsia="Times New Roman" w:hAnsi="Times New Roman" w:cs="Times New Roman"/>
          <w:iCs/>
          <w:lang w:val="en-US"/>
        </w:rPr>
        <w:t>:</w:t>
      </w:r>
    </w:p>
    <w:p w14:paraId="5EC563BA" w14:textId="6D12A533" w:rsidR="005E6A63"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asparaginase</w:t>
      </w:r>
      <w:r w:rsidRPr="00C25023">
        <w:rPr>
          <w:rFonts w:ascii="Times New Roman" w:eastAsia="Times New Roman" w:hAnsi="Times New Roman" w:cs="Times New Roman"/>
          <w:iCs/>
          <w:lang w:val="en-US"/>
        </w:rPr>
        <w:t xml:space="preserve"> — to insert a cross reference to </w:t>
      </w:r>
      <w:r w:rsidRPr="00C25023">
        <w:rPr>
          <w:rFonts w:ascii="Times New Roman" w:eastAsia="Times New Roman" w:hAnsi="Times New Roman" w:cs="Times New Roman"/>
          <w:i/>
          <w:lang w:val="en-US"/>
        </w:rPr>
        <w:t>crisantaspase</w:t>
      </w:r>
      <w:r w:rsidRPr="00C25023">
        <w:rPr>
          <w:rFonts w:ascii="Times New Roman" w:eastAsia="Times New Roman" w:hAnsi="Times New Roman" w:cs="Times New Roman"/>
          <w:iCs/>
          <w:lang w:val="en-US"/>
        </w:rPr>
        <w:t xml:space="preserve"> </w:t>
      </w:r>
      <w:r w:rsidR="00C25023" w:rsidRPr="00C25023">
        <w:rPr>
          <w:rFonts w:ascii="Times New Roman" w:eastAsia="Times New Roman" w:hAnsi="Times New Roman" w:cs="Times New Roman"/>
          <w:iCs/>
          <w:lang w:val="en-US"/>
        </w:rPr>
        <w:t>for clarity and to assist searchability</w:t>
      </w:r>
      <w:r w:rsidRPr="00C25023">
        <w:rPr>
          <w:rFonts w:ascii="Times New Roman" w:eastAsia="Times New Roman" w:hAnsi="Times New Roman" w:cs="Times New Roman"/>
          <w:iCs/>
          <w:lang w:val="en-US"/>
        </w:rPr>
        <w:t>;</w:t>
      </w:r>
    </w:p>
    <w:p w14:paraId="558FD280" w14:textId="77777777" w:rsidR="005E6A63"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 xml:space="preserve">benzene </w:t>
      </w:r>
      <w:r w:rsidRPr="00C25023">
        <w:rPr>
          <w:rFonts w:ascii="Times New Roman" w:eastAsia="Times New Roman" w:hAnsi="Times New Roman" w:cs="Times New Roman"/>
          <w:iCs/>
          <w:lang w:val="en-US"/>
        </w:rPr>
        <w:t xml:space="preserve">— to insert a cross reference to </w:t>
      </w:r>
      <w:r w:rsidRPr="00C25023">
        <w:rPr>
          <w:rFonts w:ascii="Times New Roman" w:eastAsia="Times New Roman" w:hAnsi="Times New Roman" w:cs="Times New Roman"/>
          <w:i/>
          <w:lang w:val="en-US"/>
        </w:rPr>
        <w:t>liquid hydrocarbons</w:t>
      </w:r>
      <w:r w:rsidRPr="00C25023">
        <w:rPr>
          <w:rFonts w:ascii="Times New Roman" w:eastAsia="Times New Roman" w:hAnsi="Times New Roman" w:cs="Times New Roman"/>
          <w:iCs/>
          <w:lang w:val="en-US"/>
        </w:rPr>
        <w:t xml:space="preserve"> to add clarity;</w:t>
      </w:r>
    </w:p>
    <w:p w14:paraId="098B62FA" w14:textId="7F587728" w:rsidR="005E6A63"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 xml:space="preserve">gliptins </w:t>
      </w:r>
      <w:r w:rsidRPr="00C25023">
        <w:rPr>
          <w:rFonts w:ascii="Times New Roman" w:eastAsia="Times New Roman" w:hAnsi="Times New Roman" w:cs="Times New Roman"/>
          <w:iCs/>
          <w:lang w:val="en-US"/>
        </w:rPr>
        <w:t xml:space="preserve">— to insert a cross reference to </w:t>
      </w:r>
      <w:r w:rsidRPr="00C25023">
        <w:rPr>
          <w:rFonts w:ascii="Times New Roman" w:eastAsia="Times New Roman" w:hAnsi="Times New Roman" w:cs="Times New Roman"/>
          <w:i/>
          <w:lang w:val="en-US"/>
        </w:rPr>
        <w:t>dipeptidyl peptidase-4 (DDP-4) inhibitors</w:t>
      </w:r>
      <w:r w:rsidRPr="00C25023">
        <w:rPr>
          <w:rFonts w:ascii="Times New Roman" w:eastAsia="Times New Roman" w:hAnsi="Times New Roman" w:cs="Times New Roman"/>
          <w:iCs/>
          <w:lang w:val="en-US"/>
        </w:rPr>
        <w:t xml:space="preserve"> </w:t>
      </w:r>
      <w:r w:rsidR="00C25023" w:rsidRPr="00C25023">
        <w:rPr>
          <w:rFonts w:ascii="Times New Roman" w:eastAsia="Times New Roman" w:hAnsi="Times New Roman" w:cs="Times New Roman"/>
          <w:iCs/>
          <w:lang w:val="en-US"/>
        </w:rPr>
        <w:t>for clarity and to assist searchability</w:t>
      </w:r>
      <w:r w:rsidRPr="00C25023">
        <w:rPr>
          <w:rFonts w:ascii="Times New Roman" w:eastAsia="Times New Roman" w:hAnsi="Times New Roman" w:cs="Times New Roman"/>
          <w:iCs/>
          <w:lang w:val="en-US"/>
        </w:rPr>
        <w:t>;</w:t>
      </w:r>
    </w:p>
    <w:p w14:paraId="4360C891" w14:textId="7FE02D71" w:rsidR="005E6A63"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 xml:space="preserve">immunoglobulins </w:t>
      </w:r>
      <w:r w:rsidRPr="00C25023">
        <w:rPr>
          <w:rFonts w:ascii="Times New Roman" w:eastAsia="Times New Roman" w:hAnsi="Times New Roman" w:cs="Times New Roman"/>
          <w:iCs/>
          <w:lang w:val="en-US"/>
        </w:rPr>
        <w:t xml:space="preserve">— to insert a cross reference to </w:t>
      </w:r>
      <w:r w:rsidR="00434340" w:rsidRPr="00C25023">
        <w:rPr>
          <w:rFonts w:ascii="Times New Roman" w:eastAsia="Times New Roman" w:hAnsi="Times New Roman" w:cs="Times New Roman"/>
          <w:i/>
          <w:lang w:val="en-US"/>
        </w:rPr>
        <w:t>polyclonal</w:t>
      </w:r>
      <w:r w:rsidRPr="00C25023">
        <w:rPr>
          <w:rFonts w:ascii="Times New Roman" w:eastAsia="Times New Roman" w:hAnsi="Times New Roman" w:cs="Times New Roman"/>
          <w:i/>
          <w:lang w:val="en-US"/>
        </w:rPr>
        <w:t xml:space="preserve"> antibodies</w:t>
      </w:r>
      <w:r w:rsidRPr="00C25023">
        <w:rPr>
          <w:rFonts w:ascii="Times New Roman" w:eastAsia="Times New Roman" w:hAnsi="Times New Roman" w:cs="Times New Roman"/>
          <w:iCs/>
          <w:lang w:val="en-US"/>
        </w:rPr>
        <w:t xml:space="preserve"> </w:t>
      </w:r>
      <w:r w:rsidR="00C25023" w:rsidRPr="00C25023">
        <w:rPr>
          <w:rFonts w:ascii="Times New Roman" w:eastAsia="Times New Roman" w:hAnsi="Times New Roman" w:cs="Times New Roman"/>
          <w:iCs/>
          <w:lang w:val="en-US"/>
        </w:rPr>
        <w:t>for clarity and to assist searchability</w:t>
      </w:r>
      <w:r w:rsidRPr="00C25023">
        <w:rPr>
          <w:rFonts w:ascii="Times New Roman" w:eastAsia="Times New Roman" w:hAnsi="Times New Roman" w:cs="Times New Roman"/>
          <w:iCs/>
          <w:lang w:val="en-US"/>
        </w:rPr>
        <w:t>;</w:t>
      </w:r>
    </w:p>
    <w:p w14:paraId="72FB41E8" w14:textId="563C4841" w:rsidR="005E6A63"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 xml:space="preserve">psilocybine </w:t>
      </w:r>
      <w:r w:rsidRPr="00C25023">
        <w:rPr>
          <w:rFonts w:ascii="Times New Roman" w:eastAsia="Times New Roman" w:hAnsi="Times New Roman" w:cs="Times New Roman"/>
          <w:iCs/>
          <w:lang w:val="en-US"/>
        </w:rPr>
        <w:t xml:space="preserve">— to insert a cross reference to </w:t>
      </w:r>
      <w:r w:rsidRPr="00C25023">
        <w:rPr>
          <w:rFonts w:ascii="Times New Roman" w:eastAsia="Times New Roman" w:hAnsi="Times New Roman" w:cs="Times New Roman"/>
          <w:i/>
          <w:lang w:val="en-US"/>
        </w:rPr>
        <w:t>psilocybin</w:t>
      </w:r>
      <w:r w:rsidRPr="00C25023">
        <w:rPr>
          <w:rFonts w:ascii="Times New Roman" w:eastAsia="Times New Roman" w:hAnsi="Times New Roman" w:cs="Times New Roman"/>
          <w:iCs/>
          <w:lang w:val="en-US"/>
        </w:rPr>
        <w:t xml:space="preserve"> </w:t>
      </w:r>
      <w:r w:rsidR="00C25023" w:rsidRPr="00C25023">
        <w:rPr>
          <w:rFonts w:ascii="Times New Roman" w:eastAsia="Times New Roman" w:hAnsi="Times New Roman" w:cs="Times New Roman"/>
          <w:iCs/>
          <w:lang w:val="en-US"/>
        </w:rPr>
        <w:t>for clarity and to assist searchability</w:t>
      </w:r>
      <w:r w:rsidRPr="00C25023">
        <w:rPr>
          <w:rFonts w:ascii="Times New Roman" w:eastAsia="Times New Roman" w:hAnsi="Times New Roman" w:cs="Times New Roman"/>
          <w:iCs/>
          <w:lang w:val="en-US"/>
        </w:rPr>
        <w:t>;</w:t>
      </w:r>
    </w:p>
    <w:p w14:paraId="2C1C5C51" w14:textId="3A0324C8" w:rsidR="005E6A63"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somatropin</w:t>
      </w:r>
      <w:r w:rsidRPr="00C25023">
        <w:rPr>
          <w:rFonts w:ascii="Times New Roman" w:eastAsia="Times New Roman" w:hAnsi="Times New Roman" w:cs="Times New Roman"/>
          <w:iCs/>
          <w:lang w:val="en-US"/>
        </w:rPr>
        <w:t xml:space="preserve"> — to remove</w:t>
      </w:r>
      <w:r w:rsidR="00C25023" w:rsidRPr="00C25023">
        <w:rPr>
          <w:rFonts w:ascii="Times New Roman" w:eastAsia="Times New Roman" w:hAnsi="Times New Roman" w:cs="Times New Roman"/>
          <w:iCs/>
          <w:lang w:val="en-US"/>
        </w:rPr>
        <w:t xml:space="preserve"> an erroneous</w:t>
      </w:r>
      <w:r w:rsidRPr="00C25023">
        <w:rPr>
          <w:rFonts w:ascii="Times New Roman" w:eastAsia="Times New Roman" w:hAnsi="Times New Roman" w:cs="Times New Roman"/>
          <w:iCs/>
          <w:lang w:val="en-US"/>
        </w:rPr>
        <w:t xml:space="preserve"> reference to Appendix G, clause</w:t>
      </w:r>
      <w:r w:rsidR="00C25023" w:rsidRPr="00C25023">
        <w:rPr>
          <w:rFonts w:ascii="Times New Roman" w:eastAsia="Times New Roman" w:hAnsi="Times New Roman" w:cs="Times New Roman"/>
          <w:iCs/>
          <w:lang w:val="en-US"/>
        </w:rPr>
        <w:t> </w:t>
      </w:r>
      <w:r w:rsidRPr="00C25023">
        <w:rPr>
          <w:rFonts w:ascii="Times New Roman" w:eastAsia="Times New Roman" w:hAnsi="Times New Roman" w:cs="Times New Roman"/>
          <w:iCs/>
          <w:lang w:val="en-US"/>
        </w:rPr>
        <w:t>1;</w:t>
      </w:r>
    </w:p>
    <w:p w14:paraId="570E4CCA" w14:textId="77777777" w:rsidR="005E6A63"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alprazolam</w:t>
      </w:r>
      <w:r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
          <w:lang w:val="en-US"/>
        </w:rPr>
        <w:t>bromazepam</w:t>
      </w:r>
      <w:r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
          <w:lang w:val="en-US"/>
        </w:rPr>
        <w:t>chlordiazepoxide</w:t>
      </w:r>
      <w:r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
          <w:lang w:val="en-US"/>
        </w:rPr>
        <w:t>clonazepam</w:t>
      </w:r>
      <w:r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
          <w:lang w:val="en-US"/>
        </w:rPr>
        <w:t>clorazepate</w:t>
      </w:r>
      <w:r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
          <w:lang w:val="en-US"/>
        </w:rPr>
        <w:t>diazepam</w:t>
      </w:r>
      <w:r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
          <w:lang w:val="en-US"/>
        </w:rPr>
        <w:t>nitrazepam</w:t>
      </w:r>
      <w:r w:rsidRPr="00C25023">
        <w:rPr>
          <w:rFonts w:ascii="Times New Roman" w:eastAsia="Times New Roman" w:hAnsi="Times New Roman" w:cs="Times New Roman"/>
          <w:iCs/>
          <w:lang w:val="en-US"/>
        </w:rPr>
        <w:t xml:space="preserve"> and </w:t>
      </w:r>
      <w:r w:rsidRPr="00C25023">
        <w:rPr>
          <w:rFonts w:ascii="Times New Roman" w:eastAsia="Times New Roman" w:hAnsi="Times New Roman" w:cs="Times New Roman"/>
          <w:i/>
          <w:lang w:val="en-US"/>
        </w:rPr>
        <w:t xml:space="preserve">triazolam </w:t>
      </w:r>
      <w:r w:rsidRPr="00C25023">
        <w:rPr>
          <w:rFonts w:ascii="Times New Roman" w:eastAsia="Times New Roman" w:hAnsi="Times New Roman" w:cs="Times New Roman"/>
          <w:iCs/>
          <w:lang w:val="en-US"/>
        </w:rPr>
        <w:t>— to amend the reference to benzodiazepine derivatives in Appendix D, clause 5 for consistency; and</w:t>
      </w:r>
    </w:p>
    <w:p w14:paraId="1A4AA207" w14:textId="6C222FEE" w:rsidR="00920B00" w:rsidRPr="00C25023"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in relation to </w:t>
      </w:r>
      <w:r w:rsidRPr="00C25023">
        <w:rPr>
          <w:rFonts w:ascii="Times New Roman" w:eastAsia="Times New Roman" w:hAnsi="Times New Roman" w:cs="Times New Roman"/>
          <w:i/>
          <w:lang w:val="en-US"/>
        </w:rPr>
        <w:t xml:space="preserve">flunitazene </w:t>
      </w:r>
      <w:r w:rsidRPr="00C25023">
        <w:rPr>
          <w:rFonts w:ascii="Times New Roman" w:eastAsia="Times New Roman" w:hAnsi="Times New Roman" w:cs="Times New Roman"/>
          <w:iCs/>
          <w:lang w:val="en-US"/>
        </w:rPr>
        <w:t>— to amend the CAS number of this entry for correction</w:t>
      </w:r>
      <w:r w:rsidR="00C25023" w:rsidRPr="00C25023">
        <w:rPr>
          <w:rFonts w:ascii="Times New Roman" w:eastAsia="Times New Roman" w:hAnsi="Times New Roman" w:cs="Times New Roman"/>
          <w:iCs/>
          <w:lang w:val="en-US"/>
        </w:rPr>
        <w:t xml:space="preserve">, and to insert a cross reference to </w:t>
      </w:r>
      <w:r w:rsidR="00C25023" w:rsidRPr="00C25023">
        <w:rPr>
          <w:rFonts w:ascii="Times New Roman" w:eastAsia="Times New Roman" w:hAnsi="Times New Roman" w:cs="Times New Roman"/>
          <w:i/>
          <w:lang w:val="en-US"/>
        </w:rPr>
        <w:t>flunitazene hydrochloride</w:t>
      </w:r>
      <w:r w:rsidR="00C25023" w:rsidRPr="00C25023">
        <w:rPr>
          <w:rFonts w:ascii="Times New Roman" w:eastAsia="Times New Roman" w:hAnsi="Times New Roman" w:cs="Times New Roman"/>
          <w:iCs/>
          <w:lang w:val="en-US"/>
        </w:rPr>
        <w:t xml:space="preserve"> for clarity and to assist searchability</w:t>
      </w:r>
      <w:r w:rsidR="00920B00" w:rsidRPr="00C25023">
        <w:rPr>
          <w:rFonts w:ascii="Times New Roman" w:eastAsia="Times New Roman" w:hAnsi="Times New Roman" w:cs="Times New Roman"/>
          <w:iCs/>
          <w:lang w:val="en-US"/>
        </w:rPr>
        <w:t>.</w:t>
      </w:r>
    </w:p>
    <w:p w14:paraId="519BC2E3" w14:textId="122FAFDE" w:rsidR="003D02BF" w:rsidRPr="00C25023" w:rsidRDefault="003D02BF" w:rsidP="00D65F89">
      <w:pPr>
        <w:autoSpaceDE w:val="0"/>
        <w:autoSpaceDN w:val="0"/>
        <w:adjustRightInd w:val="0"/>
        <w:spacing w:after="0" w:line="240" w:lineRule="auto"/>
        <w:contextualSpacing/>
        <w:rPr>
          <w:rFonts w:ascii="Times New Roman" w:eastAsia="Calibri" w:hAnsi="Times New Roman" w:cs="Times New Roman"/>
        </w:rPr>
      </w:pPr>
    </w:p>
    <w:p w14:paraId="4A7A808F" w14:textId="3E2A9965" w:rsidR="00C25023" w:rsidRPr="00C25023" w:rsidRDefault="00C25023" w:rsidP="00490494">
      <w:pPr>
        <w:keepNext/>
        <w:autoSpaceDE w:val="0"/>
        <w:autoSpaceDN w:val="0"/>
        <w:adjustRightInd w:val="0"/>
        <w:spacing w:after="0" w:line="240" w:lineRule="auto"/>
        <w:contextualSpacing/>
        <w:rPr>
          <w:rFonts w:ascii="Times New Roman" w:eastAsia="Calibri" w:hAnsi="Times New Roman" w:cs="Times New Roman"/>
        </w:rPr>
      </w:pPr>
      <w:r w:rsidRPr="00C25023">
        <w:rPr>
          <w:rFonts w:ascii="Times New Roman" w:eastAsia="Calibri" w:hAnsi="Times New Roman" w:cs="Times New Roman"/>
          <w:i/>
          <w:iCs/>
        </w:rPr>
        <w:lastRenderedPageBreak/>
        <w:t>Other amendments</w:t>
      </w:r>
    </w:p>
    <w:p w14:paraId="034B998D" w14:textId="083E5DC6" w:rsidR="00C25023" w:rsidRPr="00C25023" w:rsidRDefault="00C25023" w:rsidP="00490494">
      <w:pPr>
        <w:keepNext/>
        <w:autoSpaceDE w:val="0"/>
        <w:autoSpaceDN w:val="0"/>
        <w:adjustRightInd w:val="0"/>
        <w:spacing w:after="0" w:line="240" w:lineRule="auto"/>
        <w:contextualSpacing/>
        <w:rPr>
          <w:rFonts w:ascii="Times New Roman" w:eastAsia="Calibri" w:hAnsi="Times New Roman" w:cs="Times New Roman"/>
        </w:rPr>
      </w:pPr>
    </w:p>
    <w:p w14:paraId="2F454852" w14:textId="1BF46F15" w:rsidR="00C25023" w:rsidRPr="00C25023" w:rsidRDefault="00C25023" w:rsidP="00C25023">
      <w:pPr>
        <w:spacing w:after="0"/>
        <w:rPr>
          <w:rFonts w:ascii="Times New Roman" w:hAnsi="Times New Roman" w:cs="Times New Roman"/>
        </w:rPr>
      </w:pPr>
      <w:r w:rsidRPr="00C25023">
        <w:rPr>
          <w:rFonts w:ascii="Times New Roman" w:hAnsi="Times New Roman" w:cs="Times New Roman"/>
        </w:rPr>
        <w:t xml:space="preserve">Finally, the Instrument includes a minor amendment to replace references to the </w:t>
      </w:r>
      <w:r w:rsidRPr="00C25023">
        <w:rPr>
          <w:rFonts w:ascii="Times New Roman" w:hAnsi="Times New Roman" w:cs="Times New Roman"/>
          <w:i/>
          <w:iCs/>
        </w:rPr>
        <w:t>Therapeutic Goods (Standard for Nicotine Vaping Products) (TGO 110) Order 2021</w:t>
      </w:r>
      <w:r w:rsidRPr="00C25023">
        <w:rPr>
          <w:rFonts w:ascii="Times New Roman" w:hAnsi="Times New Roman" w:cs="Times New Roman"/>
        </w:rPr>
        <w:t xml:space="preserve"> with the </w:t>
      </w:r>
      <w:r w:rsidRPr="00C25023">
        <w:rPr>
          <w:rFonts w:ascii="Times New Roman" w:hAnsi="Times New Roman" w:cs="Times New Roman"/>
          <w:i/>
          <w:iCs/>
        </w:rPr>
        <w:t>Therapeutic Goods (Standard for Therapeutic Vaping Goods) (TGO 110) Order 2021</w:t>
      </w:r>
      <w:r w:rsidRPr="00C25023">
        <w:rPr>
          <w:rFonts w:ascii="Times New Roman" w:hAnsi="Times New Roman" w:cs="Times New Roman"/>
        </w:rPr>
        <w:t>, to reflect recent amendments made to the name of that instrument.</w:t>
      </w:r>
    </w:p>
    <w:p w14:paraId="5BA01F90" w14:textId="77777777" w:rsidR="00C25023" w:rsidRPr="00C25023" w:rsidRDefault="00C25023" w:rsidP="00D65F89">
      <w:pPr>
        <w:autoSpaceDE w:val="0"/>
        <w:autoSpaceDN w:val="0"/>
        <w:adjustRightInd w:val="0"/>
        <w:spacing w:after="0" w:line="240" w:lineRule="auto"/>
        <w:contextualSpacing/>
        <w:rPr>
          <w:rFonts w:ascii="Times New Roman" w:eastAsia="Calibri" w:hAnsi="Times New Roman" w:cs="Times New Roman"/>
        </w:rPr>
      </w:pPr>
    </w:p>
    <w:p w14:paraId="436F920A" w14:textId="77777777" w:rsidR="009E0C8B" w:rsidRPr="00C25023" w:rsidRDefault="009E0C8B" w:rsidP="009E0C8B">
      <w:pPr>
        <w:spacing w:after="0"/>
        <w:rPr>
          <w:rFonts w:ascii="Times New Roman" w:hAnsi="Times New Roman" w:cs="Times New Roman"/>
          <w:b/>
          <w:bCs/>
        </w:rPr>
      </w:pPr>
      <w:r w:rsidRPr="00C25023">
        <w:rPr>
          <w:rFonts w:ascii="Times New Roman" w:hAnsi="Times New Roman" w:cs="Times New Roman"/>
          <w:b/>
          <w:bCs/>
        </w:rPr>
        <w:t>Incorporation by reference</w:t>
      </w:r>
    </w:p>
    <w:p w14:paraId="2A42595C" w14:textId="77777777" w:rsidR="009E0C8B" w:rsidRPr="00C25023" w:rsidRDefault="009E0C8B" w:rsidP="009E0C8B">
      <w:pPr>
        <w:spacing w:after="0"/>
        <w:rPr>
          <w:rFonts w:ascii="Times New Roman" w:hAnsi="Times New Roman" w:cs="Times New Roman"/>
        </w:rPr>
      </w:pPr>
    </w:p>
    <w:p w14:paraId="4E6ADC16" w14:textId="6F3D79CD" w:rsidR="009E0C8B" w:rsidRPr="00C25023" w:rsidRDefault="009E0C8B" w:rsidP="009E0C8B">
      <w:pPr>
        <w:spacing w:after="0"/>
        <w:rPr>
          <w:rFonts w:ascii="Times New Roman" w:hAnsi="Times New Roman" w:cs="Times New Roman"/>
        </w:rPr>
      </w:pPr>
      <w:r w:rsidRPr="00C25023">
        <w:rPr>
          <w:rFonts w:ascii="Times New Roman" w:hAnsi="Times New Roman" w:cs="Times New Roman"/>
        </w:rPr>
        <w:t>Subsection</w:t>
      </w:r>
      <w:r w:rsidRPr="00C25023">
        <w:rPr>
          <w:rFonts w:ascii="Times New Roman" w:hAnsi="Times New Roman" w:cs="Times New Roman"/>
          <w:color w:val="000000"/>
          <w:shd w:val="clear" w:color="auto" w:fill="FFFFFF"/>
        </w:rPr>
        <w:t xml:space="preserve"> 52D(4B) </w:t>
      </w:r>
      <w:r w:rsidRPr="00C25023">
        <w:rPr>
          <w:rFonts w:ascii="Times New Roman" w:hAnsi="Times New Roman" w:cs="Times New Roman"/>
        </w:rPr>
        <w:t xml:space="preserve">of the Act relevantly provides that, despite subsection 14(2) of the </w:t>
      </w:r>
      <w:r w:rsidRPr="00C25023">
        <w:rPr>
          <w:rFonts w:ascii="Times New Roman" w:hAnsi="Times New Roman" w:cs="Times New Roman"/>
          <w:i/>
          <w:iCs/>
        </w:rPr>
        <w:t>Legislation Act 2003</w:t>
      </w:r>
      <w:r w:rsidRPr="00C25023">
        <w:rPr>
          <w:rFonts w:ascii="Times New Roman" w:hAnsi="Times New Roman" w:cs="Times New Roman"/>
        </w:rPr>
        <w:t xml:space="preserve"> (“the Legislation Act”), </w:t>
      </w:r>
      <w:r w:rsidRPr="00C25023">
        <w:rPr>
          <w:rFonts w:ascii="Times New Roman" w:hAnsi="Times New Roman" w:cs="Times New Roman"/>
          <w:color w:val="000000"/>
          <w:shd w:val="clear" w:color="auto" w:fill="FFFFFF"/>
        </w:rPr>
        <w:t xml:space="preserve">an instrument made under paragraph 52D(2)(a) or (b) </w:t>
      </w:r>
      <w:r w:rsidRPr="00C25023">
        <w:rPr>
          <w:rFonts w:ascii="Times New Roman" w:hAnsi="Times New Roman" w:cs="Times New Roman"/>
        </w:rPr>
        <w:t>may make provision in relation to a matter by applying, adopting or incorporating any matter contained in an instrument or other writing as in force or existing from time to time.</w:t>
      </w:r>
    </w:p>
    <w:p w14:paraId="748A24A3" w14:textId="77777777" w:rsidR="009E0C8B" w:rsidRPr="00C25023" w:rsidRDefault="009E0C8B" w:rsidP="009E0C8B">
      <w:pPr>
        <w:spacing w:after="0"/>
        <w:rPr>
          <w:rFonts w:ascii="Times New Roman" w:hAnsi="Times New Roman" w:cs="Times New Roman"/>
          <w:strike/>
        </w:rPr>
      </w:pPr>
    </w:p>
    <w:p w14:paraId="72AC6996" w14:textId="77777777" w:rsidR="009E0C8B" w:rsidRPr="00C25023" w:rsidRDefault="009E0C8B" w:rsidP="009E0C8B">
      <w:pPr>
        <w:spacing w:after="0"/>
        <w:rPr>
          <w:rFonts w:ascii="Times New Roman" w:hAnsi="Times New Roman" w:cs="Times New Roman"/>
          <w:color w:val="000000"/>
          <w:shd w:val="clear" w:color="auto" w:fill="FFFFFF"/>
        </w:rPr>
      </w:pPr>
      <w:r w:rsidRPr="00C25023">
        <w:rPr>
          <w:rFonts w:ascii="Times New Roman" w:hAnsi="Times New Roman" w:cs="Times New Roman"/>
          <w:color w:val="000000"/>
          <w:shd w:val="clear" w:color="auto" w:fill="FFFFFF"/>
        </w:rPr>
        <w:t>The Instrument incorporates the following documents by reference, in the manner outlined:</w:t>
      </w:r>
    </w:p>
    <w:p w14:paraId="5B5BA0BE" w14:textId="77777777" w:rsidR="009E0C8B" w:rsidRPr="00C25023" w:rsidRDefault="009E0C8B" w:rsidP="009E0C8B">
      <w:pPr>
        <w:spacing w:after="0"/>
        <w:rPr>
          <w:rFonts w:ascii="Times New Roman" w:hAnsi="Times New Roman" w:cs="Times New Roman"/>
          <w:color w:val="000000"/>
          <w:shd w:val="clear" w:color="auto" w:fill="FFFFFF"/>
        </w:rPr>
      </w:pPr>
    </w:p>
    <w:p w14:paraId="65327F99" w14:textId="77777777" w:rsidR="009E0C8B" w:rsidRPr="00C25023" w:rsidRDefault="009E0C8B" w:rsidP="009E0C8B">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color w:val="000000"/>
          <w:shd w:val="clear" w:color="auto" w:fill="FFFFFF"/>
        </w:rPr>
        <w:t>United States Code of Federal Regulations, Title 16, Section 1700.15, </w:t>
      </w:r>
      <w:r w:rsidRPr="00C25023">
        <w:rPr>
          <w:rFonts w:ascii="Times New Roman" w:hAnsi="Times New Roman" w:cs="Times New Roman"/>
          <w:i/>
          <w:iCs/>
          <w:color w:val="000000"/>
          <w:shd w:val="clear" w:color="auto" w:fill="FFFFFF"/>
        </w:rPr>
        <w:t>Poison prevention packaging standards</w:t>
      </w:r>
      <w:r w:rsidRPr="00C25023">
        <w:rPr>
          <w:rFonts w:ascii="Times New Roman" w:hAnsi="Times New Roman" w:cs="Times New Roman"/>
          <w:color w:val="000000"/>
          <w:shd w:val="clear" w:color="auto" w:fill="FFFFFF"/>
        </w:rPr>
        <w:t> and Section </w:t>
      </w:r>
      <w:r w:rsidRPr="00C25023">
        <w:rPr>
          <w:rFonts w:ascii="Times New Roman" w:hAnsi="Times New Roman" w:cs="Times New Roman"/>
          <w:shd w:val="clear" w:color="auto" w:fill="FFFFFF"/>
        </w:rPr>
        <w:t>1700.20, </w:t>
      </w:r>
      <w:r w:rsidRPr="00C25023">
        <w:rPr>
          <w:rFonts w:ascii="Times New Roman" w:hAnsi="Times New Roman" w:cs="Times New Roman"/>
          <w:i/>
          <w:iCs/>
          <w:shd w:val="clear" w:color="auto" w:fill="FFFFFF"/>
        </w:rPr>
        <w:t>Testing procedure for special packaging</w:t>
      </w:r>
      <w:r w:rsidRPr="00C25023">
        <w:rPr>
          <w:rFonts w:ascii="Times New Roman" w:hAnsi="Times New Roman" w:cs="Times New Roman"/>
          <w:shd w:val="clear" w:color="auto" w:fill="FFFFFF"/>
        </w:rPr>
        <w:t xml:space="preserve">. The intended manner of incorporation is as in force from time to time, </w:t>
      </w:r>
      <w:r w:rsidRPr="00C25023">
        <w:rPr>
          <w:rFonts w:ascii="Times New Roman" w:hAnsi="Times New Roman" w:cs="Times New Roman"/>
        </w:rPr>
        <w:t xml:space="preserve">as specifically provided for in paragraph (b)(iv) of the definition of </w:t>
      </w:r>
      <w:r w:rsidRPr="00C25023">
        <w:rPr>
          <w:rFonts w:ascii="Times New Roman" w:hAnsi="Times New Roman" w:cs="Times New Roman"/>
          <w:i/>
          <w:iCs/>
        </w:rPr>
        <w:t>child-resistant packaging</w:t>
      </w:r>
      <w:r w:rsidRPr="00C25023">
        <w:rPr>
          <w:rFonts w:ascii="Times New Roman" w:hAnsi="Times New Roman" w:cs="Times New Roman"/>
        </w:rPr>
        <w:t xml:space="preserve"> in section 6 of the Instrument</w:t>
      </w:r>
      <w:r w:rsidRPr="00C25023">
        <w:rPr>
          <w:rFonts w:ascii="Times New Roman" w:hAnsi="Times New Roman" w:cs="Times New Roman"/>
          <w:color w:val="000000"/>
          <w:shd w:val="clear" w:color="auto" w:fill="FFFFFF"/>
        </w:rPr>
        <w:t>. This document is freely available from the Code of Federal Regulations website (</w:t>
      </w:r>
      <w:r w:rsidRPr="00C25023">
        <w:rPr>
          <w:rFonts w:ascii="Times New Roman" w:hAnsi="Times New Roman" w:cs="Times New Roman"/>
        </w:rPr>
        <w:t>www.ecfr.gov</w:t>
      </w:r>
      <w:r w:rsidRPr="00C25023">
        <w:rPr>
          <w:rFonts w:ascii="Times New Roman" w:hAnsi="Times New Roman" w:cs="Times New Roman"/>
          <w:color w:val="000000"/>
          <w:shd w:val="clear" w:color="auto" w:fill="FFFFFF"/>
        </w:rPr>
        <w:t>); and</w:t>
      </w:r>
    </w:p>
    <w:p w14:paraId="5D5603F8" w14:textId="77777777" w:rsidR="009E0C8B" w:rsidRPr="00C25023" w:rsidRDefault="009E0C8B" w:rsidP="009E0C8B">
      <w:pPr>
        <w:pStyle w:val="ListParagraph"/>
        <w:spacing w:after="0"/>
        <w:ind w:left="360"/>
        <w:contextualSpacing w:val="0"/>
        <w:rPr>
          <w:rFonts w:ascii="Times New Roman" w:hAnsi="Times New Roman" w:cs="Times New Roman"/>
        </w:rPr>
      </w:pPr>
    </w:p>
    <w:p w14:paraId="47E336CE" w14:textId="77777777" w:rsidR="009E0C8B" w:rsidRPr="00C25023" w:rsidRDefault="009E0C8B" w:rsidP="009E0C8B">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National Transport </w:t>
      </w:r>
      <w:r w:rsidRPr="00C25023">
        <w:rPr>
          <w:rFonts w:ascii="Times New Roman" w:hAnsi="Times New Roman" w:cs="Times New Roman"/>
          <w:color w:val="000000"/>
          <w:shd w:val="clear" w:color="auto" w:fill="FFFFFF"/>
        </w:rPr>
        <w:t>Commission</w:t>
      </w:r>
      <w:r w:rsidRPr="00C25023">
        <w:rPr>
          <w:rFonts w:ascii="Times New Roman" w:hAnsi="Times New Roman" w:cs="Times New Roman"/>
        </w:rPr>
        <w:t xml:space="preserve">, </w:t>
      </w:r>
      <w:r w:rsidRPr="00C25023">
        <w:rPr>
          <w:rFonts w:ascii="Times New Roman" w:hAnsi="Times New Roman" w:cs="Times New Roman"/>
          <w:i/>
          <w:iCs/>
        </w:rPr>
        <w:t>Australian Code for the Transport of Dangerous Goods by Road &amp; Rail</w:t>
      </w:r>
      <w:r w:rsidRPr="00C25023">
        <w:rPr>
          <w:rFonts w:ascii="Times New Roman" w:hAnsi="Times New Roman" w:cs="Times New Roman"/>
        </w:rPr>
        <w:t xml:space="preserve">. The intended manner of incorporation is </w:t>
      </w:r>
      <w:r w:rsidRPr="00C25023">
        <w:rPr>
          <w:rFonts w:ascii="Times New Roman" w:hAnsi="Times New Roman" w:cs="Times New Roman"/>
          <w:shd w:val="clear" w:color="auto" w:fill="FFFFFF"/>
        </w:rPr>
        <w:t xml:space="preserve">as it exists from time to time, </w:t>
      </w:r>
      <w:r w:rsidRPr="00C25023">
        <w:rPr>
          <w:rFonts w:ascii="Times New Roman" w:hAnsi="Times New Roman" w:cs="Times New Roman"/>
        </w:rPr>
        <w:t>as identified in section 10 of the Instrument. This document is freely available from the National Transport Commission website (www.ntc.gov.au).</w:t>
      </w:r>
    </w:p>
    <w:p w14:paraId="72BA6462" w14:textId="77777777" w:rsidR="009E0C8B" w:rsidRPr="00C25023" w:rsidRDefault="009E0C8B" w:rsidP="009E0C8B">
      <w:pPr>
        <w:spacing w:after="0"/>
        <w:ind w:left="360" w:hanging="360"/>
        <w:rPr>
          <w:rFonts w:ascii="Times New Roman" w:hAnsi="Times New Roman" w:cs="Times New Roman"/>
        </w:rPr>
      </w:pPr>
    </w:p>
    <w:p w14:paraId="6305E2AD" w14:textId="77777777" w:rsidR="005E6A63" w:rsidRPr="00C25023" w:rsidRDefault="005E6A63" w:rsidP="005E6A63">
      <w:pPr>
        <w:spacing w:after="0"/>
        <w:rPr>
          <w:rFonts w:ascii="Times New Roman" w:hAnsi="Times New Roman" w:cs="Times New Roman"/>
          <w:color w:val="000000"/>
          <w:shd w:val="clear" w:color="auto" w:fill="FFFFFF"/>
        </w:rPr>
      </w:pPr>
      <w:r w:rsidRPr="00C25023">
        <w:rPr>
          <w:rFonts w:ascii="Times New Roman" w:hAnsi="Times New Roman" w:cs="Times New Roman"/>
          <w:color w:val="000000"/>
          <w:shd w:val="clear" w:color="auto" w:fill="FFFFFF"/>
        </w:rPr>
        <w:t>The following documents are also incorporated by reference, with the intended manner of incorporation being as they exist from time to time, as provided in section 10 of the Instrument</w:t>
      </w:r>
      <w:r w:rsidRPr="00C25023">
        <w:rPr>
          <w:rFonts w:ascii="Times New Roman" w:hAnsi="Times New Roman" w:cs="Times New Roman"/>
        </w:rPr>
        <w:t>:</w:t>
      </w:r>
    </w:p>
    <w:p w14:paraId="73D5F19E" w14:textId="77777777" w:rsidR="005E6A63" w:rsidRPr="00C25023" w:rsidRDefault="005E6A63" w:rsidP="005E6A63">
      <w:pPr>
        <w:spacing w:after="0"/>
        <w:ind w:left="360" w:hanging="360"/>
        <w:rPr>
          <w:rFonts w:ascii="Times New Roman" w:hAnsi="Times New Roman" w:cs="Times New Roman"/>
        </w:rPr>
      </w:pPr>
    </w:p>
    <w:p w14:paraId="71A3346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1928</w:t>
      </w:r>
      <w:r w:rsidRPr="00C25023">
        <w:rPr>
          <w:rFonts w:ascii="Times New Roman" w:hAnsi="Times New Roman" w:cs="Times New Roman"/>
        </w:rPr>
        <w:noBreakHyphen/>
        <w:t>2007, </w:t>
      </w:r>
      <w:r w:rsidRPr="00C25023">
        <w:rPr>
          <w:rFonts w:ascii="Times New Roman" w:hAnsi="Times New Roman" w:cs="Times New Roman"/>
          <w:i/>
          <w:iCs/>
        </w:rPr>
        <w:t>Child</w:t>
      </w:r>
      <w:r w:rsidRPr="00C25023">
        <w:rPr>
          <w:rFonts w:ascii="Times New Roman" w:hAnsi="Times New Roman" w:cs="Times New Roman"/>
          <w:i/>
          <w:iCs/>
        </w:rPr>
        <w:noBreakHyphen/>
        <w:t>resistant packaging – Requirements and testing procedures for reclosable packages</w:t>
      </w:r>
      <w:r w:rsidRPr="00C25023">
        <w:rPr>
          <w:rFonts w:ascii="Times New Roman" w:hAnsi="Times New Roman" w:cs="Times New Roman"/>
        </w:rPr>
        <w:t xml:space="preserve"> (ISO 8317:2015, MOD);</w:t>
      </w:r>
    </w:p>
    <w:p w14:paraId="1D1D625B" w14:textId="77777777" w:rsidR="005E6A63" w:rsidRPr="00C25023" w:rsidRDefault="005E6A63" w:rsidP="005E6A63">
      <w:pPr>
        <w:pStyle w:val="ListParagraph"/>
        <w:spacing w:after="0"/>
        <w:ind w:left="360"/>
        <w:contextualSpacing w:val="0"/>
        <w:rPr>
          <w:rFonts w:ascii="Times New Roman" w:hAnsi="Times New Roman" w:cs="Times New Roman"/>
        </w:rPr>
      </w:pPr>
    </w:p>
    <w:p w14:paraId="0B52ECF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shd w:val="clear" w:color="auto" w:fill="FFFFFF"/>
        </w:rPr>
        <w:t>International Organization for Standardization Standard ISO 8317:2015, </w:t>
      </w:r>
      <w:r w:rsidRPr="00C25023">
        <w:rPr>
          <w:rFonts w:ascii="Times New Roman" w:hAnsi="Times New Roman" w:cs="Times New Roman"/>
          <w:i/>
          <w:iCs/>
          <w:shd w:val="clear" w:color="auto" w:fill="FFFFFF"/>
        </w:rPr>
        <w:t>Child</w:t>
      </w:r>
      <w:r w:rsidRPr="00C25023">
        <w:rPr>
          <w:rFonts w:ascii="Times New Roman" w:hAnsi="Times New Roman" w:cs="Times New Roman"/>
          <w:i/>
          <w:iCs/>
          <w:shd w:val="clear" w:color="auto" w:fill="FFFFFF"/>
        </w:rPr>
        <w:noBreakHyphen/>
        <w:t>resistant packaging—Requirements and testing procedures for reclosable packages</w:t>
      </w:r>
      <w:r w:rsidRPr="00C25023">
        <w:rPr>
          <w:rFonts w:ascii="Times New Roman" w:hAnsi="Times New Roman" w:cs="Times New Roman"/>
        </w:rPr>
        <w:t>;</w:t>
      </w:r>
    </w:p>
    <w:p w14:paraId="07588FA7" w14:textId="77777777" w:rsidR="005E6A63" w:rsidRPr="00C25023" w:rsidRDefault="005E6A63" w:rsidP="005E6A63">
      <w:pPr>
        <w:pStyle w:val="ListParagraph"/>
        <w:ind w:left="360"/>
        <w:rPr>
          <w:rFonts w:ascii="Times New Roman" w:hAnsi="Times New Roman" w:cs="Times New Roman"/>
        </w:rPr>
      </w:pPr>
    </w:p>
    <w:p w14:paraId="6B8BB2B0"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shd w:val="clear" w:color="auto" w:fill="FFFFFF"/>
        </w:rPr>
        <w:t>Australian Standard AS 2216</w:t>
      </w:r>
      <w:r w:rsidRPr="00C25023">
        <w:rPr>
          <w:rFonts w:ascii="Times New Roman" w:hAnsi="Times New Roman" w:cs="Times New Roman"/>
          <w:shd w:val="clear" w:color="auto" w:fill="FFFFFF"/>
        </w:rPr>
        <w:noBreakHyphen/>
        <w:t>1997, </w:t>
      </w:r>
      <w:r w:rsidRPr="00C25023">
        <w:rPr>
          <w:rFonts w:ascii="Times New Roman" w:hAnsi="Times New Roman" w:cs="Times New Roman"/>
          <w:i/>
          <w:iCs/>
          <w:shd w:val="clear" w:color="auto" w:fill="FFFFFF"/>
        </w:rPr>
        <w:t>Packaging for poisonous substances</w:t>
      </w:r>
      <w:r w:rsidRPr="00C25023">
        <w:rPr>
          <w:rFonts w:ascii="Times New Roman" w:hAnsi="Times New Roman" w:cs="Times New Roman"/>
        </w:rPr>
        <w:t>;</w:t>
      </w:r>
    </w:p>
    <w:p w14:paraId="6952EC8A" w14:textId="77777777" w:rsidR="005E6A63" w:rsidRPr="00C25023" w:rsidRDefault="005E6A63" w:rsidP="005E6A63">
      <w:pPr>
        <w:pStyle w:val="ListParagraph"/>
        <w:ind w:left="360"/>
        <w:rPr>
          <w:rFonts w:ascii="Times New Roman" w:hAnsi="Times New Roman" w:cs="Times New Roman"/>
        </w:rPr>
      </w:pPr>
    </w:p>
    <w:p w14:paraId="2D496BD6"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4710-2001, </w:t>
      </w:r>
      <w:r w:rsidRPr="00C25023">
        <w:rPr>
          <w:rFonts w:ascii="Times New Roman" w:hAnsi="Times New Roman" w:cs="Times New Roman"/>
          <w:i/>
          <w:iCs/>
        </w:rPr>
        <w:t>Packages for chemicals not intended for access or contact with their contents by humans</w:t>
      </w:r>
      <w:r w:rsidRPr="00C25023">
        <w:rPr>
          <w:rFonts w:ascii="Times New Roman" w:hAnsi="Times New Roman" w:cs="Times New Roman"/>
        </w:rPr>
        <w:t>;</w:t>
      </w:r>
    </w:p>
    <w:p w14:paraId="74BAB453" w14:textId="77777777" w:rsidR="005E6A63" w:rsidRPr="00C25023" w:rsidRDefault="005E6A63" w:rsidP="005E6A63">
      <w:pPr>
        <w:pStyle w:val="ListParagraph"/>
        <w:ind w:left="360"/>
        <w:rPr>
          <w:rFonts w:ascii="Times New Roman" w:hAnsi="Times New Roman" w:cs="Times New Roman"/>
        </w:rPr>
      </w:pPr>
    </w:p>
    <w:p w14:paraId="39A4CE36"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1580-301.1-2005, </w:t>
      </w:r>
      <w:r w:rsidRPr="00C25023">
        <w:rPr>
          <w:rFonts w:ascii="Times New Roman" w:hAnsi="Times New Roman" w:cs="Times New Roman"/>
          <w:i/>
          <w:iCs/>
        </w:rPr>
        <w:t>Paints and related materials – Methods of test – Non-volatile content by mass</w:t>
      </w:r>
      <w:r w:rsidRPr="00C25023">
        <w:rPr>
          <w:rFonts w:ascii="Times New Roman" w:hAnsi="Times New Roman" w:cs="Times New Roman"/>
        </w:rPr>
        <w:t>;</w:t>
      </w:r>
    </w:p>
    <w:p w14:paraId="0287C36A" w14:textId="77777777" w:rsidR="005E6A63" w:rsidRPr="00C25023" w:rsidRDefault="005E6A63" w:rsidP="005E6A63">
      <w:pPr>
        <w:pStyle w:val="ListParagraph"/>
        <w:ind w:left="360"/>
        <w:rPr>
          <w:rFonts w:ascii="Times New Roman" w:hAnsi="Times New Roman" w:cs="Times New Roman"/>
        </w:rPr>
      </w:pPr>
    </w:p>
    <w:p w14:paraId="2D606C29"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color w:val="000000"/>
          <w:shd w:val="clear" w:color="auto" w:fill="FFFFFF"/>
        </w:rPr>
        <w:t>Australian</w:t>
      </w:r>
      <w:r w:rsidRPr="00C25023">
        <w:rPr>
          <w:rFonts w:ascii="Times New Roman" w:hAnsi="Times New Roman" w:cs="Times New Roman"/>
        </w:rPr>
        <w:t xml:space="preserve"> Standard AS 8124.4-2003, </w:t>
      </w:r>
      <w:r w:rsidRPr="00C25023">
        <w:rPr>
          <w:rFonts w:ascii="Times New Roman" w:hAnsi="Times New Roman" w:cs="Times New Roman"/>
          <w:i/>
          <w:iCs/>
        </w:rPr>
        <w:t xml:space="preserve">Safety of toys, </w:t>
      </w:r>
      <w:r w:rsidRPr="00C25023">
        <w:rPr>
          <w:rFonts w:ascii="Times New Roman" w:hAnsi="Times New Roman" w:cs="Times New Roman"/>
        </w:rPr>
        <w:t xml:space="preserve">Part 4: </w:t>
      </w:r>
      <w:r w:rsidRPr="00C25023">
        <w:rPr>
          <w:rFonts w:ascii="Times New Roman" w:hAnsi="Times New Roman" w:cs="Times New Roman"/>
          <w:i/>
          <w:iCs/>
        </w:rPr>
        <w:t>Experimental sets for chemistry and related activities</w:t>
      </w:r>
      <w:r w:rsidRPr="00C25023">
        <w:rPr>
          <w:rFonts w:ascii="Times New Roman" w:hAnsi="Times New Roman" w:cs="Times New Roman"/>
        </w:rPr>
        <w:t>;</w:t>
      </w:r>
    </w:p>
    <w:p w14:paraId="672232A4" w14:textId="77777777" w:rsidR="005E6A63" w:rsidRPr="00C25023" w:rsidRDefault="005E6A63" w:rsidP="005E6A63">
      <w:pPr>
        <w:pStyle w:val="ListParagraph"/>
        <w:ind w:left="360"/>
        <w:rPr>
          <w:rFonts w:ascii="Times New Roman" w:hAnsi="Times New Roman" w:cs="Times New Roman"/>
        </w:rPr>
      </w:pPr>
    </w:p>
    <w:p w14:paraId="25FDB4F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shd w:val="clear" w:color="auto" w:fill="FFFFFF"/>
        </w:rPr>
        <w:t>Australian</w:t>
      </w:r>
      <w:r w:rsidRPr="00C25023">
        <w:rPr>
          <w:rFonts w:ascii="Times New Roman" w:hAnsi="Times New Roman" w:cs="Times New Roman"/>
        </w:rPr>
        <w:t xml:space="preserve">/New Zealand Standard AS/NZS ISO 8124.3:2012, </w:t>
      </w:r>
      <w:r w:rsidRPr="00C25023">
        <w:rPr>
          <w:rFonts w:ascii="Times New Roman" w:hAnsi="Times New Roman" w:cs="Times New Roman"/>
          <w:i/>
          <w:iCs/>
        </w:rPr>
        <w:t>Safety of toys Part 3: Migration of certain elements (ISO 8124-03:2010, MOD)</w:t>
      </w:r>
      <w:r w:rsidRPr="00C25023">
        <w:rPr>
          <w:rFonts w:ascii="Times New Roman" w:hAnsi="Times New Roman" w:cs="Times New Roman"/>
        </w:rPr>
        <w:t>;</w:t>
      </w:r>
    </w:p>
    <w:p w14:paraId="11134297" w14:textId="77777777" w:rsidR="005E6A63" w:rsidRPr="00C25023" w:rsidRDefault="005E6A63" w:rsidP="005E6A63">
      <w:pPr>
        <w:pStyle w:val="ListParagraph"/>
        <w:spacing w:after="0"/>
        <w:contextualSpacing w:val="0"/>
        <w:rPr>
          <w:rFonts w:ascii="Times New Roman" w:hAnsi="Times New Roman" w:cs="Times New Roman"/>
        </w:rPr>
      </w:pPr>
    </w:p>
    <w:p w14:paraId="2AEE67CF"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lastRenderedPageBreak/>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1928</w:t>
      </w:r>
      <w:r w:rsidRPr="00C25023">
        <w:rPr>
          <w:rFonts w:ascii="Times New Roman" w:hAnsi="Times New Roman" w:cs="Times New Roman"/>
        </w:rPr>
        <w:noBreakHyphen/>
        <w:t>2001, </w:t>
      </w:r>
      <w:r w:rsidRPr="00C25023">
        <w:rPr>
          <w:rFonts w:ascii="Times New Roman" w:hAnsi="Times New Roman" w:cs="Times New Roman"/>
          <w:i/>
          <w:iCs/>
        </w:rPr>
        <w:t>Child</w:t>
      </w:r>
      <w:r w:rsidRPr="00C25023">
        <w:rPr>
          <w:rFonts w:ascii="Times New Roman" w:hAnsi="Times New Roman" w:cs="Times New Roman"/>
          <w:i/>
          <w:iCs/>
        </w:rPr>
        <w:noBreakHyphen/>
        <w:t>resistant packages</w:t>
      </w:r>
      <w:r w:rsidRPr="00C25023">
        <w:rPr>
          <w:rFonts w:ascii="Times New Roman" w:hAnsi="Times New Roman" w:cs="Times New Roman"/>
        </w:rPr>
        <w:t>;</w:t>
      </w:r>
    </w:p>
    <w:p w14:paraId="17113895" w14:textId="77777777" w:rsidR="005E6A63" w:rsidRPr="00C25023" w:rsidRDefault="005E6A63" w:rsidP="005E6A63">
      <w:pPr>
        <w:pStyle w:val="ListParagraph"/>
        <w:rPr>
          <w:rFonts w:ascii="Times New Roman" w:hAnsi="Times New Roman" w:cs="Times New Roman"/>
        </w:rPr>
      </w:pPr>
    </w:p>
    <w:p w14:paraId="0AB4717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eastAsia="Calibri" w:hAnsi="Times New Roman" w:cs="Times New Roman"/>
        </w:rPr>
        <w:t xml:space="preserve">Australian Standard AS 4020:2018, </w:t>
      </w:r>
      <w:r w:rsidRPr="00C25023">
        <w:rPr>
          <w:rFonts w:ascii="Times New Roman" w:eastAsia="Calibri" w:hAnsi="Times New Roman" w:cs="Times New Roman"/>
          <w:i/>
          <w:iCs/>
        </w:rPr>
        <w:t>Testing of products for use in contact with drinking water</w:t>
      </w:r>
      <w:r w:rsidRPr="00C25023">
        <w:rPr>
          <w:rFonts w:ascii="Times New Roman" w:eastAsia="Calibri" w:hAnsi="Times New Roman" w:cs="Times New Roman"/>
        </w:rPr>
        <w:t>;</w:t>
      </w:r>
    </w:p>
    <w:p w14:paraId="4770B033" w14:textId="77777777" w:rsidR="005E6A63" w:rsidRPr="00C25023" w:rsidRDefault="005E6A63" w:rsidP="005E6A63">
      <w:pPr>
        <w:pStyle w:val="ListParagraph"/>
        <w:spacing w:after="0"/>
        <w:contextualSpacing w:val="0"/>
        <w:rPr>
          <w:rFonts w:ascii="Times New Roman" w:hAnsi="Times New Roman" w:cs="Times New Roman"/>
        </w:rPr>
      </w:pPr>
    </w:p>
    <w:p w14:paraId="49247E8D"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British Standards </w:t>
      </w:r>
      <w:r w:rsidRPr="00C25023">
        <w:rPr>
          <w:rFonts w:ascii="Times New Roman" w:hAnsi="Times New Roman" w:cs="Times New Roman"/>
          <w:shd w:val="clear" w:color="auto" w:fill="FFFFFF"/>
        </w:rPr>
        <w:t>Institution</w:t>
      </w:r>
      <w:r w:rsidRPr="00C25023">
        <w:rPr>
          <w:rFonts w:ascii="Times New Roman" w:hAnsi="Times New Roman" w:cs="Times New Roman"/>
        </w:rPr>
        <w:t xml:space="preserve"> Standard BS EN ISO 8317:2004, </w:t>
      </w:r>
      <w:r w:rsidRPr="00C25023">
        <w:rPr>
          <w:rFonts w:ascii="Times New Roman" w:hAnsi="Times New Roman" w:cs="Times New Roman"/>
          <w:i/>
          <w:iCs/>
        </w:rPr>
        <w:t>Child</w:t>
      </w:r>
      <w:r w:rsidRPr="00C25023">
        <w:rPr>
          <w:rFonts w:ascii="Times New Roman" w:hAnsi="Times New Roman" w:cs="Times New Roman"/>
          <w:i/>
          <w:iCs/>
        </w:rPr>
        <w:noBreakHyphen/>
        <w:t>resistant packaging—Requirements and testing procedures for reclosable packages</w:t>
      </w:r>
      <w:r w:rsidRPr="00C25023">
        <w:rPr>
          <w:rFonts w:ascii="Times New Roman" w:hAnsi="Times New Roman" w:cs="Times New Roman"/>
        </w:rPr>
        <w:t>;</w:t>
      </w:r>
    </w:p>
    <w:p w14:paraId="1817C1E3" w14:textId="77777777" w:rsidR="005E6A63" w:rsidRPr="00C25023" w:rsidRDefault="005E6A63" w:rsidP="005E6A63">
      <w:pPr>
        <w:pStyle w:val="ListParagraph"/>
        <w:ind w:left="360"/>
        <w:rPr>
          <w:rFonts w:ascii="Times New Roman" w:hAnsi="Times New Roman" w:cs="Times New Roman"/>
        </w:rPr>
      </w:pPr>
    </w:p>
    <w:p w14:paraId="6275F30F"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Canadian Standards Association Standard CSA Z76.1</w:t>
      </w:r>
      <w:r w:rsidRPr="00C25023">
        <w:rPr>
          <w:rFonts w:ascii="Times New Roman" w:hAnsi="Times New Roman" w:cs="Times New Roman"/>
        </w:rPr>
        <w:noBreakHyphen/>
        <w:t>06, </w:t>
      </w:r>
      <w:r w:rsidRPr="00C25023">
        <w:rPr>
          <w:rFonts w:ascii="Times New Roman" w:hAnsi="Times New Roman" w:cs="Times New Roman"/>
          <w:i/>
          <w:iCs/>
        </w:rPr>
        <w:t>Reclosable Child</w:t>
      </w:r>
      <w:r w:rsidRPr="00C25023">
        <w:rPr>
          <w:rFonts w:ascii="Times New Roman" w:hAnsi="Times New Roman" w:cs="Times New Roman"/>
          <w:i/>
          <w:iCs/>
        </w:rPr>
        <w:noBreakHyphen/>
        <w:t>Resistant Packages</w:t>
      </w:r>
      <w:r w:rsidRPr="00C25023">
        <w:rPr>
          <w:rFonts w:ascii="Times New Roman" w:hAnsi="Times New Roman" w:cs="Times New Roman"/>
        </w:rPr>
        <w:t>;</w:t>
      </w:r>
    </w:p>
    <w:p w14:paraId="61FA7F3B" w14:textId="77777777" w:rsidR="005E6A63" w:rsidRPr="00C25023" w:rsidRDefault="005E6A63" w:rsidP="005E6A63">
      <w:pPr>
        <w:pStyle w:val="ListParagraph"/>
        <w:ind w:left="360"/>
        <w:rPr>
          <w:rFonts w:ascii="Times New Roman" w:hAnsi="Times New Roman" w:cs="Times New Roman"/>
        </w:rPr>
      </w:pPr>
    </w:p>
    <w:p w14:paraId="61EFF324"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Personal Care Products Council of America, </w:t>
      </w:r>
      <w:r w:rsidRPr="00C25023">
        <w:rPr>
          <w:rFonts w:ascii="Times New Roman" w:hAnsi="Times New Roman" w:cs="Times New Roman"/>
          <w:i/>
          <w:iCs/>
        </w:rPr>
        <w:t>International Cosmetic Ingredient Dictionary &amp; Handbook</w:t>
      </w:r>
      <w:r w:rsidRPr="00C25023">
        <w:rPr>
          <w:rFonts w:ascii="Times New Roman" w:hAnsi="Times New Roman" w:cs="Times New Roman"/>
        </w:rPr>
        <w:t>; and</w:t>
      </w:r>
    </w:p>
    <w:p w14:paraId="4D4F9DD2" w14:textId="77777777" w:rsidR="005E6A63" w:rsidRPr="00C25023" w:rsidRDefault="005E6A63" w:rsidP="005E6A63">
      <w:pPr>
        <w:pStyle w:val="ListParagraph"/>
        <w:spacing w:after="0"/>
        <w:ind w:left="360"/>
        <w:rPr>
          <w:rFonts w:ascii="Times New Roman" w:hAnsi="Times New Roman" w:cs="Times New Roman"/>
        </w:rPr>
      </w:pPr>
    </w:p>
    <w:p w14:paraId="026650CB"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i/>
          <w:iCs/>
        </w:rPr>
        <w:t>Agricultural and Veterinary Chemicals Code (Agricultural Active Constituents) Standards 2022</w:t>
      </w:r>
      <w:r w:rsidRPr="00C25023">
        <w:rPr>
          <w:rFonts w:ascii="Times New Roman" w:hAnsi="Times New Roman" w:cs="Times New Roman"/>
        </w:rPr>
        <w:t>, published by the Australian Pesticides and Veterinary Medicines Authority.</w:t>
      </w:r>
    </w:p>
    <w:p w14:paraId="45D877DA" w14:textId="77777777" w:rsidR="009E0C8B" w:rsidRPr="00C25023" w:rsidRDefault="009E0C8B" w:rsidP="009E0C8B">
      <w:pPr>
        <w:spacing w:after="0"/>
        <w:rPr>
          <w:rFonts w:ascii="Times New Roman" w:hAnsi="Times New Roman" w:cs="Times New Roman"/>
        </w:rPr>
      </w:pPr>
    </w:p>
    <w:p w14:paraId="1C7AAD74" w14:textId="77777777" w:rsidR="009E0C8B" w:rsidRPr="00C25023" w:rsidRDefault="009E0C8B" w:rsidP="009E0C8B">
      <w:pPr>
        <w:spacing w:after="0"/>
        <w:rPr>
          <w:rFonts w:ascii="Times New Roman" w:hAnsi="Times New Roman" w:cs="Times New Roman"/>
        </w:rPr>
      </w:pPr>
      <w:r w:rsidRPr="00C25023">
        <w:rPr>
          <w:rFonts w:ascii="Times New Roman" w:hAnsi="Times New Roman" w:cs="Times New Roman"/>
        </w:rPr>
        <w:t>However, these documents are not publicly available for free. Rather, they can, by prior written arrangement where possible and without charge, be viewed by members of the public at the TGA office in Fairbairn, ACT. While these documents are not available for free, it is anticipated that the persons most affected by their adoption in the current Poisons Standard would likely be in possession of these documents. As important benchmarks for the safety of therapeutic goods and other consumer goods, it would be infeasible from a regulatory perspective to not adopt such benchmarks on the basis that the publications are not available for free.</w:t>
      </w:r>
    </w:p>
    <w:p w14:paraId="68BF8289" w14:textId="24F90711" w:rsidR="009E0C8B" w:rsidRPr="00C25023" w:rsidRDefault="009E0C8B" w:rsidP="003A081C">
      <w:pPr>
        <w:spacing w:after="0" w:line="240" w:lineRule="auto"/>
        <w:rPr>
          <w:rFonts w:ascii="Times New Roman" w:eastAsia="Times New Roman" w:hAnsi="Times New Roman" w:cs="Times New Roman"/>
          <w:lang w:val="en-US"/>
        </w:rPr>
      </w:pPr>
    </w:p>
    <w:p w14:paraId="4D8083D6" w14:textId="77777777" w:rsidR="003A081C" w:rsidRPr="00C25023" w:rsidRDefault="003A081C" w:rsidP="00927ED9">
      <w:pPr>
        <w:keepNext/>
        <w:spacing w:after="0" w:line="240" w:lineRule="auto"/>
        <w:rPr>
          <w:rFonts w:ascii="Times New Roman" w:eastAsia="Calibri" w:hAnsi="Times New Roman" w:cs="Times New Roman"/>
          <w:iCs/>
        </w:rPr>
      </w:pPr>
      <w:r w:rsidRPr="00C25023">
        <w:rPr>
          <w:rFonts w:ascii="Times New Roman" w:eastAsia="Times New Roman" w:hAnsi="Times New Roman" w:cs="Times New Roman"/>
          <w:b/>
          <w:bCs/>
          <w:iCs/>
          <w:lang w:val="en-US"/>
        </w:rPr>
        <w:t>Consultation</w:t>
      </w:r>
    </w:p>
    <w:p w14:paraId="564E8700" w14:textId="77777777" w:rsidR="003A081C" w:rsidRPr="00C25023" w:rsidRDefault="003A081C" w:rsidP="00927ED9">
      <w:pPr>
        <w:keepNext/>
        <w:spacing w:after="0" w:line="240" w:lineRule="auto"/>
        <w:rPr>
          <w:rFonts w:ascii="Times New Roman" w:eastAsia="Calibri" w:hAnsi="Times New Roman" w:cs="Times New Roman"/>
        </w:rPr>
      </w:pPr>
    </w:p>
    <w:p w14:paraId="1D9DF82C" w14:textId="40B38671" w:rsidR="003A081C" w:rsidRPr="00C25023" w:rsidRDefault="003A081C" w:rsidP="00927ED9">
      <w:pPr>
        <w:keepNext/>
        <w:spacing w:after="0" w:line="240" w:lineRule="auto"/>
        <w:rPr>
          <w:rFonts w:ascii="Times New Roman" w:eastAsia="Calibri" w:hAnsi="Times New Roman" w:cs="Times New Roman"/>
          <w:i/>
          <w:iCs/>
        </w:rPr>
      </w:pPr>
      <w:r w:rsidRPr="00C25023">
        <w:rPr>
          <w:rFonts w:ascii="Times New Roman" w:eastAsia="Calibri" w:hAnsi="Times New Roman" w:cs="Times New Roman"/>
          <w:i/>
          <w:iCs/>
        </w:rPr>
        <w:t>Proposed amendment</w:t>
      </w:r>
      <w:r w:rsidR="00162713" w:rsidRPr="00C25023">
        <w:rPr>
          <w:rFonts w:ascii="Times New Roman" w:eastAsia="Calibri" w:hAnsi="Times New Roman" w:cs="Times New Roman"/>
          <w:i/>
          <w:iCs/>
        </w:rPr>
        <w:t>s</w:t>
      </w:r>
      <w:r w:rsidRPr="00C25023">
        <w:rPr>
          <w:rFonts w:ascii="Times New Roman" w:eastAsia="Calibri" w:hAnsi="Times New Roman" w:cs="Times New Roman"/>
          <w:i/>
          <w:iCs/>
        </w:rPr>
        <w:t xml:space="preserve"> referred to an expert advisory committee</w:t>
      </w:r>
    </w:p>
    <w:p w14:paraId="6CFD43C7" w14:textId="77777777" w:rsidR="009E6689" w:rsidRPr="00C25023" w:rsidRDefault="009E6689">
      <w:pPr>
        <w:spacing w:before="20" w:after="0" w:line="240" w:lineRule="auto"/>
        <w:rPr>
          <w:rFonts w:ascii="Times New Roman" w:eastAsia="Calibri" w:hAnsi="Times New Roman" w:cs="Times New Roman"/>
        </w:rPr>
      </w:pPr>
    </w:p>
    <w:p w14:paraId="6BBA7499" w14:textId="76587778" w:rsidR="007C3D0C" w:rsidRPr="00C25023" w:rsidRDefault="007C3D0C" w:rsidP="007C3D0C">
      <w:pPr>
        <w:keepNext/>
        <w:spacing w:after="0" w:line="240" w:lineRule="auto"/>
        <w:rPr>
          <w:rFonts w:ascii="Times New Roman" w:eastAsia="Calibri" w:hAnsi="Times New Roman" w:cs="Times New Roman"/>
        </w:rPr>
      </w:pPr>
      <w:r w:rsidRPr="00C25023">
        <w:rPr>
          <w:rFonts w:ascii="Times New Roman" w:eastAsia="Calibri" w:hAnsi="Times New Roman" w:cs="Times New Roman"/>
        </w:rPr>
        <w:t>Public comment was invited in relation to the following proposed amendment</w:t>
      </w:r>
      <w:r w:rsidR="009B1208" w:rsidRPr="00C25023">
        <w:rPr>
          <w:rFonts w:ascii="Times New Roman" w:eastAsia="Calibri" w:hAnsi="Times New Roman" w:cs="Times New Roman"/>
        </w:rPr>
        <w:t>s</w:t>
      </w:r>
      <w:r w:rsidRPr="00C25023">
        <w:rPr>
          <w:rFonts w:ascii="Times New Roman" w:eastAsia="Calibri" w:hAnsi="Times New Roman" w:cs="Times New Roman"/>
        </w:rPr>
        <w:t xml:space="preserve"> that w</w:t>
      </w:r>
      <w:r w:rsidR="009B1208" w:rsidRPr="00C25023">
        <w:rPr>
          <w:rFonts w:ascii="Times New Roman" w:eastAsia="Calibri" w:hAnsi="Times New Roman" w:cs="Times New Roman"/>
        </w:rPr>
        <w:t>ere</w:t>
      </w:r>
      <w:r w:rsidRPr="00C25023">
        <w:rPr>
          <w:rFonts w:ascii="Times New Roman" w:eastAsia="Calibri" w:hAnsi="Times New Roman" w:cs="Times New Roman"/>
        </w:rPr>
        <w:t xml:space="preserve"> referred to the </w:t>
      </w:r>
      <w:r w:rsidR="007F3BAE" w:rsidRPr="00C25023">
        <w:rPr>
          <w:rFonts w:ascii="Times New Roman" w:eastAsia="Calibri" w:hAnsi="Times New Roman" w:cs="Times New Roman"/>
        </w:rPr>
        <w:t>March</w:t>
      </w:r>
      <w:r w:rsidRPr="00C25023">
        <w:rPr>
          <w:rFonts w:ascii="Times New Roman" w:eastAsia="Calibri" w:hAnsi="Times New Roman" w:cs="Times New Roman"/>
        </w:rPr>
        <w:t xml:space="preserve"> 202</w:t>
      </w:r>
      <w:r w:rsidR="007F3BAE" w:rsidRPr="00C25023">
        <w:rPr>
          <w:rFonts w:ascii="Times New Roman" w:eastAsia="Calibri" w:hAnsi="Times New Roman" w:cs="Times New Roman"/>
        </w:rPr>
        <w:t>3</w:t>
      </w:r>
      <w:r w:rsidRPr="00C25023">
        <w:rPr>
          <w:rFonts w:ascii="Times New Roman" w:eastAsia="Calibri" w:hAnsi="Times New Roman" w:cs="Times New Roman"/>
        </w:rPr>
        <w:t xml:space="preserve"> meeting of the ACMS:</w:t>
      </w:r>
    </w:p>
    <w:p w14:paraId="1460E9ED" w14:textId="3B10ABDE" w:rsidR="007C3D0C" w:rsidRPr="00C25023" w:rsidRDefault="007C3D0C" w:rsidP="007C3D0C">
      <w:pPr>
        <w:pStyle w:val="ListParagraph"/>
        <w:numPr>
          <w:ilvl w:val="0"/>
          <w:numId w:val="11"/>
        </w:numPr>
        <w:spacing w:before="20" w:after="0" w:line="240" w:lineRule="auto"/>
        <w:ind w:left="714" w:hanging="357"/>
        <w:contextualSpacing w:val="0"/>
        <w:rPr>
          <w:rFonts w:ascii="Times New Roman" w:eastAsia="Calibri" w:hAnsi="Times New Roman" w:cs="Times New Roman"/>
        </w:rPr>
      </w:pPr>
      <w:r w:rsidRPr="00C25023">
        <w:rPr>
          <w:rFonts w:ascii="Times New Roman" w:eastAsia="Calibri" w:hAnsi="Times New Roman" w:cs="Times New Roman"/>
        </w:rPr>
        <w:t xml:space="preserve">the proposal to </w:t>
      </w:r>
      <w:r w:rsidR="009B1208" w:rsidRPr="00C25023">
        <w:rPr>
          <w:rFonts w:ascii="Times New Roman" w:eastAsia="Calibri" w:hAnsi="Times New Roman" w:cs="Times New Roman"/>
        </w:rPr>
        <w:t>create a new entry for</w:t>
      </w:r>
      <w:r w:rsidRPr="00C25023">
        <w:rPr>
          <w:rFonts w:ascii="Times New Roman" w:eastAsia="Calibri" w:hAnsi="Times New Roman" w:cs="Times New Roman"/>
        </w:rPr>
        <w:t xml:space="preserve"> </w:t>
      </w:r>
      <w:r w:rsidR="001E53D0" w:rsidRPr="00C25023">
        <w:rPr>
          <w:rFonts w:ascii="Times New Roman" w:eastAsia="Calibri" w:hAnsi="Times New Roman" w:cs="Times New Roman"/>
          <w:i/>
          <w:iCs/>
        </w:rPr>
        <w:t>celecoxib</w:t>
      </w:r>
      <w:r w:rsidRPr="00C25023">
        <w:rPr>
          <w:rFonts w:ascii="Times New Roman" w:eastAsia="Calibri" w:hAnsi="Times New Roman" w:cs="Times New Roman"/>
        </w:rPr>
        <w:t xml:space="preserve"> in Schedule 3</w:t>
      </w:r>
      <w:r w:rsidR="001E53D0" w:rsidRPr="00C25023">
        <w:rPr>
          <w:rFonts w:ascii="Times New Roman" w:eastAsia="Calibri" w:hAnsi="Times New Roman" w:cs="Times New Roman"/>
        </w:rPr>
        <w:t xml:space="preserve"> and Appendix H, clause 1</w:t>
      </w:r>
      <w:r w:rsidRPr="00C25023">
        <w:rPr>
          <w:rFonts w:ascii="Times New Roman" w:eastAsia="Calibri" w:hAnsi="Times New Roman" w:cs="Times New Roman"/>
        </w:rPr>
        <w:t xml:space="preserve"> to the current Poisons Standard.</w:t>
      </w:r>
    </w:p>
    <w:p w14:paraId="64FAE6E9" w14:textId="77777777" w:rsidR="007C3D0C" w:rsidRPr="00C25023" w:rsidRDefault="007C3D0C" w:rsidP="007C3D0C">
      <w:pPr>
        <w:spacing w:after="0" w:line="240" w:lineRule="auto"/>
        <w:rPr>
          <w:rFonts w:ascii="Times New Roman" w:eastAsia="Calibri" w:hAnsi="Times New Roman" w:cs="Times New Roman"/>
        </w:rPr>
      </w:pPr>
    </w:p>
    <w:p w14:paraId="0879733B" w14:textId="6FA0FBEF" w:rsidR="007C3D0C" w:rsidRPr="00C25023" w:rsidRDefault="007C3D0C" w:rsidP="007C3D0C">
      <w:pPr>
        <w:spacing w:after="0" w:line="240" w:lineRule="auto"/>
        <w:rPr>
          <w:rFonts w:ascii="Times New Roman" w:eastAsia="Calibri" w:hAnsi="Times New Roman" w:cs="Times New Roman"/>
        </w:rPr>
      </w:pPr>
      <w:r w:rsidRPr="00C25023">
        <w:rPr>
          <w:rFonts w:ascii="Times New Roman" w:eastAsia="Calibri" w:hAnsi="Times New Roman" w:cs="Times New Roman"/>
        </w:rPr>
        <w:t xml:space="preserve">Invitation to comment on these proposed amendments </w:t>
      </w:r>
      <w:r w:rsidR="00557C2B" w:rsidRPr="00C25023">
        <w:rPr>
          <w:rFonts w:ascii="Times New Roman" w:eastAsia="Calibri" w:hAnsi="Times New Roman" w:cs="Times New Roman"/>
        </w:rPr>
        <w:t xml:space="preserve">was </w:t>
      </w:r>
      <w:r w:rsidRPr="00C25023">
        <w:rPr>
          <w:rFonts w:ascii="Times New Roman" w:eastAsia="Calibri" w:hAnsi="Times New Roman" w:cs="Times New Roman"/>
        </w:rPr>
        <w:t xml:space="preserve">published on the TGA website on </w:t>
      </w:r>
      <w:r w:rsidR="001E53D0" w:rsidRPr="00C25023">
        <w:rPr>
          <w:rFonts w:ascii="Times New Roman" w:eastAsia="Calibri" w:hAnsi="Times New Roman" w:cs="Times New Roman"/>
        </w:rPr>
        <w:t>5</w:t>
      </w:r>
      <w:r w:rsidRPr="00C25023">
        <w:rPr>
          <w:rFonts w:ascii="Times New Roman" w:eastAsia="Calibri" w:hAnsi="Times New Roman" w:cs="Times New Roman"/>
        </w:rPr>
        <w:t> </w:t>
      </w:r>
      <w:r w:rsidR="001E53D0" w:rsidRPr="00C25023">
        <w:rPr>
          <w:rFonts w:ascii="Times New Roman" w:eastAsia="Calibri" w:hAnsi="Times New Roman" w:cs="Times New Roman"/>
        </w:rPr>
        <w:t>January</w:t>
      </w:r>
      <w:r w:rsidRPr="00C25023">
        <w:rPr>
          <w:rFonts w:ascii="Times New Roman" w:eastAsia="Calibri" w:hAnsi="Times New Roman" w:cs="Times New Roman"/>
        </w:rPr>
        <w:t xml:space="preserve"> 202</w:t>
      </w:r>
      <w:r w:rsidR="001E53D0" w:rsidRPr="00C25023">
        <w:rPr>
          <w:rFonts w:ascii="Times New Roman" w:eastAsia="Calibri" w:hAnsi="Times New Roman" w:cs="Times New Roman"/>
        </w:rPr>
        <w:t>3</w:t>
      </w:r>
      <w:r w:rsidRPr="00C25023">
        <w:rPr>
          <w:rFonts w:ascii="Times New Roman" w:eastAsia="Calibri" w:hAnsi="Times New Roman" w:cs="Times New Roman"/>
        </w:rPr>
        <w:t xml:space="preserve">, with a closing date of </w:t>
      </w:r>
      <w:r w:rsidR="001E53D0" w:rsidRPr="00C25023">
        <w:rPr>
          <w:rFonts w:ascii="Times New Roman" w:eastAsia="Calibri" w:hAnsi="Times New Roman" w:cs="Times New Roman"/>
        </w:rPr>
        <w:t>3 February 2023</w:t>
      </w:r>
      <w:r w:rsidRPr="00C25023">
        <w:rPr>
          <w:rFonts w:ascii="Times New Roman" w:eastAsia="Calibri" w:hAnsi="Times New Roman" w:cs="Times New Roman"/>
        </w:rPr>
        <w:t xml:space="preserve">. A further invitation to comment on the interim decisions in respect of these proposed amendments was published on the TGA website on </w:t>
      </w:r>
      <w:r w:rsidR="0068019B" w:rsidRPr="00C25023">
        <w:rPr>
          <w:rFonts w:ascii="Times New Roman" w:eastAsia="Calibri" w:hAnsi="Times New Roman" w:cs="Times New Roman"/>
        </w:rPr>
        <w:t>13</w:t>
      </w:r>
      <w:r w:rsidRPr="00C25023">
        <w:rPr>
          <w:rFonts w:ascii="Times New Roman" w:eastAsia="Calibri" w:hAnsi="Times New Roman" w:cs="Times New Roman"/>
        </w:rPr>
        <w:t xml:space="preserve"> </w:t>
      </w:r>
      <w:r w:rsidR="0068019B" w:rsidRPr="00C25023">
        <w:rPr>
          <w:rFonts w:ascii="Times New Roman" w:eastAsia="Calibri" w:hAnsi="Times New Roman" w:cs="Times New Roman"/>
        </w:rPr>
        <w:t>July</w:t>
      </w:r>
      <w:r w:rsidRPr="00C25023">
        <w:rPr>
          <w:rFonts w:ascii="Times New Roman" w:eastAsia="Calibri" w:hAnsi="Times New Roman" w:cs="Times New Roman"/>
        </w:rPr>
        <w:t xml:space="preserve"> 202</w:t>
      </w:r>
      <w:r w:rsidR="001E53D0" w:rsidRPr="00C25023">
        <w:rPr>
          <w:rFonts w:ascii="Times New Roman" w:eastAsia="Calibri" w:hAnsi="Times New Roman" w:cs="Times New Roman"/>
        </w:rPr>
        <w:t>3</w:t>
      </w:r>
      <w:r w:rsidRPr="00C25023">
        <w:rPr>
          <w:rFonts w:ascii="Times New Roman" w:eastAsia="Calibri" w:hAnsi="Times New Roman" w:cs="Times New Roman"/>
        </w:rPr>
        <w:t>, with a closing date of 1</w:t>
      </w:r>
      <w:r w:rsidR="0068019B" w:rsidRPr="00C25023">
        <w:rPr>
          <w:rFonts w:ascii="Times New Roman" w:eastAsia="Calibri" w:hAnsi="Times New Roman" w:cs="Times New Roman"/>
        </w:rPr>
        <w:t>0</w:t>
      </w:r>
      <w:r w:rsidRPr="00C25023">
        <w:rPr>
          <w:rFonts w:ascii="Times New Roman" w:eastAsia="Calibri" w:hAnsi="Times New Roman" w:cs="Times New Roman"/>
        </w:rPr>
        <w:t xml:space="preserve"> </w:t>
      </w:r>
      <w:r w:rsidR="0068019B" w:rsidRPr="00C25023">
        <w:rPr>
          <w:rFonts w:ascii="Times New Roman" w:eastAsia="Calibri" w:hAnsi="Times New Roman" w:cs="Times New Roman"/>
        </w:rPr>
        <w:t>August</w:t>
      </w:r>
      <w:r w:rsidR="001E53D0" w:rsidRPr="00C25023">
        <w:rPr>
          <w:rFonts w:ascii="Times New Roman" w:eastAsia="Calibri" w:hAnsi="Times New Roman" w:cs="Times New Roman"/>
        </w:rPr>
        <w:t xml:space="preserve"> 2023</w:t>
      </w:r>
      <w:r w:rsidRPr="00C25023">
        <w:rPr>
          <w:rFonts w:ascii="Times New Roman" w:eastAsia="Calibri" w:hAnsi="Times New Roman" w:cs="Times New Roman"/>
        </w:rPr>
        <w:t>.</w:t>
      </w:r>
    </w:p>
    <w:p w14:paraId="6186BD40" w14:textId="2378CB74" w:rsidR="009B1208" w:rsidRPr="00C25023" w:rsidRDefault="009B1208" w:rsidP="007C3D0C">
      <w:pPr>
        <w:spacing w:after="0" w:line="240" w:lineRule="auto"/>
        <w:rPr>
          <w:rFonts w:ascii="Times New Roman" w:eastAsia="Calibri" w:hAnsi="Times New Roman" w:cs="Times New Roman"/>
        </w:rPr>
      </w:pPr>
    </w:p>
    <w:p w14:paraId="5E0F19B6" w14:textId="0D852BDA" w:rsidR="009B1208" w:rsidRPr="00C25023" w:rsidRDefault="009B1208" w:rsidP="007C3D0C">
      <w:pPr>
        <w:spacing w:after="0" w:line="240" w:lineRule="auto"/>
        <w:rPr>
          <w:rFonts w:ascii="Times New Roman" w:eastAsia="Calibri" w:hAnsi="Times New Roman" w:cs="Times New Roman"/>
        </w:rPr>
      </w:pPr>
      <w:r w:rsidRPr="00C25023">
        <w:rPr>
          <w:rFonts w:ascii="Times New Roman" w:eastAsia="Calibri" w:hAnsi="Times New Roman" w:cs="Times New Roman"/>
        </w:rPr>
        <w:t xml:space="preserve">The scheduling delegate’s final decisions concerning these proposed amendments were published on the TGA website on 4 September 2023. The delegate decided to create a new Schedule 3 entry for </w:t>
      </w:r>
      <w:r w:rsidRPr="00C25023">
        <w:rPr>
          <w:rFonts w:ascii="Times New Roman" w:eastAsia="Calibri" w:hAnsi="Times New Roman" w:cs="Times New Roman"/>
          <w:i/>
          <w:iCs/>
        </w:rPr>
        <w:t>celecoxib</w:t>
      </w:r>
      <w:r w:rsidRPr="00C25023">
        <w:rPr>
          <w:rFonts w:ascii="Times New Roman" w:eastAsia="Calibri" w:hAnsi="Times New Roman" w:cs="Times New Roman"/>
        </w:rPr>
        <w:t xml:space="preserve"> for oral use in capsules containing 200 mg or less per capsule when in packs containing not more than 10 dosage units for the short-term treatment of acute pain due to primary dysmenorrhea or musculoskeletal or soft tissue injuries in adults</w:t>
      </w:r>
      <w:r w:rsidR="00763E82" w:rsidRPr="00C25023">
        <w:rPr>
          <w:rFonts w:ascii="Times New Roman" w:eastAsia="Calibri" w:hAnsi="Times New Roman" w:cs="Times New Roman"/>
        </w:rPr>
        <w:t xml:space="preserve">, and a new entry for </w:t>
      </w:r>
      <w:r w:rsidR="00763E82" w:rsidRPr="00C25023">
        <w:rPr>
          <w:rFonts w:ascii="Times New Roman" w:eastAsia="Calibri" w:hAnsi="Times New Roman" w:cs="Times New Roman"/>
          <w:i/>
          <w:iCs/>
        </w:rPr>
        <w:t>celecoxib</w:t>
      </w:r>
      <w:r w:rsidR="00763E82" w:rsidRPr="00C25023">
        <w:rPr>
          <w:rFonts w:ascii="Times New Roman" w:eastAsia="Calibri" w:hAnsi="Times New Roman" w:cs="Times New Roman"/>
        </w:rPr>
        <w:t xml:space="preserve"> in Appendix H, clause 1 to permit advertising of Schedule 3 preparations</w:t>
      </w:r>
      <w:r w:rsidRPr="00C25023">
        <w:rPr>
          <w:rFonts w:ascii="Times New Roman" w:eastAsia="Calibri" w:hAnsi="Times New Roman" w:cs="Times New Roman"/>
        </w:rPr>
        <w:t>.</w:t>
      </w:r>
    </w:p>
    <w:p w14:paraId="159156F4" w14:textId="77777777" w:rsidR="009B1208" w:rsidRPr="00C25023" w:rsidRDefault="009B1208" w:rsidP="007C3D0C">
      <w:pPr>
        <w:spacing w:after="0" w:line="240" w:lineRule="auto"/>
        <w:rPr>
          <w:rFonts w:ascii="Times New Roman" w:eastAsia="Calibri" w:hAnsi="Times New Roman" w:cs="Times New Roman"/>
        </w:rPr>
      </w:pPr>
    </w:p>
    <w:p w14:paraId="17772F1A" w14:textId="175D8BC9" w:rsidR="009B1208" w:rsidRPr="00C25023" w:rsidRDefault="009B1208" w:rsidP="00FB38E8">
      <w:pPr>
        <w:spacing w:after="0" w:line="240" w:lineRule="auto"/>
        <w:rPr>
          <w:rFonts w:ascii="Times New Roman" w:eastAsia="Calibri" w:hAnsi="Times New Roman" w:cs="Times New Roman"/>
        </w:rPr>
      </w:pPr>
      <w:r w:rsidRPr="00C25023">
        <w:rPr>
          <w:rFonts w:ascii="Times New Roman" w:eastAsia="Calibri" w:hAnsi="Times New Roman" w:cs="Times New Roman"/>
        </w:rPr>
        <w:t>Public comment was also invited in relation to the following proposed amendments that were referred to the June 2023 meeting of the ACMS and Joint ACMS-ACCS:</w:t>
      </w:r>
    </w:p>
    <w:p w14:paraId="5256C146" w14:textId="0B98D52C" w:rsidR="009B1208" w:rsidRPr="00C25023" w:rsidRDefault="009B1208" w:rsidP="00C25023">
      <w:pPr>
        <w:pStyle w:val="ListParagraph"/>
        <w:numPr>
          <w:ilvl w:val="0"/>
          <w:numId w:val="11"/>
        </w:numPr>
        <w:spacing w:before="20" w:after="0" w:line="240" w:lineRule="auto"/>
        <w:ind w:left="714" w:hanging="357"/>
        <w:contextualSpacing w:val="0"/>
        <w:rPr>
          <w:rFonts w:ascii="Times New Roman" w:eastAsia="Calibri" w:hAnsi="Times New Roman" w:cs="Times New Roman"/>
        </w:rPr>
      </w:pPr>
      <w:r w:rsidRPr="00C25023">
        <w:rPr>
          <w:rFonts w:ascii="Times New Roman" w:eastAsia="Calibri" w:hAnsi="Times New Roman" w:cs="Times New Roman"/>
        </w:rPr>
        <w:t xml:space="preserve">the proposal to include </w:t>
      </w:r>
      <w:r w:rsidRPr="00C25023">
        <w:rPr>
          <w:rFonts w:ascii="Times New Roman" w:eastAsia="Calibri" w:hAnsi="Times New Roman" w:cs="Times New Roman"/>
          <w:i/>
          <w:iCs/>
        </w:rPr>
        <w:t>olopatadine</w:t>
      </w:r>
      <w:r w:rsidRPr="00C25023">
        <w:rPr>
          <w:rFonts w:ascii="Times New Roman" w:eastAsia="Calibri" w:hAnsi="Times New Roman" w:cs="Times New Roman"/>
        </w:rPr>
        <w:t xml:space="preserve"> in Schedule 2 to the current Poisons Standard; and</w:t>
      </w:r>
    </w:p>
    <w:p w14:paraId="0136A0C7" w14:textId="32168A79" w:rsidR="009B1208" w:rsidRPr="00C25023" w:rsidRDefault="009B1208" w:rsidP="009B1208">
      <w:pPr>
        <w:pStyle w:val="ListParagraph"/>
        <w:numPr>
          <w:ilvl w:val="0"/>
          <w:numId w:val="11"/>
        </w:numPr>
        <w:spacing w:before="20" w:after="0" w:line="240" w:lineRule="auto"/>
        <w:ind w:left="714" w:hanging="357"/>
        <w:contextualSpacing w:val="0"/>
        <w:rPr>
          <w:rFonts w:ascii="Times New Roman" w:eastAsia="Calibri" w:hAnsi="Times New Roman" w:cs="Times New Roman"/>
        </w:rPr>
      </w:pPr>
      <w:r w:rsidRPr="00C25023">
        <w:rPr>
          <w:rFonts w:ascii="Times New Roman" w:eastAsia="Calibri" w:hAnsi="Times New Roman" w:cs="Times New Roman"/>
        </w:rPr>
        <w:lastRenderedPageBreak/>
        <w:t xml:space="preserve">the proposal to create new entries for </w:t>
      </w:r>
      <w:r w:rsidRPr="00C25023">
        <w:rPr>
          <w:rFonts w:ascii="Times New Roman" w:eastAsia="Calibri" w:hAnsi="Times New Roman" w:cs="Times New Roman"/>
          <w:i/>
          <w:iCs/>
        </w:rPr>
        <w:t>ibotenic acid</w:t>
      </w:r>
      <w:r w:rsidRPr="00C25023">
        <w:rPr>
          <w:rFonts w:ascii="Times New Roman" w:eastAsia="Calibri" w:hAnsi="Times New Roman" w:cs="Times New Roman"/>
        </w:rPr>
        <w:t xml:space="preserve"> in Schedule 4 and Schedule 7 to the current Poisons Standard.</w:t>
      </w:r>
    </w:p>
    <w:p w14:paraId="25CB1781" w14:textId="77777777" w:rsidR="00C25023" w:rsidRPr="00C25023" w:rsidRDefault="00C25023" w:rsidP="00FB38E8">
      <w:pPr>
        <w:pStyle w:val="ListParagraph"/>
        <w:spacing w:before="20" w:after="0" w:line="240" w:lineRule="auto"/>
        <w:ind w:left="714"/>
        <w:contextualSpacing w:val="0"/>
        <w:rPr>
          <w:rFonts w:ascii="Times New Roman" w:eastAsia="Calibri" w:hAnsi="Times New Roman" w:cs="Times New Roman"/>
        </w:rPr>
      </w:pPr>
    </w:p>
    <w:p w14:paraId="5B051FD7" w14:textId="248A326F" w:rsidR="009B1208" w:rsidRPr="00C25023" w:rsidRDefault="009B1208" w:rsidP="007C3D0C">
      <w:pPr>
        <w:spacing w:after="0" w:line="240" w:lineRule="auto"/>
        <w:rPr>
          <w:rFonts w:ascii="Times New Roman" w:eastAsia="Calibri" w:hAnsi="Times New Roman" w:cs="Times New Roman"/>
        </w:rPr>
      </w:pPr>
      <w:r w:rsidRPr="00C25023">
        <w:rPr>
          <w:rFonts w:ascii="Times New Roman" w:eastAsia="Calibri" w:hAnsi="Times New Roman" w:cs="Times New Roman"/>
        </w:rPr>
        <w:t>Invitation to comment on these proposed amendments was published on the TGA website on 18 April 2023, with a closing date of 17 May 2023. A further invitation to comment on the interim decisions in respect of these proposed amendments was published on the TGA website on 5 October 2023, with a closing date of 2 November 2023.</w:t>
      </w:r>
    </w:p>
    <w:p w14:paraId="7D811E43" w14:textId="77777777" w:rsidR="00653ED1" w:rsidRPr="00C25023" w:rsidRDefault="00653ED1" w:rsidP="007C3D0C">
      <w:pPr>
        <w:spacing w:after="0" w:line="240" w:lineRule="auto"/>
        <w:rPr>
          <w:rFonts w:ascii="Times New Roman" w:eastAsia="Calibri" w:hAnsi="Times New Roman" w:cs="Times New Roman"/>
        </w:rPr>
      </w:pPr>
    </w:p>
    <w:p w14:paraId="43B29E74" w14:textId="0DEDFC95" w:rsidR="007C3D0C" w:rsidRPr="00C25023" w:rsidRDefault="007C3D0C" w:rsidP="007C3D0C">
      <w:pPr>
        <w:spacing w:after="0" w:line="240" w:lineRule="auto"/>
        <w:rPr>
          <w:rFonts w:ascii="Times New Roman" w:eastAsia="Calibri" w:hAnsi="Times New Roman" w:cs="Times New Roman"/>
        </w:rPr>
      </w:pPr>
      <w:r w:rsidRPr="00C25023">
        <w:rPr>
          <w:rFonts w:ascii="Times New Roman" w:eastAsia="Calibri" w:hAnsi="Times New Roman" w:cs="Times New Roman"/>
        </w:rPr>
        <w:t xml:space="preserve">The scheduling delegate’s final decisions concerning these proposed amendments were published on the TGA website on </w:t>
      </w:r>
      <w:r w:rsidR="002B42AA" w:rsidRPr="00C25023">
        <w:rPr>
          <w:rFonts w:ascii="Times New Roman" w:eastAsia="Calibri" w:hAnsi="Times New Roman" w:cs="Times New Roman"/>
        </w:rPr>
        <w:t>15 December</w:t>
      </w:r>
      <w:r w:rsidRPr="00C25023">
        <w:rPr>
          <w:rFonts w:ascii="Times New Roman" w:eastAsia="Calibri" w:hAnsi="Times New Roman" w:cs="Times New Roman"/>
        </w:rPr>
        <w:t xml:space="preserve"> 202</w:t>
      </w:r>
      <w:r w:rsidR="00763E82" w:rsidRPr="00C25023">
        <w:rPr>
          <w:rFonts w:ascii="Times New Roman" w:eastAsia="Calibri" w:hAnsi="Times New Roman" w:cs="Times New Roman"/>
        </w:rPr>
        <w:t>3</w:t>
      </w:r>
      <w:r w:rsidRPr="00C25023">
        <w:rPr>
          <w:rFonts w:ascii="Times New Roman" w:eastAsia="Calibri" w:hAnsi="Times New Roman" w:cs="Times New Roman"/>
        </w:rPr>
        <w:t xml:space="preserve">. In relation to the </w:t>
      </w:r>
      <w:r w:rsidR="00763E82" w:rsidRPr="00C25023">
        <w:rPr>
          <w:rFonts w:ascii="Times New Roman" w:eastAsia="Calibri" w:hAnsi="Times New Roman" w:cs="Times New Roman"/>
          <w:i/>
          <w:iCs/>
        </w:rPr>
        <w:t>olopatadine</w:t>
      </w:r>
      <w:r w:rsidRPr="00C25023">
        <w:rPr>
          <w:rFonts w:ascii="Times New Roman" w:eastAsia="Calibri" w:hAnsi="Times New Roman" w:cs="Times New Roman"/>
        </w:rPr>
        <w:t xml:space="preserve"> proposal, the delegate decided to</w:t>
      </w:r>
      <w:r w:rsidR="00763E82" w:rsidRPr="00C25023">
        <w:rPr>
          <w:rFonts w:ascii="Times New Roman" w:eastAsia="Calibri" w:hAnsi="Times New Roman" w:cs="Times New Roman"/>
        </w:rPr>
        <w:t xml:space="preserve"> create a new Schedule 2 entry for preparations for nasal use delivering 600 micrograms or less of </w:t>
      </w:r>
      <w:r w:rsidR="00763E82" w:rsidRPr="00C25023">
        <w:rPr>
          <w:rFonts w:ascii="Times New Roman" w:eastAsia="Calibri" w:hAnsi="Times New Roman" w:cs="Times New Roman"/>
          <w:i/>
          <w:iCs/>
        </w:rPr>
        <w:t>olopatadine</w:t>
      </w:r>
      <w:r w:rsidR="00763E82" w:rsidRPr="00C25023">
        <w:rPr>
          <w:rFonts w:ascii="Times New Roman" w:eastAsia="Calibri" w:hAnsi="Times New Roman" w:cs="Times New Roman"/>
        </w:rPr>
        <w:t xml:space="preserve"> per dose when the maximum recommended daily dose is no greater than 4,800 micrograms for the treatment of allergic rhinitis </w:t>
      </w:r>
      <w:r w:rsidR="00F93FC9" w:rsidRPr="00C25023">
        <w:rPr>
          <w:rFonts w:ascii="Times New Roman" w:eastAsia="Calibri" w:hAnsi="Times New Roman" w:cs="Times New Roman"/>
        </w:rPr>
        <w:t xml:space="preserve">or rhinoconjunctivitis </w:t>
      </w:r>
      <w:r w:rsidR="00763E82" w:rsidRPr="00C25023">
        <w:rPr>
          <w:rFonts w:ascii="Times New Roman" w:eastAsia="Calibri" w:hAnsi="Times New Roman" w:cs="Times New Roman"/>
        </w:rPr>
        <w:t>for up to 6 months in adults and children 12 years of age and over.</w:t>
      </w:r>
      <w:r w:rsidR="00227F47" w:rsidRPr="00C25023">
        <w:rPr>
          <w:rFonts w:ascii="Times New Roman" w:eastAsia="Calibri" w:hAnsi="Times New Roman" w:cs="Times New Roman"/>
        </w:rPr>
        <w:t xml:space="preserve"> </w:t>
      </w:r>
      <w:r w:rsidRPr="00C25023">
        <w:rPr>
          <w:rFonts w:ascii="Times New Roman" w:eastAsia="Calibri" w:hAnsi="Times New Roman" w:cs="Times New Roman"/>
        </w:rPr>
        <w:t xml:space="preserve">In relation to the </w:t>
      </w:r>
      <w:r w:rsidR="00227F47" w:rsidRPr="00C25023">
        <w:rPr>
          <w:rFonts w:ascii="Times New Roman" w:eastAsia="Calibri" w:hAnsi="Times New Roman" w:cs="Times New Roman"/>
          <w:i/>
          <w:iCs/>
        </w:rPr>
        <w:t>ibotenic acid</w:t>
      </w:r>
      <w:r w:rsidRPr="00C25023">
        <w:rPr>
          <w:rFonts w:ascii="Times New Roman" w:eastAsia="Calibri" w:hAnsi="Times New Roman" w:cs="Times New Roman"/>
        </w:rPr>
        <w:t xml:space="preserve"> proposal, the delegate decided to </w:t>
      </w:r>
      <w:r w:rsidR="00227F47" w:rsidRPr="00C25023">
        <w:rPr>
          <w:rFonts w:ascii="Times New Roman" w:eastAsia="Calibri" w:hAnsi="Times New Roman" w:cs="Times New Roman"/>
        </w:rPr>
        <w:t xml:space="preserve">create a new Schedule 9 entry for </w:t>
      </w:r>
      <w:r w:rsidR="00227F47" w:rsidRPr="00C25023">
        <w:rPr>
          <w:rFonts w:ascii="Times New Roman" w:eastAsia="Calibri" w:hAnsi="Times New Roman" w:cs="Times New Roman"/>
          <w:i/>
          <w:iCs/>
        </w:rPr>
        <w:t>ibotenic acid</w:t>
      </w:r>
      <w:r w:rsidR="00CC032B" w:rsidRPr="00C25023">
        <w:rPr>
          <w:rFonts w:ascii="Times New Roman" w:eastAsia="Calibri" w:hAnsi="Times New Roman" w:cs="Times New Roman"/>
        </w:rPr>
        <w:t xml:space="preserve">, and </w:t>
      </w:r>
      <w:r w:rsidR="000900EC" w:rsidRPr="00C25023">
        <w:rPr>
          <w:rFonts w:ascii="Times New Roman" w:eastAsia="Calibri" w:hAnsi="Times New Roman" w:cs="Times New Roman"/>
        </w:rPr>
        <w:t xml:space="preserve">insert </w:t>
      </w:r>
      <w:r w:rsidR="00CC032B" w:rsidRPr="00C25023">
        <w:rPr>
          <w:rFonts w:ascii="Times New Roman" w:eastAsia="Calibri" w:hAnsi="Times New Roman" w:cs="Times New Roman"/>
        </w:rPr>
        <w:t xml:space="preserve">a cross reference to </w:t>
      </w:r>
      <w:r w:rsidR="00CC032B" w:rsidRPr="00C25023">
        <w:rPr>
          <w:rFonts w:ascii="Times New Roman" w:eastAsia="Calibri" w:hAnsi="Times New Roman" w:cs="Times New Roman"/>
          <w:i/>
          <w:iCs/>
        </w:rPr>
        <w:t xml:space="preserve">muscimol </w:t>
      </w:r>
      <w:r w:rsidR="00CC032B" w:rsidRPr="00C25023">
        <w:rPr>
          <w:rFonts w:ascii="Times New Roman" w:eastAsia="Calibri" w:hAnsi="Times New Roman" w:cs="Times New Roman"/>
        </w:rPr>
        <w:t>in the Index</w:t>
      </w:r>
      <w:r w:rsidRPr="00C25023">
        <w:rPr>
          <w:rFonts w:ascii="Times New Roman" w:eastAsia="Calibri" w:hAnsi="Times New Roman" w:cs="Times New Roman"/>
        </w:rPr>
        <w:t>.</w:t>
      </w:r>
    </w:p>
    <w:p w14:paraId="3B60172F" w14:textId="07E7D82A" w:rsidR="007A060C" w:rsidRPr="00C25023" w:rsidRDefault="007A060C" w:rsidP="003A081C">
      <w:pPr>
        <w:spacing w:after="0" w:line="240" w:lineRule="auto"/>
        <w:rPr>
          <w:rFonts w:ascii="Times New Roman" w:eastAsia="Calibri" w:hAnsi="Times New Roman" w:cs="Times New Roman"/>
        </w:rPr>
      </w:pPr>
    </w:p>
    <w:p w14:paraId="645C7323" w14:textId="1D223B74" w:rsidR="00C25023" w:rsidRPr="00C25023" w:rsidRDefault="00C25023" w:rsidP="003A081C">
      <w:pPr>
        <w:spacing w:after="0" w:line="240" w:lineRule="auto"/>
        <w:rPr>
          <w:rFonts w:ascii="Times New Roman" w:eastAsia="Calibri" w:hAnsi="Times New Roman" w:cs="Times New Roman"/>
        </w:rPr>
      </w:pPr>
      <w:r w:rsidRPr="00C25023">
        <w:rPr>
          <w:rFonts w:ascii="Times New Roman" w:eastAsia="Calibri" w:hAnsi="Times New Roman" w:cs="Times New Roman"/>
          <w:b/>
          <w:bCs/>
        </w:rPr>
        <w:t>Other details</w:t>
      </w:r>
    </w:p>
    <w:p w14:paraId="454F89C9" w14:textId="77777777" w:rsidR="00C25023" w:rsidRPr="00C25023" w:rsidRDefault="00C25023" w:rsidP="003A081C">
      <w:pPr>
        <w:spacing w:after="0" w:line="240" w:lineRule="auto"/>
        <w:rPr>
          <w:rFonts w:ascii="Times New Roman" w:eastAsia="Calibri" w:hAnsi="Times New Roman" w:cs="Times New Roman"/>
        </w:rPr>
      </w:pPr>
    </w:p>
    <w:p w14:paraId="1CC9B918" w14:textId="4207AC0C" w:rsidR="003A081C" w:rsidRPr="00C25023" w:rsidRDefault="003A081C" w:rsidP="003A081C">
      <w:pPr>
        <w:spacing w:after="0" w:line="240" w:lineRule="auto"/>
        <w:rPr>
          <w:rFonts w:ascii="Times New Roman" w:eastAsia="Calibri" w:hAnsi="Times New Roman" w:cs="Times New Roman"/>
        </w:rPr>
      </w:pPr>
      <w:r w:rsidRPr="00C25023">
        <w:rPr>
          <w:rFonts w:ascii="Times New Roman" w:eastAsia="Calibri" w:hAnsi="Times New Roman" w:cs="Times New Roman"/>
        </w:rPr>
        <w:t>The Instrument</w:t>
      </w:r>
      <w:r w:rsidRPr="00C25023">
        <w:rPr>
          <w:rFonts w:ascii="Times New Roman" w:eastAsia="Calibri" w:hAnsi="Times New Roman" w:cs="Times New Roman"/>
          <w:i/>
        </w:rPr>
        <w:t xml:space="preserve"> </w:t>
      </w:r>
      <w:r w:rsidRPr="00C25023">
        <w:rPr>
          <w:rFonts w:ascii="Times New Roman" w:eastAsia="Calibri" w:hAnsi="Times New Roman" w:cs="Times New Roman"/>
        </w:rPr>
        <w:t xml:space="preserve">is a legislative instrument for the purposes of the </w:t>
      </w:r>
      <w:r w:rsidRPr="00C25023">
        <w:rPr>
          <w:rFonts w:ascii="Times New Roman" w:eastAsia="Calibri" w:hAnsi="Times New Roman" w:cs="Times New Roman"/>
          <w:iCs/>
        </w:rPr>
        <w:t>Legislation Act</w:t>
      </w:r>
      <w:r w:rsidRPr="00C25023">
        <w:rPr>
          <w:rFonts w:ascii="Times New Roman" w:eastAsia="Calibri" w:hAnsi="Times New Roman" w:cs="Times New Roman"/>
        </w:rPr>
        <w:t xml:space="preserve">. However, section 42 of the </w:t>
      </w:r>
      <w:r w:rsidRPr="00C25023">
        <w:rPr>
          <w:rFonts w:ascii="Times New Roman" w:eastAsia="Calibri" w:hAnsi="Times New Roman" w:cs="Times New Roman"/>
          <w:iCs/>
        </w:rPr>
        <w:t>Legislation Act</w:t>
      </w:r>
      <w:r w:rsidRPr="00C25023">
        <w:rPr>
          <w:rFonts w:ascii="Times New Roman" w:eastAsia="Calibri" w:hAnsi="Times New Roman" w:cs="Times New Roman"/>
        </w:rPr>
        <w:t xml:space="preserve"> relating to disallowance does not apply (subsection 52D(4A) of the Act refers). As the </w:t>
      </w:r>
      <w:r w:rsidRPr="00C25023">
        <w:rPr>
          <w:rFonts w:ascii="Times New Roman" w:eastAsia="Calibri" w:hAnsi="Times New Roman" w:cs="Times New Roman"/>
          <w:lang w:val="en-US"/>
        </w:rPr>
        <w:t>Instrument</w:t>
      </w:r>
      <w:r w:rsidRPr="00C25023">
        <w:rPr>
          <w:rFonts w:ascii="Times New Roman" w:eastAsia="Calibri" w:hAnsi="Times New Roman" w:cs="Times New Roman"/>
        </w:rPr>
        <w:t xml:space="preserve"> is not disallowable, subsection 9(1) of the </w:t>
      </w:r>
      <w:r w:rsidRPr="00C25023">
        <w:rPr>
          <w:rFonts w:ascii="Times New Roman" w:eastAsia="Calibri" w:hAnsi="Times New Roman" w:cs="Times New Roman"/>
          <w:i/>
        </w:rPr>
        <w:t>Human Rights (Parliamentary Scrutiny) Act 2011</w:t>
      </w:r>
      <w:r w:rsidRPr="00C25023">
        <w:rPr>
          <w:rFonts w:ascii="Times New Roman" w:eastAsia="Calibri" w:hAnsi="Times New Roman" w:cs="Times New Roman"/>
        </w:rPr>
        <w:t xml:space="preserve"> does not require that the Instrument be accompanied by a statement of compatibility with the human rights recognised under that Act.</w:t>
      </w:r>
    </w:p>
    <w:p w14:paraId="01CE9235" w14:textId="77777777" w:rsidR="003A081C" w:rsidRPr="00C25023" w:rsidRDefault="003A081C" w:rsidP="003A081C">
      <w:pPr>
        <w:spacing w:after="0" w:line="240" w:lineRule="auto"/>
        <w:rPr>
          <w:rFonts w:ascii="Times New Roman" w:eastAsia="Calibri" w:hAnsi="Times New Roman" w:cs="Times New Roman"/>
        </w:rPr>
      </w:pPr>
    </w:p>
    <w:p w14:paraId="6CCBAF7A" w14:textId="7777777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In providing that disallowance does not apply to an instrument made under paragraphs 52D(2)(a) or (b) of the Act, subsection 52D(4A) of the Act appropriately recognises that instruments made under these paragraphs form part of an intergovernmental scheme, which should not be subject to unilateral disallowance by the Commonwealth Parliament, consistent with section 44 of the Legislation Act. Under this scheme, the current Poisons Standard principally provides a set of recommendations to the States and Territories as to the appropriate level of controls that should apply to medicines and poisons.</w:t>
      </w:r>
    </w:p>
    <w:p w14:paraId="5D17CC50" w14:textId="77777777" w:rsidR="003A081C" w:rsidRPr="00C25023" w:rsidRDefault="003A081C" w:rsidP="003A081C">
      <w:pPr>
        <w:spacing w:after="0" w:line="240" w:lineRule="auto"/>
        <w:rPr>
          <w:rFonts w:ascii="Times New Roman" w:eastAsia="Times New Roman" w:hAnsi="Times New Roman" w:cs="Times New Roman"/>
          <w:lang w:val="en-US"/>
        </w:rPr>
      </w:pPr>
    </w:p>
    <w:p w14:paraId="750606AE" w14:textId="7777777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The States and Territories regulate such substances by electing to apply the current Poisons Standard as a law within their own jurisdiction. In this way, the current Poisons Standard does not have direct application in its own right. If the current Poisons Standard was to be subject to disallowance, this would impact the current uniform system of restrictions in Australia relating to the supply of scheduled substances, and would lead to confusion and different approaches across different States and Territories with respect to their handling, storage, possession and supply of scheduled substances.</w:t>
      </w:r>
    </w:p>
    <w:p w14:paraId="033B3774" w14:textId="77777777" w:rsidR="003A081C" w:rsidRPr="00C25023" w:rsidRDefault="003A081C" w:rsidP="003A081C">
      <w:pPr>
        <w:spacing w:after="0" w:line="240" w:lineRule="auto"/>
        <w:rPr>
          <w:rFonts w:ascii="Times New Roman" w:eastAsia="Times New Roman" w:hAnsi="Times New Roman" w:cs="Times New Roman"/>
          <w:lang w:val="en-US"/>
        </w:rPr>
      </w:pPr>
    </w:p>
    <w:p w14:paraId="11CB0288" w14:textId="7777777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342CE763" w14:textId="77777777" w:rsidR="003A081C" w:rsidRPr="00C25023" w:rsidRDefault="003A081C" w:rsidP="003A081C">
      <w:pPr>
        <w:spacing w:after="0" w:line="240" w:lineRule="auto"/>
        <w:rPr>
          <w:rFonts w:ascii="Times New Roman" w:eastAsia="Calibri" w:hAnsi="Times New Roman" w:cs="Times New Roman"/>
        </w:rPr>
      </w:pPr>
    </w:p>
    <w:p w14:paraId="61AF5944" w14:textId="52591DC9" w:rsidR="003A081C" w:rsidRPr="00C25023" w:rsidRDefault="003A081C" w:rsidP="00373969">
      <w:pPr>
        <w:spacing w:after="0" w:line="240" w:lineRule="auto"/>
        <w:rPr>
          <w:rFonts w:ascii="Times New Roman" w:hAnsi="Times New Roman" w:cs="Times New Roman"/>
        </w:rPr>
      </w:pPr>
      <w:r w:rsidRPr="00C25023">
        <w:rPr>
          <w:rFonts w:ascii="Times New Roman" w:eastAsia="Calibri" w:hAnsi="Times New Roman" w:cs="Times New Roman"/>
        </w:rPr>
        <w:t xml:space="preserve">The </w:t>
      </w:r>
      <w:r w:rsidRPr="00C25023">
        <w:rPr>
          <w:rFonts w:ascii="Times New Roman" w:eastAsia="Calibri" w:hAnsi="Times New Roman" w:cs="Times New Roman"/>
          <w:lang w:val="en-US"/>
        </w:rPr>
        <w:t>Instrument</w:t>
      </w:r>
      <w:r w:rsidRPr="00C25023">
        <w:rPr>
          <w:rFonts w:ascii="Times New Roman" w:eastAsia="Calibri" w:hAnsi="Times New Roman" w:cs="Times New Roman"/>
        </w:rPr>
        <w:t xml:space="preserve"> commences on 1 </w:t>
      </w:r>
      <w:r w:rsidR="00BC32C3" w:rsidRPr="00C25023">
        <w:rPr>
          <w:rFonts w:ascii="Times New Roman" w:eastAsia="Calibri" w:hAnsi="Times New Roman" w:cs="Times New Roman"/>
        </w:rPr>
        <w:t>February</w:t>
      </w:r>
      <w:r w:rsidR="007A5B9F" w:rsidRPr="00C25023">
        <w:rPr>
          <w:rFonts w:ascii="Times New Roman" w:eastAsia="Calibri" w:hAnsi="Times New Roman" w:cs="Times New Roman"/>
        </w:rPr>
        <w:t xml:space="preserve"> </w:t>
      </w:r>
      <w:r w:rsidRPr="00C25023">
        <w:rPr>
          <w:rFonts w:ascii="Times New Roman" w:eastAsia="Calibri" w:hAnsi="Times New Roman" w:cs="Times New Roman"/>
        </w:rPr>
        <w:t>202</w:t>
      </w:r>
      <w:r w:rsidR="00BC32C3" w:rsidRPr="00C25023">
        <w:rPr>
          <w:rFonts w:ascii="Times New Roman" w:eastAsia="Calibri" w:hAnsi="Times New Roman" w:cs="Times New Roman"/>
        </w:rPr>
        <w:t>4</w:t>
      </w:r>
      <w:r w:rsidRPr="00C25023">
        <w:rPr>
          <w:rFonts w:ascii="Times New Roman" w:eastAsia="Calibri" w:hAnsi="Times New Roman" w:cs="Times New Roman"/>
        </w:rPr>
        <w:t>.</w:t>
      </w:r>
    </w:p>
    <w:sectPr w:rsidR="003A081C" w:rsidRPr="00C25023" w:rsidSect="00872BB1">
      <w:foot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6F61" w14:textId="77777777" w:rsidR="00587B58" w:rsidRDefault="00587B58">
      <w:pPr>
        <w:spacing w:after="0" w:line="240" w:lineRule="auto"/>
      </w:pPr>
      <w:r>
        <w:separator/>
      </w:r>
    </w:p>
  </w:endnote>
  <w:endnote w:type="continuationSeparator" w:id="0">
    <w:p w14:paraId="688EBD29" w14:textId="77777777" w:rsidR="00587B58" w:rsidRDefault="0058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40664"/>
      <w:docPartObj>
        <w:docPartGallery w:val="Page Numbers (Bottom of Page)"/>
        <w:docPartUnique/>
      </w:docPartObj>
    </w:sdtPr>
    <w:sdtEndPr>
      <w:rPr>
        <w:noProof/>
      </w:rPr>
    </w:sdtEndPr>
    <w:sdtContent>
      <w:p w14:paraId="05C190DE" w14:textId="77777777" w:rsidR="001D49AC" w:rsidRPr="00B041B3" w:rsidRDefault="005F14B7">
        <w:pPr>
          <w:pStyle w:val="Footer"/>
          <w:jc w:val="right"/>
        </w:pPr>
        <w:r w:rsidRPr="00B041B3">
          <w:fldChar w:fldCharType="begin"/>
        </w:r>
        <w:r w:rsidRPr="00B041B3">
          <w:instrText xml:space="preserve"> PAGE   \* MERGEFORMAT </w:instrText>
        </w:r>
        <w:r w:rsidRPr="00B041B3">
          <w:fldChar w:fldCharType="separate"/>
        </w:r>
        <w:r>
          <w:rPr>
            <w:noProof/>
          </w:rPr>
          <w:t>1</w:t>
        </w:r>
        <w:r w:rsidRPr="00B041B3">
          <w:rPr>
            <w:noProof/>
          </w:rPr>
          <w:fldChar w:fldCharType="end"/>
        </w:r>
      </w:p>
    </w:sdtContent>
  </w:sdt>
  <w:p w14:paraId="6DDF44C0" w14:textId="77777777" w:rsidR="00117231" w:rsidRDefault="003B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4BB3" w14:textId="77777777" w:rsidR="00587B58" w:rsidRDefault="00587B58">
      <w:pPr>
        <w:spacing w:after="0" w:line="240" w:lineRule="auto"/>
      </w:pPr>
      <w:r>
        <w:separator/>
      </w:r>
    </w:p>
  </w:footnote>
  <w:footnote w:type="continuationSeparator" w:id="0">
    <w:p w14:paraId="1932D8C2" w14:textId="77777777" w:rsidR="00587B58" w:rsidRDefault="00587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84E"/>
    <w:multiLevelType w:val="hybridMultilevel"/>
    <w:tmpl w:val="40D2371A"/>
    <w:lvl w:ilvl="0" w:tplc="5A12FA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D9323A"/>
    <w:multiLevelType w:val="hybridMultilevel"/>
    <w:tmpl w:val="697E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084F92"/>
    <w:multiLevelType w:val="hybridMultilevel"/>
    <w:tmpl w:val="96888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325BEE"/>
    <w:multiLevelType w:val="hybridMultilevel"/>
    <w:tmpl w:val="EA4C22B0"/>
    <w:lvl w:ilvl="0" w:tplc="33FA68C8">
      <w:start w:val="1"/>
      <w:numFmt w:val="bullet"/>
      <w:lvlText w:val=""/>
      <w:lvlJc w:val="left"/>
      <w:pPr>
        <w:ind w:left="1480" w:hanging="360"/>
      </w:pPr>
      <w:rPr>
        <w:rFonts w:ascii="Symbol" w:hAnsi="Symbol"/>
      </w:rPr>
    </w:lvl>
    <w:lvl w:ilvl="1" w:tplc="2A0A1E16">
      <w:start w:val="1"/>
      <w:numFmt w:val="bullet"/>
      <w:lvlText w:val=""/>
      <w:lvlJc w:val="left"/>
      <w:pPr>
        <w:ind w:left="1480" w:hanging="360"/>
      </w:pPr>
      <w:rPr>
        <w:rFonts w:ascii="Symbol" w:hAnsi="Symbol"/>
      </w:rPr>
    </w:lvl>
    <w:lvl w:ilvl="2" w:tplc="9394F8C8">
      <w:start w:val="1"/>
      <w:numFmt w:val="bullet"/>
      <w:lvlText w:val=""/>
      <w:lvlJc w:val="left"/>
      <w:pPr>
        <w:ind w:left="1480" w:hanging="360"/>
      </w:pPr>
      <w:rPr>
        <w:rFonts w:ascii="Symbol" w:hAnsi="Symbol"/>
      </w:rPr>
    </w:lvl>
    <w:lvl w:ilvl="3" w:tplc="C866A580">
      <w:start w:val="1"/>
      <w:numFmt w:val="bullet"/>
      <w:lvlText w:val=""/>
      <w:lvlJc w:val="left"/>
      <w:pPr>
        <w:ind w:left="1480" w:hanging="360"/>
      </w:pPr>
      <w:rPr>
        <w:rFonts w:ascii="Symbol" w:hAnsi="Symbol"/>
      </w:rPr>
    </w:lvl>
    <w:lvl w:ilvl="4" w:tplc="BD842BB0">
      <w:start w:val="1"/>
      <w:numFmt w:val="bullet"/>
      <w:lvlText w:val=""/>
      <w:lvlJc w:val="left"/>
      <w:pPr>
        <w:ind w:left="1480" w:hanging="360"/>
      </w:pPr>
      <w:rPr>
        <w:rFonts w:ascii="Symbol" w:hAnsi="Symbol"/>
      </w:rPr>
    </w:lvl>
    <w:lvl w:ilvl="5" w:tplc="84DC4FA6">
      <w:start w:val="1"/>
      <w:numFmt w:val="bullet"/>
      <w:lvlText w:val=""/>
      <w:lvlJc w:val="left"/>
      <w:pPr>
        <w:ind w:left="1480" w:hanging="360"/>
      </w:pPr>
      <w:rPr>
        <w:rFonts w:ascii="Symbol" w:hAnsi="Symbol"/>
      </w:rPr>
    </w:lvl>
    <w:lvl w:ilvl="6" w:tplc="007016BE">
      <w:start w:val="1"/>
      <w:numFmt w:val="bullet"/>
      <w:lvlText w:val=""/>
      <w:lvlJc w:val="left"/>
      <w:pPr>
        <w:ind w:left="1480" w:hanging="360"/>
      </w:pPr>
      <w:rPr>
        <w:rFonts w:ascii="Symbol" w:hAnsi="Symbol"/>
      </w:rPr>
    </w:lvl>
    <w:lvl w:ilvl="7" w:tplc="D66452D8">
      <w:start w:val="1"/>
      <w:numFmt w:val="bullet"/>
      <w:lvlText w:val=""/>
      <w:lvlJc w:val="left"/>
      <w:pPr>
        <w:ind w:left="1480" w:hanging="360"/>
      </w:pPr>
      <w:rPr>
        <w:rFonts w:ascii="Symbol" w:hAnsi="Symbol"/>
      </w:rPr>
    </w:lvl>
    <w:lvl w:ilvl="8" w:tplc="A188452A">
      <w:start w:val="1"/>
      <w:numFmt w:val="bullet"/>
      <w:lvlText w:val=""/>
      <w:lvlJc w:val="left"/>
      <w:pPr>
        <w:ind w:left="1480" w:hanging="360"/>
      </w:pPr>
      <w:rPr>
        <w:rFonts w:ascii="Symbol" w:hAnsi="Symbol"/>
      </w:rPr>
    </w:lvl>
  </w:abstractNum>
  <w:abstractNum w:abstractNumId="4" w15:restartNumberingAfterBreak="0">
    <w:nsid w:val="250432A7"/>
    <w:multiLevelType w:val="hybridMultilevel"/>
    <w:tmpl w:val="EF9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7E4A8C"/>
    <w:multiLevelType w:val="hybridMultilevel"/>
    <w:tmpl w:val="3AC8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6B3067"/>
    <w:multiLevelType w:val="hybridMultilevel"/>
    <w:tmpl w:val="2010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0B3E50"/>
    <w:multiLevelType w:val="hybridMultilevel"/>
    <w:tmpl w:val="7AD26E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DF639FB"/>
    <w:multiLevelType w:val="hybridMultilevel"/>
    <w:tmpl w:val="0EA649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DA02E37"/>
    <w:multiLevelType w:val="hybridMultilevel"/>
    <w:tmpl w:val="4126BB5E"/>
    <w:lvl w:ilvl="0" w:tplc="8D28C28C">
      <w:start w:val="1"/>
      <w:numFmt w:val="bullet"/>
      <w:lvlText w:val=""/>
      <w:lvlJc w:val="left"/>
      <w:pPr>
        <w:ind w:left="1420" w:hanging="360"/>
      </w:pPr>
      <w:rPr>
        <w:rFonts w:ascii="Symbol" w:hAnsi="Symbol"/>
      </w:rPr>
    </w:lvl>
    <w:lvl w:ilvl="1" w:tplc="0A4C6BAA">
      <w:start w:val="1"/>
      <w:numFmt w:val="bullet"/>
      <w:lvlText w:val=""/>
      <w:lvlJc w:val="left"/>
      <w:pPr>
        <w:ind w:left="1420" w:hanging="360"/>
      </w:pPr>
      <w:rPr>
        <w:rFonts w:ascii="Symbol" w:hAnsi="Symbol"/>
      </w:rPr>
    </w:lvl>
    <w:lvl w:ilvl="2" w:tplc="CF28EE6E">
      <w:start w:val="1"/>
      <w:numFmt w:val="bullet"/>
      <w:lvlText w:val=""/>
      <w:lvlJc w:val="left"/>
      <w:pPr>
        <w:ind w:left="1420" w:hanging="360"/>
      </w:pPr>
      <w:rPr>
        <w:rFonts w:ascii="Symbol" w:hAnsi="Symbol"/>
      </w:rPr>
    </w:lvl>
    <w:lvl w:ilvl="3" w:tplc="75DAB20E">
      <w:start w:val="1"/>
      <w:numFmt w:val="bullet"/>
      <w:lvlText w:val=""/>
      <w:lvlJc w:val="left"/>
      <w:pPr>
        <w:ind w:left="1420" w:hanging="360"/>
      </w:pPr>
      <w:rPr>
        <w:rFonts w:ascii="Symbol" w:hAnsi="Symbol"/>
      </w:rPr>
    </w:lvl>
    <w:lvl w:ilvl="4" w:tplc="55ECB550">
      <w:start w:val="1"/>
      <w:numFmt w:val="bullet"/>
      <w:lvlText w:val=""/>
      <w:lvlJc w:val="left"/>
      <w:pPr>
        <w:ind w:left="1420" w:hanging="360"/>
      </w:pPr>
      <w:rPr>
        <w:rFonts w:ascii="Symbol" w:hAnsi="Symbol"/>
      </w:rPr>
    </w:lvl>
    <w:lvl w:ilvl="5" w:tplc="51FC95AA">
      <w:start w:val="1"/>
      <w:numFmt w:val="bullet"/>
      <w:lvlText w:val=""/>
      <w:lvlJc w:val="left"/>
      <w:pPr>
        <w:ind w:left="1420" w:hanging="360"/>
      </w:pPr>
      <w:rPr>
        <w:rFonts w:ascii="Symbol" w:hAnsi="Symbol"/>
      </w:rPr>
    </w:lvl>
    <w:lvl w:ilvl="6" w:tplc="40486BB8">
      <w:start w:val="1"/>
      <w:numFmt w:val="bullet"/>
      <w:lvlText w:val=""/>
      <w:lvlJc w:val="left"/>
      <w:pPr>
        <w:ind w:left="1420" w:hanging="360"/>
      </w:pPr>
      <w:rPr>
        <w:rFonts w:ascii="Symbol" w:hAnsi="Symbol"/>
      </w:rPr>
    </w:lvl>
    <w:lvl w:ilvl="7" w:tplc="D71E2398">
      <w:start w:val="1"/>
      <w:numFmt w:val="bullet"/>
      <w:lvlText w:val=""/>
      <w:lvlJc w:val="left"/>
      <w:pPr>
        <w:ind w:left="1420" w:hanging="360"/>
      </w:pPr>
      <w:rPr>
        <w:rFonts w:ascii="Symbol" w:hAnsi="Symbol"/>
      </w:rPr>
    </w:lvl>
    <w:lvl w:ilvl="8" w:tplc="04B03C50">
      <w:start w:val="1"/>
      <w:numFmt w:val="bullet"/>
      <w:lvlText w:val=""/>
      <w:lvlJc w:val="left"/>
      <w:pPr>
        <w:ind w:left="1420" w:hanging="360"/>
      </w:pPr>
      <w:rPr>
        <w:rFonts w:ascii="Symbol" w:hAnsi="Symbol"/>
      </w:rPr>
    </w:lvl>
  </w:abstractNum>
  <w:abstractNum w:abstractNumId="10" w15:restartNumberingAfterBreak="0">
    <w:nsid w:val="581F64BC"/>
    <w:multiLevelType w:val="hybridMultilevel"/>
    <w:tmpl w:val="B7FC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1746F5"/>
    <w:multiLevelType w:val="hybridMultilevel"/>
    <w:tmpl w:val="E5627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0416804"/>
    <w:multiLevelType w:val="hybridMultilevel"/>
    <w:tmpl w:val="5A28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2C0A3B"/>
    <w:multiLevelType w:val="hybridMultilevel"/>
    <w:tmpl w:val="6E9E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83097C"/>
    <w:multiLevelType w:val="hybridMultilevel"/>
    <w:tmpl w:val="066006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C891DC3"/>
    <w:multiLevelType w:val="hybridMultilevel"/>
    <w:tmpl w:val="E10E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3C3960"/>
    <w:multiLevelType w:val="hybridMultilevel"/>
    <w:tmpl w:val="A962C232"/>
    <w:lvl w:ilvl="0" w:tplc="74F0A1D0">
      <w:start w:val="1"/>
      <w:numFmt w:val="bullet"/>
      <w:lvlText w:val=""/>
      <w:lvlJc w:val="left"/>
      <w:pPr>
        <w:ind w:left="1420" w:hanging="360"/>
      </w:pPr>
      <w:rPr>
        <w:rFonts w:ascii="Symbol" w:hAnsi="Symbol"/>
      </w:rPr>
    </w:lvl>
    <w:lvl w:ilvl="1" w:tplc="14321AC8">
      <w:start w:val="1"/>
      <w:numFmt w:val="bullet"/>
      <w:lvlText w:val=""/>
      <w:lvlJc w:val="left"/>
      <w:pPr>
        <w:ind w:left="1420" w:hanging="360"/>
      </w:pPr>
      <w:rPr>
        <w:rFonts w:ascii="Symbol" w:hAnsi="Symbol"/>
      </w:rPr>
    </w:lvl>
    <w:lvl w:ilvl="2" w:tplc="B908FD78">
      <w:start w:val="1"/>
      <w:numFmt w:val="bullet"/>
      <w:lvlText w:val=""/>
      <w:lvlJc w:val="left"/>
      <w:pPr>
        <w:ind w:left="1420" w:hanging="360"/>
      </w:pPr>
      <w:rPr>
        <w:rFonts w:ascii="Symbol" w:hAnsi="Symbol"/>
      </w:rPr>
    </w:lvl>
    <w:lvl w:ilvl="3" w:tplc="917015A6">
      <w:start w:val="1"/>
      <w:numFmt w:val="bullet"/>
      <w:lvlText w:val=""/>
      <w:lvlJc w:val="left"/>
      <w:pPr>
        <w:ind w:left="1420" w:hanging="360"/>
      </w:pPr>
      <w:rPr>
        <w:rFonts w:ascii="Symbol" w:hAnsi="Symbol"/>
      </w:rPr>
    </w:lvl>
    <w:lvl w:ilvl="4" w:tplc="D0A297B6">
      <w:start w:val="1"/>
      <w:numFmt w:val="bullet"/>
      <w:lvlText w:val=""/>
      <w:lvlJc w:val="left"/>
      <w:pPr>
        <w:ind w:left="1420" w:hanging="360"/>
      </w:pPr>
      <w:rPr>
        <w:rFonts w:ascii="Symbol" w:hAnsi="Symbol"/>
      </w:rPr>
    </w:lvl>
    <w:lvl w:ilvl="5" w:tplc="9A88F86A">
      <w:start w:val="1"/>
      <w:numFmt w:val="bullet"/>
      <w:lvlText w:val=""/>
      <w:lvlJc w:val="left"/>
      <w:pPr>
        <w:ind w:left="1420" w:hanging="360"/>
      </w:pPr>
      <w:rPr>
        <w:rFonts w:ascii="Symbol" w:hAnsi="Symbol"/>
      </w:rPr>
    </w:lvl>
    <w:lvl w:ilvl="6" w:tplc="95AAFFA6">
      <w:start w:val="1"/>
      <w:numFmt w:val="bullet"/>
      <w:lvlText w:val=""/>
      <w:lvlJc w:val="left"/>
      <w:pPr>
        <w:ind w:left="1420" w:hanging="360"/>
      </w:pPr>
      <w:rPr>
        <w:rFonts w:ascii="Symbol" w:hAnsi="Symbol"/>
      </w:rPr>
    </w:lvl>
    <w:lvl w:ilvl="7" w:tplc="4DF42256">
      <w:start w:val="1"/>
      <w:numFmt w:val="bullet"/>
      <w:lvlText w:val=""/>
      <w:lvlJc w:val="left"/>
      <w:pPr>
        <w:ind w:left="1420" w:hanging="360"/>
      </w:pPr>
      <w:rPr>
        <w:rFonts w:ascii="Symbol" w:hAnsi="Symbol"/>
      </w:rPr>
    </w:lvl>
    <w:lvl w:ilvl="8" w:tplc="BBE02370">
      <w:start w:val="1"/>
      <w:numFmt w:val="bullet"/>
      <w:lvlText w:val=""/>
      <w:lvlJc w:val="left"/>
      <w:pPr>
        <w:ind w:left="1420" w:hanging="360"/>
      </w:pPr>
      <w:rPr>
        <w:rFonts w:ascii="Symbol" w:hAnsi="Symbol"/>
      </w:rPr>
    </w:lvl>
  </w:abstractNum>
  <w:abstractNum w:abstractNumId="17" w15:restartNumberingAfterBreak="0">
    <w:nsid w:val="71372056"/>
    <w:multiLevelType w:val="hybridMultilevel"/>
    <w:tmpl w:val="721C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214FBB"/>
    <w:multiLevelType w:val="hybridMultilevel"/>
    <w:tmpl w:val="16DE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BD7F8B"/>
    <w:multiLevelType w:val="hybridMultilevel"/>
    <w:tmpl w:val="AE6A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810501">
    <w:abstractNumId w:val="17"/>
  </w:num>
  <w:num w:numId="2" w16cid:durableId="364986618">
    <w:abstractNumId w:val="15"/>
  </w:num>
  <w:num w:numId="3" w16cid:durableId="1991975882">
    <w:abstractNumId w:val="7"/>
  </w:num>
  <w:num w:numId="4" w16cid:durableId="1531063495">
    <w:abstractNumId w:val="1"/>
  </w:num>
  <w:num w:numId="5" w16cid:durableId="338001884">
    <w:abstractNumId w:val="19"/>
  </w:num>
  <w:num w:numId="6" w16cid:durableId="1182865638">
    <w:abstractNumId w:val="12"/>
  </w:num>
  <w:num w:numId="7" w16cid:durableId="505942334">
    <w:abstractNumId w:val="0"/>
  </w:num>
  <w:num w:numId="8" w16cid:durableId="1036387795">
    <w:abstractNumId w:val="11"/>
  </w:num>
  <w:num w:numId="9" w16cid:durableId="378554606">
    <w:abstractNumId w:val="5"/>
  </w:num>
  <w:num w:numId="10" w16cid:durableId="1178302790">
    <w:abstractNumId w:val="8"/>
  </w:num>
  <w:num w:numId="11" w16cid:durableId="1134329783">
    <w:abstractNumId w:val="13"/>
  </w:num>
  <w:num w:numId="12" w16cid:durableId="1011952371">
    <w:abstractNumId w:val="10"/>
  </w:num>
  <w:num w:numId="13" w16cid:durableId="794101797">
    <w:abstractNumId w:val="6"/>
  </w:num>
  <w:num w:numId="14" w16cid:durableId="1409232945">
    <w:abstractNumId w:val="18"/>
  </w:num>
  <w:num w:numId="15" w16cid:durableId="1806391379">
    <w:abstractNumId w:val="2"/>
  </w:num>
  <w:num w:numId="16" w16cid:durableId="1625193999">
    <w:abstractNumId w:val="14"/>
  </w:num>
  <w:num w:numId="17" w16cid:durableId="422920239">
    <w:abstractNumId w:val="9"/>
  </w:num>
  <w:num w:numId="18" w16cid:durableId="2040087317">
    <w:abstractNumId w:val="3"/>
  </w:num>
  <w:num w:numId="19" w16cid:durableId="1619023312">
    <w:abstractNumId w:val="16"/>
  </w:num>
  <w:num w:numId="20" w16cid:durableId="2094668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1C"/>
    <w:rsid w:val="00001358"/>
    <w:rsid w:val="00001E51"/>
    <w:rsid w:val="000022C2"/>
    <w:rsid w:val="00002DC3"/>
    <w:rsid w:val="00005CF7"/>
    <w:rsid w:val="00011046"/>
    <w:rsid w:val="0001138E"/>
    <w:rsid w:val="00013717"/>
    <w:rsid w:val="00013725"/>
    <w:rsid w:val="000166C8"/>
    <w:rsid w:val="000166D6"/>
    <w:rsid w:val="00024659"/>
    <w:rsid w:val="00024D69"/>
    <w:rsid w:val="00030D9F"/>
    <w:rsid w:val="000332CA"/>
    <w:rsid w:val="00034B24"/>
    <w:rsid w:val="00035302"/>
    <w:rsid w:val="00037026"/>
    <w:rsid w:val="00037703"/>
    <w:rsid w:val="00040748"/>
    <w:rsid w:val="000419C3"/>
    <w:rsid w:val="000444A8"/>
    <w:rsid w:val="00046908"/>
    <w:rsid w:val="00050CFF"/>
    <w:rsid w:val="00052471"/>
    <w:rsid w:val="00052633"/>
    <w:rsid w:val="0005400F"/>
    <w:rsid w:val="00056BAD"/>
    <w:rsid w:val="00057002"/>
    <w:rsid w:val="00061189"/>
    <w:rsid w:val="0006120B"/>
    <w:rsid w:val="000667D9"/>
    <w:rsid w:val="00067A85"/>
    <w:rsid w:val="00070DA2"/>
    <w:rsid w:val="0007311E"/>
    <w:rsid w:val="000739FB"/>
    <w:rsid w:val="00074923"/>
    <w:rsid w:val="00074ECC"/>
    <w:rsid w:val="00081156"/>
    <w:rsid w:val="00081AF7"/>
    <w:rsid w:val="00082222"/>
    <w:rsid w:val="0008687D"/>
    <w:rsid w:val="000900EC"/>
    <w:rsid w:val="0009362B"/>
    <w:rsid w:val="0009436C"/>
    <w:rsid w:val="00094F6F"/>
    <w:rsid w:val="00095C37"/>
    <w:rsid w:val="000A0E5E"/>
    <w:rsid w:val="000A1D3F"/>
    <w:rsid w:val="000A6572"/>
    <w:rsid w:val="000A7D95"/>
    <w:rsid w:val="000B2B2A"/>
    <w:rsid w:val="000B3BBD"/>
    <w:rsid w:val="000B4F17"/>
    <w:rsid w:val="000B65F7"/>
    <w:rsid w:val="000C2B1D"/>
    <w:rsid w:val="000C34A0"/>
    <w:rsid w:val="000C5063"/>
    <w:rsid w:val="000C6128"/>
    <w:rsid w:val="000D019D"/>
    <w:rsid w:val="000D0D04"/>
    <w:rsid w:val="000D1861"/>
    <w:rsid w:val="000D242B"/>
    <w:rsid w:val="000D35ED"/>
    <w:rsid w:val="000D6B8D"/>
    <w:rsid w:val="000E0829"/>
    <w:rsid w:val="000E2BE9"/>
    <w:rsid w:val="000E3B6D"/>
    <w:rsid w:val="000E3E98"/>
    <w:rsid w:val="000F0804"/>
    <w:rsid w:val="000F5F25"/>
    <w:rsid w:val="000F600D"/>
    <w:rsid w:val="00100120"/>
    <w:rsid w:val="00101475"/>
    <w:rsid w:val="00101EA5"/>
    <w:rsid w:val="001024CA"/>
    <w:rsid w:val="00104804"/>
    <w:rsid w:val="001055DD"/>
    <w:rsid w:val="0010650B"/>
    <w:rsid w:val="00117D71"/>
    <w:rsid w:val="0012555A"/>
    <w:rsid w:val="00125567"/>
    <w:rsid w:val="00130BF0"/>
    <w:rsid w:val="00135F77"/>
    <w:rsid w:val="00137198"/>
    <w:rsid w:val="00140EE6"/>
    <w:rsid w:val="001418D5"/>
    <w:rsid w:val="0014549D"/>
    <w:rsid w:val="00145F46"/>
    <w:rsid w:val="00146C02"/>
    <w:rsid w:val="001624F1"/>
    <w:rsid w:val="00162713"/>
    <w:rsid w:val="00162AF7"/>
    <w:rsid w:val="001651EA"/>
    <w:rsid w:val="00165A03"/>
    <w:rsid w:val="00170A10"/>
    <w:rsid w:val="00172C70"/>
    <w:rsid w:val="00172FAD"/>
    <w:rsid w:val="00173929"/>
    <w:rsid w:val="00174E01"/>
    <w:rsid w:val="00176995"/>
    <w:rsid w:val="0018303A"/>
    <w:rsid w:val="00183FC8"/>
    <w:rsid w:val="00186423"/>
    <w:rsid w:val="00186D38"/>
    <w:rsid w:val="00191DA9"/>
    <w:rsid w:val="0019254F"/>
    <w:rsid w:val="001960CB"/>
    <w:rsid w:val="001A144E"/>
    <w:rsid w:val="001B0E5F"/>
    <w:rsid w:val="001B3480"/>
    <w:rsid w:val="001B4C7B"/>
    <w:rsid w:val="001C17E4"/>
    <w:rsid w:val="001C3063"/>
    <w:rsid w:val="001C6E0F"/>
    <w:rsid w:val="001D1192"/>
    <w:rsid w:val="001D2C34"/>
    <w:rsid w:val="001D6275"/>
    <w:rsid w:val="001D7954"/>
    <w:rsid w:val="001E058A"/>
    <w:rsid w:val="001E1D18"/>
    <w:rsid w:val="001E3927"/>
    <w:rsid w:val="001E439E"/>
    <w:rsid w:val="001E53D0"/>
    <w:rsid w:val="001E5ED3"/>
    <w:rsid w:val="001F6C72"/>
    <w:rsid w:val="002074AA"/>
    <w:rsid w:val="00207EB7"/>
    <w:rsid w:val="002100F0"/>
    <w:rsid w:val="00214159"/>
    <w:rsid w:val="00214C13"/>
    <w:rsid w:val="00215C1B"/>
    <w:rsid w:val="00217EB3"/>
    <w:rsid w:val="00222176"/>
    <w:rsid w:val="00224185"/>
    <w:rsid w:val="002273D7"/>
    <w:rsid w:val="00227F47"/>
    <w:rsid w:val="00232D6D"/>
    <w:rsid w:val="002372DA"/>
    <w:rsid w:val="00237DF2"/>
    <w:rsid w:val="0024187D"/>
    <w:rsid w:val="00243173"/>
    <w:rsid w:val="002443A7"/>
    <w:rsid w:val="002466A5"/>
    <w:rsid w:val="0025029D"/>
    <w:rsid w:val="00251F36"/>
    <w:rsid w:val="0025297C"/>
    <w:rsid w:val="00252E29"/>
    <w:rsid w:val="0025499A"/>
    <w:rsid w:val="00256E3C"/>
    <w:rsid w:val="00257928"/>
    <w:rsid w:val="002648A7"/>
    <w:rsid w:val="002670AC"/>
    <w:rsid w:val="0027021A"/>
    <w:rsid w:val="00270AB5"/>
    <w:rsid w:val="00270D79"/>
    <w:rsid w:val="00272FB4"/>
    <w:rsid w:val="002743E0"/>
    <w:rsid w:val="002767A4"/>
    <w:rsid w:val="0027793C"/>
    <w:rsid w:val="00280A80"/>
    <w:rsid w:val="0028236A"/>
    <w:rsid w:val="00284E8A"/>
    <w:rsid w:val="002859A8"/>
    <w:rsid w:val="00286219"/>
    <w:rsid w:val="002876A9"/>
    <w:rsid w:val="00287811"/>
    <w:rsid w:val="00297A42"/>
    <w:rsid w:val="002A5E8D"/>
    <w:rsid w:val="002A6A8A"/>
    <w:rsid w:val="002A6B5E"/>
    <w:rsid w:val="002B2D01"/>
    <w:rsid w:val="002B393C"/>
    <w:rsid w:val="002B42AA"/>
    <w:rsid w:val="002B4398"/>
    <w:rsid w:val="002B61EB"/>
    <w:rsid w:val="002C0210"/>
    <w:rsid w:val="002C3C4E"/>
    <w:rsid w:val="002C4DD2"/>
    <w:rsid w:val="002C5092"/>
    <w:rsid w:val="002C66C1"/>
    <w:rsid w:val="002D4FEC"/>
    <w:rsid w:val="002E47A4"/>
    <w:rsid w:val="002E4F6D"/>
    <w:rsid w:val="002F02F5"/>
    <w:rsid w:val="002F069D"/>
    <w:rsid w:val="002F0E03"/>
    <w:rsid w:val="002F25C8"/>
    <w:rsid w:val="002F6F33"/>
    <w:rsid w:val="002F7861"/>
    <w:rsid w:val="00303189"/>
    <w:rsid w:val="00303BE6"/>
    <w:rsid w:val="00304791"/>
    <w:rsid w:val="00304A8A"/>
    <w:rsid w:val="00306E54"/>
    <w:rsid w:val="00306FE9"/>
    <w:rsid w:val="00307714"/>
    <w:rsid w:val="00307FB2"/>
    <w:rsid w:val="003103C7"/>
    <w:rsid w:val="00314516"/>
    <w:rsid w:val="00322948"/>
    <w:rsid w:val="003244FE"/>
    <w:rsid w:val="00324D7F"/>
    <w:rsid w:val="00326C2F"/>
    <w:rsid w:val="00327108"/>
    <w:rsid w:val="00333AB5"/>
    <w:rsid w:val="00334FCC"/>
    <w:rsid w:val="00335777"/>
    <w:rsid w:val="00336339"/>
    <w:rsid w:val="0033736C"/>
    <w:rsid w:val="003426B5"/>
    <w:rsid w:val="0034303F"/>
    <w:rsid w:val="00357123"/>
    <w:rsid w:val="00360373"/>
    <w:rsid w:val="00363363"/>
    <w:rsid w:val="003633B2"/>
    <w:rsid w:val="00363AC6"/>
    <w:rsid w:val="00366AE1"/>
    <w:rsid w:val="00371064"/>
    <w:rsid w:val="0037154B"/>
    <w:rsid w:val="00373969"/>
    <w:rsid w:val="00375FEB"/>
    <w:rsid w:val="003779AB"/>
    <w:rsid w:val="00381D0A"/>
    <w:rsid w:val="00391C1B"/>
    <w:rsid w:val="00392FA0"/>
    <w:rsid w:val="00393AE4"/>
    <w:rsid w:val="003963FD"/>
    <w:rsid w:val="003978C4"/>
    <w:rsid w:val="003A081C"/>
    <w:rsid w:val="003A16AA"/>
    <w:rsid w:val="003A2010"/>
    <w:rsid w:val="003A28EB"/>
    <w:rsid w:val="003A3819"/>
    <w:rsid w:val="003A452A"/>
    <w:rsid w:val="003A4CD0"/>
    <w:rsid w:val="003A5C94"/>
    <w:rsid w:val="003A6441"/>
    <w:rsid w:val="003A7412"/>
    <w:rsid w:val="003B3474"/>
    <w:rsid w:val="003B3CB1"/>
    <w:rsid w:val="003B6693"/>
    <w:rsid w:val="003C11F8"/>
    <w:rsid w:val="003C52B4"/>
    <w:rsid w:val="003D01FA"/>
    <w:rsid w:val="003D02BF"/>
    <w:rsid w:val="003D0456"/>
    <w:rsid w:val="003D202B"/>
    <w:rsid w:val="003D4267"/>
    <w:rsid w:val="003D57D7"/>
    <w:rsid w:val="003E6292"/>
    <w:rsid w:val="003F110E"/>
    <w:rsid w:val="003F6B24"/>
    <w:rsid w:val="004003BC"/>
    <w:rsid w:val="004041F3"/>
    <w:rsid w:val="00404DCC"/>
    <w:rsid w:val="00405EEB"/>
    <w:rsid w:val="0041243C"/>
    <w:rsid w:val="00412E9A"/>
    <w:rsid w:val="00416E20"/>
    <w:rsid w:val="00420AF1"/>
    <w:rsid w:val="00420DF4"/>
    <w:rsid w:val="004211E2"/>
    <w:rsid w:val="0043147F"/>
    <w:rsid w:val="00434340"/>
    <w:rsid w:val="00434E34"/>
    <w:rsid w:val="004415C7"/>
    <w:rsid w:val="00450EC0"/>
    <w:rsid w:val="004534F2"/>
    <w:rsid w:val="0045359C"/>
    <w:rsid w:val="00453CE7"/>
    <w:rsid w:val="004575D9"/>
    <w:rsid w:val="0046031B"/>
    <w:rsid w:val="00460715"/>
    <w:rsid w:val="00464088"/>
    <w:rsid w:val="004649C8"/>
    <w:rsid w:val="00464D3A"/>
    <w:rsid w:val="00470B7E"/>
    <w:rsid w:val="004826FD"/>
    <w:rsid w:val="00486570"/>
    <w:rsid w:val="00487334"/>
    <w:rsid w:val="00490494"/>
    <w:rsid w:val="00492E08"/>
    <w:rsid w:val="00493445"/>
    <w:rsid w:val="004958A3"/>
    <w:rsid w:val="004A1336"/>
    <w:rsid w:val="004A20B3"/>
    <w:rsid w:val="004A2DE5"/>
    <w:rsid w:val="004A490B"/>
    <w:rsid w:val="004B0AB6"/>
    <w:rsid w:val="004B2108"/>
    <w:rsid w:val="004B5F17"/>
    <w:rsid w:val="004B75D8"/>
    <w:rsid w:val="004C1208"/>
    <w:rsid w:val="004C1617"/>
    <w:rsid w:val="004C2168"/>
    <w:rsid w:val="004C5011"/>
    <w:rsid w:val="004C6474"/>
    <w:rsid w:val="004D04EC"/>
    <w:rsid w:val="004D0E83"/>
    <w:rsid w:val="004D3A29"/>
    <w:rsid w:val="004D753C"/>
    <w:rsid w:val="004E194D"/>
    <w:rsid w:val="004E3088"/>
    <w:rsid w:val="004E4C78"/>
    <w:rsid w:val="004F63CB"/>
    <w:rsid w:val="004F6959"/>
    <w:rsid w:val="0050533B"/>
    <w:rsid w:val="0051021D"/>
    <w:rsid w:val="00517C1E"/>
    <w:rsid w:val="00524653"/>
    <w:rsid w:val="0052634C"/>
    <w:rsid w:val="005268E8"/>
    <w:rsid w:val="00535766"/>
    <w:rsid w:val="00546428"/>
    <w:rsid w:val="005466E6"/>
    <w:rsid w:val="00547255"/>
    <w:rsid w:val="0055366A"/>
    <w:rsid w:val="00554923"/>
    <w:rsid w:val="00555DE8"/>
    <w:rsid w:val="00556694"/>
    <w:rsid w:val="00557C2B"/>
    <w:rsid w:val="00563D6E"/>
    <w:rsid w:val="0056439C"/>
    <w:rsid w:val="0057396C"/>
    <w:rsid w:val="005767AB"/>
    <w:rsid w:val="0058207A"/>
    <w:rsid w:val="0058539F"/>
    <w:rsid w:val="00587B58"/>
    <w:rsid w:val="00591791"/>
    <w:rsid w:val="00594998"/>
    <w:rsid w:val="005A2FE3"/>
    <w:rsid w:val="005B011B"/>
    <w:rsid w:val="005B3907"/>
    <w:rsid w:val="005B3AA9"/>
    <w:rsid w:val="005B3C6C"/>
    <w:rsid w:val="005B6DC6"/>
    <w:rsid w:val="005C0587"/>
    <w:rsid w:val="005C18C1"/>
    <w:rsid w:val="005C2652"/>
    <w:rsid w:val="005C2E34"/>
    <w:rsid w:val="005C57B9"/>
    <w:rsid w:val="005C71FF"/>
    <w:rsid w:val="005C7602"/>
    <w:rsid w:val="005C7E99"/>
    <w:rsid w:val="005D360B"/>
    <w:rsid w:val="005D407D"/>
    <w:rsid w:val="005D5ECE"/>
    <w:rsid w:val="005D7031"/>
    <w:rsid w:val="005E2588"/>
    <w:rsid w:val="005E6A63"/>
    <w:rsid w:val="005F011D"/>
    <w:rsid w:val="005F14B7"/>
    <w:rsid w:val="005F5D36"/>
    <w:rsid w:val="00600810"/>
    <w:rsid w:val="00601DDE"/>
    <w:rsid w:val="00605A5B"/>
    <w:rsid w:val="0060744C"/>
    <w:rsid w:val="00607D73"/>
    <w:rsid w:val="00612CFE"/>
    <w:rsid w:val="006170ED"/>
    <w:rsid w:val="00617D64"/>
    <w:rsid w:val="00624E96"/>
    <w:rsid w:val="00632D4D"/>
    <w:rsid w:val="00635D81"/>
    <w:rsid w:val="006436C6"/>
    <w:rsid w:val="006464AE"/>
    <w:rsid w:val="006513AF"/>
    <w:rsid w:val="0065158C"/>
    <w:rsid w:val="0065301C"/>
    <w:rsid w:val="00653616"/>
    <w:rsid w:val="00653ED1"/>
    <w:rsid w:val="006622D4"/>
    <w:rsid w:val="00663B1D"/>
    <w:rsid w:val="006654D3"/>
    <w:rsid w:val="006705AC"/>
    <w:rsid w:val="00675606"/>
    <w:rsid w:val="006779ED"/>
    <w:rsid w:val="0068019B"/>
    <w:rsid w:val="006811E9"/>
    <w:rsid w:val="006835EF"/>
    <w:rsid w:val="0069181A"/>
    <w:rsid w:val="00692BD8"/>
    <w:rsid w:val="00694E5D"/>
    <w:rsid w:val="0069590A"/>
    <w:rsid w:val="00696807"/>
    <w:rsid w:val="006A0B29"/>
    <w:rsid w:val="006A1ED7"/>
    <w:rsid w:val="006B10FD"/>
    <w:rsid w:val="006B174E"/>
    <w:rsid w:val="006B407D"/>
    <w:rsid w:val="006B6D6C"/>
    <w:rsid w:val="006C02D0"/>
    <w:rsid w:val="006C1711"/>
    <w:rsid w:val="006C36CE"/>
    <w:rsid w:val="006C408B"/>
    <w:rsid w:val="006C5A6A"/>
    <w:rsid w:val="006C6928"/>
    <w:rsid w:val="006C7F6D"/>
    <w:rsid w:val="006D0E9D"/>
    <w:rsid w:val="006D2C82"/>
    <w:rsid w:val="006E0EC6"/>
    <w:rsid w:val="006E2FA1"/>
    <w:rsid w:val="006E390C"/>
    <w:rsid w:val="006E3A62"/>
    <w:rsid w:val="006E3F7A"/>
    <w:rsid w:val="006F043A"/>
    <w:rsid w:val="006F4070"/>
    <w:rsid w:val="006F4C2B"/>
    <w:rsid w:val="00700F8A"/>
    <w:rsid w:val="00701C7C"/>
    <w:rsid w:val="007151C0"/>
    <w:rsid w:val="00715A78"/>
    <w:rsid w:val="007176C8"/>
    <w:rsid w:val="00720608"/>
    <w:rsid w:val="00721029"/>
    <w:rsid w:val="007260EC"/>
    <w:rsid w:val="00730909"/>
    <w:rsid w:val="00732DB9"/>
    <w:rsid w:val="00733E12"/>
    <w:rsid w:val="007404C1"/>
    <w:rsid w:val="00743E8D"/>
    <w:rsid w:val="0074464F"/>
    <w:rsid w:val="00746DDE"/>
    <w:rsid w:val="00746EC2"/>
    <w:rsid w:val="007507EB"/>
    <w:rsid w:val="00752FA0"/>
    <w:rsid w:val="00755309"/>
    <w:rsid w:val="007557E8"/>
    <w:rsid w:val="007609CA"/>
    <w:rsid w:val="00761E15"/>
    <w:rsid w:val="00763E82"/>
    <w:rsid w:val="00764EEA"/>
    <w:rsid w:val="0077181D"/>
    <w:rsid w:val="00772E47"/>
    <w:rsid w:val="00773AA7"/>
    <w:rsid w:val="007760F7"/>
    <w:rsid w:val="00776F86"/>
    <w:rsid w:val="00785526"/>
    <w:rsid w:val="00786BF3"/>
    <w:rsid w:val="00787523"/>
    <w:rsid w:val="00787A75"/>
    <w:rsid w:val="00787E32"/>
    <w:rsid w:val="00790CA2"/>
    <w:rsid w:val="00791C6F"/>
    <w:rsid w:val="00792B90"/>
    <w:rsid w:val="00792B9D"/>
    <w:rsid w:val="00795578"/>
    <w:rsid w:val="00796A65"/>
    <w:rsid w:val="007A009A"/>
    <w:rsid w:val="007A060C"/>
    <w:rsid w:val="007A1310"/>
    <w:rsid w:val="007A26BC"/>
    <w:rsid w:val="007A2A81"/>
    <w:rsid w:val="007A53BF"/>
    <w:rsid w:val="007A5B9F"/>
    <w:rsid w:val="007A6CB2"/>
    <w:rsid w:val="007A765E"/>
    <w:rsid w:val="007B6028"/>
    <w:rsid w:val="007C3D0C"/>
    <w:rsid w:val="007C518A"/>
    <w:rsid w:val="007C59C6"/>
    <w:rsid w:val="007D19FD"/>
    <w:rsid w:val="007D4C5E"/>
    <w:rsid w:val="007D7296"/>
    <w:rsid w:val="007D7440"/>
    <w:rsid w:val="007D7C19"/>
    <w:rsid w:val="007E1422"/>
    <w:rsid w:val="007E1B02"/>
    <w:rsid w:val="007E3F27"/>
    <w:rsid w:val="007E6BFB"/>
    <w:rsid w:val="007F3BAE"/>
    <w:rsid w:val="00801C0B"/>
    <w:rsid w:val="00802AA4"/>
    <w:rsid w:val="0080330A"/>
    <w:rsid w:val="00804AB9"/>
    <w:rsid w:val="00804ED1"/>
    <w:rsid w:val="008065C5"/>
    <w:rsid w:val="00822056"/>
    <w:rsid w:val="008247EC"/>
    <w:rsid w:val="008250E8"/>
    <w:rsid w:val="00826FF4"/>
    <w:rsid w:val="008277DB"/>
    <w:rsid w:val="00835A37"/>
    <w:rsid w:val="00835DFA"/>
    <w:rsid w:val="00840EDC"/>
    <w:rsid w:val="008421C1"/>
    <w:rsid w:val="00853570"/>
    <w:rsid w:val="0085461F"/>
    <w:rsid w:val="00856384"/>
    <w:rsid w:val="008604CA"/>
    <w:rsid w:val="008619F7"/>
    <w:rsid w:val="008622D1"/>
    <w:rsid w:val="0086297D"/>
    <w:rsid w:val="00863469"/>
    <w:rsid w:val="008639A1"/>
    <w:rsid w:val="00866910"/>
    <w:rsid w:val="00867130"/>
    <w:rsid w:val="00867C20"/>
    <w:rsid w:val="00873F23"/>
    <w:rsid w:val="00876D8B"/>
    <w:rsid w:val="00880AF3"/>
    <w:rsid w:val="00881311"/>
    <w:rsid w:val="008825FB"/>
    <w:rsid w:val="00882C13"/>
    <w:rsid w:val="008A0E09"/>
    <w:rsid w:val="008A1994"/>
    <w:rsid w:val="008B1C89"/>
    <w:rsid w:val="008B6CBB"/>
    <w:rsid w:val="008B6D1C"/>
    <w:rsid w:val="008C4E2F"/>
    <w:rsid w:val="008C5AFB"/>
    <w:rsid w:val="008D07B2"/>
    <w:rsid w:val="008D1180"/>
    <w:rsid w:val="008D4540"/>
    <w:rsid w:val="008D626F"/>
    <w:rsid w:val="008D744F"/>
    <w:rsid w:val="008E25BB"/>
    <w:rsid w:val="008E50F2"/>
    <w:rsid w:val="008E60F9"/>
    <w:rsid w:val="008F2AA2"/>
    <w:rsid w:val="008F74AF"/>
    <w:rsid w:val="00901134"/>
    <w:rsid w:val="009016C4"/>
    <w:rsid w:val="00902CAF"/>
    <w:rsid w:val="009031F1"/>
    <w:rsid w:val="009046D9"/>
    <w:rsid w:val="00905635"/>
    <w:rsid w:val="009061AB"/>
    <w:rsid w:val="009077A9"/>
    <w:rsid w:val="0091393B"/>
    <w:rsid w:val="00920B00"/>
    <w:rsid w:val="00921ED4"/>
    <w:rsid w:val="00922B11"/>
    <w:rsid w:val="0092374B"/>
    <w:rsid w:val="00927ED9"/>
    <w:rsid w:val="00931128"/>
    <w:rsid w:val="009346BA"/>
    <w:rsid w:val="00934B0C"/>
    <w:rsid w:val="0093660A"/>
    <w:rsid w:val="00936D4A"/>
    <w:rsid w:val="009371ED"/>
    <w:rsid w:val="00940982"/>
    <w:rsid w:val="00940ECC"/>
    <w:rsid w:val="00943764"/>
    <w:rsid w:val="009446FA"/>
    <w:rsid w:val="0094602C"/>
    <w:rsid w:val="00946779"/>
    <w:rsid w:val="00947248"/>
    <w:rsid w:val="00947EBE"/>
    <w:rsid w:val="009541DD"/>
    <w:rsid w:val="00954830"/>
    <w:rsid w:val="00954D3B"/>
    <w:rsid w:val="0095731A"/>
    <w:rsid w:val="009573AB"/>
    <w:rsid w:val="00962475"/>
    <w:rsid w:val="00966E23"/>
    <w:rsid w:val="0097021A"/>
    <w:rsid w:val="0097229B"/>
    <w:rsid w:val="00975C8D"/>
    <w:rsid w:val="00976F1A"/>
    <w:rsid w:val="00981D22"/>
    <w:rsid w:val="009829E2"/>
    <w:rsid w:val="00983ACB"/>
    <w:rsid w:val="0098670D"/>
    <w:rsid w:val="009914D3"/>
    <w:rsid w:val="00995547"/>
    <w:rsid w:val="009A49C4"/>
    <w:rsid w:val="009A54FE"/>
    <w:rsid w:val="009B1208"/>
    <w:rsid w:val="009B32E0"/>
    <w:rsid w:val="009B33C8"/>
    <w:rsid w:val="009B479D"/>
    <w:rsid w:val="009B7452"/>
    <w:rsid w:val="009C4109"/>
    <w:rsid w:val="009C4C98"/>
    <w:rsid w:val="009C5874"/>
    <w:rsid w:val="009C5E40"/>
    <w:rsid w:val="009C6DE5"/>
    <w:rsid w:val="009C75D1"/>
    <w:rsid w:val="009D4794"/>
    <w:rsid w:val="009D50EC"/>
    <w:rsid w:val="009D690C"/>
    <w:rsid w:val="009D7822"/>
    <w:rsid w:val="009D7932"/>
    <w:rsid w:val="009E0C8B"/>
    <w:rsid w:val="009E2174"/>
    <w:rsid w:val="009E2F0C"/>
    <w:rsid w:val="009E6689"/>
    <w:rsid w:val="009F009B"/>
    <w:rsid w:val="009F1114"/>
    <w:rsid w:val="009F2923"/>
    <w:rsid w:val="009F403C"/>
    <w:rsid w:val="009F470E"/>
    <w:rsid w:val="009F6299"/>
    <w:rsid w:val="009F6595"/>
    <w:rsid w:val="00A0175F"/>
    <w:rsid w:val="00A06795"/>
    <w:rsid w:val="00A06F9E"/>
    <w:rsid w:val="00A0776F"/>
    <w:rsid w:val="00A10B78"/>
    <w:rsid w:val="00A16D95"/>
    <w:rsid w:val="00A16ECB"/>
    <w:rsid w:val="00A17C29"/>
    <w:rsid w:val="00A20027"/>
    <w:rsid w:val="00A20503"/>
    <w:rsid w:val="00A26E3B"/>
    <w:rsid w:val="00A32517"/>
    <w:rsid w:val="00A362EE"/>
    <w:rsid w:val="00A4084F"/>
    <w:rsid w:val="00A4232A"/>
    <w:rsid w:val="00A437A2"/>
    <w:rsid w:val="00A45764"/>
    <w:rsid w:val="00A50776"/>
    <w:rsid w:val="00A52207"/>
    <w:rsid w:val="00A524EC"/>
    <w:rsid w:val="00A54FCF"/>
    <w:rsid w:val="00A55864"/>
    <w:rsid w:val="00A55D7F"/>
    <w:rsid w:val="00A60F6A"/>
    <w:rsid w:val="00A6797F"/>
    <w:rsid w:val="00A67B06"/>
    <w:rsid w:val="00A70C87"/>
    <w:rsid w:val="00A7166C"/>
    <w:rsid w:val="00A8050E"/>
    <w:rsid w:val="00A808F3"/>
    <w:rsid w:val="00A81D14"/>
    <w:rsid w:val="00A8239B"/>
    <w:rsid w:val="00A878FB"/>
    <w:rsid w:val="00A87AD3"/>
    <w:rsid w:val="00A92AD3"/>
    <w:rsid w:val="00A95FA6"/>
    <w:rsid w:val="00A974B1"/>
    <w:rsid w:val="00AA5C5B"/>
    <w:rsid w:val="00AA64B2"/>
    <w:rsid w:val="00AA7526"/>
    <w:rsid w:val="00AB1153"/>
    <w:rsid w:val="00AB1950"/>
    <w:rsid w:val="00AB5360"/>
    <w:rsid w:val="00AB57F7"/>
    <w:rsid w:val="00AC2137"/>
    <w:rsid w:val="00AC2FBD"/>
    <w:rsid w:val="00AC4F6E"/>
    <w:rsid w:val="00AD248C"/>
    <w:rsid w:val="00AE074A"/>
    <w:rsid w:val="00AE1402"/>
    <w:rsid w:val="00AE553E"/>
    <w:rsid w:val="00AE61F7"/>
    <w:rsid w:val="00AE6C88"/>
    <w:rsid w:val="00AF18EE"/>
    <w:rsid w:val="00AF7183"/>
    <w:rsid w:val="00B020B9"/>
    <w:rsid w:val="00B12D74"/>
    <w:rsid w:val="00B172C5"/>
    <w:rsid w:val="00B20ECE"/>
    <w:rsid w:val="00B33079"/>
    <w:rsid w:val="00B352B9"/>
    <w:rsid w:val="00B4078C"/>
    <w:rsid w:val="00B46188"/>
    <w:rsid w:val="00B50390"/>
    <w:rsid w:val="00B51817"/>
    <w:rsid w:val="00B53CE7"/>
    <w:rsid w:val="00B608A6"/>
    <w:rsid w:val="00B61F56"/>
    <w:rsid w:val="00B632BA"/>
    <w:rsid w:val="00B662BA"/>
    <w:rsid w:val="00B66308"/>
    <w:rsid w:val="00B85BDE"/>
    <w:rsid w:val="00B939CF"/>
    <w:rsid w:val="00B93CB6"/>
    <w:rsid w:val="00BA058E"/>
    <w:rsid w:val="00BA18AD"/>
    <w:rsid w:val="00BA5DFF"/>
    <w:rsid w:val="00BB2B8E"/>
    <w:rsid w:val="00BB3B77"/>
    <w:rsid w:val="00BB431D"/>
    <w:rsid w:val="00BC187D"/>
    <w:rsid w:val="00BC32C3"/>
    <w:rsid w:val="00BC3A26"/>
    <w:rsid w:val="00BC5D63"/>
    <w:rsid w:val="00BC746E"/>
    <w:rsid w:val="00BD22F8"/>
    <w:rsid w:val="00BD2B6E"/>
    <w:rsid w:val="00BD353E"/>
    <w:rsid w:val="00BE6F71"/>
    <w:rsid w:val="00BE746D"/>
    <w:rsid w:val="00BE7EEF"/>
    <w:rsid w:val="00BF095A"/>
    <w:rsid w:val="00BF2AB9"/>
    <w:rsid w:val="00BF2D36"/>
    <w:rsid w:val="00BF407C"/>
    <w:rsid w:val="00BF4203"/>
    <w:rsid w:val="00C023A9"/>
    <w:rsid w:val="00C0493E"/>
    <w:rsid w:val="00C059C4"/>
    <w:rsid w:val="00C11600"/>
    <w:rsid w:val="00C142FE"/>
    <w:rsid w:val="00C151BA"/>
    <w:rsid w:val="00C17622"/>
    <w:rsid w:val="00C2072D"/>
    <w:rsid w:val="00C22D98"/>
    <w:rsid w:val="00C25023"/>
    <w:rsid w:val="00C30695"/>
    <w:rsid w:val="00C33454"/>
    <w:rsid w:val="00C338F5"/>
    <w:rsid w:val="00C34EE5"/>
    <w:rsid w:val="00C40FF9"/>
    <w:rsid w:val="00C42C47"/>
    <w:rsid w:val="00C50173"/>
    <w:rsid w:val="00C511EC"/>
    <w:rsid w:val="00C55B1F"/>
    <w:rsid w:val="00C575F8"/>
    <w:rsid w:val="00C6432B"/>
    <w:rsid w:val="00C73151"/>
    <w:rsid w:val="00C758D1"/>
    <w:rsid w:val="00C80ED4"/>
    <w:rsid w:val="00C80FDB"/>
    <w:rsid w:val="00C83BAE"/>
    <w:rsid w:val="00C91D0C"/>
    <w:rsid w:val="00C93046"/>
    <w:rsid w:val="00C933FB"/>
    <w:rsid w:val="00CA2DAA"/>
    <w:rsid w:val="00CA39F4"/>
    <w:rsid w:val="00CA63C4"/>
    <w:rsid w:val="00CA7B7B"/>
    <w:rsid w:val="00CA7CC8"/>
    <w:rsid w:val="00CA7FDC"/>
    <w:rsid w:val="00CB246F"/>
    <w:rsid w:val="00CB7FFD"/>
    <w:rsid w:val="00CC032B"/>
    <w:rsid w:val="00CC12BF"/>
    <w:rsid w:val="00CC5A57"/>
    <w:rsid w:val="00CC6DCB"/>
    <w:rsid w:val="00CD07D9"/>
    <w:rsid w:val="00CD51C2"/>
    <w:rsid w:val="00CD5CE6"/>
    <w:rsid w:val="00CE0973"/>
    <w:rsid w:val="00CE18D1"/>
    <w:rsid w:val="00CE402A"/>
    <w:rsid w:val="00CE55F0"/>
    <w:rsid w:val="00CE6519"/>
    <w:rsid w:val="00CF1055"/>
    <w:rsid w:val="00CF2002"/>
    <w:rsid w:val="00CF217F"/>
    <w:rsid w:val="00CF27A2"/>
    <w:rsid w:val="00CF7B7E"/>
    <w:rsid w:val="00D01064"/>
    <w:rsid w:val="00D01D8A"/>
    <w:rsid w:val="00D041FB"/>
    <w:rsid w:val="00D132B2"/>
    <w:rsid w:val="00D1337E"/>
    <w:rsid w:val="00D17EAF"/>
    <w:rsid w:val="00D26910"/>
    <w:rsid w:val="00D279F5"/>
    <w:rsid w:val="00D27FFA"/>
    <w:rsid w:val="00D34EB2"/>
    <w:rsid w:val="00D36A81"/>
    <w:rsid w:val="00D40420"/>
    <w:rsid w:val="00D41664"/>
    <w:rsid w:val="00D41DA6"/>
    <w:rsid w:val="00D44629"/>
    <w:rsid w:val="00D47B42"/>
    <w:rsid w:val="00D515DB"/>
    <w:rsid w:val="00D5320D"/>
    <w:rsid w:val="00D53378"/>
    <w:rsid w:val="00D537C6"/>
    <w:rsid w:val="00D62F11"/>
    <w:rsid w:val="00D65F89"/>
    <w:rsid w:val="00D664EC"/>
    <w:rsid w:val="00D71B29"/>
    <w:rsid w:val="00D738B0"/>
    <w:rsid w:val="00D74E3F"/>
    <w:rsid w:val="00D77B30"/>
    <w:rsid w:val="00D807AA"/>
    <w:rsid w:val="00D8500C"/>
    <w:rsid w:val="00D85E84"/>
    <w:rsid w:val="00D863DC"/>
    <w:rsid w:val="00D90449"/>
    <w:rsid w:val="00D9087F"/>
    <w:rsid w:val="00D924B9"/>
    <w:rsid w:val="00D93E54"/>
    <w:rsid w:val="00D95FA0"/>
    <w:rsid w:val="00DA071C"/>
    <w:rsid w:val="00DA3D2F"/>
    <w:rsid w:val="00DA4401"/>
    <w:rsid w:val="00DA6E88"/>
    <w:rsid w:val="00DB1718"/>
    <w:rsid w:val="00DB26D9"/>
    <w:rsid w:val="00DB428E"/>
    <w:rsid w:val="00DC47B4"/>
    <w:rsid w:val="00DC60A2"/>
    <w:rsid w:val="00DC6471"/>
    <w:rsid w:val="00DC75E2"/>
    <w:rsid w:val="00DD26AA"/>
    <w:rsid w:val="00DD36C6"/>
    <w:rsid w:val="00DD6070"/>
    <w:rsid w:val="00DE1598"/>
    <w:rsid w:val="00DE1B0E"/>
    <w:rsid w:val="00DE49B4"/>
    <w:rsid w:val="00DE5ADD"/>
    <w:rsid w:val="00DE6FC3"/>
    <w:rsid w:val="00DE70B9"/>
    <w:rsid w:val="00DE7B73"/>
    <w:rsid w:val="00DE7EA6"/>
    <w:rsid w:val="00DF424C"/>
    <w:rsid w:val="00DF4A5C"/>
    <w:rsid w:val="00E011E5"/>
    <w:rsid w:val="00E02230"/>
    <w:rsid w:val="00E02C42"/>
    <w:rsid w:val="00E04BF3"/>
    <w:rsid w:val="00E073D1"/>
    <w:rsid w:val="00E132CF"/>
    <w:rsid w:val="00E149EC"/>
    <w:rsid w:val="00E219D9"/>
    <w:rsid w:val="00E236A8"/>
    <w:rsid w:val="00E26DB4"/>
    <w:rsid w:val="00E31A41"/>
    <w:rsid w:val="00E355F6"/>
    <w:rsid w:val="00E37004"/>
    <w:rsid w:val="00E403EE"/>
    <w:rsid w:val="00E4094E"/>
    <w:rsid w:val="00E41409"/>
    <w:rsid w:val="00E43F8E"/>
    <w:rsid w:val="00E449B9"/>
    <w:rsid w:val="00E50661"/>
    <w:rsid w:val="00E50B0E"/>
    <w:rsid w:val="00E50BA4"/>
    <w:rsid w:val="00E5404B"/>
    <w:rsid w:val="00E54C68"/>
    <w:rsid w:val="00E54D58"/>
    <w:rsid w:val="00E56D7D"/>
    <w:rsid w:val="00E6066D"/>
    <w:rsid w:val="00E60BCD"/>
    <w:rsid w:val="00E61204"/>
    <w:rsid w:val="00E61852"/>
    <w:rsid w:val="00E63E9B"/>
    <w:rsid w:val="00E650B9"/>
    <w:rsid w:val="00E660DE"/>
    <w:rsid w:val="00E6632C"/>
    <w:rsid w:val="00E70B83"/>
    <w:rsid w:val="00E73F1F"/>
    <w:rsid w:val="00E76903"/>
    <w:rsid w:val="00E76CBE"/>
    <w:rsid w:val="00E81C8D"/>
    <w:rsid w:val="00E858F6"/>
    <w:rsid w:val="00E87A2F"/>
    <w:rsid w:val="00E90DDF"/>
    <w:rsid w:val="00E9189A"/>
    <w:rsid w:val="00E952F5"/>
    <w:rsid w:val="00E95897"/>
    <w:rsid w:val="00EA080F"/>
    <w:rsid w:val="00EA098A"/>
    <w:rsid w:val="00EA0B4A"/>
    <w:rsid w:val="00EA137A"/>
    <w:rsid w:val="00EA3633"/>
    <w:rsid w:val="00EA78D1"/>
    <w:rsid w:val="00EB1718"/>
    <w:rsid w:val="00EB2B15"/>
    <w:rsid w:val="00EB306C"/>
    <w:rsid w:val="00EB5F38"/>
    <w:rsid w:val="00EB6D70"/>
    <w:rsid w:val="00EB7D5A"/>
    <w:rsid w:val="00EB7F4A"/>
    <w:rsid w:val="00EC179B"/>
    <w:rsid w:val="00EC2952"/>
    <w:rsid w:val="00EC5D0D"/>
    <w:rsid w:val="00ED0341"/>
    <w:rsid w:val="00ED792F"/>
    <w:rsid w:val="00EE01FE"/>
    <w:rsid w:val="00EE073A"/>
    <w:rsid w:val="00EE3BFE"/>
    <w:rsid w:val="00EE3D73"/>
    <w:rsid w:val="00EE4124"/>
    <w:rsid w:val="00EE5F43"/>
    <w:rsid w:val="00EE7E15"/>
    <w:rsid w:val="00EF03E8"/>
    <w:rsid w:val="00EF65B6"/>
    <w:rsid w:val="00EF6659"/>
    <w:rsid w:val="00F02583"/>
    <w:rsid w:val="00F0799A"/>
    <w:rsid w:val="00F10AF4"/>
    <w:rsid w:val="00F10CA0"/>
    <w:rsid w:val="00F10EA3"/>
    <w:rsid w:val="00F11B23"/>
    <w:rsid w:val="00F1248D"/>
    <w:rsid w:val="00F12E5D"/>
    <w:rsid w:val="00F15C39"/>
    <w:rsid w:val="00F1621C"/>
    <w:rsid w:val="00F223AB"/>
    <w:rsid w:val="00F22AAC"/>
    <w:rsid w:val="00F24A71"/>
    <w:rsid w:val="00F30706"/>
    <w:rsid w:val="00F309D9"/>
    <w:rsid w:val="00F33661"/>
    <w:rsid w:val="00F36457"/>
    <w:rsid w:val="00F4103A"/>
    <w:rsid w:val="00F45440"/>
    <w:rsid w:val="00F473F0"/>
    <w:rsid w:val="00F50B04"/>
    <w:rsid w:val="00F5417A"/>
    <w:rsid w:val="00F564E5"/>
    <w:rsid w:val="00F57C93"/>
    <w:rsid w:val="00F601FB"/>
    <w:rsid w:val="00F6066F"/>
    <w:rsid w:val="00F62803"/>
    <w:rsid w:val="00F63C38"/>
    <w:rsid w:val="00F63D82"/>
    <w:rsid w:val="00F63F43"/>
    <w:rsid w:val="00F64A71"/>
    <w:rsid w:val="00F65DB8"/>
    <w:rsid w:val="00F662B1"/>
    <w:rsid w:val="00F70CBA"/>
    <w:rsid w:val="00F70FF9"/>
    <w:rsid w:val="00F736F4"/>
    <w:rsid w:val="00F74710"/>
    <w:rsid w:val="00F77AA2"/>
    <w:rsid w:val="00F77B2C"/>
    <w:rsid w:val="00F80688"/>
    <w:rsid w:val="00F838F6"/>
    <w:rsid w:val="00F854FE"/>
    <w:rsid w:val="00F85610"/>
    <w:rsid w:val="00F85F3F"/>
    <w:rsid w:val="00F86145"/>
    <w:rsid w:val="00F87345"/>
    <w:rsid w:val="00F8748F"/>
    <w:rsid w:val="00F92F82"/>
    <w:rsid w:val="00F93FC9"/>
    <w:rsid w:val="00F967D1"/>
    <w:rsid w:val="00FA153B"/>
    <w:rsid w:val="00FA1676"/>
    <w:rsid w:val="00FB0CBD"/>
    <w:rsid w:val="00FB1311"/>
    <w:rsid w:val="00FB1B75"/>
    <w:rsid w:val="00FB38E8"/>
    <w:rsid w:val="00FC0CA5"/>
    <w:rsid w:val="00FC341C"/>
    <w:rsid w:val="00FC4350"/>
    <w:rsid w:val="00FC4637"/>
    <w:rsid w:val="00FC69A6"/>
    <w:rsid w:val="00FC7747"/>
    <w:rsid w:val="00FD249A"/>
    <w:rsid w:val="00FD5392"/>
    <w:rsid w:val="00FD63AD"/>
    <w:rsid w:val="00FE1815"/>
    <w:rsid w:val="00FE2A52"/>
    <w:rsid w:val="00FE3F3D"/>
    <w:rsid w:val="00FE4076"/>
    <w:rsid w:val="00FE7BB2"/>
    <w:rsid w:val="00FF0EA0"/>
    <w:rsid w:val="00FF1AF8"/>
    <w:rsid w:val="00FF1B15"/>
    <w:rsid w:val="00FF457D"/>
    <w:rsid w:val="00FF6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A58B"/>
  <w15:chartTrackingRefBased/>
  <w15:docId w15:val="{AF7A8F32-FEB3-419E-A2D5-CB4B249F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08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081C"/>
  </w:style>
  <w:style w:type="paragraph" w:styleId="Revision">
    <w:name w:val="Revision"/>
    <w:hidden/>
    <w:uiPriority w:val="99"/>
    <w:semiHidden/>
    <w:rsid w:val="003A081C"/>
    <w:pPr>
      <w:spacing w:after="0" w:line="240" w:lineRule="auto"/>
    </w:pPr>
  </w:style>
  <w:style w:type="character" w:styleId="CommentReference">
    <w:name w:val="annotation reference"/>
    <w:basedOn w:val="DefaultParagraphFont"/>
    <w:uiPriority w:val="99"/>
    <w:semiHidden/>
    <w:unhideWhenUsed/>
    <w:rsid w:val="003A081C"/>
    <w:rPr>
      <w:sz w:val="16"/>
      <w:szCs w:val="16"/>
    </w:rPr>
  </w:style>
  <w:style w:type="paragraph" w:styleId="CommentText">
    <w:name w:val="annotation text"/>
    <w:basedOn w:val="Normal"/>
    <w:link w:val="CommentTextChar"/>
    <w:uiPriority w:val="99"/>
    <w:unhideWhenUsed/>
    <w:rsid w:val="003A081C"/>
    <w:pPr>
      <w:spacing w:line="240" w:lineRule="auto"/>
    </w:pPr>
    <w:rPr>
      <w:sz w:val="20"/>
      <w:szCs w:val="20"/>
    </w:rPr>
  </w:style>
  <w:style w:type="character" w:customStyle="1" w:styleId="CommentTextChar">
    <w:name w:val="Comment Text Char"/>
    <w:basedOn w:val="DefaultParagraphFont"/>
    <w:link w:val="CommentText"/>
    <w:uiPriority w:val="99"/>
    <w:rsid w:val="003A081C"/>
    <w:rPr>
      <w:sz w:val="20"/>
      <w:szCs w:val="20"/>
    </w:rPr>
  </w:style>
  <w:style w:type="paragraph" w:styleId="CommentSubject">
    <w:name w:val="annotation subject"/>
    <w:basedOn w:val="CommentText"/>
    <w:next w:val="CommentText"/>
    <w:link w:val="CommentSubjectChar"/>
    <w:uiPriority w:val="99"/>
    <w:semiHidden/>
    <w:unhideWhenUsed/>
    <w:rsid w:val="003A081C"/>
    <w:rPr>
      <w:b/>
      <w:bCs/>
    </w:rPr>
  </w:style>
  <w:style w:type="character" w:customStyle="1" w:styleId="CommentSubjectChar">
    <w:name w:val="Comment Subject Char"/>
    <w:basedOn w:val="CommentTextChar"/>
    <w:link w:val="CommentSubject"/>
    <w:uiPriority w:val="99"/>
    <w:semiHidden/>
    <w:rsid w:val="003A081C"/>
    <w:rPr>
      <w:b/>
      <w:bCs/>
      <w:sz w:val="20"/>
      <w:szCs w:val="20"/>
    </w:rPr>
  </w:style>
  <w:style w:type="paragraph" w:styleId="ListParagraph">
    <w:name w:val="List Paragraph"/>
    <w:basedOn w:val="Normal"/>
    <w:uiPriority w:val="34"/>
    <w:qFormat/>
    <w:rsid w:val="009C5E40"/>
    <w:pPr>
      <w:ind w:left="720"/>
      <w:contextualSpacing/>
    </w:pPr>
  </w:style>
  <w:style w:type="character" w:styleId="Hyperlink">
    <w:name w:val="Hyperlink"/>
    <w:basedOn w:val="DefaultParagraphFont"/>
    <w:uiPriority w:val="99"/>
    <w:unhideWhenUsed/>
    <w:rsid w:val="002443A7"/>
    <w:rPr>
      <w:color w:val="0563C1" w:themeColor="hyperlink"/>
      <w:u w:val="single"/>
    </w:rPr>
  </w:style>
  <w:style w:type="character" w:styleId="UnresolvedMention">
    <w:name w:val="Unresolved Mention"/>
    <w:basedOn w:val="DefaultParagraphFont"/>
    <w:uiPriority w:val="99"/>
    <w:semiHidden/>
    <w:unhideWhenUsed/>
    <w:rsid w:val="002443A7"/>
    <w:rPr>
      <w:color w:val="605E5C"/>
      <w:shd w:val="clear" w:color="auto" w:fill="E1DFDD"/>
    </w:rPr>
  </w:style>
  <w:style w:type="character" w:customStyle="1" w:styleId="cf01">
    <w:name w:val="cf01"/>
    <w:basedOn w:val="DefaultParagraphFont"/>
    <w:rsid w:val="00DB42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418693">
      <w:bodyDiv w:val="1"/>
      <w:marLeft w:val="0"/>
      <w:marRight w:val="0"/>
      <w:marTop w:val="0"/>
      <w:marBottom w:val="0"/>
      <w:divBdr>
        <w:top w:val="none" w:sz="0" w:space="0" w:color="auto"/>
        <w:left w:val="none" w:sz="0" w:space="0" w:color="auto"/>
        <w:bottom w:val="none" w:sz="0" w:space="0" w:color="auto"/>
        <w:right w:val="none" w:sz="0" w:space="0" w:color="auto"/>
      </w:divBdr>
    </w:div>
    <w:div w:id="15365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057C-1802-481B-BA5E-B5359657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15077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Benjamin</dc:creator>
  <cp:keywords/>
  <dc:description/>
  <cp:lastModifiedBy>SINNATHAMBY, Priya</cp:lastModifiedBy>
  <cp:revision>2</cp:revision>
  <dcterms:created xsi:type="dcterms:W3CDTF">2024-01-21T22:34:00Z</dcterms:created>
  <dcterms:modified xsi:type="dcterms:W3CDTF">2024-01-21T22:34:00Z</dcterms:modified>
</cp:coreProperties>
</file>