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41419" w14:textId="4136E2AE" w:rsidR="006948E1" w:rsidRPr="00017141" w:rsidRDefault="006948E1" w:rsidP="006948E1">
      <w:pPr>
        <w:spacing w:after="240" w:line="259" w:lineRule="auto"/>
        <w:jc w:val="center"/>
        <w:rPr>
          <w:rFonts w:eastAsia="Calibri"/>
          <w:b/>
          <w:sz w:val="28"/>
          <w:szCs w:val="28"/>
        </w:rPr>
      </w:pPr>
      <w:bookmarkStart w:id="0" w:name="_Toc6934426"/>
      <w:r w:rsidRPr="00017141">
        <w:rPr>
          <w:rFonts w:eastAsia="Calibri"/>
          <w:b/>
          <w:sz w:val="28"/>
          <w:szCs w:val="28"/>
        </w:rPr>
        <w:t>EXPLANATORY STATEMENT</w:t>
      </w:r>
    </w:p>
    <w:p w14:paraId="5D73EC5B" w14:textId="13E615B2" w:rsidR="006948E1" w:rsidRPr="00BF6A36" w:rsidRDefault="006948E1" w:rsidP="006948E1">
      <w:pPr>
        <w:spacing w:after="240" w:line="259" w:lineRule="auto"/>
        <w:jc w:val="center"/>
        <w:rPr>
          <w:rFonts w:eastAsia="Calibri"/>
          <w:sz w:val="24"/>
        </w:rPr>
      </w:pPr>
      <w:r w:rsidRPr="00C46410">
        <w:rPr>
          <w:rFonts w:eastAsia="Calibri"/>
          <w:sz w:val="24"/>
        </w:rPr>
        <w:t xml:space="preserve">Issued by authority of the </w:t>
      </w:r>
      <w:r w:rsidR="00F966D3">
        <w:rPr>
          <w:rFonts w:eastAsia="Calibri"/>
          <w:sz w:val="24"/>
        </w:rPr>
        <w:t xml:space="preserve">Acting </w:t>
      </w:r>
      <w:r w:rsidRPr="00C46410">
        <w:rPr>
          <w:rFonts w:eastAsia="Calibri"/>
          <w:sz w:val="24"/>
        </w:rPr>
        <w:t>AUSTRAC CEO</w:t>
      </w:r>
    </w:p>
    <w:p w14:paraId="433F40D7" w14:textId="77777777" w:rsidR="006948E1" w:rsidRPr="00C1088D" w:rsidRDefault="006948E1" w:rsidP="006948E1">
      <w:pPr>
        <w:spacing w:after="240" w:line="259" w:lineRule="auto"/>
        <w:jc w:val="center"/>
        <w:rPr>
          <w:rFonts w:eastAsia="Calibri"/>
          <w:i/>
          <w:sz w:val="24"/>
        </w:rPr>
      </w:pPr>
      <w:r w:rsidRPr="00C1088D">
        <w:rPr>
          <w:rFonts w:eastAsia="Calibri"/>
          <w:i/>
          <w:sz w:val="24"/>
        </w:rPr>
        <w:t>Anti-Money Laundering and Counter-Terrorism Financing Act 2006</w:t>
      </w:r>
    </w:p>
    <w:p w14:paraId="6CA75384" w14:textId="494A3822" w:rsidR="006948E1" w:rsidRPr="00C46410" w:rsidRDefault="00E201F2" w:rsidP="006948E1">
      <w:pPr>
        <w:spacing w:after="240" w:line="259" w:lineRule="auto"/>
        <w:jc w:val="center"/>
        <w:rPr>
          <w:rFonts w:eastAsia="Calibri"/>
          <w:i/>
          <w:sz w:val="24"/>
        </w:rPr>
      </w:pPr>
      <w:r w:rsidRPr="006948E1">
        <w:rPr>
          <w:rFonts w:eastAsia="Calibri"/>
          <w:i/>
          <w:sz w:val="24"/>
        </w:rPr>
        <w:t>Anti-Money Laundering and Counter-Terrorism Financing Rules Amendment (Chapter 1 Amendments) Instrument 202</w:t>
      </w:r>
      <w:r w:rsidR="00752BE8">
        <w:rPr>
          <w:rFonts w:eastAsia="Calibri"/>
          <w:i/>
          <w:sz w:val="24"/>
        </w:rPr>
        <w:t>4</w:t>
      </w:r>
    </w:p>
    <w:p w14:paraId="2EC3029F" w14:textId="77777777" w:rsidR="00FC0B29" w:rsidRPr="00C46410" w:rsidRDefault="00FC0B29" w:rsidP="00C86E55">
      <w:pPr>
        <w:spacing w:after="160" w:line="259" w:lineRule="auto"/>
        <w:rPr>
          <w:rFonts w:eastAsia="Calibri"/>
          <w:sz w:val="24"/>
        </w:rPr>
      </w:pPr>
      <w:r w:rsidRPr="00C46410">
        <w:rPr>
          <w:rFonts w:eastAsia="Calibri"/>
          <w:b/>
          <w:bCs/>
          <w:sz w:val="24"/>
        </w:rPr>
        <w:t>AUTHORITY</w:t>
      </w:r>
    </w:p>
    <w:p w14:paraId="0A4863DC" w14:textId="588D10D5" w:rsidR="00FC0B29" w:rsidRPr="002B55F3" w:rsidRDefault="00FC0B29" w:rsidP="006948E1">
      <w:pPr>
        <w:pStyle w:val="ListParagraph"/>
        <w:numPr>
          <w:ilvl w:val="0"/>
          <w:numId w:val="18"/>
        </w:numPr>
        <w:spacing w:after="160" w:line="259" w:lineRule="auto"/>
        <w:rPr>
          <w:rFonts w:ascii="Times New Roman" w:eastAsia="Calibri" w:hAnsi="Times New Roman" w:cs="Times New Roman"/>
          <w:iCs/>
          <w:sz w:val="24"/>
        </w:rPr>
      </w:pPr>
      <w:r w:rsidRPr="002B55F3">
        <w:rPr>
          <w:rFonts w:ascii="Times New Roman" w:eastAsia="Calibri" w:hAnsi="Times New Roman" w:cs="Times New Roman"/>
          <w:sz w:val="24"/>
        </w:rPr>
        <w:t>Section 229 of the </w:t>
      </w:r>
      <w:r w:rsidRPr="002B55F3">
        <w:rPr>
          <w:rFonts w:ascii="Times New Roman" w:eastAsia="Calibri" w:hAnsi="Times New Roman" w:cs="Times New Roman"/>
          <w:i/>
          <w:iCs/>
          <w:sz w:val="24"/>
        </w:rPr>
        <w:t xml:space="preserve">Anti-Money Laundering and Counter-Terrorism Financing Act 2006 </w:t>
      </w:r>
      <w:r w:rsidRPr="002B55F3">
        <w:rPr>
          <w:rFonts w:ascii="Times New Roman" w:eastAsia="Calibri" w:hAnsi="Times New Roman" w:cs="Times New Roman"/>
          <w:sz w:val="24"/>
        </w:rPr>
        <w:t>(</w:t>
      </w:r>
      <w:r w:rsidRPr="002B55F3">
        <w:rPr>
          <w:rFonts w:ascii="Times New Roman" w:eastAsia="Calibri" w:hAnsi="Times New Roman" w:cs="Times New Roman"/>
          <w:b/>
          <w:sz w:val="24"/>
        </w:rPr>
        <w:t>AML/CTF Act</w:t>
      </w:r>
      <w:r w:rsidRPr="002B55F3">
        <w:rPr>
          <w:rFonts w:ascii="Times New Roman" w:eastAsia="Calibri" w:hAnsi="Times New Roman" w:cs="Times New Roman"/>
          <w:sz w:val="24"/>
        </w:rPr>
        <w:t>) provides that the AUSTRAC CEO may, by legislative instrument, make Anti-Money Laundering and Counter-Terrorism Financing Rules (</w:t>
      </w:r>
      <w:r w:rsidRPr="002B55F3">
        <w:rPr>
          <w:rFonts w:ascii="Times New Roman" w:eastAsia="Calibri" w:hAnsi="Times New Roman" w:cs="Times New Roman"/>
          <w:b/>
          <w:sz w:val="24"/>
        </w:rPr>
        <w:t>AML/CTF Rules</w:t>
      </w:r>
      <w:r w:rsidRPr="002B55F3">
        <w:rPr>
          <w:rFonts w:ascii="Times New Roman" w:eastAsia="Calibri" w:hAnsi="Times New Roman" w:cs="Times New Roman"/>
          <w:sz w:val="24"/>
        </w:rPr>
        <w:t xml:space="preserve">). The AML/CTF Rules are set out in the </w:t>
      </w:r>
      <w:r w:rsidRPr="002B55F3">
        <w:rPr>
          <w:rFonts w:ascii="Times New Roman" w:eastAsia="Calibri" w:hAnsi="Times New Roman" w:cs="Times New Roman"/>
          <w:i/>
          <w:sz w:val="24"/>
        </w:rPr>
        <w:t>Anti-Money Laundering and Counter-Terrorism Financing Rules Instrument 2007 (No. 1)</w:t>
      </w:r>
      <w:r w:rsidRPr="002B55F3">
        <w:rPr>
          <w:rFonts w:ascii="Times New Roman" w:eastAsia="Calibri" w:hAnsi="Times New Roman" w:cs="Times New Roman"/>
          <w:sz w:val="24"/>
        </w:rPr>
        <w:t>.</w:t>
      </w:r>
    </w:p>
    <w:p w14:paraId="5A43198D" w14:textId="77777777" w:rsidR="00FC0B29" w:rsidRPr="00BF6A36" w:rsidRDefault="00FC0B29" w:rsidP="00C86E55">
      <w:pPr>
        <w:spacing w:after="160" w:line="259" w:lineRule="auto"/>
        <w:rPr>
          <w:rFonts w:eastAsia="Calibri"/>
          <w:b/>
          <w:caps/>
          <w:sz w:val="24"/>
        </w:rPr>
      </w:pPr>
      <w:r w:rsidRPr="00C46410">
        <w:rPr>
          <w:rFonts w:eastAsia="Calibri"/>
          <w:b/>
          <w:caps/>
          <w:sz w:val="24"/>
        </w:rPr>
        <w:t>Purpose and operation of the instrument</w:t>
      </w:r>
    </w:p>
    <w:p w14:paraId="683B7D3C" w14:textId="3AD6FDFA" w:rsidR="00FC0B29" w:rsidRPr="002B55F3" w:rsidRDefault="00FC0B29" w:rsidP="006948E1">
      <w:pPr>
        <w:pStyle w:val="ListParagraph"/>
        <w:numPr>
          <w:ilvl w:val="0"/>
          <w:numId w:val="18"/>
        </w:numPr>
        <w:spacing w:after="160" w:line="259" w:lineRule="auto"/>
        <w:rPr>
          <w:rFonts w:ascii="Times New Roman" w:eastAsia="Calibri" w:hAnsi="Times New Roman" w:cs="Times New Roman"/>
          <w:sz w:val="24"/>
        </w:rPr>
      </w:pPr>
      <w:r w:rsidRPr="002B55F3">
        <w:rPr>
          <w:rFonts w:ascii="Times New Roman" w:eastAsia="Calibri" w:hAnsi="Times New Roman" w:cs="Times New Roman"/>
          <w:sz w:val="24"/>
        </w:rPr>
        <w:t xml:space="preserve">The </w:t>
      </w:r>
      <w:r w:rsidRPr="002B55F3">
        <w:rPr>
          <w:rFonts w:ascii="Times New Roman" w:eastAsia="Calibri" w:hAnsi="Times New Roman" w:cs="Times New Roman"/>
          <w:i/>
          <w:sz w:val="24"/>
        </w:rPr>
        <w:t>Anti-Money Laundering and Counter-Terrorism Financing Rules</w:t>
      </w:r>
      <w:r w:rsidR="00297E98" w:rsidRPr="002B55F3">
        <w:rPr>
          <w:rFonts w:ascii="Times New Roman" w:eastAsia="Calibri" w:hAnsi="Times New Roman" w:cs="Times New Roman"/>
          <w:i/>
          <w:sz w:val="24"/>
        </w:rPr>
        <w:t xml:space="preserve"> Amendment</w:t>
      </w:r>
      <w:r w:rsidRPr="002B55F3">
        <w:rPr>
          <w:rFonts w:ascii="Times New Roman" w:eastAsia="Calibri" w:hAnsi="Times New Roman" w:cs="Times New Roman"/>
          <w:i/>
          <w:sz w:val="24"/>
        </w:rPr>
        <w:t xml:space="preserve"> (Chapter 1</w:t>
      </w:r>
      <w:r w:rsidR="00277151">
        <w:rPr>
          <w:rFonts w:ascii="Times New Roman" w:eastAsia="Calibri" w:hAnsi="Times New Roman" w:cs="Times New Roman"/>
          <w:i/>
          <w:sz w:val="24"/>
        </w:rPr>
        <w:t xml:space="preserve"> Amendment</w:t>
      </w:r>
      <w:r w:rsidR="00C64B24">
        <w:rPr>
          <w:rFonts w:ascii="Times New Roman" w:eastAsia="Calibri" w:hAnsi="Times New Roman" w:cs="Times New Roman"/>
          <w:i/>
          <w:sz w:val="24"/>
        </w:rPr>
        <w:t>s</w:t>
      </w:r>
      <w:r w:rsidRPr="002B55F3">
        <w:rPr>
          <w:rFonts w:ascii="Times New Roman" w:eastAsia="Calibri" w:hAnsi="Times New Roman" w:cs="Times New Roman"/>
          <w:i/>
          <w:sz w:val="24"/>
        </w:rPr>
        <w:t>) Instrument 202</w:t>
      </w:r>
      <w:r w:rsidR="00752BE8">
        <w:rPr>
          <w:rFonts w:ascii="Times New Roman" w:eastAsia="Calibri" w:hAnsi="Times New Roman" w:cs="Times New Roman"/>
          <w:i/>
          <w:sz w:val="24"/>
        </w:rPr>
        <w:t>4</w:t>
      </w:r>
      <w:r w:rsidRPr="002B55F3">
        <w:rPr>
          <w:rFonts w:ascii="Times New Roman" w:eastAsia="Calibri" w:hAnsi="Times New Roman" w:cs="Times New Roman"/>
          <w:sz w:val="24"/>
        </w:rPr>
        <w:t xml:space="preserve"> (the Amendment Instrument) is a legislative instrument for the purposes of the </w:t>
      </w:r>
      <w:r w:rsidRPr="002B55F3">
        <w:rPr>
          <w:rFonts w:ascii="Times New Roman" w:eastAsia="Calibri" w:hAnsi="Times New Roman" w:cs="Times New Roman"/>
          <w:i/>
          <w:sz w:val="24"/>
        </w:rPr>
        <w:t>Legislation Act 2003</w:t>
      </w:r>
      <w:r w:rsidRPr="002B55F3">
        <w:rPr>
          <w:rFonts w:ascii="Times New Roman" w:eastAsia="Calibri" w:hAnsi="Times New Roman" w:cs="Times New Roman"/>
          <w:sz w:val="24"/>
        </w:rPr>
        <w:t xml:space="preserve">. </w:t>
      </w:r>
    </w:p>
    <w:p w14:paraId="4113EE18" w14:textId="7580E4A2" w:rsidR="006948E1" w:rsidRPr="002B55F3" w:rsidRDefault="006948E1" w:rsidP="006948E1">
      <w:pPr>
        <w:pStyle w:val="Style1"/>
        <w:numPr>
          <w:ilvl w:val="0"/>
          <w:numId w:val="18"/>
        </w:numPr>
        <w:spacing w:line="259" w:lineRule="auto"/>
        <w:rPr>
          <w:rFonts w:ascii="Times New Roman" w:hAnsi="Times New Roman" w:cs="Times New Roman"/>
        </w:rPr>
      </w:pPr>
      <w:r w:rsidRPr="002B55F3">
        <w:rPr>
          <w:rFonts w:ascii="Times New Roman" w:hAnsi="Times New Roman" w:cs="Times New Roman"/>
        </w:rPr>
        <w:t xml:space="preserve">A Statement of Compatibility with Human Rights (the Statement) is included within this Explanatory Statement. The Statement was completed in accordance with the </w:t>
      </w:r>
      <w:r w:rsidRPr="002B55F3">
        <w:rPr>
          <w:rFonts w:ascii="Times New Roman" w:hAnsi="Times New Roman" w:cs="Times New Roman"/>
          <w:i/>
        </w:rPr>
        <w:t>Human Rights (Parliamentary Scrutiny) Act 2011</w:t>
      </w:r>
      <w:r w:rsidRPr="002B55F3">
        <w:rPr>
          <w:rFonts w:ascii="Times New Roman" w:hAnsi="Times New Roman" w:cs="Times New Roman"/>
        </w:rPr>
        <w:t xml:space="preserve">. The overall assessment is that the Amendment Instrument </w:t>
      </w:r>
      <w:r w:rsidR="0054576A">
        <w:rPr>
          <w:rFonts w:ascii="Times New Roman" w:hAnsi="Times New Roman" w:cs="Times New Roman"/>
        </w:rPr>
        <w:t>do</w:t>
      </w:r>
      <w:r w:rsidR="003133E7">
        <w:rPr>
          <w:rFonts w:ascii="Times New Roman" w:hAnsi="Times New Roman" w:cs="Times New Roman"/>
        </w:rPr>
        <w:t>es</w:t>
      </w:r>
      <w:r w:rsidR="0054576A">
        <w:rPr>
          <w:rFonts w:ascii="Times New Roman" w:hAnsi="Times New Roman" w:cs="Times New Roman"/>
        </w:rPr>
        <w:t xml:space="preserve"> not engage the applicable rights or freedoms</w:t>
      </w:r>
      <w:r w:rsidRPr="002B55F3">
        <w:rPr>
          <w:rFonts w:ascii="Times New Roman" w:hAnsi="Times New Roman" w:cs="Times New Roman"/>
        </w:rPr>
        <w:t>.</w:t>
      </w:r>
    </w:p>
    <w:p w14:paraId="5A7001E4" w14:textId="77777777" w:rsidR="006948E1" w:rsidRPr="002B55F3" w:rsidRDefault="006948E1" w:rsidP="006948E1">
      <w:pPr>
        <w:pStyle w:val="Style1"/>
        <w:numPr>
          <w:ilvl w:val="0"/>
          <w:numId w:val="0"/>
        </w:numPr>
        <w:spacing w:line="259" w:lineRule="auto"/>
        <w:rPr>
          <w:rFonts w:ascii="Times New Roman" w:hAnsi="Times New Roman" w:cs="Times New Roman"/>
          <w:b/>
          <w:i/>
        </w:rPr>
      </w:pPr>
      <w:r w:rsidRPr="002B55F3">
        <w:rPr>
          <w:rFonts w:ascii="Times New Roman" w:hAnsi="Times New Roman" w:cs="Times New Roman"/>
          <w:b/>
          <w:i/>
        </w:rPr>
        <w:t>Background</w:t>
      </w:r>
    </w:p>
    <w:p w14:paraId="13805FCD" w14:textId="6CD0010D" w:rsidR="00047F5A" w:rsidRPr="002B55F3" w:rsidRDefault="00720A68" w:rsidP="00047F5A">
      <w:pPr>
        <w:pStyle w:val="Style1"/>
        <w:numPr>
          <w:ilvl w:val="0"/>
          <w:numId w:val="18"/>
        </w:numPr>
        <w:spacing w:line="259" w:lineRule="auto"/>
        <w:rPr>
          <w:rFonts w:ascii="Times New Roman" w:eastAsia="Times New Roman" w:hAnsi="Times New Roman" w:cs="Times New Roman"/>
          <w:lang w:eastAsia="en-AU"/>
        </w:rPr>
      </w:pPr>
      <w:r>
        <w:rPr>
          <w:rFonts w:ascii="Times New Roman" w:hAnsi="Times New Roman"/>
        </w:rPr>
        <w:t xml:space="preserve">The </w:t>
      </w:r>
      <w:r w:rsidR="00C64B24">
        <w:rPr>
          <w:rFonts w:ascii="Times New Roman" w:hAnsi="Times New Roman"/>
        </w:rPr>
        <w:t>Amendment Instrument updates</w:t>
      </w:r>
      <w:r w:rsidRPr="00466BD0">
        <w:rPr>
          <w:rFonts w:ascii="Times New Roman" w:hAnsi="Times New Roman"/>
        </w:rPr>
        <w:t xml:space="preserve"> </w:t>
      </w:r>
      <w:r w:rsidR="00C64B24">
        <w:rPr>
          <w:rFonts w:ascii="Times New Roman" w:hAnsi="Times New Roman"/>
        </w:rPr>
        <w:t xml:space="preserve">each </w:t>
      </w:r>
      <w:r w:rsidRPr="00466BD0">
        <w:rPr>
          <w:rFonts w:ascii="Times New Roman" w:hAnsi="Times New Roman"/>
        </w:rPr>
        <w:t>referenc</w:t>
      </w:r>
      <w:r w:rsidR="00C64B24">
        <w:rPr>
          <w:rFonts w:ascii="Times New Roman" w:hAnsi="Times New Roman"/>
        </w:rPr>
        <w:t>e</w:t>
      </w:r>
      <w:r w:rsidRPr="00466BD0">
        <w:rPr>
          <w:rFonts w:ascii="Times New Roman" w:hAnsi="Times New Roman"/>
        </w:rPr>
        <w:t xml:space="preserve"> to the </w:t>
      </w:r>
      <w:r w:rsidRPr="00466BD0">
        <w:rPr>
          <w:rFonts w:ascii="Times New Roman" w:hAnsi="Times New Roman"/>
          <w:i/>
        </w:rPr>
        <w:t xml:space="preserve">Statutory Declarations Regulations 2018 </w:t>
      </w:r>
      <w:r w:rsidR="00C64B24">
        <w:rPr>
          <w:rFonts w:ascii="Times New Roman" w:hAnsi="Times New Roman"/>
        </w:rPr>
        <w:t xml:space="preserve">in Part 1.2 of the AML/CTF Rules </w:t>
      </w:r>
      <w:r w:rsidRPr="00466BD0">
        <w:rPr>
          <w:rFonts w:ascii="Times New Roman" w:hAnsi="Times New Roman"/>
        </w:rPr>
        <w:t>with</w:t>
      </w:r>
      <w:r w:rsidRPr="00466BD0">
        <w:rPr>
          <w:rFonts w:ascii="Times New Roman" w:hAnsi="Times New Roman"/>
          <w:i/>
        </w:rPr>
        <w:t xml:space="preserve"> </w:t>
      </w:r>
      <w:r w:rsidRPr="00466BD0">
        <w:rPr>
          <w:rFonts w:ascii="Times New Roman" w:hAnsi="Times New Roman"/>
        </w:rPr>
        <w:t xml:space="preserve">a reference to the </w:t>
      </w:r>
      <w:r w:rsidRPr="00466BD0">
        <w:rPr>
          <w:rFonts w:ascii="Times New Roman" w:hAnsi="Times New Roman"/>
          <w:i/>
        </w:rPr>
        <w:t>Statutory Declarations Regulations 2023</w:t>
      </w:r>
      <w:r w:rsidR="003133E7">
        <w:rPr>
          <w:rFonts w:ascii="Times New Roman" w:hAnsi="Times New Roman"/>
        </w:rPr>
        <w:t>,</w:t>
      </w:r>
      <w:r>
        <w:rPr>
          <w:rFonts w:ascii="Times New Roman" w:hAnsi="Times New Roman"/>
        </w:rPr>
        <w:t xml:space="preserve"> which commenced on 1 January 2024</w:t>
      </w:r>
      <w:r w:rsidR="00C64B24">
        <w:rPr>
          <w:rFonts w:ascii="Times New Roman" w:hAnsi="Times New Roman"/>
        </w:rPr>
        <w:t>.</w:t>
      </w:r>
      <w:r w:rsidR="00277151">
        <w:rPr>
          <w:rFonts w:ascii="Times New Roman" w:hAnsi="Times New Roman"/>
        </w:rPr>
        <w:t xml:space="preserve"> </w:t>
      </w:r>
    </w:p>
    <w:p w14:paraId="07B9A5FA" w14:textId="77777777" w:rsidR="00796F6E" w:rsidRPr="00796F6E" w:rsidRDefault="00796F6E" w:rsidP="00796F6E">
      <w:pPr>
        <w:pStyle w:val="Style1"/>
        <w:numPr>
          <w:ilvl w:val="0"/>
          <w:numId w:val="0"/>
        </w:numPr>
        <w:spacing w:line="259" w:lineRule="auto"/>
        <w:rPr>
          <w:rFonts w:ascii="Times New Roman" w:hAnsi="Times New Roman" w:cs="Times New Roman"/>
          <w:b/>
          <w:caps/>
        </w:rPr>
      </w:pPr>
      <w:r w:rsidRPr="00796F6E">
        <w:rPr>
          <w:rFonts w:ascii="Times New Roman" w:hAnsi="Times New Roman" w:cs="Times New Roman"/>
          <w:b/>
          <w:caps/>
        </w:rPr>
        <w:t>CONSULTATION</w:t>
      </w:r>
    </w:p>
    <w:p w14:paraId="7C308C03" w14:textId="73E3C277" w:rsidR="00796F6E" w:rsidRPr="00796F6E" w:rsidRDefault="00277151" w:rsidP="007000F1">
      <w:pPr>
        <w:pStyle w:val="Style1"/>
        <w:numPr>
          <w:ilvl w:val="0"/>
          <w:numId w:val="18"/>
        </w:numPr>
        <w:spacing w:line="259" w:lineRule="auto"/>
        <w:rPr>
          <w:rFonts w:ascii="Times New Roman" w:eastAsia="Times New Roman" w:hAnsi="Times New Roman" w:cs="Times New Roman"/>
          <w:lang w:eastAsia="en-AU"/>
        </w:rPr>
      </w:pPr>
      <w:r>
        <w:rPr>
          <w:rFonts w:ascii="Times New Roman" w:hAnsi="Times New Roman"/>
        </w:rPr>
        <w:t>As the amendment</w:t>
      </w:r>
      <w:r w:rsidR="00C64B24">
        <w:rPr>
          <w:rFonts w:ascii="Times New Roman" w:hAnsi="Times New Roman"/>
        </w:rPr>
        <w:t>s</w:t>
      </w:r>
      <w:r>
        <w:rPr>
          <w:rFonts w:ascii="Times New Roman" w:hAnsi="Times New Roman"/>
        </w:rPr>
        <w:t xml:space="preserve"> to </w:t>
      </w:r>
      <w:r w:rsidR="00C64B24">
        <w:rPr>
          <w:rFonts w:ascii="Times New Roman" w:hAnsi="Times New Roman"/>
        </w:rPr>
        <w:t>Part</w:t>
      </w:r>
      <w:r>
        <w:rPr>
          <w:rFonts w:ascii="Times New Roman" w:hAnsi="Times New Roman"/>
        </w:rPr>
        <w:t xml:space="preserve"> 1</w:t>
      </w:r>
      <w:r w:rsidR="00C64B24">
        <w:rPr>
          <w:rFonts w:ascii="Times New Roman" w:hAnsi="Times New Roman"/>
        </w:rPr>
        <w:t>.2</w:t>
      </w:r>
      <w:r>
        <w:rPr>
          <w:rFonts w:ascii="Times New Roman" w:hAnsi="Times New Roman"/>
        </w:rPr>
        <w:t xml:space="preserve"> </w:t>
      </w:r>
      <w:r w:rsidR="00C64B24">
        <w:rPr>
          <w:rFonts w:ascii="Times New Roman" w:hAnsi="Times New Roman"/>
        </w:rPr>
        <w:t>are</w:t>
      </w:r>
      <w:r>
        <w:rPr>
          <w:rFonts w:ascii="Times New Roman" w:hAnsi="Times New Roman"/>
        </w:rPr>
        <w:t xml:space="preserve"> machinery in nature, no consultation was undertaken.</w:t>
      </w:r>
      <w:r w:rsidR="00796F6E" w:rsidRPr="00796F6E">
        <w:rPr>
          <w:rFonts w:ascii="Times New Roman" w:eastAsia="Times New Roman" w:hAnsi="Times New Roman" w:cs="Times New Roman"/>
          <w:lang w:eastAsia="en-AU"/>
        </w:rPr>
        <w:t xml:space="preserve"> </w:t>
      </w:r>
    </w:p>
    <w:p w14:paraId="16C60BDE" w14:textId="5E197C01" w:rsidR="00546987" w:rsidRPr="002B55F3" w:rsidRDefault="00546987" w:rsidP="00546987">
      <w:pPr>
        <w:pStyle w:val="Style1"/>
        <w:numPr>
          <w:ilvl w:val="0"/>
          <w:numId w:val="0"/>
        </w:numPr>
        <w:spacing w:line="259" w:lineRule="auto"/>
        <w:rPr>
          <w:rFonts w:ascii="Times New Roman" w:hAnsi="Times New Roman" w:cs="Times New Roman"/>
        </w:rPr>
      </w:pPr>
      <w:r w:rsidRPr="002B55F3">
        <w:rPr>
          <w:rFonts w:ascii="Times New Roman" w:hAnsi="Times New Roman" w:cs="Times New Roman"/>
          <w:b/>
          <w:caps/>
        </w:rPr>
        <w:t>Regulation impact statement</w:t>
      </w:r>
    </w:p>
    <w:p w14:paraId="46C1F866" w14:textId="1E4A2279" w:rsidR="00546987" w:rsidRPr="002B55F3" w:rsidRDefault="00546987" w:rsidP="00546987">
      <w:pPr>
        <w:pStyle w:val="Style1"/>
        <w:numPr>
          <w:ilvl w:val="0"/>
          <w:numId w:val="18"/>
        </w:numPr>
        <w:spacing w:line="259" w:lineRule="auto"/>
        <w:rPr>
          <w:rFonts w:ascii="Times New Roman" w:eastAsia="Times New Roman" w:hAnsi="Times New Roman" w:cs="Times New Roman"/>
          <w:lang w:eastAsia="en-AU"/>
        </w:rPr>
      </w:pPr>
      <w:r w:rsidRPr="002B55F3">
        <w:rPr>
          <w:rFonts w:ascii="Times New Roman" w:eastAsia="Times New Roman" w:hAnsi="Times New Roman" w:cs="Times New Roman"/>
          <w:lang w:eastAsia="en-AU"/>
        </w:rPr>
        <w:t xml:space="preserve">The Office of </w:t>
      </w:r>
      <w:r w:rsidR="00A94068">
        <w:rPr>
          <w:rFonts w:ascii="Times New Roman" w:eastAsia="Times New Roman" w:hAnsi="Times New Roman" w:cs="Times New Roman"/>
          <w:lang w:eastAsia="en-AU"/>
        </w:rPr>
        <w:t>Impact Analysis</w:t>
      </w:r>
      <w:r w:rsidRPr="002B55F3">
        <w:rPr>
          <w:rFonts w:ascii="Times New Roman" w:eastAsia="Times New Roman" w:hAnsi="Times New Roman" w:cs="Times New Roman"/>
          <w:lang w:eastAsia="en-AU"/>
        </w:rPr>
        <w:t xml:space="preserve"> has advised that a</w:t>
      </w:r>
      <w:r w:rsidR="00A94068">
        <w:rPr>
          <w:rFonts w:ascii="Times New Roman" w:eastAsia="Times New Roman" w:hAnsi="Times New Roman" w:cs="Times New Roman"/>
          <w:lang w:eastAsia="en-AU"/>
        </w:rPr>
        <w:t>n</w:t>
      </w:r>
      <w:r w:rsidRPr="002B55F3">
        <w:rPr>
          <w:rFonts w:ascii="Times New Roman" w:eastAsia="Times New Roman" w:hAnsi="Times New Roman" w:cs="Times New Roman"/>
          <w:lang w:eastAsia="en-AU"/>
        </w:rPr>
        <w:t xml:space="preserve"> Impact </w:t>
      </w:r>
      <w:r w:rsidR="00A94068">
        <w:rPr>
          <w:rFonts w:ascii="Times New Roman" w:eastAsia="Times New Roman" w:hAnsi="Times New Roman" w:cs="Times New Roman"/>
          <w:lang w:eastAsia="en-AU"/>
        </w:rPr>
        <w:t xml:space="preserve">Analysis </w:t>
      </w:r>
      <w:r w:rsidRPr="002B55F3">
        <w:rPr>
          <w:rFonts w:ascii="Times New Roman" w:eastAsia="Times New Roman" w:hAnsi="Times New Roman" w:cs="Times New Roman"/>
          <w:lang w:eastAsia="en-AU"/>
        </w:rPr>
        <w:t>Statement is not required as the amendments to the AML/CTF Rules are unlikely to have a more than minor regulatory impact.</w:t>
      </w:r>
    </w:p>
    <w:p w14:paraId="420F2A52" w14:textId="77777777" w:rsidR="002A4438" w:rsidRDefault="002A4438">
      <w:pPr>
        <w:spacing w:after="160" w:line="259" w:lineRule="auto"/>
        <w:rPr>
          <w:b/>
          <w:sz w:val="24"/>
        </w:rPr>
      </w:pPr>
      <w:r>
        <w:rPr>
          <w:b/>
          <w:sz w:val="24"/>
        </w:rPr>
        <w:br w:type="page"/>
      </w:r>
    </w:p>
    <w:p w14:paraId="750793EE" w14:textId="61137227" w:rsidR="00623872" w:rsidRDefault="00623872" w:rsidP="00C86E55">
      <w:pPr>
        <w:autoSpaceDE w:val="0"/>
        <w:autoSpaceDN w:val="0"/>
        <w:adjustRightInd w:val="0"/>
        <w:spacing w:before="240"/>
        <w:rPr>
          <w:b/>
          <w:sz w:val="24"/>
        </w:rPr>
      </w:pPr>
      <w:r w:rsidRPr="00617C83">
        <w:rPr>
          <w:b/>
          <w:sz w:val="24"/>
        </w:rPr>
        <w:lastRenderedPageBreak/>
        <w:t>SUNSETTING</w:t>
      </w:r>
    </w:p>
    <w:p w14:paraId="3EC30680" w14:textId="6FF71037" w:rsidR="00623872" w:rsidRPr="00796F6E" w:rsidRDefault="00623872" w:rsidP="00796F6E">
      <w:pPr>
        <w:pStyle w:val="Style1"/>
        <w:numPr>
          <w:ilvl w:val="0"/>
          <w:numId w:val="18"/>
        </w:numPr>
        <w:spacing w:line="259" w:lineRule="auto"/>
        <w:rPr>
          <w:rFonts w:ascii="Times New Roman" w:eastAsia="Times New Roman" w:hAnsi="Times New Roman" w:cs="Times New Roman"/>
          <w:lang w:eastAsia="en-AU"/>
        </w:rPr>
      </w:pPr>
      <w:r w:rsidRPr="00796F6E">
        <w:rPr>
          <w:rFonts w:ascii="Times New Roman" w:eastAsia="Times New Roman" w:hAnsi="Times New Roman" w:cs="Times New Roman"/>
          <w:lang w:eastAsia="en-AU"/>
        </w:rPr>
        <w:t xml:space="preserve">Under item 6 of Regulation 12 of the </w:t>
      </w:r>
      <w:r w:rsidRPr="00536E0F">
        <w:rPr>
          <w:rFonts w:ascii="Times New Roman" w:eastAsia="Times New Roman" w:hAnsi="Times New Roman" w:cs="Times New Roman"/>
          <w:i/>
          <w:lang w:eastAsia="en-AU"/>
        </w:rPr>
        <w:t>Legislation (Exemptions and Other Matters) Regulation 2015</w:t>
      </w:r>
      <w:r w:rsidRPr="00796F6E">
        <w:rPr>
          <w:rFonts w:ascii="Times New Roman" w:eastAsia="Times New Roman" w:hAnsi="Times New Roman" w:cs="Times New Roman"/>
          <w:lang w:eastAsia="en-AU"/>
        </w:rPr>
        <w:t xml:space="preserve"> the Amendment Instrument is not subject to </w:t>
      </w:r>
      <w:proofErr w:type="spellStart"/>
      <w:r w:rsidRPr="00796F6E">
        <w:rPr>
          <w:rFonts w:ascii="Times New Roman" w:eastAsia="Times New Roman" w:hAnsi="Times New Roman" w:cs="Times New Roman"/>
          <w:lang w:eastAsia="en-AU"/>
        </w:rPr>
        <w:t>sunsetting</w:t>
      </w:r>
      <w:proofErr w:type="spellEnd"/>
      <w:r w:rsidRPr="00796F6E">
        <w:rPr>
          <w:rFonts w:ascii="Times New Roman" w:eastAsia="Times New Roman" w:hAnsi="Times New Roman" w:cs="Times New Roman"/>
          <w:lang w:eastAsia="en-AU"/>
        </w:rPr>
        <w:t>.</w:t>
      </w:r>
    </w:p>
    <w:p w14:paraId="5ADD2BD9" w14:textId="77777777" w:rsidR="00623872" w:rsidRPr="00796F6E" w:rsidRDefault="00623872" w:rsidP="00796F6E">
      <w:pPr>
        <w:pStyle w:val="Style1"/>
        <w:numPr>
          <w:ilvl w:val="0"/>
          <w:numId w:val="18"/>
        </w:numPr>
        <w:spacing w:line="259" w:lineRule="auto"/>
        <w:rPr>
          <w:rFonts w:ascii="Times New Roman" w:eastAsia="Times New Roman" w:hAnsi="Times New Roman" w:cs="Times New Roman"/>
          <w:lang w:eastAsia="en-AU"/>
        </w:rPr>
      </w:pPr>
      <w:r w:rsidRPr="00796F6E">
        <w:rPr>
          <w:rFonts w:ascii="Times New Roman" w:eastAsia="Times New Roman" w:hAnsi="Times New Roman" w:cs="Times New Roman"/>
          <w:lang w:eastAsia="en-AU"/>
        </w:rPr>
        <w:t xml:space="preserve">The AML/CTF Rules are designed to be enduring because they: </w:t>
      </w:r>
    </w:p>
    <w:p w14:paraId="71E80B61" w14:textId="77777777" w:rsidR="00623872" w:rsidRPr="00077604" w:rsidRDefault="00623872" w:rsidP="00623872">
      <w:pPr>
        <w:numPr>
          <w:ilvl w:val="0"/>
          <w:numId w:val="17"/>
        </w:numPr>
        <w:autoSpaceDE w:val="0"/>
        <w:autoSpaceDN w:val="0"/>
        <w:adjustRightInd w:val="0"/>
        <w:spacing w:before="240" w:line="240" w:lineRule="auto"/>
        <w:rPr>
          <w:sz w:val="24"/>
        </w:rPr>
      </w:pPr>
      <w:r w:rsidRPr="00077604">
        <w:rPr>
          <w:sz w:val="24"/>
        </w:rPr>
        <w:t>complement and provide the detail for the broader obligations set out in the AML/CTF Act, aid in meeting Australia’s international obligations and matters of international concern, and support the combatting of money laundering and terrorism financing,</w:t>
      </w:r>
    </w:p>
    <w:p w14:paraId="6E09897D" w14:textId="77777777" w:rsidR="00623872" w:rsidRPr="00077604" w:rsidRDefault="00623872" w:rsidP="00623872">
      <w:pPr>
        <w:numPr>
          <w:ilvl w:val="0"/>
          <w:numId w:val="17"/>
        </w:numPr>
        <w:autoSpaceDE w:val="0"/>
        <w:autoSpaceDN w:val="0"/>
        <w:adjustRightInd w:val="0"/>
        <w:spacing w:before="240" w:line="240" w:lineRule="auto"/>
        <w:rPr>
          <w:sz w:val="24"/>
        </w:rPr>
      </w:pPr>
      <w:r w:rsidRPr="00077604">
        <w:rPr>
          <w:sz w:val="24"/>
        </w:rPr>
        <w:t>assist industry in fulfilling their compliance with the AML/CTF Act and provide commercial and regulatory certainty for industry, and</w:t>
      </w:r>
    </w:p>
    <w:p w14:paraId="7EEC66FC" w14:textId="2CB7D395" w:rsidR="001B2CE0" w:rsidRDefault="00623872" w:rsidP="00623872">
      <w:pPr>
        <w:numPr>
          <w:ilvl w:val="0"/>
          <w:numId w:val="17"/>
        </w:numPr>
        <w:autoSpaceDE w:val="0"/>
        <w:autoSpaceDN w:val="0"/>
        <w:adjustRightInd w:val="0"/>
        <w:spacing w:before="240" w:line="240" w:lineRule="auto"/>
        <w:rPr>
          <w:sz w:val="24"/>
        </w:rPr>
      </w:pPr>
      <w:proofErr w:type="gramStart"/>
      <w:r w:rsidRPr="00077604">
        <w:rPr>
          <w:sz w:val="24"/>
        </w:rPr>
        <w:t>are</w:t>
      </w:r>
      <w:proofErr w:type="gramEnd"/>
      <w:r w:rsidRPr="00077604">
        <w:rPr>
          <w:sz w:val="24"/>
        </w:rPr>
        <w:t xml:space="preserve"> subject to an ongoing process of development, refinement and review, involving scrutiny and feedback from a wide range of stakeholders including industry, the Financial Action Task Force, Australian Government agencies, law enforcement agencies, and other interested parties.</w:t>
      </w:r>
    </w:p>
    <w:p w14:paraId="233CD50C" w14:textId="77777777" w:rsidR="001B2CE0" w:rsidRDefault="001B2CE0">
      <w:pPr>
        <w:spacing w:after="160" w:line="259" w:lineRule="auto"/>
        <w:rPr>
          <w:sz w:val="24"/>
        </w:rPr>
      </w:pPr>
      <w:r>
        <w:rPr>
          <w:sz w:val="24"/>
        </w:rPr>
        <w:br w:type="page"/>
      </w:r>
    </w:p>
    <w:p w14:paraId="2B5CC068" w14:textId="77777777" w:rsidR="001B2CE0" w:rsidRPr="001B2CE0" w:rsidRDefault="001B2CE0" w:rsidP="001B2CE0">
      <w:pPr>
        <w:shd w:val="clear" w:color="auto" w:fill="FFFFFF"/>
        <w:spacing w:after="160" w:line="330" w:lineRule="atLeast"/>
        <w:ind w:left="720"/>
        <w:rPr>
          <w:rFonts w:ascii="Arial" w:eastAsia="Times New Roman" w:hAnsi="Arial" w:cs="Arial"/>
          <w:color w:val="000000"/>
          <w:szCs w:val="22"/>
          <w:lang w:eastAsia="en-AU"/>
        </w:rPr>
      </w:pPr>
      <w:r w:rsidRPr="001B2CE0">
        <w:rPr>
          <w:rFonts w:eastAsia="Times New Roman" w:cs="Times New Roman"/>
          <w:b/>
          <w:bCs/>
          <w:caps/>
          <w:color w:val="000000"/>
          <w:sz w:val="24"/>
          <w:szCs w:val="24"/>
          <w:u w:val="single"/>
          <w:lang w:eastAsia="en-AU"/>
        </w:rPr>
        <w:lastRenderedPageBreak/>
        <w:t>ATTACHMENT A</w:t>
      </w:r>
    </w:p>
    <w:p w14:paraId="204E273B" w14:textId="31729D99" w:rsidR="001B2CE0" w:rsidRPr="001B2CE0" w:rsidRDefault="00BB3782" w:rsidP="001B2CE0">
      <w:pPr>
        <w:shd w:val="clear" w:color="auto" w:fill="FFFFFF"/>
        <w:spacing w:before="240" w:after="160" w:line="235" w:lineRule="atLeast"/>
        <w:ind w:left="720"/>
        <w:rPr>
          <w:rFonts w:ascii="Arial" w:eastAsia="Times New Roman" w:hAnsi="Arial" w:cs="Arial"/>
          <w:color w:val="000000"/>
          <w:szCs w:val="22"/>
          <w:lang w:eastAsia="en-AU"/>
        </w:rPr>
      </w:pPr>
      <w:r w:rsidRPr="00BB3782">
        <w:rPr>
          <w:rFonts w:eastAsia="Times New Roman" w:cs="Times New Roman"/>
          <w:b/>
          <w:bCs/>
          <w:i/>
          <w:iCs/>
          <w:color w:val="000000"/>
          <w:sz w:val="24"/>
          <w:szCs w:val="24"/>
          <w:lang w:eastAsia="en-AU"/>
        </w:rPr>
        <w:t xml:space="preserve">Anti-Money Laundering and Counter-Terrorism Financing Rules Amendment (Chapter </w:t>
      </w:r>
      <w:r w:rsidR="005325A3">
        <w:rPr>
          <w:rFonts w:eastAsia="Times New Roman" w:cs="Times New Roman"/>
          <w:b/>
          <w:bCs/>
          <w:i/>
          <w:iCs/>
          <w:color w:val="000000"/>
          <w:sz w:val="24"/>
          <w:szCs w:val="24"/>
          <w:lang w:eastAsia="en-AU"/>
        </w:rPr>
        <w:t>1 Amendment</w:t>
      </w:r>
      <w:r w:rsidRPr="00BB3782">
        <w:rPr>
          <w:rFonts w:eastAsia="Times New Roman" w:cs="Times New Roman"/>
          <w:b/>
          <w:bCs/>
          <w:i/>
          <w:iCs/>
          <w:color w:val="000000"/>
          <w:sz w:val="24"/>
          <w:szCs w:val="24"/>
          <w:lang w:eastAsia="en-AU"/>
        </w:rPr>
        <w:t>) Instrument 202</w:t>
      </w:r>
      <w:r w:rsidR="00752BE8">
        <w:rPr>
          <w:rFonts w:eastAsia="Times New Roman" w:cs="Times New Roman"/>
          <w:b/>
          <w:bCs/>
          <w:i/>
          <w:iCs/>
          <w:color w:val="000000"/>
          <w:sz w:val="24"/>
          <w:szCs w:val="24"/>
          <w:lang w:eastAsia="en-AU"/>
        </w:rPr>
        <w:t>4</w:t>
      </w:r>
      <w:r w:rsidR="001B2CE0" w:rsidRPr="001B2CE0">
        <w:rPr>
          <w:rFonts w:eastAsia="Times New Roman" w:cs="Times New Roman"/>
          <w:b/>
          <w:bCs/>
          <w:i/>
          <w:iCs/>
          <w:color w:val="000000"/>
          <w:sz w:val="24"/>
          <w:szCs w:val="24"/>
          <w:lang w:eastAsia="en-AU"/>
        </w:rPr>
        <w:t xml:space="preserve">  </w:t>
      </w:r>
    </w:p>
    <w:p w14:paraId="7143C6EA" w14:textId="77777777" w:rsidR="001B2CE0" w:rsidRPr="001B2CE0" w:rsidRDefault="001B2CE0" w:rsidP="001B2CE0">
      <w:pPr>
        <w:shd w:val="clear" w:color="auto" w:fill="FFFFFF"/>
        <w:spacing w:before="240" w:line="235" w:lineRule="atLeast"/>
        <w:ind w:left="720"/>
        <w:rPr>
          <w:rFonts w:ascii="Arial" w:eastAsia="Times New Roman" w:hAnsi="Arial" w:cs="Arial"/>
          <w:color w:val="000000"/>
          <w:szCs w:val="22"/>
          <w:lang w:eastAsia="en-AU"/>
        </w:rPr>
      </w:pPr>
      <w:r w:rsidRPr="001B2CE0">
        <w:rPr>
          <w:rFonts w:eastAsia="Times New Roman" w:cs="Times New Roman"/>
          <w:b/>
          <w:bCs/>
          <w:color w:val="000000"/>
          <w:sz w:val="24"/>
          <w:szCs w:val="24"/>
          <w:lang w:eastAsia="en-AU"/>
        </w:rPr>
        <w:t>Section 1—Name</w:t>
      </w:r>
    </w:p>
    <w:p w14:paraId="5032FFF5" w14:textId="02C546A3" w:rsidR="001B2CE0" w:rsidRPr="001B2CE0" w:rsidRDefault="001B2CE0" w:rsidP="001B2CE0">
      <w:pPr>
        <w:shd w:val="clear" w:color="auto" w:fill="FFFFFF"/>
        <w:spacing w:before="240" w:line="235" w:lineRule="atLeast"/>
        <w:ind w:left="720"/>
        <w:rPr>
          <w:rFonts w:ascii="Arial" w:eastAsia="Times New Roman" w:hAnsi="Arial" w:cs="Arial"/>
          <w:color w:val="000000"/>
          <w:szCs w:val="22"/>
          <w:lang w:eastAsia="en-AU"/>
        </w:rPr>
      </w:pPr>
      <w:r w:rsidRPr="001B2CE0">
        <w:rPr>
          <w:rFonts w:eastAsia="Times New Roman" w:cs="Times New Roman"/>
          <w:color w:val="000000"/>
          <w:sz w:val="24"/>
          <w:szCs w:val="24"/>
          <w:lang w:eastAsia="en-AU"/>
        </w:rPr>
        <w:t>This section provides that the name of the Instrument is the </w:t>
      </w:r>
      <w:r w:rsidR="00BB3782" w:rsidRPr="006948E1">
        <w:rPr>
          <w:rFonts w:eastAsia="Calibri"/>
          <w:i/>
          <w:sz w:val="24"/>
        </w:rPr>
        <w:t>Anti-Money Laundering and Counter-Terrorism Financing Rules Amendment (Chapter 1 Amendment</w:t>
      </w:r>
      <w:r w:rsidR="003133E7">
        <w:rPr>
          <w:rFonts w:eastAsia="Calibri"/>
          <w:i/>
          <w:sz w:val="24"/>
        </w:rPr>
        <w:t>s</w:t>
      </w:r>
      <w:r w:rsidR="00BB3782" w:rsidRPr="006948E1">
        <w:rPr>
          <w:rFonts w:eastAsia="Calibri"/>
          <w:i/>
          <w:sz w:val="24"/>
        </w:rPr>
        <w:t>) Instrument 202</w:t>
      </w:r>
      <w:r w:rsidR="00752BE8">
        <w:rPr>
          <w:rFonts w:eastAsia="Calibri"/>
          <w:i/>
          <w:sz w:val="24"/>
        </w:rPr>
        <w:t>4</w:t>
      </w:r>
      <w:r w:rsidRPr="001B2CE0">
        <w:rPr>
          <w:rFonts w:eastAsia="Times New Roman" w:cs="Times New Roman"/>
          <w:color w:val="000000"/>
          <w:sz w:val="24"/>
          <w:szCs w:val="24"/>
          <w:lang w:eastAsia="en-AU"/>
        </w:rPr>
        <w:t>.</w:t>
      </w:r>
    </w:p>
    <w:p w14:paraId="4F924B12" w14:textId="77777777" w:rsidR="001B2CE0" w:rsidRPr="001B2CE0" w:rsidRDefault="001B2CE0" w:rsidP="001B2CE0">
      <w:pPr>
        <w:shd w:val="clear" w:color="auto" w:fill="FFFFFF"/>
        <w:spacing w:before="240" w:line="235" w:lineRule="atLeast"/>
        <w:ind w:left="720"/>
        <w:rPr>
          <w:rFonts w:ascii="Arial" w:eastAsia="Times New Roman" w:hAnsi="Arial" w:cs="Arial"/>
          <w:color w:val="000000"/>
          <w:szCs w:val="22"/>
          <w:lang w:eastAsia="en-AU"/>
        </w:rPr>
      </w:pPr>
      <w:r w:rsidRPr="001B2CE0">
        <w:rPr>
          <w:rFonts w:eastAsia="Times New Roman" w:cs="Times New Roman"/>
          <w:b/>
          <w:bCs/>
          <w:color w:val="000000"/>
          <w:sz w:val="24"/>
          <w:szCs w:val="24"/>
          <w:lang w:eastAsia="en-AU"/>
        </w:rPr>
        <w:t>Section 2—Commencement</w:t>
      </w:r>
    </w:p>
    <w:p w14:paraId="3A56CF0D" w14:textId="77777777" w:rsidR="001B2CE0" w:rsidRPr="001B2CE0" w:rsidRDefault="001B2CE0" w:rsidP="001B2CE0">
      <w:pPr>
        <w:shd w:val="clear" w:color="auto" w:fill="FFFFFF"/>
        <w:spacing w:before="240" w:line="235" w:lineRule="atLeast"/>
        <w:ind w:left="720"/>
        <w:rPr>
          <w:rFonts w:ascii="Arial" w:eastAsia="Times New Roman" w:hAnsi="Arial" w:cs="Arial"/>
          <w:color w:val="000000"/>
          <w:szCs w:val="22"/>
          <w:lang w:eastAsia="en-AU"/>
        </w:rPr>
      </w:pPr>
      <w:r w:rsidRPr="001B2CE0">
        <w:rPr>
          <w:rFonts w:eastAsia="Times New Roman" w:cs="Times New Roman"/>
          <w:color w:val="000000"/>
          <w:sz w:val="24"/>
          <w:szCs w:val="24"/>
          <w:lang w:eastAsia="en-AU"/>
        </w:rPr>
        <w:t>This section provides for the commencement of each provision in the Instrument, as set out in the table in subsection 2(1).</w:t>
      </w:r>
    </w:p>
    <w:p w14:paraId="2F51F393" w14:textId="5FB2FC8B" w:rsidR="001B2CE0" w:rsidRPr="001B2CE0" w:rsidRDefault="001B2CE0" w:rsidP="001B2CE0">
      <w:pPr>
        <w:shd w:val="clear" w:color="auto" w:fill="FFFFFF"/>
        <w:spacing w:before="240" w:line="240" w:lineRule="auto"/>
        <w:ind w:left="720"/>
        <w:rPr>
          <w:rFonts w:ascii="Arial" w:eastAsia="Times New Roman" w:hAnsi="Arial" w:cs="Arial"/>
          <w:color w:val="000000"/>
          <w:szCs w:val="22"/>
          <w:lang w:eastAsia="en-AU"/>
        </w:rPr>
      </w:pPr>
      <w:r w:rsidRPr="001B2CE0">
        <w:rPr>
          <w:rFonts w:eastAsia="Times New Roman" w:cs="Times New Roman"/>
          <w:color w:val="000000"/>
          <w:sz w:val="24"/>
          <w:szCs w:val="24"/>
          <w:lang w:eastAsia="en-AU"/>
        </w:rPr>
        <w:t xml:space="preserve">The amendments in Schedule 1 commence on </w:t>
      </w:r>
      <w:r w:rsidR="0050505E">
        <w:rPr>
          <w:rFonts w:eastAsia="Times New Roman" w:cs="Times New Roman"/>
          <w:color w:val="000000"/>
          <w:sz w:val="24"/>
          <w:szCs w:val="24"/>
          <w:lang w:eastAsia="en-AU"/>
        </w:rPr>
        <w:t>the day after registration</w:t>
      </w:r>
      <w:r w:rsidRPr="001B2CE0">
        <w:rPr>
          <w:rFonts w:eastAsia="Times New Roman" w:cs="Times New Roman"/>
          <w:color w:val="000000"/>
          <w:sz w:val="24"/>
          <w:szCs w:val="24"/>
          <w:lang w:eastAsia="en-AU"/>
        </w:rPr>
        <w:t>.</w:t>
      </w:r>
    </w:p>
    <w:p w14:paraId="266D990C" w14:textId="77777777" w:rsidR="001B2CE0" w:rsidRPr="001B2CE0" w:rsidRDefault="001B2CE0" w:rsidP="001B2CE0">
      <w:pPr>
        <w:shd w:val="clear" w:color="auto" w:fill="FFFFFF"/>
        <w:spacing w:before="240" w:line="235" w:lineRule="atLeast"/>
        <w:ind w:left="720"/>
        <w:rPr>
          <w:rFonts w:ascii="Arial" w:eastAsia="Times New Roman" w:hAnsi="Arial" w:cs="Arial"/>
          <w:color w:val="000000"/>
          <w:szCs w:val="22"/>
          <w:lang w:eastAsia="en-AU"/>
        </w:rPr>
      </w:pPr>
      <w:r w:rsidRPr="001B2CE0">
        <w:rPr>
          <w:rFonts w:eastAsia="Times New Roman" w:cs="Times New Roman"/>
          <w:b/>
          <w:bCs/>
          <w:color w:val="000000"/>
          <w:sz w:val="24"/>
          <w:szCs w:val="24"/>
          <w:lang w:eastAsia="en-AU"/>
        </w:rPr>
        <w:t>Section 3—Authority</w:t>
      </w:r>
    </w:p>
    <w:p w14:paraId="55952817" w14:textId="77777777" w:rsidR="001B2CE0" w:rsidRPr="001B2CE0" w:rsidRDefault="001B2CE0" w:rsidP="001B2CE0">
      <w:pPr>
        <w:shd w:val="clear" w:color="auto" w:fill="FFFFFF"/>
        <w:spacing w:before="240" w:line="235" w:lineRule="atLeast"/>
        <w:ind w:left="720"/>
        <w:rPr>
          <w:rFonts w:ascii="Arial" w:eastAsia="Times New Roman" w:hAnsi="Arial" w:cs="Arial"/>
          <w:color w:val="000000"/>
          <w:szCs w:val="22"/>
          <w:lang w:eastAsia="en-AU"/>
        </w:rPr>
      </w:pPr>
      <w:r w:rsidRPr="001B2CE0">
        <w:rPr>
          <w:rFonts w:eastAsia="Times New Roman" w:cs="Times New Roman"/>
          <w:color w:val="000000"/>
          <w:sz w:val="24"/>
          <w:szCs w:val="24"/>
          <w:lang w:eastAsia="en-AU"/>
        </w:rPr>
        <w:t>This section provides that the Instrument is made under section 229 of the </w:t>
      </w:r>
      <w:r w:rsidRPr="001B2CE0">
        <w:rPr>
          <w:rFonts w:eastAsia="Times New Roman" w:cs="Times New Roman"/>
          <w:i/>
          <w:iCs/>
          <w:color w:val="000000"/>
          <w:sz w:val="24"/>
          <w:szCs w:val="24"/>
          <w:lang w:eastAsia="en-AU"/>
        </w:rPr>
        <w:t>Anti-Money Laundering and Counter-Terrorism Financing Act 2006</w:t>
      </w:r>
      <w:r w:rsidRPr="001B2CE0">
        <w:rPr>
          <w:rFonts w:eastAsia="Times New Roman" w:cs="Times New Roman"/>
          <w:color w:val="000000"/>
          <w:sz w:val="24"/>
          <w:szCs w:val="24"/>
          <w:lang w:eastAsia="en-AU"/>
        </w:rPr>
        <w:t>.</w:t>
      </w:r>
    </w:p>
    <w:p w14:paraId="562FE62D" w14:textId="77777777" w:rsidR="001B2CE0" w:rsidRPr="001B2CE0" w:rsidRDefault="001B2CE0" w:rsidP="001B2CE0">
      <w:pPr>
        <w:shd w:val="clear" w:color="auto" w:fill="FFFFFF"/>
        <w:spacing w:before="240" w:line="235" w:lineRule="atLeast"/>
        <w:ind w:left="720"/>
        <w:rPr>
          <w:rFonts w:ascii="Arial" w:eastAsia="Times New Roman" w:hAnsi="Arial" w:cs="Arial"/>
          <w:color w:val="000000"/>
          <w:szCs w:val="22"/>
          <w:lang w:eastAsia="en-AU"/>
        </w:rPr>
      </w:pPr>
      <w:r w:rsidRPr="001B2CE0">
        <w:rPr>
          <w:rFonts w:eastAsia="Times New Roman" w:cs="Times New Roman"/>
          <w:b/>
          <w:bCs/>
          <w:color w:val="000000"/>
          <w:sz w:val="24"/>
          <w:szCs w:val="24"/>
          <w:lang w:eastAsia="en-AU"/>
        </w:rPr>
        <w:t>Section 4—Schedules</w:t>
      </w:r>
    </w:p>
    <w:p w14:paraId="069E34CD" w14:textId="77777777" w:rsidR="001B2CE0" w:rsidRPr="001B2CE0" w:rsidRDefault="001B2CE0" w:rsidP="001B2CE0">
      <w:pPr>
        <w:shd w:val="clear" w:color="auto" w:fill="FFFFFF"/>
        <w:spacing w:before="240" w:line="235" w:lineRule="atLeast"/>
        <w:ind w:left="720"/>
        <w:rPr>
          <w:rFonts w:ascii="Arial" w:eastAsia="Times New Roman" w:hAnsi="Arial" w:cs="Arial"/>
          <w:color w:val="000000"/>
          <w:szCs w:val="22"/>
          <w:lang w:eastAsia="en-AU"/>
        </w:rPr>
      </w:pPr>
      <w:r w:rsidRPr="001B2CE0">
        <w:rPr>
          <w:rFonts w:eastAsia="Times New Roman" w:cs="Times New Roman"/>
          <w:color w:val="000000"/>
          <w:sz w:val="24"/>
          <w:szCs w:val="24"/>
          <w:lang w:eastAsia="en-AU"/>
        </w:rPr>
        <w:t>This section provides that each instrument specified in a Schedule is amended or repealed as set out in the applicable items in the Schedule concerned.</w:t>
      </w:r>
    </w:p>
    <w:p w14:paraId="7E5C57E3" w14:textId="77777777" w:rsidR="001B2CE0" w:rsidRPr="001B2CE0" w:rsidRDefault="001B2CE0" w:rsidP="001B2CE0">
      <w:pPr>
        <w:shd w:val="clear" w:color="auto" w:fill="FFFFFF"/>
        <w:spacing w:before="240" w:line="235" w:lineRule="atLeast"/>
        <w:ind w:left="720"/>
        <w:rPr>
          <w:rFonts w:ascii="Arial" w:eastAsia="Times New Roman" w:hAnsi="Arial" w:cs="Arial"/>
          <w:color w:val="000000"/>
          <w:szCs w:val="22"/>
          <w:lang w:eastAsia="en-AU"/>
        </w:rPr>
      </w:pPr>
      <w:r w:rsidRPr="001B2CE0">
        <w:rPr>
          <w:rFonts w:eastAsia="Times New Roman" w:cs="Times New Roman"/>
          <w:b/>
          <w:bCs/>
          <w:color w:val="000000"/>
          <w:sz w:val="24"/>
          <w:szCs w:val="24"/>
          <w:lang w:eastAsia="en-AU"/>
        </w:rPr>
        <w:t>Schedule 1 – Amendments</w:t>
      </w:r>
    </w:p>
    <w:p w14:paraId="37A4A13E" w14:textId="77777777" w:rsidR="001B2CE0" w:rsidRPr="001B2CE0" w:rsidRDefault="001B2CE0" w:rsidP="001B2CE0">
      <w:pPr>
        <w:shd w:val="clear" w:color="auto" w:fill="FFFFFF"/>
        <w:spacing w:before="240" w:line="235" w:lineRule="atLeast"/>
        <w:ind w:left="720"/>
        <w:rPr>
          <w:rFonts w:ascii="Arial" w:eastAsia="Times New Roman" w:hAnsi="Arial" w:cs="Arial"/>
          <w:color w:val="000000"/>
          <w:szCs w:val="22"/>
          <w:lang w:eastAsia="en-AU"/>
        </w:rPr>
      </w:pPr>
      <w:r w:rsidRPr="001B2CE0">
        <w:rPr>
          <w:rFonts w:eastAsia="Times New Roman" w:cs="Times New Roman"/>
          <w:i/>
          <w:iCs/>
          <w:color w:val="000000"/>
          <w:sz w:val="24"/>
          <w:szCs w:val="24"/>
          <w:lang w:eastAsia="en-AU"/>
        </w:rPr>
        <w:t>Anti-Money Laundering and Counter-Terrorism Financing Rules Instrument 2007 (No. 1)</w:t>
      </w:r>
    </w:p>
    <w:p w14:paraId="41CA9214" w14:textId="77777777" w:rsidR="001B2CE0" w:rsidRPr="001B2CE0" w:rsidRDefault="001B2CE0" w:rsidP="001B2CE0">
      <w:pPr>
        <w:shd w:val="clear" w:color="auto" w:fill="FFFFFF"/>
        <w:spacing w:before="240" w:line="240" w:lineRule="auto"/>
        <w:ind w:left="720"/>
        <w:rPr>
          <w:rFonts w:ascii="Arial" w:eastAsia="Times New Roman" w:hAnsi="Arial" w:cs="Arial"/>
          <w:color w:val="000000"/>
          <w:szCs w:val="22"/>
          <w:lang w:eastAsia="en-AU"/>
        </w:rPr>
      </w:pPr>
      <w:r w:rsidRPr="001B2CE0">
        <w:rPr>
          <w:rFonts w:eastAsia="Times New Roman" w:cs="Times New Roman"/>
          <w:b/>
          <w:bCs/>
          <w:color w:val="000000"/>
          <w:sz w:val="24"/>
          <w:szCs w:val="24"/>
          <w:lang w:eastAsia="en-AU"/>
        </w:rPr>
        <w:t>Notes on items</w:t>
      </w:r>
    </w:p>
    <w:p w14:paraId="1352D8D8" w14:textId="4A5185DF" w:rsidR="001B2CE0" w:rsidRPr="00C64B24" w:rsidRDefault="001B2CE0" w:rsidP="001B2CE0">
      <w:pPr>
        <w:shd w:val="clear" w:color="auto" w:fill="FFFFFF"/>
        <w:spacing w:before="240" w:line="235" w:lineRule="atLeast"/>
        <w:ind w:left="720"/>
        <w:rPr>
          <w:rFonts w:ascii="Arial" w:eastAsia="Times New Roman" w:hAnsi="Arial" w:cs="Arial"/>
          <w:i/>
          <w:color w:val="000000"/>
          <w:szCs w:val="22"/>
          <w:lang w:eastAsia="en-AU"/>
        </w:rPr>
      </w:pPr>
      <w:r w:rsidRPr="001B2CE0">
        <w:rPr>
          <w:rFonts w:eastAsia="Times New Roman" w:cs="Times New Roman"/>
          <w:b/>
          <w:bCs/>
          <w:color w:val="000000"/>
          <w:sz w:val="24"/>
          <w:szCs w:val="24"/>
          <w:lang w:eastAsia="en-AU"/>
        </w:rPr>
        <w:t>Item 1—</w:t>
      </w:r>
      <w:r w:rsidR="00C64B24">
        <w:rPr>
          <w:rFonts w:eastAsia="Times New Roman" w:cs="Times New Roman"/>
          <w:b/>
          <w:bCs/>
          <w:color w:val="000000"/>
          <w:sz w:val="24"/>
          <w:szCs w:val="24"/>
          <w:lang w:eastAsia="en-AU"/>
        </w:rPr>
        <w:t>Part</w:t>
      </w:r>
      <w:r w:rsidR="005325A3">
        <w:rPr>
          <w:rFonts w:eastAsia="Times New Roman" w:cs="Times New Roman"/>
          <w:b/>
          <w:bCs/>
          <w:color w:val="000000"/>
          <w:sz w:val="24"/>
          <w:szCs w:val="24"/>
          <w:lang w:eastAsia="en-AU"/>
        </w:rPr>
        <w:t xml:space="preserve"> 1</w:t>
      </w:r>
      <w:r w:rsidR="00C64B24">
        <w:rPr>
          <w:rFonts w:eastAsia="Times New Roman" w:cs="Times New Roman"/>
          <w:b/>
          <w:bCs/>
          <w:color w:val="000000"/>
          <w:sz w:val="24"/>
          <w:szCs w:val="24"/>
          <w:lang w:eastAsia="en-AU"/>
        </w:rPr>
        <w:t xml:space="preserve">.2 (definition of </w:t>
      </w:r>
      <w:r w:rsidR="00C64B24">
        <w:rPr>
          <w:rFonts w:eastAsia="Times New Roman" w:cs="Times New Roman"/>
          <w:b/>
          <w:bCs/>
          <w:i/>
          <w:color w:val="000000"/>
          <w:sz w:val="24"/>
          <w:szCs w:val="24"/>
          <w:lang w:eastAsia="en-AU"/>
        </w:rPr>
        <w:t>certified copy)</w:t>
      </w:r>
    </w:p>
    <w:p w14:paraId="6C558632" w14:textId="628939A9" w:rsidR="001B2CE0" w:rsidRPr="003133E7" w:rsidRDefault="001B2CE0" w:rsidP="001B2CE0">
      <w:pPr>
        <w:shd w:val="clear" w:color="auto" w:fill="FFFFFF"/>
        <w:spacing w:before="240" w:line="235" w:lineRule="atLeast"/>
        <w:ind w:left="720"/>
        <w:rPr>
          <w:rFonts w:eastAsia="Times New Roman" w:cs="Times New Roman"/>
          <w:color w:val="000000"/>
          <w:sz w:val="24"/>
          <w:szCs w:val="24"/>
          <w:lang w:eastAsia="en-AU"/>
        </w:rPr>
      </w:pPr>
      <w:r w:rsidRPr="001B2CE0">
        <w:rPr>
          <w:rFonts w:eastAsia="Times New Roman" w:cs="Times New Roman"/>
          <w:color w:val="000000"/>
          <w:sz w:val="24"/>
          <w:szCs w:val="24"/>
          <w:lang w:eastAsia="en-AU"/>
        </w:rPr>
        <w:t xml:space="preserve">This item </w:t>
      </w:r>
      <w:r w:rsidR="005325A3">
        <w:rPr>
          <w:rFonts w:eastAsia="Times New Roman" w:cs="Times New Roman"/>
          <w:color w:val="000000"/>
          <w:sz w:val="24"/>
          <w:szCs w:val="24"/>
          <w:lang w:eastAsia="en-AU"/>
        </w:rPr>
        <w:t xml:space="preserve">replaces </w:t>
      </w:r>
      <w:r w:rsidR="00466BD0">
        <w:rPr>
          <w:rFonts w:eastAsia="Times New Roman" w:cs="Times New Roman"/>
          <w:color w:val="000000"/>
          <w:sz w:val="24"/>
          <w:szCs w:val="24"/>
          <w:lang w:eastAsia="en-AU"/>
        </w:rPr>
        <w:t>each</w:t>
      </w:r>
      <w:r w:rsidR="005325A3">
        <w:rPr>
          <w:rFonts w:eastAsia="Times New Roman" w:cs="Times New Roman"/>
          <w:color w:val="000000"/>
          <w:sz w:val="24"/>
          <w:szCs w:val="24"/>
          <w:lang w:eastAsia="en-AU"/>
        </w:rPr>
        <w:t xml:space="preserve"> reference to </w:t>
      </w:r>
      <w:r w:rsidR="00C64B24">
        <w:rPr>
          <w:rFonts w:eastAsia="Times New Roman" w:cs="Times New Roman"/>
          <w:color w:val="000000"/>
          <w:sz w:val="24"/>
          <w:szCs w:val="24"/>
          <w:lang w:eastAsia="en-AU"/>
        </w:rPr>
        <w:t xml:space="preserve">Schedule 2 of </w:t>
      </w:r>
      <w:r w:rsidR="005325A3">
        <w:rPr>
          <w:rFonts w:eastAsia="Times New Roman" w:cs="Times New Roman"/>
          <w:color w:val="000000"/>
          <w:sz w:val="24"/>
          <w:szCs w:val="24"/>
          <w:lang w:eastAsia="en-AU"/>
        </w:rPr>
        <w:t xml:space="preserve">the </w:t>
      </w:r>
      <w:r w:rsidR="005325A3" w:rsidRPr="007825BD">
        <w:rPr>
          <w:i/>
          <w:sz w:val="24"/>
        </w:rPr>
        <w:t xml:space="preserve">Statutory Declarations </w:t>
      </w:r>
      <w:r w:rsidR="005325A3" w:rsidRPr="003133E7">
        <w:rPr>
          <w:i/>
          <w:sz w:val="24"/>
          <w:szCs w:val="24"/>
        </w:rPr>
        <w:t xml:space="preserve">Regulations </w:t>
      </w:r>
      <w:r w:rsidR="005325A3" w:rsidRPr="00F04A5C">
        <w:rPr>
          <w:i/>
          <w:sz w:val="24"/>
          <w:szCs w:val="24"/>
        </w:rPr>
        <w:t xml:space="preserve">2018 </w:t>
      </w:r>
      <w:r w:rsidR="005325A3" w:rsidRPr="00F04A5C">
        <w:rPr>
          <w:sz w:val="24"/>
          <w:szCs w:val="24"/>
        </w:rPr>
        <w:t>with</w:t>
      </w:r>
      <w:r w:rsidR="005325A3" w:rsidRPr="00F04A5C">
        <w:rPr>
          <w:i/>
          <w:sz w:val="24"/>
          <w:szCs w:val="24"/>
        </w:rPr>
        <w:t xml:space="preserve"> </w:t>
      </w:r>
      <w:r w:rsidR="005325A3" w:rsidRPr="00F04A5C">
        <w:rPr>
          <w:sz w:val="24"/>
          <w:szCs w:val="24"/>
        </w:rPr>
        <w:t xml:space="preserve">a reference to </w:t>
      </w:r>
      <w:r w:rsidR="00C64B24" w:rsidRPr="00F04A5C">
        <w:rPr>
          <w:sz w:val="24"/>
          <w:szCs w:val="24"/>
        </w:rPr>
        <w:t xml:space="preserve">Schedule 1 of </w:t>
      </w:r>
      <w:r w:rsidR="005325A3" w:rsidRPr="00F04A5C">
        <w:rPr>
          <w:sz w:val="24"/>
          <w:szCs w:val="24"/>
        </w:rPr>
        <w:t xml:space="preserve">the </w:t>
      </w:r>
      <w:r w:rsidR="005325A3" w:rsidRPr="003133E7">
        <w:rPr>
          <w:i/>
          <w:sz w:val="24"/>
          <w:szCs w:val="24"/>
        </w:rPr>
        <w:t xml:space="preserve">Statutory Declarations Regulations </w:t>
      </w:r>
      <w:r w:rsidR="005325A3" w:rsidRPr="00F04A5C">
        <w:rPr>
          <w:i/>
          <w:sz w:val="24"/>
          <w:szCs w:val="24"/>
        </w:rPr>
        <w:t>2023.</w:t>
      </w:r>
      <w:r w:rsidR="00013F00" w:rsidRPr="003133E7">
        <w:rPr>
          <w:rFonts w:eastAsia="Times New Roman" w:cs="Times New Roman"/>
          <w:color w:val="000000"/>
          <w:sz w:val="24"/>
          <w:szCs w:val="24"/>
          <w:lang w:eastAsia="en-AU"/>
        </w:rPr>
        <w:t xml:space="preserve"> </w:t>
      </w:r>
    </w:p>
    <w:p w14:paraId="6BFF8835" w14:textId="283BA74F" w:rsidR="00C64B24" w:rsidRPr="00C64B24" w:rsidRDefault="00C64B24" w:rsidP="00C64B24">
      <w:pPr>
        <w:shd w:val="clear" w:color="auto" w:fill="FFFFFF"/>
        <w:spacing w:before="240" w:line="235" w:lineRule="atLeast"/>
        <w:ind w:left="720"/>
        <w:rPr>
          <w:rFonts w:ascii="Arial" w:eastAsia="Times New Roman" w:hAnsi="Arial" w:cs="Arial"/>
          <w:i/>
          <w:color w:val="000000"/>
          <w:szCs w:val="22"/>
          <w:lang w:eastAsia="en-AU"/>
        </w:rPr>
      </w:pPr>
      <w:r w:rsidRPr="001B2CE0">
        <w:rPr>
          <w:rFonts w:eastAsia="Times New Roman" w:cs="Times New Roman"/>
          <w:b/>
          <w:bCs/>
          <w:color w:val="000000"/>
          <w:sz w:val="24"/>
          <w:szCs w:val="24"/>
          <w:lang w:eastAsia="en-AU"/>
        </w:rPr>
        <w:t xml:space="preserve">Item </w:t>
      </w:r>
      <w:r>
        <w:rPr>
          <w:rFonts w:eastAsia="Times New Roman" w:cs="Times New Roman"/>
          <w:b/>
          <w:bCs/>
          <w:color w:val="000000"/>
          <w:sz w:val="24"/>
          <w:szCs w:val="24"/>
          <w:lang w:eastAsia="en-AU"/>
        </w:rPr>
        <w:t>2</w:t>
      </w:r>
      <w:r w:rsidRPr="001B2CE0">
        <w:rPr>
          <w:rFonts w:eastAsia="Times New Roman" w:cs="Times New Roman"/>
          <w:b/>
          <w:bCs/>
          <w:color w:val="000000"/>
          <w:sz w:val="24"/>
          <w:szCs w:val="24"/>
          <w:lang w:eastAsia="en-AU"/>
        </w:rPr>
        <w:t>—</w:t>
      </w:r>
      <w:r>
        <w:rPr>
          <w:rFonts w:eastAsia="Times New Roman" w:cs="Times New Roman"/>
          <w:b/>
          <w:bCs/>
          <w:color w:val="000000"/>
          <w:sz w:val="24"/>
          <w:szCs w:val="24"/>
          <w:lang w:eastAsia="en-AU"/>
        </w:rPr>
        <w:t xml:space="preserve">Part 1.2 (definition of </w:t>
      </w:r>
      <w:r>
        <w:rPr>
          <w:rFonts w:eastAsia="Times New Roman" w:cs="Times New Roman"/>
          <w:b/>
          <w:bCs/>
          <w:i/>
          <w:color w:val="000000"/>
          <w:sz w:val="24"/>
          <w:szCs w:val="24"/>
          <w:lang w:eastAsia="en-AU"/>
        </w:rPr>
        <w:t>certified copy)</w:t>
      </w:r>
    </w:p>
    <w:p w14:paraId="45194740" w14:textId="668B94AB" w:rsidR="00C64B24" w:rsidRPr="003133E7" w:rsidRDefault="00C64B24" w:rsidP="00C64B24">
      <w:pPr>
        <w:shd w:val="clear" w:color="auto" w:fill="FFFFFF"/>
        <w:spacing w:before="240" w:line="235" w:lineRule="atLeast"/>
        <w:ind w:left="720"/>
        <w:rPr>
          <w:rFonts w:eastAsia="Times New Roman" w:cs="Times New Roman"/>
          <w:color w:val="000000"/>
          <w:sz w:val="24"/>
          <w:szCs w:val="24"/>
          <w:lang w:eastAsia="en-AU"/>
        </w:rPr>
      </w:pPr>
      <w:r w:rsidRPr="001B2CE0">
        <w:rPr>
          <w:rFonts w:eastAsia="Times New Roman" w:cs="Times New Roman"/>
          <w:color w:val="000000"/>
          <w:sz w:val="24"/>
          <w:szCs w:val="24"/>
          <w:lang w:eastAsia="en-AU"/>
        </w:rPr>
        <w:t xml:space="preserve">This item </w:t>
      </w:r>
      <w:r>
        <w:rPr>
          <w:rFonts w:eastAsia="Times New Roman" w:cs="Times New Roman"/>
          <w:color w:val="000000"/>
          <w:sz w:val="24"/>
          <w:szCs w:val="24"/>
          <w:lang w:eastAsia="en-AU"/>
        </w:rPr>
        <w:t xml:space="preserve">updates the Note to the definition of certified copy by replacing the </w:t>
      </w:r>
      <w:r w:rsidRPr="003133E7">
        <w:rPr>
          <w:rFonts w:eastAsia="Times New Roman" w:cs="Times New Roman"/>
          <w:color w:val="000000"/>
          <w:sz w:val="24"/>
          <w:szCs w:val="24"/>
          <w:lang w:eastAsia="en-AU"/>
        </w:rPr>
        <w:t xml:space="preserve">reference to the </w:t>
      </w:r>
      <w:r w:rsidRPr="00F04A5C">
        <w:rPr>
          <w:i/>
          <w:sz w:val="24"/>
          <w:szCs w:val="24"/>
        </w:rPr>
        <w:t xml:space="preserve">Statutory Declarations Regulations 2018 </w:t>
      </w:r>
      <w:r w:rsidRPr="00F04A5C">
        <w:rPr>
          <w:sz w:val="24"/>
          <w:szCs w:val="24"/>
        </w:rPr>
        <w:t>with</w:t>
      </w:r>
      <w:r w:rsidRPr="00F04A5C">
        <w:rPr>
          <w:i/>
          <w:sz w:val="24"/>
          <w:szCs w:val="24"/>
        </w:rPr>
        <w:t xml:space="preserve"> </w:t>
      </w:r>
      <w:r w:rsidRPr="00F04A5C">
        <w:rPr>
          <w:sz w:val="24"/>
          <w:szCs w:val="24"/>
        </w:rPr>
        <w:t xml:space="preserve">a reference to the </w:t>
      </w:r>
      <w:r w:rsidRPr="003133E7">
        <w:rPr>
          <w:i/>
          <w:sz w:val="24"/>
          <w:szCs w:val="24"/>
        </w:rPr>
        <w:t xml:space="preserve">Statutory Declarations Regulations </w:t>
      </w:r>
      <w:r w:rsidRPr="00F04A5C">
        <w:rPr>
          <w:i/>
          <w:sz w:val="24"/>
          <w:szCs w:val="24"/>
        </w:rPr>
        <w:t>2023.</w:t>
      </w:r>
      <w:r w:rsidRPr="003133E7">
        <w:rPr>
          <w:rFonts w:eastAsia="Times New Roman" w:cs="Times New Roman"/>
          <w:color w:val="000000"/>
          <w:sz w:val="24"/>
          <w:szCs w:val="24"/>
          <w:lang w:eastAsia="en-AU"/>
        </w:rPr>
        <w:t xml:space="preserve"> </w:t>
      </w:r>
    </w:p>
    <w:p w14:paraId="4575F3FE" w14:textId="77777777" w:rsidR="00C64B24" w:rsidRDefault="00C64B24" w:rsidP="001B2CE0">
      <w:pPr>
        <w:shd w:val="clear" w:color="auto" w:fill="FFFFFF"/>
        <w:spacing w:before="240" w:line="235" w:lineRule="atLeast"/>
        <w:ind w:left="720"/>
        <w:rPr>
          <w:rFonts w:eastAsia="Times New Roman" w:cs="Times New Roman"/>
          <w:color w:val="000000"/>
          <w:sz w:val="24"/>
          <w:szCs w:val="24"/>
          <w:lang w:eastAsia="en-AU"/>
        </w:rPr>
      </w:pPr>
    </w:p>
    <w:p w14:paraId="12DAA013" w14:textId="77777777" w:rsidR="00C64B24" w:rsidRPr="001B2CE0" w:rsidRDefault="00C64B24" w:rsidP="001B2CE0">
      <w:pPr>
        <w:shd w:val="clear" w:color="auto" w:fill="FFFFFF"/>
        <w:spacing w:before="240" w:line="235" w:lineRule="atLeast"/>
        <w:ind w:left="720"/>
        <w:rPr>
          <w:rFonts w:ascii="Arial" w:eastAsia="Times New Roman" w:hAnsi="Arial" w:cs="Arial"/>
          <w:color w:val="000000"/>
          <w:szCs w:val="22"/>
          <w:lang w:eastAsia="en-AU"/>
        </w:rPr>
      </w:pPr>
    </w:p>
    <w:p w14:paraId="35433387" w14:textId="77777777" w:rsidR="00160ACB" w:rsidRPr="001B2CE0" w:rsidRDefault="00160ACB" w:rsidP="001B2CE0">
      <w:pPr>
        <w:shd w:val="clear" w:color="auto" w:fill="FFFFFF"/>
        <w:spacing w:before="80" w:line="240" w:lineRule="auto"/>
        <w:ind w:left="720"/>
        <w:rPr>
          <w:rFonts w:eastAsia="Times New Roman" w:cs="Times New Roman"/>
          <w:color w:val="000000"/>
          <w:szCs w:val="22"/>
          <w:lang w:eastAsia="en-AU"/>
        </w:rPr>
      </w:pPr>
    </w:p>
    <w:p w14:paraId="1AF0938B" w14:textId="77777777" w:rsidR="005325A3" w:rsidRDefault="005325A3">
      <w:pPr>
        <w:spacing w:after="160" w:line="259" w:lineRule="auto"/>
        <w:rPr>
          <w:rFonts w:eastAsia="Times New Roman" w:cs="Times New Roman"/>
          <w:b/>
          <w:bCs/>
          <w:color w:val="000000"/>
          <w:szCs w:val="22"/>
          <w:lang w:eastAsia="en-AU"/>
        </w:rPr>
      </w:pPr>
      <w:r>
        <w:rPr>
          <w:rFonts w:eastAsia="Times New Roman" w:cs="Times New Roman"/>
          <w:b/>
          <w:bCs/>
          <w:color w:val="000000"/>
          <w:szCs w:val="22"/>
          <w:lang w:eastAsia="en-AU"/>
        </w:rPr>
        <w:br w:type="page"/>
      </w:r>
    </w:p>
    <w:p w14:paraId="49FA9A35" w14:textId="72434D12" w:rsidR="001B2CE0" w:rsidRPr="001B2CE0" w:rsidRDefault="001B2CE0" w:rsidP="001B2CE0">
      <w:pPr>
        <w:shd w:val="clear" w:color="auto" w:fill="FFFFFF"/>
        <w:spacing w:before="240" w:line="235" w:lineRule="atLeast"/>
        <w:ind w:left="720"/>
        <w:rPr>
          <w:rFonts w:ascii="Arial" w:eastAsia="Times New Roman" w:hAnsi="Arial" w:cs="Arial"/>
          <w:color w:val="000000"/>
          <w:szCs w:val="22"/>
          <w:lang w:eastAsia="en-AU"/>
        </w:rPr>
      </w:pPr>
      <w:r w:rsidRPr="001B2CE0">
        <w:rPr>
          <w:rFonts w:eastAsia="Times New Roman" w:cs="Times New Roman"/>
          <w:b/>
          <w:bCs/>
          <w:color w:val="000000"/>
          <w:szCs w:val="22"/>
          <w:lang w:eastAsia="en-AU"/>
        </w:rPr>
        <w:lastRenderedPageBreak/>
        <w:t> </w:t>
      </w:r>
    </w:p>
    <w:p w14:paraId="2DFAAF4F" w14:textId="77777777" w:rsidR="001B2CE0" w:rsidRPr="001B2CE0" w:rsidRDefault="001B2CE0" w:rsidP="001B2CE0">
      <w:pPr>
        <w:shd w:val="clear" w:color="auto" w:fill="FFFFFF"/>
        <w:spacing w:line="240" w:lineRule="auto"/>
        <w:ind w:left="720"/>
        <w:rPr>
          <w:rFonts w:ascii="Arial" w:eastAsia="Times New Roman" w:hAnsi="Arial" w:cs="Arial"/>
          <w:color w:val="000000"/>
          <w:szCs w:val="22"/>
          <w:lang w:eastAsia="en-AU"/>
        </w:rPr>
      </w:pPr>
      <w:r w:rsidRPr="001B2CE0">
        <w:rPr>
          <w:rFonts w:ascii="Arial" w:eastAsia="Times New Roman" w:hAnsi="Arial" w:cs="Arial"/>
          <w:color w:val="000000"/>
          <w:szCs w:val="22"/>
          <w:lang w:eastAsia="en-AU"/>
        </w:rPr>
        <w:t> </w:t>
      </w:r>
    </w:p>
    <w:p w14:paraId="52FF3EED" w14:textId="77777777" w:rsidR="00546987" w:rsidRPr="00047C65" w:rsidRDefault="00546987" w:rsidP="00546987">
      <w:pPr>
        <w:spacing w:after="160" w:line="360" w:lineRule="auto"/>
        <w:jc w:val="center"/>
        <w:rPr>
          <w:rFonts w:eastAsia="Calibri"/>
          <w:b/>
          <w:caps/>
          <w:sz w:val="24"/>
        </w:rPr>
      </w:pPr>
      <w:r w:rsidRPr="00047C65">
        <w:rPr>
          <w:rFonts w:eastAsia="Calibri"/>
          <w:b/>
          <w:caps/>
          <w:sz w:val="24"/>
        </w:rPr>
        <w:t>Statement of Compatibility with Human Rights</w:t>
      </w:r>
    </w:p>
    <w:p w14:paraId="251DE596" w14:textId="77777777" w:rsidR="00546987" w:rsidRPr="00047C65" w:rsidRDefault="00546987" w:rsidP="00546987">
      <w:pPr>
        <w:spacing w:after="160" w:line="360" w:lineRule="auto"/>
        <w:jc w:val="center"/>
        <w:rPr>
          <w:rFonts w:eastAsia="Calibri"/>
          <w:sz w:val="24"/>
        </w:rPr>
      </w:pPr>
      <w:r w:rsidRPr="00047C65">
        <w:rPr>
          <w:rFonts w:eastAsia="Calibri"/>
          <w:i/>
          <w:iCs/>
          <w:sz w:val="24"/>
        </w:rPr>
        <w:t>Prepared in accordance with Part 3 of the Human Rights (Parliamentary Scrutiny) Act 2011</w:t>
      </w:r>
    </w:p>
    <w:p w14:paraId="06FD7D05" w14:textId="2145ED61" w:rsidR="00546987" w:rsidRDefault="00546987" w:rsidP="00F966D3">
      <w:pPr>
        <w:spacing w:after="160" w:line="360" w:lineRule="auto"/>
        <w:jc w:val="center"/>
        <w:rPr>
          <w:rFonts w:eastAsia="Calibri"/>
          <w:b/>
          <w:i/>
          <w:sz w:val="24"/>
        </w:rPr>
      </w:pPr>
      <w:r w:rsidRPr="00047C65">
        <w:rPr>
          <w:rFonts w:eastAsia="Calibri"/>
          <w:b/>
          <w:i/>
          <w:sz w:val="24"/>
        </w:rPr>
        <w:t>Australian Human Rights Commission Regulations 2019</w:t>
      </w:r>
    </w:p>
    <w:p w14:paraId="12B05531" w14:textId="39849C1A" w:rsidR="00F966D3" w:rsidRPr="00047C65" w:rsidRDefault="00F966D3" w:rsidP="00F966D3">
      <w:pPr>
        <w:spacing w:after="160" w:line="360" w:lineRule="auto"/>
        <w:jc w:val="center"/>
        <w:rPr>
          <w:rFonts w:eastAsia="Calibri"/>
          <w:b/>
          <w:i/>
          <w:sz w:val="24"/>
        </w:rPr>
      </w:pPr>
      <w:r>
        <w:rPr>
          <w:b/>
          <w:bCs/>
          <w:i/>
          <w:iCs/>
          <w:color w:val="000000"/>
        </w:rPr>
        <w:t>Amendments to the Anti-Money Laundering and Counter-Terrorism Financing Rules Instrument 2007 (No. 1) (AML/CTF Rules) amending Chapter 1</w:t>
      </w:r>
    </w:p>
    <w:p w14:paraId="45B1CDE8" w14:textId="77777777" w:rsidR="00546987" w:rsidRPr="00784484" w:rsidRDefault="00546987" w:rsidP="00F966D3">
      <w:pPr>
        <w:pStyle w:val="ListParagraph"/>
        <w:numPr>
          <w:ilvl w:val="0"/>
          <w:numId w:val="25"/>
        </w:numPr>
        <w:pBdr>
          <w:top w:val="single" w:sz="4" w:space="1" w:color="auto"/>
          <w:left w:val="single" w:sz="4" w:space="4" w:color="auto"/>
          <w:bottom w:val="single" w:sz="4" w:space="1" w:color="auto"/>
          <w:right w:val="single" w:sz="4" w:space="4" w:color="auto"/>
        </w:pBdr>
        <w:spacing w:after="160" w:line="259" w:lineRule="auto"/>
        <w:ind w:left="0" w:firstLine="0"/>
        <w:rPr>
          <w:rFonts w:ascii="Times New Roman" w:eastAsia="Calibri" w:hAnsi="Times New Roman"/>
          <w:sz w:val="24"/>
        </w:rPr>
      </w:pPr>
      <w:r w:rsidRPr="00784484">
        <w:rPr>
          <w:rFonts w:ascii="Times New Roman" w:eastAsia="Calibri" w:hAnsi="Times New Roman"/>
          <w:sz w:val="24"/>
        </w:rPr>
        <w:t xml:space="preserve">This Disallowable Legislative Instrument (the </w:t>
      </w:r>
      <w:r w:rsidRPr="00E96B54">
        <w:rPr>
          <w:rFonts w:ascii="Times New Roman" w:eastAsia="Calibri" w:hAnsi="Times New Roman"/>
          <w:b/>
          <w:sz w:val="24"/>
        </w:rPr>
        <w:t>Instrument</w:t>
      </w:r>
      <w:r w:rsidRPr="00784484">
        <w:rPr>
          <w:rFonts w:ascii="Times New Roman" w:eastAsia="Calibri" w:hAnsi="Times New Roman"/>
          <w:sz w:val="24"/>
        </w:rPr>
        <w:t xml:space="preserve">) is compatible with the human rights and freedoms recognised or declared in the international instruments listed in section 3 of the </w:t>
      </w:r>
      <w:r w:rsidRPr="000166D7">
        <w:rPr>
          <w:rFonts w:ascii="Times New Roman" w:eastAsia="Calibri" w:hAnsi="Times New Roman"/>
          <w:i/>
          <w:sz w:val="24"/>
        </w:rPr>
        <w:t>Human Rights (Parliamentary Scrutiny) Act 2011</w:t>
      </w:r>
      <w:r w:rsidRPr="00784484">
        <w:rPr>
          <w:rFonts w:ascii="Times New Roman" w:eastAsia="Calibri" w:hAnsi="Times New Roman"/>
          <w:sz w:val="24"/>
        </w:rPr>
        <w:t>.</w:t>
      </w:r>
    </w:p>
    <w:p w14:paraId="513513BF" w14:textId="77777777" w:rsidR="00546987" w:rsidRPr="00546987" w:rsidRDefault="00546987" w:rsidP="00F966D3">
      <w:pPr>
        <w:pBdr>
          <w:top w:val="single" w:sz="4" w:space="1" w:color="auto"/>
          <w:left w:val="single" w:sz="4" w:space="4" w:color="auto"/>
          <w:bottom w:val="single" w:sz="4" w:space="1" w:color="auto"/>
          <w:right w:val="single" w:sz="4" w:space="4" w:color="auto"/>
        </w:pBdr>
        <w:spacing w:before="240" w:after="160" w:line="256" w:lineRule="auto"/>
        <w:rPr>
          <w:rFonts w:eastAsia="Times New Roman" w:cs="Times New Roman"/>
          <w:b/>
          <w:sz w:val="24"/>
          <w:szCs w:val="22"/>
        </w:rPr>
      </w:pPr>
      <w:r w:rsidRPr="00546987">
        <w:rPr>
          <w:rFonts w:eastAsia="Times New Roman" w:cs="Times New Roman"/>
          <w:b/>
          <w:sz w:val="24"/>
          <w:szCs w:val="22"/>
        </w:rPr>
        <w:t>Overview of the Instrument</w:t>
      </w:r>
    </w:p>
    <w:p w14:paraId="05153062" w14:textId="699D9DE8" w:rsidR="00CB2956" w:rsidRPr="00F04A5C" w:rsidRDefault="00FF03AB" w:rsidP="00F966D3">
      <w:pPr>
        <w:pStyle w:val="ListParagraph"/>
        <w:numPr>
          <w:ilvl w:val="0"/>
          <w:numId w:val="25"/>
        </w:numPr>
        <w:pBdr>
          <w:top w:val="single" w:sz="4" w:space="1" w:color="auto"/>
          <w:left w:val="single" w:sz="4" w:space="4" w:color="auto"/>
          <w:bottom w:val="single" w:sz="4" w:space="1" w:color="auto"/>
          <w:right w:val="single" w:sz="4" w:space="4" w:color="auto"/>
        </w:pBdr>
        <w:spacing w:after="160" w:line="259" w:lineRule="auto"/>
        <w:ind w:left="0" w:firstLine="0"/>
        <w:rPr>
          <w:rFonts w:eastAsia="Calibri"/>
          <w:sz w:val="28"/>
        </w:rPr>
      </w:pPr>
      <w:r w:rsidRPr="00F04A5C">
        <w:rPr>
          <w:rFonts w:ascii="Times New Roman" w:hAnsi="Times New Roman"/>
          <w:sz w:val="24"/>
        </w:rPr>
        <w:t xml:space="preserve">The Instrument updates each reference to the </w:t>
      </w:r>
      <w:r w:rsidRPr="00F04A5C">
        <w:rPr>
          <w:rFonts w:ascii="Times New Roman" w:hAnsi="Times New Roman"/>
          <w:i/>
          <w:sz w:val="24"/>
        </w:rPr>
        <w:t xml:space="preserve">Statutory Declarations Regulations 2018 </w:t>
      </w:r>
      <w:r w:rsidRPr="00F04A5C">
        <w:rPr>
          <w:rFonts w:ascii="Times New Roman" w:hAnsi="Times New Roman"/>
          <w:sz w:val="24"/>
        </w:rPr>
        <w:t xml:space="preserve">in </w:t>
      </w:r>
      <w:r w:rsidR="00960722" w:rsidRPr="00F04A5C">
        <w:rPr>
          <w:rFonts w:ascii="Times New Roman" w:hAnsi="Times New Roman"/>
          <w:sz w:val="24"/>
        </w:rPr>
        <w:t xml:space="preserve">the definition of </w:t>
      </w:r>
      <w:r w:rsidR="00960722" w:rsidRPr="00F04A5C">
        <w:rPr>
          <w:rFonts w:ascii="Times New Roman" w:hAnsi="Times New Roman"/>
          <w:i/>
          <w:sz w:val="24"/>
        </w:rPr>
        <w:t>certified copy</w:t>
      </w:r>
      <w:r w:rsidR="00960722" w:rsidRPr="00F04A5C">
        <w:rPr>
          <w:rFonts w:ascii="Times New Roman" w:hAnsi="Times New Roman"/>
          <w:sz w:val="24"/>
        </w:rPr>
        <w:t xml:space="preserve"> in </w:t>
      </w:r>
      <w:r w:rsidRPr="00F04A5C">
        <w:rPr>
          <w:rFonts w:ascii="Times New Roman" w:hAnsi="Times New Roman"/>
          <w:sz w:val="24"/>
        </w:rPr>
        <w:t xml:space="preserve">Part 1.2 of the </w:t>
      </w:r>
      <w:r w:rsidR="00960722" w:rsidRPr="00F04A5C">
        <w:rPr>
          <w:rFonts w:ascii="Times New Roman" w:hAnsi="Times New Roman"/>
          <w:i/>
          <w:sz w:val="24"/>
        </w:rPr>
        <w:t xml:space="preserve">Anti-Money Laundering and Counter-Terrorism Financing </w:t>
      </w:r>
      <w:r w:rsidRPr="00F04A5C">
        <w:rPr>
          <w:rFonts w:ascii="Times New Roman" w:hAnsi="Times New Roman"/>
          <w:i/>
          <w:sz w:val="24"/>
        </w:rPr>
        <w:t>Rules</w:t>
      </w:r>
      <w:r w:rsidR="00960722" w:rsidRPr="00F04A5C">
        <w:rPr>
          <w:rFonts w:ascii="Times New Roman" w:hAnsi="Times New Roman"/>
          <w:i/>
          <w:sz w:val="24"/>
        </w:rPr>
        <w:t xml:space="preserve"> Instrument </w:t>
      </w:r>
      <w:r w:rsidR="003133E7">
        <w:rPr>
          <w:rFonts w:ascii="Times New Roman" w:hAnsi="Times New Roman"/>
          <w:i/>
          <w:sz w:val="24"/>
        </w:rPr>
        <w:t xml:space="preserve">(No.1) </w:t>
      </w:r>
      <w:r w:rsidR="00960722" w:rsidRPr="00F04A5C">
        <w:rPr>
          <w:rFonts w:ascii="Times New Roman" w:hAnsi="Times New Roman"/>
          <w:i/>
          <w:sz w:val="24"/>
        </w:rPr>
        <w:t>2007</w:t>
      </w:r>
      <w:r w:rsidRPr="00F04A5C">
        <w:rPr>
          <w:rFonts w:ascii="Times New Roman" w:hAnsi="Times New Roman"/>
          <w:sz w:val="24"/>
        </w:rPr>
        <w:t xml:space="preserve"> with</w:t>
      </w:r>
      <w:r w:rsidRPr="00F04A5C">
        <w:rPr>
          <w:rFonts w:ascii="Times New Roman" w:hAnsi="Times New Roman"/>
          <w:i/>
          <w:sz w:val="24"/>
        </w:rPr>
        <w:t xml:space="preserve"> </w:t>
      </w:r>
      <w:r w:rsidRPr="00F04A5C">
        <w:rPr>
          <w:rFonts w:ascii="Times New Roman" w:hAnsi="Times New Roman"/>
          <w:sz w:val="24"/>
        </w:rPr>
        <w:t xml:space="preserve">a reference to the </w:t>
      </w:r>
      <w:r w:rsidRPr="00F04A5C">
        <w:rPr>
          <w:rFonts w:ascii="Times New Roman" w:hAnsi="Times New Roman"/>
          <w:i/>
          <w:sz w:val="24"/>
        </w:rPr>
        <w:t>Statutory Declarations Regulations 2023</w:t>
      </w:r>
      <w:r w:rsidR="003133E7">
        <w:rPr>
          <w:rFonts w:ascii="Times New Roman" w:hAnsi="Times New Roman"/>
          <w:i/>
          <w:sz w:val="24"/>
        </w:rPr>
        <w:t>,</w:t>
      </w:r>
      <w:r w:rsidRPr="00F04A5C">
        <w:rPr>
          <w:rFonts w:ascii="Times New Roman" w:hAnsi="Times New Roman"/>
          <w:sz w:val="24"/>
        </w:rPr>
        <w:t xml:space="preserve"> which commenced on 1 January 2024.</w:t>
      </w:r>
      <w:r w:rsidR="0072754E" w:rsidRPr="00F04A5C">
        <w:rPr>
          <w:rFonts w:ascii="Times New Roman" w:eastAsia="Calibri" w:hAnsi="Times New Roman"/>
          <w:sz w:val="28"/>
        </w:rPr>
        <w:t xml:space="preserve"> </w:t>
      </w:r>
    </w:p>
    <w:p w14:paraId="14D3591C" w14:textId="387EEDFD" w:rsidR="0072754E" w:rsidRDefault="0072754E" w:rsidP="00F966D3">
      <w:pPr>
        <w:pBdr>
          <w:top w:val="single" w:sz="4" w:space="1" w:color="auto"/>
          <w:left w:val="single" w:sz="4" w:space="4" w:color="auto"/>
          <w:bottom w:val="single" w:sz="4" w:space="1" w:color="auto"/>
          <w:right w:val="single" w:sz="4" w:space="4" w:color="auto"/>
        </w:pBdr>
        <w:spacing w:before="240" w:after="160" w:line="256" w:lineRule="auto"/>
        <w:rPr>
          <w:rFonts w:eastAsia="Times New Roman" w:cs="Times New Roman"/>
          <w:sz w:val="24"/>
          <w:szCs w:val="22"/>
        </w:rPr>
      </w:pPr>
      <w:r>
        <w:rPr>
          <w:rFonts w:eastAsia="Times New Roman" w:cs="Times New Roman"/>
          <w:b/>
          <w:sz w:val="24"/>
          <w:szCs w:val="22"/>
        </w:rPr>
        <w:t>Human rights implications</w:t>
      </w:r>
    </w:p>
    <w:p w14:paraId="29E8CFB0" w14:textId="77777777" w:rsidR="00D63F54" w:rsidRPr="00047C65" w:rsidRDefault="00D63F54" w:rsidP="00F966D3">
      <w:pPr>
        <w:pStyle w:val="ListParagraph"/>
        <w:numPr>
          <w:ilvl w:val="0"/>
          <w:numId w:val="25"/>
        </w:numPr>
        <w:pBdr>
          <w:top w:val="single" w:sz="4" w:space="1" w:color="auto"/>
          <w:left w:val="single" w:sz="4" w:space="4" w:color="auto"/>
          <w:bottom w:val="single" w:sz="4" w:space="1" w:color="auto"/>
          <w:right w:val="single" w:sz="4" w:space="4" w:color="auto"/>
        </w:pBdr>
        <w:spacing w:after="160" w:line="259" w:lineRule="auto"/>
        <w:ind w:left="0" w:firstLine="0"/>
        <w:rPr>
          <w:rFonts w:ascii="Times New Roman" w:eastAsia="Calibri" w:hAnsi="Times New Roman"/>
          <w:sz w:val="24"/>
        </w:rPr>
      </w:pPr>
      <w:r w:rsidRPr="00047C65">
        <w:rPr>
          <w:rFonts w:ascii="Times New Roman" w:eastAsia="Calibri" w:hAnsi="Times New Roman"/>
          <w:sz w:val="24"/>
        </w:rPr>
        <w:t xml:space="preserve">The </w:t>
      </w:r>
      <w:r w:rsidRPr="006D4D39">
        <w:rPr>
          <w:rFonts w:ascii="Times New Roman" w:eastAsia="Calibri" w:hAnsi="Times New Roman"/>
          <w:i/>
          <w:sz w:val="24"/>
        </w:rPr>
        <w:t>Human Rights (Parliamentary Scrutiny) Act 2011</w:t>
      </w:r>
      <w:r w:rsidRPr="00047C65">
        <w:rPr>
          <w:rFonts w:ascii="Times New Roman" w:eastAsia="Calibri" w:hAnsi="Times New Roman"/>
          <w:sz w:val="24"/>
        </w:rPr>
        <w:t xml:space="preserve"> requires that Statements of Compatibility must be made by the rule-maker with regard to disallowable legislative instruments, and must contain an assessment of whether the legislative instrument is compatible with the rights and freedoms recognised in the seven core international human rights treaties that Australia has ratified.</w:t>
      </w:r>
    </w:p>
    <w:p w14:paraId="58A583C5" w14:textId="7D3ADA79" w:rsidR="006D5C09" w:rsidRDefault="00D63F54" w:rsidP="00F966D3">
      <w:pPr>
        <w:pStyle w:val="ListParagraph"/>
        <w:numPr>
          <w:ilvl w:val="0"/>
          <w:numId w:val="25"/>
        </w:numPr>
        <w:pBdr>
          <w:top w:val="single" w:sz="4" w:space="1" w:color="auto"/>
          <w:left w:val="single" w:sz="4" w:space="4" w:color="auto"/>
          <w:bottom w:val="single" w:sz="4" w:space="1" w:color="auto"/>
          <w:right w:val="single" w:sz="4" w:space="4" w:color="auto"/>
        </w:pBdr>
        <w:spacing w:after="160" w:line="259" w:lineRule="auto"/>
        <w:ind w:left="0" w:firstLine="0"/>
        <w:rPr>
          <w:rFonts w:ascii="Times New Roman" w:eastAsia="Calibri" w:hAnsi="Times New Roman"/>
          <w:sz w:val="24"/>
        </w:rPr>
      </w:pPr>
      <w:r w:rsidRPr="00047C65">
        <w:rPr>
          <w:rFonts w:ascii="Times New Roman" w:eastAsia="Calibri" w:hAnsi="Times New Roman"/>
          <w:sz w:val="24"/>
        </w:rPr>
        <w:t>The Instrument</w:t>
      </w:r>
      <w:r w:rsidR="003133E7">
        <w:rPr>
          <w:rFonts w:ascii="Times New Roman" w:eastAsia="Calibri" w:hAnsi="Times New Roman"/>
          <w:sz w:val="24"/>
        </w:rPr>
        <w:t xml:space="preserve"> contains amendments that are machinery in nature and</w:t>
      </w:r>
      <w:r w:rsidRPr="00047C65">
        <w:rPr>
          <w:rFonts w:ascii="Times New Roman" w:eastAsia="Calibri" w:hAnsi="Times New Roman"/>
          <w:sz w:val="24"/>
        </w:rPr>
        <w:t xml:space="preserve"> </w:t>
      </w:r>
      <w:r w:rsidR="0042749D">
        <w:rPr>
          <w:rFonts w:ascii="Times New Roman" w:hAnsi="Times New Roman"/>
          <w:sz w:val="24"/>
        </w:rPr>
        <w:t>does not engage any of the applicable rights or freedoms.</w:t>
      </w:r>
      <w:r w:rsidR="00084122">
        <w:rPr>
          <w:rFonts w:ascii="Times New Roman" w:hAnsi="Times New Roman"/>
          <w:sz w:val="24"/>
        </w:rPr>
        <w:tab/>
      </w:r>
      <w:r w:rsidR="006D5C09" w:rsidRPr="00AE057E">
        <w:rPr>
          <w:rFonts w:ascii="Times New Roman" w:eastAsia="Calibri" w:hAnsi="Times New Roman"/>
          <w:sz w:val="24"/>
        </w:rPr>
        <w:t xml:space="preserve"> </w:t>
      </w:r>
    </w:p>
    <w:p w14:paraId="60BD06E3" w14:textId="77777777" w:rsidR="006D5C09" w:rsidRPr="003530DB" w:rsidRDefault="006D5C09" w:rsidP="00F966D3">
      <w:pPr>
        <w:pBdr>
          <w:top w:val="single" w:sz="4" w:space="1" w:color="auto"/>
          <w:left w:val="single" w:sz="4" w:space="4" w:color="auto"/>
          <w:bottom w:val="single" w:sz="4" w:space="1" w:color="auto"/>
          <w:right w:val="single" w:sz="4" w:space="4" w:color="auto"/>
        </w:pBdr>
        <w:spacing w:after="160" w:line="360" w:lineRule="auto"/>
        <w:rPr>
          <w:rFonts w:eastAsia="Calibri"/>
          <w:b/>
          <w:sz w:val="24"/>
        </w:rPr>
      </w:pPr>
      <w:r w:rsidRPr="003530DB">
        <w:rPr>
          <w:rFonts w:eastAsia="Calibri"/>
          <w:b/>
          <w:sz w:val="24"/>
        </w:rPr>
        <w:t>Conclusion</w:t>
      </w:r>
    </w:p>
    <w:p w14:paraId="34C2A2B1" w14:textId="1818F56A" w:rsidR="00B031D4" w:rsidRPr="00F966D3" w:rsidRDefault="006D5C09" w:rsidP="00F966D3">
      <w:pPr>
        <w:pStyle w:val="ListParagraph"/>
        <w:numPr>
          <w:ilvl w:val="0"/>
          <w:numId w:val="25"/>
        </w:numPr>
        <w:pBdr>
          <w:top w:val="single" w:sz="4" w:space="1" w:color="auto"/>
          <w:left w:val="single" w:sz="4" w:space="4" w:color="auto"/>
          <w:bottom w:val="single" w:sz="4" w:space="1" w:color="auto"/>
          <w:right w:val="single" w:sz="4" w:space="4" w:color="auto"/>
        </w:pBdr>
        <w:spacing w:after="160" w:line="259" w:lineRule="auto"/>
        <w:ind w:left="0" w:firstLine="0"/>
        <w:rPr>
          <w:rFonts w:eastAsia="Times New Roman" w:cs="Times New Roman"/>
          <w:i/>
          <w:color w:val="000000"/>
          <w:sz w:val="24"/>
        </w:rPr>
      </w:pPr>
      <w:r w:rsidRPr="003530DB">
        <w:rPr>
          <w:rFonts w:ascii="Times New Roman" w:eastAsia="Calibri" w:hAnsi="Times New Roman"/>
          <w:sz w:val="24"/>
        </w:rPr>
        <w:t xml:space="preserve">This </w:t>
      </w:r>
      <w:r w:rsidRPr="00047C65">
        <w:rPr>
          <w:rFonts w:ascii="Times New Roman" w:eastAsia="Calibri" w:hAnsi="Times New Roman"/>
          <w:sz w:val="24"/>
        </w:rPr>
        <w:t xml:space="preserve">Instrument </w:t>
      </w:r>
      <w:r w:rsidRPr="003530DB">
        <w:rPr>
          <w:rFonts w:ascii="Times New Roman" w:eastAsia="Calibri" w:hAnsi="Times New Roman"/>
          <w:sz w:val="24"/>
        </w:rPr>
        <w:t>is compatible with human rights</w:t>
      </w:r>
      <w:r>
        <w:rPr>
          <w:rFonts w:ascii="Times New Roman" w:eastAsia="Calibri" w:hAnsi="Times New Roman"/>
          <w:sz w:val="24"/>
        </w:rPr>
        <w:t>.</w:t>
      </w:r>
      <w:bookmarkEnd w:id="0"/>
    </w:p>
    <w:p w14:paraId="108B9D35" w14:textId="373F8065" w:rsidR="00F966D3" w:rsidRDefault="00F966D3" w:rsidP="00F966D3">
      <w:pPr>
        <w:pStyle w:val="ListParagraph"/>
        <w:pBdr>
          <w:top w:val="single" w:sz="4" w:space="1" w:color="auto"/>
          <w:left w:val="single" w:sz="4" w:space="4" w:color="auto"/>
          <w:bottom w:val="single" w:sz="4" w:space="1" w:color="auto"/>
          <w:right w:val="single" w:sz="4" w:space="4" w:color="auto"/>
        </w:pBdr>
        <w:spacing w:after="160" w:line="259" w:lineRule="auto"/>
        <w:ind w:left="0"/>
        <w:rPr>
          <w:rFonts w:ascii="Times New Roman" w:eastAsia="Calibri" w:hAnsi="Times New Roman"/>
          <w:sz w:val="24"/>
        </w:rPr>
      </w:pPr>
      <w:bookmarkStart w:id="1" w:name="_GoBack"/>
      <w:bookmarkEnd w:id="1"/>
    </w:p>
    <w:p w14:paraId="379E1538" w14:textId="77777777" w:rsidR="00F966D3" w:rsidRPr="00CD4FA5" w:rsidRDefault="00F966D3" w:rsidP="00F966D3">
      <w:pPr>
        <w:pBdr>
          <w:top w:val="single" w:sz="4" w:space="1" w:color="auto"/>
          <w:left w:val="single" w:sz="4" w:space="4" w:color="auto"/>
          <w:bottom w:val="single" w:sz="4" w:space="1" w:color="auto"/>
          <w:right w:val="single" w:sz="4" w:space="4" w:color="auto"/>
        </w:pBdr>
        <w:rPr>
          <w:sz w:val="24"/>
        </w:rPr>
      </w:pPr>
      <w:r>
        <w:rPr>
          <w:sz w:val="24"/>
        </w:rPr>
        <w:t>Peter Soros</w:t>
      </w:r>
    </w:p>
    <w:p w14:paraId="46A0CD0D" w14:textId="77777777" w:rsidR="00F966D3" w:rsidRPr="00CD4FA5" w:rsidRDefault="00F966D3" w:rsidP="00F966D3">
      <w:pPr>
        <w:pBdr>
          <w:top w:val="single" w:sz="4" w:space="1" w:color="auto"/>
          <w:left w:val="single" w:sz="4" w:space="4" w:color="auto"/>
          <w:bottom w:val="single" w:sz="4" w:space="1" w:color="auto"/>
          <w:right w:val="single" w:sz="4" w:space="4" w:color="auto"/>
        </w:pBdr>
        <w:rPr>
          <w:sz w:val="24"/>
        </w:rPr>
      </w:pPr>
      <w:r>
        <w:rPr>
          <w:sz w:val="24"/>
        </w:rPr>
        <w:t xml:space="preserve">Acting </w:t>
      </w:r>
      <w:r w:rsidRPr="00CD4FA5">
        <w:rPr>
          <w:sz w:val="24"/>
        </w:rPr>
        <w:t>Chief Executive Officer</w:t>
      </w:r>
    </w:p>
    <w:p w14:paraId="1A2D6E26" w14:textId="21E73F0C" w:rsidR="00F966D3" w:rsidRPr="00167119" w:rsidRDefault="00F966D3" w:rsidP="00F966D3">
      <w:pPr>
        <w:pStyle w:val="ListParagraph"/>
        <w:pBdr>
          <w:top w:val="single" w:sz="4" w:space="1" w:color="auto"/>
          <w:left w:val="single" w:sz="4" w:space="4" w:color="auto"/>
          <w:bottom w:val="single" w:sz="4" w:space="1" w:color="auto"/>
          <w:right w:val="single" w:sz="4" w:space="4" w:color="auto"/>
        </w:pBdr>
        <w:spacing w:after="160" w:line="259" w:lineRule="auto"/>
        <w:ind w:left="0"/>
        <w:rPr>
          <w:rFonts w:eastAsia="Times New Roman" w:cs="Times New Roman"/>
          <w:i/>
          <w:color w:val="000000"/>
          <w:sz w:val="24"/>
        </w:rPr>
      </w:pPr>
      <w:r w:rsidRPr="00CD4FA5">
        <w:rPr>
          <w:rFonts w:ascii="Times New Roman" w:hAnsi="Times New Roman"/>
          <w:sz w:val="24"/>
        </w:rPr>
        <w:t>Australian Transaction Reports and Analysis Centre</w:t>
      </w:r>
    </w:p>
    <w:sectPr w:rsidR="00F966D3" w:rsidRPr="00167119" w:rsidSect="00F966D3">
      <w:headerReference w:type="even" r:id="rId8"/>
      <w:headerReference w:type="default" r:id="rId9"/>
      <w:footerReference w:type="even" r:id="rId10"/>
      <w:footerReference w:type="default" r:id="rId11"/>
      <w:headerReference w:type="first" r:id="rId12"/>
      <w:footerReference w:type="first" r:id="rId13"/>
      <w:pgSz w:w="11907" w:h="16839"/>
      <w:pgMar w:top="1134" w:right="1797" w:bottom="1440" w:left="1797"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CA74D" w14:textId="77777777" w:rsidR="00D03559" w:rsidRDefault="00D03559" w:rsidP="00477418">
      <w:pPr>
        <w:spacing w:line="240" w:lineRule="auto"/>
      </w:pPr>
      <w:r>
        <w:separator/>
      </w:r>
    </w:p>
  </w:endnote>
  <w:endnote w:type="continuationSeparator" w:id="0">
    <w:p w14:paraId="0842CDDD" w14:textId="77777777" w:rsidR="00D03559" w:rsidRDefault="00D03559" w:rsidP="004774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4D293" w14:textId="77777777" w:rsidR="00EE57E8" w:rsidRPr="00E33C1C" w:rsidRDefault="006F495A"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275B542D" w14:textId="77777777" w:rsidTr="007A6863">
      <w:tc>
        <w:tcPr>
          <w:tcW w:w="709" w:type="dxa"/>
          <w:tcBorders>
            <w:top w:val="nil"/>
            <w:left w:val="nil"/>
            <w:bottom w:val="nil"/>
            <w:right w:val="nil"/>
          </w:tcBorders>
        </w:tcPr>
        <w:p w14:paraId="7E6F5127" w14:textId="77777777" w:rsidR="00EE57E8" w:rsidRDefault="00C83696"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w:t>
          </w:r>
          <w:r w:rsidRPr="00ED79B6">
            <w:rPr>
              <w:i/>
              <w:sz w:val="18"/>
            </w:rPr>
            <w:fldChar w:fldCharType="end"/>
          </w:r>
        </w:p>
      </w:tc>
      <w:tc>
        <w:tcPr>
          <w:tcW w:w="6379" w:type="dxa"/>
          <w:tcBorders>
            <w:top w:val="nil"/>
            <w:left w:val="nil"/>
            <w:bottom w:val="nil"/>
            <w:right w:val="nil"/>
          </w:tcBorders>
        </w:tcPr>
        <w:p w14:paraId="0F8939D6" w14:textId="2079EAFB" w:rsidR="00EE57E8" w:rsidRDefault="00C83696"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B23715">
            <w:rPr>
              <w:b/>
              <w:bCs/>
              <w:i/>
              <w:noProof/>
              <w:sz w:val="18"/>
              <w:lang w:val="en-US"/>
            </w:rPr>
            <w:t>Error! Use the Home tab to apply ShortT to the text that you want to appear here.</w:t>
          </w:r>
          <w:r w:rsidRPr="00B20990">
            <w:rPr>
              <w:i/>
              <w:sz w:val="18"/>
            </w:rPr>
            <w:fldChar w:fldCharType="end"/>
          </w:r>
        </w:p>
      </w:tc>
      <w:tc>
        <w:tcPr>
          <w:tcW w:w="1383" w:type="dxa"/>
          <w:tcBorders>
            <w:top w:val="nil"/>
            <w:left w:val="nil"/>
            <w:bottom w:val="nil"/>
            <w:right w:val="nil"/>
          </w:tcBorders>
        </w:tcPr>
        <w:p w14:paraId="1E7C732D" w14:textId="77777777" w:rsidR="00EE57E8" w:rsidRDefault="006F495A" w:rsidP="00EE57E8">
          <w:pPr>
            <w:spacing w:line="0" w:lineRule="atLeast"/>
            <w:jc w:val="right"/>
            <w:rPr>
              <w:sz w:val="18"/>
            </w:rPr>
          </w:pPr>
        </w:p>
      </w:tc>
    </w:tr>
    <w:tr w:rsidR="00EE57E8" w14:paraId="5439EBA2"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5B8F91E" w14:textId="77777777" w:rsidR="00EE57E8" w:rsidRDefault="006F495A" w:rsidP="00EE57E8">
          <w:pPr>
            <w:jc w:val="right"/>
            <w:rPr>
              <w:sz w:val="18"/>
            </w:rPr>
          </w:pPr>
        </w:p>
      </w:tc>
    </w:tr>
  </w:tbl>
  <w:p w14:paraId="4D1189E1" w14:textId="77777777" w:rsidR="00EE57E8" w:rsidRPr="00ED79B6" w:rsidRDefault="006F495A" w:rsidP="00A136F5">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564914"/>
      <w:docPartObj>
        <w:docPartGallery w:val="Page Numbers (Bottom of Page)"/>
        <w:docPartUnique/>
      </w:docPartObj>
    </w:sdtPr>
    <w:sdtEndPr>
      <w:rPr>
        <w:noProof/>
      </w:rPr>
    </w:sdtEndPr>
    <w:sdtContent>
      <w:p w14:paraId="61B37E9B" w14:textId="2B2E0236" w:rsidR="00EF1D2B" w:rsidRDefault="00EF1D2B" w:rsidP="00EF1D2B">
        <w:pPr>
          <w:pStyle w:val="Footer"/>
          <w:jc w:val="right"/>
        </w:pPr>
        <w:r>
          <w:fldChar w:fldCharType="begin"/>
        </w:r>
        <w:r>
          <w:instrText xml:space="preserve"> PAGE   \* MERGEFORMAT </w:instrText>
        </w:r>
        <w:r>
          <w:fldChar w:fldCharType="separate"/>
        </w:r>
        <w:r w:rsidR="006F495A">
          <w:rPr>
            <w:noProof/>
          </w:rPr>
          <w:t>4</w:t>
        </w:r>
        <w:r>
          <w:rPr>
            <w:noProof/>
          </w:rPr>
          <w:fldChar w:fldCharType="end"/>
        </w:r>
      </w:p>
    </w:sdtContent>
  </w:sdt>
  <w:p w14:paraId="74F4502A" w14:textId="77777777" w:rsidR="00752BE8" w:rsidRDefault="00752B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EBCFB" w14:textId="77777777" w:rsidR="00EE57E8" w:rsidRPr="00E33C1C" w:rsidRDefault="006F495A"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3043658A" w14:textId="77777777" w:rsidTr="007A6863">
      <w:tc>
        <w:tcPr>
          <w:tcW w:w="1384" w:type="dxa"/>
          <w:tcBorders>
            <w:top w:val="nil"/>
            <w:left w:val="nil"/>
            <w:bottom w:val="nil"/>
            <w:right w:val="nil"/>
          </w:tcBorders>
        </w:tcPr>
        <w:p w14:paraId="4EB49DA2" w14:textId="77777777" w:rsidR="00EE57E8" w:rsidRDefault="006F495A" w:rsidP="00EE57E8">
          <w:pPr>
            <w:spacing w:line="0" w:lineRule="atLeast"/>
            <w:rPr>
              <w:sz w:val="18"/>
            </w:rPr>
          </w:pPr>
        </w:p>
      </w:tc>
      <w:tc>
        <w:tcPr>
          <w:tcW w:w="6379" w:type="dxa"/>
          <w:tcBorders>
            <w:top w:val="nil"/>
            <w:left w:val="nil"/>
            <w:bottom w:val="nil"/>
            <w:right w:val="nil"/>
          </w:tcBorders>
        </w:tcPr>
        <w:p w14:paraId="02102F64" w14:textId="4C232062" w:rsidR="00EE57E8" w:rsidRDefault="006F495A" w:rsidP="00EE57E8">
          <w:pPr>
            <w:spacing w:line="0" w:lineRule="atLeast"/>
            <w:jc w:val="center"/>
            <w:rPr>
              <w:sz w:val="18"/>
            </w:rPr>
          </w:pPr>
        </w:p>
      </w:tc>
      <w:tc>
        <w:tcPr>
          <w:tcW w:w="709" w:type="dxa"/>
          <w:tcBorders>
            <w:top w:val="nil"/>
            <w:left w:val="nil"/>
            <w:bottom w:val="nil"/>
            <w:right w:val="nil"/>
          </w:tcBorders>
        </w:tcPr>
        <w:p w14:paraId="41F6B325" w14:textId="1DF918ED" w:rsidR="00EE57E8" w:rsidRDefault="006F495A" w:rsidP="00EE57E8">
          <w:pPr>
            <w:spacing w:line="0" w:lineRule="atLeast"/>
            <w:jc w:val="right"/>
            <w:rPr>
              <w:sz w:val="18"/>
            </w:rPr>
          </w:pPr>
        </w:p>
      </w:tc>
    </w:tr>
    <w:tr w:rsidR="00EE57E8" w14:paraId="721EF78A"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49B3A79" w14:textId="7A9E26AA" w:rsidR="00EE57E8" w:rsidRDefault="006F495A" w:rsidP="00EE57E8">
          <w:pPr>
            <w:rPr>
              <w:sz w:val="18"/>
            </w:rPr>
          </w:pPr>
        </w:p>
      </w:tc>
    </w:tr>
  </w:tbl>
  <w:p w14:paraId="290B6331" w14:textId="77777777" w:rsidR="00EE57E8" w:rsidRPr="00ED79B6" w:rsidRDefault="006F495A"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FC1A4" w14:textId="77777777" w:rsidR="00D03559" w:rsidRDefault="00D03559" w:rsidP="00477418">
      <w:pPr>
        <w:spacing w:line="240" w:lineRule="auto"/>
      </w:pPr>
      <w:r>
        <w:separator/>
      </w:r>
    </w:p>
  </w:footnote>
  <w:footnote w:type="continuationSeparator" w:id="0">
    <w:p w14:paraId="1FAC5296" w14:textId="77777777" w:rsidR="00D03559" w:rsidRDefault="00D03559" w:rsidP="004774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9FD07" w14:textId="77777777" w:rsidR="00EE57E8" w:rsidRPr="00A961C4" w:rsidRDefault="006F495A" w:rsidP="0048364F">
    <w:pPr>
      <w:rPr>
        <w:b/>
        <w:sz w:val="20"/>
      </w:rPr>
    </w:pPr>
  </w:p>
  <w:p w14:paraId="7C0CCD48" w14:textId="77777777" w:rsidR="00EE57E8" w:rsidRPr="00A961C4" w:rsidRDefault="006F495A" w:rsidP="0048364F">
    <w:pPr>
      <w:rPr>
        <w:b/>
        <w:sz w:val="20"/>
      </w:rPr>
    </w:pPr>
  </w:p>
  <w:p w14:paraId="122C37E6" w14:textId="77777777" w:rsidR="00EE57E8" w:rsidRPr="00A961C4" w:rsidRDefault="006F495A" w:rsidP="007F48ED">
    <w:pPr>
      <w:pBdr>
        <w:bottom w:val="single" w:sz="6" w:space="1" w:color="auto"/>
      </w:pBdr>
      <w:spacing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5B164" w14:textId="77777777" w:rsidR="00752BE8" w:rsidRDefault="00752B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D3C9F" w14:textId="77777777" w:rsidR="00752BE8" w:rsidRDefault="00752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65CA"/>
    <w:multiLevelType w:val="hybridMultilevel"/>
    <w:tmpl w:val="65CE0744"/>
    <w:lvl w:ilvl="0" w:tplc="29BA0E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444F2D"/>
    <w:multiLevelType w:val="hybridMultilevel"/>
    <w:tmpl w:val="4B4C1DC2"/>
    <w:lvl w:ilvl="0" w:tplc="8A403158">
      <w:start w:val="1"/>
      <w:numFmt w:val="lowerLetter"/>
      <w:lvlText w:val="(%1)"/>
      <w:lvlJc w:val="left"/>
      <w:pPr>
        <w:tabs>
          <w:tab w:val="num" w:pos="1080"/>
        </w:tabs>
        <w:ind w:left="1080" w:hanging="360"/>
      </w:pPr>
      <w:rPr>
        <w:rFonts w:hint="default"/>
        <w:b w:val="0"/>
        <w:i w:val="0"/>
        <w:sz w:val="24"/>
        <w:szCs w:val="24"/>
      </w:rPr>
    </w:lvl>
    <w:lvl w:ilvl="1" w:tplc="FC107410">
      <w:start w:val="1"/>
      <w:numFmt w:val="lowerLetter"/>
      <w:lvlText w:val="(%2)"/>
      <w:lvlJc w:val="left"/>
      <w:pPr>
        <w:tabs>
          <w:tab w:val="num" w:pos="1440"/>
        </w:tabs>
        <w:ind w:left="1610" w:hanging="170"/>
      </w:pPr>
      <w:rPr>
        <w:rFonts w:hint="default"/>
        <w:sz w:val="24"/>
        <w:szCs w:val="24"/>
      </w:rPr>
    </w:lvl>
    <w:lvl w:ilvl="2" w:tplc="0C09001B">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 w15:restartNumberingAfterBreak="0">
    <w:nsid w:val="26280CD3"/>
    <w:multiLevelType w:val="hybridMultilevel"/>
    <w:tmpl w:val="4B6CE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BE7BAC"/>
    <w:multiLevelType w:val="hybridMultilevel"/>
    <w:tmpl w:val="82441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CB3E77"/>
    <w:multiLevelType w:val="hybridMultilevel"/>
    <w:tmpl w:val="D7D256A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A2E304C"/>
    <w:multiLevelType w:val="hybridMultilevel"/>
    <w:tmpl w:val="65CE0744"/>
    <w:lvl w:ilvl="0" w:tplc="29BA0E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1B46879"/>
    <w:multiLevelType w:val="hybridMultilevel"/>
    <w:tmpl w:val="62EAFECC"/>
    <w:lvl w:ilvl="0" w:tplc="985EC548">
      <w:start w:val="1"/>
      <w:numFmt w:val="decimal"/>
      <w:pStyle w:val="Style1"/>
      <w:lvlText w:val="%1."/>
      <w:lvlJc w:val="left"/>
      <w:pPr>
        <w:ind w:left="720" w:hanging="360"/>
      </w:pPr>
      <w:rPr>
        <w:rFonts w:ascii="Times New Roman" w:hAnsi="Times New Roman" w:cs="Times New Roman" w:hint="default"/>
        <w:b w:val="0"/>
        <w:i w:val="0"/>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41F231B9"/>
    <w:multiLevelType w:val="hybridMultilevel"/>
    <w:tmpl w:val="996AF242"/>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25911E9"/>
    <w:multiLevelType w:val="hybridMultilevel"/>
    <w:tmpl w:val="5C78D8F8"/>
    <w:lvl w:ilvl="0" w:tplc="CC569E3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32F1976"/>
    <w:multiLevelType w:val="hybridMultilevel"/>
    <w:tmpl w:val="65CE0744"/>
    <w:lvl w:ilvl="0" w:tplc="29BA0E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1D777BF"/>
    <w:multiLevelType w:val="hybridMultilevel"/>
    <w:tmpl w:val="6BBA50B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37E5C2E"/>
    <w:multiLevelType w:val="hybridMultilevel"/>
    <w:tmpl w:val="42E6BB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732736A"/>
    <w:multiLevelType w:val="hybridMultilevel"/>
    <w:tmpl w:val="FE3CE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8A4560"/>
    <w:multiLevelType w:val="hybridMultilevel"/>
    <w:tmpl w:val="EA9A92B2"/>
    <w:lvl w:ilvl="0" w:tplc="36D2613A">
      <w:start w:val="1"/>
      <w:numFmt w:val="decimal"/>
      <w:lvlText w:val="%1."/>
      <w:lvlJc w:val="left"/>
      <w:pPr>
        <w:ind w:left="720" w:hanging="360"/>
      </w:pPr>
      <w:rPr>
        <w:rFonts w:ascii="Times New Roman" w:hAnsi="Times New Roman" w:cs="Times New Roman" w:hint="default"/>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FE80D0D"/>
    <w:multiLevelType w:val="hybridMultilevel"/>
    <w:tmpl w:val="25BE4860"/>
    <w:lvl w:ilvl="0" w:tplc="78ACFE64">
      <w:start w:val="1"/>
      <w:numFmt w:val="decimal"/>
      <w:lvlText w:val="%1."/>
      <w:lvlJc w:val="left"/>
      <w:pPr>
        <w:tabs>
          <w:tab w:val="num" w:pos="720"/>
        </w:tabs>
        <w:ind w:left="720" w:hanging="360"/>
      </w:pPr>
      <w:rPr>
        <w:rFonts w:hint="default"/>
        <w:b w:val="0"/>
        <w:i w:val="0"/>
        <w:sz w:val="24"/>
        <w:szCs w:val="24"/>
      </w:rPr>
    </w:lvl>
    <w:lvl w:ilvl="1" w:tplc="FC107410">
      <w:start w:val="1"/>
      <w:numFmt w:val="lowerLetter"/>
      <w:lvlText w:val="(%2)"/>
      <w:lvlJc w:val="left"/>
      <w:pPr>
        <w:tabs>
          <w:tab w:val="num" w:pos="1080"/>
        </w:tabs>
        <w:ind w:left="1250" w:hanging="170"/>
      </w:pPr>
      <w:rPr>
        <w:rFonts w:hint="default"/>
        <w:sz w:val="24"/>
        <w:szCs w:val="24"/>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6F596DBD"/>
    <w:multiLevelType w:val="hybridMultilevel"/>
    <w:tmpl w:val="03F2BAE4"/>
    <w:lvl w:ilvl="0" w:tplc="3A16C80C">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71AD3B17"/>
    <w:multiLevelType w:val="hybridMultilevel"/>
    <w:tmpl w:val="65CE0744"/>
    <w:lvl w:ilvl="0" w:tplc="29BA0E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42D205C"/>
    <w:multiLevelType w:val="hybridMultilevel"/>
    <w:tmpl w:val="8DD8163A"/>
    <w:lvl w:ilvl="0" w:tplc="01242D56">
      <w:start w:val="1"/>
      <w:numFmt w:val="lowerRoman"/>
      <w:lvlText w:val="(%1)"/>
      <w:lvlJc w:val="left"/>
      <w:pPr>
        <w:ind w:left="1080" w:hanging="720"/>
      </w:pPr>
      <w:rPr>
        <w:rFonts w:hint="default"/>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10"/>
    <w:lvlOverride w:ilvl="0">
      <w:startOverride w:val="1"/>
    </w:lvlOverride>
    <w:lvlOverride w:ilvl="1"/>
    <w:lvlOverride w:ilvl="2"/>
    <w:lvlOverride w:ilvl="3"/>
    <w:lvlOverride w:ilvl="4"/>
    <w:lvlOverride w:ilvl="5"/>
    <w:lvlOverride w:ilvl="6"/>
    <w:lvlOverride w:ilvl="7"/>
    <w:lvlOverride w:ilvl="8"/>
  </w:num>
  <w:num w:numId="4">
    <w:abstractNumId w:val="7"/>
  </w:num>
  <w:num w:numId="5">
    <w:abstractNumId w:val="15"/>
  </w:num>
  <w:num w:numId="6">
    <w:abstractNumId w:val="11"/>
  </w:num>
  <w:num w:numId="7">
    <w:abstractNumId w:val="0"/>
  </w:num>
  <w:num w:numId="8">
    <w:abstractNumId w:val="9"/>
  </w:num>
  <w:num w:numId="9">
    <w:abstractNumId w:val="8"/>
  </w:num>
  <w:num w:numId="10">
    <w:abstractNumId w:val="5"/>
  </w:num>
  <w:num w:numId="11">
    <w:abstractNumId w:val="16"/>
  </w:num>
  <w:num w:numId="12">
    <w:abstractNumId w:val="17"/>
  </w:num>
  <w:num w:numId="13">
    <w:abstractNumId w:val="12"/>
  </w:num>
  <w:num w:numId="14">
    <w:abstractNumId w:val="2"/>
  </w:num>
  <w:num w:numId="15">
    <w:abstractNumId w:val="3"/>
  </w:num>
  <w:num w:numId="16">
    <w:abstractNumId w:val="14"/>
  </w:num>
  <w:num w:numId="17">
    <w:abstractNumId w:val="1"/>
  </w:num>
  <w:num w:numId="18">
    <w:abstractNumId w:val="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418"/>
    <w:rsid w:val="00013F00"/>
    <w:rsid w:val="000266B5"/>
    <w:rsid w:val="00030F44"/>
    <w:rsid w:val="00047F5A"/>
    <w:rsid w:val="000503BB"/>
    <w:rsid w:val="00056406"/>
    <w:rsid w:val="00084122"/>
    <w:rsid w:val="0009049B"/>
    <w:rsid w:val="000B704F"/>
    <w:rsid w:val="000C2547"/>
    <w:rsid w:val="000C2D5E"/>
    <w:rsid w:val="000C7DEF"/>
    <w:rsid w:val="000F40FB"/>
    <w:rsid w:val="000F5BC9"/>
    <w:rsid w:val="000F5F0F"/>
    <w:rsid w:val="00102E1A"/>
    <w:rsid w:val="00112514"/>
    <w:rsid w:val="0013710E"/>
    <w:rsid w:val="00157566"/>
    <w:rsid w:val="00160ACB"/>
    <w:rsid w:val="00160C07"/>
    <w:rsid w:val="00167119"/>
    <w:rsid w:val="0018266D"/>
    <w:rsid w:val="001B2CE0"/>
    <w:rsid w:val="001C2837"/>
    <w:rsid w:val="001C5959"/>
    <w:rsid w:val="001C5C98"/>
    <w:rsid w:val="001C76F1"/>
    <w:rsid w:val="001D3002"/>
    <w:rsid w:val="001D4230"/>
    <w:rsid w:val="001E21FE"/>
    <w:rsid w:val="001F18AD"/>
    <w:rsid w:val="002062E0"/>
    <w:rsid w:val="002122A5"/>
    <w:rsid w:val="00224D72"/>
    <w:rsid w:val="00237B36"/>
    <w:rsid w:val="00251269"/>
    <w:rsid w:val="00266983"/>
    <w:rsid w:val="00266BF1"/>
    <w:rsid w:val="0027469A"/>
    <w:rsid w:val="00277151"/>
    <w:rsid w:val="00282B15"/>
    <w:rsid w:val="00297E98"/>
    <w:rsid w:val="002A34DE"/>
    <w:rsid w:val="002A4438"/>
    <w:rsid w:val="002B55F3"/>
    <w:rsid w:val="002B65E0"/>
    <w:rsid w:val="002D4639"/>
    <w:rsid w:val="002E59D0"/>
    <w:rsid w:val="00304CB9"/>
    <w:rsid w:val="00305091"/>
    <w:rsid w:val="003133E7"/>
    <w:rsid w:val="00316795"/>
    <w:rsid w:val="00342EF2"/>
    <w:rsid w:val="003479BD"/>
    <w:rsid w:val="00347A6C"/>
    <w:rsid w:val="00353461"/>
    <w:rsid w:val="0035609E"/>
    <w:rsid w:val="003625AF"/>
    <w:rsid w:val="00364B80"/>
    <w:rsid w:val="00365C4D"/>
    <w:rsid w:val="00373489"/>
    <w:rsid w:val="003867B4"/>
    <w:rsid w:val="00390D4D"/>
    <w:rsid w:val="003A0A78"/>
    <w:rsid w:val="003B12FA"/>
    <w:rsid w:val="003B234A"/>
    <w:rsid w:val="003C658E"/>
    <w:rsid w:val="003C69F3"/>
    <w:rsid w:val="003E1F4E"/>
    <w:rsid w:val="003E6DB6"/>
    <w:rsid w:val="003F28FE"/>
    <w:rsid w:val="004103D7"/>
    <w:rsid w:val="00411DD5"/>
    <w:rsid w:val="00415790"/>
    <w:rsid w:val="004243D0"/>
    <w:rsid w:val="00425712"/>
    <w:rsid w:val="0042749D"/>
    <w:rsid w:val="00437BD4"/>
    <w:rsid w:val="00441BD5"/>
    <w:rsid w:val="00455651"/>
    <w:rsid w:val="00466BD0"/>
    <w:rsid w:val="00477418"/>
    <w:rsid w:val="004945DB"/>
    <w:rsid w:val="004B06EA"/>
    <w:rsid w:val="004D2A53"/>
    <w:rsid w:val="004F4047"/>
    <w:rsid w:val="0050505E"/>
    <w:rsid w:val="005325A3"/>
    <w:rsid w:val="00536E0F"/>
    <w:rsid w:val="0054576A"/>
    <w:rsid w:val="00546987"/>
    <w:rsid w:val="00574481"/>
    <w:rsid w:val="005C70FC"/>
    <w:rsid w:val="005C736E"/>
    <w:rsid w:val="005D3F1C"/>
    <w:rsid w:val="005E3071"/>
    <w:rsid w:val="005E722D"/>
    <w:rsid w:val="00613C1B"/>
    <w:rsid w:val="00617695"/>
    <w:rsid w:val="00623872"/>
    <w:rsid w:val="006247BE"/>
    <w:rsid w:val="00632C9E"/>
    <w:rsid w:val="00666D0D"/>
    <w:rsid w:val="00686118"/>
    <w:rsid w:val="006948E1"/>
    <w:rsid w:val="00695233"/>
    <w:rsid w:val="006963E0"/>
    <w:rsid w:val="006B4356"/>
    <w:rsid w:val="006C29E8"/>
    <w:rsid w:val="006C540F"/>
    <w:rsid w:val="006D449E"/>
    <w:rsid w:val="006D5C09"/>
    <w:rsid w:val="006E6F0B"/>
    <w:rsid w:val="006F495A"/>
    <w:rsid w:val="00700B09"/>
    <w:rsid w:val="0070431D"/>
    <w:rsid w:val="00704D90"/>
    <w:rsid w:val="007073DF"/>
    <w:rsid w:val="0071435D"/>
    <w:rsid w:val="00720A68"/>
    <w:rsid w:val="0072520C"/>
    <w:rsid w:val="0072754E"/>
    <w:rsid w:val="00752BE8"/>
    <w:rsid w:val="00756F2B"/>
    <w:rsid w:val="00761C00"/>
    <w:rsid w:val="00764457"/>
    <w:rsid w:val="007659A0"/>
    <w:rsid w:val="00776AF3"/>
    <w:rsid w:val="00787E7C"/>
    <w:rsid w:val="00791ED0"/>
    <w:rsid w:val="00796F6E"/>
    <w:rsid w:val="007B264B"/>
    <w:rsid w:val="007B4064"/>
    <w:rsid w:val="007C154C"/>
    <w:rsid w:val="007C44E4"/>
    <w:rsid w:val="007D11ED"/>
    <w:rsid w:val="007E1EEB"/>
    <w:rsid w:val="007E2A66"/>
    <w:rsid w:val="008329BD"/>
    <w:rsid w:val="0083657C"/>
    <w:rsid w:val="00845233"/>
    <w:rsid w:val="00845C0C"/>
    <w:rsid w:val="00876271"/>
    <w:rsid w:val="008861EF"/>
    <w:rsid w:val="00891D2F"/>
    <w:rsid w:val="008A5D17"/>
    <w:rsid w:val="008E181F"/>
    <w:rsid w:val="008E5070"/>
    <w:rsid w:val="008F752A"/>
    <w:rsid w:val="00930C73"/>
    <w:rsid w:val="009408D6"/>
    <w:rsid w:val="009445B8"/>
    <w:rsid w:val="00960722"/>
    <w:rsid w:val="00965098"/>
    <w:rsid w:val="009655DB"/>
    <w:rsid w:val="009B22F8"/>
    <w:rsid w:val="009B50E2"/>
    <w:rsid w:val="009C04FA"/>
    <w:rsid w:val="009C6994"/>
    <w:rsid w:val="00A10AE1"/>
    <w:rsid w:val="00A368CF"/>
    <w:rsid w:val="00A40E7A"/>
    <w:rsid w:val="00A44B42"/>
    <w:rsid w:val="00A60DF6"/>
    <w:rsid w:val="00A6586F"/>
    <w:rsid w:val="00A71FF8"/>
    <w:rsid w:val="00A74A8B"/>
    <w:rsid w:val="00A76006"/>
    <w:rsid w:val="00A8648C"/>
    <w:rsid w:val="00A94068"/>
    <w:rsid w:val="00AA2F33"/>
    <w:rsid w:val="00AA4958"/>
    <w:rsid w:val="00AA51B5"/>
    <w:rsid w:val="00AB74C6"/>
    <w:rsid w:val="00AC5471"/>
    <w:rsid w:val="00AE0866"/>
    <w:rsid w:val="00AE7BB9"/>
    <w:rsid w:val="00B031D4"/>
    <w:rsid w:val="00B05B37"/>
    <w:rsid w:val="00B15C01"/>
    <w:rsid w:val="00B23715"/>
    <w:rsid w:val="00B267AA"/>
    <w:rsid w:val="00B4088C"/>
    <w:rsid w:val="00B502DC"/>
    <w:rsid w:val="00B514CE"/>
    <w:rsid w:val="00B534E5"/>
    <w:rsid w:val="00B80C53"/>
    <w:rsid w:val="00B8412D"/>
    <w:rsid w:val="00B878FB"/>
    <w:rsid w:val="00B9176B"/>
    <w:rsid w:val="00BA189D"/>
    <w:rsid w:val="00BB3782"/>
    <w:rsid w:val="00BC2F94"/>
    <w:rsid w:val="00BC3681"/>
    <w:rsid w:val="00BD7091"/>
    <w:rsid w:val="00BE520F"/>
    <w:rsid w:val="00BF0E5E"/>
    <w:rsid w:val="00C03A58"/>
    <w:rsid w:val="00C32B30"/>
    <w:rsid w:val="00C415CB"/>
    <w:rsid w:val="00C472CF"/>
    <w:rsid w:val="00C52269"/>
    <w:rsid w:val="00C64B24"/>
    <w:rsid w:val="00C82E76"/>
    <w:rsid w:val="00C831C6"/>
    <w:rsid w:val="00C83696"/>
    <w:rsid w:val="00C84E9E"/>
    <w:rsid w:val="00C86E55"/>
    <w:rsid w:val="00C97AE2"/>
    <w:rsid w:val="00CB2956"/>
    <w:rsid w:val="00CD4FB8"/>
    <w:rsid w:val="00CD7678"/>
    <w:rsid w:val="00CF39DB"/>
    <w:rsid w:val="00CF6188"/>
    <w:rsid w:val="00D03559"/>
    <w:rsid w:val="00D145A1"/>
    <w:rsid w:val="00D14B4D"/>
    <w:rsid w:val="00D45C37"/>
    <w:rsid w:val="00D57311"/>
    <w:rsid w:val="00D63F2B"/>
    <w:rsid w:val="00D63F54"/>
    <w:rsid w:val="00D72C93"/>
    <w:rsid w:val="00D84FE3"/>
    <w:rsid w:val="00D95AF4"/>
    <w:rsid w:val="00DB289A"/>
    <w:rsid w:val="00DB6EA5"/>
    <w:rsid w:val="00DB72C3"/>
    <w:rsid w:val="00DC645C"/>
    <w:rsid w:val="00E05B80"/>
    <w:rsid w:val="00E0677A"/>
    <w:rsid w:val="00E07E2A"/>
    <w:rsid w:val="00E201F2"/>
    <w:rsid w:val="00E23AC3"/>
    <w:rsid w:val="00E351CB"/>
    <w:rsid w:val="00E43E00"/>
    <w:rsid w:val="00E67E49"/>
    <w:rsid w:val="00E719E3"/>
    <w:rsid w:val="00E7691B"/>
    <w:rsid w:val="00E80B21"/>
    <w:rsid w:val="00E863F0"/>
    <w:rsid w:val="00E90261"/>
    <w:rsid w:val="00EA27AF"/>
    <w:rsid w:val="00EA695E"/>
    <w:rsid w:val="00EB0390"/>
    <w:rsid w:val="00ED10E1"/>
    <w:rsid w:val="00EE0CB8"/>
    <w:rsid w:val="00EE7DB3"/>
    <w:rsid w:val="00EF1D2B"/>
    <w:rsid w:val="00F04A5C"/>
    <w:rsid w:val="00F2204E"/>
    <w:rsid w:val="00F2689A"/>
    <w:rsid w:val="00F50002"/>
    <w:rsid w:val="00F63AA9"/>
    <w:rsid w:val="00F83F1F"/>
    <w:rsid w:val="00F8535E"/>
    <w:rsid w:val="00F934AB"/>
    <w:rsid w:val="00F966D3"/>
    <w:rsid w:val="00FA366F"/>
    <w:rsid w:val="00FA6B3D"/>
    <w:rsid w:val="00FC0B29"/>
    <w:rsid w:val="00FD7FBB"/>
    <w:rsid w:val="00FF03AB"/>
    <w:rsid w:val="00FF7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BD0821"/>
  <w15:chartTrackingRefBased/>
  <w15:docId w15:val="{E937DE1F-7ABA-48D0-8D88-1FCAEF01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7418"/>
    <w:pPr>
      <w:spacing w:after="0" w:line="260" w:lineRule="atLeast"/>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PartNo">
    <w:name w:val="CharPartNo"/>
    <w:basedOn w:val="DefaultParagraphFont"/>
    <w:qFormat/>
    <w:rsid w:val="00477418"/>
  </w:style>
  <w:style w:type="character" w:customStyle="1" w:styleId="CharPartText">
    <w:name w:val="CharPartText"/>
    <w:basedOn w:val="DefaultParagraphFont"/>
    <w:qFormat/>
    <w:rsid w:val="00477418"/>
  </w:style>
  <w:style w:type="table" w:styleId="TableGrid">
    <w:name w:val="Table Grid"/>
    <w:basedOn w:val="TableNormal"/>
    <w:uiPriority w:val="59"/>
    <w:rsid w:val="00477418"/>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
    <w:name w:val="HP"/>
    <w:aliases w:val="Part Heading"/>
    <w:basedOn w:val="Normal"/>
    <w:next w:val="Normal"/>
    <w:rsid w:val="00477418"/>
    <w:pPr>
      <w:keepNext/>
      <w:spacing w:before="360" w:line="240" w:lineRule="auto"/>
      <w:ind w:left="2410" w:hanging="2410"/>
    </w:pPr>
    <w:rPr>
      <w:rFonts w:ascii="Arial" w:eastAsia="Times New Roman" w:hAnsi="Arial" w:cs="Times New Roman"/>
      <w:b/>
      <w:sz w:val="32"/>
      <w:szCs w:val="24"/>
    </w:rPr>
  </w:style>
  <w:style w:type="paragraph" w:customStyle="1" w:styleId="Default">
    <w:name w:val="Default"/>
    <w:rsid w:val="00477418"/>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Header">
    <w:name w:val="header"/>
    <w:basedOn w:val="Normal"/>
    <w:link w:val="HeaderChar"/>
    <w:uiPriority w:val="99"/>
    <w:unhideWhenUsed/>
    <w:rsid w:val="00477418"/>
    <w:pPr>
      <w:tabs>
        <w:tab w:val="center" w:pos="4513"/>
        <w:tab w:val="right" w:pos="9026"/>
      </w:tabs>
      <w:spacing w:line="240" w:lineRule="auto"/>
    </w:pPr>
  </w:style>
  <w:style w:type="character" w:customStyle="1" w:styleId="HeaderChar">
    <w:name w:val="Header Char"/>
    <w:basedOn w:val="DefaultParagraphFont"/>
    <w:link w:val="Header"/>
    <w:uiPriority w:val="99"/>
    <w:rsid w:val="00477418"/>
    <w:rPr>
      <w:rFonts w:ascii="Times New Roman" w:hAnsi="Times New Roman"/>
      <w:szCs w:val="20"/>
    </w:rPr>
  </w:style>
  <w:style w:type="paragraph" w:styleId="BalloonText">
    <w:name w:val="Balloon Text"/>
    <w:basedOn w:val="Normal"/>
    <w:link w:val="BalloonTextChar"/>
    <w:uiPriority w:val="99"/>
    <w:semiHidden/>
    <w:unhideWhenUsed/>
    <w:rsid w:val="00F8535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35E"/>
    <w:rPr>
      <w:rFonts w:ascii="Segoe UI" w:hAnsi="Segoe UI" w:cs="Segoe UI"/>
      <w:sz w:val="18"/>
      <w:szCs w:val="18"/>
    </w:rPr>
  </w:style>
  <w:style w:type="character" w:styleId="CommentReference">
    <w:name w:val="annotation reference"/>
    <w:basedOn w:val="DefaultParagraphFont"/>
    <w:uiPriority w:val="99"/>
    <w:semiHidden/>
    <w:unhideWhenUsed/>
    <w:rsid w:val="00F8535E"/>
    <w:rPr>
      <w:sz w:val="16"/>
      <w:szCs w:val="16"/>
    </w:rPr>
  </w:style>
  <w:style w:type="paragraph" w:styleId="CommentText">
    <w:name w:val="annotation text"/>
    <w:basedOn w:val="Normal"/>
    <w:link w:val="CommentTextChar"/>
    <w:uiPriority w:val="99"/>
    <w:semiHidden/>
    <w:unhideWhenUsed/>
    <w:rsid w:val="00F8535E"/>
    <w:pPr>
      <w:spacing w:line="240" w:lineRule="auto"/>
    </w:pPr>
    <w:rPr>
      <w:sz w:val="20"/>
    </w:rPr>
  </w:style>
  <w:style w:type="character" w:customStyle="1" w:styleId="CommentTextChar">
    <w:name w:val="Comment Text Char"/>
    <w:basedOn w:val="DefaultParagraphFont"/>
    <w:link w:val="CommentText"/>
    <w:uiPriority w:val="99"/>
    <w:semiHidden/>
    <w:rsid w:val="00F8535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535E"/>
    <w:rPr>
      <w:b/>
      <w:bCs/>
    </w:rPr>
  </w:style>
  <w:style w:type="character" w:customStyle="1" w:styleId="CommentSubjectChar">
    <w:name w:val="Comment Subject Char"/>
    <w:basedOn w:val="CommentTextChar"/>
    <w:link w:val="CommentSubject"/>
    <w:uiPriority w:val="99"/>
    <w:semiHidden/>
    <w:rsid w:val="00F8535E"/>
    <w:rPr>
      <w:rFonts w:ascii="Times New Roman" w:hAnsi="Times New Roman"/>
      <w:b/>
      <w:bCs/>
      <w:sz w:val="20"/>
      <w:szCs w:val="20"/>
    </w:rPr>
  </w:style>
  <w:style w:type="paragraph" w:styleId="Footer">
    <w:name w:val="footer"/>
    <w:basedOn w:val="Normal"/>
    <w:link w:val="FooterChar"/>
    <w:uiPriority w:val="99"/>
    <w:unhideWhenUsed/>
    <w:rsid w:val="00157566"/>
    <w:pPr>
      <w:tabs>
        <w:tab w:val="center" w:pos="4513"/>
        <w:tab w:val="right" w:pos="9026"/>
      </w:tabs>
      <w:spacing w:line="240" w:lineRule="auto"/>
    </w:pPr>
  </w:style>
  <w:style w:type="character" w:customStyle="1" w:styleId="FooterChar">
    <w:name w:val="Footer Char"/>
    <w:basedOn w:val="DefaultParagraphFont"/>
    <w:link w:val="Footer"/>
    <w:uiPriority w:val="99"/>
    <w:rsid w:val="00157566"/>
    <w:rPr>
      <w:rFonts w:ascii="Times New Roman" w:hAnsi="Times New Roman"/>
      <w:szCs w:val="20"/>
    </w:rPr>
  </w:style>
  <w:style w:type="paragraph" w:styleId="ListParagraph">
    <w:name w:val="List Paragraph"/>
    <w:aliases w:val="Dot Point Lvl 1,TOC style,lp1,Bullet OSM,Proposal Bullet List,Recommendation,List Paragraph1,List Paragraph11,List Paragraph111,L,F5 List Paragraph,Dot pt,CV text,Medium Grid 1 - Accent 21,Numbered Paragraph,No Spacing1,列出段落,FooterText"/>
    <w:basedOn w:val="Normal"/>
    <w:link w:val="ListParagraphChar"/>
    <w:uiPriority w:val="34"/>
    <w:qFormat/>
    <w:rsid w:val="00AA4958"/>
    <w:pPr>
      <w:spacing w:line="240" w:lineRule="auto"/>
      <w:ind w:left="720"/>
    </w:pPr>
    <w:rPr>
      <w:rFonts w:ascii="Calibri" w:hAnsi="Calibri" w:cs="Calibri"/>
      <w:szCs w:val="22"/>
    </w:rPr>
  </w:style>
  <w:style w:type="paragraph" w:styleId="Revision">
    <w:name w:val="Revision"/>
    <w:hidden/>
    <w:uiPriority w:val="99"/>
    <w:semiHidden/>
    <w:rsid w:val="00DB289A"/>
    <w:pPr>
      <w:spacing w:after="0" w:line="240" w:lineRule="auto"/>
    </w:pPr>
    <w:rPr>
      <w:rFonts w:ascii="Times New Roman" w:hAnsi="Times New Roman"/>
      <w:szCs w:val="20"/>
    </w:rPr>
  </w:style>
  <w:style w:type="paragraph" w:customStyle="1" w:styleId="Item">
    <w:name w:val="Item"/>
    <w:aliases w:val="i"/>
    <w:basedOn w:val="Normal"/>
    <w:next w:val="Normal"/>
    <w:rsid w:val="00C52269"/>
    <w:pPr>
      <w:keepLines/>
      <w:spacing w:before="80" w:line="240" w:lineRule="auto"/>
      <w:ind w:left="709"/>
    </w:pPr>
    <w:rPr>
      <w:rFonts w:eastAsia="Times New Roman" w:cs="Times New Roman"/>
      <w:lang w:eastAsia="en-AU"/>
    </w:rPr>
  </w:style>
  <w:style w:type="character" w:customStyle="1" w:styleId="Style1Char">
    <w:name w:val="Style1 Char"/>
    <w:basedOn w:val="DefaultParagraphFont"/>
    <w:link w:val="Style1"/>
    <w:locked/>
    <w:rsid w:val="006948E1"/>
    <w:rPr>
      <w:rFonts w:eastAsia="Calibri"/>
      <w:sz w:val="24"/>
      <w:szCs w:val="24"/>
    </w:rPr>
  </w:style>
  <w:style w:type="paragraph" w:customStyle="1" w:styleId="Style1">
    <w:name w:val="Style1"/>
    <w:basedOn w:val="ListParagraph"/>
    <w:link w:val="Style1Char"/>
    <w:qFormat/>
    <w:rsid w:val="006948E1"/>
    <w:pPr>
      <w:numPr>
        <w:numId w:val="19"/>
      </w:numPr>
      <w:spacing w:before="240"/>
    </w:pPr>
    <w:rPr>
      <w:rFonts w:asciiTheme="minorHAnsi" w:eastAsia="Calibri" w:hAnsiTheme="minorHAnsi" w:cstheme="minorBidi"/>
      <w:sz w:val="24"/>
      <w:szCs w:val="24"/>
    </w:rPr>
  </w:style>
  <w:style w:type="character" w:customStyle="1" w:styleId="ListParagraphChar">
    <w:name w:val="List Paragraph Char"/>
    <w:aliases w:val="Dot Point Lvl 1 Char,TOC style Char,lp1 Char,Bullet OSM Char,Proposal Bullet List Char,Recommendation Char,List Paragraph1 Char,List Paragraph11 Char,List Paragraph111 Char,L Char,F5 List Paragraph Char,Dot pt Char,CV text Char"/>
    <w:link w:val="ListParagraph"/>
    <w:uiPriority w:val="34"/>
    <w:locked/>
    <w:rsid w:val="00546987"/>
    <w:rPr>
      <w:rFonts w:ascii="Calibri" w:hAnsi="Calibri" w:cs="Calibri"/>
    </w:rPr>
  </w:style>
  <w:style w:type="character" w:styleId="FollowedHyperlink">
    <w:name w:val="FollowedHyperlink"/>
    <w:rsid w:val="006D5C09"/>
    <w:rPr>
      <w:color w:val="800080"/>
      <w:u w:val="single"/>
    </w:rPr>
  </w:style>
  <w:style w:type="paragraph" w:customStyle="1" w:styleId="item0">
    <w:name w:val="item"/>
    <w:basedOn w:val="Normal"/>
    <w:rsid w:val="001B2CE0"/>
    <w:pPr>
      <w:spacing w:before="100" w:beforeAutospacing="1" w:after="100" w:afterAutospacing="1" w:line="240" w:lineRule="auto"/>
    </w:pPr>
    <w:rPr>
      <w:rFonts w:eastAsia="Times New Roman" w:cs="Times New Roman"/>
      <w:sz w:val="24"/>
      <w:szCs w:val="24"/>
      <w:lang w:eastAsia="en-AU"/>
    </w:rPr>
  </w:style>
  <w:style w:type="paragraph" w:customStyle="1" w:styleId="default0">
    <w:name w:val="default"/>
    <w:basedOn w:val="Normal"/>
    <w:rsid w:val="00013F00"/>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317010">
      <w:bodyDiv w:val="1"/>
      <w:marLeft w:val="0"/>
      <w:marRight w:val="0"/>
      <w:marTop w:val="0"/>
      <w:marBottom w:val="0"/>
      <w:divBdr>
        <w:top w:val="none" w:sz="0" w:space="0" w:color="auto"/>
        <w:left w:val="none" w:sz="0" w:space="0" w:color="auto"/>
        <w:bottom w:val="none" w:sz="0" w:space="0" w:color="auto"/>
        <w:right w:val="none" w:sz="0" w:space="0" w:color="auto"/>
      </w:divBdr>
    </w:div>
    <w:div w:id="415129312">
      <w:bodyDiv w:val="1"/>
      <w:marLeft w:val="0"/>
      <w:marRight w:val="0"/>
      <w:marTop w:val="0"/>
      <w:marBottom w:val="0"/>
      <w:divBdr>
        <w:top w:val="none" w:sz="0" w:space="0" w:color="auto"/>
        <w:left w:val="none" w:sz="0" w:space="0" w:color="auto"/>
        <w:bottom w:val="none" w:sz="0" w:space="0" w:color="auto"/>
        <w:right w:val="none" w:sz="0" w:space="0" w:color="auto"/>
      </w:divBdr>
    </w:div>
    <w:div w:id="441850409">
      <w:bodyDiv w:val="1"/>
      <w:marLeft w:val="0"/>
      <w:marRight w:val="0"/>
      <w:marTop w:val="0"/>
      <w:marBottom w:val="0"/>
      <w:divBdr>
        <w:top w:val="none" w:sz="0" w:space="0" w:color="auto"/>
        <w:left w:val="none" w:sz="0" w:space="0" w:color="auto"/>
        <w:bottom w:val="none" w:sz="0" w:space="0" w:color="auto"/>
        <w:right w:val="none" w:sz="0" w:space="0" w:color="auto"/>
      </w:divBdr>
    </w:div>
    <w:div w:id="569273295">
      <w:bodyDiv w:val="1"/>
      <w:marLeft w:val="0"/>
      <w:marRight w:val="0"/>
      <w:marTop w:val="0"/>
      <w:marBottom w:val="0"/>
      <w:divBdr>
        <w:top w:val="none" w:sz="0" w:space="0" w:color="auto"/>
        <w:left w:val="none" w:sz="0" w:space="0" w:color="auto"/>
        <w:bottom w:val="none" w:sz="0" w:space="0" w:color="auto"/>
        <w:right w:val="none" w:sz="0" w:space="0" w:color="auto"/>
      </w:divBdr>
    </w:div>
    <w:div w:id="639112713">
      <w:bodyDiv w:val="1"/>
      <w:marLeft w:val="0"/>
      <w:marRight w:val="0"/>
      <w:marTop w:val="0"/>
      <w:marBottom w:val="0"/>
      <w:divBdr>
        <w:top w:val="none" w:sz="0" w:space="0" w:color="auto"/>
        <w:left w:val="none" w:sz="0" w:space="0" w:color="auto"/>
        <w:bottom w:val="none" w:sz="0" w:space="0" w:color="auto"/>
        <w:right w:val="none" w:sz="0" w:space="0" w:color="auto"/>
      </w:divBdr>
    </w:div>
    <w:div w:id="947077205">
      <w:bodyDiv w:val="1"/>
      <w:marLeft w:val="0"/>
      <w:marRight w:val="0"/>
      <w:marTop w:val="0"/>
      <w:marBottom w:val="0"/>
      <w:divBdr>
        <w:top w:val="none" w:sz="0" w:space="0" w:color="auto"/>
        <w:left w:val="none" w:sz="0" w:space="0" w:color="auto"/>
        <w:bottom w:val="none" w:sz="0" w:space="0" w:color="auto"/>
        <w:right w:val="none" w:sz="0" w:space="0" w:color="auto"/>
      </w:divBdr>
    </w:div>
    <w:div w:id="1143156523">
      <w:bodyDiv w:val="1"/>
      <w:marLeft w:val="0"/>
      <w:marRight w:val="0"/>
      <w:marTop w:val="0"/>
      <w:marBottom w:val="0"/>
      <w:divBdr>
        <w:top w:val="none" w:sz="0" w:space="0" w:color="auto"/>
        <w:left w:val="none" w:sz="0" w:space="0" w:color="auto"/>
        <w:bottom w:val="none" w:sz="0" w:space="0" w:color="auto"/>
        <w:right w:val="none" w:sz="0" w:space="0" w:color="auto"/>
      </w:divBdr>
    </w:div>
    <w:div w:id="1305937491">
      <w:bodyDiv w:val="1"/>
      <w:marLeft w:val="0"/>
      <w:marRight w:val="0"/>
      <w:marTop w:val="0"/>
      <w:marBottom w:val="0"/>
      <w:divBdr>
        <w:top w:val="none" w:sz="0" w:space="0" w:color="auto"/>
        <w:left w:val="none" w:sz="0" w:space="0" w:color="auto"/>
        <w:bottom w:val="none" w:sz="0" w:space="0" w:color="auto"/>
        <w:right w:val="none" w:sz="0" w:space="0" w:color="auto"/>
      </w:divBdr>
    </w:div>
    <w:div w:id="1315063716">
      <w:bodyDiv w:val="1"/>
      <w:marLeft w:val="0"/>
      <w:marRight w:val="0"/>
      <w:marTop w:val="0"/>
      <w:marBottom w:val="0"/>
      <w:divBdr>
        <w:top w:val="none" w:sz="0" w:space="0" w:color="auto"/>
        <w:left w:val="none" w:sz="0" w:space="0" w:color="auto"/>
        <w:bottom w:val="none" w:sz="0" w:space="0" w:color="auto"/>
        <w:right w:val="none" w:sz="0" w:space="0" w:color="auto"/>
      </w:divBdr>
    </w:div>
    <w:div w:id="152544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30086-3A11-4BC7-8448-65E78B678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AUSTRAC</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Meyer</dc:creator>
  <cp:keywords/>
  <dc:description/>
  <cp:lastModifiedBy>Hugh Dixon</cp:lastModifiedBy>
  <cp:revision>2</cp:revision>
  <cp:lastPrinted>2021-07-20T01:47:00Z</cp:lastPrinted>
  <dcterms:created xsi:type="dcterms:W3CDTF">2024-01-25T03:19:00Z</dcterms:created>
  <dcterms:modified xsi:type="dcterms:W3CDTF">2024-01-25T03:19:00Z</dcterms:modified>
</cp:coreProperties>
</file>