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4305" w14:textId="77777777" w:rsidR="00C90779" w:rsidRPr="00641906" w:rsidRDefault="004D2843" w:rsidP="004D2843">
      <w:pPr>
        <w:jc w:val="center"/>
        <w:rPr>
          <w:rFonts w:ascii="Times New Roman" w:hAnsi="Times New Roman"/>
          <w:b/>
          <w:sz w:val="28"/>
          <w:szCs w:val="28"/>
        </w:rPr>
      </w:pPr>
      <w:r w:rsidRPr="00641906">
        <w:rPr>
          <w:rFonts w:ascii="Times New Roman" w:hAnsi="Times New Roman"/>
          <w:b/>
          <w:sz w:val="28"/>
          <w:szCs w:val="28"/>
        </w:rPr>
        <w:t>EXPLANATORY STATEMENT</w:t>
      </w:r>
    </w:p>
    <w:p w14:paraId="6E54F659" w14:textId="77777777" w:rsidR="004D2843" w:rsidRPr="00431A5F" w:rsidRDefault="00C57E29" w:rsidP="004D2843">
      <w:pPr>
        <w:jc w:val="center"/>
        <w:rPr>
          <w:rFonts w:ascii="Times New Roman" w:hAnsi="Times New Roman"/>
          <w:sz w:val="22"/>
          <w:szCs w:val="22"/>
        </w:rPr>
      </w:pPr>
      <w:r w:rsidRPr="00431A5F">
        <w:rPr>
          <w:rFonts w:ascii="Times New Roman" w:hAnsi="Times New Roman"/>
          <w:sz w:val="22"/>
          <w:szCs w:val="22"/>
        </w:rPr>
        <w:t>Approved</w:t>
      </w:r>
      <w:r w:rsidR="004D2843" w:rsidRPr="00431A5F">
        <w:rPr>
          <w:rFonts w:ascii="Times New Roman" w:hAnsi="Times New Roman"/>
          <w:sz w:val="22"/>
          <w:szCs w:val="22"/>
        </w:rPr>
        <w:t xml:space="preserve"> by the Australian Communications and Media Authority</w:t>
      </w:r>
    </w:p>
    <w:p w14:paraId="4C7BA4E0" w14:textId="2E4E987E" w:rsidR="004D2843" w:rsidRPr="00431A5F" w:rsidRDefault="00804994" w:rsidP="004D2843">
      <w:pPr>
        <w:jc w:val="center"/>
        <w:rPr>
          <w:rFonts w:ascii="Times New Roman" w:hAnsi="Times New Roman"/>
          <w:i/>
          <w:sz w:val="22"/>
          <w:szCs w:val="22"/>
        </w:rPr>
      </w:pPr>
      <w:r w:rsidRPr="00431A5F">
        <w:rPr>
          <w:rFonts w:ascii="Times New Roman" w:hAnsi="Times New Roman"/>
          <w:i/>
          <w:sz w:val="22"/>
          <w:szCs w:val="22"/>
        </w:rPr>
        <w:t>Telecommunications</w:t>
      </w:r>
      <w:r w:rsidR="00CD1F3A" w:rsidRPr="00431A5F">
        <w:rPr>
          <w:rFonts w:ascii="Times New Roman" w:hAnsi="Times New Roman"/>
          <w:i/>
          <w:sz w:val="22"/>
          <w:szCs w:val="22"/>
        </w:rPr>
        <w:t xml:space="preserve"> </w:t>
      </w:r>
      <w:r w:rsidR="004D2843" w:rsidRPr="00431A5F">
        <w:rPr>
          <w:rFonts w:ascii="Times New Roman" w:hAnsi="Times New Roman"/>
          <w:i/>
          <w:sz w:val="22"/>
          <w:szCs w:val="22"/>
        </w:rPr>
        <w:t>Act</w:t>
      </w:r>
      <w:r w:rsidR="00CD1F3A" w:rsidRPr="00431A5F">
        <w:rPr>
          <w:rFonts w:ascii="Times New Roman" w:hAnsi="Times New Roman"/>
          <w:i/>
          <w:sz w:val="22"/>
          <w:szCs w:val="22"/>
        </w:rPr>
        <w:t xml:space="preserve"> 1997</w:t>
      </w:r>
    </w:p>
    <w:p w14:paraId="3E70F89F" w14:textId="718F6103" w:rsidR="004D2843" w:rsidRPr="00431A5F" w:rsidRDefault="000678F0" w:rsidP="004D2843">
      <w:pPr>
        <w:jc w:val="center"/>
        <w:rPr>
          <w:rFonts w:ascii="Times New Roman" w:hAnsi="Times New Roman"/>
          <w:b/>
          <w:i/>
          <w:sz w:val="22"/>
          <w:szCs w:val="22"/>
        </w:rPr>
      </w:pPr>
      <w:r w:rsidRPr="00431A5F">
        <w:rPr>
          <w:rFonts w:ascii="Times New Roman" w:hAnsi="Times New Roman"/>
          <w:b/>
          <w:i/>
          <w:sz w:val="22"/>
          <w:szCs w:val="22"/>
          <w:lang w:val="en-US"/>
        </w:rPr>
        <w:t>Telecommunications (Financial Hardship) Industry Standard 2024</w:t>
      </w:r>
    </w:p>
    <w:p w14:paraId="0EFEBE09" w14:textId="77777777" w:rsidR="004D2843" w:rsidRPr="00431A5F" w:rsidRDefault="004D2843" w:rsidP="00B234B3">
      <w:pPr>
        <w:spacing w:before="120" w:after="0"/>
        <w:rPr>
          <w:rFonts w:ascii="Times New Roman" w:hAnsi="Times New Roman"/>
          <w:b/>
          <w:sz w:val="22"/>
          <w:szCs w:val="22"/>
        </w:rPr>
      </w:pPr>
      <w:r w:rsidRPr="00431A5F">
        <w:rPr>
          <w:rFonts w:ascii="Times New Roman" w:hAnsi="Times New Roman"/>
          <w:b/>
          <w:sz w:val="22"/>
          <w:szCs w:val="22"/>
        </w:rPr>
        <w:t>Authority</w:t>
      </w:r>
    </w:p>
    <w:p w14:paraId="10291F59" w14:textId="71C18A02" w:rsidR="00A13C48" w:rsidRPr="00431A5F" w:rsidRDefault="00B727F3" w:rsidP="00B234B3">
      <w:pPr>
        <w:spacing w:before="120" w:after="0"/>
        <w:rPr>
          <w:rFonts w:ascii="Times New Roman" w:hAnsi="Times New Roman"/>
          <w:sz w:val="22"/>
          <w:szCs w:val="22"/>
        </w:rPr>
      </w:pPr>
      <w:r w:rsidRPr="00431A5F">
        <w:rPr>
          <w:rFonts w:ascii="Times New Roman" w:hAnsi="Times New Roman"/>
          <w:sz w:val="22"/>
          <w:szCs w:val="22"/>
        </w:rPr>
        <w:t>T</w:t>
      </w:r>
      <w:r w:rsidR="000B4B6C" w:rsidRPr="00431A5F">
        <w:rPr>
          <w:rFonts w:ascii="Times New Roman" w:hAnsi="Times New Roman"/>
          <w:sz w:val="22"/>
          <w:szCs w:val="22"/>
        </w:rPr>
        <w:t>he</w:t>
      </w:r>
      <w:r w:rsidR="0091080B" w:rsidRPr="00431A5F">
        <w:rPr>
          <w:rFonts w:ascii="Times New Roman" w:hAnsi="Times New Roman"/>
          <w:sz w:val="22"/>
          <w:szCs w:val="22"/>
        </w:rPr>
        <w:t xml:space="preserve"> Australian Communications and Media Authority (</w:t>
      </w:r>
      <w:r w:rsidR="0091080B" w:rsidRPr="00431A5F">
        <w:rPr>
          <w:rFonts w:ascii="Times New Roman" w:hAnsi="Times New Roman"/>
          <w:bCs/>
          <w:sz w:val="22"/>
          <w:szCs w:val="22"/>
        </w:rPr>
        <w:t>the</w:t>
      </w:r>
      <w:r w:rsidR="0091080B" w:rsidRPr="00431A5F">
        <w:rPr>
          <w:rFonts w:ascii="Times New Roman" w:hAnsi="Times New Roman"/>
          <w:b/>
          <w:sz w:val="22"/>
          <w:szCs w:val="22"/>
        </w:rPr>
        <w:t xml:space="preserve"> ACMA</w:t>
      </w:r>
      <w:r w:rsidR="0091080B" w:rsidRPr="00431A5F">
        <w:rPr>
          <w:rFonts w:ascii="Times New Roman" w:hAnsi="Times New Roman"/>
          <w:sz w:val="22"/>
          <w:szCs w:val="22"/>
        </w:rPr>
        <w:t xml:space="preserve">) </w:t>
      </w:r>
      <w:r w:rsidR="001E343E" w:rsidRPr="00431A5F">
        <w:rPr>
          <w:rFonts w:ascii="Times New Roman" w:hAnsi="Times New Roman"/>
          <w:sz w:val="22"/>
          <w:szCs w:val="22"/>
        </w:rPr>
        <w:t>has mad</w:t>
      </w:r>
      <w:r w:rsidR="0091080B" w:rsidRPr="00431A5F">
        <w:rPr>
          <w:rFonts w:ascii="Times New Roman" w:hAnsi="Times New Roman"/>
          <w:sz w:val="22"/>
          <w:szCs w:val="22"/>
        </w:rPr>
        <w:t xml:space="preserve">e the </w:t>
      </w:r>
      <w:r w:rsidR="00EE17DE" w:rsidRPr="00431A5F">
        <w:rPr>
          <w:rFonts w:ascii="Times New Roman" w:hAnsi="Times New Roman"/>
          <w:i/>
          <w:sz w:val="22"/>
          <w:szCs w:val="22"/>
        </w:rPr>
        <w:t xml:space="preserve">Telecommunications (Financial Hardship) Industry Standard 2024 </w:t>
      </w:r>
      <w:r w:rsidR="0091080B" w:rsidRPr="00431A5F">
        <w:rPr>
          <w:rFonts w:ascii="Times New Roman" w:hAnsi="Times New Roman"/>
          <w:sz w:val="22"/>
          <w:szCs w:val="22"/>
        </w:rPr>
        <w:t>(</w:t>
      </w:r>
      <w:r w:rsidR="0091080B" w:rsidRPr="00431A5F">
        <w:rPr>
          <w:rFonts w:ascii="Times New Roman" w:hAnsi="Times New Roman"/>
          <w:bCs/>
          <w:sz w:val="22"/>
          <w:szCs w:val="22"/>
        </w:rPr>
        <w:t>the</w:t>
      </w:r>
      <w:r w:rsidR="0091080B" w:rsidRPr="00431A5F">
        <w:rPr>
          <w:rFonts w:ascii="Times New Roman" w:hAnsi="Times New Roman"/>
          <w:b/>
          <w:sz w:val="22"/>
          <w:szCs w:val="22"/>
        </w:rPr>
        <w:t xml:space="preserve"> </w:t>
      </w:r>
      <w:r w:rsidR="00EE17DE" w:rsidRPr="00431A5F">
        <w:rPr>
          <w:rFonts w:ascii="Times New Roman" w:hAnsi="Times New Roman"/>
          <w:b/>
          <w:sz w:val="22"/>
          <w:szCs w:val="22"/>
        </w:rPr>
        <w:t>Standard</w:t>
      </w:r>
      <w:r w:rsidR="0091080B" w:rsidRPr="00431A5F">
        <w:rPr>
          <w:rFonts w:ascii="Times New Roman" w:hAnsi="Times New Roman"/>
          <w:sz w:val="22"/>
          <w:szCs w:val="22"/>
        </w:rPr>
        <w:t xml:space="preserve">) under </w:t>
      </w:r>
      <w:r w:rsidR="00782A14" w:rsidRPr="00431A5F">
        <w:rPr>
          <w:rFonts w:ascii="Times New Roman" w:hAnsi="Times New Roman"/>
          <w:sz w:val="22"/>
          <w:szCs w:val="22"/>
        </w:rPr>
        <w:t>subsection 125AA(1) o</w:t>
      </w:r>
      <w:r w:rsidR="0091080B" w:rsidRPr="00431A5F">
        <w:rPr>
          <w:rFonts w:ascii="Times New Roman" w:hAnsi="Times New Roman"/>
          <w:sz w:val="22"/>
          <w:szCs w:val="22"/>
        </w:rPr>
        <w:t xml:space="preserve">f the </w:t>
      </w:r>
      <w:r w:rsidR="00782A14" w:rsidRPr="00431A5F">
        <w:rPr>
          <w:rFonts w:ascii="Times New Roman" w:hAnsi="Times New Roman"/>
          <w:i/>
          <w:sz w:val="22"/>
          <w:szCs w:val="22"/>
        </w:rPr>
        <w:t xml:space="preserve">Telecommunications </w:t>
      </w:r>
      <w:r w:rsidR="0091080B" w:rsidRPr="00431A5F">
        <w:rPr>
          <w:rFonts w:ascii="Times New Roman" w:hAnsi="Times New Roman"/>
          <w:i/>
          <w:sz w:val="22"/>
          <w:szCs w:val="22"/>
        </w:rPr>
        <w:t>Act</w:t>
      </w:r>
      <w:r w:rsidR="00782A14" w:rsidRPr="00431A5F">
        <w:rPr>
          <w:rFonts w:ascii="Times New Roman" w:hAnsi="Times New Roman"/>
          <w:i/>
          <w:sz w:val="22"/>
          <w:szCs w:val="22"/>
        </w:rPr>
        <w:t xml:space="preserve"> 1997</w:t>
      </w:r>
      <w:r w:rsidR="0091080B" w:rsidRPr="00431A5F">
        <w:rPr>
          <w:rFonts w:ascii="Times New Roman" w:hAnsi="Times New Roman"/>
          <w:sz w:val="22"/>
          <w:szCs w:val="22"/>
        </w:rPr>
        <w:t xml:space="preserve"> (</w:t>
      </w:r>
      <w:r w:rsidR="0091080B" w:rsidRPr="00431A5F">
        <w:rPr>
          <w:rFonts w:ascii="Times New Roman" w:hAnsi="Times New Roman"/>
          <w:bCs/>
          <w:sz w:val="22"/>
          <w:szCs w:val="22"/>
        </w:rPr>
        <w:t>the</w:t>
      </w:r>
      <w:r w:rsidR="0091080B" w:rsidRPr="00431A5F">
        <w:rPr>
          <w:rFonts w:ascii="Times New Roman" w:hAnsi="Times New Roman"/>
          <w:b/>
          <w:sz w:val="22"/>
          <w:szCs w:val="22"/>
        </w:rPr>
        <w:t xml:space="preserve"> Act</w:t>
      </w:r>
      <w:r w:rsidR="0091080B" w:rsidRPr="00431A5F">
        <w:rPr>
          <w:rFonts w:ascii="Times New Roman" w:hAnsi="Times New Roman"/>
          <w:sz w:val="22"/>
          <w:szCs w:val="22"/>
        </w:rPr>
        <w:t>)</w:t>
      </w:r>
      <w:r w:rsidR="003616C2" w:rsidRPr="00431A5F">
        <w:rPr>
          <w:rFonts w:ascii="Times New Roman" w:hAnsi="Times New Roman"/>
          <w:sz w:val="22"/>
          <w:szCs w:val="22"/>
        </w:rPr>
        <w:t xml:space="preserve"> and in accordance with section</w:t>
      </w:r>
      <w:r w:rsidR="000B04B4">
        <w:rPr>
          <w:rFonts w:ascii="Times New Roman" w:hAnsi="Times New Roman"/>
          <w:sz w:val="22"/>
          <w:szCs w:val="22"/>
        </w:rPr>
        <w:t>s</w:t>
      </w:r>
      <w:r w:rsidR="003616C2" w:rsidRPr="00431A5F">
        <w:rPr>
          <w:rFonts w:ascii="Times New Roman" w:hAnsi="Times New Roman"/>
          <w:sz w:val="22"/>
          <w:szCs w:val="22"/>
        </w:rPr>
        <w:t xml:space="preserve"> 5</w:t>
      </w:r>
      <w:r w:rsidR="001747ED" w:rsidRPr="00A0419A">
        <w:rPr>
          <w:rFonts w:ascii="Times New Roman" w:hAnsi="Times New Roman"/>
          <w:sz w:val="22"/>
          <w:szCs w:val="22"/>
        </w:rPr>
        <w:t>, 6 and 7</w:t>
      </w:r>
      <w:r w:rsidR="001747ED" w:rsidRPr="003255FF">
        <w:rPr>
          <w:rFonts w:ascii="Times New Roman" w:hAnsi="Times New Roman"/>
          <w:sz w:val="24"/>
        </w:rPr>
        <w:t xml:space="preserve"> </w:t>
      </w:r>
      <w:r w:rsidR="003616C2" w:rsidRPr="00431A5F">
        <w:rPr>
          <w:rFonts w:ascii="Times New Roman" w:hAnsi="Times New Roman"/>
          <w:sz w:val="22"/>
          <w:szCs w:val="22"/>
        </w:rPr>
        <w:t xml:space="preserve"> of the </w:t>
      </w:r>
      <w:r w:rsidR="003616C2" w:rsidRPr="00431A5F">
        <w:rPr>
          <w:rFonts w:ascii="Times New Roman" w:hAnsi="Times New Roman"/>
          <w:i/>
          <w:iCs/>
          <w:sz w:val="22"/>
          <w:szCs w:val="22"/>
        </w:rPr>
        <w:t>Telecommunications (Financial Hardship Industry Standard) Direction 2023</w:t>
      </w:r>
      <w:r w:rsidR="003616C2" w:rsidRPr="00431A5F">
        <w:rPr>
          <w:rFonts w:ascii="Times New Roman" w:hAnsi="Times New Roman"/>
          <w:sz w:val="22"/>
          <w:szCs w:val="22"/>
        </w:rPr>
        <w:t xml:space="preserve"> (the </w:t>
      </w:r>
      <w:r w:rsidR="003616C2" w:rsidRPr="00431A5F">
        <w:rPr>
          <w:rFonts w:ascii="Times New Roman" w:hAnsi="Times New Roman"/>
          <w:b/>
          <w:bCs/>
          <w:sz w:val="22"/>
          <w:szCs w:val="22"/>
        </w:rPr>
        <w:t>Direction</w:t>
      </w:r>
      <w:r w:rsidR="003616C2" w:rsidRPr="00431A5F">
        <w:rPr>
          <w:rFonts w:ascii="Times New Roman" w:hAnsi="Times New Roman"/>
          <w:sz w:val="22"/>
          <w:szCs w:val="22"/>
        </w:rPr>
        <w:t>).</w:t>
      </w:r>
    </w:p>
    <w:p w14:paraId="692CA8A8" w14:textId="3C67DDCF" w:rsidR="004B0AB5" w:rsidRPr="00431A5F" w:rsidRDefault="004B0AB5" w:rsidP="00B234B3">
      <w:pPr>
        <w:spacing w:before="120" w:after="0"/>
        <w:rPr>
          <w:rFonts w:ascii="Times New Roman" w:hAnsi="Times New Roman"/>
          <w:sz w:val="22"/>
          <w:szCs w:val="22"/>
        </w:rPr>
      </w:pPr>
      <w:r w:rsidRPr="00431A5F">
        <w:rPr>
          <w:rFonts w:ascii="Times New Roman" w:hAnsi="Times New Roman"/>
          <w:sz w:val="22"/>
          <w:szCs w:val="22"/>
        </w:rPr>
        <w:t xml:space="preserve">The Minister for Communications (the </w:t>
      </w:r>
      <w:r w:rsidRPr="00431A5F">
        <w:rPr>
          <w:rFonts w:ascii="Times New Roman" w:hAnsi="Times New Roman"/>
          <w:b/>
          <w:bCs/>
          <w:sz w:val="22"/>
          <w:szCs w:val="22"/>
        </w:rPr>
        <w:t>Minister</w:t>
      </w:r>
      <w:r w:rsidRPr="00431A5F">
        <w:rPr>
          <w:rFonts w:ascii="Times New Roman" w:hAnsi="Times New Roman"/>
          <w:sz w:val="22"/>
          <w:szCs w:val="22"/>
        </w:rPr>
        <w:t>) has the power under subsection 125AA(4) of the Act to direct the ACMA to:</w:t>
      </w:r>
    </w:p>
    <w:p w14:paraId="714F22B9" w14:textId="77777777" w:rsidR="004B0AB5" w:rsidRPr="00431A5F" w:rsidRDefault="004B0AB5" w:rsidP="00B234B3">
      <w:pPr>
        <w:pStyle w:val="ListParagraph"/>
        <w:numPr>
          <w:ilvl w:val="0"/>
          <w:numId w:val="6"/>
        </w:numPr>
        <w:spacing w:before="120" w:after="0" w:line="240" w:lineRule="auto"/>
        <w:ind w:left="1134" w:hanging="567"/>
        <w:contextualSpacing w:val="0"/>
        <w:rPr>
          <w:rFonts w:ascii="Times New Roman" w:hAnsi="Times New Roman"/>
          <w:sz w:val="22"/>
          <w:szCs w:val="22"/>
        </w:rPr>
      </w:pPr>
      <w:r w:rsidRPr="00431A5F">
        <w:rPr>
          <w:rFonts w:ascii="Times New Roman" w:hAnsi="Times New Roman"/>
          <w:sz w:val="22"/>
          <w:szCs w:val="22"/>
        </w:rPr>
        <w:t>determine a standard under subsection 125AA(1) of the Act that:</w:t>
      </w:r>
    </w:p>
    <w:p w14:paraId="03F4106B" w14:textId="77777777" w:rsidR="004B0AB5" w:rsidRPr="00431A5F" w:rsidRDefault="004B0AB5" w:rsidP="00B234B3">
      <w:pPr>
        <w:pStyle w:val="ListParagraph"/>
        <w:numPr>
          <w:ilvl w:val="1"/>
          <w:numId w:val="7"/>
        </w:numPr>
        <w:spacing w:before="120" w:after="0" w:line="240" w:lineRule="auto"/>
        <w:ind w:left="1701" w:hanging="283"/>
        <w:contextualSpacing w:val="0"/>
        <w:rPr>
          <w:rFonts w:ascii="Times New Roman" w:hAnsi="Times New Roman"/>
          <w:sz w:val="22"/>
          <w:szCs w:val="22"/>
        </w:rPr>
      </w:pPr>
      <w:r w:rsidRPr="00431A5F">
        <w:rPr>
          <w:rFonts w:ascii="Times New Roman" w:hAnsi="Times New Roman"/>
          <w:sz w:val="22"/>
          <w:szCs w:val="22"/>
        </w:rPr>
        <w:t xml:space="preserve">applies to participants in a specified section of the telecommunications </w:t>
      </w:r>
      <w:proofErr w:type="gramStart"/>
      <w:r w:rsidRPr="00431A5F">
        <w:rPr>
          <w:rFonts w:ascii="Times New Roman" w:hAnsi="Times New Roman"/>
          <w:sz w:val="22"/>
          <w:szCs w:val="22"/>
        </w:rPr>
        <w:t>industry;</w:t>
      </w:r>
      <w:proofErr w:type="gramEnd"/>
    </w:p>
    <w:p w14:paraId="45267A10" w14:textId="77777777" w:rsidR="004B0AB5" w:rsidRPr="00431A5F" w:rsidRDefault="004B0AB5" w:rsidP="00B234B3">
      <w:pPr>
        <w:pStyle w:val="ListParagraph"/>
        <w:numPr>
          <w:ilvl w:val="1"/>
          <w:numId w:val="7"/>
        </w:numPr>
        <w:spacing w:before="120" w:after="0" w:line="240" w:lineRule="auto"/>
        <w:ind w:left="1701" w:hanging="283"/>
        <w:contextualSpacing w:val="0"/>
        <w:rPr>
          <w:rFonts w:ascii="Times New Roman" w:hAnsi="Times New Roman"/>
          <w:sz w:val="22"/>
          <w:szCs w:val="22"/>
        </w:rPr>
      </w:pPr>
      <w:r w:rsidRPr="00431A5F">
        <w:rPr>
          <w:rFonts w:ascii="Times New Roman" w:hAnsi="Times New Roman"/>
          <w:sz w:val="22"/>
          <w:szCs w:val="22"/>
        </w:rPr>
        <w:t>deals with one or more specified matters relating to the activities of those participants; and</w:t>
      </w:r>
    </w:p>
    <w:p w14:paraId="7025A38F" w14:textId="77777777" w:rsidR="004B0AB5" w:rsidRPr="00431A5F" w:rsidRDefault="004B0AB5" w:rsidP="00B234B3">
      <w:pPr>
        <w:pStyle w:val="ListParagraph"/>
        <w:numPr>
          <w:ilvl w:val="0"/>
          <w:numId w:val="6"/>
        </w:numPr>
        <w:spacing w:before="120" w:after="0" w:line="240" w:lineRule="auto"/>
        <w:ind w:left="1134" w:hanging="567"/>
        <w:contextualSpacing w:val="0"/>
        <w:rPr>
          <w:rFonts w:ascii="Times New Roman" w:hAnsi="Times New Roman"/>
          <w:sz w:val="22"/>
          <w:szCs w:val="22"/>
        </w:rPr>
      </w:pPr>
      <w:r w:rsidRPr="00431A5F">
        <w:rPr>
          <w:rFonts w:ascii="Times New Roman" w:hAnsi="Times New Roman"/>
          <w:sz w:val="22"/>
          <w:szCs w:val="22"/>
        </w:rPr>
        <w:t>do so within a specified period.</w:t>
      </w:r>
    </w:p>
    <w:p w14:paraId="3F4F75AA" w14:textId="205BA5AD" w:rsidR="00432DA5" w:rsidRPr="00431A5F" w:rsidRDefault="004B0AB5" w:rsidP="00B234B3">
      <w:pPr>
        <w:spacing w:before="120" w:after="0"/>
        <w:rPr>
          <w:rFonts w:ascii="Times New Roman" w:hAnsi="Times New Roman"/>
          <w:sz w:val="22"/>
          <w:szCs w:val="22"/>
        </w:rPr>
      </w:pPr>
      <w:r w:rsidRPr="00431A5F">
        <w:rPr>
          <w:rFonts w:ascii="Times New Roman" w:hAnsi="Times New Roman"/>
          <w:sz w:val="22"/>
          <w:szCs w:val="22"/>
        </w:rPr>
        <w:t>The Direction was given to the ACMA by</w:t>
      </w:r>
      <w:r w:rsidR="00EB7A3D" w:rsidRPr="00431A5F">
        <w:rPr>
          <w:rFonts w:ascii="Times New Roman" w:hAnsi="Times New Roman"/>
          <w:sz w:val="22"/>
          <w:szCs w:val="22"/>
        </w:rPr>
        <w:t xml:space="preserve"> t</w:t>
      </w:r>
      <w:r w:rsidR="00E12F13" w:rsidRPr="00431A5F">
        <w:rPr>
          <w:rFonts w:ascii="Times New Roman" w:hAnsi="Times New Roman"/>
          <w:sz w:val="22"/>
          <w:szCs w:val="22"/>
        </w:rPr>
        <w:t xml:space="preserve">he Minister </w:t>
      </w:r>
      <w:r w:rsidR="003616C2" w:rsidRPr="00431A5F">
        <w:rPr>
          <w:rFonts w:ascii="Times New Roman" w:hAnsi="Times New Roman"/>
          <w:sz w:val="22"/>
          <w:szCs w:val="22"/>
        </w:rPr>
        <w:t>under subsection 125AA(4) of the Act</w:t>
      </w:r>
      <w:r w:rsidRPr="00431A5F">
        <w:rPr>
          <w:rFonts w:ascii="Times New Roman" w:hAnsi="Times New Roman"/>
          <w:sz w:val="22"/>
          <w:szCs w:val="22"/>
        </w:rPr>
        <w:t xml:space="preserve"> and commenced on </w:t>
      </w:r>
      <w:r w:rsidR="007C136D" w:rsidRPr="00431A5F">
        <w:rPr>
          <w:rFonts w:ascii="Times New Roman" w:hAnsi="Times New Roman"/>
          <w:sz w:val="22"/>
          <w:szCs w:val="22"/>
        </w:rPr>
        <w:t>6 September</w:t>
      </w:r>
      <w:r w:rsidRPr="00431A5F">
        <w:rPr>
          <w:rFonts w:ascii="Times New Roman" w:hAnsi="Times New Roman"/>
          <w:sz w:val="22"/>
          <w:szCs w:val="22"/>
        </w:rPr>
        <w:t xml:space="preserve"> 2023</w:t>
      </w:r>
      <w:r w:rsidR="003616C2" w:rsidRPr="00431A5F">
        <w:rPr>
          <w:rFonts w:ascii="Times New Roman" w:hAnsi="Times New Roman"/>
          <w:sz w:val="22"/>
          <w:szCs w:val="22"/>
        </w:rPr>
        <w:t>.</w:t>
      </w:r>
      <w:r w:rsidR="00432DA5" w:rsidRPr="00431A5F">
        <w:rPr>
          <w:rFonts w:ascii="Times New Roman" w:hAnsi="Times New Roman"/>
          <w:sz w:val="22"/>
          <w:szCs w:val="22"/>
        </w:rPr>
        <w:t xml:space="preserve"> The Direction requires the ACMA to </w:t>
      </w:r>
      <w:r w:rsidRPr="00431A5F">
        <w:rPr>
          <w:rFonts w:ascii="Times New Roman" w:hAnsi="Times New Roman"/>
          <w:sz w:val="22"/>
          <w:szCs w:val="22"/>
        </w:rPr>
        <w:t xml:space="preserve">determine an industry standard under subsection 125AA(1) of the Act </w:t>
      </w:r>
      <w:r w:rsidR="00432DA5" w:rsidRPr="00431A5F">
        <w:rPr>
          <w:rFonts w:ascii="Times New Roman" w:hAnsi="Times New Roman"/>
          <w:sz w:val="22"/>
          <w:szCs w:val="22"/>
        </w:rPr>
        <w:t xml:space="preserve">that deals with:  </w:t>
      </w:r>
    </w:p>
    <w:p w14:paraId="6661DB7D" w14:textId="372B6C21" w:rsidR="00432DA5" w:rsidRPr="00431A5F" w:rsidRDefault="00432DA5" w:rsidP="00B234B3">
      <w:pPr>
        <w:pStyle w:val="ListParagraph"/>
        <w:numPr>
          <w:ilvl w:val="0"/>
          <w:numId w:val="3"/>
        </w:numPr>
        <w:spacing w:before="120" w:after="0"/>
        <w:ind w:left="714" w:hanging="357"/>
        <w:contextualSpacing w:val="0"/>
        <w:rPr>
          <w:rFonts w:ascii="Times New Roman" w:hAnsi="Times New Roman"/>
          <w:sz w:val="22"/>
          <w:szCs w:val="22"/>
        </w:rPr>
      </w:pPr>
      <w:r w:rsidRPr="00431A5F">
        <w:rPr>
          <w:rFonts w:ascii="Times New Roman" w:hAnsi="Times New Roman"/>
          <w:sz w:val="22"/>
          <w:szCs w:val="22"/>
        </w:rPr>
        <w:t>information to be provided and made available by carriage service providers (</w:t>
      </w:r>
      <w:r w:rsidRPr="00431A5F">
        <w:rPr>
          <w:rFonts w:ascii="Times New Roman" w:hAnsi="Times New Roman"/>
          <w:b/>
          <w:bCs/>
          <w:sz w:val="22"/>
          <w:szCs w:val="22"/>
        </w:rPr>
        <w:t>CSPs</w:t>
      </w:r>
      <w:r w:rsidRPr="00431A5F">
        <w:rPr>
          <w:rFonts w:ascii="Times New Roman" w:hAnsi="Times New Roman"/>
          <w:sz w:val="22"/>
          <w:szCs w:val="22"/>
        </w:rPr>
        <w:t>) to customers relating to financial hardship matters</w:t>
      </w:r>
      <w:r w:rsidR="00ED7E62" w:rsidRPr="00431A5F">
        <w:rPr>
          <w:rFonts w:ascii="Times New Roman" w:hAnsi="Times New Roman"/>
          <w:sz w:val="22"/>
          <w:szCs w:val="22"/>
        </w:rPr>
        <w:t>; and</w:t>
      </w:r>
    </w:p>
    <w:p w14:paraId="532E375B" w14:textId="77777777" w:rsidR="00432DA5" w:rsidRPr="00431A5F" w:rsidRDefault="00432DA5" w:rsidP="00B234B3">
      <w:pPr>
        <w:pStyle w:val="ListParagraph"/>
        <w:numPr>
          <w:ilvl w:val="0"/>
          <w:numId w:val="3"/>
        </w:numPr>
        <w:spacing w:before="120" w:after="0"/>
        <w:ind w:left="714" w:hanging="357"/>
        <w:contextualSpacing w:val="0"/>
        <w:rPr>
          <w:rFonts w:ascii="Times New Roman" w:hAnsi="Times New Roman"/>
          <w:sz w:val="22"/>
          <w:szCs w:val="22"/>
        </w:rPr>
      </w:pPr>
      <w:r w:rsidRPr="00431A5F">
        <w:rPr>
          <w:rFonts w:ascii="Times New Roman" w:hAnsi="Times New Roman"/>
          <w:sz w:val="22"/>
          <w:szCs w:val="22"/>
        </w:rPr>
        <w:t>the support provided by CSPs to customers who are, or may be, experiencing financial hardship.</w:t>
      </w:r>
    </w:p>
    <w:p w14:paraId="1003D569" w14:textId="4690C6D3" w:rsidR="002713FC" w:rsidRPr="00D1317E" w:rsidRDefault="002713FC" w:rsidP="00B234B3">
      <w:pPr>
        <w:pStyle w:val="Default"/>
        <w:spacing w:before="120"/>
        <w:rPr>
          <w:sz w:val="22"/>
          <w:szCs w:val="22"/>
        </w:rPr>
      </w:pPr>
      <w:r w:rsidRPr="00D1317E">
        <w:rPr>
          <w:sz w:val="22"/>
          <w:szCs w:val="22"/>
        </w:rPr>
        <w:t>The Standard meets the objectives and content requirements in section</w:t>
      </w:r>
      <w:r w:rsidR="00BD67E3">
        <w:rPr>
          <w:sz w:val="22"/>
          <w:szCs w:val="22"/>
        </w:rPr>
        <w:t xml:space="preserve">s </w:t>
      </w:r>
      <w:r w:rsidR="00D96847">
        <w:rPr>
          <w:sz w:val="22"/>
          <w:szCs w:val="22"/>
        </w:rPr>
        <w:t xml:space="preserve">5, </w:t>
      </w:r>
      <w:r w:rsidR="00BD67E3">
        <w:rPr>
          <w:sz w:val="22"/>
          <w:szCs w:val="22"/>
        </w:rPr>
        <w:t>6 and</w:t>
      </w:r>
      <w:r w:rsidRPr="00D1317E">
        <w:rPr>
          <w:sz w:val="22"/>
          <w:szCs w:val="22"/>
        </w:rPr>
        <w:t xml:space="preserve"> 7 of the Direction and in accordance with subsection 5(2) of the Direction it was determined by 15 February 2024 and commences in </w:t>
      </w:r>
      <w:r w:rsidR="0041033E" w:rsidRPr="00431A5F">
        <w:rPr>
          <w:sz w:val="22"/>
          <w:szCs w:val="22"/>
        </w:rPr>
        <w:t>full at the earliest practical opportunity</w:t>
      </w:r>
      <w:r w:rsidR="0041033E" w:rsidRPr="00D1317E">
        <w:rPr>
          <w:sz w:val="22"/>
          <w:szCs w:val="22"/>
        </w:rPr>
        <w:t xml:space="preserve"> </w:t>
      </w:r>
      <w:r w:rsidRPr="00D1317E">
        <w:rPr>
          <w:sz w:val="22"/>
          <w:szCs w:val="22"/>
        </w:rPr>
        <w:t>on 29 March 2024.</w:t>
      </w:r>
    </w:p>
    <w:p w14:paraId="329F9F28" w14:textId="57039C5A" w:rsidR="00C57E29" w:rsidRPr="00431A5F" w:rsidRDefault="00C57E29" w:rsidP="00B234B3">
      <w:pPr>
        <w:spacing w:before="120" w:after="0"/>
        <w:rPr>
          <w:rFonts w:ascii="Times New Roman" w:hAnsi="Times New Roman"/>
          <w:b/>
          <w:sz w:val="22"/>
          <w:szCs w:val="22"/>
        </w:rPr>
      </w:pPr>
      <w:r w:rsidRPr="00431A5F">
        <w:rPr>
          <w:rFonts w:ascii="Times New Roman" w:hAnsi="Times New Roman"/>
          <w:b/>
          <w:sz w:val="22"/>
          <w:szCs w:val="22"/>
        </w:rPr>
        <w:t xml:space="preserve">Purpose </w:t>
      </w:r>
      <w:r w:rsidR="00185BDC" w:rsidRPr="00431A5F">
        <w:rPr>
          <w:rFonts w:ascii="Times New Roman" w:hAnsi="Times New Roman"/>
          <w:b/>
          <w:sz w:val="22"/>
          <w:szCs w:val="22"/>
        </w:rPr>
        <w:t xml:space="preserve">and operation </w:t>
      </w:r>
      <w:r w:rsidRPr="00431A5F">
        <w:rPr>
          <w:rFonts w:ascii="Times New Roman" w:hAnsi="Times New Roman"/>
          <w:b/>
          <w:sz w:val="22"/>
          <w:szCs w:val="22"/>
        </w:rPr>
        <w:t>of the instrument</w:t>
      </w:r>
    </w:p>
    <w:p w14:paraId="78B7212B" w14:textId="4FAC74E9" w:rsidR="00FA4A0E" w:rsidRPr="00431A5F" w:rsidRDefault="00FA4A0E" w:rsidP="00B234B3">
      <w:pPr>
        <w:spacing w:before="120" w:after="0"/>
        <w:rPr>
          <w:rFonts w:ascii="Times New Roman" w:hAnsi="Times New Roman"/>
          <w:b/>
          <w:bCs/>
          <w:i/>
          <w:iCs/>
          <w:sz w:val="22"/>
          <w:szCs w:val="22"/>
        </w:rPr>
      </w:pPr>
      <w:r w:rsidRPr="00431A5F">
        <w:rPr>
          <w:rFonts w:ascii="Times New Roman" w:hAnsi="Times New Roman"/>
          <w:b/>
          <w:bCs/>
          <w:i/>
          <w:iCs/>
          <w:sz w:val="22"/>
          <w:szCs w:val="22"/>
        </w:rPr>
        <w:t>Background</w:t>
      </w:r>
    </w:p>
    <w:p w14:paraId="33D835BB" w14:textId="228539BC" w:rsidR="00D9656C" w:rsidRPr="00431A5F" w:rsidRDefault="00D9656C" w:rsidP="00B234B3">
      <w:pPr>
        <w:pStyle w:val="Paragraph"/>
        <w:spacing w:before="120" w:after="0"/>
        <w:rPr>
          <w:rFonts w:ascii="Times New Roman" w:hAnsi="Times New Roman" w:cs="Times New Roman"/>
          <w:sz w:val="22"/>
          <w:szCs w:val="22"/>
        </w:rPr>
      </w:pPr>
      <w:r w:rsidRPr="00431A5F">
        <w:rPr>
          <w:rFonts w:ascii="Times New Roman" w:hAnsi="Times New Roman" w:cs="Times New Roman"/>
          <w:sz w:val="22"/>
          <w:szCs w:val="22"/>
        </w:rPr>
        <w:t xml:space="preserve">Telecommunications </w:t>
      </w:r>
      <w:r w:rsidR="00543B67" w:rsidRPr="00431A5F">
        <w:rPr>
          <w:rFonts w:ascii="Times New Roman" w:hAnsi="Times New Roman" w:cs="Times New Roman"/>
          <w:sz w:val="22"/>
          <w:szCs w:val="22"/>
        </w:rPr>
        <w:t xml:space="preserve">services are </w:t>
      </w:r>
      <w:r w:rsidRPr="00431A5F">
        <w:rPr>
          <w:rFonts w:ascii="Times New Roman" w:hAnsi="Times New Roman" w:cs="Times New Roman"/>
          <w:sz w:val="22"/>
          <w:szCs w:val="22"/>
        </w:rPr>
        <w:t xml:space="preserve">essential </w:t>
      </w:r>
      <w:r w:rsidR="00B119F6" w:rsidRPr="00431A5F">
        <w:rPr>
          <w:rFonts w:ascii="Times New Roman" w:hAnsi="Times New Roman" w:cs="Times New Roman"/>
          <w:sz w:val="22"/>
          <w:szCs w:val="22"/>
        </w:rPr>
        <w:t>to everyday living</w:t>
      </w:r>
      <w:r w:rsidRPr="00431A5F">
        <w:rPr>
          <w:rFonts w:ascii="Times New Roman" w:hAnsi="Times New Roman" w:cs="Times New Roman"/>
          <w:sz w:val="22"/>
          <w:szCs w:val="22"/>
        </w:rPr>
        <w:t>. Connection and access to reliable and affordable phone and internet services is necessary for work, education, health</w:t>
      </w:r>
      <w:r w:rsidR="00B119F6" w:rsidRPr="00431A5F">
        <w:rPr>
          <w:rFonts w:ascii="Times New Roman" w:hAnsi="Times New Roman" w:cs="Times New Roman"/>
          <w:sz w:val="22"/>
          <w:szCs w:val="22"/>
        </w:rPr>
        <w:t xml:space="preserve">, </w:t>
      </w:r>
      <w:r w:rsidRPr="00431A5F">
        <w:rPr>
          <w:rFonts w:ascii="Times New Roman" w:hAnsi="Times New Roman" w:cs="Times New Roman"/>
          <w:sz w:val="22"/>
          <w:szCs w:val="22"/>
        </w:rPr>
        <w:t>government services</w:t>
      </w:r>
      <w:r w:rsidR="00B119F6" w:rsidRPr="00431A5F">
        <w:rPr>
          <w:rFonts w:ascii="Times New Roman" w:hAnsi="Times New Roman" w:cs="Times New Roman"/>
          <w:sz w:val="22"/>
          <w:szCs w:val="22"/>
        </w:rPr>
        <w:t xml:space="preserve"> and </w:t>
      </w:r>
      <w:r w:rsidRPr="00431A5F">
        <w:rPr>
          <w:rFonts w:ascii="Times New Roman" w:hAnsi="Times New Roman" w:cs="Times New Roman"/>
          <w:sz w:val="22"/>
          <w:szCs w:val="22"/>
        </w:rPr>
        <w:t xml:space="preserve">social connection. </w:t>
      </w:r>
    </w:p>
    <w:p w14:paraId="08920F65" w14:textId="7ADF599C" w:rsidR="00D9656C" w:rsidRPr="00431A5F" w:rsidRDefault="00D9656C" w:rsidP="00B234B3">
      <w:pPr>
        <w:pStyle w:val="Paragraph"/>
        <w:spacing w:before="120" w:after="0"/>
        <w:rPr>
          <w:rFonts w:ascii="Times New Roman" w:hAnsi="Times New Roman" w:cs="Times New Roman"/>
          <w:sz w:val="22"/>
          <w:szCs w:val="22"/>
        </w:rPr>
      </w:pPr>
      <w:r w:rsidRPr="00431A5F">
        <w:rPr>
          <w:rFonts w:ascii="Times New Roman" w:hAnsi="Times New Roman" w:cs="Times New Roman"/>
          <w:sz w:val="22"/>
          <w:szCs w:val="22"/>
        </w:rPr>
        <w:t xml:space="preserve">The telecommunications landscape has changed substantially since the introduction of the Act and other key legislation in 1997. Many of the existing safeguards, including the </w:t>
      </w:r>
      <w:r w:rsidR="00692673" w:rsidRPr="00431A5F">
        <w:rPr>
          <w:rFonts w:ascii="Times New Roman" w:hAnsi="Times New Roman" w:cs="Times New Roman"/>
          <w:i/>
          <w:iCs/>
          <w:sz w:val="22"/>
          <w:szCs w:val="22"/>
        </w:rPr>
        <w:t>C</w:t>
      </w:r>
      <w:r w:rsidR="0064065F" w:rsidRPr="00431A5F">
        <w:rPr>
          <w:rFonts w:ascii="Times New Roman" w:hAnsi="Times New Roman" w:cs="Times New Roman"/>
          <w:i/>
          <w:iCs/>
          <w:sz w:val="22"/>
          <w:szCs w:val="22"/>
        </w:rPr>
        <w:t xml:space="preserve">628:2022 </w:t>
      </w:r>
      <w:r w:rsidRPr="00431A5F">
        <w:rPr>
          <w:rFonts w:ascii="Times New Roman" w:hAnsi="Times New Roman" w:cs="Times New Roman"/>
          <w:i/>
          <w:iCs/>
          <w:sz w:val="22"/>
          <w:szCs w:val="22"/>
        </w:rPr>
        <w:t>T</w:t>
      </w:r>
      <w:r w:rsidR="0064065F" w:rsidRPr="00431A5F">
        <w:rPr>
          <w:rFonts w:ascii="Times New Roman" w:hAnsi="Times New Roman" w:cs="Times New Roman"/>
          <w:i/>
          <w:iCs/>
          <w:sz w:val="22"/>
          <w:szCs w:val="22"/>
        </w:rPr>
        <w:t>elecommunications Consumer Protection</w:t>
      </w:r>
      <w:r w:rsidR="00784843" w:rsidRPr="00431A5F">
        <w:rPr>
          <w:rFonts w:ascii="Times New Roman" w:hAnsi="Times New Roman" w:cs="Times New Roman"/>
          <w:i/>
          <w:iCs/>
          <w:sz w:val="22"/>
          <w:szCs w:val="22"/>
        </w:rPr>
        <w:t>s</w:t>
      </w:r>
      <w:r w:rsidR="0064065F" w:rsidRPr="00431A5F">
        <w:rPr>
          <w:rFonts w:ascii="Times New Roman" w:hAnsi="Times New Roman" w:cs="Times New Roman"/>
          <w:i/>
          <w:iCs/>
          <w:sz w:val="22"/>
          <w:szCs w:val="22"/>
        </w:rPr>
        <w:t xml:space="preserve"> Code</w:t>
      </w:r>
      <w:r w:rsidR="00944333" w:rsidRPr="00431A5F">
        <w:rPr>
          <w:rFonts w:ascii="Times New Roman" w:hAnsi="Times New Roman" w:cs="Times New Roman"/>
          <w:sz w:val="22"/>
          <w:szCs w:val="22"/>
        </w:rPr>
        <w:t xml:space="preserve"> (</w:t>
      </w:r>
      <w:r w:rsidR="008B1289" w:rsidRPr="00431A5F">
        <w:rPr>
          <w:rFonts w:ascii="Times New Roman" w:hAnsi="Times New Roman" w:cs="Times New Roman"/>
          <w:sz w:val="22"/>
          <w:szCs w:val="22"/>
        </w:rPr>
        <w:t xml:space="preserve">the </w:t>
      </w:r>
      <w:r w:rsidR="00944333" w:rsidRPr="00431A5F">
        <w:rPr>
          <w:rFonts w:ascii="Times New Roman" w:hAnsi="Times New Roman" w:cs="Times New Roman"/>
          <w:b/>
          <w:sz w:val="22"/>
          <w:szCs w:val="22"/>
        </w:rPr>
        <w:t>TCP</w:t>
      </w:r>
      <w:r w:rsidRPr="00431A5F">
        <w:rPr>
          <w:rFonts w:ascii="Times New Roman" w:hAnsi="Times New Roman" w:cs="Times New Roman"/>
          <w:b/>
          <w:sz w:val="22"/>
          <w:szCs w:val="22"/>
        </w:rPr>
        <w:t xml:space="preserve"> Code</w:t>
      </w:r>
      <w:r w:rsidR="00944333" w:rsidRPr="00431A5F">
        <w:rPr>
          <w:rFonts w:ascii="Times New Roman" w:hAnsi="Times New Roman" w:cs="Times New Roman"/>
          <w:sz w:val="22"/>
          <w:szCs w:val="22"/>
        </w:rPr>
        <w:t>)</w:t>
      </w:r>
      <w:r w:rsidRPr="00431A5F">
        <w:rPr>
          <w:rFonts w:ascii="Times New Roman" w:hAnsi="Times New Roman" w:cs="Times New Roman"/>
          <w:sz w:val="22"/>
          <w:szCs w:val="22"/>
        </w:rPr>
        <w:t xml:space="preserve">, are built on a legislative framework initiated at a time when telecommunications </w:t>
      </w:r>
      <w:r w:rsidR="00A115CF" w:rsidRPr="00431A5F">
        <w:rPr>
          <w:rFonts w:ascii="Times New Roman" w:hAnsi="Times New Roman" w:cs="Times New Roman"/>
          <w:sz w:val="22"/>
          <w:szCs w:val="22"/>
        </w:rPr>
        <w:t xml:space="preserve">services </w:t>
      </w:r>
      <w:r w:rsidRPr="00431A5F">
        <w:rPr>
          <w:rFonts w:ascii="Times New Roman" w:hAnsi="Times New Roman" w:cs="Times New Roman"/>
          <w:sz w:val="22"/>
          <w:szCs w:val="22"/>
        </w:rPr>
        <w:t xml:space="preserve">were not seen as </w:t>
      </w:r>
      <w:r w:rsidR="001241A6">
        <w:rPr>
          <w:rFonts w:ascii="Times New Roman" w:hAnsi="Times New Roman" w:cs="Times New Roman"/>
          <w:sz w:val="22"/>
          <w:szCs w:val="22"/>
        </w:rPr>
        <w:t>the</w:t>
      </w:r>
      <w:r w:rsidR="001241A6" w:rsidRPr="00431A5F">
        <w:rPr>
          <w:rFonts w:ascii="Times New Roman" w:hAnsi="Times New Roman" w:cs="Times New Roman"/>
          <w:sz w:val="22"/>
          <w:szCs w:val="22"/>
        </w:rPr>
        <w:t xml:space="preserve"> </w:t>
      </w:r>
      <w:r w:rsidRPr="00431A5F">
        <w:rPr>
          <w:rFonts w:ascii="Times New Roman" w:hAnsi="Times New Roman" w:cs="Times New Roman"/>
          <w:sz w:val="22"/>
          <w:szCs w:val="22"/>
        </w:rPr>
        <w:t>essential service</w:t>
      </w:r>
      <w:r w:rsidR="001241A6">
        <w:rPr>
          <w:rFonts w:ascii="Times New Roman" w:hAnsi="Times New Roman" w:cs="Times New Roman"/>
          <w:sz w:val="22"/>
          <w:szCs w:val="22"/>
        </w:rPr>
        <w:t>s</w:t>
      </w:r>
      <w:r w:rsidRPr="00431A5F">
        <w:rPr>
          <w:rFonts w:ascii="Times New Roman" w:hAnsi="Times New Roman" w:cs="Times New Roman"/>
          <w:sz w:val="22"/>
          <w:szCs w:val="22"/>
        </w:rPr>
        <w:t xml:space="preserve"> </w:t>
      </w:r>
      <w:r w:rsidR="007C2BF0" w:rsidRPr="00431A5F">
        <w:rPr>
          <w:rFonts w:ascii="Times New Roman" w:hAnsi="Times New Roman" w:cs="Times New Roman"/>
          <w:sz w:val="22"/>
          <w:szCs w:val="22"/>
        </w:rPr>
        <w:t>they are today</w:t>
      </w:r>
      <w:r w:rsidR="00DB52B4">
        <w:rPr>
          <w:rFonts w:ascii="Times New Roman" w:hAnsi="Times New Roman" w:cs="Times New Roman"/>
          <w:sz w:val="22"/>
          <w:szCs w:val="22"/>
        </w:rPr>
        <w:t>,</w:t>
      </w:r>
      <w:r w:rsidR="007C2BF0" w:rsidRPr="00431A5F">
        <w:rPr>
          <w:rFonts w:ascii="Times New Roman" w:hAnsi="Times New Roman" w:cs="Times New Roman"/>
          <w:sz w:val="22"/>
          <w:szCs w:val="22"/>
        </w:rPr>
        <w:t xml:space="preserve"> </w:t>
      </w:r>
      <w:r w:rsidRPr="00431A5F">
        <w:rPr>
          <w:rFonts w:ascii="Times New Roman" w:hAnsi="Times New Roman" w:cs="Times New Roman"/>
          <w:sz w:val="22"/>
          <w:szCs w:val="22"/>
        </w:rPr>
        <w:t xml:space="preserve">and the telecommunications market was much less diverse. </w:t>
      </w:r>
    </w:p>
    <w:p w14:paraId="0E4B4512" w14:textId="1F60C6B0" w:rsidR="000B1DCF" w:rsidRPr="00431A5F" w:rsidRDefault="000B1DCF" w:rsidP="00B234B3">
      <w:pPr>
        <w:pStyle w:val="Paragraph"/>
        <w:spacing w:before="120" w:after="0"/>
        <w:rPr>
          <w:rFonts w:ascii="Times New Roman" w:hAnsi="Times New Roman" w:cs="Times New Roman"/>
          <w:sz w:val="22"/>
          <w:szCs w:val="22"/>
        </w:rPr>
      </w:pPr>
      <w:r w:rsidRPr="00431A5F">
        <w:rPr>
          <w:rFonts w:ascii="Times New Roman" w:hAnsi="Times New Roman" w:cs="Times New Roman"/>
          <w:sz w:val="22"/>
          <w:szCs w:val="22"/>
        </w:rPr>
        <w:t>The type of regulation should match the importance that telecommunications services play in Australians’ lives.</w:t>
      </w:r>
    </w:p>
    <w:p w14:paraId="5BB2EC10" w14:textId="503F6ADE" w:rsidR="00200C94" w:rsidRPr="00431A5F" w:rsidRDefault="00200C94" w:rsidP="00B234B3">
      <w:pPr>
        <w:spacing w:before="120" w:after="0"/>
        <w:rPr>
          <w:rFonts w:ascii="Times New Roman" w:hAnsi="Times New Roman"/>
          <w:sz w:val="22"/>
          <w:szCs w:val="22"/>
          <w:lang w:val="en-US"/>
        </w:rPr>
      </w:pPr>
      <w:r w:rsidRPr="00431A5F">
        <w:rPr>
          <w:rFonts w:ascii="Times New Roman" w:hAnsi="Times New Roman"/>
          <w:sz w:val="22"/>
          <w:szCs w:val="22"/>
          <w:lang w:val="en-US"/>
        </w:rPr>
        <w:t xml:space="preserve">Research and reports over the past 4 years, from both the ACMA and a range of other key stakeholders, confirm financial hardship is a significant problem and that </w:t>
      </w:r>
      <w:r w:rsidR="00704AEF" w:rsidRPr="00431A5F">
        <w:rPr>
          <w:rFonts w:ascii="Times New Roman" w:hAnsi="Times New Roman"/>
          <w:sz w:val="22"/>
          <w:szCs w:val="22"/>
          <w:lang w:val="en-US"/>
        </w:rPr>
        <w:t>existing</w:t>
      </w:r>
      <w:r w:rsidR="008B1289" w:rsidRPr="00431A5F">
        <w:rPr>
          <w:rFonts w:ascii="Times New Roman" w:hAnsi="Times New Roman"/>
          <w:sz w:val="22"/>
          <w:szCs w:val="22"/>
          <w:lang w:val="en-US"/>
        </w:rPr>
        <w:t xml:space="preserve"> safeguards were not meeting </w:t>
      </w:r>
      <w:r w:rsidRPr="00431A5F">
        <w:rPr>
          <w:rFonts w:ascii="Times New Roman" w:hAnsi="Times New Roman"/>
          <w:sz w:val="22"/>
          <w:szCs w:val="22"/>
          <w:lang w:val="en-US"/>
        </w:rPr>
        <w:t xml:space="preserve">reasonable consumer expectations. </w:t>
      </w:r>
    </w:p>
    <w:p w14:paraId="53E8A851" w14:textId="519EA1AB" w:rsidR="00B311B5" w:rsidRPr="00431A5F" w:rsidRDefault="00B311B5" w:rsidP="00B234B3">
      <w:pPr>
        <w:spacing w:before="120" w:after="0"/>
        <w:rPr>
          <w:rFonts w:ascii="Times New Roman" w:hAnsi="Times New Roman"/>
          <w:sz w:val="22"/>
          <w:szCs w:val="22"/>
        </w:rPr>
      </w:pPr>
      <w:r w:rsidRPr="00431A5F">
        <w:rPr>
          <w:rFonts w:ascii="Times New Roman" w:hAnsi="Times New Roman"/>
          <w:sz w:val="22"/>
          <w:szCs w:val="22"/>
        </w:rPr>
        <w:lastRenderedPageBreak/>
        <w:t>Supporting consumers experiencing financial hardship so that th</w:t>
      </w:r>
      <w:r w:rsidR="00704AEF" w:rsidRPr="00431A5F">
        <w:rPr>
          <w:rFonts w:ascii="Times New Roman" w:hAnsi="Times New Roman"/>
          <w:sz w:val="22"/>
          <w:szCs w:val="22"/>
        </w:rPr>
        <w:t>ey</w:t>
      </w:r>
      <w:r w:rsidRPr="00431A5F">
        <w:rPr>
          <w:rFonts w:ascii="Times New Roman" w:hAnsi="Times New Roman"/>
          <w:sz w:val="22"/>
          <w:szCs w:val="22"/>
        </w:rPr>
        <w:t xml:space="preserve"> can retain access to the</w:t>
      </w:r>
      <w:r w:rsidR="00704AEF" w:rsidRPr="00431A5F">
        <w:rPr>
          <w:rFonts w:ascii="Times New Roman" w:hAnsi="Times New Roman"/>
          <w:sz w:val="22"/>
          <w:szCs w:val="22"/>
        </w:rPr>
        <w:t>ir</w:t>
      </w:r>
      <w:r w:rsidRPr="00431A5F">
        <w:rPr>
          <w:rFonts w:ascii="Times New Roman" w:hAnsi="Times New Roman"/>
          <w:sz w:val="22"/>
          <w:szCs w:val="22"/>
        </w:rPr>
        <w:t xml:space="preserve"> </w:t>
      </w:r>
      <w:r w:rsidR="00704AEF" w:rsidRPr="00431A5F">
        <w:rPr>
          <w:rFonts w:ascii="Times New Roman" w:hAnsi="Times New Roman"/>
          <w:sz w:val="22"/>
          <w:szCs w:val="22"/>
        </w:rPr>
        <w:t>telecommunications</w:t>
      </w:r>
      <w:r w:rsidRPr="00431A5F">
        <w:rPr>
          <w:rFonts w:ascii="Times New Roman" w:hAnsi="Times New Roman"/>
          <w:sz w:val="22"/>
          <w:szCs w:val="22"/>
        </w:rPr>
        <w:t xml:space="preserve"> service </w:t>
      </w:r>
      <w:r w:rsidR="004D298C" w:rsidRPr="00431A5F">
        <w:rPr>
          <w:rFonts w:ascii="Times New Roman" w:hAnsi="Times New Roman"/>
          <w:sz w:val="22"/>
          <w:szCs w:val="22"/>
        </w:rPr>
        <w:t xml:space="preserve">has become </w:t>
      </w:r>
      <w:r w:rsidRPr="00431A5F">
        <w:rPr>
          <w:rFonts w:ascii="Times New Roman" w:hAnsi="Times New Roman"/>
          <w:sz w:val="22"/>
          <w:szCs w:val="22"/>
        </w:rPr>
        <w:t>a priority. With current safeguards not operating to adequately protect these consumers, stronger measures are required.</w:t>
      </w:r>
    </w:p>
    <w:p w14:paraId="741BE15F" w14:textId="4DAD007A" w:rsidR="00EA49B2" w:rsidRPr="00431A5F" w:rsidRDefault="00EA49B2" w:rsidP="00B234B3">
      <w:pPr>
        <w:spacing w:before="120" w:after="0"/>
        <w:rPr>
          <w:rFonts w:ascii="Times New Roman" w:hAnsi="Times New Roman"/>
          <w:sz w:val="22"/>
          <w:szCs w:val="22"/>
        </w:rPr>
      </w:pPr>
      <w:r w:rsidRPr="00431A5F">
        <w:rPr>
          <w:rFonts w:ascii="Times New Roman" w:hAnsi="Times New Roman"/>
          <w:sz w:val="22"/>
          <w:szCs w:val="22"/>
        </w:rPr>
        <w:t xml:space="preserve">The Minister’s </w:t>
      </w:r>
      <w:r w:rsidR="00D7322D" w:rsidRPr="00431A5F">
        <w:rPr>
          <w:rFonts w:ascii="Times New Roman" w:hAnsi="Times New Roman"/>
          <w:sz w:val="22"/>
          <w:szCs w:val="22"/>
        </w:rPr>
        <w:t>D</w:t>
      </w:r>
      <w:r w:rsidRPr="00431A5F">
        <w:rPr>
          <w:rFonts w:ascii="Times New Roman" w:hAnsi="Times New Roman"/>
          <w:sz w:val="22"/>
          <w:szCs w:val="22"/>
        </w:rPr>
        <w:t>irect</w:t>
      </w:r>
      <w:r w:rsidR="00704AEF" w:rsidRPr="00431A5F">
        <w:rPr>
          <w:rFonts w:ascii="Times New Roman" w:hAnsi="Times New Roman"/>
          <w:sz w:val="22"/>
          <w:szCs w:val="22"/>
        </w:rPr>
        <w:t>ion to</w:t>
      </w:r>
      <w:r w:rsidRPr="00431A5F">
        <w:rPr>
          <w:rFonts w:ascii="Times New Roman" w:hAnsi="Times New Roman"/>
          <w:sz w:val="22"/>
          <w:szCs w:val="22"/>
        </w:rPr>
        <w:t xml:space="preserve"> the ACMA was </w:t>
      </w:r>
      <w:r w:rsidR="00704AEF" w:rsidRPr="00431A5F">
        <w:rPr>
          <w:rFonts w:ascii="Times New Roman" w:hAnsi="Times New Roman"/>
          <w:sz w:val="22"/>
          <w:szCs w:val="22"/>
        </w:rPr>
        <w:t>given</w:t>
      </w:r>
      <w:r w:rsidRPr="00431A5F">
        <w:rPr>
          <w:rFonts w:ascii="Times New Roman" w:hAnsi="Times New Roman"/>
          <w:sz w:val="22"/>
          <w:szCs w:val="22"/>
        </w:rPr>
        <w:t xml:space="preserve"> to ensure </w:t>
      </w:r>
      <w:r w:rsidR="00704AEF" w:rsidRPr="00431A5F">
        <w:rPr>
          <w:rFonts w:ascii="Times New Roman" w:hAnsi="Times New Roman"/>
          <w:sz w:val="22"/>
          <w:szCs w:val="22"/>
        </w:rPr>
        <w:t xml:space="preserve">that </w:t>
      </w:r>
      <w:r w:rsidRPr="00431A5F">
        <w:rPr>
          <w:rFonts w:ascii="Times New Roman" w:hAnsi="Times New Roman"/>
          <w:sz w:val="22"/>
          <w:szCs w:val="22"/>
        </w:rPr>
        <w:t>appropriate support is</w:t>
      </w:r>
      <w:r w:rsidR="00704AEF" w:rsidRPr="00431A5F">
        <w:rPr>
          <w:rFonts w:ascii="Times New Roman" w:hAnsi="Times New Roman"/>
          <w:sz w:val="22"/>
          <w:szCs w:val="22"/>
        </w:rPr>
        <w:t xml:space="preserve"> made</w:t>
      </w:r>
      <w:r w:rsidRPr="00431A5F">
        <w:rPr>
          <w:rFonts w:ascii="Times New Roman" w:hAnsi="Times New Roman"/>
          <w:sz w:val="22"/>
          <w:szCs w:val="22"/>
        </w:rPr>
        <w:t xml:space="preserve"> available </w:t>
      </w:r>
      <w:r w:rsidR="00D034E6">
        <w:rPr>
          <w:rFonts w:ascii="Times New Roman" w:hAnsi="Times New Roman"/>
          <w:sz w:val="22"/>
          <w:szCs w:val="22"/>
        </w:rPr>
        <w:t>to c</w:t>
      </w:r>
      <w:r w:rsidR="00D43BE0">
        <w:rPr>
          <w:rFonts w:ascii="Times New Roman" w:hAnsi="Times New Roman"/>
          <w:sz w:val="22"/>
          <w:szCs w:val="22"/>
        </w:rPr>
        <w:t>onsu</w:t>
      </w:r>
      <w:r w:rsidR="00D034E6">
        <w:rPr>
          <w:rFonts w:ascii="Times New Roman" w:hAnsi="Times New Roman"/>
          <w:sz w:val="22"/>
          <w:szCs w:val="22"/>
        </w:rPr>
        <w:t xml:space="preserve">mers </w:t>
      </w:r>
      <w:r w:rsidRPr="00431A5F">
        <w:rPr>
          <w:rFonts w:ascii="Times New Roman" w:hAnsi="Times New Roman"/>
          <w:sz w:val="22"/>
          <w:szCs w:val="22"/>
        </w:rPr>
        <w:t xml:space="preserve">through directly enforceable rules as soon as </w:t>
      </w:r>
      <w:r w:rsidR="009B3F52">
        <w:rPr>
          <w:rFonts w:ascii="Times New Roman" w:hAnsi="Times New Roman"/>
          <w:sz w:val="22"/>
          <w:szCs w:val="22"/>
        </w:rPr>
        <w:t>practicable</w:t>
      </w:r>
      <w:r w:rsidRPr="00431A5F">
        <w:rPr>
          <w:rFonts w:ascii="Times New Roman" w:hAnsi="Times New Roman"/>
          <w:sz w:val="22"/>
          <w:szCs w:val="22"/>
        </w:rPr>
        <w:t>.</w:t>
      </w:r>
    </w:p>
    <w:p w14:paraId="3CA62C98" w14:textId="3675E254" w:rsidR="00B6315B" w:rsidRPr="00431A5F" w:rsidRDefault="00B6315B" w:rsidP="00B234B3">
      <w:pPr>
        <w:spacing w:before="120" w:after="0"/>
        <w:rPr>
          <w:rFonts w:ascii="Times New Roman" w:hAnsi="Times New Roman"/>
          <w:b/>
          <w:sz w:val="22"/>
          <w:szCs w:val="22"/>
          <w:lang w:val="en-US"/>
        </w:rPr>
      </w:pPr>
      <w:r w:rsidRPr="00431A5F">
        <w:rPr>
          <w:rFonts w:ascii="Times New Roman" w:hAnsi="Times New Roman"/>
          <w:b/>
          <w:sz w:val="22"/>
          <w:szCs w:val="22"/>
          <w:lang w:val="en-US"/>
        </w:rPr>
        <w:t>Purpose</w:t>
      </w:r>
    </w:p>
    <w:p w14:paraId="044FB70C" w14:textId="01BDCD2B" w:rsidR="00B6315B" w:rsidRPr="00431A5F" w:rsidRDefault="004B0AB5" w:rsidP="00B234B3">
      <w:pPr>
        <w:spacing w:before="120" w:after="0"/>
        <w:rPr>
          <w:rFonts w:ascii="Times New Roman" w:hAnsi="Times New Roman"/>
          <w:sz w:val="22"/>
          <w:szCs w:val="22"/>
          <w:lang w:val="en-US"/>
        </w:rPr>
      </w:pPr>
      <w:r w:rsidRPr="00431A5F">
        <w:rPr>
          <w:rFonts w:ascii="Times New Roman" w:hAnsi="Times New Roman"/>
          <w:sz w:val="22"/>
          <w:szCs w:val="22"/>
          <w:lang w:val="en-US"/>
        </w:rPr>
        <w:t>The Standard</w:t>
      </w:r>
      <w:r w:rsidR="00B6315B" w:rsidRPr="00431A5F">
        <w:rPr>
          <w:rFonts w:ascii="Times New Roman" w:hAnsi="Times New Roman"/>
          <w:sz w:val="22"/>
          <w:szCs w:val="22"/>
          <w:lang w:val="en-US"/>
        </w:rPr>
        <w:t xml:space="preserve"> requires </w:t>
      </w:r>
      <w:r w:rsidR="00432DA5" w:rsidRPr="00A0419A">
        <w:rPr>
          <w:rFonts w:ascii="Times New Roman" w:hAnsi="Times New Roman"/>
          <w:sz w:val="22"/>
          <w:szCs w:val="22"/>
          <w:lang w:val="en-US"/>
        </w:rPr>
        <w:t>CSPs</w:t>
      </w:r>
      <w:r w:rsidR="00B6315B" w:rsidRPr="00431A5F">
        <w:rPr>
          <w:rFonts w:ascii="Times New Roman" w:hAnsi="Times New Roman"/>
          <w:sz w:val="22"/>
          <w:szCs w:val="22"/>
          <w:lang w:val="en-US"/>
        </w:rPr>
        <w:t xml:space="preserve"> </w:t>
      </w:r>
      <w:r w:rsidR="004D37CE">
        <w:rPr>
          <w:rFonts w:ascii="Times New Roman" w:hAnsi="Times New Roman"/>
          <w:sz w:val="22"/>
          <w:szCs w:val="22"/>
          <w:lang w:val="en-US"/>
        </w:rPr>
        <w:t xml:space="preserve">(defined </w:t>
      </w:r>
      <w:r w:rsidR="00322F64">
        <w:rPr>
          <w:rFonts w:ascii="Times New Roman" w:hAnsi="Times New Roman"/>
          <w:sz w:val="22"/>
          <w:szCs w:val="22"/>
          <w:lang w:val="en-US"/>
        </w:rPr>
        <w:t xml:space="preserve">in section 5 as </w:t>
      </w:r>
      <w:r w:rsidR="004D37CE">
        <w:rPr>
          <w:rFonts w:ascii="Times New Roman" w:hAnsi="Times New Roman"/>
          <w:sz w:val="22"/>
          <w:szCs w:val="22"/>
        </w:rPr>
        <w:t xml:space="preserve">‘providers’) </w:t>
      </w:r>
      <w:r w:rsidR="00B6315B" w:rsidRPr="00431A5F">
        <w:rPr>
          <w:rFonts w:ascii="Times New Roman" w:hAnsi="Times New Roman"/>
          <w:sz w:val="22"/>
          <w:szCs w:val="22"/>
          <w:lang w:val="en-US"/>
        </w:rPr>
        <w:t xml:space="preserve">to support customers who are (or may be) experiencing financial hardship through early identification and appropriate assistance. The </w:t>
      </w:r>
      <w:r w:rsidR="007F0F8F" w:rsidRPr="00431A5F">
        <w:rPr>
          <w:rFonts w:ascii="Times New Roman" w:hAnsi="Times New Roman"/>
          <w:sz w:val="22"/>
          <w:szCs w:val="22"/>
          <w:lang w:val="en-US"/>
        </w:rPr>
        <w:t xml:space="preserve">Standard </w:t>
      </w:r>
      <w:r w:rsidR="00B6315B" w:rsidRPr="00431A5F">
        <w:rPr>
          <w:rFonts w:ascii="Times New Roman" w:hAnsi="Times New Roman"/>
          <w:sz w:val="22"/>
          <w:szCs w:val="22"/>
          <w:lang w:val="en-US"/>
        </w:rPr>
        <w:t>deals with information and support that is</w:t>
      </w:r>
      <w:r w:rsidR="00704AEF" w:rsidRPr="00431A5F">
        <w:rPr>
          <w:rFonts w:ascii="Times New Roman" w:hAnsi="Times New Roman"/>
          <w:sz w:val="22"/>
          <w:szCs w:val="22"/>
          <w:lang w:val="en-US"/>
        </w:rPr>
        <w:t xml:space="preserve"> to be</w:t>
      </w:r>
      <w:r w:rsidR="00B6315B" w:rsidRPr="00431A5F">
        <w:rPr>
          <w:rFonts w:ascii="Times New Roman" w:hAnsi="Times New Roman"/>
          <w:sz w:val="22"/>
          <w:szCs w:val="22"/>
          <w:lang w:val="en-US"/>
        </w:rPr>
        <w:t xml:space="preserve"> provided, and made available to customers and potential customers, relating to financial hardship matters. The </w:t>
      </w:r>
      <w:r w:rsidR="004D298C" w:rsidRPr="00431A5F">
        <w:rPr>
          <w:rFonts w:ascii="Times New Roman" w:hAnsi="Times New Roman"/>
          <w:sz w:val="22"/>
          <w:szCs w:val="22"/>
          <w:lang w:val="en-US"/>
        </w:rPr>
        <w:t>S</w:t>
      </w:r>
      <w:r w:rsidR="00B6315B" w:rsidRPr="00431A5F">
        <w:rPr>
          <w:rFonts w:ascii="Times New Roman" w:hAnsi="Times New Roman"/>
          <w:sz w:val="22"/>
          <w:szCs w:val="22"/>
          <w:lang w:val="en-US"/>
        </w:rPr>
        <w:t xml:space="preserve">tandard has regard to the essential nature of telecommunications services with a focus on keeping customers connected to services </w:t>
      </w:r>
      <w:r w:rsidR="00704AEF" w:rsidRPr="00431A5F">
        <w:rPr>
          <w:rFonts w:ascii="Times New Roman" w:hAnsi="Times New Roman"/>
          <w:sz w:val="22"/>
          <w:szCs w:val="22"/>
          <w:lang w:val="en-US"/>
        </w:rPr>
        <w:t>appropriate to</w:t>
      </w:r>
      <w:r w:rsidR="00B6315B" w:rsidRPr="00431A5F">
        <w:rPr>
          <w:rFonts w:ascii="Times New Roman" w:hAnsi="Times New Roman"/>
          <w:sz w:val="22"/>
          <w:szCs w:val="22"/>
          <w:lang w:val="en-US"/>
        </w:rPr>
        <w:t xml:space="preserve"> their needs. Th</w:t>
      </w:r>
      <w:r w:rsidR="006F0A42">
        <w:rPr>
          <w:rFonts w:ascii="Times New Roman" w:hAnsi="Times New Roman"/>
          <w:sz w:val="22"/>
          <w:szCs w:val="22"/>
          <w:lang w:val="en-US"/>
        </w:rPr>
        <w:t>e Stan</w:t>
      </w:r>
      <w:r w:rsidR="00EC46FB">
        <w:rPr>
          <w:rFonts w:ascii="Times New Roman" w:hAnsi="Times New Roman"/>
          <w:sz w:val="22"/>
          <w:szCs w:val="22"/>
          <w:lang w:val="en-US"/>
        </w:rPr>
        <w:t>d</w:t>
      </w:r>
      <w:r w:rsidR="006F0A42">
        <w:rPr>
          <w:rFonts w:ascii="Times New Roman" w:hAnsi="Times New Roman"/>
          <w:sz w:val="22"/>
          <w:szCs w:val="22"/>
          <w:lang w:val="en-US"/>
        </w:rPr>
        <w:t>ard</w:t>
      </w:r>
      <w:r w:rsidR="00B6315B" w:rsidRPr="00431A5F">
        <w:rPr>
          <w:rFonts w:ascii="Times New Roman" w:hAnsi="Times New Roman"/>
          <w:sz w:val="22"/>
          <w:szCs w:val="22"/>
          <w:lang w:val="en-US"/>
        </w:rPr>
        <w:t> </w:t>
      </w:r>
      <w:r w:rsidR="00890F2A">
        <w:rPr>
          <w:rFonts w:ascii="Times New Roman" w:hAnsi="Times New Roman"/>
          <w:sz w:val="22"/>
          <w:szCs w:val="22"/>
          <w:lang w:val="en-US"/>
        </w:rPr>
        <w:t xml:space="preserve">is also designed to help </w:t>
      </w:r>
      <w:r w:rsidR="00660678">
        <w:rPr>
          <w:rFonts w:ascii="Times New Roman" w:hAnsi="Times New Roman"/>
          <w:sz w:val="22"/>
          <w:szCs w:val="22"/>
          <w:lang w:val="en-US"/>
        </w:rPr>
        <w:t>customers</w:t>
      </w:r>
      <w:r w:rsidR="00890F2A">
        <w:rPr>
          <w:rFonts w:ascii="Times New Roman" w:hAnsi="Times New Roman"/>
          <w:sz w:val="22"/>
          <w:szCs w:val="22"/>
          <w:lang w:val="en-US"/>
        </w:rPr>
        <w:t xml:space="preserve"> experiencing financial hardship to</w:t>
      </w:r>
      <w:r w:rsidR="00EC46FB" w:rsidRPr="00431A5F">
        <w:rPr>
          <w:rFonts w:ascii="Times New Roman" w:hAnsi="Times New Roman"/>
          <w:sz w:val="22"/>
          <w:szCs w:val="22"/>
          <w:lang w:val="en-US"/>
        </w:rPr>
        <w:t xml:space="preserve"> </w:t>
      </w:r>
      <w:r w:rsidR="00B6315B" w:rsidRPr="00431A5F">
        <w:rPr>
          <w:rFonts w:ascii="Times New Roman" w:hAnsi="Times New Roman"/>
          <w:sz w:val="22"/>
          <w:szCs w:val="22"/>
          <w:lang w:val="en-US"/>
        </w:rPr>
        <w:t xml:space="preserve">maintain access to devices </w:t>
      </w:r>
      <w:r w:rsidR="00A7452B">
        <w:rPr>
          <w:rFonts w:ascii="Times New Roman" w:hAnsi="Times New Roman"/>
          <w:sz w:val="22"/>
          <w:szCs w:val="22"/>
          <w:lang w:val="en-US"/>
        </w:rPr>
        <w:t xml:space="preserve">and equipment </w:t>
      </w:r>
      <w:r w:rsidR="00B6315B" w:rsidRPr="00431A5F">
        <w:rPr>
          <w:rFonts w:ascii="Times New Roman" w:hAnsi="Times New Roman"/>
          <w:sz w:val="22"/>
          <w:szCs w:val="22"/>
          <w:lang w:val="en-US"/>
        </w:rPr>
        <w:t xml:space="preserve">that enable connection to </w:t>
      </w:r>
      <w:r w:rsidR="00B22F26">
        <w:rPr>
          <w:rFonts w:ascii="Times New Roman" w:hAnsi="Times New Roman"/>
          <w:sz w:val="22"/>
          <w:szCs w:val="22"/>
          <w:lang w:val="en-US"/>
        </w:rPr>
        <w:t>telecommunications</w:t>
      </w:r>
      <w:r w:rsidR="00B22F26" w:rsidRPr="00431A5F">
        <w:rPr>
          <w:rFonts w:ascii="Times New Roman" w:hAnsi="Times New Roman"/>
          <w:sz w:val="22"/>
          <w:szCs w:val="22"/>
          <w:lang w:val="en-US"/>
        </w:rPr>
        <w:t xml:space="preserve"> </w:t>
      </w:r>
      <w:r w:rsidR="00B6315B" w:rsidRPr="00431A5F">
        <w:rPr>
          <w:rFonts w:ascii="Times New Roman" w:hAnsi="Times New Roman"/>
          <w:sz w:val="22"/>
          <w:szCs w:val="22"/>
          <w:lang w:val="en-US"/>
        </w:rPr>
        <w:t xml:space="preserve">services – noting that debt and associated financial hardship can relate to </w:t>
      </w:r>
      <w:r w:rsidR="00625D4F">
        <w:rPr>
          <w:rFonts w:ascii="Times New Roman" w:hAnsi="Times New Roman"/>
          <w:sz w:val="22"/>
          <w:szCs w:val="22"/>
          <w:lang w:val="en-US"/>
        </w:rPr>
        <w:t>telecommunications</w:t>
      </w:r>
      <w:r w:rsidR="00890F2A">
        <w:rPr>
          <w:rFonts w:ascii="Times New Roman" w:hAnsi="Times New Roman"/>
          <w:sz w:val="22"/>
          <w:szCs w:val="22"/>
          <w:lang w:val="en-US"/>
        </w:rPr>
        <w:t xml:space="preserve"> </w:t>
      </w:r>
      <w:r w:rsidR="00625D4F">
        <w:rPr>
          <w:rFonts w:ascii="Times New Roman" w:hAnsi="Times New Roman"/>
          <w:sz w:val="22"/>
          <w:szCs w:val="22"/>
          <w:lang w:val="en-US"/>
        </w:rPr>
        <w:t xml:space="preserve">goods </w:t>
      </w:r>
      <w:r w:rsidR="00B6315B" w:rsidRPr="00431A5F">
        <w:rPr>
          <w:rFonts w:ascii="Times New Roman" w:hAnsi="Times New Roman"/>
          <w:sz w:val="22"/>
          <w:szCs w:val="22"/>
          <w:lang w:val="en-US"/>
        </w:rPr>
        <w:t xml:space="preserve">(for example, mobile handsets) that a customer has acquired from a </w:t>
      </w:r>
      <w:r w:rsidR="00D821CA" w:rsidRPr="00431A5F">
        <w:rPr>
          <w:rFonts w:ascii="Times New Roman" w:hAnsi="Times New Roman"/>
          <w:sz w:val="22"/>
          <w:szCs w:val="22"/>
          <w:lang w:val="en-US"/>
        </w:rPr>
        <w:t>CSP</w:t>
      </w:r>
      <w:r w:rsidR="00B6315B" w:rsidRPr="00431A5F">
        <w:rPr>
          <w:rFonts w:ascii="Times New Roman" w:hAnsi="Times New Roman"/>
          <w:sz w:val="22"/>
          <w:szCs w:val="22"/>
          <w:lang w:val="en-US"/>
        </w:rPr>
        <w:t>.</w:t>
      </w:r>
    </w:p>
    <w:p w14:paraId="13300262" w14:textId="76ABF236" w:rsidR="00D9656C" w:rsidRPr="00431A5F" w:rsidRDefault="00B6315B" w:rsidP="007D00BD">
      <w:pPr>
        <w:spacing w:before="120" w:after="0"/>
        <w:rPr>
          <w:rFonts w:ascii="Times New Roman" w:hAnsi="Times New Roman"/>
          <w:b/>
          <w:bCs/>
          <w:sz w:val="22"/>
          <w:szCs w:val="22"/>
        </w:rPr>
      </w:pPr>
      <w:r w:rsidRPr="00431A5F">
        <w:rPr>
          <w:rFonts w:ascii="Times New Roman" w:hAnsi="Times New Roman"/>
          <w:b/>
          <w:bCs/>
          <w:sz w:val="22"/>
          <w:szCs w:val="22"/>
        </w:rPr>
        <w:t xml:space="preserve">Operation </w:t>
      </w:r>
    </w:p>
    <w:p w14:paraId="321B8146" w14:textId="20087155" w:rsidR="003616C2" w:rsidRPr="00431A5F" w:rsidRDefault="003616C2" w:rsidP="007D00BD">
      <w:pPr>
        <w:spacing w:before="120" w:after="0"/>
        <w:rPr>
          <w:rFonts w:ascii="Times New Roman" w:hAnsi="Times New Roman"/>
          <w:sz w:val="22"/>
          <w:szCs w:val="22"/>
        </w:rPr>
      </w:pPr>
      <w:r w:rsidRPr="00431A5F">
        <w:rPr>
          <w:rFonts w:ascii="Times New Roman" w:hAnsi="Times New Roman"/>
          <w:sz w:val="22"/>
          <w:szCs w:val="22"/>
        </w:rPr>
        <w:t>The Standard has been made to fulfil the requirements of the Direction</w:t>
      </w:r>
      <w:r w:rsidR="0007158E" w:rsidRPr="00431A5F">
        <w:rPr>
          <w:rFonts w:ascii="Times New Roman" w:hAnsi="Times New Roman"/>
          <w:sz w:val="22"/>
          <w:szCs w:val="22"/>
        </w:rPr>
        <w:t>.</w:t>
      </w:r>
      <w:r w:rsidR="00432DA5" w:rsidRPr="00431A5F">
        <w:rPr>
          <w:rFonts w:ascii="Times New Roman" w:hAnsi="Times New Roman"/>
          <w:sz w:val="22"/>
          <w:szCs w:val="22"/>
        </w:rPr>
        <w:t xml:space="preserve"> </w:t>
      </w:r>
    </w:p>
    <w:p w14:paraId="1601A85E" w14:textId="39D67467" w:rsidR="00432DA5" w:rsidRPr="00431A5F" w:rsidRDefault="00432DA5" w:rsidP="00B234B3">
      <w:pPr>
        <w:pStyle w:val="Paragraph"/>
        <w:spacing w:before="120" w:after="0"/>
        <w:rPr>
          <w:rFonts w:ascii="Times New Roman" w:eastAsiaTheme="minorHAnsi" w:hAnsi="Times New Roman" w:cs="Times New Roman"/>
          <w:sz w:val="22"/>
          <w:szCs w:val="22"/>
          <w:lang w:eastAsia="en-US"/>
        </w:rPr>
      </w:pPr>
      <w:r w:rsidRPr="00431A5F">
        <w:rPr>
          <w:rFonts w:ascii="Times New Roman" w:eastAsiaTheme="minorHAnsi" w:hAnsi="Times New Roman" w:cs="Times New Roman"/>
          <w:sz w:val="22"/>
          <w:szCs w:val="22"/>
          <w:lang w:eastAsia="en-US"/>
        </w:rPr>
        <w:t>Part 1 sets out important information about the commencement, purpose and application of the Standard.</w:t>
      </w:r>
      <w:r w:rsidR="0007158E" w:rsidRPr="00431A5F">
        <w:rPr>
          <w:rFonts w:ascii="Times New Roman" w:eastAsiaTheme="minorHAnsi" w:hAnsi="Times New Roman" w:cs="Times New Roman"/>
          <w:sz w:val="22"/>
          <w:szCs w:val="22"/>
          <w:lang w:eastAsia="en-US"/>
        </w:rPr>
        <w:t xml:space="preserve"> </w:t>
      </w:r>
      <w:r w:rsidR="00E77D41" w:rsidRPr="00431A5F">
        <w:rPr>
          <w:rFonts w:ascii="Times New Roman" w:eastAsiaTheme="minorHAnsi" w:hAnsi="Times New Roman" w:cs="Times New Roman"/>
          <w:sz w:val="22"/>
          <w:szCs w:val="22"/>
          <w:lang w:eastAsia="en-US"/>
        </w:rPr>
        <w:t xml:space="preserve">The Standard applies to CSPs that deal with residential, small business and not-for-profit customers. This </w:t>
      </w:r>
      <w:r w:rsidR="00D370F8" w:rsidRPr="00431A5F">
        <w:rPr>
          <w:rFonts w:ascii="Times New Roman" w:eastAsiaTheme="minorHAnsi" w:hAnsi="Times New Roman" w:cs="Times New Roman"/>
          <w:sz w:val="22"/>
          <w:szCs w:val="22"/>
          <w:lang w:eastAsia="en-US"/>
        </w:rPr>
        <w:t>P</w:t>
      </w:r>
      <w:r w:rsidR="00E77D41" w:rsidRPr="00431A5F">
        <w:rPr>
          <w:rFonts w:ascii="Times New Roman" w:eastAsiaTheme="minorHAnsi" w:hAnsi="Times New Roman" w:cs="Times New Roman"/>
          <w:sz w:val="22"/>
          <w:szCs w:val="22"/>
          <w:lang w:eastAsia="en-US"/>
        </w:rPr>
        <w:t xml:space="preserve">art </w:t>
      </w:r>
      <w:r w:rsidRPr="00431A5F">
        <w:rPr>
          <w:rFonts w:ascii="Times New Roman" w:eastAsiaTheme="minorHAnsi" w:hAnsi="Times New Roman" w:cs="Times New Roman"/>
          <w:sz w:val="22"/>
          <w:szCs w:val="22"/>
          <w:lang w:eastAsia="en-US"/>
        </w:rPr>
        <w:t>includes the definitions which</w:t>
      </w:r>
      <w:r w:rsidR="00B119F6" w:rsidRPr="00431A5F">
        <w:rPr>
          <w:rFonts w:ascii="Times New Roman" w:eastAsiaTheme="minorHAnsi" w:hAnsi="Times New Roman" w:cs="Times New Roman"/>
          <w:sz w:val="22"/>
          <w:szCs w:val="22"/>
          <w:lang w:eastAsia="en-US"/>
        </w:rPr>
        <w:t xml:space="preserve"> set the scope for the application of the Standard</w:t>
      </w:r>
      <w:r w:rsidRPr="00431A5F">
        <w:rPr>
          <w:rFonts w:ascii="Times New Roman" w:eastAsiaTheme="minorHAnsi" w:hAnsi="Times New Roman" w:cs="Times New Roman"/>
          <w:sz w:val="22"/>
          <w:szCs w:val="22"/>
          <w:lang w:eastAsia="en-US"/>
        </w:rPr>
        <w:t xml:space="preserve"> </w:t>
      </w:r>
      <w:r w:rsidR="00B119F6" w:rsidRPr="00431A5F">
        <w:rPr>
          <w:rFonts w:ascii="Times New Roman" w:eastAsiaTheme="minorHAnsi" w:hAnsi="Times New Roman" w:cs="Times New Roman"/>
          <w:sz w:val="22"/>
          <w:szCs w:val="22"/>
          <w:lang w:eastAsia="en-US"/>
        </w:rPr>
        <w:t xml:space="preserve">and </w:t>
      </w:r>
      <w:r w:rsidRPr="00431A5F">
        <w:rPr>
          <w:rFonts w:ascii="Times New Roman" w:eastAsiaTheme="minorHAnsi" w:hAnsi="Times New Roman" w:cs="Times New Roman"/>
          <w:sz w:val="22"/>
          <w:szCs w:val="22"/>
          <w:lang w:eastAsia="en-US"/>
        </w:rPr>
        <w:t>ensur</w:t>
      </w:r>
      <w:r w:rsidR="00B119F6" w:rsidRPr="00431A5F">
        <w:rPr>
          <w:rFonts w:ascii="Times New Roman" w:eastAsiaTheme="minorHAnsi" w:hAnsi="Times New Roman" w:cs="Times New Roman"/>
          <w:sz w:val="22"/>
          <w:szCs w:val="22"/>
          <w:lang w:eastAsia="en-US"/>
        </w:rPr>
        <w:t>e it i</w:t>
      </w:r>
      <w:r w:rsidRPr="00431A5F">
        <w:rPr>
          <w:rFonts w:ascii="Times New Roman" w:eastAsiaTheme="minorHAnsi" w:hAnsi="Times New Roman" w:cs="Times New Roman"/>
          <w:sz w:val="22"/>
          <w:szCs w:val="22"/>
          <w:lang w:eastAsia="en-US"/>
        </w:rPr>
        <w:t>s clearly understood and consistently applied.</w:t>
      </w:r>
    </w:p>
    <w:p w14:paraId="30BD94A4" w14:textId="733C5E58" w:rsidR="00432DA5" w:rsidRPr="00431A5F" w:rsidRDefault="00432DA5" w:rsidP="00B234B3">
      <w:pPr>
        <w:pStyle w:val="Paragraph"/>
        <w:spacing w:before="120" w:after="0"/>
        <w:rPr>
          <w:rFonts w:ascii="Times New Roman" w:eastAsiaTheme="minorHAnsi" w:hAnsi="Times New Roman" w:cs="Times New Roman"/>
          <w:sz w:val="22"/>
          <w:szCs w:val="22"/>
          <w:lang w:eastAsia="en-US"/>
        </w:rPr>
      </w:pPr>
      <w:r w:rsidRPr="00431A5F">
        <w:rPr>
          <w:rFonts w:ascii="Times New Roman" w:eastAsiaTheme="minorHAnsi" w:hAnsi="Times New Roman" w:cs="Times New Roman"/>
          <w:sz w:val="22"/>
          <w:szCs w:val="22"/>
          <w:lang w:eastAsia="en-US"/>
        </w:rPr>
        <w:t xml:space="preserve">Part 2 </w:t>
      </w:r>
      <w:r w:rsidR="00E77D41" w:rsidRPr="00431A5F">
        <w:rPr>
          <w:rFonts w:ascii="Times New Roman" w:eastAsiaTheme="minorHAnsi" w:hAnsi="Times New Roman" w:cs="Times New Roman"/>
          <w:sz w:val="22"/>
          <w:szCs w:val="22"/>
          <w:lang w:eastAsia="en-US"/>
        </w:rPr>
        <w:t xml:space="preserve">requires </w:t>
      </w:r>
      <w:r w:rsidR="007C082C" w:rsidRPr="00431A5F">
        <w:rPr>
          <w:rFonts w:ascii="Times New Roman" w:eastAsiaTheme="minorHAnsi" w:hAnsi="Times New Roman" w:cs="Times New Roman"/>
          <w:sz w:val="22"/>
          <w:szCs w:val="22"/>
          <w:lang w:eastAsia="en-US"/>
        </w:rPr>
        <w:t>CSPs to</w:t>
      </w:r>
      <w:r w:rsidR="00E77D41" w:rsidRPr="00431A5F">
        <w:rPr>
          <w:rFonts w:ascii="Times New Roman" w:eastAsiaTheme="minorHAnsi" w:hAnsi="Times New Roman" w:cs="Times New Roman"/>
          <w:sz w:val="22"/>
          <w:szCs w:val="22"/>
          <w:lang w:eastAsia="en-US"/>
        </w:rPr>
        <w:t xml:space="preserve"> establish</w:t>
      </w:r>
      <w:r w:rsidR="007C082C" w:rsidRPr="00431A5F">
        <w:rPr>
          <w:rFonts w:ascii="Times New Roman" w:eastAsiaTheme="minorHAnsi" w:hAnsi="Times New Roman" w:cs="Times New Roman"/>
          <w:sz w:val="22"/>
          <w:szCs w:val="22"/>
          <w:lang w:eastAsia="en-US"/>
        </w:rPr>
        <w:t xml:space="preserve"> and comply with</w:t>
      </w:r>
      <w:r w:rsidR="00E77D41" w:rsidRPr="00431A5F">
        <w:rPr>
          <w:rFonts w:ascii="Times New Roman" w:eastAsiaTheme="minorHAnsi" w:hAnsi="Times New Roman" w:cs="Times New Roman"/>
          <w:sz w:val="22"/>
          <w:szCs w:val="22"/>
          <w:lang w:eastAsia="en-US"/>
        </w:rPr>
        <w:t xml:space="preserve"> </w:t>
      </w:r>
      <w:r w:rsidR="005B3042" w:rsidRPr="00431A5F">
        <w:rPr>
          <w:rFonts w:ascii="Times New Roman" w:eastAsiaTheme="minorHAnsi" w:hAnsi="Times New Roman" w:cs="Times New Roman"/>
          <w:sz w:val="22"/>
          <w:szCs w:val="22"/>
          <w:lang w:eastAsia="en-US"/>
        </w:rPr>
        <w:t xml:space="preserve">their </w:t>
      </w:r>
      <w:r w:rsidR="006103C7" w:rsidRPr="00431A5F">
        <w:rPr>
          <w:rFonts w:ascii="Times New Roman" w:eastAsiaTheme="minorHAnsi" w:hAnsi="Times New Roman" w:cs="Times New Roman"/>
          <w:sz w:val="22"/>
          <w:szCs w:val="22"/>
          <w:lang w:eastAsia="en-US"/>
        </w:rPr>
        <w:t>payment assistance</w:t>
      </w:r>
      <w:r w:rsidR="00E77D41" w:rsidRPr="00431A5F">
        <w:rPr>
          <w:rFonts w:ascii="Times New Roman" w:eastAsiaTheme="minorHAnsi" w:hAnsi="Times New Roman" w:cs="Times New Roman"/>
          <w:sz w:val="22"/>
          <w:szCs w:val="22"/>
          <w:lang w:eastAsia="en-US"/>
        </w:rPr>
        <w:t xml:space="preserve"> policies and sets out the</w:t>
      </w:r>
      <w:r w:rsidRPr="00431A5F">
        <w:rPr>
          <w:rFonts w:ascii="Times New Roman" w:eastAsiaTheme="minorHAnsi" w:hAnsi="Times New Roman" w:cs="Times New Roman"/>
          <w:sz w:val="22"/>
          <w:szCs w:val="22"/>
          <w:lang w:eastAsia="en-US"/>
        </w:rPr>
        <w:t xml:space="preserve"> minimum requirements for </w:t>
      </w:r>
      <w:r w:rsidR="00E77D41" w:rsidRPr="00431A5F">
        <w:rPr>
          <w:rFonts w:ascii="Times New Roman" w:eastAsiaTheme="minorHAnsi" w:hAnsi="Times New Roman" w:cs="Times New Roman"/>
          <w:sz w:val="22"/>
          <w:szCs w:val="22"/>
          <w:lang w:eastAsia="en-US"/>
        </w:rPr>
        <w:t>the accessibility, promotion</w:t>
      </w:r>
      <w:r w:rsidR="007C082C" w:rsidRPr="00431A5F">
        <w:rPr>
          <w:rFonts w:ascii="Times New Roman" w:eastAsiaTheme="minorHAnsi" w:hAnsi="Times New Roman" w:cs="Times New Roman"/>
          <w:sz w:val="22"/>
          <w:szCs w:val="22"/>
          <w:lang w:eastAsia="en-US"/>
        </w:rPr>
        <w:t xml:space="preserve">, </w:t>
      </w:r>
      <w:r w:rsidR="00E77D41" w:rsidRPr="00431A5F">
        <w:rPr>
          <w:rFonts w:ascii="Times New Roman" w:eastAsiaTheme="minorHAnsi" w:hAnsi="Times New Roman" w:cs="Times New Roman"/>
          <w:sz w:val="22"/>
          <w:szCs w:val="22"/>
          <w:lang w:eastAsia="en-US"/>
        </w:rPr>
        <w:t>content</w:t>
      </w:r>
      <w:r w:rsidR="007C082C" w:rsidRPr="00431A5F">
        <w:rPr>
          <w:rFonts w:ascii="Times New Roman" w:eastAsiaTheme="minorHAnsi" w:hAnsi="Times New Roman" w:cs="Times New Roman"/>
          <w:sz w:val="22"/>
          <w:szCs w:val="22"/>
          <w:lang w:eastAsia="en-US"/>
        </w:rPr>
        <w:t xml:space="preserve"> and review</w:t>
      </w:r>
      <w:r w:rsidR="00E77D41" w:rsidRPr="00431A5F">
        <w:rPr>
          <w:rFonts w:ascii="Times New Roman" w:eastAsiaTheme="minorHAnsi" w:hAnsi="Times New Roman" w:cs="Times New Roman"/>
          <w:sz w:val="22"/>
          <w:szCs w:val="22"/>
          <w:lang w:eastAsia="en-US"/>
        </w:rPr>
        <w:t xml:space="preserve"> of </w:t>
      </w:r>
      <w:r w:rsidR="005B3042" w:rsidRPr="00431A5F">
        <w:rPr>
          <w:rFonts w:ascii="Times New Roman" w:eastAsiaTheme="minorHAnsi" w:hAnsi="Times New Roman" w:cs="Times New Roman"/>
          <w:sz w:val="22"/>
          <w:szCs w:val="22"/>
          <w:lang w:eastAsia="en-US"/>
        </w:rPr>
        <w:t>those</w:t>
      </w:r>
      <w:r w:rsidRPr="00431A5F">
        <w:rPr>
          <w:rFonts w:ascii="Times New Roman" w:eastAsiaTheme="minorHAnsi" w:hAnsi="Times New Roman" w:cs="Times New Roman"/>
          <w:sz w:val="22"/>
          <w:szCs w:val="22"/>
          <w:lang w:eastAsia="en-US"/>
        </w:rPr>
        <w:t xml:space="preserve"> policies</w:t>
      </w:r>
      <w:r w:rsidR="00E77D41" w:rsidRPr="00431A5F">
        <w:rPr>
          <w:rFonts w:ascii="Times New Roman" w:eastAsiaTheme="minorHAnsi" w:hAnsi="Times New Roman" w:cs="Times New Roman"/>
          <w:sz w:val="22"/>
          <w:szCs w:val="22"/>
          <w:lang w:eastAsia="en-US"/>
        </w:rPr>
        <w:t xml:space="preserve">.  </w:t>
      </w:r>
    </w:p>
    <w:p w14:paraId="1C1111FB" w14:textId="1A8CD460" w:rsidR="00432DA5" w:rsidRPr="00431A5F" w:rsidRDefault="00432DA5" w:rsidP="00B234B3">
      <w:pPr>
        <w:pStyle w:val="Paragraph"/>
        <w:spacing w:before="120" w:after="0"/>
        <w:rPr>
          <w:rFonts w:ascii="Times New Roman" w:eastAsiaTheme="minorHAnsi" w:hAnsi="Times New Roman" w:cs="Times New Roman"/>
          <w:sz w:val="22"/>
          <w:szCs w:val="22"/>
          <w:lang w:eastAsia="en-US"/>
        </w:rPr>
      </w:pPr>
      <w:r w:rsidRPr="00431A5F">
        <w:rPr>
          <w:rFonts w:ascii="Times New Roman" w:eastAsiaTheme="minorHAnsi" w:hAnsi="Times New Roman" w:cs="Times New Roman"/>
          <w:sz w:val="22"/>
          <w:szCs w:val="22"/>
          <w:lang w:eastAsia="en-US"/>
        </w:rPr>
        <w:t xml:space="preserve">Part 3 sets out minimum requirements for </w:t>
      </w:r>
      <w:r w:rsidR="007C082C" w:rsidRPr="00431A5F">
        <w:rPr>
          <w:rFonts w:ascii="Times New Roman" w:eastAsiaTheme="minorHAnsi" w:hAnsi="Times New Roman" w:cs="Times New Roman"/>
          <w:sz w:val="22"/>
          <w:szCs w:val="22"/>
          <w:lang w:eastAsia="en-US"/>
        </w:rPr>
        <w:t>CSPs</w:t>
      </w:r>
      <w:r w:rsidRPr="00431A5F">
        <w:rPr>
          <w:rFonts w:ascii="Times New Roman" w:eastAsiaTheme="minorHAnsi" w:hAnsi="Times New Roman" w:cs="Times New Roman"/>
          <w:sz w:val="22"/>
          <w:szCs w:val="22"/>
          <w:lang w:eastAsia="en-US"/>
        </w:rPr>
        <w:t xml:space="preserve"> in giving financial hardship assistance to customers </w:t>
      </w:r>
      <w:r w:rsidR="007C082C" w:rsidRPr="00431A5F">
        <w:rPr>
          <w:rFonts w:ascii="Times New Roman" w:eastAsiaTheme="minorHAnsi" w:hAnsi="Times New Roman" w:cs="Times New Roman"/>
          <w:sz w:val="22"/>
          <w:szCs w:val="22"/>
          <w:lang w:eastAsia="en-US"/>
        </w:rPr>
        <w:t>for p</w:t>
      </w:r>
      <w:r w:rsidRPr="00431A5F">
        <w:rPr>
          <w:rFonts w:ascii="Times New Roman" w:eastAsiaTheme="minorHAnsi" w:hAnsi="Times New Roman" w:cs="Times New Roman"/>
          <w:sz w:val="22"/>
          <w:szCs w:val="22"/>
          <w:lang w:eastAsia="en-US"/>
        </w:rPr>
        <w:t>roviding advice and information to financial hardship customers</w:t>
      </w:r>
      <w:r w:rsidR="00DB143C">
        <w:rPr>
          <w:rFonts w:ascii="Times New Roman" w:eastAsiaTheme="minorHAnsi" w:hAnsi="Times New Roman" w:cs="Times New Roman"/>
          <w:sz w:val="22"/>
          <w:szCs w:val="22"/>
          <w:lang w:eastAsia="en-US"/>
        </w:rPr>
        <w:t>,</w:t>
      </w:r>
      <w:r w:rsidRPr="00431A5F">
        <w:rPr>
          <w:rFonts w:ascii="Times New Roman" w:eastAsiaTheme="minorHAnsi" w:hAnsi="Times New Roman" w:cs="Times New Roman"/>
          <w:sz w:val="22"/>
          <w:szCs w:val="22"/>
          <w:lang w:eastAsia="en-US"/>
        </w:rPr>
        <w:t xml:space="preserve"> including when and how providers must tell them about </w:t>
      </w:r>
      <w:r w:rsidR="006103C7" w:rsidRPr="00431A5F">
        <w:rPr>
          <w:rFonts w:ascii="Times New Roman" w:eastAsiaTheme="minorHAnsi" w:hAnsi="Times New Roman" w:cs="Times New Roman"/>
          <w:sz w:val="22"/>
          <w:szCs w:val="22"/>
          <w:lang w:eastAsia="en-US"/>
        </w:rPr>
        <w:t>payment assistance</w:t>
      </w:r>
      <w:r w:rsidRPr="00431A5F">
        <w:rPr>
          <w:rFonts w:ascii="Times New Roman" w:eastAsiaTheme="minorHAnsi" w:hAnsi="Times New Roman" w:cs="Times New Roman"/>
          <w:sz w:val="22"/>
          <w:szCs w:val="22"/>
          <w:lang w:eastAsia="en-US"/>
        </w:rPr>
        <w:t xml:space="preserve"> policies</w:t>
      </w:r>
      <w:r w:rsidR="007C082C" w:rsidRPr="00431A5F">
        <w:rPr>
          <w:rFonts w:ascii="Times New Roman" w:eastAsiaTheme="minorHAnsi" w:hAnsi="Times New Roman" w:cs="Times New Roman"/>
          <w:sz w:val="22"/>
          <w:szCs w:val="22"/>
          <w:lang w:eastAsia="en-US"/>
        </w:rPr>
        <w:t>, identifying financial hardship customers and a</w:t>
      </w:r>
      <w:r w:rsidRPr="00431A5F">
        <w:rPr>
          <w:rFonts w:ascii="Times New Roman" w:eastAsiaTheme="minorHAnsi" w:hAnsi="Times New Roman" w:cs="Times New Roman"/>
          <w:sz w:val="22"/>
          <w:szCs w:val="22"/>
          <w:lang w:eastAsia="en-US"/>
        </w:rPr>
        <w:t>ssessing eligibility for financial hardship including criteria, timeframes, options, communication of outcomes and review.</w:t>
      </w:r>
    </w:p>
    <w:p w14:paraId="46716BDE" w14:textId="4D2BE1B7" w:rsidR="00432DA5" w:rsidRPr="00431A5F" w:rsidRDefault="00432DA5" w:rsidP="00B234B3">
      <w:pPr>
        <w:pStyle w:val="Paragraph"/>
        <w:spacing w:before="120" w:after="0"/>
        <w:rPr>
          <w:rFonts w:ascii="Times New Roman" w:eastAsiaTheme="minorHAnsi" w:hAnsi="Times New Roman" w:cs="Times New Roman"/>
          <w:sz w:val="22"/>
          <w:szCs w:val="22"/>
          <w:lang w:eastAsia="en-US"/>
        </w:rPr>
      </w:pPr>
      <w:r w:rsidRPr="00431A5F">
        <w:rPr>
          <w:rFonts w:ascii="Times New Roman" w:eastAsiaTheme="minorHAnsi" w:hAnsi="Times New Roman" w:cs="Times New Roman"/>
          <w:sz w:val="22"/>
          <w:szCs w:val="22"/>
          <w:lang w:eastAsia="en-US"/>
        </w:rPr>
        <w:t>Part 4 sets out the minimum requirements for when and under what circumstances credit management can and can</w:t>
      </w:r>
      <w:r w:rsidR="007C082C" w:rsidRPr="00431A5F">
        <w:rPr>
          <w:rFonts w:ascii="Times New Roman" w:eastAsiaTheme="minorHAnsi" w:hAnsi="Times New Roman" w:cs="Times New Roman"/>
          <w:sz w:val="22"/>
          <w:szCs w:val="22"/>
          <w:lang w:eastAsia="en-US"/>
        </w:rPr>
        <w:t>no</w:t>
      </w:r>
      <w:r w:rsidRPr="00431A5F">
        <w:rPr>
          <w:rFonts w:ascii="Times New Roman" w:eastAsiaTheme="minorHAnsi" w:hAnsi="Times New Roman" w:cs="Times New Roman"/>
          <w:sz w:val="22"/>
          <w:szCs w:val="22"/>
          <w:lang w:eastAsia="en-US"/>
        </w:rPr>
        <w:t xml:space="preserve">t be taken by a </w:t>
      </w:r>
      <w:r w:rsidR="007C082C" w:rsidRPr="00431A5F">
        <w:rPr>
          <w:rFonts w:ascii="Times New Roman" w:eastAsiaTheme="minorHAnsi" w:hAnsi="Times New Roman" w:cs="Times New Roman"/>
          <w:sz w:val="22"/>
          <w:szCs w:val="22"/>
          <w:lang w:eastAsia="en-US"/>
        </w:rPr>
        <w:t>CSP</w:t>
      </w:r>
      <w:r w:rsidRPr="00431A5F">
        <w:rPr>
          <w:rFonts w:ascii="Times New Roman" w:eastAsiaTheme="minorHAnsi" w:hAnsi="Times New Roman" w:cs="Times New Roman"/>
          <w:sz w:val="22"/>
          <w:szCs w:val="22"/>
          <w:lang w:eastAsia="en-US"/>
        </w:rPr>
        <w:t xml:space="preserve"> in relation to customers in financial hardship.</w:t>
      </w:r>
    </w:p>
    <w:p w14:paraId="344F0B59" w14:textId="496E9A23" w:rsidR="00432DA5" w:rsidRPr="00431A5F" w:rsidRDefault="00432DA5" w:rsidP="00B234B3">
      <w:pPr>
        <w:pStyle w:val="Paragraph"/>
        <w:spacing w:before="120" w:after="0"/>
        <w:rPr>
          <w:rFonts w:ascii="Times New Roman" w:eastAsiaTheme="minorHAnsi" w:hAnsi="Times New Roman" w:cs="Times New Roman"/>
          <w:sz w:val="22"/>
          <w:szCs w:val="22"/>
          <w:lang w:eastAsia="en-US"/>
        </w:rPr>
      </w:pPr>
      <w:r w:rsidRPr="00431A5F">
        <w:rPr>
          <w:rFonts w:ascii="Times New Roman" w:eastAsiaTheme="minorHAnsi" w:hAnsi="Times New Roman" w:cs="Times New Roman"/>
          <w:sz w:val="22"/>
          <w:szCs w:val="22"/>
          <w:lang w:eastAsia="en-US"/>
        </w:rPr>
        <w:t xml:space="preserve">Part 5 sets out the minimum requirements for </w:t>
      </w:r>
      <w:r w:rsidR="007C082C" w:rsidRPr="00431A5F">
        <w:rPr>
          <w:rFonts w:ascii="Times New Roman" w:eastAsiaTheme="minorHAnsi" w:hAnsi="Times New Roman" w:cs="Times New Roman"/>
          <w:sz w:val="22"/>
          <w:szCs w:val="22"/>
          <w:lang w:eastAsia="en-US"/>
        </w:rPr>
        <w:t>CSPs</w:t>
      </w:r>
      <w:r w:rsidRPr="00431A5F">
        <w:rPr>
          <w:rFonts w:ascii="Times New Roman" w:eastAsiaTheme="minorHAnsi" w:hAnsi="Times New Roman" w:cs="Times New Roman"/>
          <w:sz w:val="22"/>
          <w:szCs w:val="22"/>
          <w:lang w:eastAsia="en-US"/>
        </w:rPr>
        <w:t xml:space="preserve"> to implement processes and train personnel to ensure compliance with the Standard. It also </w:t>
      </w:r>
      <w:r w:rsidR="00037C2B">
        <w:rPr>
          <w:rFonts w:ascii="Times New Roman" w:eastAsiaTheme="minorHAnsi" w:hAnsi="Times New Roman" w:cs="Times New Roman"/>
          <w:sz w:val="22"/>
          <w:szCs w:val="22"/>
          <w:lang w:eastAsia="en-US"/>
        </w:rPr>
        <w:t>imposes</w:t>
      </w:r>
      <w:r w:rsidRPr="00431A5F">
        <w:rPr>
          <w:rFonts w:ascii="Times New Roman" w:eastAsiaTheme="minorHAnsi" w:hAnsi="Times New Roman" w:cs="Times New Roman"/>
          <w:sz w:val="22"/>
          <w:szCs w:val="22"/>
          <w:lang w:eastAsia="en-US"/>
        </w:rPr>
        <w:t xml:space="preserve"> obligations on providers to review how </w:t>
      </w:r>
      <w:r w:rsidR="00FA5C16">
        <w:rPr>
          <w:rFonts w:ascii="Times New Roman" w:eastAsiaTheme="minorHAnsi" w:hAnsi="Times New Roman" w:cs="Times New Roman"/>
          <w:sz w:val="22"/>
          <w:szCs w:val="22"/>
          <w:lang w:eastAsia="en-US"/>
        </w:rPr>
        <w:t xml:space="preserve">their </w:t>
      </w:r>
      <w:r w:rsidRPr="00431A5F">
        <w:rPr>
          <w:rFonts w:ascii="Times New Roman" w:eastAsiaTheme="minorHAnsi" w:hAnsi="Times New Roman" w:cs="Times New Roman"/>
          <w:sz w:val="22"/>
          <w:szCs w:val="22"/>
          <w:lang w:eastAsia="en-US"/>
        </w:rPr>
        <w:t>personnel interact with financial hardship customers and the effectiveness of training.</w:t>
      </w:r>
    </w:p>
    <w:p w14:paraId="794FD7DE" w14:textId="09803C15" w:rsidR="00432DA5" w:rsidRPr="00431A5F" w:rsidRDefault="00432DA5" w:rsidP="00B234B3">
      <w:pPr>
        <w:pStyle w:val="Paragraph"/>
        <w:spacing w:before="120" w:after="0"/>
        <w:rPr>
          <w:rFonts w:ascii="Times New Roman" w:eastAsiaTheme="minorHAnsi" w:hAnsi="Times New Roman" w:cs="Times New Roman"/>
          <w:sz w:val="22"/>
          <w:szCs w:val="22"/>
          <w:lang w:eastAsia="en-US"/>
        </w:rPr>
      </w:pPr>
      <w:r w:rsidRPr="00431A5F">
        <w:rPr>
          <w:rFonts w:ascii="Times New Roman" w:eastAsiaTheme="minorHAnsi" w:hAnsi="Times New Roman" w:cs="Times New Roman"/>
          <w:sz w:val="22"/>
          <w:szCs w:val="22"/>
          <w:lang w:eastAsia="en-US"/>
        </w:rPr>
        <w:t xml:space="preserve">Part 6 requires </w:t>
      </w:r>
      <w:r w:rsidR="004E5DEF">
        <w:rPr>
          <w:rFonts w:ascii="Times New Roman" w:eastAsiaTheme="minorHAnsi" w:hAnsi="Times New Roman" w:cs="Times New Roman"/>
          <w:sz w:val="22"/>
          <w:szCs w:val="22"/>
          <w:lang w:eastAsia="en-US"/>
        </w:rPr>
        <w:t xml:space="preserve">a </w:t>
      </w:r>
      <w:r w:rsidRPr="00431A5F">
        <w:rPr>
          <w:rFonts w:ascii="Times New Roman" w:eastAsiaTheme="minorHAnsi" w:hAnsi="Times New Roman" w:cs="Times New Roman"/>
          <w:sz w:val="22"/>
          <w:szCs w:val="22"/>
          <w:lang w:eastAsia="en-US"/>
        </w:rPr>
        <w:t>provider to keep specified records of its financial hardship arrangements with customers, and other records sufficient to demonstrate its compliance with Parts 2 to 5 of the Standard for a set period and make those available to the ACMA on written request.</w:t>
      </w:r>
      <w:r w:rsidR="007C082C" w:rsidRPr="00431A5F">
        <w:rPr>
          <w:rFonts w:ascii="Times New Roman" w:eastAsiaTheme="minorHAnsi" w:hAnsi="Times New Roman" w:cs="Times New Roman"/>
          <w:sz w:val="22"/>
          <w:szCs w:val="22"/>
          <w:lang w:eastAsia="en-US"/>
        </w:rPr>
        <w:t xml:space="preserve"> It also includes obligations in relation to the re</w:t>
      </w:r>
      <w:r w:rsidR="00FB7494" w:rsidRPr="00431A5F">
        <w:rPr>
          <w:rFonts w:ascii="Times New Roman" w:eastAsiaTheme="minorHAnsi" w:hAnsi="Times New Roman" w:cs="Times New Roman"/>
          <w:sz w:val="22"/>
          <w:szCs w:val="22"/>
          <w:lang w:eastAsia="en-US"/>
        </w:rPr>
        <w:t>tention of records and the collection</w:t>
      </w:r>
      <w:r w:rsidR="006103C7" w:rsidRPr="00431A5F">
        <w:rPr>
          <w:rFonts w:ascii="Times New Roman" w:eastAsiaTheme="minorHAnsi" w:hAnsi="Times New Roman" w:cs="Times New Roman"/>
          <w:sz w:val="22"/>
          <w:szCs w:val="22"/>
          <w:lang w:eastAsia="en-US"/>
        </w:rPr>
        <w:t xml:space="preserve">, </w:t>
      </w:r>
      <w:r w:rsidR="00FB7494" w:rsidRPr="00431A5F">
        <w:rPr>
          <w:rFonts w:ascii="Times New Roman" w:eastAsiaTheme="minorHAnsi" w:hAnsi="Times New Roman" w:cs="Times New Roman"/>
          <w:sz w:val="22"/>
          <w:szCs w:val="22"/>
          <w:lang w:eastAsia="en-US"/>
        </w:rPr>
        <w:t xml:space="preserve">disclosure </w:t>
      </w:r>
      <w:r w:rsidR="006103C7" w:rsidRPr="00431A5F">
        <w:rPr>
          <w:rFonts w:ascii="Times New Roman" w:eastAsiaTheme="minorHAnsi" w:hAnsi="Times New Roman" w:cs="Times New Roman"/>
          <w:sz w:val="22"/>
          <w:szCs w:val="22"/>
          <w:lang w:eastAsia="en-US"/>
        </w:rPr>
        <w:t xml:space="preserve">and disposal </w:t>
      </w:r>
      <w:r w:rsidR="00FB7494" w:rsidRPr="00431A5F">
        <w:rPr>
          <w:rFonts w:ascii="Times New Roman" w:eastAsiaTheme="minorHAnsi" w:hAnsi="Times New Roman" w:cs="Times New Roman"/>
          <w:sz w:val="22"/>
          <w:szCs w:val="22"/>
          <w:lang w:eastAsia="en-US"/>
        </w:rPr>
        <w:t>of personal information.</w:t>
      </w:r>
    </w:p>
    <w:p w14:paraId="192D2A38" w14:textId="77777777" w:rsidR="00FB7494" w:rsidRPr="00431A5F" w:rsidRDefault="00FB7494" w:rsidP="00B234B3">
      <w:pPr>
        <w:pStyle w:val="Paragraph"/>
        <w:spacing w:before="120" w:after="0"/>
        <w:rPr>
          <w:rFonts w:ascii="Times New Roman" w:eastAsiaTheme="minorHAnsi" w:hAnsi="Times New Roman" w:cs="Times New Roman"/>
          <w:sz w:val="22"/>
          <w:szCs w:val="22"/>
          <w:lang w:eastAsia="en-US"/>
        </w:rPr>
      </w:pPr>
      <w:r w:rsidRPr="00431A5F">
        <w:rPr>
          <w:rFonts w:ascii="Times New Roman" w:eastAsiaTheme="minorHAnsi" w:hAnsi="Times New Roman" w:cs="Times New Roman"/>
          <w:sz w:val="22"/>
          <w:szCs w:val="22"/>
          <w:lang w:eastAsia="en-US"/>
        </w:rPr>
        <w:t>Part 7 confers powers and functions on the Telecommunications Industry Ombudsman (</w:t>
      </w:r>
      <w:r w:rsidRPr="00A0419A">
        <w:rPr>
          <w:rFonts w:ascii="Times New Roman" w:eastAsiaTheme="minorHAnsi" w:hAnsi="Times New Roman" w:cs="Times New Roman"/>
          <w:b/>
          <w:bCs/>
          <w:sz w:val="22"/>
          <w:szCs w:val="22"/>
          <w:lang w:eastAsia="en-US"/>
        </w:rPr>
        <w:t>TIO</w:t>
      </w:r>
      <w:r w:rsidRPr="00431A5F">
        <w:rPr>
          <w:rFonts w:ascii="Times New Roman" w:eastAsiaTheme="minorHAnsi" w:hAnsi="Times New Roman" w:cs="Times New Roman"/>
          <w:sz w:val="22"/>
          <w:szCs w:val="22"/>
          <w:lang w:eastAsia="en-US"/>
        </w:rPr>
        <w:t>) in respect of consumer complaints about the matters set out in the Standard.</w:t>
      </w:r>
    </w:p>
    <w:p w14:paraId="73D74D82" w14:textId="57994AC3" w:rsidR="00FB7494" w:rsidRPr="00431A5F" w:rsidRDefault="00FB7494" w:rsidP="00B234B3">
      <w:pPr>
        <w:pStyle w:val="Paragraph"/>
        <w:spacing w:before="120" w:after="0"/>
        <w:rPr>
          <w:rFonts w:ascii="Times New Roman" w:eastAsiaTheme="minorHAnsi" w:hAnsi="Times New Roman" w:cs="Times New Roman"/>
          <w:sz w:val="22"/>
          <w:szCs w:val="22"/>
          <w:lang w:eastAsia="en-US"/>
        </w:rPr>
      </w:pPr>
      <w:r w:rsidRPr="00431A5F">
        <w:rPr>
          <w:rFonts w:ascii="Times New Roman" w:eastAsiaTheme="minorHAnsi" w:hAnsi="Times New Roman" w:cs="Times New Roman"/>
          <w:sz w:val="22"/>
          <w:szCs w:val="22"/>
          <w:lang w:eastAsia="en-US"/>
        </w:rPr>
        <w:t>Part 8 sets out transitional arrangements for complaints</w:t>
      </w:r>
      <w:r w:rsidR="00037C2B">
        <w:rPr>
          <w:rFonts w:ascii="Times New Roman" w:eastAsiaTheme="minorHAnsi" w:hAnsi="Times New Roman" w:cs="Times New Roman"/>
          <w:sz w:val="22"/>
          <w:szCs w:val="22"/>
          <w:lang w:eastAsia="en-US"/>
        </w:rPr>
        <w:t xml:space="preserve"> relating to a financial hardship provision of a relevant industry code,</w:t>
      </w:r>
      <w:r w:rsidRPr="00431A5F">
        <w:rPr>
          <w:rFonts w:ascii="Times New Roman" w:eastAsiaTheme="minorHAnsi" w:hAnsi="Times New Roman" w:cs="Times New Roman"/>
          <w:sz w:val="22"/>
          <w:szCs w:val="22"/>
          <w:lang w:eastAsia="en-US"/>
        </w:rPr>
        <w:t xml:space="preserve"> and applications for financial hardship assistance</w:t>
      </w:r>
      <w:r w:rsidR="00960AB8">
        <w:rPr>
          <w:rFonts w:ascii="Times New Roman" w:eastAsiaTheme="minorHAnsi" w:hAnsi="Times New Roman" w:cs="Times New Roman"/>
          <w:sz w:val="22"/>
          <w:szCs w:val="22"/>
          <w:lang w:eastAsia="en-US"/>
        </w:rPr>
        <w:t>,</w:t>
      </w:r>
      <w:r w:rsidRPr="00431A5F">
        <w:rPr>
          <w:rFonts w:ascii="Times New Roman" w:eastAsiaTheme="minorHAnsi" w:hAnsi="Times New Roman" w:cs="Times New Roman"/>
          <w:sz w:val="22"/>
          <w:szCs w:val="22"/>
          <w:lang w:eastAsia="en-US"/>
        </w:rPr>
        <w:t xml:space="preserve"> made prior to the commencement of the Standard.</w:t>
      </w:r>
    </w:p>
    <w:p w14:paraId="01173E68" w14:textId="178DA329" w:rsidR="00805358" w:rsidRPr="00431A5F" w:rsidRDefault="00025ACE" w:rsidP="00B234B3">
      <w:pPr>
        <w:spacing w:before="120" w:after="0"/>
        <w:rPr>
          <w:rFonts w:ascii="Times New Roman" w:hAnsi="Times New Roman"/>
          <w:sz w:val="22"/>
          <w:szCs w:val="22"/>
        </w:rPr>
      </w:pPr>
      <w:r w:rsidRPr="00431A5F">
        <w:rPr>
          <w:rFonts w:ascii="Times New Roman" w:hAnsi="Times New Roman"/>
          <w:sz w:val="22"/>
          <w:szCs w:val="22"/>
        </w:rPr>
        <w:t xml:space="preserve">A provision-by-provision </w:t>
      </w:r>
      <w:r w:rsidR="00805358" w:rsidRPr="00431A5F">
        <w:rPr>
          <w:rFonts w:ascii="Times New Roman" w:hAnsi="Times New Roman"/>
          <w:sz w:val="22"/>
          <w:szCs w:val="22"/>
        </w:rPr>
        <w:t>description</w:t>
      </w:r>
      <w:r w:rsidRPr="00431A5F">
        <w:rPr>
          <w:rFonts w:ascii="Times New Roman" w:hAnsi="Times New Roman"/>
          <w:sz w:val="22"/>
          <w:szCs w:val="22"/>
        </w:rPr>
        <w:t xml:space="preserve"> of the </w:t>
      </w:r>
      <w:r w:rsidR="00E30E71">
        <w:rPr>
          <w:rFonts w:ascii="Times New Roman" w:hAnsi="Times New Roman"/>
          <w:sz w:val="22"/>
          <w:szCs w:val="22"/>
        </w:rPr>
        <w:t>Standard</w:t>
      </w:r>
      <w:r w:rsidR="00E30E71" w:rsidRPr="00431A5F">
        <w:rPr>
          <w:rFonts w:ascii="Times New Roman" w:hAnsi="Times New Roman"/>
          <w:sz w:val="22"/>
          <w:szCs w:val="22"/>
        </w:rPr>
        <w:t xml:space="preserve"> </w:t>
      </w:r>
      <w:r w:rsidRPr="00431A5F">
        <w:rPr>
          <w:rFonts w:ascii="Times New Roman" w:hAnsi="Times New Roman"/>
          <w:sz w:val="22"/>
          <w:szCs w:val="22"/>
        </w:rPr>
        <w:t xml:space="preserve">is </w:t>
      </w:r>
      <w:r w:rsidR="00AD3414" w:rsidRPr="00431A5F">
        <w:rPr>
          <w:rFonts w:ascii="Times New Roman" w:hAnsi="Times New Roman"/>
          <w:sz w:val="22"/>
          <w:szCs w:val="22"/>
        </w:rPr>
        <w:t>set out</w:t>
      </w:r>
      <w:r w:rsidR="001C4BF8" w:rsidRPr="00431A5F">
        <w:rPr>
          <w:rFonts w:ascii="Times New Roman" w:hAnsi="Times New Roman"/>
          <w:sz w:val="22"/>
          <w:szCs w:val="22"/>
        </w:rPr>
        <w:t xml:space="preserve"> in the n</w:t>
      </w:r>
      <w:r w:rsidRPr="00431A5F">
        <w:rPr>
          <w:rFonts w:ascii="Times New Roman" w:hAnsi="Times New Roman"/>
          <w:sz w:val="22"/>
          <w:szCs w:val="22"/>
        </w:rPr>
        <w:t>otes</w:t>
      </w:r>
      <w:r w:rsidR="001C4BF8" w:rsidRPr="00431A5F">
        <w:rPr>
          <w:rFonts w:ascii="Times New Roman" w:hAnsi="Times New Roman"/>
          <w:sz w:val="22"/>
          <w:szCs w:val="22"/>
        </w:rPr>
        <w:t xml:space="preserve"> </w:t>
      </w:r>
      <w:r w:rsidRPr="00431A5F">
        <w:rPr>
          <w:rFonts w:ascii="Times New Roman" w:hAnsi="Times New Roman"/>
          <w:sz w:val="22"/>
          <w:szCs w:val="22"/>
        </w:rPr>
        <w:t xml:space="preserve">at </w:t>
      </w:r>
      <w:r w:rsidRPr="00431A5F">
        <w:rPr>
          <w:rFonts w:ascii="Times New Roman" w:hAnsi="Times New Roman"/>
          <w:b/>
          <w:sz w:val="22"/>
          <w:szCs w:val="22"/>
        </w:rPr>
        <w:t>Attachment A</w:t>
      </w:r>
      <w:r w:rsidRPr="00431A5F">
        <w:rPr>
          <w:rFonts w:ascii="Times New Roman" w:hAnsi="Times New Roman"/>
          <w:sz w:val="22"/>
          <w:szCs w:val="22"/>
        </w:rPr>
        <w:t>.</w:t>
      </w:r>
    </w:p>
    <w:p w14:paraId="6D026E2B" w14:textId="2FB911D8" w:rsidR="00025ACE" w:rsidRPr="00431A5F" w:rsidRDefault="00805358" w:rsidP="00B234B3">
      <w:pPr>
        <w:spacing w:before="120" w:after="0"/>
        <w:rPr>
          <w:rFonts w:ascii="Times New Roman" w:hAnsi="Times New Roman"/>
          <w:sz w:val="22"/>
          <w:szCs w:val="22"/>
        </w:rPr>
      </w:pPr>
      <w:r w:rsidRPr="00431A5F">
        <w:rPr>
          <w:rFonts w:ascii="Times New Roman" w:hAnsi="Times New Roman"/>
          <w:sz w:val="22"/>
          <w:szCs w:val="22"/>
        </w:rPr>
        <w:lastRenderedPageBreak/>
        <w:t xml:space="preserve">The </w:t>
      </w:r>
      <w:r w:rsidR="00E30E71">
        <w:rPr>
          <w:rFonts w:ascii="Times New Roman" w:hAnsi="Times New Roman"/>
          <w:sz w:val="22"/>
          <w:szCs w:val="22"/>
        </w:rPr>
        <w:t>Standard</w:t>
      </w:r>
      <w:r w:rsidR="00E30E71" w:rsidRPr="00431A5F">
        <w:rPr>
          <w:rFonts w:ascii="Times New Roman" w:hAnsi="Times New Roman"/>
          <w:sz w:val="22"/>
          <w:szCs w:val="22"/>
        </w:rPr>
        <w:t xml:space="preserve"> </w:t>
      </w:r>
      <w:r w:rsidRPr="00431A5F">
        <w:rPr>
          <w:rFonts w:ascii="Times New Roman" w:hAnsi="Times New Roman"/>
          <w:sz w:val="22"/>
          <w:szCs w:val="22"/>
        </w:rPr>
        <w:t xml:space="preserve">is a </w:t>
      </w:r>
      <w:r w:rsidR="00065037" w:rsidRPr="00431A5F">
        <w:rPr>
          <w:rFonts w:ascii="Times New Roman" w:hAnsi="Times New Roman"/>
          <w:sz w:val="22"/>
          <w:szCs w:val="22"/>
        </w:rPr>
        <w:t>legisl</w:t>
      </w:r>
      <w:r w:rsidRPr="00431A5F">
        <w:rPr>
          <w:rFonts w:ascii="Times New Roman" w:hAnsi="Times New Roman"/>
          <w:sz w:val="22"/>
          <w:szCs w:val="22"/>
        </w:rPr>
        <w:t xml:space="preserve">ative instrument for the purposes of the </w:t>
      </w:r>
      <w:r w:rsidRPr="00431A5F">
        <w:rPr>
          <w:rFonts w:ascii="Times New Roman" w:hAnsi="Times New Roman"/>
          <w:i/>
          <w:sz w:val="22"/>
          <w:szCs w:val="22"/>
        </w:rPr>
        <w:t>Legislation Act 2003</w:t>
      </w:r>
      <w:r w:rsidR="00696659" w:rsidRPr="00431A5F">
        <w:rPr>
          <w:rFonts w:ascii="Times New Roman" w:hAnsi="Times New Roman"/>
          <w:i/>
          <w:sz w:val="22"/>
          <w:szCs w:val="22"/>
        </w:rPr>
        <w:t xml:space="preserve"> </w:t>
      </w:r>
      <w:r w:rsidR="00696659" w:rsidRPr="00431A5F">
        <w:rPr>
          <w:rFonts w:ascii="Times New Roman" w:hAnsi="Times New Roman"/>
          <w:sz w:val="22"/>
          <w:szCs w:val="22"/>
        </w:rPr>
        <w:t>(</w:t>
      </w:r>
      <w:r w:rsidR="00696659" w:rsidRPr="00431A5F">
        <w:rPr>
          <w:rFonts w:ascii="Times New Roman" w:hAnsi="Times New Roman"/>
          <w:bCs/>
          <w:sz w:val="22"/>
          <w:szCs w:val="22"/>
        </w:rPr>
        <w:t>the</w:t>
      </w:r>
      <w:r w:rsidR="00696659" w:rsidRPr="00431A5F">
        <w:rPr>
          <w:rFonts w:ascii="Times New Roman" w:hAnsi="Times New Roman"/>
          <w:b/>
          <w:sz w:val="22"/>
          <w:szCs w:val="22"/>
        </w:rPr>
        <w:t xml:space="preserve"> LA</w:t>
      </w:r>
      <w:r w:rsidR="00696659" w:rsidRPr="00431A5F">
        <w:rPr>
          <w:rFonts w:ascii="Times New Roman" w:hAnsi="Times New Roman"/>
          <w:sz w:val="22"/>
          <w:szCs w:val="22"/>
        </w:rPr>
        <w:t>)</w:t>
      </w:r>
      <w:r w:rsidR="00F251E3" w:rsidRPr="00431A5F">
        <w:rPr>
          <w:rFonts w:ascii="Times New Roman" w:hAnsi="Times New Roman"/>
          <w:sz w:val="22"/>
          <w:szCs w:val="22"/>
        </w:rPr>
        <w:t xml:space="preserve"> and is disallowable</w:t>
      </w:r>
      <w:r w:rsidR="00B60FEC" w:rsidRPr="00431A5F">
        <w:rPr>
          <w:rFonts w:ascii="Times New Roman" w:hAnsi="Times New Roman"/>
          <w:sz w:val="22"/>
          <w:szCs w:val="22"/>
        </w:rPr>
        <w:t>.</w:t>
      </w:r>
    </w:p>
    <w:p w14:paraId="6A2E8396" w14:textId="77777777" w:rsidR="00BB076E" w:rsidRPr="00431A5F" w:rsidRDefault="00BB076E" w:rsidP="00B234B3">
      <w:pPr>
        <w:spacing w:before="120" w:after="0"/>
        <w:rPr>
          <w:rFonts w:ascii="Times New Roman" w:hAnsi="Times New Roman"/>
          <w:b/>
          <w:sz w:val="22"/>
          <w:szCs w:val="22"/>
        </w:rPr>
      </w:pPr>
      <w:r w:rsidRPr="00431A5F">
        <w:rPr>
          <w:rFonts w:ascii="Times New Roman" w:hAnsi="Times New Roman"/>
          <w:b/>
          <w:sz w:val="22"/>
          <w:szCs w:val="22"/>
        </w:rPr>
        <w:t xml:space="preserve">Documents incorporated by </w:t>
      </w:r>
      <w:proofErr w:type="gramStart"/>
      <w:r w:rsidRPr="00431A5F">
        <w:rPr>
          <w:rFonts w:ascii="Times New Roman" w:hAnsi="Times New Roman"/>
          <w:b/>
          <w:sz w:val="22"/>
          <w:szCs w:val="22"/>
        </w:rPr>
        <w:t>reference</w:t>
      </w:r>
      <w:proofErr w:type="gramEnd"/>
    </w:p>
    <w:p w14:paraId="119C561A" w14:textId="1A629685" w:rsidR="00FB7494" w:rsidRPr="00431A5F" w:rsidRDefault="00FB7494" w:rsidP="00B234B3">
      <w:pPr>
        <w:shd w:val="clear" w:color="auto" w:fill="FFFFFF"/>
        <w:spacing w:before="120" w:after="0" w:line="233" w:lineRule="atLeast"/>
        <w:rPr>
          <w:rFonts w:ascii="Times New Roman" w:hAnsi="Times New Roman"/>
          <w:color w:val="000000"/>
          <w:sz w:val="22"/>
          <w:szCs w:val="22"/>
        </w:rPr>
      </w:pPr>
      <w:r w:rsidRPr="00431A5F">
        <w:rPr>
          <w:rFonts w:ascii="Times New Roman" w:hAnsi="Times New Roman"/>
          <w:color w:val="000000"/>
          <w:sz w:val="22"/>
          <w:szCs w:val="22"/>
        </w:rPr>
        <w:t>The Standard incorporates or refers to the following Acts</w:t>
      </w:r>
      <w:r w:rsidR="003E2DFA">
        <w:rPr>
          <w:rFonts w:ascii="Times New Roman" w:hAnsi="Times New Roman"/>
          <w:color w:val="000000"/>
          <w:sz w:val="22"/>
          <w:szCs w:val="22"/>
        </w:rPr>
        <w:t xml:space="preserve"> and</w:t>
      </w:r>
      <w:r w:rsidRPr="00431A5F">
        <w:rPr>
          <w:rFonts w:ascii="Times New Roman" w:hAnsi="Times New Roman"/>
          <w:color w:val="000000"/>
          <w:sz w:val="22"/>
          <w:szCs w:val="22"/>
        </w:rPr>
        <w:t xml:space="preserve"> legislative instruments (including by the adoption of definitions)</w:t>
      </w:r>
      <w:r w:rsidR="00A907E2" w:rsidRPr="00431A5F">
        <w:rPr>
          <w:rFonts w:ascii="Times New Roman" w:hAnsi="Times New Roman"/>
          <w:color w:val="000000"/>
          <w:sz w:val="22"/>
          <w:szCs w:val="22"/>
        </w:rPr>
        <w:t xml:space="preserve">, which are available free of charge on the Federal Register of Legislation </w:t>
      </w:r>
      <w:r w:rsidR="00E831AF" w:rsidRPr="00CF194C">
        <w:rPr>
          <w:rFonts w:ascii="Times New Roman" w:hAnsi="Times New Roman"/>
          <w:sz w:val="22"/>
          <w:szCs w:val="22"/>
        </w:rPr>
        <w:t>(</w:t>
      </w:r>
      <w:hyperlink r:id="rId12" w:history="1">
        <w:r w:rsidR="00E831AF" w:rsidRPr="00CF194C">
          <w:rPr>
            <w:rStyle w:val="Hyperlink"/>
            <w:rFonts w:ascii="Times New Roman" w:hAnsi="Times New Roman"/>
            <w:sz w:val="22"/>
            <w:szCs w:val="22"/>
          </w:rPr>
          <w:t>http://www.legislation.gov.au</w:t>
        </w:r>
      </w:hyperlink>
      <w:r w:rsidR="00E831AF" w:rsidRPr="00CF194C">
        <w:rPr>
          <w:rFonts w:ascii="Times New Roman" w:hAnsi="Times New Roman"/>
          <w:sz w:val="22"/>
          <w:szCs w:val="22"/>
        </w:rPr>
        <w:t>)</w:t>
      </w:r>
      <w:r w:rsidR="00E831AF" w:rsidRPr="00431A5F">
        <w:rPr>
          <w:rFonts w:ascii="Times New Roman" w:hAnsi="Times New Roman"/>
          <w:color w:val="000000"/>
          <w:sz w:val="22"/>
          <w:szCs w:val="22"/>
        </w:rPr>
        <w:t xml:space="preserve"> </w:t>
      </w:r>
      <w:r w:rsidR="00A907E2" w:rsidRPr="00431A5F">
        <w:rPr>
          <w:rFonts w:ascii="Times New Roman" w:hAnsi="Times New Roman"/>
          <w:color w:val="000000"/>
          <w:sz w:val="22"/>
          <w:szCs w:val="22"/>
        </w:rPr>
        <w:t>(the </w:t>
      </w:r>
      <w:r w:rsidR="00A907E2" w:rsidRPr="00431A5F">
        <w:rPr>
          <w:rFonts w:ascii="Times New Roman" w:hAnsi="Times New Roman"/>
          <w:b/>
          <w:bCs/>
          <w:color w:val="000000"/>
          <w:sz w:val="22"/>
          <w:szCs w:val="22"/>
        </w:rPr>
        <w:t>Register</w:t>
      </w:r>
      <w:r w:rsidR="00A907E2" w:rsidRPr="00431A5F">
        <w:rPr>
          <w:rFonts w:ascii="Times New Roman" w:hAnsi="Times New Roman"/>
          <w:color w:val="000000"/>
          <w:sz w:val="22"/>
          <w:szCs w:val="22"/>
        </w:rPr>
        <w:t>)</w:t>
      </w:r>
      <w:r w:rsidRPr="00431A5F">
        <w:rPr>
          <w:rFonts w:ascii="Times New Roman" w:hAnsi="Times New Roman"/>
          <w:color w:val="000000"/>
          <w:sz w:val="22"/>
          <w:szCs w:val="22"/>
        </w:rPr>
        <w:t>:</w:t>
      </w:r>
    </w:p>
    <w:p w14:paraId="28146352" w14:textId="72071F99" w:rsidR="00DE561E" w:rsidRPr="00213A28" w:rsidRDefault="00DE561E" w:rsidP="00213A28">
      <w:pPr>
        <w:pStyle w:val="ListParagraph"/>
        <w:numPr>
          <w:ilvl w:val="0"/>
          <w:numId w:val="36"/>
        </w:numPr>
        <w:shd w:val="clear" w:color="auto" w:fill="FFFFFF"/>
        <w:spacing w:before="120" w:after="0" w:line="233" w:lineRule="atLeast"/>
        <w:contextualSpacing w:val="0"/>
        <w:rPr>
          <w:rFonts w:ascii="Times New Roman" w:hAnsi="Times New Roman"/>
          <w:color w:val="000000"/>
          <w:sz w:val="22"/>
          <w:szCs w:val="22"/>
        </w:rPr>
      </w:pPr>
      <w:r w:rsidRPr="00213A28">
        <w:rPr>
          <w:rFonts w:ascii="Times New Roman" w:hAnsi="Times New Roman"/>
          <w:i/>
          <w:iCs/>
          <w:color w:val="000000"/>
          <w:sz w:val="22"/>
          <w:szCs w:val="22"/>
        </w:rPr>
        <w:t xml:space="preserve">Acts Interpretation Act 1901 </w:t>
      </w:r>
      <w:r w:rsidRPr="00213A28">
        <w:rPr>
          <w:rFonts w:ascii="Times New Roman" w:hAnsi="Times New Roman"/>
          <w:color w:val="000000"/>
          <w:sz w:val="22"/>
          <w:szCs w:val="22"/>
        </w:rPr>
        <w:t>(</w:t>
      </w:r>
      <w:r w:rsidRPr="00213A28">
        <w:rPr>
          <w:rFonts w:ascii="Times New Roman" w:hAnsi="Times New Roman"/>
          <w:b/>
          <w:bCs/>
          <w:color w:val="000000"/>
          <w:sz w:val="22"/>
          <w:szCs w:val="22"/>
        </w:rPr>
        <w:t>AIA</w:t>
      </w:r>
      <w:r w:rsidRPr="00213A28">
        <w:rPr>
          <w:rFonts w:ascii="Times New Roman" w:hAnsi="Times New Roman"/>
          <w:color w:val="000000"/>
          <w:sz w:val="22"/>
          <w:szCs w:val="22"/>
        </w:rPr>
        <w:t>).</w:t>
      </w:r>
      <w:r w:rsidRPr="00213A28">
        <w:rPr>
          <w:rFonts w:ascii="Times New Roman" w:hAnsi="Times New Roman"/>
          <w:i/>
          <w:iCs/>
          <w:color w:val="000000"/>
          <w:sz w:val="22"/>
          <w:szCs w:val="22"/>
        </w:rPr>
        <w:t xml:space="preserve"> </w:t>
      </w:r>
    </w:p>
    <w:p w14:paraId="75AE2345" w14:textId="77777777" w:rsidR="002457C7" w:rsidRDefault="002457C7" w:rsidP="002457C7">
      <w:pPr>
        <w:pStyle w:val="ListParagraph"/>
        <w:numPr>
          <w:ilvl w:val="0"/>
          <w:numId w:val="36"/>
        </w:numPr>
        <w:shd w:val="clear" w:color="auto" w:fill="FFFFFF"/>
        <w:spacing w:before="120" w:after="0" w:line="233" w:lineRule="atLeast"/>
        <w:contextualSpacing w:val="0"/>
        <w:rPr>
          <w:rFonts w:ascii="Times New Roman" w:hAnsi="Times New Roman"/>
          <w:color w:val="000000"/>
          <w:sz w:val="22"/>
          <w:szCs w:val="22"/>
        </w:rPr>
      </w:pPr>
      <w:r w:rsidRPr="00213A28">
        <w:rPr>
          <w:rFonts w:ascii="Times New Roman" w:hAnsi="Times New Roman"/>
          <w:i/>
          <w:iCs/>
          <w:color w:val="000000"/>
          <w:sz w:val="22"/>
          <w:szCs w:val="22"/>
        </w:rPr>
        <w:t>Broadcasting Services Act 1992</w:t>
      </w:r>
      <w:r w:rsidRPr="00213A28">
        <w:rPr>
          <w:rFonts w:ascii="Times New Roman" w:hAnsi="Times New Roman"/>
          <w:color w:val="000000"/>
          <w:sz w:val="22"/>
          <w:szCs w:val="22"/>
        </w:rPr>
        <w:t>.</w:t>
      </w:r>
    </w:p>
    <w:p w14:paraId="55E6C5BF" w14:textId="77777777" w:rsidR="003D6FC6" w:rsidRPr="00213A28" w:rsidRDefault="003D6FC6" w:rsidP="003D6FC6">
      <w:pPr>
        <w:pStyle w:val="ListParagraph"/>
        <w:numPr>
          <w:ilvl w:val="0"/>
          <w:numId w:val="36"/>
        </w:numPr>
        <w:shd w:val="clear" w:color="auto" w:fill="FFFFFF"/>
        <w:spacing w:before="120" w:after="0" w:line="233" w:lineRule="atLeast"/>
        <w:contextualSpacing w:val="0"/>
        <w:rPr>
          <w:rFonts w:ascii="Times New Roman" w:hAnsi="Times New Roman"/>
          <w:color w:val="000000"/>
          <w:sz w:val="22"/>
          <w:szCs w:val="22"/>
        </w:rPr>
      </w:pPr>
      <w:r w:rsidRPr="00213A28">
        <w:rPr>
          <w:rFonts w:ascii="Times New Roman" w:hAnsi="Times New Roman"/>
          <w:i/>
          <w:iCs/>
          <w:color w:val="000000"/>
          <w:sz w:val="22"/>
          <w:szCs w:val="22"/>
        </w:rPr>
        <w:t xml:space="preserve">Privacy Act 1988 </w:t>
      </w:r>
      <w:r w:rsidRPr="00213A28">
        <w:rPr>
          <w:rFonts w:ascii="Times New Roman" w:hAnsi="Times New Roman"/>
          <w:sz w:val="22"/>
          <w:szCs w:val="22"/>
        </w:rPr>
        <w:t>(</w:t>
      </w:r>
      <w:r w:rsidRPr="00213A28">
        <w:rPr>
          <w:rFonts w:ascii="Times New Roman" w:hAnsi="Times New Roman"/>
          <w:b/>
          <w:bCs/>
          <w:sz w:val="22"/>
          <w:szCs w:val="22"/>
        </w:rPr>
        <w:t>Privacy Act</w:t>
      </w:r>
      <w:r w:rsidRPr="00213A28">
        <w:rPr>
          <w:rFonts w:ascii="Times New Roman" w:hAnsi="Times New Roman"/>
          <w:sz w:val="22"/>
          <w:szCs w:val="22"/>
        </w:rPr>
        <w:t>)</w:t>
      </w:r>
      <w:r w:rsidRPr="00213A28">
        <w:rPr>
          <w:rFonts w:ascii="Times New Roman" w:hAnsi="Times New Roman"/>
          <w:color w:val="000000"/>
          <w:sz w:val="22"/>
          <w:szCs w:val="22"/>
        </w:rPr>
        <w:t>.</w:t>
      </w:r>
      <w:r w:rsidRPr="00213A28">
        <w:rPr>
          <w:rFonts w:ascii="Times New Roman" w:hAnsi="Times New Roman"/>
          <w:i/>
          <w:iCs/>
          <w:color w:val="000000"/>
          <w:sz w:val="22"/>
          <w:szCs w:val="22"/>
        </w:rPr>
        <w:t xml:space="preserve"> </w:t>
      </w:r>
    </w:p>
    <w:p w14:paraId="348BFB3D" w14:textId="69EE5CEA" w:rsidR="002457C7" w:rsidRDefault="002457C7" w:rsidP="002457C7">
      <w:pPr>
        <w:pStyle w:val="ListParagraph"/>
        <w:numPr>
          <w:ilvl w:val="0"/>
          <w:numId w:val="36"/>
        </w:numPr>
        <w:shd w:val="clear" w:color="auto" w:fill="FFFFFF"/>
        <w:spacing w:before="120" w:after="0" w:line="233" w:lineRule="atLeast"/>
        <w:contextualSpacing w:val="0"/>
        <w:rPr>
          <w:rFonts w:ascii="Times New Roman" w:hAnsi="Times New Roman"/>
          <w:color w:val="000000"/>
          <w:sz w:val="22"/>
          <w:szCs w:val="22"/>
        </w:rPr>
      </w:pPr>
      <w:r w:rsidRPr="00D17D1B">
        <w:rPr>
          <w:rFonts w:ascii="Times New Roman" w:hAnsi="Times New Roman"/>
          <w:color w:val="000000"/>
          <w:sz w:val="22"/>
          <w:szCs w:val="22"/>
        </w:rPr>
        <w:t xml:space="preserve">The </w:t>
      </w:r>
      <w:r w:rsidR="00BF6EC8" w:rsidRPr="00213A28">
        <w:rPr>
          <w:rFonts w:ascii="Times New Roman" w:hAnsi="Times New Roman"/>
          <w:color w:val="000000"/>
          <w:sz w:val="22"/>
          <w:szCs w:val="22"/>
        </w:rPr>
        <w:t>Act</w:t>
      </w:r>
      <w:r w:rsidRPr="00D17D1B">
        <w:rPr>
          <w:rFonts w:ascii="Times New Roman" w:hAnsi="Times New Roman"/>
          <w:color w:val="000000"/>
          <w:sz w:val="22"/>
          <w:szCs w:val="22"/>
        </w:rPr>
        <w:t>.</w:t>
      </w:r>
    </w:p>
    <w:p w14:paraId="79321FA9" w14:textId="64F01725" w:rsidR="002457C7" w:rsidRPr="00213A28" w:rsidRDefault="002457C7" w:rsidP="002457C7">
      <w:pPr>
        <w:pStyle w:val="ListParagraph"/>
        <w:numPr>
          <w:ilvl w:val="0"/>
          <w:numId w:val="36"/>
        </w:numPr>
        <w:shd w:val="clear" w:color="auto" w:fill="FFFFFF"/>
        <w:spacing w:before="120" w:after="0" w:line="233" w:lineRule="atLeast"/>
        <w:contextualSpacing w:val="0"/>
        <w:rPr>
          <w:rFonts w:ascii="Times New Roman" w:hAnsi="Times New Roman"/>
          <w:color w:val="000000"/>
          <w:sz w:val="22"/>
          <w:szCs w:val="22"/>
        </w:rPr>
      </w:pPr>
      <w:r w:rsidRPr="00213A28">
        <w:rPr>
          <w:rFonts w:ascii="Times New Roman" w:hAnsi="Times New Roman"/>
          <w:color w:val="000000"/>
          <w:sz w:val="22"/>
          <w:szCs w:val="22"/>
        </w:rPr>
        <w:t>The</w:t>
      </w:r>
      <w:r w:rsidR="00BF6EC8">
        <w:rPr>
          <w:rFonts w:ascii="Times New Roman" w:hAnsi="Times New Roman"/>
          <w:color w:val="000000"/>
          <w:sz w:val="22"/>
          <w:szCs w:val="22"/>
        </w:rPr>
        <w:t xml:space="preserve"> </w:t>
      </w:r>
      <w:r w:rsidR="00BF6EC8" w:rsidRPr="00D17D1B">
        <w:rPr>
          <w:rFonts w:ascii="Times New Roman" w:hAnsi="Times New Roman"/>
          <w:color w:val="000000"/>
          <w:sz w:val="22"/>
          <w:szCs w:val="22"/>
        </w:rPr>
        <w:t>Direction</w:t>
      </w:r>
      <w:r w:rsidRPr="00213A28">
        <w:rPr>
          <w:rFonts w:ascii="Times New Roman" w:hAnsi="Times New Roman"/>
          <w:color w:val="000000"/>
          <w:sz w:val="22"/>
          <w:szCs w:val="22"/>
        </w:rPr>
        <w:t xml:space="preserve">. </w:t>
      </w:r>
    </w:p>
    <w:p w14:paraId="12F581B2" w14:textId="77777777" w:rsidR="002457C7" w:rsidRPr="00213A28" w:rsidRDefault="002457C7" w:rsidP="002457C7">
      <w:pPr>
        <w:pStyle w:val="ListParagraph"/>
        <w:numPr>
          <w:ilvl w:val="0"/>
          <w:numId w:val="36"/>
        </w:numPr>
        <w:shd w:val="clear" w:color="auto" w:fill="FFFFFF"/>
        <w:spacing w:before="120" w:after="0" w:line="233" w:lineRule="atLeast"/>
        <w:contextualSpacing w:val="0"/>
        <w:rPr>
          <w:rFonts w:ascii="Times New Roman" w:hAnsi="Times New Roman"/>
          <w:color w:val="000000"/>
          <w:sz w:val="22"/>
          <w:szCs w:val="22"/>
        </w:rPr>
      </w:pPr>
      <w:r w:rsidRPr="00213A28">
        <w:rPr>
          <w:rFonts w:ascii="Times New Roman" w:hAnsi="Times New Roman"/>
          <w:color w:val="000000"/>
          <w:sz w:val="22"/>
          <w:szCs w:val="22"/>
        </w:rPr>
        <w:t>The</w:t>
      </w:r>
      <w:r w:rsidRPr="00213A28">
        <w:rPr>
          <w:rFonts w:ascii="Times New Roman" w:hAnsi="Times New Roman"/>
          <w:i/>
          <w:iCs/>
          <w:color w:val="000000"/>
          <w:sz w:val="22"/>
          <w:szCs w:val="22"/>
        </w:rPr>
        <w:t xml:space="preserve"> </w:t>
      </w:r>
      <w:r w:rsidRPr="00A0419A">
        <w:rPr>
          <w:rFonts w:ascii="Times New Roman" w:hAnsi="Times New Roman"/>
          <w:color w:val="000000"/>
          <w:sz w:val="22"/>
          <w:szCs w:val="22"/>
        </w:rPr>
        <w:t>LA</w:t>
      </w:r>
      <w:r w:rsidRPr="00213A28">
        <w:rPr>
          <w:rFonts w:ascii="Times New Roman" w:hAnsi="Times New Roman"/>
          <w:color w:val="000000"/>
          <w:sz w:val="22"/>
          <w:szCs w:val="22"/>
        </w:rPr>
        <w:t>.</w:t>
      </w:r>
    </w:p>
    <w:p w14:paraId="5DB0B8F7" w14:textId="77777777" w:rsidR="006333CE" w:rsidRDefault="00ED4520" w:rsidP="005D6E87">
      <w:pPr>
        <w:spacing w:before="120" w:after="0"/>
        <w:rPr>
          <w:rFonts w:ascii="Times New Roman" w:hAnsi="Times New Roman"/>
          <w:sz w:val="22"/>
          <w:szCs w:val="22"/>
        </w:rPr>
      </w:pPr>
      <w:r w:rsidRPr="005D6E87">
        <w:rPr>
          <w:rFonts w:ascii="Times New Roman" w:hAnsi="Times New Roman"/>
          <w:sz w:val="22"/>
          <w:szCs w:val="22"/>
        </w:rPr>
        <w:t xml:space="preserve">The Acts </w:t>
      </w:r>
      <w:r w:rsidR="00C1270E">
        <w:rPr>
          <w:rFonts w:ascii="Times New Roman" w:hAnsi="Times New Roman"/>
          <w:sz w:val="22"/>
          <w:szCs w:val="22"/>
        </w:rPr>
        <w:t xml:space="preserve">and </w:t>
      </w:r>
      <w:r w:rsidR="006333CE">
        <w:rPr>
          <w:rFonts w:ascii="Times New Roman" w:hAnsi="Times New Roman"/>
          <w:sz w:val="22"/>
          <w:szCs w:val="22"/>
        </w:rPr>
        <w:t>the Direction</w:t>
      </w:r>
      <w:r w:rsidR="00C1270E">
        <w:rPr>
          <w:rFonts w:ascii="Times New Roman" w:hAnsi="Times New Roman"/>
          <w:sz w:val="22"/>
          <w:szCs w:val="22"/>
        </w:rPr>
        <w:t xml:space="preserve"> </w:t>
      </w:r>
      <w:r w:rsidRPr="005D6E87">
        <w:rPr>
          <w:rFonts w:ascii="Times New Roman" w:hAnsi="Times New Roman"/>
          <w:sz w:val="22"/>
          <w:szCs w:val="22"/>
        </w:rPr>
        <w:t xml:space="preserve">listed above are incorporated as in force from time to time, in accordance with section 10 of the AIA, subsection 13(1) of the LA and section 589 of the Act. </w:t>
      </w:r>
    </w:p>
    <w:p w14:paraId="425127AD" w14:textId="798224A5" w:rsidR="006B3B1B" w:rsidRDefault="006B3B1B" w:rsidP="005D6E87">
      <w:pPr>
        <w:spacing w:before="120" w:after="0"/>
        <w:rPr>
          <w:rFonts w:ascii="Times New Roman" w:hAnsi="Times New Roman"/>
          <w:sz w:val="22"/>
          <w:szCs w:val="22"/>
        </w:rPr>
      </w:pPr>
      <w:r>
        <w:rPr>
          <w:rFonts w:ascii="Times New Roman" w:hAnsi="Times New Roman"/>
          <w:sz w:val="22"/>
          <w:szCs w:val="22"/>
        </w:rPr>
        <w:t xml:space="preserve">Part </w:t>
      </w:r>
      <w:r w:rsidR="00F82F57">
        <w:rPr>
          <w:rFonts w:ascii="Times New Roman" w:hAnsi="Times New Roman"/>
          <w:sz w:val="22"/>
          <w:szCs w:val="22"/>
        </w:rPr>
        <w:t xml:space="preserve">8 of the Standard deals with transitional arrangements, and refers to </w:t>
      </w:r>
      <w:r w:rsidR="00A40BD3">
        <w:rPr>
          <w:rFonts w:ascii="Times New Roman" w:hAnsi="Times New Roman"/>
          <w:sz w:val="22"/>
          <w:szCs w:val="22"/>
        </w:rPr>
        <w:t>a ‘relevant industry code’</w:t>
      </w:r>
      <w:r w:rsidR="004413E0">
        <w:rPr>
          <w:rFonts w:ascii="Times New Roman" w:hAnsi="Times New Roman"/>
          <w:sz w:val="22"/>
          <w:szCs w:val="22"/>
        </w:rPr>
        <w:t>, being a</w:t>
      </w:r>
      <w:r w:rsidR="006609D8">
        <w:rPr>
          <w:rFonts w:ascii="Times New Roman" w:hAnsi="Times New Roman"/>
          <w:sz w:val="22"/>
          <w:szCs w:val="22"/>
        </w:rPr>
        <w:t xml:space="preserve">n industry code </w:t>
      </w:r>
      <w:r w:rsidR="00FF6F2E">
        <w:rPr>
          <w:rFonts w:ascii="Times New Roman" w:hAnsi="Times New Roman"/>
          <w:sz w:val="22"/>
          <w:szCs w:val="22"/>
        </w:rPr>
        <w:t xml:space="preserve">of practice </w:t>
      </w:r>
      <w:r w:rsidR="000A7ADC">
        <w:rPr>
          <w:rFonts w:ascii="Times New Roman" w:hAnsi="Times New Roman"/>
          <w:sz w:val="22"/>
          <w:szCs w:val="22"/>
        </w:rPr>
        <w:t>reg</w:t>
      </w:r>
      <w:r w:rsidR="000E35F4">
        <w:rPr>
          <w:rFonts w:ascii="Times New Roman" w:hAnsi="Times New Roman"/>
          <w:sz w:val="22"/>
          <w:szCs w:val="22"/>
        </w:rPr>
        <w:t>istered under Part 6 of the Act.</w:t>
      </w:r>
    </w:p>
    <w:p w14:paraId="796DC2B7" w14:textId="04718502" w:rsidR="00ED4520" w:rsidRDefault="004C0465" w:rsidP="005D6E87">
      <w:pPr>
        <w:spacing w:before="120" w:after="0"/>
        <w:rPr>
          <w:rFonts w:ascii="Times New Roman" w:hAnsi="Times New Roman"/>
          <w:sz w:val="22"/>
          <w:szCs w:val="22"/>
        </w:rPr>
      </w:pPr>
      <w:r>
        <w:rPr>
          <w:rFonts w:ascii="Times New Roman" w:hAnsi="Times New Roman"/>
          <w:sz w:val="22"/>
          <w:szCs w:val="22"/>
        </w:rPr>
        <w:t xml:space="preserve">To the extent that </w:t>
      </w:r>
      <w:r w:rsidR="004604EE">
        <w:rPr>
          <w:rFonts w:ascii="Times New Roman" w:hAnsi="Times New Roman"/>
          <w:sz w:val="22"/>
          <w:szCs w:val="22"/>
        </w:rPr>
        <w:t>an industry code meets the definition of a ‘relevant code’</w:t>
      </w:r>
      <w:r w:rsidR="001C0EF3">
        <w:rPr>
          <w:rFonts w:ascii="Times New Roman" w:hAnsi="Times New Roman"/>
          <w:sz w:val="22"/>
          <w:szCs w:val="22"/>
        </w:rPr>
        <w:t xml:space="preserve"> under </w:t>
      </w:r>
      <w:r>
        <w:rPr>
          <w:rFonts w:ascii="Times New Roman" w:hAnsi="Times New Roman"/>
          <w:sz w:val="22"/>
          <w:szCs w:val="22"/>
        </w:rPr>
        <w:t xml:space="preserve">section 5 of </w:t>
      </w:r>
      <w:r w:rsidR="001C0EF3">
        <w:rPr>
          <w:rFonts w:ascii="Times New Roman" w:hAnsi="Times New Roman"/>
          <w:sz w:val="22"/>
          <w:szCs w:val="22"/>
        </w:rPr>
        <w:t xml:space="preserve">the </w:t>
      </w:r>
      <w:r>
        <w:rPr>
          <w:rFonts w:ascii="Times New Roman" w:hAnsi="Times New Roman"/>
          <w:sz w:val="22"/>
          <w:szCs w:val="22"/>
        </w:rPr>
        <w:t>Standard</w:t>
      </w:r>
      <w:r w:rsidR="001C0EF3">
        <w:rPr>
          <w:rFonts w:ascii="Times New Roman" w:hAnsi="Times New Roman"/>
          <w:sz w:val="22"/>
          <w:szCs w:val="22"/>
        </w:rPr>
        <w:t>,</w:t>
      </w:r>
      <w:r w:rsidR="004604EE">
        <w:rPr>
          <w:rFonts w:ascii="Times New Roman" w:hAnsi="Times New Roman"/>
          <w:sz w:val="22"/>
          <w:szCs w:val="22"/>
        </w:rPr>
        <w:t xml:space="preserve"> </w:t>
      </w:r>
      <w:r w:rsidR="009239FE">
        <w:rPr>
          <w:rFonts w:ascii="Times New Roman" w:hAnsi="Times New Roman"/>
          <w:sz w:val="22"/>
          <w:szCs w:val="22"/>
        </w:rPr>
        <w:t xml:space="preserve">such a </w:t>
      </w:r>
      <w:r w:rsidR="004604EE" w:rsidRPr="005D6E87">
        <w:rPr>
          <w:rFonts w:ascii="Times New Roman" w:hAnsi="Times New Roman"/>
          <w:sz w:val="22"/>
          <w:szCs w:val="22"/>
        </w:rPr>
        <w:t xml:space="preserve">non-legislative </w:t>
      </w:r>
      <w:r w:rsidR="009239FE">
        <w:rPr>
          <w:rFonts w:ascii="Times New Roman" w:hAnsi="Times New Roman"/>
          <w:sz w:val="22"/>
          <w:szCs w:val="22"/>
        </w:rPr>
        <w:t>instrument</w:t>
      </w:r>
      <w:r w:rsidR="004604EE" w:rsidRPr="005D6E87">
        <w:rPr>
          <w:rFonts w:ascii="Times New Roman" w:hAnsi="Times New Roman"/>
          <w:sz w:val="22"/>
          <w:szCs w:val="22"/>
        </w:rPr>
        <w:t xml:space="preserve"> is incorporated as in force from time to time in accordance with subsection 14(1) of the LA and section 589 of the Act.</w:t>
      </w:r>
      <w:r w:rsidR="004604EE">
        <w:rPr>
          <w:rFonts w:ascii="Times New Roman" w:hAnsi="Times New Roman"/>
          <w:sz w:val="22"/>
          <w:szCs w:val="22"/>
        </w:rPr>
        <w:t xml:space="preserve"> </w:t>
      </w:r>
    </w:p>
    <w:p w14:paraId="7A995EBD" w14:textId="4AC18AF2" w:rsidR="005E5AB0" w:rsidRPr="005D6E87" w:rsidRDefault="00AA60DD" w:rsidP="005D6E87">
      <w:pPr>
        <w:spacing w:before="120" w:after="0"/>
        <w:rPr>
          <w:rFonts w:ascii="Times New Roman" w:hAnsi="Times New Roman"/>
          <w:sz w:val="22"/>
          <w:szCs w:val="22"/>
        </w:rPr>
      </w:pPr>
      <w:r>
        <w:rPr>
          <w:rFonts w:ascii="Times New Roman" w:hAnsi="Times New Roman"/>
          <w:sz w:val="22"/>
          <w:szCs w:val="22"/>
        </w:rPr>
        <w:t>I</w:t>
      </w:r>
      <w:r w:rsidR="005E5AB0">
        <w:rPr>
          <w:rFonts w:ascii="Times New Roman" w:hAnsi="Times New Roman"/>
          <w:sz w:val="22"/>
          <w:szCs w:val="22"/>
        </w:rPr>
        <w:t xml:space="preserve">ndustry codes </w:t>
      </w:r>
      <w:r w:rsidR="00FF6F2E">
        <w:rPr>
          <w:rFonts w:ascii="Times New Roman" w:hAnsi="Times New Roman"/>
          <w:sz w:val="22"/>
          <w:szCs w:val="22"/>
        </w:rPr>
        <w:t xml:space="preserve">of practice </w:t>
      </w:r>
      <w:r w:rsidR="005E5AB0">
        <w:rPr>
          <w:rFonts w:ascii="Times New Roman" w:hAnsi="Times New Roman"/>
          <w:sz w:val="22"/>
          <w:szCs w:val="22"/>
        </w:rPr>
        <w:t xml:space="preserve">registered under </w:t>
      </w:r>
      <w:r w:rsidR="00FF6F2E">
        <w:rPr>
          <w:rFonts w:ascii="Times New Roman" w:hAnsi="Times New Roman"/>
          <w:sz w:val="22"/>
          <w:szCs w:val="22"/>
        </w:rPr>
        <w:t>P</w:t>
      </w:r>
      <w:r w:rsidR="005E5AB0">
        <w:rPr>
          <w:rFonts w:ascii="Times New Roman" w:hAnsi="Times New Roman"/>
          <w:sz w:val="22"/>
          <w:szCs w:val="22"/>
        </w:rPr>
        <w:t xml:space="preserve">art 6 of the </w:t>
      </w:r>
      <w:r w:rsidR="00FF6F2E">
        <w:rPr>
          <w:rFonts w:ascii="Times New Roman" w:hAnsi="Times New Roman"/>
          <w:sz w:val="22"/>
          <w:szCs w:val="22"/>
        </w:rPr>
        <w:t>Act</w:t>
      </w:r>
      <w:r w:rsidRPr="00AA60DD">
        <w:rPr>
          <w:rFonts w:ascii="Times New Roman" w:hAnsi="Times New Roman"/>
          <w:sz w:val="22"/>
          <w:szCs w:val="22"/>
        </w:rPr>
        <w:t xml:space="preserve"> </w:t>
      </w:r>
      <w:r w:rsidR="00456008">
        <w:rPr>
          <w:rFonts w:ascii="Times New Roman" w:hAnsi="Times New Roman"/>
          <w:sz w:val="22"/>
          <w:szCs w:val="22"/>
        </w:rPr>
        <w:t xml:space="preserve">are available </w:t>
      </w:r>
      <w:r w:rsidR="0078699A">
        <w:rPr>
          <w:rFonts w:ascii="Times New Roman" w:hAnsi="Times New Roman"/>
          <w:sz w:val="22"/>
          <w:szCs w:val="22"/>
        </w:rPr>
        <w:t xml:space="preserve">free of charge </w:t>
      </w:r>
      <w:r w:rsidR="00456008">
        <w:rPr>
          <w:rFonts w:ascii="Times New Roman" w:hAnsi="Times New Roman"/>
          <w:sz w:val="22"/>
          <w:szCs w:val="22"/>
        </w:rPr>
        <w:t>on t</w:t>
      </w:r>
      <w:r>
        <w:rPr>
          <w:rFonts w:ascii="Times New Roman" w:hAnsi="Times New Roman"/>
          <w:sz w:val="22"/>
          <w:szCs w:val="22"/>
        </w:rPr>
        <w:t>he ACMA</w:t>
      </w:r>
      <w:r w:rsidR="00456008">
        <w:rPr>
          <w:rFonts w:ascii="Times New Roman" w:hAnsi="Times New Roman"/>
          <w:sz w:val="22"/>
          <w:szCs w:val="22"/>
        </w:rPr>
        <w:t xml:space="preserve">’s </w:t>
      </w:r>
      <w:r w:rsidR="0078699A">
        <w:rPr>
          <w:rFonts w:ascii="Times New Roman" w:hAnsi="Times New Roman"/>
          <w:sz w:val="22"/>
          <w:szCs w:val="22"/>
        </w:rPr>
        <w:t>register</w:t>
      </w:r>
      <w:r w:rsidR="00456008">
        <w:rPr>
          <w:rFonts w:ascii="Times New Roman" w:hAnsi="Times New Roman"/>
          <w:sz w:val="22"/>
          <w:szCs w:val="22"/>
        </w:rPr>
        <w:t xml:space="preserve"> of codes</w:t>
      </w:r>
      <w:r>
        <w:rPr>
          <w:rFonts w:ascii="Times New Roman" w:hAnsi="Times New Roman"/>
          <w:sz w:val="22"/>
          <w:szCs w:val="22"/>
        </w:rPr>
        <w:t xml:space="preserve"> </w:t>
      </w:r>
      <w:r w:rsidR="0078699A">
        <w:rPr>
          <w:rFonts w:ascii="Times New Roman" w:hAnsi="Times New Roman"/>
          <w:sz w:val="22"/>
          <w:szCs w:val="22"/>
        </w:rPr>
        <w:t>and standards</w:t>
      </w:r>
      <w:r w:rsidR="001718CA">
        <w:rPr>
          <w:rFonts w:ascii="Times New Roman" w:hAnsi="Times New Roman"/>
          <w:sz w:val="22"/>
          <w:szCs w:val="22"/>
        </w:rPr>
        <w:t xml:space="preserve"> (</w:t>
      </w:r>
      <w:r w:rsidR="00456008" w:rsidRPr="00456008">
        <w:rPr>
          <w:rFonts w:ascii="Times New Roman" w:hAnsi="Times New Roman"/>
          <w:sz w:val="22"/>
          <w:szCs w:val="22"/>
        </w:rPr>
        <w:t>https://www.acma.gov.au</w:t>
      </w:r>
      <w:r w:rsidR="001718CA">
        <w:rPr>
          <w:rFonts w:ascii="Times New Roman" w:hAnsi="Times New Roman"/>
          <w:sz w:val="22"/>
          <w:szCs w:val="22"/>
        </w:rPr>
        <w:t>)</w:t>
      </w:r>
      <w:r w:rsidR="00456008">
        <w:rPr>
          <w:rFonts w:ascii="Times New Roman" w:hAnsi="Times New Roman"/>
          <w:sz w:val="22"/>
          <w:szCs w:val="22"/>
        </w:rPr>
        <w:t>.</w:t>
      </w:r>
    </w:p>
    <w:p w14:paraId="28832377" w14:textId="77777777" w:rsidR="00BB076E" w:rsidRPr="00431A5F" w:rsidRDefault="00BB076E" w:rsidP="00B234B3">
      <w:pPr>
        <w:spacing w:before="120" w:after="0"/>
        <w:rPr>
          <w:rFonts w:ascii="Times New Roman" w:hAnsi="Times New Roman"/>
          <w:b/>
          <w:sz w:val="22"/>
          <w:szCs w:val="22"/>
        </w:rPr>
      </w:pPr>
      <w:r w:rsidRPr="00431A5F">
        <w:rPr>
          <w:rFonts w:ascii="Times New Roman" w:hAnsi="Times New Roman"/>
          <w:b/>
          <w:sz w:val="22"/>
          <w:szCs w:val="22"/>
        </w:rPr>
        <w:t>Consultation</w:t>
      </w:r>
    </w:p>
    <w:p w14:paraId="25B1783D" w14:textId="116D6A95" w:rsidR="00DB1033" w:rsidRPr="00431A5F" w:rsidRDefault="00681986" w:rsidP="00B234B3">
      <w:pPr>
        <w:spacing w:before="120" w:after="0"/>
        <w:rPr>
          <w:rFonts w:ascii="Times New Roman" w:hAnsi="Times New Roman"/>
          <w:sz w:val="22"/>
          <w:szCs w:val="22"/>
        </w:rPr>
      </w:pPr>
      <w:r w:rsidRPr="00431A5F">
        <w:rPr>
          <w:rFonts w:ascii="Times New Roman" w:hAnsi="Times New Roman"/>
          <w:sz w:val="22"/>
          <w:szCs w:val="22"/>
        </w:rPr>
        <w:t>B</w:t>
      </w:r>
      <w:r w:rsidR="00CA40FA" w:rsidRPr="00431A5F">
        <w:rPr>
          <w:rFonts w:ascii="Times New Roman" w:hAnsi="Times New Roman"/>
          <w:sz w:val="22"/>
          <w:szCs w:val="22"/>
        </w:rPr>
        <w:t>efore</w:t>
      </w:r>
      <w:r w:rsidRPr="00431A5F">
        <w:rPr>
          <w:rFonts w:ascii="Times New Roman" w:hAnsi="Times New Roman"/>
          <w:sz w:val="22"/>
          <w:szCs w:val="22"/>
        </w:rPr>
        <w:t xml:space="preserve"> the </w:t>
      </w:r>
      <w:r w:rsidR="00A85B64">
        <w:rPr>
          <w:rFonts w:ascii="Times New Roman" w:hAnsi="Times New Roman"/>
          <w:sz w:val="22"/>
          <w:szCs w:val="22"/>
        </w:rPr>
        <w:t>Standard</w:t>
      </w:r>
      <w:r w:rsidR="00A85B64" w:rsidRPr="00431A5F">
        <w:rPr>
          <w:rFonts w:ascii="Times New Roman" w:hAnsi="Times New Roman"/>
          <w:sz w:val="22"/>
          <w:szCs w:val="22"/>
        </w:rPr>
        <w:t xml:space="preserve"> </w:t>
      </w:r>
      <w:r w:rsidR="00CA40FA" w:rsidRPr="00431A5F">
        <w:rPr>
          <w:rFonts w:ascii="Times New Roman" w:hAnsi="Times New Roman"/>
          <w:sz w:val="22"/>
          <w:szCs w:val="22"/>
        </w:rPr>
        <w:t>was made</w:t>
      </w:r>
      <w:r w:rsidRPr="00431A5F">
        <w:rPr>
          <w:rFonts w:ascii="Times New Roman" w:hAnsi="Times New Roman"/>
          <w:sz w:val="22"/>
          <w:szCs w:val="22"/>
        </w:rPr>
        <w:t xml:space="preserve">, the ACMA was satisfied that consultation </w:t>
      </w:r>
      <w:r w:rsidR="00696659" w:rsidRPr="00431A5F">
        <w:rPr>
          <w:rFonts w:ascii="Times New Roman" w:hAnsi="Times New Roman"/>
          <w:sz w:val="22"/>
          <w:szCs w:val="22"/>
        </w:rPr>
        <w:t>was</w:t>
      </w:r>
      <w:r w:rsidRPr="00431A5F">
        <w:rPr>
          <w:rFonts w:ascii="Times New Roman" w:hAnsi="Times New Roman"/>
          <w:sz w:val="22"/>
          <w:szCs w:val="22"/>
        </w:rPr>
        <w:t xml:space="preserve"> undertaken to the extent appropriate and reasonably practicable, in accordance with section 17 of the</w:t>
      </w:r>
      <w:r w:rsidR="00696659" w:rsidRPr="00431A5F">
        <w:rPr>
          <w:rFonts w:ascii="Times New Roman" w:hAnsi="Times New Roman"/>
          <w:sz w:val="22"/>
          <w:szCs w:val="22"/>
        </w:rPr>
        <w:t xml:space="preserve"> LA</w:t>
      </w:r>
      <w:r w:rsidR="00DB1033" w:rsidRPr="00431A5F">
        <w:rPr>
          <w:rFonts w:ascii="Times New Roman" w:hAnsi="Times New Roman"/>
          <w:sz w:val="22"/>
          <w:szCs w:val="22"/>
        </w:rPr>
        <w:t xml:space="preserve"> </w:t>
      </w:r>
      <w:r w:rsidR="00DB1033" w:rsidRPr="00431A5F">
        <w:rPr>
          <w:rFonts w:ascii="Times New Roman" w:hAnsi="Times New Roman"/>
          <w:color w:val="000000"/>
          <w:sz w:val="22"/>
          <w:szCs w:val="22"/>
        </w:rPr>
        <w:t>and subsection</w:t>
      </w:r>
      <w:r w:rsidR="00777F44" w:rsidRPr="00431A5F">
        <w:rPr>
          <w:rFonts w:ascii="Times New Roman" w:hAnsi="Times New Roman"/>
          <w:color w:val="000000"/>
          <w:sz w:val="22"/>
          <w:szCs w:val="22"/>
        </w:rPr>
        <w:t xml:space="preserve"> </w:t>
      </w:r>
      <w:r w:rsidR="00DB1033" w:rsidRPr="00431A5F">
        <w:rPr>
          <w:rFonts w:ascii="Times New Roman" w:hAnsi="Times New Roman"/>
          <w:color w:val="000000"/>
          <w:sz w:val="22"/>
          <w:szCs w:val="22"/>
        </w:rPr>
        <w:t>125</w:t>
      </w:r>
      <w:proofErr w:type="gramStart"/>
      <w:r w:rsidR="00DB1033" w:rsidRPr="00431A5F">
        <w:rPr>
          <w:rFonts w:ascii="Times New Roman" w:hAnsi="Times New Roman"/>
          <w:color w:val="000000"/>
          <w:sz w:val="22"/>
          <w:szCs w:val="22"/>
        </w:rPr>
        <w:t>AA(</w:t>
      </w:r>
      <w:proofErr w:type="gramEnd"/>
      <w:r w:rsidR="00DB1033" w:rsidRPr="00431A5F">
        <w:rPr>
          <w:rFonts w:ascii="Times New Roman" w:hAnsi="Times New Roman"/>
          <w:color w:val="000000"/>
          <w:sz w:val="22"/>
          <w:szCs w:val="22"/>
        </w:rPr>
        <w:t>3), and sections 132, 133, 134 and 135 of the Act.</w:t>
      </w:r>
    </w:p>
    <w:p w14:paraId="052D467E" w14:textId="050A68C0" w:rsidR="00E90D09" w:rsidRPr="00431A5F" w:rsidRDefault="00E90D09" w:rsidP="00B234B3">
      <w:pPr>
        <w:shd w:val="clear" w:color="auto" w:fill="FFFFFF"/>
        <w:spacing w:before="120" w:after="0" w:line="235" w:lineRule="atLeast"/>
        <w:rPr>
          <w:rFonts w:ascii="Times New Roman" w:hAnsi="Times New Roman"/>
          <w:color w:val="000000"/>
          <w:sz w:val="22"/>
          <w:szCs w:val="22"/>
        </w:rPr>
      </w:pPr>
      <w:r w:rsidRPr="00431A5F">
        <w:rPr>
          <w:rFonts w:ascii="Times New Roman" w:hAnsi="Times New Roman"/>
          <w:color w:val="000000"/>
          <w:sz w:val="22"/>
          <w:szCs w:val="22"/>
        </w:rPr>
        <w:t>The ACMA consulted with Communications Alliance (being a body that represents the telecommunications industry),</w:t>
      </w:r>
      <w:r w:rsidR="0074695E" w:rsidRPr="00431A5F">
        <w:rPr>
          <w:rFonts w:ascii="Times New Roman" w:hAnsi="Times New Roman"/>
          <w:color w:val="000000"/>
          <w:sz w:val="22"/>
          <w:szCs w:val="22"/>
        </w:rPr>
        <w:t xml:space="preserve"> the TIO, the ACCC, Information Commissioner, ACCAN (being a body that represents the interests of consumers)</w:t>
      </w:r>
      <w:r w:rsidRPr="00431A5F">
        <w:rPr>
          <w:rFonts w:ascii="Times New Roman" w:hAnsi="Times New Roman"/>
          <w:color w:val="000000"/>
          <w:sz w:val="22"/>
          <w:szCs w:val="22"/>
        </w:rPr>
        <w:t>,</w:t>
      </w:r>
      <w:r w:rsidR="0074695E" w:rsidRPr="00431A5F">
        <w:rPr>
          <w:rFonts w:ascii="Times New Roman" w:hAnsi="Times New Roman"/>
          <w:color w:val="000000"/>
          <w:sz w:val="22"/>
          <w:szCs w:val="22"/>
        </w:rPr>
        <w:t xml:space="preserve"> industry stakeholders, consumer groups </w:t>
      </w:r>
      <w:r w:rsidRPr="00431A5F">
        <w:rPr>
          <w:rFonts w:ascii="Times New Roman" w:hAnsi="Times New Roman"/>
          <w:color w:val="000000"/>
          <w:sz w:val="22"/>
          <w:szCs w:val="22"/>
        </w:rPr>
        <w:t>and the public on the making of the Standard. Between 23 October and 24 November 2023, the ACMA conducted a public consultation process, through the release of a draft Standard and a consultation paper on the ACMA’s website.</w:t>
      </w:r>
    </w:p>
    <w:p w14:paraId="7B116AD9" w14:textId="2D9E8B41" w:rsidR="00E90D09" w:rsidRPr="00431A5F" w:rsidRDefault="00E90D09" w:rsidP="00B234B3">
      <w:pPr>
        <w:shd w:val="clear" w:color="auto" w:fill="FFFFFF"/>
        <w:spacing w:before="120" w:after="0" w:line="235" w:lineRule="atLeast"/>
        <w:rPr>
          <w:rFonts w:ascii="Times New Roman" w:hAnsi="Times New Roman"/>
          <w:color w:val="000000"/>
          <w:sz w:val="22"/>
          <w:szCs w:val="22"/>
        </w:rPr>
      </w:pPr>
      <w:r w:rsidRPr="00431A5F">
        <w:rPr>
          <w:rFonts w:ascii="Times New Roman" w:hAnsi="Times New Roman"/>
          <w:color w:val="000000"/>
          <w:sz w:val="22"/>
          <w:szCs w:val="22"/>
        </w:rPr>
        <w:t xml:space="preserve">On </w:t>
      </w:r>
      <w:r w:rsidR="00AC49AD" w:rsidRPr="00431A5F">
        <w:rPr>
          <w:rFonts w:ascii="Times New Roman" w:hAnsi="Times New Roman"/>
          <w:color w:val="000000"/>
          <w:sz w:val="22"/>
          <w:szCs w:val="22"/>
        </w:rPr>
        <w:t>24</w:t>
      </w:r>
      <w:r w:rsidRPr="00431A5F">
        <w:rPr>
          <w:rFonts w:ascii="Times New Roman" w:hAnsi="Times New Roman"/>
          <w:color w:val="000000"/>
          <w:sz w:val="22"/>
          <w:szCs w:val="22"/>
        </w:rPr>
        <w:t xml:space="preserve"> October 2023, the ACMA also published a notice in </w:t>
      </w:r>
      <w:r w:rsidR="0074695E" w:rsidRPr="00431A5F">
        <w:rPr>
          <w:rFonts w:ascii="Times New Roman" w:hAnsi="Times New Roman"/>
          <w:i/>
          <w:iCs/>
          <w:color w:val="000000"/>
          <w:sz w:val="22"/>
          <w:szCs w:val="22"/>
        </w:rPr>
        <w:t>T</w:t>
      </w:r>
      <w:r w:rsidRPr="00431A5F">
        <w:rPr>
          <w:rFonts w:ascii="Times New Roman" w:hAnsi="Times New Roman"/>
          <w:i/>
          <w:iCs/>
          <w:color w:val="000000"/>
          <w:sz w:val="22"/>
          <w:szCs w:val="22"/>
        </w:rPr>
        <w:t>he</w:t>
      </w:r>
      <w:r w:rsidRPr="00431A5F">
        <w:rPr>
          <w:rFonts w:ascii="Times New Roman" w:hAnsi="Times New Roman"/>
          <w:color w:val="000000"/>
          <w:sz w:val="22"/>
          <w:szCs w:val="22"/>
        </w:rPr>
        <w:t xml:space="preserve"> </w:t>
      </w:r>
      <w:r w:rsidRPr="00431A5F">
        <w:rPr>
          <w:rFonts w:ascii="Times New Roman" w:hAnsi="Times New Roman"/>
          <w:i/>
          <w:iCs/>
          <w:color w:val="000000"/>
          <w:sz w:val="22"/>
          <w:szCs w:val="22"/>
        </w:rPr>
        <w:t>Australian</w:t>
      </w:r>
      <w:r w:rsidRPr="00431A5F">
        <w:rPr>
          <w:rFonts w:ascii="Times New Roman" w:hAnsi="Times New Roman"/>
          <w:color w:val="000000"/>
          <w:sz w:val="22"/>
          <w:szCs w:val="22"/>
        </w:rPr>
        <w:t xml:space="preserve"> newspaper</w:t>
      </w:r>
      <w:r w:rsidR="008A2127" w:rsidRPr="00431A5F">
        <w:rPr>
          <w:rFonts w:ascii="Times New Roman" w:hAnsi="Times New Roman"/>
          <w:color w:val="000000"/>
          <w:sz w:val="22"/>
          <w:szCs w:val="22"/>
        </w:rPr>
        <w:t>, being a newspaper circulat</w:t>
      </w:r>
      <w:r w:rsidR="00BB311F" w:rsidRPr="00431A5F">
        <w:rPr>
          <w:rFonts w:ascii="Times New Roman" w:hAnsi="Times New Roman"/>
          <w:color w:val="000000"/>
          <w:sz w:val="22"/>
          <w:szCs w:val="22"/>
        </w:rPr>
        <w:t>ing</w:t>
      </w:r>
      <w:r w:rsidR="008A2127" w:rsidRPr="00431A5F">
        <w:rPr>
          <w:rFonts w:ascii="Times New Roman" w:hAnsi="Times New Roman"/>
          <w:color w:val="000000"/>
          <w:sz w:val="22"/>
          <w:szCs w:val="22"/>
        </w:rPr>
        <w:t xml:space="preserve"> </w:t>
      </w:r>
      <w:r w:rsidR="003A7837">
        <w:rPr>
          <w:rFonts w:ascii="Times New Roman" w:hAnsi="Times New Roman"/>
          <w:color w:val="000000"/>
          <w:sz w:val="22"/>
          <w:szCs w:val="22"/>
        </w:rPr>
        <w:t>nationally</w:t>
      </w:r>
      <w:r w:rsidR="00BB311F" w:rsidRPr="00431A5F">
        <w:rPr>
          <w:rFonts w:ascii="Times New Roman" w:hAnsi="Times New Roman"/>
          <w:color w:val="000000"/>
          <w:sz w:val="22"/>
          <w:szCs w:val="22"/>
        </w:rPr>
        <w:t>.</w:t>
      </w:r>
      <w:r w:rsidRPr="00431A5F">
        <w:rPr>
          <w:rFonts w:ascii="Times New Roman" w:hAnsi="Times New Roman"/>
          <w:color w:val="000000"/>
          <w:sz w:val="22"/>
          <w:szCs w:val="22"/>
        </w:rPr>
        <w:t xml:space="preserve"> </w:t>
      </w:r>
      <w:r w:rsidR="00BB311F" w:rsidRPr="00431A5F">
        <w:rPr>
          <w:rFonts w:ascii="Times New Roman" w:hAnsi="Times New Roman"/>
          <w:color w:val="000000"/>
          <w:sz w:val="22"/>
          <w:szCs w:val="22"/>
        </w:rPr>
        <w:t xml:space="preserve">It </w:t>
      </w:r>
      <w:r w:rsidRPr="00431A5F">
        <w:rPr>
          <w:rFonts w:ascii="Times New Roman" w:hAnsi="Times New Roman"/>
          <w:color w:val="000000"/>
          <w:sz w:val="22"/>
          <w:szCs w:val="22"/>
        </w:rPr>
        <w:t>stat</w:t>
      </w:r>
      <w:r w:rsidR="00BB311F" w:rsidRPr="00431A5F">
        <w:rPr>
          <w:rFonts w:ascii="Times New Roman" w:hAnsi="Times New Roman"/>
          <w:color w:val="000000"/>
          <w:sz w:val="22"/>
          <w:szCs w:val="22"/>
        </w:rPr>
        <w:t>ed</w:t>
      </w:r>
      <w:r w:rsidRPr="00431A5F">
        <w:rPr>
          <w:rFonts w:ascii="Times New Roman" w:hAnsi="Times New Roman"/>
          <w:color w:val="000000"/>
          <w:sz w:val="22"/>
          <w:szCs w:val="22"/>
        </w:rPr>
        <w:t xml:space="preserve"> that </w:t>
      </w:r>
      <w:r w:rsidR="004954A1" w:rsidRPr="00431A5F">
        <w:rPr>
          <w:rFonts w:ascii="Times New Roman" w:hAnsi="Times New Roman"/>
          <w:color w:val="000000"/>
          <w:sz w:val="22"/>
          <w:szCs w:val="22"/>
        </w:rPr>
        <w:t>t</w:t>
      </w:r>
      <w:r w:rsidR="00D6779A" w:rsidRPr="00431A5F">
        <w:rPr>
          <w:rFonts w:ascii="Times New Roman" w:hAnsi="Times New Roman"/>
          <w:color w:val="000000"/>
          <w:sz w:val="22"/>
          <w:szCs w:val="22"/>
        </w:rPr>
        <w:t xml:space="preserve">he ACMA has prepared a draft </w:t>
      </w:r>
      <w:r w:rsidR="00BB311F" w:rsidRPr="00431A5F">
        <w:rPr>
          <w:rFonts w:ascii="Times New Roman" w:hAnsi="Times New Roman"/>
          <w:color w:val="000000"/>
          <w:sz w:val="22"/>
          <w:szCs w:val="22"/>
        </w:rPr>
        <w:t>S</w:t>
      </w:r>
      <w:r w:rsidR="00D6779A" w:rsidRPr="00431A5F">
        <w:rPr>
          <w:rFonts w:ascii="Times New Roman" w:hAnsi="Times New Roman"/>
          <w:color w:val="000000"/>
          <w:sz w:val="22"/>
          <w:szCs w:val="22"/>
        </w:rPr>
        <w:t>tandard, advising that a copy of could be accessed via the ACMA’s website and inviting interested persons to give written comments by 24 November 2023.</w:t>
      </w:r>
    </w:p>
    <w:p w14:paraId="5E9D56FA" w14:textId="76B6BA2A" w:rsidR="00D6779A" w:rsidRPr="00431A5F" w:rsidRDefault="00D6779A" w:rsidP="00B234B3">
      <w:pPr>
        <w:shd w:val="clear" w:color="auto" w:fill="FFFFFF"/>
        <w:spacing w:before="120" w:after="0" w:line="233" w:lineRule="atLeast"/>
        <w:rPr>
          <w:rFonts w:ascii="Times New Roman" w:hAnsi="Times New Roman"/>
          <w:color w:val="000000"/>
          <w:sz w:val="22"/>
          <w:szCs w:val="22"/>
        </w:rPr>
      </w:pPr>
      <w:r w:rsidRPr="00431A5F">
        <w:rPr>
          <w:rFonts w:ascii="Times New Roman" w:hAnsi="Times New Roman"/>
          <w:color w:val="000000"/>
          <w:sz w:val="22"/>
          <w:szCs w:val="22"/>
        </w:rPr>
        <w:t>The ACMA informed key stakeholders of the publication of the documents and invited comment on the draft of the Standard and on the issues set out in the accompanying consultation paper.</w:t>
      </w:r>
    </w:p>
    <w:p w14:paraId="551E928E" w14:textId="172EBE0E" w:rsidR="00D6779A" w:rsidRDefault="00D6779A" w:rsidP="00B234B3">
      <w:pPr>
        <w:shd w:val="clear" w:color="auto" w:fill="FFFFFF"/>
        <w:spacing w:before="120" w:after="0" w:line="233" w:lineRule="atLeast"/>
        <w:rPr>
          <w:rFonts w:ascii="Times New Roman" w:hAnsi="Times New Roman"/>
          <w:color w:val="000000"/>
          <w:sz w:val="22"/>
          <w:szCs w:val="22"/>
        </w:rPr>
      </w:pPr>
      <w:r w:rsidRPr="00431A5F">
        <w:rPr>
          <w:rFonts w:ascii="Times New Roman" w:hAnsi="Times New Roman"/>
          <w:color w:val="000000"/>
          <w:sz w:val="22"/>
          <w:szCs w:val="22"/>
        </w:rPr>
        <w:t xml:space="preserve">The consultation paper sought comment on several key issues included in the draft Standard as well as inviting general comments. The ACMA received </w:t>
      </w:r>
      <w:r w:rsidR="006103C7" w:rsidRPr="00431A5F">
        <w:rPr>
          <w:rFonts w:ascii="Times New Roman" w:hAnsi="Times New Roman"/>
          <w:color w:val="000000"/>
          <w:sz w:val="22"/>
          <w:szCs w:val="22"/>
        </w:rPr>
        <w:t>14</w:t>
      </w:r>
      <w:r w:rsidRPr="00431A5F">
        <w:rPr>
          <w:rFonts w:ascii="Times New Roman" w:hAnsi="Times New Roman"/>
          <w:color w:val="000000"/>
          <w:sz w:val="22"/>
          <w:szCs w:val="22"/>
        </w:rPr>
        <w:t xml:space="preserve"> submissions from a range of stakeholders including the telecommunications industry, consumer advocates, individual consumers and government agencies.</w:t>
      </w:r>
      <w:r w:rsidR="00800C78" w:rsidRPr="00431A5F">
        <w:rPr>
          <w:rFonts w:ascii="Times New Roman" w:hAnsi="Times New Roman"/>
          <w:color w:val="000000"/>
          <w:sz w:val="22"/>
          <w:szCs w:val="22"/>
        </w:rPr>
        <w:t xml:space="preserve"> </w:t>
      </w:r>
      <w:r w:rsidRPr="00431A5F">
        <w:rPr>
          <w:rFonts w:ascii="Times New Roman" w:hAnsi="Times New Roman"/>
          <w:color w:val="000000"/>
          <w:sz w:val="22"/>
          <w:szCs w:val="22"/>
        </w:rPr>
        <w:t>The ACMA</w:t>
      </w:r>
      <w:r w:rsidR="00800C78" w:rsidRPr="00431A5F">
        <w:rPr>
          <w:rFonts w:ascii="Times New Roman" w:hAnsi="Times New Roman"/>
          <w:color w:val="000000"/>
          <w:sz w:val="22"/>
          <w:szCs w:val="22"/>
        </w:rPr>
        <w:t xml:space="preserve"> </w:t>
      </w:r>
      <w:r w:rsidRPr="00431A5F">
        <w:rPr>
          <w:rFonts w:ascii="Times New Roman" w:hAnsi="Times New Roman"/>
          <w:color w:val="000000"/>
          <w:sz w:val="22"/>
          <w:szCs w:val="22"/>
        </w:rPr>
        <w:t>considered all relevant issues raised by the submissions in the consultation process when making the Standard.</w:t>
      </w:r>
    </w:p>
    <w:p w14:paraId="4842A2CD" w14:textId="77777777" w:rsidR="007B3068" w:rsidRPr="002457C7" w:rsidRDefault="007B3068" w:rsidP="007B3068">
      <w:pPr>
        <w:shd w:val="clear" w:color="auto" w:fill="FFFFFF"/>
        <w:spacing w:before="120" w:after="0" w:line="120" w:lineRule="atLeast"/>
        <w:rPr>
          <w:rFonts w:ascii="Times New Roman" w:hAnsi="Times New Roman"/>
          <w:sz w:val="22"/>
          <w:szCs w:val="22"/>
        </w:rPr>
      </w:pPr>
      <w:r w:rsidRPr="002457C7">
        <w:rPr>
          <w:rFonts w:ascii="Times New Roman" w:hAnsi="Times New Roman"/>
          <w:sz w:val="22"/>
          <w:szCs w:val="22"/>
        </w:rPr>
        <w:t>All non-confidential submissions were published on the ACMA website after the Standard was made.</w:t>
      </w:r>
    </w:p>
    <w:p w14:paraId="3F6C7108" w14:textId="36510E23" w:rsidR="007B3068" w:rsidRPr="002457C7" w:rsidRDefault="007B3068" w:rsidP="007B3068">
      <w:pPr>
        <w:shd w:val="clear" w:color="auto" w:fill="FFFFFF"/>
        <w:spacing w:before="120" w:after="0" w:line="120" w:lineRule="atLeast"/>
        <w:rPr>
          <w:rFonts w:ascii="Times New Roman" w:hAnsi="Times New Roman"/>
          <w:sz w:val="22"/>
          <w:szCs w:val="22"/>
        </w:rPr>
      </w:pPr>
      <w:r w:rsidRPr="002457C7">
        <w:rPr>
          <w:rFonts w:ascii="Times New Roman" w:hAnsi="Times New Roman"/>
          <w:color w:val="000000"/>
          <w:sz w:val="22"/>
          <w:szCs w:val="22"/>
        </w:rPr>
        <w:lastRenderedPageBreak/>
        <w:t>The submissions provided a broad range of feedback o</w:t>
      </w:r>
      <w:r w:rsidR="00146972" w:rsidRPr="002457C7">
        <w:rPr>
          <w:rFonts w:ascii="Times New Roman" w:hAnsi="Times New Roman"/>
          <w:color w:val="000000"/>
          <w:sz w:val="22"/>
          <w:szCs w:val="22"/>
        </w:rPr>
        <w:t>n</w:t>
      </w:r>
      <w:r w:rsidRPr="002457C7">
        <w:rPr>
          <w:rFonts w:ascii="Times New Roman" w:hAnsi="Times New Roman"/>
          <w:color w:val="000000"/>
          <w:sz w:val="22"/>
          <w:szCs w:val="22"/>
        </w:rPr>
        <w:t xml:space="preserve"> the draft </w:t>
      </w:r>
      <w:r w:rsidR="0040717F" w:rsidRPr="002457C7">
        <w:rPr>
          <w:rFonts w:ascii="Times New Roman" w:hAnsi="Times New Roman"/>
          <w:color w:val="000000"/>
          <w:sz w:val="22"/>
          <w:szCs w:val="22"/>
        </w:rPr>
        <w:t>S</w:t>
      </w:r>
      <w:r w:rsidRPr="002457C7">
        <w:rPr>
          <w:rFonts w:ascii="Times New Roman" w:hAnsi="Times New Roman"/>
          <w:color w:val="000000"/>
          <w:sz w:val="22"/>
          <w:szCs w:val="22"/>
        </w:rPr>
        <w:t>tandard and the ACMA considered all relevant</w:t>
      </w:r>
      <w:r w:rsidRPr="002457C7">
        <w:rPr>
          <w:rFonts w:ascii="Times New Roman" w:hAnsi="Times New Roman"/>
          <w:sz w:val="22"/>
          <w:szCs w:val="22"/>
        </w:rPr>
        <w:t xml:space="preserve"> issues raised by the submissions in the consultation process when making the Standard. Key issues raised by different cohorts of stakeholders included the</w:t>
      </w:r>
      <w:r w:rsidR="003F11C1">
        <w:rPr>
          <w:rFonts w:ascii="Times New Roman" w:hAnsi="Times New Roman"/>
          <w:sz w:val="22"/>
          <w:szCs w:val="22"/>
        </w:rPr>
        <w:t xml:space="preserve"> following</w:t>
      </w:r>
      <w:r w:rsidRPr="002457C7">
        <w:rPr>
          <w:rFonts w:ascii="Times New Roman" w:hAnsi="Times New Roman"/>
          <w:sz w:val="22"/>
          <w:szCs w:val="22"/>
        </w:rPr>
        <w:t>:</w:t>
      </w:r>
    </w:p>
    <w:p w14:paraId="3E392296" w14:textId="14E1C2AF" w:rsidR="007B3068" w:rsidRPr="002457C7" w:rsidRDefault="007B3068" w:rsidP="00760A46">
      <w:pPr>
        <w:pStyle w:val="ListParagraph"/>
        <w:numPr>
          <w:ilvl w:val="0"/>
          <w:numId w:val="38"/>
        </w:numPr>
        <w:shd w:val="clear" w:color="auto" w:fill="FFFFFF"/>
        <w:spacing w:before="120" w:after="0" w:line="120" w:lineRule="atLeast"/>
        <w:ind w:left="426"/>
        <w:contextualSpacing w:val="0"/>
        <w:rPr>
          <w:rFonts w:ascii="Times New Roman" w:hAnsi="Times New Roman"/>
          <w:sz w:val="22"/>
          <w:szCs w:val="22"/>
        </w:rPr>
      </w:pPr>
      <w:r w:rsidRPr="002457C7">
        <w:rPr>
          <w:rFonts w:ascii="Times New Roman" w:hAnsi="Times New Roman"/>
          <w:sz w:val="22"/>
          <w:szCs w:val="22"/>
        </w:rPr>
        <w:t>Level of prescriptiveness –</w:t>
      </w:r>
      <w:r w:rsidR="003F11C1">
        <w:rPr>
          <w:rFonts w:ascii="Times New Roman" w:hAnsi="Times New Roman"/>
          <w:sz w:val="22"/>
          <w:szCs w:val="22"/>
        </w:rPr>
        <w:t xml:space="preserve"> </w:t>
      </w:r>
      <w:r w:rsidRPr="002457C7">
        <w:rPr>
          <w:rFonts w:ascii="Times New Roman" w:hAnsi="Times New Roman"/>
          <w:sz w:val="22"/>
          <w:szCs w:val="22"/>
        </w:rPr>
        <w:t>some submissions consider</w:t>
      </w:r>
      <w:r w:rsidR="009C5434" w:rsidRPr="002457C7">
        <w:rPr>
          <w:rFonts w:ascii="Times New Roman" w:hAnsi="Times New Roman"/>
          <w:sz w:val="22"/>
          <w:szCs w:val="22"/>
        </w:rPr>
        <w:t>ed</w:t>
      </w:r>
      <w:r w:rsidRPr="002457C7">
        <w:rPr>
          <w:rFonts w:ascii="Times New Roman" w:hAnsi="Times New Roman"/>
          <w:sz w:val="22"/>
          <w:szCs w:val="22"/>
        </w:rPr>
        <w:t xml:space="preserve"> the Standard overly prescriptive</w:t>
      </w:r>
      <w:r w:rsidR="0040717F" w:rsidRPr="002457C7">
        <w:rPr>
          <w:rFonts w:ascii="Times New Roman" w:hAnsi="Times New Roman"/>
          <w:sz w:val="22"/>
          <w:szCs w:val="22"/>
        </w:rPr>
        <w:t>,</w:t>
      </w:r>
      <w:r w:rsidRPr="002457C7">
        <w:rPr>
          <w:rFonts w:ascii="Times New Roman" w:hAnsi="Times New Roman"/>
          <w:sz w:val="22"/>
          <w:szCs w:val="22"/>
        </w:rPr>
        <w:t xml:space="preserve"> while others considered it should be strengthened in some areas</w:t>
      </w:r>
      <w:r w:rsidR="00200970" w:rsidRPr="002457C7">
        <w:rPr>
          <w:rFonts w:ascii="Times New Roman" w:hAnsi="Times New Roman"/>
          <w:sz w:val="22"/>
          <w:szCs w:val="22"/>
        </w:rPr>
        <w:t>,</w:t>
      </w:r>
      <w:r w:rsidRPr="002457C7">
        <w:rPr>
          <w:rFonts w:ascii="Times New Roman" w:hAnsi="Times New Roman"/>
          <w:sz w:val="22"/>
          <w:szCs w:val="22"/>
        </w:rPr>
        <w:t xml:space="preserve"> such as credit management</w:t>
      </w:r>
      <w:r w:rsidR="00200970" w:rsidRPr="002457C7">
        <w:rPr>
          <w:rFonts w:ascii="Times New Roman" w:hAnsi="Times New Roman"/>
          <w:sz w:val="22"/>
          <w:szCs w:val="22"/>
        </w:rPr>
        <w:t>,</w:t>
      </w:r>
      <w:r w:rsidRPr="002457C7">
        <w:rPr>
          <w:rFonts w:ascii="Times New Roman" w:hAnsi="Times New Roman"/>
          <w:sz w:val="22"/>
          <w:szCs w:val="22"/>
        </w:rPr>
        <w:t xml:space="preserve"> by expanding on </w:t>
      </w:r>
      <w:r w:rsidR="00066DDE" w:rsidRPr="002457C7">
        <w:rPr>
          <w:rFonts w:ascii="Times New Roman" w:hAnsi="Times New Roman"/>
          <w:sz w:val="22"/>
          <w:szCs w:val="22"/>
        </w:rPr>
        <w:t>draft</w:t>
      </w:r>
      <w:r w:rsidRPr="002457C7">
        <w:rPr>
          <w:rFonts w:ascii="Times New Roman" w:hAnsi="Times New Roman"/>
          <w:sz w:val="22"/>
          <w:szCs w:val="22"/>
        </w:rPr>
        <w:t xml:space="preserve"> provisions and adding further protections.  </w:t>
      </w:r>
    </w:p>
    <w:p w14:paraId="30F0B6CD" w14:textId="5E98202B" w:rsidR="007B3068" w:rsidRPr="002457C7" w:rsidRDefault="006579CF" w:rsidP="002457C7">
      <w:pPr>
        <w:pStyle w:val="ListParagraph"/>
        <w:numPr>
          <w:ilvl w:val="0"/>
          <w:numId w:val="39"/>
        </w:numPr>
        <w:shd w:val="clear" w:color="auto" w:fill="FFFFFF"/>
        <w:spacing w:before="120" w:after="0" w:line="120" w:lineRule="atLeast"/>
        <w:contextualSpacing w:val="0"/>
        <w:rPr>
          <w:rFonts w:ascii="Times New Roman" w:eastAsiaTheme="minorHAnsi" w:hAnsi="Times New Roman"/>
          <w:sz w:val="22"/>
          <w:szCs w:val="22"/>
        </w:rPr>
      </w:pPr>
      <w:r w:rsidRPr="002457C7">
        <w:rPr>
          <w:rFonts w:ascii="Times New Roman" w:hAnsi="Times New Roman"/>
          <w:sz w:val="22"/>
          <w:szCs w:val="22"/>
        </w:rPr>
        <w:t>In response, c</w:t>
      </w:r>
      <w:r w:rsidR="007B3068" w:rsidRPr="002457C7">
        <w:rPr>
          <w:rFonts w:ascii="Times New Roman" w:hAnsi="Times New Roman"/>
          <w:sz w:val="22"/>
          <w:szCs w:val="22"/>
        </w:rPr>
        <w:t>hanges were made to reduce the prescriptiveness where th</w:t>
      </w:r>
      <w:r w:rsidR="00066DDE" w:rsidRPr="002457C7">
        <w:rPr>
          <w:rFonts w:ascii="Times New Roman" w:hAnsi="Times New Roman"/>
          <w:sz w:val="22"/>
          <w:szCs w:val="22"/>
        </w:rPr>
        <w:t>is</w:t>
      </w:r>
      <w:r w:rsidR="007B3068" w:rsidRPr="002457C7">
        <w:rPr>
          <w:rFonts w:ascii="Times New Roman" w:hAnsi="Times New Roman"/>
          <w:sz w:val="22"/>
          <w:szCs w:val="22"/>
        </w:rPr>
        <w:t xml:space="preserve"> would not decrease consumer protections</w:t>
      </w:r>
      <w:r w:rsidR="00695A7B" w:rsidRPr="002457C7">
        <w:rPr>
          <w:rFonts w:ascii="Times New Roman" w:hAnsi="Times New Roman"/>
          <w:sz w:val="22"/>
          <w:szCs w:val="22"/>
        </w:rPr>
        <w:t>,</w:t>
      </w:r>
      <w:r w:rsidR="007B3068" w:rsidRPr="002457C7">
        <w:rPr>
          <w:rFonts w:ascii="Times New Roman" w:hAnsi="Times New Roman"/>
          <w:sz w:val="22"/>
          <w:szCs w:val="22"/>
        </w:rPr>
        <w:t xml:space="preserve"> such as removing the obligation for a specific font size</w:t>
      </w:r>
      <w:r w:rsidR="00D2695D" w:rsidRPr="002457C7">
        <w:rPr>
          <w:rFonts w:ascii="Times New Roman" w:hAnsi="Times New Roman"/>
          <w:sz w:val="22"/>
          <w:szCs w:val="22"/>
        </w:rPr>
        <w:t xml:space="preserve"> for the payment assistance policy in section 8</w:t>
      </w:r>
      <w:r w:rsidR="007B3068" w:rsidRPr="002457C7">
        <w:rPr>
          <w:rFonts w:ascii="Times New Roman" w:hAnsi="Times New Roman"/>
          <w:sz w:val="22"/>
          <w:szCs w:val="22"/>
        </w:rPr>
        <w:t xml:space="preserve">, while retaining requirements for policies to be clear and easy to understand.  </w:t>
      </w:r>
      <w:r w:rsidR="005D5ECE" w:rsidRPr="002457C7">
        <w:rPr>
          <w:rFonts w:ascii="Times New Roman" w:hAnsi="Times New Roman"/>
          <w:sz w:val="22"/>
          <w:szCs w:val="22"/>
        </w:rPr>
        <w:t>S</w:t>
      </w:r>
      <w:r w:rsidR="007B3068" w:rsidRPr="002457C7">
        <w:rPr>
          <w:rFonts w:ascii="Times New Roman" w:hAnsi="Times New Roman"/>
          <w:sz w:val="22"/>
          <w:szCs w:val="22"/>
        </w:rPr>
        <w:t>ome protections for consumers</w:t>
      </w:r>
      <w:r w:rsidR="005D5ECE" w:rsidRPr="002457C7">
        <w:rPr>
          <w:rFonts w:ascii="Times New Roman" w:hAnsi="Times New Roman"/>
          <w:sz w:val="22"/>
          <w:szCs w:val="22"/>
        </w:rPr>
        <w:t xml:space="preserve"> were also strengthened</w:t>
      </w:r>
      <w:r w:rsidR="00D85741" w:rsidRPr="002457C7">
        <w:rPr>
          <w:rFonts w:ascii="Times New Roman" w:hAnsi="Times New Roman"/>
          <w:sz w:val="22"/>
          <w:szCs w:val="22"/>
        </w:rPr>
        <w:t>, including by</w:t>
      </w:r>
      <w:r w:rsidR="007B3068" w:rsidRPr="002457C7">
        <w:rPr>
          <w:rFonts w:ascii="Times New Roman" w:hAnsi="Times New Roman"/>
          <w:sz w:val="22"/>
          <w:szCs w:val="22"/>
        </w:rPr>
        <w:t xml:space="preserve"> requiring information on financial counselling services</w:t>
      </w:r>
      <w:r w:rsidR="008203AB" w:rsidRPr="002457C7">
        <w:rPr>
          <w:rFonts w:ascii="Times New Roman" w:hAnsi="Times New Roman"/>
          <w:sz w:val="22"/>
          <w:szCs w:val="22"/>
        </w:rPr>
        <w:t xml:space="preserve"> to</w:t>
      </w:r>
      <w:r w:rsidR="007B3068" w:rsidRPr="002457C7">
        <w:rPr>
          <w:rFonts w:ascii="Times New Roman" w:hAnsi="Times New Roman"/>
          <w:sz w:val="22"/>
          <w:szCs w:val="22"/>
        </w:rPr>
        <w:t xml:space="preserve"> be provide</w:t>
      </w:r>
      <w:r w:rsidR="00966EFA" w:rsidRPr="002457C7">
        <w:rPr>
          <w:rFonts w:ascii="Times New Roman" w:hAnsi="Times New Roman"/>
          <w:sz w:val="22"/>
          <w:szCs w:val="22"/>
        </w:rPr>
        <w:t>d</w:t>
      </w:r>
      <w:r w:rsidR="007B3068" w:rsidRPr="002457C7">
        <w:rPr>
          <w:rFonts w:ascii="Times New Roman" w:hAnsi="Times New Roman"/>
          <w:sz w:val="22"/>
          <w:szCs w:val="22"/>
        </w:rPr>
        <w:t xml:space="preserve"> to customers in credit management situations</w:t>
      </w:r>
      <w:r w:rsidR="00A6459F" w:rsidRPr="002457C7">
        <w:rPr>
          <w:rFonts w:ascii="Times New Roman" w:hAnsi="Times New Roman"/>
          <w:sz w:val="22"/>
          <w:szCs w:val="22"/>
        </w:rPr>
        <w:t xml:space="preserve"> under </w:t>
      </w:r>
      <w:r w:rsidR="00175027" w:rsidRPr="002457C7">
        <w:rPr>
          <w:rFonts w:ascii="Times New Roman" w:hAnsi="Times New Roman"/>
          <w:sz w:val="22"/>
          <w:szCs w:val="22"/>
        </w:rPr>
        <w:t>subparagraph 24(5)(b)(vi)</w:t>
      </w:r>
      <w:r w:rsidR="007B3068" w:rsidRPr="002457C7">
        <w:rPr>
          <w:rFonts w:ascii="Times New Roman" w:hAnsi="Times New Roman"/>
          <w:sz w:val="22"/>
          <w:szCs w:val="22"/>
        </w:rPr>
        <w:t xml:space="preserve">. </w:t>
      </w:r>
    </w:p>
    <w:p w14:paraId="1DA195F0" w14:textId="2326E5EF" w:rsidR="007B3068" w:rsidRPr="002457C7" w:rsidRDefault="007B3068" w:rsidP="00760A46">
      <w:pPr>
        <w:pStyle w:val="ListParagraph"/>
        <w:numPr>
          <w:ilvl w:val="0"/>
          <w:numId w:val="38"/>
        </w:numPr>
        <w:shd w:val="clear" w:color="auto" w:fill="FFFFFF"/>
        <w:spacing w:before="120" w:after="0" w:line="120" w:lineRule="atLeast"/>
        <w:ind w:left="426"/>
        <w:contextualSpacing w:val="0"/>
        <w:rPr>
          <w:rFonts w:ascii="Times New Roman" w:hAnsi="Times New Roman"/>
          <w:sz w:val="22"/>
          <w:szCs w:val="22"/>
        </w:rPr>
      </w:pPr>
      <w:r w:rsidRPr="002457C7">
        <w:rPr>
          <w:rFonts w:ascii="Times New Roman" w:hAnsi="Times New Roman"/>
          <w:sz w:val="22"/>
          <w:szCs w:val="22"/>
        </w:rPr>
        <w:t>Th</w:t>
      </w:r>
      <w:r w:rsidR="008203AB" w:rsidRPr="002457C7">
        <w:rPr>
          <w:rFonts w:ascii="Times New Roman" w:hAnsi="Times New Roman"/>
          <w:sz w:val="22"/>
          <w:szCs w:val="22"/>
        </w:rPr>
        <w:t>e th</w:t>
      </w:r>
      <w:r w:rsidRPr="002457C7">
        <w:rPr>
          <w:rFonts w:ascii="Times New Roman" w:hAnsi="Times New Roman"/>
          <w:sz w:val="22"/>
          <w:szCs w:val="22"/>
        </w:rPr>
        <w:t xml:space="preserve">reshold spend </w:t>
      </w:r>
      <w:r w:rsidR="008203AB" w:rsidRPr="002457C7">
        <w:rPr>
          <w:rFonts w:ascii="Times New Roman" w:hAnsi="Times New Roman"/>
          <w:sz w:val="22"/>
          <w:szCs w:val="22"/>
        </w:rPr>
        <w:t xml:space="preserve">limit </w:t>
      </w:r>
      <w:r w:rsidR="00D91C45" w:rsidRPr="002457C7">
        <w:rPr>
          <w:rFonts w:ascii="Times New Roman" w:hAnsi="Times New Roman"/>
          <w:sz w:val="22"/>
          <w:szCs w:val="22"/>
        </w:rPr>
        <w:t xml:space="preserve">for businesses </w:t>
      </w:r>
      <w:r w:rsidRPr="002457C7">
        <w:rPr>
          <w:rFonts w:ascii="Times New Roman" w:hAnsi="Times New Roman"/>
          <w:sz w:val="22"/>
          <w:szCs w:val="22"/>
        </w:rPr>
        <w:t xml:space="preserve">in the definition of consumer </w:t>
      </w:r>
      <w:r w:rsidR="00175027" w:rsidRPr="002457C7">
        <w:rPr>
          <w:rFonts w:ascii="Times New Roman" w:hAnsi="Times New Roman"/>
          <w:sz w:val="22"/>
          <w:szCs w:val="22"/>
        </w:rPr>
        <w:t>in section 5</w:t>
      </w:r>
      <w:r w:rsidR="00027104" w:rsidRPr="002457C7">
        <w:rPr>
          <w:rFonts w:ascii="Times New Roman" w:hAnsi="Times New Roman"/>
          <w:sz w:val="22"/>
          <w:szCs w:val="22"/>
        </w:rPr>
        <w:t xml:space="preserve">, </w:t>
      </w:r>
      <w:r w:rsidR="009D4284" w:rsidRPr="002457C7">
        <w:rPr>
          <w:rFonts w:ascii="Times New Roman" w:hAnsi="Times New Roman"/>
          <w:sz w:val="22"/>
          <w:szCs w:val="22"/>
        </w:rPr>
        <w:t xml:space="preserve">which was set at $100,000 in the draft, </w:t>
      </w:r>
      <w:r w:rsidR="00D97352" w:rsidRPr="002457C7">
        <w:rPr>
          <w:rFonts w:ascii="Times New Roman" w:hAnsi="Times New Roman"/>
          <w:sz w:val="22"/>
          <w:szCs w:val="22"/>
        </w:rPr>
        <w:t>drew</w:t>
      </w:r>
      <w:r w:rsidR="00027104" w:rsidRPr="002457C7">
        <w:rPr>
          <w:rFonts w:ascii="Times New Roman" w:hAnsi="Times New Roman"/>
          <w:sz w:val="22"/>
          <w:szCs w:val="22"/>
        </w:rPr>
        <w:t xml:space="preserve"> </w:t>
      </w:r>
      <w:r w:rsidRPr="002457C7">
        <w:rPr>
          <w:rFonts w:ascii="Times New Roman" w:hAnsi="Times New Roman"/>
          <w:sz w:val="22"/>
          <w:szCs w:val="22"/>
        </w:rPr>
        <w:t xml:space="preserve">concerns </w:t>
      </w:r>
      <w:r w:rsidR="002A2566" w:rsidRPr="002457C7">
        <w:rPr>
          <w:rFonts w:ascii="Times New Roman" w:hAnsi="Times New Roman"/>
          <w:sz w:val="22"/>
          <w:szCs w:val="22"/>
        </w:rPr>
        <w:t xml:space="preserve">from industry </w:t>
      </w:r>
      <w:r w:rsidR="00D91C45" w:rsidRPr="002457C7">
        <w:rPr>
          <w:rFonts w:ascii="Times New Roman" w:hAnsi="Times New Roman"/>
          <w:sz w:val="22"/>
          <w:szCs w:val="22"/>
        </w:rPr>
        <w:t xml:space="preserve">that </w:t>
      </w:r>
      <w:r w:rsidR="002A2566" w:rsidRPr="002457C7">
        <w:rPr>
          <w:rFonts w:ascii="Times New Roman" w:hAnsi="Times New Roman"/>
          <w:sz w:val="22"/>
          <w:szCs w:val="22"/>
        </w:rPr>
        <w:t>this</w:t>
      </w:r>
      <w:r w:rsidRPr="002457C7">
        <w:rPr>
          <w:rFonts w:ascii="Times New Roman" w:hAnsi="Times New Roman"/>
          <w:sz w:val="22"/>
          <w:szCs w:val="22"/>
        </w:rPr>
        <w:t xml:space="preserve"> would encompass large entities, which are not</w:t>
      </w:r>
      <w:r w:rsidR="00D90EE0" w:rsidRPr="002457C7">
        <w:rPr>
          <w:rFonts w:ascii="Times New Roman" w:hAnsi="Times New Roman"/>
          <w:sz w:val="22"/>
          <w:szCs w:val="22"/>
        </w:rPr>
        <w:t xml:space="preserve"> intended to be</w:t>
      </w:r>
      <w:r w:rsidRPr="002457C7">
        <w:rPr>
          <w:rFonts w:ascii="Times New Roman" w:hAnsi="Times New Roman"/>
          <w:sz w:val="22"/>
          <w:szCs w:val="22"/>
        </w:rPr>
        <w:t xml:space="preserve"> within the scope of the Standard.</w:t>
      </w:r>
    </w:p>
    <w:p w14:paraId="5B01EC41" w14:textId="056BEBC9" w:rsidR="007B3068" w:rsidRPr="00E65D4B" w:rsidRDefault="00A7640E" w:rsidP="00E65D4B">
      <w:pPr>
        <w:pStyle w:val="ListParagraph"/>
        <w:numPr>
          <w:ilvl w:val="0"/>
          <w:numId w:val="39"/>
        </w:numPr>
        <w:shd w:val="clear" w:color="auto" w:fill="FFFFFF"/>
        <w:spacing w:before="120" w:after="0" w:line="120" w:lineRule="atLeast"/>
        <w:contextualSpacing w:val="0"/>
        <w:rPr>
          <w:rFonts w:ascii="Times New Roman" w:hAnsi="Times New Roman"/>
          <w:sz w:val="22"/>
          <w:szCs w:val="22"/>
        </w:rPr>
      </w:pPr>
      <w:r>
        <w:rPr>
          <w:rFonts w:ascii="Times New Roman" w:hAnsi="Times New Roman"/>
          <w:sz w:val="22"/>
          <w:szCs w:val="22"/>
        </w:rPr>
        <w:t>A</w:t>
      </w:r>
      <w:r w:rsidR="007B3068" w:rsidRPr="002457C7">
        <w:rPr>
          <w:rFonts w:ascii="Times New Roman" w:hAnsi="Times New Roman"/>
          <w:sz w:val="22"/>
          <w:szCs w:val="22"/>
        </w:rPr>
        <w:t xml:space="preserve"> threshold of $40,000</w:t>
      </w:r>
      <w:r>
        <w:rPr>
          <w:rFonts w:ascii="Times New Roman" w:hAnsi="Times New Roman"/>
          <w:sz w:val="22"/>
          <w:szCs w:val="22"/>
        </w:rPr>
        <w:t xml:space="preserve"> has been retain</w:t>
      </w:r>
      <w:r w:rsidR="007B3068" w:rsidRPr="002457C7">
        <w:rPr>
          <w:rFonts w:ascii="Times New Roman" w:hAnsi="Times New Roman"/>
          <w:sz w:val="22"/>
          <w:szCs w:val="22"/>
        </w:rPr>
        <w:t xml:space="preserve">. This </w:t>
      </w:r>
      <w:r w:rsidR="00A85F9F" w:rsidRPr="002457C7">
        <w:rPr>
          <w:rFonts w:ascii="Times New Roman" w:hAnsi="Times New Roman"/>
          <w:sz w:val="22"/>
          <w:szCs w:val="22"/>
        </w:rPr>
        <w:t xml:space="preserve">spend limit is </w:t>
      </w:r>
      <w:r w:rsidR="007B3068" w:rsidRPr="002457C7">
        <w:rPr>
          <w:rFonts w:ascii="Times New Roman" w:hAnsi="Times New Roman"/>
          <w:sz w:val="22"/>
          <w:szCs w:val="22"/>
        </w:rPr>
        <w:t xml:space="preserve">in the keeping with </w:t>
      </w:r>
      <w:r w:rsidR="00870012">
        <w:rPr>
          <w:rFonts w:ascii="Times New Roman" w:hAnsi="Times New Roman"/>
          <w:sz w:val="22"/>
          <w:szCs w:val="22"/>
        </w:rPr>
        <w:t xml:space="preserve">the </w:t>
      </w:r>
      <w:r w:rsidR="007B3068" w:rsidRPr="002457C7">
        <w:rPr>
          <w:rFonts w:ascii="Times New Roman" w:hAnsi="Times New Roman"/>
          <w:sz w:val="22"/>
          <w:szCs w:val="22"/>
        </w:rPr>
        <w:t xml:space="preserve">definition of </w:t>
      </w:r>
      <w:r w:rsidR="00D72114" w:rsidRPr="002457C7">
        <w:rPr>
          <w:rFonts w:ascii="Times New Roman" w:hAnsi="Times New Roman"/>
          <w:sz w:val="22"/>
          <w:szCs w:val="22"/>
        </w:rPr>
        <w:t>‘c</w:t>
      </w:r>
      <w:r w:rsidR="007B3068" w:rsidRPr="002457C7">
        <w:rPr>
          <w:rFonts w:ascii="Times New Roman" w:hAnsi="Times New Roman"/>
          <w:sz w:val="22"/>
          <w:szCs w:val="22"/>
        </w:rPr>
        <w:t>onsumer</w:t>
      </w:r>
      <w:r w:rsidR="00D72114" w:rsidRPr="002457C7">
        <w:rPr>
          <w:rFonts w:ascii="Times New Roman" w:hAnsi="Times New Roman"/>
          <w:sz w:val="22"/>
          <w:szCs w:val="22"/>
        </w:rPr>
        <w:t>’</w:t>
      </w:r>
      <w:r w:rsidR="007B3068" w:rsidRPr="002457C7">
        <w:rPr>
          <w:rFonts w:ascii="Times New Roman" w:hAnsi="Times New Roman"/>
          <w:sz w:val="22"/>
          <w:szCs w:val="22"/>
        </w:rPr>
        <w:t xml:space="preserve"> in the TCP Code in force at the time </w:t>
      </w:r>
      <w:r w:rsidR="00F35560" w:rsidRPr="002457C7">
        <w:rPr>
          <w:rFonts w:ascii="Times New Roman" w:hAnsi="Times New Roman"/>
          <w:sz w:val="22"/>
          <w:szCs w:val="22"/>
        </w:rPr>
        <w:t>the Standard</w:t>
      </w:r>
      <w:r w:rsidR="007B3068" w:rsidRPr="002457C7">
        <w:rPr>
          <w:rFonts w:ascii="Times New Roman" w:hAnsi="Times New Roman"/>
          <w:sz w:val="22"/>
          <w:szCs w:val="22"/>
        </w:rPr>
        <w:t xml:space="preserve"> </w:t>
      </w:r>
      <w:r w:rsidR="00870012">
        <w:rPr>
          <w:rFonts w:ascii="Times New Roman" w:hAnsi="Times New Roman"/>
          <w:sz w:val="22"/>
          <w:szCs w:val="22"/>
        </w:rPr>
        <w:t>wa</w:t>
      </w:r>
      <w:r w:rsidR="007B3068" w:rsidRPr="002457C7">
        <w:rPr>
          <w:rFonts w:ascii="Times New Roman" w:hAnsi="Times New Roman"/>
          <w:sz w:val="22"/>
          <w:szCs w:val="22"/>
        </w:rPr>
        <w:t xml:space="preserve">s made and is consistent with other </w:t>
      </w:r>
      <w:r w:rsidR="00AC3250" w:rsidRPr="002457C7">
        <w:rPr>
          <w:rFonts w:ascii="Times New Roman" w:hAnsi="Times New Roman"/>
          <w:sz w:val="22"/>
          <w:szCs w:val="22"/>
        </w:rPr>
        <w:t>industry standards (</w:t>
      </w:r>
      <w:proofErr w:type="gramStart"/>
      <w:r w:rsidR="00AC3250" w:rsidRPr="002457C7">
        <w:rPr>
          <w:rFonts w:ascii="Times New Roman" w:hAnsi="Times New Roman"/>
          <w:sz w:val="22"/>
          <w:szCs w:val="22"/>
        </w:rPr>
        <w:t>e.g.</w:t>
      </w:r>
      <w:proofErr w:type="gramEnd"/>
      <w:r w:rsidR="00AC3250" w:rsidRPr="002457C7">
        <w:rPr>
          <w:rFonts w:ascii="Times New Roman" w:hAnsi="Times New Roman"/>
          <w:sz w:val="22"/>
          <w:szCs w:val="22"/>
        </w:rPr>
        <w:t xml:space="preserve"> the </w:t>
      </w:r>
      <w:r w:rsidR="00AC3250" w:rsidRPr="004016B8">
        <w:rPr>
          <w:rFonts w:ascii="Times New Roman" w:hAnsi="Times New Roman"/>
          <w:i/>
          <w:iCs/>
          <w:sz w:val="22"/>
          <w:szCs w:val="22"/>
        </w:rPr>
        <w:t>Telecommunications (Consumer Complaints Handling) Industry Standard 2018</w:t>
      </w:r>
      <w:r w:rsidR="00AC3250" w:rsidRPr="002457C7">
        <w:rPr>
          <w:rFonts w:ascii="Times New Roman" w:hAnsi="Times New Roman"/>
          <w:sz w:val="22"/>
          <w:szCs w:val="22"/>
        </w:rPr>
        <w:t xml:space="preserve">) and </w:t>
      </w:r>
      <w:r w:rsidR="00ED55EA">
        <w:rPr>
          <w:rFonts w:ascii="Times New Roman" w:hAnsi="Times New Roman"/>
          <w:sz w:val="22"/>
          <w:szCs w:val="22"/>
        </w:rPr>
        <w:t xml:space="preserve">other legislative </w:t>
      </w:r>
      <w:r w:rsidR="007B3068" w:rsidRPr="002457C7">
        <w:rPr>
          <w:rFonts w:ascii="Times New Roman" w:hAnsi="Times New Roman"/>
          <w:sz w:val="22"/>
          <w:szCs w:val="22"/>
        </w:rPr>
        <w:t xml:space="preserve">instruments </w:t>
      </w:r>
      <w:r w:rsidR="00F35560" w:rsidRPr="002457C7">
        <w:rPr>
          <w:rFonts w:ascii="Times New Roman" w:hAnsi="Times New Roman"/>
          <w:sz w:val="22"/>
          <w:szCs w:val="22"/>
        </w:rPr>
        <w:t xml:space="preserve">(e.g. </w:t>
      </w:r>
      <w:r w:rsidR="007C2E9D" w:rsidRPr="002457C7">
        <w:rPr>
          <w:rFonts w:ascii="Times New Roman" w:hAnsi="Times New Roman"/>
          <w:sz w:val="22"/>
          <w:szCs w:val="22"/>
        </w:rPr>
        <w:t xml:space="preserve">see the definition of ‘customer’ in </w:t>
      </w:r>
      <w:r w:rsidR="007B3068" w:rsidRPr="002457C7">
        <w:rPr>
          <w:rFonts w:ascii="Times New Roman" w:hAnsi="Times New Roman"/>
          <w:sz w:val="22"/>
          <w:szCs w:val="22"/>
        </w:rPr>
        <w:t xml:space="preserve">the </w:t>
      </w:r>
      <w:r w:rsidR="00AC3250" w:rsidRPr="004016B8">
        <w:rPr>
          <w:rFonts w:ascii="Times New Roman" w:hAnsi="Times New Roman"/>
          <w:i/>
          <w:iCs/>
          <w:sz w:val="22"/>
          <w:szCs w:val="22"/>
        </w:rPr>
        <w:t>Telecommunications Service Provider (</w:t>
      </w:r>
      <w:r w:rsidR="007B3068" w:rsidRPr="004016B8">
        <w:rPr>
          <w:rFonts w:ascii="Times New Roman" w:hAnsi="Times New Roman"/>
          <w:i/>
          <w:iCs/>
          <w:sz w:val="22"/>
          <w:szCs w:val="22"/>
        </w:rPr>
        <w:t>Customer Identification</w:t>
      </w:r>
      <w:r w:rsidR="00AC3250" w:rsidRPr="004016B8">
        <w:rPr>
          <w:rFonts w:ascii="Times New Roman" w:hAnsi="Times New Roman"/>
          <w:i/>
          <w:iCs/>
          <w:sz w:val="22"/>
          <w:szCs w:val="22"/>
        </w:rPr>
        <w:t>)</w:t>
      </w:r>
      <w:r w:rsidR="007B3068" w:rsidRPr="004016B8">
        <w:rPr>
          <w:rFonts w:ascii="Times New Roman" w:hAnsi="Times New Roman"/>
          <w:i/>
          <w:iCs/>
          <w:sz w:val="22"/>
          <w:szCs w:val="22"/>
        </w:rPr>
        <w:t xml:space="preserve"> Determination</w:t>
      </w:r>
      <w:r w:rsidR="00AC3250" w:rsidRPr="004016B8">
        <w:rPr>
          <w:rFonts w:ascii="Times New Roman" w:hAnsi="Times New Roman"/>
          <w:i/>
          <w:iCs/>
          <w:sz w:val="22"/>
          <w:szCs w:val="22"/>
        </w:rPr>
        <w:t xml:space="preserve"> 2022</w:t>
      </w:r>
      <w:r w:rsidR="00F35560" w:rsidRPr="004016B8">
        <w:rPr>
          <w:rFonts w:ascii="Times New Roman" w:hAnsi="Times New Roman"/>
          <w:i/>
          <w:iCs/>
          <w:sz w:val="22"/>
          <w:szCs w:val="22"/>
        </w:rPr>
        <w:t>)</w:t>
      </w:r>
      <w:r w:rsidR="00F35560" w:rsidRPr="002457C7">
        <w:rPr>
          <w:rFonts w:ascii="Times New Roman" w:hAnsi="Times New Roman"/>
          <w:sz w:val="22"/>
          <w:szCs w:val="22"/>
        </w:rPr>
        <w:t xml:space="preserve"> </w:t>
      </w:r>
      <w:r w:rsidR="000F5DB2" w:rsidRPr="002457C7">
        <w:rPr>
          <w:rFonts w:ascii="Times New Roman" w:hAnsi="Times New Roman"/>
          <w:sz w:val="22"/>
          <w:szCs w:val="22"/>
        </w:rPr>
        <w:t>made by the ACMA under the Act</w:t>
      </w:r>
      <w:r w:rsidR="007B3068" w:rsidRPr="002457C7">
        <w:rPr>
          <w:rFonts w:ascii="Times New Roman" w:hAnsi="Times New Roman"/>
          <w:sz w:val="22"/>
          <w:szCs w:val="22"/>
        </w:rPr>
        <w:t>.</w:t>
      </w:r>
    </w:p>
    <w:p w14:paraId="73D1722C" w14:textId="2089CF31" w:rsidR="007B3068" w:rsidRPr="002457C7" w:rsidRDefault="007B3068" w:rsidP="00760A46">
      <w:pPr>
        <w:pStyle w:val="ListParagraph"/>
        <w:numPr>
          <w:ilvl w:val="0"/>
          <w:numId w:val="38"/>
        </w:numPr>
        <w:shd w:val="clear" w:color="auto" w:fill="FFFFFF"/>
        <w:spacing w:before="120" w:after="0" w:line="120" w:lineRule="atLeast"/>
        <w:ind w:left="426"/>
        <w:contextualSpacing w:val="0"/>
        <w:rPr>
          <w:rFonts w:ascii="Times New Roman" w:hAnsi="Times New Roman"/>
          <w:sz w:val="22"/>
          <w:szCs w:val="22"/>
        </w:rPr>
      </w:pPr>
      <w:r w:rsidRPr="002457C7">
        <w:rPr>
          <w:rFonts w:ascii="Times New Roman" w:hAnsi="Times New Roman"/>
          <w:sz w:val="22"/>
          <w:szCs w:val="22"/>
        </w:rPr>
        <w:t>Options to help customers with payment</w:t>
      </w:r>
      <w:r w:rsidR="00397B15" w:rsidRPr="002457C7">
        <w:rPr>
          <w:rFonts w:ascii="Times New Roman" w:hAnsi="Times New Roman"/>
          <w:sz w:val="22"/>
          <w:szCs w:val="22"/>
        </w:rPr>
        <w:t>s</w:t>
      </w:r>
      <w:r w:rsidRPr="002457C7">
        <w:rPr>
          <w:rFonts w:ascii="Times New Roman" w:hAnsi="Times New Roman"/>
          <w:sz w:val="22"/>
          <w:szCs w:val="22"/>
        </w:rPr>
        <w:t xml:space="preserve"> – submitters were generally supportive of having a range of options for assistance </w:t>
      </w:r>
      <w:r w:rsidR="00A06417" w:rsidRPr="002457C7">
        <w:rPr>
          <w:rFonts w:ascii="Times New Roman" w:hAnsi="Times New Roman"/>
          <w:sz w:val="22"/>
          <w:szCs w:val="22"/>
        </w:rPr>
        <w:t xml:space="preserve">set out in the definitions in section 5 </w:t>
      </w:r>
      <w:r w:rsidRPr="002457C7">
        <w:rPr>
          <w:rFonts w:ascii="Times New Roman" w:hAnsi="Times New Roman"/>
          <w:sz w:val="22"/>
          <w:szCs w:val="22"/>
        </w:rPr>
        <w:t xml:space="preserve">and offered various suggestions for clarification, addition and removal. </w:t>
      </w:r>
    </w:p>
    <w:p w14:paraId="4515E5CA" w14:textId="00F3398B" w:rsidR="007B3068" w:rsidRPr="002457C7" w:rsidRDefault="00E81D8D" w:rsidP="00E77DC6">
      <w:pPr>
        <w:pStyle w:val="ListParagraph"/>
        <w:numPr>
          <w:ilvl w:val="0"/>
          <w:numId w:val="40"/>
        </w:numPr>
        <w:shd w:val="clear" w:color="auto" w:fill="FFFFFF"/>
        <w:spacing w:before="120" w:after="0" w:line="120" w:lineRule="atLeast"/>
        <w:ind w:left="1418"/>
        <w:contextualSpacing w:val="0"/>
        <w:rPr>
          <w:rFonts w:ascii="Times New Roman" w:eastAsiaTheme="minorHAnsi" w:hAnsi="Times New Roman"/>
          <w:sz w:val="22"/>
          <w:szCs w:val="22"/>
        </w:rPr>
      </w:pPr>
      <w:r w:rsidRPr="002457C7">
        <w:rPr>
          <w:rFonts w:ascii="Times New Roman" w:hAnsi="Times New Roman"/>
          <w:sz w:val="22"/>
          <w:szCs w:val="22"/>
        </w:rPr>
        <w:t xml:space="preserve">The ACMA addressed this feedback by </w:t>
      </w:r>
      <w:r w:rsidR="007B3068" w:rsidRPr="002457C7">
        <w:rPr>
          <w:rFonts w:ascii="Times New Roman" w:hAnsi="Times New Roman"/>
          <w:sz w:val="22"/>
          <w:szCs w:val="22"/>
        </w:rPr>
        <w:t>implement</w:t>
      </w:r>
      <w:r w:rsidR="00F76D6F" w:rsidRPr="002457C7">
        <w:rPr>
          <w:rFonts w:ascii="Times New Roman" w:hAnsi="Times New Roman"/>
          <w:sz w:val="22"/>
          <w:szCs w:val="22"/>
        </w:rPr>
        <w:t>ing</w:t>
      </w:r>
      <w:r w:rsidR="007B3068" w:rsidRPr="002457C7">
        <w:rPr>
          <w:rFonts w:ascii="Times New Roman" w:hAnsi="Times New Roman"/>
          <w:sz w:val="22"/>
          <w:szCs w:val="22"/>
        </w:rPr>
        <w:t xml:space="preserve"> suggestions which provide better clarity and additional options for assistance</w:t>
      </w:r>
      <w:r w:rsidR="005A37AA" w:rsidRPr="002457C7">
        <w:rPr>
          <w:rFonts w:ascii="Times New Roman" w:hAnsi="Times New Roman"/>
          <w:sz w:val="22"/>
          <w:szCs w:val="22"/>
        </w:rPr>
        <w:t>,</w:t>
      </w:r>
      <w:r w:rsidR="007B3068" w:rsidRPr="002457C7">
        <w:rPr>
          <w:rFonts w:ascii="Times New Roman" w:hAnsi="Times New Roman"/>
          <w:sz w:val="22"/>
          <w:szCs w:val="22"/>
        </w:rPr>
        <w:t xml:space="preserve"> giving both consumers and industry more choice</w:t>
      </w:r>
      <w:r w:rsidR="005A37AA" w:rsidRPr="002457C7">
        <w:rPr>
          <w:rFonts w:ascii="Times New Roman" w:hAnsi="Times New Roman"/>
          <w:sz w:val="22"/>
          <w:szCs w:val="22"/>
        </w:rPr>
        <w:t>,</w:t>
      </w:r>
      <w:r w:rsidR="007B3068" w:rsidRPr="002457C7">
        <w:rPr>
          <w:rFonts w:ascii="Times New Roman" w:hAnsi="Times New Roman"/>
          <w:sz w:val="22"/>
          <w:szCs w:val="22"/>
        </w:rPr>
        <w:t xml:space="preserve"> such as combining the previous two categories</w:t>
      </w:r>
      <w:r w:rsidR="003B5951" w:rsidRPr="002457C7">
        <w:rPr>
          <w:rFonts w:ascii="Times New Roman" w:hAnsi="Times New Roman"/>
          <w:sz w:val="22"/>
          <w:szCs w:val="22"/>
        </w:rPr>
        <w:t xml:space="preserve"> of assistance</w:t>
      </w:r>
      <w:r w:rsidR="007B3068" w:rsidRPr="002457C7">
        <w:rPr>
          <w:rFonts w:ascii="Times New Roman" w:hAnsi="Times New Roman"/>
          <w:sz w:val="22"/>
          <w:szCs w:val="22"/>
        </w:rPr>
        <w:t xml:space="preserve"> into a single </w:t>
      </w:r>
      <w:r w:rsidR="009044BC" w:rsidRPr="002457C7">
        <w:rPr>
          <w:rFonts w:ascii="Times New Roman" w:hAnsi="Times New Roman"/>
          <w:sz w:val="22"/>
          <w:szCs w:val="22"/>
        </w:rPr>
        <w:t>‘</w:t>
      </w:r>
      <w:r w:rsidR="007B3068" w:rsidRPr="002457C7">
        <w:rPr>
          <w:rFonts w:ascii="Times New Roman" w:hAnsi="Times New Roman"/>
          <w:sz w:val="22"/>
          <w:szCs w:val="22"/>
        </w:rPr>
        <w:t>options for assistance’ category from which provider must choose and adding an option for a free payment method.</w:t>
      </w:r>
      <w:r w:rsidR="00C16F24" w:rsidRPr="002457C7">
        <w:rPr>
          <w:rFonts w:ascii="Times New Roman" w:hAnsi="Times New Roman"/>
          <w:sz w:val="22"/>
          <w:szCs w:val="22"/>
        </w:rPr>
        <w:t xml:space="preserve"> </w:t>
      </w:r>
    </w:p>
    <w:p w14:paraId="741D4E1F" w14:textId="35360DC8" w:rsidR="007B3068" w:rsidRPr="002457C7" w:rsidRDefault="007B3068" w:rsidP="00760A46">
      <w:pPr>
        <w:pStyle w:val="ListParagraph"/>
        <w:numPr>
          <w:ilvl w:val="0"/>
          <w:numId w:val="41"/>
        </w:numPr>
        <w:shd w:val="clear" w:color="auto" w:fill="FFFFFF"/>
        <w:spacing w:before="120" w:after="0" w:line="120" w:lineRule="atLeast"/>
        <w:ind w:left="426"/>
        <w:contextualSpacing w:val="0"/>
        <w:rPr>
          <w:rFonts w:ascii="Times New Roman" w:hAnsi="Times New Roman"/>
          <w:sz w:val="22"/>
          <w:szCs w:val="22"/>
        </w:rPr>
      </w:pPr>
      <w:r w:rsidRPr="002457C7">
        <w:rPr>
          <w:rFonts w:ascii="Times New Roman" w:hAnsi="Times New Roman"/>
          <w:sz w:val="22"/>
          <w:szCs w:val="22"/>
        </w:rPr>
        <w:t xml:space="preserve">Privacy obligations – some submitters considered there was no need to include obligations relating to privacy as these were </w:t>
      </w:r>
      <w:r w:rsidR="00531073" w:rsidRPr="002457C7">
        <w:rPr>
          <w:rFonts w:ascii="Times New Roman" w:hAnsi="Times New Roman"/>
          <w:sz w:val="22"/>
          <w:szCs w:val="22"/>
        </w:rPr>
        <w:t>alr</w:t>
      </w:r>
      <w:r w:rsidR="00BC77DA" w:rsidRPr="002457C7">
        <w:rPr>
          <w:rFonts w:ascii="Times New Roman" w:hAnsi="Times New Roman"/>
          <w:sz w:val="22"/>
          <w:szCs w:val="22"/>
        </w:rPr>
        <w:t>eady encompassed by</w:t>
      </w:r>
      <w:r w:rsidRPr="002457C7">
        <w:rPr>
          <w:rFonts w:ascii="Times New Roman" w:hAnsi="Times New Roman"/>
          <w:sz w:val="22"/>
          <w:szCs w:val="22"/>
        </w:rPr>
        <w:t xml:space="preserve"> the Privacy Act. The </w:t>
      </w:r>
      <w:r w:rsidR="0048055C" w:rsidRPr="002457C7">
        <w:rPr>
          <w:rFonts w:ascii="Times New Roman" w:hAnsi="Times New Roman"/>
          <w:sz w:val="22"/>
          <w:szCs w:val="22"/>
        </w:rPr>
        <w:t xml:space="preserve">ACMA incorporated feedback from the </w:t>
      </w:r>
      <w:r w:rsidRPr="002457C7">
        <w:rPr>
          <w:rFonts w:ascii="Times New Roman" w:hAnsi="Times New Roman"/>
          <w:sz w:val="22"/>
          <w:szCs w:val="22"/>
        </w:rPr>
        <w:t xml:space="preserve">Information Commissioner </w:t>
      </w:r>
      <w:r w:rsidR="0048055C" w:rsidRPr="002457C7">
        <w:rPr>
          <w:rFonts w:ascii="Times New Roman" w:hAnsi="Times New Roman"/>
          <w:sz w:val="22"/>
          <w:szCs w:val="22"/>
        </w:rPr>
        <w:t>to</w:t>
      </w:r>
      <w:r w:rsidRPr="002457C7">
        <w:rPr>
          <w:rFonts w:ascii="Times New Roman" w:hAnsi="Times New Roman"/>
          <w:sz w:val="22"/>
          <w:szCs w:val="22"/>
        </w:rPr>
        <w:t xml:space="preserve"> more closely align </w:t>
      </w:r>
      <w:r w:rsidR="00E2477B">
        <w:rPr>
          <w:rFonts w:ascii="Times New Roman" w:hAnsi="Times New Roman"/>
          <w:sz w:val="22"/>
          <w:szCs w:val="22"/>
        </w:rPr>
        <w:t xml:space="preserve">the Standard </w:t>
      </w:r>
      <w:r w:rsidRPr="002457C7">
        <w:rPr>
          <w:rFonts w:ascii="Times New Roman" w:hAnsi="Times New Roman"/>
          <w:sz w:val="22"/>
          <w:szCs w:val="22"/>
        </w:rPr>
        <w:t>with Australian Privacy Principle</w:t>
      </w:r>
      <w:r w:rsidR="005967EA" w:rsidRPr="002457C7">
        <w:rPr>
          <w:rFonts w:ascii="Times New Roman" w:hAnsi="Times New Roman"/>
          <w:sz w:val="22"/>
          <w:szCs w:val="22"/>
        </w:rPr>
        <w:t>s</w:t>
      </w:r>
      <w:r w:rsidRPr="002457C7">
        <w:rPr>
          <w:rFonts w:ascii="Times New Roman" w:hAnsi="Times New Roman"/>
          <w:sz w:val="22"/>
          <w:szCs w:val="22"/>
        </w:rPr>
        <w:t xml:space="preserve"> 6 and 11.</w:t>
      </w:r>
    </w:p>
    <w:p w14:paraId="234AF001" w14:textId="09012606" w:rsidR="007B3068" w:rsidRPr="002457C7" w:rsidRDefault="00932CDB" w:rsidP="00E77DC6">
      <w:pPr>
        <w:pStyle w:val="ListParagraph"/>
        <w:numPr>
          <w:ilvl w:val="0"/>
          <w:numId w:val="40"/>
        </w:numPr>
        <w:shd w:val="clear" w:color="auto" w:fill="FFFFFF"/>
        <w:spacing w:before="120" w:after="0" w:line="120" w:lineRule="atLeast"/>
        <w:ind w:left="1418"/>
        <w:contextualSpacing w:val="0"/>
        <w:rPr>
          <w:rFonts w:ascii="Times New Roman" w:eastAsiaTheme="minorHAnsi" w:hAnsi="Times New Roman"/>
          <w:sz w:val="22"/>
          <w:szCs w:val="22"/>
        </w:rPr>
      </w:pPr>
      <w:r w:rsidRPr="002457C7">
        <w:rPr>
          <w:rFonts w:ascii="Times New Roman" w:hAnsi="Times New Roman"/>
          <w:sz w:val="22"/>
          <w:szCs w:val="22"/>
        </w:rPr>
        <w:t>S</w:t>
      </w:r>
      <w:r w:rsidR="004D17CE" w:rsidRPr="002457C7">
        <w:rPr>
          <w:rFonts w:ascii="Times New Roman" w:hAnsi="Times New Roman"/>
          <w:sz w:val="22"/>
          <w:szCs w:val="22"/>
        </w:rPr>
        <w:t>ubsection 29(3)</w:t>
      </w:r>
      <w:r w:rsidR="003728F9" w:rsidRPr="002457C7">
        <w:rPr>
          <w:rFonts w:ascii="Times New Roman" w:hAnsi="Times New Roman"/>
          <w:sz w:val="22"/>
          <w:szCs w:val="22"/>
        </w:rPr>
        <w:t xml:space="preserve"> and section 31 of </w:t>
      </w:r>
      <w:r w:rsidR="007B3068" w:rsidRPr="002457C7">
        <w:rPr>
          <w:rFonts w:ascii="Times New Roman" w:hAnsi="Times New Roman"/>
          <w:sz w:val="22"/>
          <w:szCs w:val="22"/>
        </w:rPr>
        <w:t>the</w:t>
      </w:r>
      <w:r w:rsidR="00C779B7" w:rsidRPr="002457C7">
        <w:rPr>
          <w:rFonts w:ascii="Times New Roman" w:hAnsi="Times New Roman"/>
          <w:sz w:val="22"/>
          <w:szCs w:val="22"/>
        </w:rPr>
        <w:t xml:space="preserve"> draft were revised</w:t>
      </w:r>
      <w:r w:rsidR="007B3068" w:rsidRPr="002457C7">
        <w:rPr>
          <w:rFonts w:ascii="Times New Roman" w:hAnsi="Times New Roman"/>
          <w:sz w:val="22"/>
          <w:szCs w:val="22"/>
        </w:rPr>
        <w:t xml:space="preserve"> to implement suggestions from the Information Commissioner relating to the protection, disclosure, disposal and destruction of </w:t>
      </w:r>
      <w:r w:rsidR="003728F9" w:rsidRPr="002457C7">
        <w:rPr>
          <w:rFonts w:ascii="Times New Roman" w:hAnsi="Times New Roman"/>
          <w:sz w:val="22"/>
          <w:szCs w:val="22"/>
        </w:rPr>
        <w:t>personal</w:t>
      </w:r>
      <w:r w:rsidR="00975543" w:rsidRPr="002457C7">
        <w:rPr>
          <w:rFonts w:ascii="Times New Roman" w:hAnsi="Times New Roman"/>
          <w:sz w:val="22"/>
          <w:szCs w:val="22"/>
        </w:rPr>
        <w:t xml:space="preserve"> </w:t>
      </w:r>
      <w:r w:rsidR="007B3068" w:rsidRPr="002457C7">
        <w:rPr>
          <w:rFonts w:ascii="Times New Roman" w:hAnsi="Times New Roman"/>
          <w:sz w:val="22"/>
          <w:szCs w:val="22"/>
        </w:rPr>
        <w:t xml:space="preserve">information. </w:t>
      </w:r>
    </w:p>
    <w:p w14:paraId="3DBDAC14" w14:textId="5640E3BD" w:rsidR="0091080B" w:rsidRPr="00431A5F" w:rsidRDefault="00FB4437" w:rsidP="00B234B3">
      <w:pPr>
        <w:shd w:val="clear" w:color="auto" w:fill="FFFFFF"/>
        <w:spacing w:before="120" w:after="0" w:line="233" w:lineRule="atLeast"/>
        <w:rPr>
          <w:rFonts w:ascii="Times New Roman" w:hAnsi="Times New Roman"/>
          <w:b/>
          <w:sz w:val="22"/>
          <w:szCs w:val="22"/>
        </w:rPr>
      </w:pPr>
      <w:r w:rsidRPr="00431A5F">
        <w:rPr>
          <w:rFonts w:ascii="Times New Roman" w:hAnsi="Times New Roman"/>
          <w:b/>
          <w:sz w:val="22"/>
          <w:szCs w:val="22"/>
        </w:rPr>
        <w:t>Regulatory impact assessment</w:t>
      </w:r>
    </w:p>
    <w:p w14:paraId="2CDF6E30" w14:textId="2C32173B" w:rsidR="0052687A" w:rsidRPr="00431A5F" w:rsidRDefault="00D6779A" w:rsidP="00B234B3">
      <w:pPr>
        <w:spacing w:before="120" w:after="0"/>
        <w:rPr>
          <w:rFonts w:ascii="Times New Roman" w:hAnsi="Times New Roman"/>
          <w:sz w:val="22"/>
          <w:szCs w:val="22"/>
        </w:rPr>
      </w:pPr>
      <w:r w:rsidRPr="00431A5F">
        <w:rPr>
          <w:rFonts w:ascii="Times New Roman" w:hAnsi="Times New Roman"/>
          <w:sz w:val="22"/>
          <w:szCs w:val="22"/>
        </w:rPr>
        <w:t xml:space="preserve">The ACMA prepared </w:t>
      </w:r>
      <w:r w:rsidR="00452D48" w:rsidRPr="00431A5F">
        <w:rPr>
          <w:rFonts w:ascii="Times New Roman" w:hAnsi="Times New Roman"/>
          <w:sz w:val="22"/>
          <w:szCs w:val="22"/>
        </w:rPr>
        <w:t xml:space="preserve">an </w:t>
      </w:r>
      <w:r w:rsidR="00134725" w:rsidRPr="00431A5F">
        <w:rPr>
          <w:rFonts w:ascii="Times New Roman" w:hAnsi="Times New Roman"/>
          <w:sz w:val="22"/>
          <w:szCs w:val="22"/>
        </w:rPr>
        <w:t>I</w:t>
      </w:r>
      <w:r w:rsidR="00452D48" w:rsidRPr="00431A5F">
        <w:rPr>
          <w:rFonts w:ascii="Times New Roman" w:hAnsi="Times New Roman"/>
          <w:sz w:val="22"/>
          <w:szCs w:val="22"/>
        </w:rPr>
        <w:t xml:space="preserve">mpact </w:t>
      </w:r>
      <w:r w:rsidR="00134725" w:rsidRPr="00431A5F">
        <w:rPr>
          <w:rFonts w:ascii="Times New Roman" w:hAnsi="Times New Roman"/>
          <w:sz w:val="22"/>
          <w:szCs w:val="22"/>
        </w:rPr>
        <w:t>A</w:t>
      </w:r>
      <w:r w:rsidR="00452D48" w:rsidRPr="00431A5F">
        <w:rPr>
          <w:rFonts w:ascii="Times New Roman" w:hAnsi="Times New Roman"/>
          <w:sz w:val="22"/>
          <w:szCs w:val="22"/>
        </w:rPr>
        <w:t>nalysis (</w:t>
      </w:r>
      <w:r w:rsidR="00794100" w:rsidRPr="00431A5F">
        <w:rPr>
          <w:rFonts w:ascii="Times New Roman" w:hAnsi="Times New Roman"/>
          <w:b/>
          <w:bCs/>
          <w:sz w:val="22"/>
          <w:szCs w:val="22"/>
        </w:rPr>
        <w:t>I</w:t>
      </w:r>
      <w:r w:rsidRPr="00431A5F">
        <w:rPr>
          <w:rFonts w:ascii="Times New Roman" w:hAnsi="Times New Roman"/>
          <w:b/>
          <w:bCs/>
          <w:sz w:val="22"/>
          <w:szCs w:val="22"/>
        </w:rPr>
        <w:t>A</w:t>
      </w:r>
      <w:r w:rsidR="00452D48" w:rsidRPr="00431A5F">
        <w:rPr>
          <w:rFonts w:ascii="Times New Roman" w:hAnsi="Times New Roman"/>
          <w:sz w:val="22"/>
          <w:szCs w:val="22"/>
        </w:rPr>
        <w:t>)</w:t>
      </w:r>
      <w:r w:rsidR="00794100" w:rsidRPr="00431A5F">
        <w:rPr>
          <w:rFonts w:ascii="Times New Roman" w:hAnsi="Times New Roman"/>
          <w:sz w:val="22"/>
          <w:szCs w:val="22"/>
        </w:rPr>
        <w:t xml:space="preserve"> included </w:t>
      </w:r>
      <w:r w:rsidRPr="00431A5F">
        <w:rPr>
          <w:rFonts w:ascii="Times New Roman" w:hAnsi="Times New Roman"/>
          <w:sz w:val="22"/>
          <w:szCs w:val="22"/>
        </w:rPr>
        <w:t xml:space="preserve">at </w:t>
      </w:r>
      <w:r w:rsidRPr="00431A5F">
        <w:rPr>
          <w:rFonts w:ascii="Times New Roman" w:hAnsi="Times New Roman"/>
          <w:b/>
          <w:sz w:val="22"/>
          <w:szCs w:val="22"/>
        </w:rPr>
        <w:t>A</w:t>
      </w:r>
      <w:r w:rsidR="00794100" w:rsidRPr="00431A5F">
        <w:rPr>
          <w:rFonts w:ascii="Times New Roman" w:hAnsi="Times New Roman"/>
          <w:b/>
          <w:sz w:val="22"/>
          <w:szCs w:val="22"/>
        </w:rPr>
        <w:t>ttach</w:t>
      </w:r>
      <w:r w:rsidRPr="00431A5F">
        <w:rPr>
          <w:rFonts w:ascii="Times New Roman" w:hAnsi="Times New Roman"/>
          <w:b/>
          <w:sz w:val="22"/>
          <w:szCs w:val="22"/>
        </w:rPr>
        <w:t xml:space="preserve">ment </w:t>
      </w:r>
      <w:r w:rsidR="00A45AE4" w:rsidRPr="00431A5F">
        <w:rPr>
          <w:rFonts w:ascii="Times New Roman" w:hAnsi="Times New Roman"/>
          <w:b/>
          <w:sz w:val="22"/>
          <w:szCs w:val="22"/>
        </w:rPr>
        <w:t>C</w:t>
      </w:r>
      <w:r w:rsidRPr="00431A5F">
        <w:rPr>
          <w:rFonts w:ascii="Times New Roman" w:hAnsi="Times New Roman"/>
          <w:sz w:val="22"/>
          <w:szCs w:val="22"/>
        </w:rPr>
        <w:t xml:space="preserve">. </w:t>
      </w:r>
      <w:r w:rsidR="00452D48" w:rsidRPr="00431A5F">
        <w:rPr>
          <w:rFonts w:ascii="Times New Roman" w:hAnsi="Times New Roman"/>
          <w:sz w:val="22"/>
          <w:szCs w:val="22"/>
        </w:rPr>
        <w:t>The Office of Impact Analysis (</w:t>
      </w:r>
      <w:r w:rsidRPr="00431A5F">
        <w:rPr>
          <w:rFonts w:ascii="Times New Roman" w:hAnsi="Times New Roman"/>
          <w:b/>
          <w:bCs/>
          <w:sz w:val="22"/>
          <w:szCs w:val="22"/>
        </w:rPr>
        <w:t>OIA</w:t>
      </w:r>
      <w:r w:rsidR="00452D48" w:rsidRPr="00431A5F">
        <w:rPr>
          <w:rFonts w:ascii="Times New Roman" w:hAnsi="Times New Roman"/>
          <w:sz w:val="22"/>
          <w:szCs w:val="22"/>
        </w:rPr>
        <w:t>)</w:t>
      </w:r>
      <w:r w:rsidRPr="00431A5F">
        <w:rPr>
          <w:rFonts w:ascii="Times New Roman" w:hAnsi="Times New Roman"/>
          <w:sz w:val="22"/>
          <w:szCs w:val="22"/>
        </w:rPr>
        <w:t xml:space="preserve"> </w:t>
      </w:r>
      <w:r w:rsidR="00452D48" w:rsidRPr="00431A5F">
        <w:rPr>
          <w:rFonts w:ascii="Times New Roman" w:hAnsi="Times New Roman"/>
          <w:sz w:val="22"/>
          <w:szCs w:val="22"/>
        </w:rPr>
        <w:t>assessed the</w:t>
      </w:r>
      <w:r w:rsidR="000164D1" w:rsidRPr="00431A5F">
        <w:rPr>
          <w:rFonts w:ascii="Times New Roman" w:hAnsi="Times New Roman"/>
          <w:sz w:val="22"/>
          <w:szCs w:val="22"/>
        </w:rPr>
        <w:t xml:space="preserve"> IA</w:t>
      </w:r>
      <w:r w:rsidRPr="00431A5F">
        <w:rPr>
          <w:rFonts w:ascii="Times New Roman" w:hAnsi="Times New Roman"/>
          <w:sz w:val="22"/>
          <w:szCs w:val="22"/>
        </w:rPr>
        <w:t xml:space="preserve"> </w:t>
      </w:r>
      <w:r w:rsidR="00452D48" w:rsidRPr="00431A5F">
        <w:rPr>
          <w:rFonts w:ascii="Times New Roman" w:hAnsi="Times New Roman"/>
          <w:sz w:val="22"/>
          <w:szCs w:val="22"/>
        </w:rPr>
        <w:t>as</w:t>
      </w:r>
      <w:r w:rsidRPr="00431A5F">
        <w:rPr>
          <w:rFonts w:ascii="Times New Roman" w:hAnsi="Times New Roman"/>
          <w:sz w:val="22"/>
          <w:szCs w:val="22"/>
        </w:rPr>
        <w:t xml:space="preserve"> compliant</w:t>
      </w:r>
      <w:r w:rsidR="000164D1" w:rsidRPr="00431A5F">
        <w:rPr>
          <w:rFonts w:ascii="Times New Roman" w:hAnsi="Times New Roman"/>
          <w:sz w:val="22"/>
          <w:szCs w:val="22"/>
        </w:rPr>
        <w:t xml:space="preserve"> </w:t>
      </w:r>
      <w:r w:rsidR="00134725" w:rsidRPr="00431A5F">
        <w:rPr>
          <w:rFonts w:ascii="Times New Roman" w:hAnsi="Times New Roman"/>
          <w:sz w:val="22"/>
          <w:szCs w:val="22"/>
        </w:rPr>
        <w:t xml:space="preserve">with good practice </w:t>
      </w:r>
      <w:r w:rsidR="000164D1" w:rsidRPr="00431A5F">
        <w:rPr>
          <w:rFonts w:ascii="Times New Roman" w:hAnsi="Times New Roman"/>
          <w:sz w:val="22"/>
          <w:szCs w:val="22"/>
        </w:rPr>
        <w:t>(</w:t>
      </w:r>
      <w:r w:rsidRPr="00431A5F">
        <w:rPr>
          <w:rFonts w:ascii="Times New Roman" w:hAnsi="Times New Roman"/>
          <w:sz w:val="22"/>
          <w:szCs w:val="22"/>
        </w:rPr>
        <w:t>OIA reference n</w:t>
      </w:r>
      <w:r w:rsidR="00452D48" w:rsidRPr="00431A5F">
        <w:rPr>
          <w:rFonts w:ascii="Times New Roman" w:hAnsi="Times New Roman"/>
          <w:sz w:val="22"/>
          <w:szCs w:val="22"/>
        </w:rPr>
        <w:t>umber</w:t>
      </w:r>
      <w:r w:rsidRPr="00431A5F">
        <w:rPr>
          <w:rFonts w:ascii="Times New Roman" w:hAnsi="Times New Roman"/>
          <w:sz w:val="22"/>
          <w:szCs w:val="22"/>
        </w:rPr>
        <w:t xml:space="preserve">: </w:t>
      </w:r>
      <w:r w:rsidR="00452D48" w:rsidRPr="00431A5F">
        <w:rPr>
          <w:rFonts w:ascii="Times New Roman" w:hAnsi="Times New Roman"/>
          <w:sz w:val="22"/>
          <w:szCs w:val="22"/>
        </w:rPr>
        <w:t>05109</w:t>
      </w:r>
      <w:r w:rsidR="000164D1" w:rsidRPr="00431A5F">
        <w:rPr>
          <w:rFonts w:ascii="Times New Roman" w:hAnsi="Times New Roman"/>
          <w:sz w:val="22"/>
          <w:szCs w:val="22"/>
        </w:rPr>
        <w:t>)</w:t>
      </w:r>
      <w:r w:rsidR="00226D26" w:rsidRPr="00431A5F">
        <w:rPr>
          <w:rFonts w:ascii="Times New Roman" w:hAnsi="Times New Roman"/>
          <w:sz w:val="22"/>
          <w:szCs w:val="22"/>
        </w:rPr>
        <w:t>.</w:t>
      </w:r>
    </w:p>
    <w:p w14:paraId="307F40E0" w14:textId="26261325" w:rsidR="004D2843" w:rsidRPr="00431A5F" w:rsidRDefault="00FB4437" w:rsidP="00B234B3">
      <w:pPr>
        <w:spacing w:before="120" w:after="0"/>
        <w:rPr>
          <w:rFonts w:ascii="Times New Roman" w:hAnsi="Times New Roman"/>
          <w:b/>
          <w:sz w:val="22"/>
          <w:szCs w:val="22"/>
        </w:rPr>
      </w:pPr>
      <w:r w:rsidRPr="00431A5F">
        <w:rPr>
          <w:rFonts w:ascii="Times New Roman" w:hAnsi="Times New Roman"/>
          <w:b/>
          <w:sz w:val="22"/>
          <w:szCs w:val="22"/>
        </w:rPr>
        <w:t>Statement of compatibility with human r</w:t>
      </w:r>
      <w:r w:rsidR="004D2843" w:rsidRPr="00431A5F">
        <w:rPr>
          <w:rFonts w:ascii="Times New Roman" w:hAnsi="Times New Roman"/>
          <w:b/>
          <w:sz w:val="22"/>
          <w:szCs w:val="22"/>
        </w:rPr>
        <w:t>ights</w:t>
      </w:r>
    </w:p>
    <w:p w14:paraId="226AEDCA" w14:textId="61C618CA" w:rsidR="00134705" w:rsidRPr="00431A5F" w:rsidRDefault="00FB4437" w:rsidP="00B234B3">
      <w:pPr>
        <w:spacing w:before="120" w:after="0"/>
        <w:rPr>
          <w:rFonts w:ascii="Times New Roman" w:hAnsi="Times New Roman"/>
          <w:sz w:val="22"/>
          <w:szCs w:val="22"/>
        </w:rPr>
      </w:pPr>
      <w:r w:rsidRPr="00431A5F">
        <w:rPr>
          <w:rFonts w:ascii="Times New Roman" w:hAnsi="Times New Roman"/>
          <w:sz w:val="22"/>
          <w:szCs w:val="22"/>
        </w:rPr>
        <w:t xml:space="preserve">Subsection 9(1) of the </w:t>
      </w:r>
      <w:r w:rsidRPr="00431A5F">
        <w:rPr>
          <w:rFonts w:ascii="Times New Roman" w:hAnsi="Times New Roman"/>
          <w:i/>
          <w:sz w:val="22"/>
          <w:szCs w:val="22"/>
        </w:rPr>
        <w:t>Human Rights (Parliamentary Scrutiny) Act 2011</w:t>
      </w:r>
      <w:r w:rsidRPr="00431A5F">
        <w:rPr>
          <w:rFonts w:ascii="Times New Roman" w:hAnsi="Times New Roman"/>
          <w:sz w:val="22"/>
          <w:szCs w:val="22"/>
        </w:rPr>
        <w:t xml:space="preserve"> requires the rule-maker in relation to a legislative instrument to which section 42 (disallowance) of the</w:t>
      </w:r>
      <w:r w:rsidR="00696659" w:rsidRPr="00431A5F">
        <w:rPr>
          <w:rFonts w:ascii="Times New Roman" w:hAnsi="Times New Roman"/>
          <w:sz w:val="22"/>
          <w:szCs w:val="22"/>
        </w:rPr>
        <w:t xml:space="preserve"> LA</w:t>
      </w:r>
      <w:r w:rsidRPr="00431A5F">
        <w:rPr>
          <w:rFonts w:ascii="Times New Roman" w:hAnsi="Times New Roman"/>
          <w:sz w:val="22"/>
          <w:szCs w:val="22"/>
        </w:rPr>
        <w:t xml:space="preserve"> applies to cause a statement of compatibility </w:t>
      </w:r>
      <w:r w:rsidR="00D20E6B" w:rsidRPr="00431A5F">
        <w:rPr>
          <w:rFonts w:ascii="Times New Roman" w:hAnsi="Times New Roman"/>
          <w:sz w:val="22"/>
          <w:szCs w:val="22"/>
        </w:rPr>
        <w:t xml:space="preserve">with human rights </w:t>
      </w:r>
      <w:r w:rsidRPr="00431A5F">
        <w:rPr>
          <w:rFonts w:ascii="Times New Roman" w:hAnsi="Times New Roman"/>
          <w:sz w:val="22"/>
          <w:szCs w:val="22"/>
        </w:rPr>
        <w:t>to be prepared in respect of that legislative instrument.</w:t>
      </w:r>
    </w:p>
    <w:p w14:paraId="7DBF78BA" w14:textId="3583EC01" w:rsidR="00641906" w:rsidRPr="00431A5F" w:rsidRDefault="00EE5017" w:rsidP="00B234B3">
      <w:pPr>
        <w:spacing w:before="120" w:after="0"/>
        <w:rPr>
          <w:rFonts w:ascii="Times New Roman" w:hAnsi="Times New Roman"/>
          <w:sz w:val="22"/>
          <w:szCs w:val="22"/>
        </w:rPr>
      </w:pPr>
      <w:r w:rsidRPr="00431A5F">
        <w:rPr>
          <w:rFonts w:ascii="Times New Roman" w:hAnsi="Times New Roman"/>
          <w:sz w:val="22"/>
          <w:szCs w:val="22"/>
        </w:rPr>
        <w:lastRenderedPageBreak/>
        <w:t xml:space="preserve">The statement of compatibility with human rights set out in </w:t>
      </w:r>
      <w:r w:rsidRPr="00431A5F">
        <w:rPr>
          <w:rFonts w:ascii="Times New Roman" w:hAnsi="Times New Roman"/>
          <w:b/>
          <w:bCs/>
          <w:sz w:val="22"/>
          <w:szCs w:val="22"/>
        </w:rPr>
        <w:t>Attachment B</w:t>
      </w:r>
      <w:r w:rsidRPr="00431A5F">
        <w:rPr>
          <w:rFonts w:ascii="Times New Roman" w:hAnsi="Times New Roman"/>
          <w:sz w:val="22"/>
          <w:szCs w:val="22"/>
        </w:rPr>
        <w:t xml:space="preserve"> has been prepared to meet that requirement</w:t>
      </w:r>
      <w:r w:rsidR="00CA56BE" w:rsidRPr="00431A5F">
        <w:rPr>
          <w:rFonts w:ascii="Times New Roman" w:hAnsi="Times New Roman"/>
          <w:sz w:val="22"/>
          <w:szCs w:val="22"/>
        </w:rPr>
        <w:t>.</w:t>
      </w:r>
    </w:p>
    <w:p w14:paraId="54D659A0" w14:textId="77777777" w:rsidR="00932D8F" w:rsidRPr="00431A5F" w:rsidRDefault="00932D8F">
      <w:pPr>
        <w:rPr>
          <w:rFonts w:ascii="Times New Roman" w:hAnsi="Times New Roman"/>
          <w:b/>
          <w:sz w:val="22"/>
          <w:szCs w:val="22"/>
        </w:rPr>
      </w:pPr>
      <w:r w:rsidRPr="00431A5F">
        <w:rPr>
          <w:rFonts w:ascii="Times New Roman" w:hAnsi="Times New Roman"/>
          <w:b/>
          <w:sz w:val="22"/>
          <w:szCs w:val="22"/>
        </w:rPr>
        <w:br w:type="page"/>
      </w:r>
    </w:p>
    <w:p w14:paraId="0A465983" w14:textId="6877BE8F" w:rsidR="00025ACE" w:rsidRPr="00641906" w:rsidRDefault="00AD3414" w:rsidP="00641906">
      <w:pPr>
        <w:jc w:val="right"/>
        <w:rPr>
          <w:rFonts w:ascii="Times New Roman" w:hAnsi="Times New Roman"/>
          <w:b/>
          <w:sz w:val="28"/>
          <w:szCs w:val="28"/>
        </w:rPr>
      </w:pPr>
      <w:r w:rsidRPr="00641906">
        <w:rPr>
          <w:rFonts w:ascii="Times New Roman" w:hAnsi="Times New Roman"/>
          <w:b/>
          <w:sz w:val="28"/>
          <w:szCs w:val="28"/>
        </w:rPr>
        <w:lastRenderedPageBreak/>
        <w:t>Attachment A</w:t>
      </w:r>
    </w:p>
    <w:p w14:paraId="77137405" w14:textId="45315E91" w:rsidR="00641906" w:rsidRPr="00641906" w:rsidRDefault="00AD3414" w:rsidP="00641906">
      <w:pPr>
        <w:jc w:val="center"/>
        <w:rPr>
          <w:rFonts w:ascii="Times New Roman" w:hAnsi="Times New Roman"/>
          <w:b/>
          <w:sz w:val="28"/>
          <w:szCs w:val="28"/>
        </w:rPr>
      </w:pPr>
      <w:r w:rsidRPr="00641906">
        <w:rPr>
          <w:rFonts w:ascii="Times New Roman" w:hAnsi="Times New Roman"/>
          <w:b/>
          <w:sz w:val="28"/>
          <w:szCs w:val="28"/>
        </w:rPr>
        <w:t>Notes to</w:t>
      </w:r>
      <w:r w:rsidR="00B727F3" w:rsidRPr="00641906">
        <w:rPr>
          <w:rFonts w:ascii="Times New Roman" w:hAnsi="Times New Roman"/>
          <w:b/>
          <w:sz w:val="28"/>
          <w:szCs w:val="28"/>
        </w:rPr>
        <w:t xml:space="preserve"> the</w:t>
      </w:r>
      <w:r w:rsidRPr="00641906">
        <w:rPr>
          <w:rFonts w:ascii="Times New Roman" w:hAnsi="Times New Roman"/>
          <w:b/>
          <w:sz w:val="28"/>
          <w:szCs w:val="28"/>
        </w:rPr>
        <w:t xml:space="preserve"> </w:t>
      </w:r>
      <w:r w:rsidR="00CA274C">
        <w:rPr>
          <w:rFonts w:ascii="Times New Roman" w:hAnsi="Times New Roman"/>
          <w:b/>
          <w:i/>
          <w:sz w:val="28"/>
          <w:szCs w:val="28"/>
        </w:rPr>
        <w:t xml:space="preserve">Telecommunications </w:t>
      </w:r>
      <w:r w:rsidR="00C07152">
        <w:rPr>
          <w:rFonts w:ascii="Times New Roman" w:hAnsi="Times New Roman"/>
          <w:b/>
          <w:i/>
          <w:sz w:val="28"/>
          <w:szCs w:val="28"/>
        </w:rPr>
        <w:t>(</w:t>
      </w:r>
      <w:r w:rsidR="00CA274C">
        <w:rPr>
          <w:rFonts w:ascii="Times New Roman" w:hAnsi="Times New Roman"/>
          <w:b/>
          <w:i/>
          <w:sz w:val="28"/>
          <w:szCs w:val="28"/>
        </w:rPr>
        <w:t>Financial Hardship</w:t>
      </w:r>
      <w:r w:rsidR="00C07152">
        <w:rPr>
          <w:rFonts w:ascii="Times New Roman" w:hAnsi="Times New Roman"/>
          <w:b/>
          <w:i/>
          <w:sz w:val="28"/>
          <w:szCs w:val="28"/>
        </w:rPr>
        <w:t>)</w:t>
      </w:r>
      <w:r w:rsidR="00CA274C">
        <w:rPr>
          <w:rFonts w:ascii="Times New Roman" w:hAnsi="Times New Roman"/>
          <w:b/>
          <w:i/>
          <w:sz w:val="28"/>
          <w:szCs w:val="28"/>
        </w:rPr>
        <w:t xml:space="preserve"> Industry Standard</w:t>
      </w:r>
    </w:p>
    <w:p w14:paraId="6538AA96" w14:textId="1E9E927F" w:rsidR="006940DB" w:rsidRPr="00431A5F" w:rsidRDefault="006940DB" w:rsidP="00AD500F">
      <w:pPr>
        <w:spacing w:before="280"/>
        <w:rPr>
          <w:rFonts w:ascii="Times New Roman" w:hAnsi="Times New Roman"/>
          <w:b/>
          <w:sz w:val="22"/>
          <w:szCs w:val="22"/>
        </w:rPr>
      </w:pPr>
      <w:r w:rsidRPr="00431A5F">
        <w:rPr>
          <w:rFonts w:ascii="Times New Roman" w:hAnsi="Times New Roman"/>
          <w:b/>
          <w:sz w:val="22"/>
          <w:szCs w:val="22"/>
        </w:rPr>
        <w:t>Part 1</w:t>
      </w:r>
      <w:r w:rsidR="00AC3511" w:rsidRPr="00431A5F">
        <w:rPr>
          <w:rFonts w:ascii="Times New Roman" w:hAnsi="Times New Roman"/>
          <w:b/>
          <w:sz w:val="22"/>
          <w:szCs w:val="22"/>
        </w:rPr>
        <w:t xml:space="preserve"> </w:t>
      </w:r>
      <w:r w:rsidRPr="00431A5F">
        <w:rPr>
          <w:rFonts w:ascii="Times New Roman" w:hAnsi="Times New Roman"/>
          <w:b/>
          <w:sz w:val="22"/>
          <w:szCs w:val="22"/>
        </w:rPr>
        <w:t>–</w:t>
      </w:r>
      <w:r w:rsidR="00AC3511" w:rsidRPr="00431A5F">
        <w:rPr>
          <w:rFonts w:ascii="Times New Roman" w:hAnsi="Times New Roman"/>
          <w:b/>
          <w:sz w:val="22"/>
          <w:szCs w:val="22"/>
        </w:rPr>
        <w:t xml:space="preserve"> </w:t>
      </w:r>
      <w:r w:rsidRPr="00431A5F">
        <w:rPr>
          <w:rFonts w:ascii="Times New Roman" w:hAnsi="Times New Roman"/>
          <w:b/>
          <w:sz w:val="22"/>
          <w:szCs w:val="22"/>
        </w:rPr>
        <w:t>Preliminary</w:t>
      </w:r>
    </w:p>
    <w:p w14:paraId="4DD57917" w14:textId="6E58EB11" w:rsidR="006940DB" w:rsidRPr="00431A5F" w:rsidRDefault="006940DB" w:rsidP="004D2843">
      <w:pPr>
        <w:rPr>
          <w:rFonts w:ascii="Times New Roman" w:hAnsi="Times New Roman"/>
          <w:b/>
          <w:sz w:val="22"/>
          <w:szCs w:val="22"/>
        </w:rPr>
      </w:pPr>
      <w:r w:rsidRPr="00431A5F">
        <w:rPr>
          <w:rFonts w:ascii="Times New Roman" w:hAnsi="Times New Roman"/>
          <w:b/>
          <w:sz w:val="22"/>
          <w:szCs w:val="22"/>
        </w:rPr>
        <w:t>Section 1</w:t>
      </w:r>
      <w:r w:rsidRPr="00431A5F">
        <w:rPr>
          <w:rFonts w:ascii="Times New Roman" w:hAnsi="Times New Roman"/>
          <w:b/>
          <w:sz w:val="22"/>
          <w:szCs w:val="22"/>
        </w:rPr>
        <w:tab/>
        <w:t>Name</w:t>
      </w:r>
    </w:p>
    <w:p w14:paraId="2BDE4E85" w14:textId="0495184A" w:rsidR="00025ACE" w:rsidRPr="00431A5F" w:rsidRDefault="006940DB" w:rsidP="004D2843">
      <w:pPr>
        <w:rPr>
          <w:rFonts w:ascii="Times New Roman" w:hAnsi="Times New Roman"/>
          <w:sz w:val="22"/>
          <w:szCs w:val="22"/>
        </w:rPr>
      </w:pPr>
      <w:r w:rsidRPr="00431A5F">
        <w:rPr>
          <w:rFonts w:ascii="Times New Roman" w:hAnsi="Times New Roman"/>
          <w:sz w:val="22"/>
          <w:szCs w:val="22"/>
        </w:rPr>
        <w:t xml:space="preserve">This section provides for the </w:t>
      </w:r>
      <w:r w:rsidR="00F8167A" w:rsidRPr="00431A5F">
        <w:rPr>
          <w:rFonts w:ascii="Times New Roman" w:hAnsi="Times New Roman"/>
          <w:sz w:val="22"/>
          <w:szCs w:val="22"/>
        </w:rPr>
        <w:t xml:space="preserve">industry standard </w:t>
      </w:r>
      <w:r w:rsidRPr="00431A5F">
        <w:rPr>
          <w:rFonts w:ascii="Times New Roman" w:hAnsi="Times New Roman"/>
          <w:sz w:val="22"/>
          <w:szCs w:val="22"/>
        </w:rPr>
        <w:t>to be cited as</w:t>
      </w:r>
      <w:r w:rsidR="00D32E4E" w:rsidRPr="00431A5F">
        <w:rPr>
          <w:rFonts w:ascii="Times New Roman" w:hAnsi="Times New Roman"/>
          <w:sz w:val="22"/>
          <w:szCs w:val="22"/>
        </w:rPr>
        <w:t xml:space="preserve"> the</w:t>
      </w:r>
      <w:r w:rsidRPr="00431A5F">
        <w:rPr>
          <w:rFonts w:ascii="Times New Roman" w:hAnsi="Times New Roman"/>
          <w:sz w:val="22"/>
          <w:szCs w:val="22"/>
        </w:rPr>
        <w:t xml:space="preserve"> </w:t>
      </w:r>
      <w:r w:rsidR="00CB0E35" w:rsidRPr="00431A5F">
        <w:rPr>
          <w:rFonts w:ascii="Times New Roman" w:hAnsi="Times New Roman"/>
          <w:i/>
          <w:iCs/>
          <w:sz w:val="22"/>
          <w:szCs w:val="22"/>
        </w:rPr>
        <w:t>Telecommunications (Financial Hardship) Industry Standard 2024</w:t>
      </w:r>
      <w:r w:rsidR="009614DD">
        <w:rPr>
          <w:rFonts w:ascii="Times New Roman" w:hAnsi="Times New Roman"/>
          <w:i/>
          <w:iCs/>
          <w:sz w:val="22"/>
          <w:szCs w:val="22"/>
        </w:rPr>
        <w:t xml:space="preserve"> </w:t>
      </w:r>
      <w:r w:rsidR="009614DD">
        <w:rPr>
          <w:rFonts w:ascii="Times New Roman" w:hAnsi="Times New Roman"/>
          <w:sz w:val="22"/>
          <w:szCs w:val="22"/>
        </w:rPr>
        <w:t xml:space="preserve">(the </w:t>
      </w:r>
      <w:r w:rsidR="009614DD" w:rsidRPr="002B5A21">
        <w:rPr>
          <w:rFonts w:ascii="Times New Roman" w:hAnsi="Times New Roman"/>
          <w:b/>
          <w:bCs/>
          <w:sz w:val="22"/>
          <w:szCs w:val="22"/>
        </w:rPr>
        <w:t>Standard</w:t>
      </w:r>
      <w:r w:rsidR="009614DD">
        <w:rPr>
          <w:rFonts w:ascii="Times New Roman" w:hAnsi="Times New Roman"/>
          <w:sz w:val="22"/>
          <w:szCs w:val="22"/>
        </w:rPr>
        <w:t>)</w:t>
      </w:r>
      <w:r w:rsidRPr="00431A5F">
        <w:rPr>
          <w:rFonts w:ascii="Times New Roman" w:hAnsi="Times New Roman"/>
          <w:sz w:val="22"/>
          <w:szCs w:val="22"/>
        </w:rPr>
        <w:t>.</w:t>
      </w:r>
      <w:r w:rsidR="009614DD">
        <w:rPr>
          <w:rFonts w:ascii="Times New Roman" w:hAnsi="Times New Roman"/>
          <w:sz w:val="22"/>
          <w:szCs w:val="22"/>
        </w:rPr>
        <w:t xml:space="preserve"> </w:t>
      </w:r>
    </w:p>
    <w:p w14:paraId="39A5B6EA" w14:textId="64C1B526" w:rsidR="006940DB" w:rsidRPr="00431A5F" w:rsidRDefault="006940DB" w:rsidP="006940DB">
      <w:pPr>
        <w:rPr>
          <w:rFonts w:ascii="Times New Roman" w:hAnsi="Times New Roman"/>
          <w:b/>
          <w:sz w:val="22"/>
          <w:szCs w:val="22"/>
        </w:rPr>
      </w:pPr>
      <w:r w:rsidRPr="00431A5F">
        <w:rPr>
          <w:rFonts w:ascii="Times New Roman" w:hAnsi="Times New Roman"/>
          <w:b/>
          <w:sz w:val="22"/>
          <w:szCs w:val="22"/>
        </w:rPr>
        <w:t>Section 2</w:t>
      </w:r>
      <w:r w:rsidRPr="00431A5F">
        <w:rPr>
          <w:rFonts w:ascii="Times New Roman" w:hAnsi="Times New Roman"/>
          <w:b/>
          <w:sz w:val="22"/>
          <w:szCs w:val="22"/>
        </w:rPr>
        <w:tab/>
        <w:t>Commencement</w:t>
      </w:r>
    </w:p>
    <w:p w14:paraId="5BC90146" w14:textId="0A8CAF95" w:rsidR="006940DB" w:rsidRPr="00431A5F" w:rsidRDefault="006940DB" w:rsidP="004D2843">
      <w:pPr>
        <w:rPr>
          <w:rFonts w:ascii="Times New Roman" w:hAnsi="Times New Roman"/>
          <w:sz w:val="22"/>
          <w:szCs w:val="22"/>
        </w:rPr>
      </w:pPr>
      <w:r w:rsidRPr="00431A5F">
        <w:rPr>
          <w:rFonts w:ascii="Times New Roman" w:hAnsi="Times New Roman"/>
          <w:sz w:val="22"/>
          <w:szCs w:val="22"/>
        </w:rPr>
        <w:t xml:space="preserve">This section provides for the </w:t>
      </w:r>
      <w:r w:rsidR="009614DD">
        <w:rPr>
          <w:rFonts w:ascii="Times New Roman" w:hAnsi="Times New Roman"/>
          <w:sz w:val="22"/>
          <w:szCs w:val="22"/>
        </w:rPr>
        <w:t>S</w:t>
      </w:r>
      <w:r w:rsidR="00F8167A" w:rsidRPr="00431A5F">
        <w:rPr>
          <w:rFonts w:ascii="Times New Roman" w:hAnsi="Times New Roman"/>
          <w:sz w:val="22"/>
          <w:szCs w:val="22"/>
        </w:rPr>
        <w:t xml:space="preserve">tandard </w:t>
      </w:r>
      <w:r w:rsidRPr="00431A5F">
        <w:rPr>
          <w:rFonts w:ascii="Times New Roman" w:hAnsi="Times New Roman"/>
          <w:sz w:val="22"/>
          <w:szCs w:val="22"/>
        </w:rPr>
        <w:t>to commence</w:t>
      </w:r>
      <w:r w:rsidR="00404F16" w:rsidRPr="00431A5F">
        <w:rPr>
          <w:rFonts w:ascii="Times New Roman" w:hAnsi="Times New Roman"/>
          <w:sz w:val="22"/>
          <w:szCs w:val="22"/>
        </w:rPr>
        <w:t xml:space="preserve"> on 29 March 2024</w:t>
      </w:r>
      <w:r w:rsidR="002549FE" w:rsidRPr="00431A5F">
        <w:rPr>
          <w:rFonts w:ascii="Times New Roman" w:hAnsi="Times New Roman"/>
          <w:sz w:val="22"/>
          <w:szCs w:val="22"/>
        </w:rPr>
        <w:t>.</w:t>
      </w:r>
    </w:p>
    <w:p w14:paraId="536A04AA" w14:textId="120DC3B7" w:rsidR="006940DB" w:rsidRPr="00431A5F" w:rsidRDefault="006940DB" w:rsidP="006940DB">
      <w:pPr>
        <w:rPr>
          <w:rFonts w:ascii="Times New Roman" w:hAnsi="Times New Roman"/>
          <w:b/>
          <w:sz w:val="22"/>
          <w:szCs w:val="22"/>
        </w:rPr>
      </w:pPr>
      <w:r w:rsidRPr="00431A5F">
        <w:rPr>
          <w:rFonts w:ascii="Times New Roman" w:hAnsi="Times New Roman"/>
          <w:b/>
          <w:sz w:val="22"/>
          <w:szCs w:val="22"/>
        </w:rPr>
        <w:t>Section 3</w:t>
      </w:r>
      <w:r w:rsidRPr="00431A5F">
        <w:rPr>
          <w:rFonts w:ascii="Times New Roman" w:hAnsi="Times New Roman"/>
          <w:b/>
          <w:sz w:val="22"/>
          <w:szCs w:val="22"/>
        </w:rPr>
        <w:tab/>
        <w:t>Authority</w:t>
      </w:r>
    </w:p>
    <w:p w14:paraId="0A770E93" w14:textId="2C6206B4" w:rsidR="00025ACE" w:rsidRPr="00431A5F" w:rsidRDefault="006940DB" w:rsidP="004D2843">
      <w:pPr>
        <w:rPr>
          <w:rFonts w:ascii="Times New Roman" w:hAnsi="Times New Roman"/>
          <w:sz w:val="22"/>
          <w:szCs w:val="22"/>
        </w:rPr>
      </w:pPr>
      <w:r w:rsidRPr="00431A5F">
        <w:rPr>
          <w:rFonts w:ascii="Times New Roman" w:hAnsi="Times New Roman"/>
          <w:sz w:val="22"/>
          <w:szCs w:val="22"/>
        </w:rPr>
        <w:t xml:space="preserve">This section identifies the </w:t>
      </w:r>
      <w:r w:rsidR="00C14388" w:rsidRPr="00431A5F">
        <w:rPr>
          <w:rFonts w:ascii="Times New Roman" w:hAnsi="Times New Roman"/>
          <w:sz w:val="22"/>
          <w:szCs w:val="22"/>
        </w:rPr>
        <w:t xml:space="preserve">provision of the </w:t>
      </w:r>
      <w:r w:rsidRPr="00431A5F">
        <w:rPr>
          <w:rFonts w:ascii="Times New Roman" w:hAnsi="Times New Roman"/>
          <w:sz w:val="22"/>
          <w:szCs w:val="22"/>
        </w:rPr>
        <w:t xml:space="preserve">Act that authorises the making of the </w:t>
      </w:r>
      <w:r w:rsidR="009614DD">
        <w:rPr>
          <w:rFonts w:ascii="Times New Roman" w:hAnsi="Times New Roman"/>
          <w:sz w:val="22"/>
          <w:szCs w:val="22"/>
        </w:rPr>
        <w:t>S</w:t>
      </w:r>
      <w:r w:rsidR="00F8167A" w:rsidRPr="00431A5F">
        <w:rPr>
          <w:rFonts w:ascii="Times New Roman" w:hAnsi="Times New Roman"/>
          <w:sz w:val="22"/>
          <w:szCs w:val="22"/>
        </w:rPr>
        <w:t>tandard</w:t>
      </w:r>
      <w:r w:rsidRPr="00431A5F">
        <w:rPr>
          <w:rFonts w:ascii="Times New Roman" w:hAnsi="Times New Roman"/>
          <w:sz w:val="22"/>
          <w:szCs w:val="22"/>
        </w:rPr>
        <w:t xml:space="preserve">, namely </w:t>
      </w:r>
      <w:r w:rsidR="00646B6A" w:rsidRPr="00431A5F">
        <w:rPr>
          <w:rFonts w:ascii="Times New Roman" w:hAnsi="Times New Roman"/>
          <w:sz w:val="22"/>
          <w:szCs w:val="22"/>
        </w:rPr>
        <w:t>subsection 125AA(1)</w:t>
      </w:r>
      <w:r w:rsidR="00C14388" w:rsidRPr="00431A5F">
        <w:rPr>
          <w:rFonts w:ascii="Times New Roman" w:hAnsi="Times New Roman"/>
          <w:sz w:val="22"/>
          <w:szCs w:val="22"/>
        </w:rPr>
        <w:t xml:space="preserve"> of </w:t>
      </w:r>
      <w:r w:rsidRPr="00431A5F">
        <w:rPr>
          <w:rFonts w:ascii="Times New Roman" w:hAnsi="Times New Roman"/>
          <w:sz w:val="22"/>
          <w:szCs w:val="22"/>
        </w:rPr>
        <w:t xml:space="preserve">the </w:t>
      </w:r>
      <w:r w:rsidR="00646B6A" w:rsidRPr="00431A5F">
        <w:rPr>
          <w:rFonts w:ascii="Times New Roman" w:hAnsi="Times New Roman"/>
          <w:i/>
          <w:sz w:val="22"/>
          <w:szCs w:val="22"/>
        </w:rPr>
        <w:t>Telecommunications Act 1997</w:t>
      </w:r>
      <w:r w:rsidRPr="00431A5F">
        <w:rPr>
          <w:rFonts w:ascii="Times New Roman" w:hAnsi="Times New Roman"/>
          <w:sz w:val="22"/>
          <w:szCs w:val="22"/>
        </w:rPr>
        <w:t xml:space="preserve"> (</w:t>
      </w:r>
      <w:r w:rsidRPr="00431A5F">
        <w:rPr>
          <w:rFonts w:ascii="Times New Roman" w:hAnsi="Times New Roman"/>
          <w:bCs/>
          <w:sz w:val="22"/>
          <w:szCs w:val="22"/>
        </w:rPr>
        <w:t>the</w:t>
      </w:r>
      <w:r w:rsidRPr="00431A5F">
        <w:rPr>
          <w:rFonts w:ascii="Times New Roman" w:hAnsi="Times New Roman"/>
          <w:b/>
          <w:sz w:val="22"/>
          <w:szCs w:val="22"/>
        </w:rPr>
        <w:t xml:space="preserve"> Act</w:t>
      </w:r>
      <w:r w:rsidRPr="00431A5F">
        <w:rPr>
          <w:rFonts w:ascii="Times New Roman" w:hAnsi="Times New Roman"/>
          <w:sz w:val="22"/>
          <w:szCs w:val="22"/>
        </w:rPr>
        <w:t>)</w:t>
      </w:r>
      <w:r w:rsidR="00171F18" w:rsidRPr="00431A5F">
        <w:rPr>
          <w:rFonts w:ascii="Times New Roman" w:hAnsi="Times New Roman"/>
          <w:sz w:val="22"/>
          <w:szCs w:val="22"/>
        </w:rPr>
        <w:t xml:space="preserve"> and</w:t>
      </w:r>
      <w:r w:rsidR="001A220C">
        <w:rPr>
          <w:rFonts w:ascii="Times New Roman" w:hAnsi="Times New Roman"/>
          <w:sz w:val="22"/>
          <w:szCs w:val="22"/>
        </w:rPr>
        <w:t xml:space="preserve"> notes that it </w:t>
      </w:r>
      <w:r w:rsidR="00EC498B">
        <w:rPr>
          <w:rFonts w:ascii="Times New Roman" w:hAnsi="Times New Roman"/>
          <w:sz w:val="22"/>
          <w:szCs w:val="22"/>
        </w:rPr>
        <w:t>h</w:t>
      </w:r>
      <w:r w:rsidR="001A220C">
        <w:rPr>
          <w:rFonts w:ascii="Times New Roman" w:hAnsi="Times New Roman"/>
          <w:sz w:val="22"/>
          <w:szCs w:val="22"/>
        </w:rPr>
        <w:t>as been determined</w:t>
      </w:r>
      <w:r w:rsidR="00171F18" w:rsidRPr="00431A5F">
        <w:rPr>
          <w:rFonts w:ascii="Times New Roman" w:hAnsi="Times New Roman"/>
          <w:sz w:val="22"/>
          <w:szCs w:val="22"/>
        </w:rPr>
        <w:t xml:space="preserve"> in accordance with </w:t>
      </w:r>
      <w:r w:rsidR="00F360A3" w:rsidRPr="00431A5F">
        <w:rPr>
          <w:rFonts w:ascii="Times New Roman" w:hAnsi="Times New Roman"/>
          <w:sz w:val="22"/>
          <w:szCs w:val="22"/>
        </w:rPr>
        <w:t xml:space="preserve">sections 5, 6 and 7 of the </w:t>
      </w:r>
      <w:r w:rsidR="00F360A3" w:rsidRPr="00431A5F">
        <w:rPr>
          <w:rFonts w:ascii="Times New Roman" w:hAnsi="Times New Roman"/>
          <w:i/>
          <w:sz w:val="22"/>
          <w:szCs w:val="22"/>
        </w:rPr>
        <w:t>Telecommunications (Financial Hardship Industry Standard) Direction 2023</w:t>
      </w:r>
      <w:r w:rsidRPr="00431A5F">
        <w:rPr>
          <w:rFonts w:ascii="Times New Roman" w:hAnsi="Times New Roman"/>
          <w:sz w:val="22"/>
          <w:szCs w:val="22"/>
        </w:rPr>
        <w:t>.</w:t>
      </w:r>
    </w:p>
    <w:p w14:paraId="040A5317" w14:textId="5DD204BB" w:rsidR="006940DB" w:rsidRPr="00431A5F" w:rsidRDefault="006940DB" w:rsidP="006940DB">
      <w:pPr>
        <w:rPr>
          <w:rFonts w:ascii="Times New Roman" w:hAnsi="Times New Roman"/>
          <w:b/>
          <w:sz w:val="22"/>
          <w:szCs w:val="22"/>
        </w:rPr>
      </w:pPr>
      <w:r w:rsidRPr="00431A5F">
        <w:rPr>
          <w:rFonts w:ascii="Times New Roman" w:hAnsi="Times New Roman"/>
          <w:b/>
          <w:sz w:val="22"/>
          <w:szCs w:val="22"/>
        </w:rPr>
        <w:t xml:space="preserve">Section </w:t>
      </w:r>
      <w:r w:rsidR="005115E8" w:rsidRPr="00431A5F">
        <w:rPr>
          <w:rFonts w:ascii="Times New Roman" w:hAnsi="Times New Roman"/>
          <w:b/>
          <w:sz w:val="22"/>
          <w:szCs w:val="22"/>
        </w:rPr>
        <w:t>4</w:t>
      </w:r>
      <w:r w:rsidRPr="00431A5F">
        <w:rPr>
          <w:rFonts w:ascii="Times New Roman" w:hAnsi="Times New Roman"/>
          <w:b/>
          <w:sz w:val="22"/>
          <w:szCs w:val="22"/>
        </w:rPr>
        <w:tab/>
      </w:r>
      <w:r w:rsidR="00296297" w:rsidRPr="00431A5F">
        <w:rPr>
          <w:rFonts w:ascii="Times New Roman" w:hAnsi="Times New Roman"/>
          <w:b/>
          <w:sz w:val="22"/>
          <w:szCs w:val="22"/>
        </w:rPr>
        <w:t xml:space="preserve">Application of </w:t>
      </w:r>
      <w:r w:rsidR="00AF66AD">
        <w:rPr>
          <w:rFonts w:ascii="Times New Roman" w:hAnsi="Times New Roman"/>
          <w:b/>
          <w:sz w:val="22"/>
          <w:szCs w:val="22"/>
        </w:rPr>
        <w:t>industry</w:t>
      </w:r>
      <w:r w:rsidR="00AF66AD" w:rsidRPr="00431A5F">
        <w:rPr>
          <w:rFonts w:ascii="Times New Roman" w:hAnsi="Times New Roman"/>
          <w:b/>
          <w:sz w:val="22"/>
          <w:szCs w:val="22"/>
        </w:rPr>
        <w:t xml:space="preserve"> </w:t>
      </w:r>
      <w:r w:rsidR="00AF66AD">
        <w:rPr>
          <w:rFonts w:ascii="Times New Roman" w:hAnsi="Times New Roman"/>
          <w:b/>
          <w:sz w:val="22"/>
          <w:szCs w:val="22"/>
        </w:rPr>
        <w:t>s</w:t>
      </w:r>
      <w:r w:rsidR="00296297" w:rsidRPr="00431A5F">
        <w:rPr>
          <w:rFonts w:ascii="Times New Roman" w:hAnsi="Times New Roman"/>
          <w:b/>
          <w:sz w:val="22"/>
          <w:szCs w:val="22"/>
        </w:rPr>
        <w:t>tandard</w:t>
      </w:r>
    </w:p>
    <w:p w14:paraId="1B22414B" w14:textId="4099FAB3" w:rsidR="006940DB" w:rsidRPr="00431A5F" w:rsidRDefault="006940DB" w:rsidP="006940DB">
      <w:pPr>
        <w:rPr>
          <w:rFonts w:ascii="Times New Roman" w:hAnsi="Times New Roman"/>
          <w:sz w:val="22"/>
          <w:szCs w:val="22"/>
        </w:rPr>
      </w:pPr>
      <w:r w:rsidRPr="00431A5F">
        <w:rPr>
          <w:rFonts w:ascii="Times New Roman" w:hAnsi="Times New Roman"/>
          <w:sz w:val="22"/>
          <w:szCs w:val="22"/>
        </w:rPr>
        <w:t xml:space="preserve">This section </w:t>
      </w:r>
      <w:r w:rsidR="00296297" w:rsidRPr="00431A5F">
        <w:rPr>
          <w:rFonts w:ascii="Times New Roman" w:hAnsi="Times New Roman"/>
          <w:sz w:val="22"/>
          <w:szCs w:val="22"/>
        </w:rPr>
        <w:t xml:space="preserve">provides for the </w:t>
      </w:r>
      <w:r w:rsidR="00AF66AD">
        <w:rPr>
          <w:rFonts w:ascii="Times New Roman" w:hAnsi="Times New Roman"/>
          <w:sz w:val="22"/>
          <w:szCs w:val="22"/>
        </w:rPr>
        <w:t>S</w:t>
      </w:r>
      <w:r w:rsidR="00F8167A" w:rsidRPr="00431A5F">
        <w:rPr>
          <w:rFonts w:ascii="Times New Roman" w:hAnsi="Times New Roman"/>
          <w:sz w:val="22"/>
          <w:szCs w:val="22"/>
        </w:rPr>
        <w:t xml:space="preserve">tandard </w:t>
      </w:r>
      <w:r w:rsidR="00296297" w:rsidRPr="00431A5F">
        <w:rPr>
          <w:rFonts w:ascii="Times New Roman" w:hAnsi="Times New Roman"/>
          <w:sz w:val="22"/>
          <w:szCs w:val="22"/>
        </w:rPr>
        <w:t>to apply to participants in the telecommunications industry being carriage service providers who supply telecommunications products to residential, small business and not-for-profit customers</w:t>
      </w:r>
      <w:r w:rsidRPr="00431A5F">
        <w:rPr>
          <w:rFonts w:ascii="Times New Roman" w:hAnsi="Times New Roman"/>
          <w:sz w:val="22"/>
          <w:szCs w:val="22"/>
        </w:rPr>
        <w:t>.</w:t>
      </w:r>
    </w:p>
    <w:p w14:paraId="245DE275" w14:textId="5F771A8B" w:rsidR="00296297" w:rsidRPr="00431A5F" w:rsidRDefault="00296297" w:rsidP="00296297">
      <w:pPr>
        <w:rPr>
          <w:rFonts w:ascii="Times New Roman" w:hAnsi="Times New Roman"/>
          <w:b/>
          <w:sz w:val="22"/>
          <w:szCs w:val="22"/>
        </w:rPr>
      </w:pPr>
      <w:r w:rsidRPr="00431A5F">
        <w:rPr>
          <w:rFonts w:ascii="Times New Roman" w:hAnsi="Times New Roman"/>
          <w:b/>
          <w:sz w:val="22"/>
          <w:szCs w:val="22"/>
        </w:rPr>
        <w:t>Section 5</w:t>
      </w:r>
      <w:r w:rsidRPr="00431A5F">
        <w:rPr>
          <w:rFonts w:ascii="Times New Roman" w:hAnsi="Times New Roman"/>
          <w:b/>
          <w:sz w:val="22"/>
          <w:szCs w:val="22"/>
        </w:rPr>
        <w:tab/>
        <w:t>Definitions</w:t>
      </w:r>
    </w:p>
    <w:p w14:paraId="40C5742D" w14:textId="2E3632C8" w:rsidR="00296297" w:rsidRPr="00431A5F" w:rsidRDefault="00296297" w:rsidP="00296297">
      <w:pPr>
        <w:rPr>
          <w:rFonts w:ascii="Times New Roman" w:hAnsi="Times New Roman"/>
          <w:sz w:val="22"/>
          <w:szCs w:val="22"/>
        </w:rPr>
      </w:pPr>
      <w:r w:rsidRPr="00431A5F">
        <w:rPr>
          <w:rFonts w:ascii="Times New Roman" w:hAnsi="Times New Roman"/>
          <w:sz w:val="22"/>
          <w:szCs w:val="22"/>
        </w:rPr>
        <w:t xml:space="preserve">This section defines key terms used throughout the </w:t>
      </w:r>
      <w:r w:rsidR="009614DD">
        <w:rPr>
          <w:rFonts w:ascii="Times New Roman" w:hAnsi="Times New Roman"/>
          <w:sz w:val="22"/>
          <w:szCs w:val="22"/>
        </w:rPr>
        <w:t>S</w:t>
      </w:r>
      <w:r w:rsidR="00F8167A" w:rsidRPr="00431A5F">
        <w:rPr>
          <w:rFonts w:ascii="Times New Roman" w:hAnsi="Times New Roman"/>
          <w:sz w:val="22"/>
          <w:szCs w:val="22"/>
        </w:rPr>
        <w:t>tandard</w:t>
      </w:r>
      <w:r w:rsidRPr="00431A5F">
        <w:rPr>
          <w:rFonts w:ascii="Times New Roman" w:hAnsi="Times New Roman"/>
          <w:sz w:val="22"/>
          <w:szCs w:val="22"/>
        </w:rPr>
        <w:t>.</w:t>
      </w:r>
    </w:p>
    <w:p w14:paraId="7206BBBC" w14:textId="6E3385E8" w:rsidR="00296297" w:rsidRPr="00431A5F" w:rsidRDefault="00952181" w:rsidP="00296297">
      <w:pPr>
        <w:rPr>
          <w:rFonts w:ascii="Times New Roman" w:hAnsi="Times New Roman"/>
          <w:sz w:val="22"/>
          <w:szCs w:val="22"/>
        </w:rPr>
      </w:pPr>
      <w:r>
        <w:rPr>
          <w:rFonts w:ascii="Times New Roman" w:hAnsi="Times New Roman"/>
          <w:sz w:val="22"/>
          <w:szCs w:val="22"/>
        </w:rPr>
        <w:t>Some o</w:t>
      </w:r>
      <w:r w:rsidR="00296297" w:rsidRPr="00431A5F">
        <w:rPr>
          <w:rFonts w:ascii="Times New Roman" w:hAnsi="Times New Roman"/>
          <w:sz w:val="22"/>
          <w:szCs w:val="22"/>
        </w:rPr>
        <w:t xml:space="preserve">ther expressions used in the </w:t>
      </w:r>
      <w:r w:rsidR="009614DD">
        <w:rPr>
          <w:rFonts w:ascii="Times New Roman" w:hAnsi="Times New Roman"/>
          <w:sz w:val="22"/>
          <w:szCs w:val="22"/>
        </w:rPr>
        <w:t>S</w:t>
      </w:r>
      <w:r w:rsidR="00CE6B2A" w:rsidRPr="00431A5F">
        <w:rPr>
          <w:rFonts w:ascii="Times New Roman" w:hAnsi="Times New Roman"/>
          <w:sz w:val="22"/>
          <w:szCs w:val="22"/>
        </w:rPr>
        <w:t>tandard</w:t>
      </w:r>
      <w:r w:rsidR="001950D7" w:rsidRPr="00431A5F">
        <w:rPr>
          <w:rFonts w:ascii="Times New Roman" w:hAnsi="Times New Roman"/>
          <w:sz w:val="22"/>
          <w:szCs w:val="22"/>
        </w:rPr>
        <w:t xml:space="preserve"> </w:t>
      </w:r>
      <w:r w:rsidR="00296297" w:rsidRPr="00431A5F">
        <w:rPr>
          <w:rFonts w:ascii="Times New Roman" w:hAnsi="Times New Roman"/>
          <w:sz w:val="22"/>
          <w:szCs w:val="22"/>
        </w:rPr>
        <w:t>are defined in the Act.</w:t>
      </w:r>
    </w:p>
    <w:p w14:paraId="2AE7A164" w14:textId="10A2F4F5" w:rsidR="005958D6" w:rsidRPr="00431A5F" w:rsidRDefault="00FB4437" w:rsidP="005958D6">
      <w:pPr>
        <w:rPr>
          <w:rFonts w:ascii="Times New Roman" w:hAnsi="Times New Roman"/>
          <w:b/>
          <w:sz w:val="22"/>
          <w:szCs w:val="22"/>
        </w:rPr>
      </w:pPr>
      <w:r w:rsidRPr="00431A5F">
        <w:rPr>
          <w:rFonts w:ascii="Times New Roman" w:hAnsi="Times New Roman"/>
          <w:b/>
          <w:sz w:val="22"/>
          <w:szCs w:val="22"/>
        </w:rPr>
        <w:t xml:space="preserve">Section </w:t>
      </w:r>
      <w:r w:rsidR="00296297" w:rsidRPr="00431A5F">
        <w:rPr>
          <w:rFonts w:ascii="Times New Roman" w:hAnsi="Times New Roman"/>
          <w:b/>
          <w:sz w:val="22"/>
          <w:szCs w:val="22"/>
        </w:rPr>
        <w:t>6</w:t>
      </w:r>
      <w:r w:rsidR="00670716" w:rsidRPr="00431A5F">
        <w:rPr>
          <w:rFonts w:ascii="Times New Roman" w:hAnsi="Times New Roman"/>
          <w:b/>
          <w:sz w:val="22"/>
          <w:szCs w:val="22"/>
        </w:rPr>
        <w:tab/>
        <w:t>References to other</w:t>
      </w:r>
      <w:r w:rsidR="005958D6" w:rsidRPr="00431A5F">
        <w:rPr>
          <w:rFonts w:ascii="Times New Roman" w:hAnsi="Times New Roman"/>
          <w:b/>
          <w:sz w:val="22"/>
          <w:szCs w:val="22"/>
        </w:rPr>
        <w:t xml:space="preserve"> instruments</w:t>
      </w:r>
    </w:p>
    <w:p w14:paraId="2744DCEA" w14:textId="6A482868" w:rsidR="0036752E" w:rsidRPr="00431A5F" w:rsidRDefault="005958D6" w:rsidP="007008B1">
      <w:pPr>
        <w:spacing w:after="40"/>
        <w:contextualSpacing/>
        <w:rPr>
          <w:rFonts w:ascii="Times New Roman" w:hAnsi="Times New Roman"/>
          <w:sz w:val="22"/>
          <w:szCs w:val="22"/>
        </w:rPr>
      </w:pPr>
      <w:r w:rsidRPr="00431A5F">
        <w:rPr>
          <w:rFonts w:ascii="Times New Roman" w:hAnsi="Times New Roman"/>
          <w:sz w:val="22"/>
          <w:szCs w:val="22"/>
        </w:rPr>
        <w:t xml:space="preserve">This section provides that in the </w:t>
      </w:r>
      <w:r w:rsidR="009614DD">
        <w:rPr>
          <w:rFonts w:ascii="Times New Roman" w:hAnsi="Times New Roman"/>
          <w:sz w:val="22"/>
          <w:szCs w:val="22"/>
        </w:rPr>
        <w:t>S</w:t>
      </w:r>
      <w:r w:rsidR="005C0F98" w:rsidRPr="00431A5F">
        <w:rPr>
          <w:rFonts w:ascii="Times New Roman" w:hAnsi="Times New Roman"/>
          <w:sz w:val="22"/>
          <w:szCs w:val="22"/>
        </w:rPr>
        <w:t>tandard</w:t>
      </w:r>
      <w:r w:rsidRPr="00431A5F">
        <w:rPr>
          <w:rFonts w:ascii="Times New Roman" w:hAnsi="Times New Roman"/>
          <w:sz w:val="22"/>
          <w:szCs w:val="22"/>
        </w:rPr>
        <w:t xml:space="preserve">, unless </w:t>
      </w:r>
      <w:r w:rsidR="0036752E" w:rsidRPr="00431A5F">
        <w:rPr>
          <w:rFonts w:ascii="Times New Roman" w:hAnsi="Times New Roman"/>
          <w:sz w:val="22"/>
          <w:szCs w:val="22"/>
        </w:rPr>
        <w:t>the contrary intention appears:</w:t>
      </w:r>
    </w:p>
    <w:p w14:paraId="03F1B659" w14:textId="77777777" w:rsidR="0036752E" w:rsidRPr="00431A5F" w:rsidRDefault="005958D6" w:rsidP="00AC69D1">
      <w:pPr>
        <w:pStyle w:val="ListParagraph"/>
        <w:numPr>
          <w:ilvl w:val="0"/>
          <w:numId w:val="1"/>
        </w:numPr>
        <w:rPr>
          <w:rFonts w:ascii="Times New Roman" w:hAnsi="Times New Roman"/>
          <w:sz w:val="22"/>
          <w:szCs w:val="22"/>
        </w:rPr>
      </w:pPr>
      <w:r w:rsidRPr="00431A5F">
        <w:rPr>
          <w:rFonts w:ascii="Times New Roman" w:hAnsi="Times New Roman"/>
          <w:sz w:val="22"/>
          <w:szCs w:val="22"/>
        </w:rPr>
        <w:t xml:space="preserve">a reference to </w:t>
      </w:r>
      <w:r w:rsidR="0036752E" w:rsidRPr="00431A5F">
        <w:rPr>
          <w:rFonts w:ascii="Times New Roman" w:hAnsi="Times New Roman"/>
          <w:sz w:val="22"/>
          <w:szCs w:val="22"/>
        </w:rPr>
        <w:t xml:space="preserve">any </w:t>
      </w:r>
      <w:r w:rsidRPr="00431A5F">
        <w:rPr>
          <w:rFonts w:ascii="Times New Roman" w:hAnsi="Times New Roman"/>
          <w:sz w:val="22"/>
          <w:szCs w:val="22"/>
        </w:rPr>
        <w:t>other legislative instrument is a reference to that other legislative instrumen</w:t>
      </w:r>
      <w:r w:rsidR="0036752E" w:rsidRPr="00431A5F">
        <w:rPr>
          <w:rFonts w:ascii="Times New Roman" w:hAnsi="Times New Roman"/>
          <w:sz w:val="22"/>
          <w:szCs w:val="22"/>
        </w:rPr>
        <w:t>t as in force from time to time; and</w:t>
      </w:r>
    </w:p>
    <w:p w14:paraId="414A8940" w14:textId="0E120486" w:rsidR="0036752E" w:rsidRPr="00431A5F" w:rsidRDefault="0036752E" w:rsidP="00AC69D1">
      <w:pPr>
        <w:pStyle w:val="ListParagraph"/>
        <w:numPr>
          <w:ilvl w:val="0"/>
          <w:numId w:val="1"/>
        </w:numPr>
        <w:rPr>
          <w:rFonts w:ascii="Times New Roman" w:hAnsi="Times New Roman"/>
          <w:sz w:val="22"/>
          <w:szCs w:val="22"/>
        </w:rPr>
      </w:pPr>
      <w:r w:rsidRPr="00431A5F">
        <w:rPr>
          <w:rFonts w:ascii="Times New Roman" w:hAnsi="Times New Roman"/>
          <w:sz w:val="22"/>
          <w:szCs w:val="22"/>
        </w:rPr>
        <w:t>a reference to any other kind of instrument is a reference to that other instrument as in force from time to time.</w:t>
      </w:r>
    </w:p>
    <w:p w14:paraId="4931A8AA" w14:textId="3E1B892E" w:rsidR="005958D6" w:rsidRPr="00431A5F" w:rsidRDefault="005958D6" w:rsidP="005958D6">
      <w:pPr>
        <w:rPr>
          <w:rFonts w:ascii="Times New Roman" w:hAnsi="Times New Roman"/>
          <w:b/>
          <w:sz w:val="22"/>
          <w:szCs w:val="22"/>
        </w:rPr>
      </w:pPr>
      <w:r w:rsidRPr="00431A5F">
        <w:rPr>
          <w:rFonts w:ascii="Times New Roman" w:hAnsi="Times New Roman"/>
          <w:b/>
          <w:sz w:val="22"/>
          <w:szCs w:val="22"/>
        </w:rPr>
        <w:t>Part 2</w:t>
      </w:r>
      <w:r w:rsidR="00AC3511" w:rsidRPr="00431A5F">
        <w:rPr>
          <w:rFonts w:ascii="Times New Roman" w:hAnsi="Times New Roman"/>
          <w:b/>
          <w:sz w:val="22"/>
          <w:szCs w:val="22"/>
        </w:rPr>
        <w:t xml:space="preserve"> </w:t>
      </w:r>
      <w:r w:rsidRPr="00431A5F">
        <w:rPr>
          <w:rFonts w:ascii="Times New Roman" w:hAnsi="Times New Roman"/>
          <w:b/>
          <w:sz w:val="22"/>
          <w:szCs w:val="22"/>
        </w:rPr>
        <w:t>–</w:t>
      </w:r>
      <w:r w:rsidR="00296297" w:rsidRPr="00431A5F">
        <w:rPr>
          <w:rFonts w:ascii="Times New Roman" w:hAnsi="Times New Roman"/>
          <w:b/>
          <w:sz w:val="22"/>
          <w:szCs w:val="22"/>
        </w:rPr>
        <w:t xml:space="preserve"> Payment Assistance Policy</w:t>
      </w:r>
    </w:p>
    <w:p w14:paraId="429FFF58" w14:textId="6A26CE0D" w:rsidR="005958D6" w:rsidRPr="00431A5F" w:rsidRDefault="005958D6" w:rsidP="005958D6">
      <w:pPr>
        <w:rPr>
          <w:rFonts w:ascii="Times New Roman" w:hAnsi="Times New Roman"/>
          <w:b/>
          <w:sz w:val="22"/>
          <w:szCs w:val="22"/>
        </w:rPr>
      </w:pPr>
      <w:r w:rsidRPr="00431A5F">
        <w:rPr>
          <w:rFonts w:ascii="Times New Roman" w:hAnsi="Times New Roman"/>
          <w:b/>
          <w:sz w:val="22"/>
          <w:szCs w:val="22"/>
        </w:rPr>
        <w:t xml:space="preserve">Section </w:t>
      </w:r>
      <w:r w:rsidR="004B5D72" w:rsidRPr="00431A5F">
        <w:rPr>
          <w:rFonts w:ascii="Times New Roman" w:hAnsi="Times New Roman"/>
          <w:b/>
          <w:sz w:val="22"/>
          <w:szCs w:val="22"/>
        </w:rPr>
        <w:t>7</w:t>
      </w:r>
      <w:r w:rsidRPr="00431A5F">
        <w:rPr>
          <w:rFonts w:ascii="Times New Roman" w:hAnsi="Times New Roman"/>
          <w:b/>
          <w:sz w:val="22"/>
          <w:szCs w:val="22"/>
        </w:rPr>
        <w:tab/>
      </w:r>
      <w:r w:rsidR="004B5D72" w:rsidRPr="00431A5F">
        <w:rPr>
          <w:rFonts w:ascii="Times New Roman" w:hAnsi="Times New Roman"/>
          <w:b/>
          <w:sz w:val="22"/>
          <w:szCs w:val="22"/>
        </w:rPr>
        <w:t xml:space="preserve">Establish, comply with and review payment assistance </w:t>
      </w:r>
      <w:proofErr w:type="gramStart"/>
      <w:r w:rsidR="004B5D72" w:rsidRPr="00431A5F">
        <w:rPr>
          <w:rFonts w:ascii="Times New Roman" w:hAnsi="Times New Roman"/>
          <w:b/>
          <w:sz w:val="22"/>
          <w:szCs w:val="22"/>
        </w:rPr>
        <w:t>policy</w:t>
      </w:r>
      <w:proofErr w:type="gramEnd"/>
    </w:p>
    <w:p w14:paraId="5C4FBEE4" w14:textId="5C69F0E6" w:rsidR="00DA2423" w:rsidRPr="00431A5F" w:rsidRDefault="00DA2423" w:rsidP="004D2843">
      <w:pPr>
        <w:rPr>
          <w:rFonts w:ascii="Times New Roman" w:hAnsi="Times New Roman"/>
          <w:sz w:val="22"/>
          <w:szCs w:val="22"/>
        </w:rPr>
      </w:pPr>
      <w:r w:rsidRPr="00431A5F">
        <w:rPr>
          <w:rFonts w:ascii="Times New Roman" w:hAnsi="Times New Roman"/>
          <w:sz w:val="22"/>
          <w:szCs w:val="22"/>
        </w:rPr>
        <w:t>This section imposes requirements on CSP</w:t>
      </w:r>
      <w:r w:rsidR="00AD49B0">
        <w:rPr>
          <w:rFonts w:ascii="Times New Roman" w:hAnsi="Times New Roman"/>
          <w:sz w:val="22"/>
          <w:szCs w:val="22"/>
        </w:rPr>
        <w:t xml:space="preserve">s </w:t>
      </w:r>
      <w:r w:rsidR="00AD49B0">
        <w:rPr>
          <w:rFonts w:ascii="Times New Roman" w:hAnsi="Times New Roman"/>
          <w:sz w:val="22"/>
          <w:szCs w:val="22"/>
          <w:lang w:val="en-US"/>
        </w:rPr>
        <w:t xml:space="preserve">(defined in section 5 as </w:t>
      </w:r>
      <w:r w:rsidR="00AD49B0">
        <w:rPr>
          <w:rFonts w:ascii="Times New Roman" w:hAnsi="Times New Roman"/>
          <w:sz w:val="22"/>
          <w:szCs w:val="22"/>
        </w:rPr>
        <w:t>‘providers’)</w:t>
      </w:r>
      <w:r w:rsidRPr="00431A5F">
        <w:rPr>
          <w:rFonts w:ascii="Times New Roman" w:hAnsi="Times New Roman"/>
          <w:sz w:val="22"/>
          <w:szCs w:val="22"/>
        </w:rPr>
        <w:t xml:space="preserve"> to establish and comply with a payment assistance policy that meets the minimum requirements set out in sections 8, 9,</w:t>
      </w:r>
      <w:r w:rsidR="00336485">
        <w:rPr>
          <w:rFonts w:ascii="Times New Roman" w:hAnsi="Times New Roman"/>
          <w:sz w:val="22"/>
          <w:szCs w:val="22"/>
        </w:rPr>
        <w:t xml:space="preserve"> </w:t>
      </w:r>
      <w:r w:rsidRPr="00431A5F">
        <w:rPr>
          <w:rFonts w:ascii="Times New Roman" w:hAnsi="Times New Roman"/>
          <w:sz w:val="22"/>
          <w:szCs w:val="22"/>
        </w:rPr>
        <w:t xml:space="preserve">10, 11, 12 and 13 of </w:t>
      </w:r>
      <w:r w:rsidR="008E1D58" w:rsidRPr="00431A5F">
        <w:rPr>
          <w:rFonts w:ascii="Times New Roman" w:hAnsi="Times New Roman"/>
          <w:sz w:val="22"/>
          <w:szCs w:val="22"/>
        </w:rPr>
        <w:t xml:space="preserve">the </w:t>
      </w:r>
      <w:r w:rsidR="004B17DC">
        <w:rPr>
          <w:rFonts w:ascii="Times New Roman" w:hAnsi="Times New Roman"/>
          <w:sz w:val="22"/>
          <w:szCs w:val="22"/>
        </w:rPr>
        <w:t>S</w:t>
      </w:r>
      <w:r w:rsidR="008E1D58" w:rsidRPr="00431A5F">
        <w:rPr>
          <w:rFonts w:ascii="Times New Roman" w:hAnsi="Times New Roman"/>
          <w:sz w:val="22"/>
          <w:szCs w:val="22"/>
        </w:rPr>
        <w:t>tandard</w:t>
      </w:r>
      <w:r w:rsidRPr="00431A5F">
        <w:rPr>
          <w:rFonts w:ascii="Times New Roman" w:hAnsi="Times New Roman"/>
          <w:sz w:val="22"/>
          <w:szCs w:val="22"/>
        </w:rPr>
        <w:t>.  This does not prevent the payment assistance policy from including additional information.</w:t>
      </w:r>
    </w:p>
    <w:p w14:paraId="2706E835" w14:textId="674B98FE" w:rsidR="00025ACE" w:rsidRPr="00431A5F" w:rsidRDefault="00DA2423" w:rsidP="004D2843">
      <w:pPr>
        <w:rPr>
          <w:rFonts w:ascii="Times New Roman" w:hAnsi="Times New Roman"/>
          <w:sz w:val="22"/>
          <w:szCs w:val="22"/>
        </w:rPr>
      </w:pPr>
      <w:r w:rsidRPr="00431A5F">
        <w:rPr>
          <w:rFonts w:ascii="Times New Roman" w:hAnsi="Times New Roman"/>
          <w:sz w:val="22"/>
          <w:szCs w:val="22"/>
        </w:rPr>
        <w:lastRenderedPageBreak/>
        <w:t xml:space="preserve">Payment assistance policies are required to be approved by a CSP’s Chief Executive Officer or equivalent in terms of decision making and accountability. </w:t>
      </w:r>
      <w:r w:rsidR="00D32E4E" w:rsidRPr="00431A5F">
        <w:rPr>
          <w:rFonts w:ascii="Times New Roman" w:hAnsi="Times New Roman"/>
          <w:sz w:val="22"/>
          <w:szCs w:val="22"/>
        </w:rPr>
        <w:t xml:space="preserve"> </w:t>
      </w:r>
      <w:r w:rsidRPr="00431A5F">
        <w:rPr>
          <w:rFonts w:ascii="Times New Roman" w:hAnsi="Times New Roman"/>
          <w:sz w:val="22"/>
          <w:szCs w:val="22"/>
        </w:rPr>
        <w:t xml:space="preserve">This person is also </w:t>
      </w:r>
      <w:r w:rsidR="005D1C05">
        <w:rPr>
          <w:rFonts w:ascii="Times New Roman" w:hAnsi="Times New Roman"/>
          <w:sz w:val="22"/>
          <w:szCs w:val="22"/>
        </w:rPr>
        <w:t>responsible</w:t>
      </w:r>
      <w:r w:rsidR="005D1C05" w:rsidRPr="00431A5F">
        <w:rPr>
          <w:rFonts w:ascii="Times New Roman" w:hAnsi="Times New Roman"/>
          <w:sz w:val="22"/>
          <w:szCs w:val="22"/>
        </w:rPr>
        <w:t xml:space="preserve"> </w:t>
      </w:r>
      <w:r w:rsidRPr="00431A5F">
        <w:rPr>
          <w:rFonts w:ascii="Times New Roman" w:hAnsi="Times New Roman"/>
          <w:sz w:val="22"/>
          <w:szCs w:val="22"/>
        </w:rPr>
        <w:t>for its implementation and operation.</w:t>
      </w:r>
    </w:p>
    <w:p w14:paraId="6523C79D" w14:textId="01ADAA95" w:rsidR="00DA2423" w:rsidRPr="00431A5F" w:rsidRDefault="00DA2423" w:rsidP="00F67499">
      <w:pPr>
        <w:rPr>
          <w:rFonts w:ascii="Times New Roman" w:hAnsi="Times New Roman"/>
          <w:sz w:val="22"/>
          <w:szCs w:val="22"/>
        </w:rPr>
      </w:pPr>
      <w:r w:rsidRPr="00431A5F">
        <w:rPr>
          <w:rFonts w:ascii="Times New Roman" w:hAnsi="Times New Roman"/>
          <w:sz w:val="22"/>
          <w:szCs w:val="22"/>
        </w:rPr>
        <w:t>Payment assistance policies must</w:t>
      </w:r>
      <w:r w:rsidR="00CA274C" w:rsidRPr="00431A5F">
        <w:rPr>
          <w:rFonts w:ascii="Times New Roman" w:hAnsi="Times New Roman"/>
          <w:sz w:val="22"/>
          <w:szCs w:val="22"/>
        </w:rPr>
        <w:t xml:space="preserve"> be</w:t>
      </w:r>
      <w:r w:rsidRPr="00431A5F">
        <w:rPr>
          <w:rFonts w:ascii="Times New Roman" w:hAnsi="Times New Roman"/>
          <w:sz w:val="22"/>
          <w:szCs w:val="22"/>
        </w:rPr>
        <w:t xml:space="preserve"> reviewed </w:t>
      </w:r>
      <w:r w:rsidR="00D616AB" w:rsidRPr="00431A5F">
        <w:rPr>
          <w:rFonts w:ascii="Times New Roman" w:hAnsi="Times New Roman"/>
          <w:sz w:val="22"/>
          <w:szCs w:val="22"/>
        </w:rPr>
        <w:t>each</w:t>
      </w:r>
      <w:r w:rsidRPr="00431A5F">
        <w:rPr>
          <w:rFonts w:ascii="Times New Roman" w:hAnsi="Times New Roman"/>
          <w:sz w:val="22"/>
          <w:szCs w:val="22"/>
        </w:rPr>
        <w:t xml:space="preserve"> year </w:t>
      </w:r>
      <w:r w:rsidR="00A60336" w:rsidRPr="00431A5F">
        <w:rPr>
          <w:rFonts w:ascii="Times New Roman" w:hAnsi="Times New Roman"/>
          <w:sz w:val="22"/>
          <w:szCs w:val="22"/>
        </w:rPr>
        <w:t>and</w:t>
      </w:r>
      <w:r w:rsidRPr="00431A5F">
        <w:rPr>
          <w:rFonts w:ascii="Times New Roman" w:hAnsi="Times New Roman"/>
          <w:sz w:val="22"/>
          <w:szCs w:val="22"/>
        </w:rPr>
        <w:t xml:space="preserve">, where relevant, changes made to ensure appropriate </w:t>
      </w:r>
      <w:r w:rsidR="00A60336" w:rsidRPr="00431A5F">
        <w:rPr>
          <w:rFonts w:ascii="Times New Roman" w:hAnsi="Times New Roman"/>
          <w:sz w:val="22"/>
          <w:szCs w:val="22"/>
          <w:lang w:val="en-US"/>
        </w:rPr>
        <w:t xml:space="preserve">information and support is provided, and made available to customers and </w:t>
      </w:r>
      <w:r w:rsidR="00A60336" w:rsidRPr="00431A5F">
        <w:rPr>
          <w:rFonts w:ascii="Times New Roman" w:hAnsi="Times New Roman"/>
          <w:sz w:val="22"/>
          <w:szCs w:val="22"/>
        </w:rPr>
        <w:t xml:space="preserve">potential customers, relating to financial hardship matters. </w:t>
      </w:r>
    </w:p>
    <w:p w14:paraId="3DBB16DD" w14:textId="00DBE984" w:rsidR="005958D6" w:rsidRPr="00431A5F" w:rsidRDefault="005958D6" w:rsidP="005958D6">
      <w:pPr>
        <w:rPr>
          <w:rFonts w:ascii="Times New Roman" w:hAnsi="Times New Roman"/>
          <w:b/>
          <w:bCs/>
          <w:sz w:val="22"/>
          <w:szCs w:val="22"/>
        </w:rPr>
      </w:pPr>
      <w:r w:rsidRPr="00431A5F">
        <w:rPr>
          <w:rFonts w:ascii="Times New Roman" w:hAnsi="Times New Roman"/>
          <w:b/>
          <w:bCs/>
          <w:sz w:val="22"/>
          <w:szCs w:val="22"/>
        </w:rPr>
        <w:t xml:space="preserve">Section </w:t>
      </w:r>
      <w:r w:rsidR="004B5D72" w:rsidRPr="00431A5F">
        <w:rPr>
          <w:rFonts w:ascii="Times New Roman" w:hAnsi="Times New Roman"/>
          <w:b/>
          <w:bCs/>
          <w:sz w:val="22"/>
          <w:szCs w:val="22"/>
        </w:rPr>
        <w:t>8</w:t>
      </w:r>
      <w:r w:rsidRPr="00431A5F">
        <w:rPr>
          <w:rFonts w:ascii="Times New Roman" w:hAnsi="Times New Roman"/>
          <w:b/>
          <w:bCs/>
          <w:sz w:val="22"/>
          <w:szCs w:val="22"/>
        </w:rPr>
        <w:tab/>
      </w:r>
      <w:r w:rsidR="004B5D72" w:rsidRPr="00431A5F">
        <w:rPr>
          <w:rFonts w:ascii="Times New Roman" w:hAnsi="Times New Roman"/>
          <w:b/>
          <w:bCs/>
          <w:sz w:val="22"/>
          <w:szCs w:val="22"/>
        </w:rPr>
        <w:t>Minimum requirements – accessibility and promotion</w:t>
      </w:r>
    </w:p>
    <w:p w14:paraId="05E9135D" w14:textId="6C46663E" w:rsidR="00715315" w:rsidRPr="00431A5F" w:rsidRDefault="00715315" w:rsidP="00715315">
      <w:pPr>
        <w:rPr>
          <w:rFonts w:ascii="Times New Roman" w:hAnsi="Times New Roman"/>
          <w:sz w:val="22"/>
          <w:szCs w:val="22"/>
        </w:rPr>
      </w:pPr>
      <w:r w:rsidRPr="00431A5F">
        <w:rPr>
          <w:rFonts w:ascii="Times New Roman" w:hAnsi="Times New Roman"/>
          <w:sz w:val="22"/>
          <w:szCs w:val="22"/>
        </w:rPr>
        <w:t xml:space="preserve">This section sets out the minimum requirements a CSP must meet regarding the accessibility and promotion of the payment assistance policy. </w:t>
      </w:r>
    </w:p>
    <w:p w14:paraId="29895946" w14:textId="48E35A72" w:rsidR="00A52D55" w:rsidRPr="00431A5F" w:rsidRDefault="00715315" w:rsidP="00715315">
      <w:pPr>
        <w:rPr>
          <w:rFonts w:ascii="Times New Roman" w:hAnsi="Times New Roman"/>
          <w:sz w:val="22"/>
          <w:szCs w:val="22"/>
        </w:rPr>
      </w:pPr>
      <w:r w:rsidRPr="00431A5F">
        <w:rPr>
          <w:rFonts w:ascii="Times New Roman" w:hAnsi="Times New Roman"/>
          <w:sz w:val="22"/>
          <w:szCs w:val="22"/>
        </w:rPr>
        <w:t>Subsection 8(1) sets out requirements which are intended to ensure that a CSP’s payment assistance policy is accessible for all consumers</w:t>
      </w:r>
      <w:r w:rsidR="0031634C" w:rsidRPr="00431A5F">
        <w:rPr>
          <w:rFonts w:ascii="Times New Roman" w:hAnsi="Times New Roman"/>
          <w:sz w:val="22"/>
          <w:szCs w:val="22"/>
        </w:rPr>
        <w:t>, including consumers with disabilities and from culturally or linguistically diverse backgrounds</w:t>
      </w:r>
      <w:r w:rsidRPr="00431A5F">
        <w:rPr>
          <w:rFonts w:ascii="Times New Roman" w:hAnsi="Times New Roman"/>
          <w:sz w:val="22"/>
          <w:szCs w:val="22"/>
        </w:rPr>
        <w:t xml:space="preserve">. </w:t>
      </w:r>
      <w:r w:rsidR="00A52D55" w:rsidRPr="00431A5F">
        <w:rPr>
          <w:rFonts w:ascii="Times New Roman" w:hAnsi="Times New Roman"/>
          <w:sz w:val="22"/>
          <w:szCs w:val="22"/>
        </w:rPr>
        <w:t>It</w:t>
      </w:r>
      <w:r w:rsidRPr="00431A5F">
        <w:rPr>
          <w:rFonts w:ascii="Times New Roman" w:hAnsi="Times New Roman"/>
          <w:sz w:val="22"/>
          <w:szCs w:val="22"/>
        </w:rPr>
        <w:t xml:space="preserve"> requires a CSP’s payment assistance policy to</w:t>
      </w:r>
      <w:r w:rsidR="003B29D0" w:rsidRPr="00431A5F">
        <w:rPr>
          <w:rFonts w:ascii="Times New Roman" w:hAnsi="Times New Roman"/>
          <w:sz w:val="22"/>
          <w:szCs w:val="22"/>
        </w:rPr>
        <w:t xml:space="preserve"> be</w:t>
      </w:r>
      <w:r w:rsidRPr="00431A5F">
        <w:rPr>
          <w:rFonts w:ascii="Times New Roman" w:hAnsi="Times New Roman"/>
          <w:sz w:val="22"/>
          <w:szCs w:val="22"/>
        </w:rPr>
        <w:t xml:space="preserve"> in writing, be </w:t>
      </w:r>
      <w:r w:rsidR="0031634C" w:rsidRPr="00431A5F">
        <w:rPr>
          <w:rFonts w:ascii="Times New Roman" w:hAnsi="Times New Roman"/>
          <w:sz w:val="22"/>
          <w:szCs w:val="22"/>
        </w:rPr>
        <w:t xml:space="preserve">current, </w:t>
      </w:r>
      <w:r w:rsidRPr="00431A5F">
        <w:rPr>
          <w:rFonts w:ascii="Times New Roman" w:hAnsi="Times New Roman"/>
          <w:sz w:val="22"/>
          <w:szCs w:val="22"/>
        </w:rPr>
        <w:t>accurate, easy to understand and use</w:t>
      </w:r>
      <w:r w:rsidR="00E32318" w:rsidRPr="00431A5F">
        <w:rPr>
          <w:rFonts w:ascii="Times New Roman" w:hAnsi="Times New Roman"/>
          <w:sz w:val="22"/>
          <w:szCs w:val="22"/>
        </w:rPr>
        <w:t xml:space="preserve"> </w:t>
      </w:r>
      <w:r w:rsidRPr="00431A5F">
        <w:rPr>
          <w:rFonts w:ascii="Times New Roman" w:hAnsi="Times New Roman"/>
          <w:sz w:val="22"/>
          <w:szCs w:val="22"/>
        </w:rPr>
        <w:t xml:space="preserve">a font size that is clear and easy to read. </w:t>
      </w:r>
      <w:r w:rsidR="0031634C" w:rsidRPr="00431A5F">
        <w:rPr>
          <w:rFonts w:ascii="Times New Roman" w:hAnsi="Times New Roman"/>
          <w:sz w:val="22"/>
          <w:szCs w:val="22"/>
        </w:rPr>
        <w:t>This</w:t>
      </w:r>
      <w:r w:rsidRPr="00431A5F">
        <w:rPr>
          <w:rFonts w:ascii="Times New Roman" w:hAnsi="Times New Roman"/>
          <w:sz w:val="22"/>
          <w:szCs w:val="22"/>
        </w:rPr>
        <w:t xml:space="preserve"> means that payment assistance policies should avoid</w:t>
      </w:r>
      <w:r w:rsidR="0031634C" w:rsidRPr="00431A5F">
        <w:rPr>
          <w:rFonts w:ascii="Times New Roman" w:hAnsi="Times New Roman"/>
          <w:sz w:val="22"/>
          <w:szCs w:val="22"/>
        </w:rPr>
        <w:t xml:space="preserve"> both language and</w:t>
      </w:r>
      <w:r w:rsidRPr="00431A5F">
        <w:rPr>
          <w:rFonts w:ascii="Times New Roman" w:hAnsi="Times New Roman"/>
          <w:sz w:val="22"/>
          <w:szCs w:val="22"/>
        </w:rPr>
        <w:t xml:space="preserve"> </w:t>
      </w:r>
      <w:r w:rsidR="0031634C" w:rsidRPr="00431A5F">
        <w:rPr>
          <w:rFonts w:ascii="Times New Roman" w:hAnsi="Times New Roman"/>
          <w:sz w:val="22"/>
          <w:szCs w:val="22"/>
        </w:rPr>
        <w:t>formatting that may cause confusion for consumer</w:t>
      </w:r>
      <w:r w:rsidR="000E11AE">
        <w:rPr>
          <w:rFonts w:ascii="Times New Roman" w:hAnsi="Times New Roman"/>
          <w:sz w:val="22"/>
          <w:szCs w:val="22"/>
        </w:rPr>
        <w:t>s,</w:t>
      </w:r>
      <w:r w:rsidR="0031634C" w:rsidRPr="00431A5F">
        <w:rPr>
          <w:rFonts w:ascii="Times New Roman" w:hAnsi="Times New Roman"/>
          <w:sz w:val="22"/>
          <w:szCs w:val="22"/>
        </w:rPr>
        <w:t xml:space="preserve"> for example: overly complex or legal language, fine print</w:t>
      </w:r>
      <w:r w:rsidR="00CA274C" w:rsidRPr="00431A5F">
        <w:rPr>
          <w:rFonts w:ascii="Times New Roman" w:hAnsi="Times New Roman"/>
          <w:sz w:val="22"/>
          <w:szCs w:val="22"/>
        </w:rPr>
        <w:t xml:space="preserve"> and/or </w:t>
      </w:r>
      <w:r w:rsidR="0031634C" w:rsidRPr="00431A5F">
        <w:rPr>
          <w:rFonts w:ascii="Times New Roman" w:hAnsi="Times New Roman"/>
          <w:sz w:val="22"/>
          <w:szCs w:val="22"/>
        </w:rPr>
        <w:t>closely spaced type</w:t>
      </w:r>
      <w:r w:rsidR="00CA274C" w:rsidRPr="00431A5F">
        <w:rPr>
          <w:rFonts w:ascii="Times New Roman" w:hAnsi="Times New Roman"/>
          <w:sz w:val="22"/>
          <w:szCs w:val="22"/>
        </w:rPr>
        <w:t xml:space="preserve"> that make it difficult to read</w:t>
      </w:r>
      <w:r w:rsidRPr="00431A5F">
        <w:rPr>
          <w:rFonts w:ascii="Times New Roman" w:hAnsi="Times New Roman"/>
          <w:sz w:val="22"/>
          <w:szCs w:val="22"/>
        </w:rPr>
        <w:t>. It also requires a CSP</w:t>
      </w:r>
      <w:r w:rsidR="0031634C" w:rsidRPr="00431A5F">
        <w:rPr>
          <w:rFonts w:ascii="Times New Roman" w:hAnsi="Times New Roman"/>
          <w:sz w:val="22"/>
          <w:szCs w:val="22"/>
        </w:rPr>
        <w:t xml:space="preserve"> to make the</w:t>
      </w:r>
      <w:r w:rsidRPr="00431A5F">
        <w:rPr>
          <w:rFonts w:ascii="Times New Roman" w:hAnsi="Times New Roman"/>
          <w:sz w:val="22"/>
          <w:szCs w:val="22"/>
        </w:rPr>
        <w:t xml:space="preserve"> </w:t>
      </w:r>
      <w:r w:rsidR="0031634C" w:rsidRPr="00431A5F">
        <w:rPr>
          <w:rFonts w:ascii="Times New Roman" w:hAnsi="Times New Roman"/>
          <w:sz w:val="22"/>
          <w:szCs w:val="22"/>
        </w:rPr>
        <w:t xml:space="preserve">payment </w:t>
      </w:r>
      <w:r w:rsidR="00A52D55" w:rsidRPr="00431A5F">
        <w:rPr>
          <w:rFonts w:ascii="Times New Roman" w:hAnsi="Times New Roman"/>
          <w:sz w:val="22"/>
          <w:szCs w:val="22"/>
        </w:rPr>
        <w:t>assistance policy</w:t>
      </w:r>
      <w:r w:rsidR="00A64FFB" w:rsidRPr="00431A5F">
        <w:rPr>
          <w:rFonts w:ascii="Times New Roman" w:hAnsi="Times New Roman"/>
          <w:sz w:val="22"/>
          <w:szCs w:val="22"/>
        </w:rPr>
        <w:t>, information about how to make an application for payment assistance</w:t>
      </w:r>
      <w:r w:rsidR="00CA274C" w:rsidRPr="00431A5F">
        <w:rPr>
          <w:rFonts w:ascii="Times New Roman" w:hAnsi="Times New Roman"/>
          <w:sz w:val="22"/>
          <w:szCs w:val="22"/>
        </w:rPr>
        <w:t xml:space="preserve"> and a summary of the payment assistance policy</w:t>
      </w:r>
      <w:r w:rsidR="00A64FFB" w:rsidRPr="00431A5F">
        <w:rPr>
          <w:rFonts w:ascii="Times New Roman" w:hAnsi="Times New Roman"/>
          <w:sz w:val="22"/>
          <w:szCs w:val="22"/>
        </w:rPr>
        <w:t xml:space="preserve"> </w:t>
      </w:r>
      <w:r w:rsidRPr="00431A5F">
        <w:rPr>
          <w:rFonts w:ascii="Times New Roman" w:hAnsi="Times New Roman"/>
          <w:sz w:val="22"/>
          <w:szCs w:val="22"/>
        </w:rPr>
        <w:t>available</w:t>
      </w:r>
      <w:r w:rsidR="00A52D55" w:rsidRPr="00431A5F">
        <w:rPr>
          <w:rFonts w:ascii="Times New Roman" w:hAnsi="Times New Roman"/>
          <w:sz w:val="22"/>
          <w:szCs w:val="22"/>
        </w:rPr>
        <w:t xml:space="preserve"> to the public</w:t>
      </w:r>
      <w:r w:rsidR="00CA274C" w:rsidRPr="00431A5F">
        <w:rPr>
          <w:rFonts w:ascii="Times New Roman" w:hAnsi="Times New Roman"/>
          <w:sz w:val="22"/>
          <w:szCs w:val="22"/>
        </w:rPr>
        <w:t xml:space="preserve"> on</w:t>
      </w:r>
      <w:r w:rsidR="00A64FFB" w:rsidRPr="00431A5F">
        <w:rPr>
          <w:rFonts w:ascii="Times New Roman" w:hAnsi="Times New Roman"/>
          <w:sz w:val="22"/>
          <w:szCs w:val="22"/>
        </w:rPr>
        <w:t>:</w:t>
      </w:r>
    </w:p>
    <w:p w14:paraId="595AFF45" w14:textId="3E101D0C" w:rsidR="00A52D55" w:rsidRPr="00431A5F" w:rsidRDefault="00A52D55" w:rsidP="00AC69D1">
      <w:pPr>
        <w:pStyle w:val="ListParagraph"/>
        <w:numPr>
          <w:ilvl w:val="0"/>
          <w:numId w:val="5"/>
        </w:numPr>
        <w:rPr>
          <w:rFonts w:ascii="Times New Roman" w:hAnsi="Times New Roman"/>
          <w:sz w:val="22"/>
          <w:szCs w:val="22"/>
        </w:rPr>
      </w:pPr>
      <w:r w:rsidRPr="00431A5F">
        <w:rPr>
          <w:rFonts w:ascii="Times New Roman" w:hAnsi="Times New Roman"/>
          <w:sz w:val="22"/>
          <w:szCs w:val="22"/>
        </w:rPr>
        <w:t>the CSP’s website via a direct hyperlink from the homepage</w:t>
      </w:r>
      <w:r w:rsidR="003629EA" w:rsidRPr="00431A5F">
        <w:rPr>
          <w:rFonts w:ascii="Times New Roman" w:hAnsi="Times New Roman"/>
          <w:sz w:val="22"/>
          <w:szCs w:val="22"/>
        </w:rPr>
        <w:t>; and</w:t>
      </w:r>
      <w:r w:rsidRPr="00431A5F">
        <w:rPr>
          <w:rFonts w:ascii="Times New Roman" w:hAnsi="Times New Roman"/>
          <w:sz w:val="22"/>
          <w:szCs w:val="22"/>
        </w:rPr>
        <w:t xml:space="preserve"> </w:t>
      </w:r>
    </w:p>
    <w:p w14:paraId="2EC2AD11" w14:textId="63FC6127" w:rsidR="00A64FFB" w:rsidRPr="00431A5F" w:rsidRDefault="00A52D55" w:rsidP="00AC69D1">
      <w:pPr>
        <w:pStyle w:val="ListParagraph"/>
        <w:numPr>
          <w:ilvl w:val="0"/>
          <w:numId w:val="5"/>
        </w:numPr>
        <w:rPr>
          <w:rFonts w:ascii="Times New Roman" w:hAnsi="Times New Roman"/>
          <w:sz w:val="22"/>
          <w:szCs w:val="22"/>
        </w:rPr>
      </w:pPr>
      <w:r w:rsidRPr="00431A5F">
        <w:rPr>
          <w:rFonts w:ascii="Times New Roman" w:hAnsi="Times New Roman"/>
          <w:sz w:val="22"/>
          <w:szCs w:val="22"/>
        </w:rPr>
        <w:t xml:space="preserve">the CSP’s app </w:t>
      </w:r>
      <w:r w:rsidR="008E068F">
        <w:rPr>
          <w:rFonts w:ascii="Times New Roman" w:hAnsi="Times New Roman"/>
          <w:sz w:val="22"/>
          <w:szCs w:val="22"/>
        </w:rPr>
        <w:t>if</w:t>
      </w:r>
      <w:r w:rsidR="008E068F" w:rsidRPr="00431A5F">
        <w:rPr>
          <w:rFonts w:ascii="Times New Roman" w:hAnsi="Times New Roman"/>
          <w:sz w:val="22"/>
          <w:szCs w:val="22"/>
        </w:rPr>
        <w:t xml:space="preserve"> </w:t>
      </w:r>
      <w:r w:rsidRPr="00431A5F">
        <w:rPr>
          <w:rFonts w:ascii="Times New Roman" w:hAnsi="Times New Roman"/>
          <w:sz w:val="22"/>
          <w:szCs w:val="22"/>
        </w:rPr>
        <w:t>the provider uses an app</w:t>
      </w:r>
      <w:r w:rsidR="00A64FFB" w:rsidRPr="00431A5F">
        <w:rPr>
          <w:rFonts w:ascii="Times New Roman" w:hAnsi="Times New Roman"/>
          <w:sz w:val="22"/>
          <w:szCs w:val="22"/>
        </w:rPr>
        <w:t>.</w:t>
      </w:r>
    </w:p>
    <w:p w14:paraId="7A070F3D" w14:textId="04D91E69" w:rsidR="00E3054D" w:rsidRPr="00431A5F" w:rsidRDefault="003151B8" w:rsidP="00E3054D">
      <w:pPr>
        <w:rPr>
          <w:rFonts w:ascii="Times New Roman" w:hAnsi="Times New Roman"/>
          <w:sz w:val="22"/>
          <w:szCs w:val="22"/>
        </w:rPr>
      </w:pPr>
      <w:r>
        <w:rPr>
          <w:rFonts w:ascii="Times New Roman" w:hAnsi="Times New Roman"/>
          <w:sz w:val="22"/>
          <w:szCs w:val="22"/>
        </w:rPr>
        <w:t>It is expected that l</w:t>
      </w:r>
      <w:r w:rsidR="003C5AD4" w:rsidRPr="00431A5F">
        <w:rPr>
          <w:rFonts w:ascii="Times New Roman" w:hAnsi="Times New Roman"/>
          <w:sz w:val="22"/>
          <w:szCs w:val="22"/>
        </w:rPr>
        <w:t>inks to the information about the payment assistance policy should be easy to find and read</w:t>
      </w:r>
      <w:r w:rsidR="00044C8F" w:rsidRPr="00431A5F">
        <w:rPr>
          <w:rFonts w:ascii="Times New Roman" w:hAnsi="Times New Roman"/>
          <w:sz w:val="22"/>
          <w:szCs w:val="22"/>
        </w:rPr>
        <w:t>,</w:t>
      </w:r>
      <w:r w:rsidR="003C5AD4" w:rsidRPr="00431A5F">
        <w:rPr>
          <w:rFonts w:ascii="Times New Roman" w:hAnsi="Times New Roman"/>
          <w:sz w:val="22"/>
          <w:szCs w:val="22"/>
        </w:rPr>
        <w:t xml:space="preserve"> and clearly labelled, so that customers and potential customers who may be having financial difficulties can quickly and easily find the information they need to assist them. </w:t>
      </w:r>
      <w:r w:rsidR="00E3054D" w:rsidRPr="00431A5F">
        <w:rPr>
          <w:rFonts w:ascii="Times New Roman" w:hAnsi="Times New Roman"/>
          <w:sz w:val="22"/>
          <w:szCs w:val="22"/>
        </w:rPr>
        <w:t xml:space="preserve">Language used to identify </w:t>
      </w:r>
      <w:r w:rsidR="00044C8F" w:rsidRPr="00431A5F">
        <w:rPr>
          <w:rFonts w:ascii="Times New Roman" w:hAnsi="Times New Roman"/>
          <w:sz w:val="22"/>
          <w:szCs w:val="22"/>
        </w:rPr>
        <w:t xml:space="preserve">those </w:t>
      </w:r>
      <w:r w:rsidR="00E3054D" w:rsidRPr="00431A5F">
        <w:rPr>
          <w:rFonts w:ascii="Times New Roman" w:hAnsi="Times New Roman"/>
          <w:sz w:val="22"/>
          <w:szCs w:val="22"/>
        </w:rPr>
        <w:t xml:space="preserve">links should give due consideration to the potential stigma associated with the use of financial hardship. </w:t>
      </w:r>
      <w:r w:rsidR="00BC31DB">
        <w:rPr>
          <w:rFonts w:ascii="Times New Roman" w:hAnsi="Times New Roman"/>
          <w:sz w:val="22"/>
          <w:szCs w:val="22"/>
        </w:rPr>
        <w:t>Examples of l</w:t>
      </w:r>
      <w:r w:rsidR="00E3054D" w:rsidRPr="00431A5F">
        <w:rPr>
          <w:rFonts w:ascii="Times New Roman" w:hAnsi="Times New Roman"/>
          <w:sz w:val="22"/>
          <w:szCs w:val="22"/>
        </w:rPr>
        <w:t xml:space="preserve">ess alienating language may include </w:t>
      </w:r>
      <w:r w:rsidR="00BC31DB">
        <w:rPr>
          <w:rFonts w:ascii="Times New Roman" w:hAnsi="Times New Roman"/>
          <w:sz w:val="22"/>
          <w:szCs w:val="22"/>
        </w:rPr>
        <w:t>phrases such as</w:t>
      </w:r>
      <w:r w:rsidR="00866707">
        <w:rPr>
          <w:rFonts w:ascii="Times New Roman" w:hAnsi="Times New Roman"/>
          <w:sz w:val="22"/>
          <w:szCs w:val="22"/>
        </w:rPr>
        <w:t xml:space="preserve"> </w:t>
      </w:r>
      <w:r w:rsidR="00E3054D" w:rsidRPr="00431A5F">
        <w:rPr>
          <w:rFonts w:ascii="Times New Roman" w:hAnsi="Times New Roman"/>
          <w:sz w:val="22"/>
          <w:szCs w:val="22"/>
        </w:rPr>
        <w:t xml:space="preserve">‘payment difficulties’ or moving to a strengths-based approach by choosing the terms </w:t>
      </w:r>
      <w:r w:rsidR="006E3774" w:rsidRPr="00431A5F">
        <w:rPr>
          <w:rFonts w:ascii="Times New Roman" w:hAnsi="Times New Roman"/>
          <w:sz w:val="22"/>
          <w:szCs w:val="22"/>
        </w:rPr>
        <w:t>‘</w:t>
      </w:r>
      <w:r w:rsidR="00E3054D" w:rsidRPr="00431A5F">
        <w:rPr>
          <w:rFonts w:ascii="Times New Roman" w:hAnsi="Times New Roman"/>
          <w:sz w:val="22"/>
          <w:szCs w:val="22"/>
        </w:rPr>
        <w:t>support</w:t>
      </w:r>
      <w:r w:rsidR="006E3774" w:rsidRPr="00431A5F">
        <w:rPr>
          <w:rFonts w:ascii="Times New Roman" w:hAnsi="Times New Roman"/>
          <w:sz w:val="22"/>
          <w:szCs w:val="22"/>
        </w:rPr>
        <w:t>’</w:t>
      </w:r>
      <w:r w:rsidR="00E3054D" w:rsidRPr="00431A5F">
        <w:rPr>
          <w:rFonts w:ascii="Times New Roman" w:hAnsi="Times New Roman"/>
          <w:sz w:val="22"/>
          <w:szCs w:val="22"/>
        </w:rPr>
        <w:t xml:space="preserve"> and </w:t>
      </w:r>
      <w:r w:rsidR="006E3774" w:rsidRPr="00431A5F">
        <w:rPr>
          <w:rFonts w:ascii="Times New Roman" w:hAnsi="Times New Roman"/>
          <w:sz w:val="22"/>
          <w:szCs w:val="22"/>
        </w:rPr>
        <w:t>‘</w:t>
      </w:r>
      <w:r w:rsidR="00E3054D" w:rsidRPr="00431A5F">
        <w:rPr>
          <w:rFonts w:ascii="Times New Roman" w:hAnsi="Times New Roman"/>
          <w:sz w:val="22"/>
          <w:szCs w:val="22"/>
        </w:rPr>
        <w:t>assistance</w:t>
      </w:r>
      <w:r w:rsidR="006E3774" w:rsidRPr="00431A5F">
        <w:rPr>
          <w:rFonts w:ascii="Times New Roman" w:hAnsi="Times New Roman"/>
          <w:sz w:val="22"/>
          <w:szCs w:val="22"/>
        </w:rPr>
        <w:t>’</w:t>
      </w:r>
      <w:r w:rsidR="00E3054D" w:rsidRPr="00431A5F">
        <w:rPr>
          <w:rFonts w:ascii="Times New Roman" w:hAnsi="Times New Roman"/>
          <w:sz w:val="22"/>
          <w:szCs w:val="22"/>
        </w:rPr>
        <w:t xml:space="preserve"> and </w:t>
      </w:r>
      <w:r w:rsidR="006E3774" w:rsidRPr="00431A5F">
        <w:rPr>
          <w:rFonts w:ascii="Times New Roman" w:hAnsi="Times New Roman"/>
          <w:sz w:val="22"/>
          <w:szCs w:val="22"/>
        </w:rPr>
        <w:t>‘</w:t>
      </w:r>
      <w:r w:rsidR="00E3054D" w:rsidRPr="00431A5F">
        <w:rPr>
          <w:rFonts w:ascii="Times New Roman" w:hAnsi="Times New Roman"/>
          <w:sz w:val="22"/>
          <w:szCs w:val="22"/>
        </w:rPr>
        <w:t>enhanced care</w:t>
      </w:r>
      <w:r w:rsidR="006E3774" w:rsidRPr="00431A5F">
        <w:rPr>
          <w:rFonts w:ascii="Times New Roman" w:hAnsi="Times New Roman"/>
          <w:sz w:val="22"/>
          <w:szCs w:val="22"/>
        </w:rPr>
        <w:t>’</w:t>
      </w:r>
      <w:r w:rsidR="00E3054D" w:rsidRPr="00431A5F">
        <w:rPr>
          <w:rFonts w:ascii="Times New Roman" w:hAnsi="Times New Roman"/>
          <w:sz w:val="22"/>
          <w:szCs w:val="22"/>
        </w:rPr>
        <w:t>.</w:t>
      </w:r>
    </w:p>
    <w:p w14:paraId="1DD30DC6" w14:textId="55119663" w:rsidR="00715315" w:rsidRPr="00431A5F" w:rsidRDefault="00A52D55" w:rsidP="00A52D55">
      <w:pPr>
        <w:rPr>
          <w:rFonts w:ascii="Times New Roman" w:hAnsi="Times New Roman"/>
          <w:sz w:val="22"/>
          <w:szCs w:val="22"/>
        </w:rPr>
      </w:pPr>
      <w:r w:rsidRPr="00431A5F">
        <w:rPr>
          <w:rFonts w:ascii="Times New Roman" w:hAnsi="Times New Roman"/>
          <w:sz w:val="22"/>
          <w:szCs w:val="22"/>
        </w:rPr>
        <w:t>S</w:t>
      </w:r>
      <w:r w:rsidR="00715315" w:rsidRPr="00431A5F">
        <w:rPr>
          <w:rFonts w:ascii="Times New Roman" w:hAnsi="Times New Roman"/>
          <w:sz w:val="22"/>
          <w:szCs w:val="22"/>
        </w:rPr>
        <w:t xml:space="preserve">ubsection 8(2) </w:t>
      </w:r>
      <w:r w:rsidRPr="00431A5F">
        <w:rPr>
          <w:rFonts w:ascii="Times New Roman" w:hAnsi="Times New Roman"/>
          <w:sz w:val="22"/>
          <w:szCs w:val="22"/>
        </w:rPr>
        <w:t xml:space="preserve">requires a CSP to make any application form </w:t>
      </w:r>
      <w:r w:rsidR="00B221CB" w:rsidRPr="00431A5F">
        <w:rPr>
          <w:rFonts w:ascii="Times New Roman" w:hAnsi="Times New Roman"/>
          <w:sz w:val="22"/>
          <w:szCs w:val="22"/>
        </w:rPr>
        <w:t xml:space="preserve">it uses </w:t>
      </w:r>
      <w:r w:rsidRPr="00431A5F">
        <w:rPr>
          <w:rFonts w:ascii="Times New Roman" w:hAnsi="Times New Roman"/>
          <w:sz w:val="22"/>
          <w:szCs w:val="22"/>
        </w:rPr>
        <w:t>for payment assistance available to the public from the same location</w:t>
      </w:r>
      <w:r w:rsidR="00F67499" w:rsidRPr="00431A5F">
        <w:rPr>
          <w:rFonts w:ascii="Times New Roman" w:hAnsi="Times New Roman"/>
          <w:sz w:val="22"/>
          <w:szCs w:val="22"/>
        </w:rPr>
        <w:t xml:space="preserve"> as the </w:t>
      </w:r>
      <w:r w:rsidRPr="00431A5F">
        <w:rPr>
          <w:rFonts w:ascii="Times New Roman" w:hAnsi="Times New Roman"/>
          <w:sz w:val="22"/>
          <w:szCs w:val="22"/>
        </w:rPr>
        <w:t>payment assistance policy is made available under subsection 8(1)</w:t>
      </w:r>
      <w:r w:rsidR="00715315" w:rsidRPr="00431A5F">
        <w:rPr>
          <w:rFonts w:ascii="Times New Roman" w:hAnsi="Times New Roman"/>
          <w:sz w:val="22"/>
          <w:szCs w:val="22"/>
        </w:rPr>
        <w:t>.</w:t>
      </w:r>
      <w:r w:rsidRPr="00431A5F">
        <w:rPr>
          <w:rFonts w:ascii="Times New Roman" w:hAnsi="Times New Roman"/>
          <w:sz w:val="22"/>
          <w:szCs w:val="22"/>
        </w:rPr>
        <w:t xml:space="preserve"> </w:t>
      </w:r>
      <w:r w:rsidR="00E32318" w:rsidRPr="00431A5F">
        <w:rPr>
          <w:rFonts w:ascii="Times New Roman" w:hAnsi="Times New Roman"/>
          <w:sz w:val="22"/>
          <w:szCs w:val="22"/>
        </w:rPr>
        <w:t>For example</w:t>
      </w:r>
      <w:r w:rsidR="00B221CB" w:rsidRPr="00431A5F">
        <w:rPr>
          <w:rFonts w:ascii="Times New Roman" w:hAnsi="Times New Roman"/>
          <w:sz w:val="22"/>
          <w:szCs w:val="22"/>
        </w:rPr>
        <w:t>,</w:t>
      </w:r>
      <w:r w:rsidR="00E32318" w:rsidRPr="00431A5F">
        <w:rPr>
          <w:rFonts w:ascii="Times New Roman" w:hAnsi="Times New Roman"/>
          <w:sz w:val="22"/>
          <w:szCs w:val="22"/>
        </w:rPr>
        <w:t xml:space="preserve"> a link on the home page for ‘payment assistance’ may go directly to the page </w:t>
      </w:r>
      <w:r w:rsidR="001265FF">
        <w:rPr>
          <w:rFonts w:ascii="Times New Roman" w:hAnsi="Times New Roman"/>
          <w:sz w:val="22"/>
          <w:szCs w:val="22"/>
        </w:rPr>
        <w:t>that</w:t>
      </w:r>
      <w:r w:rsidR="001265FF" w:rsidRPr="00431A5F">
        <w:rPr>
          <w:rFonts w:ascii="Times New Roman" w:hAnsi="Times New Roman"/>
          <w:sz w:val="22"/>
          <w:szCs w:val="22"/>
        </w:rPr>
        <w:t xml:space="preserve"> </w:t>
      </w:r>
      <w:r w:rsidR="00E32318" w:rsidRPr="00431A5F">
        <w:rPr>
          <w:rFonts w:ascii="Times New Roman" w:hAnsi="Times New Roman"/>
          <w:sz w:val="22"/>
          <w:szCs w:val="22"/>
        </w:rPr>
        <w:t xml:space="preserve">has the </w:t>
      </w:r>
      <w:r w:rsidR="00F95B7A">
        <w:rPr>
          <w:rFonts w:ascii="Times New Roman" w:hAnsi="Times New Roman"/>
          <w:sz w:val="22"/>
          <w:szCs w:val="22"/>
        </w:rPr>
        <w:t>provider’s</w:t>
      </w:r>
      <w:r w:rsidR="00B6168A">
        <w:rPr>
          <w:rFonts w:ascii="Times New Roman" w:hAnsi="Times New Roman"/>
          <w:sz w:val="22"/>
          <w:szCs w:val="22"/>
        </w:rPr>
        <w:t xml:space="preserve"> </w:t>
      </w:r>
      <w:r w:rsidR="00E32318" w:rsidRPr="00431A5F">
        <w:rPr>
          <w:rFonts w:ascii="Times New Roman" w:hAnsi="Times New Roman"/>
          <w:sz w:val="22"/>
          <w:szCs w:val="22"/>
        </w:rPr>
        <w:t xml:space="preserve">payment assistance policy, summary </w:t>
      </w:r>
      <w:r w:rsidR="00F95B7A">
        <w:rPr>
          <w:rFonts w:ascii="Times New Roman" w:hAnsi="Times New Roman"/>
          <w:sz w:val="22"/>
          <w:szCs w:val="22"/>
        </w:rPr>
        <w:t xml:space="preserve">of that policy </w:t>
      </w:r>
      <w:r w:rsidR="00E32318" w:rsidRPr="00431A5F">
        <w:rPr>
          <w:rFonts w:ascii="Times New Roman" w:hAnsi="Times New Roman"/>
          <w:sz w:val="22"/>
          <w:szCs w:val="22"/>
        </w:rPr>
        <w:t>and application</w:t>
      </w:r>
      <w:r w:rsidR="00B6168A">
        <w:rPr>
          <w:rFonts w:ascii="Times New Roman" w:hAnsi="Times New Roman"/>
          <w:sz w:val="22"/>
          <w:szCs w:val="22"/>
        </w:rPr>
        <w:t xml:space="preserve"> form </w:t>
      </w:r>
      <w:r w:rsidR="00E32318" w:rsidRPr="00431A5F">
        <w:rPr>
          <w:rFonts w:ascii="Times New Roman" w:hAnsi="Times New Roman"/>
          <w:sz w:val="22"/>
          <w:szCs w:val="22"/>
        </w:rPr>
        <w:t xml:space="preserve">. </w:t>
      </w:r>
      <w:r w:rsidRPr="00431A5F">
        <w:rPr>
          <w:rFonts w:ascii="Times New Roman" w:hAnsi="Times New Roman"/>
          <w:sz w:val="22"/>
          <w:szCs w:val="22"/>
        </w:rPr>
        <w:t>This only applies where the CSP has an application form for customers seeking payment assistance</w:t>
      </w:r>
      <w:r w:rsidR="006F2C66">
        <w:rPr>
          <w:rFonts w:ascii="Times New Roman" w:hAnsi="Times New Roman"/>
          <w:sz w:val="22"/>
          <w:szCs w:val="22"/>
        </w:rPr>
        <w:t>;</w:t>
      </w:r>
      <w:r w:rsidRPr="00431A5F">
        <w:rPr>
          <w:rFonts w:ascii="Times New Roman" w:hAnsi="Times New Roman"/>
          <w:sz w:val="22"/>
          <w:szCs w:val="22"/>
        </w:rPr>
        <w:t xml:space="preserve"> it does not place an obligation on the CSP to create an application form.</w:t>
      </w:r>
    </w:p>
    <w:p w14:paraId="4CC5B1AB" w14:textId="1350F7ED" w:rsidR="005958D6" w:rsidRPr="00431A5F" w:rsidRDefault="005958D6" w:rsidP="005958D6">
      <w:pPr>
        <w:rPr>
          <w:rFonts w:ascii="Times New Roman" w:hAnsi="Times New Roman"/>
          <w:b/>
          <w:sz w:val="22"/>
          <w:szCs w:val="22"/>
        </w:rPr>
      </w:pPr>
      <w:r w:rsidRPr="00431A5F">
        <w:rPr>
          <w:rFonts w:ascii="Times New Roman" w:hAnsi="Times New Roman"/>
          <w:b/>
          <w:sz w:val="22"/>
          <w:szCs w:val="22"/>
        </w:rPr>
        <w:t xml:space="preserve">Section </w:t>
      </w:r>
      <w:r w:rsidR="004B5D72" w:rsidRPr="00431A5F">
        <w:rPr>
          <w:rFonts w:ascii="Times New Roman" w:hAnsi="Times New Roman"/>
          <w:b/>
          <w:sz w:val="22"/>
          <w:szCs w:val="22"/>
        </w:rPr>
        <w:t>9</w:t>
      </w:r>
      <w:r w:rsidRPr="00431A5F">
        <w:rPr>
          <w:rFonts w:ascii="Times New Roman" w:hAnsi="Times New Roman"/>
          <w:b/>
          <w:sz w:val="22"/>
          <w:szCs w:val="22"/>
        </w:rPr>
        <w:tab/>
      </w:r>
      <w:r w:rsidR="004B5D72" w:rsidRPr="00431A5F">
        <w:rPr>
          <w:rFonts w:ascii="Times New Roman" w:hAnsi="Times New Roman"/>
          <w:b/>
          <w:sz w:val="22"/>
          <w:szCs w:val="22"/>
        </w:rPr>
        <w:t>Minimum content requirements - general</w:t>
      </w:r>
    </w:p>
    <w:p w14:paraId="5E0326C4" w14:textId="43562BC3" w:rsidR="009922C2" w:rsidRPr="00431A5F" w:rsidRDefault="00F67499" w:rsidP="009922C2">
      <w:pPr>
        <w:rPr>
          <w:rFonts w:ascii="Times New Roman" w:hAnsi="Times New Roman"/>
          <w:sz w:val="22"/>
          <w:szCs w:val="22"/>
        </w:rPr>
      </w:pPr>
      <w:r w:rsidRPr="00431A5F">
        <w:rPr>
          <w:rFonts w:ascii="Times New Roman" w:hAnsi="Times New Roman"/>
          <w:sz w:val="22"/>
          <w:szCs w:val="22"/>
        </w:rPr>
        <w:t>T</w:t>
      </w:r>
      <w:r w:rsidR="0008651F" w:rsidRPr="00431A5F">
        <w:rPr>
          <w:rFonts w:ascii="Times New Roman" w:hAnsi="Times New Roman"/>
          <w:sz w:val="22"/>
          <w:szCs w:val="22"/>
        </w:rPr>
        <w:t>his section sets out the minimum content requirements for a CSP in its payment assistance policy</w:t>
      </w:r>
      <w:r w:rsidR="003902FD" w:rsidRPr="00431A5F">
        <w:rPr>
          <w:rFonts w:ascii="Times New Roman" w:hAnsi="Times New Roman"/>
          <w:sz w:val="22"/>
          <w:szCs w:val="22"/>
        </w:rPr>
        <w:t xml:space="preserve"> which </w:t>
      </w:r>
      <w:r w:rsidRPr="00431A5F">
        <w:rPr>
          <w:rFonts w:ascii="Times New Roman" w:hAnsi="Times New Roman"/>
          <w:sz w:val="22"/>
          <w:szCs w:val="22"/>
        </w:rPr>
        <w:t>is</w:t>
      </w:r>
      <w:r w:rsidR="003902FD" w:rsidRPr="00431A5F">
        <w:rPr>
          <w:rFonts w:ascii="Times New Roman" w:hAnsi="Times New Roman"/>
          <w:sz w:val="22"/>
          <w:szCs w:val="22"/>
        </w:rPr>
        <w:t xml:space="preserve"> intended to</w:t>
      </w:r>
      <w:r w:rsidR="0008651F" w:rsidRPr="00431A5F">
        <w:rPr>
          <w:rFonts w:ascii="Times New Roman" w:hAnsi="Times New Roman"/>
          <w:sz w:val="22"/>
          <w:szCs w:val="22"/>
        </w:rPr>
        <w:t xml:space="preserve"> </w:t>
      </w:r>
      <w:r w:rsidRPr="00431A5F">
        <w:rPr>
          <w:rFonts w:ascii="Times New Roman" w:hAnsi="Times New Roman"/>
          <w:sz w:val="22"/>
          <w:szCs w:val="22"/>
        </w:rPr>
        <w:t xml:space="preserve">assist </w:t>
      </w:r>
      <w:r w:rsidR="003902FD" w:rsidRPr="00431A5F">
        <w:rPr>
          <w:rFonts w:ascii="Times New Roman" w:hAnsi="Times New Roman"/>
          <w:sz w:val="22"/>
          <w:szCs w:val="22"/>
        </w:rPr>
        <w:t xml:space="preserve">customers </w:t>
      </w:r>
      <w:r w:rsidR="00C966F4">
        <w:rPr>
          <w:rFonts w:ascii="Times New Roman" w:hAnsi="Times New Roman"/>
          <w:sz w:val="22"/>
          <w:szCs w:val="22"/>
        </w:rPr>
        <w:t xml:space="preserve">to </w:t>
      </w:r>
      <w:r w:rsidRPr="00431A5F">
        <w:rPr>
          <w:rFonts w:ascii="Times New Roman" w:hAnsi="Times New Roman"/>
          <w:sz w:val="22"/>
          <w:szCs w:val="22"/>
        </w:rPr>
        <w:t xml:space="preserve">remain </w:t>
      </w:r>
      <w:r w:rsidR="003902FD" w:rsidRPr="00431A5F">
        <w:rPr>
          <w:rFonts w:ascii="Times New Roman" w:hAnsi="Times New Roman"/>
          <w:sz w:val="22"/>
          <w:szCs w:val="22"/>
        </w:rPr>
        <w:t>connected to appropriate services for their needs, minimise debt and reduce unaffordable payment options.</w:t>
      </w:r>
      <w:r w:rsidRPr="00431A5F">
        <w:rPr>
          <w:rFonts w:ascii="Times New Roman" w:hAnsi="Times New Roman"/>
          <w:sz w:val="22"/>
          <w:szCs w:val="22"/>
        </w:rPr>
        <w:t xml:space="preserve"> </w:t>
      </w:r>
    </w:p>
    <w:p w14:paraId="03D83226" w14:textId="2994C133" w:rsidR="009922C2" w:rsidRPr="00431A5F" w:rsidRDefault="00F67499" w:rsidP="009922C2">
      <w:pPr>
        <w:rPr>
          <w:rFonts w:ascii="Times New Roman" w:hAnsi="Times New Roman"/>
          <w:sz w:val="22"/>
          <w:szCs w:val="22"/>
        </w:rPr>
      </w:pPr>
      <w:r w:rsidRPr="00431A5F">
        <w:rPr>
          <w:rFonts w:ascii="Times New Roman" w:hAnsi="Times New Roman"/>
          <w:sz w:val="22"/>
          <w:szCs w:val="22"/>
          <w:lang w:val="en-US"/>
        </w:rPr>
        <w:t>Section 9</w:t>
      </w:r>
      <w:r w:rsidR="0008651F" w:rsidRPr="00431A5F">
        <w:rPr>
          <w:rFonts w:ascii="Times New Roman" w:hAnsi="Times New Roman"/>
          <w:sz w:val="22"/>
          <w:szCs w:val="22"/>
          <w:lang w:val="en-US"/>
        </w:rPr>
        <w:t xml:space="preserve"> </w:t>
      </w:r>
      <w:r w:rsidR="009922C2" w:rsidRPr="00431A5F">
        <w:rPr>
          <w:rFonts w:ascii="Times New Roman" w:hAnsi="Times New Roman"/>
          <w:sz w:val="22"/>
          <w:szCs w:val="22"/>
        </w:rPr>
        <w:t xml:space="preserve">requires a CSP’s payment assistance policy </w:t>
      </w:r>
      <w:r w:rsidR="00A4551D">
        <w:rPr>
          <w:rFonts w:ascii="Times New Roman" w:hAnsi="Times New Roman"/>
          <w:sz w:val="22"/>
          <w:szCs w:val="22"/>
        </w:rPr>
        <w:t xml:space="preserve">to </w:t>
      </w:r>
      <w:r w:rsidR="003902FD" w:rsidRPr="00431A5F">
        <w:rPr>
          <w:rFonts w:ascii="Times New Roman" w:hAnsi="Times New Roman"/>
          <w:sz w:val="22"/>
          <w:szCs w:val="22"/>
        </w:rPr>
        <w:t>be focussed on the needs an</w:t>
      </w:r>
      <w:r w:rsidR="00B47A66" w:rsidRPr="00431A5F">
        <w:rPr>
          <w:rFonts w:ascii="Times New Roman" w:hAnsi="Times New Roman"/>
          <w:sz w:val="22"/>
          <w:szCs w:val="22"/>
        </w:rPr>
        <w:t>d</w:t>
      </w:r>
      <w:r w:rsidR="003902FD" w:rsidRPr="00431A5F">
        <w:rPr>
          <w:rFonts w:ascii="Times New Roman" w:hAnsi="Times New Roman"/>
          <w:sz w:val="22"/>
          <w:szCs w:val="22"/>
        </w:rPr>
        <w:t xml:space="preserve"> expectations of financial hardship customers, </w:t>
      </w:r>
      <w:r w:rsidR="005B0E2D">
        <w:rPr>
          <w:rFonts w:ascii="Times New Roman" w:hAnsi="Times New Roman"/>
          <w:sz w:val="22"/>
          <w:szCs w:val="22"/>
        </w:rPr>
        <w:t xml:space="preserve">to </w:t>
      </w:r>
      <w:r w:rsidR="0008651F" w:rsidRPr="00431A5F">
        <w:rPr>
          <w:rFonts w:ascii="Times New Roman" w:hAnsi="Times New Roman"/>
          <w:sz w:val="22"/>
          <w:szCs w:val="22"/>
        </w:rPr>
        <w:t>set out the CSP</w:t>
      </w:r>
      <w:r w:rsidR="00A4551D">
        <w:rPr>
          <w:rFonts w:ascii="Times New Roman" w:hAnsi="Times New Roman"/>
          <w:sz w:val="22"/>
          <w:szCs w:val="22"/>
        </w:rPr>
        <w:t>’</w:t>
      </w:r>
      <w:r w:rsidR="0008651F" w:rsidRPr="00431A5F">
        <w:rPr>
          <w:rFonts w:ascii="Times New Roman" w:hAnsi="Times New Roman"/>
          <w:sz w:val="22"/>
          <w:szCs w:val="22"/>
        </w:rPr>
        <w:t xml:space="preserve">s processes for assisting financial hardship customers, and </w:t>
      </w:r>
      <w:r w:rsidR="00F54510">
        <w:rPr>
          <w:rFonts w:ascii="Times New Roman" w:hAnsi="Times New Roman"/>
          <w:sz w:val="22"/>
          <w:szCs w:val="22"/>
        </w:rPr>
        <w:t xml:space="preserve">to </w:t>
      </w:r>
      <w:r w:rsidR="0008651F" w:rsidRPr="00431A5F">
        <w:rPr>
          <w:rFonts w:ascii="Times New Roman" w:hAnsi="Times New Roman"/>
          <w:sz w:val="22"/>
          <w:szCs w:val="22"/>
        </w:rPr>
        <w:t xml:space="preserve">explicitly state that customers have a right to apply for </w:t>
      </w:r>
      <w:r w:rsidR="003902FD" w:rsidRPr="00431A5F">
        <w:rPr>
          <w:rFonts w:ascii="Times New Roman" w:hAnsi="Times New Roman"/>
          <w:sz w:val="22"/>
          <w:szCs w:val="22"/>
        </w:rPr>
        <w:t xml:space="preserve">financial hardship, </w:t>
      </w:r>
      <w:r w:rsidR="0008651F" w:rsidRPr="00431A5F">
        <w:rPr>
          <w:rFonts w:ascii="Times New Roman" w:hAnsi="Times New Roman"/>
          <w:sz w:val="22"/>
          <w:szCs w:val="22"/>
        </w:rPr>
        <w:t>free</w:t>
      </w:r>
      <w:r w:rsidR="00F54510">
        <w:rPr>
          <w:rFonts w:ascii="Times New Roman" w:hAnsi="Times New Roman"/>
          <w:sz w:val="22"/>
          <w:szCs w:val="22"/>
        </w:rPr>
        <w:t xml:space="preserve"> of</w:t>
      </w:r>
      <w:r w:rsidR="0008651F" w:rsidRPr="00431A5F">
        <w:rPr>
          <w:rFonts w:ascii="Times New Roman" w:hAnsi="Times New Roman"/>
          <w:sz w:val="22"/>
          <w:szCs w:val="22"/>
        </w:rPr>
        <w:t xml:space="preserve"> charge </w:t>
      </w:r>
      <w:r w:rsidR="003902FD" w:rsidRPr="00431A5F">
        <w:rPr>
          <w:rFonts w:ascii="Times New Roman" w:hAnsi="Times New Roman"/>
          <w:sz w:val="22"/>
          <w:szCs w:val="22"/>
        </w:rPr>
        <w:t>and that disconnection is a measure of last resort.</w:t>
      </w:r>
    </w:p>
    <w:p w14:paraId="4DDD6A62" w14:textId="630B0D22" w:rsidR="003902FD" w:rsidRPr="00431A5F" w:rsidRDefault="00F67499" w:rsidP="009922C2">
      <w:pPr>
        <w:rPr>
          <w:rFonts w:ascii="Times New Roman" w:hAnsi="Times New Roman"/>
          <w:sz w:val="22"/>
          <w:szCs w:val="22"/>
        </w:rPr>
      </w:pPr>
      <w:r w:rsidRPr="00431A5F">
        <w:rPr>
          <w:rFonts w:ascii="Times New Roman" w:hAnsi="Times New Roman"/>
          <w:sz w:val="22"/>
          <w:szCs w:val="22"/>
        </w:rPr>
        <w:lastRenderedPageBreak/>
        <w:t>It</w:t>
      </w:r>
      <w:r w:rsidR="003902FD" w:rsidRPr="00431A5F">
        <w:rPr>
          <w:rFonts w:ascii="Times New Roman" w:hAnsi="Times New Roman"/>
          <w:sz w:val="22"/>
          <w:szCs w:val="22"/>
        </w:rPr>
        <w:t xml:space="preserve"> also provides for the payment assistance policy to identify when and how a customer can contact the CSP regarding an application for assistance.</w:t>
      </w:r>
      <w:r w:rsidR="006A7C29" w:rsidRPr="00431A5F">
        <w:rPr>
          <w:rFonts w:ascii="Times New Roman" w:hAnsi="Times New Roman"/>
          <w:sz w:val="22"/>
          <w:szCs w:val="22"/>
        </w:rPr>
        <w:t xml:space="preserve"> A telephone number and one other method of contact (for example</w:t>
      </w:r>
      <w:r w:rsidR="000E6D7E" w:rsidRPr="00431A5F">
        <w:rPr>
          <w:rFonts w:ascii="Times New Roman" w:hAnsi="Times New Roman"/>
          <w:sz w:val="22"/>
          <w:szCs w:val="22"/>
        </w:rPr>
        <w:t>,</w:t>
      </w:r>
      <w:r w:rsidR="006A7C29" w:rsidRPr="00431A5F">
        <w:rPr>
          <w:rFonts w:ascii="Times New Roman" w:hAnsi="Times New Roman"/>
          <w:sz w:val="22"/>
          <w:szCs w:val="22"/>
        </w:rPr>
        <w:t xml:space="preserve"> email or instant messaging via an app) are required wherever a</w:t>
      </w:r>
      <w:r w:rsidR="00B47A66" w:rsidRPr="00431A5F">
        <w:rPr>
          <w:rFonts w:ascii="Times New Roman" w:hAnsi="Times New Roman"/>
          <w:sz w:val="22"/>
          <w:szCs w:val="22"/>
        </w:rPr>
        <w:t xml:space="preserve"> customer has the option of contacting a</w:t>
      </w:r>
      <w:r w:rsidR="006A7C29" w:rsidRPr="00431A5F">
        <w:rPr>
          <w:rFonts w:ascii="Times New Roman" w:hAnsi="Times New Roman"/>
          <w:sz w:val="22"/>
          <w:szCs w:val="22"/>
        </w:rPr>
        <w:t xml:space="preserve"> CSP </w:t>
      </w:r>
      <w:r w:rsidR="00B47A66" w:rsidRPr="00431A5F">
        <w:rPr>
          <w:rFonts w:ascii="Times New Roman" w:hAnsi="Times New Roman"/>
          <w:sz w:val="22"/>
          <w:szCs w:val="22"/>
        </w:rPr>
        <w:t xml:space="preserve">by </w:t>
      </w:r>
      <w:r w:rsidR="006A7C29" w:rsidRPr="00431A5F">
        <w:rPr>
          <w:rFonts w:ascii="Times New Roman" w:hAnsi="Times New Roman"/>
          <w:sz w:val="22"/>
          <w:szCs w:val="22"/>
        </w:rPr>
        <w:t xml:space="preserve">telephone </w:t>
      </w:r>
      <w:r w:rsidRPr="00431A5F">
        <w:rPr>
          <w:rFonts w:ascii="Times New Roman" w:hAnsi="Times New Roman"/>
          <w:sz w:val="22"/>
          <w:szCs w:val="22"/>
        </w:rPr>
        <w:t xml:space="preserve">as part of its </w:t>
      </w:r>
      <w:r w:rsidR="009C0CCB" w:rsidRPr="00431A5F">
        <w:rPr>
          <w:rFonts w:ascii="Times New Roman" w:hAnsi="Times New Roman"/>
          <w:sz w:val="22"/>
          <w:szCs w:val="22"/>
        </w:rPr>
        <w:t>ordinary operations</w:t>
      </w:r>
      <w:r w:rsidRPr="00431A5F">
        <w:rPr>
          <w:rFonts w:ascii="Times New Roman" w:hAnsi="Times New Roman"/>
          <w:sz w:val="22"/>
          <w:szCs w:val="22"/>
        </w:rPr>
        <w:t>,</w:t>
      </w:r>
      <w:r w:rsidR="006A7C29" w:rsidRPr="00431A5F">
        <w:rPr>
          <w:rFonts w:ascii="Times New Roman" w:hAnsi="Times New Roman"/>
          <w:sz w:val="22"/>
          <w:szCs w:val="22"/>
        </w:rPr>
        <w:t xml:space="preserve"> including for </w:t>
      </w:r>
      <w:r w:rsidRPr="00431A5F">
        <w:rPr>
          <w:rFonts w:ascii="Times New Roman" w:hAnsi="Times New Roman"/>
          <w:sz w:val="22"/>
          <w:szCs w:val="22"/>
        </w:rPr>
        <w:t xml:space="preserve">sales or </w:t>
      </w:r>
      <w:r w:rsidR="006A7C29" w:rsidRPr="00431A5F">
        <w:rPr>
          <w:rFonts w:ascii="Times New Roman" w:hAnsi="Times New Roman"/>
          <w:sz w:val="22"/>
          <w:szCs w:val="22"/>
        </w:rPr>
        <w:t>any other enquiries. If the CSP does not ordinarily make a telephone number available to the public for customers</w:t>
      </w:r>
      <w:r w:rsidR="009C0CCB" w:rsidRPr="00431A5F">
        <w:rPr>
          <w:rFonts w:ascii="Times New Roman" w:hAnsi="Times New Roman"/>
          <w:sz w:val="22"/>
          <w:szCs w:val="22"/>
        </w:rPr>
        <w:t>,</w:t>
      </w:r>
      <w:r w:rsidR="006A7C29" w:rsidRPr="00431A5F">
        <w:rPr>
          <w:rFonts w:ascii="Times New Roman" w:hAnsi="Times New Roman"/>
          <w:sz w:val="22"/>
          <w:szCs w:val="22"/>
        </w:rPr>
        <w:t xml:space="preserve"> it must provide at least two separate method</w:t>
      </w:r>
      <w:r w:rsidR="009C0CCB" w:rsidRPr="00431A5F">
        <w:rPr>
          <w:rFonts w:ascii="Times New Roman" w:hAnsi="Times New Roman"/>
          <w:sz w:val="22"/>
          <w:szCs w:val="22"/>
        </w:rPr>
        <w:t>s</w:t>
      </w:r>
      <w:r w:rsidR="006A7C29" w:rsidRPr="00431A5F">
        <w:rPr>
          <w:rFonts w:ascii="Times New Roman" w:hAnsi="Times New Roman"/>
          <w:sz w:val="22"/>
          <w:szCs w:val="22"/>
        </w:rPr>
        <w:t xml:space="preserve"> of contact. Irrespective of the method, </w:t>
      </w:r>
      <w:r w:rsidR="009C0CCB" w:rsidRPr="00431A5F">
        <w:rPr>
          <w:rFonts w:ascii="Times New Roman" w:hAnsi="Times New Roman"/>
          <w:sz w:val="22"/>
          <w:szCs w:val="22"/>
        </w:rPr>
        <w:t>any</w:t>
      </w:r>
      <w:r w:rsidR="006A7C29" w:rsidRPr="00431A5F">
        <w:rPr>
          <w:rFonts w:ascii="Times New Roman" w:hAnsi="Times New Roman"/>
          <w:sz w:val="22"/>
          <w:szCs w:val="22"/>
        </w:rPr>
        <w:t xml:space="preserve"> contact</w:t>
      </w:r>
      <w:r w:rsidR="009C0CCB" w:rsidRPr="00431A5F">
        <w:rPr>
          <w:rFonts w:ascii="Times New Roman" w:hAnsi="Times New Roman"/>
          <w:sz w:val="22"/>
          <w:szCs w:val="22"/>
        </w:rPr>
        <w:t xml:space="preserve"> provided for payment assistance</w:t>
      </w:r>
      <w:r w:rsidR="006A7C29" w:rsidRPr="00431A5F">
        <w:rPr>
          <w:rFonts w:ascii="Times New Roman" w:hAnsi="Times New Roman"/>
          <w:sz w:val="22"/>
          <w:szCs w:val="22"/>
        </w:rPr>
        <w:t xml:space="preserve"> should offer real time/real person</w:t>
      </w:r>
      <w:r w:rsidR="000A69C5">
        <w:rPr>
          <w:rFonts w:ascii="Times New Roman" w:hAnsi="Times New Roman"/>
          <w:sz w:val="22"/>
          <w:szCs w:val="22"/>
        </w:rPr>
        <w:t xml:space="preserve"> contact</w:t>
      </w:r>
      <w:r w:rsidR="006A7C29" w:rsidRPr="00431A5F">
        <w:rPr>
          <w:rFonts w:ascii="Times New Roman" w:hAnsi="Times New Roman"/>
          <w:sz w:val="22"/>
          <w:szCs w:val="22"/>
        </w:rPr>
        <w:t xml:space="preserve"> </w:t>
      </w:r>
      <w:r w:rsidR="000D3261" w:rsidRPr="00431A5F">
        <w:rPr>
          <w:rFonts w:ascii="Times New Roman" w:hAnsi="Times New Roman"/>
          <w:sz w:val="22"/>
          <w:szCs w:val="22"/>
        </w:rPr>
        <w:t>that is not a bot</w:t>
      </w:r>
      <w:r w:rsidR="00F24FD1">
        <w:rPr>
          <w:rFonts w:ascii="Times New Roman" w:hAnsi="Times New Roman"/>
          <w:sz w:val="22"/>
          <w:szCs w:val="22"/>
        </w:rPr>
        <w:t>,</w:t>
      </w:r>
      <w:r w:rsidR="000D3261" w:rsidRPr="00431A5F">
        <w:rPr>
          <w:rFonts w:ascii="Times New Roman" w:hAnsi="Times New Roman"/>
          <w:sz w:val="22"/>
          <w:szCs w:val="22"/>
        </w:rPr>
        <w:t xml:space="preserve"> or </w:t>
      </w:r>
      <w:r w:rsidR="00D85313" w:rsidRPr="00431A5F">
        <w:rPr>
          <w:rFonts w:ascii="Times New Roman" w:hAnsi="Times New Roman"/>
          <w:sz w:val="22"/>
          <w:szCs w:val="22"/>
        </w:rPr>
        <w:t>Artificial Intelligence</w:t>
      </w:r>
      <w:r w:rsidR="000D3261" w:rsidRPr="00431A5F">
        <w:rPr>
          <w:rFonts w:ascii="Times New Roman" w:hAnsi="Times New Roman"/>
          <w:sz w:val="22"/>
          <w:szCs w:val="22"/>
        </w:rPr>
        <w:t xml:space="preserve"> </w:t>
      </w:r>
      <w:r w:rsidR="00F618A1" w:rsidRPr="00431A5F">
        <w:rPr>
          <w:rFonts w:ascii="Times New Roman" w:hAnsi="Times New Roman"/>
          <w:sz w:val="22"/>
          <w:szCs w:val="22"/>
        </w:rPr>
        <w:t>(</w:t>
      </w:r>
      <w:r w:rsidR="00F618A1" w:rsidRPr="00431A5F">
        <w:rPr>
          <w:rFonts w:ascii="Times New Roman" w:hAnsi="Times New Roman"/>
          <w:b/>
          <w:bCs/>
          <w:sz w:val="22"/>
          <w:szCs w:val="22"/>
        </w:rPr>
        <w:t>AI</w:t>
      </w:r>
      <w:r w:rsidR="00F618A1" w:rsidRPr="00431A5F">
        <w:rPr>
          <w:rFonts w:ascii="Times New Roman" w:hAnsi="Times New Roman"/>
          <w:sz w:val="22"/>
          <w:szCs w:val="22"/>
        </w:rPr>
        <w:t>)</w:t>
      </w:r>
      <w:r w:rsidR="005B1D0A">
        <w:rPr>
          <w:rFonts w:ascii="Times New Roman" w:hAnsi="Times New Roman"/>
          <w:sz w:val="22"/>
          <w:szCs w:val="22"/>
        </w:rPr>
        <w:t>,</w:t>
      </w:r>
      <w:r w:rsidR="00F618A1" w:rsidRPr="00431A5F">
        <w:rPr>
          <w:rFonts w:ascii="Times New Roman" w:hAnsi="Times New Roman"/>
          <w:sz w:val="22"/>
          <w:szCs w:val="22"/>
        </w:rPr>
        <w:t xml:space="preserve"> </w:t>
      </w:r>
      <w:r w:rsidR="000D3261" w:rsidRPr="00431A5F">
        <w:rPr>
          <w:rFonts w:ascii="Times New Roman" w:hAnsi="Times New Roman"/>
          <w:sz w:val="22"/>
          <w:szCs w:val="22"/>
        </w:rPr>
        <w:t>and</w:t>
      </w:r>
      <w:r w:rsidR="0038501A">
        <w:rPr>
          <w:rFonts w:ascii="Times New Roman" w:hAnsi="Times New Roman"/>
          <w:sz w:val="22"/>
          <w:szCs w:val="22"/>
        </w:rPr>
        <w:t xml:space="preserve"> who</w:t>
      </w:r>
      <w:r w:rsidR="000D3261" w:rsidRPr="00431A5F">
        <w:rPr>
          <w:rFonts w:ascii="Times New Roman" w:hAnsi="Times New Roman"/>
          <w:sz w:val="22"/>
          <w:szCs w:val="22"/>
        </w:rPr>
        <w:t xml:space="preserve"> is</w:t>
      </w:r>
      <w:r w:rsidR="006A7C29" w:rsidRPr="00431A5F">
        <w:rPr>
          <w:rFonts w:ascii="Times New Roman" w:hAnsi="Times New Roman"/>
          <w:sz w:val="22"/>
          <w:szCs w:val="22"/>
        </w:rPr>
        <w:t xml:space="preserve"> authorised to make decisions relating to payment assistance applications</w:t>
      </w:r>
      <w:r w:rsidR="000D3261" w:rsidRPr="00431A5F">
        <w:rPr>
          <w:rFonts w:ascii="Times New Roman" w:hAnsi="Times New Roman"/>
          <w:sz w:val="22"/>
          <w:szCs w:val="22"/>
        </w:rPr>
        <w:t>.</w:t>
      </w:r>
    </w:p>
    <w:p w14:paraId="78E89599" w14:textId="6872B226" w:rsidR="003902FD" w:rsidRPr="00431A5F" w:rsidRDefault="009609AB" w:rsidP="009922C2">
      <w:pPr>
        <w:rPr>
          <w:rFonts w:ascii="Times New Roman" w:hAnsi="Times New Roman"/>
          <w:sz w:val="22"/>
          <w:szCs w:val="22"/>
        </w:rPr>
      </w:pPr>
      <w:r w:rsidRPr="00431A5F">
        <w:rPr>
          <w:rFonts w:ascii="Times New Roman" w:hAnsi="Times New Roman"/>
          <w:sz w:val="22"/>
          <w:szCs w:val="22"/>
        </w:rPr>
        <w:t>I</w:t>
      </w:r>
      <w:r w:rsidR="006A7C29" w:rsidRPr="00431A5F">
        <w:rPr>
          <w:rFonts w:ascii="Times New Roman" w:hAnsi="Times New Roman"/>
          <w:sz w:val="22"/>
          <w:szCs w:val="22"/>
        </w:rPr>
        <w:t>n situations involving domestic and family violence victim survivors, every effort should be made for the customer to be able to speak to the same staff member throughout the</w:t>
      </w:r>
      <w:r w:rsidRPr="00431A5F">
        <w:rPr>
          <w:rFonts w:ascii="Times New Roman" w:hAnsi="Times New Roman"/>
          <w:sz w:val="22"/>
          <w:szCs w:val="22"/>
        </w:rPr>
        <w:t>ir</w:t>
      </w:r>
      <w:r w:rsidR="006A7C29" w:rsidRPr="00431A5F">
        <w:rPr>
          <w:rFonts w:ascii="Times New Roman" w:hAnsi="Times New Roman"/>
          <w:sz w:val="22"/>
          <w:szCs w:val="22"/>
        </w:rPr>
        <w:t xml:space="preserve"> engagement to avoid having to repeat</w:t>
      </w:r>
      <w:r w:rsidRPr="00431A5F">
        <w:rPr>
          <w:rFonts w:ascii="Times New Roman" w:hAnsi="Times New Roman"/>
          <w:sz w:val="22"/>
          <w:szCs w:val="22"/>
        </w:rPr>
        <w:t xml:space="preserve"> information</w:t>
      </w:r>
      <w:r w:rsidR="006A7C29" w:rsidRPr="00431A5F">
        <w:rPr>
          <w:rFonts w:ascii="Times New Roman" w:hAnsi="Times New Roman"/>
          <w:sz w:val="22"/>
          <w:szCs w:val="22"/>
        </w:rPr>
        <w:t xml:space="preserve"> or recount their circumstances</w:t>
      </w:r>
      <w:r w:rsidR="009C0CCB" w:rsidRPr="00431A5F">
        <w:rPr>
          <w:rFonts w:ascii="Times New Roman" w:hAnsi="Times New Roman"/>
          <w:sz w:val="22"/>
          <w:szCs w:val="22"/>
        </w:rPr>
        <w:t xml:space="preserve"> more than once</w:t>
      </w:r>
      <w:r w:rsidR="006A7C29" w:rsidRPr="00431A5F">
        <w:rPr>
          <w:rFonts w:ascii="Times New Roman" w:hAnsi="Times New Roman"/>
          <w:sz w:val="22"/>
          <w:szCs w:val="22"/>
        </w:rPr>
        <w:t>.</w:t>
      </w:r>
      <w:r w:rsidR="003902FD" w:rsidRPr="00431A5F">
        <w:rPr>
          <w:rFonts w:ascii="Times New Roman" w:hAnsi="Times New Roman"/>
          <w:sz w:val="22"/>
          <w:szCs w:val="22"/>
        </w:rPr>
        <w:t xml:space="preserve"> </w:t>
      </w:r>
    </w:p>
    <w:p w14:paraId="63F8096F" w14:textId="3AC41433" w:rsidR="00AD500F" w:rsidRPr="00431A5F" w:rsidRDefault="006A7C29">
      <w:pPr>
        <w:rPr>
          <w:rFonts w:ascii="Times New Roman" w:hAnsi="Times New Roman"/>
          <w:sz w:val="22"/>
          <w:szCs w:val="22"/>
        </w:rPr>
      </w:pPr>
      <w:r w:rsidRPr="00431A5F">
        <w:rPr>
          <w:rFonts w:ascii="Times New Roman" w:hAnsi="Times New Roman"/>
          <w:sz w:val="22"/>
          <w:szCs w:val="22"/>
        </w:rPr>
        <w:t xml:space="preserve">A CSP is required to </w:t>
      </w:r>
      <w:r w:rsidR="009609AB" w:rsidRPr="00431A5F">
        <w:rPr>
          <w:rFonts w:ascii="Times New Roman" w:hAnsi="Times New Roman"/>
          <w:sz w:val="22"/>
          <w:szCs w:val="22"/>
        </w:rPr>
        <w:t>include</w:t>
      </w:r>
      <w:r w:rsidRPr="00431A5F">
        <w:rPr>
          <w:rFonts w:ascii="Times New Roman" w:hAnsi="Times New Roman"/>
          <w:sz w:val="22"/>
          <w:szCs w:val="22"/>
        </w:rPr>
        <w:t xml:space="preserve"> information on support services for customers in financial hardship </w:t>
      </w:r>
      <w:r w:rsidR="009609AB" w:rsidRPr="00431A5F">
        <w:rPr>
          <w:rFonts w:ascii="Times New Roman" w:hAnsi="Times New Roman"/>
          <w:sz w:val="22"/>
          <w:szCs w:val="22"/>
        </w:rPr>
        <w:t>in</w:t>
      </w:r>
      <w:r w:rsidRPr="00431A5F">
        <w:rPr>
          <w:rFonts w:ascii="Times New Roman" w:hAnsi="Times New Roman"/>
          <w:sz w:val="22"/>
          <w:szCs w:val="22"/>
        </w:rPr>
        <w:t xml:space="preserve"> its payment assistance policy</w:t>
      </w:r>
      <w:r w:rsidR="001D32BE" w:rsidRPr="00431A5F">
        <w:rPr>
          <w:rFonts w:ascii="Times New Roman" w:hAnsi="Times New Roman"/>
          <w:sz w:val="22"/>
          <w:szCs w:val="22"/>
        </w:rPr>
        <w:t>, including how the customer can contact both financial counselling service</w:t>
      </w:r>
      <w:r w:rsidR="009609AB" w:rsidRPr="00431A5F">
        <w:rPr>
          <w:rFonts w:ascii="Times New Roman" w:hAnsi="Times New Roman"/>
          <w:sz w:val="22"/>
          <w:szCs w:val="22"/>
        </w:rPr>
        <w:t>s</w:t>
      </w:r>
      <w:r w:rsidR="001D32BE" w:rsidRPr="00431A5F">
        <w:rPr>
          <w:rFonts w:ascii="Times New Roman" w:hAnsi="Times New Roman"/>
          <w:sz w:val="22"/>
          <w:szCs w:val="22"/>
        </w:rPr>
        <w:t xml:space="preserve"> and the Telecommunications Industry Ombudsman</w:t>
      </w:r>
      <w:r w:rsidR="001950D7" w:rsidRPr="00431A5F">
        <w:rPr>
          <w:rFonts w:ascii="Times New Roman" w:hAnsi="Times New Roman"/>
          <w:sz w:val="22"/>
          <w:szCs w:val="22"/>
        </w:rPr>
        <w:t xml:space="preserve"> (</w:t>
      </w:r>
      <w:r w:rsidR="001950D7" w:rsidRPr="00431A5F">
        <w:rPr>
          <w:rFonts w:ascii="Times New Roman" w:hAnsi="Times New Roman"/>
          <w:b/>
          <w:bCs/>
          <w:sz w:val="22"/>
          <w:szCs w:val="22"/>
        </w:rPr>
        <w:t>TIO</w:t>
      </w:r>
      <w:r w:rsidR="001950D7" w:rsidRPr="00431A5F">
        <w:rPr>
          <w:rFonts w:ascii="Times New Roman" w:hAnsi="Times New Roman"/>
          <w:sz w:val="22"/>
          <w:szCs w:val="22"/>
        </w:rPr>
        <w:t>)</w:t>
      </w:r>
      <w:r w:rsidR="001D32BE" w:rsidRPr="00431A5F">
        <w:rPr>
          <w:rFonts w:ascii="Times New Roman" w:hAnsi="Times New Roman"/>
          <w:sz w:val="22"/>
          <w:szCs w:val="22"/>
        </w:rPr>
        <w:t>. An example of a financial counselling service that was available at the time the instrument was made is the National Debt Hotline</w:t>
      </w:r>
      <w:r w:rsidR="00405973">
        <w:rPr>
          <w:rFonts w:ascii="Times New Roman" w:hAnsi="Times New Roman"/>
          <w:sz w:val="22"/>
          <w:szCs w:val="22"/>
        </w:rPr>
        <w:t xml:space="preserve"> </w:t>
      </w:r>
      <w:r w:rsidR="001014D3">
        <w:rPr>
          <w:rFonts w:ascii="Times New Roman" w:hAnsi="Times New Roman"/>
          <w:sz w:val="22"/>
          <w:szCs w:val="22"/>
        </w:rPr>
        <w:t>-</w:t>
      </w:r>
      <w:r w:rsidR="00405973">
        <w:rPr>
          <w:rFonts w:ascii="Times New Roman" w:hAnsi="Times New Roman"/>
          <w:sz w:val="22"/>
          <w:szCs w:val="22"/>
        </w:rPr>
        <w:t xml:space="preserve"> </w:t>
      </w:r>
      <w:hyperlink r:id="rId13" w:history="1">
        <w:r w:rsidR="008B7906" w:rsidRPr="00431A5F">
          <w:rPr>
            <w:rStyle w:val="Hyperlink"/>
            <w:rFonts w:ascii="Times New Roman" w:hAnsi="Times New Roman"/>
            <w:sz w:val="22"/>
            <w:szCs w:val="22"/>
          </w:rPr>
          <w:t>https://ndh.org.au/</w:t>
        </w:r>
      </w:hyperlink>
      <w:r w:rsidR="00F27CEA">
        <w:rPr>
          <w:rStyle w:val="Hyperlink"/>
          <w:rFonts w:ascii="Times New Roman" w:hAnsi="Times New Roman"/>
          <w:sz w:val="22"/>
          <w:szCs w:val="22"/>
        </w:rPr>
        <w:t xml:space="preserve"> (</w:t>
      </w:r>
      <w:r w:rsidR="00F27CEA" w:rsidRPr="002457C7">
        <w:rPr>
          <w:rStyle w:val="Hyperlink"/>
          <w:rFonts w:ascii="Times New Roman" w:hAnsi="Times New Roman"/>
          <w:b/>
          <w:bCs/>
          <w:sz w:val="22"/>
          <w:szCs w:val="22"/>
        </w:rPr>
        <w:t>NDH</w:t>
      </w:r>
      <w:r w:rsidR="00F27CEA">
        <w:rPr>
          <w:rStyle w:val="Hyperlink"/>
          <w:rFonts w:ascii="Times New Roman" w:hAnsi="Times New Roman"/>
          <w:sz w:val="22"/>
          <w:szCs w:val="22"/>
        </w:rPr>
        <w:t>)</w:t>
      </w:r>
      <w:r w:rsidR="005B1D0A">
        <w:rPr>
          <w:rStyle w:val="Hyperlink"/>
          <w:rFonts w:ascii="Times New Roman" w:hAnsi="Times New Roman"/>
          <w:sz w:val="22"/>
          <w:szCs w:val="22"/>
        </w:rPr>
        <w:t>.</w:t>
      </w:r>
      <w:r w:rsidR="008B7906" w:rsidRPr="00431A5F">
        <w:rPr>
          <w:rFonts w:ascii="Times New Roman" w:hAnsi="Times New Roman"/>
          <w:sz w:val="22"/>
          <w:szCs w:val="22"/>
        </w:rPr>
        <w:t xml:space="preserve"> </w:t>
      </w:r>
    </w:p>
    <w:p w14:paraId="7F830F25" w14:textId="562E27D1" w:rsidR="004B5D72" w:rsidRPr="00431A5F" w:rsidRDefault="004B5D72" w:rsidP="004B5D72">
      <w:pPr>
        <w:rPr>
          <w:rFonts w:ascii="Times New Roman" w:hAnsi="Times New Roman"/>
          <w:b/>
          <w:sz w:val="22"/>
          <w:szCs w:val="22"/>
        </w:rPr>
      </w:pPr>
      <w:r w:rsidRPr="00431A5F">
        <w:rPr>
          <w:rFonts w:ascii="Times New Roman" w:hAnsi="Times New Roman"/>
          <w:b/>
          <w:sz w:val="22"/>
          <w:szCs w:val="22"/>
        </w:rPr>
        <w:t>Section 10</w:t>
      </w:r>
      <w:r w:rsidRPr="00431A5F">
        <w:rPr>
          <w:rFonts w:ascii="Times New Roman" w:hAnsi="Times New Roman"/>
          <w:b/>
          <w:sz w:val="22"/>
          <w:szCs w:val="22"/>
        </w:rPr>
        <w:tab/>
        <w:t>Minimum content requirements - applications</w:t>
      </w:r>
    </w:p>
    <w:p w14:paraId="61E908AF" w14:textId="6E8C05EC" w:rsidR="004B5D72" w:rsidRPr="00431A5F" w:rsidRDefault="00B11D7A" w:rsidP="004B5D72">
      <w:pPr>
        <w:rPr>
          <w:rFonts w:ascii="Times New Roman" w:hAnsi="Times New Roman"/>
          <w:sz w:val="22"/>
          <w:szCs w:val="22"/>
        </w:rPr>
      </w:pPr>
      <w:r w:rsidRPr="00431A5F">
        <w:rPr>
          <w:rFonts w:ascii="Times New Roman" w:hAnsi="Times New Roman"/>
          <w:sz w:val="22"/>
          <w:szCs w:val="22"/>
        </w:rPr>
        <w:t>This section provides that a payment assistance policy must set out how a customer can make an application and monitor its progress, including a copy the application form if the CSP has one. As with section 8, this only applies where the CSP has an application</w:t>
      </w:r>
      <w:r w:rsidR="00022F58" w:rsidRPr="00431A5F">
        <w:rPr>
          <w:rFonts w:ascii="Times New Roman" w:hAnsi="Times New Roman"/>
          <w:sz w:val="22"/>
          <w:szCs w:val="22"/>
        </w:rPr>
        <w:t xml:space="preserve"> form</w:t>
      </w:r>
      <w:r w:rsidRPr="00431A5F">
        <w:rPr>
          <w:rFonts w:ascii="Times New Roman" w:hAnsi="Times New Roman"/>
          <w:sz w:val="22"/>
          <w:szCs w:val="22"/>
        </w:rPr>
        <w:t xml:space="preserve">, </w:t>
      </w:r>
      <w:r w:rsidR="00A33D86">
        <w:rPr>
          <w:rFonts w:ascii="Times New Roman" w:hAnsi="Times New Roman"/>
          <w:sz w:val="22"/>
          <w:szCs w:val="22"/>
        </w:rPr>
        <w:t xml:space="preserve">and </w:t>
      </w:r>
      <w:r w:rsidRPr="00431A5F">
        <w:rPr>
          <w:rFonts w:ascii="Times New Roman" w:hAnsi="Times New Roman"/>
          <w:sz w:val="22"/>
          <w:szCs w:val="22"/>
        </w:rPr>
        <w:t xml:space="preserve">it does not place an obligation on the CSP to create an application form. Under this section a CSP must allow customers to apply for assistance using all contact methods the CSP usually makes available to its customers for contacting it. </w:t>
      </w:r>
      <w:r w:rsidR="009609AB" w:rsidRPr="00431A5F">
        <w:rPr>
          <w:rFonts w:ascii="Times New Roman" w:hAnsi="Times New Roman"/>
          <w:sz w:val="22"/>
          <w:szCs w:val="22"/>
        </w:rPr>
        <w:t>W</w:t>
      </w:r>
      <w:r w:rsidRPr="00431A5F">
        <w:rPr>
          <w:rFonts w:ascii="Times New Roman" w:hAnsi="Times New Roman"/>
          <w:sz w:val="22"/>
          <w:szCs w:val="22"/>
        </w:rPr>
        <w:t>here a</w:t>
      </w:r>
      <w:r w:rsidR="009609AB" w:rsidRPr="00431A5F">
        <w:rPr>
          <w:rFonts w:ascii="Times New Roman" w:hAnsi="Times New Roman"/>
          <w:sz w:val="22"/>
          <w:szCs w:val="22"/>
        </w:rPr>
        <w:t xml:space="preserve"> CSP’s</w:t>
      </w:r>
      <w:r w:rsidRPr="00431A5F">
        <w:rPr>
          <w:rFonts w:ascii="Times New Roman" w:hAnsi="Times New Roman"/>
          <w:sz w:val="22"/>
          <w:szCs w:val="22"/>
        </w:rPr>
        <w:t xml:space="preserve"> application form may be incompatible with a particular contact method </w:t>
      </w:r>
      <w:r w:rsidR="009C73A2" w:rsidRPr="00431A5F">
        <w:rPr>
          <w:rFonts w:ascii="Times New Roman" w:hAnsi="Times New Roman"/>
          <w:sz w:val="22"/>
          <w:szCs w:val="22"/>
        </w:rPr>
        <w:t>(</w:t>
      </w:r>
      <w:r w:rsidRPr="00431A5F">
        <w:rPr>
          <w:rFonts w:ascii="Times New Roman" w:hAnsi="Times New Roman"/>
          <w:sz w:val="22"/>
          <w:szCs w:val="22"/>
        </w:rPr>
        <w:t>for example</w:t>
      </w:r>
      <w:r w:rsidR="00132AE5" w:rsidRPr="00431A5F">
        <w:rPr>
          <w:rFonts w:ascii="Times New Roman" w:hAnsi="Times New Roman"/>
          <w:sz w:val="22"/>
          <w:szCs w:val="22"/>
        </w:rPr>
        <w:t>,</w:t>
      </w:r>
      <w:r w:rsidRPr="00431A5F">
        <w:rPr>
          <w:rFonts w:ascii="Times New Roman" w:hAnsi="Times New Roman"/>
          <w:sz w:val="22"/>
          <w:szCs w:val="22"/>
        </w:rPr>
        <w:t xml:space="preserve"> an online form and a telephone contact</w:t>
      </w:r>
      <w:r w:rsidR="009C73A2" w:rsidRPr="00431A5F">
        <w:rPr>
          <w:rFonts w:ascii="Times New Roman" w:hAnsi="Times New Roman"/>
          <w:sz w:val="22"/>
          <w:szCs w:val="22"/>
        </w:rPr>
        <w:t>)</w:t>
      </w:r>
      <w:r w:rsidRPr="00431A5F">
        <w:rPr>
          <w:rFonts w:ascii="Times New Roman" w:hAnsi="Times New Roman"/>
          <w:sz w:val="22"/>
          <w:szCs w:val="22"/>
        </w:rPr>
        <w:t xml:space="preserve"> – </w:t>
      </w:r>
      <w:r w:rsidR="009609AB" w:rsidRPr="00431A5F">
        <w:rPr>
          <w:rFonts w:ascii="Times New Roman" w:hAnsi="Times New Roman"/>
          <w:sz w:val="22"/>
          <w:szCs w:val="22"/>
        </w:rPr>
        <w:t>a</w:t>
      </w:r>
      <w:r w:rsidRPr="00431A5F">
        <w:rPr>
          <w:rFonts w:ascii="Times New Roman" w:hAnsi="Times New Roman"/>
          <w:sz w:val="22"/>
          <w:szCs w:val="22"/>
        </w:rPr>
        <w:t xml:space="preserve"> CSP </w:t>
      </w:r>
      <w:r w:rsidR="009609AB" w:rsidRPr="00431A5F">
        <w:rPr>
          <w:rFonts w:ascii="Times New Roman" w:hAnsi="Times New Roman"/>
          <w:sz w:val="22"/>
          <w:szCs w:val="22"/>
        </w:rPr>
        <w:t>should</w:t>
      </w:r>
      <w:r w:rsidRPr="00431A5F">
        <w:rPr>
          <w:rFonts w:ascii="Times New Roman" w:hAnsi="Times New Roman"/>
          <w:sz w:val="22"/>
          <w:szCs w:val="22"/>
        </w:rPr>
        <w:t xml:space="preserve"> </w:t>
      </w:r>
      <w:r w:rsidR="009609AB" w:rsidRPr="00431A5F">
        <w:rPr>
          <w:rFonts w:ascii="Times New Roman" w:hAnsi="Times New Roman"/>
          <w:sz w:val="22"/>
          <w:szCs w:val="22"/>
        </w:rPr>
        <w:t>minimise the need for</w:t>
      </w:r>
      <w:r w:rsidRPr="00431A5F">
        <w:rPr>
          <w:rFonts w:ascii="Times New Roman" w:hAnsi="Times New Roman"/>
          <w:sz w:val="22"/>
          <w:szCs w:val="22"/>
        </w:rPr>
        <w:t xml:space="preserve"> </w:t>
      </w:r>
      <w:r w:rsidR="009073F2" w:rsidRPr="00431A5F">
        <w:rPr>
          <w:rFonts w:ascii="Times New Roman" w:hAnsi="Times New Roman"/>
          <w:sz w:val="22"/>
          <w:szCs w:val="22"/>
        </w:rPr>
        <w:t xml:space="preserve">additional steps on the customer </w:t>
      </w:r>
      <w:r w:rsidR="009C73A2" w:rsidRPr="00431A5F">
        <w:rPr>
          <w:rFonts w:ascii="Times New Roman" w:hAnsi="Times New Roman"/>
          <w:sz w:val="22"/>
          <w:szCs w:val="22"/>
        </w:rPr>
        <w:t>by</w:t>
      </w:r>
      <w:r w:rsidR="009C0CCB" w:rsidRPr="00431A5F">
        <w:rPr>
          <w:rFonts w:ascii="Times New Roman" w:hAnsi="Times New Roman"/>
          <w:sz w:val="22"/>
          <w:szCs w:val="22"/>
        </w:rPr>
        <w:t xml:space="preserve"> taking</w:t>
      </w:r>
      <w:r w:rsidR="009073F2" w:rsidRPr="00431A5F">
        <w:rPr>
          <w:rFonts w:ascii="Times New Roman" w:hAnsi="Times New Roman"/>
          <w:sz w:val="22"/>
          <w:szCs w:val="22"/>
        </w:rPr>
        <w:t xml:space="preserve"> the necessary information over the phone and filling out the form on their behalf.</w:t>
      </w:r>
    </w:p>
    <w:p w14:paraId="489045DD" w14:textId="37068D36" w:rsidR="009073F2" w:rsidRPr="00431A5F" w:rsidRDefault="009073F2" w:rsidP="004B5D72">
      <w:pPr>
        <w:rPr>
          <w:rFonts w:ascii="Times New Roman" w:hAnsi="Times New Roman"/>
          <w:sz w:val="22"/>
          <w:szCs w:val="22"/>
        </w:rPr>
      </w:pPr>
      <w:r w:rsidRPr="00431A5F">
        <w:rPr>
          <w:rFonts w:ascii="Times New Roman" w:hAnsi="Times New Roman"/>
          <w:sz w:val="22"/>
          <w:szCs w:val="22"/>
        </w:rPr>
        <w:t>The CSP is also required to ensure that processes for making an application are accessible to consumers in vulnerable circumstances including consumers with disabilities, from cultural</w:t>
      </w:r>
      <w:r w:rsidR="005950F3" w:rsidRPr="00431A5F">
        <w:rPr>
          <w:rFonts w:ascii="Times New Roman" w:hAnsi="Times New Roman"/>
          <w:sz w:val="22"/>
          <w:szCs w:val="22"/>
        </w:rPr>
        <w:t>l</w:t>
      </w:r>
      <w:r w:rsidR="00753CBF" w:rsidRPr="00431A5F">
        <w:rPr>
          <w:rFonts w:ascii="Times New Roman" w:hAnsi="Times New Roman"/>
          <w:sz w:val="22"/>
          <w:szCs w:val="22"/>
        </w:rPr>
        <w:t>y</w:t>
      </w:r>
      <w:r w:rsidRPr="00431A5F">
        <w:rPr>
          <w:rFonts w:ascii="Times New Roman" w:hAnsi="Times New Roman"/>
          <w:sz w:val="22"/>
          <w:szCs w:val="22"/>
        </w:rPr>
        <w:t xml:space="preserve"> or linguistically diverse backgrounds or with other special needs</w:t>
      </w:r>
      <w:r w:rsidR="00753CBF" w:rsidRPr="00431A5F">
        <w:rPr>
          <w:rFonts w:ascii="Times New Roman" w:hAnsi="Times New Roman"/>
          <w:sz w:val="22"/>
          <w:szCs w:val="22"/>
        </w:rPr>
        <w:t>,</w:t>
      </w:r>
      <w:r w:rsidRPr="00431A5F">
        <w:rPr>
          <w:rFonts w:ascii="Times New Roman" w:hAnsi="Times New Roman"/>
          <w:sz w:val="22"/>
          <w:szCs w:val="22"/>
        </w:rPr>
        <w:t xml:space="preserve"> </w:t>
      </w:r>
      <w:r w:rsidR="00753CBF" w:rsidRPr="00431A5F">
        <w:rPr>
          <w:rFonts w:ascii="Times New Roman" w:hAnsi="Times New Roman"/>
          <w:sz w:val="22"/>
          <w:szCs w:val="22"/>
        </w:rPr>
        <w:t>such as</w:t>
      </w:r>
      <w:r w:rsidRPr="00431A5F">
        <w:rPr>
          <w:rFonts w:ascii="Times New Roman" w:hAnsi="Times New Roman"/>
          <w:sz w:val="22"/>
          <w:szCs w:val="22"/>
        </w:rPr>
        <w:t xml:space="preserve"> domestic and family violence victim survivors.</w:t>
      </w:r>
      <w:r w:rsidR="005B5138" w:rsidRPr="00431A5F">
        <w:rPr>
          <w:rFonts w:ascii="Times New Roman" w:hAnsi="Times New Roman"/>
          <w:sz w:val="22"/>
          <w:szCs w:val="22"/>
        </w:rPr>
        <w:t xml:space="preserve"> </w:t>
      </w:r>
      <w:r w:rsidR="000D3261" w:rsidRPr="00431A5F">
        <w:rPr>
          <w:rFonts w:ascii="Times New Roman" w:hAnsi="Times New Roman"/>
          <w:sz w:val="22"/>
          <w:szCs w:val="22"/>
        </w:rPr>
        <w:t>For example</w:t>
      </w:r>
      <w:r w:rsidR="005406B5" w:rsidRPr="00431A5F">
        <w:rPr>
          <w:rFonts w:ascii="Times New Roman" w:hAnsi="Times New Roman"/>
          <w:sz w:val="22"/>
          <w:szCs w:val="22"/>
        </w:rPr>
        <w:t>,</w:t>
      </w:r>
      <w:r w:rsidR="000D3261" w:rsidRPr="00431A5F">
        <w:rPr>
          <w:rFonts w:ascii="Times New Roman" w:hAnsi="Times New Roman"/>
          <w:sz w:val="22"/>
          <w:szCs w:val="22"/>
        </w:rPr>
        <w:t xml:space="preserve"> offering the payment assistance policy and applications form (if applicable) in common community languages such as Arabic, Greek, Vietnamese and Mandarin</w:t>
      </w:r>
      <w:r w:rsidR="00CB7C6E" w:rsidRPr="00431A5F">
        <w:rPr>
          <w:rFonts w:ascii="Times New Roman" w:hAnsi="Times New Roman"/>
          <w:sz w:val="22"/>
          <w:szCs w:val="22"/>
        </w:rPr>
        <w:t>,</w:t>
      </w:r>
      <w:r w:rsidR="000D3261" w:rsidRPr="00431A5F">
        <w:rPr>
          <w:rFonts w:ascii="Times New Roman" w:hAnsi="Times New Roman"/>
          <w:sz w:val="22"/>
          <w:szCs w:val="22"/>
        </w:rPr>
        <w:t xml:space="preserve"> </w:t>
      </w:r>
      <w:r w:rsidR="002F46E5" w:rsidRPr="00431A5F">
        <w:rPr>
          <w:rFonts w:ascii="Times New Roman" w:hAnsi="Times New Roman"/>
          <w:sz w:val="22"/>
          <w:szCs w:val="22"/>
        </w:rPr>
        <w:t xml:space="preserve">including information </w:t>
      </w:r>
      <w:r w:rsidR="006E52B8" w:rsidRPr="00431A5F">
        <w:rPr>
          <w:rFonts w:ascii="Times New Roman" w:hAnsi="Times New Roman"/>
          <w:sz w:val="22"/>
          <w:szCs w:val="22"/>
        </w:rPr>
        <w:t>about</w:t>
      </w:r>
      <w:r w:rsidR="000D3261" w:rsidRPr="00431A5F">
        <w:rPr>
          <w:rFonts w:ascii="Times New Roman" w:hAnsi="Times New Roman"/>
          <w:sz w:val="22"/>
          <w:szCs w:val="22"/>
        </w:rPr>
        <w:t xml:space="preserve"> translation</w:t>
      </w:r>
      <w:r w:rsidR="00203AD3" w:rsidRPr="00431A5F">
        <w:rPr>
          <w:rFonts w:ascii="Times New Roman" w:hAnsi="Times New Roman"/>
          <w:sz w:val="22"/>
          <w:szCs w:val="22"/>
        </w:rPr>
        <w:t xml:space="preserve"> services </w:t>
      </w:r>
      <w:r w:rsidR="006E52B8" w:rsidRPr="00431A5F">
        <w:rPr>
          <w:rFonts w:ascii="Times New Roman" w:hAnsi="Times New Roman"/>
          <w:sz w:val="22"/>
          <w:szCs w:val="22"/>
        </w:rPr>
        <w:t xml:space="preserve">that </w:t>
      </w:r>
      <w:r w:rsidR="00203AD3" w:rsidRPr="00431A5F">
        <w:rPr>
          <w:rFonts w:ascii="Times New Roman" w:hAnsi="Times New Roman"/>
          <w:sz w:val="22"/>
          <w:szCs w:val="22"/>
        </w:rPr>
        <w:t>may be availab</w:t>
      </w:r>
      <w:r w:rsidR="00132AE5" w:rsidRPr="00431A5F">
        <w:rPr>
          <w:rFonts w:ascii="Times New Roman" w:hAnsi="Times New Roman"/>
          <w:sz w:val="22"/>
          <w:szCs w:val="22"/>
        </w:rPr>
        <w:t>l</w:t>
      </w:r>
      <w:r w:rsidR="00203AD3" w:rsidRPr="00431A5F">
        <w:rPr>
          <w:rFonts w:ascii="Times New Roman" w:hAnsi="Times New Roman"/>
          <w:sz w:val="22"/>
          <w:szCs w:val="22"/>
        </w:rPr>
        <w:t>e</w:t>
      </w:r>
      <w:r w:rsidR="00CF354D">
        <w:rPr>
          <w:rFonts w:ascii="Times New Roman" w:hAnsi="Times New Roman"/>
          <w:sz w:val="22"/>
          <w:szCs w:val="22"/>
        </w:rPr>
        <w:t>,</w:t>
      </w:r>
      <w:r w:rsidR="000D3261" w:rsidRPr="00431A5F">
        <w:rPr>
          <w:rFonts w:ascii="Times New Roman" w:hAnsi="Times New Roman"/>
          <w:sz w:val="22"/>
          <w:szCs w:val="22"/>
        </w:rPr>
        <w:t xml:space="preserve"> or </w:t>
      </w:r>
      <w:r w:rsidR="00CF354D">
        <w:rPr>
          <w:rFonts w:ascii="Times New Roman" w:hAnsi="Times New Roman"/>
          <w:sz w:val="22"/>
          <w:szCs w:val="22"/>
        </w:rPr>
        <w:t xml:space="preserve">including </w:t>
      </w:r>
      <w:r w:rsidR="000D3261" w:rsidRPr="00431A5F">
        <w:rPr>
          <w:rFonts w:ascii="Times New Roman" w:hAnsi="Times New Roman"/>
          <w:sz w:val="22"/>
          <w:szCs w:val="22"/>
        </w:rPr>
        <w:t xml:space="preserve">the number of an interpreter service. </w:t>
      </w:r>
    </w:p>
    <w:p w14:paraId="43FF005C" w14:textId="38205202" w:rsidR="004B5D72" w:rsidRPr="00431A5F" w:rsidRDefault="004B5D72" w:rsidP="004B5D72">
      <w:pPr>
        <w:rPr>
          <w:rFonts w:ascii="Times New Roman" w:hAnsi="Times New Roman"/>
          <w:b/>
          <w:sz w:val="22"/>
          <w:szCs w:val="22"/>
        </w:rPr>
      </w:pPr>
      <w:r w:rsidRPr="00431A5F">
        <w:rPr>
          <w:rFonts w:ascii="Times New Roman" w:hAnsi="Times New Roman"/>
          <w:b/>
          <w:sz w:val="22"/>
          <w:szCs w:val="22"/>
        </w:rPr>
        <w:t>Section 11</w:t>
      </w:r>
      <w:r w:rsidRPr="00431A5F">
        <w:rPr>
          <w:rFonts w:ascii="Times New Roman" w:hAnsi="Times New Roman"/>
          <w:b/>
          <w:sz w:val="22"/>
          <w:szCs w:val="22"/>
        </w:rPr>
        <w:tab/>
        <w:t xml:space="preserve">Minimum </w:t>
      </w:r>
      <w:r w:rsidR="00CF354D">
        <w:rPr>
          <w:rFonts w:ascii="Times New Roman" w:hAnsi="Times New Roman"/>
          <w:b/>
          <w:sz w:val="22"/>
          <w:szCs w:val="22"/>
        </w:rPr>
        <w:t xml:space="preserve">content </w:t>
      </w:r>
      <w:r w:rsidRPr="00431A5F">
        <w:rPr>
          <w:rFonts w:ascii="Times New Roman" w:hAnsi="Times New Roman"/>
          <w:b/>
          <w:sz w:val="22"/>
          <w:szCs w:val="22"/>
        </w:rPr>
        <w:t>requirements – assessment of applications</w:t>
      </w:r>
    </w:p>
    <w:p w14:paraId="4A9E0156" w14:textId="0C25A234" w:rsidR="002B78B6" w:rsidRPr="00431A5F" w:rsidRDefault="002B78B6" w:rsidP="002B78B6">
      <w:pPr>
        <w:rPr>
          <w:rFonts w:ascii="Times New Roman" w:hAnsi="Times New Roman"/>
          <w:sz w:val="22"/>
          <w:szCs w:val="22"/>
        </w:rPr>
      </w:pPr>
      <w:r w:rsidRPr="00431A5F">
        <w:rPr>
          <w:rFonts w:ascii="Times New Roman" w:hAnsi="Times New Roman"/>
          <w:sz w:val="22"/>
          <w:szCs w:val="22"/>
        </w:rPr>
        <w:t xml:space="preserve">This section sets out the minimum requirements </w:t>
      </w:r>
      <w:r w:rsidR="00F17043" w:rsidRPr="00431A5F">
        <w:rPr>
          <w:rFonts w:ascii="Times New Roman" w:hAnsi="Times New Roman"/>
          <w:sz w:val="22"/>
          <w:szCs w:val="22"/>
        </w:rPr>
        <w:t xml:space="preserve">for </w:t>
      </w:r>
      <w:r w:rsidRPr="00431A5F">
        <w:rPr>
          <w:rFonts w:ascii="Times New Roman" w:hAnsi="Times New Roman"/>
          <w:sz w:val="22"/>
          <w:szCs w:val="22"/>
        </w:rPr>
        <w:t xml:space="preserve">a payment assistance policy </w:t>
      </w:r>
      <w:r w:rsidR="000A460D" w:rsidRPr="00431A5F">
        <w:rPr>
          <w:rFonts w:ascii="Times New Roman" w:hAnsi="Times New Roman"/>
          <w:sz w:val="22"/>
          <w:szCs w:val="22"/>
        </w:rPr>
        <w:t>for information about</w:t>
      </w:r>
      <w:r w:rsidRPr="00431A5F">
        <w:rPr>
          <w:rFonts w:ascii="Times New Roman" w:hAnsi="Times New Roman"/>
          <w:sz w:val="22"/>
          <w:szCs w:val="22"/>
        </w:rPr>
        <w:t xml:space="preserve"> the assessment of a customer’s eligibility for financial hardship assistance</w:t>
      </w:r>
      <w:r w:rsidR="00B119DA" w:rsidRPr="00431A5F">
        <w:rPr>
          <w:rFonts w:ascii="Times New Roman" w:hAnsi="Times New Roman"/>
          <w:sz w:val="22"/>
          <w:szCs w:val="22"/>
        </w:rPr>
        <w:t>.</w:t>
      </w:r>
      <w:r w:rsidRPr="00431A5F">
        <w:rPr>
          <w:rFonts w:ascii="Times New Roman" w:hAnsi="Times New Roman"/>
          <w:sz w:val="22"/>
          <w:szCs w:val="22"/>
        </w:rPr>
        <w:t xml:space="preserve"> </w:t>
      </w:r>
    </w:p>
    <w:p w14:paraId="1B52AEDF" w14:textId="4AC484E3" w:rsidR="002B78B6" w:rsidRPr="00431A5F" w:rsidRDefault="00B119DA" w:rsidP="002B78B6">
      <w:pPr>
        <w:rPr>
          <w:rFonts w:ascii="Times New Roman" w:hAnsi="Times New Roman"/>
          <w:sz w:val="22"/>
          <w:szCs w:val="22"/>
        </w:rPr>
      </w:pPr>
      <w:r w:rsidRPr="00431A5F">
        <w:rPr>
          <w:rFonts w:ascii="Times New Roman" w:hAnsi="Times New Roman"/>
          <w:sz w:val="22"/>
          <w:szCs w:val="22"/>
        </w:rPr>
        <w:t xml:space="preserve">The payment assistance policy must set out the steps and criteria for assessing eligibility </w:t>
      </w:r>
      <w:r w:rsidR="00754369" w:rsidRPr="00431A5F">
        <w:rPr>
          <w:rFonts w:ascii="Times New Roman" w:hAnsi="Times New Roman"/>
          <w:sz w:val="22"/>
          <w:szCs w:val="22"/>
        </w:rPr>
        <w:t xml:space="preserve">in accordance with </w:t>
      </w:r>
      <w:r w:rsidRPr="00431A5F">
        <w:rPr>
          <w:rFonts w:ascii="Times New Roman" w:hAnsi="Times New Roman"/>
          <w:sz w:val="22"/>
          <w:szCs w:val="22"/>
        </w:rPr>
        <w:t xml:space="preserve">section 16, the timeframes for assessment at section 17 and include information </w:t>
      </w:r>
      <w:r w:rsidR="00754369" w:rsidRPr="00431A5F">
        <w:rPr>
          <w:rFonts w:ascii="Times New Roman" w:hAnsi="Times New Roman"/>
          <w:sz w:val="22"/>
          <w:szCs w:val="22"/>
        </w:rPr>
        <w:t>about the available options for assistance.</w:t>
      </w:r>
    </w:p>
    <w:p w14:paraId="5440BD54" w14:textId="555F8192" w:rsidR="00B119DA" w:rsidRPr="00431A5F" w:rsidRDefault="00D41791" w:rsidP="002B78B6">
      <w:pPr>
        <w:rPr>
          <w:rFonts w:ascii="Times New Roman" w:hAnsi="Times New Roman"/>
          <w:sz w:val="22"/>
          <w:szCs w:val="22"/>
        </w:rPr>
      </w:pPr>
      <w:r w:rsidRPr="00431A5F">
        <w:rPr>
          <w:rFonts w:ascii="Times New Roman" w:hAnsi="Times New Roman"/>
          <w:sz w:val="22"/>
          <w:szCs w:val="22"/>
        </w:rPr>
        <w:t>The</w:t>
      </w:r>
      <w:r w:rsidR="00714620" w:rsidRPr="00431A5F">
        <w:rPr>
          <w:rFonts w:ascii="Times New Roman" w:hAnsi="Times New Roman"/>
          <w:sz w:val="22"/>
          <w:szCs w:val="22"/>
        </w:rPr>
        <w:t xml:space="preserve"> </w:t>
      </w:r>
      <w:r w:rsidR="008A4638">
        <w:rPr>
          <w:rFonts w:ascii="Times New Roman" w:hAnsi="Times New Roman"/>
          <w:sz w:val="22"/>
          <w:szCs w:val="22"/>
        </w:rPr>
        <w:t>S</w:t>
      </w:r>
      <w:r w:rsidR="009D5F8A" w:rsidRPr="00431A5F">
        <w:rPr>
          <w:rFonts w:ascii="Times New Roman" w:hAnsi="Times New Roman"/>
          <w:sz w:val="22"/>
          <w:szCs w:val="22"/>
        </w:rPr>
        <w:t xml:space="preserve">tandard </w:t>
      </w:r>
      <w:r w:rsidR="00714620" w:rsidRPr="00431A5F">
        <w:rPr>
          <w:rFonts w:ascii="Times New Roman" w:hAnsi="Times New Roman"/>
          <w:sz w:val="22"/>
          <w:szCs w:val="22"/>
        </w:rPr>
        <w:t>requires</w:t>
      </w:r>
      <w:r w:rsidR="00754369" w:rsidRPr="00431A5F">
        <w:rPr>
          <w:rFonts w:ascii="Times New Roman" w:hAnsi="Times New Roman"/>
          <w:sz w:val="22"/>
          <w:szCs w:val="22"/>
        </w:rPr>
        <w:t xml:space="preserve"> that</w:t>
      </w:r>
      <w:r w:rsidR="00B119DA" w:rsidRPr="00431A5F">
        <w:rPr>
          <w:rFonts w:ascii="Times New Roman" w:hAnsi="Times New Roman"/>
          <w:sz w:val="22"/>
          <w:szCs w:val="22"/>
        </w:rPr>
        <w:t xml:space="preserve"> the payment assistance policy </w:t>
      </w:r>
      <w:r w:rsidR="00754369" w:rsidRPr="00431A5F">
        <w:rPr>
          <w:rFonts w:ascii="Times New Roman" w:hAnsi="Times New Roman"/>
          <w:sz w:val="22"/>
          <w:szCs w:val="22"/>
        </w:rPr>
        <w:t xml:space="preserve">must </w:t>
      </w:r>
      <w:r w:rsidR="00B119DA" w:rsidRPr="00431A5F">
        <w:rPr>
          <w:rFonts w:ascii="Times New Roman" w:hAnsi="Times New Roman"/>
          <w:sz w:val="22"/>
          <w:szCs w:val="22"/>
        </w:rPr>
        <w:t xml:space="preserve">not include </w:t>
      </w:r>
      <w:r w:rsidR="00B119DA" w:rsidRPr="00431A5F">
        <w:rPr>
          <w:rFonts w:ascii="Times New Roman" w:hAnsi="Times New Roman"/>
          <w:color w:val="000000"/>
          <w:sz w:val="22"/>
          <w:szCs w:val="22"/>
        </w:rPr>
        <w:t>multi</w:t>
      </w:r>
      <w:r w:rsidR="00B119DA" w:rsidRPr="00431A5F">
        <w:rPr>
          <w:rFonts w:ascii="Times New Roman" w:hAnsi="Times New Roman"/>
          <w:sz w:val="22"/>
          <w:szCs w:val="22"/>
        </w:rPr>
        <w:t xml:space="preserve">-step processes or mechanisms that unreasonably delay or prevent a customer </w:t>
      </w:r>
      <w:r w:rsidR="005B5138" w:rsidRPr="00431A5F">
        <w:rPr>
          <w:rFonts w:ascii="Times New Roman" w:hAnsi="Times New Roman"/>
          <w:sz w:val="22"/>
          <w:szCs w:val="22"/>
        </w:rPr>
        <w:t xml:space="preserve">from applying or being </w:t>
      </w:r>
      <w:r w:rsidR="00B119DA" w:rsidRPr="00431A5F">
        <w:rPr>
          <w:rFonts w:ascii="Times New Roman" w:hAnsi="Times New Roman"/>
          <w:sz w:val="22"/>
          <w:szCs w:val="22"/>
        </w:rPr>
        <w:t>assessed for eligibility to receive financial hardship assistance. Th</w:t>
      </w:r>
      <w:r w:rsidR="005B5138" w:rsidRPr="00431A5F">
        <w:rPr>
          <w:rFonts w:ascii="Times New Roman" w:hAnsi="Times New Roman"/>
          <w:sz w:val="22"/>
          <w:szCs w:val="22"/>
        </w:rPr>
        <w:t xml:space="preserve">is </w:t>
      </w:r>
      <w:r w:rsidR="00B119DA" w:rsidRPr="00431A5F">
        <w:rPr>
          <w:rFonts w:ascii="Times New Roman" w:hAnsi="Times New Roman"/>
          <w:sz w:val="22"/>
          <w:szCs w:val="22"/>
        </w:rPr>
        <w:t xml:space="preserve">is intended to </w:t>
      </w:r>
      <w:r w:rsidR="00F17043" w:rsidRPr="00431A5F">
        <w:rPr>
          <w:rFonts w:ascii="Times New Roman" w:hAnsi="Times New Roman"/>
          <w:sz w:val="22"/>
          <w:szCs w:val="22"/>
        </w:rPr>
        <w:t xml:space="preserve">prevent complex processes, </w:t>
      </w:r>
      <w:r w:rsidR="00F17043" w:rsidRPr="00431A5F">
        <w:rPr>
          <w:rFonts w:ascii="Times New Roman" w:hAnsi="Times New Roman"/>
          <w:sz w:val="22"/>
          <w:szCs w:val="22"/>
        </w:rPr>
        <w:lastRenderedPageBreak/>
        <w:t xml:space="preserve">unnecessary steps or delays and </w:t>
      </w:r>
      <w:r w:rsidR="00B119DA" w:rsidRPr="00431A5F">
        <w:rPr>
          <w:rFonts w:ascii="Times New Roman" w:hAnsi="Times New Roman"/>
          <w:sz w:val="22"/>
          <w:szCs w:val="22"/>
        </w:rPr>
        <w:t xml:space="preserve">encourage swift assessment and provision of assistance.  It does not </w:t>
      </w:r>
      <w:r w:rsidR="005B5138" w:rsidRPr="00431A5F">
        <w:rPr>
          <w:rFonts w:ascii="Times New Roman" w:hAnsi="Times New Roman"/>
          <w:sz w:val="22"/>
          <w:szCs w:val="22"/>
        </w:rPr>
        <w:t>require</w:t>
      </w:r>
      <w:r w:rsidR="00B119DA" w:rsidRPr="00431A5F">
        <w:rPr>
          <w:rFonts w:ascii="Times New Roman" w:hAnsi="Times New Roman"/>
          <w:sz w:val="22"/>
          <w:szCs w:val="22"/>
        </w:rPr>
        <w:t xml:space="preserve"> that a CSP offer a single step process. </w:t>
      </w:r>
    </w:p>
    <w:p w14:paraId="0CE281E3" w14:textId="3DB950A0" w:rsidR="004B5D72" w:rsidRPr="00431A5F" w:rsidRDefault="004B5D72" w:rsidP="002B78B6">
      <w:pPr>
        <w:rPr>
          <w:rFonts w:ascii="Times New Roman" w:hAnsi="Times New Roman"/>
          <w:b/>
          <w:sz w:val="22"/>
          <w:szCs w:val="22"/>
        </w:rPr>
      </w:pPr>
      <w:r w:rsidRPr="00431A5F">
        <w:rPr>
          <w:rFonts w:ascii="Times New Roman" w:hAnsi="Times New Roman"/>
          <w:b/>
          <w:sz w:val="22"/>
          <w:szCs w:val="22"/>
        </w:rPr>
        <w:t>Section 12</w:t>
      </w:r>
      <w:r w:rsidRPr="00431A5F">
        <w:rPr>
          <w:rFonts w:ascii="Times New Roman" w:hAnsi="Times New Roman"/>
          <w:b/>
          <w:sz w:val="22"/>
          <w:szCs w:val="22"/>
        </w:rPr>
        <w:tab/>
        <w:t xml:space="preserve">Minimum content requirements </w:t>
      </w:r>
      <w:r w:rsidR="00B55DB9" w:rsidRPr="00431A5F">
        <w:rPr>
          <w:rFonts w:ascii="Times New Roman" w:hAnsi="Times New Roman"/>
          <w:b/>
          <w:sz w:val="22"/>
          <w:szCs w:val="22"/>
        </w:rPr>
        <w:t>–</w:t>
      </w:r>
      <w:r w:rsidRPr="00431A5F">
        <w:rPr>
          <w:rFonts w:ascii="Times New Roman" w:hAnsi="Times New Roman"/>
          <w:b/>
          <w:sz w:val="22"/>
          <w:szCs w:val="22"/>
        </w:rPr>
        <w:t xml:space="preserve"> </w:t>
      </w:r>
      <w:r w:rsidR="00B55DB9" w:rsidRPr="00431A5F">
        <w:rPr>
          <w:rFonts w:ascii="Times New Roman" w:hAnsi="Times New Roman"/>
          <w:b/>
          <w:sz w:val="22"/>
          <w:szCs w:val="22"/>
        </w:rPr>
        <w:t>complaints and review</w:t>
      </w:r>
    </w:p>
    <w:p w14:paraId="689DA20D" w14:textId="702ADD9E" w:rsidR="004B5D72" w:rsidRPr="00431A5F" w:rsidRDefault="00B44324" w:rsidP="004B5D72">
      <w:pPr>
        <w:rPr>
          <w:rFonts w:ascii="Times New Roman" w:hAnsi="Times New Roman"/>
          <w:sz w:val="22"/>
          <w:szCs w:val="22"/>
        </w:rPr>
      </w:pPr>
      <w:r w:rsidRPr="00431A5F">
        <w:rPr>
          <w:rFonts w:ascii="Times New Roman" w:hAnsi="Times New Roman"/>
          <w:sz w:val="22"/>
          <w:szCs w:val="22"/>
        </w:rPr>
        <w:t>This section provides that a payment assistance policy must include information about how customers can make complaints about or seek reviews of decisions in relation to applications for payment assistance.</w:t>
      </w:r>
    </w:p>
    <w:p w14:paraId="383CE47F" w14:textId="2FE85A90" w:rsidR="005B5138" w:rsidRPr="00431A5F" w:rsidRDefault="001F0AF3" w:rsidP="004B5D72">
      <w:pPr>
        <w:rPr>
          <w:rFonts w:ascii="Times New Roman" w:hAnsi="Times New Roman"/>
          <w:sz w:val="22"/>
          <w:szCs w:val="22"/>
        </w:rPr>
      </w:pPr>
      <w:r w:rsidRPr="00431A5F">
        <w:rPr>
          <w:rFonts w:ascii="Times New Roman" w:hAnsi="Times New Roman"/>
          <w:sz w:val="22"/>
          <w:szCs w:val="22"/>
        </w:rPr>
        <w:t>I</w:t>
      </w:r>
      <w:r w:rsidR="005B5138" w:rsidRPr="00431A5F">
        <w:rPr>
          <w:rFonts w:ascii="Times New Roman" w:hAnsi="Times New Roman"/>
          <w:sz w:val="22"/>
          <w:szCs w:val="22"/>
        </w:rPr>
        <w:t xml:space="preserve">nformation </w:t>
      </w:r>
      <w:r w:rsidRPr="00431A5F">
        <w:rPr>
          <w:rFonts w:ascii="Times New Roman" w:hAnsi="Times New Roman"/>
          <w:sz w:val="22"/>
          <w:szCs w:val="22"/>
        </w:rPr>
        <w:t>sh</w:t>
      </w:r>
      <w:r w:rsidR="005B5138" w:rsidRPr="00431A5F">
        <w:rPr>
          <w:rFonts w:ascii="Times New Roman" w:hAnsi="Times New Roman"/>
          <w:sz w:val="22"/>
          <w:szCs w:val="22"/>
        </w:rPr>
        <w:t xml:space="preserve">ould include </w:t>
      </w:r>
      <w:r w:rsidR="008360BA" w:rsidRPr="00431A5F">
        <w:rPr>
          <w:rFonts w:ascii="Times New Roman" w:hAnsi="Times New Roman"/>
          <w:sz w:val="22"/>
          <w:szCs w:val="22"/>
        </w:rPr>
        <w:t>a clear statement of where and how a customer could make a complaint and/or request a review of a decision relating to payment assistance, including the relevant contact details.</w:t>
      </w:r>
    </w:p>
    <w:p w14:paraId="084A01E1" w14:textId="23546B91" w:rsidR="00B44324" w:rsidRPr="00431A5F" w:rsidRDefault="00B44324" w:rsidP="004B5D72">
      <w:pPr>
        <w:rPr>
          <w:rFonts w:ascii="Times New Roman" w:hAnsi="Times New Roman"/>
          <w:sz w:val="22"/>
          <w:szCs w:val="22"/>
        </w:rPr>
      </w:pPr>
      <w:r w:rsidRPr="00431A5F">
        <w:rPr>
          <w:rFonts w:ascii="Times New Roman" w:hAnsi="Times New Roman"/>
          <w:sz w:val="22"/>
          <w:szCs w:val="22"/>
        </w:rPr>
        <w:t xml:space="preserve">A </w:t>
      </w:r>
      <w:r w:rsidR="001F0AF3" w:rsidRPr="00431A5F">
        <w:rPr>
          <w:rFonts w:ascii="Times New Roman" w:hAnsi="Times New Roman"/>
          <w:sz w:val="22"/>
          <w:szCs w:val="22"/>
        </w:rPr>
        <w:t xml:space="preserve">customer may make a </w:t>
      </w:r>
      <w:r w:rsidRPr="00431A5F">
        <w:rPr>
          <w:rFonts w:ascii="Times New Roman" w:hAnsi="Times New Roman"/>
          <w:sz w:val="22"/>
          <w:szCs w:val="22"/>
        </w:rPr>
        <w:t>complaint, including a complaint to the TIO</w:t>
      </w:r>
      <w:r w:rsidR="001F0AF3" w:rsidRPr="00431A5F">
        <w:rPr>
          <w:rFonts w:ascii="Times New Roman" w:hAnsi="Times New Roman"/>
          <w:sz w:val="22"/>
          <w:szCs w:val="22"/>
        </w:rPr>
        <w:t xml:space="preserve"> at any time during the process. This</w:t>
      </w:r>
      <w:r w:rsidRPr="00431A5F">
        <w:rPr>
          <w:rFonts w:ascii="Times New Roman" w:hAnsi="Times New Roman"/>
          <w:sz w:val="22"/>
          <w:szCs w:val="22"/>
        </w:rPr>
        <w:t xml:space="preserve"> does not prevent a customer from agreeing to an arrangement for financial hardship assistance.</w:t>
      </w:r>
    </w:p>
    <w:p w14:paraId="11956F34" w14:textId="341AD24B" w:rsidR="00B55DB9" w:rsidRPr="00431A5F" w:rsidRDefault="00B55DB9" w:rsidP="00C80FF7">
      <w:pPr>
        <w:spacing w:before="120"/>
        <w:rPr>
          <w:rFonts w:ascii="Times New Roman" w:hAnsi="Times New Roman"/>
          <w:b/>
          <w:sz w:val="22"/>
          <w:szCs w:val="22"/>
        </w:rPr>
      </w:pPr>
      <w:r w:rsidRPr="00431A5F">
        <w:rPr>
          <w:rFonts w:ascii="Times New Roman" w:hAnsi="Times New Roman"/>
          <w:b/>
          <w:sz w:val="22"/>
          <w:szCs w:val="22"/>
        </w:rPr>
        <w:t>Section 13</w:t>
      </w:r>
      <w:r w:rsidRPr="00431A5F">
        <w:rPr>
          <w:rFonts w:ascii="Times New Roman" w:hAnsi="Times New Roman"/>
          <w:b/>
          <w:sz w:val="22"/>
          <w:szCs w:val="22"/>
        </w:rPr>
        <w:tab/>
        <w:t xml:space="preserve">Minimum content requirements – </w:t>
      </w:r>
      <w:r w:rsidR="00F05D81" w:rsidRPr="00431A5F">
        <w:rPr>
          <w:rFonts w:ascii="Times New Roman" w:hAnsi="Times New Roman"/>
          <w:b/>
          <w:sz w:val="22"/>
          <w:szCs w:val="22"/>
        </w:rPr>
        <w:t>payment assistance policy summary</w:t>
      </w:r>
    </w:p>
    <w:p w14:paraId="5BB7F8D5" w14:textId="3784D87B" w:rsidR="00B55DB9" w:rsidRPr="00431A5F" w:rsidRDefault="00F05D81" w:rsidP="00B55DB9">
      <w:pPr>
        <w:rPr>
          <w:rFonts w:ascii="Times New Roman" w:hAnsi="Times New Roman"/>
          <w:bCs/>
          <w:sz w:val="22"/>
          <w:szCs w:val="22"/>
        </w:rPr>
      </w:pPr>
      <w:r w:rsidRPr="00431A5F">
        <w:rPr>
          <w:rFonts w:ascii="Times New Roman" w:hAnsi="Times New Roman"/>
          <w:bCs/>
          <w:sz w:val="22"/>
          <w:szCs w:val="22"/>
        </w:rPr>
        <w:t xml:space="preserve">This section sets out the minimum information that must be included in the payment assistance policy summary </w:t>
      </w:r>
      <w:r w:rsidR="00D43E4E">
        <w:rPr>
          <w:rFonts w:ascii="Times New Roman" w:hAnsi="Times New Roman"/>
          <w:bCs/>
          <w:sz w:val="22"/>
          <w:szCs w:val="22"/>
        </w:rPr>
        <w:t>required by</w:t>
      </w:r>
      <w:r w:rsidR="00D43E4E" w:rsidRPr="00431A5F">
        <w:rPr>
          <w:rFonts w:ascii="Times New Roman" w:hAnsi="Times New Roman"/>
          <w:bCs/>
          <w:sz w:val="22"/>
          <w:szCs w:val="22"/>
        </w:rPr>
        <w:t xml:space="preserve"> </w:t>
      </w:r>
      <w:r w:rsidRPr="00431A5F">
        <w:rPr>
          <w:rFonts w:ascii="Times New Roman" w:hAnsi="Times New Roman"/>
          <w:bCs/>
          <w:sz w:val="22"/>
          <w:szCs w:val="22"/>
        </w:rPr>
        <w:t xml:space="preserve">subparagraph 8(1)(g)(ii). The payment assistance policy summary is intended to </w:t>
      </w:r>
      <w:r w:rsidR="008360BA" w:rsidRPr="00431A5F">
        <w:rPr>
          <w:rFonts w:ascii="Times New Roman" w:hAnsi="Times New Roman"/>
          <w:bCs/>
          <w:sz w:val="22"/>
          <w:szCs w:val="22"/>
        </w:rPr>
        <w:t>help</w:t>
      </w:r>
      <w:r w:rsidRPr="00431A5F">
        <w:rPr>
          <w:rFonts w:ascii="Times New Roman" w:hAnsi="Times New Roman"/>
          <w:bCs/>
          <w:sz w:val="22"/>
          <w:szCs w:val="22"/>
        </w:rPr>
        <w:t xml:space="preserve"> customers and potential customers </w:t>
      </w:r>
      <w:r w:rsidR="0021118C" w:rsidRPr="00431A5F">
        <w:rPr>
          <w:rFonts w:ascii="Times New Roman" w:hAnsi="Times New Roman"/>
          <w:bCs/>
          <w:sz w:val="22"/>
          <w:szCs w:val="22"/>
        </w:rPr>
        <w:t xml:space="preserve">who may be facing financial difficulties </w:t>
      </w:r>
      <w:r w:rsidR="008360BA" w:rsidRPr="00431A5F">
        <w:rPr>
          <w:rFonts w:ascii="Times New Roman" w:hAnsi="Times New Roman"/>
          <w:bCs/>
          <w:sz w:val="22"/>
          <w:szCs w:val="22"/>
        </w:rPr>
        <w:t>find</w:t>
      </w:r>
      <w:r w:rsidR="0021118C" w:rsidRPr="00431A5F">
        <w:rPr>
          <w:rFonts w:ascii="Times New Roman" w:hAnsi="Times New Roman"/>
          <w:bCs/>
          <w:sz w:val="22"/>
          <w:szCs w:val="22"/>
        </w:rPr>
        <w:t xml:space="preserve"> key information</w:t>
      </w:r>
      <w:r w:rsidR="008360BA" w:rsidRPr="00431A5F">
        <w:rPr>
          <w:rFonts w:ascii="Times New Roman" w:hAnsi="Times New Roman"/>
          <w:bCs/>
          <w:sz w:val="22"/>
          <w:szCs w:val="22"/>
        </w:rPr>
        <w:t xml:space="preserve"> with minimal effort,</w:t>
      </w:r>
      <w:r w:rsidR="0021118C" w:rsidRPr="00431A5F">
        <w:rPr>
          <w:rFonts w:ascii="Times New Roman" w:hAnsi="Times New Roman"/>
          <w:bCs/>
          <w:sz w:val="22"/>
          <w:szCs w:val="22"/>
        </w:rPr>
        <w:t xml:space="preserve"> about what support is available to them </w:t>
      </w:r>
      <w:r w:rsidR="008360BA" w:rsidRPr="00431A5F">
        <w:rPr>
          <w:rFonts w:ascii="Times New Roman" w:hAnsi="Times New Roman"/>
          <w:bCs/>
          <w:sz w:val="22"/>
          <w:szCs w:val="22"/>
        </w:rPr>
        <w:t xml:space="preserve">from a CSP </w:t>
      </w:r>
      <w:r w:rsidR="0021118C" w:rsidRPr="00431A5F">
        <w:rPr>
          <w:rFonts w:ascii="Times New Roman" w:hAnsi="Times New Roman"/>
          <w:bCs/>
          <w:sz w:val="22"/>
          <w:szCs w:val="22"/>
        </w:rPr>
        <w:t xml:space="preserve">and whether they are likely to </w:t>
      </w:r>
      <w:r w:rsidR="001F0AF3" w:rsidRPr="00431A5F">
        <w:rPr>
          <w:rFonts w:ascii="Times New Roman" w:hAnsi="Times New Roman"/>
          <w:bCs/>
          <w:sz w:val="22"/>
          <w:szCs w:val="22"/>
        </w:rPr>
        <w:t xml:space="preserve">be </w:t>
      </w:r>
      <w:r w:rsidR="0021118C" w:rsidRPr="00431A5F">
        <w:rPr>
          <w:rFonts w:ascii="Times New Roman" w:hAnsi="Times New Roman"/>
          <w:bCs/>
          <w:sz w:val="22"/>
          <w:szCs w:val="22"/>
        </w:rPr>
        <w:t>eligible for that support.</w:t>
      </w:r>
    </w:p>
    <w:p w14:paraId="51FC632B" w14:textId="14939A65" w:rsidR="0021118C" w:rsidRPr="00431A5F" w:rsidRDefault="0021118C" w:rsidP="00B55DB9">
      <w:pPr>
        <w:rPr>
          <w:rFonts w:ascii="Times New Roman" w:hAnsi="Times New Roman"/>
          <w:bCs/>
          <w:sz w:val="22"/>
          <w:szCs w:val="22"/>
        </w:rPr>
      </w:pPr>
      <w:r w:rsidRPr="00431A5F">
        <w:rPr>
          <w:rFonts w:ascii="Times New Roman" w:hAnsi="Times New Roman"/>
          <w:bCs/>
          <w:sz w:val="22"/>
          <w:szCs w:val="22"/>
        </w:rPr>
        <w:t>Paragraph (a) sets a</w:t>
      </w:r>
      <w:r w:rsidR="00E31310" w:rsidRPr="00431A5F">
        <w:rPr>
          <w:rFonts w:ascii="Times New Roman" w:hAnsi="Times New Roman"/>
          <w:bCs/>
          <w:sz w:val="22"/>
          <w:szCs w:val="22"/>
        </w:rPr>
        <w:t xml:space="preserve"> </w:t>
      </w:r>
      <w:proofErr w:type="gramStart"/>
      <w:r w:rsidR="00E31310" w:rsidRPr="00431A5F">
        <w:rPr>
          <w:rFonts w:ascii="Times New Roman" w:hAnsi="Times New Roman"/>
          <w:bCs/>
          <w:sz w:val="22"/>
          <w:szCs w:val="22"/>
        </w:rPr>
        <w:t>500</w:t>
      </w:r>
      <w:r w:rsidRPr="00431A5F">
        <w:rPr>
          <w:rFonts w:ascii="Times New Roman" w:hAnsi="Times New Roman"/>
          <w:bCs/>
          <w:sz w:val="22"/>
          <w:szCs w:val="22"/>
        </w:rPr>
        <w:t xml:space="preserve"> word</w:t>
      </w:r>
      <w:proofErr w:type="gramEnd"/>
      <w:r w:rsidRPr="00431A5F">
        <w:rPr>
          <w:rFonts w:ascii="Times New Roman" w:hAnsi="Times New Roman"/>
          <w:bCs/>
          <w:sz w:val="22"/>
          <w:szCs w:val="22"/>
        </w:rPr>
        <w:t xml:space="preserve"> limit and requires that the font be in a style that is clear and easy to read</w:t>
      </w:r>
      <w:r w:rsidR="001F0AF3" w:rsidRPr="00431A5F">
        <w:rPr>
          <w:rFonts w:ascii="Times New Roman" w:hAnsi="Times New Roman"/>
          <w:bCs/>
          <w:sz w:val="22"/>
          <w:szCs w:val="22"/>
        </w:rPr>
        <w:t>. This is</w:t>
      </w:r>
      <w:r w:rsidRPr="00431A5F">
        <w:rPr>
          <w:rFonts w:ascii="Times New Roman" w:hAnsi="Times New Roman"/>
          <w:bCs/>
          <w:sz w:val="22"/>
          <w:szCs w:val="22"/>
        </w:rPr>
        <w:t xml:space="preserve"> to facilitate </w:t>
      </w:r>
      <w:r w:rsidR="001F0AF3" w:rsidRPr="00431A5F">
        <w:rPr>
          <w:rFonts w:ascii="Times New Roman" w:hAnsi="Times New Roman"/>
          <w:bCs/>
          <w:sz w:val="22"/>
          <w:szCs w:val="22"/>
        </w:rPr>
        <w:t>a customer’s</w:t>
      </w:r>
      <w:r w:rsidRPr="00431A5F">
        <w:rPr>
          <w:rFonts w:ascii="Times New Roman" w:hAnsi="Times New Roman"/>
          <w:bCs/>
          <w:sz w:val="22"/>
          <w:szCs w:val="22"/>
        </w:rPr>
        <w:t xml:space="preserve"> ability to identify and understand key points </w:t>
      </w:r>
      <w:r w:rsidR="001F0AF3" w:rsidRPr="00431A5F">
        <w:rPr>
          <w:rFonts w:ascii="Times New Roman" w:hAnsi="Times New Roman"/>
          <w:bCs/>
          <w:sz w:val="22"/>
          <w:szCs w:val="22"/>
        </w:rPr>
        <w:t xml:space="preserve">so they can more easily </w:t>
      </w:r>
      <w:r w:rsidRPr="00431A5F">
        <w:rPr>
          <w:rFonts w:ascii="Times New Roman" w:hAnsi="Times New Roman"/>
          <w:bCs/>
          <w:sz w:val="22"/>
          <w:szCs w:val="22"/>
        </w:rPr>
        <w:t xml:space="preserve">recognise </w:t>
      </w:r>
      <w:r w:rsidR="008360BA" w:rsidRPr="00431A5F">
        <w:rPr>
          <w:rFonts w:ascii="Times New Roman" w:hAnsi="Times New Roman"/>
          <w:bCs/>
          <w:sz w:val="22"/>
          <w:szCs w:val="22"/>
        </w:rPr>
        <w:t>when they may be eligible for</w:t>
      </w:r>
      <w:r w:rsidRPr="00431A5F">
        <w:rPr>
          <w:rFonts w:ascii="Times New Roman" w:hAnsi="Times New Roman"/>
          <w:bCs/>
          <w:sz w:val="22"/>
          <w:szCs w:val="22"/>
        </w:rPr>
        <w:t xml:space="preserve"> payment assistance </w:t>
      </w:r>
      <w:r w:rsidR="008360BA" w:rsidRPr="00431A5F">
        <w:rPr>
          <w:rFonts w:ascii="Times New Roman" w:hAnsi="Times New Roman"/>
          <w:bCs/>
          <w:sz w:val="22"/>
          <w:szCs w:val="22"/>
        </w:rPr>
        <w:t>and what options are available to them</w:t>
      </w:r>
      <w:r w:rsidRPr="00431A5F">
        <w:rPr>
          <w:rFonts w:ascii="Times New Roman" w:hAnsi="Times New Roman"/>
          <w:bCs/>
          <w:sz w:val="22"/>
          <w:szCs w:val="22"/>
        </w:rPr>
        <w:t>.</w:t>
      </w:r>
    </w:p>
    <w:p w14:paraId="34A3E2C0" w14:textId="0AA61DA9" w:rsidR="0021118C" w:rsidRPr="00431A5F" w:rsidRDefault="0021118C" w:rsidP="00B55DB9">
      <w:pPr>
        <w:rPr>
          <w:rFonts w:ascii="Times New Roman" w:hAnsi="Times New Roman"/>
          <w:bCs/>
          <w:sz w:val="22"/>
          <w:szCs w:val="22"/>
        </w:rPr>
      </w:pPr>
      <w:r w:rsidRPr="00431A5F">
        <w:rPr>
          <w:rFonts w:ascii="Times New Roman" w:hAnsi="Times New Roman"/>
          <w:bCs/>
          <w:sz w:val="22"/>
          <w:szCs w:val="22"/>
        </w:rPr>
        <w:t>Paragraphs (b) – (d) set out the minimum information required including that customers have a right to apply for long-</w:t>
      </w:r>
      <w:r w:rsidR="009E7EB3" w:rsidRPr="00431A5F">
        <w:rPr>
          <w:rFonts w:ascii="Times New Roman" w:hAnsi="Times New Roman"/>
          <w:bCs/>
          <w:sz w:val="22"/>
          <w:szCs w:val="22"/>
        </w:rPr>
        <w:t>term</w:t>
      </w:r>
      <w:r w:rsidRPr="00431A5F">
        <w:rPr>
          <w:rFonts w:ascii="Times New Roman" w:hAnsi="Times New Roman"/>
          <w:bCs/>
          <w:sz w:val="22"/>
          <w:szCs w:val="22"/>
        </w:rPr>
        <w:t xml:space="preserve"> or </w:t>
      </w:r>
      <w:r w:rsidR="00D377E2" w:rsidRPr="00431A5F">
        <w:rPr>
          <w:rFonts w:ascii="Times New Roman" w:hAnsi="Times New Roman"/>
          <w:bCs/>
          <w:sz w:val="22"/>
          <w:szCs w:val="22"/>
        </w:rPr>
        <w:t>short-term</w:t>
      </w:r>
      <w:r w:rsidRPr="00431A5F">
        <w:rPr>
          <w:rFonts w:ascii="Times New Roman" w:hAnsi="Times New Roman"/>
          <w:bCs/>
          <w:sz w:val="22"/>
          <w:szCs w:val="22"/>
        </w:rPr>
        <w:t xml:space="preserve"> assistance free of charge, how financial hardship is </w:t>
      </w:r>
      <w:r w:rsidR="008360BA" w:rsidRPr="00431A5F">
        <w:rPr>
          <w:rFonts w:ascii="Times New Roman" w:hAnsi="Times New Roman"/>
          <w:bCs/>
          <w:sz w:val="22"/>
          <w:szCs w:val="22"/>
        </w:rPr>
        <w:t>defined</w:t>
      </w:r>
      <w:r w:rsidRPr="00431A5F">
        <w:rPr>
          <w:rFonts w:ascii="Times New Roman" w:hAnsi="Times New Roman"/>
          <w:bCs/>
          <w:sz w:val="22"/>
          <w:szCs w:val="22"/>
        </w:rPr>
        <w:t xml:space="preserve">, how to apply, what options for assistance the </w:t>
      </w:r>
      <w:r w:rsidR="0030416D">
        <w:rPr>
          <w:rFonts w:ascii="Times New Roman" w:hAnsi="Times New Roman"/>
          <w:bCs/>
          <w:sz w:val="22"/>
          <w:szCs w:val="22"/>
        </w:rPr>
        <w:t>CSP</w:t>
      </w:r>
      <w:r w:rsidRPr="00431A5F">
        <w:rPr>
          <w:rFonts w:ascii="Times New Roman" w:hAnsi="Times New Roman"/>
          <w:bCs/>
          <w:sz w:val="22"/>
          <w:szCs w:val="22"/>
        </w:rPr>
        <w:t xml:space="preserve"> offers, how to make a complaint and </w:t>
      </w:r>
      <w:r w:rsidR="00077171">
        <w:rPr>
          <w:rFonts w:ascii="Times New Roman" w:hAnsi="Times New Roman"/>
          <w:bCs/>
          <w:sz w:val="22"/>
          <w:szCs w:val="22"/>
        </w:rPr>
        <w:t xml:space="preserve">how to </w:t>
      </w:r>
      <w:r w:rsidRPr="00431A5F">
        <w:rPr>
          <w:rFonts w:ascii="Times New Roman" w:hAnsi="Times New Roman"/>
          <w:bCs/>
          <w:sz w:val="22"/>
          <w:szCs w:val="22"/>
        </w:rPr>
        <w:t xml:space="preserve">contact a </w:t>
      </w:r>
      <w:r w:rsidR="00D377E2" w:rsidRPr="00431A5F">
        <w:rPr>
          <w:rFonts w:ascii="Times New Roman" w:hAnsi="Times New Roman"/>
          <w:bCs/>
          <w:sz w:val="22"/>
          <w:szCs w:val="22"/>
        </w:rPr>
        <w:t>financial counselling service and the TIO.</w:t>
      </w:r>
    </w:p>
    <w:p w14:paraId="4BE9C7F0" w14:textId="7E71B7AD" w:rsidR="00D377E2" w:rsidRPr="001C26CB" w:rsidRDefault="00D377E2" w:rsidP="00B55DB9">
      <w:pPr>
        <w:rPr>
          <w:rFonts w:ascii="Times New Roman" w:hAnsi="Times New Roman"/>
          <w:sz w:val="22"/>
          <w:szCs w:val="22"/>
        </w:rPr>
      </w:pPr>
      <w:r w:rsidRPr="00431A5F">
        <w:rPr>
          <w:rFonts w:ascii="Times New Roman" w:hAnsi="Times New Roman"/>
          <w:bCs/>
          <w:sz w:val="22"/>
          <w:szCs w:val="22"/>
        </w:rPr>
        <w:t>The payment assistance policy summary is not intended to replicate the payment assistance policy in full. However, for clarity it is expected that definition of financial hardship would</w:t>
      </w:r>
      <w:r w:rsidR="002F47E9">
        <w:rPr>
          <w:rFonts w:ascii="Times New Roman" w:hAnsi="Times New Roman"/>
          <w:bCs/>
          <w:sz w:val="22"/>
          <w:szCs w:val="22"/>
        </w:rPr>
        <w:t xml:space="preserve"> accurately</w:t>
      </w:r>
      <w:r w:rsidRPr="00431A5F">
        <w:rPr>
          <w:rFonts w:ascii="Times New Roman" w:hAnsi="Times New Roman"/>
          <w:bCs/>
          <w:sz w:val="22"/>
          <w:szCs w:val="22"/>
        </w:rPr>
        <w:t xml:space="preserve"> reflect what is set out in th</w:t>
      </w:r>
      <w:r w:rsidR="00884F81">
        <w:rPr>
          <w:rFonts w:ascii="Times New Roman" w:hAnsi="Times New Roman"/>
          <w:bCs/>
          <w:sz w:val="22"/>
          <w:szCs w:val="22"/>
        </w:rPr>
        <w:t>e</w:t>
      </w:r>
      <w:r w:rsidRPr="00431A5F">
        <w:rPr>
          <w:rFonts w:ascii="Times New Roman" w:hAnsi="Times New Roman"/>
          <w:bCs/>
          <w:sz w:val="22"/>
          <w:szCs w:val="22"/>
        </w:rPr>
        <w:t xml:space="preserve"> </w:t>
      </w:r>
      <w:r w:rsidR="00884F81">
        <w:rPr>
          <w:rFonts w:ascii="Times New Roman" w:hAnsi="Times New Roman"/>
          <w:bCs/>
          <w:sz w:val="22"/>
          <w:szCs w:val="22"/>
        </w:rPr>
        <w:t>Standard</w:t>
      </w:r>
      <w:r w:rsidRPr="00431A5F">
        <w:rPr>
          <w:rFonts w:ascii="Times New Roman" w:hAnsi="Times New Roman"/>
          <w:bCs/>
          <w:sz w:val="22"/>
          <w:szCs w:val="22"/>
        </w:rPr>
        <w:t xml:space="preserve"> and the payment assistance option</w:t>
      </w:r>
      <w:r w:rsidR="00077171">
        <w:rPr>
          <w:rFonts w:ascii="Times New Roman" w:hAnsi="Times New Roman"/>
          <w:bCs/>
          <w:sz w:val="22"/>
          <w:szCs w:val="22"/>
        </w:rPr>
        <w:t>s</w:t>
      </w:r>
      <w:r w:rsidRPr="00431A5F">
        <w:rPr>
          <w:rFonts w:ascii="Times New Roman" w:hAnsi="Times New Roman"/>
          <w:bCs/>
          <w:sz w:val="22"/>
          <w:szCs w:val="22"/>
        </w:rPr>
        <w:t xml:space="preserve"> required by the </w:t>
      </w:r>
      <w:r w:rsidR="00884F81">
        <w:rPr>
          <w:rFonts w:ascii="Times New Roman" w:hAnsi="Times New Roman"/>
          <w:bCs/>
          <w:sz w:val="22"/>
          <w:szCs w:val="22"/>
        </w:rPr>
        <w:t>Stand</w:t>
      </w:r>
      <w:r w:rsidR="00FB0FD9">
        <w:rPr>
          <w:rFonts w:ascii="Times New Roman" w:hAnsi="Times New Roman"/>
          <w:bCs/>
          <w:sz w:val="22"/>
          <w:szCs w:val="22"/>
        </w:rPr>
        <w:t>ard</w:t>
      </w:r>
      <w:r w:rsidRPr="00431A5F">
        <w:rPr>
          <w:rFonts w:ascii="Times New Roman" w:hAnsi="Times New Roman"/>
          <w:bCs/>
          <w:sz w:val="22"/>
          <w:szCs w:val="22"/>
        </w:rPr>
        <w:t xml:space="preserve"> should be included. </w:t>
      </w:r>
      <w:r w:rsidR="00E64C91" w:rsidRPr="00431A5F">
        <w:rPr>
          <w:rFonts w:ascii="Times New Roman" w:hAnsi="Times New Roman"/>
          <w:bCs/>
          <w:sz w:val="22"/>
          <w:szCs w:val="22"/>
        </w:rPr>
        <w:t>In relation to the</w:t>
      </w:r>
      <w:r w:rsidRPr="00431A5F">
        <w:rPr>
          <w:rFonts w:ascii="Times New Roman" w:hAnsi="Times New Roman"/>
          <w:bCs/>
          <w:sz w:val="22"/>
          <w:szCs w:val="22"/>
        </w:rPr>
        <w:t xml:space="preserve"> require</w:t>
      </w:r>
      <w:r w:rsidR="00E64C91" w:rsidRPr="00431A5F">
        <w:rPr>
          <w:rFonts w:ascii="Times New Roman" w:hAnsi="Times New Roman"/>
          <w:bCs/>
          <w:sz w:val="22"/>
          <w:szCs w:val="22"/>
        </w:rPr>
        <w:t>ment</w:t>
      </w:r>
      <w:r w:rsidRPr="00431A5F">
        <w:rPr>
          <w:rFonts w:ascii="Times New Roman" w:hAnsi="Times New Roman"/>
          <w:bCs/>
          <w:sz w:val="22"/>
          <w:szCs w:val="22"/>
        </w:rPr>
        <w:t xml:space="preserve"> </w:t>
      </w:r>
      <w:r w:rsidR="00E92DEF" w:rsidRPr="00431A5F">
        <w:rPr>
          <w:rFonts w:ascii="Times New Roman" w:hAnsi="Times New Roman"/>
          <w:bCs/>
          <w:sz w:val="22"/>
          <w:szCs w:val="22"/>
        </w:rPr>
        <w:t xml:space="preserve">to </w:t>
      </w:r>
      <w:r w:rsidRPr="00431A5F">
        <w:rPr>
          <w:rFonts w:ascii="Times New Roman" w:hAnsi="Times New Roman"/>
          <w:sz w:val="22"/>
          <w:szCs w:val="22"/>
        </w:rPr>
        <w:t xml:space="preserve">set out how the customer can contact both financial counselling service and the </w:t>
      </w:r>
      <w:r w:rsidR="0010693C">
        <w:rPr>
          <w:rFonts w:ascii="Times New Roman" w:hAnsi="Times New Roman"/>
          <w:sz w:val="22"/>
          <w:szCs w:val="22"/>
        </w:rPr>
        <w:t>TIO</w:t>
      </w:r>
      <w:r w:rsidRPr="00431A5F">
        <w:rPr>
          <w:rFonts w:ascii="Times New Roman" w:hAnsi="Times New Roman"/>
          <w:sz w:val="22"/>
          <w:szCs w:val="22"/>
        </w:rPr>
        <w:t>, a telephone number and website would be sufficient for the summary</w:t>
      </w:r>
      <w:r w:rsidR="00563CC0">
        <w:rPr>
          <w:rFonts w:ascii="Times New Roman" w:hAnsi="Times New Roman"/>
          <w:sz w:val="22"/>
          <w:szCs w:val="22"/>
        </w:rPr>
        <w:t xml:space="preserve"> (</w:t>
      </w:r>
      <w:proofErr w:type="gramStart"/>
      <w:r w:rsidR="00563CC0">
        <w:rPr>
          <w:rFonts w:ascii="Times New Roman" w:hAnsi="Times New Roman"/>
          <w:sz w:val="22"/>
          <w:szCs w:val="22"/>
        </w:rPr>
        <w:t>e.g.</w:t>
      </w:r>
      <w:proofErr w:type="gramEnd"/>
      <w:r w:rsidR="00563CC0">
        <w:rPr>
          <w:rFonts w:ascii="Times New Roman" w:hAnsi="Times New Roman"/>
          <w:sz w:val="22"/>
          <w:szCs w:val="22"/>
        </w:rPr>
        <w:t xml:space="preserve"> </w:t>
      </w:r>
      <w:r w:rsidRPr="00431A5F">
        <w:rPr>
          <w:rFonts w:ascii="Times New Roman" w:hAnsi="Times New Roman"/>
          <w:sz w:val="22"/>
          <w:szCs w:val="22"/>
        </w:rPr>
        <w:t xml:space="preserve">the </w:t>
      </w:r>
      <w:r w:rsidR="00F27CEA">
        <w:rPr>
          <w:rFonts w:ascii="Times New Roman" w:hAnsi="Times New Roman"/>
          <w:sz w:val="22"/>
          <w:szCs w:val="22"/>
        </w:rPr>
        <w:t>NDH</w:t>
      </w:r>
      <w:r w:rsidR="00563CC0">
        <w:rPr>
          <w:rFonts w:ascii="Times New Roman" w:hAnsi="Times New Roman"/>
          <w:sz w:val="22"/>
          <w:szCs w:val="22"/>
        </w:rPr>
        <w:t>)</w:t>
      </w:r>
      <w:r w:rsidRPr="00431A5F">
        <w:rPr>
          <w:rFonts w:ascii="Times New Roman" w:hAnsi="Times New Roman"/>
          <w:sz w:val="22"/>
          <w:szCs w:val="22"/>
        </w:rPr>
        <w:t>.</w:t>
      </w:r>
    </w:p>
    <w:p w14:paraId="2105573C" w14:textId="06EEC35F" w:rsidR="00B55DB9" w:rsidRPr="00431A5F" w:rsidRDefault="00B55DB9" w:rsidP="00B55DB9">
      <w:pPr>
        <w:rPr>
          <w:rFonts w:ascii="Times New Roman" w:hAnsi="Times New Roman"/>
          <w:b/>
          <w:sz w:val="22"/>
          <w:szCs w:val="22"/>
        </w:rPr>
      </w:pPr>
      <w:r w:rsidRPr="00431A5F">
        <w:rPr>
          <w:rFonts w:ascii="Times New Roman" w:hAnsi="Times New Roman"/>
          <w:b/>
          <w:sz w:val="22"/>
          <w:szCs w:val="22"/>
        </w:rPr>
        <w:t xml:space="preserve">Part 3 – Financial Hardship Assistance </w:t>
      </w:r>
    </w:p>
    <w:p w14:paraId="6800D5A0" w14:textId="178FE3D3" w:rsidR="00B55DB9" w:rsidRPr="00431A5F" w:rsidRDefault="00B55DB9" w:rsidP="00B55DB9">
      <w:pPr>
        <w:rPr>
          <w:rFonts w:ascii="Times New Roman" w:hAnsi="Times New Roman"/>
          <w:b/>
          <w:sz w:val="22"/>
          <w:szCs w:val="22"/>
        </w:rPr>
      </w:pPr>
      <w:r w:rsidRPr="00431A5F">
        <w:rPr>
          <w:rFonts w:ascii="Times New Roman" w:hAnsi="Times New Roman"/>
          <w:b/>
          <w:sz w:val="22"/>
          <w:szCs w:val="22"/>
        </w:rPr>
        <w:t>Section 14</w:t>
      </w:r>
      <w:r w:rsidRPr="00431A5F">
        <w:rPr>
          <w:rFonts w:ascii="Times New Roman" w:hAnsi="Times New Roman"/>
          <w:b/>
          <w:sz w:val="22"/>
          <w:szCs w:val="22"/>
        </w:rPr>
        <w:tab/>
        <w:t xml:space="preserve">Minimum requirements – identifying financial hardship </w:t>
      </w:r>
      <w:proofErr w:type="gramStart"/>
      <w:r w:rsidRPr="00431A5F">
        <w:rPr>
          <w:rFonts w:ascii="Times New Roman" w:hAnsi="Times New Roman"/>
          <w:b/>
          <w:sz w:val="22"/>
          <w:szCs w:val="22"/>
        </w:rPr>
        <w:t>customers</w:t>
      </w:r>
      <w:proofErr w:type="gramEnd"/>
    </w:p>
    <w:p w14:paraId="03103D5C" w14:textId="6BA0759C" w:rsidR="00B55DB9" w:rsidRPr="00431A5F" w:rsidRDefault="00461EBD" w:rsidP="00B55DB9">
      <w:pPr>
        <w:rPr>
          <w:rFonts w:ascii="Times New Roman" w:hAnsi="Times New Roman"/>
          <w:sz w:val="22"/>
          <w:szCs w:val="22"/>
        </w:rPr>
      </w:pPr>
      <w:r w:rsidRPr="00431A5F">
        <w:rPr>
          <w:rFonts w:ascii="Times New Roman" w:hAnsi="Times New Roman"/>
          <w:sz w:val="22"/>
          <w:szCs w:val="22"/>
        </w:rPr>
        <w:t xml:space="preserve">This section </w:t>
      </w:r>
      <w:r w:rsidR="000900D9">
        <w:rPr>
          <w:rFonts w:ascii="Times New Roman" w:hAnsi="Times New Roman"/>
          <w:sz w:val="22"/>
          <w:szCs w:val="22"/>
        </w:rPr>
        <w:t>requires</w:t>
      </w:r>
      <w:r w:rsidRPr="00431A5F">
        <w:rPr>
          <w:rFonts w:ascii="Times New Roman" w:hAnsi="Times New Roman"/>
          <w:sz w:val="22"/>
          <w:szCs w:val="22"/>
        </w:rPr>
        <w:t xml:space="preserve"> a CSP to take all reasonable steps to identify financial hardship customers as early as possible by </w:t>
      </w:r>
      <w:r w:rsidR="002A7625" w:rsidRPr="00431A5F">
        <w:rPr>
          <w:rFonts w:ascii="Times New Roman" w:hAnsi="Times New Roman"/>
          <w:sz w:val="22"/>
          <w:szCs w:val="22"/>
        </w:rPr>
        <w:t>following</w:t>
      </w:r>
      <w:r w:rsidRPr="00431A5F">
        <w:rPr>
          <w:rFonts w:ascii="Times New Roman" w:hAnsi="Times New Roman"/>
          <w:sz w:val="22"/>
          <w:szCs w:val="22"/>
        </w:rPr>
        <w:t xml:space="preserve"> the steps </w:t>
      </w:r>
      <w:r w:rsidR="00F74074">
        <w:rPr>
          <w:rFonts w:ascii="Times New Roman" w:hAnsi="Times New Roman"/>
          <w:sz w:val="22"/>
          <w:szCs w:val="22"/>
        </w:rPr>
        <w:t>in</w:t>
      </w:r>
      <w:r w:rsidR="00F74074" w:rsidRPr="00431A5F">
        <w:rPr>
          <w:rFonts w:ascii="Times New Roman" w:hAnsi="Times New Roman"/>
          <w:sz w:val="22"/>
          <w:szCs w:val="22"/>
        </w:rPr>
        <w:t xml:space="preserve"> </w:t>
      </w:r>
      <w:r w:rsidRPr="00431A5F">
        <w:rPr>
          <w:rFonts w:ascii="Times New Roman" w:hAnsi="Times New Roman"/>
          <w:sz w:val="22"/>
          <w:szCs w:val="22"/>
        </w:rPr>
        <w:t>section 15</w:t>
      </w:r>
      <w:r w:rsidR="002A7625" w:rsidRPr="00431A5F">
        <w:rPr>
          <w:rFonts w:ascii="Times New Roman" w:hAnsi="Times New Roman"/>
          <w:sz w:val="22"/>
          <w:szCs w:val="22"/>
        </w:rPr>
        <w:t xml:space="preserve"> and by making reasonable efforts to communicate with customers in writing when it becomes aware the customer has:</w:t>
      </w:r>
    </w:p>
    <w:p w14:paraId="7F1492EA" w14:textId="6BC87CD8" w:rsidR="002A7625" w:rsidRPr="00431A5F" w:rsidRDefault="002A7625" w:rsidP="00AC69D1">
      <w:pPr>
        <w:pStyle w:val="ListParagraph"/>
        <w:numPr>
          <w:ilvl w:val="0"/>
          <w:numId w:val="8"/>
        </w:numPr>
        <w:rPr>
          <w:rFonts w:ascii="Times New Roman" w:hAnsi="Times New Roman"/>
          <w:bCs/>
          <w:sz w:val="22"/>
          <w:szCs w:val="22"/>
        </w:rPr>
      </w:pPr>
      <w:r w:rsidRPr="00431A5F">
        <w:rPr>
          <w:rFonts w:ascii="Times New Roman" w:hAnsi="Times New Roman"/>
          <w:bCs/>
          <w:sz w:val="22"/>
          <w:szCs w:val="22"/>
        </w:rPr>
        <w:t xml:space="preserve">more than 2 consecutive overdue </w:t>
      </w:r>
      <w:proofErr w:type="gramStart"/>
      <w:r w:rsidRPr="00431A5F">
        <w:rPr>
          <w:rFonts w:ascii="Times New Roman" w:hAnsi="Times New Roman"/>
          <w:bCs/>
          <w:sz w:val="22"/>
          <w:szCs w:val="22"/>
        </w:rPr>
        <w:t>bills</w:t>
      </w:r>
      <w:r w:rsidR="00B47B4C" w:rsidRPr="00431A5F">
        <w:rPr>
          <w:rFonts w:ascii="Times New Roman" w:hAnsi="Times New Roman"/>
          <w:bCs/>
          <w:sz w:val="22"/>
          <w:szCs w:val="22"/>
        </w:rPr>
        <w:t>;</w:t>
      </w:r>
      <w:proofErr w:type="gramEnd"/>
    </w:p>
    <w:p w14:paraId="2C492BA6" w14:textId="7EFBF06E" w:rsidR="002A7625" w:rsidRPr="00431A5F" w:rsidRDefault="002A7625" w:rsidP="00AC69D1">
      <w:pPr>
        <w:pStyle w:val="ListParagraph"/>
        <w:numPr>
          <w:ilvl w:val="0"/>
          <w:numId w:val="8"/>
        </w:numPr>
        <w:rPr>
          <w:rFonts w:ascii="Times New Roman" w:hAnsi="Times New Roman"/>
          <w:bCs/>
          <w:sz w:val="22"/>
          <w:szCs w:val="22"/>
        </w:rPr>
      </w:pPr>
      <w:r w:rsidRPr="00431A5F">
        <w:rPr>
          <w:rFonts w:ascii="Times New Roman" w:hAnsi="Times New Roman"/>
          <w:bCs/>
          <w:sz w:val="22"/>
          <w:szCs w:val="22"/>
        </w:rPr>
        <w:t xml:space="preserve">a total of 3 overdue bills in the previous </w:t>
      </w:r>
      <w:proofErr w:type="gramStart"/>
      <w:r w:rsidR="008360BA" w:rsidRPr="00431A5F">
        <w:rPr>
          <w:rFonts w:ascii="Times New Roman" w:hAnsi="Times New Roman"/>
          <w:bCs/>
          <w:sz w:val="22"/>
          <w:szCs w:val="22"/>
        </w:rPr>
        <w:t>6</w:t>
      </w:r>
      <w:r w:rsidR="00133E79">
        <w:rPr>
          <w:rFonts w:ascii="Times New Roman" w:hAnsi="Times New Roman"/>
          <w:bCs/>
          <w:sz w:val="22"/>
          <w:szCs w:val="22"/>
        </w:rPr>
        <w:t xml:space="preserve"> </w:t>
      </w:r>
      <w:r w:rsidR="008360BA" w:rsidRPr="00431A5F">
        <w:rPr>
          <w:rFonts w:ascii="Times New Roman" w:hAnsi="Times New Roman"/>
          <w:bCs/>
          <w:sz w:val="22"/>
          <w:szCs w:val="22"/>
        </w:rPr>
        <w:t>month</w:t>
      </w:r>
      <w:proofErr w:type="gramEnd"/>
      <w:r w:rsidRPr="00431A5F">
        <w:rPr>
          <w:rFonts w:ascii="Times New Roman" w:hAnsi="Times New Roman"/>
          <w:bCs/>
          <w:sz w:val="22"/>
          <w:szCs w:val="22"/>
        </w:rPr>
        <w:t xml:space="preserve"> period</w:t>
      </w:r>
      <w:r w:rsidR="00B47B4C" w:rsidRPr="00431A5F">
        <w:rPr>
          <w:rFonts w:ascii="Times New Roman" w:hAnsi="Times New Roman"/>
          <w:bCs/>
          <w:sz w:val="22"/>
          <w:szCs w:val="22"/>
        </w:rPr>
        <w:t>;</w:t>
      </w:r>
      <w:r w:rsidR="000C0D1E" w:rsidRPr="00431A5F">
        <w:rPr>
          <w:rFonts w:ascii="Times New Roman" w:hAnsi="Times New Roman"/>
          <w:bCs/>
          <w:sz w:val="22"/>
          <w:szCs w:val="22"/>
        </w:rPr>
        <w:t xml:space="preserve"> or</w:t>
      </w:r>
    </w:p>
    <w:p w14:paraId="638130AD" w14:textId="49D69707" w:rsidR="002A7625" w:rsidRPr="00431A5F" w:rsidRDefault="002A7625" w:rsidP="00AC69D1">
      <w:pPr>
        <w:pStyle w:val="ListParagraph"/>
        <w:numPr>
          <w:ilvl w:val="0"/>
          <w:numId w:val="8"/>
        </w:numPr>
        <w:rPr>
          <w:rFonts w:ascii="Times New Roman" w:hAnsi="Times New Roman"/>
          <w:bCs/>
          <w:sz w:val="22"/>
          <w:szCs w:val="22"/>
        </w:rPr>
      </w:pPr>
      <w:r w:rsidRPr="00431A5F">
        <w:rPr>
          <w:rFonts w:ascii="Times New Roman" w:hAnsi="Times New Roman"/>
          <w:bCs/>
          <w:sz w:val="22"/>
          <w:szCs w:val="22"/>
        </w:rPr>
        <w:t>an arrears of more than $200.</w:t>
      </w:r>
    </w:p>
    <w:p w14:paraId="486CD1CB" w14:textId="0C8729D1" w:rsidR="002A7625" w:rsidRPr="00431A5F" w:rsidRDefault="002A7625" w:rsidP="002A7625">
      <w:pPr>
        <w:rPr>
          <w:rFonts w:ascii="Times New Roman" w:hAnsi="Times New Roman"/>
          <w:bCs/>
          <w:sz w:val="22"/>
          <w:szCs w:val="22"/>
        </w:rPr>
      </w:pPr>
      <w:r w:rsidRPr="00431A5F">
        <w:rPr>
          <w:rFonts w:ascii="Times New Roman" w:hAnsi="Times New Roman"/>
          <w:bCs/>
          <w:sz w:val="22"/>
          <w:szCs w:val="22"/>
        </w:rPr>
        <w:lastRenderedPageBreak/>
        <w:t xml:space="preserve">A </w:t>
      </w:r>
      <w:r w:rsidR="00133E79">
        <w:rPr>
          <w:rFonts w:ascii="Times New Roman" w:hAnsi="Times New Roman"/>
          <w:bCs/>
          <w:sz w:val="22"/>
          <w:szCs w:val="22"/>
        </w:rPr>
        <w:t>CSP</w:t>
      </w:r>
      <w:r w:rsidR="00133E79" w:rsidRPr="00431A5F">
        <w:rPr>
          <w:rFonts w:ascii="Times New Roman" w:hAnsi="Times New Roman"/>
          <w:bCs/>
          <w:sz w:val="22"/>
          <w:szCs w:val="22"/>
        </w:rPr>
        <w:t xml:space="preserve"> </w:t>
      </w:r>
      <w:r w:rsidRPr="00431A5F">
        <w:rPr>
          <w:rFonts w:ascii="Times New Roman" w:hAnsi="Times New Roman"/>
          <w:bCs/>
          <w:sz w:val="22"/>
          <w:szCs w:val="22"/>
        </w:rPr>
        <w:t>may become aware of these circumstance</w:t>
      </w:r>
      <w:r w:rsidR="00542D5A" w:rsidRPr="00431A5F">
        <w:rPr>
          <w:rFonts w:ascii="Times New Roman" w:hAnsi="Times New Roman"/>
          <w:bCs/>
          <w:sz w:val="22"/>
          <w:szCs w:val="22"/>
        </w:rPr>
        <w:t>s</w:t>
      </w:r>
      <w:r w:rsidRPr="00431A5F">
        <w:rPr>
          <w:rFonts w:ascii="Times New Roman" w:hAnsi="Times New Roman"/>
          <w:bCs/>
          <w:sz w:val="22"/>
          <w:szCs w:val="22"/>
        </w:rPr>
        <w:t xml:space="preserve"> through its own actions</w:t>
      </w:r>
      <w:r w:rsidR="00BF4666" w:rsidRPr="00431A5F">
        <w:rPr>
          <w:rFonts w:ascii="Times New Roman" w:hAnsi="Times New Roman"/>
          <w:bCs/>
          <w:sz w:val="22"/>
          <w:szCs w:val="22"/>
        </w:rPr>
        <w:t>,</w:t>
      </w:r>
      <w:r w:rsidRPr="00431A5F">
        <w:rPr>
          <w:rFonts w:ascii="Times New Roman" w:hAnsi="Times New Roman"/>
          <w:bCs/>
          <w:sz w:val="22"/>
          <w:szCs w:val="22"/>
        </w:rPr>
        <w:t xml:space="preserve"> for example through internal notifications or systems alerts</w:t>
      </w:r>
      <w:r w:rsidR="00D56E81" w:rsidRPr="00431A5F">
        <w:rPr>
          <w:rFonts w:ascii="Times New Roman" w:hAnsi="Times New Roman"/>
          <w:bCs/>
          <w:sz w:val="22"/>
          <w:szCs w:val="22"/>
        </w:rPr>
        <w:t>. Alternatively, a CSP may become aware of these circumstance</w:t>
      </w:r>
      <w:r w:rsidR="00542D5A" w:rsidRPr="00431A5F">
        <w:rPr>
          <w:rFonts w:ascii="Times New Roman" w:hAnsi="Times New Roman"/>
          <w:bCs/>
          <w:sz w:val="22"/>
          <w:szCs w:val="22"/>
        </w:rPr>
        <w:t>s</w:t>
      </w:r>
      <w:r w:rsidRPr="00431A5F">
        <w:rPr>
          <w:rFonts w:ascii="Times New Roman" w:hAnsi="Times New Roman"/>
          <w:bCs/>
          <w:sz w:val="22"/>
          <w:szCs w:val="22"/>
        </w:rPr>
        <w:t xml:space="preserve"> through </w:t>
      </w:r>
      <w:proofErr w:type="gramStart"/>
      <w:r w:rsidRPr="00431A5F">
        <w:rPr>
          <w:rFonts w:ascii="Times New Roman" w:hAnsi="Times New Roman"/>
          <w:bCs/>
          <w:sz w:val="22"/>
          <w:szCs w:val="22"/>
        </w:rPr>
        <w:t>others</w:t>
      </w:r>
      <w:proofErr w:type="gramEnd"/>
      <w:r w:rsidR="00D56E81" w:rsidRPr="00431A5F">
        <w:rPr>
          <w:rFonts w:ascii="Times New Roman" w:hAnsi="Times New Roman"/>
          <w:bCs/>
          <w:sz w:val="22"/>
          <w:szCs w:val="22"/>
        </w:rPr>
        <w:t xml:space="preserve"> actions,</w:t>
      </w:r>
      <w:r w:rsidRPr="00431A5F">
        <w:rPr>
          <w:rFonts w:ascii="Times New Roman" w:hAnsi="Times New Roman"/>
          <w:bCs/>
          <w:sz w:val="22"/>
          <w:szCs w:val="22"/>
        </w:rPr>
        <w:t xml:space="preserve"> for example</w:t>
      </w:r>
      <w:r w:rsidR="00E87438">
        <w:rPr>
          <w:rFonts w:ascii="Times New Roman" w:hAnsi="Times New Roman"/>
          <w:bCs/>
          <w:sz w:val="22"/>
          <w:szCs w:val="22"/>
        </w:rPr>
        <w:t>,</w:t>
      </w:r>
      <w:r w:rsidRPr="00431A5F">
        <w:rPr>
          <w:rFonts w:ascii="Times New Roman" w:hAnsi="Times New Roman"/>
          <w:bCs/>
          <w:sz w:val="22"/>
          <w:szCs w:val="22"/>
        </w:rPr>
        <w:t xml:space="preserve"> contact from a bank or from the customer, </w:t>
      </w:r>
      <w:r w:rsidR="00214F9D">
        <w:rPr>
          <w:rFonts w:ascii="Times New Roman" w:hAnsi="Times New Roman"/>
          <w:bCs/>
          <w:sz w:val="22"/>
          <w:szCs w:val="22"/>
        </w:rPr>
        <w:t xml:space="preserve">or from an </w:t>
      </w:r>
      <w:r w:rsidRPr="00431A5F">
        <w:rPr>
          <w:rFonts w:ascii="Times New Roman" w:hAnsi="Times New Roman"/>
          <w:bCs/>
          <w:sz w:val="22"/>
          <w:szCs w:val="22"/>
        </w:rPr>
        <w:t>authorised representative or advocate acting on behalf of the customer.</w:t>
      </w:r>
    </w:p>
    <w:p w14:paraId="433353D4" w14:textId="60D762B0" w:rsidR="00B8483F" w:rsidRPr="00431A5F" w:rsidRDefault="00B8483F" w:rsidP="00B8483F">
      <w:pPr>
        <w:rPr>
          <w:rFonts w:ascii="Times New Roman" w:hAnsi="Times New Roman"/>
          <w:b/>
          <w:bCs/>
          <w:sz w:val="22"/>
          <w:szCs w:val="22"/>
        </w:rPr>
      </w:pPr>
      <w:r w:rsidRPr="00431A5F">
        <w:rPr>
          <w:rFonts w:ascii="Times New Roman" w:hAnsi="Times New Roman"/>
          <w:b/>
          <w:sz w:val="22"/>
          <w:szCs w:val="22"/>
        </w:rPr>
        <w:t>Section 15</w:t>
      </w:r>
      <w:r w:rsidRPr="00431A5F">
        <w:rPr>
          <w:rFonts w:ascii="Times New Roman" w:hAnsi="Times New Roman"/>
          <w:b/>
          <w:sz w:val="22"/>
          <w:szCs w:val="22"/>
        </w:rPr>
        <w:tab/>
      </w:r>
      <w:r w:rsidRPr="00431A5F">
        <w:rPr>
          <w:rFonts w:ascii="Times New Roman" w:hAnsi="Times New Roman"/>
          <w:b/>
          <w:bCs/>
          <w:sz w:val="22"/>
          <w:szCs w:val="22"/>
        </w:rPr>
        <w:t xml:space="preserve">Minimum requirements - communicating with </w:t>
      </w:r>
      <w:proofErr w:type="gramStart"/>
      <w:r w:rsidRPr="00431A5F">
        <w:rPr>
          <w:rFonts w:ascii="Times New Roman" w:hAnsi="Times New Roman"/>
          <w:b/>
          <w:bCs/>
          <w:sz w:val="22"/>
          <w:szCs w:val="22"/>
        </w:rPr>
        <w:t>customers</w:t>
      </w:r>
      <w:proofErr w:type="gramEnd"/>
    </w:p>
    <w:p w14:paraId="2323BA51" w14:textId="0BE33749" w:rsidR="00B8483F" w:rsidRPr="00431A5F" w:rsidRDefault="00B33D3C" w:rsidP="00B8483F">
      <w:pPr>
        <w:rPr>
          <w:rFonts w:ascii="Times New Roman" w:hAnsi="Times New Roman"/>
          <w:sz w:val="22"/>
          <w:szCs w:val="22"/>
        </w:rPr>
      </w:pPr>
      <w:r w:rsidRPr="00431A5F">
        <w:rPr>
          <w:rFonts w:ascii="Times New Roman" w:hAnsi="Times New Roman"/>
          <w:sz w:val="22"/>
          <w:szCs w:val="22"/>
        </w:rPr>
        <w:t>Subsection 15(1) set</w:t>
      </w:r>
      <w:r w:rsidR="00D56E81" w:rsidRPr="00431A5F">
        <w:rPr>
          <w:rFonts w:ascii="Times New Roman" w:hAnsi="Times New Roman"/>
          <w:sz w:val="22"/>
          <w:szCs w:val="22"/>
        </w:rPr>
        <w:t>s</w:t>
      </w:r>
      <w:r w:rsidRPr="00431A5F">
        <w:rPr>
          <w:rFonts w:ascii="Times New Roman" w:hAnsi="Times New Roman"/>
          <w:sz w:val="22"/>
          <w:szCs w:val="22"/>
        </w:rPr>
        <w:t xml:space="preserve"> out how a CSP must communicate with </w:t>
      </w:r>
      <w:r w:rsidR="00D56E81" w:rsidRPr="00431A5F">
        <w:rPr>
          <w:rFonts w:ascii="Times New Roman" w:hAnsi="Times New Roman"/>
          <w:sz w:val="22"/>
          <w:szCs w:val="22"/>
        </w:rPr>
        <w:t xml:space="preserve">financial hardship </w:t>
      </w:r>
      <w:r w:rsidRPr="00431A5F">
        <w:rPr>
          <w:rFonts w:ascii="Times New Roman" w:hAnsi="Times New Roman"/>
          <w:sz w:val="22"/>
          <w:szCs w:val="22"/>
        </w:rPr>
        <w:t>customers</w:t>
      </w:r>
      <w:r w:rsidR="006351DD" w:rsidRPr="00431A5F">
        <w:rPr>
          <w:rFonts w:ascii="Times New Roman" w:hAnsi="Times New Roman"/>
          <w:sz w:val="22"/>
          <w:szCs w:val="22"/>
        </w:rPr>
        <w:t xml:space="preserve"> </w:t>
      </w:r>
      <w:r w:rsidRPr="00431A5F">
        <w:rPr>
          <w:rFonts w:ascii="Times New Roman" w:hAnsi="Times New Roman"/>
          <w:sz w:val="22"/>
          <w:szCs w:val="22"/>
        </w:rPr>
        <w:t xml:space="preserve">and provide them </w:t>
      </w:r>
      <w:r w:rsidR="008360BA" w:rsidRPr="00431A5F">
        <w:rPr>
          <w:rFonts w:ascii="Times New Roman" w:hAnsi="Times New Roman"/>
          <w:sz w:val="22"/>
          <w:szCs w:val="22"/>
        </w:rPr>
        <w:t xml:space="preserve">with </w:t>
      </w:r>
      <w:r w:rsidRPr="00431A5F">
        <w:rPr>
          <w:rFonts w:ascii="Times New Roman" w:hAnsi="Times New Roman"/>
          <w:sz w:val="22"/>
          <w:szCs w:val="22"/>
        </w:rPr>
        <w:t xml:space="preserve">advice and assistance about </w:t>
      </w:r>
      <w:r w:rsidR="008360BA" w:rsidRPr="00431A5F">
        <w:rPr>
          <w:rFonts w:ascii="Times New Roman" w:hAnsi="Times New Roman"/>
          <w:sz w:val="22"/>
          <w:szCs w:val="22"/>
        </w:rPr>
        <w:t>the</w:t>
      </w:r>
      <w:r w:rsidRPr="00431A5F">
        <w:rPr>
          <w:rFonts w:ascii="Times New Roman" w:hAnsi="Times New Roman"/>
          <w:sz w:val="22"/>
          <w:szCs w:val="22"/>
        </w:rPr>
        <w:t xml:space="preserve"> CSP’s payment assistance policy</w:t>
      </w:r>
      <w:r w:rsidR="006351DD" w:rsidRPr="00431A5F">
        <w:rPr>
          <w:rFonts w:ascii="Times New Roman" w:hAnsi="Times New Roman"/>
          <w:sz w:val="22"/>
          <w:szCs w:val="22"/>
        </w:rPr>
        <w:t>. It includes requirements to discuss options for assistance</w:t>
      </w:r>
      <w:r w:rsidR="008360BA" w:rsidRPr="00431A5F">
        <w:rPr>
          <w:rFonts w:ascii="Times New Roman" w:hAnsi="Times New Roman"/>
          <w:sz w:val="22"/>
          <w:szCs w:val="22"/>
        </w:rPr>
        <w:t>, processes and tim</w:t>
      </w:r>
      <w:r w:rsidR="005A7233" w:rsidRPr="00431A5F">
        <w:rPr>
          <w:rFonts w:ascii="Times New Roman" w:hAnsi="Times New Roman"/>
          <w:sz w:val="22"/>
          <w:szCs w:val="22"/>
        </w:rPr>
        <w:t>eframes</w:t>
      </w:r>
      <w:r w:rsidR="006351DD" w:rsidRPr="00431A5F">
        <w:rPr>
          <w:rFonts w:ascii="Times New Roman" w:hAnsi="Times New Roman"/>
          <w:sz w:val="22"/>
          <w:szCs w:val="22"/>
        </w:rPr>
        <w:t xml:space="preserve"> and </w:t>
      </w:r>
      <w:r w:rsidR="00D56E81" w:rsidRPr="00431A5F">
        <w:rPr>
          <w:rFonts w:ascii="Times New Roman" w:hAnsi="Times New Roman"/>
          <w:sz w:val="22"/>
          <w:szCs w:val="22"/>
        </w:rPr>
        <w:t xml:space="preserve">to </w:t>
      </w:r>
      <w:r w:rsidR="006351DD" w:rsidRPr="00431A5F">
        <w:rPr>
          <w:rFonts w:ascii="Times New Roman" w:hAnsi="Times New Roman"/>
          <w:sz w:val="22"/>
          <w:szCs w:val="22"/>
        </w:rPr>
        <w:t xml:space="preserve">provide advice on how to make an application and </w:t>
      </w:r>
      <w:r w:rsidR="001D7311">
        <w:rPr>
          <w:rFonts w:ascii="Times New Roman" w:hAnsi="Times New Roman"/>
          <w:sz w:val="22"/>
          <w:szCs w:val="22"/>
        </w:rPr>
        <w:t>provide</w:t>
      </w:r>
      <w:r w:rsidR="00077F44" w:rsidRPr="00431A5F">
        <w:rPr>
          <w:rFonts w:ascii="Times New Roman" w:hAnsi="Times New Roman"/>
          <w:sz w:val="22"/>
          <w:szCs w:val="22"/>
        </w:rPr>
        <w:t xml:space="preserve"> </w:t>
      </w:r>
      <w:r w:rsidR="006351DD" w:rsidRPr="00431A5F">
        <w:rPr>
          <w:rFonts w:ascii="Times New Roman" w:hAnsi="Times New Roman"/>
          <w:sz w:val="22"/>
          <w:szCs w:val="22"/>
        </w:rPr>
        <w:t xml:space="preserve">contact details </w:t>
      </w:r>
      <w:r w:rsidR="00D56E81" w:rsidRPr="00431A5F">
        <w:rPr>
          <w:rFonts w:ascii="Times New Roman" w:hAnsi="Times New Roman"/>
          <w:sz w:val="22"/>
          <w:szCs w:val="22"/>
        </w:rPr>
        <w:t xml:space="preserve">for </w:t>
      </w:r>
      <w:r w:rsidR="00BB38C4" w:rsidRPr="00431A5F">
        <w:rPr>
          <w:rFonts w:ascii="Times New Roman" w:hAnsi="Times New Roman"/>
          <w:sz w:val="22"/>
          <w:szCs w:val="22"/>
        </w:rPr>
        <w:t xml:space="preserve">a customer </w:t>
      </w:r>
      <w:r w:rsidR="00D56E81" w:rsidRPr="00431A5F">
        <w:rPr>
          <w:rFonts w:ascii="Times New Roman" w:hAnsi="Times New Roman"/>
          <w:sz w:val="22"/>
          <w:szCs w:val="22"/>
        </w:rPr>
        <w:t>to reach a</w:t>
      </w:r>
      <w:r w:rsidR="00BB38C4" w:rsidRPr="00431A5F">
        <w:rPr>
          <w:rFonts w:ascii="Times New Roman" w:hAnsi="Times New Roman"/>
          <w:sz w:val="22"/>
          <w:szCs w:val="22"/>
        </w:rPr>
        <w:t xml:space="preserve"> person</w:t>
      </w:r>
      <w:r w:rsidR="00077F44" w:rsidRPr="00431A5F">
        <w:rPr>
          <w:rFonts w:ascii="Times New Roman" w:hAnsi="Times New Roman"/>
          <w:sz w:val="22"/>
          <w:szCs w:val="22"/>
        </w:rPr>
        <w:t xml:space="preserve"> authorised to deal with financial hardship matters. </w:t>
      </w:r>
      <w:r w:rsidR="006351DD" w:rsidRPr="00431A5F">
        <w:rPr>
          <w:rFonts w:ascii="Times New Roman" w:hAnsi="Times New Roman"/>
          <w:sz w:val="22"/>
          <w:szCs w:val="22"/>
        </w:rPr>
        <w:t xml:space="preserve"> </w:t>
      </w:r>
      <w:r w:rsidR="00BB38C4" w:rsidRPr="00431A5F">
        <w:rPr>
          <w:rFonts w:ascii="Times New Roman" w:hAnsi="Times New Roman"/>
          <w:sz w:val="22"/>
          <w:szCs w:val="22"/>
        </w:rPr>
        <w:t>T</w:t>
      </w:r>
      <w:r w:rsidR="00077F44" w:rsidRPr="00431A5F">
        <w:rPr>
          <w:rFonts w:ascii="Times New Roman" w:hAnsi="Times New Roman"/>
          <w:sz w:val="22"/>
          <w:szCs w:val="22"/>
        </w:rPr>
        <w:t xml:space="preserve">his </w:t>
      </w:r>
      <w:r w:rsidR="00BB38C4" w:rsidRPr="00431A5F">
        <w:rPr>
          <w:rFonts w:ascii="Times New Roman" w:hAnsi="Times New Roman"/>
          <w:sz w:val="22"/>
          <w:szCs w:val="22"/>
        </w:rPr>
        <w:t>can be general contact information (</w:t>
      </w:r>
      <w:proofErr w:type="gramStart"/>
      <w:r w:rsidR="00BB38C4" w:rsidRPr="00431A5F">
        <w:rPr>
          <w:rFonts w:ascii="Times New Roman" w:hAnsi="Times New Roman"/>
          <w:sz w:val="22"/>
          <w:szCs w:val="22"/>
        </w:rPr>
        <w:t>i.e.</w:t>
      </w:r>
      <w:proofErr w:type="gramEnd"/>
      <w:r w:rsidR="00BB38C4" w:rsidRPr="00431A5F">
        <w:rPr>
          <w:rFonts w:ascii="Times New Roman" w:hAnsi="Times New Roman"/>
          <w:sz w:val="22"/>
          <w:szCs w:val="22"/>
        </w:rPr>
        <w:t xml:space="preserve"> it </w:t>
      </w:r>
      <w:r w:rsidR="00D56E81" w:rsidRPr="00431A5F">
        <w:rPr>
          <w:rFonts w:ascii="Times New Roman" w:hAnsi="Times New Roman"/>
          <w:sz w:val="22"/>
          <w:szCs w:val="22"/>
        </w:rPr>
        <w:t xml:space="preserve">is </w:t>
      </w:r>
      <w:r w:rsidR="00BB38C4" w:rsidRPr="00431A5F">
        <w:rPr>
          <w:rFonts w:ascii="Times New Roman" w:hAnsi="Times New Roman"/>
          <w:sz w:val="22"/>
          <w:szCs w:val="22"/>
        </w:rPr>
        <w:t xml:space="preserve">not </w:t>
      </w:r>
      <w:r w:rsidR="00D56E81" w:rsidRPr="00431A5F">
        <w:rPr>
          <w:rFonts w:ascii="Times New Roman" w:hAnsi="Times New Roman"/>
          <w:sz w:val="22"/>
          <w:szCs w:val="22"/>
        </w:rPr>
        <w:t xml:space="preserve">required </w:t>
      </w:r>
      <w:r w:rsidR="00BB38C4" w:rsidRPr="00431A5F">
        <w:rPr>
          <w:rFonts w:ascii="Times New Roman" w:hAnsi="Times New Roman"/>
          <w:sz w:val="22"/>
          <w:szCs w:val="22"/>
        </w:rPr>
        <w:t xml:space="preserve">to be </w:t>
      </w:r>
      <w:r w:rsidR="00D56E81" w:rsidRPr="00431A5F">
        <w:rPr>
          <w:rFonts w:ascii="Times New Roman" w:hAnsi="Times New Roman"/>
          <w:sz w:val="22"/>
          <w:szCs w:val="22"/>
        </w:rPr>
        <w:t xml:space="preserve">the contact details of an </w:t>
      </w:r>
      <w:r w:rsidR="00BB38C4" w:rsidRPr="00431A5F">
        <w:rPr>
          <w:rFonts w:ascii="Times New Roman" w:hAnsi="Times New Roman"/>
          <w:sz w:val="22"/>
          <w:szCs w:val="22"/>
        </w:rPr>
        <w:t xml:space="preserve">individual) but </w:t>
      </w:r>
      <w:r w:rsidR="00D56E81" w:rsidRPr="00431A5F">
        <w:rPr>
          <w:rFonts w:ascii="Times New Roman" w:hAnsi="Times New Roman"/>
          <w:sz w:val="22"/>
          <w:szCs w:val="22"/>
        </w:rPr>
        <w:t>it must allow for the customer to have</w:t>
      </w:r>
      <w:r w:rsidR="00077F44" w:rsidRPr="00431A5F">
        <w:rPr>
          <w:rFonts w:ascii="Times New Roman" w:hAnsi="Times New Roman"/>
          <w:sz w:val="22"/>
          <w:szCs w:val="22"/>
        </w:rPr>
        <w:t xml:space="preserve"> real time/real person contact </w:t>
      </w:r>
      <w:r w:rsidR="000D3261" w:rsidRPr="00431A5F">
        <w:rPr>
          <w:rFonts w:ascii="Times New Roman" w:hAnsi="Times New Roman"/>
          <w:sz w:val="22"/>
          <w:szCs w:val="22"/>
        </w:rPr>
        <w:t>with a person that is not a bot</w:t>
      </w:r>
      <w:r w:rsidR="00F73505">
        <w:rPr>
          <w:rFonts w:ascii="Times New Roman" w:hAnsi="Times New Roman"/>
          <w:sz w:val="22"/>
          <w:szCs w:val="22"/>
        </w:rPr>
        <w:t>,</w:t>
      </w:r>
      <w:r w:rsidR="000D3261" w:rsidRPr="00431A5F">
        <w:rPr>
          <w:rFonts w:ascii="Times New Roman" w:hAnsi="Times New Roman"/>
          <w:sz w:val="22"/>
          <w:szCs w:val="22"/>
        </w:rPr>
        <w:t xml:space="preserve"> or AI</w:t>
      </w:r>
      <w:r w:rsidR="00F73505">
        <w:rPr>
          <w:rFonts w:ascii="Times New Roman" w:hAnsi="Times New Roman"/>
          <w:sz w:val="22"/>
          <w:szCs w:val="22"/>
        </w:rPr>
        <w:t>,</w:t>
      </w:r>
      <w:r w:rsidR="000D3261" w:rsidRPr="00431A5F">
        <w:rPr>
          <w:rFonts w:ascii="Times New Roman" w:hAnsi="Times New Roman"/>
          <w:sz w:val="22"/>
          <w:szCs w:val="22"/>
        </w:rPr>
        <w:t xml:space="preserve"> and </w:t>
      </w:r>
      <w:r w:rsidR="00A3703A">
        <w:rPr>
          <w:rFonts w:ascii="Times New Roman" w:hAnsi="Times New Roman"/>
          <w:sz w:val="22"/>
          <w:szCs w:val="22"/>
        </w:rPr>
        <w:t xml:space="preserve">who </w:t>
      </w:r>
      <w:r w:rsidR="000D3261" w:rsidRPr="00431A5F">
        <w:rPr>
          <w:rFonts w:ascii="Times New Roman" w:hAnsi="Times New Roman"/>
          <w:sz w:val="22"/>
          <w:szCs w:val="22"/>
        </w:rPr>
        <w:t>is authorised to make decisions relating to payment assistance applications.</w:t>
      </w:r>
    </w:p>
    <w:p w14:paraId="535A6DF6" w14:textId="3C14D99D" w:rsidR="00BB38C4" w:rsidRPr="00431A5F" w:rsidRDefault="00F47598" w:rsidP="00B8483F">
      <w:pPr>
        <w:rPr>
          <w:rFonts w:ascii="Times New Roman" w:hAnsi="Times New Roman"/>
          <w:sz w:val="22"/>
          <w:szCs w:val="22"/>
        </w:rPr>
      </w:pPr>
      <w:r w:rsidRPr="00431A5F">
        <w:rPr>
          <w:rFonts w:ascii="Times New Roman" w:hAnsi="Times New Roman"/>
          <w:sz w:val="22"/>
          <w:szCs w:val="22"/>
        </w:rPr>
        <w:t>A</w:t>
      </w:r>
      <w:r w:rsidR="00BB38C4" w:rsidRPr="00431A5F">
        <w:rPr>
          <w:rFonts w:ascii="Times New Roman" w:hAnsi="Times New Roman"/>
          <w:sz w:val="22"/>
          <w:szCs w:val="22"/>
        </w:rPr>
        <w:t xml:space="preserve"> CSP is also required to assist customers with accessibility needs including customers with a disability, domestic and family violence victim survivors, customers from cultural</w:t>
      </w:r>
      <w:r w:rsidR="003638CD" w:rsidRPr="00431A5F">
        <w:rPr>
          <w:rFonts w:ascii="Times New Roman" w:hAnsi="Times New Roman"/>
          <w:sz w:val="22"/>
          <w:szCs w:val="22"/>
        </w:rPr>
        <w:t>ly</w:t>
      </w:r>
      <w:r w:rsidR="00BB38C4" w:rsidRPr="00431A5F">
        <w:rPr>
          <w:rFonts w:ascii="Times New Roman" w:hAnsi="Times New Roman"/>
          <w:sz w:val="22"/>
          <w:szCs w:val="22"/>
        </w:rPr>
        <w:t xml:space="preserve"> or linguistically diverse backgrounds</w:t>
      </w:r>
      <w:r w:rsidR="00277CF4">
        <w:rPr>
          <w:rFonts w:ascii="Times New Roman" w:hAnsi="Times New Roman"/>
          <w:sz w:val="22"/>
          <w:szCs w:val="22"/>
        </w:rPr>
        <w:t>,</w:t>
      </w:r>
      <w:r w:rsidR="00BB38C4" w:rsidRPr="00431A5F">
        <w:rPr>
          <w:rFonts w:ascii="Times New Roman" w:hAnsi="Times New Roman"/>
          <w:sz w:val="22"/>
          <w:szCs w:val="22"/>
        </w:rPr>
        <w:t xml:space="preserve"> including First Nations customers or with other special needs</w:t>
      </w:r>
      <w:r w:rsidR="00277CF4">
        <w:rPr>
          <w:rFonts w:ascii="Times New Roman" w:hAnsi="Times New Roman"/>
          <w:sz w:val="22"/>
          <w:szCs w:val="22"/>
        </w:rPr>
        <w:t>,</w:t>
      </w:r>
      <w:r w:rsidR="00BB38C4" w:rsidRPr="00431A5F">
        <w:rPr>
          <w:rFonts w:ascii="Times New Roman" w:hAnsi="Times New Roman"/>
          <w:sz w:val="22"/>
          <w:szCs w:val="22"/>
        </w:rPr>
        <w:t xml:space="preserve"> in making an application.</w:t>
      </w:r>
      <w:r w:rsidRPr="00431A5F">
        <w:rPr>
          <w:rFonts w:ascii="Times New Roman" w:hAnsi="Times New Roman"/>
          <w:sz w:val="22"/>
          <w:szCs w:val="22"/>
        </w:rPr>
        <w:t xml:space="preserve"> Staff should offer to assist financial hardship customers in making an application and not wait to be asked.</w:t>
      </w:r>
    </w:p>
    <w:p w14:paraId="5868C175" w14:textId="4E2851AD" w:rsidR="00B33D3C" w:rsidRPr="00431A5F" w:rsidRDefault="00B33D3C" w:rsidP="00B8483F">
      <w:pPr>
        <w:rPr>
          <w:rFonts w:ascii="Times New Roman" w:hAnsi="Times New Roman"/>
          <w:sz w:val="22"/>
          <w:szCs w:val="22"/>
        </w:rPr>
      </w:pPr>
      <w:r w:rsidRPr="00431A5F">
        <w:rPr>
          <w:rFonts w:ascii="Times New Roman" w:hAnsi="Times New Roman"/>
          <w:sz w:val="22"/>
          <w:szCs w:val="22"/>
        </w:rPr>
        <w:t>Subsection 15(2) set</w:t>
      </w:r>
      <w:r w:rsidR="008052B0" w:rsidRPr="00431A5F">
        <w:rPr>
          <w:rFonts w:ascii="Times New Roman" w:hAnsi="Times New Roman"/>
          <w:sz w:val="22"/>
          <w:szCs w:val="22"/>
        </w:rPr>
        <w:t>s</w:t>
      </w:r>
      <w:r w:rsidRPr="00431A5F">
        <w:rPr>
          <w:rFonts w:ascii="Times New Roman" w:hAnsi="Times New Roman"/>
          <w:sz w:val="22"/>
          <w:szCs w:val="22"/>
        </w:rPr>
        <w:t xml:space="preserve"> out circumstances that may indicate that a customer is a financial hardship customer for the purposes of subsection 15(1)</w:t>
      </w:r>
      <w:r w:rsidR="005D39FF" w:rsidRPr="00431A5F">
        <w:rPr>
          <w:rFonts w:ascii="Times New Roman" w:hAnsi="Times New Roman"/>
          <w:sz w:val="22"/>
          <w:szCs w:val="22"/>
        </w:rPr>
        <w:t xml:space="preserve"> and is intended to assist a CSP to determine when a customer may be in financial hardship. This </w:t>
      </w:r>
      <w:r w:rsidRPr="00431A5F">
        <w:rPr>
          <w:rFonts w:ascii="Times New Roman" w:hAnsi="Times New Roman"/>
          <w:sz w:val="22"/>
          <w:szCs w:val="22"/>
        </w:rPr>
        <w:t>is a non-</w:t>
      </w:r>
      <w:r w:rsidR="00F47598" w:rsidRPr="00431A5F">
        <w:rPr>
          <w:rFonts w:ascii="Times New Roman" w:hAnsi="Times New Roman"/>
          <w:sz w:val="22"/>
          <w:szCs w:val="22"/>
        </w:rPr>
        <w:t>exhaustive</w:t>
      </w:r>
      <w:r w:rsidRPr="00431A5F">
        <w:rPr>
          <w:rFonts w:ascii="Times New Roman" w:hAnsi="Times New Roman"/>
          <w:sz w:val="22"/>
          <w:szCs w:val="22"/>
        </w:rPr>
        <w:t xml:space="preserve"> list of circumstances </w:t>
      </w:r>
      <w:r w:rsidR="006351DD" w:rsidRPr="00431A5F">
        <w:rPr>
          <w:rFonts w:ascii="Times New Roman" w:hAnsi="Times New Roman"/>
          <w:sz w:val="22"/>
          <w:szCs w:val="22"/>
        </w:rPr>
        <w:t xml:space="preserve">which should be considered in accordance with section 14 when considering whether they have taken all reasonable steps to identify financial hardship customers as early as possible. </w:t>
      </w:r>
      <w:r w:rsidRPr="00431A5F">
        <w:rPr>
          <w:rFonts w:ascii="Times New Roman" w:hAnsi="Times New Roman"/>
          <w:sz w:val="22"/>
          <w:szCs w:val="22"/>
        </w:rPr>
        <w:t xml:space="preserve"> </w:t>
      </w:r>
      <w:r w:rsidR="005D39FF" w:rsidRPr="00431A5F">
        <w:rPr>
          <w:rFonts w:ascii="Times New Roman" w:hAnsi="Times New Roman"/>
          <w:sz w:val="22"/>
          <w:szCs w:val="22"/>
        </w:rPr>
        <w:t>While c</w:t>
      </w:r>
      <w:r w:rsidR="00F47598" w:rsidRPr="00431A5F">
        <w:rPr>
          <w:rFonts w:ascii="Times New Roman" w:hAnsi="Times New Roman"/>
          <w:sz w:val="22"/>
          <w:szCs w:val="22"/>
        </w:rPr>
        <w:t xml:space="preserve">ustomers in these circumstances may not always be in financial </w:t>
      </w:r>
      <w:r w:rsidR="005D39FF" w:rsidRPr="00431A5F">
        <w:rPr>
          <w:rFonts w:ascii="Times New Roman" w:hAnsi="Times New Roman"/>
          <w:sz w:val="22"/>
          <w:szCs w:val="22"/>
        </w:rPr>
        <w:t xml:space="preserve">difficulty, </w:t>
      </w:r>
      <w:r w:rsidR="00F47598" w:rsidRPr="00431A5F">
        <w:rPr>
          <w:rFonts w:ascii="Times New Roman" w:hAnsi="Times New Roman"/>
          <w:sz w:val="22"/>
          <w:szCs w:val="22"/>
        </w:rPr>
        <w:t>they</w:t>
      </w:r>
      <w:r w:rsidR="005D39FF" w:rsidRPr="00431A5F">
        <w:rPr>
          <w:rFonts w:ascii="Times New Roman" w:hAnsi="Times New Roman"/>
          <w:sz w:val="22"/>
          <w:szCs w:val="22"/>
        </w:rPr>
        <w:t xml:space="preserve"> often indicate</w:t>
      </w:r>
      <w:r w:rsidR="00F47598" w:rsidRPr="00431A5F">
        <w:rPr>
          <w:rFonts w:ascii="Times New Roman" w:hAnsi="Times New Roman"/>
          <w:sz w:val="22"/>
          <w:szCs w:val="22"/>
        </w:rPr>
        <w:t xml:space="preserve"> </w:t>
      </w:r>
      <w:r w:rsidR="005D39FF" w:rsidRPr="00431A5F">
        <w:rPr>
          <w:rFonts w:ascii="Times New Roman" w:hAnsi="Times New Roman"/>
          <w:sz w:val="22"/>
          <w:szCs w:val="22"/>
        </w:rPr>
        <w:t xml:space="preserve">a customer </w:t>
      </w:r>
      <w:proofErr w:type="gramStart"/>
      <w:r w:rsidR="005D39FF" w:rsidRPr="00431A5F">
        <w:rPr>
          <w:rFonts w:ascii="Times New Roman" w:hAnsi="Times New Roman"/>
          <w:sz w:val="22"/>
          <w:szCs w:val="22"/>
        </w:rPr>
        <w:t>is in need of</w:t>
      </w:r>
      <w:proofErr w:type="gramEnd"/>
      <w:r w:rsidR="005D39FF" w:rsidRPr="00431A5F">
        <w:rPr>
          <w:rFonts w:ascii="Times New Roman" w:hAnsi="Times New Roman"/>
          <w:sz w:val="22"/>
          <w:szCs w:val="22"/>
        </w:rPr>
        <w:t xml:space="preserve"> financial hardship assistance. </w:t>
      </w:r>
    </w:p>
    <w:p w14:paraId="47BF12E8" w14:textId="67172AC5" w:rsidR="00BB38C4" w:rsidRPr="00431A5F" w:rsidRDefault="00BB38C4" w:rsidP="00B8483F">
      <w:pPr>
        <w:rPr>
          <w:rFonts w:ascii="Times New Roman" w:hAnsi="Times New Roman"/>
          <w:sz w:val="22"/>
          <w:szCs w:val="22"/>
        </w:rPr>
      </w:pPr>
      <w:r w:rsidRPr="00431A5F">
        <w:rPr>
          <w:rFonts w:ascii="Times New Roman" w:hAnsi="Times New Roman"/>
          <w:sz w:val="22"/>
          <w:szCs w:val="22"/>
        </w:rPr>
        <w:t xml:space="preserve">Subsection 15(3) provides that a CSP must give a copy of the payment assistance policy and application form (if any) </w:t>
      </w:r>
      <w:r w:rsidR="00697F72" w:rsidRPr="00431A5F">
        <w:rPr>
          <w:rFonts w:ascii="Times New Roman" w:hAnsi="Times New Roman"/>
          <w:sz w:val="22"/>
          <w:szCs w:val="22"/>
        </w:rPr>
        <w:t>as soon as practicable after the customer advise</w:t>
      </w:r>
      <w:r w:rsidR="00EF02E3" w:rsidRPr="00431A5F">
        <w:rPr>
          <w:rFonts w:ascii="Times New Roman" w:hAnsi="Times New Roman"/>
          <w:sz w:val="22"/>
          <w:szCs w:val="22"/>
        </w:rPr>
        <w:t>s a</w:t>
      </w:r>
      <w:r w:rsidR="00697F72" w:rsidRPr="00431A5F">
        <w:rPr>
          <w:rFonts w:ascii="Times New Roman" w:hAnsi="Times New Roman"/>
          <w:sz w:val="22"/>
          <w:szCs w:val="22"/>
        </w:rPr>
        <w:t xml:space="preserve"> CSP they wish to apply for assistance</w:t>
      </w:r>
      <w:r w:rsidR="00EF02E3" w:rsidRPr="00431A5F">
        <w:rPr>
          <w:rFonts w:ascii="Times New Roman" w:hAnsi="Times New Roman"/>
          <w:sz w:val="22"/>
          <w:szCs w:val="22"/>
        </w:rPr>
        <w:t>,</w:t>
      </w:r>
      <w:r w:rsidR="00A62FD9" w:rsidRPr="00431A5F">
        <w:rPr>
          <w:rFonts w:ascii="Times New Roman" w:hAnsi="Times New Roman"/>
          <w:sz w:val="22"/>
          <w:szCs w:val="22"/>
        </w:rPr>
        <w:t xml:space="preserve"> </w:t>
      </w:r>
      <w:r w:rsidR="00697F72" w:rsidRPr="00431A5F">
        <w:rPr>
          <w:rFonts w:ascii="Times New Roman" w:hAnsi="Times New Roman"/>
          <w:sz w:val="22"/>
          <w:szCs w:val="22"/>
        </w:rPr>
        <w:t xml:space="preserve">upon request by a customer or if the customer has accepted an offer from </w:t>
      </w:r>
      <w:r w:rsidR="00EF02E3" w:rsidRPr="00431A5F">
        <w:rPr>
          <w:rFonts w:ascii="Times New Roman" w:hAnsi="Times New Roman"/>
          <w:sz w:val="22"/>
          <w:szCs w:val="22"/>
        </w:rPr>
        <w:t xml:space="preserve">a </w:t>
      </w:r>
      <w:r w:rsidR="00697F72" w:rsidRPr="00431A5F">
        <w:rPr>
          <w:rFonts w:ascii="Times New Roman" w:hAnsi="Times New Roman"/>
          <w:sz w:val="22"/>
          <w:szCs w:val="22"/>
        </w:rPr>
        <w:t xml:space="preserve">CSP for the payment assistance </w:t>
      </w:r>
      <w:r w:rsidR="00EA5A26">
        <w:rPr>
          <w:rFonts w:ascii="Times New Roman" w:hAnsi="Times New Roman"/>
          <w:sz w:val="22"/>
          <w:szCs w:val="22"/>
        </w:rPr>
        <w:t xml:space="preserve">policy </w:t>
      </w:r>
      <w:r w:rsidR="00697F72" w:rsidRPr="00431A5F">
        <w:rPr>
          <w:rFonts w:ascii="Times New Roman" w:hAnsi="Times New Roman"/>
          <w:sz w:val="22"/>
          <w:szCs w:val="22"/>
        </w:rPr>
        <w:t>or application form.</w:t>
      </w:r>
      <w:r w:rsidR="005D39FF" w:rsidRPr="00431A5F">
        <w:rPr>
          <w:rFonts w:ascii="Times New Roman" w:hAnsi="Times New Roman"/>
          <w:sz w:val="22"/>
          <w:szCs w:val="22"/>
        </w:rPr>
        <w:t xml:space="preserve"> This must be provided by a method that meets the consumer</w:t>
      </w:r>
      <w:r w:rsidR="00EB7E50">
        <w:rPr>
          <w:rFonts w:ascii="Times New Roman" w:hAnsi="Times New Roman"/>
          <w:sz w:val="22"/>
          <w:szCs w:val="22"/>
        </w:rPr>
        <w:t>’</w:t>
      </w:r>
      <w:r w:rsidR="005D39FF" w:rsidRPr="00431A5F">
        <w:rPr>
          <w:rFonts w:ascii="Times New Roman" w:hAnsi="Times New Roman"/>
          <w:sz w:val="22"/>
          <w:szCs w:val="22"/>
        </w:rPr>
        <w:t>s needs. For example</w:t>
      </w:r>
      <w:r w:rsidR="00401200" w:rsidRPr="00431A5F">
        <w:rPr>
          <w:rFonts w:ascii="Times New Roman" w:hAnsi="Times New Roman"/>
          <w:sz w:val="22"/>
          <w:szCs w:val="22"/>
        </w:rPr>
        <w:t>,</w:t>
      </w:r>
      <w:r w:rsidR="005D39FF" w:rsidRPr="00431A5F">
        <w:rPr>
          <w:rFonts w:ascii="Times New Roman" w:hAnsi="Times New Roman"/>
          <w:sz w:val="22"/>
          <w:szCs w:val="22"/>
        </w:rPr>
        <w:t xml:space="preserve"> a consumer may prefer a </w:t>
      </w:r>
      <w:r w:rsidR="00401200" w:rsidRPr="00431A5F">
        <w:rPr>
          <w:rFonts w:ascii="Times New Roman" w:hAnsi="Times New Roman"/>
          <w:sz w:val="22"/>
          <w:szCs w:val="22"/>
        </w:rPr>
        <w:t>hyperlink</w:t>
      </w:r>
      <w:r w:rsidR="005D39FF" w:rsidRPr="00431A5F">
        <w:rPr>
          <w:rFonts w:ascii="Times New Roman" w:hAnsi="Times New Roman"/>
          <w:sz w:val="22"/>
          <w:szCs w:val="22"/>
        </w:rPr>
        <w:t xml:space="preserve"> or copy</w:t>
      </w:r>
      <w:r w:rsidR="00401200" w:rsidRPr="00431A5F">
        <w:rPr>
          <w:rFonts w:ascii="Times New Roman" w:hAnsi="Times New Roman"/>
          <w:sz w:val="22"/>
          <w:szCs w:val="22"/>
        </w:rPr>
        <w:t xml:space="preserve"> via post or email</w:t>
      </w:r>
      <w:r w:rsidR="005D39FF" w:rsidRPr="00431A5F">
        <w:rPr>
          <w:rFonts w:ascii="Times New Roman" w:hAnsi="Times New Roman"/>
          <w:sz w:val="22"/>
          <w:szCs w:val="22"/>
        </w:rPr>
        <w:t xml:space="preserve"> and a CSP must provide it in that form.</w:t>
      </w:r>
    </w:p>
    <w:p w14:paraId="1495E7A0" w14:textId="69D42665" w:rsidR="00697F72" w:rsidRPr="00431A5F" w:rsidRDefault="00697F72" w:rsidP="00B8483F">
      <w:pPr>
        <w:rPr>
          <w:rFonts w:ascii="Times New Roman" w:hAnsi="Times New Roman"/>
          <w:sz w:val="22"/>
          <w:szCs w:val="22"/>
        </w:rPr>
      </w:pPr>
      <w:r w:rsidRPr="00431A5F">
        <w:rPr>
          <w:rFonts w:ascii="Times New Roman" w:hAnsi="Times New Roman"/>
          <w:sz w:val="22"/>
          <w:szCs w:val="22"/>
        </w:rPr>
        <w:t xml:space="preserve">Subsection 15(4) sets out minimum requirements on what information about its payment assistance policy and options for assistance must be included in any written bills or reminder notices </w:t>
      </w:r>
      <w:r w:rsidR="00883C73" w:rsidRPr="00431A5F">
        <w:rPr>
          <w:rFonts w:ascii="Times New Roman" w:hAnsi="Times New Roman"/>
          <w:sz w:val="22"/>
          <w:szCs w:val="22"/>
        </w:rPr>
        <w:t xml:space="preserve">sent to customers by a CSP under section 14. This is intended to assist </w:t>
      </w:r>
      <w:r w:rsidR="008052B0" w:rsidRPr="00431A5F">
        <w:rPr>
          <w:rFonts w:ascii="Times New Roman" w:hAnsi="Times New Roman"/>
          <w:sz w:val="22"/>
          <w:szCs w:val="22"/>
        </w:rPr>
        <w:t xml:space="preserve">customers </w:t>
      </w:r>
      <w:r w:rsidR="000A2E23">
        <w:rPr>
          <w:rFonts w:ascii="Times New Roman" w:hAnsi="Times New Roman"/>
          <w:sz w:val="22"/>
          <w:szCs w:val="22"/>
        </w:rPr>
        <w:t>who</w:t>
      </w:r>
      <w:r w:rsidR="00883C73" w:rsidRPr="00431A5F">
        <w:rPr>
          <w:rFonts w:ascii="Times New Roman" w:hAnsi="Times New Roman"/>
          <w:sz w:val="22"/>
          <w:szCs w:val="22"/>
        </w:rPr>
        <w:t xml:space="preserve"> are more likely to be experiencing financial hardship</w:t>
      </w:r>
      <w:r w:rsidR="00B62A57">
        <w:rPr>
          <w:rFonts w:ascii="Times New Roman" w:hAnsi="Times New Roman"/>
          <w:sz w:val="22"/>
          <w:szCs w:val="22"/>
        </w:rPr>
        <w:t>,</w:t>
      </w:r>
      <w:r w:rsidR="008052B0" w:rsidRPr="00431A5F">
        <w:rPr>
          <w:rFonts w:ascii="Times New Roman" w:hAnsi="Times New Roman"/>
          <w:sz w:val="22"/>
          <w:szCs w:val="22"/>
        </w:rPr>
        <w:t xml:space="preserve"> so they</w:t>
      </w:r>
      <w:r w:rsidR="00883C73" w:rsidRPr="00431A5F">
        <w:rPr>
          <w:rFonts w:ascii="Times New Roman" w:hAnsi="Times New Roman"/>
          <w:sz w:val="22"/>
          <w:szCs w:val="22"/>
        </w:rPr>
        <w:t xml:space="preserve"> have access to pertinent information at the time when the</w:t>
      </w:r>
      <w:r w:rsidR="007A6F8F" w:rsidRPr="00431A5F">
        <w:rPr>
          <w:rFonts w:ascii="Times New Roman" w:hAnsi="Times New Roman"/>
          <w:sz w:val="22"/>
          <w:szCs w:val="22"/>
        </w:rPr>
        <w:t>y</w:t>
      </w:r>
      <w:r w:rsidR="00883C73" w:rsidRPr="00431A5F">
        <w:rPr>
          <w:rFonts w:ascii="Times New Roman" w:hAnsi="Times New Roman"/>
          <w:sz w:val="22"/>
          <w:szCs w:val="22"/>
        </w:rPr>
        <w:t xml:space="preserve"> are most likely to need to consider whether it is relevan</w:t>
      </w:r>
      <w:r w:rsidR="008052B0" w:rsidRPr="00431A5F">
        <w:rPr>
          <w:rFonts w:ascii="Times New Roman" w:hAnsi="Times New Roman"/>
          <w:sz w:val="22"/>
          <w:szCs w:val="22"/>
        </w:rPr>
        <w:t>t</w:t>
      </w:r>
      <w:r w:rsidR="00883C73" w:rsidRPr="00431A5F">
        <w:rPr>
          <w:rFonts w:ascii="Times New Roman" w:hAnsi="Times New Roman"/>
          <w:sz w:val="22"/>
          <w:szCs w:val="22"/>
        </w:rPr>
        <w:t xml:space="preserve"> to their current situation.</w:t>
      </w:r>
    </w:p>
    <w:p w14:paraId="4AF668F8" w14:textId="05CCD4FE" w:rsidR="00883C73" w:rsidRPr="00431A5F" w:rsidRDefault="00883C73" w:rsidP="00B8483F">
      <w:pPr>
        <w:rPr>
          <w:rFonts w:ascii="Times New Roman" w:hAnsi="Times New Roman"/>
          <w:sz w:val="22"/>
          <w:szCs w:val="22"/>
        </w:rPr>
      </w:pPr>
      <w:r w:rsidRPr="00431A5F">
        <w:rPr>
          <w:rFonts w:ascii="Times New Roman" w:hAnsi="Times New Roman"/>
          <w:sz w:val="22"/>
          <w:szCs w:val="22"/>
        </w:rPr>
        <w:t>Subsection 15(5) places a requirement on a CSP to use the customer’s preferred method of contact for receiving written communications to increase the likelihood that the information will be seen and read by the customer.</w:t>
      </w:r>
    </w:p>
    <w:p w14:paraId="540BF1A7" w14:textId="47527F6A" w:rsidR="00B8483F" w:rsidRPr="00431A5F" w:rsidRDefault="00B8483F" w:rsidP="00E65D4B">
      <w:pPr>
        <w:keepNext/>
        <w:rPr>
          <w:rFonts w:ascii="Times New Roman" w:hAnsi="Times New Roman"/>
          <w:b/>
          <w:bCs/>
          <w:sz w:val="22"/>
          <w:szCs w:val="22"/>
        </w:rPr>
      </w:pPr>
      <w:r w:rsidRPr="00431A5F">
        <w:rPr>
          <w:rFonts w:ascii="Times New Roman" w:hAnsi="Times New Roman"/>
          <w:b/>
          <w:sz w:val="22"/>
          <w:szCs w:val="22"/>
        </w:rPr>
        <w:t>Section 16</w:t>
      </w:r>
      <w:r w:rsidRPr="00431A5F">
        <w:rPr>
          <w:rFonts w:ascii="Times New Roman" w:hAnsi="Times New Roman"/>
          <w:b/>
          <w:sz w:val="22"/>
          <w:szCs w:val="22"/>
        </w:rPr>
        <w:tab/>
      </w:r>
      <w:r w:rsidRPr="00431A5F">
        <w:rPr>
          <w:rFonts w:ascii="Times New Roman" w:hAnsi="Times New Roman"/>
          <w:b/>
          <w:bCs/>
          <w:sz w:val="22"/>
          <w:szCs w:val="22"/>
        </w:rPr>
        <w:t xml:space="preserve">Minimum requirements - assessing </w:t>
      </w:r>
      <w:proofErr w:type="gramStart"/>
      <w:r w:rsidRPr="00431A5F">
        <w:rPr>
          <w:rFonts w:ascii="Times New Roman" w:hAnsi="Times New Roman"/>
          <w:b/>
          <w:bCs/>
          <w:sz w:val="22"/>
          <w:szCs w:val="22"/>
        </w:rPr>
        <w:t>eligibility</w:t>
      </w:r>
      <w:proofErr w:type="gramEnd"/>
    </w:p>
    <w:p w14:paraId="694264AA" w14:textId="29C15AD2" w:rsidR="00B8483F" w:rsidRPr="00431A5F" w:rsidRDefault="008052B0" w:rsidP="00B8483F">
      <w:pPr>
        <w:rPr>
          <w:rFonts w:ascii="Times New Roman" w:hAnsi="Times New Roman"/>
          <w:sz w:val="22"/>
          <w:szCs w:val="22"/>
        </w:rPr>
      </w:pPr>
      <w:r w:rsidRPr="00431A5F">
        <w:rPr>
          <w:rFonts w:ascii="Times New Roman" w:hAnsi="Times New Roman"/>
          <w:sz w:val="22"/>
          <w:szCs w:val="22"/>
        </w:rPr>
        <w:t xml:space="preserve">This section sets out the minimum requirements for assessing eligibility </w:t>
      </w:r>
      <w:r w:rsidR="00491E19" w:rsidRPr="00431A5F">
        <w:rPr>
          <w:rFonts w:ascii="Times New Roman" w:hAnsi="Times New Roman"/>
          <w:sz w:val="22"/>
          <w:szCs w:val="22"/>
        </w:rPr>
        <w:t>for financial hardship assistance including when a customer is eligible</w:t>
      </w:r>
      <w:r w:rsidR="00EB2C60">
        <w:rPr>
          <w:rFonts w:ascii="Times New Roman" w:hAnsi="Times New Roman"/>
          <w:sz w:val="22"/>
          <w:szCs w:val="22"/>
        </w:rPr>
        <w:t>,</w:t>
      </w:r>
      <w:r w:rsidR="00357566" w:rsidRPr="00431A5F">
        <w:rPr>
          <w:rFonts w:ascii="Times New Roman" w:hAnsi="Times New Roman"/>
          <w:sz w:val="22"/>
          <w:szCs w:val="22"/>
        </w:rPr>
        <w:t xml:space="preserve"> and</w:t>
      </w:r>
      <w:r w:rsidR="00491E19" w:rsidRPr="00431A5F">
        <w:rPr>
          <w:rFonts w:ascii="Times New Roman" w:hAnsi="Times New Roman"/>
          <w:sz w:val="22"/>
          <w:szCs w:val="22"/>
        </w:rPr>
        <w:t xml:space="preserve"> under what circumstances and conditions a CSP can request information from a customer in support of an application for assistance. </w:t>
      </w:r>
    </w:p>
    <w:p w14:paraId="6A5512AA" w14:textId="1FB1EE27" w:rsidR="00491E19" w:rsidRPr="00431A5F" w:rsidRDefault="00491E19" w:rsidP="00B8483F">
      <w:pPr>
        <w:rPr>
          <w:rFonts w:ascii="Times New Roman" w:hAnsi="Times New Roman"/>
          <w:sz w:val="22"/>
          <w:szCs w:val="22"/>
        </w:rPr>
      </w:pPr>
      <w:r w:rsidRPr="00431A5F">
        <w:rPr>
          <w:rFonts w:ascii="Times New Roman" w:hAnsi="Times New Roman"/>
          <w:sz w:val="22"/>
          <w:szCs w:val="22"/>
        </w:rPr>
        <w:lastRenderedPageBreak/>
        <w:t>Subsection 16(1) provides that any customer that meets the definition of financial hardship and wishes to access the options for assistance made available by the CSP is eligible. This is intended to assist customers facing financial hardship remain connected to appropriate services for their needs.</w:t>
      </w:r>
    </w:p>
    <w:p w14:paraId="080A18F3" w14:textId="1E13B65E" w:rsidR="00491E19" w:rsidRPr="00431A5F" w:rsidRDefault="00491E19" w:rsidP="00B8483F">
      <w:pPr>
        <w:rPr>
          <w:rFonts w:ascii="Times New Roman" w:hAnsi="Times New Roman"/>
          <w:sz w:val="22"/>
          <w:szCs w:val="22"/>
        </w:rPr>
      </w:pPr>
      <w:r w:rsidRPr="00431A5F">
        <w:rPr>
          <w:rFonts w:ascii="Times New Roman" w:hAnsi="Times New Roman"/>
          <w:sz w:val="22"/>
          <w:szCs w:val="22"/>
        </w:rPr>
        <w:t xml:space="preserve">Subsection 16(2) prevents a CSP from requesting a customer to provide </w:t>
      </w:r>
      <w:r w:rsidR="003272ED" w:rsidRPr="00431A5F">
        <w:rPr>
          <w:rFonts w:ascii="Times New Roman" w:hAnsi="Times New Roman"/>
          <w:sz w:val="22"/>
          <w:szCs w:val="22"/>
        </w:rPr>
        <w:t xml:space="preserve">information or proof of the financial hardship if the application is for short-term assistance or the customer appears to be a victim survivor of domestic or family violence. </w:t>
      </w:r>
      <w:r w:rsidR="00D419FB" w:rsidRPr="00431A5F">
        <w:rPr>
          <w:rFonts w:ascii="Times New Roman" w:hAnsi="Times New Roman"/>
          <w:sz w:val="22"/>
          <w:szCs w:val="22"/>
        </w:rPr>
        <w:t>It also prevents a provider from seeking information that is irrelevant to the application or unreasonably onerous</w:t>
      </w:r>
      <w:r w:rsidR="00EA5A26">
        <w:rPr>
          <w:rFonts w:ascii="Times New Roman" w:hAnsi="Times New Roman"/>
          <w:sz w:val="22"/>
          <w:szCs w:val="22"/>
        </w:rPr>
        <w:t xml:space="preserve"> (f</w:t>
      </w:r>
      <w:r w:rsidR="00D419FB" w:rsidRPr="00431A5F">
        <w:rPr>
          <w:rFonts w:ascii="Times New Roman" w:hAnsi="Times New Roman"/>
          <w:sz w:val="22"/>
          <w:szCs w:val="22"/>
        </w:rPr>
        <w:t>or example, past bank statements which may have no relevance to current ability to pay</w:t>
      </w:r>
      <w:r w:rsidR="00EA5A26">
        <w:rPr>
          <w:rFonts w:ascii="Times New Roman" w:hAnsi="Times New Roman"/>
          <w:sz w:val="22"/>
          <w:szCs w:val="22"/>
        </w:rPr>
        <w:t>)</w:t>
      </w:r>
      <w:r w:rsidR="00D419FB" w:rsidRPr="00431A5F">
        <w:rPr>
          <w:rFonts w:ascii="Times New Roman" w:hAnsi="Times New Roman"/>
          <w:sz w:val="22"/>
          <w:szCs w:val="22"/>
        </w:rPr>
        <w:t>.</w:t>
      </w:r>
      <w:r w:rsidR="008C17F3" w:rsidRPr="00431A5F">
        <w:rPr>
          <w:rFonts w:ascii="Times New Roman" w:hAnsi="Times New Roman"/>
          <w:sz w:val="22"/>
          <w:szCs w:val="22"/>
        </w:rPr>
        <w:t xml:space="preserve"> </w:t>
      </w:r>
    </w:p>
    <w:p w14:paraId="734959F5" w14:textId="5934E144" w:rsidR="008C17F3" w:rsidRPr="00431A5F" w:rsidRDefault="008C17F3" w:rsidP="00B8483F">
      <w:pPr>
        <w:rPr>
          <w:rFonts w:ascii="Times New Roman" w:hAnsi="Times New Roman"/>
          <w:sz w:val="22"/>
          <w:szCs w:val="22"/>
        </w:rPr>
      </w:pPr>
      <w:r w:rsidRPr="00431A5F">
        <w:rPr>
          <w:rFonts w:ascii="Times New Roman" w:hAnsi="Times New Roman"/>
          <w:sz w:val="22"/>
          <w:szCs w:val="22"/>
        </w:rPr>
        <w:t>Subsection 16(3) allows a CSP to request a customer to provide information to show that they are in financial hardship if the arrangement will be for long-term assistance and one or more of the following circumstances applies:</w:t>
      </w:r>
    </w:p>
    <w:p w14:paraId="5CB2D913" w14:textId="0EF527A8" w:rsidR="008C17F3" w:rsidRPr="00431A5F" w:rsidRDefault="008C17F3" w:rsidP="00AC69D1">
      <w:pPr>
        <w:pStyle w:val="ListParagraph"/>
        <w:numPr>
          <w:ilvl w:val="0"/>
          <w:numId w:val="9"/>
        </w:numPr>
        <w:rPr>
          <w:rFonts w:ascii="Times New Roman" w:hAnsi="Times New Roman"/>
          <w:sz w:val="22"/>
          <w:szCs w:val="22"/>
        </w:rPr>
      </w:pPr>
      <w:r w:rsidRPr="00431A5F">
        <w:rPr>
          <w:rFonts w:ascii="Times New Roman" w:hAnsi="Times New Roman"/>
          <w:sz w:val="22"/>
          <w:szCs w:val="22"/>
        </w:rPr>
        <w:t xml:space="preserve">the amount to be repaid is over </w:t>
      </w:r>
      <w:proofErr w:type="gramStart"/>
      <w:r w:rsidRPr="00431A5F">
        <w:rPr>
          <w:rFonts w:ascii="Times New Roman" w:hAnsi="Times New Roman"/>
          <w:sz w:val="22"/>
          <w:szCs w:val="22"/>
        </w:rPr>
        <w:t>$1000</w:t>
      </w:r>
      <w:r w:rsidR="00811881" w:rsidRPr="00431A5F">
        <w:rPr>
          <w:rFonts w:ascii="Times New Roman" w:hAnsi="Times New Roman"/>
          <w:sz w:val="22"/>
          <w:szCs w:val="22"/>
        </w:rPr>
        <w:t>;</w:t>
      </w:r>
      <w:proofErr w:type="gramEnd"/>
    </w:p>
    <w:p w14:paraId="17B2D0D0" w14:textId="521ABFD1" w:rsidR="008C17F3" w:rsidRPr="00431A5F" w:rsidRDefault="008C17F3" w:rsidP="00AC69D1">
      <w:pPr>
        <w:pStyle w:val="ListParagraph"/>
        <w:numPr>
          <w:ilvl w:val="0"/>
          <w:numId w:val="9"/>
        </w:numPr>
        <w:rPr>
          <w:rFonts w:ascii="Times New Roman" w:hAnsi="Times New Roman"/>
          <w:sz w:val="22"/>
          <w:szCs w:val="22"/>
        </w:rPr>
      </w:pPr>
      <w:r w:rsidRPr="00431A5F">
        <w:rPr>
          <w:rFonts w:ascii="Times New Roman" w:hAnsi="Times New Roman"/>
          <w:sz w:val="22"/>
          <w:szCs w:val="22"/>
        </w:rPr>
        <w:t>the customer has been a customer of the CSP for less than 2 months</w:t>
      </w:r>
      <w:r w:rsidR="00811881" w:rsidRPr="00431A5F">
        <w:rPr>
          <w:rFonts w:ascii="Times New Roman" w:hAnsi="Times New Roman"/>
          <w:sz w:val="22"/>
          <w:szCs w:val="22"/>
        </w:rPr>
        <w:t>; or</w:t>
      </w:r>
    </w:p>
    <w:p w14:paraId="78C4FD72" w14:textId="783B4621" w:rsidR="008C17F3" w:rsidRPr="00431A5F" w:rsidRDefault="008C17F3" w:rsidP="00AC69D1">
      <w:pPr>
        <w:pStyle w:val="ListParagraph"/>
        <w:numPr>
          <w:ilvl w:val="0"/>
          <w:numId w:val="9"/>
        </w:numPr>
        <w:rPr>
          <w:rFonts w:ascii="Times New Roman" w:hAnsi="Times New Roman"/>
          <w:sz w:val="22"/>
          <w:szCs w:val="22"/>
        </w:rPr>
      </w:pPr>
      <w:r w:rsidRPr="00431A5F">
        <w:rPr>
          <w:rFonts w:ascii="Times New Roman" w:hAnsi="Times New Roman"/>
          <w:sz w:val="22"/>
          <w:szCs w:val="22"/>
        </w:rPr>
        <w:t>the CSP reasonably believes there is a possibility of fraud.</w:t>
      </w:r>
    </w:p>
    <w:p w14:paraId="14FE50E8" w14:textId="1696A862" w:rsidR="008C17F3" w:rsidRPr="00431A5F" w:rsidRDefault="00672321" w:rsidP="008C17F3">
      <w:pPr>
        <w:rPr>
          <w:rFonts w:ascii="Times New Roman" w:hAnsi="Times New Roman"/>
          <w:sz w:val="22"/>
          <w:szCs w:val="22"/>
        </w:rPr>
      </w:pPr>
      <w:r w:rsidRPr="00431A5F">
        <w:rPr>
          <w:rFonts w:ascii="Times New Roman" w:hAnsi="Times New Roman"/>
          <w:sz w:val="22"/>
          <w:szCs w:val="22"/>
        </w:rPr>
        <w:t>While a CSP is allowed to request information from a customer to demonstrate financial hardship in the above circumstances it is not required</w:t>
      </w:r>
      <w:r w:rsidR="00964937">
        <w:rPr>
          <w:rFonts w:ascii="Times New Roman" w:hAnsi="Times New Roman"/>
          <w:sz w:val="22"/>
          <w:szCs w:val="22"/>
        </w:rPr>
        <w:t xml:space="preserve"> to do so</w:t>
      </w:r>
      <w:r w:rsidRPr="00431A5F">
        <w:rPr>
          <w:rFonts w:ascii="Times New Roman" w:hAnsi="Times New Roman"/>
          <w:sz w:val="22"/>
          <w:szCs w:val="22"/>
        </w:rPr>
        <w:t xml:space="preserve">. </w:t>
      </w:r>
      <w:r w:rsidR="00A62FD9" w:rsidRPr="00431A5F">
        <w:rPr>
          <w:rFonts w:ascii="Times New Roman" w:hAnsi="Times New Roman"/>
          <w:sz w:val="22"/>
          <w:szCs w:val="22"/>
        </w:rPr>
        <w:t xml:space="preserve">A </w:t>
      </w:r>
      <w:r w:rsidR="00620A45" w:rsidRPr="00431A5F">
        <w:rPr>
          <w:rFonts w:ascii="Times New Roman" w:hAnsi="Times New Roman"/>
          <w:sz w:val="22"/>
          <w:szCs w:val="22"/>
        </w:rPr>
        <w:t xml:space="preserve">CSP </w:t>
      </w:r>
      <w:r w:rsidR="00A62FD9" w:rsidRPr="00431A5F">
        <w:rPr>
          <w:rFonts w:ascii="Times New Roman" w:hAnsi="Times New Roman"/>
          <w:sz w:val="22"/>
          <w:szCs w:val="22"/>
        </w:rPr>
        <w:t>should</w:t>
      </w:r>
      <w:r w:rsidRPr="00431A5F">
        <w:rPr>
          <w:rFonts w:ascii="Times New Roman" w:hAnsi="Times New Roman"/>
          <w:sz w:val="22"/>
          <w:szCs w:val="22"/>
        </w:rPr>
        <w:t xml:space="preserve"> exercise discretion and sensitivity in choosing whe</w:t>
      </w:r>
      <w:r w:rsidR="00A62FD9" w:rsidRPr="00431A5F">
        <w:rPr>
          <w:rFonts w:ascii="Times New Roman" w:hAnsi="Times New Roman"/>
          <w:sz w:val="22"/>
          <w:szCs w:val="22"/>
        </w:rPr>
        <w:t>n</w:t>
      </w:r>
      <w:r w:rsidRPr="00431A5F">
        <w:rPr>
          <w:rFonts w:ascii="Times New Roman" w:hAnsi="Times New Roman"/>
          <w:sz w:val="22"/>
          <w:szCs w:val="22"/>
        </w:rPr>
        <w:t xml:space="preserve"> to request evidence of financial hardship. </w:t>
      </w:r>
      <w:r w:rsidR="00620A45" w:rsidRPr="00431A5F">
        <w:rPr>
          <w:rFonts w:ascii="Times New Roman" w:hAnsi="Times New Roman"/>
          <w:sz w:val="22"/>
          <w:szCs w:val="22"/>
        </w:rPr>
        <w:t>T</w:t>
      </w:r>
      <w:r w:rsidRPr="00431A5F">
        <w:rPr>
          <w:rFonts w:ascii="Times New Roman" w:hAnsi="Times New Roman"/>
          <w:sz w:val="22"/>
          <w:szCs w:val="22"/>
        </w:rPr>
        <w:t xml:space="preserve">his </w:t>
      </w:r>
      <w:r w:rsidR="000A12B4" w:rsidRPr="00431A5F">
        <w:rPr>
          <w:rFonts w:ascii="Times New Roman" w:hAnsi="Times New Roman"/>
          <w:sz w:val="22"/>
          <w:szCs w:val="22"/>
        </w:rPr>
        <w:t xml:space="preserve">is </w:t>
      </w:r>
      <w:r w:rsidRPr="00431A5F">
        <w:rPr>
          <w:rFonts w:ascii="Times New Roman" w:hAnsi="Times New Roman"/>
          <w:sz w:val="22"/>
          <w:szCs w:val="22"/>
        </w:rPr>
        <w:t xml:space="preserve">particularly important in circumstances of vulnerability such as domestic </w:t>
      </w:r>
      <w:r w:rsidR="00A62FD9" w:rsidRPr="00431A5F">
        <w:rPr>
          <w:rFonts w:ascii="Times New Roman" w:hAnsi="Times New Roman"/>
          <w:sz w:val="22"/>
          <w:szCs w:val="22"/>
        </w:rPr>
        <w:t xml:space="preserve">or </w:t>
      </w:r>
      <w:r w:rsidRPr="00431A5F">
        <w:rPr>
          <w:rFonts w:ascii="Times New Roman" w:hAnsi="Times New Roman"/>
          <w:sz w:val="22"/>
          <w:szCs w:val="22"/>
        </w:rPr>
        <w:t>family violence where evidence of financial hardship</w:t>
      </w:r>
      <w:r w:rsidR="00A62FD9" w:rsidRPr="00431A5F">
        <w:rPr>
          <w:rFonts w:ascii="Times New Roman" w:hAnsi="Times New Roman"/>
          <w:sz w:val="22"/>
          <w:szCs w:val="22"/>
        </w:rPr>
        <w:t xml:space="preserve"> should not be sought as it</w:t>
      </w:r>
      <w:r w:rsidR="000A6896" w:rsidRPr="00431A5F">
        <w:rPr>
          <w:rFonts w:ascii="Times New Roman" w:hAnsi="Times New Roman"/>
          <w:sz w:val="22"/>
          <w:szCs w:val="22"/>
        </w:rPr>
        <w:t xml:space="preserve"> may place</w:t>
      </w:r>
      <w:r w:rsidRPr="00431A5F">
        <w:rPr>
          <w:rFonts w:ascii="Times New Roman" w:hAnsi="Times New Roman"/>
          <w:sz w:val="22"/>
          <w:szCs w:val="22"/>
        </w:rPr>
        <w:t xml:space="preserve"> an unreasonable burden on the customer.</w:t>
      </w:r>
    </w:p>
    <w:p w14:paraId="4C72C641" w14:textId="7548006C" w:rsidR="005A7915" w:rsidRPr="00431A5F" w:rsidRDefault="005A7915" w:rsidP="008C17F3">
      <w:pPr>
        <w:rPr>
          <w:rFonts w:ascii="Times New Roman" w:hAnsi="Times New Roman"/>
          <w:sz w:val="22"/>
          <w:szCs w:val="22"/>
        </w:rPr>
      </w:pPr>
      <w:r w:rsidRPr="00431A5F">
        <w:rPr>
          <w:rFonts w:ascii="Times New Roman" w:hAnsi="Times New Roman"/>
          <w:sz w:val="22"/>
          <w:szCs w:val="22"/>
        </w:rPr>
        <w:t xml:space="preserve">Information requested under subsection </w:t>
      </w:r>
      <w:r w:rsidR="00964937">
        <w:rPr>
          <w:rFonts w:ascii="Times New Roman" w:hAnsi="Times New Roman"/>
          <w:sz w:val="22"/>
          <w:szCs w:val="22"/>
        </w:rPr>
        <w:t xml:space="preserve">16(3) </w:t>
      </w:r>
      <w:r w:rsidRPr="00431A5F">
        <w:rPr>
          <w:rFonts w:ascii="Times New Roman" w:hAnsi="Times New Roman"/>
          <w:sz w:val="22"/>
          <w:szCs w:val="22"/>
        </w:rPr>
        <w:t xml:space="preserve">should only be kept for the time needed to complete the assessment for eligibility. </w:t>
      </w:r>
      <w:r w:rsidR="00174744" w:rsidRPr="00431A5F">
        <w:rPr>
          <w:rFonts w:ascii="Times New Roman" w:hAnsi="Times New Roman"/>
          <w:sz w:val="22"/>
          <w:szCs w:val="22"/>
        </w:rPr>
        <w:t>It must t</w:t>
      </w:r>
      <w:r w:rsidRPr="00431A5F">
        <w:rPr>
          <w:rFonts w:ascii="Times New Roman" w:hAnsi="Times New Roman"/>
          <w:sz w:val="22"/>
          <w:szCs w:val="22"/>
        </w:rPr>
        <w:t xml:space="preserve">hen </w:t>
      </w:r>
      <w:r w:rsidR="00174744" w:rsidRPr="00431A5F">
        <w:rPr>
          <w:rFonts w:ascii="Times New Roman" w:hAnsi="Times New Roman"/>
          <w:sz w:val="22"/>
          <w:szCs w:val="22"/>
        </w:rPr>
        <w:t xml:space="preserve">be </w:t>
      </w:r>
      <w:r w:rsidRPr="00431A5F">
        <w:rPr>
          <w:rFonts w:ascii="Times New Roman" w:hAnsi="Times New Roman"/>
          <w:sz w:val="22"/>
          <w:szCs w:val="22"/>
        </w:rPr>
        <w:t>destroyed or disposed of in accordance with subsection 30(2).</w:t>
      </w:r>
    </w:p>
    <w:p w14:paraId="3D502FDA" w14:textId="66452BFD" w:rsidR="00672321" w:rsidRPr="00431A5F" w:rsidRDefault="00672321" w:rsidP="008C17F3">
      <w:pPr>
        <w:rPr>
          <w:rFonts w:ascii="Times New Roman" w:hAnsi="Times New Roman"/>
          <w:sz w:val="22"/>
          <w:szCs w:val="22"/>
        </w:rPr>
      </w:pPr>
      <w:r w:rsidRPr="00431A5F">
        <w:rPr>
          <w:rFonts w:ascii="Times New Roman" w:hAnsi="Times New Roman"/>
          <w:sz w:val="22"/>
          <w:szCs w:val="22"/>
        </w:rPr>
        <w:t>Subsection</w:t>
      </w:r>
      <w:r w:rsidR="00B223D6">
        <w:rPr>
          <w:rFonts w:ascii="Times New Roman" w:hAnsi="Times New Roman"/>
          <w:sz w:val="22"/>
          <w:szCs w:val="22"/>
        </w:rPr>
        <w:t>s</w:t>
      </w:r>
      <w:r w:rsidRPr="00431A5F">
        <w:rPr>
          <w:rFonts w:ascii="Times New Roman" w:hAnsi="Times New Roman"/>
          <w:sz w:val="22"/>
          <w:szCs w:val="22"/>
        </w:rPr>
        <w:t xml:space="preserve"> 16(4) </w:t>
      </w:r>
      <w:r w:rsidR="00B45CB4" w:rsidRPr="00431A5F">
        <w:rPr>
          <w:rFonts w:ascii="Times New Roman" w:hAnsi="Times New Roman"/>
          <w:sz w:val="22"/>
          <w:szCs w:val="22"/>
        </w:rPr>
        <w:t xml:space="preserve">and (5) set out what a CSP must do when it requests information from a customer to show that they are in financial hardship under subsection 16(3). This includes providing a contact with whom the customer can discuss the request, </w:t>
      </w:r>
      <w:r w:rsidR="00694C4A" w:rsidRPr="00431A5F">
        <w:rPr>
          <w:rFonts w:ascii="Times New Roman" w:hAnsi="Times New Roman"/>
          <w:sz w:val="22"/>
          <w:szCs w:val="22"/>
        </w:rPr>
        <w:t xml:space="preserve">details about how any written information can be presented and sighted and </w:t>
      </w:r>
      <w:r w:rsidR="00B45CB4" w:rsidRPr="00431A5F">
        <w:rPr>
          <w:rFonts w:ascii="Times New Roman" w:hAnsi="Times New Roman"/>
          <w:sz w:val="22"/>
          <w:szCs w:val="22"/>
        </w:rPr>
        <w:t>methods for the customer to provide the requested information which must include email, an electronic method, a physical address, and if the customer has special needs, a method suitable to meet those needs. Th</w:t>
      </w:r>
      <w:r w:rsidR="00CA5999">
        <w:rPr>
          <w:rFonts w:ascii="Times New Roman" w:hAnsi="Times New Roman"/>
          <w:sz w:val="22"/>
          <w:szCs w:val="22"/>
        </w:rPr>
        <w:t>ese</w:t>
      </w:r>
      <w:r w:rsidR="00B45CB4" w:rsidRPr="00431A5F">
        <w:rPr>
          <w:rFonts w:ascii="Times New Roman" w:hAnsi="Times New Roman"/>
          <w:sz w:val="22"/>
          <w:szCs w:val="22"/>
        </w:rPr>
        <w:t xml:space="preserve"> </w:t>
      </w:r>
      <w:r w:rsidR="00CA5999">
        <w:rPr>
          <w:rFonts w:ascii="Times New Roman" w:hAnsi="Times New Roman"/>
          <w:sz w:val="22"/>
          <w:szCs w:val="22"/>
        </w:rPr>
        <w:t>sub</w:t>
      </w:r>
      <w:r w:rsidR="00B45CB4" w:rsidRPr="00431A5F">
        <w:rPr>
          <w:rFonts w:ascii="Times New Roman" w:hAnsi="Times New Roman"/>
          <w:sz w:val="22"/>
          <w:szCs w:val="22"/>
        </w:rPr>
        <w:t>section</w:t>
      </w:r>
      <w:r w:rsidR="00CA5999">
        <w:rPr>
          <w:rFonts w:ascii="Times New Roman" w:hAnsi="Times New Roman"/>
          <w:sz w:val="22"/>
          <w:szCs w:val="22"/>
        </w:rPr>
        <w:t>s</w:t>
      </w:r>
      <w:r w:rsidR="00B45CB4" w:rsidRPr="00431A5F">
        <w:rPr>
          <w:rFonts w:ascii="Times New Roman" w:hAnsi="Times New Roman"/>
          <w:sz w:val="22"/>
          <w:szCs w:val="22"/>
        </w:rPr>
        <w:t xml:space="preserve"> also require a CSP to provide the customer with specific information</w:t>
      </w:r>
      <w:r w:rsidR="00694C4A" w:rsidRPr="00431A5F">
        <w:rPr>
          <w:rFonts w:ascii="Times New Roman" w:hAnsi="Times New Roman"/>
          <w:sz w:val="22"/>
          <w:szCs w:val="22"/>
        </w:rPr>
        <w:t xml:space="preserve"> (in writing or another method suitable to the customer’s needs)</w:t>
      </w:r>
      <w:r w:rsidR="00B45CB4" w:rsidRPr="00431A5F">
        <w:rPr>
          <w:rFonts w:ascii="Times New Roman" w:hAnsi="Times New Roman"/>
          <w:sz w:val="22"/>
          <w:szCs w:val="22"/>
        </w:rPr>
        <w:t xml:space="preserve"> about how the information will be used and kept</w:t>
      </w:r>
      <w:r w:rsidR="00694C4A" w:rsidRPr="00431A5F">
        <w:rPr>
          <w:rFonts w:ascii="Times New Roman" w:hAnsi="Times New Roman"/>
          <w:sz w:val="22"/>
          <w:szCs w:val="22"/>
        </w:rPr>
        <w:t xml:space="preserve"> and offer the customer sufficient time to locate and present the information for sighting.</w:t>
      </w:r>
    </w:p>
    <w:p w14:paraId="6B465454" w14:textId="1276A95B" w:rsidR="00694C4A" w:rsidRPr="00431A5F" w:rsidRDefault="002335DD" w:rsidP="00B8483F">
      <w:pPr>
        <w:rPr>
          <w:rFonts w:ascii="Times New Roman" w:hAnsi="Times New Roman"/>
          <w:color w:val="000000"/>
          <w:sz w:val="22"/>
          <w:szCs w:val="22"/>
        </w:rPr>
      </w:pPr>
      <w:r>
        <w:rPr>
          <w:rFonts w:ascii="Times New Roman" w:hAnsi="Times New Roman"/>
          <w:sz w:val="22"/>
          <w:szCs w:val="22"/>
        </w:rPr>
        <w:t>S</w:t>
      </w:r>
      <w:r w:rsidR="00694C4A" w:rsidRPr="00431A5F">
        <w:rPr>
          <w:rFonts w:ascii="Times New Roman" w:hAnsi="Times New Roman"/>
          <w:sz w:val="22"/>
          <w:szCs w:val="22"/>
        </w:rPr>
        <w:t xml:space="preserve">ubsection 16(6) </w:t>
      </w:r>
      <w:r w:rsidR="00C855E6">
        <w:rPr>
          <w:rFonts w:ascii="Times New Roman" w:hAnsi="Times New Roman"/>
          <w:sz w:val="22"/>
          <w:szCs w:val="22"/>
        </w:rPr>
        <w:t>imposes</w:t>
      </w:r>
      <w:r w:rsidR="00694C4A" w:rsidRPr="00431A5F">
        <w:rPr>
          <w:rFonts w:ascii="Times New Roman" w:hAnsi="Times New Roman"/>
          <w:sz w:val="22"/>
          <w:szCs w:val="22"/>
        </w:rPr>
        <w:t xml:space="preserve"> </w:t>
      </w:r>
      <w:r w:rsidR="00DA43F5">
        <w:rPr>
          <w:rFonts w:ascii="Times New Roman" w:hAnsi="Times New Roman"/>
          <w:sz w:val="22"/>
          <w:szCs w:val="22"/>
        </w:rPr>
        <w:t>a</w:t>
      </w:r>
      <w:r w:rsidR="00AC5ADD">
        <w:rPr>
          <w:rFonts w:ascii="Times New Roman" w:hAnsi="Times New Roman"/>
          <w:sz w:val="22"/>
          <w:szCs w:val="22"/>
        </w:rPr>
        <w:t xml:space="preserve"> privacy safeguard</w:t>
      </w:r>
      <w:r w:rsidR="004309D3" w:rsidRPr="004309D3">
        <w:rPr>
          <w:rFonts w:ascii="Times New Roman" w:hAnsi="Times New Roman"/>
          <w:sz w:val="22"/>
          <w:szCs w:val="22"/>
        </w:rPr>
        <w:t xml:space="preserve"> </w:t>
      </w:r>
      <w:r w:rsidR="004309D3">
        <w:rPr>
          <w:rFonts w:ascii="Times New Roman" w:hAnsi="Times New Roman"/>
          <w:sz w:val="22"/>
          <w:szCs w:val="22"/>
        </w:rPr>
        <w:t>on CSPs</w:t>
      </w:r>
      <w:r w:rsidR="0085462F">
        <w:rPr>
          <w:rFonts w:ascii="Times New Roman" w:hAnsi="Times New Roman"/>
          <w:sz w:val="22"/>
          <w:szCs w:val="22"/>
        </w:rPr>
        <w:t xml:space="preserve"> by</w:t>
      </w:r>
      <w:r w:rsidR="00AC5ADD">
        <w:rPr>
          <w:rFonts w:ascii="Times New Roman" w:hAnsi="Times New Roman"/>
          <w:sz w:val="22"/>
          <w:szCs w:val="22"/>
        </w:rPr>
        <w:t xml:space="preserve"> </w:t>
      </w:r>
      <w:r w:rsidR="00694C4A" w:rsidRPr="00431A5F">
        <w:rPr>
          <w:rFonts w:ascii="Times New Roman" w:hAnsi="Times New Roman"/>
          <w:sz w:val="22"/>
          <w:szCs w:val="22"/>
        </w:rPr>
        <w:t>limit</w:t>
      </w:r>
      <w:r w:rsidR="004309D3">
        <w:rPr>
          <w:rFonts w:ascii="Times New Roman" w:hAnsi="Times New Roman"/>
          <w:sz w:val="22"/>
          <w:szCs w:val="22"/>
        </w:rPr>
        <w:t>ing</w:t>
      </w:r>
      <w:r w:rsidR="00C855E6">
        <w:rPr>
          <w:rFonts w:ascii="Times New Roman" w:hAnsi="Times New Roman"/>
          <w:sz w:val="22"/>
          <w:szCs w:val="22"/>
        </w:rPr>
        <w:t xml:space="preserve"> </w:t>
      </w:r>
      <w:r w:rsidR="00694C4A" w:rsidRPr="00431A5F">
        <w:rPr>
          <w:rFonts w:ascii="Times New Roman" w:hAnsi="Times New Roman"/>
          <w:sz w:val="22"/>
          <w:szCs w:val="22"/>
        </w:rPr>
        <w:t>request</w:t>
      </w:r>
      <w:r w:rsidR="004309D3">
        <w:rPr>
          <w:rFonts w:ascii="Times New Roman" w:hAnsi="Times New Roman"/>
          <w:sz w:val="22"/>
          <w:szCs w:val="22"/>
        </w:rPr>
        <w:t>s for</w:t>
      </w:r>
      <w:r w:rsidR="00694C4A" w:rsidRPr="00431A5F">
        <w:rPr>
          <w:rFonts w:ascii="Times New Roman" w:hAnsi="Times New Roman"/>
          <w:sz w:val="22"/>
          <w:szCs w:val="22"/>
        </w:rPr>
        <w:t xml:space="preserve"> information under subsection 16(3) to </w:t>
      </w:r>
      <w:r w:rsidR="004309D3">
        <w:rPr>
          <w:rFonts w:ascii="Times New Roman" w:hAnsi="Times New Roman"/>
          <w:sz w:val="22"/>
          <w:szCs w:val="22"/>
        </w:rPr>
        <w:t>information that</w:t>
      </w:r>
      <w:r w:rsidR="004309D3" w:rsidRPr="00431A5F">
        <w:rPr>
          <w:rFonts w:ascii="Times New Roman" w:hAnsi="Times New Roman"/>
          <w:sz w:val="22"/>
          <w:szCs w:val="22"/>
        </w:rPr>
        <w:t xml:space="preserve"> </w:t>
      </w:r>
      <w:r w:rsidR="00694C4A" w:rsidRPr="00431A5F">
        <w:rPr>
          <w:rFonts w:ascii="Times New Roman" w:hAnsi="Times New Roman"/>
          <w:sz w:val="22"/>
          <w:szCs w:val="22"/>
        </w:rPr>
        <w:t>it is strictly necessary to conduct the assessment for financial hardship</w:t>
      </w:r>
      <w:r w:rsidR="00817789" w:rsidRPr="00431A5F">
        <w:rPr>
          <w:rFonts w:ascii="Times New Roman" w:hAnsi="Times New Roman"/>
          <w:sz w:val="22"/>
          <w:szCs w:val="22"/>
        </w:rPr>
        <w:t>. A CSP should consider carefully whether evidence is needed</w:t>
      </w:r>
      <w:r w:rsidR="001E73B5" w:rsidRPr="00431A5F">
        <w:rPr>
          <w:rFonts w:ascii="Times New Roman" w:hAnsi="Times New Roman"/>
          <w:sz w:val="22"/>
          <w:szCs w:val="22"/>
        </w:rPr>
        <w:t>,</w:t>
      </w:r>
      <w:r w:rsidR="00817789" w:rsidRPr="00431A5F">
        <w:rPr>
          <w:rFonts w:ascii="Times New Roman" w:hAnsi="Times New Roman"/>
          <w:sz w:val="22"/>
          <w:szCs w:val="22"/>
        </w:rPr>
        <w:t xml:space="preserve"> particularly when dealing with </w:t>
      </w:r>
      <w:r w:rsidR="003656D0">
        <w:rPr>
          <w:rFonts w:ascii="Times New Roman" w:hAnsi="Times New Roman"/>
          <w:color w:val="000000"/>
          <w:sz w:val="22"/>
          <w:szCs w:val="22"/>
        </w:rPr>
        <w:t>a</w:t>
      </w:r>
      <w:r w:rsidR="00817789" w:rsidRPr="00431A5F">
        <w:rPr>
          <w:rFonts w:ascii="Times New Roman" w:hAnsi="Times New Roman"/>
          <w:color w:val="000000"/>
          <w:sz w:val="22"/>
          <w:szCs w:val="22"/>
        </w:rPr>
        <w:t xml:space="preserve"> customer </w:t>
      </w:r>
      <w:r w:rsidR="003656D0">
        <w:rPr>
          <w:rFonts w:ascii="Times New Roman" w:hAnsi="Times New Roman"/>
          <w:color w:val="000000"/>
          <w:sz w:val="22"/>
          <w:szCs w:val="22"/>
        </w:rPr>
        <w:t xml:space="preserve">who </w:t>
      </w:r>
      <w:r w:rsidR="00817789" w:rsidRPr="00431A5F">
        <w:rPr>
          <w:rFonts w:ascii="Times New Roman" w:hAnsi="Times New Roman"/>
          <w:color w:val="000000"/>
          <w:sz w:val="22"/>
          <w:szCs w:val="22"/>
        </w:rPr>
        <w:t>is a domestic and family violence victim survivor, has a disability, is from a cultural</w:t>
      </w:r>
      <w:r w:rsidR="001E73B5" w:rsidRPr="00431A5F">
        <w:rPr>
          <w:rFonts w:ascii="Times New Roman" w:hAnsi="Times New Roman"/>
          <w:color w:val="000000"/>
          <w:sz w:val="22"/>
          <w:szCs w:val="22"/>
        </w:rPr>
        <w:t>ly</w:t>
      </w:r>
      <w:r w:rsidR="00817789" w:rsidRPr="00431A5F">
        <w:rPr>
          <w:rFonts w:ascii="Times New Roman" w:hAnsi="Times New Roman"/>
          <w:color w:val="000000"/>
          <w:sz w:val="22"/>
          <w:szCs w:val="22"/>
        </w:rPr>
        <w:t xml:space="preserve"> or linguistically diverse background or has other special needs.</w:t>
      </w:r>
    </w:p>
    <w:p w14:paraId="3FFE9DF1" w14:textId="75E0F298" w:rsidR="00817789" w:rsidRPr="00431A5F" w:rsidRDefault="00817789" w:rsidP="00B8483F">
      <w:pPr>
        <w:rPr>
          <w:rFonts w:ascii="Times New Roman" w:hAnsi="Times New Roman"/>
          <w:sz w:val="22"/>
          <w:szCs w:val="22"/>
        </w:rPr>
      </w:pPr>
      <w:r w:rsidRPr="00431A5F">
        <w:rPr>
          <w:rFonts w:ascii="Times New Roman" w:hAnsi="Times New Roman"/>
          <w:color w:val="000000"/>
          <w:sz w:val="22"/>
          <w:szCs w:val="22"/>
        </w:rPr>
        <w:t>Subsection 16(7) requires a CSP to establish a process for information to be presented an</w:t>
      </w:r>
      <w:r w:rsidR="00BA71AD" w:rsidRPr="00431A5F">
        <w:rPr>
          <w:rFonts w:ascii="Times New Roman" w:hAnsi="Times New Roman"/>
          <w:color w:val="000000"/>
          <w:sz w:val="22"/>
          <w:szCs w:val="22"/>
        </w:rPr>
        <w:t>d</w:t>
      </w:r>
      <w:r w:rsidRPr="00431A5F">
        <w:rPr>
          <w:rFonts w:ascii="Times New Roman" w:hAnsi="Times New Roman"/>
          <w:color w:val="000000"/>
          <w:sz w:val="22"/>
          <w:szCs w:val="22"/>
        </w:rPr>
        <w:t xml:space="preserve"> sighted by personnel who are authorised for assessing eligibility for financial hardship assistance.</w:t>
      </w:r>
      <w:r w:rsidR="00BA71AD" w:rsidRPr="00431A5F">
        <w:rPr>
          <w:rFonts w:ascii="Times New Roman" w:hAnsi="Times New Roman"/>
          <w:color w:val="000000"/>
          <w:sz w:val="22"/>
          <w:szCs w:val="22"/>
        </w:rPr>
        <w:t xml:space="preserve"> Any process must ensure that this information is only kept for as long as it is required to complete the assessment for eligibility before being securely destroyed or disposed of</w:t>
      </w:r>
      <w:r w:rsidR="00C27898">
        <w:rPr>
          <w:rFonts w:ascii="Times New Roman" w:hAnsi="Times New Roman"/>
          <w:color w:val="000000"/>
          <w:sz w:val="22"/>
          <w:szCs w:val="22"/>
        </w:rPr>
        <w:t xml:space="preserve"> under subsection 30(2)</w:t>
      </w:r>
      <w:r w:rsidR="00BA71AD" w:rsidRPr="00431A5F">
        <w:rPr>
          <w:rFonts w:ascii="Times New Roman" w:hAnsi="Times New Roman"/>
          <w:color w:val="000000"/>
          <w:sz w:val="22"/>
          <w:szCs w:val="22"/>
        </w:rPr>
        <w:t xml:space="preserve">. </w:t>
      </w:r>
      <w:r w:rsidRPr="00431A5F">
        <w:rPr>
          <w:rFonts w:ascii="Times New Roman" w:hAnsi="Times New Roman"/>
          <w:color w:val="000000"/>
          <w:sz w:val="22"/>
          <w:szCs w:val="22"/>
        </w:rPr>
        <w:t xml:space="preserve"> This is intended </w:t>
      </w:r>
      <w:r w:rsidR="00DA43F5">
        <w:rPr>
          <w:rFonts w:ascii="Times New Roman" w:hAnsi="Times New Roman"/>
          <w:color w:val="000000"/>
          <w:sz w:val="22"/>
          <w:szCs w:val="22"/>
        </w:rPr>
        <w:t xml:space="preserve">as a privacy safeguard </w:t>
      </w:r>
      <w:r w:rsidRPr="00431A5F">
        <w:rPr>
          <w:rFonts w:ascii="Times New Roman" w:hAnsi="Times New Roman"/>
          <w:color w:val="000000"/>
          <w:sz w:val="22"/>
          <w:szCs w:val="22"/>
        </w:rPr>
        <w:t xml:space="preserve">to ensure that providers have secure processes in place where a CSP is dealing with sensitive personal information relating to financial </w:t>
      </w:r>
      <w:r w:rsidR="00AF28DF" w:rsidRPr="00431A5F">
        <w:rPr>
          <w:rFonts w:ascii="Times New Roman" w:hAnsi="Times New Roman"/>
          <w:color w:val="000000"/>
          <w:sz w:val="22"/>
          <w:szCs w:val="22"/>
        </w:rPr>
        <w:t xml:space="preserve">hardship. </w:t>
      </w:r>
    </w:p>
    <w:p w14:paraId="53FE1A6B" w14:textId="77777777" w:rsidR="00FF09CB" w:rsidRDefault="00FF09CB" w:rsidP="00B8483F">
      <w:pPr>
        <w:rPr>
          <w:rFonts w:ascii="Times New Roman" w:hAnsi="Times New Roman"/>
          <w:b/>
          <w:sz w:val="22"/>
          <w:szCs w:val="22"/>
        </w:rPr>
      </w:pPr>
    </w:p>
    <w:p w14:paraId="331CB529" w14:textId="612B44DF" w:rsidR="00B8483F" w:rsidRPr="00431A5F" w:rsidRDefault="00B8483F" w:rsidP="00B8483F">
      <w:pPr>
        <w:rPr>
          <w:rFonts w:ascii="Times New Roman" w:hAnsi="Times New Roman"/>
          <w:b/>
          <w:sz w:val="22"/>
          <w:szCs w:val="22"/>
        </w:rPr>
      </w:pPr>
      <w:r w:rsidRPr="00431A5F">
        <w:rPr>
          <w:rFonts w:ascii="Times New Roman" w:hAnsi="Times New Roman"/>
          <w:b/>
          <w:sz w:val="22"/>
          <w:szCs w:val="22"/>
        </w:rPr>
        <w:lastRenderedPageBreak/>
        <w:t>Section 17</w:t>
      </w:r>
      <w:r w:rsidRPr="00431A5F">
        <w:rPr>
          <w:rFonts w:ascii="Times New Roman" w:hAnsi="Times New Roman"/>
          <w:b/>
          <w:sz w:val="22"/>
          <w:szCs w:val="22"/>
        </w:rPr>
        <w:tab/>
      </w:r>
      <w:r w:rsidRPr="00431A5F">
        <w:rPr>
          <w:rFonts w:ascii="Times New Roman" w:hAnsi="Times New Roman"/>
          <w:b/>
          <w:bCs/>
          <w:sz w:val="22"/>
          <w:szCs w:val="22"/>
        </w:rPr>
        <w:t>Minimum requirements – timing for assessments and advice on outcomes</w:t>
      </w:r>
    </w:p>
    <w:p w14:paraId="71023EC7" w14:textId="0CA2D13D" w:rsidR="00AF28DF" w:rsidRPr="00431A5F" w:rsidRDefault="001B2CC7" w:rsidP="00B8483F">
      <w:pPr>
        <w:rPr>
          <w:rFonts w:ascii="Times New Roman" w:hAnsi="Times New Roman"/>
          <w:sz w:val="22"/>
          <w:szCs w:val="22"/>
        </w:rPr>
      </w:pPr>
      <w:r w:rsidRPr="00431A5F">
        <w:rPr>
          <w:rFonts w:ascii="Times New Roman" w:hAnsi="Times New Roman"/>
          <w:sz w:val="22"/>
          <w:szCs w:val="22"/>
        </w:rPr>
        <w:t xml:space="preserve">This section sets out timeframes for a CSP to assess an application and inform the customer of the outcome. </w:t>
      </w:r>
      <w:r w:rsidR="00AF28DF" w:rsidRPr="00431A5F">
        <w:rPr>
          <w:rFonts w:ascii="Times New Roman" w:hAnsi="Times New Roman"/>
          <w:sz w:val="22"/>
          <w:szCs w:val="22"/>
        </w:rPr>
        <w:t>It</w:t>
      </w:r>
      <w:r w:rsidRPr="00431A5F">
        <w:rPr>
          <w:rFonts w:ascii="Times New Roman" w:hAnsi="Times New Roman"/>
          <w:sz w:val="22"/>
          <w:szCs w:val="22"/>
        </w:rPr>
        <w:t xml:space="preserve"> requires that an assessment be completed as soon as practicable</w:t>
      </w:r>
      <w:r w:rsidR="0012048E" w:rsidRPr="00431A5F">
        <w:rPr>
          <w:rFonts w:ascii="Times New Roman" w:hAnsi="Times New Roman"/>
          <w:sz w:val="22"/>
          <w:szCs w:val="22"/>
        </w:rPr>
        <w:t xml:space="preserve"> but allows for a maximum of </w:t>
      </w:r>
      <w:r w:rsidR="0048206F" w:rsidRPr="00431A5F">
        <w:rPr>
          <w:rFonts w:ascii="Times New Roman" w:hAnsi="Times New Roman"/>
          <w:sz w:val="22"/>
          <w:szCs w:val="22"/>
        </w:rPr>
        <w:t>5</w:t>
      </w:r>
      <w:r w:rsidR="0012048E" w:rsidRPr="00431A5F">
        <w:rPr>
          <w:rFonts w:ascii="Times New Roman" w:hAnsi="Times New Roman"/>
          <w:sz w:val="22"/>
          <w:szCs w:val="22"/>
        </w:rPr>
        <w:t>business days</w:t>
      </w:r>
      <w:r w:rsidR="003E2C4A">
        <w:rPr>
          <w:rFonts w:ascii="Times New Roman" w:hAnsi="Times New Roman"/>
          <w:sz w:val="22"/>
          <w:szCs w:val="22"/>
        </w:rPr>
        <w:t xml:space="preserve"> </w:t>
      </w:r>
      <w:r w:rsidR="0048206F">
        <w:rPr>
          <w:rFonts w:ascii="Times New Roman" w:hAnsi="Times New Roman"/>
          <w:sz w:val="22"/>
          <w:szCs w:val="22"/>
        </w:rPr>
        <w:t xml:space="preserve">after </w:t>
      </w:r>
      <w:r w:rsidR="003E2C4A">
        <w:rPr>
          <w:rFonts w:ascii="Times New Roman" w:hAnsi="Times New Roman"/>
          <w:sz w:val="22"/>
          <w:szCs w:val="22"/>
        </w:rPr>
        <w:t xml:space="preserve">receiving </w:t>
      </w:r>
      <w:r w:rsidR="0085297B">
        <w:rPr>
          <w:rFonts w:ascii="Times New Roman" w:hAnsi="Times New Roman"/>
          <w:sz w:val="22"/>
          <w:szCs w:val="22"/>
        </w:rPr>
        <w:t>a complete application</w:t>
      </w:r>
      <w:r w:rsidR="0012048E" w:rsidRPr="00431A5F">
        <w:rPr>
          <w:rFonts w:ascii="Times New Roman" w:hAnsi="Times New Roman"/>
          <w:sz w:val="22"/>
          <w:szCs w:val="22"/>
        </w:rPr>
        <w:t>.</w:t>
      </w:r>
      <w:r w:rsidR="00AF28DF" w:rsidRPr="00431A5F">
        <w:rPr>
          <w:rFonts w:ascii="Times New Roman" w:hAnsi="Times New Roman"/>
          <w:sz w:val="22"/>
          <w:szCs w:val="22"/>
        </w:rPr>
        <w:t xml:space="preserve"> Customers must be informed of the outcome of the assessment as soon as possible but no late</w:t>
      </w:r>
      <w:r w:rsidR="000231BA">
        <w:rPr>
          <w:rFonts w:ascii="Times New Roman" w:hAnsi="Times New Roman"/>
          <w:sz w:val="22"/>
          <w:szCs w:val="22"/>
        </w:rPr>
        <w:t>r</w:t>
      </w:r>
      <w:r w:rsidR="00AF28DF" w:rsidRPr="00431A5F">
        <w:rPr>
          <w:rFonts w:ascii="Times New Roman" w:hAnsi="Times New Roman"/>
          <w:sz w:val="22"/>
          <w:szCs w:val="22"/>
        </w:rPr>
        <w:t xml:space="preserve"> </w:t>
      </w:r>
      <w:proofErr w:type="spellStart"/>
      <w:proofErr w:type="gramStart"/>
      <w:r w:rsidR="00AF28DF" w:rsidRPr="00431A5F">
        <w:rPr>
          <w:rFonts w:ascii="Times New Roman" w:hAnsi="Times New Roman"/>
          <w:sz w:val="22"/>
          <w:szCs w:val="22"/>
        </w:rPr>
        <w:t>that</w:t>
      </w:r>
      <w:proofErr w:type="spellEnd"/>
      <w:r w:rsidR="00AF28DF" w:rsidRPr="00431A5F">
        <w:rPr>
          <w:rFonts w:ascii="Times New Roman" w:hAnsi="Times New Roman"/>
          <w:sz w:val="22"/>
          <w:szCs w:val="22"/>
        </w:rPr>
        <w:t xml:space="preserve"> 2 business days</w:t>
      </w:r>
      <w:proofErr w:type="gramEnd"/>
      <w:r w:rsidR="00AF28DF" w:rsidRPr="00431A5F">
        <w:rPr>
          <w:rFonts w:ascii="Times New Roman" w:hAnsi="Times New Roman"/>
          <w:sz w:val="22"/>
          <w:szCs w:val="22"/>
        </w:rPr>
        <w:t xml:space="preserve"> after it is completed.</w:t>
      </w:r>
    </w:p>
    <w:p w14:paraId="5253B26A" w14:textId="788F5899" w:rsidR="00AF28DF" w:rsidRPr="00431A5F" w:rsidRDefault="00AF28DF" w:rsidP="00B8483F">
      <w:pPr>
        <w:rPr>
          <w:rFonts w:ascii="Times New Roman" w:hAnsi="Times New Roman"/>
          <w:sz w:val="22"/>
          <w:szCs w:val="22"/>
        </w:rPr>
      </w:pPr>
      <w:r w:rsidRPr="00431A5F">
        <w:rPr>
          <w:rFonts w:ascii="Times New Roman" w:hAnsi="Times New Roman"/>
          <w:sz w:val="22"/>
          <w:szCs w:val="22"/>
        </w:rPr>
        <w:t xml:space="preserve">These timeframes are the maximum allowed. </w:t>
      </w:r>
      <w:r w:rsidR="00647195" w:rsidRPr="00431A5F">
        <w:rPr>
          <w:rFonts w:ascii="Times New Roman" w:hAnsi="Times New Roman"/>
          <w:sz w:val="22"/>
          <w:szCs w:val="22"/>
        </w:rPr>
        <w:t>A</w:t>
      </w:r>
      <w:r w:rsidRPr="00431A5F">
        <w:rPr>
          <w:rFonts w:ascii="Times New Roman" w:hAnsi="Times New Roman"/>
          <w:sz w:val="22"/>
          <w:szCs w:val="22"/>
        </w:rPr>
        <w:t xml:space="preserve"> CSP</w:t>
      </w:r>
      <w:r w:rsidR="00DA74C9" w:rsidRPr="00431A5F">
        <w:rPr>
          <w:rFonts w:ascii="Times New Roman" w:hAnsi="Times New Roman"/>
          <w:sz w:val="22"/>
          <w:szCs w:val="22"/>
        </w:rPr>
        <w:t>s</w:t>
      </w:r>
      <w:r w:rsidRPr="00431A5F">
        <w:rPr>
          <w:rFonts w:ascii="Times New Roman" w:hAnsi="Times New Roman"/>
          <w:sz w:val="22"/>
          <w:szCs w:val="22"/>
        </w:rPr>
        <w:t xml:space="preserve"> </w:t>
      </w:r>
      <w:r w:rsidR="00647195" w:rsidRPr="00431A5F">
        <w:rPr>
          <w:rFonts w:ascii="Times New Roman" w:hAnsi="Times New Roman"/>
          <w:sz w:val="22"/>
          <w:szCs w:val="22"/>
        </w:rPr>
        <w:t>sh</w:t>
      </w:r>
      <w:r w:rsidRPr="00431A5F">
        <w:rPr>
          <w:rFonts w:ascii="Times New Roman" w:hAnsi="Times New Roman"/>
          <w:sz w:val="22"/>
          <w:szCs w:val="22"/>
        </w:rPr>
        <w:t xml:space="preserve">ould </w:t>
      </w:r>
      <w:r w:rsidR="00647195" w:rsidRPr="00431A5F">
        <w:rPr>
          <w:rFonts w:ascii="Times New Roman" w:hAnsi="Times New Roman"/>
          <w:sz w:val="22"/>
          <w:szCs w:val="22"/>
        </w:rPr>
        <w:t xml:space="preserve">aim to </w:t>
      </w:r>
      <w:r w:rsidRPr="00431A5F">
        <w:rPr>
          <w:rFonts w:ascii="Times New Roman" w:hAnsi="Times New Roman"/>
          <w:sz w:val="22"/>
          <w:szCs w:val="22"/>
        </w:rPr>
        <w:t xml:space="preserve">assess and advise customers of outcomes </w:t>
      </w:r>
      <w:r w:rsidR="00647195" w:rsidRPr="00431A5F">
        <w:rPr>
          <w:rFonts w:ascii="Times New Roman" w:hAnsi="Times New Roman"/>
          <w:sz w:val="22"/>
          <w:szCs w:val="22"/>
        </w:rPr>
        <w:t>in a shorter period</w:t>
      </w:r>
      <w:r w:rsidR="0085297B">
        <w:rPr>
          <w:rFonts w:ascii="Times New Roman" w:hAnsi="Times New Roman"/>
          <w:sz w:val="22"/>
          <w:szCs w:val="22"/>
        </w:rPr>
        <w:t>,</w:t>
      </w:r>
      <w:r w:rsidR="00647195" w:rsidRPr="00431A5F">
        <w:rPr>
          <w:rFonts w:ascii="Times New Roman" w:hAnsi="Times New Roman"/>
          <w:sz w:val="22"/>
          <w:szCs w:val="22"/>
        </w:rPr>
        <w:t xml:space="preserve"> if </w:t>
      </w:r>
      <w:r w:rsidRPr="00431A5F">
        <w:rPr>
          <w:rFonts w:ascii="Times New Roman" w:hAnsi="Times New Roman"/>
          <w:sz w:val="22"/>
          <w:szCs w:val="22"/>
        </w:rPr>
        <w:t xml:space="preserve">possible. </w:t>
      </w:r>
    </w:p>
    <w:p w14:paraId="1640F5F8" w14:textId="5D41D006" w:rsidR="0012048E" w:rsidRPr="00431A5F" w:rsidRDefault="008C1E53" w:rsidP="00B8483F">
      <w:pPr>
        <w:rPr>
          <w:rFonts w:ascii="Times New Roman" w:hAnsi="Times New Roman"/>
          <w:sz w:val="22"/>
          <w:szCs w:val="22"/>
        </w:rPr>
      </w:pPr>
      <w:r>
        <w:rPr>
          <w:rFonts w:ascii="Times New Roman" w:hAnsi="Times New Roman"/>
          <w:sz w:val="22"/>
          <w:szCs w:val="22"/>
        </w:rPr>
        <w:t>Under s</w:t>
      </w:r>
      <w:r w:rsidR="00723F41">
        <w:rPr>
          <w:rFonts w:ascii="Times New Roman" w:hAnsi="Times New Roman"/>
          <w:sz w:val="22"/>
          <w:szCs w:val="22"/>
        </w:rPr>
        <w:t>ection 17 a</w:t>
      </w:r>
      <w:r w:rsidR="00AF28DF" w:rsidRPr="00431A5F">
        <w:rPr>
          <w:rFonts w:ascii="Times New Roman" w:hAnsi="Times New Roman"/>
          <w:sz w:val="22"/>
          <w:szCs w:val="22"/>
        </w:rPr>
        <w:t xml:space="preserve"> CSP </w:t>
      </w:r>
      <w:r w:rsidR="00723F41">
        <w:rPr>
          <w:rFonts w:ascii="Times New Roman" w:hAnsi="Times New Roman"/>
          <w:sz w:val="22"/>
          <w:szCs w:val="22"/>
        </w:rPr>
        <w:t>must</w:t>
      </w:r>
      <w:r w:rsidR="00723F41" w:rsidRPr="00431A5F">
        <w:rPr>
          <w:rFonts w:ascii="Times New Roman" w:hAnsi="Times New Roman"/>
          <w:sz w:val="22"/>
          <w:szCs w:val="22"/>
        </w:rPr>
        <w:t xml:space="preserve"> </w:t>
      </w:r>
      <w:r w:rsidR="00AF28DF" w:rsidRPr="00431A5F">
        <w:rPr>
          <w:rFonts w:ascii="Times New Roman" w:hAnsi="Times New Roman"/>
          <w:sz w:val="22"/>
          <w:szCs w:val="22"/>
        </w:rPr>
        <w:t>advi</w:t>
      </w:r>
      <w:r w:rsidR="00D155C5" w:rsidRPr="00431A5F">
        <w:rPr>
          <w:rFonts w:ascii="Times New Roman" w:hAnsi="Times New Roman"/>
          <w:sz w:val="22"/>
          <w:szCs w:val="22"/>
        </w:rPr>
        <w:t>s</w:t>
      </w:r>
      <w:r w:rsidR="00AF28DF" w:rsidRPr="00431A5F">
        <w:rPr>
          <w:rFonts w:ascii="Times New Roman" w:hAnsi="Times New Roman"/>
          <w:sz w:val="22"/>
          <w:szCs w:val="22"/>
        </w:rPr>
        <w:t>e the customer immediately if</w:t>
      </w:r>
      <w:r w:rsidR="00996FE7" w:rsidRPr="00431A5F">
        <w:rPr>
          <w:rFonts w:ascii="Times New Roman" w:hAnsi="Times New Roman"/>
          <w:sz w:val="22"/>
          <w:szCs w:val="22"/>
        </w:rPr>
        <w:t xml:space="preserve"> it</w:t>
      </w:r>
      <w:r w:rsidR="00AF28DF" w:rsidRPr="00431A5F">
        <w:rPr>
          <w:rFonts w:ascii="Times New Roman" w:hAnsi="Times New Roman"/>
          <w:sz w:val="22"/>
          <w:szCs w:val="22"/>
        </w:rPr>
        <w:t xml:space="preserve"> become</w:t>
      </w:r>
      <w:r w:rsidR="00996FE7" w:rsidRPr="00431A5F">
        <w:rPr>
          <w:rFonts w:ascii="Times New Roman" w:hAnsi="Times New Roman"/>
          <w:sz w:val="22"/>
          <w:szCs w:val="22"/>
        </w:rPr>
        <w:t>s</w:t>
      </w:r>
      <w:r w:rsidR="00AF28DF" w:rsidRPr="00431A5F">
        <w:rPr>
          <w:rFonts w:ascii="Times New Roman" w:hAnsi="Times New Roman"/>
          <w:sz w:val="22"/>
          <w:szCs w:val="22"/>
        </w:rPr>
        <w:t xml:space="preserve"> aware that i</w:t>
      </w:r>
      <w:r w:rsidR="00D155C5" w:rsidRPr="00431A5F">
        <w:rPr>
          <w:rFonts w:ascii="Times New Roman" w:hAnsi="Times New Roman"/>
          <w:sz w:val="22"/>
          <w:szCs w:val="22"/>
        </w:rPr>
        <w:t>t</w:t>
      </w:r>
      <w:r w:rsidR="00AF28DF" w:rsidRPr="00431A5F">
        <w:rPr>
          <w:rFonts w:ascii="Times New Roman" w:hAnsi="Times New Roman"/>
          <w:sz w:val="22"/>
          <w:szCs w:val="22"/>
        </w:rPr>
        <w:t xml:space="preserve"> </w:t>
      </w:r>
      <w:proofErr w:type="gramStart"/>
      <w:r w:rsidR="00AF28DF" w:rsidRPr="00431A5F">
        <w:rPr>
          <w:rFonts w:ascii="Times New Roman" w:hAnsi="Times New Roman"/>
          <w:sz w:val="22"/>
          <w:szCs w:val="22"/>
        </w:rPr>
        <w:t>cannot</w:t>
      </w:r>
      <w:r w:rsidR="00B701D1">
        <w:rPr>
          <w:rFonts w:ascii="Times New Roman" w:hAnsi="Times New Roman"/>
          <w:sz w:val="22"/>
          <w:szCs w:val="22"/>
        </w:rPr>
        <w:t xml:space="preserve">  </w:t>
      </w:r>
      <w:r w:rsidR="00DA74C9" w:rsidRPr="00431A5F">
        <w:rPr>
          <w:rFonts w:ascii="Times New Roman" w:hAnsi="Times New Roman"/>
          <w:sz w:val="22"/>
          <w:szCs w:val="22"/>
        </w:rPr>
        <w:t>provide</w:t>
      </w:r>
      <w:proofErr w:type="gramEnd"/>
      <w:r w:rsidR="00AF28DF" w:rsidRPr="00431A5F">
        <w:rPr>
          <w:rFonts w:ascii="Times New Roman" w:hAnsi="Times New Roman"/>
          <w:sz w:val="22"/>
          <w:szCs w:val="22"/>
        </w:rPr>
        <w:t xml:space="preserve"> </w:t>
      </w:r>
      <w:r w:rsidR="00D155C5" w:rsidRPr="00431A5F">
        <w:rPr>
          <w:rFonts w:ascii="Times New Roman" w:hAnsi="Times New Roman"/>
          <w:sz w:val="22"/>
          <w:szCs w:val="22"/>
        </w:rPr>
        <w:t xml:space="preserve">financial </w:t>
      </w:r>
      <w:r w:rsidR="00AF28DF" w:rsidRPr="00431A5F">
        <w:rPr>
          <w:rFonts w:ascii="Times New Roman" w:hAnsi="Times New Roman"/>
          <w:sz w:val="22"/>
          <w:szCs w:val="22"/>
        </w:rPr>
        <w:t>assistance because the customer either does not meet the definition of financial hardship or does no</w:t>
      </w:r>
      <w:r w:rsidR="00D155C5" w:rsidRPr="00431A5F">
        <w:rPr>
          <w:rFonts w:ascii="Times New Roman" w:hAnsi="Times New Roman"/>
          <w:sz w:val="22"/>
          <w:szCs w:val="22"/>
        </w:rPr>
        <w:t>t</w:t>
      </w:r>
      <w:r w:rsidR="00AF28DF" w:rsidRPr="00431A5F">
        <w:rPr>
          <w:rFonts w:ascii="Times New Roman" w:hAnsi="Times New Roman"/>
          <w:sz w:val="22"/>
          <w:szCs w:val="22"/>
        </w:rPr>
        <w:t xml:space="preserve"> wish to access the options for assistance made available by the CSP.</w:t>
      </w:r>
    </w:p>
    <w:p w14:paraId="59E014FB" w14:textId="75F260DC" w:rsidR="00B8483F" w:rsidRPr="00431A5F" w:rsidRDefault="00B8483F" w:rsidP="00B8483F">
      <w:pPr>
        <w:rPr>
          <w:rFonts w:ascii="Times New Roman" w:hAnsi="Times New Roman"/>
          <w:b/>
          <w:sz w:val="22"/>
          <w:szCs w:val="22"/>
        </w:rPr>
      </w:pPr>
      <w:r w:rsidRPr="00431A5F">
        <w:rPr>
          <w:rFonts w:ascii="Times New Roman" w:hAnsi="Times New Roman"/>
          <w:b/>
          <w:sz w:val="22"/>
          <w:szCs w:val="22"/>
        </w:rPr>
        <w:t>Section 18</w:t>
      </w:r>
      <w:r w:rsidRPr="00431A5F">
        <w:rPr>
          <w:rFonts w:ascii="Times New Roman" w:hAnsi="Times New Roman"/>
          <w:b/>
          <w:sz w:val="22"/>
          <w:szCs w:val="22"/>
        </w:rPr>
        <w:tab/>
      </w:r>
      <w:r w:rsidRPr="00431A5F">
        <w:rPr>
          <w:rFonts w:ascii="Times New Roman" w:hAnsi="Times New Roman"/>
          <w:b/>
          <w:bCs/>
          <w:sz w:val="22"/>
          <w:szCs w:val="22"/>
        </w:rPr>
        <w:t>Minimum requirements – options for assistance</w:t>
      </w:r>
    </w:p>
    <w:p w14:paraId="0491CBA9" w14:textId="07D442D9" w:rsidR="00B8483F" w:rsidRPr="00431A5F" w:rsidRDefault="00E2424E" w:rsidP="00B8483F">
      <w:pPr>
        <w:rPr>
          <w:rFonts w:ascii="Times New Roman" w:hAnsi="Times New Roman"/>
          <w:sz w:val="22"/>
          <w:szCs w:val="22"/>
        </w:rPr>
      </w:pPr>
      <w:r w:rsidRPr="00431A5F">
        <w:rPr>
          <w:rFonts w:ascii="Times New Roman" w:hAnsi="Times New Roman"/>
          <w:sz w:val="22"/>
          <w:szCs w:val="22"/>
        </w:rPr>
        <w:t>This section sets out the minimum options for assistance that a CSP must make available for customers</w:t>
      </w:r>
      <w:r w:rsidR="00CF7B12" w:rsidRPr="00431A5F">
        <w:rPr>
          <w:rFonts w:ascii="Times New Roman" w:hAnsi="Times New Roman"/>
          <w:sz w:val="22"/>
          <w:szCs w:val="22"/>
        </w:rPr>
        <w:t xml:space="preserve"> that are realistic, appropriate and tailored to suit the needs of the customer</w:t>
      </w:r>
      <w:r w:rsidR="00C35536" w:rsidRPr="00431A5F">
        <w:rPr>
          <w:rFonts w:ascii="Times New Roman" w:hAnsi="Times New Roman"/>
          <w:sz w:val="22"/>
          <w:szCs w:val="22"/>
        </w:rPr>
        <w:t xml:space="preserve">. </w:t>
      </w:r>
      <w:r w:rsidR="00C65337" w:rsidRPr="00431A5F">
        <w:rPr>
          <w:rFonts w:ascii="Times New Roman" w:hAnsi="Times New Roman"/>
          <w:sz w:val="22"/>
          <w:szCs w:val="22"/>
        </w:rPr>
        <w:t>This includes o</w:t>
      </w:r>
      <w:r w:rsidR="00CF7B12" w:rsidRPr="00431A5F">
        <w:rPr>
          <w:rFonts w:ascii="Times New Roman" w:hAnsi="Times New Roman"/>
          <w:sz w:val="22"/>
          <w:szCs w:val="22"/>
        </w:rPr>
        <w:t xml:space="preserve">ffering payment plans and other assistance options to </w:t>
      </w:r>
      <w:r w:rsidR="007B365D" w:rsidRPr="00431A5F">
        <w:rPr>
          <w:rFonts w:ascii="Times New Roman" w:hAnsi="Times New Roman"/>
          <w:sz w:val="22"/>
          <w:szCs w:val="22"/>
        </w:rPr>
        <w:t xml:space="preserve">a </w:t>
      </w:r>
      <w:r w:rsidR="00CF7B12" w:rsidRPr="00431A5F">
        <w:rPr>
          <w:rFonts w:ascii="Times New Roman" w:hAnsi="Times New Roman"/>
          <w:sz w:val="22"/>
          <w:szCs w:val="22"/>
        </w:rPr>
        <w:t xml:space="preserve">customer experiencing financial hardship that are appropriate and tailored to the individual customer’s </w:t>
      </w:r>
      <w:proofErr w:type="gramStart"/>
      <w:r w:rsidR="00CF7B12" w:rsidRPr="00431A5F">
        <w:rPr>
          <w:rFonts w:ascii="Times New Roman" w:hAnsi="Times New Roman"/>
          <w:sz w:val="22"/>
          <w:szCs w:val="22"/>
        </w:rPr>
        <w:t xml:space="preserve">circumstances, </w:t>
      </w:r>
      <w:r w:rsidR="004F181C">
        <w:rPr>
          <w:rFonts w:ascii="Times New Roman" w:hAnsi="Times New Roman"/>
          <w:sz w:val="22"/>
          <w:szCs w:val="22"/>
        </w:rPr>
        <w:t>and</w:t>
      </w:r>
      <w:proofErr w:type="gramEnd"/>
      <w:r w:rsidR="004F181C">
        <w:rPr>
          <w:rFonts w:ascii="Times New Roman" w:hAnsi="Times New Roman"/>
          <w:sz w:val="22"/>
          <w:szCs w:val="22"/>
        </w:rPr>
        <w:t xml:space="preserve"> </w:t>
      </w:r>
      <w:r w:rsidR="007B365D" w:rsidRPr="00431A5F">
        <w:rPr>
          <w:rFonts w:ascii="Times New Roman" w:hAnsi="Times New Roman"/>
          <w:sz w:val="22"/>
          <w:szCs w:val="22"/>
        </w:rPr>
        <w:t>give a</w:t>
      </w:r>
      <w:r w:rsidR="00CF7B12" w:rsidRPr="00431A5F">
        <w:rPr>
          <w:rFonts w:ascii="Times New Roman" w:hAnsi="Times New Roman"/>
          <w:sz w:val="22"/>
          <w:szCs w:val="22"/>
        </w:rPr>
        <w:t xml:space="preserve"> customer the best chance of </w:t>
      </w:r>
      <w:r w:rsidR="007B365D" w:rsidRPr="00431A5F">
        <w:rPr>
          <w:rFonts w:ascii="Times New Roman" w:hAnsi="Times New Roman"/>
          <w:sz w:val="22"/>
          <w:szCs w:val="22"/>
        </w:rPr>
        <w:t>retaining a service and</w:t>
      </w:r>
      <w:r w:rsidR="00CF7B12" w:rsidRPr="00431A5F">
        <w:rPr>
          <w:rFonts w:ascii="Times New Roman" w:hAnsi="Times New Roman"/>
          <w:sz w:val="22"/>
          <w:szCs w:val="22"/>
        </w:rPr>
        <w:t xml:space="preserve"> paying their debt.</w:t>
      </w:r>
    </w:p>
    <w:p w14:paraId="184E4C1A" w14:textId="043F9BED" w:rsidR="00C35536" w:rsidRPr="00431A5F" w:rsidRDefault="00E2424E" w:rsidP="00C35536">
      <w:pPr>
        <w:rPr>
          <w:rFonts w:ascii="Times New Roman" w:hAnsi="Times New Roman"/>
          <w:sz w:val="22"/>
          <w:szCs w:val="22"/>
        </w:rPr>
      </w:pPr>
      <w:r w:rsidRPr="00431A5F">
        <w:rPr>
          <w:rFonts w:ascii="Times New Roman" w:hAnsi="Times New Roman"/>
          <w:sz w:val="22"/>
          <w:szCs w:val="22"/>
        </w:rPr>
        <w:t xml:space="preserve">Under subsection 18(1) a CSP is required to </w:t>
      </w:r>
      <w:r w:rsidR="00FD7094" w:rsidRPr="00431A5F">
        <w:rPr>
          <w:rFonts w:ascii="Times New Roman" w:hAnsi="Times New Roman"/>
          <w:sz w:val="22"/>
          <w:szCs w:val="22"/>
        </w:rPr>
        <w:t xml:space="preserve">offer </w:t>
      </w:r>
      <w:r w:rsidR="00763F5D">
        <w:rPr>
          <w:rFonts w:ascii="Times New Roman" w:hAnsi="Times New Roman"/>
          <w:sz w:val="22"/>
          <w:szCs w:val="22"/>
        </w:rPr>
        <w:t>6</w:t>
      </w:r>
      <w:r w:rsidR="00763F5D" w:rsidRPr="00431A5F">
        <w:rPr>
          <w:rFonts w:ascii="Times New Roman" w:hAnsi="Times New Roman"/>
          <w:sz w:val="22"/>
          <w:szCs w:val="22"/>
        </w:rPr>
        <w:t xml:space="preserve"> </w:t>
      </w:r>
      <w:r w:rsidR="005A3903">
        <w:rPr>
          <w:rFonts w:ascii="Times New Roman" w:hAnsi="Times New Roman"/>
          <w:sz w:val="22"/>
          <w:szCs w:val="22"/>
        </w:rPr>
        <w:t xml:space="preserve">of the </w:t>
      </w:r>
      <w:r w:rsidR="00763F5D">
        <w:rPr>
          <w:rFonts w:ascii="Times New Roman" w:hAnsi="Times New Roman"/>
          <w:sz w:val="22"/>
          <w:szCs w:val="22"/>
        </w:rPr>
        <w:t xml:space="preserve">options </w:t>
      </w:r>
      <w:r w:rsidR="008003F8">
        <w:rPr>
          <w:rFonts w:ascii="Times New Roman" w:hAnsi="Times New Roman"/>
          <w:sz w:val="22"/>
          <w:szCs w:val="22"/>
        </w:rPr>
        <w:t xml:space="preserve">listed in </w:t>
      </w:r>
      <w:r w:rsidR="003E55A1">
        <w:rPr>
          <w:rFonts w:ascii="Times New Roman" w:hAnsi="Times New Roman"/>
          <w:sz w:val="22"/>
          <w:szCs w:val="22"/>
        </w:rPr>
        <w:t xml:space="preserve">paragraphs (a) to (l) of </w:t>
      </w:r>
      <w:r w:rsidR="008003F8">
        <w:rPr>
          <w:rFonts w:ascii="Times New Roman" w:hAnsi="Times New Roman"/>
          <w:sz w:val="22"/>
          <w:szCs w:val="22"/>
        </w:rPr>
        <w:t xml:space="preserve">the definition of </w:t>
      </w:r>
      <w:r w:rsidR="00FD7094" w:rsidRPr="00431A5F">
        <w:rPr>
          <w:rFonts w:ascii="Times New Roman" w:hAnsi="Times New Roman"/>
          <w:sz w:val="22"/>
          <w:szCs w:val="22"/>
        </w:rPr>
        <w:t xml:space="preserve">‘options for assistance’ in section 5.  </w:t>
      </w:r>
      <w:r w:rsidR="00C35536" w:rsidRPr="00431A5F">
        <w:rPr>
          <w:rFonts w:ascii="Times New Roman" w:hAnsi="Times New Roman"/>
          <w:sz w:val="22"/>
          <w:szCs w:val="22"/>
        </w:rPr>
        <w:t xml:space="preserve">These options are: </w:t>
      </w:r>
    </w:p>
    <w:p w14:paraId="35D32535" w14:textId="77777777" w:rsidR="00C35536" w:rsidRPr="00431A5F" w:rsidRDefault="00C35536" w:rsidP="002457C7">
      <w:pPr>
        <w:pStyle w:val="ListParagraph"/>
        <w:numPr>
          <w:ilvl w:val="0"/>
          <w:numId w:val="37"/>
        </w:numPr>
        <w:ind w:left="1134" w:hanging="567"/>
        <w:rPr>
          <w:rFonts w:ascii="Times New Roman" w:hAnsi="Times New Roman"/>
          <w:sz w:val="22"/>
          <w:szCs w:val="22"/>
        </w:rPr>
      </w:pPr>
      <w:r w:rsidRPr="00431A5F">
        <w:rPr>
          <w:rFonts w:ascii="Times New Roman" w:hAnsi="Times New Roman"/>
          <w:sz w:val="22"/>
          <w:szCs w:val="22"/>
        </w:rPr>
        <w:t xml:space="preserve">temporarily postponing, extending or deferring the time for paying a </w:t>
      </w:r>
      <w:proofErr w:type="gramStart"/>
      <w:r w:rsidRPr="00431A5F">
        <w:rPr>
          <w:rFonts w:ascii="Times New Roman" w:hAnsi="Times New Roman"/>
          <w:sz w:val="22"/>
          <w:szCs w:val="22"/>
        </w:rPr>
        <w:t>bill;</w:t>
      </w:r>
      <w:proofErr w:type="gramEnd"/>
      <w:r w:rsidRPr="00431A5F">
        <w:rPr>
          <w:rFonts w:ascii="Times New Roman" w:hAnsi="Times New Roman"/>
          <w:sz w:val="22"/>
          <w:szCs w:val="22"/>
        </w:rPr>
        <w:t xml:space="preserve"> </w:t>
      </w:r>
    </w:p>
    <w:p w14:paraId="7E883176" w14:textId="00D9926E" w:rsidR="00C35536" w:rsidRPr="00431A5F" w:rsidRDefault="00C35536" w:rsidP="002457C7">
      <w:pPr>
        <w:pStyle w:val="ListParagraph"/>
        <w:numPr>
          <w:ilvl w:val="0"/>
          <w:numId w:val="37"/>
        </w:numPr>
        <w:ind w:left="1134" w:hanging="567"/>
        <w:rPr>
          <w:rFonts w:ascii="Times New Roman" w:hAnsi="Times New Roman"/>
          <w:sz w:val="22"/>
          <w:szCs w:val="22"/>
        </w:rPr>
      </w:pPr>
      <w:r w:rsidRPr="00431A5F">
        <w:rPr>
          <w:rFonts w:ascii="Times New Roman" w:hAnsi="Times New Roman"/>
          <w:sz w:val="22"/>
          <w:szCs w:val="22"/>
        </w:rPr>
        <w:t xml:space="preserve">discounting a bill </w:t>
      </w:r>
      <w:proofErr w:type="gramStart"/>
      <w:r w:rsidRPr="00431A5F">
        <w:rPr>
          <w:rFonts w:ascii="Times New Roman" w:hAnsi="Times New Roman"/>
          <w:sz w:val="22"/>
          <w:szCs w:val="22"/>
        </w:rPr>
        <w:t>charge;</w:t>
      </w:r>
      <w:proofErr w:type="gramEnd"/>
    </w:p>
    <w:p w14:paraId="49DE8A88" w14:textId="479C1A93" w:rsidR="00C35536" w:rsidRPr="00431A5F" w:rsidRDefault="00C35536" w:rsidP="002457C7">
      <w:pPr>
        <w:pStyle w:val="ListParagraph"/>
        <w:numPr>
          <w:ilvl w:val="0"/>
          <w:numId w:val="37"/>
        </w:numPr>
        <w:ind w:left="1134" w:hanging="567"/>
        <w:rPr>
          <w:rFonts w:ascii="Times New Roman" w:hAnsi="Times New Roman"/>
          <w:sz w:val="22"/>
          <w:szCs w:val="22"/>
        </w:rPr>
      </w:pPr>
      <w:r w:rsidRPr="00431A5F">
        <w:rPr>
          <w:rFonts w:ascii="Times New Roman" w:hAnsi="Times New Roman"/>
          <w:sz w:val="22"/>
          <w:szCs w:val="22"/>
        </w:rPr>
        <w:t xml:space="preserve">applying a credit to the customer’s </w:t>
      </w:r>
      <w:proofErr w:type="gramStart"/>
      <w:r w:rsidRPr="00431A5F">
        <w:rPr>
          <w:rFonts w:ascii="Times New Roman" w:hAnsi="Times New Roman"/>
          <w:sz w:val="22"/>
          <w:szCs w:val="22"/>
        </w:rPr>
        <w:t>account;</w:t>
      </w:r>
      <w:proofErr w:type="gramEnd"/>
    </w:p>
    <w:p w14:paraId="7975573F" w14:textId="31A0BC62" w:rsidR="00C35536" w:rsidRPr="00431A5F" w:rsidRDefault="00C35536" w:rsidP="002457C7">
      <w:pPr>
        <w:pStyle w:val="ListParagraph"/>
        <w:numPr>
          <w:ilvl w:val="0"/>
          <w:numId w:val="37"/>
        </w:numPr>
        <w:ind w:left="1134" w:hanging="567"/>
        <w:rPr>
          <w:rFonts w:ascii="Times New Roman" w:hAnsi="Times New Roman"/>
          <w:sz w:val="22"/>
          <w:szCs w:val="22"/>
        </w:rPr>
      </w:pPr>
      <w:r w:rsidRPr="00431A5F">
        <w:rPr>
          <w:rFonts w:ascii="Times New Roman" w:hAnsi="Times New Roman"/>
          <w:sz w:val="22"/>
          <w:szCs w:val="22"/>
        </w:rPr>
        <w:t xml:space="preserve">waiving a </w:t>
      </w:r>
      <w:proofErr w:type="gramStart"/>
      <w:r w:rsidRPr="00431A5F">
        <w:rPr>
          <w:rFonts w:ascii="Times New Roman" w:hAnsi="Times New Roman"/>
          <w:sz w:val="22"/>
          <w:szCs w:val="22"/>
        </w:rPr>
        <w:t>debt;</w:t>
      </w:r>
      <w:proofErr w:type="gramEnd"/>
    </w:p>
    <w:p w14:paraId="25A115E8" w14:textId="0B1693C7" w:rsidR="00C35536" w:rsidRPr="00431A5F" w:rsidRDefault="00C35536" w:rsidP="002457C7">
      <w:pPr>
        <w:pStyle w:val="ListParagraph"/>
        <w:numPr>
          <w:ilvl w:val="0"/>
          <w:numId w:val="37"/>
        </w:numPr>
        <w:ind w:left="1134" w:hanging="567"/>
        <w:rPr>
          <w:rFonts w:ascii="Times New Roman" w:hAnsi="Times New Roman"/>
          <w:sz w:val="22"/>
          <w:szCs w:val="22"/>
        </w:rPr>
      </w:pPr>
      <w:r w:rsidRPr="00431A5F">
        <w:rPr>
          <w:rFonts w:ascii="Times New Roman" w:hAnsi="Times New Roman"/>
          <w:sz w:val="22"/>
          <w:szCs w:val="22"/>
        </w:rPr>
        <w:t xml:space="preserve">payment plans which are tailored to meet a customer’s ability to </w:t>
      </w:r>
      <w:proofErr w:type="gramStart"/>
      <w:r w:rsidRPr="00431A5F">
        <w:rPr>
          <w:rFonts w:ascii="Times New Roman" w:hAnsi="Times New Roman"/>
          <w:sz w:val="22"/>
          <w:szCs w:val="22"/>
        </w:rPr>
        <w:t>pay;</w:t>
      </w:r>
      <w:proofErr w:type="gramEnd"/>
      <w:r w:rsidRPr="00431A5F">
        <w:rPr>
          <w:rFonts w:ascii="Times New Roman" w:hAnsi="Times New Roman"/>
          <w:sz w:val="22"/>
          <w:szCs w:val="22"/>
        </w:rPr>
        <w:t xml:space="preserve"> </w:t>
      </w:r>
    </w:p>
    <w:p w14:paraId="2FD22F3D" w14:textId="7C3000FF" w:rsidR="00C35536" w:rsidRPr="00431A5F" w:rsidRDefault="00C35536" w:rsidP="002457C7">
      <w:pPr>
        <w:pStyle w:val="ListParagraph"/>
        <w:numPr>
          <w:ilvl w:val="0"/>
          <w:numId w:val="37"/>
        </w:numPr>
        <w:ind w:left="1134" w:hanging="567"/>
        <w:rPr>
          <w:rFonts w:ascii="Times New Roman" w:hAnsi="Times New Roman"/>
          <w:sz w:val="22"/>
          <w:szCs w:val="22"/>
        </w:rPr>
      </w:pPr>
      <w:r w:rsidRPr="00431A5F">
        <w:rPr>
          <w:rFonts w:ascii="Times New Roman" w:hAnsi="Times New Roman"/>
          <w:sz w:val="22"/>
          <w:szCs w:val="22"/>
        </w:rPr>
        <w:t xml:space="preserve">establishing an arrangement whereby the provider matches payments made by the customer or gives credit in exchange for payments made by the </w:t>
      </w:r>
      <w:proofErr w:type="gramStart"/>
      <w:r w:rsidRPr="00431A5F">
        <w:rPr>
          <w:rFonts w:ascii="Times New Roman" w:hAnsi="Times New Roman"/>
          <w:sz w:val="22"/>
          <w:szCs w:val="22"/>
        </w:rPr>
        <w:t>customer;</w:t>
      </w:r>
      <w:proofErr w:type="gramEnd"/>
    </w:p>
    <w:p w14:paraId="7B534E64" w14:textId="618E3BD2" w:rsidR="00C35536" w:rsidRPr="00431A5F" w:rsidRDefault="00C35536" w:rsidP="002457C7">
      <w:pPr>
        <w:pStyle w:val="ListParagraph"/>
        <w:numPr>
          <w:ilvl w:val="0"/>
          <w:numId w:val="37"/>
        </w:numPr>
        <w:ind w:left="1134" w:hanging="567"/>
        <w:rPr>
          <w:rFonts w:ascii="Times New Roman" w:hAnsi="Times New Roman"/>
          <w:sz w:val="22"/>
          <w:szCs w:val="22"/>
        </w:rPr>
      </w:pPr>
      <w:r w:rsidRPr="00431A5F">
        <w:rPr>
          <w:rFonts w:ascii="Times New Roman" w:hAnsi="Times New Roman"/>
          <w:sz w:val="22"/>
          <w:szCs w:val="22"/>
        </w:rPr>
        <w:t xml:space="preserve">controls on how a customer can incur charges with the provider, including spend </w:t>
      </w:r>
      <w:proofErr w:type="gramStart"/>
      <w:r w:rsidRPr="00431A5F">
        <w:rPr>
          <w:rFonts w:ascii="Times New Roman" w:hAnsi="Times New Roman"/>
          <w:sz w:val="22"/>
          <w:szCs w:val="22"/>
        </w:rPr>
        <w:t>controls;</w:t>
      </w:r>
      <w:proofErr w:type="gramEnd"/>
    </w:p>
    <w:p w14:paraId="45F34438" w14:textId="1159024F" w:rsidR="00C35536" w:rsidRPr="00431A5F" w:rsidRDefault="00C35536" w:rsidP="002457C7">
      <w:pPr>
        <w:pStyle w:val="ListParagraph"/>
        <w:numPr>
          <w:ilvl w:val="0"/>
          <w:numId w:val="37"/>
        </w:numPr>
        <w:ind w:left="1134" w:hanging="567"/>
        <w:rPr>
          <w:rFonts w:ascii="Times New Roman" w:hAnsi="Times New Roman"/>
          <w:sz w:val="22"/>
          <w:szCs w:val="22"/>
        </w:rPr>
      </w:pPr>
      <w:proofErr w:type="gramStart"/>
      <w:r w:rsidRPr="00431A5F">
        <w:rPr>
          <w:rFonts w:ascii="Times New Roman" w:hAnsi="Times New Roman"/>
          <w:sz w:val="22"/>
          <w:szCs w:val="22"/>
        </w:rPr>
        <w:t>restrictions;</w:t>
      </w:r>
      <w:proofErr w:type="gramEnd"/>
      <w:r w:rsidRPr="00431A5F">
        <w:rPr>
          <w:rFonts w:ascii="Times New Roman" w:hAnsi="Times New Roman"/>
          <w:sz w:val="22"/>
          <w:szCs w:val="22"/>
        </w:rPr>
        <w:t xml:space="preserve"> </w:t>
      </w:r>
    </w:p>
    <w:p w14:paraId="208CF5C8" w14:textId="053F6DF6" w:rsidR="00C35536" w:rsidRPr="00431A5F" w:rsidRDefault="00C35536" w:rsidP="002457C7">
      <w:pPr>
        <w:pStyle w:val="ListParagraph"/>
        <w:numPr>
          <w:ilvl w:val="0"/>
          <w:numId w:val="37"/>
        </w:numPr>
        <w:ind w:left="1134" w:hanging="567"/>
        <w:rPr>
          <w:rFonts w:ascii="Times New Roman" w:hAnsi="Times New Roman"/>
          <w:sz w:val="22"/>
          <w:szCs w:val="22"/>
        </w:rPr>
      </w:pPr>
      <w:r w:rsidRPr="00431A5F">
        <w:rPr>
          <w:rFonts w:ascii="Times New Roman" w:hAnsi="Times New Roman"/>
          <w:sz w:val="22"/>
          <w:szCs w:val="22"/>
        </w:rPr>
        <w:t xml:space="preserve">removing non-essential features of a telecommunications product at no </w:t>
      </w:r>
      <w:proofErr w:type="gramStart"/>
      <w:r w:rsidRPr="00431A5F">
        <w:rPr>
          <w:rFonts w:ascii="Times New Roman" w:hAnsi="Times New Roman"/>
          <w:sz w:val="22"/>
          <w:szCs w:val="22"/>
        </w:rPr>
        <w:t>cost;</w:t>
      </w:r>
      <w:proofErr w:type="gramEnd"/>
      <w:r w:rsidRPr="00431A5F">
        <w:rPr>
          <w:rFonts w:ascii="Times New Roman" w:hAnsi="Times New Roman"/>
          <w:sz w:val="22"/>
          <w:szCs w:val="22"/>
        </w:rPr>
        <w:t xml:space="preserve">  </w:t>
      </w:r>
    </w:p>
    <w:p w14:paraId="5ABDC08A" w14:textId="05965975" w:rsidR="00C35536" w:rsidRPr="00431A5F" w:rsidRDefault="00C35536" w:rsidP="002457C7">
      <w:pPr>
        <w:pStyle w:val="ListParagraph"/>
        <w:numPr>
          <w:ilvl w:val="0"/>
          <w:numId w:val="37"/>
        </w:numPr>
        <w:ind w:left="1134" w:hanging="567"/>
        <w:rPr>
          <w:rFonts w:ascii="Times New Roman" w:hAnsi="Times New Roman"/>
          <w:sz w:val="22"/>
          <w:szCs w:val="22"/>
        </w:rPr>
      </w:pPr>
      <w:r w:rsidRPr="00431A5F">
        <w:rPr>
          <w:rFonts w:ascii="Times New Roman" w:hAnsi="Times New Roman"/>
          <w:sz w:val="22"/>
          <w:szCs w:val="22"/>
        </w:rPr>
        <w:t xml:space="preserve">transferring the customer to a different telecommunications product that better suits their </w:t>
      </w:r>
      <w:proofErr w:type="gramStart"/>
      <w:r w:rsidRPr="00431A5F">
        <w:rPr>
          <w:rFonts w:ascii="Times New Roman" w:hAnsi="Times New Roman"/>
          <w:sz w:val="22"/>
          <w:szCs w:val="22"/>
        </w:rPr>
        <w:t>circumstances;</w:t>
      </w:r>
      <w:proofErr w:type="gramEnd"/>
      <w:r w:rsidRPr="00431A5F">
        <w:rPr>
          <w:rFonts w:ascii="Times New Roman" w:hAnsi="Times New Roman"/>
          <w:sz w:val="22"/>
          <w:szCs w:val="22"/>
        </w:rPr>
        <w:t xml:space="preserve"> </w:t>
      </w:r>
    </w:p>
    <w:p w14:paraId="3C904187" w14:textId="62563E87" w:rsidR="00C35536" w:rsidRPr="00431A5F" w:rsidRDefault="00C35536" w:rsidP="002457C7">
      <w:pPr>
        <w:pStyle w:val="ListParagraph"/>
        <w:numPr>
          <w:ilvl w:val="0"/>
          <w:numId w:val="37"/>
        </w:numPr>
        <w:ind w:left="1134" w:hanging="567"/>
        <w:rPr>
          <w:rFonts w:ascii="Times New Roman" w:hAnsi="Times New Roman"/>
          <w:sz w:val="22"/>
          <w:szCs w:val="22"/>
        </w:rPr>
      </w:pPr>
      <w:r w:rsidRPr="00431A5F">
        <w:rPr>
          <w:rFonts w:ascii="Times New Roman" w:hAnsi="Times New Roman"/>
          <w:sz w:val="22"/>
          <w:szCs w:val="22"/>
        </w:rPr>
        <w:t>adjusting internal threshold limits so that the customer is not disconnected; or</w:t>
      </w:r>
    </w:p>
    <w:p w14:paraId="4C41B4E4" w14:textId="77777777" w:rsidR="00C35536" w:rsidRPr="00431A5F" w:rsidRDefault="00C35536" w:rsidP="002457C7">
      <w:pPr>
        <w:pStyle w:val="ListParagraph"/>
        <w:numPr>
          <w:ilvl w:val="0"/>
          <w:numId w:val="37"/>
        </w:numPr>
        <w:ind w:left="1134" w:hanging="567"/>
        <w:rPr>
          <w:rFonts w:ascii="Times New Roman" w:hAnsi="Times New Roman"/>
          <w:sz w:val="22"/>
          <w:szCs w:val="22"/>
        </w:rPr>
      </w:pPr>
      <w:r w:rsidRPr="00431A5F">
        <w:rPr>
          <w:rFonts w:ascii="Times New Roman" w:hAnsi="Times New Roman"/>
          <w:sz w:val="22"/>
          <w:szCs w:val="22"/>
        </w:rPr>
        <w:t xml:space="preserve">offering a free non-automatic payment method.  </w:t>
      </w:r>
    </w:p>
    <w:p w14:paraId="18B7C484" w14:textId="7B10273B" w:rsidR="00FD7094" w:rsidRPr="00431A5F" w:rsidRDefault="00004455" w:rsidP="00B8483F">
      <w:pPr>
        <w:rPr>
          <w:rFonts w:ascii="Times New Roman" w:hAnsi="Times New Roman"/>
          <w:sz w:val="22"/>
          <w:szCs w:val="22"/>
          <w:lang w:val="en-US"/>
        </w:rPr>
      </w:pPr>
      <w:r w:rsidRPr="00431A5F">
        <w:rPr>
          <w:rFonts w:ascii="Times New Roman" w:hAnsi="Times New Roman"/>
          <w:sz w:val="22"/>
          <w:szCs w:val="22"/>
        </w:rPr>
        <w:t>T</w:t>
      </w:r>
      <w:r w:rsidR="005D7683" w:rsidRPr="00431A5F">
        <w:rPr>
          <w:rFonts w:ascii="Times New Roman" w:hAnsi="Times New Roman"/>
          <w:sz w:val="22"/>
          <w:szCs w:val="22"/>
        </w:rPr>
        <w:t xml:space="preserve">he </w:t>
      </w:r>
      <w:r w:rsidRPr="00431A5F">
        <w:rPr>
          <w:rFonts w:ascii="Times New Roman" w:hAnsi="Times New Roman"/>
          <w:sz w:val="22"/>
          <w:szCs w:val="22"/>
        </w:rPr>
        <w:t xml:space="preserve">options </w:t>
      </w:r>
      <w:r w:rsidR="00027881">
        <w:rPr>
          <w:rFonts w:ascii="Times New Roman" w:hAnsi="Times New Roman"/>
          <w:sz w:val="22"/>
          <w:szCs w:val="22"/>
        </w:rPr>
        <w:t xml:space="preserve">referred to in </w:t>
      </w:r>
      <w:r w:rsidR="003E0E01">
        <w:rPr>
          <w:rFonts w:ascii="Times New Roman" w:hAnsi="Times New Roman"/>
          <w:sz w:val="22"/>
          <w:szCs w:val="22"/>
        </w:rPr>
        <w:t>paragraphs</w:t>
      </w:r>
      <w:r w:rsidR="00027881">
        <w:rPr>
          <w:rFonts w:ascii="Times New Roman" w:hAnsi="Times New Roman"/>
          <w:sz w:val="22"/>
          <w:szCs w:val="22"/>
        </w:rPr>
        <w:t xml:space="preserve"> (a)</w:t>
      </w:r>
      <w:r w:rsidR="003E0E01">
        <w:rPr>
          <w:rFonts w:ascii="Times New Roman" w:hAnsi="Times New Roman"/>
          <w:sz w:val="22"/>
          <w:szCs w:val="22"/>
        </w:rPr>
        <w:t xml:space="preserve"> and (e) from the definition of ‘options for payment’ (</w:t>
      </w:r>
      <w:r w:rsidR="000A4793">
        <w:rPr>
          <w:rFonts w:ascii="Times New Roman" w:hAnsi="Times New Roman"/>
          <w:sz w:val="22"/>
          <w:szCs w:val="22"/>
        </w:rPr>
        <w:t>extracted</w:t>
      </w:r>
      <w:r w:rsidR="003E0E01">
        <w:rPr>
          <w:rFonts w:ascii="Times New Roman" w:hAnsi="Times New Roman"/>
          <w:sz w:val="22"/>
          <w:szCs w:val="22"/>
        </w:rPr>
        <w:t xml:space="preserve"> above) </w:t>
      </w:r>
      <w:r w:rsidRPr="00431A5F">
        <w:rPr>
          <w:rFonts w:ascii="Times New Roman" w:hAnsi="Times New Roman"/>
          <w:sz w:val="22"/>
          <w:szCs w:val="22"/>
        </w:rPr>
        <w:t>are mandatory and must be offered by a CSP</w:t>
      </w:r>
      <w:r w:rsidR="00C35536" w:rsidRPr="00431A5F">
        <w:rPr>
          <w:rFonts w:ascii="Times New Roman" w:hAnsi="Times New Roman"/>
          <w:sz w:val="22"/>
          <w:szCs w:val="22"/>
          <w:lang w:val="en-US"/>
        </w:rPr>
        <w:t xml:space="preserve">. The other </w:t>
      </w:r>
      <w:r w:rsidR="0082014E" w:rsidRPr="00431A5F">
        <w:rPr>
          <w:rFonts w:ascii="Times New Roman" w:hAnsi="Times New Roman"/>
          <w:sz w:val="22"/>
          <w:szCs w:val="22"/>
          <w:lang w:val="en-US"/>
        </w:rPr>
        <w:t xml:space="preserve">4 </w:t>
      </w:r>
      <w:r w:rsidR="00C35536" w:rsidRPr="00431A5F">
        <w:rPr>
          <w:rFonts w:ascii="Times New Roman" w:hAnsi="Times New Roman"/>
          <w:sz w:val="22"/>
          <w:szCs w:val="22"/>
          <w:lang w:val="en-US"/>
        </w:rPr>
        <w:t xml:space="preserve">options </w:t>
      </w:r>
      <w:r w:rsidR="002D28E5" w:rsidRPr="00431A5F">
        <w:rPr>
          <w:rFonts w:ascii="Times New Roman" w:hAnsi="Times New Roman"/>
          <w:sz w:val="22"/>
          <w:szCs w:val="22"/>
          <w:lang w:val="en-US"/>
        </w:rPr>
        <w:t xml:space="preserve">that a CSP is required to offer </w:t>
      </w:r>
      <w:r w:rsidR="00C35536" w:rsidRPr="00431A5F">
        <w:rPr>
          <w:rFonts w:ascii="Times New Roman" w:hAnsi="Times New Roman"/>
          <w:sz w:val="22"/>
          <w:szCs w:val="22"/>
          <w:lang w:val="en-US"/>
        </w:rPr>
        <w:t xml:space="preserve">must be </w:t>
      </w:r>
      <w:r w:rsidRPr="00431A5F">
        <w:rPr>
          <w:rFonts w:ascii="Times New Roman" w:hAnsi="Times New Roman"/>
          <w:sz w:val="22"/>
          <w:szCs w:val="22"/>
          <w:lang w:val="en-US"/>
        </w:rPr>
        <w:t xml:space="preserve">selected </w:t>
      </w:r>
      <w:r w:rsidR="00C35536" w:rsidRPr="00431A5F">
        <w:rPr>
          <w:rFonts w:ascii="Times New Roman" w:hAnsi="Times New Roman"/>
          <w:sz w:val="22"/>
          <w:szCs w:val="22"/>
          <w:lang w:val="en-US"/>
        </w:rPr>
        <w:t xml:space="preserve">from the ‘options for assistance’ </w:t>
      </w:r>
      <w:r w:rsidRPr="00431A5F">
        <w:rPr>
          <w:rFonts w:ascii="Times New Roman" w:hAnsi="Times New Roman"/>
          <w:sz w:val="22"/>
          <w:szCs w:val="22"/>
          <w:lang w:val="en-US"/>
        </w:rPr>
        <w:t>as defined in section 5</w:t>
      </w:r>
      <w:r w:rsidR="00C35536" w:rsidRPr="00431A5F">
        <w:rPr>
          <w:rFonts w:ascii="Times New Roman" w:hAnsi="Times New Roman"/>
          <w:sz w:val="22"/>
          <w:szCs w:val="22"/>
          <w:lang w:val="en-US"/>
        </w:rPr>
        <w:t xml:space="preserve">, </w:t>
      </w:r>
      <w:r w:rsidR="00FD7094" w:rsidRPr="00431A5F">
        <w:rPr>
          <w:rFonts w:ascii="Times New Roman" w:hAnsi="Times New Roman"/>
          <w:sz w:val="22"/>
          <w:szCs w:val="22"/>
          <w:lang w:val="en-US"/>
        </w:rPr>
        <w:t xml:space="preserve">but it is up to a CSP which of the remaining options to select. Six options for assistance </w:t>
      </w:r>
      <w:r w:rsidR="0082014E" w:rsidRPr="00431A5F">
        <w:rPr>
          <w:rFonts w:ascii="Times New Roman" w:hAnsi="Times New Roman"/>
          <w:sz w:val="22"/>
          <w:szCs w:val="22"/>
          <w:lang w:val="en-US"/>
        </w:rPr>
        <w:t xml:space="preserve">are </w:t>
      </w:r>
      <w:r w:rsidR="00FD7094" w:rsidRPr="00431A5F">
        <w:rPr>
          <w:rFonts w:ascii="Times New Roman" w:hAnsi="Times New Roman"/>
          <w:sz w:val="22"/>
          <w:szCs w:val="22"/>
          <w:lang w:val="en-US"/>
        </w:rPr>
        <w:t xml:space="preserve">the minimum number of options that a CSP must offer. </w:t>
      </w:r>
      <w:r w:rsidR="004243B3" w:rsidRPr="00431A5F">
        <w:rPr>
          <w:rFonts w:ascii="Times New Roman" w:hAnsi="Times New Roman"/>
          <w:sz w:val="22"/>
          <w:szCs w:val="22"/>
          <w:lang w:val="en-US"/>
        </w:rPr>
        <w:t xml:space="preserve">However, </w:t>
      </w:r>
      <w:r w:rsidR="003E0E01">
        <w:rPr>
          <w:rFonts w:ascii="Times New Roman" w:hAnsi="Times New Roman"/>
          <w:sz w:val="22"/>
          <w:szCs w:val="22"/>
          <w:lang w:val="en-US"/>
        </w:rPr>
        <w:t xml:space="preserve">the </w:t>
      </w:r>
      <w:r w:rsidR="006043AC">
        <w:rPr>
          <w:rFonts w:ascii="Times New Roman" w:hAnsi="Times New Roman"/>
          <w:sz w:val="22"/>
          <w:szCs w:val="22"/>
          <w:lang w:val="en-US"/>
        </w:rPr>
        <w:t>n</w:t>
      </w:r>
      <w:r w:rsidR="003E0E01">
        <w:rPr>
          <w:rFonts w:ascii="Times New Roman" w:hAnsi="Times New Roman"/>
          <w:sz w:val="22"/>
          <w:szCs w:val="22"/>
          <w:lang w:val="en-US"/>
        </w:rPr>
        <w:t>ote to s</w:t>
      </w:r>
      <w:r w:rsidR="009A0D01">
        <w:rPr>
          <w:rFonts w:ascii="Times New Roman" w:hAnsi="Times New Roman"/>
          <w:sz w:val="22"/>
          <w:szCs w:val="22"/>
          <w:lang w:val="en-US"/>
        </w:rPr>
        <w:t>ubs</w:t>
      </w:r>
      <w:r w:rsidR="003E0E01">
        <w:rPr>
          <w:rFonts w:ascii="Times New Roman" w:hAnsi="Times New Roman"/>
          <w:sz w:val="22"/>
          <w:szCs w:val="22"/>
          <w:lang w:val="en-US"/>
        </w:rPr>
        <w:t>ection 18</w:t>
      </w:r>
      <w:r w:rsidR="009A0D01">
        <w:rPr>
          <w:rFonts w:ascii="Times New Roman" w:hAnsi="Times New Roman"/>
          <w:sz w:val="22"/>
          <w:szCs w:val="22"/>
          <w:lang w:val="en-US"/>
        </w:rPr>
        <w:t>(1)</w:t>
      </w:r>
      <w:r w:rsidR="003E0E01">
        <w:rPr>
          <w:rFonts w:ascii="Times New Roman" w:hAnsi="Times New Roman"/>
          <w:sz w:val="22"/>
          <w:szCs w:val="22"/>
          <w:lang w:val="en-US"/>
        </w:rPr>
        <w:t xml:space="preserve"> and the definition of ‘options for assistance’ make it clear that </w:t>
      </w:r>
      <w:r w:rsidR="004243B3" w:rsidRPr="00431A5F">
        <w:rPr>
          <w:rFonts w:ascii="Times New Roman" w:hAnsi="Times New Roman"/>
          <w:sz w:val="22"/>
          <w:szCs w:val="22"/>
          <w:lang w:val="en-US"/>
        </w:rPr>
        <w:t>t</w:t>
      </w:r>
      <w:r w:rsidR="00FD7094" w:rsidRPr="00431A5F">
        <w:rPr>
          <w:rFonts w:ascii="Times New Roman" w:hAnsi="Times New Roman"/>
          <w:sz w:val="22"/>
          <w:szCs w:val="22"/>
          <w:lang w:val="en-US"/>
        </w:rPr>
        <w:t xml:space="preserve">here is no limit </w:t>
      </w:r>
      <w:r w:rsidR="00C35536" w:rsidRPr="00431A5F">
        <w:rPr>
          <w:rFonts w:ascii="Times New Roman" w:hAnsi="Times New Roman"/>
          <w:sz w:val="22"/>
          <w:szCs w:val="22"/>
          <w:lang w:val="en-US"/>
        </w:rPr>
        <w:t xml:space="preserve">on the number of options a CSP can offer or accept to help a financial hardship customer with their bills. </w:t>
      </w:r>
    </w:p>
    <w:p w14:paraId="03682D27" w14:textId="65311224" w:rsidR="00D54380" w:rsidRPr="00431A5F" w:rsidRDefault="00CF7B12" w:rsidP="00CF7B12">
      <w:pPr>
        <w:rPr>
          <w:rFonts w:ascii="Times New Roman" w:hAnsi="Times New Roman"/>
          <w:sz w:val="22"/>
          <w:szCs w:val="22"/>
        </w:rPr>
      </w:pPr>
      <w:r w:rsidRPr="00431A5F">
        <w:rPr>
          <w:rFonts w:ascii="Times New Roman" w:hAnsi="Times New Roman"/>
          <w:sz w:val="22"/>
          <w:szCs w:val="22"/>
        </w:rPr>
        <w:t xml:space="preserve">These options are intended to help customers </w:t>
      </w:r>
      <w:r w:rsidR="00B4791A" w:rsidRPr="00431A5F">
        <w:rPr>
          <w:rFonts w:ascii="Times New Roman" w:hAnsi="Times New Roman"/>
          <w:sz w:val="22"/>
          <w:szCs w:val="22"/>
        </w:rPr>
        <w:t xml:space="preserve">find the best way to </w:t>
      </w:r>
      <w:r w:rsidRPr="00431A5F">
        <w:rPr>
          <w:rFonts w:ascii="Times New Roman" w:hAnsi="Times New Roman"/>
          <w:sz w:val="22"/>
          <w:szCs w:val="22"/>
        </w:rPr>
        <w:t xml:space="preserve">remain connected to appropriate services for their needs. </w:t>
      </w:r>
      <w:r w:rsidR="00FC0E29" w:rsidRPr="00431A5F">
        <w:rPr>
          <w:rFonts w:ascii="Times New Roman" w:hAnsi="Times New Roman"/>
          <w:sz w:val="22"/>
          <w:szCs w:val="22"/>
          <w:lang w:val="en-US"/>
        </w:rPr>
        <w:t xml:space="preserve">This includes maintaining access to devices that enable connection to appropriate services – noting that debt and associated financial hardship can relate to equipment (for example, mobile handsets) that a customer has acquired from a </w:t>
      </w:r>
      <w:r w:rsidR="00832B8E">
        <w:rPr>
          <w:rFonts w:ascii="Times New Roman" w:hAnsi="Times New Roman"/>
          <w:sz w:val="22"/>
          <w:szCs w:val="22"/>
          <w:lang w:val="en-US"/>
        </w:rPr>
        <w:t>CSP</w:t>
      </w:r>
      <w:r w:rsidR="00FC0E29" w:rsidRPr="00431A5F">
        <w:rPr>
          <w:rFonts w:ascii="Times New Roman" w:hAnsi="Times New Roman"/>
          <w:sz w:val="22"/>
          <w:szCs w:val="22"/>
          <w:lang w:val="en-US"/>
        </w:rPr>
        <w:t xml:space="preserve">. </w:t>
      </w:r>
      <w:r w:rsidR="00B4791A" w:rsidRPr="00431A5F">
        <w:rPr>
          <w:rFonts w:ascii="Times New Roman" w:hAnsi="Times New Roman"/>
          <w:sz w:val="22"/>
          <w:szCs w:val="22"/>
        </w:rPr>
        <w:t xml:space="preserve"> </w:t>
      </w:r>
    </w:p>
    <w:p w14:paraId="1EE59E70" w14:textId="4BF59FCB" w:rsidR="005E378E" w:rsidRDefault="00D54380" w:rsidP="00B8483F">
      <w:pPr>
        <w:rPr>
          <w:rFonts w:ascii="Times New Roman" w:hAnsi="Times New Roman"/>
          <w:sz w:val="22"/>
          <w:szCs w:val="22"/>
        </w:rPr>
      </w:pPr>
      <w:r w:rsidRPr="00431A5F">
        <w:rPr>
          <w:rFonts w:ascii="Times New Roman" w:hAnsi="Times New Roman"/>
          <w:sz w:val="22"/>
          <w:szCs w:val="22"/>
        </w:rPr>
        <w:lastRenderedPageBreak/>
        <w:t>In discussing options, a CSP cannot have a default option but must offer all available options to a customer who is seeking assistance so that the most appropriate and tailored solution for their circumstances can be found</w:t>
      </w:r>
      <w:r w:rsidR="00F834CA" w:rsidRPr="00431A5F">
        <w:rPr>
          <w:rFonts w:ascii="Times New Roman" w:hAnsi="Times New Roman"/>
          <w:sz w:val="22"/>
          <w:szCs w:val="22"/>
        </w:rPr>
        <w:t xml:space="preserve">. </w:t>
      </w:r>
    </w:p>
    <w:p w14:paraId="7D73C1CF" w14:textId="05E4F109" w:rsidR="005E378E" w:rsidRDefault="002E09BA" w:rsidP="00B8483F">
      <w:pPr>
        <w:rPr>
          <w:rFonts w:ascii="Times New Roman" w:hAnsi="Times New Roman"/>
          <w:sz w:val="22"/>
          <w:szCs w:val="22"/>
        </w:rPr>
      </w:pPr>
      <w:r w:rsidRPr="00B42A76">
        <w:rPr>
          <w:rFonts w:ascii="Times New Roman" w:hAnsi="Times New Roman"/>
          <w:sz w:val="22"/>
          <w:szCs w:val="22"/>
        </w:rPr>
        <w:t>For example, one way to tailor a solution to meet the needs of the individual could be to offer the customer the payment method of their choice, which should be provided free of charge. Other examples include setting payment schedules to suit pay periods – weekly, fortnightly or monthly and offering plans with small frequent payments or larger less frequent payments depending on the customer</w:t>
      </w:r>
      <w:r w:rsidR="00B701D1">
        <w:rPr>
          <w:rFonts w:ascii="Times New Roman" w:hAnsi="Times New Roman"/>
          <w:sz w:val="22"/>
          <w:szCs w:val="22"/>
        </w:rPr>
        <w:t>’</w:t>
      </w:r>
      <w:r w:rsidRPr="00B42A76">
        <w:rPr>
          <w:rFonts w:ascii="Times New Roman" w:hAnsi="Times New Roman"/>
          <w:sz w:val="22"/>
          <w:szCs w:val="22"/>
        </w:rPr>
        <w:t xml:space="preserve">s circumstances. </w:t>
      </w:r>
    </w:p>
    <w:p w14:paraId="67EBAF1F" w14:textId="23909A14" w:rsidR="00B4791A" w:rsidRPr="00431A5F" w:rsidRDefault="009F7C13" w:rsidP="00B8483F">
      <w:pPr>
        <w:rPr>
          <w:rFonts w:ascii="Times New Roman" w:hAnsi="Times New Roman"/>
          <w:sz w:val="22"/>
          <w:szCs w:val="22"/>
        </w:rPr>
      </w:pPr>
      <w:r w:rsidRPr="00431A5F">
        <w:rPr>
          <w:rFonts w:ascii="Times New Roman" w:hAnsi="Times New Roman"/>
          <w:sz w:val="22"/>
          <w:szCs w:val="22"/>
        </w:rPr>
        <w:t xml:space="preserve">Subsection </w:t>
      </w:r>
      <w:r w:rsidR="00CF7B12" w:rsidRPr="00431A5F">
        <w:rPr>
          <w:rFonts w:ascii="Times New Roman" w:hAnsi="Times New Roman"/>
          <w:sz w:val="22"/>
          <w:szCs w:val="22"/>
        </w:rPr>
        <w:t xml:space="preserve">18(2) requires a CSP to take a customer’s individual circumstances and capacity to pay into account when tailoring an option to suit the needs of a customer. For example, if a CSP is offering a payment plan to a customer it cannot use a standard set rate for repayment but must consider a customer’s individual circumstances and capacity to pay when setting a repayment </w:t>
      </w:r>
      <w:r w:rsidR="009F142C" w:rsidRPr="00431A5F">
        <w:rPr>
          <w:rFonts w:ascii="Times New Roman" w:hAnsi="Times New Roman"/>
          <w:sz w:val="22"/>
          <w:szCs w:val="22"/>
        </w:rPr>
        <w:t xml:space="preserve">rate and </w:t>
      </w:r>
      <w:r w:rsidR="00CF7B12" w:rsidRPr="00431A5F">
        <w:rPr>
          <w:rFonts w:ascii="Times New Roman" w:hAnsi="Times New Roman"/>
          <w:sz w:val="22"/>
          <w:szCs w:val="22"/>
        </w:rPr>
        <w:t xml:space="preserve">schedule. </w:t>
      </w:r>
    </w:p>
    <w:p w14:paraId="3FA56D2B" w14:textId="7DDFD99D" w:rsidR="00C35536" w:rsidRPr="00431A5F" w:rsidRDefault="00B4791A" w:rsidP="00B8483F">
      <w:pPr>
        <w:rPr>
          <w:rFonts w:ascii="Times New Roman" w:hAnsi="Times New Roman"/>
          <w:sz w:val="22"/>
          <w:szCs w:val="22"/>
        </w:rPr>
      </w:pPr>
      <w:r w:rsidRPr="00431A5F">
        <w:rPr>
          <w:rFonts w:ascii="Times New Roman" w:hAnsi="Times New Roman"/>
          <w:sz w:val="22"/>
          <w:szCs w:val="22"/>
        </w:rPr>
        <w:t>Pre-paid plans are often considered a viable option for customers in financial hardship. While it is recognised that these may be a suitable option for some customers there is a risk that they can cause additional hardship for customers for a variety of reasons</w:t>
      </w:r>
      <w:r w:rsidR="007E7FB8">
        <w:rPr>
          <w:rFonts w:ascii="Times New Roman" w:hAnsi="Times New Roman"/>
          <w:sz w:val="22"/>
          <w:szCs w:val="22"/>
        </w:rPr>
        <w:t>,</w:t>
      </w:r>
      <w:r w:rsidRPr="00431A5F">
        <w:rPr>
          <w:rFonts w:ascii="Times New Roman" w:hAnsi="Times New Roman"/>
          <w:sz w:val="22"/>
          <w:szCs w:val="22"/>
        </w:rPr>
        <w:t xml:space="preserve"> including the need to bring your own device, and potentially higher costs over the long term</w:t>
      </w:r>
      <w:r w:rsidR="00FA4B29" w:rsidRPr="00431A5F">
        <w:rPr>
          <w:rFonts w:ascii="Times New Roman" w:hAnsi="Times New Roman"/>
          <w:sz w:val="22"/>
          <w:szCs w:val="22"/>
        </w:rPr>
        <w:t xml:space="preserve">. Therefore, </w:t>
      </w:r>
      <w:r w:rsidRPr="00431A5F">
        <w:rPr>
          <w:rFonts w:ascii="Times New Roman" w:hAnsi="Times New Roman"/>
          <w:sz w:val="22"/>
          <w:szCs w:val="22"/>
        </w:rPr>
        <w:t xml:space="preserve">particular focus should be on meeting </w:t>
      </w:r>
      <w:r w:rsidR="009D6902" w:rsidRPr="00431A5F">
        <w:rPr>
          <w:rFonts w:ascii="Times New Roman" w:hAnsi="Times New Roman"/>
          <w:sz w:val="22"/>
          <w:szCs w:val="22"/>
        </w:rPr>
        <w:t xml:space="preserve">a </w:t>
      </w:r>
      <w:r w:rsidRPr="00431A5F">
        <w:rPr>
          <w:rFonts w:ascii="Times New Roman" w:hAnsi="Times New Roman"/>
          <w:sz w:val="22"/>
          <w:szCs w:val="22"/>
        </w:rPr>
        <w:t>customer</w:t>
      </w:r>
      <w:r w:rsidR="009D6902" w:rsidRPr="00431A5F">
        <w:rPr>
          <w:rFonts w:ascii="Times New Roman" w:hAnsi="Times New Roman"/>
          <w:sz w:val="22"/>
          <w:szCs w:val="22"/>
        </w:rPr>
        <w:t>’</w:t>
      </w:r>
      <w:r w:rsidRPr="00431A5F">
        <w:rPr>
          <w:rFonts w:ascii="Times New Roman" w:hAnsi="Times New Roman"/>
          <w:sz w:val="22"/>
          <w:szCs w:val="22"/>
        </w:rPr>
        <w:t xml:space="preserve">s needs </w:t>
      </w:r>
      <w:r w:rsidR="00012545" w:rsidRPr="00431A5F">
        <w:rPr>
          <w:rFonts w:ascii="Times New Roman" w:hAnsi="Times New Roman"/>
          <w:sz w:val="22"/>
          <w:szCs w:val="22"/>
        </w:rPr>
        <w:t>when</w:t>
      </w:r>
      <w:r w:rsidRPr="00431A5F">
        <w:rPr>
          <w:rFonts w:ascii="Times New Roman" w:hAnsi="Times New Roman"/>
          <w:sz w:val="22"/>
          <w:szCs w:val="22"/>
        </w:rPr>
        <w:t xml:space="preserve"> considering transferring them to a different telecommunications product</w:t>
      </w:r>
      <w:r w:rsidR="009D6902" w:rsidRPr="00431A5F">
        <w:rPr>
          <w:rFonts w:ascii="Times New Roman" w:hAnsi="Times New Roman"/>
          <w:sz w:val="22"/>
          <w:szCs w:val="22"/>
        </w:rPr>
        <w:t xml:space="preserve"> </w:t>
      </w:r>
      <w:proofErr w:type="gramStart"/>
      <w:r w:rsidR="009D6902" w:rsidRPr="00431A5F">
        <w:rPr>
          <w:rFonts w:ascii="Times New Roman" w:hAnsi="Times New Roman"/>
          <w:sz w:val="22"/>
          <w:szCs w:val="22"/>
        </w:rPr>
        <w:t>as a way to</w:t>
      </w:r>
      <w:proofErr w:type="gramEnd"/>
      <w:r w:rsidR="009D6902" w:rsidRPr="00431A5F">
        <w:rPr>
          <w:rFonts w:ascii="Times New Roman" w:hAnsi="Times New Roman"/>
          <w:sz w:val="22"/>
          <w:szCs w:val="22"/>
        </w:rPr>
        <w:t xml:space="preserve"> assist them with financial difficulties</w:t>
      </w:r>
      <w:r w:rsidRPr="00431A5F">
        <w:rPr>
          <w:rFonts w:ascii="Times New Roman" w:hAnsi="Times New Roman"/>
          <w:sz w:val="22"/>
          <w:szCs w:val="22"/>
        </w:rPr>
        <w:t xml:space="preserve">. </w:t>
      </w:r>
    </w:p>
    <w:p w14:paraId="683ECA24" w14:textId="08A68257" w:rsidR="00B8483F" w:rsidRPr="00431A5F" w:rsidRDefault="00B8483F" w:rsidP="005A70A1">
      <w:pPr>
        <w:spacing w:before="120"/>
        <w:rPr>
          <w:rFonts w:ascii="Times New Roman" w:hAnsi="Times New Roman"/>
          <w:b/>
          <w:sz w:val="22"/>
          <w:szCs w:val="22"/>
        </w:rPr>
      </w:pPr>
      <w:r w:rsidRPr="00431A5F">
        <w:rPr>
          <w:rFonts w:ascii="Times New Roman" w:hAnsi="Times New Roman"/>
          <w:b/>
          <w:sz w:val="22"/>
          <w:szCs w:val="22"/>
        </w:rPr>
        <w:t>Section 19</w:t>
      </w:r>
      <w:r w:rsidRPr="00431A5F">
        <w:rPr>
          <w:rFonts w:ascii="Times New Roman" w:hAnsi="Times New Roman"/>
          <w:b/>
          <w:sz w:val="22"/>
          <w:szCs w:val="22"/>
        </w:rPr>
        <w:tab/>
        <w:t>Acceptance and commencement</w:t>
      </w:r>
    </w:p>
    <w:p w14:paraId="4BDDA650" w14:textId="03659D68" w:rsidR="00B8483F" w:rsidRPr="00431A5F" w:rsidRDefault="00F834CA" w:rsidP="00B8483F">
      <w:pPr>
        <w:rPr>
          <w:rFonts w:ascii="Times New Roman" w:hAnsi="Times New Roman"/>
          <w:sz w:val="22"/>
          <w:szCs w:val="22"/>
        </w:rPr>
      </w:pPr>
      <w:r w:rsidRPr="00431A5F">
        <w:rPr>
          <w:rFonts w:ascii="Times New Roman" w:hAnsi="Times New Roman"/>
          <w:sz w:val="22"/>
          <w:szCs w:val="22"/>
        </w:rPr>
        <w:t>This section requires a</w:t>
      </w:r>
      <w:r w:rsidR="00C26F9A" w:rsidRPr="00431A5F">
        <w:rPr>
          <w:rFonts w:ascii="Times New Roman" w:hAnsi="Times New Roman"/>
          <w:sz w:val="22"/>
          <w:szCs w:val="22"/>
        </w:rPr>
        <w:t>n</w:t>
      </w:r>
      <w:r w:rsidRPr="00431A5F">
        <w:rPr>
          <w:rFonts w:ascii="Times New Roman" w:hAnsi="Times New Roman"/>
          <w:sz w:val="22"/>
          <w:szCs w:val="22"/>
        </w:rPr>
        <w:t xml:space="preserve"> arrangement for </w:t>
      </w:r>
      <w:r w:rsidR="00C26F9A" w:rsidRPr="00431A5F">
        <w:rPr>
          <w:rFonts w:ascii="Times New Roman" w:hAnsi="Times New Roman"/>
          <w:sz w:val="22"/>
          <w:szCs w:val="22"/>
        </w:rPr>
        <w:t>financial hardship assistance to commence as soon as the customer tells a CSP they agree to the arrangement.</w:t>
      </w:r>
    </w:p>
    <w:p w14:paraId="6C544538" w14:textId="3186A5DE" w:rsidR="00C26F9A" w:rsidRPr="00431A5F" w:rsidRDefault="00C26F9A" w:rsidP="00B8483F">
      <w:pPr>
        <w:rPr>
          <w:rFonts w:ascii="Times New Roman" w:hAnsi="Times New Roman"/>
          <w:sz w:val="22"/>
          <w:szCs w:val="22"/>
        </w:rPr>
      </w:pPr>
      <w:r w:rsidRPr="00431A5F">
        <w:rPr>
          <w:rFonts w:ascii="Times New Roman" w:hAnsi="Times New Roman"/>
          <w:sz w:val="22"/>
          <w:szCs w:val="22"/>
        </w:rPr>
        <w:t>This means that the financial hardship arrangement is active. It does not require all actions within the arrangement to be action</w:t>
      </w:r>
      <w:r w:rsidR="00A81297" w:rsidRPr="00431A5F">
        <w:rPr>
          <w:rFonts w:ascii="Times New Roman" w:hAnsi="Times New Roman"/>
          <w:sz w:val="22"/>
          <w:szCs w:val="22"/>
        </w:rPr>
        <w:t>ed</w:t>
      </w:r>
      <w:r w:rsidRPr="00431A5F">
        <w:rPr>
          <w:rFonts w:ascii="Times New Roman" w:hAnsi="Times New Roman"/>
          <w:sz w:val="22"/>
          <w:szCs w:val="22"/>
        </w:rPr>
        <w:t xml:space="preserve"> at the time of commencement. For example, the arrangement may relate to the acceptance of a credit which will alleviate the debt. The arrangement commences when the customer accepts it, making the debt null from that date but the credit </w:t>
      </w:r>
      <w:r w:rsidR="00A81297" w:rsidRPr="00431A5F">
        <w:rPr>
          <w:rFonts w:ascii="Times New Roman" w:hAnsi="Times New Roman"/>
          <w:sz w:val="22"/>
          <w:szCs w:val="22"/>
        </w:rPr>
        <w:t xml:space="preserve">may </w:t>
      </w:r>
      <w:r w:rsidRPr="00431A5F">
        <w:rPr>
          <w:rFonts w:ascii="Times New Roman" w:hAnsi="Times New Roman"/>
          <w:sz w:val="22"/>
          <w:szCs w:val="22"/>
        </w:rPr>
        <w:t>not appear</w:t>
      </w:r>
      <w:r w:rsidR="00A81297" w:rsidRPr="00431A5F">
        <w:rPr>
          <w:rFonts w:ascii="Times New Roman" w:hAnsi="Times New Roman"/>
          <w:sz w:val="22"/>
          <w:szCs w:val="22"/>
        </w:rPr>
        <w:t xml:space="preserve"> on the customer’s account</w:t>
      </w:r>
      <w:r w:rsidRPr="00431A5F">
        <w:rPr>
          <w:rFonts w:ascii="Times New Roman" w:hAnsi="Times New Roman"/>
          <w:sz w:val="22"/>
          <w:szCs w:val="22"/>
        </w:rPr>
        <w:t xml:space="preserve"> until the end of the following billing cycle.</w:t>
      </w:r>
    </w:p>
    <w:p w14:paraId="11421FBC" w14:textId="20EC2678" w:rsidR="00B8483F" w:rsidRPr="00431A5F" w:rsidRDefault="00B8483F" w:rsidP="00B8483F">
      <w:pPr>
        <w:rPr>
          <w:rFonts w:ascii="Times New Roman" w:hAnsi="Times New Roman"/>
          <w:b/>
          <w:bCs/>
          <w:sz w:val="22"/>
          <w:szCs w:val="22"/>
        </w:rPr>
      </w:pPr>
      <w:r w:rsidRPr="00431A5F">
        <w:rPr>
          <w:rFonts w:ascii="Times New Roman" w:hAnsi="Times New Roman"/>
          <w:b/>
          <w:sz w:val="22"/>
          <w:szCs w:val="22"/>
        </w:rPr>
        <w:t>Section 20</w:t>
      </w:r>
      <w:r w:rsidRPr="00431A5F">
        <w:rPr>
          <w:rFonts w:ascii="Times New Roman" w:hAnsi="Times New Roman"/>
          <w:b/>
          <w:sz w:val="22"/>
          <w:szCs w:val="22"/>
        </w:rPr>
        <w:tab/>
      </w:r>
      <w:r w:rsidRPr="00431A5F">
        <w:rPr>
          <w:rFonts w:ascii="Times New Roman" w:hAnsi="Times New Roman"/>
          <w:b/>
          <w:bCs/>
          <w:sz w:val="22"/>
          <w:szCs w:val="22"/>
        </w:rPr>
        <w:t xml:space="preserve">Minimum requirements – communicating </w:t>
      </w:r>
      <w:proofErr w:type="gramStart"/>
      <w:r w:rsidRPr="00431A5F">
        <w:rPr>
          <w:rFonts w:ascii="Times New Roman" w:hAnsi="Times New Roman"/>
          <w:b/>
          <w:bCs/>
          <w:sz w:val="22"/>
          <w:szCs w:val="22"/>
        </w:rPr>
        <w:t>arrangements</w:t>
      </w:r>
      <w:proofErr w:type="gramEnd"/>
    </w:p>
    <w:p w14:paraId="07BDEC7F" w14:textId="5ED9671C" w:rsidR="00127425" w:rsidRPr="00431A5F" w:rsidRDefault="00127425" w:rsidP="007C136D">
      <w:pPr>
        <w:rPr>
          <w:rFonts w:ascii="Times New Roman" w:hAnsi="Times New Roman"/>
          <w:sz w:val="22"/>
          <w:szCs w:val="22"/>
        </w:rPr>
      </w:pPr>
      <w:r w:rsidRPr="00431A5F">
        <w:rPr>
          <w:rFonts w:ascii="Times New Roman" w:hAnsi="Times New Roman"/>
          <w:sz w:val="22"/>
          <w:szCs w:val="22"/>
        </w:rPr>
        <w:t>This sectio</w:t>
      </w:r>
      <w:r w:rsidR="00B8483F" w:rsidRPr="00431A5F">
        <w:rPr>
          <w:rFonts w:ascii="Times New Roman" w:hAnsi="Times New Roman"/>
          <w:sz w:val="22"/>
          <w:szCs w:val="22"/>
        </w:rPr>
        <w:t>n</w:t>
      </w:r>
      <w:r w:rsidRPr="00431A5F">
        <w:rPr>
          <w:rFonts w:ascii="Times New Roman" w:hAnsi="Times New Roman"/>
          <w:sz w:val="22"/>
          <w:szCs w:val="22"/>
        </w:rPr>
        <w:t xml:space="preserve"> sets out the minimum requirements for the information and advice a CSP must give a customer when the customer has agreed to an arrangement for financial hardship assistance. It requires a CSP to give the customer written notice of</w:t>
      </w:r>
      <w:r w:rsidR="007C136D" w:rsidRPr="00431A5F">
        <w:rPr>
          <w:rFonts w:ascii="Times New Roman" w:hAnsi="Times New Roman"/>
          <w:sz w:val="22"/>
          <w:szCs w:val="22"/>
        </w:rPr>
        <w:t xml:space="preserve"> </w:t>
      </w:r>
      <w:r w:rsidRPr="00431A5F">
        <w:rPr>
          <w:rFonts w:ascii="Times New Roman" w:hAnsi="Times New Roman"/>
          <w:sz w:val="22"/>
          <w:szCs w:val="22"/>
        </w:rPr>
        <w:t>the details of the arrangement</w:t>
      </w:r>
      <w:r w:rsidR="007C136D" w:rsidRPr="00431A5F">
        <w:rPr>
          <w:rFonts w:ascii="Times New Roman" w:hAnsi="Times New Roman"/>
          <w:sz w:val="22"/>
          <w:szCs w:val="22"/>
        </w:rPr>
        <w:t xml:space="preserve"> including the </w:t>
      </w:r>
      <w:r w:rsidRPr="00431A5F">
        <w:rPr>
          <w:rFonts w:ascii="Times New Roman" w:hAnsi="Times New Roman"/>
          <w:sz w:val="22"/>
          <w:szCs w:val="22"/>
        </w:rPr>
        <w:t>customer</w:t>
      </w:r>
      <w:r w:rsidR="007C136D" w:rsidRPr="00431A5F">
        <w:rPr>
          <w:rFonts w:ascii="Times New Roman" w:hAnsi="Times New Roman"/>
          <w:sz w:val="22"/>
          <w:szCs w:val="22"/>
        </w:rPr>
        <w:t>’</w:t>
      </w:r>
      <w:r w:rsidRPr="00431A5F">
        <w:rPr>
          <w:rFonts w:ascii="Times New Roman" w:hAnsi="Times New Roman"/>
          <w:sz w:val="22"/>
          <w:szCs w:val="22"/>
        </w:rPr>
        <w:t xml:space="preserve">s </w:t>
      </w:r>
      <w:r w:rsidR="007C136D" w:rsidRPr="00431A5F">
        <w:rPr>
          <w:rFonts w:ascii="Times New Roman" w:hAnsi="Times New Roman"/>
          <w:sz w:val="22"/>
          <w:szCs w:val="22"/>
        </w:rPr>
        <w:t xml:space="preserve">rights and obligations under the arrangement, the duration of the arrangement and the circumstances under which credit management may be taken. This notice must be given within 2 business days after the customer and CSP agree to the </w:t>
      </w:r>
      <w:proofErr w:type="gramStart"/>
      <w:r w:rsidR="007C136D" w:rsidRPr="00431A5F">
        <w:rPr>
          <w:rFonts w:ascii="Times New Roman" w:hAnsi="Times New Roman"/>
          <w:sz w:val="22"/>
          <w:szCs w:val="22"/>
        </w:rPr>
        <w:t>arrangement</w:t>
      </w:r>
      <w:r w:rsidR="004903CD">
        <w:rPr>
          <w:rFonts w:ascii="Times New Roman" w:hAnsi="Times New Roman"/>
          <w:sz w:val="22"/>
          <w:szCs w:val="22"/>
        </w:rPr>
        <w:t>,</w:t>
      </w:r>
      <w:r w:rsidR="007C136D" w:rsidRPr="00431A5F">
        <w:rPr>
          <w:rFonts w:ascii="Times New Roman" w:hAnsi="Times New Roman"/>
          <w:sz w:val="22"/>
          <w:szCs w:val="22"/>
        </w:rPr>
        <w:t xml:space="preserve"> and</w:t>
      </w:r>
      <w:proofErr w:type="gramEnd"/>
      <w:r w:rsidR="007C136D" w:rsidRPr="00431A5F">
        <w:rPr>
          <w:rFonts w:ascii="Times New Roman" w:hAnsi="Times New Roman"/>
          <w:sz w:val="22"/>
          <w:szCs w:val="22"/>
        </w:rPr>
        <w:t xml:space="preserve"> notify the customer </w:t>
      </w:r>
      <w:r w:rsidR="003952EC" w:rsidRPr="00431A5F">
        <w:rPr>
          <w:rFonts w:ascii="Times New Roman" w:hAnsi="Times New Roman"/>
          <w:sz w:val="22"/>
          <w:szCs w:val="22"/>
        </w:rPr>
        <w:t>o</w:t>
      </w:r>
      <w:r w:rsidR="007C136D" w:rsidRPr="00431A5F">
        <w:rPr>
          <w:rFonts w:ascii="Times New Roman" w:hAnsi="Times New Roman"/>
          <w:sz w:val="22"/>
          <w:szCs w:val="22"/>
        </w:rPr>
        <w:t xml:space="preserve">f their obligation to advise the provider of changes to their situation within 14 days of that change and </w:t>
      </w:r>
      <w:r w:rsidR="00C7535D">
        <w:rPr>
          <w:rFonts w:ascii="Times New Roman" w:hAnsi="Times New Roman"/>
          <w:sz w:val="22"/>
          <w:szCs w:val="22"/>
        </w:rPr>
        <w:t xml:space="preserve">of </w:t>
      </w:r>
      <w:r w:rsidR="007C136D" w:rsidRPr="00431A5F">
        <w:rPr>
          <w:rFonts w:ascii="Times New Roman" w:hAnsi="Times New Roman"/>
          <w:sz w:val="22"/>
          <w:szCs w:val="22"/>
        </w:rPr>
        <w:t>the customer</w:t>
      </w:r>
      <w:r w:rsidR="003952EC" w:rsidRPr="00431A5F">
        <w:rPr>
          <w:rFonts w:ascii="Times New Roman" w:hAnsi="Times New Roman"/>
          <w:sz w:val="22"/>
          <w:szCs w:val="22"/>
        </w:rPr>
        <w:t>’s ability to</w:t>
      </w:r>
      <w:r w:rsidR="007C136D" w:rsidRPr="00431A5F">
        <w:rPr>
          <w:rFonts w:ascii="Times New Roman" w:hAnsi="Times New Roman"/>
          <w:sz w:val="22"/>
          <w:szCs w:val="22"/>
        </w:rPr>
        <w:t xml:space="preserve"> seek a review if their financial </w:t>
      </w:r>
      <w:r w:rsidR="001C2DEC">
        <w:rPr>
          <w:rFonts w:ascii="Times New Roman" w:hAnsi="Times New Roman"/>
          <w:sz w:val="22"/>
          <w:szCs w:val="22"/>
        </w:rPr>
        <w:t xml:space="preserve">hardship </w:t>
      </w:r>
      <w:r w:rsidR="007C136D" w:rsidRPr="00431A5F">
        <w:rPr>
          <w:rFonts w:ascii="Times New Roman" w:hAnsi="Times New Roman"/>
          <w:sz w:val="22"/>
          <w:szCs w:val="22"/>
        </w:rPr>
        <w:t>situation changes.</w:t>
      </w:r>
    </w:p>
    <w:p w14:paraId="43BF8C8D" w14:textId="77777777" w:rsidR="00BB1A61" w:rsidRPr="00431A5F" w:rsidRDefault="00BB1A61" w:rsidP="00BB1A61">
      <w:pPr>
        <w:rPr>
          <w:rFonts w:ascii="Times New Roman" w:hAnsi="Times New Roman"/>
          <w:sz w:val="22"/>
          <w:szCs w:val="22"/>
        </w:rPr>
      </w:pPr>
      <w:r w:rsidRPr="00431A5F">
        <w:rPr>
          <w:rFonts w:ascii="Times New Roman" w:hAnsi="Times New Roman"/>
          <w:sz w:val="22"/>
          <w:szCs w:val="22"/>
        </w:rPr>
        <w:t xml:space="preserve">This is intended to ensure that both customer and the CSP have a clear, mutual understanding and record of what is agreed and expected at the beginning of any arrangement. </w:t>
      </w:r>
    </w:p>
    <w:p w14:paraId="77872565" w14:textId="35BE099B" w:rsidR="00BE1D52" w:rsidRPr="00431A5F" w:rsidRDefault="001C2DEC" w:rsidP="007C136D">
      <w:pPr>
        <w:rPr>
          <w:rFonts w:ascii="Times New Roman" w:hAnsi="Times New Roman"/>
          <w:sz w:val="22"/>
          <w:szCs w:val="22"/>
        </w:rPr>
      </w:pPr>
      <w:r>
        <w:rPr>
          <w:rFonts w:ascii="Times New Roman" w:hAnsi="Times New Roman"/>
          <w:sz w:val="22"/>
          <w:szCs w:val="22"/>
        </w:rPr>
        <w:t>As noted, t</w:t>
      </w:r>
      <w:r w:rsidR="00BE1D52" w:rsidRPr="00431A5F">
        <w:rPr>
          <w:rFonts w:ascii="Times New Roman" w:hAnsi="Times New Roman"/>
          <w:sz w:val="22"/>
          <w:szCs w:val="22"/>
        </w:rPr>
        <w:t xml:space="preserve">here is a requirement for customers to advise the CSP if their situation changes during the term of their arrangement within 14 days of the change in their situation. </w:t>
      </w:r>
      <w:r w:rsidR="00BB1A61" w:rsidRPr="00431A5F">
        <w:rPr>
          <w:rFonts w:ascii="Times New Roman" w:hAnsi="Times New Roman"/>
          <w:sz w:val="22"/>
          <w:szCs w:val="22"/>
        </w:rPr>
        <w:t>Where a CSP becomes aware that a customer’s situation has changed, but the customer has failed to notify it</w:t>
      </w:r>
      <w:r w:rsidR="00693B8B">
        <w:rPr>
          <w:rFonts w:ascii="Times New Roman" w:hAnsi="Times New Roman"/>
          <w:sz w:val="22"/>
          <w:szCs w:val="22"/>
        </w:rPr>
        <w:t>,</w:t>
      </w:r>
      <w:r w:rsidR="00BB1A61" w:rsidRPr="00431A5F">
        <w:rPr>
          <w:rFonts w:ascii="Times New Roman" w:hAnsi="Times New Roman"/>
          <w:sz w:val="22"/>
          <w:szCs w:val="22"/>
        </w:rPr>
        <w:t xml:space="preserve"> this is not considered sufficient reason to discontinue the arrangement. In such circumstances</w:t>
      </w:r>
      <w:r w:rsidR="006A775D" w:rsidRPr="00431A5F">
        <w:rPr>
          <w:rFonts w:ascii="Times New Roman" w:hAnsi="Times New Roman"/>
          <w:sz w:val="22"/>
          <w:szCs w:val="22"/>
        </w:rPr>
        <w:t>,</w:t>
      </w:r>
      <w:r w:rsidR="00BB1A61" w:rsidRPr="00431A5F">
        <w:rPr>
          <w:rFonts w:ascii="Times New Roman" w:hAnsi="Times New Roman"/>
          <w:sz w:val="22"/>
          <w:szCs w:val="22"/>
        </w:rPr>
        <w:t xml:space="preserve"> a CSP </w:t>
      </w:r>
      <w:r w:rsidR="00D36286">
        <w:rPr>
          <w:rFonts w:ascii="Times New Roman" w:hAnsi="Times New Roman"/>
          <w:sz w:val="22"/>
          <w:szCs w:val="22"/>
        </w:rPr>
        <w:t>must</w:t>
      </w:r>
      <w:r w:rsidR="003D0FCA">
        <w:rPr>
          <w:rFonts w:ascii="Times New Roman" w:hAnsi="Times New Roman"/>
          <w:sz w:val="22"/>
          <w:szCs w:val="22"/>
        </w:rPr>
        <w:t xml:space="preserve"> promptly</w:t>
      </w:r>
      <w:r w:rsidR="00D36286" w:rsidRPr="00431A5F">
        <w:rPr>
          <w:rFonts w:ascii="Times New Roman" w:hAnsi="Times New Roman"/>
          <w:sz w:val="22"/>
          <w:szCs w:val="22"/>
        </w:rPr>
        <w:t xml:space="preserve"> </w:t>
      </w:r>
      <w:r w:rsidR="00BB1A61" w:rsidRPr="00431A5F">
        <w:rPr>
          <w:rFonts w:ascii="Times New Roman" w:hAnsi="Times New Roman"/>
          <w:sz w:val="22"/>
          <w:szCs w:val="22"/>
        </w:rPr>
        <w:t xml:space="preserve">contact the customer in accordance with subsection 22(2). </w:t>
      </w:r>
    </w:p>
    <w:p w14:paraId="2E8FE577" w14:textId="77777777" w:rsidR="00B8483F" w:rsidRPr="00431A5F" w:rsidRDefault="00B8483F" w:rsidP="00B8483F">
      <w:pPr>
        <w:rPr>
          <w:rFonts w:ascii="Times New Roman" w:hAnsi="Times New Roman"/>
          <w:b/>
          <w:bCs/>
          <w:sz w:val="22"/>
          <w:szCs w:val="22"/>
        </w:rPr>
      </w:pPr>
      <w:r w:rsidRPr="00431A5F">
        <w:rPr>
          <w:rFonts w:ascii="Times New Roman" w:hAnsi="Times New Roman"/>
          <w:b/>
          <w:sz w:val="22"/>
          <w:szCs w:val="22"/>
        </w:rPr>
        <w:lastRenderedPageBreak/>
        <w:t>Section 21</w:t>
      </w:r>
      <w:r w:rsidRPr="00431A5F">
        <w:rPr>
          <w:rFonts w:ascii="Times New Roman" w:hAnsi="Times New Roman"/>
          <w:b/>
          <w:sz w:val="22"/>
          <w:szCs w:val="22"/>
        </w:rPr>
        <w:tab/>
      </w:r>
      <w:r w:rsidRPr="00431A5F">
        <w:rPr>
          <w:rFonts w:ascii="Times New Roman" w:hAnsi="Times New Roman"/>
          <w:b/>
          <w:bCs/>
          <w:sz w:val="22"/>
          <w:szCs w:val="22"/>
        </w:rPr>
        <w:t>No charge for financial hardship assistance</w:t>
      </w:r>
    </w:p>
    <w:p w14:paraId="6162BF40" w14:textId="14EA4C93" w:rsidR="00B8483F" w:rsidRPr="00431A5F" w:rsidRDefault="00BB1A61" w:rsidP="00B8483F">
      <w:pPr>
        <w:rPr>
          <w:rFonts w:ascii="Times New Roman" w:hAnsi="Times New Roman"/>
          <w:sz w:val="22"/>
          <w:szCs w:val="22"/>
        </w:rPr>
      </w:pPr>
      <w:r w:rsidRPr="00431A5F">
        <w:rPr>
          <w:rFonts w:ascii="Times New Roman" w:hAnsi="Times New Roman"/>
          <w:sz w:val="22"/>
          <w:szCs w:val="22"/>
        </w:rPr>
        <w:t>This section provides that a customer must not be charged by a CSP for financial hardship assistance. This includes ensuring there are no charges levied for the application, assessment, administration or access to financial hardship assistance or arrangements.</w:t>
      </w:r>
    </w:p>
    <w:p w14:paraId="7B887140" w14:textId="56834CDC" w:rsidR="00BB1A61" w:rsidRPr="00431A5F" w:rsidRDefault="002E2E93" w:rsidP="00B8483F">
      <w:pPr>
        <w:rPr>
          <w:rFonts w:ascii="Times New Roman" w:hAnsi="Times New Roman"/>
          <w:sz w:val="22"/>
          <w:szCs w:val="22"/>
        </w:rPr>
      </w:pPr>
      <w:r w:rsidRPr="00431A5F">
        <w:rPr>
          <w:rFonts w:ascii="Times New Roman" w:hAnsi="Times New Roman"/>
          <w:sz w:val="22"/>
          <w:szCs w:val="22"/>
        </w:rPr>
        <w:t xml:space="preserve">One of the intended effects of the </w:t>
      </w:r>
      <w:r w:rsidR="00693B8B">
        <w:rPr>
          <w:rFonts w:ascii="Times New Roman" w:hAnsi="Times New Roman"/>
          <w:sz w:val="22"/>
          <w:szCs w:val="22"/>
        </w:rPr>
        <w:t>Standard</w:t>
      </w:r>
      <w:r w:rsidR="00693B8B" w:rsidRPr="00431A5F">
        <w:rPr>
          <w:rFonts w:ascii="Times New Roman" w:hAnsi="Times New Roman"/>
          <w:sz w:val="22"/>
          <w:szCs w:val="22"/>
        </w:rPr>
        <w:t xml:space="preserve"> </w:t>
      </w:r>
      <w:r w:rsidRPr="00431A5F">
        <w:rPr>
          <w:rFonts w:ascii="Times New Roman" w:hAnsi="Times New Roman"/>
          <w:sz w:val="22"/>
          <w:szCs w:val="22"/>
        </w:rPr>
        <w:t xml:space="preserve">is </w:t>
      </w:r>
      <w:r w:rsidRPr="00431A5F">
        <w:rPr>
          <w:rFonts w:ascii="Times New Roman" w:hAnsi="Times New Roman"/>
          <w:sz w:val="22"/>
          <w:szCs w:val="22"/>
          <w:lang w:val="en-US"/>
        </w:rPr>
        <w:t>to stop debt and associated issues escalating</w:t>
      </w:r>
      <w:r w:rsidRPr="00431A5F">
        <w:rPr>
          <w:rFonts w:ascii="Times New Roman" w:hAnsi="Times New Roman"/>
          <w:sz w:val="22"/>
          <w:szCs w:val="22"/>
        </w:rPr>
        <w:t xml:space="preserve">. Charging customers in financial hardship for assistance would undermine this intent by placing an additional financial burden on those that are already struggling to pay their bills. </w:t>
      </w:r>
    </w:p>
    <w:p w14:paraId="244FDCDC" w14:textId="3E9C20FD" w:rsidR="00B8483F" w:rsidRPr="00431A5F" w:rsidRDefault="00B8483F" w:rsidP="00B8483F">
      <w:pPr>
        <w:rPr>
          <w:rFonts w:ascii="Times New Roman" w:hAnsi="Times New Roman"/>
          <w:b/>
          <w:sz w:val="22"/>
          <w:szCs w:val="22"/>
        </w:rPr>
      </w:pPr>
      <w:r w:rsidRPr="00431A5F">
        <w:rPr>
          <w:rFonts w:ascii="Times New Roman" w:hAnsi="Times New Roman"/>
          <w:b/>
          <w:sz w:val="22"/>
          <w:szCs w:val="22"/>
        </w:rPr>
        <w:t>Section 22</w:t>
      </w:r>
      <w:r w:rsidRPr="00431A5F">
        <w:rPr>
          <w:rFonts w:ascii="Times New Roman" w:hAnsi="Times New Roman"/>
          <w:b/>
          <w:sz w:val="22"/>
          <w:szCs w:val="22"/>
        </w:rPr>
        <w:tab/>
        <w:t>Review of arrangements for financial hardship assistance</w:t>
      </w:r>
    </w:p>
    <w:p w14:paraId="26D898E6" w14:textId="38DB8AEF" w:rsidR="00B8483F" w:rsidRPr="00431A5F" w:rsidRDefault="002E2E93" w:rsidP="00B8483F">
      <w:pPr>
        <w:rPr>
          <w:rFonts w:ascii="Times New Roman" w:hAnsi="Times New Roman"/>
          <w:sz w:val="22"/>
          <w:szCs w:val="22"/>
        </w:rPr>
      </w:pPr>
      <w:r w:rsidRPr="00431A5F">
        <w:rPr>
          <w:rFonts w:ascii="Times New Roman" w:hAnsi="Times New Roman"/>
          <w:sz w:val="22"/>
          <w:szCs w:val="22"/>
        </w:rPr>
        <w:t xml:space="preserve">This section sets out when a CSP must review a </w:t>
      </w:r>
      <w:r w:rsidR="00EF12F7" w:rsidRPr="00431A5F">
        <w:rPr>
          <w:rFonts w:ascii="Times New Roman" w:hAnsi="Times New Roman"/>
          <w:sz w:val="22"/>
          <w:szCs w:val="22"/>
        </w:rPr>
        <w:t>customer’s</w:t>
      </w:r>
      <w:r w:rsidRPr="00431A5F">
        <w:rPr>
          <w:rFonts w:ascii="Times New Roman" w:hAnsi="Times New Roman"/>
          <w:sz w:val="22"/>
          <w:szCs w:val="22"/>
        </w:rPr>
        <w:t xml:space="preserve"> financial hardship arrangement. There is a requirement to review a financial hardship arrangement within 5 business days of being informed by the customer that their financial hardship situation has changed. A CSP is also required to contact the customer and offer to review the financial hardship arrangement where the customer has not complied with an agreed term.</w:t>
      </w:r>
    </w:p>
    <w:p w14:paraId="31442C82" w14:textId="5BA71F74" w:rsidR="002E2E93" w:rsidRPr="00431A5F" w:rsidRDefault="002E2E93" w:rsidP="00B8483F">
      <w:pPr>
        <w:rPr>
          <w:rFonts w:ascii="Times New Roman" w:hAnsi="Times New Roman"/>
          <w:sz w:val="22"/>
          <w:szCs w:val="22"/>
        </w:rPr>
      </w:pPr>
      <w:r w:rsidRPr="00431A5F">
        <w:rPr>
          <w:rFonts w:ascii="Times New Roman" w:hAnsi="Times New Roman"/>
          <w:sz w:val="22"/>
          <w:szCs w:val="22"/>
        </w:rPr>
        <w:t xml:space="preserve">This section is intended to </w:t>
      </w:r>
      <w:r w:rsidR="00CA40B5" w:rsidRPr="00431A5F">
        <w:rPr>
          <w:rFonts w:ascii="Times New Roman" w:hAnsi="Times New Roman"/>
          <w:sz w:val="22"/>
          <w:szCs w:val="22"/>
        </w:rPr>
        <w:t xml:space="preserve">ensure that arrangements between a CSP and a customer remain practical and affordable and offer the customer the best opportunity to meet their financial debt while remaining connected. For example, customers who are on low incomes or experience employment insecurity may require a review to an ongoing payment plan to take account of </w:t>
      </w:r>
      <w:r w:rsidR="00381CC8">
        <w:rPr>
          <w:rFonts w:ascii="Times New Roman" w:hAnsi="Times New Roman"/>
          <w:sz w:val="22"/>
          <w:szCs w:val="22"/>
        </w:rPr>
        <w:t xml:space="preserve">a change in situation, such as </w:t>
      </w:r>
      <w:r w:rsidR="00CA40B5" w:rsidRPr="00431A5F">
        <w:rPr>
          <w:rFonts w:ascii="Times New Roman" w:hAnsi="Times New Roman"/>
          <w:sz w:val="22"/>
          <w:szCs w:val="22"/>
        </w:rPr>
        <w:t xml:space="preserve">an unexpected expense or fewer hours </w:t>
      </w:r>
      <w:r w:rsidR="00381CC8">
        <w:rPr>
          <w:rFonts w:ascii="Times New Roman" w:hAnsi="Times New Roman"/>
          <w:sz w:val="22"/>
          <w:szCs w:val="22"/>
        </w:rPr>
        <w:t xml:space="preserve">of </w:t>
      </w:r>
      <w:r w:rsidR="00CA40B5" w:rsidRPr="00431A5F">
        <w:rPr>
          <w:rFonts w:ascii="Times New Roman" w:hAnsi="Times New Roman"/>
          <w:sz w:val="22"/>
          <w:szCs w:val="22"/>
        </w:rPr>
        <w:t xml:space="preserve">work. </w:t>
      </w:r>
    </w:p>
    <w:p w14:paraId="0651ED87" w14:textId="38C50189" w:rsidR="00B8483F" w:rsidRPr="00431A5F" w:rsidRDefault="00B8483F" w:rsidP="00B8483F">
      <w:pPr>
        <w:rPr>
          <w:rFonts w:ascii="Times New Roman" w:hAnsi="Times New Roman"/>
          <w:b/>
          <w:sz w:val="22"/>
          <w:szCs w:val="22"/>
        </w:rPr>
      </w:pPr>
      <w:r w:rsidRPr="00431A5F">
        <w:rPr>
          <w:rFonts w:ascii="Times New Roman" w:hAnsi="Times New Roman"/>
          <w:b/>
          <w:sz w:val="22"/>
          <w:szCs w:val="22"/>
        </w:rPr>
        <w:t xml:space="preserve">Part 4 – </w:t>
      </w:r>
      <w:r w:rsidRPr="00431A5F">
        <w:rPr>
          <w:rStyle w:val="CharPartText"/>
          <w:rFonts w:ascii="Times New Roman" w:hAnsi="Times New Roman"/>
          <w:b/>
          <w:bCs/>
          <w:color w:val="000000" w:themeColor="text1"/>
          <w:sz w:val="22"/>
          <w:szCs w:val="22"/>
        </w:rPr>
        <w:t>Credit Management Action</w:t>
      </w:r>
    </w:p>
    <w:p w14:paraId="101205A6" w14:textId="0C4594D8" w:rsidR="00B8483F" w:rsidRPr="00431A5F" w:rsidRDefault="00B8483F" w:rsidP="00B8483F">
      <w:pPr>
        <w:rPr>
          <w:rFonts w:ascii="Times New Roman" w:hAnsi="Times New Roman"/>
          <w:b/>
          <w:sz w:val="22"/>
          <w:szCs w:val="22"/>
        </w:rPr>
      </w:pPr>
      <w:r w:rsidRPr="00431A5F">
        <w:rPr>
          <w:rFonts w:ascii="Times New Roman" w:hAnsi="Times New Roman"/>
          <w:b/>
          <w:sz w:val="22"/>
          <w:szCs w:val="22"/>
        </w:rPr>
        <w:t>Section 23</w:t>
      </w:r>
      <w:r w:rsidRPr="00431A5F">
        <w:rPr>
          <w:rFonts w:ascii="Times New Roman" w:hAnsi="Times New Roman"/>
          <w:b/>
          <w:sz w:val="22"/>
          <w:szCs w:val="22"/>
        </w:rPr>
        <w:tab/>
        <w:t xml:space="preserve">Minimum requirements – assessing credit management </w:t>
      </w:r>
      <w:proofErr w:type="gramStart"/>
      <w:r w:rsidRPr="00431A5F">
        <w:rPr>
          <w:rFonts w:ascii="Times New Roman" w:hAnsi="Times New Roman"/>
          <w:b/>
          <w:sz w:val="22"/>
          <w:szCs w:val="22"/>
        </w:rPr>
        <w:t>action</w:t>
      </w:r>
      <w:proofErr w:type="gramEnd"/>
    </w:p>
    <w:p w14:paraId="1E6F6E39" w14:textId="71F4FE9D" w:rsidR="00B8483F" w:rsidRPr="00431A5F" w:rsidRDefault="002179C8" w:rsidP="00B8483F">
      <w:pPr>
        <w:rPr>
          <w:rFonts w:ascii="Times New Roman" w:hAnsi="Times New Roman"/>
          <w:sz w:val="22"/>
          <w:szCs w:val="22"/>
        </w:rPr>
      </w:pPr>
      <w:r w:rsidRPr="00431A5F">
        <w:rPr>
          <w:rFonts w:ascii="Times New Roman" w:hAnsi="Times New Roman"/>
          <w:sz w:val="22"/>
          <w:szCs w:val="22"/>
        </w:rPr>
        <w:t xml:space="preserve">This section </w:t>
      </w:r>
      <w:r w:rsidR="006674B7" w:rsidRPr="00431A5F">
        <w:rPr>
          <w:rFonts w:ascii="Times New Roman" w:hAnsi="Times New Roman"/>
          <w:sz w:val="22"/>
          <w:szCs w:val="22"/>
        </w:rPr>
        <w:t xml:space="preserve">sets out minimum requirements for assessing </w:t>
      </w:r>
      <w:r w:rsidR="006F43BC" w:rsidRPr="00431A5F">
        <w:rPr>
          <w:rFonts w:ascii="Times New Roman" w:hAnsi="Times New Roman"/>
          <w:sz w:val="22"/>
          <w:szCs w:val="22"/>
        </w:rPr>
        <w:t xml:space="preserve">whether </w:t>
      </w:r>
      <w:r w:rsidR="00115F97">
        <w:rPr>
          <w:rFonts w:ascii="Times New Roman" w:hAnsi="Times New Roman"/>
          <w:sz w:val="22"/>
          <w:szCs w:val="22"/>
        </w:rPr>
        <w:t xml:space="preserve">a CSP can </w:t>
      </w:r>
      <w:r w:rsidR="006F43BC" w:rsidRPr="00431A5F">
        <w:rPr>
          <w:rFonts w:ascii="Times New Roman" w:hAnsi="Times New Roman"/>
          <w:sz w:val="22"/>
          <w:szCs w:val="22"/>
        </w:rPr>
        <w:t xml:space="preserve">take </w:t>
      </w:r>
      <w:r w:rsidR="006674B7" w:rsidRPr="00431A5F">
        <w:rPr>
          <w:rFonts w:ascii="Times New Roman" w:hAnsi="Times New Roman"/>
          <w:sz w:val="22"/>
          <w:szCs w:val="22"/>
        </w:rPr>
        <w:t xml:space="preserve">credit management action. </w:t>
      </w:r>
      <w:r w:rsidR="00DE0432">
        <w:rPr>
          <w:rFonts w:ascii="Times New Roman" w:hAnsi="Times New Roman"/>
          <w:sz w:val="22"/>
          <w:szCs w:val="22"/>
        </w:rPr>
        <w:t>The</w:t>
      </w:r>
      <w:r w:rsidR="006674B7" w:rsidRPr="00431A5F">
        <w:rPr>
          <w:rFonts w:ascii="Times New Roman" w:hAnsi="Times New Roman"/>
          <w:sz w:val="22"/>
          <w:szCs w:val="22"/>
        </w:rPr>
        <w:t xml:space="preserve"> inte</w:t>
      </w:r>
      <w:r w:rsidR="0014700C">
        <w:rPr>
          <w:rFonts w:ascii="Times New Roman" w:hAnsi="Times New Roman"/>
          <w:sz w:val="22"/>
          <w:szCs w:val="22"/>
        </w:rPr>
        <w:t>n</w:t>
      </w:r>
      <w:r w:rsidR="00DE0432">
        <w:rPr>
          <w:rFonts w:ascii="Times New Roman" w:hAnsi="Times New Roman"/>
          <w:sz w:val="22"/>
          <w:szCs w:val="22"/>
        </w:rPr>
        <w:t>tion</w:t>
      </w:r>
      <w:r w:rsidR="006674B7" w:rsidRPr="00431A5F">
        <w:rPr>
          <w:rFonts w:ascii="Times New Roman" w:hAnsi="Times New Roman"/>
          <w:sz w:val="22"/>
          <w:szCs w:val="22"/>
        </w:rPr>
        <w:t xml:space="preserve"> </w:t>
      </w:r>
      <w:r w:rsidR="00DE0432">
        <w:rPr>
          <w:rFonts w:ascii="Times New Roman" w:hAnsi="Times New Roman"/>
          <w:sz w:val="22"/>
          <w:szCs w:val="22"/>
        </w:rPr>
        <w:t>is</w:t>
      </w:r>
      <w:r w:rsidR="0014700C">
        <w:rPr>
          <w:rFonts w:ascii="Times New Roman" w:hAnsi="Times New Roman"/>
          <w:sz w:val="22"/>
          <w:szCs w:val="22"/>
        </w:rPr>
        <w:t xml:space="preserve"> </w:t>
      </w:r>
      <w:r w:rsidR="006674B7" w:rsidRPr="00431A5F">
        <w:rPr>
          <w:rFonts w:ascii="Times New Roman" w:hAnsi="Times New Roman"/>
          <w:sz w:val="22"/>
          <w:szCs w:val="22"/>
        </w:rPr>
        <w:t>to ensure that</w:t>
      </w:r>
      <w:r w:rsidR="0014700C">
        <w:rPr>
          <w:rFonts w:ascii="Times New Roman" w:hAnsi="Times New Roman"/>
          <w:sz w:val="22"/>
          <w:szCs w:val="22"/>
        </w:rPr>
        <w:t>,</w:t>
      </w:r>
      <w:r w:rsidR="006674B7" w:rsidRPr="00431A5F">
        <w:rPr>
          <w:rFonts w:ascii="Times New Roman" w:hAnsi="Times New Roman"/>
          <w:sz w:val="22"/>
          <w:szCs w:val="22"/>
        </w:rPr>
        <w:t xml:space="preserve"> before a CSP takes credit management action against a customer, that customer has been considered for financial assistance.</w:t>
      </w:r>
    </w:p>
    <w:p w14:paraId="3C19CF0B" w14:textId="6326248E" w:rsidR="002179C8" w:rsidRPr="00431A5F" w:rsidRDefault="002179C8" w:rsidP="00B8483F">
      <w:pPr>
        <w:rPr>
          <w:rFonts w:ascii="Times New Roman" w:hAnsi="Times New Roman"/>
          <w:sz w:val="22"/>
          <w:szCs w:val="22"/>
        </w:rPr>
      </w:pPr>
      <w:r w:rsidRPr="00431A5F">
        <w:rPr>
          <w:rFonts w:ascii="Times New Roman" w:hAnsi="Times New Roman"/>
          <w:sz w:val="22"/>
          <w:szCs w:val="22"/>
        </w:rPr>
        <w:t xml:space="preserve">Subsection 23(1) provides that a CSP must take all reasonable steps to determine </w:t>
      </w:r>
      <w:r w:rsidR="006674B7" w:rsidRPr="00431A5F">
        <w:rPr>
          <w:rFonts w:ascii="Times New Roman" w:hAnsi="Times New Roman"/>
          <w:sz w:val="22"/>
          <w:szCs w:val="22"/>
        </w:rPr>
        <w:t>if the customer is in financial hardship. In determining whether all reasonable steps have been taken</w:t>
      </w:r>
      <w:r w:rsidR="003B2D82">
        <w:rPr>
          <w:rFonts w:ascii="Times New Roman" w:hAnsi="Times New Roman"/>
          <w:sz w:val="22"/>
          <w:szCs w:val="22"/>
        </w:rPr>
        <w:t>,</w:t>
      </w:r>
      <w:r w:rsidR="006674B7" w:rsidRPr="00431A5F">
        <w:rPr>
          <w:rFonts w:ascii="Times New Roman" w:hAnsi="Times New Roman"/>
          <w:sz w:val="22"/>
          <w:szCs w:val="22"/>
        </w:rPr>
        <w:t xml:space="preserve"> </w:t>
      </w:r>
      <w:r w:rsidR="00E007B9">
        <w:rPr>
          <w:rFonts w:ascii="Times New Roman" w:hAnsi="Times New Roman"/>
          <w:sz w:val="22"/>
          <w:szCs w:val="22"/>
        </w:rPr>
        <w:t xml:space="preserve">it is expected that </w:t>
      </w:r>
      <w:r w:rsidR="006674B7" w:rsidRPr="00431A5F">
        <w:rPr>
          <w:rFonts w:ascii="Times New Roman" w:hAnsi="Times New Roman"/>
          <w:sz w:val="22"/>
          <w:szCs w:val="22"/>
        </w:rPr>
        <w:t xml:space="preserve">a CSP should consider whether it has complied with the requirements of </w:t>
      </w:r>
      <w:r w:rsidR="003B2D82">
        <w:rPr>
          <w:rFonts w:ascii="Times New Roman" w:hAnsi="Times New Roman"/>
          <w:sz w:val="22"/>
          <w:szCs w:val="22"/>
        </w:rPr>
        <w:t>the Standard</w:t>
      </w:r>
      <w:r w:rsidR="006674B7" w:rsidRPr="00431A5F">
        <w:rPr>
          <w:rFonts w:ascii="Times New Roman" w:hAnsi="Times New Roman"/>
          <w:sz w:val="22"/>
          <w:szCs w:val="22"/>
        </w:rPr>
        <w:t>, in particular those set out in Part 3.</w:t>
      </w:r>
    </w:p>
    <w:p w14:paraId="046CB418" w14:textId="49D24817" w:rsidR="006674B7" w:rsidRPr="00431A5F" w:rsidRDefault="006674B7" w:rsidP="00B8483F">
      <w:pPr>
        <w:rPr>
          <w:rFonts w:ascii="Times New Roman" w:hAnsi="Times New Roman"/>
          <w:sz w:val="22"/>
          <w:szCs w:val="22"/>
        </w:rPr>
      </w:pPr>
      <w:r w:rsidRPr="00431A5F">
        <w:rPr>
          <w:rFonts w:ascii="Times New Roman" w:hAnsi="Times New Roman"/>
          <w:sz w:val="22"/>
          <w:szCs w:val="22"/>
        </w:rPr>
        <w:t xml:space="preserve">Subsection 23(2) provides that if a customer is determined to be a financial hardship customer, a CSP </w:t>
      </w:r>
      <w:r w:rsidRPr="00C166F0">
        <w:rPr>
          <w:rFonts w:ascii="Times New Roman" w:hAnsi="Times New Roman"/>
          <w:sz w:val="22"/>
          <w:szCs w:val="22"/>
        </w:rPr>
        <w:t xml:space="preserve">must offer the customer financial hardship assistance that is suitable for the customer’s situation and </w:t>
      </w:r>
      <w:r w:rsidR="00AB7E3D" w:rsidRPr="00C166F0">
        <w:rPr>
          <w:rFonts w:ascii="Times New Roman" w:hAnsi="Times New Roman"/>
          <w:sz w:val="22"/>
          <w:szCs w:val="22"/>
        </w:rPr>
        <w:t xml:space="preserve">must </w:t>
      </w:r>
      <w:r w:rsidRPr="00C166F0">
        <w:rPr>
          <w:rFonts w:ascii="Times New Roman" w:hAnsi="Times New Roman"/>
          <w:sz w:val="22"/>
          <w:szCs w:val="22"/>
        </w:rPr>
        <w:t>take all reasonable steps to keep the customer’s telecommunications service connected</w:t>
      </w:r>
      <w:r w:rsidR="00CC6D47" w:rsidRPr="00C166F0">
        <w:rPr>
          <w:rFonts w:ascii="Times New Roman" w:hAnsi="Times New Roman"/>
          <w:sz w:val="22"/>
          <w:szCs w:val="22"/>
        </w:rPr>
        <w:t xml:space="preserve"> having regard to the essential nature of </w:t>
      </w:r>
      <w:r w:rsidR="00C166F0" w:rsidRPr="004016B8">
        <w:rPr>
          <w:rFonts w:ascii="Times New Roman" w:hAnsi="Times New Roman"/>
          <w:sz w:val="22"/>
          <w:szCs w:val="22"/>
        </w:rPr>
        <w:t>carriage</w:t>
      </w:r>
      <w:r w:rsidR="00CC6D47" w:rsidRPr="00C166F0">
        <w:rPr>
          <w:rFonts w:ascii="Times New Roman" w:hAnsi="Times New Roman"/>
          <w:sz w:val="22"/>
          <w:szCs w:val="22"/>
        </w:rPr>
        <w:t xml:space="preserve"> </w:t>
      </w:r>
      <w:r w:rsidR="00CC6D47" w:rsidRPr="004016B8">
        <w:rPr>
          <w:rFonts w:ascii="Times New Roman" w:hAnsi="Times New Roman"/>
          <w:sz w:val="22"/>
          <w:szCs w:val="22"/>
        </w:rPr>
        <w:t>s</w:t>
      </w:r>
      <w:r w:rsidR="00CC6D47" w:rsidRPr="00C166F0">
        <w:rPr>
          <w:rFonts w:ascii="Times New Roman" w:hAnsi="Times New Roman"/>
          <w:sz w:val="22"/>
          <w:szCs w:val="22"/>
        </w:rPr>
        <w:t>ervices</w:t>
      </w:r>
      <w:r w:rsidRPr="00C166F0">
        <w:rPr>
          <w:rFonts w:ascii="Times New Roman" w:hAnsi="Times New Roman"/>
          <w:sz w:val="22"/>
          <w:szCs w:val="22"/>
        </w:rPr>
        <w:t>.</w:t>
      </w:r>
    </w:p>
    <w:p w14:paraId="4A0270EE" w14:textId="6A958BDE" w:rsidR="00B8483F" w:rsidRPr="00431A5F" w:rsidRDefault="00B8483F" w:rsidP="00B8483F">
      <w:pPr>
        <w:rPr>
          <w:rFonts w:ascii="Times New Roman" w:hAnsi="Times New Roman"/>
          <w:b/>
          <w:sz w:val="22"/>
          <w:szCs w:val="22"/>
        </w:rPr>
      </w:pPr>
      <w:r w:rsidRPr="00431A5F">
        <w:rPr>
          <w:rFonts w:ascii="Times New Roman" w:hAnsi="Times New Roman"/>
          <w:b/>
          <w:sz w:val="22"/>
          <w:szCs w:val="22"/>
        </w:rPr>
        <w:t>Section 24</w:t>
      </w:r>
      <w:r w:rsidRPr="00431A5F">
        <w:rPr>
          <w:rFonts w:ascii="Times New Roman" w:hAnsi="Times New Roman"/>
          <w:b/>
          <w:sz w:val="22"/>
          <w:szCs w:val="22"/>
        </w:rPr>
        <w:tab/>
        <w:t xml:space="preserve">Minimum requirements – taking credit management </w:t>
      </w:r>
      <w:proofErr w:type="gramStart"/>
      <w:r w:rsidRPr="00431A5F">
        <w:rPr>
          <w:rFonts w:ascii="Times New Roman" w:hAnsi="Times New Roman"/>
          <w:b/>
          <w:sz w:val="22"/>
          <w:szCs w:val="22"/>
        </w:rPr>
        <w:t>action</w:t>
      </w:r>
      <w:proofErr w:type="gramEnd"/>
    </w:p>
    <w:p w14:paraId="5AB34755" w14:textId="18FE193C" w:rsidR="00B8483F" w:rsidRPr="00431A5F" w:rsidRDefault="003E19C0" w:rsidP="00B8483F">
      <w:pPr>
        <w:rPr>
          <w:rFonts w:ascii="Times New Roman" w:hAnsi="Times New Roman"/>
          <w:sz w:val="22"/>
          <w:szCs w:val="22"/>
        </w:rPr>
      </w:pPr>
      <w:r w:rsidRPr="00431A5F">
        <w:rPr>
          <w:rFonts w:ascii="Times New Roman" w:hAnsi="Times New Roman"/>
          <w:sz w:val="22"/>
          <w:szCs w:val="22"/>
        </w:rPr>
        <w:t xml:space="preserve">This section sets out the minimum requirements for a CSP </w:t>
      </w:r>
      <w:proofErr w:type="gramStart"/>
      <w:r w:rsidRPr="00431A5F">
        <w:rPr>
          <w:rFonts w:ascii="Times New Roman" w:hAnsi="Times New Roman"/>
          <w:sz w:val="22"/>
          <w:szCs w:val="22"/>
        </w:rPr>
        <w:t>with regard to</w:t>
      </w:r>
      <w:proofErr w:type="gramEnd"/>
      <w:r w:rsidRPr="00431A5F">
        <w:rPr>
          <w:rFonts w:ascii="Times New Roman" w:hAnsi="Times New Roman"/>
          <w:sz w:val="22"/>
          <w:szCs w:val="22"/>
        </w:rPr>
        <w:t xml:space="preserve"> taking credit </w:t>
      </w:r>
      <w:r w:rsidR="001D31F7" w:rsidRPr="00431A5F">
        <w:rPr>
          <w:rFonts w:ascii="Times New Roman" w:hAnsi="Times New Roman"/>
          <w:sz w:val="22"/>
          <w:szCs w:val="22"/>
        </w:rPr>
        <w:t xml:space="preserve">management </w:t>
      </w:r>
      <w:r w:rsidRPr="00431A5F">
        <w:rPr>
          <w:rFonts w:ascii="Times New Roman" w:hAnsi="Times New Roman"/>
          <w:sz w:val="22"/>
          <w:szCs w:val="22"/>
        </w:rPr>
        <w:t xml:space="preserve">action against </w:t>
      </w:r>
      <w:r w:rsidR="00AB7E3D">
        <w:rPr>
          <w:rFonts w:ascii="Times New Roman" w:hAnsi="Times New Roman"/>
          <w:sz w:val="22"/>
          <w:szCs w:val="22"/>
        </w:rPr>
        <w:t xml:space="preserve">a </w:t>
      </w:r>
      <w:r w:rsidRPr="00431A5F">
        <w:rPr>
          <w:rFonts w:ascii="Times New Roman" w:hAnsi="Times New Roman"/>
          <w:sz w:val="22"/>
          <w:szCs w:val="22"/>
        </w:rPr>
        <w:t>financial hardship customer.</w:t>
      </w:r>
    </w:p>
    <w:p w14:paraId="59D00900" w14:textId="76BFA65B" w:rsidR="003E19C0" w:rsidRPr="00431A5F" w:rsidRDefault="003E19C0" w:rsidP="00B8483F">
      <w:pPr>
        <w:rPr>
          <w:rFonts w:ascii="Times New Roman" w:hAnsi="Times New Roman"/>
          <w:sz w:val="22"/>
          <w:szCs w:val="22"/>
        </w:rPr>
      </w:pPr>
      <w:r w:rsidRPr="00431A5F">
        <w:rPr>
          <w:rFonts w:ascii="Times New Roman" w:hAnsi="Times New Roman"/>
          <w:sz w:val="22"/>
          <w:szCs w:val="22"/>
        </w:rPr>
        <w:t xml:space="preserve">Subsection 24(1) prohibits a CSP from taking credit </w:t>
      </w:r>
      <w:r w:rsidR="00EC06F9">
        <w:rPr>
          <w:rFonts w:ascii="Times New Roman" w:hAnsi="Times New Roman"/>
          <w:sz w:val="22"/>
          <w:szCs w:val="22"/>
        </w:rPr>
        <w:t xml:space="preserve">management </w:t>
      </w:r>
      <w:r w:rsidRPr="00431A5F">
        <w:rPr>
          <w:rFonts w:ascii="Times New Roman" w:hAnsi="Times New Roman"/>
          <w:sz w:val="22"/>
          <w:szCs w:val="22"/>
        </w:rPr>
        <w:t>action against a customer while the customer is discussing options or has made an application for financial hardship assistance or has a financial hardship arrangement on foot</w:t>
      </w:r>
      <w:r w:rsidR="00EC06F9">
        <w:rPr>
          <w:rFonts w:ascii="Times New Roman" w:hAnsi="Times New Roman"/>
          <w:sz w:val="22"/>
          <w:szCs w:val="22"/>
        </w:rPr>
        <w:t>,</w:t>
      </w:r>
      <w:r w:rsidRPr="00431A5F">
        <w:rPr>
          <w:rFonts w:ascii="Times New Roman" w:hAnsi="Times New Roman"/>
          <w:sz w:val="22"/>
          <w:szCs w:val="22"/>
        </w:rPr>
        <w:t xml:space="preserve"> unless certain conditions have been met. These conditions are set out in subsection 24(2).</w:t>
      </w:r>
    </w:p>
    <w:p w14:paraId="58150434" w14:textId="28FA9926" w:rsidR="00B26949" w:rsidRPr="00431A5F" w:rsidRDefault="003E19C0" w:rsidP="00B8483F">
      <w:pPr>
        <w:rPr>
          <w:rFonts w:ascii="Times New Roman" w:hAnsi="Times New Roman"/>
          <w:sz w:val="22"/>
          <w:szCs w:val="22"/>
        </w:rPr>
      </w:pPr>
      <w:r w:rsidRPr="00431A5F">
        <w:rPr>
          <w:rFonts w:ascii="Times New Roman" w:hAnsi="Times New Roman"/>
          <w:sz w:val="22"/>
          <w:szCs w:val="22"/>
        </w:rPr>
        <w:lastRenderedPageBreak/>
        <w:t>Subsection 24(2) allows for credit management action to be taken against a financial hardship customer if the customer has not met their obligations under the arrangement for financial hardship assistance</w:t>
      </w:r>
      <w:r w:rsidR="009D21A3">
        <w:rPr>
          <w:rFonts w:ascii="Times New Roman" w:hAnsi="Times New Roman"/>
          <w:sz w:val="22"/>
          <w:szCs w:val="22"/>
        </w:rPr>
        <w:t>,</w:t>
      </w:r>
      <w:r w:rsidRPr="00431A5F">
        <w:rPr>
          <w:rFonts w:ascii="Times New Roman" w:hAnsi="Times New Roman"/>
          <w:sz w:val="22"/>
          <w:szCs w:val="22"/>
        </w:rPr>
        <w:t xml:space="preserve"> a </w:t>
      </w:r>
      <w:r w:rsidR="00B26949" w:rsidRPr="00431A5F">
        <w:rPr>
          <w:rFonts w:ascii="Times New Roman" w:hAnsi="Times New Roman"/>
          <w:sz w:val="22"/>
          <w:szCs w:val="22"/>
        </w:rPr>
        <w:t>CSP has taken steps to review the arrangement under section 22 and one of the following applies:</w:t>
      </w:r>
    </w:p>
    <w:p w14:paraId="17A6D12F" w14:textId="41D1C802" w:rsidR="003E19C0" w:rsidRPr="00431A5F" w:rsidRDefault="00B26949" w:rsidP="00AC69D1">
      <w:pPr>
        <w:pStyle w:val="ListParagraph"/>
        <w:numPr>
          <w:ilvl w:val="0"/>
          <w:numId w:val="11"/>
        </w:numPr>
        <w:rPr>
          <w:rFonts w:ascii="Times New Roman" w:hAnsi="Times New Roman"/>
          <w:sz w:val="22"/>
          <w:szCs w:val="22"/>
        </w:rPr>
      </w:pPr>
      <w:r w:rsidRPr="00431A5F">
        <w:rPr>
          <w:rFonts w:ascii="Times New Roman" w:hAnsi="Times New Roman"/>
          <w:sz w:val="22"/>
          <w:szCs w:val="22"/>
        </w:rPr>
        <w:t>the CSP has taken reasonable steps to contact the customer</w:t>
      </w:r>
      <w:r w:rsidR="00CA421D">
        <w:rPr>
          <w:rFonts w:ascii="Times New Roman" w:hAnsi="Times New Roman"/>
          <w:sz w:val="22"/>
          <w:szCs w:val="22"/>
        </w:rPr>
        <w:t>,</w:t>
      </w:r>
      <w:r w:rsidRPr="00431A5F">
        <w:rPr>
          <w:rFonts w:ascii="Times New Roman" w:hAnsi="Times New Roman"/>
          <w:sz w:val="22"/>
          <w:szCs w:val="22"/>
        </w:rPr>
        <w:t xml:space="preserve"> or the customer has contacted the CSP to discuss options for payment before taking credit management </w:t>
      </w:r>
      <w:proofErr w:type="gramStart"/>
      <w:r w:rsidRPr="00431A5F">
        <w:rPr>
          <w:rFonts w:ascii="Times New Roman" w:hAnsi="Times New Roman"/>
          <w:sz w:val="22"/>
          <w:szCs w:val="22"/>
        </w:rPr>
        <w:t>action</w:t>
      </w:r>
      <w:r w:rsidR="006A775D" w:rsidRPr="00431A5F">
        <w:rPr>
          <w:rFonts w:ascii="Times New Roman" w:hAnsi="Times New Roman"/>
          <w:sz w:val="22"/>
          <w:szCs w:val="22"/>
        </w:rPr>
        <w:t>;</w:t>
      </w:r>
      <w:proofErr w:type="gramEnd"/>
    </w:p>
    <w:p w14:paraId="7B1580C1" w14:textId="6C9B6F04" w:rsidR="00B26949" w:rsidRPr="00431A5F" w:rsidRDefault="00B26949" w:rsidP="00AC69D1">
      <w:pPr>
        <w:pStyle w:val="ListParagraph"/>
        <w:numPr>
          <w:ilvl w:val="0"/>
          <w:numId w:val="11"/>
        </w:numPr>
        <w:rPr>
          <w:rFonts w:ascii="Times New Roman" w:hAnsi="Times New Roman"/>
          <w:sz w:val="22"/>
          <w:szCs w:val="22"/>
        </w:rPr>
      </w:pPr>
      <w:r w:rsidRPr="00431A5F">
        <w:rPr>
          <w:rFonts w:ascii="Times New Roman" w:hAnsi="Times New Roman"/>
          <w:sz w:val="22"/>
          <w:szCs w:val="22"/>
        </w:rPr>
        <w:t xml:space="preserve">the </w:t>
      </w:r>
      <w:r w:rsidR="0080550A">
        <w:rPr>
          <w:rFonts w:ascii="Times New Roman" w:hAnsi="Times New Roman"/>
          <w:sz w:val="22"/>
          <w:szCs w:val="22"/>
        </w:rPr>
        <w:t>CSP</w:t>
      </w:r>
      <w:r w:rsidR="0080550A" w:rsidRPr="00431A5F">
        <w:rPr>
          <w:rFonts w:ascii="Times New Roman" w:hAnsi="Times New Roman"/>
          <w:sz w:val="22"/>
          <w:szCs w:val="22"/>
        </w:rPr>
        <w:t xml:space="preserve"> </w:t>
      </w:r>
      <w:r w:rsidRPr="00431A5F">
        <w:rPr>
          <w:rFonts w:ascii="Times New Roman" w:hAnsi="Times New Roman"/>
          <w:sz w:val="22"/>
          <w:szCs w:val="22"/>
        </w:rPr>
        <w:t xml:space="preserve">has a genuine reason to believe that the customer is unable or unwilling to pay their debts, to prevent a further increase in the debt owed by the </w:t>
      </w:r>
      <w:proofErr w:type="gramStart"/>
      <w:r w:rsidRPr="00431A5F">
        <w:rPr>
          <w:rFonts w:ascii="Times New Roman" w:hAnsi="Times New Roman"/>
          <w:sz w:val="22"/>
          <w:szCs w:val="22"/>
        </w:rPr>
        <w:t>customer</w:t>
      </w:r>
      <w:r w:rsidR="006A775D" w:rsidRPr="00431A5F">
        <w:rPr>
          <w:rFonts w:ascii="Times New Roman" w:hAnsi="Times New Roman"/>
          <w:sz w:val="22"/>
          <w:szCs w:val="22"/>
        </w:rPr>
        <w:t>;</w:t>
      </w:r>
      <w:proofErr w:type="gramEnd"/>
    </w:p>
    <w:p w14:paraId="6460C7A9" w14:textId="3F66E8ED" w:rsidR="00B26949" w:rsidRPr="00431A5F" w:rsidRDefault="00B26949" w:rsidP="00AC69D1">
      <w:pPr>
        <w:pStyle w:val="ListParagraph"/>
        <w:numPr>
          <w:ilvl w:val="0"/>
          <w:numId w:val="11"/>
        </w:numPr>
        <w:rPr>
          <w:rFonts w:ascii="Times New Roman" w:hAnsi="Times New Roman"/>
          <w:sz w:val="22"/>
          <w:szCs w:val="22"/>
        </w:rPr>
      </w:pPr>
      <w:r w:rsidRPr="00431A5F">
        <w:rPr>
          <w:rFonts w:ascii="Times New Roman" w:hAnsi="Times New Roman"/>
          <w:sz w:val="22"/>
          <w:szCs w:val="22"/>
        </w:rPr>
        <w:t>the customer agrees that the financial hardship arrangement is unable to be completed</w:t>
      </w:r>
      <w:r w:rsidR="006A775D" w:rsidRPr="00431A5F">
        <w:rPr>
          <w:rFonts w:ascii="Times New Roman" w:hAnsi="Times New Roman"/>
          <w:sz w:val="22"/>
          <w:szCs w:val="22"/>
        </w:rPr>
        <w:t>; or</w:t>
      </w:r>
    </w:p>
    <w:p w14:paraId="73E81EAA" w14:textId="3CC23AAB" w:rsidR="00B26949" w:rsidRPr="00431A5F" w:rsidRDefault="00B26949" w:rsidP="00AC69D1">
      <w:pPr>
        <w:pStyle w:val="ListParagraph"/>
        <w:numPr>
          <w:ilvl w:val="0"/>
          <w:numId w:val="11"/>
        </w:numPr>
        <w:rPr>
          <w:rFonts w:ascii="Times New Roman" w:hAnsi="Times New Roman"/>
          <w:sz w:val="22"/>
          <w:szCs w:val="22"/>
        </w:rPr>
      </w:pPr>
      <w:r w:rsidRPr="00431A5F">
        <w:rPr>
          <w:rFonts w:ascii="Times New Roman" w:hAnsi="Times New Roman"/>
          <w:sz w:val="22"/>
          <w:szCs w:val="22"/>
        </w:rPr>
        <w:t>the provider has been unable to contact the customer, despite taking reasonable steps to do so.</w:t>
      </w:r>
    </w:p>
    <w:p w14:paraId="35EEE8ED" w14:textId="07EF4EA1" w:rsidR="009D40E0" w:rsidRPr="00431A5F" w:rsidRDefault="00DC1016" w:rsidP="00B8483F">
      <w:pPr>
        <w:rPr>
          <w:rFonts w:ascii="Times New Roman" w:hAnsi="Times New Roman"/>
          <w:bCs/>
          <w:sz w:val="22"/>
          <w:szCs w:val="22"/>
        </w:rPr>
      </w:pPr>
      <w:r>
        <w:rPr>
          <w:rFonts w:ascii="Times New Roman" w:hAnsi="Times New Roman"/>
          <w:bCs/>
          <w:sz w:val="22"/>
          <w:szCs w:val="22"/>
        </w:rPr>
        <w:t>Consistent with the obligation</w:t>
      </w:r>
      <w:r w:rsidR="00FD6A65">
        <w:rPr>
          <w:rFonts w:ascii="Times New Roman" w:hAnsi="Times New Roman"/>
          <w:bCs/>
          <w:sz w:val="22"/>
          <w:szCs w:val="22"/>
        </w:rPr>
        <w:t>s</w:t>
      </w:r>
      <w:r>
        <w:rPr>
          <w:rFonts w:ascii="Times New Roman" w:hAnsi="Times New Roman"/>
          <w:bCs/>
          <w:sz w:val="22"/>
          <w:szCs w:val="22"/>
        </w:rPr>
        <w:t xml:space="preserve"> to tailor assistance set out in section 18, d</w:t>
      </w:r>
      <w:r w:rsidR="009D40E0" w:rsidRPr="00431A5F">
        <w:rPr>
          <w:rFonts w:ascii="Times New Roman" w:hAnsi="Times New Roman"/>
          <w:bCs/>
          <w:sz w:val="22"/>
          <w:szCs w:val="22"/>
        </w:rPr>
        <w:t xml:space="preserve">iscussions about payment options </w:t>
      </w:r>
      <w:r w:rsidR="0031377B">
        <w:rPr>
          <w:rFonts w:ascii="Times New Roman" w:hAnsi="Times New Roman"/>
          <w:bCs/>
          <w:sz w:val="22"/>
          <w:szCs w:val="22"/>
        </w:rPr>
        <w:t xml:space="preserve">referred to in </w:t>
      </w:r>
      <w:r w:rsidR="005C094B">
        <w:rPr>
          <w:rFonts w:ascii="Times New Roman" w:hAnsi="Times New Roman"/>
          <w:bCs/>
          <w:sz w:val="22"/>
          <w:szCs w:val="22"/>
        </w:rPr>
        <w:t>section</w:t>
      </w:r>
      <w:r w:rsidR="0031377B">
        <w:rPr>
          <w:rFonts w:ascii="Times New Roman" w:hAnsi="Times New Roman"/>
          <w:bCs/>
          <w:sz w:val="22"/>
          <w:szCs w:val="22"/>
        </w:rPr>
        <w:t xml:space="preserve"> 24</w:t>
      </w:r>
      <w:r w:rsidR="005C094B">
        <w:rPr>
          <w:rFonts w:ascii="Times New Roman" w:hAnsi="Times New Roman"/>
          <w:bCs/>
          <w:sz w:val="22"/>
          <w:szCs w:val="22"/>
        </w:rPr>
        <w:t xml:space="preserve"> </w:t>
      </w:r>
      <w:r w:rsidR="009D40E0" w:rsidRPr="00431A5F">
        <w:rPr>
          <w:rFonts w:ascii="Times New Roman" w:hAnsi="Times New Roman"/>
          <w:bCs/>
          <w:sz w:val="22"/>
          <w:szCs w:val="22"/>
        </w:rPr>
        <w:t xml:space="preserve">and reviews </w:t>
      </w:r>
      <w:r w:rsidR="0031377B">
        <w:rPr>
          <w:rFonts w:ascii="Times New Roman" w:hAnsi="Times New Roman"/>
          <w:bCs/>
          <w:sz w:val="22"/>
          <w:szCs w:val="22"/>
        </w:rPr>
        <w:t>under section 22 should</w:t>
      </w:r>
      <w:r w:rsidR="0031377B" w:rsidRPr="00431A5F">
        <w:rPr>
          <w:rFonts w:ascii="Times New Roman" w:hAnsi="Times New Roman"/>
          <w:bCs/>
          <w:sz w:val="22"/>
          <w:szCs w:val="22"/>
        </w:rPr>
        <w:t xml:space="preserve"> </w:t>
      </w:r>
      <w:r w:rsidR="00771A4A" w:rsidRPr="00431A5F">
        <w:rPr>
          <w:rFonts w:ascii="Times New Roman" w:hAnsi="Times New Roman"/>
          <w:bCs/>
          <w:sz w:val="22"/>
          <w:szCs w:val="22"/>
        </w:rPr>
        <w:t xml:space="preserve">take account of a customer’s individual circumstances and capacity to pay. </w:t>
      </w:r>
      <w:r w:rsidR="00D646FA">
        <w:rPr>
          <w:rFonts w:ascii="Times New Roman" w:hAnsi="Times New Roman"/>
          <w:bCs/>
          <w:sz w:val="22"/>
          <w:szCs w:val="22"/>
        </w:rPr>
        <w:t>It</w:t>
      </w:r>
      <w:r w:rsidR="00D646FA" w:rsidRPr="00431A5F">
        <w:rPr>
          <w:rFonts w:ascii="Times New Roman" w:hAnsi="Times New Roman"/>
          <w:bCs/>
          <w:sz w:val="22"/>
          <w:szCs w:val="22"/>
        </w:rPr>
        <w:t xml:space="preserve"> </w:t>
      </w:r>
      <w:r w:rsidR="00771A4A" w:rsidRPr="00431A5F">
        <w:rPr>
          <w:rFonts w:ascii="Times New Roman" w:hAnsi="Times New Roman"/>
          <w:bCs/>
          <w:sz w:val="22"/>
          <w:szCs w:val="22"/>
        </w:rPr>
        <w:t>is</w:t>
      </w:r>
      <w:r w:rsidR="00D646FA">
        <w:rPr>
          <w:rFonts w:ascii="Times New Roman" w:hAnsi="Times New Roman"/>
          <w:bCs/>
          <w:sz w:val="22"/>
          <w:szCs w:val="22"/>
        </w:rPr>
        <w:t xml:space="preserve"> considered that</w:t>
      </w:r>
      <w:r w:rsidR="00771A4A" w:rsidRPr="00431A5F">
        <w:rPr>
          <w:rFonts w:ascii="Times New Roman" w:hAnsi="Times New Roman"/>
          <w:bCs/>
          <w:sz w:val="22"/>
          <w:szCs w:val="22"/>
        </w:rPr>
        <w:t xml:space="preserve"> a CSP cannot satisfy th</w:t>
      </w:r>
      <w:r w:rsidR="00F66E8A">
        <w:rPr>
          <w:rFonts w:ascii="Times New Roman" w:hAnsi="Times New Roman"/>
          <w:bCs/>
          <w:sz w:val="22"/>
          <w:szCs w:val="22"/>
        </w:rPr>
        <w:t>e</w:t>
      </w:r>
      <w:r w:rsidR="00771A4A" w:rsidRPr="00431A5F">
        <w:rPr>
          <w:rFonts w:ascii="Times New Roman" w:hAnsi="Times New Roman"/>
          <w:bCs/>
          <w:sz w:val="22"/>
          <w:szCs w:val="22"/>
        </w:rPr>
        <w:t>s</w:t>
      </w:r>
      <w:r w:rsidR="00D646FA">
        <w:rPr>
          <w:rFonts w:ascii="Times New Roman" w:hAnsi="Times New Roman"/>
          <w:bCs/>
          <w:sz w:val="22"/>
          <w:szCs w:val="22"/>
        </w:rPr>
        <w:t>e</w:t>
      </w:r>
      <w:r w:rsidR="00771A4A" w:rsidRPr="00431A5F">
        <w:rPr>
          <w:rFonts w:ascii="Times New Roman" w:hAnsi="Times New Roman"/>
          <w:bCs/>
          <w:sz w:val="22"/>
          <w:szCs w:val="22"/>
        </w:rPr>
        <w:t xml:space="preserve"> requirement</w:t>
      </w:r>
      <w:r w:rsidR="00F66E8A">
        <w:rPr>
          <w:rFonts w:ascii="Times New Roman" w:hAnsi="Times New Roman"/>
          <w:bCs/>
          <w:sz w:val="22"/>
          <w:szCs w:val="22"/>
        </w:rPr>
        <w:t xml:space="preserve">s </w:t>
      </w:r>
      <w:r w:rsidR="00771A4A" w:rsidRPr="00431A5F">
        <w:rPr>
          <w:rFonts w:ascii="Times New Roman" w:hAnsi="Times New Roman"/>
          <w:bCs/>
          <w:sz w:val="22"/>
          <w:szCs w:val="22"/>
        </w:rPr>
        <w:t>by providing a ‘take it or leave</w:t>
      </w:r>
      <w:r w:rsidR="005F7799">
        <w:rPr>
          <w:rFonts w:ascii="Times New Roman" w:hAnsi="Times New Roman"/>
          <w:bCs/>
          <w:sz w:val="22"/>
          <w:szCs w:val="22"/>
        </w:rPr>
        <w:t xml:space="preserve"> it</w:t>
      </w:r>
      <w:r w:rsidR="00771A4A" w:rsidRPr="00431A5F">
        <w:rPr>
          <w:rFonts w:ascii="Times New Roman" w:hAnsi="Times New Roman"/>
          <w:bCs/>
          <w:sz w:val="22"/>
          <w:szCs w:val="22"/>
        </w:rPr>
        <w:t>’ offer which is reasonably outside</w:t>
      </w:r>
      <w:r w:rsidR="00EC06F9">
        <w:rPr>
          <w:rFonts w:ascii="Times New Roman" w:hAnsi="Times New Roman"/>
          <w:bCs/>
          <w:sz w:val="22"/>
          <w:szCs w:val="22"/>
        </w:rPr>
        <w:t xml:space="preserve"> the</w:t>
      </w:r>
      <w:r w:rsidR="00771A4A" w:rsidRPr="00431A5F">
        <w:rPr>
          <w:rFonts w:ascii="Times New Roman" w:hAnsi="Times New Roman"/>
          <w:bCs/>
          <w:sz w:val="22"/>
          <w:szCs w:val="22"/>
        </w:rPr>
        <w:t xml:space="preserve"> customer’s ability to meet. </w:t>
      </w:r>
    </w:p>
    <w:p w14:paraId="2DBC65E5" w14:textId="23246835" w:rsidR="00B26949" w:rsidRPr="00431A5F" w:rsidRDefault="00B26949" w:rsidP="00B8483F">
      <w:pPr>
        <w:rPr>
          <w:rFonts w:ascii="Times New Roman" w:hAnsi="Times New Roman"/>
          <w:bCs/>
          <w:sz w:val="22"/>
          <w:szCs w:val="22"/>
        </w:rPr>
      </w:pPr>
      <w:r w:rsidRPr="00431A5F">
        <w:rPr>
          <w:rFonts w:ascii="Times New Roman" w:hAnsi="Times New Roman"/>
          <w:bCs/>
          <w:sz w:val="22"/>
          <w:szCs w:val="22"/>
        </w:rPr>
        <w:t xml:space="preserve">Subsections 24(3) and (4) </w:t>
      </w:r>
      <w:r w:rsidR="006659C3">
        <w:rPr>
          <w:rFonts w:ascii="Times New Roman" w:hAnsi="Times New Roman"/>
          <w:bCs/>
          <w:sz w:val="22"/>
          <w:szCs w:val="22"/>
        </w:rPr>
        <w:t>impose</w:t>
      </w:r>
      <w:r w:rsidRPr="00431A5F">
        <w:rPr>
          <w:rFonts w:ascii="Times New Roman" w:hAnsi="Times New Roman"/>
          <w:bCs/>
          <w:sz w:val="22"/>
          <w:szCs w:val="22"/>
        </w:rPr>
        <w:t xml:space="preserve"> requirements </w:t>
      </w:r>
      <w:r w:rsidR="006659C3">
        <w:rPr>
          <w:rFonts w:ascii="Times New Roman" w:hAnsi="Times New Roman"/>
          <w:bCs/>
          <w:sz w:val="22"/>
          <w:szCs w:val="22"/>
        </w:rPr>
        <w:t>on CSPs to take</w:t>
      </w:r>
      <w:r w:rsidRPr="00431A5F">
        <w:rPr>
          <w:rFonts w:ascii="Times New Roman" w:hAnsi="Times New Roman"/>
          <w:bCs/>
          <w:sz w:val="22"/>
          <w:szCs w:val="22"/>
        </w:rPr>
        <w:t xml:space="preserve"> reasonable steps to contact the customer and </w:t>
      </w:r>
      <w:r w:rsidR="00F83AFF">
        <w:rPr>
          <w:rFonts w:ascii="Times New Roman" w:hAnsi="Times New Roman"/>
          <w:bCs/>
          <w:sz w:val="22"/>
          <w:szCs w:val="22"/>
        </w:rPr>
        <w:t>s</w:t>
      </w:r>
      <w:r w:rsidR="00062CF6">
        <w:rPr>
          <w:rFonts w:ascii="Times New Roman" w:hAnsi="Times New Roman"/>
          <w:bCs/>
          <w:sz w:val="22"/>
          <w:szCs w:val="22"/>
        </w:rPr>
        <w:t>et out</w:t>
      </w:r>
      <w:r w:rsidR="00F83AFF">
        <w:rPr>
          <w:rFonts w:ascii="Times New Roman" w:hAnsi="Times New Roman"/>
          <w:bCs/>
          <w:sz w:val="22"/>
          <w:szCs w:val="22"/>
        </w:rPr>
        <w:t xml:space="preserve"> </w:t>
      </w:r>
      <w:r w:rsidRPr="00431A5F">
        <w:rPr>
          <w:rFonts w:ascii="Times New Roman" w:hAnsi="Times New Roman"/>
          <w:bCs/>
          <w:sz w:val="22"/>
          <w:szCs w:val="22"/>
        </w:rPr>
        <w:t xml:space="preserve">what must be communicated. This </w:t>
      </w:r>
      <w:r w:rsidR="00EC06F9">
        <w:rPr>
          <w:rFonts w:ascii="Times New Roman" w:hAnsi="Times New Roman"/>
          <w:bCs/>
          <w:sz w:val="22"/>
          <w:szCs w:val="22"/>
        </w:rPr>
        <w:t>requires</w:t>
      </w:r>
      <w:r w:rsidR="00EC06F9" w:rsidRPr="00431A5F">
        <w:rPr>
          <w:rFonts w:ascii="Times New Roman" w:hAnsi="Times New Roman"/>
          <w:bCs/>
          <w:sz w:val="22"/>
          <w:szCs w:val="22"/>
        </w:rPr>
        <w:t xml:space="preserve"> </w:t>
      </w:r>
      <w:r w:rsidRPr="00431A5F">
        <w:rPr>
          <w:rFonts w:ascii="Times New Roman" w:hAnsi="Times New Roman"/>
          <w:bCs/>
          <w:sz w:val="22"/>
          <w:szCs w:val="22"/>
        </w:rPr>
        <w:t xml:space="preserve">3 separate attempts, on different </w:t>
      </w:r>
      <w:r w:rsidR="005344FA">
        <w:rPr>
          <w:rFonts w:ascii="Times New Roman" w:hAnsi="Times New Roman"/>
          <w:bCs/>
          <w:sz w:val="22"/>
          <w:szCs w:val="22"/>
        </w:rPr>
        <w:t xml:space="preserve">business </w:t>
      </w:r>
      <w:r w:rsidRPr="00431A5F">
        <w:rPr>
          <w:rFonts w:ascii="Times New Roman" w:hAnsi="Times New Roman"/>
          <w:bCs/>
          <w:sz w:val="22"/>
          <w:szCs w:val="22"/>
        </w:rPr>
        <w:t>days</w:t>
      </w:r>
      <w:r w:rsidR="00253583">
        <w:rPr>
          <w:rFonts w:ascii="Times New Roman" w:hAnsi="Times New Roman"/>
          <w:bCs/>
          <w:sz w:val="22"/>
          <w:szCs w:val="22"/>
        </w:rPr>
        <w:t>,</w:t>
      </w:r>
      <w:r w:rsidRPr="00431A5F">
        <w:rPr>
          <w:rFonts w:ascii="Times New Roman" w:hAnsi="Times New Roman"/>
          <w:bCs/>
          <w:sz w:val="22"/>
          <w:szCs w:val="22"/>
        </w:rPr>
        <w:t xml:space="preserve"> over a period of not more than 10 calendar days </w:t>
      </w:r>
      <w:r w:rsidR="00253583">
        <w:rPr>
          <w:rFonts w:ascii="Times New Roman" w:hAnsi="Times New Roman"/>
          <w:bCs/>
          <w:sz w:val="22"/>
          <w:szCs w:val="22"/>
        </w:rPr>
        <w:t xml:space="preserve">and </w:t>
      </w:r>
      <w:r w:rsidRPr="00431A5F">
        <w:rPr>
          <w:rFonts w:ascii="Times New Roman" w:hAnsi="Times New Roman"/>
          <w:bCs/>
          <w:sz w:val="22"/>
          <w:szCs w:val="22"/>
        </w:rPr>
        <w:t xml:space="preserve">using 2 different methods of communication </w:t>
      </w:r>
      <w:r w:rsidR="00253583">
        <w:rPr>
          <w:rFonts w:ascii="Times New Roman" w:hAnsi="Times New Roman"/>
          <w:bCs/>
          <w:sz w:val="22"/>
          <w:szCs w:val="22"/>
        </w:rPr>
        <w:t>(</w:t>
      </w:r>
      <w:r w:rsidRPr="00431A5F">
        <w:rPr>
          <w:rFonts w:ascii="Times New Roman" w:hAnsi="Times New Roman"/>
          <w:bCs/>
          <w:sz w:val="22"/>
          <w:szCs w:val="22"/>
        </w:rPr>
        <w:t>with at least one method being in writing</w:t>
      </w:r>
      <w:r w:rsidR="00253583">
        <w:rPr>
          <w:rFonts w:ascii="Times New Roman" w:hAnsi="Times New Roman"/>
          <w:bCs/>
          <w:sz w:val="22"/>
          <w:szCs w:val="22"/>
        </w:rPr>
        <w:t>)</w:t>
      </w:r>
      <w:r w:rsidRPr="00431A5F">
        <w:rPr>
          <w:rFonts w:ascii="Times New Roman" w:hAnsi="Times New Roman"/>
          <w:bCs/>
          <w:sz w:val="22"/>
          <w:szCs w:val="22"/>
        </w:rPr>
        <w:t xml:space="preserve">. Written communication may include </w:t>
      </w:r>
      <w:r w:rsidR="007022CF">
        <w:rPr>
          <w:rFonts w:ascii="Times New Roman" w:hAnsi="Times New Roman"/>
          <w:bCs/>
          <w:sz w:val="22"/>
          <w:szCs w:val="22"/>
        </w:rPr>
        <w:t xml:space="preserve">via </w:t>
      </w:r>
      <w:r w:rsidRPr="00431A5F">
        <w:rPr>
          <w:rFonts w:ascii="Times New Roman" w:hAnsi="Times New Roman"/>
          <w:bCs/>
          <w:sz w:val="22"/>
          <w:szCs w:val="22"/>
        </w:rPr>
        <w:t>letter, email or SMS. Written communication is to include advice that the contact is about credit management action which may include restriction, suspension or disconnection. This is to ensure that the customer has sufficient warning of potential credit management action, including the potential for disconnection.</w:t>
      </w:r>
    </w:p>
    <w:p w14:paraId="1165A94C" w14:textId="1E169E2D" w:rsidR="00771A4A" w:rsidRPr="00431A5F" w:rsidRDefault="007E42DD" w:rsidP="00771A4A">
      <w:pPr>
        <w:rPr>
          <w:rFonts w:ascii="Times New Roman" w:hAnsi="Times New Roman"/>
          <w:bCs/>
          <w:sz w:val="22"/>
          <w:szCs w:val="22"/>
        </w:rPr>
      </w:pPr>
      <w:r w:rsidRPr="00431A5F">
        <w:rPr>
          <w:rFonts w:ascii="Times New Roman" w:hAnsi="Times New Roman"/>
          <w:bCs/>
          <w:sz w:val="22"/>
          <w:szCs w:val="22"/>
        </w:rPr>
        <w:t xml:space="preserve">Where a CSP </w:t>
      </w:r>
      <w:proofErr w:type="gramStart"/>
      <w:r w:rsidRPr="00431A5F">
        <w:rPr>
          <w:rFonts w:ascii="Times New Roman" w:hAnsi="Times New Roman"/>
          <w:bCs/>
          <w:sz w:val="22"/>
          <w:szCs w:val="22"/>
        </w:rPr>
        <w:t>is able to</w:t>
      </w:r>
      <w:proofErr w:type="gramEnd"/>
      <w:r w:rsidRPr="00431A5F">
        <w:rPr>
          <w:rFonts w:ascii="Times New Roman" w:hAnsi="Times New Roman"/>
          <w:bCs/>
          <w:sz w:val="22"/>
          <w:szCs w:val="22"/>
        </w:rPr>
        <w:t xml:space="preserve"> take credit management action against a financial hardship customer, subsection 24(5) sets out </w:t>
      </w:r>
      <w:r w:rsidR="00FD6A65">
        <w:rPr>
          <w:rFonts w:ascii="Times New Roman" w:hAnsi="Times New Roman"/>
          <w:bCs/>
          <w:sz w:val="22"/>
          <w:szCs w:val="22"/>
        </w:rPr>
        <w:t xml:space="preserve">the </w:t>
      </w:r>
      <w:r w:rsidRPr="00431A5F">
        <w:rPr>
          <w:rFonts w:ascii="Times New Roman" w:hAnsi="Times New Roman"/>
          <w:bCs/>
          <w:sz w:val="22"/>
          <w:szCs w:val="22"/>
        </w:rPr>
        <w:t>steps a CSP must follow. This includes only using suspension or disconnection as a measure of last resort and giving the customer a written notice</w:t>
      </w:r>
      <w:r w:rsidR="00771A4A" w:rsidRPr="00431A5F">
        <w:rPr>
          <w:rFonts w:ascii="Times New Roman" w:hAnsi="Times New Roman"/>
          <w:bCs/>
          <w:sz w:val="22"/>
          <w:szCs w:val="22"/>
        </w:rPr>
        <w:t>,</w:t>
      </w:r>
      <w:r w:rsidRPr="00431A5F">
        <w:rPr>
          <w:rFonts w:ascii="Times New Roman" w:hAnsi="Times New Roman"/>
          <w:bCs/>
          <w:sz w:val="22"/>
          <w:szCs w:val="22"/>
        </w:rPr>
        <w:t xml:space="preserve"> which includes specified information at least 10 business days before taking that action. The written notice must state what action is being taken, when it will occur, what charges may apply, the reasons for taking the action, any impacts such action will have on other </w:t>
      </w:r>
      <w:r w:rsidR="0028322B">
        <w:rPr>
          <w:rFonts w:ascii="Times New Roman" w:hAnsi="Times New Roman"/>
          <w:bCs/>
          <w:sz w:val="22"/>
          <w:szCs w:val="22"/>
        </w:rPr>
        <w:t>telecommunications products</w:t>
      </w:r>
      <w:r w:rsidR="0028322B" w:rsidRPr="00431A5F">
        <w:rPr>
          <w:rFonts w:ascii="Times New Roman" w:hAnsi="Times New Roman"/>
          <w:bCs/>
          <w:sz w:val="22"/>
          <w:szCs w:val="22"/>
        </w:rPr>
        <w:t xml:space="preserve"> </w:t>
      </w:r>
      <w:r w:rsidRPr="00431A5F">
        <w:rPr>
          <w:rFonts w:ascii="Times New Roman" w:hAnsi="Times New Roman"/>
          <w:bCs/>
          <w:sz w:val="22"/>
          <w:szCs w:val="22"/>
        </w:rPr>
        <w:t>and details for a contact point, the TIO an</w:t>
      </w:r>
      <w:r w:rsidR="00C71693" w:rsidRPr="00431A5F">
        <w:rPr>
          <w:rFonts w:ascii="Times New Roman" w:hAnsi="Times New Roman"/>
          <w:bCs/>
          <w:sz w:val="22"/>
          <w:szCs w:val="22"/>
        </w:rPr>
        <w:t>d</w:t>
      </w:r>
      <w:r w:rsidRPr="00431A5F">
        <w:rPr>
          <w:rFonts w:ascii="Times New Roman" w:hAnsi="Times New Roman"/>
          <w:bCs/>
          <w:sz w:val="22"/>
          <w:szCs w:val="22"/>
        </w:rPr>
        <w:t xml:space="preserve"> financial counselling services</w:t>
      </w:r>
      <w:r w:rsidR="00563CC0">
        <w:rPr>
          <w:rFonts w:ascii="Times New Roman" w:hAnsi="Times New Roman"/>
          <w:bCs/>
          <w:sz w:val="22"/>
          <w:szCs w:val="22"/>
        </w:rPr>
        <w:t xml:space="preserve"> (</w:t>
      </w:r>
      <w:proofErr w:type="gramStart"/>
      <w:r w:rsidR="00563CC0">
        <w:rPr>
          <w:rFonts w:ascii="Times New Roman" w:hAnsi="Times New Roman"/>
          <w:bCs/>
          <w:sz w:val="22"/>
          <w:szCs w:val="22"/>
        </w:rPr>
        <w:t>e.g.</w:t>
      </w:r>
      <w:proofErr w:type="gramEnd"/>
      <w:r w:rsidR="00771A4A" w:rsidRPr="00431A5F">
        <w:rPr>
          <w:rFonts w:ascii="Times New Roman" w:hAnsi="Times New Roman"/>
          <w:sz w:val="22"/>
          <w:szCs w:val="22"/>
        </w:rPr>
        <w:t xml:space="preserve"> the </w:t>
      </w:r>
      <w:r w:rsidR="00F27CEA">
        <w:rPr>
          <w:rFonts w:ascii="Times New Roman" w:hAnsi="Times New Roman"/>
          <w:sz w:val="22"/>
          <w:szCs w:val="22"/>
        </w:rPr>
        <w:t>NDH</w:t>
      </w:r>
      <w:r w:rsidR="00563CC0">
        <w:rPr>
          <w:rFonts w:ascii="Times New Roman" w:hAnsi="Times New Roman"/>
          <w:sz w:val="22"/>
          <w:szCs w:val="22"/>
        </w:rPr>
        <w:t>)</w:t>
      </w:r>
      <w:r w:rsidR="00771A4A" w:rsidRPr="00431A5F">
        <w:rPr>
          <w:rFonts w:ascii="Times New Roman" w:hAnsi="Times New Roman"/>
          <w:sz w:val="22"/>
          <w:szCs w:val="22"/>
        </w:rPr>
        <w:t>.</w:t>
      </w:r>
    </w:p>
    <w:p w14:paraId="2AC45ECC" w14:textId="2AE10EB0" w:rsidR="00B8483F" w:rsidRPr="00431A5F" w:rsidRDefault="00B8483F" w:rsidP="00B8483F">
      <w:pPr>
        <w:rPr>
          <w:rFonts w:ascii="Times New Roman" w:hAnsi="Times New Roman"/>
          <w:b/>
          <w:sz w:val="22"/>
          <w:szCs w:val="22"/>
        </w:rPr>
      </w:pPr>
      <w:r w:rsidRPr="00431A5F">
        <w:rPr>
          <w:rFonts w:ascii="Times New Roman" w:hAnsi="Times New Roman"/>
          <w:b/>
          <w:sz w:val="22"/>
          <w:szCs w:val="22"/>
        </w:rPr>
        <w:t>Section 25</w:t>
      </w:r>
      <w:r w:rsidRPr="00431A5F">
        <w:rPr>
          <w:rFonts w:ascii="Times New Roman" w:hAnsi="Times New Roman"/>
          <w:b/>
          <w:sz w:val="22"/>
          <w:szCs w:val="22"/>
        </w:rPr>
        <w:tab/>
        <w:t xml:space="preserve">When debts cannot be </w:t>
      </w:r>
      <w:proofErr w:type="gramStart"/>
      <w:r w:rsidRPr="00431A5F">
        <w:rPr>
          <w:rFonts w:ascii="Times New Roman" w:hAnsi="Times New Roman"/>
          <w:b/>
          <w:sz w:val="22"/>
          <w:szCs w:val="22"/>
        </w:rPr>
        <w:t>sold</w:t>
      </w:r>
      <w:proofErr w:type="gramEnd"/>
    </w:p>
    <w:p w14:paraId="4A75868F" w14:textId="12C87AAB" w:rsidR="00B8483F" w:rsidRPr="00431A5F" w:rsidRDefault="00144C98" w:rsidP="00B8483F">
      <w:pPr>
        <w:rPr>
          <w:rFonts w:ascii="Times New Roman" w:hAnsi="Times New Roman"/>
          <w:sz w:val="22"/>
          <w:szCs w:val="22"/>
        </w:rPr>
      </w:pPr>
      <w:r w:rsidRPr="00431A5F">
        <w:rPr>
          <w:rFonts w:ascii="Times New Roman" w:hAnsi="Times New Roman"/>
          <w:sz w:val="22"/>
          <w:szCs w:val="22"/>
        </w:rPr>
        <w:t>This section provides that a CSP cannot sell a debt owed by a customer while</w:t>
      </w:r>
      <w:r w:rsidR="00EC500C" w:rsidRPr="00431A5F">
        <w:rPr>
          <w:rFonts w:ascii="Times New Roman" w:hAnsi="Times New Roman"/>
          <w:sz w:val="22"/>
          <w:szCs w:val="22"/>
        </w:rPr>
        <w:t>:</w:t>
      </w:r>
    </w:p>
    <w:p w14:paraId="0E259CA0" w14:textId="73554758" w:rsidR="00EC500C" w:rsidRPr="00431A5F" w:rsidRDefault="00EC500C" w:rsidP="00AC69D1">
      <w:pPr>
        <w:pStyle w:val="ListParagraph"/>
        <w:numPr>
          <w:ilvl w:val="0"/>
          <w:numId w:val="10"/>
        </w:numPr>
        <w:rPr>
          <w:rFonts w:ascii="Times New Roman" w:hAnsi="Times New Roman"/>
          <w:sz w:val="22"/>
          <w:szCs w:val="22"/>
        </w:rPr>
      </w:pPr>
      <w:r w:rsidRPr="00431A5F">
        <w:rPr>
          <w:rFonts w:ascii="Times New Roman" w:hAnsi="Times New Roman"/>
          <w:sz w:val="22"/>
          <w:szCs w:val="22"/>
        </w:rPr>
        <w:t xml:space="preserve">the customer is discussing options for financial </w:t>
      </w:r>
      <w:proofErr w:type="gramStart"/>
      <w:r w:rsidRPr="00431A5F">
        <w:rPr>
          <w:rFonts w:ascii="Times New Roman" w:hAnsi="Times New Roman"/>
          <w:sz w:val="22"/>
          <w:szCs w:val="22"/>
        </w:rPr>
        <w:t>assistance</w:t>
      </w:r>
      <w:r w:rsidR="006A775D" w:rsidRPr="00431A5F">
        <w:rPr>
          <w:rFonts w:ascii="Times New Roman" w:hAnsi="Times New Roman"/>
          <w:sz w:val="22"/>
          <w:szCs w:val="22"/>
        </w:rPr>
        <w:t>;</w:t>
      </w:r>
      <w:proofErr w:type="gramEnd"/>
    </w:p>
    <w:p w14:paraId="069A2771" w14:textId="0D7EB607" w:rsidR="00EC500C" w:rsidRPr="00431A5F" w:rsidRDefault="00EC500C" w:rsidP="00AC69D1">
      <w:pPr>
        <w:pStyle w:val="ListParagraph"/>
        <w:numPr>
          <w:ilvl w:val="0"/>
          <w:numId w:val="10"/>
        </w:numPr>
        <w:rPr>
          <w:rFonts w:ascii="Times New Roman" w:hAnsi="Times New Roman"/>
          <w:sz w:val="22"/>
          <w:szCs w:val="22"/>
        </w:rPr>
      </w:pPr>
      <w:r w:rsidRPr="00431A5F">
        <w:rPr>
          <w:rFonts w:ascii="Times New Roman" w:hAnsi="Times New Roman"/>
          <w:sz w:val="22"/>
          <w:szCs w:val="22"/>
        </w:rPr>
        <w:t xml:space="preserve">the customer has made an application for financial hardship </w:t>
      </w:r>
      <w:proofErr w:type="gramStart"/>
      <w:r w:rsidRPr="00431A5F">
        <w:rPr>
          <w:rFonts w:ascii="Times New Roman" w:hAnsi="Times New Roman"/>
          <w:sz w:val="22"/>
          <w:szCs w:val="22"/>
        </w:rPr>
        <w:t>assistance</w:t>
      </w:r>
      <w:r w:rsidR="006A775D" w:rsidRPr="00431A5F">
        <w:rPr>
          <w:rFonts w:ascii="Times New Roman" w:hAnsi="Times New Roman"/>
          <w:sz w:val="22"/>
          <w:szCs w:val="22"/>
        </w:rPr>
        <w:t>;</w:t>
      </w:r>
      <w:proofErr w:type="gramEnd"/>
    </w:p>
    <w:p w14:paraId="7C256FD2" w14:textId="0B60A86A" w:rsidR="00EC500C" w:rsidRPr="00431A5F" w:rsidRDefault="00EC500C" w:rsidP="00AC69D1">
      <w:pPr>
        <w:pStyle w:val="ListParagraph"/>
        <w:numPr>
          <w:ilvl w:val="0"/>
          <w:numId w:val="10"/>
        </w:numPr>
        <w:rPr>
          <w:rFonts w:ascii="Times New Roman" w:hAnsi="Times New Roman"/>
          <w:sz w:val="22"/>
          <w:szCs w:val="22"/>
        </w:rPr>
      </w:pPr>
      <w:r w:rsidRPr="00431A5F">
        <w:rPr>
          <w:rFonts w:ascii="Times New Roman" w:hAnsi="Times New Roman"/>
          <w:sz w:val="22"/>
          <w:szCs w:val="22"/>
        </w:rPr>
        <w:t>the customer has an arrangement for financial hardship assistance with the CSP</w:t>
      </w:r>
      <w:r w:rsidR="006A775D" w:rsidRPr="00431A5F">
        <w:rPr>
          <w:rFonts w:ascii="Times New Roman" w:hAnsi="Times New Roman"/>
          <w:sz w:val="22"/>
          <w:szCs w:val="22"/>
        </w:rPr>
        <w:t>;</w:t>
      </w:r>
      <w:r w:rsidR="005674AD" w:rsidRPr="00431A5F">
        <w:rPr>
          <w:rFonts w:ascii="Times New Roman" w:hAnsi="Times New Roman"/>
          <w:sz w:val="22"/>
          <w:szCs w:val="22"/>
        </w:rPr>
        <w:t xml:space="preserve"> or</w:t>
      </w:r>
    </w:p>
    <w:p w14:paraId="550A2A79" w14:textId="56379197" w:rsidR="00EC500C" w:rsidRPr="00431A5F" w:rsidRDefault="00EC500C" w:rsidP="00AC69D1">
      <w:pPr>
        <w:pStyle w:val="ListParagraph"/>
        <w:numPr>
          <w:ilvl w:val="0"/>
          <w:numId w:val="10"/>
        </w:numPr>
        <w:rPr>
          <w:rFonts w:ascii="Times New Roman" w:hAnsi="Times New Roman"/>
          <w:sz w:val="22"/>
          <w:szCs w:val="22"/>
        </w:rPr>
      </w:pPr>
      <w:r w:rsidRPr="00431A5F">
        <w:rPr>
          <w:rFonts w:ascii="Times New Roman" w:hAnsi="Times New Roman"/>
          <w:sz w:val="22"/>
          <w:szCs w:val="22"/>
        </w:rPr>
        <w:t>the CSP is reviewing an arrangement for financial hardship assistance.</w:t>
      </w:r>
    </w:p>
    <w:p w14:paraId="054ABAF8" w14:textId="2BFADBC8" w:rsidR="00144C98" w:rsidRPr="00431A5F" w:rsidRDefault="00144C98" w:rsidP="00B8483F">
      <w:pPr>
        <w:rPr>
          <w:rFonts w:ascii="Times New Roman" w:hAnsi="Times New Roman"/>
          <w:b/>
          <w:sz w:val="22"/>
          <w:szCs w:val="22"/>
        </w:rPr>
      </w:pPr>
      <w:r w:rsidRPr="00431A5F">
        <w:rPr>
          <w:rFonts w:ascii="Times New Roman" w:hAnsi="Times New Roman"/>
          <w:sz w:val="22"/>
          <w:szCs w:val="22"/>
        </w:rPr>
        <w:t>This is intended to prevent debts being sold for financial hardship customers who are</w:t>
      </w:r>
      <w:r w:rsidR="00EC500C" w:rsidRPr="00431A5F">
        <w:rPr>
          <w:rFonts w:ascii="Times New Roman" w:hAnsi="Times New Roman"/>
          <w:sz w:val="22"/>
          <w:szCs w:val="22"/>
        </w:rPr>
        <w:t xml:space="preserve"> actively engaged in the process of seeking or receiving financial hardship assistance, </w:t>
      </w:r>
      <w:proofErr w:type="gramStart"/>
      <w:r w:rsidRPr="00431A5F">
        <w:rPr>
          <w:rFonts w:ascii="Times New Roman" w:hAnsi="Times New Roman"/>
          <w:sz w:val="22"/>
          <w:szCs w:val="22"/>
        </w:rPr>
        <w:t>whether or not</w:t>
      </w:r>
      <w:proofErr w:type="gramEnd"/>
      <w:r w:rsidRPr="00431A5F">
        <w:rPr>
          <w:rFonts w:ascii="Times New Roman" w:hAnsi="Times New Roman"/>
          <w:sz w:val="22"/>
          <w:szCs w:val="22"/>
        </w:rPr>
        <w:t xml:space="preserve"> the customer is in the early stages of a discussion on arrangements, has made an application, has an existing arrangement or </w:t>
      </w:r>
      <w:r w:rsidR="00EC500C" w:rsidRPr="00431A5F">
        <w:rPr>
          <w:rFonts w:ascii="Times New Roman" w:hAnsi="Times New Roman"/>
          <w:sz w:val="22"/>
          <w:szCs w:val="22"/>
        </w:rPr>
        <w:t>their arrangement is being reviewed.</w:t>
      </w:r>
      <w:r w:rsidRPr="00431A5F">
        <w:rPr>
          <w:rFonts w:ascii="Times New Roman" w:hAnsi="Times New Roman"/>
          <w:sz w:val="22"/>
          <w:szCs w:val="22"/>
        </w:rPr>
        <w:t xml:space="preserve"> </w:t>
      </w:r>
    </w:p>
    <w:p w14:paraId="7926341A" w14:textId="68DD1627" w:rsidR="00B8483F" w:rsidRPr="00431A5F" w:rsidRDefault="00B8483F" w:rsidP="001D7FDC">
      <w:pPr>
        <w:keepNext/>
        <w:rPr>
          <w:rFonts w:ascii="Times New Roman" w:hAnsi="Times New Roman"/>
          <w:b/>
          <w:sz w:val="22"/>
          <w:szCs w:val="22"/>
        </w:rPr>
      </w:pPr>
      <w:r w:rsidRPr="00431A5F">
        <w:rPr>
          <w:rFonts w:ascii="Times New Roman" w:hAnsi="Times New Roman"/>
          <w:b/>
          <w:sz w:val="22"/>
          <w:szCs w:val="22"/>
        </w:rPr>
        <w:lastRenderedPageBreak/>
        <w:t xml:space="preserve">Part 5 – </w:t>
      </w:r>
      <w:r w:rsidRPr="00431A5F">
        <w:rPr>
          <w:rStyle w:val="CharPartText"/>
          <w:rFonts w:ascii="Times New Roman" w:hAnsi="Times New Roman"/>
          <w:b/>
          <w:color w:val="000000" w:themeColor="text1"/>
          <w:sz w:val="22"/>
          <w:szCs w:val="22"/>
        </w:rPr>
        <w:t>Processes, training and monitoring</w:t>
      </w:r>
    </w:p>
    <w:p w14:paraId="49A9C00E" w14:textId="1A7059C2" w:rsidR="00B8483F" w:rsidRPr="00431A5F" w:rsidRDefault="00B8483F" w:rsidP="00B8483F">
      <w:pPr>
        <w:rPr>
          <w:rFonts w:ascii="Times New Roman" w:hAnsi="Times New Roman"/>
          <w:b/>
          <w:sz w:val="22"/>
          <w:szCs w:val="22"/>
        </w:rPr>
      </w:pPr>
      <w:r w:rsidRPr="00431A5F">
        <w:rPr>
          <w:rFonts w:ascii="Times New Roman" w:hAnsi="Times New Roman"/>
          <w:b/>
          <w:sz w:val="22"/>
          <w:szCs w:val="22"/>
        </w:rPr>
        <w:t>Section 26</w:t>
      </w:r>
      <w:r w:rsidRPr="00431A5F">
        <w:rPr>
          <w:rFonts w:ascii="Times New Roman" w:hAnsi="Times New Roman"/>
          <w:b/>
          <w:sz w:val="22"/>
          <w:szCs w:val="22"/>
        </w:rPr>
        <w:tab/>
        <w:t>Processes for personnel</w:t>
      </w:r>
    </w:p>
    <w:p w14:paraId="70835379" w14:textId="7B9D3750" w:rsidR="00B8483F" w:rsidRPr="00431A5F" w:rsidRDefault="00066DAC" w:rsidP="00B8483F">
      <w:pPr>
        <w:rPr>
          <w:rFonts w:ascii="Times New Roman" w:hAnsi="Times New Roman"/>
          <w:sz w:val="22"/>
          <w:szCs w:val="22"/>
        </w:rPr>
      </w:pPr>
      <w:r w:rsidRPr="00431A5F">
        <w:rPr>
          <w:rFonts w:ascii="Times New Roman" w:hAnsi="Times New Roman"/>
          <w:sz w:val="22"/>
          <w:szCs w:val="22"/>
        </w:rPr>
        <w:t xml:space="preserve">This section requires a CSP to implement </w:t>
      </w:r>
      <w:r w:rsidR="00421D67" w:rsidRPr="00431A5F">
        <w:rPr>
          <w:rFonts w:ascii="Times New Roman" w:hAnsi="Times New Roman"/>
          <w:sz w:val="22"/>
          <w:szCs w:val="22"/>
        </w:rPr>
        <w:t xml:space="preserve">written processes and procedures for its personnel to </w:t>
      </w:r>
      <w:r w:rsidR="008507DC">
        <w:rPr>
          <w:rFonts w:ascii="Times New Roman" w:hAnsi="Times New Roman"/>
          <w:sz w:val="22"/>
          <w:szCs w:val="22"/>
        </w:rPr>
        <w:t>en</w:t>
      </w:r>
      <w:r w:rsidR="00421D67" w:rsidRPr="00431A5F">
        <w:rPr>
          <w:rFonts w:ascii="Times New Roman" w:hAnsi="Times New Roman"/>
          <w:sz w:val="22"/>
          <w:szCs w:val="22"/>
        </w:rPr>
        <w:t xml:space="preserve">sure compliance with the </w:t>
      </w:r>
      <w:r w:rsidR="00C76F65">
        <w:rPr>
          <w:rFonts w:ascii="Times New Roman" w:hAnsi="Times New Roman"/>
          <w:sz w:val="22"/>
          <w:szCs w:val="22"/>
        </w:rPr>
        <w:t>Standard</w:t>
      </w:r>
      <w:r w:rsidR="00421D67" w:rsidRPr="00431A5F">
        <w:rPr>
          <w:rFonts w:ascii="Times New Roman" w:hAnsi="Times New Roman"/>
          <w:sz w:val="22"/>
          <w:szCs w:val="22"/>
        </w:rPr>
        <w:t xml:space="preserve">. </w:t>
      </w:r>
    </w:p>
    <w:p w14:paraId="3A6823FA" w14:textId="46BE8887" w:rsidR="006C1BA2" w:rsidRPr="00707285" w:rsidRDefault="00421D67" w:rsidP="006C1BA2">
      <w:pPr>
        <w:rPr>
          <w:rFonts w:ascii="Times New Roman" w:hAnsi="Times New Roman"/>
          <w:sz w:val="22"/>
          <w:szCs w:val="22"/>
        </w:rPr>
      </w:pPr>
      <w:r w:rsidRPr="00431A5F">
        <w:rPr>
          <w:rFonts w:ascii="Times New Roman" w:hAnsi="Times New Roman"/>
          <w:sz w:val="22"/>
          <w:szCs w:val="22"/>
        </w:rPr>
        <w:t xml:space="preserve">These written processes and procedures are intended to be internal documents for CSP’s </w:t>
      </w:r>
      <w:r w:rsidR="00174079">
        <w:rPr>
          <w:rFonts w:ascii="Times New Roman" w:hAnsi="Times New Roman"/>
          <w:sz w:val="22"/>
          <w:szCs w:val="22"/>
        </w:rPr>
        <w:t>personnel</w:t>
      </w:r>
      <w:r w:rsidRPr="00431A5F">
        <w:rPr>
          <w:rFonts w:ascii="Times New Roman" w:hAnsi="Times New Roman"/>
          <w:sz w:val="22"/>
          <w:szCs w:val="22"/>
        </w:rPr>
        <w:t>. They must be in writing but may be in hard copy or electronic (</w:t>
      </w:r>
      <w:proofErr w:type="gramStart"/>
      <w:r w:rsidRPr="00431A5F">
        <w:rPr>
          <w:rFonts w:ascii="Times New Roman" w:hAnsi="Times New Roman"/>
          <w:sz w:val="22"/>
          <w:szCs w:val="22"/>
        </w:rPr>
        <w:t>i.e.</w:t>
      </w:r>
      <w:proofErr w:type="gramEnd"/>
      <w:r w:rsidRPr="00431A5F">
        <w:rPr>
          <w:rFonts w:ascii="Times New Roman" w:hAnsi="Times New Roman"/>
          <w:sz w:val="22"/>
          <w:szCs w:val="22"/>
        </w:rPr>
        <w:t xml:space="preserve"> intranet, web accessible) form. </w:t>
      </w:r>
      <w:r w:rsidR="00174079">
        <w:rPr>
          <w:rFonts w:ascii="Times New Roman" w:hAnsi="Times New Roman"/>
          <w:sz w:val="22"/>
          <w:szCs w:val="22"/>
        </w:rPr>
        <w:t xml:space="preserve">‘Personnel’ is defined in section 5 of the Standard to </w:t>
      </w:r>
      <w:r w:rsidR="006C1BA2">
        <w:rPr>
          <w:rFonts w:ascii="Times New Roman" w:hAnsi="Times New Roman"/>
          <w:sz w:val="22"/>
          <w:szCs w:val="22"/>
        </w:rPr>
        <w:t xml:space="preserve">include </w:t>
      </w:r>
      <w:r w:rsidR="006C1BA2" w:rsidRPr="00707285">
        <w:rPr>
          <w:rFonts w:ascii="Times New Roman" w:hAnsi="Times New Roman"/>
          <w:sz w:val="22"/>
          <w:szCs w:val="22"/>
        </w:rPr>
        <w:t>staff or contractors engaged by or on behalf of a provider.</w:t>
      </w:r>
      <w:r w:rsidR="006C1BA2">
        <w:rPr>
          <w:rFonts w:ascii="Times New Roman" w:hAnsi="Times New Roman"/>
          <w:sz w:val="22"/>
          <w:szCs w:val="22"/>
        </w:rPr>
        <w:t xml:space="preserve"> </w:t>
      </w:r>
    </w:p>
    <w:p w14:paraId="19B7FC9C" w14:textId="749EF488" w:rsidR="00B8483F" w:rsidRPr="00431A5F" w:rsidRDefault="00B8483F" w:rsidP="00B8483F">
      <w:pPr>
        <w:rPr>
          <w:rFonts w:ascii="Times New Roman" w:hAnsi="Times New Roman"/>
          <w:b/>
          <w:sz w:val="22"/>
          <w:szCs w:val="22"/>
        </w:rPr>
      </w:pPr>
      <w:r w:rsidRPr="00431A5F">
        <w:rPr>
          <w:rFonts w:ascii="Times New Roman" w:hAnsi="Times New Roman"/>
          <w:b/>
          <w:sz w:val="22"/>
          <w:szCs w:val="22"/>
        </w:rPr>
        <w:t>Section 27</w:t>
      </w:r>
      <w:r w:rsidRPr="00431A5F">
        <w:rPr>
          <w:rFonts w:ascii="Times New Roman" w:hAnsi="Times New Roman"/>
          <w:b/>
          <w:sz w:val="22"/>
          <w:szCs w:val="22"/>
        </w:rPr>
        <w:tab/>
        <w:t>Training for personnel</w:t>
      </w:r>
    </w:p>
    <w:p w14:paraId="4262AC49" w14:textId="168883A1" w:rsidR="00B8483F" w:rsidRPr="00431A5F" w:rsidRDefault="00BC17EC" w:rsidP="00B8483F">
      <w:pPr>
        <w:rPr>
          <w:rFonts w:ascii="Times New Roman" w:hAnsi="Times New Roman"/>
          <w:sz w:val="22"/>
          <w:szCs w:val="22"/>
        </w:rPr>
      </w:pPr>
      <w:r w:rsidRPr="00431A5F">
        <w:rPr>
          <w:rFonts w:ascii="Times New Roman" w:hAnsi="Times New Roman"/>
          <w:sz w:val="22"/>
          <w:szCs w:val="22"/>
        </w:rPr>
        <w:t xml:space="preserve">This section sets out the requirements for </w:t>
      </w:r>
      <w:r w:rsidR="005B6E7C">
        <w:rPr>
          <w:rFonts w:ascii="Times New Roman" w:hAnsi="Times New Roman"/>
          <w:sz w:val="22"/>
          <w:szCs w:val="22"/>
        </w:rPr>
        <w:t xml:space="preserve">providing financial hardship </w:t>
      </w:r>
      <w:r w:rsidRPr="00431A5F">
        <w:rPr>
          <w:rFonts w:ascii="Times New Roman" w:hAnsi="Times New Roman"/>
          <w:sz w:val="22"/>
          <w:szCs w:val="22"/>
        </w:rPr>
        <w:t xml:space="preserve">training </w:t>
      </w:r>
      <w:r w:rsidR="005B6E7C">
        <w:rPr>
          <w:rFonts w:ascii="Times New Roman" w:hAnsi="Times New Roman"/>
          <w:sz w:val="22"/>
          <w:szCs w:val="22"/>
        </w:rPr>
        <w:t xml:space="preserve">to </w:t>
      </w:r>
      <w:r w:rsidRPr="00431A5F">
        <w:rPr>
          <w:rFonts w:ascii="Times New Roman" w:hAnsi="Times New Roman"/>
          <w:sz w:val="22"/>
          <w:szCs w:val="22"/>
        </w:rPr>
        <w:t xml:space="preserve">personnel. It requires a CSP to deliver training to </w:t>
      </w:r>
      <w:r w:rsidR="008507DC">
        <w:rPr>
          <w:rFonts w:ascii="Times New Roman" w:hAnsi="Times New Roman"/>
          <w:sz w:val="22"/>
          <w:szCs w:val="22"/>
        </w:rPr>
        <w:t xml:space="preserve">those of </w:t>
      </w:r>
      <w:r w:rsidRPr="00431A5F">
        <w:rPr>
          <w:rFonts w:ascii="Times New Roman" w:hAnsi="Times New Roman"/>
          <w:sz w:val="22"/>
          <w:szCs w:val="22"/>
        </w:rPr>
        <w:t xml:space="preserve">its </w:t>
      </w:r>
      <w:r w:rsidR="005A0605">
        <w:rPr>
          <w:rFonts w:ascii="Times New Roman" w:hAnsi="Times New Roman"/>
          <w:sz w:val="22"/>
          <w:szCs w:val="22"/>
        </w:rPr>
        <w:t>personnel</w:t>
      </w:r>
      <w:r w:rsidR="005A0605" w:rsidRPr="00431A5F">
        <w:rPr>
          <w:rFonts w:ascii="Times New Roman" w:hAnsi="Times New Roman"/>
          <w:sz w:val="22"/>
          <w:szCs w:val="22"/>
        </w:rPr>
        <w:t xml:space="preserve"> </w:t>
      </w:r>
      <w:r w:rsidRPr="00431A5F">
        <w:rPr>
          <w:rFonts w:ascii="Times New Roman" w:hAnsi="Times New Roman"/>
          <w:sz w:val="22"/>
          <w:szCs w:val="22"/>
        </w:rPr>
        <w:t xml:space="preserve">who deal directly with consumers </w:t>
      </w:r>
      <w:r w:rsidR="009C1172">
        <w:rPr>
          <w:rFonts w:ascii="Times New Roman" w:hAnsi="Times New Roman"/>
          <w:sz w:val="22"/>
          <w:szCs w:val="22"/>
        </w:rPr>
        <w:t>about</w:t>
      </w:r>
      <w:r w:rsidRPr="00431A5F">
        <w:rPr>
          <w:rFonts w:ascii="Times New Roman" w:hAnsi="Times New Roman"/>
          <w:sz w:val="22"/>
          <w:szCs w:val="22"/>
        </w:rPr>
        <w:t xml:space="preserve"> the CSP</w:t>
      </w:r>
      <w:r w:rsidR="002614D2">
        <w:rPr>
          <w:rFonts w:ascii="Times New Roman" w:hAnsi="Times New Roman"/>
          <w:sz w:val="22"/>
          <w:szCs w:val="22"/>
        </w:rPr>
        <w:t>’</w:t>
      </w:r>
      <w:r w:rsidRPr="00431A5F">
        <w:rPr>
          <w:rFonts w:ascii="Times New Roman" w:hAnsi="Times New Roman"/>
          <w:sz w:val="22"/>
          <w:szCs w:val="22"/>
        </w:rPr>
        <w:t>s payment assistance policy, financial hardship processes and procedures and the requirements of Parts 1 – 6 of th</w:t>
      </w:r>
      <w:r w:rsidR="00A62CBF">
        <w:rPr>
          <w:rFonts w:ascii="Times New Roman" w:hAnsi="Times New Roman"/>
          <w:sz w:val="22"/>
          <w:szCs w:val="22"/>
        </w:rPr>
        <w:t>e Standard</w:t>
      </w:r>
      <w:r w:rsidRPr="00431A5F">
        <w:rPr>
          <w:rFonts w:ascii="Times New Roman" w:hAnsi="Times New Roman"/>
          <w:sz w:val="22"/>
          <w:szCs w:val="22"/>
        </w:rPr>
        <w:t xml:space="preserve">. The training may be delivered by a third party on behalf of the </w:t>
      </w:r>
      <w:r w:rsidR="007B5CFF" w:rsidRPr="00431A5F">
        <w:rPr>
          <w:rFonts w:ascii="Times New Roman" w:hAnsi="Times New Roman"/>
          <w:sz w:val="22"/>
          <w:szCs w:val="22"/>
        </w:rPr>
        <w:t>CSP and</w:t>
      </w:r>
      <w:r w:rsidRPr="00431A5F">
        <w:rPr>
          <w:rFonts w:ascii="Times New Roman" w:hAnsi="Times New Roman"/>
          <w:sz w:val="22"/>
          <w:szCs w:val="22"/>
        </w:rPr>
        <w:t xml:space="preserve"> must include an assessment component which is intended to ensure that staff can demonstrate their knowledge and understanding of their obligations.</w:t>
      </w:r>
    </w:p>
    <w:p w14:paraId="26F17D81" w14:textId="0E2E7023" w:rsidR="007B5CFF" w:rsidRPr="00431A5F" w:rsidRDefault="00174079" w:rsidP="00B8483F">
      <w:pPr>
        <w:rPr>
          <w:rFonts w:ascii="Times New Roman" w:hAnsi="Times New Roman"/>
          <w:sz w:val="22"/>
          <w:szCs w:val="22"/>
        </w:rPr>
      </w:pPr>
      <w:r>
        <w:rPr>
          <w:rFonts w:ascii="Times New Roman" w:hAnsi="Times New Roman"/>
          <w:sz w:val="22"/>
          <w:szCs w:val="22"/>
        </w:rPr>
        <w:t>Personnel</w:t>
      </w:r>
      <w:r w:rsidRPr="00431A5F">
        <w:rPr>
          <w:rFonts w:ascii="Times New Roman" w:hAnsi="Times New Roman"/>
          <w:sz w:val="22"/>
          <w:szCs w:val="22"/>
        </w:rPr>
        <w:t xml:space="preserve"> </w:t>
      </w:r>
      <w:r w:rsidR="007B5CFF" w:rsidRPr="00431A5F">
        <w:rPr>
          <w:rFonts w:ascii="Times New Roman" w:hAnsi="Times New Roman"/>
          <w:sz w:val="22"/>
          <w:szCs w:val="22"/>
        </w:rPr>
        <w:t xml:space="preserve">are required to receive training either within 3 months </w:t>
      </w:r>
      <w:r w:rsidR="00040C2D" w:rsidRPr="00431A5F">
        <w:rPr>
          <w:rFonts w:ascii="Times New Roman" w:hAnsi="Times New Roman"/>
          <w:sz w:val="22"/>
          <w:szCs w:val="22"/>
        </w:rPr>
        <w:t xml:space="preserve">after commencement of the </w:t>
      </w:r>
      <w:r w:rsidR="00C1400B">
        <w:rPr>
          <w:rFonts w:ascii="Times New Roman" w:hAnsi="Times New Roman"/>
          <w:sz w:val="22"/>
          <w:szCs w:val="22"/>
        </w:rPr>
        <w:t>Standard</w:t>
      </w:r>
      <w:r w:rsidR="00C1400B" w:rsidRPr="00431A5F">
        <w:rPr>
          <w:rFonts w:ascii="Times New Roman" w:hAnsi="Times New Roman"/>
          <w:sz w:val="22"/>
          <w:szCs w:val="22"/>
        </w:rPr>
        <w:t xml:space="preserve"> </w:t>
      </w:r>
      <w:r w:rsidR="007B5CFF" w:rsidRPr="00431A5F">
        <w:rPr>
          <w:rFonts w:ascii="Times New Roman" w:hAnsi="Times New Roman"/>
          <w:sz w:val="22"/>
          <w:szCs w:val="22"/>
        </w:rPr>
        <w:t>for those that deal directly with consumers at the time</w:t>
      </w:r>
      <w:r w:rsidR="00B269CB" w:rsidRPr="00431A5F">
        <w:rPr>
          <w:rFonts w:ascii="Times New Roman" w:hAnsi="Times New Roman"/>
          <w:sz w:val="22"/>
          <w:szCs w:val="22"/>
        </w:rPr>
        <w:t xml:space="preserve"> the </w:t>
      </w:r>
      <w:r w:rsidR="00BA2107">
        <w:rPr>
          <w:rFonts w:ascii="Times New Roman" w:hAnsi="Times New Roman"/>
          <w:sz w:val="22"/>
          <w:szCs w:val="22"/>
        </w:rPr>
        <w:t>Standard</w:t>
      </w:r>
      <w:r w:rsidR="00B269CB" w:rsidRPr="00431A5F">
        <w:rPr>
          <w:rFonts w:ascii="Times New Roman" w:hAnsi="Times New Roman"/>
          <w:sz w:val="22"/>
          <w:szCs w:val="22"/>
        </w:rPr>
        <w:t xml:space="preserve"> commences</w:t>
      </w:r>
      <w:r w:rsidR="00BA2107">
        <w:rPr>
          <w:rFonts w:ascii="Times New Roman" w:hAnsi="Times New Roman"/>
          <w:sz w:val="22"/>
          <w:szCs w:val="22"/>
        </w:rPr>
        <w:t>,</w:t>
      </w:r>
      <w:r w:rsidR="00B269CB" w:rsidRPr="00431A5F">
        <w:rPr>
          <w:rFonts w:ascii="Times New Roman" w:hAnsi="Times New Roman"/>
          <w:sz w:val="22"/>
          <w:szCs w:val="22"/>
        </w:rPr>
        <w:t xml:space="preserve"> or prior to dealing directly with consumers if they are not yet doing so when the </w:t>
      </w:r>
      <w:r w:rsidR="008A7CDB">
        <w:rPr>
          <w:rFonts w:ascii="Times New Roman" w:hAnsi="Times New Roman"/>
          <w:sz w:val="22"/>
          <w:szCs w:val="22"/>
        </w:rPr>
        <w:t>Standard</w:t>
      </w:r>
      <w:r w:rsidR="008A7CDB" w:rsidRPr="00431A5F">
        <w:rPr>
          <w:rFonts w:ascii="Times New Roman" w:hAnsi="Times New Roman"/>
          <w:sz w:val="22"/>
          <w:szCs w:val="22"/>
        </w:rPr>
        <w:t xml:space="preserve"> </w:t>
      </w:r>
      <w:r w:rsidR="00B269CB" w:rsidRPr="00431A5F">
        <w:rPr>
          <w:rFonts w:ascii="Times New Roman" w:hAnsi="Times New Roman"/>
          <w:sz w:val="22"/>
          <w:szCs w:val="22"/>
        </w:rPr>
        <w:t xml:space="preserve">commences. </w:t>
      </w:r>
      <w:r w:rsidR="007B5CFF" w:rsidRPr="00431A5F">
        <w:rPr>
          <w:rFonts w:ascii="Times New Roman" w:hAnsi="Times New Roman"/>
          <w:sz w:val="22"/>
          <w:szCs w:val="22"/>
        </w:rPr>
        <w:t xml:space="preserve">This is intended to provide a </w:t>
      </w:r>
      <w:proofErr w:type="gramStart"/>
      <w:r w:rsidR="007B5CFF" w:rsidRPr="00431A5F">
        <w:rPr>
          <w:rFonts w:ascii="Times New Roman" w:hAnsi="Times New Roman"/>
          <w:sz w:val="22"/>
          <w:szCs w:val="22"/>
        </w:rPr>
        <w:t>3 month</w:t>
      </w:r>
      <w:proofErr w:type="gramEnd"/>
      <w:r w:rsidR="007B5CFF" w:rsidRPr="00431A5F">
        <w:rPr>
          <w:rFonts w:ascii="Times New Roman" w:hAnsi="Times New Roman"/>
          <w:sz w:val="22"/>
          <w:szCs w:val="22"/>
        </w:rPr>
        <w:t xml:space="preserve"> window to provide training for existing </w:t>
      </w:r>
      <w:r w:rsidR="0034292D">
        <w:rPr>
          <w:rFonts w:ascii="Times New Roman" w:hAnsi="Times New Roman"/>
          <w:sz w:val="22"/>
          <w:szCs w:val="22"/>
        </w:rPr>
        <w:t>personnel</w:t>
      </w:r>
      <w:r w:rsidR="007B5CFF" w:rsidRPr="00431A5F">
        <w:rPr>
          <w:rFonts w:ascii="Times New Roman" w:hAnsi="Times New Roman"/>
          <w:sz w:val="22"/>
          <w:szCs w:val="22"/>
        </w:rPr>
        <w:t xml:space="preserve">. New staff that start after the </w:t>
      </w:r>
      <w:r w:rsidR="008A7CDB">
        <w:rPr>
          <w:rFonts w:ascii="Times New Roman" w:hAnsi="Times New Roman"/>
          <w:sz w:val="22"/>
          <w:szCs w:val="22"/>
        </w:rPr>
        <w:t>Standard</w:t>
      </w:r>
      <w:r w:rsidR="008A7CDB" w:rsidRPr="00431A5F">
        <w:rPr>
          <w:rFonts w:ascii="Times New Roman" w:hAnsi="Times New Roman"/>
          <w:sz w:val="22"/>
          <w:szCs w:val="22"/>
        </w:rPr>
        <w:t xml:space="preserve"> </w:t>
      </w:r>
      <w:r w:rsidR="007B5CFF" w:rsidRPr="00431A5F">
        <w:rPr>
          <w:rFonts w:ascii="Times New Roman" w:hAnsi="Times New Roman"/>
          <w:sz w:val="22"/>
          <w:szCs w:val="22"/>
        </w:rPr>
        <w:t xml:space="preserve">commences </w:t>
      </w:r>
      <w:r w:rsidR="00DF128E" w:rsidRPr="00431A5F">
        <w:rPr>
          <w:rFonts w:ascii="Times New Roman" w:hAnsi="Times New Roman"/>
          <w:sz w:val="22"/>
          <w:szCs w:val="22"/>
        </w:rPr>
        <w:t xml:space="preserve">are </w:t>
      </w:r>
      <w:r w:rsidR="007B5CFF" w:rsidRPr="00431A5F">
        <w:rPr>
          <w:rFonts w:ascii="Times New Roman" w:hAnsi="Times New Roman"/>
          <w:sz w:val="22"/>
          <w:szCs w:val="22"/>
        </w:rPr>
        <w:t xml:space="preserve">required to receive financial hardship training before they start dealing directly with consumers. All </w:t>
      </w:r>
      <w:r w:rsidR="0034292D">
        <w:rPr>
          <w:rFonts w:ascii="Times New Roman" w:hAnsi="Times New Roman"/>
          <w:sz w:val="22"/>
          <w:szCs w:val="22"/>
        </w:rPr>
        <w:t>personnel</w:t>
      </w:r>
      <w:r w:rsidR="0034292D" w:rsidRPr="00431A5F">
        <w:rPr>
          <w:rFonts w:ascii="Times New Roman" w:hAnsi="Times New Roman"/>
          <w:sz w:val="22"/>
          <w:szCs w:val="22"/>
        </w:rPr>
        <w:t xml:space="preserve"> </w:t>
      </w:r>
      <w:r w:rsidR="007B5CFF" w:rsidRPr="00431A5F">
        <w:rPr>
          <w:rFonts w:ascii="Times New Roman" w:hAnsi="Times New Roman"/>
          <w:sz w:val="22"/>
          <w:szCs w:val="22"/>
        </w:rPr>
        <w:t xml:space="preserve">must receive refresher training </w:t>
      </w:r>
      <w:r w:rsidR="00F0385E">
        <w:rPr>
          <w:rFonts w:ascii="Times New Roman" w:hAnsi="Times New Roman"/>
          <w:sz w:val="22"/>
          <w:szCs w:val="22"/>
        </w:rPr>
        <w:t>annually</w:t>
      </w:r>
      <w:r w:rsidR="00B269CB" w:rsidRPr="00431A5F">
        <w:rPr>
          <w:rFonts w:ascii="Times New Roman" w:hAnsi="Times New Roman"/>
          <w:sz w:val="22"/>
          <w:szCs w:val="22"/>
        </w:rPr>
        <w:t xml:space="preserve"> after their initial training to </w:t>
      </w:r>
      <w:r w:rsidR="002E00A2" w:rsidRPr="00431A5F">
        <w:rPr>
          <w:rFonts w:ascii="Times New Roman" w:hAnsi="Times New Roman"/>
          <w:sz w:val="22"/>
          <w:szCs w:val="22"/>
        </w:rPr>
        <w:t xml:space="preserve">promote better awareness of </w:t>
      </w:r>
      <w:r w:rsidR="005A0605">
        <w:rPr>
          <w:rFonts w:ascii="Times New Roman" w:hAnsi="Times New Roman"/>
          <w:sz w:val="22"/>
          <w:szCs w:val="22"/>
        </w:rPr>
        <w:t xml:space="preserve">financial </w:t>
      </w:r>
      <w:r w:rsidR="002E00A2" w:rsidRPr="00431A5F">
        <w:rPr>
          <w:rFonts w:ascii="Times New Roman" w:hAnsi="Times New Roman"/>
          <w:sz w:val="22"/>
          <w:szCs w:val="22"/>
        </w:rPr>
        <w:t xml:space="preserve">hardship and </w:t>
      </w:r>
      <w:r w:rsidR="00B269CB" w:rsidRPr="00431A5F">
        <w:rPr>
          <w:rFonts w:ascii="Times New Roman" w:hAnsi="Times New Roman"/>
          <w:sz w:val="22"/>
          <w:szCs w:val="22"/>
        </w:rPr>
        <w:t xml:space="preserve">ensure they </w:t>
      </w:r>
      <w:r w:rsidR="00426338">
        <w:rPr>
          <w:rFonts w:ascii="Times New Roman" w:hAnsi="Times New Roman"/>
          <w:sz w:val="22"/>
          <w:szCs w:val="22"/>
        </w:rPr>
        <w:t>continue to be</w:t>
      </w:r>
      <w:r w:rsidR="00B269CB" w:rsidRPr="00431A5F">
        <w:rPr>
          <w:rFonts w:ascii="Times New Roman" w:hAnsi="Times New Roman"/>
          <w:sz w:val="22"/>
          <w:szCs w:val="22"/>
        </w:rPr>
        <w:t xml:space="preserve"> </w:t>
      </w:r>
      <w:r w:rsidR="002E00A2" w:rsidRPr="00431A5F">
        <w:rPr>
          <w:rFonts w:ascii="Times New Roman" w:hAnsi="Times New Roman"/>
          <w:sz w:val="22"/>
          <w:szCs w:val="22"/>
        </w:rPr>
        <w:t>conscious</w:t>
      </w:r>
      <w:r w:rsidR="00B269CB" w:rsidRPr="00431A5F">
        <w:rPr>
          <w:rFonts w:ascii="Times New Roman" w:hAnsi="Times New Roman"/>
          <w:sz w:val="22"/>
          <w:szCs w:val="22"/>
        </w:rPr>
        <w:t xml:space="preserve"> </w:t>
      </w:r>
      <w:r w:rsidR="002E00A2" w:rsidRPr="00431A5F">
        <w:rPr>
          <w:rFonts w:ascii="Times New Roman" w:hAnsi="Times New Roman"/>
          <w:sz w:val="22"/>
          <w:szCs w:val="22"/>
        </w:rPr>
        <w:t xml:space="preserve">of </w:t>
      </w:r>
      <w:r w:rsidR="00B269CB" w:rsidRPr="00431A5F">
        <w:rPr>
          <w:rFonts w:ascii="Times New Roman" w:hAnsi="Times New Roman"/>
          <w:sz w:val="22"/>
          <w:szCs w:val="22"/>
        </w:rPr>
        <w:t>the relevant information and requirements</w:t>
      </w:r>
      <w:r w:rsidR="002E00A2" w:rsidRPr="00431A5F">
        <w:rPr>
          <w:rFonts w:ascii="Times New Roman" w:hAnsi="Times New Roman"/>
          <w:sz w:val="22"/>
          <w:szCs w:val="22"/>
        </w:rPr>
        <w:t>.</w:t>
      </w:r>
    </w:p>
    <w:p w14:paraId="5E784E86" w14:textId="1B96FA55" w:rsidR="00B8483F" w:rsidRPr="00431A5F" w:rsidRDefault="00B8483F" w:rsidP="00B8483F">
      <w:pPr>
        <w:rPr>
          <w:rFonts w:ascii="Times New Roman" w:hAnsi="Times New Roman"/>
          <w:b/>
          <w:sz w:val="22"/>
          <w:szCs w:val="22"/>
        </w:rPr>
      </w:pPr>
      <w:r w:rsidRPr="00431A5F">
        <w:rPr>
          <w:rFonts w:ascii="Times New Roman" w:hAnsi="Times New Roman"/>
          <w:b/>
          <w:sz w:val="22"/>
          <w:szCs w:val="22"/>
        </w:rPr>
        <w:t>Section 28</w:t>
      </w:r>
      <w:r w:rsidRPr="00431A5F">
        <w:rPr>
          <w:rFonts w:ascii="Times New Roman" w:hAnsi="Times New Roman"/>
          <w:b/>
          <w:sz w:val="22"/>
          <w:szCs w:val="22"/>
        </w:rPr>
        <w:tab/>
        <w:t>Monitoring and review</w:t>
      </w:r>
    </w:p>
    <w:p w14:paraId="48695AFF" w14:textId="32B5E6AF" w:rsidR="00B8483F" w:rsidRPr="00431A5F" w:rsidRDefault="001022C3" w:rsidP="00B8483F">
      <w:pPr>
        <w:rPr>
          <w:rFonts w:ascii="Times New Roman" w:hAnsi="Times New Roman"/>
          <w:sz w:val="22"/>
          <w:szCs w:val="22"/>
        </w:rPr>
      </w:pPr>
      <w:r w:rsidRPr="00431A5F">
        <w:rPr>
          <w:rFonts w:ascii="Times New Roman" w:hAnsi="Times New Roman"/>
          <w:sz w:val="22"/>
          <w:szCs w:val="22"/>
        </w:rPr>
        <w:t xml:space="preserve">Subsection 28(1) requires a CSP to regularly monitor how its </w:t>
      </w:r>
      <w:r w:rsidR="005A0605">
        <w:rPr>
          <w:rFonts w:ascii="Times New Roman" w:hAnsi="Times New Roman"/>
          <w:sz w:val="22"/>
          <w:szCs w:val="22"/>
        </w:rPr>
        <w:t>personnel</w:t>
      </w:r>
      <w:r w:rsidR="005A0605" w:rsidRPr="00431A5F">
        <w:rPr>
          <w:rFonts w:ascii="Times New Roman" w:hAnsi="Times New Roman"/>
          <w:sz w:val="22"/>
          <w:szCs w:val="22"/>
        </w:rPr>
        <w:t xml:space="preserve"> </w:t>
      </w:r>
      <w:r w:rsidRPr="00431A5F">
        <w:rPr>
          <w:rFonts w:ascii="Times New Roman" w:hAnsi="Times New Roman"/>
          <w:sz w:val="22"/>
          <w:szCs w:val="22"/>
        </w:rPr>
        <w:t>interact with financial hardship customers to ensure they understand the CSP</w:t>
      </w:r>
      <w:r w:rsidR="002614D2">
        <w:rPr>
          <w:rFonts w:ascii="Times New Roman" w:hAnsi="Times New Roman"/>
          <w:sz w:val="22"/>
          <w:szCs w:val="22"/>
        </w:rPr>
        <w:t>’</w:t>
      </w:r>
      <w:r w:rsidRPr="00431A5F">
        <w:rPr>
          <w:rFonts w:ascii="Times New Roman" w:hAnsi="Times New Roman"/>
          <w:sz w:val="22"/>
          <w:szCs w:val="22"/>
        </w:rPr>
        <w:t>s payment assistance policy, and financial hardship processes and procedures and their obligations under th</w:t>
      </w:r>
      <w:r w:rsidR="00D94893">
        <w:rPr>
          <w:rFonts w:ascii="Times New Roman" w:hAnsi="Times New Roman"/>
          <w:sz w:val="22"/>
          <w:szCs w:val="22"/>
        </w:rPr>
        <w:t>e Standard</w:t>
      </w:r>
      <w:r w:rsidRPr="00431A5F">
        <w:rPr>
          <w:rFonts w:ascii="Times New Roman" w:hAnsi="Times New Roman"/>
          <w:sz w:val="22"/>
          <w:szCs w:val="22"/>
        </w:rPr>
        <w:t>.</w:t>
      </w:r>
    </w:p>
    <w:p w14:paraId="246D5F00" w14:textId="507D7190" w:rsidR="001022C3" w:rsidRPr="00431A5F" w:rsidRDefault="001022C3" w:rsidP="00B8483F">
      <w:pPr>
        <w:rPr>
          <w:rFonts w:ascii="Times New Roman" w:hAnsi="Times New Roman"/>
          <w:sz w:val="22"/>
          <w:szCs w:val="22"/>
        </w:rPr>
      </w:pPr>
      <w:r w:rsidRPr="00431A5F">
        <w:rPr>
          <w:rFonts w:ascii="Times New Roman" w:hAnsi="Times New Roman"/>
          <w:sz w:val="22"/>
          <w:szCs w:val="22"/>
        </w:rPr>
        <w:t>Subsection 28(2) requires a CSP to conduct an annual review of the effectiveness of its financial hardship training and make changes to ensure it is fit for purpose.</w:t>
      </w:r>
    </w:p>
    <w:p w14:paraId="777A7A66" w14:textId="17826E44" w:rsidR="001022C3" w:rsidRPr="00431A5F" w:rsidRDefault="001022C3" w:rsidP="00B8483F">
      <w:pPr>
        <w:rPr>
          <w:rFonts w:ascii="Times New Roman" w:hAnsi="Times New Roman"/>
          <w:b/>
          <w:sz w:val="22"/>
          <w:szCs w:val="22"/>
        </w:rPr>
      </w:pPr>
      <w:r w:rsidRPr="00431A5F">
        <w:rPr>
          <w:rFonts w:ascii="Times New Roman" w:hAnsi="Times New Roman"/>
          <w:sz w:val="22"/>
          <w:szCs w:val="22"/>
        </w:rPr>
        <w:t>This section is intended to ensure that CSPs monitor interaction</w:t>
      </w:r>
      <w:r w:rsidR="0039736F">
        <w:rPr>
          <w:rFonts w:ascii="Times New Roman" w:hAnsi="Times New Roman"/>
          <w:sz w:val="22"/>
          <w:szCs w:val="22"/>
        </w:rPr>
        <w:t xml:space="preserve"> of personnel</w:t>
      </w:r>
      <w:r w:rsidRPr="00431A5F">
        <w:rPr>
          <w:rFonts w:ascii="Times New Roman" w:hAnsi="Times New Roman"/>
          <w:sz w:val="22"/>
          <w:szCs w:val="22"/>
        </w:rPr>
        <w:t xml:space="preserve"> with financial hardship customers throughout the year to evaluate </w:t>
      </w:r>
      <w:r w:rsidR="006959B8" w:rsidRPr="00431A5F">
        <w:rPr>
          <w:rFonts w:ascii="Times New Roman" w:hAnsi="Times New Roman"/>
          <w:sz w:val="22"/>
          <w:szCs w:val="22"/>
        </w:rPr>
        <w:t>performance and compliance with the requirements of th</w:t>
      </w:r>
      <w:r w:rsidR="00AD6CDF">
        <w:rPr>
          <w:rFonts w:ascii="Times New Roman" w:hAnsi="Times New Roman"/>
          <w:sz w:val="22"/>
          <w:szCs w:val="22"/>
        </w:rPr>
        <w:t>e</w:t>
      </w:r>
      <w:r w:rsidR="006959B8" w:rsidRPr="00431A5F">
        <w:rPr>
          <w:rFonts w:ascii="Times New Roman" w:hAnsi="Times New Roman"/>
          <w:sz w:val="22"/>
          <w:szCs w:val="22"/>
        </w:rPr>
        <w:t xml:space="preserve"> </w:t>
      </w:r>
      <w:r w:rsidR="00AD6CDF">
        <w:rPr>
          <w:rFonts w:ascii="Times New Roman" w:hAnsi="Times New Roman"/>
          <w:sz w:val="22"/>
          <w:szCs w:val="22"/>
        </w:rPr>
        <w:t>Standard</w:t>
      </w:r>
      <w:r w:rsidR="006959B8" w:rsidRPr="00431A5F">
        <w:rPr>
          <w:rFonts w:ascii="Times New Roman" w:hAnsi="Times New Roman"/>
          <w:sz w:val="22"/>
          <w:szCs w:val="22"/>
        </w:rPr>
        <w:t xml:space="preserve">. </w:t>
      </w:r>
      <w:r w:rsidR="00AE76ED">
        <w:rPr>
          <w:rFonts w:ascii="Times New Roman" w:hAnsi="Times New Roman"/>
          <w:sz w:val="22"/>
          <w:szCs w:val="22"/>
        </w:rPr>
        <w:t>T</w:t>
      </w:r>
      <w:r w:rsidR="006959B8" w:rsidRPr="00431A5F">
        <w:rPr>
          <w:rFonts w:ascii="Times New Roman" w:hAnsi="Times New Roman"/>
          <w:sz w:val="22"/>
          <w:szCs w:val="22"/>
        </w:rPr>
        <w:t xml:space="preserve">raining is required to be reviewed and amended as necessary annually to reflect outcomes of these evaluations </w:t>
      </w:r>
      <w:r w:rsidR="00901666" w:rsidRPr="00431A5F">
        <w:rPr>
          <w:rFonts w:ascii="Times New Roman" w:hAnsi="Times New Roman"/>
          <w:sz w:val="22"/>
          <w:szCs w:val="22"/>
        </w:rPr>
        <w:t xml:space="preserve">and </w:t>
      </w:r>
      <w:r w:rsidR="006959B8" w:rsidRPr="00431A5F">
        <w:rPr>
          <w:rFonts w:ascii="Times New Roman" w:hAnsi="Times New Roman"/>
          <w:sz w:val="22"/>
          <w:szCs w:val="22"/>
        </w:rPr>
        <w:t xml:space="preserve">to improve </w:t>
      </w:r>
      <w:r w:rsidR="00AE76ED">
        <w:rPr>
          <w:rFonts w:ascii="Times New Roman" w:hAnsi="Times New Roman"/>
          <w:sz w:val="22"/>
          <w:szCs w:val="22"/>
        </w:rPr>
        <w:t>personnel</w:t>
      </w:r>
      <w:r w:rsidR="00AE76ED" w:rsidRPr="00431A5F">
        <w:rPr>
          <w:rFonts w:ascii="Times New Roman" w:hAnsi="Times New Roman"/>
          <w:sz w:val="22"/>
          <w:szCs w:val="22"/>
        </w:rPr>
        <w:t xml:space="preserve"> </w:t>
      </w:r>
      <w:r w:rsidR="006959B8" w:rsidRPr="00431A5F">
        <w:rPr>
          <w:rFonts w:ascii="Times New Roman" w:hAnsi="Times New Roman"/>
          <w:sz w:val="22"/>
          <w:szCs w:val="22"/>
        </w:rPr>
        <w:t>interactions with financial hardship customers where possible and improve compliance as necessary. The annual review of financial hardship training is the minimum requirement. More frequent reviews are at a CSP</w:t>
      </w:r>
      <w:r w:rsidR="00AD6CDF">
        <w:rPr>
          <w:rFonts w:ascii="Times New Roman" w:hAnsi="Times New Roman"/>
          <w:sz w:val="22"/>
          <w:szCs w:val="22"/>
        </w:rPr>
        <w:t>’</w:t>
      </w:r>
      <w:r w:rsidR="006959B8" w:rsidRPr="00431A5F">
        <w:rPr>
          <w:rFonts w:ascii="Times New Roman" w:hAnsi="Times New Roman"/>
          <w:sz w:val="22"/>
          <w:szCs w:val="22"/>
        </w:rPr>
        <w:t>s discretion.</w:t>
      </w:r>
    </w:p>
    <w:p w14:paraId="3C6F0D47" w14:textId="735D46EF" w:rsidR="00AC3511" w:rsidRPr="00431A5F" w:rsidRDefault="00AC3511" w:rsidP="00E65D4B">
      <w:pPr>
        <w:keepNext/>
        <w:rPr>
          <w:rFonts w:ascii="Times New Roman" w:hAnsi="Times New Roman"/>
          <w:b/>
          <w:sz w:val="22"/>
          <w:szCs w:val="22"/>
        </w:rPr>
      </w:pPr>
      <w:r w:rsidRPr="00431A5F">
        <w:rPr>
          <w:rFonts w:ascii="Times New Roman" w:hAnsi="Times New Roman"/>
          <w:b/>
          <w:sz w:val="22"/>
          <w:szCs w:val="22"/>
        </w:rPr>
        <w:t xml:space="preserve">Part 6 – </w:t>
      </w:r>
      <w:r w:rsidRPr="00431A5F">
        <w:rPr>
          <w:rStyle w:val="CharPartText"/>
          <w:rFonts w:ascii="Times New Roman" w:hAnsi="Times New Roman"/>
          <w:b/>
          <w:color w:val="000000" w:themeColor="text1"/>
          <w:sz w:val="22"/>
          <w:szCs w:val="22"/>
        </w:rPr>
        <w:t xml:space="preserve">Record </w:t>
      </w:r>
      <w:proofErr w:type="gramStart"/>
      <w:r w:rsidRPr="00431A5F">
        <w:rPr>
          <w:rStyle w:val="CharPartText"/>
          <w:rFonts w:ascii="Times New Roman" w:hAnsi="Times New Roman"/>
          <w:b/>
          <w:color w:val="000000" w:themeColor="text1"/>
          <w:sz w:val="22"/>
          <w:szCs w:val="22"/>
        </w:rPr>
        <w:t>keeping</w:t>
      </w:r>
      <w:proofErr w:type="gramEnd"/>
    </w:p>
    <w:p w14:paraId="388E4E3C" w14:textId="77777777" w:rsidR="00A55281" w:rsidRPr="00EB0FAC" w:rsidRDefault="00A55281" w:rsidP="00A55281">
      <w:pPr>
        <w:autoSpaceDE w:val="0"/>
        <w:autoSpaceDN w:val="0"/>
        <w:spacing w:before="120"/>
        <w:rPr>
          <w:rFonts w:ascii="Times New Roman" w:hAnsi="Times New Roman"/>
          <w:sz w:val="22"/>
          <w:szCs w:val="22"/>
        </w:rPr>
      </w:pPr>
      <w:r w:rsidRPr="00EB0FAC">
        <w:rPr>
          <w:rFonts w:ascii="Times New Roman" w:hAnsi="Times New Roman"/>
          <w:sz w:val="22"/>
          <w:szCs w:val="22"/>
        </w:rPr>
        <w:t xml:space="preserve">Part 6 of the Standard imposes certain record keeping requirements on CSPs relating to their dealings with customers about financial hardship matters. These records include personal information, including details of customers and communications between the CSP and customers, which are required to be kept for at least 2 years, and be made available to the ACMA by written request. Further descriptions are set out below. </w:t>
      </w:r>
    </w:p>
    <w:p w14:paraId="465C1F66" w14:textId="2A33440A" w:rsidR="00A55281" w:rsidRPr="00B666C8" w:rsidRDefault="00B666C8" w:rsidP="00B666C8">
      <w:pPr>
        <w:shd w:val="clear" w:color="auto" w:fill="FFFFFF"/>
        <w:spacing w:before="120" w:after="0" w:line="233" w:lineRule="atLeast"/>
        <w:rPr>
          <w:rFonts w:ascii="Times New Roman" w:hAnsi="Times New Roman"/>
          <w:color w:val="000000"/>
          <w:sz w:val="22"/>
          <w:szCs w:val="22"/>
        </w:rPr>
      </w:pPr>
      <w:r w:rsidRPr="00EB0FAC">
        <w:rPr>
          <w:rFonts w:ascii="Times New Roman" w:hAnsi="Times New Roman"/>
          <w:sz w:val="22"/>
          <w:szCs w:val="22"/>
        </w:rPr>
        <w:lastRenderedPageBreak/>
        <w:t xml:space="preserve">The </w:t>
      </w:r>
      <w:r w:rsidRPr="00EB0FAC">
        <w:rPr>
          <w:rFonts w:ascii="Times New Roman" w:hAnsi="Times New Roman"/>
          <w:i/>
          <w:iCs/>
          <w:color w:val="000000"/>
          <w:sz w:val="22"/>
          <w:szCs w:val="22"/>
        </w:rPr>
        <w:t xml:space="preserve">Privacy Act 1988 </w:t>
      </w:r>
      <w:r w:rsidRPr="00EB0FAC">
        <w:rPr>
          <w:rFonts w:ascii="Times New Roman" w:hAnsi="Times New Roman"/>
          <w:sz w:val="22"/>
          <w:szCs w:val="22"/>
        </w:rPr>
        <w:t>(</w:t>
      </w:r>
      <w:r w:rsidRPr="00EB0FAC">
        <w:rPr>
          <w:rFonts w:ascii="Times New Roman" w:hAnsi="Times New Roman"/>
          <w:b/>
          <w:bCs/>
          <w:sz w:val="22"/>
          <w:szCs w:val="22"/>
        </w:rPr>
        <w:t>Privacy Act</w:t>
      </w:r>
      <w:r w:rsidRPr="00EB0FAC">
        <w:rPr>
          <w:rFonts w:ascii="Times New Roman" w:hAnsi="Times New Roman"/>
          <w:sz w:val="22"/>
          <w:szCs w:val="22"/>
        </w:rPr>
        <w:t>)</w:t>
      </w:r>
      <w:r>
        <w:rPr>
          <w:rFonts w:ascii="Times New Roman" w:hAnsi="Times New Roman"/>
          <w:color w:val="000000"/>
          <w:sz w:val="22"/>
          <w:szCs w:val="22"/>
        </w:rPr>
        <w:t xml:space="preserve"> </w:t>
      </w:r>
      <w:r w:rsidR="00A55281" w:rsidRPr="00EB0FAC">
        <w:rPr>
          <w:rFonts w:ascii="Times New Roman" w:hAnsi="Times New Roman"/>
          <w:sz w:val="22"/>
          <w:szCs w:val="22"/>
        </w:rPr>
        <w:t>applies to the ACMA and the ACMA’s administration of the Standard, including any records requested under section 30. The ACMA is subject in all relevant respects to the Privacy Act and the Australian Privacy Principles, has a formal Privacy Management Plan, and takes all the usual precautions and other measures which a Commonwealth Government agency is required to take in order to safeguard personal information that comes into its custody and care.</w:t>
      </w:r>
    </w:p>
    <w:p w14:paraId="572D7075" w14:textId="77777777" w:rsidR="00A55281" w:rsidRPr="00EB0FAC" w:rsidRDefault="00A55281" w:rsidP="00A55281">
      <w:pPr>
        <w:autoSpaceDE w:val="0"/>
        <w:autoSpaceDN w:val="0"/>
        <w:spacing w:before="120"/>
        <w:rPr>
          <w:rFonts w:ascii="Times New Roman" w:hAnsi="Times New Roman"/>
          <w:sz w:val="22"/>
          <w:szCs w:val="22"/>
        </w:rPr>
      </w:pPr>
      <w:r w:rsidRPr="00EB0FAC">
        <w:rPr>
          <w:rFonts w:ascii="Times New Roman" w:hAnsi="Times New Roman"/>
          <w:sz w:val="22"/>
          <w:szCs w:val="22"/>
        </w:rPr>
        <w:t>If a CSP is an ‘organisation’ within the meaning of the Privacy Act, then it may have to comply with the Australian Privacy Principles in the collection, use and disclosure of personal information.  A CSP will not be an ‘organisation’ under the Privacy Act if, among other things, they are a ‘small business operator’. Section 6D of the Privacy Act sets out how to work out whether a person is a ‘small business operator. In essence, a business is a small business at a time in a financial year if its annual turnover for the previous financial year was $3 million or less or, if it is a new business, its annual turnover for the current financial year is $3 million or less.</w:t>
      </w:r>
    </w:p>
    <w:p w14:paraId="054021A2" w14:textId="77777777" w:rsidR="00A55281" w:rsidRPr="00EB0FAC" w:rsidRDefault="00A55281" w:rsidP="00A55281">
      <w:pPr>
        <w:autoSpaceDE w:val="0"/>
        <w:autoSpaceDN w:val="0"/>
        <w:spacing w:before="120"/>
        <w:rPr>
          <w:rFonts w:ascii="Times New Roman" w:hAnsi="Times New Roman"/>
          <w:sz w:val="22"/>
          <w:szCs w:val="22"/>
        </w:rPr>
      </w:pPr>
      <w:r w:rsidRPr="00EB0FAC">
        <w:rPr>
          <w:rFonts w:ascii="Times New Roman" w:hAnsi="Times New Roman"/>
          <w:sz w:val="22"/>
          <w:szCs w:val="22"/>
        </w:rPr>
        <w:t>Most CSPs are subject to the Privacy Act regarding the personal information they handle in accordance with the Standard. In any event, it is expected that any personal information collected under the Standard would usually be provided with the consent of the consumer wishing to make an application for financial hardship assistance. Further, section 31 of the Standard imposes requirements on CSPs that are not covered by that Act, to ensure that relevant personal information is keep confidential and not disclosed to third parties except: as required to manage a complaint with the TIO or the ACMA; with the express consent of the consumer; or where disclosure is otherwise required or authorised by law.</w:t>
      </w:r>
    </w:p>
    <w:p w14:paraId="0856F143" w14:textId="77777777" w:rsidR="00A55281" w:rsidRPr="00EB0FAC" w:rsidRDefault="00A55281" w:rsidP="00A55281">
      <w:pPr>
        <w:autoSpaceDE w:val="0"/>
        <w:autoSpaceDN w:val="0"/>
        <w:spacing w:before="120"/>
        <w:rPr>
          <w:rFonts w:ascii="Times New Roman" w:hAnsi="Times New Roman"/>
          <w:sz w:val="22"/>
          <w:szCs w:val="22"/>
        </w:rPr>
      </w:pPr>
      <w:r w:rsidRPr="00EB0FAC">
        <w:rPr>
          <w:rFonts w:ascii="Times New Roman" w:hAnsi="Times New Roman"/>
          <w:sz w:val="22"/>
          <w:szCs w:val="22"/>
        </w:rPr>
        <w:t xml:space="preserve">It is also noted that the </w:t>
      </w:r>
      <w:r w:rsidRPr="00EB0FAC">
        <w:rPr>
          <w:rFonts w:ascii="Times New Roman" w:hAnsi="Times New Roman"/>
          <w:i/>
          <w:iCs/>
          <w:sz w:val="22"/>
          <w:szCs w:val="22"/>
        </w:rPr>
        <w:t>C628:2022 Telecommunications Consumer Protections Code</w:t>
      </w:r>
      <w:r w:rsidRPr="00EB0FAC">
        <w:rPr>
          <w:rFonts w:ascii="Times New Roman" w:hAnsi="Times New Roman"/>
          <w:sz w:val="22"/>
          <w:szCs w:val="22"/>
        </w:rPr>
        <w:t xml:space="preserve"> imposes requirements on all CSPs to have robust procedures for storing their customers’ personal information, and to keep that information secure. The Australian Information Commissioner has recognised the TIO as an entity that may handle a complaint breaching these requirements. </w:t>
      </w:r>
    </w:p>
    <w:p w14:paraId="0A724DAB" w14:textId="77777777" w:rsidR="00A55281" w:rsidRPr="00EB0FAC" w:rsidRDefault="00A55281" w:rsidP="00A55281">
      <w:pPr>
        <w:autoSpaceDE w:val="0"/>
        <w:autoSpaceDN w:val="0"/>
        <w:spacing w:before="120"/>
        <w:rPr>
          <w:rFonts w:ascii="Times New Roman" w:hAnsi="Times New Roman"/>
          <w:color w:val="000000"/>
          <w:sz w:val="22"/>
          <w:szCs w:val="22"/>
        </w:rPr>
      </w:pPr>
      <w:r w:rsidRPr="00EB0FAC">
        <w:rPr>
          <w:rFonts w:ascii="Times New Roman" w:hAnsi="Times New Roman"/>
          <w:sz w:val="22"/>
          <w:szCs w:val="22"/>
        </w:rPr>
        <w:t>The</w:t>
      </w:r>
      <w:r w:rsidRPr="00EB0FAC">
        <w:rPr>
          <w:rFonts w:ascii="Times New Roman" w:hAnsi="Times New Roman"/>
          <w:color w:val="000000"/>
          <w:sz w:val="22"/>
          <w:szCs w:val="22"/>
        </w:rPr>
        <w:t xml:space="preserve"> Office of the Australian Information Commissioner recommends that as a matter of best practice, businesses not subject to the Privacy Act should consider whether to opt-in to the Privacy Act (for further information see: </w:t>
      </w:r>
      <w:hyperlink r:id="rId14" w:history="1">
        <w:r w:rsidRPr="00EB0FAC">
          <w:rPr>
            <w:rStyle w:val="Hyperlink1"/>
            <w:rFonts w:ascii="Times New Roman" w:hAnsi="Times New Roman"/>
            <w:color w:val="0563C1"/>
            <w:sz w:val="22"/>
            <w:szCs w:val="22"/>
          </w:rPr>
          <w:t>www.oaic.gov.au</w:t>
        </w:r>
      </w:hyperlink>
      <w:r w:rsidRPr="00EB0FAC">
        <w:rPr>
          <w:rFonts w:ascii="Times New Roman" w:hAnsi="Times New Roman"/>
          <w:color w:val="000000"/>
          <w:sz w:val="22"/>
          <w:szCs w:val="22"/>
        </w:rPr>
        <w:t>).</w:t>
      </w:r>
    </w:p>
    <w:p w14:paraId="0B5D4433" w14:textId="60A24D45" w:rsidR="00AC3511" w:rsidRPr="00431A5F" w:rsidRDefault="00AC3511" w:rsidP="00767DFE">
      <w:pPr>
        <w:keepNext/>
        <w:spacing w:before="240"/>
        <w:rPr>
          <w:rFonts w:ascii="Times New Roman" w:hAnsi="Times New Roman"/>
          <w:b/>
          <w:sz w:val="22"/>
          <w:szCs w:val="22"/>
        </w:rPr>
      </w:pPr>
      <w:r w:rsidRPr="00431A5F">
        <w:rPr>
          <w:rFonts w:ascii="Times New Roman" w:hAnsi="Times New Roman"/>
          <w:b/>
          <w:sz w:val="22"/>
          <w:szCs w:val="22"/>
        </w:rPr>
        <w:t>Section 29</w:t>
      </w:r>
      <w:r w:rsidRPr="00431A5F">
        <w:rPr>
          <w:rFonts w:ascii="Times New Roman" w:hAnsi="Times New Roman"/>
          <w:b/>
          <w:sz w:val="22"/>
          <w:szCs w:val="22"/>
        </w:rPr>
        <w:tab/>
        <w:t xml:space="preserve">Requirements to keep </w:t>
      </w:r>
      <w:proofErr w:type="gramStart"/>
      <w:r w:rsidRPr="00431A5F">
        <w:rPr>
          <w:rFonts w:ascii="Times New Roman" w:hAnsi="Times New Roman"/>
          <w:b/>
          <w:sz w:val="22"/>
          <w:szCs w:val="22"/>
        </w:rPr>
        <w:t>records</w:t>
      </w:r>
      <w:proofErr w:type="gramEnd"/>
    </w:p>
    <w:p w14:paraId="06F39327" w14:textId="66DC5B85" w:rsidR="00472553" w:rsidRPr="00431A5F" w:rsidRDefault="00472553" w:rsidP="00472553">
      <w:pPr>
        <w:rPr>
          <w:rFonts w:ascii="Times New Roman" w:hAnsi="Times New Roman"/>
          <w:sz w:val="22"/>
          <w:szCs w:val="22"/>
        </w:rPr>
      </w:pPr>
      <w:r w:rsidRPr="00431A5F">
        <w:rPr>
          <w:rFonts w:ascii="Times New Roman" w:hAnsi="Times New Roman"/>
          <w:sz w:val="22"/>
          <w:szCs w:val="22"/>
        </w:rPr>
        <w:t xml:space="preserve">Subsection 29(1) requires CSPs to keep records of </w:t>
      </w:r>
      <w:r w:rsidRPr="00431A5F">
        <w:rPr>
          <w:rFonts w:ascii="Times New Roman" w:hAnsi="Times New Roman"/>
          <w:color w:val="000000"/>
          <w:sz w:val="22"/>
          <w:szCs w:val="22"/>
        </w:rPr>
        <w:t>financial hardship arrangements</w:t>
      </w:r>
      <w:r w:rsidRPr="00431A5F">
        <w:rPr>
          <w:rFonts w:ascii="Times New Roman" w:hAnsi="Times New Roman"/>
          <w:sz w:val="22"/>
          <w:szCs w:val="22"/>
        </w:rPr>
        <w:t xml:space="preserve">. When a customer enters a financial arrangement with a CSP, the provider must keep a record of the customer’s name and contact details, as well as assigning a unique reference number or similar identifier for proper identification of each arrangement and its subject matter. </w:t>
      </w:r>
    </w:p>
    <w:p w14:paraId="4960FE7B" w14:textId="2A30512C" w:rsidR="00472553" w:rsidRPr="00431A5F" w:rsidRDefault="00472553" w:rsidP="00472553">
      <w:pPr>
        <w:rPr>
          <w:rFonts w:ascii="Times New Roman" w:hAnsi="Times New Roman"/>
          <w:sz w:val="22"/>
          <w:szCs w:val="22"/>
        </w:rPr>
      </w:pPr>
      <w:r w:rsidRPr="00431A5F">
        <w:rPr>
          <w:rFonts w:ascii="Times New Roman" w:hAnsi="Times New Roman"/>
          <w:sz w:val="22"/>
          <w:szCs w:val="22"/>
        </w:rPr>
        <w:t>Under this subsection, the CSP</w:t>
      </w:r>
      <w:r w:rsidR="006A71E3">
        <w:rPr>
          <w:rFonts w:ascii="Times New Roman" w:hAnsi="Times New Roman"/>
          <w:sz w:val="22"/>
          <w:szCs w:val="22"/>
        </w:rPr>
        <w:t>’</w:t>
      </w:r>
      <w:r w:rsidRPr="00431A5F">
        <w:rPr>
          <w:rFonts w:ascii="Times New Roman" w:hAnsi="Times New Roman"/>
          <w:sz w:val="22"/>
          <w:szCs w:val="22"/>
        </w:rPr>
        <w:t xml:space="preserve">s records of </w:t>
      </w:r>
      <w:r w:rsidRPr="00431A5F">
        <w:rPr>
          <w:rFonts w:ascii="Times New Roman" w:hAnsi="Times New Roman"/>
          <w:color w:val="000000"/>
          <w:sz w:val="22"/>
          <w:szCs w:val="22"/>
        </w:rPr>
        <w:t>financial hardship arrangements must include</w:t>
      </w:r>
      <w:r w:rsidRPr="00431A5F">
        <w:rPr>
          <w:rFonts w:ascii="Times New Roman" w:hAnsi="Times New Roman"/>
          <w:sz w:val="22"/>
          <w:szCs w:val="22"/>
        </w:rPr>
        <w:t>:</w:t>
      </w:r>
    </w:p>
    <w:p w14:paraId="290FA12E" w14:textId="203002C2" w:rsidR="00472553" w:rsidRPr="00431A5F" w:rsidRDefault="00472553" w:rsidP="00AC69D1">
      <w:pPr>
        <w:pStyle w:val="ListParagraph"/>
        <w:numPr>
          <w:ilvl w:val="0"/>
          <w:numId w:val="10"/>
        </w:numPr>
        <w:rPr>
          <w:rFonts w:ascii="Times New Roman" w:hAnsi="Times New Roman"/>
          <w:sz w:val="22"/>
          <w:szCs w:val="22"/>
        </w:rPr>
      </w:pPr>
      <w:r w:rsidRPr="00431A5F">
        <w:rPr>
          <w:rFonts w:ascii="Times New Roman" w:hAnsi="Times New Roman"/>
          <w:sz w:val="22"/>
          <w:szCs w:val="22"/>
        </w:rPr>
        <w:t xml:space="preserve">dates of any oral communications with the </w:t>
      </w:r>
      <w:proofErr w:type="gramStart"/>
      <w:r w:rsidRPr="00431A5F">
        <w:rPr>
          <w:rFonts w:ascii="Times New Roman" w:hAnsi="Times New Roman"/>
          <w:sz w:val="22"/>
          <w:szCs w:val="22"/>
        </w:rPr>
        <w:t>customer</w:t>
      </w:r>
      <w:r w:rsidR="005674AD" w:rsidRPr="00431A5F">
        <w:rPr>
          <w:rFonts w:ascii="Times New Roman" w:hAnsi="Times New Roman"/>
          <w:sz w:val="22"/>
          <w:szCs w:val="22"/>
        </w:rPr>
        <w:t>;</w:t>
      </w:r>
      <w:proofErr w:type="gramEnd"/>
      <w:r w:rsidRPr="00431A5F">
        <w:rPr>
          <w:rFonts w:ascii="Times New Roman" w:hAnsi="Times New Roman"/>
          <w:sz w:val="22"/>
          <w:szCs w:val="22"/>
        </w:rPr>
        <w:t xml:space="preserve"> </w:t>
      </w:r>
    </w:p>
    <w:p w14:paraId="57A73C26" w14:textId="3E4CB7E2" w:rsidR="00472553" w:rsidRPr="00431A5F" w:rsidRDefault="00472553" w:rsidP="00AC69D1">
      <w:pPr>
        <w:pStyle w:val="ListParagraph"/>
        <w:numPr>
          <w:ilvl w:val="0"/>
          <w:numId w:val="10"/>
        </w:numPr>
        <w:rPr>
          <w:rFonts w:ascii="Times New Roman" w:hAnsi="Times New Roman"/>
          <w:sz w:val="22"/>
          <w:szCs w:val="22"/>
        </w:rPr>
      </w:pPr>
      <w:r w:rsidRPr="00431A5F">
        <w:rPr>
          <w:rFonts w:ascii="Times New Roman" w:hAnsi="Times New Roman"/>
          <w:sz w:val="22"/>
          <w:szCs w:val="22"/>
        </w:rPr>
        <w:t xml:space="preserve">copies of </w:t>
      </w:r>
      <w:r w:rsidRPr="00C166F0">
        <w:rPr>
          <w:rFonts w:ascii="Times New Roman" w:hAnsi="Times New Roman"/>
          <w:sz w:val="22"/>
          <w:szCs w:val="22"/>
        </w:rPr>
        <w:t>any correspondence sent to or received from the customer</w:t>
      </w:r>
      <w:r w:rsidR="006437A1" w:rsidRPr="00C166F0">
        <w:rPr>
          <w:rFonts w:ascii="Times New Roman" w:hAnsi="Times New Roman"/>
          <w:sz w:val="22"/>
          <w:szCs w:val="22"/>
        </w:rPr>
        <w:t xml:space="preserve"> regarding the </w:t>
      </w:r>
      <w:proofErr w:type="gramStart"/>
      <w:r w:rsidR="006437A1" w:rsidRPr="00C166F0">
        <w:rPr>
          <w:rFonts w:ascii="Times New Roman" w:hAnsi="Times New Roman"/>
          <w:sz w:val="22"/>
          <w:szCs w:val="22"/>
        </w:rPr>
        <w:t>arrangeme</w:t>
      </w:r>
      <w:r w:rsidR="00E84E35" w:rsidRPr="00C166F0">
        <w:rPr>
          <w:rFonts w:ascii="Times New Roman" w:hAnsi="Times New Roman"/>
          <w:sz w:val="22"/>
          <w:szCs w:val="22"/>
        </w:rPr>
        <w:t>nt</w:t>
      </w:r>
      <w:r w:rsidR="005674AD" w:rsidRPr="00C166F0">
        <w:rPr>
          <w:rFonts w:ascii="Times New Roman" w:hAnsi="Times New Roman"/>
          <w:sz w:val="22"/>
          <w:szCs w:val="22"/>
        </w:rPr>
        <w:t>;</w:t>
      </w:r>
      <w:proofErr w:type="gramEnd"/>
    </w:p>
    <w:p w14:paraId="45BB60DC" w14:textId="2F727E43" w:rsidR="00472553" w:rsidRPr="00431A5F" w:rsidRDefault="00472553" w:rsidP="00AC69D1">
      <w:pPr>
        <w:pStyle w:val="ListParagraph"/>
        <w:numPr>
          <w:ilvl w:val="0"/>
          <w:numId w:val="10"/>
        </w:numPr>
        <w:rPr>
          <w:rFonts w:ascii="Times New Roman" w:hAnsi="Times New Roman"/>
          <w:sz w:val="22"/>
          <w:szCs w:val="22"/>
        </w:rPr>
      </w:pPr>
      <w:r w:rsidRPr="00431A5F">
        <w:rPr>
          <w:rFonts w:ascii="Times New Roman" w:hAnsi="Times New Roman"/>
          <w:sz w:val="22"/>
          <w:szCs w:val="22"/>
        </w:rPr>
        <w:t xml:space="preserve">a copy of the customer’s </w:t>
      </w:r>
      <w:proofErr w:type="gramStart"/>
      <w:r w:rsidRPr="00431A5F">
        <w:rPr>
          <w:rFonts w:ascii="Times New Roman" w:hAnsi="Times New Roman"/>
          <w:sz w:val="22"/>
          <w:szCs w:val="22"/>
        </w:rPr>
        <w:t>application</w:t>
      </w:r>
      <w:r w:rsidR="005674AD" w:rsidRPr="00431A5F">
        <w:rPr>
          <w:rFonts w:ascii="Times New Roman" w:hAnsi="Times New Roman"/>
          <w:sz w:val="22"/>
          <w:szCs w:val="22"/>
        </w:rPr>
        <w:t>;</w:t>
      </w:r>
      <w:proofErr w:type="gramEnd"/>
    </w:p>
    <w:p w14:paraId="407FB6B5" w14:textId="72C74454" w:rsidR="00472553" w:rsidRPr="00431A5F" w:rsidRDefault="00C27928" w:rsidP="00AC69D1">
      <w:pPr>
        <w:pStyle w:val="ListParagraph"/>
        <w:numPr>
          <w:ilvl w:val="0"/>
          <w:numId w:val="10"/>
        </w:numPr>
        <w:rPr>
          <w:rFonts w:ascii="Times New Roman" w:hAnsi="Times New Roman"/>
          <w:sz w:val="22"/>
          <w:szCs w:val="22"/>
        </w:rPr>
      </w:pPr>
      <w:r w:rsidRPr="00707285">
        <w:rPr>
          <w:rFonts w:ascii="Times New Roman" w:hAnsi="Times New Roman"/>
          <w:sz w:val="22"/>
          <w:szCs w:val="22"/>
        </w:rPr>
        <w:t>copy of any request made to a customer</w:t>
      </w:r>
      <w:r>
        <w:rPr>
          <w:rFonts w:ascii="Times New Roman" w:hAnsi="Times New Roman"/>
          <w:sz w:val="24"/>
        </w:rPr>
        <w:t xml:space="preserve"> </w:t>
      </w:r>
      <w:r w:rsidR="00472553" w:rsidRPr="00431A5F">
        <w:rPr>
          <w:rFonts w:ascii="Times New Roman" w:hAnsi="Times New Roman"/>
          <w:sz w:val="22"/>
          <w:szCs w:val="22"/>
        </w:rPr>
        <w:t xml:space="preserve">under subsection </w:t>
      </w:r>
      <w:proofErr w:type="gramStart"/>
      <w:r w:rsidR="00472553" w:rsidRPr="00431A5F">
        <w:rPr>
          <w:rFonts w:ascii="Times New Roman" w:hAnsi="Times New Roman"/>
          <w:sz w:val="22"/>
          <w:szCs w:val="22"/>
        </w:rPr>
        <w:t>16(</w:t>
      </w:r>
      <w:r w:rsidR="00012DD4">
        <w:rPr>
          <w:rFonts w:ascii="Times New Roman" w:hAnsi="Times New Roman"/>
          <w:sz w:val="22"/>
          <w:szCs w:val="22"/>
        </w:rPr>
        <w:t>3</w:t>
      </w:r>
      <w:r w:rsidR="00472553" w:rsidRPr="00431A5F">
        <w:rPr>
          <w:rFonts w:ascii="Times New Roman" w:hAnsi="Times New Roman"/>
          <w:sz w:val="22"/>
          <w:szCs w:val="22"/>
        </w:rPr>
        <w:t>)</w:t>
      </w:r>
      <w:r w:rsidR="005674AD" w:rsidRPr="00431A5F">
        <w:rPr>
          <w:rFonts w:ascii="Times New Roman" w:hAnsi="Times New Roman"/>
          <w:sz w:val="22"/>
          <w:szCs w:val="22"/>
        </w:rPr>
        <w:t>;</w:t>
      </w:r>
      <w:proofErr w:type="gramEnd"/>
      <w:r w:rsidR="005674AD" w:rsidRPr="00431A5F">
        <w:rPr>
          <w:rFonts w:ascii="Times New Roman" w:hAnsi="Times New Roman"/>
          <w:sz w:val="22"/>
          <w:szCs w:val="22"/>
        </w:rPr>
        <w:t xml:space="preserve"> </w:t>
      </w:r>
    </w:p>
    <w:p w14:paraId="7E910EF9" w14:textId="65204428" w:rsidR="00472553" w:rsidRPr="00431A5F" w:rsidRDefault="00472553" w:rsidP="00AC69D1">
      <w:pPr>
        <w:pStyle w:val="ListParagraph"/>
        <w:numPr>
          <w:ilvl w:val="0"/>
          <w:numId w:val="10"/>
        </w:numPr>
        <w:rPr>
          <w:rFonts w:ascii="Times New Roman" w:hAnsi="Times New Roman"/>
          <w:sz w:val="22"/>
          <w:szCs w:val="22"/>
        </w:rPr>
      </w:pPr>
      <w:r w:rsidRPr="00431A5F">
        <w:rPr>
          <w:rFonts w:ascii="Times New Roman" w:hAnsi="Times New Roman"/>
          <w:sz w:val="22"/>
          <w:szCs w:val="22"/>
        </w:rPr>
        <w:t>a record of the customer’s acceptance of the arrangement</w:t>
      </w:r>
      <w:r w:rsidR="005674AD" w:rsidRPr="00431A5F">
        <w:rPr>
          <w:rFonts w:ascii="Times New Roman" w:hAnsi="Times New Roman"/>
          <w:sz w:val="22"/>
          <w:szCs w:val="22"/>
        </w:rPr>
        <w:t>; or</w:t>
      </w:r>
    </w:p>
    <w:p w14:paraId="5CF1B9DD" w14:textId="1D5C4109" w:rsidR="00472553" w:rsidRPr="00431A5F" w:rsidRDefault="00472553" w:rsidP="00AC69D1">
      <w:pPr>
        <w:pStyle w:val="ListParagraph"/>
        <w:numPr>
          <w:ilvl w:val="0"/>
          <w:numId w:val="10"/>
        </w:numPr>
        <w:rPr>
          <w:rFonts w:ascii="Times New Roman" w:hAnsi="Times New Roman"/>
          <w:sz w:val="22"/>
          <w:szCs w:val="22"/>
        </w:rPr>
      </w:pPr>
      <w:r w:rsidRPr="00431A5F">
        <w:rPr>
          <w:rFonts w:ascii="Times New Roman" w:hAnsi="Times New Roman"/>
          <w:sz w:val="22"/>
          <w:szCs w:val="22"/>
        </w:rPr>
        <w:t>the notice given to the customer under section 20.</w:t>
      </w:r>
    </w:p>
    <w:p w14:paraId="65BC69A5" w14:textId="6D4F72A5" w:rsidR="006D5120" w:rsidRPr="00431A5F" w:rsidRDefault="006D5120" w:rsidP="006D5120">
      <w:pPr>
        <w:pStyle w:val="subsection"/>
        <w:tabs>
          <w:tab w:val="clear" w:pos="1021"/>
        </w:tabs>
        <w:ind w:left="0" w:firstLine="0"/>
        <w:rPr>
          <w:rFonts w:eastAsiaTheme="minorHAnsi"/>
          <w:sz w:val="22"/>
          <w:szCs w:val="22"/>
          <w:lang w:eastAsia="en-US"/>
        </w:rPr>
      </w:pPr>
      <w:r w:rsidRPr="00431A5F">
        <w:rPr>
          <w:rFonts w:eastAsiaTheme="minorHAnsi"/>
          <w:sz w:val="22"/>
          <w:szCs w:val="22"/>
          <w:lang w:eastAsia="en-US"/>
        </w:rPr>
        <w:t xml:space="preserve">Records of financial hardship arrangements includes all agreements made with a financial hardship customer for payment assistance to help them </w:t>
      </w:r>
      <w:r w:rsidR="002A1965">
        <w:rPr>
          <w:rFonts w:eastAsiaTheme="minorHAnsi"/>
          <w:sz w:val="22"/>
          <w:szCs w:val="22"/>
          <w:lang w:eastAsia="en-US"/>
        </w:rPr>
        <w:t>to</w:t>
      </w:r>
      <w:r w:rsidRPr="00431A5F">
        <w:rPr>
          <w:rFonts w:eastAsiaTheme="minorHAnsi"/>
          <w:sz w:val="22"/>
          <w:szCs w:val="22"/>
          <w:lang w:eastAsia="en-US"/>
        </w:rPr>
        <w:t xml:space="preserve"> continue to access their telecommunications products </w:t>
      </w:r>
      <w:r w:rsidRPr="00431A5F">
        <w:rPr>
          <w:rFonts w:eastAsiaTheme="minorHAnsi"/>
          <w:sz w:val="22"/>
          <w:szCs w:val="22"/>
          <w:lang w:eastAsia="en-US"/>
        </w:rPr>
        <w:lastRenderedPageBreak/>
        <w:t xml:space="preserve">or to pay a debt owed to the provider. </w:t>
      </w:r>
      <w:r w:rsidR="00393915" w:rsidRPr="00431A5F">
        <w:rPr>
          <w:rFonts w:eastAsiaTheme="minorHAnsi"/>
          <w:sz w:val="22"/>
          <w:szCs w:val="22"/>
          <w:lang w:eastAsia="en-US"/>
        </w:rPr>
        <w:t xml:space="preserve">Records do not include information </w:t>
      </w:r>
      <w:r w:rsidR="00C73E0C">
        <w:rPr>
          <w:rFonts w:eastAsiaTheme="minorHAnsi"/>
          <w:sz w:val="22"/>
          <w:szCs w:val="22"/>
          <w:lang w:eastAsia="en-US"/>
        </w:rPr>
        <w:t xml:space="preserve">provided by a customer </w:t>
      </w:r>
      <w:r w:rsidR="00A41F59">
        <w:rPr>
          <w:rFonts w:eastAsiaTheme="minorHAnsi"/>
          <w:sz w:val="22"/>
          <w:szCs w:val="22"/>
          <w:lang w:eastAsia="en-US"/>
        </w:rPr>
        <w:t xml:space="preserve">in response to a request </w:t>
      </w:r>
      <w:r w:rsidR="00E30861">
        <w:rPr>
          <w:rFonts w:eastAsiaTheme="minorHAnsi"/>
          <w:sz w:val="22"/>
          <w:szCs w:val="22"/>
          <w:lang w:eastAsia="en-US"/>
        </w:rPr>
        <w:t>made by the CSP</w:t>
      </w:r>
      <w:r w:rsidR="00393915" w:rsidRPr="00431A5F">
        <w:rPr>
          <w:rFonts w:eastAsiaTheme="minorHAnsi"/>
          <w:sz w:val="22"/>
          <w:szCs w:val="22"/>
          <w:lang w:eastAsia="en-US"/>
        </w:rPr>
        <w:t xml:space="preserve"> under subsection 16(3).</w:t>
      </w:r>
    </w:p>
    <w:p w14:paraId="40744A1F" w14:textId="77777777" w:rsidR="00472553" w:rsidRPr="00431A5F" w:rsidRDefault="00472553" w:rsidP="00472553">
      <w:pPr>
        <w:spacing w:before="120" w:after="120" w:line="240" w:lineRule="auto"/>
        <w:rPr>
          <w:rFonts w:ascii="Times New Roman" w:hAnsi="Times New Roman"/>
          <w:sz w:val="22"/>
          <w:szCs w:val="22"/>
        </w:rPr>
      </w:pPr>
      <w:r w:rsidRPr="00431A5F">
        <w:rPr>
          <w:rFonts w:ascii="Times New Roman" w:hAnsi="Times New Roman"/>
          <w:sz w:val="22"/>
          <w:szCs w:val="22"/>
        </w:rPr>
        <w:t>Subsection 29(2) requires CSPs to keep records of:</w:t>
      </w:r>
    </w:p>
    <w:p w14:paraId="484C643F" w14:textId="02558F9E" w:rsidR="00472553" w:rsidRPr="00431A5F" w:rsidRDefault="00472553" w:rsidP="00953B8D">
      <w:pPr>
        <w:pStyle w:val="ListParagraph"/>
        <w:numPr>
          <w:ilvl w:val="0"/>
          <w:numId w:val="10"/>
        </w:numPr>
        <w:ind w:left="426"/>
        <w:rPr>
          <w:rFonts w:ascii="Times New Roman" w:hAnsi="Times New Roman"/>
          <w:sz w:val="22"/>
          <w:szCs w:val="22"/>
        </w:rPr>
      </w:pPr>
      <w:r w:rsidRPr="00431A5F">
        <w:rPr>
          <w:rFonts w:ascii="Times New Roman" w:hAnsi="Times New Roman"/>
          <w:sz w:val="22"/>
          <w:szCs w:val="22"/>
        </w:rPr>
        <w:t xml:space="preserve">credit management actions taken against a customer, including </w:t>
      </w:r>
      <w:r w:rsidR="00CB4FA1" w:rsidRPr="00CB4FA1">
        <w:rPr>
          <w:rFonts w:ascii="Times New Roman" w:hAnsi="Times New Roman"/>
          <w:sz w:val="22"/>
          <w:szCs w:val="22"/>
        </w:rPr>
        <w:t>the associated communication</w:t>
      </w:r>
      <w:r w:rsidR="00CB4FA1" w:rsidRPr="003255FF">
        <w:rPr>
          <w:rFonts w:ascii="Times New Roman" w:hAnsi="Times New Roman"/>
          <w:color w:val="000000"/>
          <w:sz w:val="24"/>
        </w:rPr>
        <w:t xml:space="preserve"> </w:t>
      </w:r>
      <w:r w:rsidR="00CB4FA1">
        <w:rPr>
          <w:rFonts w:ascii="Times New Roman" w:hAnsi="Times New Roman"/>
          <w:color w:val="000000"/>
          <w:sz w:val="24"/>
        </w:rPr>
        <w:t xml:space="preserve">made </w:t>
      </w:r>
      <w:r w:rsidRPr="00431A5F">
        <w:rPr>
          <w:rFonts w:ascii="Times New Roman" w:hAnsi="Times New Roman"/>
          <w:sz w:val="22"/>
          <w:szCs w:val="22"/>
        </w:rPr>
        <w:t>to the customer regarding proposed credit management actions</w:t>
      </w:r>
      <w:r w:rsidR="005674AD" w:rsidRPr="00431A5F">
        <w:rPr>
          <w:rFonts w:ascii="Times New Roman" w:hAnsi="Times New Roman"/>
          <w:sz w:val="22"/>
          <w:szCs w:val="22"/>
        </w:rPr>
        <w:t>; and</w:t>
      </w:r>
    </w:p>
    <w:p w14:paraId="35AEAEB0" w14:textId="31460073" w:rsidR="00472553" w:rsidRPr="00431A5F" w:rsidRDefault="00472553" w:rsidP="00953B8D">
      <w:pPr>
        <w:pStyle w:val="ListParagraph"/>
        <w:numPr>
          <w:ilvl w:val="0"/>
          <w:numId w:val="10"/>
        </w:numPr>
        <w:ind w:left="426"/>
        <w:rPr>
          <w:rFonts w:ascii="Times New Roman" w:hAnsi="Times New Roman"/>
          <w:sz w:val="22"/>
          <w:szCs w:val="22"/>
        </w:rPr>
      </w:pPr>
      <w:r w:rsidRPr="00431A5F">
        <w:rPr>
          <w:rFonts w:ascii="Times New Roman" w:hAnsi="Times New Roman"/>
          <w:sz w:val="22"/>
          <w:szCs w:val="22"/>
        </w:rPr>
        <w:t>documentation sufficient to demonstrate compliance with requirements related to the CSP</w:t>
      </w:r>
      <w:r w:rsidR="000B2F9F">
        <w:rPr>
          <w:rFonts w:ascii="Times New Roman" w:hAnsi="Times New Roman"/>
          <w:sz w:val="22"/>
          <w:szCs w:val="22"/>
        </w:rPr>
        <w:t>’</w:t>
      </w:r>
      <w:r w:rsidRPr="00431A5F">
        <w:rPr>
          <w:rFonts w:ascii="Times New Roman" w:hAnsi="Times New Roman"/>
          <w:sz w:val="22"/>
          <w:szCs w:val="22"/>
        </w:rPr>
        <w:t>s payment assistance policy and processes, procedures and training for its personnel.</w:t>
      </w:r>
    </w:p>
    <w:p w14:paraId="09705BB3" w14:textId="2CFD0FD0" w:rsidR="00472553" w:rsidRPr="00431A5F" w:rsidRDefault="00472553" w:rsidP="008B7ED6">
      <w:pPr>
        <w:spacing w:before="120" w:line="240" w:lineRule="auto"/>
        <w:rPr>
          <w:rFonts w:ascii="Times New Roman" w:hAnsi="Times New Roman"/>
          <w:sz w:val="22"/>
          <w:szCs w:val="22"/>
        </w:rPr>
      </w:pPr>
      <w:r w:rsidRPr="00431A5F">
        <w:rPr>
          <w:rFonts w:ascii="Times New Roman" w:hAnsi="Times New Roman"/>
          <w:sz w:val="22"/>
          <w:szCs w:val="22"/>
        </w:rPr>
        <w:t xml:space="preserve">Subsection 29(3) requires CSPs to take reasonable steps to protect information stored under section </w:t>
      </w:r>
      <w:r w:rsidR="00FC7F2E">
        <w:rPr>
          <w:rFonts w:ascii="Times New Roman" w:hAnsi="Times New Roman"/>
          <w:sz w:val="22"/>
          <w:szCs w:val="22"/>
        </w:rPr>
        <w:t xml:space="preserve">29 </w:t>
      </w:r>
      <w:r w:rsidRPr="00431A5F">
        <w:rPr>
          <w:rFonts w:ascii="Times New Roman" w:hAnsi="Times New Roman"/>
          <w:sz w:val="22"/>
          <w:szCs w:val="22"/>
        </w:rPr>
        <w:t xml:space="preserve">from misuse, interference and loss, unauthorised access, modification or disclosure. Additionally, CSPs must ensure </w:t>
      </w:r>
      <w:r w:rsidR="00107316" w:rsidRPr="00431A5F">
        <w:rPr>
          <w:rFonts w:ascii="Times New Roman" w:hAnsi="Times New Roman"/>
          <w:sz w:val="22"/>
          <w:szCs w:val="22"/>
        </w:rPr>
        <w:t xml:space="preserve">information is </w:t>
      </w:r>
      <w:r w:rsidRPr="00431A5F">
        <w:rPr>
          <w:rFonts w:ascii="Times New Roman" w:hAnsi="Times New Roman"/>
          <w:sz w:val="22"/>
          <w:szCs w:val="22"/>
        </w:rPr>
        <w:t>secure</w:t>
      </w:r>
      <w:r w:rsidR="00ED736B" w:rsidRPr="00431A5F">
        <w:rPr>
          <w:rFonts w:ascii="Times New Roman" w:hAnsi="Times New Roman"/>
          <w:sz w:val="22"/>
          <w:szCs w:val="22"/>
        </w:rPr>
        <w:t>ly</w:t>
      </w:r>
      <w:r w:rsidRPr="00431A5F">
        <w:rPr>
          <w:rFonts w:ascii="Times New Roman" w:hAnsi="Times New Roman"/>
          <w:sz w:val="22"/>
          <w:szCs w:val="22"/>
        </w:rPr>
        <w:t xml:space="preserve"> disposed or destr</w:t>
      </w:r>
      <w:r w:rsidR="00ED736B" w:rsidRPr="00431A5F">
        <w:rPr>
          <w:rFonts w:ascii="Times New Roman" w:hAnsi="Times New Roman"/>
          <w:sz w:val="22"/>
          <w:szCs w:val="22"/>
        </w:rPr>
        <w:t>oyed</w:t>
      </w:r>
      <w:r w:rsidRPr="00431A5F">
        <w:rPr>
          <w:rFonts w:ascii="Times New Roman" w:hAnsi="Times New Roman"/>
          <w:sz w:val="22"/>
          <w:szCs w:val="22"/>
        </w:rPr>
        <w:t xml:space="preserve"> when the record is no longer needed, in accordance with </w:t>
      </w:r>
      <w:r w:rsidR="008A4638">
        <w:rPr>
          <w:rFonts w:ascii="Times New Roman" w:hAnsi="Times New Roman"/>
          <w:sz w:val="22"/>
          <w:szCs w:val="22"/>
        </w:rPr>
        <w:t>the</w:t>
      </w:r>
      <w:r w:rsidR="008A4638" w:rsidRPr="00431A5F">
        <w:rPr>
          <w:rFonts w:ascii="Times New Roman" w:hAnsi="Times New Roman"/>
          <w:sz w:val="22"/>
          <w:szCs w:val="22"/>
        </w:rPr>
        <w:t xml:space="preserve"> </w:t>
      </w:r>
      <w:r w:rsidR="008A4638">
        <w:rPr>
          <w:rFonts w:ascii="Times New Roman" w:hAnsi="Times New Roman"/>
          <w:sz w:val="22"/>
          <w:szCs w:val="22"/>
        </w:rPr>
        <w:t>S</w:t>
      </w:r>
      <w:r w:rsidRPr="00431A5F">
        <w:rPr>
          <w:rFonts w:ascii="Times New Roman" w:hAnsi="Times New Roman"/>
          <w:sz w:val="22"/>
          <w:szCs w:val="22"/>
        </w:rPr>
        <w:t>tandard or any other applicable laws.</w:t>
      </w:r>
    </w:p>
    <w:p w14:paraId="7B4FE2AB" w14:textId="2153CB2F" w:rsidR="0053705F" w:rsidRDefault="00C32CAF" w:rsidP="0053705F">
      <w:pPr>
        <w:spacing w:before="120" w:after="0" w:line="240" w:lineRule="auto"/>
        <w:rPr>
          <w:rFonts w:ascii="Times New Roman" w:hAnsi="Times New Roman"/>
          <w:sz w:val="22"/>
          <w:szCs w:val="22"/>
        </w:rPr>
      </w:pPr>
      <w:r w:rsidRPr="00431A5F">
        <w:rPr>
          <w:rFonts w:ascii="Times New Roman" w:hAnsi="Times New Roman"/>
          <w:sz w:val="22"/>
          <w:szCs w:val="22"/>
        </w:rPr>
        <w:t xml:space="preserve">The intention is to ensure this information is protected, used and destroyed </w:t>
      </w:r>
      <w:r w:rsidR="009F124D" w:rsidRPr="00431A5F">
        <w:rPr>
          <w:rFonts w:ascii="Times New Roman" w:hAnsi="Times New Roman"/>
          <w:sz w:val="22"/>
          <w:szCs w:val="22"/>
        </w:rPr>
        <w:t xml:space="preserve">consistent with </w:t>
      </w:r>
      <w:r w:rsidR="009A1DA0" w:rsidRPr="00431A5F">
        <w:rPr>
          <w:rFonts w:ascii="Times New Roman" w:hAnsi="Times New Roman"/>
          <w:sz w:val="22"/>
          <w:szCs w:val="22"/>
        </w:rPr>
        <w:t>the</w:t>
      </w:r>
      <w:r w:rsidR="00611F59" w:rsidRPr="00431A5F">
        <w:rPr>
          <w:rFonts w:ascii="Times New Roman" w:hAnsi="Times New Roman"/>
          <w:sz w:val="22"/>
          <w:szCs w:val="22"/>
        </w:rPr>
        <w:t xml:space="preserve"> requirements of the</w:t>
      </w:r>
      <w:r w:rsidR="009A1DA0" w:rsidRPr="00431A5F">
        <w:rPr>
          <w:rFonts w:ascii="Times New Roman" w:hAnsi="Times New Roman"/>
          <w:sz w:val="22"/>
          <w:szCs w:val="22"/>
        </w:rPr>
        <w:t xml:space="preserve"> </w:t>
      </w:r>
      <w:r w:rsidR="00583426" w:rsidRPr="004016B8">
        <w:rPr>
          <w:rFonts w:ascii="Times New Roman" w:hAnsi="Times New Roman"/>
          <w:sz w:val="22"/>
          <w:szCs w:val="22"/>
        </w:rPr>
        <w:t>Privacy Act</w:t>
      </w:r>
      <w:r w:rsidR="00583426" w:rsidRPr="00431A5F">
        <w:rPr>
          <w:rFonts w:ascii="Times New Roman" w:hAnsi="Times New Roman"/>
          <w:sz w:val="22"/>
          <w:szCs w:val="22"/>
        </w:rPr>
        <w:t xml:space="preserve"> </w:t>
      </w:r>
      <w:r w:rsidR="009F124D" w:rsidRPr="00431A5F">
        <w:rPr>
          <w:rFonts w:ascii="Times New Roman" w:hAnsi="Times New Roman"/>
          <w:sz w:val="22"/>
          <w:szCs w:val="22"/>
        </w:rPr>
        <w:t xml:space="preserve">when no longer required in accordance with </w:t>
      </w:r>
      <w:r w:rsidRPr="00431A5F">
        <w:rPr>
          <w:rFonts w:ascii="Times New Roman" w:hAnsi="Times New Roman"/>
          <w:sz w:val="22"/>
          <w:szCs w:val="22"/>
        </w:rPr>
        <w:t>th</w:t>
      </w:r>
      <w:r w:rsidR="00CF59D6">
        <w:rPr>
          <w:rFonts w:ascii="Times New Roman" w:hAnsi="Times New Roman"/>
          <w:sz w:val="22"/>
          <w:szCs w:val="22"/>
        </w:rPr>
        <w:t>e Standard</w:t>
      </w:r>
      <w:r w:rsidR="009F124D" w:rsidRPr="00431A5F">
        <w:rPr>
          <w:rFonts w:ascii="Times New Roman" w:hAnsi="Times New Roman"/>
          <w:sz w:val="22"/>
          <w:szCs w:val="22"/>
        </w:rPr>
        <w:t>.</w:t>
      </w:r>
      <w:r w:rsidR="0053705F">
        <w:rPr>
          <w:rFonts w:ascii="Times New Roman" w:hAnsi="Times New Roman"/>
          <w:sz w:val="22"/>
          <w:szCs w:val="22"/>
        </w:rPr>
        <w:t xml:space="preserve"> </w:t>
      </w:r>
    </w:p>
    <w:p w14:paraId="0CD4CD32" w14:textId="1B9DFF10" w:rsidR="00B8483F" w:rsidRPr="00431A5F" w:rsidRDefault="00B8483F" w:rsidP="00953B8D">
      <w:pPr>
        <w:spacing w:before="120" w:after="120"/>
        <w:rPr>
          <w:rFonts w:ascii="Times New Roman" w:hAnsi="Times New Roman"/>
          <w:b/>
          <w:sz w:val="22"/>
          <w:szCs w:val="22"/>
        </w:rPr>
      </w:pPr>
      <w:r w:rsidRPr="00431A5F">
        <w:rPr>
          <w:rFonts w:ascii="Times New Roman" w:hAnsi="Times New Roman"/>
          <w:b/>
          <w:sz w:val="22"/>
          <w:szCs w:val="22"/>
        </w:rPr>
        <w:t xml:space="preserve">Section </w:t>
      </w:r>
      <w:r w:rsidR="00AC3511" w:rsidRPr="00431A5F">
        <w:rPr>
          <w:rFonts w:ascii="Times New Roman" w:hAnsi="Times New Roman"/>
          <w:b/>
          <w:sz w:val="22"/>
          <w:szCs w:val="22"/>
        </w:rPr>
        <w:t>30</w:t>
      </w:r>
      <w:r w:rsidRPr="00431A5F">
        <w:rPr>
          <w:rFonts w:ascii="Times New Roman" w:hAnsi="Times New Roman"/>
          <w:b/>
          <w:sz w:val="22"/>
          <w:szCs w:val="22"/>
        </w:rPr>
        <w:tab/>
      </w:r>
      <w:r w:rsidR="00AC3511" w:rsidRPr="00431A5F">
        <w:rPr>
          <w:rFonts w:ascii="Times New Roman" w:hAnsi="Times New Roman"/>
          <w:b/>
          <w:sz w:val="22"/>
          <w:szCs w:val="22"/>
        </w:rPr>
        <w:t>Record retention</w:t>
      </w:r>
    </w:p>
    <w:p w14:paraId="4C789571" w14:textId="11CC404B" w:rsidR="00796A31" w:rsidRPr="00431A5F" w:rsidRDefault="00796A31" w:rsidP="00796A31">
      <w:pPr>
        <w:pStyle w:val="subsection"/>
        <w:tabs>
          <w:tab w:val="clear" w:pos="1021"/>
        </w:tabs>
        <w:spacing w:before="120"/>
        <w:ind w:left="0" w:firstLine="0"/>
        <w:rPr>
          <w:rFonts w:eastAsiaTheme="minorHAnsi"/>
          <w:sz w:val="22"/>
          <w:szCs w:val="22"/>
          <w:lang w:eastAsia="en-US"/>
        </w:rPr>
      </w:pPr>
      <w:r w:rsidRPr="00431A5F">
        <w:rPr>
          <w:rFonts w:eastAsiaTheme="minorHAnsi"/>
          <w:sz w:val="22"/>
          <w:szCs w:val="22"/>
          <w:lang w:eastAsia="en-US"/>
        </w:rPr>
        <w:t xml:space="preserve">Subsection 30(1) imposes requirements on </w:t>
      </w:r>
      <w:r w:rsidR="00685A85" w:rsidRPr="00431A5F">
        <w:rPr>
          <w:rFonts w:eastAsiaTheme="minorHAnsi"/>
          <w:sz w:val="22"/>
          <w:szCs w:val="22"/>
          <w:lang w:eastAsia="en-US"/>
        </w:rPr>
        <w:t xml:space="preserve">CSPs </w:t>
      </w:r>
      <w:r w:rsidRPr="00431A5F">
        <w:rPr>
          <w:rFonts w:eastAsiaTheme="minorHAnsi"/>
          <w:sz w:val="22"/>
          <w:szCs w:val="22"/>
          <w:lang w:eastAsia="en-US"/>
        </w:rPr>
        <w:t>to keep records that are required to be kept under subsection 29(1) of the Standard for at least two years</w:t>
      </w:r>
      <w:r w:rsidR="00393915" w:rsidRPr="00431A5F">
        <w:rPr>
          <w:rFonts w:eastAsiaTheme="minorHAnsi"/>
          <w:sz w:val="22"/>
          <w:szCs w:val="22"/>
          <w:lang w:eastAsia="en-US"/>
        </w:rPr>
        <w:t xml:space="preserve"> after the date the financial hardship requirement has expired</w:t>
      </w:r>
      <w:r w:rsidR="00C01DBC">
        <w:rPr>
          <w:rFonts w:eastAsiaTheme="minorHAnsi"/>
          <w:sz w:val="22"/>
          <w:szCs w:val="22"/>
          <w:lang w:eastAsia="en-US"/>
        </w:rPr>
        <w:t>,</w:t>
      </w:r>
      <w:r w:rsidR="00393915" w:rsidRPr="00431A5F">
        <w:rPr>
          <w:rFonts w:eastAsiaTheme="minorHAnsi"/>
          <w:sz w:val="22"/>
          <w:szCs w:val="22"/>
          <w:lang w:eastAsia="en-US"/>
        </w:rPr>
        <w:t xml:space="preserve"> and records made under subsection 29(2)</w:t>
      </w:r>
      <w:r w:rsidR="005D546C" w:rsidRPr="00431A5F">
        <w:rPr>
          <w:rFonts w:eastAsiaTheme="minorHAnsi"/>
          <w:sz w:val="22"/>
          <w:szCs w:val="22"/>
          <w:lang w:eastAsia="en-US"/>
        </w:rPr>
        <w:t xml:space="preserve"> </w:t>
      </w:r>
      <w:r w:rsidR="00393915" w:rsidRPr="00431A5F">
        <w:rPr>
          <w:rFonts w:eastAsiaTheme="minorHAnsi"/>
          <w:sz w:val="22"/>
          <w:szCs w:val="22"/>
          <w:lang w:eastAsia="en-US"/>
        </w:rPr>
        <w:t xml:space="preserve">for </w:t>
      </w:r>
      <w:r w:rsidR="00832974">
        <w:rPr>
          <w:rFonts w:eastAsiaTheme="minorHAnsi"/>
          <w:sz w:val="22"/>
          <w:szCs w:val="22"/>
          <w:lang w:eastAsia="en-US"/>
        </w:rPr>
        <w:t xml:space="preserve">at least </w:t>
      </w:r>
      <w:r w:rsidR="00393915" w:rsidRPr="00431A5F">
        <w:rPr>
          <w:rFonts w:eastAsiaTheme="minorHAnsi"/>
          <w:sz w:val="22"/>
          <w:szCs w:val="22"/>
          <w:lang w:eastAsia="en-US"/>
        </w:rPr>
        <w:t>two years</w:t>
      </w:r>
      <w:r w:rsidRPr="00431A5F">
        <w:rPr>
          <w:rFonts w:eastAsiaTheme="minorHAnsi"/>
          <w:sz w:val="22"/>
          <w:szCs w:val="22"/>
          <w:lang w:eastAsia="en-US"/>
        </w:rPr>
        <w:t xml:space="preserve"> from the date of creating the record and make those records available to the ACMA on request.</w:t>
      </w:r>
    </w:p>
    <w:p w14:paraId="1262A667" w14:textId="16F98ABB" w:rsidR="001D31F7" w:rsidRPr="00431A5F" w:rsidRDefault="005D546C" w:rsidP="00796A31">
      <w:pPr>
        <w:pStyle w:val="subsection"/>
        <w:tabs>
          <w:tab w:val="clear" w:pos="1021"/>
        </w:tabs>
        <w:spacing w:before="120"/>
        <w:ind w:left="0" w:firstLine="0"/>
        <w:rPr>
          <w:rFonts w:eastAsiaTheme="minorHAnsi"/>
          <w:sz w:val="22"/>
          <w:szCs w:val="22"/>
          <w:lang w:eastAsia="en-US"/>
        </w:rPr>
      </w:pPr>
      <w:r w:rsidRPr="00431A5F">
        <w:rPr>
          <w:rFonts w:eastAsiaTheme="minorHAnsi"/>
          <w:sz w:val="22"/>
          <w:szCs w:val="22"/>
          <w:lang w:eastAsia="en-US"/>
        </w:rPr>
        <w:t xml:space="preserve">The TIO has reported complaints from consumers who say the CSP has no record of a financial hardship arrangement, or the </w:t>
      </w:r>
      <w:r w:rsidR="009A1DA0" w:rsidRPr="00431A5F">
        <w:rPr>
          <w:rFonts w:eastAsiaTheme="minorHAnsi"/>
          <w:sz w:val="22"/>
          <w:szCs w:val="22"/>
          <w:lang w:eastAsia="en-US"/>
        </w:rPr>
        <w:t>financial hardship</w:t>
      </w:r>
      <w:r w:rsidRPr="00431A5F">
        <w:rPr>
          <w:rFonts w:eastAsiaTheme="minorHAnsi"/>
          <w:sz w:val="22"/>
          <w:szCs w:val="22"/>
          <w:lang w:eastAsia="en-US"/>
        </w:rPr>
        <w:t xml:space="preserve"> arrangement does not reflect what the customer believes was agreed. Clear record keeping assists in delivering fair</w:t>
      </w:r>
      <w:r w:rsidR="004D1BD6">
        <w:rPr>
          <w:rFonts w:eastAsiaTheme="minorHAnsi"/>
          <w:sz w:val="22"/>
          <w:szCs w:val="22"/>
          <w:lang w:eastAsia="en-US"/>
        </w:rPr>
        <w:t>,</w:t>
      </w:r>
      <w:r w:rsidRPr="00431A5F">
        <w:rPr>
          <w:rFonts w:eastAsiaTheme="minorHAnsi"/>
          <w:sz w:val="22"/>
          <w:szCs w:val="22"/>
          <w:lang w:eastAsia="en-US"/>
        </w:rPr>
        <w:t xml:space="preserve"> timely and reasonable outcomes in complaints handling</w:t>
      </w:r>
      <w:r w:rsidR="0075103E">
        <w:rPr>
          <w:rFonts w:eastAsiaTheme="minorHAnsi"/>
          <w:sz w:val="22"/>
          <w:szCs w:val="22"/>
          <w:lang w:eastAsia="en-US"/>
        </w:rPr>
        <w:t>, investigations</w:t>
      </w:r>
      <w:r w:rsidRPr="00431A5F">
        <w:rPr>
          <w:rFonts w:eastAsiaTheme="minorHAnsi"/>
          <w:sz w:val="22"/>
          <w:szCs w:val="22"/>
          <w:lang w:eastAsia="en-US"/>
        </w:rPr>
        <w:t xml:space="preserve"> and compliance and enforcement matters. </w:t>
      </w:r>
    </w:p>
    <w:p w14:paraId="507B4723" w14:textId="3B1611D7" w:rsidR="00C42A9E" w:rsidRPr="00392B0D" w:rsidRDefault="00C42A9E" w:rsidP="00C42A9E">
      <w:pPr>
        <w:spacing w:before="120" w:after="0" w:line="240" w:lineRule="auto"/>
        <w:rPr>
          <w:rFonts w:ascii="Times New Roman" w:hAnsi="Times New Roman"/>
          <w:sz w:val="22"/>
          <w:szCs w:val="22"/>
        </w:rPr>
      </w:pPr>
      <w:r w:rsidRPr="00392B0D">
        <w:rPr>
          <w:rFonts w:ascii="Times New Roman" w:hAnsi="Times New Roman"/>
          <w:sz w:val="22"/>
          <w:szCs w:val="22"/>
        </w:rPr>
        <w:t xml:space="preserve">The ACMA may need to access </w:t>
      </w:r>
      <w:r>
        <w:rPr>
          <w:rFonts w:ascii="Times New Roman" w:hAnsi="Times New Roman"/>
          <w:sz w:val="22"/>
          <w:szCs w:val="22"/>
        </w:rPr>
        <w:t>c</w:t>
      </w:r>
      <w:r w:rsidRPr="00392B0D">
        <w:rPr>
          <w:rFonts w:ascii="Times New Roman" w:hAnsi="Times New Roman"/>
          <w:sz w:val="22"/>
          <w:szCs w:val="22"/>
        </w:rPr>
        <w:t xml:space="preserve">ustomer records </w:t>
      </w:r>
      <w:r>
        <w:rPr>
          <w:rFonts w:ascii="Times New Roman" w:hAnsi="Times New Roman"/>
          <w:sz w:val="22"/>
          <w:szCs w:val="22"/>
        </w:rPr>
        <w:t>from a CSP under section 30 of the Standard for the purpose of</w:t>
      </w:r>
      <w:r w:rsidRPr="00392B0D">
        <w:rPr>
          <w:rFonts w:ascii="Times New Roman" w:hAnsi="Times New Roman"/>
          <w:sz w:val="22"/>
          <w:szCs w:val="22"/>
        </w:rPr>
        <w:t xml:space="preserve"> its monitoring and enforcement activities</w:t>
      </w:r>
      <w:r>
        <w:rPr>
          <w:rFonts w:ascii="Times New Roman" w:hAnsi="Times New Roman"/>
          <w:sz w:val="22"/>
          <w:szCs w:val="22"/>
        </w:rPr>
        <w:t xml:space="preserve">. </w:t>
      </w:r>
    </w:p>
    <w:p w14:paraId="6A24BBCC" w14:textId="3C1BFF82" w:rsidR="00393915" w:rsidRPr="00431A5F" w:rsidRDefault="00AF4AFF" w:rsidP="005D27B9">
      <w:pPr>
        <w:pStyle w:val="subsection"/>
        <w:tabs>
          <w:tab w:val="clear" w:pos="1021"/>
        </w:tabs>
        <w:spacing w:before="120" w:after="240"/>
        <w:ind w:left="0" w:firstLine="0"/>
        <w:rPr>
          <w:rFonts w:eastAsiaTheme="minorHAnsi"/>
          <w:sz w:val="22"/>
          <w:szCs w:val="22"/>
          <w:lang w:eastAsia="en-US"/>
        </w:rPr>
      </w:pPr>
      <w:r w:rsidRPr="00431A5F">
        <w:rPr>
          <w:rFonts w:eastAsiaTheme="minorHAnsi"/>
          <w:sz w:val="22"/>
          <w:szCs w:val="22"/>
          <w:lang w:eastAsia="en-US"/>
        </w:rPr>
        <w:t xml:space="preserve">Records are required to be kept for </w:t>
      </w:r>
      <w:r w:rsidR="00537C87">
        <w:rPr>
          <w:rFonts w:eastAsiaTheme="minorHAnsi"/>
          <w:sz w:val="22"/>
          <w:szCs w:val="22"/>
          <w:lang w:eastAsia="en-US"/>
        </w:rPr>
        <w:t xml:space="preserve">a minimum of </w:t>
      </w:r>
      <w:r w:rsidRPr="00431A5F">
        <w:rPr>
          <w:rFonts w:eastAsiaTheme="minorHAnsi"/>
          <w:sz w:val="22"/>
          <w:szCs w:val="22"/>
          <w:lang w:eastAsia="en-US"/>
        </w:rPr>
        <w:t xml:space="preserve">two years. This aligns with record keeping timeframes in other like telecommunications safeguards instruments such as the </w:t>
      </w:r>
      <w:r w:rsidRPr="00431A5F">
        <w:rPr>
          <w:rFonts w:eastAsiaTheme="minorHAnsi"/>
          <w:i/>
          <w:iCs/>
          <w:sz w:val="22"/>
          <w:szCs w:val="22"/>
          <w:lang w:eastAsia="en-US"/>
        </w:rPr>
        <w:t>Telecommunications (Consumer Complaints Handling) Industry Standard 2018</w:t>
      </w:r>
      <w:r w:rsidRPr="00431A5F">
        <w:rPr>
          <w:rFonts w:eastAsiaTheme="minorHAnsi"/>
          <w:sz w:val="22"/>
          <w:szCs w:val="22"/>
          <w:lang w:eastAsia="en-US"/>
        </w:rPr>
        <w:t xml:space="preserve"> and ensures that records are available for an appropriate length of time to be of use in </w:t>
      </w:r>
      <w:r w:rsidR="00B30ECE" w:rsidRPr="00431A5F">
        <w:rPr>
          <w:rFonts w:eastAsiaTheme="minorHAnsi"/>
          <w:sz w:val="22"/>
          <w:szCs w:val="22"/>
          <w:lang w:eastAsia="en-US"/>
        </w:rPr>
        <w:t>complaints handling</w:t>
      </w:r>
      <w:r w:rsidR="00B30ECE">
        <w:rPr>
          <w:rFonts w:eastAsiaTheme="minorHAnsi"/>
          <w:sz w:val="22"/>
          <w:szCs w:val="22"/>
          <w:lang w:eastAsia="en-US"/>
        </w:rPr>
        <w:t>,</w:t>
      </w:r>
      <w:r w:rsidR="00B30ECE" w:rsidRPr="00431A5F" w:rsidDel="00B30ECE">
        <w:rPr>
          <w:rFonts w:eastAsiaTheme="minorHAnsi"/>
          <w:sz w:val="22"/>
          <w:szCs w:val="22"/>
          <w:lang w:eastAsia="en-US"/>
        </w:rPr>
        <w:t xml:space="preserve"> </w:t>
      </w:r>
      <w:r w:rsidR="00B30ECE">
        <w:rPr>
          <w:rFonts w:eastAsiaTheme="minorHAnsi"/>
          <w:sz w:val="22"/>
          <w:szCs w:val="22"/>
          <w:lang w:eastAsia="en-US"/>
        </w:rPr>
        <w:t>investigations,</w:t>
      </w:r>
      <w:r w:rsidR="00B30ECE" w:rsidRPr="00431A5F">
        <w:rPr>
          <w:rFonts w:eastAsiaTheme="minorHAnsi"/>
          <w:sz w:val="22"/>
          <w:szCs w:val="22"/>
          <w:lang w:eastAsia="en-US"/>
        </w:rPr>
        <w:t xml:space="preserve"> </w:t>
      </w:r>
      <w:r w:rsidR="00B30ECE">
        <w:rPr>
          <w:rFonts w:eastAsiaTheme="minorHAnsi"/>
          <w:sz w:val="22"/>
          <w:szCs w:val="22"/>
          <w:lang w:eastAsia="en-US"/>
        </w:rPr>
        <w:t xml:space="preserve">and </w:t>
      </w:r>
      <w:r w:rsidRPr="00431A5F">
        <w:rPr>
          <w:rFonts w:eastAsiaTheme="minorHAnsi"/>
          <w:sz w:val="22"/>
          <w:szCs w:val="22"/>
          <w:lang w:eastAsia="en-US"/>
        </w:rPr>
        <w:t xml:space="preserve">compliance and enforcement </w:t>
      </w:r>
      <w:r w:rsidR="00B30ECE">
        <w:rPr>
          <w:rFonts w:eastAsiaTheme="minorHAnsi"/>
          <w:sz w:val="22"/>
          <w:szCs w:val="22"/>
          <w:lang w:eastAsia="en-US"/>
        </w:rPr>
        <w:t>action</w:t>
      </w:r>
      <w:r w:rsidRPr="00431A5F">
        <w:rPr>
          <w:rFonts w:eastAsiaTheme="minorHAnsi"/>
          <w:sz w:val="22"/>
          <w:szCs w:val="22"/>
          <w:lang w:eastAsia="en-US"/>
        </w:rPr>
        <w:t xml:space="preserve">.  </w:t>
      </w:r>
    </w:p>
    <w:p w14:paraId="2B3E76EF" w14:textId="1D5CFAA2" w:rsidR="00135C38" w:rsidRPr="00C01418" w:rsidRDefault="00796A31" w:rsidP="0065297F">
      <w:pPr>
        <w:spacing w:before="120" w:after="0" w:line="240" w:lineRule="auto"/>
        <w:rPr>
          <w:rFonts w:ascii="Times New Roman" w:eastAsiaTheme="minorHAnsi" w:hAnsi="Times New Roman"/>
          <w:sz w:val="22"/>
          <w:szCs w:val="22"/>
          <w:lang w:eastAsia="en-US"/>
        </w:rPr>
      </w:pPr>
      <w:r w:rsidRPr="00C01418">
        <w:rPr>
          <w:rFonts w:ascii="Times New Roman" w:eastAsiaTheme="minorHAnsi" w:hAnsi="Times New Roman"/>
          <w:sz w:val="22"/>
          <w:szCs w:val="22"/>
          <w:lang w:eastAsia="en-US"/>
        </w:rPr>
        <w:t xml:space="preserve">Subsection 30(2) introduces further stipulations in the context of information requested from a customer to assess eligibility for financial hardship assistance under subsection 16(3). The </w:t>
      </w:r>
      <w:r w:rsidR="00685A85" w:rsidRPr="00C01418">
        <w:rPr>
          <w:rFonts w:ascii="Times New Roman" w:eastAsiaTheme="minorHAnsi" w:hAnsi="Times New Roman"/>
          <w:sz w:val="22"/>
          <w:szCs w:val="22"/>
          <w:lang w:eastAsia="en-US"/>
        </w:rPr>
        <w:t>CSP</w:t>
      </w:r>
      <w:r w:rsidRPr="00C01418">
        <w:rPr>
          <w:rFonts w:ascii="Times New Roman" w:eastAsiaTheme="minorHAnsi" w:hAnsi="Times New Roman"/>
          <w:sz w:val="22"/>
          <w:szCs w:val="22"/>
          <w:lang w:eastAsia="en-US"/>
        </w:rPr>
        <w:t xml:space="preserve"> must only retain a copy or record of the information received from the customer for the duration required to complete the assessment, and following completion of the assessment, the provider must dispose of or destroy the copy or record of the information securely.  </w:t>
      </w:r>
    </w:p>
    <w:p w14:paraId="5AEC07A6" w14:textId="1F66AB0E" w:rsidR="00AC3511" w:rsidRPr="00431A5F" w:rsidRDefault="00AC3511" w:rsidP="00C01418">
      <w:pPr>
        <w:spacing w:before="120" w:after="120"/>
        <w:rPr>
          <w:rFonts w:ascii="Times New Roman" w:hAnsi="Times New Roman"/>
          <w:b/>
          <w:sz w:val="22"/>
          <w:szCs w:val="22"/>
        </w:rPr>
      </w:pPr>
      <w:r w:rsidRPr="00431A5F">
        <w:rPr>
          <w:rFonts w:ascii="Times New Roman" w:hAnsi="Times New Roman"/>
          <w:b/>
          <w:sz w:val="22"/>
          <w:szCs w:val="22"/>
        </w:rPr>
        <w:t>Section 31</w:t>
      </w:r>
      <w:r w:rsidRPr="00431A5F">
        <w:rPr>
          <w:rFonts w:ascii="Times New Roman" w:hAnsi="Times New Roman"/>
          <w:b/>
          <w:sz w:val="22"/>
          <w:szCs w:val="22"/>
        </w:rPr>
        <w:tab/>
        <w:t>Privacy</w:t>
      </w:r>
    </w:p>
    <w:p w14:paraId="146EB720" w14:textId="20D1FBB7" w:rsidR="00685A85" w:rsidRPr="00431A5F" w:rsidRDefault="00685A85" w:rsidP="00685A85">
      <w:pPr>
        <w:contextualSpacing/>
        <w:rPr>
          <w:rFonts w:ascii="Times New Roman" w:hAnsi="Times New Roman"/>
          <w:sz w:val="22"/>
          <w:szCs w:val="22"/>
        </w:rPr>
      </w:pPr>
      <w:r w:rsidRPr="00431A5F">
        <w:rPr>
          <w:rFonts w:ascii="Times New Roman" w:hAnsi="Times New Roman"/>
          <w:sz w:val="22"/>
          <w:szCs w:val="22"/>
        </w:rPr>
        <w:t>This section sets out privacy considerations for</w:t>
      </w:r>
      <w:r w:rsidR="006D5120" w:rsidRPr="00431A5F">
        <w:rPr>
          <w:rFonts w:ascii="Times New Roman" w:hAnsi="Times New Roman"/>
          <w:sz w:val="22"/>
          <w:szCs w:val="22"/>
        </w:rPr>
        <w:t xml:space="preserve"> a</w:t>
      </w:r>
      <w:r w:rsidRPr="00431A5F">
        <w:rPr>
          <w:rFonts w:ascii="Times New Roman" w:hAnsi="Times New Roman"/>
          <w:sz w:val="22"/>
          <w:szCs w:val="22"/>
        </w:rPr>
        <w:t xml:space="preserve"> CSP not subject to the Privacy Act. In such cases, CSPs must ensure that personal information collected in connection with an application and a financial hardship assistance arrangement:</w:t>
      </w:r>
    </w:p>
    <w:p w14:paraId="76741153" w14:textId="21FA66AB" w:rsidR="00685A85" w:rsidRPr="00431A5F" w:rsidRDefault="005E187F" w:rsidP="00AC69D1">
      <w:pPr>
        <w:pStyle w:val="ListParagraph"/>
        <w:numPr>
          <w:ilvl w:val="0"/>
          <w:numId w:val="10"/>
        </w:numPr>
        <w:rPr>
          <w:rFonts w:ascii="Times New Roman" w:hAnsi="Times New Roman"/>
          <w:sz w:val="22"/>
          <w:szCs w:val="22"/>
        </w:rPr>
      </w:pPr>
      <w:r w:rsidRPr="00431A5F">
        <w:rPr>
          <w:rFonts w:ascii="Times New Roman" w:hAnsi="Times New Roman"/>
          <w:sz w:val="22"/>
          <w:szCs w:val="22"/>
        </w:rPr>
        <w:t>is</w:t>
      </w:r>
      <w:r w:rsidR="00685A85" w:rsidRPr="00431A5F">
        <w:rPr>
          <w:rFonts w:ascii="Times New Roman" w:hAnsi="Times New Roman"/>
          <w:sz w:val="22"/>
          <w:szCs w:val="22"/>
        </w:rPr>
        <w:t xml:space="preserve"> not disclosed to a third party or used unless required for managing a complaint to the TIO or the ACMA, </w:t>
      </w:r>
      <w:r w:rsidR="00A46F0C" w:rsidRPr="00431A5F">
        <w:rPr>
          <w:rFonts w:ascii="Times New Roman" w:hAnsi="Times New Roman"/>
          <w:sz w:val="22"/>
          <w:szCs w:val="22"/>
        </w:rPr>
        <w:t xml:space="preserve">or </w:t>
      </w:r>
      <w:r w:rsidR="00685A85" w:rsidRPr="00431A5F">
        <w:rPr>
          <w:rFonts w:ascii="Times New Roman" w:hAnsi="Times New Roman"/>
          <w:sz w:val="22"/>
          <w:szCs w:val="22"/>
        </w:rPr>
        <w:t>with explicit consumer consent, or when disclosure is mandated by law</w:t>
      </w:r>
      <w:r w:rsidR="003000D5">
        <w:rPr>
          <w:rFonts w:ascii="Times New Roman" w:hAnsi="Times New Roman"/>
          <w:sz w:val="22"/>
          <w:szCs w:val="22"/>
        </w:rPr>
        <w:t>; and</w:t>
      </w:r>
    </w:p>
    <w:p w14:paraId="5DC9A106" w14:textId="206DFC8C" w:rsidR="00685A85" w:rsidRPr="00431A5F" w:rsidRDefault="00EB2C63" w:rsidP="00AC69D1">
      <w:pPr>
        <w:pStyle w:val="ListParagraph"/>
        <w:numPr>
          <w:ilvl w:val="0"/>
          <w:numId w:val="10"/>
        </w:numPr>
        <w:ind w:left="714" w:hanging="357"/>
        <w:rPr>
          <w:rFonts w:ascii="Times New Roman" w:hAnsi="Times New Roman"/>
          <w:sz w:val="22"/>
          <w:szCs w:val="22"/>
        </w:rPr>
      </w:pPr>
      <w:r w:rsidRPr="00431A5F">
        <w:rPr>
          <w:rFonts w:ascii="Times New Roman" w:hAnsi="Times New Roman"/>
          <w:sz w:val="22"/>
          <w:szCs w:val="22"/>
        </w:rPr>
        <w:t>is</w:t>
      </w:r>
      <w:r w:rsidR="00685A85" w:rsidRPr="00431A5F">
        <w:rPr>
          <w:rFonts w:ascii="Times New Roman" w:hAnsi="Times New Roman"/>
          <w:sz w:val="22"/>
          <w:szCs w:val="22"/>
        </w:rPr>
        <w:t xml:space="preserve"> disposed of or destroyed securely when no longer needed under the </w:t>
      </w:r>
      <w:r w:rsidR="008A4638">
        <w:rPr>
          <w:rFonts w:ascii="Times New Roman" w:hAnsi="Times New Roman"/>
          <w:sz w:val="22"/>
          <w:szCs w:val="22"/>
        </w:rPr>
        <w:t>S</w:t>
      </w:r>
      <w:r w:rsidR="00685A85" w:rsidRPr="00431A5F">
        <w:rPr>
          <w:rFonts w:ascii="Times New Roman" w:hAnsi="Times New Roman"/>
          <w:sz w:val="22"/>
          <w:szCs w:val="22"/>
        </w:rPr>
        <w:t>tandard or other applicable laws</w:t>
      </w:r>
      <w:r w:rsidR="003000D5">
        <w:rPr>
          <w:rFonts w:ascii="Times New Roman" w:hAnsi="Times New Roman"/>
          <w:sz w:val="22"/>
          <w:szCs w:val="22"/>
        </w:rPr>
        <w:t>.</w:t>
      </w:r>
    </w:p>
    <w:p w14:paraId="1B335765" w14:textId="1307DF5D" w:rsidR="00685A85" w:rsidRDefault="003000D5" w:rsidP="002E00A2">
      <w:pPr>
        <w:rPr>
          <w:rFonts w:ascii="Times New Roman" w:hAnsi="Times New Roman"/>
          <w:sz w:val="22"/>
          <w:szCs w:val="22"/>
        </w:rPr>
      </w:pPr>
      <w:r>
        <w:rPr>
          <w:rFonts w:ascii="Times New Roman" w:hAnsi="Times New Roman"/>
          <w:sz w:val="22"/>
          <w:szCs w:val="22"/>
        </w:rPr>
        <w:lastRenderedPageBreak/>
        <w:t xml:space="preserve">The </w:t>
      </w:r>
      <w:r w:rsidR="00E42E00">
        <w:rPr>
          <w:rFonts w:ascii="Times New Roman" w:hAnsi="Times New Roman"/>
          <w:sz w:val="22"/>
          <w:szCs w:val="22"/>
        </w:rPr>
        <w:t>n</w:t>
      </w:r>
      <w:r>
        <w:rPr>
          <w:rFonts w:ascii="Times New Roman" w:hAnsi="Times New Roman"/>
          <w:sz w:val="22"/>
          <w:szCs w:val="22"/>
        </w:rPr>
        <w:t>ote to this section make</w:t>
      </w:r>
      <w:r w:rsidR="00CF305C">
        <w:rPr>
          <w:rFonts w:ascii="Times New Roman" w:hAnsi="Times New Roman"/>
          <w:sz w:val="22"/>
          <w:szCs w:val="22"/>
        </w:rPr>
        <w:t>s</w:t>
      </w:r>
      <w:r>
        <w:rPr>
          <w:rFonts w:ascii="Times New Roman" w:hAnsi="Times New Roman"/>
          <w:sz w:val="22"/>
          <w:szCs w:val="22"/>
        </w:rPr>
        <w:t xml:space="preserve"> it clear that a</w:t>
      </w:r>
      <w:r w:rsidR="006D5120" w:rsidRPr="00431A5F">
        <w:rPr>
          <w:rFonts w:ascii="Times New Roman" w:hAnsi="Times New Roman"/>
          <w:sz w:val="22"/>
          <w:szCs w:val="22"/>
        </w:rPr>
        <w:t xml:space="preserve"> </w:t>
      </w:r>
      <w:r w:rsidR="00685A85" w:rsidRPr="00431A5F">
        <w:rPr>
          <w:rFonts w:ascii="Times New Roman" w:hAnsi="Times New Roman"/>
          <w:sz w:val="22"/>
          <w:szCs w:val="22"/>
        </w:rPr>
        <w:t>CSP</w:t>
      </w:r>
      <w:r w:rsidR="00297052" w:rsidRPr="00431A5F">
        <w:rPr>
          <w:rFonts w:ascii="Times New Roman" w:hAnsi="Times New Roman"/>
          <w:sz w:val="22"/>
          <w:szCs w:val="22"/>
        </w:rPr>
        <w:t xml:space="preserve"> that is</w:t>
      </w:r>
      <w:r w:rsidR="00685A85" w:rsidRPr="00431A5F">
        <w:rPr>
          <w:rFonts w:ascii="Times New Roman" w:hAnsi="Times New Roman"/>
          <w:sz w:val="22"/>
          <w:szCs w:val="22"/>
        </w:rPr>
        <w:t xml:space="preserve"> subject to the </w:t>
      </w:r>
      <w:r w:rsidR="00340590" w:rsidRPr="00431A5F">
        <w:rPr>
          <w:rFonts w:ascii="Times New Roman" w:hAnsi="Times New Roman"/>
          <w:sz w:val="22"/>
          <w:szCs w:val="22"/>
        </w:rPr>
        <w:t xml:space="preserve">requirements of the </w:t>
      </w:r>
      <w:r w:rsidR="00685A85" w:rsidRPr="00431A5F">
        <w:rPr>
          <w:rFonts w:ascii="Times New Roman" w:hAnsi="Times New Roman"/>
          <w:sz w:val="22"/>
          <w:szCs w:val="22"/>
        </w:rPr>
        <w:t>Privacy Act must adhere to Australian Privacy Principle 6 in Schedule 1 of that Act concerning the use or disclosure of personal information in connection with financial hardship assistance and arrangements.</w:t>
      </w:r>
    </w:p>
    <w:p w14:paraId="45ABDDBD" w14:textId="273B4E29" w:rsidR="00AC3511" w:rsidRPr="00431A5F" w:rsidRDefault="00AC3511" w:rsidP="003D3992">
      <w:pPr>
        <w:spacing w:before="240"/>
        <w:rPr>
          <w:rFonts w:ascii="Times New Roman" w:hAnsi="Times New Roman"/>
          <w:b/>
          <w:sz w:val="22"/>
          <w:szCs w:val="22"/>
        </w:rPr>
      </w:pPr>
      <w:r w:rsidRPr="00431A5F">
        <w:rPr>
          <w:rFonts w:ascii="Times New Roman" w:hAnsi="Times New Roman"/>
          <w:b/>
          <w:sz w:val="22"/>
          <w:szCs w:val="22"/>
        </w:rPr>
        <w:t xml:space="preserve">Part 7 – </w:t>
      </w:r>
      <w:r w:rsidRPr="00431A5F">
        <w:rPr>
          <w:rStyle w:val="CharPartText"/>
          <w:rFonts w:ascii="Times New Roman" w:hAnsi="Times New Roman"/>
          <w:b/>
          <w:color w:val="000000" w:themeColor="text1"/>
          <w:sz w:val="22"/>
          <w:szCs w:val="22"/>
        </w:rPr>
        <w:t>Conferral of functions and powers</w:t>
      </w:r>
    </w:p>
    <w:p w14:paraId="6D667DBD" w14:textId="254EA075" w:rsidR="00AC3511" w:rsidRPr="00431A5F" w:rsidRDefault="00AC3511" w:rsidP="00AC3511">
      <w:pPr>
        <w:rPr>
          <w:rFonts w:ascii="Times New Roman" w:hAnsi="Times New Roman"/>
          <w:b/>
          <w:sz w:val="22"/>
          <w:szCs w:val="22"/>
        </w:rPr>
      </w:pPr>
      <w:r w:rsidRPr="00431A5F">
        <w:rPr>
          <w:rFonts w:ascii="Times New Roman" w:hAnsi="Times New Roman"/>
          <w:b/>
          <w:sz w:val="22"/>
          <w:szCs w:val="22"/>
        </w:rPr>
        <w:t>Section 32</w:t>
      </w:r>
      <w:r w:rsidRPr="00431A5F">
        <w:rPr>
          <w:rFonts w:ascii="Times New Roman" w:hAnsi="Times New Roman"/>
          <w:b/>
          <w:sz w:val="22"/>
          <w:szCs w:val="22"/>
        </w:rPr>
        <w:tab/>
        <w:t>Conferral of functions and powers on the TIO</w:t>
      </w:r>
    </w:p>
    <w:p w14:paraId="4E402255" w14:textId="77777777" w:rsidR="00141CF6" w:rsidRPr="00431A5F" w:rsidRDefault="00141CF6" w:rsidP="00141CF6">
      <w:pPr>
        <w:rPr>
          <w:rFonts w:ascii="Times New Roman" w:hAnsi="Times New Roman"/>
          <w:bCs/>
          <w:sz w:val="22"/>
          <w:szCs w:val="22"/>
        </w:rPr>
      </w:pPr>
      <w:r w:rsidRPr="00431A5F">
        <w:rPr>
          <w:rFonts w:ascii="Times New Roman" w:hAnsi="Times New Roman"/>
          <w:bCs/>
          <w:sz w:val="22"/>
          <w:szCs w:val="22"/>
        </w:rPr>
        <w:t>This section specifies that the Standard confers on the TIO functions and powers in respect of customer complaints about matters referred to in the Standard.</w:t>
      </w:r>
    </w:p>
    <w:p w14:paraId="0D7208EC" w14:textId="77777777" w:rsidR="00141CF6" w:rsidRPr="00431A5F" w:rsidRDefault="00141CF6" w:rsidP="00141CF6">
      <w:pPr>
        <w:rPr>
          <w:rFonts w:ascii="Times New Roman" w:hAnsi="Times New Roman"/>
          <w:bCs/>
          <w:sz w:val="22"/>
          <w:szCs w:val="22"/>
        </w:rPr>
      </w:pPr>
      <w:r w:rsidRPr="00431A5F">
        <w:rPr>
          <w:rFonts w:ascii="Times New Roman" w:hAnsi="Times New Roman"/>
          <w:bCs/>
          <w:sz w:val="22"/>
          <w:szCs w:val="22"/>
        </w:rPr>
        <w:t>These functions and powers include receiving; investigating; facilitating the resolution of; making determinations in relation to; and reporting on, customer complaints about matters in the Standard.</w:t>
      </w:r>
    </w:p>
    <w:p w14:paraId="1EF3B2D8" w14:textId="36B654C1" w:rsidR="00AC3511" w:rsidRPr="00431A5F" w:rsidRDefault="00AC3511" w:rsidP="00AC3511">
      <w:pPr>
        <w:rPr>
          <w:rFonts w:ascii="Times New Roman" w:hAnsi="Times New Roman"/>
          <w:b/>
          <w:sz w:val="22"/>
          <w:szCs w:val="22"/>
        </w:rPr>
      </w:pPr>
      <w:r w:rsidRPr="00431A5F">
        <w:rPr>
          <w:rFonts w:ascii="Times New Roman" w:hAnsi="Times New Roman"/>
          <w:b/>
          <w:sz w:val="22"/>
          <w:szCs w:val="22"/>
        </w:rPr>
        <w:t xml:space="preserve">Part </w:t>
      </w:r>
      <w:r w:rsidR="00C534E8" w:rsidRPr="00431A5F">
        <w:rPr>
          <w:rFonts w:ascii="Times New Roman" w:hAnsi="Times New Roman"/>
          <w:b/>
          <w:sz w:val="22"/>
          <w:szCs w:val="22"/>
        </w:rPr>
        <w:t>8</w:t>
      </w:r>
      <w:r w:rsidR="00E42E00">
        <w:rPr>
          <w:rFonts w:ascii="Times New Roman" w:hAnsi="Times New Roman"/>
          <w:b/>
          <w:sz w:val="22"/>
          <w:szCs w:val="22"/>
        </w:rPr>
        <w:t xml:space="preserve"> </w:t>
      </w:r>
      <w:r w:rsidRPr="00431A5F">
        <w:rPr>
          <w:rFonts w:ascii="Times New Roman" w:hAnsi="Times New Roman"/>
          <w:b/>
          <w:sz w:val="22"/>
          <w:szCs w:val="22"/>
        </w:rPr>
        <w:t xml:space="preserve">– </w:t>
      </w:r>
      <w:r w:rsidRPr="00431A5F">
        <w:rPr>
          <w:rStyle w:val="CharPartText"/>
          <w:rFonts w:ascii="Times New Roman" w:hAnsi="Times New Roman"/>
          <w:b/>
          <w:color w:val="000000" w:themeColor="text1"/>
          <w:sz w:val="22"/>
          <w:szCs w:val="22"/>
        </w:rPr>
        <w:t>Transitional arrangements</w:t>
      </w:r>
    </w:p>
    <w:p w14:paraId="0620D02E" w14:textId="766FF9B9" w:rsidR="00AC3511" w:rsidRPr="00431A5F" w:rsidRDefault="00AC3511" w:rsidP="00AC3511">
      <w:pPr>
        <w:ind w:left="1440" w:hanging="1440"/>
        <w:rPr>
          <w:rFonts w:ascii="Times New Roman" w:hAnsi="Times New Roman"/>
          <w:b/>
          <w:sz w:val="22"/>
          <w:szCs w:val="22"/>
        </w:rPr>
      </w:pPr>
      <w:r w:rsidRPr="00431A5F">
        <w:rPr>
          <w:rFonts w:ascii="Times New Roman" w:hAnsi="Times New Roman"/>
          <w:b/>
          <w:sz w:val="22"/>
          <w:szCs w:val="22"/>
        </w:rPr>
        <w:t>Section 33</w:t>
      </w:r>
      <w:r w:rsidRPr="00431A5F">
        <w:rPr>
          <w:rFonts w:ascii="Times New Roman" w:hAnsi="Times New Roman"/>
          <w:b/>
          <w:sz w:val="22"/>
          <w:szCs w:val="22"/>
        </w:rPr>
        <w:tab/>
        <w:t xml:space="preserve">Complaints about compliance with a relevant industry code relating to financial </w:t>
      </w:r>
      <w:proofErr w:type="gramStart"/>
      <w:r w:rsidRPr="00431A5F">
        <w:rPr>
          <w:rFonts w:ascii="Times New Roman" w:hAnsi="Times New Roman"/>
          <w:b/>
          <w:sz w:val="22"/>
          <w:szCs w:val="22"/>
        </w:rPr>
        <w:t>hardship</w:t>
      </w:r>
      <w:proofErr w:type="gramEnd"/>
    </w:p>
    <w:p w14:paraId="2493658F" w14:textId="3010A357" w:rsidR="00AC3511" w:rsidRPr="00431A5F" w:rsidRDefault="00491274" w:rsidP="00AC3511">
      <w:pPr>
        <w:rPr>
          <w:rFonts w:ascii="Times New Roman" w:hAnsi="Times New Roman"/>
          <w:sz w:val="22"/>
          <w:szCs w:val="22"/>
        </w:rPr>
      </w:pPr>
      <w:r w:rsidRPr="00431A5F">
        <w:rPr>
          <w:rFonts w:ascii="Times New Roman" w:hAnsi="Times New Roman"/>
          <w:sz w:val="22"/>
          <w:szCs w:val="22"/>
        </w:rPr>
        <w:t xml:space="preserve">This section sets out the transitional arrangements for complaints about </w:t>
      </w:r>
      <w:r w:rsidR="00941F9E" w:rsidRPr="00431A5F">
        <w:rPr>
          <w:rFonts w:ascii="Times New Roman" w:hAnsi="Times New Roman"/>
          <w:sz w:val="22"/>
          <w:szCs w:val="22"/>
        </w:rPr>
        <w:t>financial hardship made prior to the commencement of th</w:t>
      </w:r>
      <w:r w:rsidR="005046E4" w:rsidRPr="00431A5F">
        <w:rPr>
          <w:rFonts w:ascii="Times New Roman" w:hAnsi="Times New Roman"/>
          <w:sz w:val="22"/>
          <w:szCs w:val="22"/>
        </w:rPr>
        <w:t xml:space="preserve">e </w:t>
      </w:r>
      <w:r w:rsidR="008A4638">
        <w:rPr>
          <w:rFonts w:ascii="Times New Roman" w:hAnsi="Times New Roman"/>
          <w:sz w:val="22"/>
          <w:szCs w:val="22"/>
        </w:rPr>
        <w:t>S</w:t>
      </w:r>
      <w:r w:rsidR="005046E4" w:rsidRPr="00431A5F">
        <w:rPr>
          <w:rFonts w:ascii="Times New Roman" w:hAnsi="Times New Roman"/>
          <w:sz w:val="22"/>
          <w:szCs w:val="22"/>
        </w:rPr>
        <w:t>tandard</w:t>
      </w:r>
      <w:r w:rsidR="00941F9E" w:rsidRPr="00431A5F">
        <w:rPr>
          <w:rFonts w:ascii="Times New Roman" w:hAnsi="Times New Roman"/>
          <w:sz w:val="22"/>
          <w:szCs w:val="22"/>
        </w:rPr>
        <w:t xml:space="preserve">. It provides that if a customer made a complaint to a CSP, the ACMA or the TIO </w:t>
      </w:r>
      <w:r w:rsidR="003D770E">
        <w:rPr>
          <w:rFonts w:ascii="Times New Roman" w:hAnsi="Times New Roman"/>
          <w:sz w:val="22"/>
          <w:szCs w:val="22"/>
        </w:rPr>
        <w:t>alleging</w:t>
      </w:r>
      <w:r w:rsidR="00A36E77">
        <w:rPr>
          <w:rFonts w:ascii="Times New Roman" w:hAnsi="Times New Roman"/>
          <w:sz w:val="22"/>
          <w:szCs w:val="22"/>
        </w:rPr>
        <w:t xml:space="preserve"> </w:t>
      </w:r>
      <w:r w:rsidR="00941F9E" w:rsidRPr="00431A5F">
        <w:rPr>
          <w:rFonts w:ascii="Times New Roman" w:hAnsi="Times New Roman"/>
          <w:sz w:val="22"/>
          <w:szCs w:val="22"/>
        </w:rPr>
        <w:t xml:space="preserve">that a CSP had not complied with a provision </w:t>
      </w:r>
      <w:r w:rsidR="0080595B" w:rsidRPr="00431A5F">
        <w:rPr>
          <w:rFonts w:ascii="Times New Roman" w:hAnsi="Times New Roman"/>
          <w:sz w:val="22"/>
          <w:szCs w:val="22"/>
        </w:rPr>
        <w:t xml:space="preserve">of </w:t>
      </w:r>
      <w:r w:rsidR="00941F9E" w:rsidRPr="00431A5F">
        <w:rPr>
          <w:rFonts w:ascii="Times New Roman" w:hAnsi="Times New Roman"/>
          <w:sz w:val="22"/>
          <w:szCs w:val="22"/>
        </w:rPr>
        <w:t>a relevant industry code relating to financial hardship</w:t>
      </w:r>
      <w:r w:rsidR="00A36E77">
        <w:rPr>
          <w:rFonts w:ascii="Times New Roman" w:hAnsi="Times New Roman"/>
          <w:sz w:val="22"/>
          <w:szCs w:val="22"/>
        </w:rPr>
        <w:t>,</w:t>
      </w:r>
      <w:r w:rsidR="00941F9E" w:rsidRPr="00431A5F">
        <w:rPr>
          <w:rFonts w:ascii="Times New Roman" w:hAnsi="Times New Roman"/>
          <w:sz w:val="22"/>
          <w:szCs w:val="22"/>
        </w:rPr>
        <w:t xml:space="preserve"> and that the complaint had not been dealt with and the code provision was in force immediately before </w:t>
      </w:r>
      <w:r w:rsidR="00C65533">
        <w:rPr>
          <w:rFonts w:ascii="Times New Roman" w:hAnsi="Times New Roman"/>
          <w:sz w:val="22"/>
          <w:szCs w:val="22"/>
        </w:rPr>
        <w:t>the Standard</w:t>
      </w:r>
      <w:r w:rsidR="00941F9E" w:rsidRPr="00431A5F">
        <w:rPr>
          <w:rFonts w:ascii="Times New Roman" w:hAnsi="Times New Roman"/>
          <w:sz w:val="22"/>
          <w:szCs w:val="22"/>
        </w:rPr>
        <w:t xml:space="preserve"> commenced</w:t>
      </w:r>
      <w:r w:rsidR="00047202">
        <w:rPr>
          <w:rFonts w:ascii="Times New Roman" w:hAnsi="Times New Roman"/>
          <w:sz w:val="22"/>
          <w:szCs w:val="22"/>
        </w:rPr>
        <w:t>,</w:t>
      </w:r>
      <w:r w:rsidR="00941F9E" w:rsidRPr="00431A5F">
        <w:rPr>
          <w:rFonts w:ascii="Times New Roman" w:hAnsi="Times New Roman"/>
          <w:sz w:val="22"/>
          <w:szCs w:val="22"/>
        </w:rPr>
        <w:t xml:space="preserve"> then the complaint </w:t>
      </w:r>
      <w:r w:rsidR="00E42E00">
        <w:rPr>
          <w:rFonts w:ascii="Times New Roman" w:hAnsi="Times New Roman"/>
          <w:sz w:val="22"/>
          <w:szCs w:val="22"/>
        </w:rPr>
        <w:t>sh</w:t>
      </w:r>
      <w:r w:rsidR="00040F85" w:rsidRPr="00431A5F">
        <w:rPr>
          <w:rFonts w:ascii="Times New Roman" w:hAnsi="Times New Roman"/>
          <w:sz w:val="22"/>
          <w:szCs w:val="22"/>
        </w:rPr>
        <w:t>ould continue to be dealt with in respect of the industry code</w:t>
      </w:r>
      <w:r w:rsidR="00845424" w:rsidRPr="00431A5F">
        <w:rPr>
          <w:rFonts w:ascii="Times New Roman" w:hAnsi="Times New Roman"/>
          <w:sz w:val="22"/>
          <w:szCs w:val="22"/>
        </w:rPr>
        <w:t>.</w:t>
      </w:r>
    </w:p>
    <w:p w14:paraId="24B50303" w14:textId="38526FF4" w:rsidR="00941F9E" w:rsidRPr="00431A5F" w:rsidRDefault="00941F9E" w:rsidP="00AC3511">
      <w:pPr>
        <w:rPr>
          <w:rFonts w:ascii="Times New Roman" w:hAnsi="Times New Roman"/>
          <w:b/>
          <w:sz w:val="22"/>
          <w:szCs w:val="22"/>
        </w:rPr>
      </w:pPr>
      <w:r w:rsidRPr="00431A5F">
        <w:rPr>
          <w:rFonts w:ascii="Times New Roman" w:hAnsi="Times New Roman"/>
          <w:sz w:val="22"/>
          <w:szCs w:val="22"/>
        </w:rPr>
        <w:t xml:space="preserve">The intention is to ensure that consumers with complaints about financial hardship that are outstanding at the time </w:t>
      </w:r>
      <w:r w:rsidR="00C65533">
        <w:rPr>
          <w:rFonts w:ascii="Times New Roman" w:hAnsi="Times New Roman"/>
          <w:sz w:val="22"/>
          <w:szCs w:val="22"/>
        </w:rPr>
        <w:t>the Standard</w:t>
      </w:r>
      <w:r w:rsidR="00C65533" w:rsidRPr="00431A5F">
        <w:rPr>
          <w:rFonts w:ascii="Times New Roman" w:hAnsi="Times New Roman"/>
          <w:sz w:val="22"/>
          <w:szCs w:val="22"/>
        </w:rPr>
        <w:t xml:space="preserve"> </w:t>
      </w:r>
      <w:r w:rsidRPr="00431A5F">
        <w:rPr>
          <w:rFonts w:ascii="Times New Roman" w:hAnsi="Times New Roman"/>
          <w:sz w:val="22"/>
          <w:szCs w:val="22"/>
        </w:rPr>
        <w:t xml:space="preserve">commences have their complaint finalised, even though the </w:t>
      </w:r>
      <w:r w:rsidR="00040F85" w:rsidRPr="00431A5F">
        <w:rPr>
          <w:rFonts w:ascii="Times New Roman" w:hAnsi="Times New Roman"/>
          <w:sz w:val="22"/>
          <w:szCs w:val="22"/>
        </w:rPr>
        <w:t>code</w:t>
      </w:r>
      <w:r w:rsidRPr="00431A5F">
        <w:rPr>
          <w:rFonts w:ascii="Times New Roman" w:hAnsi="Times New Roman"/>
          <w:sz w:val="22"/>
          <w:szCs w:val="22"/>
        </w:rPr>
        <w:t xml:space="preserve"> </w:t>
      </w:r>
      <w:r w:rsidR="00040F85" w:rsidRPr="00431A5F">
        <w:rPr>
          <w:rFonts w:ascii="Times New Roman" w:hAnsi="Times New Roman"/>
          <w:sz w:val="22"/>
          <w:szCs w:val="22"/>
        </w:rPr>
        <w:t>or provision to which the complaint relates</w:t>
      </w:r>
      <w:r w:rsidRPr="00431A5F">
        <w:rPr>
          <w:rFonts w:ascii="Times New Roman" w:hAnsi="Times New Roman"/>
          <w:sz w:val="22"/>
          <w:szCs w:val="22"/>
        </w:rPr>
        <w:t xml:space="preserve"> </w:t>
      </w:r>
      <w:r w:rsidR="00040F85" w:rsidRPr="00431A5F">
        <w:rPr>
          <w:rFonts w:ascii="Times New Roman" w:hAnsi="Times New Roman"/>
          <w:sz w:val="22"/>
          <w:szCs w:val="22"/>
        </w:rPr>
        <w:t xml:space="preserve">may have been </w:t>
      </w:r>
      <w:r w:rsidR="00F26076" w:rsidRPr="00431A5F">
        <w:rPr>
          <w:rFonts w:ascii="Times New Roman" w:hAnsi="Times New Roman"/>
          <w:sz w:val="22"/>
          <w:szCs w:val="22"/>
        </w:rPr>
        <w:t>superseded</w:t>
      </w:r>
      <w:r w:rsidR="00040F85" w:rsidRPr="00431A5F">
        <w:rPr>
          <w:rFonts w:ascii="Times New Roman" w:hAnsi="Times New Roman"/>
          <w:sz w:val="22"/>
          <w:szCs w:val="22"/>
        </w:rPr>
        <w:t xml:space="preserve"> by th</w:t>
      </w:r>
      <w:r w:rsidR="0080122B">
        <w:rPr>
          <w:rFonts w:ascii="Times New Roman" w:hAnsi="Times New Roman"/>
          <w:sz w:val="22"/>
          <w:szCs w:val="22"/>
        </w:rPr>
        <w:t>e</w:t>
      </w:r>
      <w:r w:rsidR="00040F85" w:rsidRPr="00431A5F">
        <w:rPr>
          <w:rFonts w:ascii="Times New Roman" w:hAnsi="Times New Roman"/>
          <w:sz w:val="22"/>
          <w:szCs w:val="22"/>
        </w:rPr>
        <w:t xml:space="preserve"> </w:t>
      </w:r>
      <w:r w:rsidR="000C538E" w:rsidRPr="00431A5F">
        <w:rPr>
          <w:rFonts w:ascii="Times New Roman" w:hAnsi="Times New Roman"/>
          <w:sz w:val="22"/>
          <w:szCs w:val="22"/>
        </w:rPr>
        <w:t>Standard</w:t>
      </w:r>
      <w:r w:rsidRPr="00431A5F">
        <w:rPr>
          <w:rFonts w:ascii="Times New Roman" w:hAnsi="Times New Roman"/>
          <w:sz w:val="22"/>
          <w:szCs w:val="22"/>
        </w:rPr>
        <w:t>.</w:t>
      </w:r>
    </w:p>
    <w:p w14:paraId="7154F1CA" w14:textId="544C6665" w:rsidR="00AC3511" w:rsidRPr="00431A5F" w:rsidRDefault="00AC3511" w:rsidP="00E65D4B">
      <w:pPr>
        <w:keepNext/>
        <w:rPr>
          <w:rFonts w:ascii="Times New Roman" w:hAnsi="Times New Roman"/>
          <w:b/>
          <w:sz w:val="22"/>
          <w:szCs w:val="22"/>
        </w:rPr>
      </w:pPr>
      <w:r w:rsidRPr="00431A5F">
        <w:rPr>
          <w:rFonts w:ascii="Times New Roman" w:hAnsi="Times New Roman"/>
          <w:b/>
          <w:sz w:val="22"/>
          <w:szCs w:val="22"/>
        </w:rPr>
        <w:t>Section 34</w:t>
      </w:r>
      <w:r w:rsidRPr="00431A5F">
        <w:rPr>
          <w:rFonts w:ascii="Times New Roman" w:hAnsi="Times New Roman"/>
          <w:b/>
          <w:sz w:val="22"/>
          <w:szCs w:val="22"/>
        </w:rPr>
        <w:tab/>
        <w:t>Applications for financial hardship</w:t>
      </w:r>
      <w:r w:rsidR="0085570E">
        <w:rPr>
          <w:rFonts w:ascii="Times New Roman" w:hAnsi="Times New Roman"/>
          <w:b/>
          <w:sz w:val="22"/>
          <w:szCs w:val="22"/>
        </w:rPr>
        <w:t xml:space="preserve"> assistance</w:t>
      </w:r>
    </w:p>
    <w:p w14:paraId="62CCBDFA" w14:textId="1791D7D3" w:rsidR="00AC3511" w:rsidRPr="00431A5F" w:rsidRDefault="00F26076" w:rsidP="00AC3511">
      <w:pPr>
        <w:rPr>
          <w:rFonts w:ascii="Times New Roman" w:hAnsi="Times New Roman"/>
          <w:sz w:val="22"/>
          <w:szCs w:val="22"/>
        </w:rPr>
      </w:pPr>
      <w:r w:rsidRPr="00431A5F">
        <w:rPr>
          <w:rFonts w:ascii="Times New Roman" w:hAnsi="Times New Roman"/>
          <w:sz w:val="22"/>
          <w:szCs w:val="22"/>
        </w:rPr>
        <w:t xml:space="preserve">This section </w:t>
      </w:r>
      <w:r w:rsidR="00B269CB" w:rsidRPr="00431A5F">
        <w:rPr>
          <w:rFonts w:ascii="Times New Roman" w:hAnsi="Times New Roman"/>
          <w:sz w:val="22"/>
          <w:szCs w:val="22"/>
        </w:rPr>
        <w:t>provides that applications for</w:t>
      </w:r>
      <w:r w:rsidRPr="00431A5F">
        <w:rPr>
          <w:rFonts w:ascii="Times New Roman" w:hAnsi="Times New Roman"/>
          <w:sz w:val="22"/>
          <w:szCs w:val="22"/>
        </w:rPr>
        <w:t xml:space="preserve"> financial hardship assistance </w:t>
      </w:r>
      <w:r w:rsidR="00B269CB" w:rsidRPr="00431A5F">
        <w:rPr>
          <w:rFonts w:ascii="Times New Roman" w:hAnsi="Times New Roman"/>
          <w:sz w:val="22"/>
          <w:szCs w:val="22"/>
        </w:rPr>
        <w:t>made before</w:t>
      </w:r>
      <w:r w:rsidR="00AF4FFB" w:rsidRPr="00431A5F">
        <w:rPr>
          <w:rFonts w:ascii="Times New Roman" w:hAnsi="Times New Roman"/>
          <w:sz w:val="22"/>
          <w:szCs w:val="22"/>
        </w:rPr>
        <w:t>,</w:t>
      </w:r>
      <w:r w:rsidR="00B269CB" w:rsidRPr="00431A5F">
        <w:rPr>
          <w:rFonts w:ascii="Times New Roman" w:hAnsi="Times New Roman"/>
          <w:sz w:val="22"/>
          <w:szCs w:val="22"/>
        </w:rPr>
        <w:t xml:space="preserve"> but not finalised when</w:t>
      </w:r>
      <w:r w:rsidR="00AF4FFB" w:rsidRPr="00431A5F">
        <w:rPr>
          <w:rFonts w:ascii="Times New Roman" w:hAnsi="Times New Roman"/>
          <w:sz w:val="22"/>
          <w:szCs w:val="22"/>
        </w:rPr>
        <w:t>,</w:t>
      </w:r>
      <w:r w:rsidR="00B269CB" w:rsidRPr="00431A5F">
        <w:rPr>
          <w:rFonts w:ascii="Times New Roman" w:hAnsi="Times New Roman"/>
          <w:sz w:val="22"/>
          <w:szCs w:val="22"/>
        </w:rPr>
        <w:t xml:space="preserve"> the </w:t>
      </w:r>
      <w:r w:rsidR="00205E42" w:rsidRPr="00431A5F">
        <w:rPr>
          <w:rFonts w:ascii="Times New Roman" w:hAnsi="Times New Roman"/>
          <w:sz w:val="22"/>
          <w:szCs w:val="22"/>
        </w:rPr>
        <w:t>Standard</w:t>
      </w:r>
      <w:r w:rsidR="00B269CB" w:rsidRPr="00431A5F">
        <w:rPr>
          <w:rFonts w:ascii="Times New Roman" w:hAnsi="Times New Roman"/>
          <w:sz w:val="22"/>
          <w:szCs w:val="22"/>
        </w:rPr>
        <w:t xml:space="preserve"> commences will be dealt with under th</w:t>
      </w:r>
      <w:r w:rsidR="00AF4FFB" w:rsidRPr="00431A5F">
        <w:rPr>
          <w:rFonts w:ascii="Times New Roman" w:hAnsi="Times New Roman"/>
          <w:sz w:val="22"/>
          <w:szCs w:val="22"/>
        </w:rPr>
        <w:t>e Standard</w:t>
      </w:r>
      <w:r w:rsidR="00B269CB" w:rsidRPr="00431A5F">
        <w:rPr>
          <w:rFonts w:ascii="Times New Roman" w:hAnsi="Times New Roman"/>
          <w:sz w:val="22"/>
          <w:szCs w:val="22"/>
        </w:rPr>
        <w:t>.</w:t>
      </w:r>
    </w:p>
    <w:p w14:paraId="2F8DAAC6" w14:textId="6BE96CBE" w:rsidR="00B269CB" w:rsidRPr="00431A5F" w:rsidRDefault="00B269CB" w:rsidP="00AC3511">
      <w:pPr>
        <w:rPr>
          <w:rFonts w:ascii="Times New Roman" w:hAnsi="Times New Roman"/>
          <w:b/>
          <w:sz w:val="22"/>
          <w:szCs w:val="22"/>
        </w:rPr>
      </w:pPr>
      <w:r w:rsidRPr="00431A5F">
        <w:rPr>
          <w:rFonts w:ascii="Times New Roman" w:hAnsi="Times New Roman"/>
          <w:sz w:val="22"/>
          <w:szCs w:val="22"/>
        </w:rPr>
        <w:t xml:space="preserve">This means that if a customer </w:t>
      </w:r>
      <w:r w:rsidR="002F7BA5" w:rsidRPr="00431A5F">
        <w:rPr>
          <w:rFonts w:ascii="Times New Roman" w:hAnsi="Times New Roman"/>
          <w:sz w:val="22"/>
          <w:szCs w:val="22"/>
        </w:rPr>
        <w:t xml:space="preserve">has made an application for financial hardship assistance and there is no agreement regarding the financial assistance </w:t>
      </w:r>
      <w:r w:rsidR="00FA31B7">
        <w:rPr>
          <w:rFonts w:ascii="Times New Roman" w:hAnsi="Times New Roman"/>
          <w:sz w:val="22"/>
          <w:szCs w:val="22"/>
        </w:rPr>
        <w:t>on</w:t>
      </w:r>
      <w:r w:rsidR="002F7BA5" w:rsidRPr="00431A5F">
        <w:rPr>
          <w:rFonts w:ascii="Times New Roman" w:hAnsi="Times New Roman"/>
          <w:sz w:val="22"/>
          <w:szCs w:val="22"/>
        </w:rPr>
        <w:t xml:space="preserve"> </w:t>
      </w:r>
      <w:r w:rsidR="003B789C">
        <w:rPr>
          <w:rFonts w:ascii="Times New Roman" w:hAnsi="Times New Roman"/>
          <w:sz w:val="22"/>
          <w:szCs w:val="22"/>
        </w:rPr>
        <w:t>commencement of the Standard</w:t>
      </w:r>
      <w:r w:rsidR="002F7BA5" w:rsidRPr="00431A5F">
        <w:rPr>
          <w:rFonts w:ascii="Times New Roman" w:hAnsi="Times New Roman"/>
          <w:sz w:val="22"/>
          <w:szCs w:val="22"/>
        </w:rPr>
        <w:t>, then a CSP must handle the application in accordance with the provisions of th</w:t>
      </w:r>
      <w:r w:rsidR="0085570E">
        <w:rPr>
          <w:rFonts w:ascii="Times New Roman" w:hAnsi="Times New Roman"/>
          <w:sz w:val="22"/>
          <w:szCs w:val="22"/>
        </w:rPr>
        <w:t>e</w:t>
      </w:r>
      <w:r w:rsidR="002F7BA5" w:rsidRPr="00431A5F">
        <w:rPr>
          <w:rFonts w:ascii="Times New Roman" w:hAnsi="Times New Roman"/>
          <w:sz w:val="22"/>
          <w:szCs w:val="22"/>
        </w:rPr>
        <w:t xml:space="preserve"> </w:t>
      </w:r>
      <w:r w:rsidR="00A13356" w:rsidRPr="00431A5F">
        <w:rPr>
          <w:rFonts w:ascii="Times New Roman" w:hAnsi="Times New Roman"/>
          <w:sz w:val="22"/>
          <w:szCs w:val="22"/>
        </w:rPr>
        <w:t>Standard</w:t>
      </w:r>
      <w:r w:rsidR="002F7BA5" w:rsidRPr="00431A5F">
        <w:rPr>
          <w:rFonts w:ascii="Times New Roman" w:hAnsi="Times New Roman"/>
          <w:sz w:val="22"/>
          <w:szCs w:val="22"/>
        </w:rPr>
        <w:t>.</w:t>
      </w:r>
    </w:p>
    <w:p w14:paraId="63A119BA" w14:textId="79A50629" w:rsidR="00AC3511" w:rsidRPr="00431A5F" w:rsidRDefault="00AC3511" w:rsidP="00AC3511">
      <w:pPr>
        <w:rPr>
          <w:rFonts w:ascii="Times New Roman" w:hAnsi="Times New Roman"/>
          <w:b/>
          <w:sz w:val="22"/>
          <w:szCs w:val="22"/>
        </w:rPr>
      </w:pPr>
      <w:r w:rsidRPr="00431A5F">
        <w:rPr>
          <w:rFonts w:ascii="Times New Roman" w:hAnsi="Times New Roman"/>
          <w:b/>
          <w:sz w:val="22"/>
          <w:szCs w:val="22"/>
        </w:rPr>
        <w:t>Section 35</w:t>
      </w:r>
      <w:r w:rsidRPr="00431A5F">
        <w:rPr>
          <w:rFonts w:ascii="Times New Roman" w:hAnsi="Times New Roman"/>
          <w:b/>
          <w:sz w:val="22"/>
          <w:szCs w:val="22"/>
        </w:rPr>
        <w:tab/>
        <w:t>Arrangements for financial hardship</w:t>
      </w:r>
      <w:r w:rsidR="00D84458">
        <w:rPr>
          <w:rFonts w:ascii="Times New Roman" w:hAnsi="Times New Roman"/>
          <w:b/>
          <w:sz w:val="22"/>
          <w:szCs w:val="22"/>
        </w:rPr>
        <w:t xml:space="preserve"> assistance</w:t>
      </w:r>
    </w:p>
    <w:p w14:paraId="3664E2B7" w14:textId="1651463B" w:rsidR="00AC3511" w:rsidRPr="00431A5F" w:rsidRDefault="000922BC" w:rsidP="00AC3511">
      <w:pPr>
        <w:rPr>
          <w:rFonts w:ascii="Times New Roman" w:hAnsi="Times New Roman"/>
          <w:sz w:val="22"/>
          <w:szCs w:val="22"/>
        </w:rPr>
      </w:pPr>
      <w:r w:rsidRPr="00431A5F">
        <w:rPr>
          <w:rFonts w:ascii="Times New Roman" w:hAnsi="Times New Roman"/>
          <w:sz w:val="22"/>
          <w:szCs w:val="22"/>
        </w:rPr>
        <w:t>This section sets out the transitional arrangements for financial hardship arrangements that are in place at the time the Standard commences.</w:t>
      </w:r>
    </w:p>
    <w:p w14:paraId="314BDF5B" w14:textId="35024A1B" w:rsidR="000922BC" w:rsidRPr="00431A5F" w:rsidRDefault="000922BC" w:rsidP="00AC3511">
      <w:pPr>
        <w:rPr>
          <w:rFonts w:ascii="Times New Roman" w:hAnsi="Times New Roman"/>
          <w:sz w:val="22"/>
          <w:szCs w:val="22"/>
        </w:rPr>
      </w:pPr>
      <w:r w:rsidRPr="00431A5F">
        <w:rPr>
          <w:rFonts w:ascii="Times New Roman" w:hAnsi="Times New Roman"/>
          <w:sz w:val="22"/>
          <w:szCs w:val="22"/>
        </w:rPr>
        <w:t>It sets a transitional period of 20 business days during which a CSP must review original financial hardship arrangements against its payment assistance policy establish</w:t>
      </w:r>
      <w:r w:rsidR="00693E1B" w:rsidRPr="00431A5F">
        <w:rPr>
          <w:rFonts w:ascii="Times New Roman" w:hAnsi="Times New Roman"/>
          <w:sz w:val="22"/>
          <w:szCs w:val="22"/>
        </w:rPr>
        <w:t>ed</w:t>
      </w:r>
      <w:r w:rsidRPr="00431A5F">
        <w:rPr>
          <w:rFonts w:ascii="Times New Roman" w:hAnsi="Times New Roman"/>
          <w:sz w:val="22"/>
          <w:szCs w:val="22"/>
        </w:rPr>
        <w:t xml:space="preserve"> under section 7 of the Standard</w:t>
      </w:r>
      <w:r w:rsidR="00AC26F2">
        <w:rPr>
          <w:rFonts w:ascii="Times New Roman" w:hAnsi="Times New Roman"/>
          <w:sz w:val="22"/>
          <w:szCs w:val="22"/>
        </w:rPr>
        <w:t>.</w:t>
      </w:r>
      <w:r w:rsidRPr="00431A5F">
        <w:rPr>
          <w:rFonts w:ascii="Times New Roman" w:hAnsi="Times New Roman"/>
          <w:sz w:val="22"/>
          <w:szCs w:val="22"/>
        </w:rPr>
        <w:t xml:space="preserve"> </w:t>
      </w:r>
      <w:r w:rsidR="00AC26F2">
        <w:rPr>
          <w:rFonts w:ascii="Times New Roman" w:hAnsi="Times New Roman"/>
          <w:sz w:val="22"/>
          <w:szCs w:val="22"/>
        </w:rPr>
        <w:t>W</w:t>
      </w:r>
      <w:r w:rsidRPr="00431A5F">
        <w:rPr>
          <w:rFonts w:ascii="Times New Roman" w:hAnsi="Times New Roman"/>
          <w:sz w:val="22"/>
          <w:szCs w:val="22"/>
        </w:rPr>
        <w:t>here the original arrangement does not comply with the policy</w:t>
      </w:r>
      <w:r w:rsidR="004B318D" w:rsidRPr="00431A5F">
        <w:rPr>
          <w:rFonts w:ascii="Times New Roman" w:hAnsi="Times New Roman"/>
          <w:sz w:val="22"/>
          <w:szCs w:val="22"/>
        </w:rPr>
        <w:t>,</w:t>
      </w:r>
      <w:r w:rsidRPr="00431A5F">
        <w:rPr>
          <w:rFonts w:ascii="Times New Roman" w:hAnsi="Times New Roman"/>
          <w:sz w:val="22"/>
          <w:szCs w:val="22"/>
        </w:rPr>
        <w:t xml:space="preserve"> </w:t>
      </w:r>
      <w:r w:rsidR="00AC26F2">
        <w:rPr>
          <w:rFonts w:ascii="Times New Roman" w:hAnsi="Times New Roman"/>
          <w:sz w:val="22"/>
          <w:szCs w:val="22"/>
        </w:rPr>
        <w:t xml:space="preserve">the CSP must </w:t>
      </w:r>
      <w:r w:rsidRPr="00431A5F">
        <w:rPr>
          <w:rFonts w:ascii="Times New Roman" w:hAnsi="Times New Roman"/>
          <w:sz w:val="22"/>
          <w:szCs w:val="22"/>
        </w:rPr>
        <w:t>make a written offer to the customer</w:t>
      </w:r>
      <w:r w:rsidR="00845424" w:rsidRPr="00431A5F">
        <w:rPr>
          <w:rFonts w:ascii="Times New Roman" w:hAnsi="Times New Roman"/>
          <w:sz w:val="22"/>
          <w:szCs w:val="22"/>
        </w:rPr>
        <w:t xml:space="preserve"> </w:t>
      </w:r>
      <w:r w:rsidR="000323A7">
        <w:rPr>
          <w:rFonts w:ascii="Times New Roman" w:hAnsi="Times New Roman"/>
          <w:sz w:val="22"/>
          <w:szCs w:val="22"/>
        </w:rPr>
        <w:t xml:space="preserve">to replace the original arrangement with a new arrangement for financial hardship assistance </w:t>
      </w:r>
      <w:r w:rsidR="00845424" w:rsidRPr="00431A5F">
        <w:rPr>
          <w:rFonts w:ascii="Times New Roman" w:hAnsi="Times New Roman"/>
          <w:sz w:val="22"/>
          <w:szCs w:val="22"/>
        </w:rPr>
        <w:t>that is consistent with the payment assistance policy.</w:t>
      </w:r>
    </w:p>
    <w:p w14:paraId="0A5B3903" w14:textId="40303115" w:rsidR="00845424" w:rsidRPr="00431A5F" w:rsidRDefault="00845424" w:rsidP="00AC3511">
      <w:pPr>
        <w:rPr>
          <w:rFonts w:ascii="Times New Roman" w:hAnsi="Times New Roman"/>
          <w:sz w:val="22"/>
          <w:szCs w:val="22"/>
        </w:rPr>
      </w:pPr>
      <w:r w:rsidRPr="00431A5F">
        <w:rPr>
          <w:rFonts w:ascii="Times New Roman" w:hAnsi="Times New Roman"/>
          <w:sz w:val="22"/>
          <w:szCs w:val="22"/>
        </w:rPr>
        <w:t>The customer has 10 business days to accept the offer</w:t>
      </w:r>
      <w:r w:rsidR="00D84458">
        <w:rPr>
          <w:rFonts w:ascii="Times New Roman" w:hAnsi="Times New Roman"/>
          <w:sz w:val="22"/>
          <w:szCs w:val="22"/>
        </w:rPr>
        <w:t>.</w:t>
      </w:r>
      <w:r w:rsidR="00AB4152">
        <w:rPr>
          <w:rFonts w:ascii="Times New Roman" w:hAnsi="Times New Roman"/>
          <w:sz w:val="22"/>
          <w:szCs w:val="22"/>
        </w:rPr>
        <w:t xml:space="preserve"> </w:t>
      </w:r>
      <w:r w:rsidR="00D84458">
        <w:rPr>
          <w:rFonts w:ascii="Times New Roman" w:hAnsi="Times New Roman"/>
          <w:sz w:val="22"/>
          <w:szCs w:val="22"/>
        </w:rPr>
        <w:t>I</w:t>
      </w:r>
      <w:r w:rsidR="00AB4152">
        <w:rPr>
          <w:rFonts w:ascii="Times New Roman" w:hAnsi="Times New Roman"/>
          <w:sz w:val="22"/>
          <w:szCs w:val="22"/>
        </w:rPr>
        <w:t xml:space="preserve">f no response is received the customer will be </w:t>
      </w:r>
      <w:r w:rsidR="0058588A">
        <w:rPr>
          <w:rFonts w:ascii="Times New Roman" w:hAnsi="Times New Roman"/>
          <w:sz w:val="22"/>
          <w:szCs w:val="22"/>
        </w:rPr>
        <w:t>taken</w:t>
      </w:r>
      <w:r w:rsidR="00AB4152">
        <w:rPr>
          <w:rFonts w:ascii="Times New Roman" w:hAnsi="Times New Roman"/>
          <w:sz w:val="22"/>
          <w:szCs w:val="22"/>
        </w:rPr>
        <w:t xml:space="preserve"> to have declined the offer</w:t>
      </w:r>
      <w:r w:rsidRPr="00431A5F">
        <w:rPr>
          <w:rFonts w:ascii="Times New Roman" w:hAnsi="Times New Roman"/>
          <w:sz w:val="22"/>
          <w:szCs w:val="22"/>
        </w:rPr>
        <w:t>.</w:t>
      </w:r>
    </w:p>
    <w:p w14:paraId="4EA0EBA4" w14:textId="0CDB40B2" w:rsidR="00845424" w:rsidRPr="00431A5F" w:rsidRDefault="00845424" w:rsidP="00AC3511">
      <w:pPr>
        <w:rPr>
          <w:rFonts w:ascii="Times New Roman" w:hAnsi="Times New Roman"/>
          <w:sz w:val="22"/>
          <w:szCs w:val="22"/>
        </w:rPr>
      </w:pPr>
      <w:r w:rsidRPr="00431A5F">
        <w:rPr>
          <w:rFonts w:ascii="Times New Roman" w:hAnsi="Times New Roman"/>
          <w:sz w:val="22"/>
          <w:szCs w:val="22"/>
        </w:rPr>
        <w:lastRenderedPageBreak/>
        <w:t xml:space="preserve">This provision is intended to ensure that customers with financial hardship arrangements that were made before the introduction of the Standard are not disadvantaged when compared with those who seek assistance after its commencement.  </w:t>
      </w:r>
    </w:p>
    <w:p w14:paraId="169CE8FC" w14:textId="77777777" w:rsidR="000922BC" w:rsidRPr="00431A5F" w:rsidRDefault="000922BC" w:rsidP="00AC3511">
      <w:pPr>
        <w:rPr>
          <w:rFonts w:ascii="Times New Roman" w:hAnsi="Times New Roman"/>
          <w:b/>
          <w:sz w:val="22"/>
          <w:szCs w:val="22"/>
        </w:rPr>
      </w:pPr>
    </w:p>
    <w:p w14:paraId="5E18FBDC" w14:textId="77777777" w:rsidR="004B5D72" w:rsidRPr="00431A5F" w:rsidRDefault="004B5D72">
      <w:pPr>
        <w:rPr>
          <w:rFonts w:ascii="Times New Roman" w:hAnsi="Times New Roman"/>
          <w:sz w:val="22"/>
          <w:szCs w:val="22"/>
        </w:rPr>
      </w:pPr>
    </w:p>
    <w:p w14:paraId="7F0FA88B" w14:textId="4C5D362D" w:rsidR="00CB3AD5" w:rsidRPr="00641906" w:rsidRDefault="00641906" w:rsidP="00641906">
      <w:pPr>
        <w:jc w:val="right"/>
        <w:rPr>
          <w:rFonts w:ascii="Times New Roman" w:hAnsi="Times New Roman"/>
          <w:b/>
          <w:sz w:val="28"/>
          <w:szCs w:val="28"/>
        </w:rPr>
      </w:pPr>
      <w:r w:rsidRPr="00431A5F">
        <w:rPr>
          <w:rFonts w:ascii="Times New Roman" w:hAnsi="Times New Roman"/>
          <w:sz w:val="22"/>
          <w:szCs w:val="22"/>
        </w:rPr>
        <w:br w:type="page"/>
      </w:r>
      <w:r w:rsidR="00CB3AD5" w:rsidRPr="00641906">
        <w:rPr>
          <w:rFonts w:ascii="Times New Roman" w:hAnsi="Times New Roman"/>
          <w:b/>
          <w:sz w:val="28"/>
          <w:szCs w:val="28"/>
        </w:rPr>
        <w:lastRenderedPageBreak/>
        <w:t>Attachment B</w:t>
      </w:r>
    </w:p>
    <w:p w14:paraId="270B7D5B" w14:textId="77777777" w:rsidR="00CB3AD5" w:rsidRPr="00641906" w:rsidRDefault="00CB3AD5" w:rsidP="00CB3AD5">
      <w:pPr>
        <w:jc w:val="center"/>
        <w:rPr>
          <w:rFonts w:ascii="Times New Roman" w:hAnsi="Times New Roman"/>
          <w:b/>
          <w:sz w:val="28"/>
          <w:szCs w:val="28"/>
        </w:rPr>
      </w:pPr>
      <w:r w:rsidRPr="00641906">
        <w:rPr>
          <w:rFonts w:ascii="Times New Roman" w:hAnsi="Times New Roman"/>
          <w:b/>
          <w:sz w:val="28"/>
          <w:szCs w:val="28"/>
        </w:rPr>
        <w:t>Statement of compatibility with human rights</w:t>
      </w:r>
    </w:p>
    <w:p w14:paraId="4365B533" w14:textId="6DB2787B" w:rsidR="00CB3AD5" w:rsidRPr="00431A5F" w:rsidRDefault="00CB3AD5" w:rsidP="00CB3AD5">
      <w:pPr>
        <w:jc w:val="center"/>
        <w:rPr>
          <w:rFonts w:ascii="Times New Roman" w:hAnsi="Times New Roman"/>
          <w:i/>
          <w:sz w:val="22"/>
          <w:szCs w:val="22"/>
        </w:rPr>
      </w:pPr>
      <w:r w:rsidRPr="00431A5F">
        <w:rPr>
          <w:rFonts w:ascii="Times New Roman" w:hAnsi="Times New Roman"/>
          <w:sz w:val="22"/>
          <w:szCs w:val="22"/>
        </w:rPr>
        <w:t xml:space="preserve">Prepared </w:t>
      </w:r>
      <w:r w:rsidR="00AF6545" w:rsidRPr="00431A5F">
        <w:rPr>
          <w:rFonts w:ascii="Times New Roman" w:hAnsi="Times New Roman"/>
          <w:sz w:val="22"/>
          <w:szCs w:val="22"/>
        </w:rPr>
        <w:t xml:space="preserve">by the Australian Communications and Media Authority </w:t>
      </w:r>
      <w:r w:rsidRPr="00431A5F">
        <w:rPr>
          <w:rFonts w:ascii="Times New Roman" w:hAnsi="Times New Roman"/>
          <w:sz w:val="22"/>
          <w:szCs w:val="22"/>
        </w:rPr>
        <w:t xml:space="preserve">under subsection 9(1) of the </w:t>
      </w:r>
      <w:r w:rsidRPr="00431A5F">
        <w:rPr>
          <w:rFonts w:ascii="Times New Roman" w:hAnsi="Times New Roman"/>
          <w:i/>
          <w:sz w:val="22"/>
          <w:szCs w:val="22"/>
        </w:rPr>
        <w:t>Human Rights (Parliamentary Scrutiny) Act 2011</w:t>
      </w:r>
    </w:p>
    <w:p w14:paraId="54EEB575" w14:textId="011504E1" w:rsidR="001D2004" w:rsidRPr="00431A5F" w:rsidRDefault="00712783" w:rsidP="00B7224F">
      <w:pPr>
        <w:jc w:val="center"/>
        <w:rPr>
          <w:rFonts w:ascii="Times New Roman" w:hAnsi="Times New Roman"/>
          <w:b/>
          <w:sz w:val="22"/>
          <w:szCs w:val="22"/>
        </w:rPr>
      </w:pPr>
      <w:r w:rsidRPr="00431A5F">
        <w:rPr>
          <w:rFonts w:ascii="Times New Roman" w:hAnsi="Times New Roman"/>
          <w:i/>
          <w:sz w:val="22"/>
          <w:szCs w:val="22"/>
        </w:rPr>
        <w:t>Telecommunications (Financial Hardship) Industry Standard 2024</w:t>
      </w:r>
      <w:r w:rsidRPr="00431A5F">
        <w:rPr>
          <w:rFonts w:ascii="Times New Roman" w:hAnsi="Times New Roman"/>
          <w:b/>
          <w:sz w:val="22"/>
          <w:szCs w:val="22"/>
        </w:rPr>
        <w:t xml:space="preserve"> </w:t>
      </w:r>
    </w:p>
    <w:p w14:paraId="64B42DD5" w14:textId="0AED8D10" w:rsidR="001D2004" w:rsidRPr="00431A5F" w:rsidRDefault="001D2004" w:rsidP="00C87C4D">
      <w:pPr>
        <w:spacing w:before="120" w:after="0" w:line="240" w:lineRule="auto"/>
        <w:rPr>
          <w:rFonts w:ascii="Times New Roman" w:hAnsi="Times New Roman"/>
          <w:sz w:val="22"/>
          <w:szCs w:val="22"/>
        </w:rPr>
      </w:pPr>
      <w:r w:rsidRPr="00431A5F">
        <w:rPr>
          <w:rFonts w:ascii="Times New Roman" w:hAnsi="Times New Roman"/>
          <w:sz w:val="22"/>
          <w:szCs w:val="22"/>
        </w:rPr>
        <w:t xml:space="preserve">Subsection 9(1) of the </w:t>
      </w:r>
      <w:r w:rsidRPr="00431A5F">
        <w:rPr>
          <w:rFonts w:ascii="Times New Roman" w:hAnsi="Times New Roman"/>
          <w:i/>
          <w:sz w:val="22"/>
          <w:szCs w:val="22"/>
        </w:rPr>
        <w:t>Human Rights (Parliamentary Scrutiny) Act 2011</w:t>
      </w:r>
      <w:r w:rsidRPr="00431A5F">
        <w:rPr>
          <w:rFonts w:ascii="Times New Roman" w:hAnsi="Times New Roman"/>
          <w:sz w:val="22"/>
          <w:szCs w:val="22"/>
        </w:rPr>
        <w:t xml:space="preserve"> requires the rule-maker in relation to a legislative instrument to which section 42 (disallowance) of the </w:t>
      </w:r>
      <w:r w:rsidRPr="00431A5F">
        <w:rPr>
          <w:rFonts w:ascii="Times New Roman" w:hAnsi="Times New Roman"/>
          <w:i/>
          <w:iCs/>
          <w:sz w:val="22"/>
          <w:szCs w:val="22"/>
        </w:rPr>
        <w:t>L</w:t>
      </w:r>
      <w:r w:rsidR="00513114" w:rsidRPr="00431A5F">
        <w:rPr>
          <w:rFonts w:ascii="Times New Roman" w:hAnsi="Times New Roman"/>
          <w:i/>
          <w:iCs/>
          <w:sz w:val="22"/>
          <w:szCs w:val="22"/>
        </w:rPr>
        <w:t>egis</w:t>
      </w:r>
      <w:r w:rsidR="00061472" w:rsidRPr="00431A5F">
        <w:rPr>
          <w:rFonts w:ascii="Times New Roman" w:hAnsi="Times New Roman"/>
          <w:i/>
          <w:iCs/>
          <w:sz w:val="22"/>
          <w:szCs w:val="22"/>
        </w:rPr>
        <w:t xml:space="preserve">lation </w:t>
      </w:r>
      <w:r w:rsidRPr="00431A5F">
        <w:rPr>
          <w:rFonts w:ascii="Times New Roman" w:hAnsi="Times New Roman"/>
          <w:i/>
          <w:iCs/>
          <w:sz w:val="22"/>
          <w:szCs w:val="22"/>
        </w:rPr>
        <w:t>A</w:t>
      </w:r>
      <w:r w:rsidR="00061472" w:rsidRPr="00431A5F">
        <w:rPr>
          <w:rFonts w:ascii="Times New Roman" w:hAnsi="Times New Roman"/>
          <w:i/>
          <w:iCs/>
          <w:sz w:val="22"/>
          <w:szCs w:val="22"/>
        </w:rPr>
        <w:t>ct</w:t>
      </w:r>
      <w:r w:rsidR="00AD3BC7" w:rsidRPr="00431A5F">
        <w:rPr>
          <w:rFonts w:ascii="Times New Roman" w:hAnsi="Times New Roman"/>
          <w:i/>
          <w:iCs/>
          <w:sz w:val="22"/>
          <w:szCs w:val="22"/>
        </w:rPr>
        <w:t xml:space="preserve"> 2003</w:t>
      </w:r>
      <w:r w:rsidRPr="00431A5F">
        <w:rPr>
          <w:rFonts w:ascii="Times New Roman" w:hAnsi="Times New Roman"/>
          <w:sz w:val="22"/>
          <w:szCs w:val="22"/>
        </w:rPr>
        <w:t xml:space="preserve"> applies to cause a statement of compatibility with human rights to be prepared in respect of that legislative instrument.</w:t>
      </w:r>
    </w:p>
    <w:p w14:paraId="6F4F2688" w14:textId="77777777" w:rsidR="001D2004" w:rsidRPr="00431A5F" w:rsidRDefault="001D2004" w:rsidP="00C87C4D">
      <w:pPr>
        <w:spacing w:before="120" w:after="0" w:line="240" w:lineRule="auto"/>
        <w:rPr>
          <w:rFonts w:ascii="Times New Roman" w:hAnsi="Times New Roman"/>
          <w:sz w:val="22"/>
          <w:szCs w:val="22"/>
        </w:rPr>
      </w:pPr>
      <w:r w:rsidRPr="00431A5F">
        <w:rPr>
          <w:rFonts w:ascii="Times New Roman" w:hAnsi="Times New Roman"/>
          <w:sz w:val="22"/>
          <w:szCs w:val="22"/>
        </w:rPr>
        <w:t>The statement of compatibility set out below has been prepared to meet that requirement.</w:t>
      </w:r>
    </w:p>
    <w:p w14:paraId="4A862DA9" w14:textId="1414D046" w:rsidR="001D2004" w:rsidRPr="00431A5F" w:rsidRDefault="001D2004" w:rsidP="00C87C4D">
      <w:pPr>
        <w:spacing w:before="120" w:after="0" w:line="240" w:lineRule="auto"/>
        <w:rPr>
          <w:rFonts w:ascii="Times New Roman" w:hAnsi="Times New Roman"/>
          <w:b/>
          <w:i/>
          <w:sz w:val="22"/>
          <w:szCs w:val="22"/>
        </w:rPr>
      </w:pPr>
      <w:r w:rsidRPr="00431A5F">
        <w:rPr>
          <w:rFonts w:ascii="Times New Roman" w:hAnsi="Times New Roman"/>
          <w:b/>
          <w:i/>
          <w:sz w:val="22"/>
          <w:szCs w:val="22"/>
        </w:rPr>
        <w:t xml:space="preserve">Overview of the </w:t>
      </w:r>
      <w:r w:rsidR="004961DB" w:rsidRPr="00431A5F">
        <w:rPr>
          <w:rFonts w:ascii="Times New Roman" w:hAnsi="Times New Roman"/>
          <w:b/>
          <w:i/>
          <w:sz w:val="22"/>
          <w:szCs w:val="22"/>
        </w:rPr>
        <w:t>Standard</w:t>
      </w:r>
    </w:p>
    <w:p w14:paraId="053BA406" w14:textId="72DD0204" w:rsidR="00A945FB" w:rsidRPr="00431A5F" w:rsidRDefault="004B2121" w:rsidP="00C87C4D">
      <w:pPr>
        <w:spacing w:before="120" w:after="0" w:line="240" w:lineRule="auto"/>
        <w:rPr>
          <w:rFonts w:ascii="Times New Roman" w:hAnsi="Times New Roman"/>
          <w:iCs/>
          <w:sz w:val="22"/>
          <w:szCs w:val="22"/>
        </w:rPr>
      </w:pPr>
      <w:r w:rsidRPr="00431A5F">
        <w:rPr>
          <w:rFonts w:ascii="Times New Roman" w:hAnsi="Times New Roman"/>
          <w:bCs/>
          <w:iCs/>
          <w:sz w:val="22"/>
          <w:szCs w:val="22"/>
        </w:rPr>
        <w:t>The</w:t>
      </w:r>
      <w:r w:rsidR="00712783" w:rsidRPr="00431A5F">
        <w:rPr>
          <w:rFonts w:ascii="Times New Roman" w:hAnsi="Times New Roman"/>
          <w:bCs/>
          <w:iCs/>
          <w:sz w:val="22"/>
          <w:szCs w:val="22"/>
        </w:rPr>
        <w:t xml:space="preserve"> </w:t>
      </w:r>
      <w:r w:rsidR="00712783" w:rsidRPr="00431A5F">
        <w:rPr>
          <w:rFonts w:ascii="Times New Roman" w:hAnsi="Times New Roman"/>
          <w:i/>
          <w:sz w:val="22"/>
          <w:szCs w:val="22"/>
        </w:rPr>
        <w:t xml:space="preserve">Telecommunications (Financial Hardship) Industry Standard 2024 </w:t>
      </w:r>
      <w:r w:rsidR="00712783" w:rsidRPr="00431A5F">
        <w:rPr>
          <w:rFonts w:ascii="Times New Roman" w:hAnsi="Times New Roman"/>
          <w:sz w:val="22"/>
          <w:szCs w:val="22"/>
        </w:rPr>
        <w:t>(</w:t>
      </w:r>
      <w:r w:rsidR="00712783" w:rsidRPr="00431A5F">
        <w:rPr>
          <w:rFonts w:ascii="Times New Roman" w:hAnsi="Times New Roman"/>
          <w:bCs/>
          <w:sz w:val="22"/>
          <w:szCs w:val="22"/>
        </w:rPr>
        <w:t>the</w:t>
      </w:r>
      <w:r w:rsidRPr="00431A5F">
        <w:rPr>
          <w:rFonts w:ascii="Times New Roman" w:hAnsi="Times New Roman"/>
          <w:bCs/>
          <w:iCs/>
          <w:sz w:val="22"/>
          <w:szCs w:val="22"/>
        </w:rPr>
        <w:t xml:space="preserve"> </w:t>
      </w:r>
      <w:r w:rsidRPr="00431A5F">
        <w:rPr>
          <w:rFonts w:ascii="Times New Roman" w:hAnsi="Times New Roman"/>
          <w:b/>
          <w:iCs/>
          <w:sz w:val="22"/>
          <w:szCs w:val="22"/>
        </w:rPr>
        <w:t>Standard</w:t>
      </w:r>
      <w:r w:rsidR="00712783" w:rsidRPr="00431A5F">
        <w:rPr>
          <w:rFonts w:ascii="Times New Roman" w:hAnsi="Times New Roman"/>
          <w:bCs/>
          <w:iCs/>
          <w:sz w:val="22"/>
          <w:szCs w:val="22"/>
        </w:rPr>
        <w:t>)</w:t>
      </w:r>
      <w:r w:rsidRPr="00431A5F">
        <w:rPr>
          <w:rFonts w:ascii="Times New Roman" w:hAnsi="Times New Roman"/>
          <w:bCs/>
          <w:iCs/>
          <w:sz w:val="22"/>
          <w:szCs w:val="22"/>
        </w:rPr>
        <w:t xml:space="preserve"> has been made</w:t>
      </w:r>
      <w:r w:rsidR="00FD6E15" w:rsidRPr="00431A5F">
        <w:rPr>
          <w:rFonts w:ascii="Times New Roman" w:hAnsi="Times New Roman"/>
          <w:bCs/>
          <w:iCs/>
          <w:sz w:val="22"/>
          <w:szCs w:val="22"/>
        </w:rPr>
        <w:t xml:space="preserve"> in accordance with the requirements set out in</w:t>
      </w:r>
      <w:r w:rsidR="001D0EFD" w:rsidRPr="00431A5F">
        <w:rPr>
          <w:rFonts w:ascii="Times New Roman" w:hAnsi="Times New Roman"/>
          <w:bCs/>
          <w:iCs/>
          <w:sz w:val="22"/>
          <w:szCs w:val="22"/>
        </w:rPr>
        <w:t xml:space="preserve"> section 125AA of the </w:t>
      </w:r>
      <w:r w:rsidR="001D0EFD" w:rsidRPr="00431A5F">
        <w:rPr>
          <w:rFonts w:ascii="Times New Roman" w:hAnsi="Times New Roman"/>
          <w:i/>
          <w:iCs/>
          <w:sz w:val="22"/>
          <w:szCs w:val="22"/>
        </w:rPr>
        <w:t>Telecommunications Act 1997</w:t>
      </w:r>
      <w:r w:rsidR="001D0EFD" w:rsidRPr="00431A5F">
        <w:rPr>
          <w:rFonts w:ascii="Times New Roman" w:hAnsi="Times New Roman"/>
          <w:sz w:val="22"/>
          <w:szCs w:val="22"/>
        </w:rPr>
        <w:t xml:space="preserve"> </w:t>
      </w:r>
      <w:r w:rsidR="00C81D1C" w:rsidRPr="00431A5F">
        <w:rPr>
          <w:rFonts w:ascii="Times New Roman" w:hAnsi="Times New Roman"/>
          <w:bCs/>
          <w:iCs/>
          <w:sz w:val="22"/>
          <w:szCs w:val="22"/>
        </w:rPr>
        <w:t>and the</w:t>
      </w:r>
      <w:r w:rsidR="00FD6E15" w:rsidRPr="00431A5F">
        <w:rPr>
          <w:rFonts w:ascii="Times New Roman" w:hAnsi="Times New Roman"/>
          <w:bCs/>
          <w:iCs/>
          <w:sz w:val="22"/>
          <w:szCs w:val="22"/>
        </w:rPr>
        <w:t xml:space="preserve"> </w:t>
      </w:r>
      <w:r w:rsidR="00B92452" w:rsidRPr="00431A5F">
        <w:rPr>
          <w:rFonts w:ascii="Times New Roman" w:hAnsi="Times New Roman"/>
          <w:i/>
          <w:sz w:val="22"/>
          <w:szCs w:val="22"/>
        </w:rPr>
        <w:t>Telecommunications (Financial Hardship Industry Standard) Direction 2023</w:t>
      </w:r>
      <w:r w:rsidR="00AE598E" w:rsidRPr="00431A5F">
        <w:rPr>
          <w:rFonts w:ascii="Times New Roman" w:hAnsi="Times New Roman"/>
          <w:i/>
          <w:sz w:val="22"/>
          <w:szCs w:val="22"/>
        </w:rPr>
        <w:t xml:space="preserve"> </w:t>
      </w:r>
      <w:r w:rsidR="00AE598E" w:rsidRPr="00431A5F">
        <w:rPr>
          <w:rFonts w:ascii="Times New Roman" w:hAnsi="Times New Roman"/>
          <w:iCs/>
          <w:sz w:val="22"/>
          <w:szCs w:val="22"/>
        </w:rPr>
        <w:t>(</w:t>
      </w:r>
      <w:r w:rsidR="00B22808">
        <w:rPr>
          <w:rFonts w:ascii="Times New Roman" w:hAnsi="Times New Roman"/>
          <w:iCs/>
          <w:sz w:val="22"/>
          <w:szCs w:val="22"/>
        </w:rPr>
        <w:t xml:space="preserve">the </w:t>
      </w:r>
      <w:r w:rsidR="002E28B2" w:rsidRPr="00431A5F">
        <w:rPr>
          <w:rFonts w:ascii="Times New Roman" w:hAnsi="Times New Roman"/>
          <w:b/>
          <w:bCs/>
          <w:iCs/>
          <w:sz w:val="22"/>
          <w:szCs w:val="22"/>
        </w:rPr>
        <w:t>Direction</w:t>
      </w:r>
      <w:r w:rsidR="002E28B2" w:rsidRPr="00431A5F">
        <w:rPr>
          <w:rFonts w:ascii="Times New Roman" w:hAnsi="Times New Roman"/>
          <w:iCs/>
          <w:sz w:val="22"/>
          <w:szCs w:val="22"/>
        </w:rPr>
        <w:t>)</w:t>
      </w:r>
      <w:r w:rsidR="00C81D1C" w:rsidRPr="00431A5F">
        <w:rPr>
          <w:rFonts w:ascii="Times New Roman" w:hAnsi="Times New Roman"/>
          <w:iCs/>
          <w:sz w:val="22"/>
          <w:szCs w:val="22"/>
        </w:rPr>
        <w:t xml:space="preserve">. It </w:t>
      </w:r>
      <w:r w:rsidR="00355473" w:rsidRPr="00431A5F">
        <w:rPr>
          <w:rFonts w:ascii="Times New Roman" w:hAnsi="Times New Roman"/>
          <w:iCs/>
          <w:sz w:val="22"/>
          <w:szCs w:val="22"/>
        </w:rPr>
        <w:t xml:space="preserve">is drafted to </w:t>
      </w:r>
      <w:r w:rsidR="00BA056C">
        <w:rPr>
          <w:rFonts w:ascii="Times New Roman" w:hAnsi="Times New Roman"/>
          <w:iCs/>
          <w:sz w:val="22"/>
          <w:szCs w:val="22"/>
        </w:rPr>
        <w:t xml:space="preserve">meet the </w:t>
      </w:r>
      <w:r w:rsidR="00C84EEF">
        <w:rPr>
          <w:rFonts w:ascii="Times New Roman" w:hAnsi="Times New Roman"/>
          <w:iCs/>
          <w:sz w:val="22"/>
          <w:szCs w:val="22"/>
        </w:rPr>
        <w:t>requirements</w:t>
      </w:r>
      <w:r w:rsidR="00BA056C">
        <w:rPr>
          <w:rFonts w:ascii="Times New Roman" w:hAnsi="Times New Roman"/>
          <w:iCs/>
          <w:sz w:val="22"/>
          <w:szCs w:val="22"/>
        </w:rPr>
        <w:t xml:space="preserve"> </w:t>
      </w:r>
      <w:r w:rsidR="00B84F20">
        <w:rPr>
          <w:rFonts w:ascii="Times New Roman" w:hAnsi="Times New Roman"/>
          <w:iCs/>
          <w:sz w:val="22"/>
          <w:szCs w:val="22"/>
        </w:rPr>
        <w:t xml:space="preserve">and objectives </w:t>
      </w:r>
      <w:r w:rsidR="00BA056C">
        <w:rPr>
          <w:rFonts w:ascii="Times New Roman" w:hAnsi="Times New Roman"/>
          <w:iCs/>
          <w:sz w:val="22"/>
          <w:szCs w:val="22"/>
        </w:rPr>
        <w:t>in sectio</w:t>
      </w:r>
      <w:r w:rsidR="00A20A08">
        <w:rPr>
          <w:rFonts w:ascii="Times New Roman" w:hAnsi="Times New Roman"/>
          <w:iCs/>
          <w:sz w:val="22"/>
          <w:szCs w:val="22"/>
        </w:rPr>
        <w:t>ns 5</w:t>
      </w:r>
      <w:r w:rsidR="00B84F20">
        <w:rPr>
          <w:rFonts w:ascii="Times New Roman" w:hAnsi="Times New Roman"/>
          <w:iCs/>
          <w:sz w:val="22"/>
          <w:szCs w:val="22"/>
        </w:rPr>
        <w:t xml:space="preserve">, </w:t>
      </w:r>
      <w:r w:rsidR="00A20A08">
        <w:rPr>
          <w:rFonts w:ascii="Times New Roman" w:hAnsi="Times New Roman"/>
          <w:iCs/>
          <w:sz w:val="22"/>
          <w:szCs w:val="22"/>
        </w:rPr>
        <w:t xml:space="preserve">6 </w:t>
      </w:r>
      <w:r w:rsidR="00B84F20">
        <w:rPr>
          <w:rFonts w:ascii="Times New Roman" w:hAnsi="Times New Roman"/>
          <w:iCs/>
          <w:sz w:val="22"/>
          <w:szCs w:val="22"/>
        </w:rPr>
        <w:t xml:space="preserve">and 7 </w:t>
      </w:r>
      <w:r w:rsidR="00A20A08">
        <w:rPr>
          <w:rFonts w:ascii="Times New Roman" w:hAnsi="Times New Roman"/>
          <w:iCs/>
          <w:sz w:val="22"/>
          <w:szCs w:val="22"/>
        </w:rPr>
        <w:t>of the Direction</w:t>
      </w:r>
      <w:r w:rsidR="007D494B" w:rsidRPr="00431A5F">
        <w:rPr>
          <w:rFonts w:ascii="Times New Roman" w:hAnsi="Times New Roman"/>
          <w:iCs/>
          <w:sz w:val="22"/>
          <w:szCs w:val="22"/>
        </w:rPr>
        <w:t>.</w:t>
      </w:r>
      <w:r w:rsidR="00271742" w:rsidRPr="00431A5F">
        <w:rPr>
          <w:rFonts w:ascii="Times New Roman" w:hAnsi="Times New Roman"/>
          <w:iCs/>
          <w:sz w:val="22"/>
          <w:szCs w:val="22"/>
        </w:rPr>
        <w:t xml:space="preserve"> In broad terms, </w:t>
      </w:r>
      <w:r w:rsidR="001E33E3" w:rsidRPr="00431A5F">
        <w:rPr>
          <w:rFonts w:ascii="Times New Roman" w:hAnsi="Times New Roman"/>
          <w:iCs/>
          <w:sz w:val="22"/>
          <w:szCs w:val="22"/>
        </w:rPr>
        <w:t xml:space="preserve">those </w:t>
      </w:r>
      <w:r w:rsidR="00A20A08">
        <w:rPr>
          <w:rFonts w:ascii="Times New Roman" w:hAnsi="Times New Roman"/>
          <w:iCs/>
          <w:sz w:val="22"/>
          <w:szCs w:val="22"/>
        </w:rPr>
        <w:t xml:space="preserve">requirements and </w:t>
      </w:r>
      <w:r w:rsidR="001E33E3" w:rsidRPr="00431A5F">
        <w:rPr>
          <w:rFonts w:ascii="Times New Roman" w:hAnsi="Times New Roman"/>
          <w:iCs/>
          <w:sz w:val="22"/>
          <w:szCs w:val="22"/>
        </w:rPr>
        <w:t xml:space="preserve">objectives </w:t>
      </w:r>
      <w:r w:rsidR="00B975E7" w:rsidRPr="00431A5F">
        <w:rPr>
          <w:rFonts w:ascii="Times New Roman" w:hAnsi="Times New Roman"/>
          <w:iCs/>
          <w:sz w:val="22"/>
          <w:szCs w:val="22"/>
        </w:rPr>
        <w:t>are</w:t>
      </w:r>
      <w:r w:rsidR="00EE13E8" w:rsidRPr="00431A5F">
        <w:rPr>
          <w:rFonts w:ascii="Times New Roman" w:hAnsi="Times New Roman"/>
          <w:iCs/>
          <w:sz w:val="22"/>
          <w:szCs w:val="22"/>
        </w:rPr>
        <w:t xml:space="preserve"> to ensure</w:t>
      </w:r>
      <w:r w:rsidR="008705B9" w:rsidRPr="00431A5F">
        <w:rPr>
          <w:rFonts w:ascii="Times New Roman" w:hAnsi="Times New Roman"/>
          <w:iCs/>
          <w:sz w:val="22"/>
          <w:szCs w:val="22"/>
        </w:rPr>
        <w:t xml:space="preserve"> carriage service providers</w:t>
      </w:r>
      <w:r w:rsidR="00EE13E8" w:rsidRPr="00431A5F">
        <w:rPr>
          <w:rFonts w:ascii="Times New Roman" w:hAnsi="Times New Roman"/>
          <w:iCs/>
          <w:sz w:val="22"/>
          <w:szCs w:val="22"/>
        </w:rPr>
        <w:t xml:space="preserve"> </w:t>
      </w:r>
      <w:r w:rsidR="00712783" w:rsidRPr="00431A5F">
        <w:rPr>
          <w:rFonts w:ascii="Times New Roman" w:hAnsi="Times New Roman"/>
          <w:iCs/>
          <w:sz w:val="22"/>
          <w:szCs w:val="22"/>
        </w:rPr>
        <w:t>(</w:t>
      </w:r>
      <w:r w:rsidR="00712783" w:rsidRPr="00431A5F">
        <w:rPr>
          <w:rFonts w:ascii="Times New Roman" w:hAnsi="Times New Roman"/>
          <w:b/>
          <w:bCs/>
          <w:iCs/>
          <w:sz w:val="22"/>
          <w:szCs w:val="22"/>
        </w:rPr>
        <w:t>CSPs</w:t>
      </w:r>
      <w:r w:rsidR="00712783" w:rsidRPr="00431A5F">
        <w:rPr>
          <w:rFonts w:ascii="Times New Roman" w:hAnsi="Times New Roman"/>
          <w:iCs/>
          <w:sz w:val="22"/>
          <w:szCs w:val="22"/>
        </w:rPr>
        <w:t xml:space="preserve">) </w:t>
      </w:r>
      <w:r w:rsidR="00EE13E8" w:rsidRPr="00431A5F">
        <w:rPr>
          <w:rFonts w:ascii="Times New Roman" w:hAnsi="Times New Roman"/>
          <w:iCs/>
          <w:sz w:val="22"/>
          <w:szCs w:val="22"/>
        </w:rPr>
        <w:t>proactively provide information and assistance to customers who are, or may be</w:t>
      </w:r>
      <w:r w:rsidR="00C772B6" w:rsidRPr="00431A5F">
        <w:rPr>
          <w:rFonts w:ascii="Times New Roman" w:hAnsi="Times New Roman"/>
          <w:iCs/>
          <w:sz w:val="22"/>
          <w:szCs w:val="22"/>
        </w:rPr>
        <w:t>, experiencing financial hardship</w:t>
      </w:r>
      <w:r w:rsidR="00802372" w:rsidRPr="00431A5F">
        <w:rPr>
          <w:rFonts w:ascii="Times New Roman" w:hAnsi="Times New Roman"/>
          <w:iCs/>
          <w:sz w:val="22"/>
          <w:szCs w:val="22"/>
        </w:rPr>
        <w:t xml:space="preserve">, having regard to the essential nature of </w:t>
      </w:r>
      <w:r w:rsidR="0046537D" w:rsidRPr="00431A5F">
        <w:rPr>
          <w:rFonts w:ascii="Times New Roman" w:hAnsi="Times New Roman"/>
          <w:iCs/>
          <w:sz w:val="22"/>
          <w:szCs w:val="22"/>
        </w:rPr>
        <w:t>telecommunication</w:t>
      </w:r>
      <w:r w:rsidR="00802372" w:rsidRPr="00431A5F">
        <w:rPr>
          <w:rFonts w:ascii="Times New Roman" w:hAnsi="Times New Roman"/>
          <w:iCs/>
          <w:sz w:val="22"/>
          <w:szCs w:val="22"/>
        </w:rPr>
        <w:t xml:space="preserve"> services.</w:t>
      </w:r>
      <w:r w:rsidR="008705B9" w:rsidRPr="00431A5F">
        <w:rPr>
          <w:rFonts w:ascii="Times New Roman" w:hAnsi="Times New Roman"/>
          <w:iCs/>
          <w:sz w:val="22"/>
          <w:szCs w:val="22"/>
        </w:rPr>
        <w:t xml:space="preserve"> </w:t>
      </w:r>
    </w:p>
    <w:p w14:paraId="0C091C61" w14:textId="388A740E" w:rsidR="004B2121" w:rsidRPr="00431A5F" w:rsidRDefault="00802372" w:rsidP="00C87C4D">
      <w:pPr>
        <w:spacing w:before="120" w:after="0" w:line="240" w:lineRule="auto"/>
        <w:rPr>
          <w:rFonts w:ascii="Times New Roman" w:hAnsi="Times New Roman"/>
          <w:bCs/>
          <w:iCs/>
          <w:sz w:val="22"/>
          <w:szCs w:val="22"/>
        </w:rPr>
      </w:pPr>
      <w:r w:rsidRPr="00431A5F">
        <w:rPr>
          <w:rFonts w:ascii="Times New Roman" w:hAnsi="Times New Roman"/>
          <w:iCs/>
          <w:sz w:val="22"/>
          <w:szCs w:val="22"/>
        </w:rPr>
        <w:t>T</w:t>
      </w:r>
      <w:r w:rsidR="00B33F49" w:rsidRPr="00431A5F">
        <w:rPr>
          <w:rFonts w:ascii="Times New Roman" w:hAnsi="Times New Roman"/>
          <w:iCs/>
          <w:sz w:val="22"/>
          <w:szCs w:val="22"/>
        </w:rPr>
        <w:t xml:space="preserve">he Standard </w:t>
      </w:r>
      <w:r w:rsidR="00A3039E" w:rsidRPr="00431A5F">
        <w:rPr>
          <w:rFonts w:ascii="Times New Roman" w:hAnsi="Times New Roman"/>
          <w:iCs/>
          <w:sz w:val="22"/>
          <w:szCs w:val="22"/>
        </w:rPr>
        <w:t xml:space="preserve">applies to </w:t>
      </w:r>
      <w:r w:rsidR="000B35BC">
        <w:rPr>
          <w:rFonts w:ascii="Times New Roman" w:hAnsi="Times New Roman"/>
          <w:iCs/>
          <w:sz w:val="22"/>
          <w:szCs w:val="22"/>
        </w:rPr>
        <w:t>CSPs</w:t>
      </w:r>
      <w:r w:rsidR="008B01F8" w:rsidRPr="00431A5F">
        <w:rPr>
          <w:rFonts w:ascii="Times New Roman" w:hAnsi="Times New Roman"/>
          <w:iCs/>
          <w:sz w:val="22"/>
          <w:szCs w:val="22"/>
        </w:rPr>
        <w:t xml:space="preserve"> in their dealings with residential, small business and not-for-pr</w:t>
      </w:r>
      <w:r w:rsidR="00712783" w:rsidRPr="00431A5F">
        <w:rPr>
          <w:rFonts w:ascii="Times New Roman" w:hAnsi="Times New Roman"/>
          <w:iCs/>
          <w:sz w:val="22"/>
          <w:szCs w:val="22"/>
        </w:rPr>
        <w:t>o</w:t>
      </w:r>
      <w:r w:rsidR="008B01F8" w:rsidRPr="00431A5F">
        <w:rPr>
          <w:rFonts w:ascii="Times New Roman" w:hAnsi="Times New Roman"/>
          <w:iCs/>
          <w:sz w:val="22"/>
          <w:szCs w:val="22"/>
        </w:rPr>
        <w:t>fit cus</w:t>
      </w:r>
      <w:r w:rsidR="00AE4874" w:rsidRPr="00431A5F">
        <w:rPr>
          <w:rFonts w:ascii="Times New Roman" w:hAnsi="Times New Roman"/>
          <w:iCs/>
          <w:sz w:val="22"/>
          <w:szCs w:val="22"/>
        </w:rPr>
        <w:t xml:space="preserve">tomers, </w:t>
      </w:r>
      <w:r w:rsidR="003A3951" w:rsidRPr="00431A5F">
        <w:rPr>
          <w:rFonts w:ascii="Times New Roman" w:hAnsi="Times New Roman"/>
          <w:iCs/>
          <w:sz w:val="22"/>
          <w:szCs w:val="22"/>
        </w:rPr>
        <w:t xml:space="preserve">and </w:t>
      </w:r>
      <w:r w:rsidR="00B33F49" w:rsidRPr="00431A5F">
        <w:rPr>
          <w:rFonts w:ascii="Times New Roman" w:hAnsi="Times New Roman"/>
          <w:iCs/>
          <w:sz w:val="22"/>
          <w:szCs w:val="22"/>
        </w:rPr>
        <w:t xml:space="preserve">deals with </w:t>
      </w:r>
      <w:r w:rsidR="00942C9D" w:rsidRPr="00431A5F">
        <w:rPr>
          <w:rFonts w:ascii="Times New Roman" w:hAnsi="Times New Roman"/>
          <w:iCs/>
          <w:sz w:val="22"/>
          <w:szCs w:val="22"/>
        </w:rPr>
        <w:t xml:space="preserve">requirements for </w:t>
      </w:r>
      <w:r w:rsidR="00712783" w:rsidRPr="00431A5F">
        <w:rPr>
          <w:rFonts w:ascii="Times New Roman" w:hAnsi="Times New Roman"/>
          <w:iCs/>
          <w:sz w:val="22"/>
          <w:szCs w:val="22"/>
        </w:rPr>
        <w:t>CSPs</w:t>
      </w:r>
      <w:r w:rsidR="00662DCA" w:rsidRPr="00431A5F">
        <w:rPr>
          <w:rFonts w:ascii="Times New Roman" w:hAnsi="Times New Roman"/>
          <w:iCs/>
          <w:sz w:val="22"/>
          <w:szCs w:val="22"/>
        </w:rPr>
        <w:t xml:space="preserve"> </w:t>
      </w:r>
      <w:r w:rsidR="00764F35" w:rsidRPr="00431A5F">
        <w:rPr>
          <w:rFonts w:ascii="Times New Roman" w:hAnsi="Times New Roman"/>
          <w:iCs/>
          <w:sz w:val="22"/>
          <w:szCs w:val="22"/>
        </w:rPr>
        <w:t>to establish policies, and to provide information and assistance to customers relating to fi</w:t>
      </w:r>
      <w:r w:rsidR="00285A6A" w:rsidRPr="00431A5F">
        <w:rPr>
          <w:rFonts w:ascii="Times New Roman" w:hAnsi="Times New Roman"/>
          <w:iCs/>
          <w:sz w:val="22"/>
          <w:szCs w:val="22"/>
        </w:rPr>
        <w:t>nancial hardship.</w:t>
      </w:r>
      <w:r w:rsidR="00F429EC" w:rsidRPr="00431A5F">
        <w:rPr>
          <w:rFonts w:ascii="Times New Roman" w:hAnsi="Times New Roman"/>
          <w:iCs/>
          <w:sz w:val="22"/>
          <w:szCs w:val="22"/>
        </w:rPr>
        <w:t xml:space="preserve"> </w:t>
      </w:r>
    </w:p>
    <w:p w14:paraId="48963912" w14:textId="77777777" w:rsidR="001D2004" w:rsidRPr="00431A5F" w:rsidRDefault="001D2004" w:rsidP="00C87C4D">
      <w:pPr>
        <w:spacing w:before="120" w:after="0" w:line="240" w:lineRule="auto"/>
        <w:rPr>
          <w:rFonts w:ascii="Times New Roman" w:hAnsi="Times New Roman"/>
          <w:b/>
          <w:i/>
          <w:sz w:val="22"/>
          <w:szCs w:val="22"/>
        </w:rPr>
      </w:pPr>
      <w:r w:rsidRPr="00431A5F">
        <w:rPr>
          <w:rFonts w:ascii="Times New Roman" w:hAnsi="Times New Roman"/>
          <w:b/>
          <w:i/>
          <w:sz w:val="22"/>
          <w:szCs w:val="22"/>
        </w:rPr>
        <w:t>Human rights implications</w:t>
      </w:r>
    </w:p>
    <w:p w14:paraId="46184E44" w14:textId="75F35F59" w:rsidR="001D2004" w:rsidRPr="00431A5F" w:rsidRDefault="001D2004" w:rsidP="00C87C4D">
      <w:pPr>
        <w:spacing w:before="120" w:after="0" w:line="240" w:lineRule="auto"/>
        <w:rPr>
          <w:rFonts w:ascii="Times New Roman" w:hAnsi="Times New Roman"/>
          <w:sz w:val="22"/>
          <w:szCs w:val="22"/>
        </w:rPr>
      </w:pPr>
      <w:r w:rsidRPr="00431A5F">
        <w:rPr>
          <w:rFonts w:ascii="Times New Roman" w:hAnsi="Times New Roman"/>
          <w:sz w:val="22"/>
          <w:szCs w:val="22"/>
        </w:rPr>
        <w:t xml:space="preserve">The ACMA has assessed whether the </w:t>
      </w:r>
      <w:r w:rsidR="004961DB" w:rsidRPr="00431A5F">
        <w:rPr>
          <w:rFonts w:ascii="Times New Roman" w:hAnsi="Times New Roman"/>
          <w:sz w:val="22"/>
          <w:szCs w:val="22"/>
        </w:rPr>
        <w:t>Standard is</w:t>
      </w:r>
      <w:r w:rsidRPr="00431A5F">
        <w:rPr>
          <w:rFonts w:ascii="Times New Roman" w:hAnsi="Times New Roman"/>
          <w:sz w:val="22"/>
          <w:szCs w:val="22"/>
        </w:rPr>
        <w:t xml:space="preserve"> compatible with human rights, being the rights and freedoms recognised or declared by the international instruments listed in subsection 3(1) of the</w:t>
      </w:r>
      <w:r w:rsidRPr="00431A5F">
        <w:rPr>
          <w:rFonts w:ascii="Times New Roman" w:hAnsi="Times New Roman"/>
          <w:i/>
          <w:sz w:val="22"/>
          <w:szCs w:val="22"/>
        </w:rPr>
        <w:t xml:space="preserve"> Human Rights (Parliamentary Scrutiny) Act 2011 </w:t>
      </w:r>
      <w:r w:rsidRPr="00431A5F">
        <w:rPr>
          <w:rFonts w:ascii="Times New Roman" w:hAnsi="Times New Roman"/>
          <w:sz w:val="22"/>
          <w:szCs w:val="22"/>
        </w:rPr>
        <w:t>as they apply to Australia.</w:t>
      </w:r>
    </w:p>
    <w:p w14:paraId="2D7F61AB" w14:textId="3219076B" w:rsidR="001D2004" w:rsidRPr="00431A5F" w:rsidRDefault="001D2004" w:rsidP="00C87C4D">
      <w:pPr>
        <w:spacing w:before="120" w:after="0" w:line="240" w:lineRule="auto"/>
        <w:rPr>
          <w:rFonts w:ascii="Times New Roman" w:hAnsi="Times New Roman"/>
          <w:sz w:val="22"/>
          <w:szCs w:val="22"/>
        </w:rPr>
      </w:pPr>
      <w:r w:rsidRPr="00431A5F">
        <w:rPr>
          <w:rFonts w:ascii="Times New Roman" w:hAnsi="Times New Roman"/>
          <w:sz w:val="22"/>
          <w:szCs w:val="22"/>
        </w:rPr>
        <w:t>Having considered the likely impact of the Rules and the nature of the applicable rights and freedoms, the ACMA has formed the view that the Rules</w:t>
      </w:r>
      <w:r w:rsidR="00657938" w:rsidRPr="00431A5F">
        <w:rPr>
          <w:rFonts w:ascii="Times New Roman" w:hAnsi="Times New Roman"/>
          <w:sz w:val="22"/>
          <w:szCs w:val="22"/>
        </w:rPr>
        <w:t xml:space="preserve"> engage the following</w:t>
      </w:r>
      <w:r w:rsidRPr="00431A5F">
        <w:rPr>
          <w:rFonts w:ascii="Times New Roman" w:hAnsi="Times New Roman"/>
          <w:sz w:val="22"/>
          <w:szCs w:val="22"/>
        </w:rPr>
        <w:t xml:space="preserve"> rights or freedoms</w:t>
      </w:r>
      <w:r w:rsidR="000C17D9" w:rsidRPr="00431A5F">
        <w:rPr>
          <w:rFonts w:ascii="Times New Roman" w:hAnsi="Times New Roman"/>
          <w:sz w:val="22"/>
          <w:szCs w:val="22"/>
        </w:rPr>
        <w:t>:</w:t>
      </w:r>
    </w:p>
    <w:p w14:paraId="37546B2E" w14:textId="499E59FE" w:rsidR="00063D85" w:rsidRDefault="004D44D8" w:rsidP="00C87C4D">
      <w:pPr>
        <w:pStyle w:val="ListParagraph"/>
        <w:numPr>
          <w:ilvl w:val="0"/>
          <w:numId w:val="12"/>
        </w:numPr>
        <w:spacing w:before="120" w:after="0" w:line="240" w:lineRule="auto"/>
        <w:contextualSpacing w:val="0"/>
        <w:rPr>
          <w:rFonts w:ascii="Times New Roman" w:hAnsi="Times New Roman"/>
          <w:sz w:val="22"/>
          <w:szCs w:val="22"/>
        </w:rPr>
      </w:pPr>
      <w:r>
        <w:rPr>
          <w:rFonts w:ascii="Times New Roman" w:hAnsi="Times New Roman"/>
          <w:sz w:val="22"/>
          <w:szCs w:val="22"/>
        </w:rPr>
        <w:t>T</w:t>
      </w:r>
      <w:r w:rsidR="009F452C" w:rsidRPr="00431A5F">
        <w:rPr>
          <w:rFonts w:ascii="Times New Roman" w:hAnsi="Times New Roman"/>
          <w:sz w:val="22"/>
          <w:szCs w:val="22"/>
        </w:rPr>
        <w:t xml:space="preserve">he right to privacy in Article 17 of the </w:t>
      </w:r>
      <w:r w:rsidR="009F452C" w:rsidRPr="00431A5F">
        <w:rPr>
          <w:rFonts w:ascii="Times New Roman" w:hAnsi="Times New Roman"/>
          <w:i/>
          <w:sz w:val="22"/>
          <w:szCs w:val="22"/>
        </w:rPr>
        <w:t>International Covenant on Civil and Political Rights</w:t>
      </w:r>
      <w:r w:rsidR="00DB143C">
        <w:rPr>
          <w:rFonts w:ascii="Times New Roman" w:hAnsi="Times New Roman"/>
          <w:i/>
          <w:sz w:val="22"/>
          <w:szCs w:val="22"/>
        </w:rPr>
        <w:t xml:space="preserve"> </w:t>
      </w:r>
      <w:r w:rsidR="00DB143C">
        <w:rPr>
          <w:rFonts w:ascii="Times New Roman" w:hAnsi="Times New Roman"/>
          <w:iCs/>
          <w:sz w:val="22"/>
          <w:szCs w:val="22"/>
        </w:rPr>
        <w:t>(</w:t>
      </w:r>
      <w:r w:rsidR="00DB143C" w:rsidRPr="00B243E3">
        <w:rPr>
          <w:rFonts w:ascii="Times New Roman" w:hAnsi="Times New Roman"/>
          <w:b/>
          <w:bCs/>
          <w:iCs/>
          <w:sz w:val="22"/>
          <w:szCs w:val="22"/>
        </w:rPr>
        <w:t>ICCPR</w:t>
      </w:r>
      <w:r w:rsidR="00DB143C">
        <w:rPr>
          <w:rFonts w:ascii="Times New Roman" w:hAnsi="Times New Roman"/>
          <w:iCs/>
          <w:sz w:val="22"/>
          <w:szCs w:val="22"/>
        </w:rPr>
        <w:t>)</w:t>
      </w:r>
      <w:r w:rsidR="0044615E">
        <w:rPr>
          <w:rFonts w:ascii="Times New Roman" w:hAnsi="Times New Roman"/>
          <w:sz w:val="22"/>
          <w:szCs w:val="22"/>
        </w:rPr>
        <w:t>,</w:t>
      </w:r>
      <w:r w:rsidR="00DB143C">
        <w:rPr>
          <w:rFonts w:ascii="Times New Roman" w:hAnsi="Times New Roman"/>
          <w:sz w:val="22"/>
          <w:szCs w:val="22"/>
        </w:rPr>
        <w:t xml:space="preserve"> </w:t>
      </w:r>
      <w:r w:rsidR="00063D85">
        <w:rPr>
          <w:rFonts w:ascii="Times New Roman" w:hAnsi="Times New Roman"/>
          <w:sz w:val="22"/>
          <w:szCs w:val="22"/>
        </w:rPr>
        <w:t xml:space="preserve">which </w:t>
      </w:r>
      <w:r w:rsidR="006C0901">
        <w:rPr>
          <w:rFonts w:ascii="Times New Roman" w:hAnsi="Times New Roman"/>
          <w:sz w:val="22"/>
          <w:szCs w:val="22"/>
        </w:rPr>
        <w:t>states</w:t>
      </w:r>
      <w:r w:rsidR="00063D85">
        <w:rPr>
          <w:rFonts w:ascii="Times New Roman" w:hAnsi="Times New Roman"/>
          <w:sz w:val="22"/>
          <w:szCs w:val="22"/>
        </w:rPr>
        <w:t>:</w:t>
      </w:r>
    </w:p>
    <w:p w14:paraId="59CD0B8E" w14:textId="77777777" w:rsidR="000932CD" w:rsidRPr="00A7076C" w:rsidRDefault="000932CD" w:rsidP="00A7076C">
      <w:pPr>
        <w:pStyle w:val="ListParagraph"/>
        <w:numPr>
          <w:ilvl w:val="0"/>
          <w:numId w:val="43"/>
        </w:numPr>
        <w:spacing w:before="120" w:after="0" w:line="240" w:lineRule="auto"/>
        <w:ind w:left="1134" w:hanging="425"/>
        <w:contextualSpacing w:val="0"/>
        <w:rPr>
          <w:rFonts w:ascii="Times New Roman" w:hAnsi="Times New Roman"/>
          <w:i/>
          <w:iCs/>
          <w:szCs w:val="20"/>
        </w:rPr>
      </w:pPr>
      <w:r w:rsidRPr="00A7076C">
        <w:rPr>
          <w:rFonts w:ascii="Times New Roman" w:hAnsi="Times New Roman"/>
          <w:i/>
          <w:iCs/>
          <w:szCs w:val="20"/>
        </w:rPr>
        <w:t xml:space="preserve">No one shall be subjected to arbitrary or unlawful interference with his privacy, family, home or correspondence, nor to unlawful attacks on his honour and reputation. </w:t>
      </w:r>
    </w:p>
    <w:p w14:paraId="2A4128F8" w14:textId="77777777" w:rsidR="000932CD" w:rsidRPr="00A7076C" w:rsidRDefault="000932CD" w:rsidP="00A7076C">
      <w:pPr>
        <w:pStyle w:val="ListParagraph"/>
        <w:numPr>
          <w:ilvl w:val="0"/>
          <w:numId w:val="43"/>
        </w:numPr>
        <w:spacing w:before="120" w:after="0" w:line="240" w:lineRule="auto"/>
        <w:ind w:left="1134" w:hanging="425"/>
        <w:contextualSpacing w:val="0"/>
        <w:rPr>
          <w:rFonts w:ascii="Times New Roman" w:hAnsi="Times New Roman"/>
          <w:i/>
          <w:iCs/>
          <w:szCs w:val="20"/>
        </w:rPr>
      </w:pPr>
      <w:r w:rsidRPr="00A7076C">
        <w:rPr>
          <w:rFonts w:ascii="Times New Roman" w:hAnsi="Times New Roman"/>
          <w:i/>
          <w:iCs/>
          <w:szCs w:val="20"/>
        </w:rPr>
        <w:t>Everyone has the right to the protection of the law against such interference or attacks.</w:t>
      </w:r>
    </w:p>
    <w:p w14:paraId="4974E6EC" w14:textId="30B8EB3C" w:rsidR="00166B6A" w:rsidRPr="00AF49D7" w:rsidRDefault="004D44D8" w:rsidP="001922BA">
      <w:pPr>
        <w:pStyle w:val="ListParagraph"/>
        <w:numPr>
          <w:ilvl w:val="0"/>
          <w:numId w:val="12"/>
        </w:numPr>
        <w:spacing w:before="120" w:after="0" w:line="240" w:lineRule="auto"/>
        <w:contextualSpacing w:val="0"/>
        <w:rPr>
          <w:rFonts w:ascii="Times New Roman" w:hAnsi="Times New Roman"/>
          <w:sz w:val="22"/>
          <w:szCs w:val="22"/>
        </w:rPr>
      </w:pPr>
      <w:r>
        <w:rPr>
          <w:rFonts w:ascii="Times New Roman" w:hAnsi="Times New Roman"/>
          <w:sz w:val="22"/>
          <w:szCs w:val="22"/>
        </w:rPr>
        <w:t>T</w:t>
      </w:r>
      <w:r w:rsidR="00166B6A" w:rsidRPr="00AF49D7">
        <w:rPr>
          <w:rFonts w:ascii="Times New Roman" w:hAnsi="Times New Roman"/>
          <w:sz w:val="22"/>
          <w:szCs w:val="22"/>
        </w:rPr>
        <w:t>he right to freedom of expression in Article 19(2) of the</w:t>
      </w:r>
      <w:r w:rsidR="00B243E3" w:rsidRPr="00AF49D7">
        <w:rPr>
          <w:rFonts w:ascii="Times New Roman" w:hAnsi="Times New Roman"/>
          <w:i/>
          <w:sz w:val="22"/>
          <w:szCs w:val="22"/>
        </w:rPr>
        <w:t xml:space="preserve"> </w:t>
      </w:r>
      <w:r w:rsidR="00B243E3" w:rsidRPr="00AF49D7">
        <w:rPr>
          <w:rFonts w:ascii="Times New Roman" w:hAnsi="Times New Roman"/>
          <w:iCs/>
          <w:sz w:val="22"/>
          <w:szCs w:val="22"/>
        </w:rPr>
        <w:t>ICCPR</w:t>
      </w:r>
      <w:r w:rsidR="00166B6A" w:rsidRPr="00AF49D7">
        <w:rPr>
          <w:rFonts w:ascii="Times New Roman" w:hAnsi="Times New Roman"/>
          <w:sz w:val="22"/>
          <w:szCs w:val="22"/>
        </w:rPr>
        <w:t>, which states:</w:t>
      </w:r>
    </w:p>
    <w:p w14:paraId="24CBCE58" w14:textId="0EFD6361" w:rsidR="00166B6A" w:rsidRPr="00B243E3" w:rsidRDefault="00A7076C" w:rsidP="001922BA">
      <w:pPr>
        <w:pStyle w:val="ListParagraph"/>
        <w:spacing w:before="120" w:after="0"/>
        <w:ind w:left="1134" w:hanging="425"/>
        <w:contextualSpacing w:val="0"/>
        <w:rPr>
          <w:rFonts w:ascii="Times New Roman" w:hAnsi="Times New Roman"/>
          <w:i/>
          <w:szCs w:val="20"/>
        </w:rPr>
      </w:pPr>
      <w:r>
        <w:rPr>
          <w:rFonts w:ascii="Times New Roman" w:hAnsi="Times New Roman"/>
          <w:i/>
          <w:szCs w:val="20"/>
        </w:rPr>
        <w:t>2.</w:t>
      </w:r>
      <w:r>
        <w:rPr>
          <w:rFonts w:ascii="Times New Roman" w:hAnsi="Times New Roman"/>
          <w:i/>
          <w:szCs w:val="20"/>
        </w:rPr>
        <w:tab/>
      </w:r>
      <w:r w:rsidR="00166B6A" w:rsidRPr="00B243E3">
        <w:rPr>
          <w:rFonts w:ascii="Times New Roman" w:hAnsi="Times New Roman"/>
          <w:i/>
          <w:szCs w:val="20"/>
        </w:rPr>
        <w:t>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p w14:paraId="7AB312F6" w14:textId="54539FB7" w:rsidR="00020695" w:rsidRDefault="00C205F0" w:rsidP="001922BA">
      <w:pPr>
        <w:pStyle w:val="listparagraph0"/>
        <w:numPr>
          <w:ilvl w:val="0"/>
          <w:numId w:val="44"/>
        </w:numPr>
        <w:spacing w:before="120" w:beforeAutospacing="0" w:after="0" w:afterAutospacing="0" w:line="235" w:lineRule="atLeast"/>
        <w:ind w:left="709"/>
        <w:rPr>
          <w:color w:val="000000"/>
          <w:sz w:val="22"/>
          <w:szCs w:val="22"/>
        </w:rPr>
      </w:pPr>
      <w:r>
        <w:rPr>
          <w:color w:val="000000"/>
          <w:sz w:val="22"/>
          <w:szCs w:val="22"/>
        </w:rPr>
        <w:t>T</w:t>
      </w:r>
      <w:r w:rsidR="00AF6096">
        <w:rPr>
          <w:color w:val="000000"/>
          <w:sz w:val="22"/>
          <w:szCs w:val="22"/>
        </w:rPr>
        <w:t xml:space="preserve">he </w:t>
      </w:r>
      <w:r w:rsidR="00020695">
        <w:rPr>
          <w:color w:val="000000"/>
          <w:sz w:val="22"/>
          <w:szCs w:val="22"/>
        </w:rPr>
        <w:t xml:space="preserve">following </w:t>
      </w:r>
      <w:r w:rsidR="00AF6096">
        <w:rPr>
          <w:color w:val="000000"/>
          <w:sz w:val="22"/>
          <w:szCs w:val="22"/>
        </w:rPr>
        <w:t>right</w:t>
      </w:r>
      <w:r w:rsidR="001922BA">
        <w:rPr>
          <w:color w:val="000000"/>
          <w:sz w:val="22"/>
          <w:szCs w:val="22"/>
        </w:rPr>
        <w:t>s</w:t>
      </w:r>
      <w:r w:rsidR="00AF6096">
        <w:rPr>
          <w:color w:val="000000"/>
          <w:sz w:val="22"/>
          <w:szCs w:val="22"/>
        </w:rPr>
        <w:t xml:space="preserve"> for persons with disabilities</w:t>
      </w:r>
      <w:r w:rsidR="00020695">
        <w:rPr>
          <w:color w:val="000000"/>
          <w:sz w:val="22"/>
          <w:szCs w:val="22"/>
        </w:rPr>
        <w:t xml:space="preserve"> under</w:t>
      </w:r>
      <w:r w:rsidR="00020695" w:rsidRPr="00020695">
        <w:rPr>
          <w:color w:val="000000"/>
          <w:sz w:val="22"/>
          <w:szCs w:val="22"/>
        </w:rPr>
        <w:t xml:space="preserve"> </w:t>
      </w:r>
      <w:r w:rsidR="00020695">
        <w:rPr>
          <w:color w:val="000000"/>
          <w:sz w:val="22"/>
          <w:szCs w:val="22"/>
        </w:rPr>
        <w:t>the </w:t>
      </w:r>
      <w:r w:rsidR="00020695">
        <w:rPr>
          <w:i/>
          <w:iCs/>
          <w:color w:val="000000"/>
          <w:sz w:val="22"/>
          <w:szCs w:val="22"/>
        </w:rPr>
        <w:t>Convention on the Rights of Persons with Disabilitie</w:t>
      </w:r>
      <w:r w:rsidR="00020695">
        <w:rPr>
          <w:color w:val="000000"/>
          <w:sz w:val="22"/>
          <w:szCs w:val="22"/>
        </w:rPr>
        <w:t>s (</w:t>
      </w:r>
      <w:r w:rsidR="00020695" w:rsidRPr="005D27B9">
        <w:rPr>
          <w:color w:val="000000"/>
          <w:sz w:val="22"/>
          <w:szCs w:val="22"/>
        </w:rPr>
        <w:t>the</w:t>
      </w:r>
      <w:r w:rsidR="00020695">
        <w:rPr>
          <w:b/>
          <w:bCs/>
          <w:color w:val="000000"/>
          <w:sz w:val="22"/>
          <w:szCs w:val="22"/>
        </w:rPr>
        <w:t xml:space="preserve"> CRPD</w:t>
      </w:r>
      <w:r w:rsidR="00020695">
        <w:rPr>
          <w:color w:val="000000"/>
          <w:sz w:val="22"/>
          <w:szCs w:val="22"/>
        </w:rPr>
        <w:t>):</w:t>
      </w:r>
      <w:r w:rsidR="00AF6096">
        <w:rPr>
          <w:color w:val="000000"/>
          <w:sz w:val="22"/>
          <w:szCs w:val="22"/>
        </w:rPr>
        <w:t xml:space="preserve"> </w:t>
      </w:r>
    </w:p>
    <w:p w14:paraId="7DF010CD" w14:textId="37E93EDA" w:rsidR="00AF6096" w:rsidRPr="005D27B9" w:rsidRDefault="00AF6096" w:rsidP="001922BA">
      <w:pPr>
        <w:pStyle w:val="listparagraph0"/>
        <w:numPr>
          <w:ilvl w:val="1"/>
          <w:numId w:val="44"/>
        </w:numPr>
        <w:spacing w:before="120" w:beforeAutospacing="0" w:after="0" w:afterAutospacing="0" w:line="235" w:lineRule="atLeast"/>
        <w:rPr>
          <w:i/>
          <w:iCs/>
          <w:color w:val="000000"/>
          <w:sz w:val="20"/>
          <w:szCs w:val="20"/>
        </w:rPr>
      </w:pPr>
      <w:r w:rsidRPr="005D27B9">
        <w:rPr>
          <w:i/>
          <w:iCs/>
          <w:color w:val="000000"/>
          <w:sz w:val="20"/>
          <w:szCs w:val="20"/>
        </w:rPr>
        <w:t xml:space="preserve">to access, on an equal basis with others, information and communications </w:t>
      </w:r>
      <w:r w:rsidR="00765C9F" w:rsidRPr="005D27B9">
        <w:rPr>
          <w:i/>
          <w:iCs/>
          <w:color w:val="000000"/>
          <w:sz w:val="20"/>
          <w:szCs w:val="20"/>
        </w:rPr>
        <w:t>(</w:t>
      </w:r>
      <w:r w:rsidRPr="005D27B9">
        <w:rPr>
          <w:i/>
          <w:iCs/>
          <w:color w:val="000000"/>
          <w:sz w:val="20"/>
          <w:szCs w:val="20"/>
        </w:rPr>
        <w:t>Article</w:t>
      </w:r>
      <w:r w:rsidR="00765C9F" w:rsidRPr="005D27B9">
        <w:rPr>
          <w:i/>
          <w:iCs/>
          <w:color w:val="000000"/>
          <w:sz w:val="20"/>
          <w:szCs w:val="20"/>
        </w:rPr>
        <w:t xml:space="preserve"> 9)</w:t>
      </w:r>
      <w:r w:rsidR="001922BA" w:rsidRPr="005D27B9">
        <w:rPr>
          <w:i/>
          <w:iCs/>
          <w:color w:val="000000"/>
          <w:sz w:val="20"/>
          <w:szCs w:val="20"/>
        </w:rPr>
        <w:t>; and</w:t>
      </w:r>
    </w:p>
    <w:p w14:paraId="3947CEF7" w14:textId="6B28E339" w:rsidR="004305C8" w:rsidRPr="005D27B9" w:rsidRDefault="00AF6096" w:rsidP="005D27B9">
      <w:pPr>
        <w:pStyle w:val="listparagraph0"/>
        <w:numPr>
          <w:ilvl w:val="0"/>
          <w:numId w:val="44"/>
        </w:numPr>
        <w:spacing w:before="120" w:beforeAutospacing="0" w:after="0" w:afterAutospacing="0" w:line="235" w:lineRule="atLeast"/>
        <w:ind w:left="1281"/>
        <w:rPr>
          <w:i/>
          <w:iCs/>
          <w:color w:val="000000"/>
          <w:szCs w:val="20"/>
        </w:rPr>
      </w:pPr>
      <w:r w:rsidRPr="005D27B9">
        <w:rPr>
          <w:i/>
          <w:iCs/>
          <w:color w:val="000000"/>
          <w:spacing w:val="4"/>
          <w:sz w:val="20"/>
          <w:szCs w:val="20"/>
        </w:rPr>
        <w:lastRenderedPageBreak/>
        <w:t>the right to freedom of expression and opinion, including the freedom to seek, receive and impart information and ideas on an equal basis with others</w:t>
      </w:r>
      <w:r w:rsidRPr="005D27B9">
        <w:rPr>
          <w:i/>
          <w:iCs/>
          <w:color w:val="000000"/>
          <w:sz w:val="20"/>
          <w:szCs w:val="20"/>
        </w:rPr>
        <w:t xml:space="preserve"> and through all forms of communication of their choice </w:t>
      </w:r>
      <w:r w:rsidR="00765C9F" w:rsidRPr="005D27B9">
        <w:rPr>
          <w:i/>
          <w:iCs/>
          <w:color w:val="000000"/>
          <w:sz w:val="20"/>
          <w:szCs w:val="20"/>
        </w:rPr>
        <w:t>(</w:t>
      </w:r>
      <w:r w:rsidRPr="005D27B9">
        <w:rPr>
          <w:i/>
          <w:iCs/>
          <w:color w:val="000000"/>
          <w:sz w:val="20"/>
          <w:szCs w:val="20"/>
        </w:rPr>
        <w:t>Article 21</w:t>
      </w:r>
      <w:r w:rsidR="00765C9F" w:rsidRPr="005D27B9">
        <w:rPr>
          <w:i/>
          <w:iCs/>
          <w:color w:val="000000"/>
          <w:sz w:val="20"/>
          <w:szCs w:val="20"/>
        </w:rPr>
        <w:t>)</w:t>
      </w:r>
      <w:r w:rsidR="001922BA" w:rsidRPr="005D27B9">
        <w:rPr>
          <w:i/>
          <w:iCs/>
          <w:color w:val="000000"/>
          <w:sz w:val="20"/>
          <w:szCs w:val="20"/>
        </w:rPr>
        <w:t>.</w:t>
      </w:r>
    </w:p>
    <w:p w14:paraId="1A980AD6" w14:textId="522E9888" w:rsidR="00B76770" w:rsidRPr="00B76770" w:rsidRDefault="00B76770" w:rsidP="00C87C4D">
      <w:pPr>
        <w:spacing w:before="120" w:after="0" w:line="240" w:lineRule="auto"/>
        <w:rPr>
          <w:rFonts w:ascii="Times New Roman" w:hAnsi="Times New Roman"/>
          <w:b/>
          <w:bCs/>
          <w:i/>
          <w:iCs/>
          <w:sz w:val="22"/>
          <w:szCs w:val="22"/>
        </w:rPr>
      </w:pPr>
      <w:r w:rsidRPr="00B76770">
        <w:rPr>
          <w:rFonts w:ascii="Times New Roman" w:hAnsi="Times New Roman"/>
          <w:b/>
          <w:bCs/>
          <w:i/>
          <w:iCs/>
          <w:sz w:val="22"/>
          <w:szCs w:val="22"/>
        </w:rPr>
        <w:t>Right to privacy</w:t>
      </w:r>
    </w:p>
    <w:p w14:paraId="0CDD2869" w14:textId="3120496A" w:rsidR="000D3A30" w:rsidRPr="00AF49D7" w:rsidRDefault="000D3A30" w:rsidP="00C87C4D">
      <w:pPr>
        <w:spacing w:before="120" w:after="0" w:line="240" w:lineRule="auto"/>
        <w:rPr>
          <w:rFonts w:ascii="Times New Roman" w:hAnsi="Times New Roman"/>
          <w:sz w:val="22"/>
          <w:szCs w:val="22"/>
        </w:rPr>
      </w:pPr>
      <w:r w:rsidRPr="00AF49D7">
        <w:rPr>
          <w:rFonts w:ascii="Times New Roman" w:hAnsi="Times New Roman"/>
          <w:sz w:val="22"/>
          <w:szCs w:val="22"/>
        </w:rPr>
        <w:t xml:space="preserve">Article 17 of the ICCPR (like Article 16 of the </w:t>
      </w:r>
      <w:r w:rsidRPr="00AF49D7">
        <w:rPr>
          <w:rFonts w:ascii="Times New Roman" w:hAnsi="Times New Roman"/>
          <w:i/>
          <w:sz w:val="22"/>
          <w:szCs w:val="22"/>
        </w:rPr>
        <w:t>Convention on the Rights of the Child</w:t>
      </w:r>
      <w:r w:rsidRPr="00AF49D7">
        <w:rPr>
          <w:rFonts w:ascii="Times New Roman" w:hAnsi="Times New Roman"/>
          <w:sz w:val="22"/>
          <w:szCs w:val="22"/>
        </w:rPr>
        <w:t xml:space="preserve"> and Article 22 </w:t>
      </w:r>
      <w:r w:rsidR="00DC6DB1">
        <w:rPr>
          <w:rFonts w:ascii="Times New Roman" w:hAnsi="Times New Roman"/>
          <w:sz w:val="22"/>
          <w:szCs w:val="22"/>
        </w:rPr>
        <w:t>CRPD</w:t>
      </w:r>
      <w:r w:rsidRPr="00AF49D7">
        <w:rPr>
          <w:rFonts w:ascii="Times New Roman" w:hAnsi="Times New Roman"/>
          <w:sz w:val="22"/>
          <w:szCs w:val="22"/>
        </w:rPr>
        <w:t>) protects the right to freedom from unlawful or arbitrary interference with privacy. Certain provisions in the Standard could be considered to limit the right to privacy. However, the right to privacy is not an absolute right and a limitation is not incompatible with the right itself.</w:t>
      </w:r>
    </w:p>
    <w:p w14:paraId="14B88C80" w14:textId="292904C8" w:rsidR="00594E4C" w:rsidRPr="00431A5F" w:rsidRDefault="00911D13" w:rsidP="00C87C4D">
      <w:pPr>
        <w:spacing w:before="120" w:after="0" w:line="240" w:lineRule="auto"/>
        <w:rPr>
          <w:rFonts w:ascii="Times New Roman" w:hAnsi="Times New Roman"/>
          <w:sz w:val="22"/>
          <w:szCs w:val="22"/>
        </w:rPr>
      </w:pPr>
      <w:r w:rsidRPr="00431A5F">
        <w:rPr>
          <w:rFonts w:ascii="Times New Roman" w:hAnsi="Times New Roman"/>
          <w:sz w:val="22"/>
          <w:szCs w:val="22"/>
        </w:rPr>
        <w:t xml:space="preserve">Part 6 of the Standard </w:t>
      </w:r>
      <w:r w:rsidR="00116EC2" w:rsidRPr="00431A5F">
        <w:rPr>
          <w:rFonts w:ascii="Times New Roman" w:hAnsi="Times New Roman"/>
          <w:sz w:val="22"/>
          <w:szCs w:val="22"/>
        </w:rPr>
        <w:t xml:space="preserve">imposes certain record keeping requirements on </w:t>
      </w:r>
      <w:r w:rsidR="00B04376">
        <w:rPr>
          <w:rFonts w:ascii="Times New Roman" w:hAnsi="Times New Roman"/>
          <w:sz w:val="22"/>
          <w:szCs w:val="22"/>
        </w:rPr>
        <w:t>CSP</w:t>
      </w:r>
      <w:r w:rsidR="00AF0CE9" w:rsidRPr="00431A5F">
        <w:rPr>
          <w:rFonts w:ascii="Times New Roman" w:hAnsi="Times New Roman"/>
          <w:sz w:val="22"/>
          <w:szCs w:val="22"/>
        </w:rPr>
        <w:t>s relating to their dealing</w:t>
      </w:r>
      <w:r w:rsidR="00AA59E0" w:rsidRPr="00431A5F">
        <w:rPr>
          <w:rFonts w:ascii="Times New Roman" w:hAnsi="Times New Roman"/>
          <w:sz w:val="22"/>
          <w:szCs w:val="22"/>
        </w:rPr>
        <w:t>s</w:t>
      </w:r>
      <w:r w:rsidR="00AF0CE9" w:rsidRPr="00431A5F">
        <w:rPr>
          <w:rFonts w:ascii="Times New Roman" w:hAnsi="Times New Roman"/>
          <w:sz w:val="22"/>
          <w:szCs w:val="22"/>
        </w:rPr>
        <w:t xml:space="preserve"> with cus</w:t>
      </w:r>
      <w:r w:rsidR="0010233F" w:rsidRPr="00431A5F">
        <w:rPr>
          <w:rFonts w:ascii="Times New Roman" w:hAnsi="Times New Roman"/>
          <w:sz w:val="22"/>
          <w:szCs w:val="22"/>
        </w:rPr>
        <w:t>t</w:t>
      </w:r>
      <w:r w:rsidR="00AF0CE9" w:rsidRPr="00431A5F">
        <w:rPr>
          <w:rFonts w:ascii="Times New Roman" w:hAnsi="Times New Roman"/>
          <w:sz w:val="22"/>
          <w:szCs w:val="22"/>
        </w:rPr>
        <w:t xml:space="preserve">omers </w:t>
      </w:r>
      <w:r w:rsidR="00D85199" w:rsidRPr="00431A5F">
        <w:rPr>
          <w:rFonts w:ascii="Times New Roman" w:hAnsi="Times New Roman"/>
          <w:sz w:val="22"/>
          <w:szCs w:val="22"/>
        </w:rPr>
        <w:t>about fi</w:t>
      </w:r>
      <w:r w:rsidR="000473BE" w:rsidRPr="00431A5F">
        <w:rPr>
          <w:rFonts w:ascii="Times New Roman" w:hAnsi="Times New Roman"/>
          <w:sz w:val="22"/>
          <w:szCs w:val="22"/>
        </w:rPr>
        <w:t>nancial hardship matters.</w:t>
      </w:r>
      <w:r w:rsidR="008E1DCF" w:rsidRPr="00431A5F">
        <w:rPr>
          <w:rFonts w:ascii="Times New Roman" w:hAnsi="Times New Roman"/>
          <w:sz w:val="22"/>
          <w:szCs w:val="22"/>
        </w:rPr>
        <w:t xml:space="preserve"> These </w:t>
      </w:r>
      <w:r w:rsidR="0084485D" w:rsidRPr="00431A5F">
        <w:rPr>
          <w:rFonts w:ascii="Times New Roman" w:hAnsi="Times New Roman"/>
          <w:sz w:val="22"/>
          <w:szCs w:val="22"/>
        </w:rPr>
        <w:t>records inclu</w:t>
      </w:r>
      <w:r w:rsidR="0010233F" w:rsidRPr="00431A5F">
        <w:rPr>
          <w:rFonts w:ascii="Times New Roman" w:hAnsi="Times New Roman"/>
          <w:sz w:val="22"/>
          <w:szCs w:val="22"/>
        </w:rPr>
        <w:t>d</w:t>
      </w:r>
      <w:r w:rsidR="0084485D" w:rsidRPr="00431A5F">
        <w:rPr>
          <w:rFonts w:ascii="Times New Roman" w:hAnsi="Times New Roman"/>
          <w:sz w:val="22"/>
          <w:szCs w:val="22"/>
        </w:rPr>
        <w:t xml:space="preserve">e personal </w:t>
      </w:r>
      <w:r w:rsidR="00E15D27">
        <w:rPr>
          <w:rFonts w:ascii="Times New Roman" w:hAnsi="Times New Roman"/>
          <w:sz w:val="22"/>
          <w:szCs w:val="22"/>
        </w:rPr>
        <w:t xml:space="preserve">information, including </w:t>
      </w:r>
      <w:r w:rsidR="0084485D" w:rsidRPr="00431A5F">
        <w:rPr>
          <w:rFonts w:ascii="Times New Roman" w:hAnsi="Times New Roman"/>
          <w:sz w:val="22"/>
          <w:szCs w:val="22"/>
        </w:rPr>
        <w:t xml:space="preserve">details of customers and </w:t>
      </w:r>
      <w:r w:rsidR="00DE6DD6" w:rsidRPr="00431A5F">
        <w:rPr>
          <w:rFonts w:ascii="Times New Roman" w:hAnsi="Times New Roman"/>
          <w:sz w:val="22"/>
          <w:szCs w:val="22"/>
        </w:rPr>
        <w:t xml:space="preserve">communications between the </w:t>
      </w:r>
      <w:r w:rsidR="0010233F" w:rsidRPr="00431A5F">
        <w:rPr>
          <w:rFonts w:ascii="Times New Roman" w:hAnsi="Times New Roman"/>
          <w:sz w:val="22"/>
          <w:szCs w:val="22"/>
        </w:rPr>
        <w:t>CSP</w:t>
      </w:r>
      <w:r w:rsidR="00DE6DD6" w:rsidRPr="00431A5F">
        <w:rPr>
          <w:rFonts w:ascii="Times New Roman" w:hAnsi="Times New Roman"/>
          <w:sz w:val="22"/>
          <w:szCs w:val="22"/>
        </w:rPr>
        <w:t xml:space="preserve"> and customers</w:t>
      </w:r>
      <w:r w:rsidR="00454A06" w:rsidRPr="00431A5F">
        <w:rPr>
          <w:rFonts w:ascii="Times New Roman" w:hAnsi="Times New Roman"/>
          <w:sz w:val="22"/>
          <w:szCs w:val="22"/>
        </w:rPr>
        <w:t xml:space="preserve">, which are required to be kept </w:t>
      </w:r>
      <w:r w:rsidR="00F372C2" w:rsidRPr="00431A5F">
        <w:rPr>
          <w:rFonts w:ascii="Times New Roman" w:hAnsi="Times New Roman"/>
          <w:sz w:val="22"/>
          <w:szCs w:val="22"/>
        </w:rPr>
        <w:t>for at least 2 years</w:t>
      </w:r>
      <w:r w:rsidR="009D5552" w:rsidRPr="00431A5F">
        <w:rPr>
          <w:rFonts w:ascii="Times New Roman" w:hAnsi="Times New Roman"/>
          <w:sz w:val="22"/>
          <w:szCs w:val="22"/>
        </w:rPr>
        <w:t xml:space="preserve">, and be made available </w:t>
      </w:r>
      <w:r w:rsidR="007D003C" w:rsidRPr="00431A5F">
        <w:rPr>
          <w:rFonts w:ascii="Times New Roman" w:hAnsi="Times New Roman"/>
          <w:sz w:val="22"/>
          <w:szCs w:val="22"/>
        </w:rPr>
        <w:t>to the ACMA by written request.</w:t>
      </w:r>
      <w:r w:rsidR="00594E4C" w:rsidRPr="00431A5F">
        <w:rPr>
          <w:rFonts w:ascii="Times New Roman" w:hAnsi="Times New Roman"/>
          <w:sz w:val="22"/>
          <w:szCs w:val="22"/>
        </w:rPr>
        <w:t xml:space="preserve"> </w:t>
      </w:r>
    </w:p>
    <w:p w14:paraId="67BCBD87" w14:textId="23A33F21" w:rsidR="004018D5" w:rsidRDefault="00594E4C" w:rsidP="00C87C4D">
      <w:pPr>
        <w:spacing w:before="120" w:after="0" w:line="240" w:lineRule="auto"/>
        <w:rPr>
          <w:rFonts w:ascii="Times New Roman" w:hAnsi="Times New Roman"/>
          <w:sz w:val="22"/>
          <w:szCs w:val="22"/>
        </w:rPr>
      </w:pPr>
      <w:r w:rsidRPr="00431A5F">
        <w:rPr>
          <w:rFonts w:ascii="Times New Roman" w:hAnsi="Times New Roman"/>
          <w:sz w:val="22"/>
          <w:szCs w:val="22"/>
        </w:rPr>
        <w:t xml:space="preserve">The requirement for retention for at least 2 years is consistent with the requirement for retention of records applied in other record-keeping rules made by the ACMA under subsection 529(1) of the </w:t>
      </w:r>
      <w:r w:rsidR="001D0EFD" w:rsidRPr="00431A5F">
        <w:rPr>
          <w:rFonts w:ascii="Times New Roman" w:hAnsi="Times New Roman"/>
          <w:sz w:val="22"/>
          <w:szCs w:val="22"/>
        </w:rPr>
        <w:t>Act</w:t>
      </w:r>
      <w:r w:rsidR="00CD2349" w:rsidRPr="00431A5F">
        <w:rPr>
          <w:rFonts w:ascii="Times New Roman" w:hAnsi="Times New Roman"/>
          <w:sz w:val="22"/>
          <w:szCs w:val="22"/>
        </w:rPr>
        <w:t xml:space="preserve"> </w:t>
      </w:r>
      <w:r w:rsidRPr="00431A5F">
        <w:rPr>
          <w:rFonts w:ascii="Times New Roman" w:hAnsi="Times New Roman"/>
          <w:sz w:val="22"/>
          <w:szCs w:val="22"/>
        </w:rPr>
        <w:t xml:space="preserve">and reflects the reasonable and practical needs of the ACMA in performing its functions of monitoring and assessing compliance of providers with their </w:t>
      </w:r>
      <w:r w:rsidR="0010233F" w:rsidRPr="00431A5F">
        <w:rPr>
          <w:rFonts w:ascii="Times New Roman" w:hAnsi="Times New Roman"/>
          <w:sz w:val="22"/>
          <w:szCs w:val="22"/>
        </w:rPr>
        <w:t>obligations</w:t>
      </w:r>
      <w:r w:rsidRPr="00431A5F">
        <w:rPr>
          <w:rFonts w:ascii="Times New Roman" w:hAnsi="Times New Roman"/>
          <w:sz w:val="22"/>
          <w:szCs w:val="22"/>
        </w:rPr>
        <w:t xml:space="preserve"> under the Standard</w:t>
      </w:r>
      <w:r w:rsidR="009677CF" w:rsidRPr="00431A5F">
        <w:rPr>
          <w:rFonts w:ascii="Times New Roman" w:hAnsi="Times New Roman"/>
          <w:sz w:val="22"/>
          <w:szCs w:val="22"/>
        </w:rPr>
        <w:t>.</w:t>
      </w:r>
      <w:r w:rsidR="003A75CE" w:rsidRPr="00431A5F">
        <w:rPr>
          <w:rFonts w:ascii="Times New Roman" w:hAnsi="Times New Roman"/>
          <w:sz w:val="22"/>
          <w:szCs w:val="22"/>
        </w:rPr>
        <w:t xml:space="preserve"> The ACMA’s compliance and enforcement function</w:t>
      </w:r>
      <w:r w:rsidR="00D73D32" w:rsidRPr="00431A5F">
        <w:rPr>
          <w:rFonts w:ascii="Times New Roman" w:hAnsi="Times New Roman"/>
          <w:sz w:val="22"/>
          <w:szCs w:val="22"/>
        </w:rPr>
        <w:t xml:space="preserve">s </w:t>
      </w:r>
      <w:r w:rsidR="00502660" w:rsidRPr="00431A5F">
        <w:rPr>
          <w:rFonts w:ascii="Times New Roman" w:hAnsi="Times New Roman"/>
          <w:sz w:val="22"/>
          <w:szCs w:val="22"/>
        </w:rPr>
        <w:t xml:space="preserve">in relation to the </w:t>
      </w:r>
      <w:r w:rsidR="009E2ECD" w:rsidRPr="00431A5F">
        <w:rPr>
          <w:rFonts w:ascii="Times New Roman" w:hAnsi="Times New Roman"/>
          <w:sz w:val="22"/>
          <w:szCs w:val="22"/>
        </w:rPr>
        <w:t xml:space="preserve">Standard </w:t>
      </w:r>
      <w:r w:rsidR="00D73D32" w:rsidRPr="00431A5F">
        <w:rPr>
          <w:rFonts w:ascii="Times New Roman" w:hAnsi="Times New Roman"/>
          <w:sz w:val="22"/>
          <w:szCs w:val="22"/>
        </w:rPr>
        <w:t xml:space="preserve">are integral to ensuring </w:t>
      </w:r>
      <w:r w:rsidR="009E2ECD" w:rsidRPr="00431A5F">
        <w:rPr>
          <w:rFonts w:ascii="Times New Roman" w:hAnsi="Times New Roman"/>
          <w:sz w:val="22"/>
          <w:szCs w:val="22"/>
        </w:rPr>
        <w:t xml:space="preserve">that </w:t>
      </w:r>
      <w:r w:rsidR="004112F1" w:rsidRPr="00431A5F">
        <w:rPr>
          <w:rFonts w:ascii="Times New Roman" w:hAnsi="Times New Roman"/>
          <w:sz w:val="22"/>
          <w:szCs w:val="22"/>
        </w:rPr>
        <w:t xml:space="preserve">telecommunications </w:t>
      </w:r>
      <w:r w:rsidR="00AE598E" w:rsidRPr="00431A5F">
        <w:rPr>
          <w:rFonts w:ascii="Times New Roman" w:hAnsi="Times New Roman"/>
          <w:sz w:val="22"/>
          <w:szCs w:val="22"/>
        </w:rPr>
        <w:t>service providers are</w:t>
      </w:r>
      <w:r w:rsidR="009E2ECD" w:rsidRPr="00431A5F">
        <w:rPr>
          <w:rFonts w:ascii="Times New Roman" w:hAnsi="Times New Roman"/>
          <w:sz w:val="22"/>
          <w:szCs w:val="22"/>
        </w:rPr>
        <w:t xml:space="preserve"> </w:t>
      </w:r>
      <w:r w:rsidR="001D0EFD" w:rsidRPr="00431A5F">
        <w:rPr>
          <w:rFonts w:ascii="Times New Roman" w:hAnsi="Times New Roman"/>
          <w:sz w:val="22"/>
          <w:szCs w:val="22"/>
        </w:rPr>
        <w:t>compli</w:t>
      </w:r>
      <w:r w:rsidR="00F83416">
        <w:rPr>
          <w:rFonts w:ascii="Times New Roman" w:hAnsi="Times New Roman"/>
          <w:sz w:val="22"/>
          <w:szCs w:val="22"/>
        </w:rPr>
        <w:t>a</w:t>
      </w:r>
      <w:r w:rsidR="001D0EFD" w:rsidRPr="00431A5F">
        <w:rPr>
          <w:rFonts w:ascii="Times New Roman" w:hAnsi="Times New Roman"/>
          <w:sz w:val="22"/>
          <w:szCs w:val="22"/>
        </w:rPr>
        <w:t>nt</w:t>
      </w:r>
      <w:r w:rsidR="009E2ECD" w:rsidRPr="00431A5F">
        <w:rPr>
          <w:rFonts w:ascii="Times New Roman" w:hAnsi="Times New Roman"/>
          <w:sz w:val="22"/>
          <w:szCs w:val="22"/>
        </w:rPr>
        <w:t xml:space="preserve"> with the</w:t>
      </w:r>
      <w:r w:rsidR="003F58A1" w:rsidRPr="00431A5F">
        <w:rPr>
          <w:rFonts w:ascii="Times New Roman" w:hAnsi="Times New Roman"/>
          <w:sz w:val="22"/>
          <w:szCs w:val="22"/>
        </w:rPr>
        <w:t>ir</w:t>
      </w:r>
      <w:r w:rsidR="009E2ECD" w:rsidRPr="00431A5F">
        <w:rPr>
          <w:rFonts w:ascii="Times New Roman" w:hAnsi="Times New Roman"/>
          <w:sz w:val="22"/>
          <w:szCs w:val="22"/>
        </w:rPr>
        <w:t xml:space="preserve"> obligations</w:t>
      </w:r>
      <w:r w:rsidR="003F58A1" w:rsidRPr="00431A5F">
        <w:rPr>
          <w:rFonts w:ascii="Times New Roman" w:hAnsi="Times New Roman"/>
          <w:sz w:val="22"/>
          <w:szCs w:val="22"/>
        </w:rPr>
        <w:t xml:space="preserve"> and that</w:t>
      </w:r>
      <w:r w:rsidR="009E2ECD" w:rsidRPr="00431A5F">
        <w:rPr>
          <w:rFonts w:ascii="Times New Roman" w:hAnsi="Times New Roman"/>
          <w:sz w:val="22"/>
          <w:szCs w:val="22"/>
        </w:rPr>
        <w:t xml:space="preserve"> </w:t>
      </w:r>
      <w:r w:rsidR="005136EA" w:rsidRPr="00431A5F">
        <w:rPr>
          <w:rFonts w:ascii="Times New Roman" w:hAnsi="Times New Roman"/>
          <w:sz w:val="22"/>
          <w:szCs w:val="22"/>
        </w:rPr>
        <w:t xml:space="preserve">the objectives of the Standard </w:t>
      </w:r>
      <w:r w:rsidR="00860EB0" w:rsidRPr="00431A5F">
        <w:rPr>
          <w:rFonts w:ascii="Times New Roman" w:hAnsi="Times New Roman"/>
          <w:sz w:val="22"/>
          <w:szCs w:val="22"/>
        </w:rPr>
        <w:t xml:space="preserve">and the Direction </w:t>
      </w:r>
      <w:r w:rsidR="005136EA" w:rsidRPr="00431A5F">
        <w:rPr>
          <w:rFonts w:ascii="Times New Roman" w:hAnsi="Times New Roman"/>
          <w:sz w:val="22"/>
          <w:szCs w:val="22"/>
        </w:rPr>
        <w:t xml:space="preserve">are </w:t>
      </w:r>
      <w:r w:rsidR="00502660" w:rsidRPr="00431A5F">
        <w:rPr>
          <w:rFonts w:ascii="Times New Roman" w:hAnsi="Times New Roman"/>
          <w:sz w:val="22"/>
          <w:szCs w:val="22"/>
        </w:rPr>
        <w:t>met.</w:t>
      </w:r>
    </w:p>
    <w:p w14:paraId="1D5E20BF" w14:textId="77777777" w:rsidR="001D124A" w:rsidRDefault="006E31D8" w:rsidP="00123346">
      <w:pPr>
        <w:spacing w:before="120" w:after="0" w:line="240" w:lineRule="auto"/>
        <w:rPr>
          <w:rFonts w:ascii="Times New Roman" w:hAnsi="Times New Roman"/>
          <w:sz w:val="22"/>
          <w:szCs w:val="22"/>
        </w:rPr>
      </w:pPr>
      <w:r w:rsidRPr="00B45F39">
        <w:rPr>
          <w:rFonts w:ascii="Times New Roman" w:hAnsi="Times New Roman"/>
          <w:sz w:val="22"/>
          <w:szCs w:val="22"/>
        </w:rPr>
        <w:t xml:space="preserve">In the ACMA’s view, the type of personal information required to be collected and kept by CSPs under the Standard is limited to that information which is necessary to enable the ACMA to investigate a complaint that a CSP has breached the Standard. </w:t>
      </w:r>
    </w:p>
    <w:p w14:paraId="387180BE" w14:textId="41EA30CA" w:rsidR="00AD2A93" w:rsidRDefault="00805E7D" w:rsidP="00123346">
      <w:pPr>
        <w:spacing w:before="120" w:after="0" w:line="240" w:lineRule="auto"/>
        <w:rPr>
          <w:rFonts w:ascii="Times New Roman" w:hAnsi="Times New Roman"/>
          <w:sz w:val="22"/>
          <w:szCs w:val="22"/>
        </w:rPr>
      </w:pPr>
      <w:r>
        <w:rPr>
          <w:rFonts w:ascii="Times New Roman" w:hAnsi="Times New Roman"/>
          <w:sz w:val="22"/>
          <w:szCs w:val="22"/>
        </w:rPr>
        <w:t>I</w:t>
      </w:r>
      <w:r w:rsidR="00156433">
        <w:rPr>
          <w:rFonts w:ascii="Times New Roman" w:hAnsi="Times New Roman"/>
          <w:sz w:val="22"/>
          <w:szCs w:val="22"/>
        </w:rPr>
        <w:t>n addition</w:t>
      </w:r>
      <w:r w:rsidR="00AD2A93">
        <w:rPr>
          <w:rFonts w:ascii="Times New Roman" w:hAnsi="Times New Roman"/>
          <w:sz w:val="22"/>
          <w:szCs w:val="22"/>
        </w:rPr>
        <w:t>,</w:t>
      </w:r>
      <w:r w:rsidR="00156433">
        <w:rPr>
          <w:rFonts w:ascii="Times New Roman" w:hAnsi="Times New Roman"/>
          <w:sz w:val="22"/>
          <w:szCs w:val="22"/>
        </w:rPr>
        <w:t xml:space="preserve"> the Standard </w:t>
      </w:r>
      <w:r w:rsidR="00CA2C6F">
        <w:rPr>
          <w:rFonts w:ascii="Times New Roman" w:hAnsi="Times New Roman"/>
          <w:sz w:val="22"/>
          <w:szCs w:val="22"/>
        </w:rPr>
        <w:t>o</w:t>
      </w:r>
      <w:r w:rsidR="00156433">
        <w:rPr>
          <w:rFonts w:ascii="Times New Roman" w:hAnsi="Times New Roman"/>
          <w:sz w:val="22"/>
          <w:szCs w:val="22"/>
        </w:rPr>
        <w:t>nly permits the collection of personal information requested under sub</w:t>
      </w:r>
      <w:r w:rsidR="006E31D8" w:rsidRPr="00B45F39">
        <w:rPr>
          <w:rFonts w:ascii="Times New Roman" w:hAnsi="Times New Roman"/>
          <w:sz w:val="22"/>
          <w:szCs w:val="22"/>
        </w:rPr>
        <w:t xml:space="preserve">section 16(3) </w:t>
      </w:r>
      <w:r w:rsidR="00156433">
        <w:rPr>
          <w:rFonts w:ascii="Times New Roman" w:hAnsi="Times New Roman"/>
          <w:sz w:val="22"/>
          <w:szCs w:val="22"/>
        </w:rPr>
        <w:t>in limited circumstances</w:t>
      </w:r>
      <w:r w:rsidR="0044615E">
        <w:rPr>
          <w:rFonts w:ascii="Times New Roman" w:hAnsi="Times New Roman"/>
          <w:sz w:val="22"/>
          <w:szCs w:val="22"/>
        </w:rPr>
        <w:t xml:space="preserve"> and </w:t>
      </w:r>
      <w:r w:rsidR="00AD2A93">
        <w:rPr>
          <w:rFonts w:ascii="Times New Roman" w:hAnsi="Times New Roman"/>
          <w:sz w:val="22"/>
          <w:szCs w:val="22"/>
        </w:rPr>
        <w:t>if it is strictly necessary to conduct the assessment of eligibility for financial hardship assistance (see subsection 16(6)).</w:t>
      </w:r>
      <w:r w:rsidR="0006386B">
        <w:rPr>
          <w:rFonts w:ascii="Times New Roman" w:hAnsi="Times New Roman"/>
          <w:sz w:val="22"/>
          <w:szCs w:val="22"/>
        </w:rPr>
        <w:t xml:space="preserve"> </w:t>
      </w:r>
      <w:r w:rsidR="0017621E">
        <w:rPr>
          <w:rFonts w:ascii="Times New Roman" w:hAnsi="Times New Roman"/>
          <w:sz w:val="22"/>
          <w:szCs w:val="22"/>
        </w:rPr>
        <w:t>Under section 30</w:t>
      </w:r>
      <w:r w:rsidR="00351EFB">
        <w:rPr>
          <w:rFonts w:ascii="Times New Roman" w:hAnsi="Times New Roman"/>
          <w:sz w:val="22"/>
          <w:szCs w:val="22"/>
        </w:rPr>
        <w:t>,</w:t>
      </w:r>
      <w:r w:rsidR="0017621E">
        <w:rPr>
          <w:rFonts w:ascii="Times New Roman" w:hAnsi="Times New Roman"/>
          <w:sz w:val="22"/>
          <w:szCs w:val="22"/>
        </w:rPr>
        <w:t xml:space="preserve"> r</w:t>
      </w:r>
      <w:r w:rsidR="00F7087E">
        <w:rPr>
          <w:rFonts w:ascii="Times New Roman" w:hAnsi="Times New Roman"/>
          <w:sz w:val="22"/>
          <w:szCs w:val="22"/>
        </w:rPr>
        <w:t xml:space="preserve">ecords of information collected under subsection 16(3) </w:t>
      </w:r>
      <w:r w:rsidR="005A7B3F">
        <w:rPr>
          <w:rFonts w:ascii="Times New Roman" w:hAnsi="Times New Roman"/>
          <w:sz w:val="22"/>
          <w:szCs w:val="22"/>
        </w:rPr>
        <w:t xml:space="preserve">must </w:t>
      </w:r>
      <w:r w:rsidR="00CD02A1">
        <w:rPr>
          <w:rFonts w:ascii="Times New Roman" w:hAnsi="Times New Roman"/>
          <w:sz w:val="22"/>
          <w:szCs w:val="22"/>
        </w:rPr>
        <w:t>be</w:t>
      </w:r>
      <w:r w:rsidR="0080223C">
        <w:rPr>
          <w:rFonts w:ascii="Times New Roman" w:hAnsi="Times New Roman"/>
          <w:sz w:val="22"/>
          <w:szCs w:val="22"/>
        </w:rPr>
        <w:t xml:space="preserve"> destroy</w:t>
      </w:r>
      <w:r w:rsidR="00CD02A1">
        <w:rPr>
          <w:rFonts w:ascii="Times New Roman" w:hAnsi="Times New Roman"/>
          <w:sz w:val="22"/>
          <w:szCs w:val="22"/>
        </w:rPr>
        <w:t>ed</w:t>
      </w:r>
      <w:r w:rsidR="0080223C">
        <w:rPr>
          <w:rFonts w:ascii="Times New Roman" w:hAnsi="Times New Roman"/>
          <w:sz w:val="22"/>
          <w:szCs w:val="22"/>
        </w:rPr>
        <w:t xml:space="preserve"> </w:t>
      </w:r>
      <w:r w:rsidR="00F3435E">
        <w:rPr>
          <w:rFonts w:ascii="Times New Roman" w:hAnsi="Times New Roman"/>
          <w:sz w:val="22"/>
          <w:szCs w:val="22"/>
        </w:rPr>
        <w:t xml:space="preserve">or disposed of in a secure manner </w:t>
      </w:r>
      <w:r w:rsidR="0017621E">
        <w:rPr>
          <w:rFonts w:ascii="Times New Roman" w:hAnsi="Times New Roman"/>
          <w:sz w:val="22"/>
          <w:szCs w:val="22"/>
        </w:rPr>
        <w:t>after the assessment has been completed</w:t>
      </w:r>
      <w:r w:rsidR="00A92A4C">
        <w:rPr>
          <w:rFonts w:ascii="Times New Roman" w:hAnsi="Times New Roman"/>
          <w:sz w:val="22"/>
          <w:szCs w:val="22"/>
        </w:rPr>
        <w:t>.</w:t>
      </w:r>
    </w:p>
    <w:p w14:paraId="091E6BBB" w14:textId="48B98937" w:rsidR="00594E4C" w:rsidRPr="00B45F39" w:rsidRDefault="00941ED6" w:rsidP="00C87C4D">
      <w:pPr>
        <w:spacing w:before="120" w:after="0" w:line="240" w:lineRule="auto"/>
        <w:rPr>
          <w:rFonts w:ascii="Times New Roman" w:hAnsi="Times New Roman"/>
          <w:sz w:val="22"/>
          <w:szCs w:val="22"/>
        </w:rPr>
      </w:pPr>
      <w:r w:rsidRPr="00B45F39">
        <w:rPr>
          <w:rFonts w:ascii="Times New Roman" w:hAnsi="Times New Roman"/>
          <w:sz w:val="22"/>
          <w:szCs w:val="22"/>
        </w:rPr>
        <w:t>T</w:t>
      </w:r>
      <w:r w:rsidR="00594E4C" w:rsidRPr="00B45F39">
        <w:rPr>
          <w:rFonts w:ascii="Times New Roman" w:hAnsi="Times New Roman"/>
          <w:sz w:val="22"/>
          <w:szCs w:val="22"/>
        </w:rPr>
        <w:t xml:space="preserve">he </w:t>
      </w:r>
      <w:r w:rsidR="00594E4C" w:rsidRPr="00B45F39">
        <w:rPr>
          <w:rFonts w:ascii="Times New Roman" w:hAnsi="Times New Roman"/>
          <w:i/>
          <w:iCs/>
          <w:sz w:val="22"/>
          <w:szCs w:val="22"/>
        </w:rPr>
        <w:t xml:space="preserve">Privacy Act 1988 </w:t>
      </w:r>
      <w:r w:rsidR="005B4EC7" w:rsidRPr="00B45F39">
        <w:rPr>
          <w:rFonts w:ascii="Times New Roman" w:hAnsi="Times New Roman"/>
          <w:sz w:val="22"/>
          <w:szCs w:val="22"/>
        </w:rPr>
        <w:t>(</w:t>
      </w:r>
      <w:r w:rsidR="005B4EC7" w:rsidRPr="00B45F39">
        <w:rPr>
          <w:rFonts w:ascii="Times New Roman" w:hAnsi="Times New Roman"/>
          <w:b/>
          <w:bCs/>
          <w:sz w:val="22"/>
          <w:szCs w:val="22"/>
        </w:rPr>
        <w:t>Privacy Act</w:t>
      </w:r>
      <w:r w:rsidR="005B4EC7" w:rsidRPr="00B45F39">
        <w:rPr>
          <w:rFonts w:ascii="Times New Roman" w:hAnsi="Times New Roman"/>
          <w:sz w:val="22"/>
          <w:szCs w:val="22"/>
        </w:rPr>
        <w:t xml:space="preserve">) </w:t>
      </w:r>
      <w:r w:rsidR="00594E4C" w:rsidRPr="00B45F39">
        <w:rPr>
          <w:rFonts w:ascii="Times New Roman" w:hAnsi="Times New Roman"/>
          <w:sz w:val="22"/>
          <w:szCs w:val="22"/>
        </w:rPr>
        <w:t xml:space="preserve">applies to the ACMA and the ACMA’s administration of the </w:t>
      </w:r>
      <w:r w:rsidR="0077730D" w:rsidRPr="00B45F39">
        <w:rPr>
          <w:rFonts w:ascii="Times New Roman" w:hAnsi="Times New Roman"/>
          <w:sz w:val="22"/>
          <w:szCs w:val="22"/>
        </w:rPr>
        <w:t>Standard</w:t>
      </w:r>
      <w:r w:rsidR="00594E4C" w:rsidRPr="00B45F39">
        <w:rPr>
          <w:rFonts w:ascii="Times New Roman" w:hAnsi="Times New Roman"/>
          <w:sz w:val="22"/>
          <w:szCs w:val="22"/>
        </w:rPr>
        <w:t xml:space="preserve">. </w:t>
      </w:r>
      <w:r w:rsidR="005B4EC7" w:rsidRPr="00B45F39">
        <w:rPr>
          <w:rFonts w:ascii="Times New Roman" w:hAnsi="Times New Roman"/>
          <w:sz w:val="22"/>
          <w:szCs w:val="22"/>
        </w:rPr>
        <w:t xml:space="preserve">As </w:t>
      </w:r>
      <w:r w:rsidR="00594E4C" w:rsidRPr="00B45F39">
        <w:rPr>
          <w:rFonts w:ascii="Times New Roman" w:hAnsi="Times New Roman"/>
          <w:sz w:val="22"/>
          <w:szCs w:val="22"/>
        </w:rPr>
        <w:t xml:space="preserve">noted above, customer records may need to be accessed for monitoring and enforcement activities. The ACMA is subject in all relevant respects to the Privacy Act and the Australian Privacy Principles, and has a formal Privacy Management Plan, and takes all the usual precautions and other measures which a Commonwealth Government agency is required to take in order to safeguard personal information that comes into </w:t>
      </w:r>
      <w:r w:rsidR="003D12F3" w:rsidRPr="00B45F39">
        <w:rPr>
          <w:rFonts w:ascii="Times New Roman" w:hAnsi="Times New Roman"/>
          <w:sz w:val="22"/>
          <w:szCs w:val="22"/>
        </w:rPr>
        <w:t>its</w:t>
      </w:r>
      <w:r w:rsidR="00594E4C" w:rsidRPr="00B45F39">
        <w:rPr>
          <w:rFonts w:ascii="Times New Roman" w:hAnsi="Times New Roman"/>
          <w:sz w:val="22"/>
          <w:szCs w:val="22"/>
        </w:rPr>
        <w:t xml:space="preserve"> custody and care.</w:t>
      </w:r>
    </w:p>
    <w:p w14:paraId="08046B3A" w14:textId="5BE5941D" w:rsidR="00424DD4" w:rsidRPr="00B45F39" w:rsidRDefault="00424DD4" w:rsidP="008E294C">
      <w:pPr>
        <w:spacing w:before="120" w:after="120" w:line="240" w:lineRule="auto"/>
        <w:rPr>
          <w:rFonts w:ascii="Times New Roman" w:hAnsi="Times New Roman"/>
          <w:iCs/>
          <w:sz w:val="22"/>
          <w:szCs w:val="22"/>
        </w:rPr>
      </w:pPr>
      <w:r w:rsidRPr="00B45F39">
        <w:rPr>
          <w:rFonts w:ascii="Times New Roman" w:hAnsi="Times New Roman"/>
          <w:sz w:val="22"/>
          <w:szCs w:val="22"/>
        </w:rPr>
        <w:t xml:space="preserve">Most CSPs are </w:t>
      </w:r>
      <w:r w:rsidR="006E31D8" w:rsidRPr="00B45F39">
        <w:rPr>
          <w:rFonts w:ascii="Times New Roman" w:hAnsi="Times New Roman"/>
          <w:sz w:val="22"/>
          <w:szCs w:val="22"/>
        </w:rPr>
        <w:t xml:space="preserve">also </w:t>
      </w:r>
      <w:r w:rsidRPr="00B45F39">
        <w:rPr>
          <w:rFonts w:ascii="Times New Roman" w:hAnsi="Times New Roman"/>
          <w:sz w:val="22"/>
          <w:szCs w:val="22"/>
        </w:rPr>
        <w:t xml:space="preserve">subject to the Privacy Act </w:t>
      </w:r>
      <w:r w:rsidRPr="00B45F39">
        <w:rPr>
          <w:rFonts w:ascii="Times New Roman" w:hAnsi="Times New Roman"/>
          <w:iCs/>
          <w:sz w:val="22"/>
          <w:szCs w:val="22"/>
        </w:rPr>
        <w:t xml:space="preserve">regarding the personal information they handle in accordance with the Standard. In any event, it is expected that any personal information collected </w:t>
      </w:r>
      <w:r w:rsidRPr="00B45F39">
        <w:rPr>
          <w:rFonts w:ascii="Times New Roman" w:hAnsi="Times New Roman"/>
          <w:sz w:val="22"/>
          <w:szCs w:val="22"/>
        </w:rPr>
        <w:t>under the Standard would usually be provided with the consent of the consumer wishing to make an application for financial hardship assistance</w:t>
      </w:r>
      <w:r w:rsidRPr="00B45F39">
        <w:rPr>
          <w:rFonts w:ascii="Times New Roman" w:hAnsi="Times New Roman"/>
          <w:iCs/>
          <w:sz w:val="22"/>
          <w:szCs w:val="22"/>
        </w:rPr>
        <w:t>.</w:t>
      </w:r>
      <w:r w:rsidR="00B1304D">
        <w:rPr>
          <w:rFonts w:ascii="Times New Roman" w:hAnsi="Times New Roman"/>
          <w:iCs/>
          <w:sz w:val="22"/>
          <w:szCs w:val="22"/>
        </w:rPr>
        <w:t xml:space="preserve"> </w:t>
      </w:r>
    </w:p>
    <w:p w14:paraId="0F11040F" w14:textId="10D1CD9D" w:rsidR="00BA64CB" w:rsidRPr="00B45F39" w:rsidRDefault="005D27B9" w:rsidP="00BA64CB">
      <w:pPr>
        <w:spacing w:before="120" w:after="120" w:line="240" w:lineRule="auto"/>
        <w:rPr>
          <w:rFonts w:ascii="Times New Roman" w:hAnsi="Times New Roman"/>
          <w:sz w:val="22"/>
          <w:szCs w:val="22"/>
        </w:rPr>
      </w:pPr>
      <w:r>
        <w:rPr>
          <w:rFonts w:ascii="Times New Roman" w:hAnsi="Times New Roman"/>
          <w:sz w:val="22"/>
          <w:szCs w:val="22"/>
        </w:rPr>
        <w:t>T</w:t>
      </w:r>
      <w:r w:rsidR="00A24C7B" w:rsidRPr="005D27B9">
        <w:rPr>
          <w:rFonts w:ascii="Times New Roman" w:hAnsi="Times New Roman"/>
          <w:sz w:val="22"/>
          <w:szCs w:val="22"/>
        </w:rPr>
        <w:t xml:space="preserve">he Standard includes provisions in Part 6 which require </w:t>
      </w:r>
      <w:r w:rsidR="00FC5CB7" w:rsidRPr="00DD5954">
        <w:rPr>
          <w:rFonts w:ascii="Times New Roman" w:hAnsi="Times New Roman"/>
          <w:sz w:val="22"/>
          <w:szCs w:val="22"/>
        </w:rPr>
        <w:t>CSPs</w:t>
      </w:r>
      <w:r w:rsidR="00A24C7B" w:rsidRPr="00FC5CB7">
        <w:rPr>
          <w:rFonts w:ascii="Times New Roman" w:hAnsi="Times New Roman"/>
          <w:sz w:val="22"/>
          <w:szCs w:val="22"/>
        </w:rPr>
        <w:t xml:space="preserve"> to ensure that the information kept under that Part is</w:t>
      </w:r>
      <w:r w:rsidR="00893559" w:rsidRPr="00FC5CB7">
        <w:rPr>
          <w:rFonts w:ascii="Times New Roman" w:hAnsi="Times New Roman"/>
          <w:sz w:val="22"/>
          <w:szCs w:val="22"/>
        </w:rPr>
        <w:t xml:space="preserve"> only disclosed in specified circumstance</w:t>
      </w:r>
      <w:r w:rsidR="00427E7A" w:rsidRPr="00FC5CB7">
        <w:rPr>
          <w:rFonts w:ascii="Times New Roman" w:hAnsi="Times New Roman"/>
          <w:sz w:val="22"/>
          <w:szCs w:val="22"/>
        </w:rPr>
        <w:t>s,</w:t>
      </w:r>
      <w:r w:rsidR="00A24C7B" w:rsidRPr="00FC5CB7">
        <w:rPr>
          <w:rFonts w:ascii="Times New Roman" w:hAnsi="Times New Roman"/>
          <w:sz w:val="22"/>
          <w:szCs w:val="22"/>
        </w:rPr>
        <w:t xml:space="preserve"> protected, stored securely and disposed of when no longer needed under the Standard or any other applicable laws</w:t>
      </w:r>
      <w:r w:rsidR="001642E5" w:rsidRPr="00FC5CB7">
        <w:rPr>
          <w:rFonts w:ascii="Times New Roman" w:hAnsi="Times New Roman"/>
          <w:sz w:val="22"/>
          <w:szCs w:val="22"/>
        </w:rPr>
        <w:t>.</w:t>
      </w:r>
      <w:r w:rsidR="00BA64CB">
        <w:rPr>
          <w:rFonts w:ascii="Times New Roman" w:hAnsi="Times New Roman"/>
          <w:sz w:val="22"/>
          <w:szCs w:val="22"/>
        </w:rPr>
        <w:t xml:space="preserve"> F</w:t>
      </w:r>
      <w:r w:rsidR="005F43F9">
        <w:rPr>
          <w:rFonts w:ascii="Times New Roman" w:hAnsi="Times New Roman"/>
          <w:sz w:val="22"/>
          <w:szCs w:val="22"/>
        </w:rPr>
        <w:t xml:space="preserve">urther, </w:t>
      </w:r>
      <w:r w:rsidR="00562D7C">
        <w:rPr>
          <w:rFonts w:ascii="Times New Roman" w:hAnsi="Times New Roman"/>
          <w:sz w:val="22"/>
          <w:szCs w:val="22"/>
        </w:rPr>
        <w:t>s</w:t>
      </w:r>
      <w:r w:rsidR="00BA64CB" w:rsidRPr="00B45F39">
        <w:rPr>
          <w:rFonts w:ascii="Times New Roman" w:hAnsi="Times New Roman"/>
          <w:sz w:val="22"/>
          <w:szCs w:val="22"/>
        </w:rPr>
        <w:t>ection 31 of the Standard imposes requirements on CSPs that are not covered by th</w:t>
      </w:r>
      <w:r w:rsidR="009331E8">
        <w:rPr>
          <w:rFonts w:ascii="Times New Roman" w:hAnsi="Times New Roman"/>
          <w:sz w:val="22"/>
          <w:szCs w:val="22"/>
        </w:rPr>
        <w:t>e Privacy</w:t>
      </w:r>
      <w:r w:rsidR="00BA64CB" w:rsidRPr="00B45F39">
        <w:rPr>
          <w:rFonts w:ascii="Times New Roman" w:hAnsi="Times New Roman"/>
          <w:sz w:val="22"/>
          <w:szCs w:val="22"/>
        </w:rPr>
        <w:t xml:space="preserve"> Act, to ensure that relevant personal information is keep confidential and not disclosed to third parties except: as required to manage a complaint with the TIO or the ACMA; with the express consent of the consumer; or where disclosure is otherwise required or authorised by law.</w:t>
      </w:r>
    </w:p>
    <w:p w14:paraId="05C7A466" w14:textId="77777777" w:rsidR="00CA30A8" w:rsidRPr="00AF49D7" w:rsidRDefault="007360C7" w:rsidP="00C87C4D">
      <w:pPr>
        <w:spacing w:before="120" w:after="0" w:line="240" w:lineRule="auto"/>
        <w:rPr>
          <w:rFonts w:ascii="Times New Roman" w:hAnsi="Times New Roman"/>
          <w:sz w:val="22"/>
          <w:szCs w:val="22"/>
        </w:rPr>
      </w:pPr>
      <w:r w:rsidRPr="00AF49D7">
        <w:rPr>
          <w:rFonts w:ascii="Times New Roman" w:hAnsi="Times New Roman"/>
          <w:sz w:val="22"/>
          <w:szCs w:val="22"/>
        </w:rPr>
        <w:t xml:space="preserve">These safeguards, together with the other restrictions on the handling of personal information mentioned above, indicate that the Standard is reasonable, necessary and proportionate. </w:t>
      </w:r>
    </w:p>
    <w:p w14:paraId="47B09ECC" w14:textId="77777777" w:rsidR="00530672" w:rsidRDefault="00E8305B" w:rsidP="00E65D4B">
      <w:pPr>
        <w:pStyle w:val="Default"/>
        <w:keepNext/>
        <w:spacing w:before="120"/>
        <w:rPr>
          <w:b/>
          <w:bCs/>
          <w:i/>
          <w:iCs/>
          <w:sz w:val="22"/>
          <w:szCs w:val="22"/>
        </w:rPr>
      </w:pPr>
      <w:r w:rsidRPr="00AF49D7">
        <w:rPr>
          <w:b/>
          <w:bCs/>
          <w:i/>
          <w:iCs/>
          <w:sz w:val="22"/>
          <w:szCs w:val="22"/>
        </w:rPr>
        <w:lastRenderedPageBreak/>
        <w:t xml:space="preserve">Right to freedom of expression </w:t>
      </w:r>
    </w:p>
    <w:p w14:paraId="712E61EB" w14:textId="7C684875" w:rsidR="00902197" w:rsidRPr="00902197" w:rsidRDefault="00902197" w:rsidP="00902197">
      <w:pPr>
        <w:pStyle w:val="Default"/>
        <w:spacing w:before="120"/>
        <w:rPr>
          <w:sz w:val="22"/>
          <w:szCs w:val="22"/>
        </w:rPr>
      </w:pPr>
      <w:r w:rsidRPr="00AF49D7">
        <w:rPr>
          <w:sz w:val="22"/>
          <w:szCs w:val="22"/>
        </w:rPr>
        <w:t xml:space="preserve">The ACMA </w:t>
      </w:r>
      <w:r w:rsidRPr="00902197">
        <w:rPr>
          <w:sz w:val="22"/>
          <w:szCs w:val="22"/>
        </w:rPr>
        <w:t xml:space="preserve">considers that the Standard engages the right to freedom of expression, in so far as that right includes the right of customers to receive information relating to financial hardship matters. </w:t>
      </w:r>
    </w:p>
    <w:p w14:paraId="1B6F6165" w14:textId="6AB23EC1" w:rsidR="00902197" w:rsidRPr="00902197" w:rsidRDefault="00902197" w:rsidP="00902197">
      <w:pPr>
        <w:pStyle w:val="Default"/>
        <w:spacing w:before="120"/>
        <w:rPr>
          <w:sz w:val="22"/>
          <w:szCs w:val="22"/>
        </w:rPr>
      </w:pPr>
      <w:r w:rsidRPr="00902197">
        <w:rPr>
          <w:sz w:val="22"/>
          <w:szCs w:val="22"/>
        </w:rPr>
        <w:t xml:space="preserve">Parts 1 and 3 of the Standard impose requirements on CSPs to provide information and advice to financial hardship customers. For example: Part 1 requires CSPs to establish a payment assistance policy with </w:t>
      </w:r>
      <w:proofErr w:type="gramStart"/>
      <w:r w:rsidRPr="00902197">
        <w:rPr>
          <w:sz w:val="22"/>
          <w:szCs w:val="22"/>
        </w:rPr>
        <w:t xml:space="preserve">a </w:t>
      </w:r>
      <w:r w:rsidR="00B54545" w:rsidRPr="00902197">
        <w:rPr>
          <w:sz w:val="22"/>
          <w:szCs w:val="22"/>
        </w:rPr>
        <w:t>n</w:t>
      </w:r>
      <w:r w:rsidR="00B54545">
        <w:rPr>
          <w:sz w:val="22"/>
          <w:szCs w:val="22"/>
        </w:rPr>
        <w:t>umb</w:t>
      </w:r>
      <w:r w:rsidR="00B54545" w:rsidRPr="00902197">
        <w:rPr>
          <w:sz w:val="22"/>
          <w:szCs w:val="22"/>
        </w:rPr>
        <w:t>er</w:t>
      </w:r>
      <w:r w:rsidRPr="00902197">
        <w:rPr>
          <w:sz w:val="22"/>
          <w:szCs w:val="22"/>
        </w:rPr>
        <w:t xml:space="preserve"> of</w:t>
      </w:r>
      <w:proofErr w:type="gramEnd"/>
      <w:r w:rsidRPr="00902197">
        <w:rPr>
          <w:sz w:val="22"/>
          <w:szCs w:val="22"/>
        </w:rPr>
        <w:t xml:space="preserve"> minim</w:t>
      </w:r>
      <w:r w:rsidR="00B85C68">
        <w:rPr>
          <w:sz w:val="22"/>
          <w:szCs w:val="22"/>
        </w:rPr>
        <w:t>um</w:t>
      </w:r>
      <w:r w:rsidRPr="00902197">
        <w:rPr>
          <w:sz w:val="22"/>
          <w:szCs w:val="22"/>
        </w:rPr>
        <w:t xml:space="preserve"> content requirements, </w:t>
      </w:r>
      <w:r w:rsidRPr="00707285">
        <w:rPr>
          <w:rFonts w:eastAsia="Times New Roman"/>
          <w:sz w:val="22"/>
          <w:szCs w:val="22"/>
          <w:lang w:eastAsia="en-AU"/>
        </w:rPr>
        <w:t>including how the customer can contact financial counselling services</w:t>
      </w:r>
      <w:r w:rsidR="00C22054">
        <w:rPr>
          <w:rFonts w:eastAsia="Times New Roman"/>
          <w:sz w:val="22"/>
          <w:szCs w:val="22"/>
          <w:lang w:eastAsia="en-AU"/>
        </w:rPr>
        <w:t xml:space="preserve"> and</w:t>
      </w:r>
      <w:r w:rsidRPr="00707285">
        <w:rPr>
          <w:rFonts w:eastAsia="Times New Roman"/>
          <w:sz w:val="22"/>
          <w:szCs w:val="22"/>
          <w:lang w:eastAsia="en-AU"/>
        </w:rPr>
        <w:t xml:space="preserve"> the TIO or make a complaint to the CSP, and to</w:t>
      </w:r>
      <w:r w:rsidRPr="00902197">
        <w:rPr>
          <w:sz w:val="22"/>
          <w:szCs w:val="22"/>
        </w:rPr>
        <w:t xml:space="preserve"> make those payment policies available to consumers</w:t>
      </w:r>
      <w:r w:rsidRPr="00707285">
        <w:rPr>
          <w:rFonts w:eastAsia="Times New Roman"/>
          <w:sz w:val="22"/>
          <w:szCs w:val="22"/>
          <w:lang w:eastAsia="en-AU"/>
        </w:rPr>
        <w:t xml:space="preserve">. Part 3 requires CSPs </w:t>
      </w:r>
      <w:r w:rsidRPr="00902197">
        <w:rPr>
          <w:sz w:val="22"/>
          <w:szCs w:val="22"/>
        </w:rPr>
        <w:t xml:space="preserve">to advise about how they assess eligibility for financial hardship including criteria, timeframes, options, communication of outcomes and review, and options for assistance. </w:t>
      </w:r>
    </w:p>
    <w:p w14:paraId="1AF81E42" w14:textId="5962D10F" w:rsidR="00902197" w:rsidRPr="00902197" w:rsidRDefault="00902197" w:rsidP="00902197">
      <w:pPr>
        <w:pStyle w:val="Default"/>
        <w:spacing w:before="120"/>
        <w:rPr>
          <w:sz w:val="22"/>
          <w:szCs w:val="22"/>
        </w:rPr>
      </w:pPr>
      <w:r w:rsidRPr="00902197">
        <w:rPr>
          <w:sz w:val="22"/>
          <w:szCs w:val="22"/>
        </w:rPr>
        <w:t xml:space="preserve">The obligations </w:t>
      </w:r>
      <w:r w:rsidR="00CB72FA">
        <w:rPr>
          <w:sz w:val="22"/>
          <w:szCs w:val="22"/>
        </w:rPr>
        <w:t xml:space="preserve">in </w:t>
      </w:r>
      <w:r w:rsidRPr="00902197">
        <w:rPr>
          <w:sz w:val="22"/>
          <w:szCs w:val="22"/>
        </w:rPr>
        <w:t>Part</w:t>
      </w:r>
      <w:r w:rsidR="00CB72FA">
        <w:rPr>
          <w:sz w:val="22"/>
          <w:szCs w:val="22"/>
        </w:rPr>
        <w:t>s</w:t>
      </w:r>
      <w:r w:rsidRPr="00902197">
        <w:rPr>
          <w:sz w:val="22"/>
          <w:szCs w:val="22"/>
        </w:rPr>
        <w:t xml:space="preserve"> 1 and 3 of the Standard are designed to help financial hardship customers to make informed decisions about options for assistance offered by a provider before consenting to an arrangement for financial hardship assistance. </w:t>
      </w:r>
    </w:p>
    <w:p w14:paraId="3BAD9727" w14:textId="77777777" w:rsidR="00902197" w:rsidRPr="007A5FDD" w:rsidRDefault="00902197" w:rsidP="00902197">
      <w:pPr>
        <w:pStyle w:val="Default"/>
        <w:spacing w:before="120"/>
        <w:rPr>
          <w:sz w:val="22"/>
          <w:szCs w:val="22"/>
        </w:rPr>
      </w:pPr>
      <w:r w:rsidRPr="00902197">
        <w:rPr>
          <w:sz w:val="22"/>
          <w:szCs w:val="22"/>
        </w:rPr>
        <w:t>Part 4 of the Standard requires a CSP to provide</w:t>
      </w:r>
      <w:r w:rsidRPr="007A5FDD">
        <w:rPr>
          <w:sz w:val="22"/>
          <w:szCs w:val="22"/>
        </w:rPr>
        <w:t xml:space="preserve"> certain information to a financial hardship customer before it takes credit management action, </w:t>
      </w:r>
      <w:r w:rsidRPr="00707285">
        <w:rPr>
          <w:sz w:val="22"/>
          <w:szCs w:val="22"/>
          <w:lang w:eastAsia="en-AU"/>
        </w:rPr>
        <w:t xml:space="preserve">including </w:t>
      </w:r>
      <w:r>
        <w:rPr>
          <w:sz w:val="22"/>
          <w:szCs w:val="22"/>
          <w:lang w:eastAsia="en-AU"/>
        </w:rPr>
        <w:t xml:space="preserve">the nature of and </w:t>
      </w:r>
      <w:r w:rsidRPr="007A5FDD">
        <w:rPr>
          <w:sz w:val="22"/>
          <w:szCs w:val="22"/>
        </w:rPr>
        <w:t xml:space="preserve">reasons for </w:t>
      </w:r>
      <w:r>
        <w:rPr>
          <w:sz w:val="22"/>
          <w:szCs w:val="22"/>
        </w:rPr>
        <w:t>taking that</w:t>
      </w:r>
      <w:r w:rsidRPr="007A5FDD">
        <w:rPr>
          <w:sz w:val="22"/>
          <w:szCs w:val="22"/>
        </w:rPr>
        <w:t xml:space="preserve"> action, </w:t>
      </w:r>
      <w:r w:rsidRPr="00707285">
        <w:rPr>
          <w:sz w:val="22"/>
          <w:szCs w:val="22"/>
          <w:lang w:eastAsia="en-AU"/>
        </w:rPr>
        <w:t>contact details for the TIO and financial counselling services</w:t>
      </w:r>
      <w:r w:rsidRPr="007A5FDD">
        <w:rPr>
          <w:sz w:val="22"/>
          <w:szCs w:val="22"/>
        </w:rPr>
        <w:t xml:space="preserve">. </w:t>
      </w:r>
    </w:p>
    <w:p w14:paraId="4C417754" w14:textId="6577D77A" w:rsidR="007A5FDD" w:rsidRDefault="007A5FDD" w:rsidP="007A5FDD">
      <w:pPr>
        <w:pStyle w:val="Default"/>
        <w:spacing w:before="120"/>
        <w:rPr>
          <w:rFonts w:eastAsia="Times New Roman"/>
          <w:sz w:val="22"/>
          <w:szCs w:val="22"/>
          <w:lang w:eastAsia="en-AU"/>
        </w:rPr>
      </w:pPr>
      <w:r w:rsidRPr="007A5FDD">
        <w:rPr>
          <w:sz w:val="22"/>
          <w:szCs w:val="22"/>
        </w:rPr>
        <w:t xml:space="preserve">The ACMA considers that Part 4 affords protections to financial hardship customers and is directed at promoting the rights of consumers to receive information about </w:t>
      </w:r>
      <w:r w:rsidR="009A51BE" w:rsidRPr="007A5FDD">
        <w:rPr>
          <w:sz w:val="22"/>
          <w:szCs w:val="22"/>
        </w:rPr>
        <w:t xml:space="preserve">the nature of credit management action </w:t>
      </w:r>
      <w:r w:rsidR="009A51BE">
        <w:rPr>
          <w:sz w:val="22"/>
          <w:szCs w:val="22"/>
        </w:rPr>
        <w:t xml:space="preserve">taken </w:t>
      </w:r>
      <w:r w:rsidR="009A51BE" w:rsidRPr="007A5FDD">
        <w:rPr>
          <w:sz w:val="22"/>
          <w:szCs w:val="22"/>
        </w:rPr>
        <w:t xml:space="preserve">by a </w:t>
      </w:r>
      <w:r w:rsidR="009A51BE">
        <w:rPr>
          <w:sz w:val="22"/>
          <w:szCs w:val="22"/>
        </w:rPr>
        <w:t>CSP,</w:t>
      </w:r>
      <w:r w:rsidR="009A51BE" w:rsidRPr="007A5FDD">
        <w:rPr>
          <w:sz w:val="22"/>
          <w:szCs w:val="22"/>
        </w:rPr>
        <w:t xml:space="preserve"> </w:t>
      </w:r>
      <w:r w:rsidRPr="007A5FDD">
        <w:rPr>
          <w:sz w:val="22"/>
          <w:szCs w:val="22"/>
        </w:rPr>
        <w:t xml:space="preserve">their rights and options for financial hardship assistance, </w:t>
      </w:r>
      <w:r w:rsidR="00A476A8">
        <w:rPr>
          <w:sz w:val="22"/>
          <w:szCs w:val="22"/>
        </w:rPr>
        <w:t xml:space="preserve">and </w:t>
      </w:r>
      <w:r w:rsidRPr="007A5FDD">
        <w:rPr>
          <w:sz w:val="22"/>
          <w:szCs w:val="22"/>
        </w:rPr>
        <w:t>support and dispute resolution services. Accordingly, the ACMA consider</w:t>
      </w:r>
      <w:r w:rsidR="00E30C6D">
        <w:rPr>
          <w:sz w:val="22"/>
          <w:szCs w:val="22"/>
        </w:rPr>
        <w:t>s</w:t>
      </w:r>
      <w:r w:rsidRPr="007A5FDD">
        <w:rPr>
          <w:sz w:val="22"/>
          <w:szCs w:val="22"/>
        </w:rPr>
        <w:t xml:space="preserve"> that the Standard does </w:t>
      </w:r>
      <w:r w:rsidRPr="007A5FDD">
        <w:rPr>
          <w:rFonts w:eastAsia="Times New Roman"/>
          <w:sz w:val="22"/>
          <w:szCs w:val="22"/>
          <w:lang w:eastAsia="en-AU"/>
        </w:rPr>
        <w:t xml:space="preserve">not cause any limitation or interference with the right to freedom of expression. </w:t>
      </w:r>
    </w:p>
    <w:p w14:paraId="633D856F" w14:textId="33A3E4CE" w:rsidR="001922BA" w:rsidRPr="0053003B" w:rsidRDefault="001922BA" w:rsidP="007A5FDD">
      <w:pPr>
        <w:pStyle w:val="Default"/>
        <w:spacing w:before="120"/>
        <w:rPr>
          <w:b/>
          <w:bCs/>
          <w:i/>
          <w:iCs/>
          <w:sz w:val="22"/>
          <w:szCs w:val="22"/>
        </w:rPr>
      </w:pPr>
      <w:r w:rsidRPr="0053003B">
        <w:rPr>
          <w:rFonts w:eastAsia="Times New Roman"/>
          <w:b/>
          <w:bCs/>
          <w:i/>
          <w:iCs/>
          <w:sz w:val="22"/>
          <w:szCs w:val="22"/>
          <w:lang w:eastAsia="en-AU"/>
        </w:rPr>
        <w:t xml:space="preserve">Rights for </w:t>
      </w:r>
      <w:r w:rsidR="0053003B" w:rsidRPr="0053003B">
        <w:rPr>
          <w:b/>
          <w:bCs/>
          <w:i/>
          <w:iCs/>
          <w:sz w:val="22"/>
          <w:szCs w:val="22"/>
        </w:rPr>
        <w:t>persons with disabilities</w:t>
      </w:r>
    </w:p>
    <w:p w14:paraId="1EBAC55D" w14:textId="767B0648" w:rsidR="00B54545" w:rsidRDefault="00B54545" w:rsidP="00B54545">
      <w:pPr>
        <w:spacing w:before="120" w:after="0" w:line="240" w:lineRule="auto"/>
        <w:rPr>
          <w:rFonts w:ascii="Times New Roman" w:hAnsi="Times New Roman"/>
          <w:bCs/>
          <w:iCs/>
          <w:sz w:val="22"/>
          <w:szCs w:val="22"/>
        </w:rPr>
      </w:pPr>
      <w:proofErr w:type="gramStart"/>
      <w:r>
        <w:rPr>
          <w:rFonts w:ascii="Times New Roman" w:hAnsi="Times New Roman"/>
          <w:bCs/>
          <w:iCs/>
          <w:sz w:val="22"/>
          <w:szCs w:val="22"/>
        </w:rPr>
        <w:t>A number of</w:t>
      </w:r>
      <w:proofErr w:type="gramEnd"/>
      <w:r>
        <w:rPr>
          <w:rFonts w:ascii="Times New Roman" w:hAnsi="Times New Roman"/>
          <w:bCs/>
          <w:iCs/>
          <w:sz w:val="22"/>
          <w:szCs w:val="22"/>
        </w:rPr>
        <w:t xml:space="preserve"> provision</w:t>
      </w:r>
      <w:r w:rsidR="00A91FB6">
        <w:rPr>
          <w:rFonts w:ascii="Times New Roman" w:hAnsi="Times New Roman"/>
          <w:bCs/>
          <w:iCs/>
          <w:sz w:val="22"/>
          <w:szCs w:val="22"/>
        </w:rPr>
        <w:t>s</w:t>
      </w:r>
      <w:r>
        <w:rPr>
          <w:rFonts w:ascii="Times New Roman" w:hAnsi="Times New Roman"/>
          <w:bCs/>
          <w:iCs/>
          <w:sz w:val="22"/>
          <w:szCs w:val="22"/>
        </w:rPr>
        <w:t xml:space="preserve"> in the Standard</w:t>
      </w:r>
      <w:r w:rsidR="008C5367">
        <w:rPr>
          <w:rFonts w:ascii="Times New Roman" w:hAnsi="Times New Roman"/>
          <w:bCs/>
          <w:iCs/>
          <w:sz w:val="22"/>
          <w:szCs w:val="22"/>
        </w:rPr>
        <w:t xml:space="preserve"> positively</w:t>
      </w:r>
      <w:r>
        <w:rPr>
          <w:rFonts w:ascii="Times New Roman" w:hAnsi="Times New Roman"/>
          <w:bCs/>
          <w:iCs/>
          <w:sz w:val="22"/>
          <w:szCs w:val="22"/>
        </w:rPr>
        <w:t xml:space="preserve"> engage and support the rights of people with disabilities </w:t>
      </w:r>
      <w:r w:rsidRPr="00707285">
        <w:rPr>
          <w:rFonts w:ascii="Times New Roman" w:hAnsi="Times New Roman"/>
          <w:bCs/>
          <w:iCs/>
          <w:sz w:val="22"/>
          <w:szCs w:val="22"/>
        </w:rPr>
        <w:t>(among others)</w:t>
      </w:r>
      <w:r>
        <w:rPr>
          <w:rFonts w:ascii="Times New Roman" w:hAnsi="Times New Roman"/>
          <w:bCs/>
          <w:iCs/>
          <w:sz w:val="22"/>
          <w:szCs w:val="22"/>
        </w:rPr>
        <w:t xml:space="preserve"> to receive </w:t>
      </w:r>
      <w:r w:rsidRPr="00707285">
        <w:rPr>
          <w:rFonts w:ascii="Times New Roman" w:hAnsi="Times New Roman"/>
          <w:bCs/>
          <w:iCs/>
          <w:sz w:val="22"/>
          <w:szCs w:val="22"/>
        </w:rPr>
        <w:t>information on an equal basis with others and through all forms of communication of their choice</w:t>
      </w:r>
      <w:r>
        <w:rPr>
          <w:rFonts w:ascii="Times New Roman" w:hAnsi="Times New Roman"/>
          <w:bCs/>
          <w:iCs/>
          <w:sz w:val="22"/>
          <w:szCs w:val="22"/>
        </w:rPr>
        <w:t xml:space="preserve"> about telecommunication products and access to financial hardship consistent with Articles 9 and 21 of the CRP</w:t>
      </w:r>
      <w:r w:rsidR="00DC6DB1">
        <w:rPr>
          <w:rFonts w:ascii="Times New Roman" w:hAnsi="Times New Roman"/>
          <w:bCs/>
          <w:iCs/>
          <w:sz w:val="22"/>
          <w:szCs w:val="22"/>
        </w:rPr>
        <w:t>D</w:t>
      </w:r>
      <w:r>
        <w:rPr>
          <w:rFonts w:ascii="Times New Roman" w:hAnsi="Times New Roman"/>
          <w:bCs/>
          <w:iCs/>
          <w:sz w:val="22"/>
          <w:szCs w:val="22"/>
        </w:rPr>
        <w:t xml:space="preserve">. </w:t>
      </w:r>
    </w:p>
    <w:p w14:paraId="7E3249C3" w14:textId="5BC9B036" w:rsidR="00B54545" w:rsidRDefault="00B54545" w:rsidP="00B54545">
      <w:pPr>
        <w:spacing w:before="120" w:after="0" w:line="240" w:lineRule="auto"/>
        <w:rPr>
          <w:rFonts w:ascii="Times New Roman" w:hAnsi="Times New Roman"/>
          <w:bCs/>
          <w:iCs/>
          <w:sz w:val="22"/>
          <w:szCs w:val="22"/>
        </w:rPr>
      </w:pPr>
      <w:r>
        <w:rPr>
          <w:rFonts w:ascii="Times New Roman" w:hAnsi="Times New Roman"/>
          <w:bCs/>
          <w:iCs/>
          <w:sz w:val="22"/>
          <w:szCs w:val="22"/>
        </w:rPr>
        <w:t xml:space="preserve">For example, section 8 imposes obligations on CSPs to make their payment assistance policy available </w:t>
      </w:r>
      <w:r w:rsidRPr="00707285">
        <w:rPr>
          <w:rFonts w:ascii="Times New Roman" w:hAnsi="Times New Roman"/>
          <w:bCs/>
          <w:iCs/>
          <w:sz w:val="22"/>
          <w:szCs w:val="22"/>
        </w:rPr>
        <w:t xml:space="preserve">in a format that is accessible to consumers with disabilities (among others). CSPs are also required in section 10 to ensure that </w:t>
      </w:r>
      <w:r w:rsidR="002F143D">
        <w:rPr>
          <w:rFonts w:ascii="Times New Roman" w:hAnsi="Times New Roman"/>
          <w:bCs/>
          <w:iCs/>
          <w:sz w:val="22"/>
          <w:szCs w:val="22"/>
        </w:rPr>
        <w:t>their</w:t>
      </w:r>
      <w:r w:rsidR="002F143D" w:rsidRPr="00707285">
        <w:rPr>
          <w:rFonts w:ascii="Times New Roman" w:hAnsi="Times New Roman"/>
          <w:bCs/>
          <w:iCs/>
          <w:sz w:val="22"/>
          <w:szCs w:val="22"/>
        </w:rPr>
        <w:t xml:space="preserve"> </w:t>
      </w:r>
      <w:r w:rsidRPr="00707285">
        <w:rPr>
          <w:rFonts w:ascii="Times New Roman" w:hAnsi="Times New Roman"/>
          <w:bCs/>
          <w:iCs/>
          <w:sz w:val="22"/>
          <w:szCs w:val="22"/>
        </w:rPr>
        <w:t xml:space="preserve">processes are accessible to consumers with disabilities. Further, section 16 requires CSPs to assist customers with disabilities to make an application for financial hardship assistance. </w:t>
      </w:r>
    </w:p>
    <w:p w14:paraId="78A1BA0A" w14:textId="409ED92D" w:rsidR="005961B3" w:rsidRPr="00431A5F" w:rsidRDefault="005961B3" w:rsidP="00C87C4D">
      <w:pPr>
        <w:spacing w:before="120" w:after="0" w:line="240" w:lineRule="auto"/>
        <w:rPr>
          <w:rFonts w:ascii="Times New Roman" w:hAnsi="Times New Roman"/>
          <w:b/>
          <w:i/>
          <w:sz w:val="22"/>
          <w:szCs w:val="22"/>
        </w:rPr>
      </w:pPr>
      <w:r w:rsidRPr="00431A5F">
        <w:rPr>
          <w:rFonts w:ascii="Times New Roman" w:hAnsi="Times New Roman"/>
          <w:b/>
          <w:i/>
          <w:sz w:val="22"/>
          <w:szCs w:val="22"/>
        </w:rPr>
        <w:t>Conclusion</w:t>
      </w:r>
    </w:p>
    <w:p w14:paraId="6F951C65" w14:textId="77777777" w:rsidR="00E47C61" w:rsidRDefault="005961B3" w:rsidP="00C87C4D">
      <w:pPr>
        <w:spacing w:before="120" w:after="0" w:line="240" w:lineRule="auto"/>
        <w:rPr>
          <w:rFonts w:ascii="Times New Roman" w:hAnsi="Times New Roman"/>
          <w:sz w:val="22"/>
          <w:szCs w:val="22"/>
        </w:rPr>
      </w:pPr>
      <w:r w:rsidRPr="00431A5F">
        <w:rPr>
          <w:rFonts w:ascii="Times New Roman" w:hAnsi="Times New Roman"/>
          <w:sz w:val="22"/>
          <w:szCs w:val="22"/>
        </w:rPr>
        <w:t xml:space="preserve">The </w:t>
      </w:r>
      <w:r w:rsidR="00D46E93" w:rsidRPr="00431A5F">
        <w:rPr>
          <w:rFonts w:ascii="Times New Roman" w:hAnsi="Times New Roman"/>
          <w:sz w:val="22"/>
          <w:szCs w:val="22"/>
        </w:rPr>
        <w:t>Standard</w:t>
      </w:r>
      <w:r w:rsidRPr="00431A5F">
        <w:rPr>
          <w:rFonts w:ascii="Times New Roman" w:hAnsi="Times New Roman"/>
          <w:sz w:val="22"/>
          <w:szCs w:val="22"/>
        </w:rPr>
        <w:t xml:space="preserve"> is compatible with human rights because</w:t>
      </w:r>
      <w:r w:rsidR="00A93AE3" w:rsidRPr="00431A5F">
        <w:rPr>
          <w:rFonts w:ascii="Times New Roman" w:hAnsi="Times New Roman"/>
          <w:sz w:val="22"/>
          <w:szCs w:val="22"/>
        </w:rPr>
        <w:t xml:space="preserve">, </w:t>
      </w:r>
      <w:r w:rsidR="00192672" w:rsidRPr="00431A5F">
        <w:rPr>
          <w:rFonts w:ascii="Times New Roman" w:hAnsi="Times New Roman"/>
          <w:sz w:val="22"/>
          <w:szCs w:val="22"/>
        </w:rPr>
        <w:t>t</w:t>
      </w:r>
      <w:r w:rsidR="0056456A" w:rsidRPr="00431A5F">
        <w:rPr>
          <w:rFonts w:ascii="Times New Roman" w:hAnsi="Times New Roman"/>
          <w:sz w:val="22"/>
          <w:szCs w:val="22"/>
        </w:rPr>
        <w:t xml:space="preserve">o the extent that </w:t>
      </w:r>
      <w:r w:rsidR="00DE7C9B" w:rsidRPr="00431A5F">
        <w:rPr>
          <w:rFonts w:ascii="Times New Roman" w:hAnsi="Times New Roman"/>
          <w:sz w:val="22"/>
          <w:szCs w:val="22"/>
        </w:rPr>
        <w:t xml:space="preserve">the right to privacy is limited by the Standard, </w:t>
      </w:r>
      <w:r w:rsidR="00FC1B06" w:rsidRPr="00431A5F">
        <w:rPr>
          <w:rFonts w:ascii="Times New Roman" w:hAnsi="Times New Roman"/>
          <w:sz w:val="22"/>
          <w:szCs w:val="22"/>
        </w:rPr>
        <w:t>in light of the</w:t>
      </w:r>
      <w:r w:rsidR="000F2300" w:rsidRPr="00431A5F">
        <w:rPr>
          <w:rFonts w:ascii="Times New Roman" w:hAnsi="Times New Roman"/>
          <w:sz w:val="22"/>
          <w:szCs w:val="22"/>
        </w:rPr>
        <w:t xml:space="preserve"> clear </w:t>
      </w:r>
      <w:r w:rsidR="0090037B" w:rsidRPr="00431A5F">
        <w:rPr>
          <w:rFonts w:ascii="Times New Roman" w:hAnsi="Times New Roman"/>
          <w:sz w:val="22"/>
          <w:szCs w:val="22"/>
        </w:rPr>
        <w:t xml:space="preserve">protections and </w:t>
      </w:r>
      <w:r w:rsidR="000F2300" w:rsidRPr="00431A5F">
        <w:rPr>
          <w:rFonts w:ascii="Times New Roman" w:hAnsi="Times New Roman"/>
          <w:sz w:val="22"/>
          <w:szCs w:val="22"/>
        </w:rPr>
        <w:t xml:space="preserve">safeguards </w:t>
      </w:r>
      <w:r w:rsidR="00F34801" w:rsidRPr="00431A5F">
        <w:rPr>
          <w:rFonts w:ascii="Times New Roman" w:hAnsi="Times New Roman"/>
          <w:sz w:val="22"/>
          <w:szCs w:val="22"/>
        </w:rPr>
        <w:t xml:space="preserve">set out in the Standard, </w:t>
      </w:r>
      <w:r w:rsidR="001D0ECC" w:rsidRPr="00431A5F">
        <w:rPr>
          <w:rFonts w:ascii="Times New Roman" w:hAnsi="Times New Roman"/>
          <w:sz w:val="22"/>
          <w:szCs w:val="22"/>
        </w:rPr>
        <w:t>the limitation is reasonable</w:t>
      </w:r>
      <w:r w:rsidR="00E405FD" w:rsidRPr="00431A5F">
        <w:rPr>
          <w:rFonts w:ascii="Times New Roman" w:hAnsi="Times New Roman"/>
          <w:sz w:val="22"/>
          <w:szCs w:val="22"/>
        </w:rPr>
        <w:t xml:space="preserve">, necessary and proportionate to </w:t>
      </w:r>
      <w:r w:rsidR="00E744C1" w:rsidRPr="00431A5F">
        <w:rPr>
          <w:rFonts w:ascii="Times New Roman" w:hAnsi="Times New Roman"/>
          <w:sz w:val="22"/>
          <w:szCs w:val="22"/>
        </w:rPr>
        <w:t>meet</w:t>
      </w:r>
      <w:r w:rsidR="00B45794" w:rsidRPr="00431A5F">
        <w:rPr>
          <w:rFonts w:ascii="Times New Roman" w:hAnsi="Times New Roman"/>
          <w:sz w:val="22"/>
          <w:szCs w:val="22"/>
        </w:rPr>
        <w:t xml:space="preserve"> </w:t>
      </w:r>
      <w:r w:rsidR="00E405FD" w:rsidRPr="00431A5F">
        <w:rPr>
          <w:rFonts w:ascii="Times New Roman" w:hAnsi="Times New Roman"/>
          <w:sz w:val="22"/>
          <w:szCs w:val="22"/>
        </w:rPr>
        <w:t xml:space="preserve">the objectives of the </w:t>
      </w:r>
      <w:proofErr w:type="gramStart"/>
      <w:r w:rsidR="00E405FD" w:rsidRPr="00431A5F">
        <w:rPr>
          <w:rFonts w:ascii="Times New Roman" w:hAnsi="Times New Roman"/>
          <w:sz w:val="22"/>
          <w:szCs w:val="22"/>
        </w:rPr>
        <w:t>Standard, and</w:t>
      </w:r>
      <w:proofErr w:type="gramEnd"/>
      <w:r w:rsidR="00E405FD" w:rsidRPr="00431A5F">
        <w:rPr>
          <w:rFonts w:ascii="Times New Roman" w:hAnsi="Times New Roman"/>
          <w:sz w:val="22"/>
          <w:szCs w:val="22"/>
        </w:rPr>
        <w:t xml:space="preserve"> </w:t>
      </w:r>
      <w:r w:rsidR="00612111" w:rsidRPr="00431A5F">
        <w:rPr>
          <w:rFonts w:ascii="Times New Roman" w:hAnsi="Times New Roman"/>
          <w:sz w:val="22"/>
          <w:szCs w:val="22"/>
        </w:rPr>
        <w:t>is no more restrictive than is required to achieve th</w:t>
      </w:r>
      <w:r w:rsidR="00DD2A54" w:rsidRPr="00431A5F">
        <w:rPr>
          <w:rFonts w:ascii="Times New Roman" w:hAnsi="Times New Roman"/>
          <w:sz w:val="22"/>
          <w:szCs w:val="22"/>
        </w:rPr>
        <w:t>os</w:t>
      </w:r>
      <w:r w:rsidR="00612111" w:rsidRPr="00431A5F">
        <w:rPr>
          <w:rFonts w:ascii="Times New Roman" w:hAnsi="Times New Roman"/>
          <w:sz w:val="22"/>
          <w:szCs w:val="22"/>
        </w:rPr>
        <w:t>e</w:t>
      </w:r>
      <w:r w:rsidR="00A412B6" w:rsidRPr="00431A5F">
        <w:rPr>
          <w:rFonts w:ascii="Times New Roman" w:hAnsi="Times New Roman"/>
          <w:sz w:val="22"/>
          <w:szCs w:val="22"/>
        </w:rPr>
        <w:t xml:space="preserve"> objectives</w:t>
      </w:r>
      <w:r w:rsidR="00A1034A" w:rsidRPr="00431A5F">
        <w:rPr>
          <w:rFonts w:ascii="Times New Roman" w:hAnsi="Times New Roman"/>
          <w:sz w:val="22"/>
          <w:szCs w:val="22"/>
        </w:rPr>
        <w:t>.</w:t>
      </w:r>
      <w:r w:rsidR="0049658C">
        <w:rPr>
          <w:rFonts w:ascii="Times New Roman" w:hAnsi="Times New Roman"/>
          <w:sz w:val="22"/>
          <w:szCs w:val="22"/>
        </w:rPr>
        <w:t xml:space="preserve"> </w:t>
      </w:r>
    </w:p>
    <w:p w14:paraId="30541171" w14:textId="3D374C3D" w:rsidR="00A24C7B" w:rsidRPr="00431A5F" w:rsidRDefault="0049658C" w:rsidP="00C87C4D">
      <w:pPr>
        <w:spacing w:before="120" w:after="0" w:line="240" w:lineRule="auto"/>
        <w:rPr>
          <w:rFonts w:ascii="Times New Roman" w:hAnsi="Times New Roman"/>
          <w:sz w:val="22"/>
          <w:szCs w:val="22"/>
        </w:rPr>
      </w:pPr>
      <w:r>
        <w:rPr>
          <w:rFonts w:ascii="Times New Roman" w:hAnsi="Times New Roman"/>
          <w:sz w:val="22"/>
          <w:szCs w:val="22"/>
        </w:rPr>
        <w:t xml:space="preserve">Further, </w:t>
      </w:r>
      <w:r w:rsidR="008210A7">
        <w:rPr>
          <w:rFonts w:ascii="Times New Roman" w:hAnsi="Times New Roman"/>
          <w:sz w:val="22"/>
          <w:szCs w:val="22"/>
        </w:rPr>
        <w:t xml:space="preserve">the Standard is compatible with </w:t>
      </w:r>
      <w:r>
        <w:rPr>
          <w:rFonts w:ascii="Times New Roman" w:hAnsi="Times New Roman"/>
          <w:sz w:val="22"/>
          <w:szCs w:val="22"/>
        </w:rPr>
        <w:t>right to freedom of expression and rights for persons with disabilities</w:t>
      </w:r>
      <w:r w:rsidR="00E47C61">
        <w:rPr>
          <w:rFonts w:ascii="Times New Roman" w:hAnsi="Times New Roman"/>
          <w:sz w:val="22"/>
          <w:szCs w:val="22"/>
        </w:rPr>
        <w:t>.</w:t>
      </w:r>
      <w:r>
        <w:rPr>
          <w:rFonts w:ascii="Times New Roman" w:hAnsi="Times New Roman"/>
          <w:sz w:val="22"/>
          <w:szCs w:val="22"/>
        </w:rPr>
        <w:t xml:space="preserve"> </w:t>
      </w:r>
      <w:r w:rsidR="00E47C61">
        <w:rPr>
          <w:rFonts w:ascii="Times New Roman" w:hAnsi="Times New Roman"/>
          <w:sz w:val="22"/>
          <w:szCs w:val="22"/>
        </w:rPr>
        <w:t>T</w:t>
      </w:r>
      <w:r w:rsidR="008210A7">
        <w:rPr>
          <w:rFonts w:ascii="Times New Roman" w:hAnsi="Times New Roman"/>
          <w:sz w:val="22"/>
          <w:szCs w:val="22"/>
        </w:rPr>
        <w:t xml:space="preserve">hese rights are positively engaged </w:t>
      </w:r>
      <w:r w:rsidR="00A829B9">
        <w:rPr>
          <w:rFonts w:ascii="Times New Roman" w:hAnsi="Times New Roman"/>
          <w:sz w:val="22"/>
          <w:szCs w:val="22"/>
        </w:rPr>
        <w:t>by</w:t>
      </w:r>
      <w:r>
        <w:rPr>
          <w:rFonts w:ascii="Times New Roman" w:hAnsi="Times New Roman"/>
          <w:sz w:val="22"/>
          <w:szCs w:val="22"/>
        </w:rPr>
        <w:t xml:space="preserve"> </w:t>
      </w:r>
      <w:r w:rsidR="008210A7">
        <w:rPr>
          <w:rFonts w:ascii="Times New Roman" w:hAnsi="Times New Roman"/>
          <w:sz w:val="22"/>
          <w:szCs w:val="22"/>
        </w:rPr>
        <w:t>provid</w:t>
      </w:r>
      <w:r w:rsidR="00622A12">
        <w:rPr>
          <w:rFonts w:ascii="Times New Roman" w:hAnsi="Times New Roman"/>
          <w:sz w:val="22"/>
          <w:szCs w:val="22"/>
        </w:rPr>
        <w:t>ing</w:t>
      </w:r>
      <w:r w:rsidR="008210A7">
        <w:rPr>
          <w:rFonts w:ascii="Times New Roman" w:hAnsi="Times New Roman"/>
          <w:sz w:val="22"/>
          <w:szCs w:val="22"/>
        </w:rPr>
        <w:t xml:space="preserve"> </w:t>
      </w:r>
      <w:r w:rsidR="00E17AD2">
        <w:rPr>
          <w:rFonts w:ascii="Times New Roman" w:hAnsi="Times New Roman"/>
          <w:sz w:val="22"/>
          <w:szCs w:val="22"/>
        </w:rPr>
        <w:t xml:space="preserve">consumer </w:t>
      </w:r>
      <w:r w:rsidR="008210A7">
        <w:rPr>
          <w:rFonts w:ascii="Times New Roman" w:hAnsi="Times New Roman"/>
          <w:sz w:val="22"/>
          <w:szCs w:val="22"/>
        </w:rPr>
        <w:t>protections</w:t>
      </w:r>
      <w:r w:rsidR="00A829B9">
        <w:rPr>
          <w:rFonts w:ascii="Times New Roman" w:hAnsi="Times New Roman"/>
          <w:sz w:val="22"/>
          <w:szCs w:val="22"/>
        </w:rPr>
        <w:t xml:space="preserve"> and safeguards</w:t>
      </w:r>
      <w:r w:rsidR="008210A7">
        <w:rPr>
          <w:rFonts w:ascii="Times New Roman" w:hAnsi="Times New Roman"/>
          <w:sz w:val="22"/>
          <w:szCs w:val="22"/>
        </w:rPr>
        <w:t xml:space="preserve"> </w:t>
      </w:r>
      <w:r w:rsidR="00B571CA">
        <w:rPr>
          <w:rFonts w:ascii="Times New Roman" w:hAnsi="Times New Roman"/>
          <w:sz w:val="22"/>
          <w:szCs w:val="22"/>
        </w:rPr>
        <w:t>by</w:t>
      </w:r>
      <w:r w:rsidR="008210A7">
        <w:rPr>
          <w:rFonts w:ascii="Times New Roman" w:hAnsi="Times New Roman"/>
          <w:sz w:val="22"/>
          <w:szCs w:val="22"/>
        </w:rPr>
        <w:t xml:space="preserve"> </w:t>
      </w:r>
      <w:r w:rsidR="007D5793">
        <w:rPr>
          <w:rFonts w:ascii="Times New Roman" w:hAnsi="Times New Roman"/>
          <w:sz w:val="22"/>
          <w:szCs w:val="22"/>
        </w:rPr>
        <w:t xml:space="preserve">requiring </w:t>
      </w:r>
      <w:r w:rsidR="0035442E">
        <w:rPr>
          <w:rFonts w:ascii="Times New Roman" w:hAnsi="Times New Roman"/>
          <w:sz w:val="22"/>
          <w:szCs w:val="22"/>
        </w:rPr>
        <w:t xml:space="preserve">CSPS to </w:t>
      </w:r>
      <w:r w:rsidR="00B571CA">
        <w:rPr>
          <w:rFonts w:ascii="Times New Roman" w:hAnsi="Times New Roman"/>
          <w:sz w:val="22"/>
          <w:szCs w:val="22"/>
        </w:rPr>
        <w:t>make information</w:t>
      </w:r>
      <w:r w:rsidR="0035442E">
        <w:rPr>
          <w:rFonts w:ascii="Times New Roman" w:hAnsi="Times New Roman"/>
          <w:sz w:val="22"/>
          <w:szCs w:val="22"/>
        </w:rPr>
        <w:t xml:space="preserve"> </w:t>
      </w:r>
      <w:r w:rsidR="00B571CA">
        <w:rPr>
          <w:rFonts w:ascii="Times New Roman" w:hAnsi="Times New Roman"/>
          <w:sz w:val="22"/>
          <w:szCs w:val="22"/>
        </w:rPr>
        <w:t xml:space="preserve">available </w:t>
      </w:r>
      <w:r w:rsidR="005D65CC">
        <w:rPr>
          <w:rFonts w:ascii="Times New Roman" w:hAnsi="Times New Roman"/>
          <w:sz w:val="22"/>
          <w:szCs w:val="22"/>
        </w:rPr>
        <w:t xml:space="preserve">about </w:t>
      </w:r>
      <w:proofErr w:type="gramStart"/>
      <w:r w:rsidR="005D65CC">
        <w:rPr>
          <w:rFonts w:ascii="Times New Roman" w:hAnsi="Times New Roman"/>
          <w:sz w:val="22"/>
          <w:szCs w:val="22"/>
        </w:rPr>
        <w:t>a</w:t>
      </w:r>
      <w:r w:rsidR="0026194E">
        <w:rPr>
          <w:rFonts w:ascii="Times New Roman" w:hAnsi="Times New Roman"/>
          <w:sz w:val="22"/>
          <w:szCs w:val="22"/>
        </w:rPr>
        <w:t xml:space="preserve"> </w:t>
      </w:r>
      <w:r w:rsidR="000F1804">
        <w:rPr>
          <w:rFonts w:ascii="Times New Roman" w:hAnsi="Times New Roman"/>
          <w:sz w:val="22"/>
          <w:szCs w:val="22"/>
        </w:rPr>
        <w:t>their</w:t>
      </w:r>
      <w:proofErr w:type="gramEnd"/>
      <w:r w:rsidR="0026194E">
        <w:rPr>
          <w:rFonts w:ascii="Times New Roman" w:hAnsi="Times New Roman"/>
          <w:sz w:val="22"/>
          <w:szCs w:val="22"/>
        </w:rPr>
        <w:t xml:space="preserve"> financial hardship policies </w:t>
      </w:r>
      <w:r w:rsidR="006D0780">
        <w:rPr>
          <w:rFonts w:ascii="Times New Roman" w:hAnsi="Times New Roman"/>
          <w:sz w:val="22"/>
          <w:szCs w:val="22"/>
        </w:rPr>
        <w:t xml:space="preserve">and processes </w:t>
      </w:r>
      <w:r w:rsidR="00B571CA">
        <w:rPr>
          <w:rFonts w:ascii="Times New Roman" w:hAnsi="Times New Roman"/>
          <w:sz w:val="22"/>
          <w:szCs w:val="22"/>
        </w:rPr>
        <w:t xml:space="preserve">to </w:t>
      </w:r>
      <w:r w:rsidR="005D65CC">
        <w:rPr>
          <w:rFonts w:ascii="Times New Roman" w:hAnsi="Times New Roman"/>
          <w:sz w:val="22"/>
          <w:szCs w:val="22"/>
        </w:rPr>
        <w:t xml:space="preserve">all </w:t>
      </w:r>
      <w:r w:rsidR="00B571CA">
        <w:rPr>
          <w:rFonts w:ascii="Times New Roman" w:hAnsi="Times New Roman"/>
          <w:sz w:val="22"/>
          <w:szCs w:val="22"/>
        </w:rPr>
        <w:t xml:space="preserve">consumers </w:t>
      </w:r>
      <w:r w:rsidR="005D65CC">
        <w:rPr>
          <w:rFonts w:ascii="Times New Roman" w:hAnsi="Times New Roman"/>
          <w:sz w:val="22"/>
          <w:szCs w:val="22"/>
        </w:rPr>
        <w:t>on an equal basis</w:t>
      </w:r>
      <w:r w:rsidR="00A06880">
        <w:rPr>
          <w:rFonts w:ascii="Times New Roman" w:hAnsi="Times New Roman"/>
          <w:sz w:val="22"/>
          <w:szCs w:val="22"/>
        </w:rPr>
        <w:t>.</w:t>
      </w:r>
      <w:r w:rsidR="00B571CA">
        <w:rPr>
          <w:rFonts w:ascii="Times New Roman" w:hAnsi="Times New Roman"/>
          <w:sz w:val="22"/>
          <w:szCs w:val="22"/>
        </w:rPr>
        <w:t xml:space="preserve"> </w:t>
      </w:r>
    </w:p>
    <w:p w14:paraId="57962320" w14:textId="5DD543DA" w:rsidR="00B7224F" w:rsidRDefault="00B7224F">
      <w:pPr>
        <w:rPr>
          <w:rFonts w:ascii="Times New Roman" w:hAnsi="Times New Roman"/>
        </w:rPr>
      </w:pPr>
      <w:r>
        <w:rPr>
          <w:rFonts w:ascii="Times New Roman" w:hAnsi="Times New Roman"/>
        </w:rPr>
        <w:br w:type="page"/>
      </w:r>
    </w:p>
    <w:p w14:paraId="76E2EC07" w14:textId="77777777" w:rsidR="00594E4C" w:rsidRPr="00B7224F" w:rsidRDefault="00594E4C" w:rsidP="000D1C9D">
      <w:pPr>
        <w:spacing w:line="256" w:lineRule="auto"/>
        <w:rPr>
          <w:rFonts w:ascii="Times New Roman" w:hAnsi="Times New Roman"/>
        </w:rPr>
      </w:pPr>
    </w:p>
    <w:p w14:paraId="4CDA306F" w14:textId="2F9D9537" w:rsidR="00134725" w:rsidRPr="00641906" w:rsidRDefault="00134725" w:rsidP="00134725">
      <w:pPr>
        <w:jc w:val="right"/>
        <w:rPr>
          <w:rFonts w:ascii="Times New Roman" w:hAnsi="Times New Roman"/>
          <w:b/>
          <w:sz w:val="28"/>
          <w:szCs w:val="28"/>
        </w:rPr>
      </w:pPr>
      <w:r w:rsidRPr="00641906">
        <w:rPr>
          <w:rFonts w:ascii="Times New Roman" w:hAnsi="Times New Roman"/>
          <w:b/>
          <w:sz w:val="28"/>
          <w:szCs w:val="28"/>
        </w:rPr>
        <w:t xml:space="preserve">Attachment </w:t>
      </w:r>
      <w:r>
        <w:rPr>
          <w:rFonts w:ascii="Times New Roman" w:hAnsi="Times New Roman"/>
          <w:b/>
          <w:sz w:val="28"/>
          <w:szCs w:val="28"/>
        </w:rPr>
        <w:t>C</w:t>
      </w:r>
    </w:p>
    <w:p w14:paraId="600C2451" w14:textId="1804F659" w:rsidR="00025ACE" w:rsidRDefault="00134725" w:rsidP="00134725">
      <w:pPr>
        <w:rPr>
          <w:rFonts w:ascii="Times New Roman" w:hAnsi="Times New Roman"/>
          <w:b/>
          <w:sz w:val="28"/>
          <w:szCs w:val="28"/>
        </w:rPr>
      </w:pPr>
      <w:r>
        <w:rPr>
          <w:rFonts w:ascii="Times New Roman" w:hAnsi="Times New Roman"/>
          <w:b/>
          <w:sz w:val="28"/>
          <w:szCs w:val="28"/>
        </w:rPr>
        <w:t xml:space="preserve">Impact </w:t>
      </w:r>
      <w:r w:rsidR="00025FE9">
        <w:rPr>
          <w:rFonts w:ascii="Times New Roman" w:hAnsi="Times New Roman"/>
          <w:b/>
          <w:sz w:val="28"/>
          <w:szCs w:val="28"/>
        </w:rPr>
        <w:t>Analysis</w:t>
      </w:r>
    </w:p>
    <w:p w14:paraId="2C05D88F" w14:textId="77777777" w:rsidR="00623569" w:rsidRDefault="00623569" w:rsidP="00134725">
      <w:pPr>
        <w:rPr>
          <w:rFonts w:ascii="Times New Roman" w:hAnsi="Times New Roman"/>
          <w:b/>
          <w:sz w:val="28"/>
          <w:szCs w:val="28"/>
        </w:rPr>
      </w:pPr>
    </w:p>
    <w:p w14:paraId="41CBB3DF" w14:textId="77777777" w:rsidR="00623569" w:rsidRDefault="00623569" w:rsidP="00134725">
      <w:pPr>
        <w:rPr>
          <w:rFonts w:ascii="Times New Roman" w:hAnsi="Times New Roman"/>
          <w:b/>
          <w:sz w:val="28"/>
          <w:szCs w:val="28"/>
        </w:rPr>
        <w:sectPr w:rsidR="00623569" w:rsidSect="00082354">
          <w:footerReference w:type="default" r:id="rId15"/>
          <w:pgSz w:w="11906" w:h="16838"/>
          <w:pgMar w:top="1440" w:right="1440" w:bottom="1440" w:left="1440" w:header="708" w:footer="708" w:gutter="0"/>
          <w:cols w:space="708"/>
          <w:titlePg/>
          <w:docGrid w:linePitch="360"/>
        </w:sectPr>
      </w:pPr>
    </w:p>
    <w:p w14:paraId="3EC05AFD" w14:textId="77777777" w:rsidR="00623569" w:rsidRPr="00A51D1A" w:rsidRDefault="00623569" w:rsidP="00623569">
      <w:pPr>
        <w:pStyle w:val="Reporttitle"/>
        <w:spacing w:after="200"/>
      </w:pPr>
      <w:bookmarkStart w:id="0" w:name="_Hlk148453438"/>
      <w:r>
        <w:lastRenderedPageBreak/>
        <w:t>Financial hardship in the telco sector – enhancing consumer protections</w:t>
      </w:r>
      <w:r>
        <w:br/>
      </w:r>
      <w:r w:rsidRPr="00924231">
        <w:rPr>
          <w:b w:val="0"/>
          <w:bCs/>
        </w:rPr>
        <w:t xml:space="preserve">Impact </w:t>
      </w:r>
      <w:proofErr w:type="gramStart"/>
      <w:r>
        <w:rPr>
          <w:b w:val="0"/>
          <w:bCs/>
        </w:rPr>
        <w:t>a</w:t>
      </w:r>
      <w:r w:rsidRPr="00924231">
        <w:rPr>
          <w:b w:val="0"/>
          <w:bCs/>
        </w:rPr>
        <w:t>nalysis</w:t>
      </w:r>
      <w:proofErr w:type="gramEnd"/>
    </w:p>
    <w:p w14:paraId="746F61BE" w14:textId="77777777" w:rsidR="00623569" w:rsidRPr="000D76E0" w:rsidRDefault="00623569" w:rsidP="00623569">
      <w:pPr>
        <w:pStyle w:val="Reportdate"/>
        <w:spacing w:after="720"/>
        <w:rPr>
          <w:rFonts w:cs="Arial"/>
        </w:rPr>
        <w:sectPr w:rsidR="00623569" w:rsidRPr="000D76E0" w:rsidSect="00C9240C">
          <w:headerReference w:type="default" r:id="rId16"/>
          <w:footerReference w:type="default" r:id="rId17"/>
          <w:headerReference w:type="first" r:id="rId18"/>
          <w:pgSz w:w="11906" w:h="16838" w:code="9"/>
          <w:pgMar w:top="3924" w:right="992" w:bottom="1440" w:left="1134" w:header="709" w:footer="454" w:gutter="0"/>
          <w:cols w:space="708"/>
          <w:docGrid w:linePitch="360"/>
        </w:sectPr>
      </w:pPr>
      <w:r>
        <w:t>JANUARY 2024</w:t>
      </w:r>
    </w:p>
    <w:p w14:paraId="70059AF3" w14:textId="77777777" w:rsidR="00623569" w:rsidRPr="00317FE4" w:rsidRDefault="00623569" w:rsidP="00623569">
      <w:pPr>
        <w:pStyle w:val="ACMACorporateAddressHeader"/>
      </w:pPr>
      <w:r w:rsidRPr="00317FE4">
        <w:lastRenderedPageBreak/>
        <w:t>Canberra</w:t>
      </w:r>
    </w:p>
    <w:p w14:paraId="22164FE5" w14:textId="77777777" w:rsidR="00623569" w:rsidRPr="00FC07B9" w:rsidRDefault="00623569" w:rsidP="00623569">
      <w:pPr>
        <w:pStyle w:val="ACMACorporateAddresses"/>
      </w:pPr>
      <w:r w:rsidRPr="00317FE4">
        <w:t>Level 3</w:t>
      </w:r>
      <w:r w:rsidRPr="0062597D">
        <w:t xml:space="preserve"> </w:t>
      </w:r>
      <w:r w:rsidRPr="0062597D">
        <w:br/>
        <w:t>40 Cameron Avenue</w:t>
      </w:r>
      <w:r w:rsidRPr="0062597D">
        <w:br/>
        <w:t>Belconnen ACT</w:t>
      </w:r>
    </w:p>
    <w:p w14:paraId="4D03C228" w14:textId="77777777" w:rsidR="00623569" w:rsidRPr="00FC07B9" w:rsidRDefault="00623569" w:rsidP="00623569">
      <w:pPr>
        <w:pStyle w:val="ACMACorporateAddresses"/>
      </w:pPr>
      <w:r w:rsidRPr="00FC07B9">
        <w:t>PO Box 78</w:t>
      </w:r>
      <w:r w:rsidRPr="00FC07B9">
        <w:br/>
        <w:t>Belconnen ACT 2616</w:t>
      </w:r>
    </w:p>
    <w:p w14:paraId="243C5AB0" w14:textId="77777777" w:rsidR="00623569" w:rsidRPr="00FC07B9" w:rsidRDefault="00623569" w:rsidP="00623569">
      <w:pPr>
        <w:pStyle w:val="ACMACorporateAddresses"/>
      </w:pPr>
      <w:r w:rsidRPr="00FC07B9">
        <w:t>T</w:t>
      </w:r>
      <w:r w:rsidRPr="00FC07B9">
        <w:tab/>
        <w:t>+61 2 6219 5555</w:t>
      </w:r>
      <w:r w:rsidRPr="00FC07B9">
        <w:br/>
        <w:t>F</w:t>
      </w:r>
      <w:r w:rsidRPr="00FC07B9">
        <w:tab/>
        <w:t>+61 2 6219 5353</w:t>
      </w:r>
    </w:p>
    <w:p w14:paraId="3A6FE9D4" w14:textId="77777777" w:rsidR="00623569" w:rsidRPr="00F44F3A" w:rsidRDefault="00623569" w:rsidP="00623569">
      <w:pPr>
        <w:pStyle w:val="ACMACorporateAddressHeader"/>
      </w:pPr>
      <w:r w:rsidRPr="00F44F3A">
        <w:t>Melbourne</w:t>
      </w:r>
    </w:p>
    <w:p w14:paraId="726A4653" w14:textId="77777777" w:rsidR="00623569" w:rsidRPr="00F44F3A" w:rsidRDefault="00623569" w:rsidP="00623569">
      <w:pPr>
        <w:pStyle w:val="ACMACorporateAddresses"/>
      </w:pPr>
      <w:r w:rsidRPr="00F44F3A">
        <w:t xml:space="preserve">Level 32 </w:t>
      </w:r>
      <w:r w:rsidRPr="00F44F3A">
        <w:br/>
        <w:t>Melbourne Central Tower</w:t>
      </w:r>
      <w:r w:rsidRPr="00F44F3A">
        <w:br/>
        <w:t xml:space="preserve">360 Elizabeth Street </w:t>
      </w:r>
      <w:r w:rsidRPr="00F44F3A">
        <w:br/>
        <w:t>Melbourne VIC</w:t>
      </w:r>
    </w:p>
    <w:p w14:paraId="7218D5F6" w14:textId="77777777" w:rsidR="00623569" w:rsidRPr="00F44F3A" w:rsidRDefault="00623569" w:rsidP="00623569">
      <w:pPr>
        <w:pStyle w:val="ACMACorporateAddresses"/>
      </w:pPr>
      <w:r w:rsidRPr="00F44F3A">
        <w:t>PO Box 13112</w:t>
      </w:r>
      <w:r w:rsidRPr="00F44F3A">
        <w:br/>
        <w:t xml:space="preserve">Law Courts </w:t>
      </w:r>
      <w:r w:rsidRPr="00F44F3A">
        <w:br/>
        <w:t>Melbourne VIC 8010</w:t>
      </w:r>
    </w:p>
    <w:p w14:paraId="3DD5294A" w14:textId="77777777" w:rsidR="00623569" w:rsidRPr="00F44F3A" w:rsidRDefault="00623569" w:rsidP="00623569">
      <w:pPr>
        <w:pStyle w:val="ACMACorporateAddresses"/>
      </w:pPr>
      <w:r w:rsidRPr="00F44F3A">
        <w:t>T</w:t>
      </w:r>
      <w:r w:rsidRPr="00F44F3A">
        <w:tab/>
        <w:t>+61 3 9963 6800</w:t>
      </w:r>
      <w:r w:rsidRPr="00F44F3A">
        <w:br/>
        <w:t>F</w:t>
      </w:r>
      <w:r w:rsidRPr="00F44F3A">
        <w:tab/>
        <w:t>+61 3 9963 6899</w:t>
      </w:r>
    </w:p>
    <w:p w14:paraId="359DDD84" w14:textId="77777777" w:rsidR="00623569" w:rsidRPr="00F44F3A" w:rsidRDefault="00623569" w:rsidP="00623569">
      <w:pPr>
        <w:pStyle w:val="ACMACorporateAddressHeader"/>
      </w:pPr>
      <w:r w:rsidRPr="00F44F3A">
        <w:t>Sydney</w:t>
      </w:r>
    </w:p>
    <w:p w14:paraId="0447DE6F" w14:textId="77777777" w:rsidR="00623569" w:rsidRPr="00F44F3A" w:rsidRDefault="00623569" w:rsidP="00623569">
      <w:pPr>
        <w:pStyle w:val="ACMACorporateAddresses"/>
      </w:pPr>
      <w:r w:rsidRPr="00F44F3A">
        <w:t xml:space="preserve">Level 5 </w:t>
      </w:r>
      <w:r w:rsidRPr="00F44F3A">
        <w:br/>
        <w:t>The Bay Centre</w:t>
      </w:r>
      <w:r w:rsidRPr="00F44F3A">
        <w:br/>
        <w:t xml:space="preserve">65 Pirrama Road </w:t>
      </w:r>
      <w:r w:rsidRPr="00F44F3A">
        <w:br/>
        <w:t>Pyrmont NSW</w:t>
      </w:r>
    </w:p>
    <w:p w14:paraId="542CF4C1" w14:textId="77777777" w:rsidR="00623569" w:rsidRPr="00F44F3A" w:rsidRDefault="00623569" w:rsidP="00623569">
      <w:pPr>
        <w:pStyle w:val="ACMACorporateAddresses"/>
      </w:pPr>
      <w:r w:rsidRPr="00F44F3A">
        <w:t>PO Box Q500</w:t>
      </w:r>
      <w:r w:rsidRPr="00F44F3A">
        <w:br/>
        <w:t xml:space="preserve">Queen Victoria Building </w:t>
      </w:r>
      <w:r w:rsidRPr="00F44F3A">
        <w:br/>
        <w:t>NSW 1230</w:t>
      </w:r>
    </w:p>
    <w:p w14:paraId="5BB6854D" w14:textId="77777777" w:rsidR="00623569" w:rsidRPr="00F44F3A" w:rsidRDefault="00623569" w:rsidP="00623569">
      <w:pPr>
        <w:pStyle w:val="ACMACorporateAddresses"/>
      </w:pPr>
      <w:r w:rsidRPr="00F44F3A">
        <w:t>T</w:t>
      </w:r>
      <w:r w:rsidRPr="00F44F3A">
        <w:tab/>
        <w:t>+61 2 9334 7700 or 1800 226 667</w:t>
      </w:r>
      <w:r w:rsidRPr="00F44F3A">
        <w:br/>
        <w:t>F</w:t>
      </w:r>
      <w:r w:rsidRPr="00F44F3A">
        <w:tab/>
        <w:t>+61 2 9334 7799</w:t>
      </w:r>
    </w:p>
    <w:p w14:paraId="0424B81D" w14:textId="77777777" w:rsidR="00623569" w:rsidRPr="006D46E5" w:rsidRDefault="00623569" w:rsidP="00623569">
      <w:pPr>
        <w:pStyle w:val="ACMACopyrightHeader"/>
        <w:spacing w:before="4560"/>
      </w:pPr>
      <w:r w:rsidRPr="00140318">
        <w:t>Copyright notice</w:t>
      </w:r>
    </w:p>
    <w:p w14:paraId="0FB7DB8C" w14:textId="77777777" w:rsidR="00623569" w:rsidRPr="006D46E5" w:rsidRDefault="00623569" w:rsidP="00623569">
      <w:pPr>
        <w:pStyle w:val="ACMACClogo"/>
      </w:pPr>
      <w:r w:rsidRPr="00623FF9">
        <w:rPr>
          <w:noProof/>
        </w:rPr>
        <w:drawing>
          <wp:inline distT="0" distB="0" distL="0" distR="0" wp14:anchorId="4F08E31A" wp14:editId="22FD3DA1">
            <wp:extent cx="838200" cy="295275"/>
            <wp:effectExtent l="0" t="0" r="0" b="0"/>
            <wp:docPr id="1" name="Picture 1" title="Creative Commons 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9"/>
                    </pic:cNvPr>
                    <pic:cNvPicPr>
                      <a:picLocks noChangeAspect="1" noChangeArrowheads="1"/>
                    </pic:cNvPicPr>
                  </pic:nvPicPr>
                  <pic:blipFill>
                    <a:blip r:embed="rId20" cstate="print"/>
                    <a:srcRect/>
                    <a:stretch>
                      <a:fillRect/>
                    </a:stretch>
                  </pic:blipFill>
                  <pic:spPr bwMode="auto">
                    <a:xfrm>
                      <a:off x="0" y="0"/>
                      <a:ext cx="838200" cy="295275"/>
                    </a:xfrm>
                    <a:prstGeom prst="rect">
                      <a:avLst/>
                    </a:prstGeom>
                    <a:noFill/>
                  </pic:spPr>
                </pic:pic>
              </a:graphicData>
            </a:graphic>
          </wp:inline>
        </w:drawing>
      </w:r>
    </w:p>
    <w:p w14:paraId="1B6E4761" w14:textId="77777777" w:rsidR="00623569" w:rsidRDefault="001D7FDC" w:rsidP="00623569">
      <w:pPr>
        <w:pStyle w:val="ACMACorporateAddresses"/>
        <w:rPr>
          <w:rStyle w:val="Hyperlink"/>
        </w:rPr>
      </w:pPr>
      <w:hyperlink r:id="rId21" w:history="1">
        <w:r w:rsidR="00623569">
          <w:rPr>
            <w:rStyle w:val="Hyperlink"/>
          </w:rPr>
          <w:t>https://creativecommons.org/licenses/by/4.0/</w:t>
        </w:r>
      </w:hyperlink>
    </w:p>
    <w:p w14:paraId="70B50C95" w14:textId="77777777" w:rsidR="00623569" w:rsidRDefault="00623569" w:rsidP="00623569">
      <w:pPr>
        <w:pStyle w:val="ACMACorporateAddresses"/>
      </w:pPr>
      <w:proofErr w:type="gramStart"/>
      <w:r>
        <w:t>With the exception of</w:t>
      </w:r>
      <w:proofErr w:type="gramEnd"/>
      <w:r>
        <w:t xml:space="preserve"> coats of arms, logos, emblems, images, other third-party material or devices protected by a trademark, this content is made available under the terms of the Creative Commons Attribution 4.0 International (CC BY 4.0) licence. </w:t>
      </w:r>
    </w:p>
    <w:p w14:paraId="6CB0A0BE" w14:textId="77777777" w:rsidR="00623569" w:rsidRDefault="00623569" w:rsidP="00623569">
      <w:pPr>
        <w:pStyle w:val="ACMACorporateAddresses"/>
      </w:pPr>
      <w:r>
        <w:t>All other rights are reserved.</w:t>
      </w:r>
    </w:p>
    <w:p w14:paraId="4F139986" w14:textId="77777777" w:rsidR="00623569" w:rsidRDefault="00623569" w:rsidP="00623569">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3DF5974D" w14:textId="77777777" w:rsidR="00623569" w:rsidRPr="007B5360" w:rsidRDefault="00623569" w:rsidP="00623569">
      <w:pPr>
        <w:pStyle w:val="ACMACorporateAddresses"/>
        <w:rPr>
          <w:rStyle w:val="Hyperlink"/>
        </w:rPr>
      </w:pPr>
      <w:r>
        <w:t xml:space="preserve">We request attribution as © Commonwealth of Australia (Australian Communications and Media </w:t>
      </w:r>
      <w:r w:rsidRPr="00317FE4">
        <w:t>Author</w:t>
      </w:r>
      <w:r w:rsidRPr="0062597D">
        <w:t>ity) 202</w:t>
      </w:r>
      <w:r>
        <w:t>4</w:t>
      </w:r>
      <w:r w:rsidRPr="0062597D">
        <w:t>.</w:t>
      </w:r>
    </w:p>
    <w:p w14:paraId="11BA34D9" w14:textId="77777777" w:rsidR="00623569" w:rsidRPr="00D16FE3" w:rsidRDefault="00623569" w:rsidP="00623569">
      <w:pPr>
        <w:pStyle w:val="ACMACorporateAddresses"/>
        <w:sectPr w:rsidR="00623569" w:rsidRPr="00D16FE3">
          <w:headerReference w:type="even" r:id="rId22"/>
          <w:headerReference w:type="default" r:id="rId23"/>
          <w:footerReference w:type="even" r:id="rId24"/>
          <w:footerReference w:type="default" r:id="rId25"/>
          <w:pgSz w:w="11906" w:h="16838" w:code="9"/>
          <w:pgMar w:top="3924" w:right="1797" w:bottom="697" w:left="1134" w:header="709" w:footer="119" w:gutter="0"/>
          <w:cols w:space="708"/>
          <w:docGrid w:linePitch="360"/>
        </w:sectPr>
      </w:pPr>
    </w:p>
    <w:p w14:paraId="2F8A3470" w14:textId="755CCB92" w:rsidR="00623569" w:rsidRDefault="00623569" w:rsidP="00623569">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"1-3" \h \z \t "Exec summary heading,1" </w:instrText>
      </w:r>
      <w:r>
        <w:rPr>
          <w:rFonts w:cs="Arial"/>
          <w:b w:val="0"/>
        </w:rPr>
        <w:fldChar w:fldCharType="separate"/>
      </w:r>
      <w:hyperlink w:anchor="_Toc155685971" w:history="1">
        <w:r w:rsidRPr="00A879DD">
          <w:rPr>
            <w:rStyle w:val="Hyperlink"/>
          </w:rPr>
          <w:t>Introduction</w:t>
        </w:r>
        <w:r>
          <w:rPr>
            <w:webHidden/>
          </w:rPr>
          <w:tab/>
        </w:r>
        <w:r>
          <w:rPr>
            <w:webHidden/>
          </w:rPr>
          <w:fldChar w:fldCharType="begin"/>
        </w:r>
        <w:r>
          <w:rPr>
            <w:webHidden/>
          </w:rPr>
          <w:instrText xml:space="preserve"> PAGEREF _Toc155685971 \h </w:instrText>
        </w:r>
        <w:r>
          <w:rPr>
            <w:webHidden/>
          </w:rPr>
        </w:r>
        <w:r>
          <w:rPr>
            <w:webHidden/>
          </w:rPr>
          <w:fldChar w:fldCharType="separate"/>
        </w:r>
        <w:r w:rsidR="0051342D">
          <w:rPr>
            <w:webHidden/>
          </w:rPr>
          <w:t>1</w:t>
        </w:r>
        <w:r>
          <w:rPr>
            <w:webHidden/>
          </w:rPr>
          <w:fldChar w:fldCharType="end"/>
        </w:r>
      </w:hyperlink>
    </w:p>
    <w:p w14:paraId="640A6ABA" w14:textId="3DB81242" w:rsidR="00623569" w:rsidRDefault="001D7FDC" w:rsidP="00623569">
      <w:pPr>
        <w:pStyle w:val="TOC1"/>
        <w:rPr>
          <w:rFonts w:asciiTheme="minorHAnsi" w:eastAsiaTheme="minorEastAsia" w:hAnsiTheme="minorHAnsi" w:cstheme="minorBidi"/>
          <w:b w:val="0"/>
          <w:spacing w:val="0"/>
          <w:sz w:val="22"/>
          <w:szCs w:val="22"/>
        </w:rPr>
      </w:pPr>
      <w:hyperlink w:anchor="_Toc155685972" w:history="1">
        <w:r w:rsidR="00623569" w:rsidRPr="00A879DD">
          <w:rPr>
            <w:rStyle w:val="Hyperlink"/>
          </w:rPr>
          <w:t>Regulatory setting</w:t>
        </w:r>
        <w:r w:rsidR="00623569">
          <w:rPr>
            <w:webHidden/>
          </w:rPr>
          <w:tab/>
        </w:r>
        <w:r w:rsidR="00623569">
          <w:rPr>
            <w:webHidden/>
          </w:rPr>
          <w:fldChar w:fldCharType="begin"/>
        </w:r>
        <w:r w:rsidR="00623569">
          <w:rPr>
            <w:webHidden/>
          </w:rPr>
          <w:instrText xml:space="preserve"> PAGEREF _Toc155685972 \h </w:instrText>
        </w:r>
        <w:r w:rsidR="00623569">
          <w:rPr>
            <w:webHidden/>
          </w:rPr>
        </w:r>
        <w:r w:rsidR="00623569">
          <w:rPr>
            <w:webHidden/>
          </w:rPr>
          <w:fldChar w:fldCharType="separate"/>
        </w:r>
        <w:r w:rsidR="0051342D">
          <w:rPr>
            <w:webHidden/>
          </w:rPr>
          <w:t>2</w:t>
        </w:r>
        <w:r w:rsidR="00623569">
          <w:rPr>
            <w:webHidden/>
          </w:rPr>
          <w:fldChar w:fldCharType="end"/>
        </w:r>
      </w:hyperlink>
    </w:p>
    <w:p w14:paraId="7EAD4AB1" w14:textId="1844D185" w:rsidR="00623569" w:rsidRDefault="001D7FDC" w:rsidP="00623569">
      <w:pPr>
        <w:pStyle w:val="TOC2"/>
        <w:rPr>
          <w:rFonts w:asciiTheme="minorHAnsi" w:eastAsiaTheme="minorEastAsia" w:hAnsiTheme="minorHAnsi" w:cstheme="minorBidi"/>
          <w:spacing w:val="0"/>
          <w:sz w:val="22"/>
          <w:szCs w:val="22"/>
        </w:rPr>
      </w:pPr>
      <w:hyperlink w:anchor="_Toc155685973" w:history="1">
        <w:r w:rsidR="00623569" w:rsidRPr="00A879DD">
          <w:rPr>
            <w:rStyle w:val="Hyperlink"/>
          </w:rPr>
          <w:t>Current protections for financial hardship</w:t>
        </w:r>
        <w:r w:rsidR="00623569">
          <w:rPr>
            <w:webHidden/>
          </w:rPr>
          <w:tab/>
        </w:r>
        <w:r w:rsidR="00623569">
          <w:rPr>
            <w:webHidden/>
          </w:rPr>
          <w:fldChar w:fldCharType="begin"/>
        </w:r>
        <w:r w:rsidR="00623569">
          <w:rPr>
            <w:webHidden/>
          </w:rPr>
          <w:instrText xml:space="preserve"> PAGEREF _Toc155685973 \h </w:instrText>
        </w:r>
        <w:r w:rsidR="00623569">
          <w:rPr>
            <w:webHidden/>
          </w:rPr>
        </w:r>
        <w:r w:rsidR="00623569">
          <w:rPr>
            <w:webHidden/>
          </w:rPr>
          <w:fldChar w:fldCharType="separate"/>
        </w:r>
        <w:r w:rsidR="0051342D">
          <w:rPr>
            <w:webHidden/>
          </w:rPr>
          <w:t>2</w:t>
        </w:r>
        <w:r w:rsidR="00623569">
          <w:rPr>
            <w:webHidden/>
          </w:rPr>
          <w:fldChar w:fldCharType="end"/>
        </w:r>
      </w:hyperlink>
    </w:p>
    <w:p w14:paraId="5917626F" w14:textId="193553F0" w:rsidR="00623569" w:rsidRDefault="001D7FDC" w:rsidP="00623569">
      <w:pPr>
        <w:pStyle w:val="TOC2"/>
        <w:rPr>
          <w:rFonts w:asciiTheme="minorHAnsi" w:eastAsiaTheme="minorEastAsia" w:hAnsiTheme="minorHAnsi" w:cstheme="minorBidi"/>
          <w:spacing w:val="0"/>
          <w:sz w:val="22"/>
          <w:szCs w:val="22"/>
        </w:rPr>
      </w:pPr>
      <w:hyperlink w:anchor="_Toc155685974" w:history="1">
        <w:r w:rsidR="00623569" w:rsidRPr="00A879DD">
          <w:rPr>
            <w:rStyle w:val="Hyperlink"/>
          </w:rPr>
          <w:t>Regulatory framework</w:t>
        </w:r>
        <w:r w:rsidR="00623569">
          <w:rPr>
            <w:webHidden/>
          </w:rPr>
          <w:tab/>
        </w:r>
        <w:r w:rsidR="00623569">
          <w:rPr>
            <w:webHidden/>
          </w:rPr>
          <w:fldChar w:fldCharType="begin"/>
        </w:r>
        <w:r w:rsidR="00623569">
          <w:rPr>
            <w:webHidden/>
          </w:rPr>
          <w:instrText xml:space="preserve"> PAGEREF _Toc155685974 \h </w:instrText>
        </w:r>
        <w:r w:rsidR="00623569">
          <w:rPr>
            <w:webHidden/>
          </w:rPr>
        </w:r>
        <w:r w:rsidR="00623569">
          <w:rPr>
            <w:webHidden/>
          </w:rPr>
          <w:fldChar w:fldCharType="separate"/>
        </w:r>
        <w:r w:rsidR="0051342D">
          <w:rPr>
            <w:webHidden/>
          </w:rPr>
          <w:t>2</w:t>
        </w:r>
        <w:r w:rsidR="00623569">
          <w:rPr>
            <w:webHidden/>
          </w:rPr>
          <w:fldChar w:fldCharType="end"/>
        </w:r>
      </w:hyperlink>
    </w:p>
    <w:p w14:paraId="71281928" w14:textId="4D9C5CC1" w:rsidR="00623569" w:rsidRDefault="001D7FDC" w:rsidP="00623569">
      <w:pPr>
        <w:pStyle w:val="TOC2"/>
        <w:rPr>
          <w:rFonts w:asciiTheme="minorHAnsi" w:eastAsiaTheme="minorEastAsia" w:hAnsiTheme="minorHAnsi" w:cstheme="minorBidi"/>
          <w:spacing w:val="0"/>
          <w:sz w:val="22"/>
          <w:szCs w:val="22"/>
        </w:rPr>
      </w:pPr>
      <w:hyperlink w:anchor="_Toc155685975" w:history="1">
        <w:r w:rsidR="00623569" w:rsidRPr="00A879DD">
          <w:rPr>
            <w:rStyle w:val="Hyperlink"/>
          </w:rPr>
          <w:t>Reporting and compliance</w:t>
        </w:r>
        <w:r w:rsidR="00623569">
          <w:rPr>
            <w:webHidden/>
          </w:rPr>
          <w:tab/>
        </w:r>
        <w:r w:rsidR="00623569">
          <w:rPr>
            <w:webHidden/>
          </w:rPr>
          <w:fldChar w:fldCharType="begin"/>
        </w:r>
        <w:r w:rsidR="00623569">
          <w:rPr>
            <w:webHidden/>
          </w:rPr>
          <w:instrText xml:space="preserve"> PAGEREF _Toc155685975 \h </w:instrText>
        </w:r>
        <w:r w:rsidR="00623569">
          <w:rPr>
            <w:webHidden/>
          </w:rPr>
        </w:r>
        <w:r w:rsidR="00623569">
          <w:rPr>
            <w:webHidden/>
          </w:rPr>
          <w:fldChar w:fldCharType="separate"/>
        </w:r>
        <w:r w:rsidR="0051342D">
          <w:rPr>
            <w:webHidden/>
          </w:rPr>
          <w:t>3</w:t>
        </w:r>
        <w:r w:rsidR="00623569">
          <w:rPr>
            <w:webHidden/>
          </w:rPr>
          <w:fldChar w:fldCharType="end"/>
        </w:r>
      </w:hyperlink>
    </w:p>
    <w:p w14:paraId="2A5A15C2" w14:textId="304C2F50" w:rsidR="00623569" w:rsidRDefault="001D7FDC" w:rsidP="00623569">
      <w:pPr>
        <w:pStyle w:val="TOC1"/>
        <w:rPr>
          <w:rFonts w:asciiTheme="minorHAnsi" w:eastAsiaTheme="minorEastAsia" w:hAnsiTheme="minorHAnsi" w:cstheme="minorBidi"/>
          <w:b w:val="0"/>
          <w:spacing w:val="0"/>
          <w:sz w:val="22"/>
          <w:szCs w:val="22"/>
        </w:rPr>
      </w:pPr>
      <w:hyperlink w:anchor="_Toc155685976" w:history="1">
        <w:r w:rsidR="00623569" w:rsidRPr="00A879DD">
          <w:rPr>
            <w:rStyle w:val="Hyperlink"/>
          </w:rPr>
          <w:t>What is the policy problem?</w:t>
        </w:r>
        <w:r w:rsidR="00623569">
          <w:rPr>
            <w:webHidden/>
          </w:rPr>
          <w:tab/>
        </w:r>
        <w:r w:rsidR="00623569">
          <w:rPr>
            <w:webHidden/>
          </w:rPr>
          <w:fldChar w:fldCharType="begin"/>
        </w:r>
        <w:r w:rsidR="00623569">
          <w:rPr>
            <w:webHidden/>
          </w:rPr>
          <w:instrText xml:space="preserve"> PAGEREF _Toc155685976 \h </w:instrText>
        </w:r>
        <w:r w:rsidR="00623569">
          <w:rPr>
            <w:webHidden/>
          </w:rPr>
        </w:r>
        <w:r w:rsidR="00623569">
          <w:rPr>
            <w:webHidden/>
          </w:rPr>
          <w:fldChar w:fldCharType="separate"/>
        </w:r>
        <w:r w:rsidR="0051342D">
          <w:rPr>
            <w:webHidden/>
          </w:rPr>
          <w:t>5</w:t>
        </w:r>
        <w:r w:rsidR="00623569">
          <w:rPr>
            <w:webHidden/>
          </w:rPr>
          <w:fldChar w:fldCharType="end"/>
        </w:r>
      </w:hyperlink>
    </w:p>
    <w:p w14:paraId="5D0181A0" w14:textId="5E6BEC5E" w:rsidR="00623569" w:rsidRDefault="001D7FDC" w:rsidP="00623569">
      <w:pPr>
        <w:pStyle w:val="TOC2"/>
        <w:rPr>
          <w:rFonts w:asciiTheme="minorHAnsi" w:eastAsiaTheme="minorEastAsia" w:hAnsiTheme="minorHAnsi" w:cstheme="minorBidi"/>
          <w:spacing w:val="0"/>
          <w:sz w:val="22"/>
          <w:szCs w:val="22"/>
        </w:rPr>
      </w:pPr>
      <w:hyperlink w:anchor="_Toc155685977" w:history="1">
        <w:r w:rsidR="00623569" w:rsidRPr="00A879DD">
          <w:rPr>
            <w:rStyle w:val="Hyperlink"/>
          </w:rPr>
          <w:t>Changing environment</w:t>
        </w:r>
        <w:r w:rsidR="00623569">
          <w:rPr>
            <w:webHidden/>
          </w:rPr>
          <w:tab/>
        </w:r>
        <w:r w:rsidR="00623569">
          <w:rPr>
            <w:webHidden/>
          </w:rPr>
          <w:fldChar w:fldCharType="begin"/>
        </w:r>
        <w:r w:rsidR="00623569">
          <w:rPr>
            <w:webHidden/>
          </w:rPr>
          <w:instrText xml:space="preserve"> PAGEREF _Toc155685977 \h </w:instrText>
        </w:r>
        <w:r w:rsidR="00623569">
          <w:rPr>
            <w:webHidden/>
          </w:rPr>
        </w:r>
        <w:r w:rsidR="00623569">
          <w:rPr>
            <w:webHidden/>
          </w:rPr>
          <w:fldChar w:fldCharType="separate"/>
        </w:r>
        <w:r w:rsidR="0051342D">
          <w:rPr>
            <w:webHidden/>
          </w:rPr>
          <w:t>5</w:t>
        </w:r>
        <w:r w:rsidR="00623569">
          <w:rPr>
            <w:webHidden/>
          </w:rPr>
          <w:fldChar w:fldCharType="end"/>
        </w:r>
      </w:hyperlink>
    </w:p>
    <w:p w14:paraId="1DD6C246" w14:textId="59B84033" w:rsidR="00623569" w:rsidRDefault="001D7FDC" w:rsidP="00623569">
      <w:pPr>
        <w:pStyle w:val="TOC2"/>
        <w:rPr>
          <w:rFonts w:asciiTheme="minorHAnsi" w:eastAsiaTheme="minorEastAsia" w:hAnsiTheme="minorHAnsi" w:cstheme="minorBidi"/>
          <w:spacing w:val="0"/>
          <w:sz w:val="22"/>
          <w:szCs w:val="22"/>
        </w:rPr>
      </w:pPr>
      <w:hyperlink w:anchor="_Toc155685978" w:history="1">
        <w:r w:rsidR="00623569" w:rsidRPr="00A879DD">
          <w:rPr>
            <w:rStyle w:val="Hyperlink"/>
          </w:rPr>
          <w:t>Financial hardship</w:t>
        </w:r>
        <w:r w:rsidR="00623569">
          <w:rPr>
            <w:webHidden/>
          </w:rPr>
          <w:tab/>
        </w:r>
        <w:r w:rsidR="00623569">
          <w:rPr>
            <w:webHidden/>
          </w:rPr>
          <w:fldChar w:fldCharType="begin"/>
        </w:r>
        <w:r w:rsidR="00623569">
          <w:rPr>
            <w:webHidden/>
          </w:rPr>
          <w:instrText xml:space="preserve"> PAGEREF _Toc155685978 \h </w:instrText>
        </w:r>
        <w:r w:rsidR="00623569">
          <w:rPr>
            <w:webHidden/>
          </w:rPr>
        </w:r>
        <w:r w:rsidR="00623569">
          <w:rPr>
            <w:webHidden/>
          </w:rPr>
          <w:fldChar w:fldCharType="separate"/>
        </w:r>
        <w:r w:rsidR="0051342D">
          <w:rPr>
            <w:webHidden/>
          </w:rPr>
          <w:t>5</w:t>
        </w:r>
        <w:r w:rsidR="00623569">
          <w:rPr>
            <w:webHidden/>
          </w:rPr>
          <w:fldChar w:fldCharType="end"/>
        </w:r>
      </w:hyperlink>
    </w:p>
    <w:p w14:paraId="52E7C787" w14:textId="359DE8A6" w:rsidR="00623569" w:rsidRDefault="001D7FDC" w:rsidP="00623569">
      <w:pPr>
        <w:pStyle w:val="TOC3"/>
        <w:rPr>
          <w:rFonts w:asciiTheme="minorHAnsi" w:eastAsiaTheme="minorEastAsia" w:hAnsiTheme="minorHAnsi" w:cstheme="minorBidi"/>
        </w:rPr>
      </w:pPr>
      <w:hyperlink w:anchor="_Toc155685979" w:history="1">
        <w:r w:rsidR="00623569" w:rsidRPr="00A879DD">
          <w:rPr>
            <w:rStyle w:val="Hyperlink"/>
            <w:lang w:val="en-US"/>
          </w:rPr>
          <w:t>Insufficient financial hardship protections</w:t>
        </w:r>
        <w:r w:rsidR="00623569">
          <w:rPr>
            <w:webHidden/>
          </w:rPr>
          <w:tab/>
        </w:r>
        <w:r w:rsidR="00623569">
          <w:rPr>
            <w:webHidden/>
          </w:rPr>
          <w:fldChar w:fldCharType="begin"/>
        </w:r>
        <w:r w:rsidR="00623569">
          <w:rPr>
            <w:webHidden/>
          </w:rPr>
          <w:instrText xml:space="preserve"> PAGEREF _Toc155685979 \h </w:instrText>
        </w:r>
        <w:r w:rsidR="00623569">
          <w:rPr>
            <w:webHidden/>
          </w:rPr>
        </w:r>
        <w:r w:rsidR="00623569">
          <w:rPr>
            <w:webHidden/>
          </w:rPr>
          <w:fldChar w:fldCharType="separate"/>
        </w:r>
        <w:r w:rsidR="0051342D">
          <w:rPr>
            <w:webHidden/>
          </w:rPr>
          <w:t>6</w:t>
        </w:r>
        <w:r w:rsidR="00623569">
          <w:rPr>
            <w:webHidden/>
          </w:rPr>
          <w:fldChar w:fldCharType="end"/>
        </w:r>
      </w:hyperlink>
    </w:p>
    <w:p w14:paraId="20DE668E" w14:textId="54DFEB8C" w:rsidR="00623569" w:rsidRDefault="001D7FDC" w:rsidP="00623569">
      <w:pPr>
        <w:pStyle w:val="TOC2"/>
        <w:rPr>
          <w:rFonts w:asciiTheme="minorHAnsi" w:eastAsiaTheme="minorEastAsia" w:hAnsiTheme="minorHAnsi" w:cstheme="minorBidi"/>
          <w:spacing w:val="0"/>
          <w:sz w:val="22"/>
          <w:szCs w:val="22"/>
        </w:rPr>
      </w:pPr>
      <w:hyperlink w:anchor="_Toc155685980" w:history="1">
        <w:r w:rsidR="00623569" w:rsidRPr="00A879DD">
          <w:rPr>
            <w:rStyle w:val="Hyperlink"/>
          </w:rPr>
          <w:t>Addressing the gaps</w:t>
        </w:r>
        <w:r w:rsidR="00623569">
          <w:rPr>
            <w:webHidden/>
          </w:rPr>
          <w:tab/>
        </w:r>
        <w:r w:rsidR="00623569">
          <w:rPr>
            <w:webHidden/>
          </w:rPr>
          <w:fldChar w:fldCharType="begin"/>
        </w:r>
        <w:r w:rsidR="00623569">
          <w:rPr>
            <w:webHidden/>
          </w:rPr>
          <w:instrText xml:space="preserve"> PAGEREF _Toc155685980 \h </w:instrText>
        </w:r>
        <w:r w:rsidR="00623569">
          <w:rPr>
            <w:webHidden/>
          </w:rPr>
        </w:r>
        <w:r w:rsidR="00623569">
          <w:rPr>
            <w:webHidden/>
          </w:rPr>
          <w:fldChar w:fldCharType="separate"/>
        </w:r>
        <w:r w:rsidR="0051342D">
          <w:rPr>
            <w:webHidden/>
          </w:rPr>
          <w:t>8</w:t>
        </w:r>
        <w:r w:rsidR="00623569">
          <w:rPr>
            <w:webHidden/>
          </w:rPr>
          <w:fldChar w:fldCharType="end"/>
        </w:r>
      </w:hyperlink>
    </w:p>
    <w:p w14:paraId="0F110744" w14:textId="44FEAE49" w:rsidR="00623569" w:rsidRDefault="001D7FDC" w:rsidP="00623569">
      <w:pPr>
        <w:pStyle w:val="TOC1"/>
        <w:rPr>
          <w:rFonts w:asciiTheme="minorHAnsi" w:eastAsiaTheme="minorEastAsia" w:hAnsiTheme="minorHAnsi" w:cstheme="minorBidi"/>
          <w:b w:val="0"/>
          <w:spacing w:val="0"/>
          <w:sz w:val="22"/>
          <w:szCs w:val="22"/>
        </w:rPr>
      </w:pPr>
      <w:hyperlink w:anchor="_Toc155685981" w:history="1">
        <w:r w:rsidR="00623569" w:rsidRPr="00A879DD">
          <w:rPr>
            <w:rStyle w:val="Hyperlink"/>
          </w:rPr>
          <w:t>Why is government action needed?</w:t>
        </w:r>
        <w:r w:rsidR="00623569">
          <w:rPr>
            <w:webHidden/>
          </w:rPr>
          <w:tab/>
        </w:r>
        <w:r w:rsidR="00623569">
          <w:rPr>
            <w:webHidden/>
          </w:rPr>
          <w:fldChar w:fldCharType="begin"/>
        </w:r>
        <w:r w:rsidR="00623569">
          <w:rPr>
            <w:webHidden/>
          </w:rPr>
          <w:instrText xml:space="preserve"> PAGEREF _Toc155685981 \h </w:instrText>
        </w:r>
        <w:r w:rsidR="00623569">
          <w:rPr>
            <w:webHidden/>
          </w:rPr>
        </w:r>
        <w:r w:rsidR="00623569">
          <w:rPr>
            <w:webHidden/>
          </w:rPr>
          <w:fldChar w:fldCharType="separate"/>
        </w:r>
        <w:r w:rsidR="0051342D">
          <w:rPr>
            <w:webHidden/>
          </w:rPr>
          <w:t>11</w:t>
        </w:r>
        <w:r w:rsidR="00623569">
          <w:rPr>
            <w:webHidden/>
          </w:rPr>
          <w:fldChar w:fldCharType="end"/>
        </w:r>
      </w:hyperlink>
    </w:p>
    <w:p w14:paraId="1B507F97" w14:textId="7FF0D20A" w:rsidR="00623569" w:rsidRDefault="001D7FDC" w:rsidP="00623569">
      <w:pPr>
        <w:pStyle w:val="TOC1"/>
        <w:rPr>
          <w:rFonts w:asciiTheme="minorHAnsi" w:eastAsiaTheme="minorEastAsia" w:hAnsiTheme="minorHAnsi" w:cstheme="minorBidi"/>
          <w:b w:val="0"/>
          <w:spacing w:val="0"/>
          <w:sz w:val="22"/>
          <w:szCs w:val="22"/>
        </w:rPr>
      </w:pPr>
      <w:hyperlink w:anchor="_Toc155685982" w:history="1">
        <w:r w:rsidR="00623569" w:rsidRPr="00A879DD">
          <w:rPr>
            <w:rStyle w:val="Hyperlink"/>
          </w:rPr>
          <w:t>What policy options have been considered?</w:t>
        </w:r>
        <w:r w:rsidR="00623569">
          <w:rPr>
            <w:webHidden/>
          </w:rPr>
          <w:tab/>
        </w:r>
        <w:r w:rsidR="00623569">
          <w:rPr>
            <w:webHidden/>
          </w:rPr>
          <w:fldChar w:fldCharType="begin"/>
        </w:r>
        <w:r w:rsidR="00623569">
          <w:rPr>
            <w:webHidden/>
          </w:rPr>
          <w:instrText xml:space="preserve"> PAGEREF _Toc155685982 \h </w:instrText>
        </w:r>
        <w:r w:rsidR="00623569">
          <w:rPr>
            <w:webHidden/>
          </w:rPr>
        </w:r>
        <w:r w:rsidR="00623569">
          <w:rPr>
            <w:webHidden/>
          </w:rPr>
          <w:fldChar w:fldCharType="separate"/>
        </w:r>
        <w:r w:rsidR="0051342D">
          <w:rPr>
            <w:webHidden/>
          </w:rPr>
          <w:t>14</w:t>
        </w:r>
        <w:r w:rsidR="00623569">
          <w:rPr>
            <w:webHidden/>
          </w:rPr>
          <w:fldChar w:fldCharType="end"/>
        </w:r>
      </w:hyperlink>
    </w:p>
    <w:p w14:paraId="7A3B8D0F" w14:textId="005C0BAB" w:rsidR="00623569" w:rsidRDefault="001D7FDC" w:rsidP="00623569">
      <w:pPr>
        <w:pStyle w:val="TOC2"/>
        <w:rPr>
          <w:rFonts w:asciiTheme="minorHAnsi" w:eastAsiaTheme="minorEastAsia" w:hAnsiTheme="minorHAnsi" w:cstheme="minorBidi"/>
          <w:spacing w:val="0"/>
          <w:sz w:val="22"/>
          <w:szCs w:val="22"/>
        </w:rPr>
      </w:pPr>
      <w:hyperlink w:anchor="_Toc155685983" w:history="1">
        <w:r w:rsidR="00623569" w:rsidRPr="00A879DD">
          <w:rPr>
            <w:rStyle w:val="Hyperlink"/>
          </w:rPr>
          <w:t>Option 1 – Status quo</w:t>
        </w:r>
        <w:r w:rsidR="00623569">
          <w:rPr>
            <w:webHidden/>
          </w:rPr>
          <w:tab/>
        </w:r>
        <w:r w:rsidR="00623569">
          <w:rPr>
            <w:webHidden/>
          </w:rPr>
          <w:fldChar w:fldCharType="begin"/>
        </w:r>
        <w:r w:rsidR="00623569">
          <w:rPr>
            <w:webHidden/>
          </w:rPr>
          <w:instrText xml:space="preserve"> PAGEREF _Toc155685983 \h </w:instrText>
        </w:r>
        <w:r w:rsidR="00623569">
          <w:rPr>
            <w:webHidden/>
          </w:rPr>
        </w:r>
        <w:r w:rsidR="00623569">
          <w:rPr>
            <w:webHidden/>
          </w:rPr>
          <w:fldChar w:fldCharType="separate"/>
        </w:r>
        <w:r w:rsidR="0051342D">
          <w:rPr>
            <w:webHidden/>
          </w:rPr>
          <w:t>14</w:t>
        </w:r>
        <w:r w:rsidR="00623569">
          <w:rPr>
            <w:webHidden/>
          </w:rPr>
          <w:fldChar w:fldCharType="end"/>
        </w:r>
      </w:hyperlink>
    </w:p>
    <w:p w14:paraId="599F640C" w14:textId="1C018F86" w:rsidR="00623569" w:rsidRDefault="001D7FDC" w:rsidP="00623569">
      <w:pPr>
        <w:pStyle w:val="TOC2"/>
        <w:rPr>
          <w:rFonts w:asciiTheme="minorHAnsi" w:eastAsiaTheme="minorEastAsia" w:hAnsiTheme="minorHAnsi" w:cstheme="minorBidi"/>
          <w:spacing w:val="0"/>
          <w:sz w:val="22"/>
          <w:szCs w:val="22"/>
        </w:rPr>
      </w:pPr>
      <w:hyperlink w:anchor="_Toc155685984" w:history="1">
        <w:r w:rsidR="00623569" w:rsidRPr="00A879DD">
          <w:rPr>
            <w:rStyle w:val="Hyperlink"/>
          </w:rPr>
          <w:t>Option 2 – Direct regulation</w:t>
        </w:r>
        <w:r w:rsidR="00623569">
          <w:rPr>
            <w:webHidden/>
          </w:rPr>
          <w:tab/>
        </w:r>
        <w:r w:rsidR="00623569">
          <w:rPr>
            <w:webHidden/>
          </w:rPr>
          <w:fldChar w:fldCharType="begin"/>
        </w:r>
        <w:r w:rsidR="00623569">
          <w:rPr>
            <w:webHidden/>
          </w:rPr>
          <w:instrText xml:space="preserve"> PAGEREF _Toc155685984 \h </w:instrText>
        </w:r>
        <w:r w:rsidR="00623569">
          <w:rPr>
            <w:webHidden/>
          </w:rPr>
        </w:r>
        <w:r w:rsidR="00623569">
          <w:rPr>
            <w:webHidden/>
          </w:rPr>
          <w:fldChar w:fldCharType="separate"/>
        </w:r>
        <w:r w:rsidR="0051342D">
          <w:rPr>
            <w:webHidden/>
          </w:rPr>
          <w:t>15</w:t>
        </w:r>
        <w:r w:rsidR="00623569">
          <w:rPr>
            <w:webHidden/>
          </w:rPr>
          <w:fldChar w:fldCharType="end"/>
        </w:r>
      </w:hyperlink>
    </w:p>
    <w:p w14:paraId="52CDF3E7" w14:textId="2863A01C" w:rsidR="00623569" w:rsidRDefault="001D7FDC" w:rsidP="00623569">
      <w:pPr>
        <w:pStyle w:val="TOC2"/>
        <w:rPr>
          <w:rFonts w:asciiTheme="minorHAnsi" w:eastAsiaTheme="minorEastAsia" w:hAnsiTheme="minorHAnsi" w:cstheme="minorBidi"/>
          <w:spacing w:val="0"/>
          <w:sz w:val="22"/>
          <w:szCs w:val="22"/>
        </w:rPr>
      </w:pPr>
      <w:hyperlink w:anchor="_Toc155685985" w:history="1">
        <w:r w:rsidR="00623569" w:rsidRPr="00A879DD">
          <w:rPr>
            <w:rStyle w:val="Hyperlink"/>
          </w:rPr>
          <w:t>Implementing the Direction</w:t>
        </w:r>
        <w:r w:rsidR="00623569">
          <w:rPr>
            <w:webHidden/>
          </w:rPr>
          <w:tab/>
        </w:r>
        <w:r w:rsidR="00623569">
          <w:rPr>
            <w:webHidden/>
          </w:rPr>
          <w:fldChar w:fldCharType="begin"/>
        </w:r>
        <w:r w:rsidR="00623569">
          <w:rPr>
            <w:webHidden/>
          </w:rPr>
          <w:instrText xml:space="preserve"> PAGEREF _Toc155685985 \h </w:instrText>
        </w:r>
        <w:r w:rsidR="00623569">
          <w:rPr>
            <w:webHidden/>
          </w:rPr>
        </w:r>
        <w:r w:rsidR="00623569">
          <w:rPr>
            <w:webHidden/>
          </w:rPr>
          <w:fldChar w:fldCharType="separate"/>
        </w:r>
        <w:r w:rsidR="0051342D">
          <w:rPr>
            <w:webHidden/>
          </w:rPr>
          <w:t>15</w:t>
        </w:r>
        <w:r w:rsidR="00623569">
          <w:rPr>
            <w:webHidden/>
          </w:rPr>
          <w:fldChar w:fldCharType="end"/>
        </w:r>
      </w:hyperlink>
    </w:p>
    <w:p w14:paraId="4212D310" w14:textId="19E108F8" w:rsidR="00623569" w:rsidRDefault="001D7FDC" w:rsidP="00623569">
      <w:pPr>
        <w:pStyle w:val="TOC2"/>
        <w:rPr>
          <w:rFonts w:asciiTheme="minorHAnsi" w:eastAsiaTheme="minorEastAsia" w:hAnsiTheme="minorHAnsi" w:cstheme="minorBidi"/>
          <w:spacing w:val="0"/>
          <w:sz w:val="22"/>
          <w:szCs w:val="22"/>
        </w:rPr>
      </w:pPr>
      <w:hyperlink w:anchor="_Toc155685986" w:history="1">
        <w:r w:rsidR="00623569" w:rsidRPr="00A879DD">
          <w:rPr>
            <w:rStyle w:val="Hyperlink"/>
          </w:rPr>
          <w:t>Option 2A – Outcomes-based (discretionary)</w:t>
        </w:r>
        <w:r w:rsidR="00623569">
          <w:rPr>
            <w:webHidden/>
          </w:rPr>
          <w:tab/>
        </w:r>
        <w:r w:rsidR="00623569">
          <w:rPr>
            <w:webHidden/>
          </w:rPr>
          <w:fldChar w:fldCharType="begin"/>
        </w:r>
        <w:r w:rsidR="00623569">
          <w:rPr>
            <w:webHidden/>
          </w:rPr>
          <w:instrText xml:space="preserve"> PAGEREF _Toc155685986 \h </w:instrText>
        </w:r>
        <w:r w:rsidR="00623569">
          <w:rPr>
            <w:webHidden/>
          </w:rPr>
        </w:r>
        <w:r w:rsidR="00623569">
          <w:rPr>
            <w:webHidden/>
          </w:rPr>
          <w:fldChar w:fldCharType="separate"/>
        </w:r>
        <w:r w:rsidR="0051342D">
          <w:rPr>
            <w:webHidden/>
          </w:rPr>
          <w:t>16</w:t>
        </w:r>
        <w:r w:rsidR="00623569">
          <w:rPr>
            <w:webHidden/>
          </w:rPr>
          <w:fldChar w:fldCharType="end"/>
        </w:r>
      </w:hyperlink>
    </w:p>
    <w:p w14:paraId="6737E719" w14:textId="4FDEC120" w:rsidR="00623569" w:rsidRDefault="001D7FDC" w:rsidP="00623569">
      <w:pPr>
        <w:pStyle w:val="TOC2"/>
        <w:rPr>
          <w:rFonts w:asciiTheme="minorHAnsi" w:eastAsiaTheme="minorEastAsia" w:hAnsiTheme="minorHAnsi" w:cstheme="minorBidi"/>
          <w:spacing w:val="0"/>
          <w:sz w:val="22"/>
          <w:szCs w:val="22"/>
        </w:rPr>
      </w:pPr>
      <w:hyperlink w:anchor="_Toc155685987" w:history="1">
        <w:r w:rsidR="00623569" w:rsidRPr="00A879DD">
          <w:rPr>
            <w:rStyle w:val="Hyperlink"/>
          </w:rPr>
          <w:t>Option 2B – Outcomes-based (enforceable)</w:t>
        </w:r>
        <w:r w:rsidR="00623569">
          <w:rPr>
            <w:webHidden/>
          </w:rPr>
          <w:tab/>
        </w:r>
        <w:r w:rsidR="00623569">
          <w:rPr>
            <w:webHidden/>
          </w:rPr>
          <w:fldChar w:fldCharType="begin"/>
        </w:r>
        <w:r w:rsidR="00623569">
          <w:rPr>
            <w:webHidden/>
          </w:rPr>
          <w:instrText xml:space="preserve"> PAGEREF _Toc155685987 \h </w:instrText>
        </w:r>
        <w:r w:rsidR="00623569">
          <w:rPr>
            <w:webHidden/>
          </w:rPr>
        </w:r>
        <w:r w:rsidR="00623569">
          <w:rPr>
            <w:webHidden/>
          </w:rPr>
          <w:fldChar w:fldCharType="separate"/>
        </w:r>
        <w:r w:rsidR="0051342D">
          <w:rPr>
            <w:webHidden/>
          </w:rPr>
          <w:t>17</w:t>
        </w:r>
        <w:r w:rsidR="00623569">
          <w:rPr>
            <w:webHidden/>
          </w:rPr>
          <w:fldChar w:fldCharType="end"/>
        </w:r>
      </w:hyperlink>
    </w:p>
    <w:p w14:paraId="66A9A590" w14:textId="377C6B82" w:rsidR="00623569" w:rsidRDefault="001D7FDC" w:rsidP="00623569">
      <w:pPr>
        <w:pStyle w:val="TOC1"/>
        <w:rPr>
          <w:rFonts w:asciiTheme="minorHAnsi" w:eastAsiaTheme="minorEastAsia" w:hAnsiTheme="minorHAnsi" w:cstheme="minorBidi"/>
          <w:b w:val="0"/>
          <w:spacing w:val="0"/>
          <w:sz w:val="22"/>
          <w:szCs w:val="22"/>
        </w:rPr>
      </w:pPr>
      <w:hyperlink w:anchor="_Toc155685988" w:history="1">
        <w:r w:rsidR="00623569" w:rsidRPr="00A879DD">
          <w:rPr>
            <w:rStyle w:val="Hyperlink"/>
          </w:rPr>
          <w:t>What is the likely net benefit of each option?</w:t>
        </w:r>
        <w:r w:rsidR="00623569">
          <w:rPr>
            <w:webHidden/>
          </w:rPr>
          <w:tab/>
        </w:r>
        <w:r w:rsidR="00623569">
          <w:rPr>
            <w:webHidden/>
          </w:rPr>
          <w:fldChar w:fldCharType="begin"/>
        </w:r>
        <w:r w:rsidR="00623569">
          <w:rPr>
            <w:webHidden/>
          </w:rPr>
          <w:instrText xml:space="preserve"> PAGEREF _Toc155685988 \h </w:instrText>
        </w:r>
        <w:r w:rsidR="00623569">
          <w:rPr>
            <w:webHidden/>
          </w:rPr>
        </w:r>
        <w:r w:rsidR="00623569">
          <w:rPr>
            <w:webHidden/>
          </w:rPr>
          <w:fldChar w:fldCharType="separate"/>
        </w:r>
        <w:r w:rsidR="0051342D">
          <w:rPr>
            <w:webHidden/>
          </w:rPr>
          <w:t>18</w:t>
        </w:r>
        <w:r w:rsidR="00623569">
          <w:rPr>
            <w:webHidden/>
          </w:rPr>
          <w:fldChar w:fldCharType="end"/>
        </w:r>
      </w:hyperlink>
    </w:p>
    <w:p w14:paraId="15416C58" w14:textId="01F04F4D" w:rsidR="00623569" w:rsidRDefault="001D7FDC" w:rsidP="00623569">
      <w:pPr>
        <w:pStyle w:val="TOC2"/>
        <w:rPr>
          <w:rFonts w:asciiTheme="minorHAnsi" w:eastAsiaTheme="minorEastAsia" w:hAnsiTheme="minorHAnsi" w:cstheme="minorBidi"/>
          <w:spacing w:val="0"/>
          <w:sz w:val="22"/>
          <w:szCs w:val="22"/>
        </w:rPr>
      </w:pPr>
      <w:hyperlink w:anchor="_Toc155685989" w:history="1">
        <w:r w:rsidR="00623569" w:rsidRPr="00A879DD">
          <w:rPr>
            <w:rStyle w:val="Hyperlink"/>
          </w:rPr>
          <w:t>Overview of options</w:t>
        </w:r>
        <w:r w:rsidR="00623569">
          <w:rPr>
            <w:webHidden/>
          </w:rPr>
          <w:tab/>
        </w:r>
        <w:r w:rsidR="00623569">
          <w:rPr>
            <w:webHidden/>
          </w:rPr>
          <w:fldChar w:fldCharType="begin"/>
        </w:r>
        <w:r w:rsidR="00623569">
          <w:rPr>
            <w:webHidden/>
          </w:rPr>
          <w:instrText xml:space="preserve"> PAGEREF _Toc155685989 \h </w:instrText>
        </w:r>
        <w:r w:rsidR="00623569">
          <w:rPr>
            <w:webHidden/>
          </w:rPr>
        </w:r>
        <w:r w:rsidR="00623569">
          <w:rPr>
            <w:webHidden/>
          </w:rPr>
          <w:fldChar w:fldCharType="separate"/>
        </w:r>
        <w:r w:rsidR="0051342D">
          <w:rPr>
            <w:webHidden/>
          </w:rPr>
          <w:t>18</w:t>
        </w:r>
        <w:r w:rsidR="00623569">
          <w:rPr>
            <w:webHidden/>
          </w:rPr>
          <w:fldChar w:fldCharType="end"/>
        </w:r>
      </w:hyperlink>
    </w:p>
    <w:p w14:paraId="09E61615" w14:textId="6DE6F2D8" w:rsidR="00623569" w:rsidRDefault="001D7FDC" w:rsidP="00623569">
      <w:pPr>
        <w:pStyle w:val="TOC2"/>
        <w:rPr>
          <w:rFonts w:asciiTheme="minorHAnsi" w:eastAsiaTheme="minorEastAsia" w:hAnsiTheme="minorHAnsi" w:cstheme="minorBidi"/>
          <w:spacing w:val="0"/>
          <w:sz w:val="22"/>
          <w:szCs w:val="22"/>
        </w:rPr>
      </w:pPr>
      <w:hyperlink w:anchor="_Toc155685990" w:history="1">
        <w:r w:rsidR="00623569" w:rsidRPr="00A879DD">
          <w:rPr>
            <w:rStyle w:val="Hyperlink"/>
          </w:rPr>
          <w:t>Option 1 – Status quo</w:t>
        </w:r>
        <w:r w:rsidR="00623569">
          <w:rPr>
            <w:webHidden/>
          </w:rPr>
          <w:tab/>
        </w:r>
        <w:r w:rsidR="00623569">
          <w:rPr>
            <w:webHidden/>
          </w:rPr>
          <w:fldChar w:fldCharType="begin"/>
        </w:r>
        <w:r w:rsidR="00623569">
          <w:rPr>
            <w:webHidden/>
          </w:rPr>
          <w:instrText xml:space="preserve"> PAGEREF _Toc155685990 \h </w:instrText>
        </w:r>
        <w:r w:rsidR="00623569">
          <w:rPr>
            <w:webHidden/>
          </w:rPr>
        </w:r>
        <w:r w:rsidR="00623569">
          <w:rPr>
            <w:webHidden/>
          </w:rPr>
          <w:fldChar w:fldCharType="separate"/>
        </w:r>
        <w:r w:rsidR="0051342D">
          <w:rPr>
            <w:webHidden/>
          </w:rPr>
          <w:t>19</w:t>
        </w:r>
        <w:r w:rsidR="00623569">
          <w:rPr>
            <w:webHidden/>
          </w:rPr>
          <w:fldChar w:fldCharType="end"/>
        </w:r>
      </w:hyperlink>
    </w:p>
    <w:p w14:paraId="5AE9DA40" w14:textId="0E51CEB8" w:rsidR="00623569" w:rsidRDefault="001D7FDC" w:rsidP="00623569">
      <w:pPr>
        <w:pStyle w:val="TOC3"/>
        <w:rPr>
          <w:rFonts w:asciiTheme="minorHAnsi" w:eastAsiaTheme="minorEastAsia" w:hAnsiTheme="minorHAnsi" w:cstheme="minorBidi"/>
        </w:rPr>
      </w:pPr>
      <w:hyperlink w:anchor="_Toc155685991" w:history="1">
        <w:r w:rsidR="00623569" w:rsidRPr="00A879DD">
          <w:rPr>
            <w:rStyle w:val="Hyperlink"/>
          </w:rPr>
          <w:t>Benefits</w:t>
        </w:r>
        <w:r w:rsidR="00623569">
          <w:rPr>
            <w:webHidden/>
          </w:rPr>
          <w:tab/>
        </w:r>
        <w:r w:rsidR="00623569">
          <w:rPr>
            <w:webHidden/>
          </w:rPr>
          <w:fldChar w:fldCharType="begin"/>
        </w:r>
        <w:r w:rsidR="00623569">
          <w:rPr>
            <w:webHidden/>
          </w:rPr>
          <w:instrText xml:space="preserve"> PAGEREF _Toc155685991 \h </w:instrText>
        </w:r>
        <w:r w:rsidR="00623569">
          <w:rPr>
            <w:webHidden/>
          </w:rPr>
        </w:r>
        <w:r w:rsidR="00623569">
          <w:rPr>
            <w:webHidden/>
          </w:rPr>
          <w:fldChar w:fldCharType="separate"/>
        </w:r>
        <w:r w:rsidR="0051342D">
          <w:rPr>
            <w:webHidden/>
          </w:rPr>
          <w:t>19</w:t>
        </w:r>
        <w:r w:rsidR="00623569">
          <w:rPr>
            <w:webHidden/>
          </w:rPr>
          <w:fldChar w:fldCharType="end"/>
        </w:r>
      </w:hyperlink>
    </w:p>
    <w:p w14:paraId="5866B30C" w14:textId="49975A24" w:rsidR="00623569" w:rsidRDefault="001D7FDC" w:rsidP="00623569">
      <w:pPr>
        <w:pStyle w:val="TOC3"/>
        <w:rPr>
          <w:rFonts w:asciiTheme="minorHAnsi" w:eastAsiaTheme="minorEastAsia" w:hAnsiTheme="minorHAnsi" w:cstheme="minorBidi"/>
        </w:rPr>
      </w:pPr>
      <w:hyperlink w:anchor="_Toc155685992" w:history="1">
        <w:r w:rsidR="00623569" w:rsidRPr="00A879DD">
          <w:rPr>
            <w:rStyle w:val="Hyperlink"/>
          </w:rPr>
          <w:t>Costs</w:t>
        </w:r>
        <w:r w:rsidR="00623569">
          <w:rPr>
            <w:webHidden/>
          </w:rPr>
          <w:tab/>
        </w:r>
        <w:r w:rsidR="00623569">
          <w:rPr>
            <w:webHidden/>
          </w:rPr>
          <w:fldChar w:fldCharType="begin"/>
        </w:r>
        <w:r w:rsidR="00623569">
          <w:rPr>
            <w:webHidden/>
          </w:rPr>
          <w:instrText xml:space="preserve"> PAGEREF _Toc155685992 \h </w:instrText>
        </w:r>
        <w:r w:rsidR="00623569">
          <w:rPr>
            <w:webHidden/>
          </w:rPr>
        </w:r>
        <w:r w:rsidR="00623569">
          <w:rPr>
            <w:webHidden/>
          </w:rPr>
          <w:fldChar w:fldCharType="separate"/>
        </w:r>
        <w:r w:rsidR="0051342D">
          <w:rPr>
            <w:webHidden/>
          </w:rPr>
          <w:t>19</w:t>
        </w:r>
        <w:r w:rsidR="00623569">
          <w:rPr>
            <w:webHidden/>
          </w:rPr>
          <w:fldChar w:fldCharType="end"/>
        </w:r>
      </w:hyperlink>
    </w:p>
    <w:p w14:paraId="76EFBF7A" w14:textId="50DEFDF5" w:rsidR="00623569" w:rsidRDefault="001D7FDC" w:rsidP="00623569">
      <w:pPr>
        <w:pStyle w:val="TOC3"/>
        <w:rPr>
          <w:rFonts w:asciiTheme="minorHAnsi" w:eastAsiaTheme="minorEastAsia" w:hAnsiTheme="minorHAnsi" w:cstheme="minorBidi"/>
        </w:rPr>
      </w:pPr>
      <w:hyperlink w:anchor="_Toc155685993" w:history="1">
        <w:r w:rsidR="00623569" w:rsidRPr="00A879DD">
          <w:rPr>
            <w:rStyle w:val="Hyperlink"/>
          </w:rPr>
          <w:t>Current disconnections that could have benefited from financial hardship arrangements</w:t>
        </w:r>
        <w:r w:rsidR="00623569">
          <w:rPr>
            <w:webHidden/>
          </w:rPr>
          <w:tab/>
        </w:r>
        <w:r w:rsidR="00623569">
          <w:rPr>
            <w:webHidden/>
          </w:rPr>
          <w:fldChar w:fldCharType="begin"/>
        </w:r>
        <w:r w:rsidR="00623569">
          <w:rPr>
            <w:webHidden/>
          </w:rPr>
          <w:instrText xml:space="preserve"> PAGEREF _Toc155685993 \h </w:instrText>
        </w:r>
        <w:r w:rsidR="00623569">
          <w:rPr>
            <w:webHidden/>
          </w:rPr>
        </w:r>
        <w:r w:rsidR="00623569">
          <w:rPr>
            <w:webHidden/>
          </w:rPr>
          <w:fldChar w:fldCharType="separate"/>
        </w:r>
        <w:r w:rsidR="0051342D">
          <w:rPr>
            <w:webHidden/>
          </w:rPr>
          <w:t>20</w:t>
        </w:r>
        <w:r w:rsidR="00623569">
          <w:rPr>
            <w:webHidden/>
          </w:rPr>
          <w:fldChar w:fldCharType="end"/>
        </w:r>
      </w:hyperlink>
    </w:p>
    <w:p w14:paraId="6691AFA4" w14:textId="3AD3A07C" w:rsidR="00623569" w:rsidRDefault="001D7FDC" w:rsidP="00623569">
      <w:pPr>
        <w:pStyle w:val="TOC3"/>
        <w:rPr>
          <w:rFonts w:asciiTheme="minorHAnsi" w:eastAsiaTheme="minorEastAsia" w:hAnsiTheme="minorHAnsi" w:cstheme="minorBidi"/>
        </w:rPr>
      </w:pPr>
      <w:hyperlink w:anchor="_Toc155685994" w:history="1">
        <w:r w:rsidR="00623569" w:rsidRPr="00A879DD">
          <w:rPr>
            <w:rStyle w:val="Hyperlink"/>
          </w:rPr>
          <w:t>Current complaints due to financial hardship issues</w:t>
        </w:r>
        <w:r w:rsidR="00623569">
          <w:rPr>
            <w:webHidden/>
          </w:rPr>
          <w:tab/>
        </w:r>
        <w:r w:rsidR="00623569">
          <w:rPr>
            <w:webHidden/>
          </w:rPr>
          <w:fldChar w:fldCharType="begin"/>
        </w:r>
        <w:r w:rsidR="00623569">
          <w:rPr>
            <w:webHidden/>
          </w:rPr>
          <w:instrText xml:space="preserve"> PAGEREF _Toc155685994 \h </w:instrText>
        </w:r>
        <w:r w:rsidR="00623569">
          <w:rPr>
            <w:webHidden/>
          </w:rPr>
        </w:r>
        <w:r w:rsidR="00623569">
          <w:rPr>
            <w:webHidden/>
          </w:rPr>
          <w:fldChar w:fldCharType="separate"/>
        </w:r>
        <w:r w:rsidR="0051342D">
          <w:rPr>
            <w:webHidden/>
          </w:rPr>
          <w:t>20</w:t>
        </w:r>
        <w:r w:rsidR="00623569">
          <w:rPr>
            <w:webHidden/>
          </w:rPr>
          <w:fldChar w:fldCharType="end"/>
        </w:r>
      </w:hyperlink>
    </w:p>
    <w:p w14:paraId="7E0C1E63" w14:textId="6DE8A41E" w:rsidR="00623569" w:rsidRDefault="001D7FDC" w:rsidP="00623569">
      <w:pPr>
        <w:pStyle w:val="TOC3"/>
        <w:rPr>
          <w:rFonts w:asciiTheme="minorHAnsi" w:eastAsiaTheme="minorEastAsia" w:hAnsiTheme="minorHAnsi" w:cstheme="minorBidi"/>
        </w:rPr>
      </w:pPr>
      <w:hyperlink w:anchor="_Toc155685995" w:history="1">
        <w:r w:rsidR="00623569" w:rsidRPr="00A879DD">
          <w:rPr>
            <w:rStyle w:val="Hyperlink"/>
          </w:rPr>
          <w:t>Current cost of compliance, complaints and reconnections</w:t>
        </w:r>
        <w:r w:rsidR="00623569">
          <w:rPr>
            <w:webHidden/>
          </w:rPr>
          <w:tab/>
        </w:r>
        <w:r w:rsidR="00623569">
          <w:rPr>
            <w:webHidden/>
          </w:rPr>
          <w:fldChar w:fldCharType="begin"/>
        </w:r>
        <w:r w:rsidR="00623569">
          <w:rPr>
            <w:webHidden/>
          </w:rPr>
          <w:instrText xml:space="preserve"> PAGEREF _Toc155685995 \h </w:instrText>
        </w:r>
        <w:r w:rsidR="00623569">
          <w:rPr>
            <w:webHidden/>
          </w:rPr>
        </w:r>
        <w:r w:rsidR="00623569">
          <w:rPr>
            <w:webHidden/>
          </w:rPr>
          <w:fldChar w:fldCharType="separate"/>
        </w:r>
        <w:r w:rsidR="0051342D">
          <w:rPr>
            <w:webHidden/>
          </w:rPr>
          <w:t>20</w:t>
        </w:r>
        <w:r w:rsidR="00623569">
          <w:rPr>
            <w:webHidden/>
          </w:rPr>
          <w:fldChar w:fldCharType="end"/>
        </w:r>
      </w:hyperlink>
    </w:p>
    <w:p w14:paraId="31F6A6D0" w14:textId="6E25CAAD" w:rsidR="00623569" w:rsidRDefault="001D7FDC" w:rsidP="00623569">
      <w:pPr>
        <w:pStyle w:val="TOC2"/>
        <w:rPr>
          <w:rFonts w:asciiTheme="minorHAnsi" w:eastAsiaTheme="minorEastAsia" w:hAnsiTheme="minorHAnsi" w:cstheme="minorBidi"/>
          <w:spacing w:val="0"/>
          <w:sz w:val="22"/>
          <w:szCs w:val="22"/>
        </w:rPr>
      </w:pPr>
      <w:hyperlink w:anchor="_Toc155685996" w:history="1">
        <w:r w:rsidR="00623569" w:rsidRPr="00A879DD">
          <w:rPr>
            <w:rStyle w:val="Hyperlink"/>
          </w:rPr>
          <w:t>Option 2A – Outcomes-based (discretionary)</w:t>
        </w:r>
        <w:r w:rsidR="00623569">
          <w:rPr>
            <w:webHidden/>
          </w:rPr>
          <w:tab/>
        </w:r>
        <w:r w:rsidR="00623569">
          <w:rPr>
            <w:webHidden/>
          </w:rPr>
          <w:fldChar w:fldCharType="begin"/>
        </w:r>
        <w:r w:rsidR="00623569">
          <w:rPr>
            <w:webHidden/>
          </w:rPr>
          <w:instrText xml:space="preserve"> PAGEREF _Toc155685996 \h </w:instrText>
        </w:r>
        <w:r w:rsidR="00623569">
          <w:rPr>
            <w:webHidden/>
          </w:rPr>
        </w:r>
        <w:r w:rsidR="00623569">
          <w:rPr>
            <w:webHidden/>
          </w:rPr>
          <w:fldChar w:fldCharType="separate"/>
        </w:r>
        <w:r w:rsidR="0051342D">
          <w:rPr>
            <w:webHidden/>
          </w:rPr>
          <w:t>21</w:t>
        </w:r>
        <w:r w:rsidR="00623569">
          <w:rPr>
            <w:webHidden/>
          </w:rPr>
          <w:fldChar w:fldCharType="end"/>
        </w:r>
      </w:hyperlink>
    </w:p>
    <w:p w14:paraId="5E6A544D" w14:textId="57E38F65" w:rsidR="00623569" w:rsidRDefault="001D7FDC" w:rsidP="00623569">
      <w:pPr>
        <w:pStyle w:val="TOC3"/>
        <w:rPr>
          <w:rFonts w:asciiTheme="minorHAnsi" w:eastAsiaTheme="minorEastAsia" w:hAnsiTheme="minorHAnsi" w:cstheme="minorBidi"/>
        </w:rPr>
      </w:pPr>
      <w:hyperlink w:anchor="_Toc155685997" w:history="1">
        <w:r w:rsidR="00623569" w:rsidRPr="00A879DD">
          <w:rPr>
            <w:rStyle w:val="Hyperlink"/>
          </w:rPr>
          <w:t>Benefits</w:t>
        </w:r>
        <w:r w:rsidR="00623569">
          <w:rPr>
            <w:webHidden/>
          </w:rPr>
          <w:tab/>
        </w:r>
        <w:r w:rsidR="00623569">
          <w:rPr>
            <w:webHidden/>
          </w:rPr>
          <w:fldChar w:fldCharType="begin"/>
        </w:r>
        <w:r w:rsidR="00623569">
          <w:rPr>
            <w:webHidden/>
          </w:rPr>
          <w:instrText xml:space="preserve"> PAGEREF _Toc155685997 \h </w:instrText>
        </w:r>
        <w:r w:rsidR="00623569">
          <w:rPr>
            <w:webHidden/>
          </w:rPr>
        </w:r>
        <w:r w:rsidR="00623569">
          <w:rPr>
            <w:webHidden/>
          </w:rPr>
          <w:fldChar w:fldCharType="separate"/>
        </w:r>
        <w:r w:rsidR="0051342D">
          <w:rPr>
            <w:webHidden/>
          </w:rPr>
          <w:t>22</w:t>
        </w:r>
        <w:r w:rsidR="00623569">
          <w:rPr>
            <w:webHidden/>
          </w:rPr>
          <w:fldChar w:fldCharType="end"/>
        </w:r>
      </w:hyperlink>
    </w:p>
    <w:p w14:paraId="3030E68A" w14:textId="524D7F69" w:rsidR="00623569" w:rsidRDefault="001D7FDC" w:rsidP="00623569">
      <w:pPr>
        <w:pStyle w:val="TOC3"/>
        <w:rPr>
          <w:rFonts w:asciiTheme="minorHAnsi" w:eastAsiaTheme="minorEastAsia" w:hAnsiTheme="minorHAnsi" w:cstheme="minorBidi"/>
        </w:rPr>
      </w:pPr>
      <w:hyperlink w:anchor="_Toc155685998" w:history="1">
        <w:r w:rsidR="00623569" w:rsidRPr="00A879DD">
          <w:rPr>
            <w:rStyle w:val="Hyperlink"/>
          </w:rPr>
          <w:t>Costs</w:t>
        </w:r>
        <w:r w:rsidR="00623569">
          <w:rPr>
            <w:webHidden/>
          </w:rPr>
          <w:tab/>
        </w:r>
        <w:r w:rsidR="00623569">
          <w:rPr>
            <w:webHidden/>
          </w:rPr>
          <w:fldChar w:fldCharType="begin"/>
        </w:r>
        <w:r w:rsidR="00623569">
          <w:rPr>
            <w:webHidden/>
          </w:rPr>
          <w:instrText xml:space="preserve"> PAGEREF _Toc155685998 \h </w:instrText>
        </w:r>
        <w:r w:rsidR="00623569">
          <w:rPr>
            <w:webHidden/>
          </w:rPr>
        </w:r>
        <w:r w:rsidR="00623569">
          <w:rPr>
            <w:webHidden/>
          </w:rPr>
          <w:fldChar w:fldCharType="separate"/>
        </w:r>
        <w:r w:rsidR="0051342D">
          <w:rPr>
            <w:webHidden/>
          </w:rPr>
          <w:t>23</w:t>
        </w:r>
        <w:r w:rsidR="00623569">
          <w:rPr>
            <w:webHidden/>
          </w:rPr>
          <w:fldChar w:fldCharType="end"/>
        </w:r>
      </w:hyperlink>
    </w:p>
    <w:p w14:paraId="5F090A6E" w14:textId="488DD5E2" w:rsidR="00623569" w:rsidRDefault="001D7FDC" w:rsidP="00623569">
      <w:pPr>
        <w:pStyle w:val="TOC2"/>
        <w:rPr>
          <w:rFonts w:asciiTheme="minorHAnsi" w:eastAsiaTheme="minorEastAsia" w:hAnsiTheme="minorHAnsi" w:cstheme="minorBidi"/>
          <w:spacing w:val="0"/>
          <w:sz w:val="22"/>
          <w:szCs w:val="22"/>
        </w:rPr>
      </w:pPr>
      <w:hyperlink w:anchor="_Toc155685999" w:history="1">
        <w:r w:rsidR="00623569" w:rsidRPr="00A879DD">
          <w:rPr>
            <w:rStyle w:val="Hyperlink"/>
          </w:rPr>
          <w:t>Option 2B – Outcomes-based (enforceable)</w:t>
        </w:r>
        <w:r w:rsidR="00623569">
          <w:rPr>
            <w:webHidden/>
          </w:rPr>
          <w:tab/>
        </w:r>
        <w:r w:rsidR="00623569">
          <w:rPr>
            <w:webHidden/>
          </w:rPr>
          <w:fldChar w:fldCharType="begin"/>
        </w:r>
        <w:r w:rsidR="00623569">
          <w:rPr>
            <w:webHidden/>
          </w:rPr>
          <w:instrText xml:space="preserve"> PAGEREF _Toc155685999 \h </w:instrText>
        </w:r>
        <w:r w:rsidR="00623569">
          <w:rPr>
            <w:webHidden/>
          </w:rPr>
        </w:r>
        <w:r w:rsidR="00623569">
          <w:rPr>
            <w:webHidden/>
          </w:rPr>
          <w:fldChar w:fldCharType="separate"/>
        </w:r>
        <w:r w:rsidR="0051342D">
          <w:rPr>
            <w:webHidden/>
          </w:rPr>
          <w:t>25</w:t>
        </w:r>
        <w:r w:rsidR="00623569">
          <w:rPr>
            <w:webHidden/>
          </w:rPr>
          <w:fldChar w:fldCharType="end"/>
        </w:r>
      </w:hyperlink>
    </w:p>
    <w:p w14:paraId="78E2170B" w14:textId="0401D1F2" w:rsidR="00623569" w:rsidRDefault="001D7FDC" w:rsidP="00623569">
      <w:pPr>
        <w:pStyle w:val="TOC3"/>
        <w:rPr>
          <w:rFonts w:asciiTheme="minorHAnsi" w:eastAsiaTheme="minorEastAsia" w:hAnsiTheme="minorHAnsi" w:cstheme="minorBidi"/>
        </w:rPr>
      </w:pPr>
      <w:hyperlink w:anchor="_Toc155686000" w:history="1">
        <w:r w:rsidR="00623569" w:rsidRPr="00A879DD">
          <w:rPr>
            <w:rStyle w:val="Hyperlink"/>
          </w:rPr>
          <w:t>Benefits</w:t>
        </w:r>
        <w:r w:rsidR="00623569">
          <w:rPr>
            <w:webHidden/>
          </w:rPr>
          <w:tab/>
        </w:r>
        <w:r w:rsidR="00623569">
          <w:rPr>
            <w:webHidden/>
          </w:rPr>
          <w:fldChar w:fldCharType="begin"/>
        </w:r>
        <w:r w:rsidR="00623569">
          <w:rPr>
            <w:webHidden/>
          </w:rPr>
          <w:instrText xml:space="preserve"> PAGEREF _Toc155686000 \h </w:instrText>
        </w:r>
        <w:r w:rsidR="00623569">
          <w:rPr>
            <w:webHidden/>
          </w:rPr>
        </w:r>
        <w:r w:rsidR="00623569">
          <w:rPr>
            <w:webHidden/>
          </w:rPr>
          <w:fldChar w:fldCharType="separate"/>
        </w:r>
        <w:r w:rsidR="0051342D">
          <w:rPr>
            <w:webHidden/>
          </w:rPr>
          <w:t>25</w:t>
        </w:r>
        <w:r w:rsidR="00623569">
          <w:rPr>
            <w:webHidden/>
          </w:rPr>
          <w:fldChar w:fldCharType="end"/>
        </w:r>
      </w:hyperlink>
    </w:p>
    <w:p w14:paraId="149AEF38" w14:textId="29AEC001" w:rsidR="00623569" w:rsidRDefault="001D7FDC" w:rsidP="00623569">
      <w:pPr>
        <w:pStyle w:val="TOC3"/>
        <w:rPr>
          <w:rFonts w:asciiTheme="minorHAnsi" w:eastAsiaTheme="minorEastAsia" w:hAnsiTheme="minorHAnsi" w:cstheme="minorBidi"/>
        </w:rPr>
      </w:pPr>
      <w:hyperlink w:anchor="_Toc155686001" w:history="1">
        <w:r w:rsidR="00623569" w:rsidRPr="00A879DD">
          <w:rPr>
            <w:rStyle w:val="Hyperlink"/>
          </w:rPr>
          <w:t>Costs</w:t>
        </w:r>
        <w:r w:rsidR="00623569">
          <w:rPr>
            <w:webHidden/>
          </w:rPr>
          <w:tab/>
        </w:r>
        <w:r w:rsidR="00623569">
          <w:rPr>
            <w:webHidden/>
          </w:rPr>
          <w:fldChar w:fldCharType="begin"/>
        </w:r>
        <w:r w:rsidR="00623569">
          <w:rPr>
            <w:webHidden/>
          </w:rPr>
          <w:instrText xml:space="preserve"> PAGEREF _Toc155686001 \h </w:instrText>
        </w:r>
        <w:r w:rsidR="00623569">
          <w:rPr>
            <w:webHidden/>
          </w:rPr>
        </w:r>
        <w:r w:rsidR="00623569">
          <w:rPr>
            <w:webHidden/>
          </w:rPr>
          <w:fldChar w:fldCharType="separate"/>
        </w:r>
        <w:r w:rsidR="0051342D">
          <w:rPr>
            <w:webHidden/>
          </w:rPr>
          <w:t>26</w:t>
        </w:r>
        <w:r w:rsidR="00623569">
          <w:rPr>
            <w:webHidden/>
          </w:rPr>
          <w:fldChar w:fldCharType="end"/>
        </w:r>
      </w:hyperlink>
    </w:p>
    <w:p w14:paraId="16D7F251" w14:textId="5A3E2283" w:rsidR="00623569" w:rsidRDefault="001D7FDC" w:rsidP="00623569">
      <w:pPr>
        <w:pStyle w:val="TOC2"/>
        <w:rPr>
          <w:rFonts w:asciiTheme="minorHAnsi" w:eastAsiaTheme="minorEastAsia" w:hAnsiTheme="minorHAnsi" w:cstheme="minorBidi"/>
          <w:spacing w:val="0"/>
          <w:sz w:val="22"/>
          <w:szCs w:val="22"/>
        </w:rPr>
      </w:pPr>
      <w:hyperlink w:anchor="_Toc155686002" w:history="1">
        <w:r w:rsidR="00623569" w:rsidRPr="00A879DD">
          <w:rPr>
            <w:rStyle w:val="Hyperlink"/>
          </w:rPr>
          <w:t>Aggregation of costs and sensitivity analysis</w:t>
        </w:r>
        <w:r w:rsidR="00623569">
          <w:rPr>
            <w:webHidden/>
          </w:rPr>
          <w:tab/>
        </w:r>
        <w:r w:rsidR="00623569">
          <w:rPr>
            <w:webHidden/>
          </w:rPr>
          <w:fldChar w:fldCharType="begin"/>
        </w:r>
        <w:r w:rsidR="00623569">
          <w:rPr>
            <w:webHidden/>
          </w:rPr>
          <w:instrText xml:space="preserve"> PAGEREF _Toc155686002 \h </w:instrText>
        </w:r>
        <w:r w:rsidR="00623569">
          <w:rPr>
            <w:webHidden/>
          </w:rPr>
        </w:r>
        <w:r w:rsidR="00623569">
          <w:rPr>
            <w:webHidden/>
          </w:rPr>
          <w:fldChar w:fldCharType="separate"/>
        </w:r>
        <w:r w:rsidR="0051342D">
          <w:rPr>
            <w:webHidden/>
          </w:rPr>
          <w:t>27</w:t>
        </w:r>
        <w:r w:rsidR="00623569">
          <w:rPr>
            <w:webHidden/>
          </w:rPr>
          <w:fldChar w:fldCharType="end"/>
        </w:r>
      </w:hyperlink>
    </w:p>
    <w:p w14:paraId="7577BF06" w14:textId="5FA73349" w:rsidR="00623569" w:rsidRDefault="001D7FDC" w:rsidP="00623569">
      <w:pPr>
        <w:pStyle w:val="TOC3"/>
        <w:rPr>
          <w:rFonts w:asciiTheme="minorHAnsi" w:eastAsiaTheme="minorEastAsia" w:hAnsiTheme="minorHAnsi" w:cstheme="minorBidi"/>
        </w:rPr>
      </w:pPr>
      <w:hyperlink w:anchor="_Toc155686003" w:history="1">
        <w:r w:rsidR="00623569" w:rsidRPr="00A879DD">
          <w:rPr>
            <w:rStyle w:val="Hyperlink"/>
          </w:rPr>
          <w:t>Sensitivity analysis</w:t>
        </w:r>
        <w:r w:rsidR="00623569">
          <w:rPr>
            <w:webHidden/>
          </w:rPr>
          <w:tab/>
        </w:r>
        <w:r w:rsidR="00623569">
          <w:rPr>
            <w:webHidden/>
          </w:rPr>
          <w:fldChar w:fldCharType="begin"/>
        </w:r>
        <w:r w:rsidR="00623569">
          <w:rPr>
            <w:webHidden/>
          </w:rPr>
          <w:instrText xml:space="preserve"> PAGEREF _Toc155686003 \h </w:instrText>
        </w:r>
        <w:r w:rsidR="00623569">
          <w:rPr>
            <w:webHidden/>
          </w:rPr>
        </w:r>
        <w:r w:rsidR="00623569">
          <w:rPr>
            <w:webHidden/>
          </w:rPr>
          <w:fldChar w:fldCharType="separate"/>
        </w:r>
        <w:r w:rsidR="0051342D">
          <w:rPr>
            <w:webHidden/>
          </w:rPr>
          <w:t>28</w:t>
        </w:r>
        <w:r w:rsidR="00623569">
          <w:rPr>
            <w:webHidden/>
          </w:rPr>
          <w:fldChar w:fldCharType="end"/>
        </w:r>
      </w:hyperlink>
    </w:p>
    <w:p w14:paraId="0DE852D4" w14:textId="17940F74" w:rsidR="00623569" w:rsidRDefault="001D7FDC" w:rsidP="00623569">
      <w:pPr>
        <w:pStyle w:val="TOC2"/>
        <w:rPr>
          <w:rFonts w:asciiTheme="minorHAnsi" w:eastAsiaTheme="minorEastAsia" w:hAnsiTheme="minorHAnsi" w:cstheme="minorBidi"/>
          <w:spacing w:val="0"/>
          <w:sz w:val="22"/>
          <w:szCs w:val="22"/>
        </w:rPr>
      </w:pPr>
      <w:hyperlink w:anchor="_Toc155686004" w:history="1">
        <w:r w:rsidR="00623569" w:rsidRPr="00A879DD">
          <w:rPr>
            <w:rStyle w:val="Hyperlink"/>
          </w:rPr>
          <w:t>Regulatory burden measurement</w:t>
        </w:r>
        <w:r w:rsidR="00623569">
          <w:rPr>
            <w:webHidden/>
          </w:rPr>
          <w:tab/>
        </w:r>
        <w:r w:rsidR="00623569">
          <w:rPr>
            <w:webHidden/>
          </w:rPr>
          <w:fldChar w:fldCharType="begin"/>
        </w:r>
        <w:r w:rsidR="00623569">
          <w:rPr>
            <w:webHidden/>
          </w:rPr>
          <w:instrText xml:space="preserve"> PAGEREF _Toc155686004 \h </w:instrText>
        </w:r>
        <w:r w:rsidR="00623569">
          <w:rPr>
            <w:webHidden/>
          </w:rPr>
        </w:r>
        <w:r w:rsidR="00623569">
          <w:rPr>
            <w:webHidden/>
          </w:rPr>
          <w:fldChar w:fldCharType="separate"/>
        </w:r>
        <w:r w:rsidR="0051342D">
          <w:rPr>
            <w:webHidden/>
          </w:rPr>
          <w:t>29</w:t>
        </w:r>
        <w:r w:rsidR="00623569">
          <w:rPr>
            <w:webHidden/>
          </w:rPr>
          <w:fldChar w:fldCharType="end"/>
        </w:r>
      </w:hyperlink>
    </w:p>
    <w:p w14:paraId="24BE360E" w14:textId="6F26EB35" w:rsidR="00623569" w:rsidRDefault="001D7FDC" w:rsidP="00623569">
      <w:pPr>
        <w:pStyle w:val="TOC1"/>
        <w:rPr>
          <w:rFonts w:asciiTheme="minorHAnsi" w:eastAsiaTheme="minorEastAsia" w:hAnsiTheme="minorHAnsi" w:cstheme="minorBidi"/>
          <w:b w:val="0"/>
          <w:spacing w:val="0"/>
          <w:sz w:val="22"/>
          <w:szCs w:val="22"/>
        </w:rPr>
      </w:pPr>
      <w:hyperlink w:anchor="_Toc155686005" w:history="1">
        <w:r w:rsidR="00623569" w:rsidRPr="00A879DD">
          <w:rPr>
            <w:rStyle w:val="Hyperlink"/>
          </w:rPr>
          <w:t>Who was consulted and what did they say?</w:t>
        </w:r>
        <w:r w:rsidR="00623569">
          <w:rPr>
            <w:webHidden/>
          </w:rPr>
          <w:tab/>
        </w:r>
        <w:r w:rsidR="00623569">
          <w:rPr>
            <w:webHidden/>
          </w:rPr>
          <w:fldChar w:fldCharType="begin"/>
        </w:r>
        <w:r w:rsidR="00623569">
          <w:rPr>
            <w:webHidden/>
          </w:rPr>
          <w:instrText xml:space="preserve"> PAGEREF _Toc155686005 \h </w:instrText>
        </w:r>
        <w:r w:rsidR="00623569">
          <w:rPr>
            <w:webHidden/>
          </w:rPr>
        </w:r>
        <w:r w:rsidR="00623569">
          <w:rPr>
            <w:webHidden/>
          </w:rPr>
          <w:fldChar w:fldCharType="separate"/>
        </w:r>
        <w:r w:rsidR="0051342D">
          <w:rPr>
            <w:webHidden/>
          </w:rPr>
          <w:t>30</w:t>
        </w:r>
        <w:r w:rsidR="00623569">
          <w:rPr>
            <w:webHidden/>
          </w:rPr>
          <w:fldChar w:fldCharType="end"/>
        </w:r>
      </w:hyperlink>
    </w:p>
    <w:p w14:paraId="302C82EA" w14:textId="60405045" w:rsidR="00623569" w:rsidRDefault="001D7FDC" w:rsidP="00623569">
      <w:pPr>
        <w:pStyle w:val="TOC2"/>
        <w:rPr>
          <w:rFonts w:asciiTheme="minorHAnsi" w:eastAsiaTheme="minorEastAsia" w:hAnsiTheme="minorHAnsi" w:cstheme="minorBidi"/>
          <w:spacing w:val="0"/>
          <w:sz w:val="22"/>
          <w:szCs w:val="22"/>
        </w:rPr>
      </w:pPr>
      <w:hyperlink w:anchor="_Toc155686006" w:history="1">
        <w:r w:rsidR="00623569" w:rsidRPr="00A879DD">
          <w:rPr>
            <w:rStyle w:val="Hyperlink"/>
          </w:rPr>
          <w:t>Consultation</w:t>
        </w:r>
        <w:r w:rsidR="00623569">
          <w:rPr>
            <w:webHidden/>
          </w:rPr>
          <w:tab/>
        </w:r>
        <w:r w:rsidR="00623569">
          <w:rPr>
            <w:webHidden/>
          </w:rPr>
          <w:fldChar w:fldCharType="begin"/>
        </w:r>
        <w:r w:rsidR="00623569">
          <w:rPr>
            <w:webHidden/>
          </w:rPr>
          <w:instrText xml:space="preserve"> PAGEREF _Toc155686006 \h </w:instrText>
        </w:r>
        <w:r w:rsidR="00623569">
          <w:rPr>
            <w:webHidden/>
          </w:rPr>
        </w:r>
        <w:r w:rsidR="00623569">
          <w:rPr>
            <w:webHidden/>
          </w:rPr>
          <w:fldChar w:fldCharType="separate"/>
        </w:r>
        <w:r w:rsidR="0051342D">
          <w:rPr>
            <w:webHidden/>
          </w:rPr>
          <w:t>30</w:t>
        </w:r>
        <w:r w:rsidR="00623569">
          <w:rPr>
            <w:webHidden/>
          </w:rPr>
          <w:fldChar w:fldCharType="end"/>
        </w:r>
      </w:hyperlink>
    </w:p>
    <w:p w14:paraId="36A71DF4" w14:textId="259D842A" w:rsidR="00623569" w:rsidRDefault="001D7FDC" w:rsidP="00623569">
      <w:pPr>
        <w:pStyle w:val="TOC3"/>
        <w:rPr>
          <w:rFonts w:asciiTheme="minorHAnsi" w:eastAsiaTheme="minorEastAsia" w:hAnsiTheme="minorHAnsi" w:cstheme="minorBidi"/>
        </w:rPr>
      </w:pPr>
      <w:hyperlink w:anchor="_Toc155686007" w:history="1">
        <w:r w:rsidR="00623569" w:rsidRPr="00A879DD">
          <w:rPr>
            <w:rStyle w:val="Hyperlink"/>
          </w:rPr>
          <w:t>Consultation on draft Standard</w:t>
        </w:r>
        <w:r w:rsidR="00623569">
          <w:rPr>
            <w:webHidden/>
          </w:rPr>
          <w:tab/>
        </w:r>
        <w:r w:rsidR="00623569">
          <w:rPr>
            <w:webHidden/>
          </w:rPr>
          <w:fldChar w:fldCharType="begin"/>
        </w:r>
        <w:r w:rsidR="00623569">
          <w:rPr>
            <w:webHidden/>
          </w:rPr>
          <w:instrText xml:space="preserve"> PAGEREF _Toc155686007 \h </w:instrText>
        </w:r>
        <w:r w:rsidR="00623569">
          <w:rPr>
            <w:webHidden/>
          </w:rPr>
        </w:r>
        <w:r w:rsidR="00623569">
          <w:rPr>
            <w:webHidden/>
          </w:rPr>
          <w:fldChar w:fldCharType="separate"/>
        </w:r>
        <w:r w:rsidR="0051342D">
          <w:rPr>
            <w:webHidden/>
          </w:rPr>
          <w:t>31</w:t>
        </w:r>
        <w:r w:rsidR="00623569">
          <w:rPr>
            <w:webHidden/>
          </w:rPr>
          <w:fldChar w:fldCharType="end"/>
        </w:r>
      </w:hyperlink>
    </w:p>
    <w:p w14:paraId="4434F667" w14:textId="15845E33" w:rsidR="00623569" w:rsidRDefault="001D7FDC" w:rsidP="00623569">
      <w:pPr>
        <w:pStyle w:val="TOC3"/>
        <w:rPr>
          <w:rFonts w:asciiTheme="minorHAnsi" w:eastAsiaTheme="minorEastAsia" w:hAnsiTheme="minorHAnsi" w:cstheme="minorBidi"/>
        </w:rPr>
      </w:pPr>
      <w:hyperlink w:anchor="_Toc155686008" w:history="1">
        <w:r w:rsidR="00623569" w:rsidRPr="00A879DD">
          <w:rPr>
            <w:rStyle w:val="Hyperlink"/>
          </w:rPr>
          <w:t>Summary of stakeholder feedback</w:t>
        </w:r>
        <w:r w:rsidR="00623569">
          <w:rPr>
            <w:webHidden/>
          </w:rPr>
          <w:tab/>
        </w:r>
        <w:r w:rsidR="00623569">
          <w:rPr>
            <w:webHidden/>
          </w:rPr>
          <w:fldChar w:fldCharType="begin"/>
        </w:r>
        <w:r w:rsidR="00623569">
          <w:rPr>
            <w:webHidden/>
          </w:rPr>
          <w:instrText xml:space="preserve"> PAGEREF _Toc155686008 \h </w:instrText>
        </w:r>
        <w:r w:rsidR="00623569">
          <w:rPr>
            <w:webHidden/>
          </w:rPr>
        </w:r>
        <w:r w:rsidR="00623569">
          <w:rPr>
            <w:webHidden/>
          </w:rPr>
          <w:fldChar w:fldCharType="separate"/>
        </w:r>
        <w:r w:rsidR="0051342D">
          <w:rPr>
            <w:webHidden/>
          </w:rPr>
          <w:t>31</w:t>
        </w:r>
        <w:r w:rsidR="00623569">
          <w:rPr>
            <w:webHidden/>
          </w:rPr>
          <w:fldChar w:fldCharType="end"/>
        </w:r>
      </w:hyperlink>
    </w:p>
    <w:p w14:paraId="3EDDA250" w14:textId="38810AC4" w:rsidR="00623569" w:rsidRDefault="001D7FDC" w:rsidP="00623569">
      <w:pPr>
        <w:pStyle w:val="TOC1"/>
        <w:rPr>
          <w:rFonts w:asciiTheme="minorHAnsi" w:eastAsiaTheme="minorEastAsia" w:hAnsiTheme="minorHAnsi" w:cstheme="minorBidi"/>
          <w:b w:val="0"/>
          <w:spacing w:val="0"/>
          <w:sz w:val="22"/>
          <w:szCs w:val="22"/>
        </w:rPr>
      </w:pPr>
      <w:hyperlink w:anchor="_Toc155686009" w:history="1">
        <w:r w:rsidR="00623569" w:rsidRPr="00A879DD">
          <w:rPr>
            <w:rStyle w:val="Hyperlink"/>
          </w:rPr>
          <w:t>What is the best option from those considered and how will it be implemented?</w:t>
        </w:r>
        <w:r w:rsidR="00623569">
          <w:rPr>
            <w:webHidden/>
          </w:rPr>
          <w:tab/>
        </w:r>
        <w:r w:rsidR="00623569">
          <w:rPr>
            <w:webHidden/>
          </w:rPr>
          <w:fldChar w:fldCharType="begin"/>
        </w:r>
        <w:r w:rsidR="00623569">
          <w:rPr>
            <w:webHidden/>
          </w:rPr>
          <w:instrText xml:space="preserve"> PAGEREF _Toc155686009 \h </w:instrText>
        </w:r>
        <w:r w:rsidR="00623569">
          <w:rPr>
            <w:webHidden/>
          </w:rPr>
        </w:r>
        <w:r w:rsidR="00623569">
          <w:rPr>
            <w:webHidden/>
          </w:rPr>
          <w:fldChar w:fldCharType="separate"/>
        </w:r>
        <w:r w:rsidR="0051342D">
          <w:rPr>
            <w:webHidden/>
          </w:rPr>
          <w:t>33</w:t>
        </w:r>
        <w:r w:rsidR="00623569">
          <w:rPr>
            <w:webHidden/>
          </w:rPr>
          <w:fldChar w:fldCharType="end"/>
        </w:r>
      </w:hyperlink>
    </w:p>
    <w:p w14:paraId="57A8A92F" w14:textId="557427D5" w:rsidR="00623569" w:rsidRDefault="001D7FDC" w:rsidP="00623569">
      <w:pPr>
        <w:pStyle w:val="TOC2"/>
        <w:rPr>
          <w:rFonts w:asciiTheme="minorHAnsi" w:eastAsiaTheme="minorEastAsia" w:hAnsiTheme="minorHAnsi" w:cstheme="minorBidi"/>
          <w:spacing w:val="0"/>
          <w:sz w:val="22"/>
          <w:szCs w:val="22"/>
        </w:rPr>
      </w:pPr>
      <w:hyperlink w:anchor="_Toc155686010" w:history="1">
        <w:r w:rsidR="00623569" w:rsidRPr="00A879DD">
          <w:rPr>
            <w:rStyle w:val="Hyperlink"/>
          </w:rPr>
          <w:t>Status quo</w:t>
        </w:r>
        <w:r w:rsidR="00623569">
          <w:rPr>
            <w:webHidden/>
          </w:rPr>
          <w:tab/>
        </w:r>
        <w:r w:rsidR="00623569">
          <w:rPr>
            <w:webHidden/>
          </w:rPr>
          <w:fldChar w:fldCharType="begin"/>
        </w:r>
        <w:r w:rsidR="00623569">
          <w:rPr>
            <w:webHidden/>
          </w:rPr>
          <w:instrText xml:space="preserve"> PAGEREF _Toc155686010 \h </w:instrText>
        </w:r>
        <w:r w:rsidR="00623569">
          <w:rPr>
            <w:webHidden/>
          </w:rPr>
        </w:r>
        <w:r w:rsidR="00623569">
          <w:rPr>
            <w:webHidden/>
          </w:rPr>
          <w:fldChar w:fldCharType="separate"/>
        </w:r>
        <w:r w:rsidR="0051342D">
          <w:rPr>
            <w:webHidden/>
          </w:rPr>
          <w:t>33</w:t>
        </w:r>
        <w:r w:rsidR="00623569">
          <w:rPr>
            <w:webHidden/>
          </w:rPr>
          <w:fldChar w:fldCharType="end"/>
        </w:r>
      </w:hyperlink>
    </w:p>
    <w:p w14:paraId="7C6F4CE8" w14:textId="115248FE" w:rsidR="00623569" w:rsidRDefault="001D7FDC" w:rsidP="00623569">
      <w:pPr>
        <w:pStyle w:val="TOC2"/>
        <w:rPr>
          <w:rFonts w:asciiTheme="minorHAnsi" w:eastAsiaTheme="minorEastAsia" w:hAnsiTheme="minorHAnsi" w:cstheme="minorBidi"/>
          <w:spacing w:val="0"/>
          <w:sz w:val="22"/>
          <w:szCs w:val="22"/>
        </w:rPr>
      </w:pPr>
      <w:hyperlink w:anchor="_Toc155686011" w:history="1">
        <w:r w:rsidR="00623569" w:rsidRPr="00A879DD">
          <w:rPr>
            <w:rStyle w:val="Hyperlink"/>
          </w:rPr>
          <w:t>Implementation</w:t>
        </w:r>
        <w:r w:rsidR="00623569">
          <w:rPr>
            <w:webHidden/>
          </w:rPr>
          <w:tab/>
        </w:r>
        <w:r w:rsidR="00623569">
          <w:rPr>
            <w:webHidden/>
          </w:rPr>
          <w:fldChar w:fldCharType="begin"/>
        </w:r>
        <w:r w:rsidR="00623569">
          <w:rPr>
            <w:webHidden/>
          </w:rPr>
          <w:instrText xml:space="preserve"> PAGEREF _Toc155686011 \h </w:instrText>
        </w:r>
        <w:r w:rsidR="00623569">
          <w:rPr>
            <w:webHidden/>
          </w:rPr>
        </w:r>
        <w:r w:rsidR="00623569">
          <w:rPr>
            <w:webHidden/>
          </w:rPr>
          <w:fldChar w:fldCharType="separate"/>
        </w:r>
        <w:r w:rsidR="0051342D">
          <w:rPr>
            <w:webHidden/>
          </w:rPr>
          <w:t>34</w:t>
        </w:r>
        <w:r w:rsidR="00623569">
          <w:rPr>
            <w:webHidden/>
          </w:rPr>
          <w:fldChar w:fldCharType="end"/>
        </w:r>
      </w:hyperlink>
    </w:p>
    <w:p w14:paraId="54E66281" w14:textId="18F27808" w:rsidR="00623569" w:rsidRDefault="001D7FDC" w:rsidP="00623569">
      <w:pPr>
        <w:pStyle w:val="TOC3"/>
        <w:rPr>
          <w:rFonts w:asciiTheme="minorHAnsi" w:eastAsiaTheme="minorEastAsia" w:hAnsiTheme="minorHAnsi" w:cstheme="minorBidi"/>
        </w:rPr>
      </w:pPr>
      <w:hyperlink w:anchor="_Toc155686012" w:history="1">
        <w:r w:rsidR="00623569" w:rsidRPr="00A879DD">
          <w:rPr>
            <w:rStyle w:val="Hyperlink"/>
          </w:rPr>
          <w:t>Engagement to support implementation</w:t>
        </w:r>
        <w:r w:rsidR="00623569">
          <w:rPr>
            <w:webHidden/>
          </w:rPr>
          <w:tab/>
        </w:r>
        <w:r w:rsidR="00623569">
          <w:rPr>
            <w:webHidden/>
          </w:rPr>
          <w:fldChar w:fldCharType="begin"/>
        </w:r>
        <w:r w:rsidR="00623569">
          <w:rPr>
            <w:webHidden/>
          </w:rPr>
          <w:instrText xml:space="preserve"> PAGEREF _Toc155686012 \h </w:instrText>
        </w:r>
        <w:r w:rsidR="00623569">
          <w:rPr>
            <w:webHidden/>
          </w:rPr>
        </w:r>
        <w:r w:rsidR="00623569">
          <w:rPr>
            <w:webHidden/>
          </w:rPr>
          <w:fldChar w:fldCharType="separate"/>
        </w:r>
        <w:r w:rsidR="0051342D">
          <w:rPr>
            <w:webHidden/>
          </w:rPr>
          <w:t>34</w:t>
        </w:r>
        <w:r w:rsidR="00623569">
          <w:rPr>
            <w:webHidden/>
          </w:rPr>
          <w:fldChar w:fldCharType="end"/>
        </w:r>
      </w:hyperlink>
    </w:p>
    <w:p w14:paraId="255DE361" w14:textId="248B7601" w:rsidR="00623569" w:rsidRDefault="001D7FDC" w:rsidP="00623569">
      <w:pPr>
        <w:pStyle w:val="TOC3"/>
        <w:rPr>
          <w:rFonts w:asciiTheme="minorHAnsi" w:eastAsiaTheme="minorEastAsia" w:hAnsiTheme="minorHAnsi" w:cstheme="minorBidi"/>
        </w:rPr>
      </w:pPr>
      <w:hyperlink w:anchor="_Toc155686013" w:history="1">
        <w:r w:rsidR="00623569" w:rsidRPr="00A879DD">
          <w:rPr>
            <w:rStyle w:val="Hyperlink"/>
          </w:rPr>
          <w:t>Education campaign</w:t>
        </w:r>
        <w:r w:rsidR="00623569">
          <w:rPr>
            <w:webHidden/>
          </w:rPr>
          <w:tab/>
        </w:r>
        <w:r w:rsidR="00623569">
          <w:rPr>
            <w:webHidden/>
          </w:rPr>
          <w:fldChar w:fldCharType="begin"/>
        </w:r>
        <w:r w:rsidR="00623569">
          <w:rPr>
            <w:webHidden/>
          </w:rPr>
          <w:instrText xml:space="preserve"> PAGEREF _Toc155686013 \h </w:instrText>
        </w:r>
        <w:r w:rsidR="00623569">
          <w:rPr>
            <w:webHidden/>
          </w:rPr>
        </w:r>
        <w:r w:rsidR="00623569">
          <w:rPr>
            <w:webHidden/>
          </w:rPr>
          <w:fldChar w:fldCharType="separate"/>
        </w:r>
        <w:r w:rsidR="0051342D">
          <w:rPr>
            <w:webHidden/>
          </w:rPr>
          <w:t>34</w:t>
        </w:r>
        <w:r w:rsidR="00623569">
          <w:rPr>
            <w:webHidden/>
          </w:rPr>
          <w:fldChar w:fldCharType="end"/>
        </w:r>
      </w:hyperlink>
    </w:p>
    <w:p w14:paraId="1DE8C506" w14:textId="0904A0C6" w:rsidR="00623569" w:rsidRDefault="001D7FDC" w:rsidP="00623569">
      <w:pPr>
        <w:pStyle w:val="TOC1"/>
        <w:rPr>
          <w:rFonts w:asciiTheme="minorHAnsi" w:eastAsiaTheme="minorEastAsia" w:hAnsiTheme="minorHAnsi" w:cstheme="minorBidi"/>
          <w:b w:val="0"/>
          <w:spacing w:val="0"/>
          <w:sz w:val="22"/>
          <w:szCs w:val="22"/>
        </w:rPr>
      </w:pPr>
      <w:hyperlink w:anchor="_Toc155686014" w:history="1">
        <w:r w:rsidR="00623569" w:rsidRPr="00A879DD">
          <w:rPr>
            <w:rStyle w:val="Hyperlink"/>
          </w:rPr>
          <w:t>How will you evaluate your chosen option against the success metrics?</w:t>
        </w:r>
        <w:r w:rsidR="00623569">
          <w:rPr>
            <w:webHidden/>
          </w:rPr>
          <w:tab/>
        </w:r>
        <w:r w:rsidR="00623569">
          <w:rPr>
            <w:webHidden/>
          </w:rPr>
          <w:fldChar w:fldCharType="begin"/>
        </w:r>
        <w:r w:rsidR="00623569">
          <w:rPr>
            <w:webHidden/>
          </w:rPr>
          <w:instrText xml:space="preserve"> PAGEREF _Toc155686014 \h </w:instrText>
        </w:r>
        <w:r w:rsidR="00623569">
          <w:rPr>
            <w:webHidden/>
          </w:rPr>
        </w:r>
        <w:r w:rsidR="00623569">
          <w:rPr>
            <w:webHidden/>
          </w:rPr>
          <w:fldChar w:fldCharType="separate"/>
        </w:r>
        <w:r w:rsidR="0051342D">
          <w:rPr>
            <w:webHidden/>
          </w:rPr>
          <w:t>36</w:t>
        </w:r>
        <w:r w:rsidR="00623569">
          <w:rPr>
            <w:webHidden/>
          </w:rPr>
          <w:fldChar w:fldCharType="end"/>
        </w:r>
      </w:hyperlink>
    </w:p>
    <w:p w14:paraId="05DB4748" w14:textId="20658116" w:rsidR="00623569" w:rsidRDefault="001D7FDC" w:rsidP="00623569">
      <w:pPr>
        <w:pStyle w:val="TOC1"/>
        <w:rPr>
          <w:rFonts w:asciiTheme="minorHAnsi" w:eastAsiaTheme="minorEastAsia" w:hAnsiTheme="minorHAnsi" w:cstheme="minorBidi"/>
          <w:b w:val="0"/>
          <w:spacing w:val="0"/>
          <w:sz w:val="22"/>
          <w:szCs w:val="22"/>
        </w:rPr>
      </w:pPr>
      <w:hyperlink w:anchor="_Toc155686015" w:history="1">
        <w:r w:rsidR="00623569" w:rsidRPr="00A879DD">
          <w:rPr>
            <w:rStyle w:val="Hyperlink"/>
          </w:rPr>
          <w:t>Appendix A: Costs and benefits inputs and data</w:t>
        </w:r>
        <w:r w:rsidR="00623569">
          <w:rPr>
            <w:webHidden/>
          </w:rPr>
          <w:tab/>
        </w:r>
        <w:r w:rsidR="00623569">
          <w:rPr>
            <w:webHidden/>
          </w:rPr>
          <w:fldChar w:fldCharType="begin"/>
        </w:r>
        <w:r w:rsidR="00623569">
          <w:rPr>
            <w:webHidden/>
          </w:rPr>
          <w:instrText xml:space="preserve"> PAGEREF _Toc155686015 \h </w:instrText>
        </w:r>
        <w:r w:rsidR="00623569">
          <w:rPr>
            <w:webHidden/>
          </w:rPr>
        </w:r>
        <w:r w:rsidR="00623569">
          <w:rPr>
            <w:webHidden/>
          </w:rPr>
          <w:fldChar w:fldCharType="separate"/>
        </w:r>
        <w:r w:rsidR="0051342D">
          <w:rPr>
            <w:webHidden/>
          </w:rPr>
          <w:t>38</w:t>
        </w:r>
        <w:r w:rsidR="00623569">
          <w:rPr>
            <w:webHidden/>
          </w:rPr>
          <w:fldChar w:fldCharType="end"/>
        </w:r>
      </w:hyperlink>
    </w:p>
    <w:p w14:paraId="484A4F4D" w14:textId="733E2525" w:rsidR="00623569" w:rsidRDefault="001D7FDC" w:rsidP="00623569">
      <w:pPr>
        <w:pStyle w:val="TOC2"/>
        <w:rPr>
          <w:rFonts w:asciiTheme="minorHAnsi" w:eastAsiaTheme="minorEastAsia" w:hAnsiTheme="minorHAnsi" w:cstheme="minorBidi"/>
          <w:spacing w:val="0"/>
          <w:sz w:val="22"/>
          <w:szCs w:val="22"/>
        </w:rPr>
      </w:pPr>
      <w:hyperlink w:anchor="_Toc155686016" w:history="1">
        <w:r w:rsidR="00623569" w:rsidRPr="00A879DD">
          <w:rPr>
            <w:rStyle w:val="Hyperlink"/>
          </w:rPr>
          <w:t>Summary list of identified costs and benefits</w:t>
        </w:r>
        <w:r w:rsidR="00623569">
          <w:rPr>
            <w:webHidden/>
          </w:rPr>
          <w:tab/>
        </w:r>
        <w:r w:rsidR="00623569">
          <w:rPr>
            <w:webHidden/>
          </w:rPr>
          <w:fldChar w:fldCharType="begin"/>
        </w:r>
        <w:r w:rsidR="00623569">
          <w:rPr>
            <w:webHidden/>
          </w:rPr>
          <w:instrText xml:space="preserve"> PAGEREF _Toc155686016 \h </w:instrText>
        </w:r>
        <w:r w:rsidR="00623569">
          <w:rPr>
            <w:webHidden/>
          </w:rPr>
        </w:r>
        <w:r w:rsidR="00623569">
          <w:rPr>
            <w:webHidden/>
          </w:rPr>
          <w:fldChar w:fldCharType="separate"/>
        </w:r>
        <w:r w:rsidR="0051342D">
          <w:rPr>
            <w:webHidden/>
          </w:rPr>
          <w:t>38</w:t>
        </w:r>
        <w:r w:rsidR="00623569">
          <w:rPr>
            <w:webHidden/>
          </w:rPr>
          <w:fldChar w:fldCharType="end"/>
        </w:r>
      </w:hyperlink>
    </w:p>
    <w:p w14:paraId="65D11503" w14:textId="27E56B9B" w:rsidR="00623569" w:rsidRDefault="001D7FDC" w:rsidP="00623569">
      <w:pPr>
        <w:pStyle w:val="TOC2"/>
        <w:rPr>
          <w:rFonts w:asciiTheme="minorHAnsi" w:eastAsiaTheme="minorEastAsia" w:hAnsiTheme="minorHAnsi" w:cstheme="minorBidi"/>
          <w:spacing w:val="0"/>
          <w:sz w:val="22"/>
          <w:szCs w:val="22"/>
        </w:rPr>
      </w:pPr>
      <w:hyperlink w:anchor="_Toc155686017" w:history="1">
        <w:r w:rsidR="00623569" w:rsidRPr="00A879DD">
          <w:rPr>
            <w:rStyle w:val="Hyperlink"/>
          </w:rPr>
          <w:t>Summary of costs and benefits for cost model</w:t>
        </w:r>
        <w:r w:rsidR="00623569">
          <w:rPr>
            <w:webHidden/>
          </w:rPr>
          <w:tab/>
        </w:r>
        <w:r w:rsidR="00623569">
          <w:rPr>
            <w:webHidden/>
          </w:rPr>
          <w:fldChar w:fldCharType="begin"/>
        </w:r>
        <w:r w:rsidR="00623569">
          <w:rPr>
            <w:webHidden/>
          </w:rPr>
          <w:instrText xml:space="preserve"> PAGEREF _Toc155686017 \h </w:instrText>
        </w:r>
        <w:r w:rsidR="00623569">
          <w:rPr>
            <w:webHidden/>
          </w:rPr>
        </w:r>
        <w:r w:rsidR="00623569">
          <w:rPr>
            <w:webHidden/>
          </w:rPr>
          <w:fldChar w:fldCharType="separate"/>
        </w:r>
        <w:r w:rsidR="0051342D">
          <w:rPr>
            <w:webHidden/>
          </w:rPr>
          <w:t>40</w:t>
        </w:r>
        <w:r w:rsidR="00623569">
          <w:rPr>
            <w:webHidden/>
          </w:rPr>
          <w:fldChar w:fldCharType="end"/>
        </w:r>
      </w:hyperlink>
    </w:p>
    <w:p w14:paraId="211FFE57" w14:textId="589F3D7C" w:rsidR="00623569" w:rsidRDefault="001D7FDC" w:rsidP="00623569">
      <w:pPr>
        <w:pStyle w:val="TOC2"/>
        <w:rPr>
          <w:rFonts w:asciiTheme="minorHAnsi" w:eastAsiaTheme="minorEastAsia" w:hAnsiTheme="minorHAnsi" w:cstheme="minorBidi"/>
          <w:spacing w:val="0"/>
          <w:sz w:val="22"/>
          <w:szCs w:val="22"/>
        </w:rPr>
      </w:pPr>
      <w:hyperlink w:anchor="_Toc155686018" w:history="1">
        <w:r w:rsidR="00623569" w:rsidRPr="00A879DD">
          <w:rPr>
            <w:rStyle w:val="Hyperlink"/>
          </w:rPr>
          <w:t>CSP costs</w:t>
        </w:r>
        <w:r w:rsidR="00623569">
          <w:rPr>
            <w:webHidden/>
          </w:rPr>
          <w:tab/>
        </w:r>
        <w:r w:rsidR="00623569">
          <w:rPr>
            <w:webHidden/>
          </w:rPr>
          <w:fldChar w:fldCharType="begin"/>
        </w:r>
        <w:r w:rsidR="00623569">
          <w:rPr>
            <w:webHidden/>
          </w:rPr>
          <w:instrText xml:space="preserve"> PAGEREF _Toc155686018 \h </w:instrText>
        </w:r>
        <w:r w:rsidR="00623569">
          <w:rPr>
            <w:webHidden/>
          </w:rPr>
        </w:r>
        <w:r w:rsidR="00623569">
          <w:rPr>
            <w:webHidden/>
          </w:rPr>
          <w:fldChar w:fldCharType="separate"/>
        </w:r>
        <w:r w:rsidR="0051342D">
          <w:rPr>
            <w:webHidden/>
          </w:rPr>
          <w:t>42</w:t>
        </w:r>
        <w:r w:rsidR="00623569">
          <w:rPr>
            <w:webHidden/>
          </w:rPr>
          <w:fldChar w:fldCharType="end"/>
        </w:r>
      </w:hyperlink>
    </w:p>
    <w:p w14:paraId="636D18CF" w14:textId="77777777" w:rsidR="00623569" w:rsidRPr="000D76E0" w:rsidRDefault="00623569" w:rsidP="00623569">
      <w:pPr>
        <w:rPr>
          <w:rFonts w:cs="Arial"/>
        </w:rPr>
        <w:sectPr w:rsidR="00623569" w:rsidRPr="000D76E0" w:rsidSect="00083B2C">
          <w:headerReference w:type="even" r:id="rId26"/>
          <w:headerReference w:type="default" r:id="rId27"/>
          <w:footerReference w:type="even" r:id="rId28"/>
          <w:footerReference w:type="default" r:id="rId29"/>
          <w:footerReference w:type="first" r:id="rId30"/>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6B5DA8CB" w14:textId="77777777" w:rsidR="00623569" w:rsidRPr="0032397E" w:rsidRDefault="00623569" w:rsidP="004E355B">
      <w:pPr>
        <w:pStyle w:val="Heading1"/>
      </w:pPr>
      <w:bookmarkStart w:id="1" w:name="_Toc32833676"/>
      <w:bookmarkStart w:id="2" w:name="_Toc32833733"/>
      <w:bookmarkStart w:id="3" w:name="_Toc32833806"/>
      <w:bookmarkStart w:id="4" w:name="_Toc155685971"/>
      <w:bookmarkStart w:id="5" w:name="_Hlk29457115"/>
      <w:bookmarkStart w:id="6" w:name="_Toc298924672"/>
      <w:bookmarkStart w:id="7" w:name="_Toc300909555"/>
      <w:bookmarkStart w:id="8" w:name="_Toc348105636"/>
      <w:r>
        <w:lastRenderedPageBreak/>
        <w:t>Introduction</w:t>
      </w:r>
      <w:bookmarkEnd w:id="1"/>
      <w:bookmarkEnd w:id="2"/>
      <w:bookmarkEnd w:id="3"/>
      <w:bookmarkEnd w:id="4"/>
    </w:p>
    <w:bookmarkEnd w:id="5"/>
    <w:p w14:paraId="03216DA9" w14:textId="77777777" w:rsidR="00623569" w:rsidRPr="00D57514" w:rsidRDefault="00623569" w:rsidP="00623569">
      <w:pPr>
        <w:pStyle w:val="Paragraph"/>
        <w:rPr>
          <w:szCs w:val="20"/>
        </w:rPr>
      </w:pPr>
      <w:r>
        <w:rPr>
          <w:color w:val="000000"/>
          <w:szCs w:val="20"/>
        </w:rPr>
        <w:t xml:space="preserve">The </w:t>
      </w:r>
      <w:r w:rsidRPr="00D57514">
        <w:rPr>
          <w:color w:val="000000"/>
          <w:szCs w:val="20"/>
        </w:rPr>
        <w:t xml:space="preserve">Australian Government is committed to ensuring telecommunications customers facing financial hardship receive </w:t>
      </w:r>
      <w:r>
        <w:rPr>
          <w:color w:val="000000"/>
          <w:szCs w:val="20"/>
        </w:rPr>
        <w:t>the necessary</w:t>
      </w:r>
      <w:r w:rsidRPr="00D57514">
        <w:rPr>
          <w:color w:val="000000"/>
          <w:szCs w:val="20"/>
        </w:rPr>
        <w:t xml:space="preserve"> information and support, recogni</w:t>
      </w:r>
      <w:r>
        <w:rPr>
          <w:color w:val="000000"/>
          <w:szCs w:val="20"/>
        </w:rPr>
        <w:t>s</w:t>
      </w:r>
      <w:r w:rsidRPr="00D57514">
        <w:rPr>
          <w:color w:val="000000"/>
          <w:szCs w:val="20"/>
        </w:rPr>
        <w:t xml:space="preserve">ing the essential nature of telecommunications services </w:t>
      </w:r>
      <w:proofErr w:type="gramStart"/>
      <w:r w:rsidRPr="00D57514">
        <w:rPr>
          <w:color w:val="000000"/>
          <w:szCs w:val="20"/>
        </w:rPr>
        <w:t>in today's society</w:t>
      </w:r>
      <w:proofErr w:type="gramEnd"/>
      <w:r w:rsidRPr="00D57514">
        <w:rPr>
          <w:color w:val="000000"/>
          <w:szCs w:val="20"/>
        </w:rPr>
        <w:t xml:space="preserve">. Access to reliable and affordable phone and internet services is crucial for work, education, health, entertainment, social connection, and government services. </w:t>
      </w:r>
    </w:p>
    <w:p w14:paraId="34788DE3" w14:textId="77777777" w:rsidR="00623569" w:rsidRDefault="00623569" w:rsidP="00623569">
      <w:pPr>
        <w:pStyle w:val="FootnoteText"/>
        <w:spacing w:after="240"/>
        <w:rPr>
          <w:rFonts w:cs="Arial"/>
          <w:sz w:val="20"/>
          <w:szCs w:val="20"/>
        </w:rPr>
      </w:pPr>
      <w:r w:rsidRPr="00DC46C7">
        <w:rPr>
          <w:sz w:val="20"/>
          <w:szCs w:val="20"/>
        </w:rPr>
        <w:t xml:space="preserve">There is evidence that the current safeguards for consumers facing financial difficulty in the </w:t>
      </w:r>
      <w:hyperlink r:id="rId31" w:history="1">
        <w:r w:rsidRPr="001D3571">
          <w:rPr>
            <w:rStyle w:val="Hyperlink"/>
            <w:rFonts w:cs="Arial"/>
            <w:i/>
            <w:iCs/>
            <w:sz w:val="20"/>
            <w:szCs w:val="20"/>
          </w:rPr>
          <w:t xml:space="preserve">Telecommunications Consumer Protection Code </w:t>
        </w:r>
        <w:r w:rsidRPr="001B07DA">
          <w:rPr>
            <w:rStyle w:val="Hyperlink"/>
            <w:rFonts w:cs="Arial"/>
            <w:sz w:val="20"/>
            <w:szCs w:val="20"/>
          </w:rPr>
          <w:t>C628:2019</w:t>
        </w:r>
      </w:hyperlink>
      <w:r>
        <w:rPr>
          <w:rStyle w:val="Hyperlink"/>
          <w:rFonts w:cs="Arial"/>
          <w:sz w:val="20"/>
          <w:szCs w:val="20"/>
        </w:rPr>
        <w:t xml:space="preserve"> </w:t>
      </w:r>
      <w:r w:rsidRPr="00DC46C7">
        <w:rPr>
          <w:sz w:val="20"/>
          <w:szCs w:val="20"/>
        </w:rPr>
        <w:t xml:space="preserve">(the TCP Code) are not </w:t>
      </w:r>
      <w:r>
        <w:rPr>
          <w:sz w:val="20"/>
          <w:szCs w:val="20"/>
        </w:rPr>
        <w:t>providing</w:t>
      </w:r>
      <w:r w:rsidRPr="00DC46C7">
        <w:rPr>
          <w:sz w:val="20"/>
          <w:szCs w:val="20"/>
        </w:rPr>
        <w:t xml:space="preserve"> sufficient protections. The ACMA’s </w:t>
      </w:r>
      <w:hyperlink r:id="rId32" w:history="1">
        <w:r w:rsidRPr="001D3571">
          <w:rPr>
            <w:rStyle w:val="Hyperlink"/>
            <w:rFonts w:cs="Arial"/>
            <w:i/>
            <w:iCs/>
            <w:sz w:val="20"/>
            <w:szCs w:val="20"/>
          </w:rPr>
          <w:t>Financial hardship in the telco sector: Keeping the customer connected</w:t>
        </w:r>
      </w:hyperlink>
      <w:r w:rsidRPr="00F242AA">
        <w:rPr>
          <w:rFonts w:cs="Arial"/>
          <w:sz w:val="20"/>
          <w:szCs w:val="20"/>
        </w:rPr>
        <w:t xml:space="preserve"> </w:t>
      </w:r>
      <w:r>
        <w:rPr>
          <w:rFonts w:cs="Arial"/>
          <w:sz w:val="20"/>
          <w:szCs w:val="20"/>
        </w:rPr>
        <w:t xml:space="preserve">report </w:t>
      </w:r>
      <w:r>
        <w:rPr>
          <w:rFonts w:cs="Arial"/>
          <w:color w:val="000000"/>
          <w:sz w:val="20"/>
          <w:szCs w:val="20"/>
        </w:rPr>
        <w:t>uncovered</w:t>
      </w:r>
      <w:r w:rsidRPr="003908D3">
        <w:rPr>
          <w:rFonts w:cs="Arial"/>
          <w:color w:val="000000"/>
          <w:sz w:val="20"/>
          <w:szCs w:val="20"/>
        </w:rPr>
        <w:t xml:space="preserve"> significant rates of financial hardship among telecommunications consumers. </w:t>
      </w:r>
      <w:r>
        <w:rPr>
          <w:rFonts w:cs="Arial"/>
          <w:color w:val="000000"/>
          <w:sz w:val="20"/>
          <w:szCs w:val="20"/>
        </w:rPr>
        <w:t>However</w:t>
      </w:r>
      <w:r w:rsidRPr="003908D3">
        <w:rPr>
          <w:rFonts w:cs="Arial"/>
          <w:color w:val="000000"/>
          <w:sz w:val="20"/>
          <w:szCs w:val="20"/>
        </w:rPr>
        <w:t xml:space="preserve">, </w:t>
      </w:r>
      <w:r>
        <w:rPr>
          <w:rFonts w:cs="Arial"/>
          <w:color w:val="000000"/>
          <w:sz w:val="20"/>
          <w:szCs w:val="20"/>
        </w:rPr>
        <w:t xml:space="preserve">only </w:t>
      </w:r>
      <w:r w:rsidRPr="003908D3">
        <w:rPr>
          <w:rFonts w:cs="Arial"/>
          <w:color w:val="000000"/>
          <w:sz w:val="20"/>
          <w:szCs w:val="20"/>
        </w:rPr>
        <w:t>a small proportion of affected customers receive formal hardship support.</w:t>
      </w:r>
      <w:r w:rsidRPr="003908D3">
        <w:rPr>
          <w:rFonts w:cs="Arial"/>
          <w:sz w:val="20"/>
          <w:szCs w:val="20"/>
        </w:rPr>
        <w:t xml:space="preserve"> </w:t>
      </w:r>
    </w:p>
    <w:p w14:paraId="0FE81EBA" w14:textId="77777777" w:rsidR="00623569" w:rsidRPr="005D0ED9" w:rsidRDefault="00623569" w:rsidP="00623569">
      <w:pPr>
        <w:pStyle w:val="FootnoteText"/>
        <w:spacing w:after="240"/>
        <w:rPr>
          <w:rFonts w:cs="Arial"/>
          <w:sz w:val="20"/>
          <w:szCs w:val="20"/>
        </w:rPr>
      </w:pPr>
      <w:r>
        <w:rPr>
          <w:rFonts w:cs="Arial"/>
          <w:color w:val="000000"/>
          <w:sz w:val="20"/>
          <w:szCs w:val="20"/>
        </w:rPr>
        <w:t>As at 30 June 2022, i</w:t>
      </w:r>
      <w:r w:rsidRPr="005D0ED9">
        <w:rPr>
          <w:rFonts w:cs="Arial"/>
          <w:color w:val="000000"/>
          <w:sz w:val="20"/>
          <w:szCs w:val="20"/>
        </w:rPr>
        <w:t xml:space="preserve">ndustry data from major </w:t>
      </w:r>
      <w:r>
        <w:rPr>
          <w:rFonts w:cs="Arial"/>
          <w:color w:val="000000"/>
          <w:sz w:val="20"/>
          <w:szCs w:val="20"/>
        </w:rPr>
        <w:t>carriage services providers (CSPs)</w:t>
      </w:r>
      <w:r w:rsidRPr="005D0ED9">
        <w:rPr>
          <w:rFonts w:cs="Arial"/>
          <w:color w:val="000000"/>
          <w:sz w:val="20"/>
          <w:szCs w:val="20"/>
        </w:rPr>
        <w:t xml:space="preserve"> reported 4,388 residential financial hardship customers</w:t>
      </w:r>
      <w:r>
        <w:rPr>
          <w:rStyle w:val="FootnoteReference"/>
          <w:rFonts w:cs="Arial"/>
          <w:sz w:val="20"/>
          <w:szCs w:val="20"/>
        </w:rPr>
        <w:footnoteReference w:id="2"/>
      </w:r>
      <w:r w:rsidRPr="005D0ED9">
        <w:rPr>
          <w:rFonts w:cs="Arial"/>
          <w:color w:val="000000"/>
          <w:sz w:val="20"/>
          <w:szCs w:val="20"/>
        </w:rPr>
        <w:t xml:space="preserve">, </w:t>
      </w:r>
      <w:r>
        <w:rPr>
          <w:rFonts w:cs="Arial"/>
          <w:color w:val="000000"/>
          <w:sz w:val="20"/>
          <w:szCs w:val="20"/>
        </w:rPr>
        <w:t>in contrast</w:t>
      </w:r>
      <w:r w:rsidRPr="005D0ED9">
        <w:rPr>
          <w:rFonts w:cs="Arial"/>
          <w:color w:val="000000"/>
          <w:sz w:val="20"/>
          <w:szCs w:val="20"/>
        </w:rPr>
        <w:t xml:space="preserve"> </w:t>
      </w:r>
      <w:r>
        <w:rPr>
          <w:rFonts w:cs="Arial"/>
          <w:color w:val="000000"/>
          <w:sz w:val="20"/>
          <w:szCs w:val="20"/>
        </w:rPr>
        <w:t>to</w:t>
      </w:r>
      <w:r w:rsidRPr="005D0ED9">
        <w:rPr>
          <w:rFonts w:cs="Arial"/>
          <w:color w:val="000000"/>
          <w:sz w:val="20"/>
          <w:szCs w:val="20"/>
        </w:rPr>
        <w:t xml:space="preserve"> an estimated 2.4 million Australian adults </w:t>
      </w:r>
      <w:r>
        <w:rPr>
          <w:rFonts w:cs="Arial"/>
          <w:sz w:val="20"/>
          <w:szCs w:val="20"/>
        </w:rPr>
        <w:t>facing</w:t>
      </w:r>
      <w:r w:rsidRPr="009614C0">
        <w:rPr>
          <w:rFonts w:cs="Arial"/>
          <w:sz w:val="20"/>
          <w:szCs w:val="20"/>
        </w:rPr>
        <w:t xml:space="preserve"> financial difficulty or concerned about their telco bill</w:t>
      </w:r>
      <w:r>
        <w:rPr>
          <w:rFonts w:cs="Arial"/>
          <w:sz w:val="20"/>
          <w:szCs w:val="20"/>
        </w:rPr>
        <w:t xml:space="preserve"> </w:t>
      </w:r>
      <w:r w:rsidRPr="005D0ED9">
        <w:rPr>
          <w:rFonts w:cs="Arial"/>
          <w:color w:val="000000"/>
          <w:sz w:val="20"/>
          <w:szCs w:val="20"/>
        </w:rPr>
        <w:t>in the preceding 12 months.</w:t>
      </w:r>
      <w:r>
        <w:rPr>
          <w:rStyle w:val="FootnoteReference"/>
          <w:rFonts w:cs="Arial"/>
          <w:sz w:val="20"/>
          <w:szCs w:val="20"/>
        </w:rPr>
        <w:footnoteReference w:id="3"/>
      </w:r>
      <w:r>
        <w:rPr>
          <w:rFonts w:cs="Arial"/>
          <w:color w:val="000000"/>
          <w:sz w:val="20"/>
          <w:szCs w:val="20"/>
        </w:rPr>
        <w:t xml:space="preserve"> </w:t>
      </w:r>
      <w:r w:rsidRPr="00041E12">
        <w:rPr>
          <w:rFonts w:cs="Arial"/>
          <w:color w:val="000000"/>
          <w:sz w:val="20"/>
          <w:szCs w:val="20"/>
        </w:rPr>
        <w:t>Further, industry data during FY2022 indicated that 237,166 residential customers had their services disconnected due to non-payment of their bills.</w:t>
      </w:r>
      <w:r>
        <w:rPr>
          <w:rStyle w:val="FootnoteReference"/>
          <w:rFonts w:cs="Arial"/>
          <w:color w:val="000000"/>
          <w:sz w:val="20"/>
          <w:szCs w:val="20"/>
        </w:rPr>
        <w:footnoteReference w:id="4"/>
      </w:r>
      <w:r>
        <w:rPr>
          <w:rFonts w:cs="Arial"/>
          <w:color w:val="000000"/>
          <w:sz w:val="20"/>
          <w:szCs w:val="20"/>
        </w:rPr>
        <w:t xml:space="preserve"> </w:t>
      </w:r>
      <w:r w:rsidRPr="00041E12">
        <w:rPr>
          <w:rFonts w:cs="Arial"/>
          <w:color w:val="000000"/>
          <w:sz w:val="20"/>
          <w:szCs w:val="20"/>
        </w:rPr>
        <w:t>Customers on a formal financial hardship program are afforded protection from credit management action.</w:t>
      </w:r>
    </w:p>
    <w:p w14:paraId="56EF8735" w14:textId="77777777" w:rsidR="00623569" w:rsidRPr="00233FDF" w:rsidRDefault="00623569" w:rsidP="00623569">
      <w:pPr>
        <w:pStyle w:val="FootnoteText"/>
        <w:spacing w:after="240"/>
        <w:rPr>
          <w:rFonts w:cs="Arial"/>
          <w:sz w:val="20"/>
          <w:szCs w:val="20"/>
        </w:rPr>
      </w:pPr>
      <w:r w:rsidRPr="00233FDF">
        <w:rPr>
          <w:rFonts w:cs="Arial"/>
          <w:sz w:val="20"/>
          <w:szCs w:val="20"/>
        </w:rPr>
        <w:t xml:space="preserve">Furthermore, the Financial Hardship </w:t>
      </w:r>
      <w:r>
        <w:rPr>
          <w:rFonts w:cs="Arial"/>
          <w:sz w:val="20"/>
          <w:szCs w:val="20"/>
        </w:rPr>
        <w:t>r</w:t>
      </w:r>
      <w:r w:rsidRPr="00233FDF">
        <w:rPr>
          <w:rFonts w:cs="Arial"/>
          <w:sz w:val="20"/>
          <w:szCs w:val="20"/>
        </w:rPr>
        <w:t>eport highlighted that existing financial hardship support arrangements, when accessed, were neither flexible nor tailored enough to meet individual consumer circumstances. It also highlighted the need for CSPs to do more to proactively engage and assist customers in need.</w:t>
      </w:r>
    </w:p>
    <w:p w14:paraId="3E22DA97" w14:textId="77777777" w:rsidR="00623569" w:rsidRDefault="00623569" w:rsidP="00623569">
      <w:pPr>
        <w:pStyle w:val="CommentText"/>
        <w:spacing w:line="240" w:lineRule="atLeast"/>
        <w:rPr>
          <w:rFonts w:cs="Arial"/>
        </w:rPr>
      </w:pPr>
      <w:r w:rsidRPr="00A73EDA">
        <w:rPr>
          <w:rFonts w:cs="Arial"/>
        </w:rPr>
        <w:t xml:space="preserve">The ACMA’s findings align with </w:t>
      </w:r>
      <w:r>
        <w:rPr>
          <w:rFonts w:cs="Arial"/>
        </w:rPr>
        <w:t>concerns</w:t>
      </w:r>
      <w:r w:rsidRPr="00A73EDA">
        <w:rPr>
          <w:rFonts w:cs="Arial"/>
        </w:rPr>
        <w:t xml:space="preserve"> raised in </w:t>
      </w:r>
      <w:r>
        <w:rPr>
          <w:rFonts w:cs="Arial"/>
        </w:rPr>
        <w:t xml:space="preserve">the </w:t>
      </w:r>
      <w:r w:rsidRPr="00A73EDA">
        <w:rPr>
          <w:rFonts w:cs="Arial"/>
        </w:rPr>
        <w:t xml:space="preserve">Telecommunications Industry Ombudsman (TIO) report </w:t>
      </w:r>
      <w:r w:rsidRPr="00A73EDA">
        <w:rPr>
          <w:rFonts w:cs="Arial"/>
          <w:i/>
          <w:iCs/>
        </w:rPr>
        <w:t>A time for change – Three years of systemic investigations in review</w:t>
      </w:r>
      <w:r w:rsidRPr="00A73EDA">
        <w:rPr>
          <w:rStyle w:val="FootnoteReference"/>
          <w:rFonts w:cs="Arial"/>
        </w:rPr>
        <w:footnoteReference w:id="5"/>
      </w:r>
      <w:r w:rsidRPr="00A73EDA">
        <w:rPr>
          <w:rFonts w:cs="Arial"/>
        </w:rPr>
        <w:t xml:space="preserve"> and submissions to the current TCP Code</w:t>
      </w:r>
      <w:r>
        <w:rPr>
          <w:rFonts w:cs="Arial"/>
        </w:rPr>
        <w:t xml:space="preserve"> review</w:t>
      </w:r>
      <w:r w:rsidRPr="00A73EDA">
        <w:rPr>
          <w:rFonts w:cs="Arial"/>
        </w:rPr>
        <w:t xml:space="preserve">. </w:t>
      </w:r>
    </w:p>
    <w:p w14:paraId="5A28A0A1" w14:textId="77777777" w:rsidR="00623569" w:rsidRPr="00A73EDA" w:rsidRDefault="00623569" w:rsidP="00623569">
      <w:pPr>
        <w:pStyle w:val="CommentText"/>
        <w:spacing w:line="240" w:lineRule="atLeast"/>
        <w:rPr>
          <w:rFonts w:cs="Arial"/>
        </w:rPr>
      </w:pPr>
      <w:r>
        <w:rPr>
          <w:rFonts w:cs="Arial"/>
        </w:rPr>
        <w:t>This information, t</w:t>
      </w:r>
      <w:r w:rsidRPr="00A73EDA">
        <w:rPr>
          <w:rFonts w:cs="Arial"/>
        </w:rPr>
        <w:t>ogether with feedback from consumer groups and advocates over an extended period</w:t>
      </w:r>
      <w:r>
        <w:rPr>
          <w:rFonts w:cs="Arial"/>
        </w:rPr>
        <w:t>,</w:t>
      </w:r>
      <w:r w:rsidRPr="00A73EDA">
        <w:rPr>
          <w:rFonts w:cs="Arial"/>
        </w:rPr>
        <w:t xml:space="preserve"> show that the current financial hardship rules in the TCP Code are not working effectively to support consumer</w:t>
      </w:r>
      <w:r>
        <w:rPr>
          <w:rFonts w:cs="Arial"/>
        </w:rPr>
        <w:t>s experiencing vulnerability</w:t>
      </w:r>
      <w:r w:rsidRPr="00A73EDA">
        <w:rPr>
          <w:rFonts w:cs="Arial"/>
        </w:rPr>
        <w:t>.</w:t>
      </w:r>
      <w:r>
        <w:rPr>
          <w:rFonts w:cs="Arial"/>
        </w:rPr>
        <w:t xml:space="preserve"> </w:t>
      </w:r>
    </w:p>
    <w:p w14:paraId="63A72F28" w14:textId="77777777" w:rsidR="00623569" w:rsidRPr="00A73EDA" w:rsidRDefault="00623569" w:rsidP="00623569">
      <w:pPr>
        <w:pStyle w:val="Paragraph"/>
      </w:pPr>
      <w:r>
        <w:t xml:space="preserve">In response, the Minister for Communications </w:t>
      </w:r>
      <w:r w:rsidRPr="00A73EDA">
        <w:t>directed</w:t>
      </w:r>
      <w:r w:rsidRPr="00A73EDA">
        <w:rPr>
          <w:rStyle w:val="FootnoteReference"/>
        </w:rPr>
        <w:footnoteReference w:id="6"/>
      </w:r>
      <w:r w:rsidRPr="00A73EDA">
        <w:t xml:space="preserve"> the ACMA</w:t>
      </w:r>
      <w:r>
        <w:t xml:space="preserve"> on 6 September 2023</w:t>
      </w:r>
      <w:r w:rsidRPr="00A73EDA">
        <w:t xml:space="preserve"> to make an industry standard </w:t>
      </w:r>
      <w:r>
        <w:t>(the Standard)</w:t>
      </w:r>
      <w:r w:rsidRPr="00A73EDA">
        <w:t xml:space="preserve"> requiring CSPs deal</w:t>
      </w:r>
      <w:r>
        <w:t>ing</w:t>
      </w:r>
      <w:r w:rsidRPr="00A73EDA">
        <w:t xml:space="preserve"> with residential, small business and not-for profit customers to provide appropriate information and support to telecommunications customers experiencing financial hardship</w:t>
      </w:r>
      <w:r>
        <w:t xml:space="preserve"> .</w:t>
      </w:r>
    </w:p>
    <w:p w14:paraId="1FC8F63D" w14:textId="77777777" w:rsidR="00623569" w:rsidRPr="00CA6C65" w:rsidRDefault="00623569" w:rsidP="00623569">
      <w:pPr>
        <w:pStyle w:val="Paragraph"/>
        <w:widowControl w:val="0"/>
        <w:rPr>
          <w:szCs w:val="20"/>
        </w:rPr>
      </w:pPr>
      <w:r w:rsidRPr="00A73EDA">
        <w:t xml:space="preserve">The </w:t>
      </w:r>
      <w:r>
        <w:t>m</w:t>
      </w:r>
      <w:r w:rsidRPr="00A73EDA">
        <w:t xml:space="preserve">inister’s </w:t>
      </w:r>
      <w:r>
        <w:t>direction</w:t>
      </w:r>
      <w:r w:rsidRPr="00A73EDA">
        <w:t xml:space="preserve"> </w:t>
      </w:r>
      <w:r>
        <w:t>acknowledges the challenges</w:t>
      </w:r>
      <w:r w:rsidRPr="00A73EDA">
        <w:t xml:space="preserve"> consumers </w:t>
      </w:r>
      <w:r>
        <w:t xml:space="preserve">face </w:t>
      </w:r>
      <w:r w:rsidRPr="00A73EDA">
        <w:t>in accessing financial support when need</w:t>
      </w:r>
      <w:r>
        <w:t>ed. The Standard</w:t>
      </w:r>
      <w:r w:rsidRPr="00A73EDA">
        <w:t xml:space="preserve"> </w:t>
      </w:r>
      <w:r>
        <w:t>aims to enhance</w:t>
      </w:r>
      <w:r w:rsidRPr="00A73EDA">
        <w:t xml:space="preserve"> </w:t>
      </w:r>
      <w:r>
        <w:t>protections</w:t>
      </w:r>
      <w:r w:rsidRPr="00A73EDA">
        <w:t xml:space="preserve"> for </w:t>
      </w:r>
      <w:r>
        <w:t xml:space="preserve">these </w:t>
      </w:r>
      <w:r w:rsidRPr="00A73EDA">
        <w:t>consumers</w:t>
      </w:r>
      <w:r w:rsidRPr="00CA6C65">
        <w:rPr>
          <w:szCs w:val="20"/>
        </w:rPr>
        <w:t xml:space="preserve">, </w:t>
      </w:r>
      <w:r w:rsidRPr="00CA6C65">
        <w:rPr>
          <w:color w:val="000000"/>
          <w:szCs w:val="20"/>
        </w:rPr>
        <w:t xml:space="preserve">ensuring that </w:t>
      </w:r>
      <w:r>
        <w:rPr>
          <w:color w:val="000000"/>
          <w:szCs w:val="20"/>
        </w:rPr>
        <w:t xml:space="preserve">all </w:t>
      </w:r>
      <w:r w:rsidRPr="00CA6C65">
        <w:rPr>
          <w:color w:val="000000"/>
          <w:szCs w:val="20"/>
        </w:rPr>
        <w:t xml:space="preserve">Australians can stay connected to </w:t>
      </w:r>
      <w:r>
        <w:rPr>
          <w:color w:val="000000"/>
          <w:szCs w:val="20"/>
        </w:rPr>
        <w:t xml:space="preserve">increasingly </w:t>
      </w:r>
      <w:r w:rsidRPr="00CA6C65">
        <w:rPr>
          <w:color w:val="000000"/>
          <w:szCs w:val="20"/>
        </w:rPr>
        <w:t>essential telecommunications services and receive necessary assistance.</w:t>
      </w:r>
    </w:p>
    <w:p w14:paraId="7B9B3A6E" w14:textId="77777777" w:rsidR="00623569" w:rsidRPr="00317FE4" w:rsidRDefault="00623569" w:rsidP="00623569">
      <w:pPr>
        <w:pStyle w:val="Heading1"/>
      </w:pPr>
      <w:bookmarkStart w:id="9" w:name="_Toc32833677"/>
      <w:bookmarkStart w:id="10" w:name="_Toc32833734"/>
      <w:bookmarkStart w:id="11" w:name="_Toc32833807"/>
      <w:bookmarkStart w:id="12" w:name="_Toc155685972"/>
      <w:r w:rsidRPr="00317FE4">
        <w:lastRenderedPageBreak/>
        <w:t>Regulatory setting</w:t>
      </w:r>
      <w:bookmarkEnd w:id="9"/>
      <w:bookmarkEnd w:id="10"/>
      <w:bookmarkEnd w:id="11"/>
      <w:bookmarkEnd w:id="12"/>
    </w:p>
    <w:p w14:paraId="0D1D779D" w14:textId="77777777" w:rsidR="00623569" w:rsidRDefault="00623569" w:rsidP="00623569">
      <w:pPr>
        <w:pStyle w:val="Paragraph"/>
      </w:pPr>
      <w:r>
        <w:t>The ACMA is</w:t>
      </w:r>
      <w:r w:rsidRPr="008B5193">
        <w:t xml:space="preserve"> an independent Commonwealth statutory authority</w:t>
      </w:r>
      <w:r>
        <w:t xml:space="preserve"> that</w:t>
      </w:r>
      <w:r w:rsidRPr="008B5193">
        <w:t xml:space="preserve"> regulate</w:t>
      </w:r>
      <w:r>
        <w:t>s</w:t>
      </w:r>
      <w:r w:rsidRPr="008B5193">
        <w:t xml:space="preserve"> communications and media services in Australia to maximise the economic and social benefits for </w:t>
      </w:r>
      <w:r>
        <w:t>the nation</w:t>
      </w:r>
      <w:r w:rsidRPr="008B5193">
        <w:t>.</w:t>
      </w:r>
      <w:r>
        <w:t xml:space="preserve"> This includes regulating telecommunications providers.</w:t>
      </w:r>
    </w:p>
    <w:p w14:paraId="3E827A02" w14:textId="77777777" w:rsidR="00623569" w:rsidRPr="00B55549" w:rsidRDefault="00623569" w:rsidP="00623569">
      <w:pPr>
        <w:pStyle w:val="Paragraph"/>
        <w:rPr>
          <w:color w:val="000000"/>
          <w:szCs w:val="20"/>
        </w:rPr>
      </w:pPr>
      <w:r>
        <w:t>The regulatory framework encompasses</w:t>
      </w:r>
      <w:r w:rsidRPr="007516D7">
        <w:t xml:space="preserve"> </w:t>
      </w:r>
      <w:r>
        <w:t>4</w:t>
      </w:r>
      <w:r w:rsidRPr="007516D7">
        <w:t xml:space="preserve"> principal </w:t>
      </w:r>
      <w:r>
        <w:t>A</w:t>
      </w:r>
      <w:r w:rsidRPr="007516D7">
        <w:t>cts</w:t>
      </w:r>
      <w:r>
        <w:t xml:space="preserve"> </w:t>
      </w:r>
      <w:r w:rsidRPr="001B07DA">
        <w:t>– th</w:t>
      </w:r>
      <w:r w:rsidRPr="007516D7">
        <w:t xml:space="preserve">e </w:t>
      </w:r>
      <w:r w:rsidRPr="001B07DA">
        <w:rPr>
          <w:i/>
          <w:iCs/>
        </w:rPr>
        <w:t>Radiocommunications Act 1992</w:t>
      </w:r>
      <w:r w:rsidRPr="007516D7">
        <w:t xml:space="preserve">, </w:t>
      </w:r>
      <w:r>
        <w:t xml:space="preserve">the </w:t>
      </w:r>
      <w:r w:rsidRPr="001B07DA">
        <w:rPr>
          <w:i/>
          <w:iCs/>
        </w:rPr>
        <w:t>Telecommunications (Consumer Protection and Service Standards) Act 1999</w:t>
      </w:r>
      <w:r w:rsidRPr="007516D7">
        <w:t xml:space="preserve">, </w:t>
      </w:r>
      <w:r>
        <w:t xml:space="preserve">the </w:t>
      </w:r>
      <w:r w:rsidRPr="001B07DA">
        <w:rPr>
          <w:i/>
          <w:iCs/>
        </w:rPr>
        <w:t>Broadcasting Services Act 1992</w:t>
      </w:r>
      <w:r w:rsidRPr="007516D7">
        <w:t xml:space="preserve"> </w:t>
      </w:r>
      <w:r w:rsidRPr="00A6787E">
        <w:t>and the</w:t>
      </w:r>
      <w:r w:rsidRPr="007516D7">
        <w:t xml:space="preserve"> </w:t>
      </w:r>
      <w:hyperlink r:id="rId33" w:history="1">
        <w:r w:rsidRPr="00202798">
          <w:rPr>
            <w:rStyle w:val="Hyperlink"/>
            <w:i/>
            <w:iCs/>
          </w:rPr>
          <w:t>Telecommunications Act 1997</w:t>
        </w:r>
      </w:hyperlink>
      <w:r>
        <w:t xml:space="preserve"> </w:t>
      </w:r>
      <w:r w:rsidRPr="006F698D">
        <w:t>(the</w:t>
      </w:r>
      <w:r>
        <w:t xml:space="preserve"> Telco</w:t>
      </w:r>
      <w:r w:rsidRPr="007516D7">
        <w:t xml:space="preserve"> Act</w:t>
      </w:r>
      <w:r>
        <w:t>)</w:t>
      </w:r>
      <w:r w:rsidRPr="007516D7">
        <w:t>.</w:t>
      </w:r>
      <w:r>
        <w:t xml:space="preserve"> Additionally, the ACMA </w:t>
      </w:r>
      <w:r>
        <w:rPr>
          <w:color w:val="000000"/>
          <w:szCs w:val="20"/>
        </w:rPr>
        <w:t>has</w:t>
      </w:r>
      <w:r w:rsidRPr="008E6D9A">
        <w:rPr>
          <w:color w:val="000000"/>
          <w:szCs w:val="20"/>
        </w:rPr>
        <w:t xml:space="preserve"> responsibilities under the </w:t>
      </w:r>
      <w:r w:rsidRPr="001B07DA">
        <w:rPr>
          <w:i/>
          <w:iCs/>
          <w:color w:val="000000"/>
          <w:szCs w:val="20"/>
        </w:rPr>
        <w:t>Interactive Gambling Act 2001</w:t>
      </w:r>
      <w:r w:rsidRPr="008E6D9A">
        <w:rPr>
          <w:color w:val="000000"/>
          <w:szCs w:val="20"/>
        </w:rPr>
        <w:t xml:space="preserve">, the </w:t>
      </w:r>
      <w:r w:rsidRPr="001B07DA">
        <w:rPr>
          <w:i/>
          <w:iCs/>
          <w:color w:val="000000"/>
          <w:szCs w:val="20"/>
        </w:rPr>
        <w:t>Spam Act 2003</w:t>
      </w:r>
      <w:r w:rsidRPr="008E6D9A">
        <w:rPr>
          <w:color w:val="000000"/>
          <w:szCs w:val="20"/>
        </w:rPr>
        <w:t xml:space="preserve"> and the </w:t>
      </w:r>
      <w:r w:rsidRPr="001B07DA">
        <w:rPr>
          <w:i/>
          <w:iCs/>
          <w:color w:val="000000"/>
          <w:szCs w:val="20"/>
        </w:rPr>
        <w:t>Do Not Call Register Act 200</w:t>
      </w:r>
      <w:r w:rsidRPr="008E6D9A">
        <w:rPr>
          <w:color w:val="000000"/>
          <w:szCs w:val="20"/>
        </w:rPr>
        <w:t>6.</w:t>
      </w:r>
    </w:p>
    <w:p w14:paraId="2E8F6C81" w14:textId="77777777" w:rsidR="00623569" w:rsidRPr="00317FE4" w:rsidRDefault="00623569" w:rsidP="00623569">
      <w:pPr>
        <w:pStyle w:val="Heading2"/>
      </w:pPr>
      <w:bookmarkStart w:id="13" w:name="_Toc155685973"/>
      <w:r w:rsidRPr="00317FE4">
        <w:t>Current protections for financial hardship</w:t>
      </w:r>
      <w:bookmarkEnd w:id="13"/>
    </w:p>
    <w:p w14:paraId="4F42592B" w14:textId="77777777" w:rsidR="00623569" w:rsidRDefault="00623569" w:rsidP="00623569">
      <w:pPr>
        <w:pStyle w:val="Paragraph"/>
      </w:pPr>
      <w:r>
        <w:t xml:space="preserve">Within this regulatory framework, CSPs are required to comply with a range of telco-specific rules in the TCP Code that provides consumer safeguards in the areas of sales, service and contracts, billing, credit and debt management and changing suppliers. </w:t>
      </w:r>
    </w:p>
    <w:p w14:paraId="3F63AB53" w14:textId="77777777" w:rsidR="00623569" w:rsidRDefault="00623569" w:rsidP="00623569">
      <w:pPr>
        <w:pStyle w:val="Paragraph"/>
      </w:pPr>
      <w:r>
        <w:t>Financial hardship rules set out in Chapter 7 of the TCP Code require CSPs to provide access to financial hardship assistance. This includes the provision of easily accessible financial hardship policies and options enabling consumers to stay connected while meeting financial obligations.</w:t>
      </w:r>
    </w:p>
    <w:p w14:paraId="6DB06DC9" w14:textId="77777777" w:rsidR="00623569" w:rsidRDefault="00623569" w:rsidP="00623569">
      <w:pPr>
        <w:pStyle w:val="Paragraph"/>
      </w:pPr>
      <w:r>
        <w:t xml:space="preserve">There are other general obligations in the TCP Code applicable to financial hardship, including credit management obligations </w:t>
      </w:r>
      <w:r w:rsidDel="00B2221F">
        <w:t>relating to customer</w:t>
      </w:r>
      <w:r>
        <w:t>s</w:t>
      </w:r>
      <w:r w:rsidDel="00B2221F">
        <w:t xml:space="preserve"> experiencing financial hardship </w:t>
      </w:r>
      <w:r>
        <w:t>in Chapter 6.</w:t>
      </w:r>
    </w:p>
    <w:p w14:paraId="2470A1AC" w14:textId="77777777" w:rsidR="00623569" w:rsidRDefault="00623569" w:rsidP="00623569">
      <w:pPr>
        <w:pStyle w:val="Heading4"/>
        <w:keepNext/>
        <w:keepLines/>
        <w:spacing w:before="0" w:after="240"/>
        <w:rPr>
          <w:b w:val="0"/>
          <w:bCs/>
          <w:i w:val="0"/>
          <w:iCs/>
          <w:lang w:val="x-none"/>
        </w:rPr>
      </w:pPr>
      <w:r w:rsidRPr="00E5012C">
        <w:rPr>
          <w:b w:val="0"/>
          <w:bCs/>
          <w:i w:val="0"/>
          <w:iCs/>
          <w:lang w:val="en-US"/>
        </w:rPr>
        <w:t xml:space="preserve">The TCP Code </w:t>
      </w:r>
      <w:r>
        <w:rPr>
          <w:b w:val="0"/>
          <w:bCs/>
          <w:i w:val="0"/>
          <w:iCs/>
          <w:lang w:val="en-US"/>
        </w:rPr>
        <w:t>was</w:t>
      </w:r>
      <w:r w:rsidRPr="00E5012C">
        <w:rPr>
          <w:b w:val="0"/>
          <w:bCs/>
          <w:i w:val="0"/>
          <w:iCs/>
          <w:lang w:val="en-US"/>
        </w:rPr>
        <w:t xml:space="preserve"> </w:t>
      </w:r>
      <w:r>
        <w:rPr>
          <w:b w:val="0"/>
          <w:bCs/>
          <w:i w:val="0"/>
          <w:iCs/>
          <w:lang w:val="en-US"/>
        </w:rPr>
        <w:t>developed</w:t>
      </w:r>
      <w:r w:rsidRPr="00E5012C">
        <w:rPr>
          <w:b w:val="0"/>
          <w:bCs/>
          <w:i w:val="0"/>
          <w:iCs/>
          <w:lang w:val="en-US"/>
        </w:rPr>
        <w:t xml:space="preserve"> by </w:t>
      </w:r>
      <w:r w:rsidRPr="00E5012C">
        <w:rPr>
          <w:b w:val="0"/>
          <w:bCs/>
          <w:i w:val="0"/>
          <w:iCs/>
          <w:lang w:val="x-none"/>
        </w:rPr>
        <w:t>Communications Alliance, the peak industry body for the telecommunications sector</w:t>
      </w:r>
      <w:r>
        <w:rPr>
          <w:b w:val="0"/>
          <w:bCs/>
          <w:i w:val="0"/>
          <w:iCs/>
        </w:rPr>
        <w:t>, for registration by the ACMA</w:t>
      </w:r>
      <w:r w:rsidRPr="00E5012C">
        <w:rPr>
          <w:b w:val="0"/>
          <w:bCs/>
          <w:i w:val="0"/>
          <w:iCs/>
          <w:lang w:val="en-US"/>
        </w:rPr>
        <w:t xml:space="preserve">. </w:t>
      </w:r>
      <w:r w:rsidRPr="00E5012C">
        <w:rPr>
          <w:b w:val="0"/>
          <w:bCs/>
          <w:i w:val="0"/>
          <w:iCs/>
          <w:lang w:val="x-none"/>
        </w:rPr>
        <w:t xml:space="preserve">The </w:t>
      </w:r>
      <w:r w:rsidRPr="00E5012C">
        <w:rPr>
          <w:b w:val="0"/>
          <w:bCs/>
          <w:i w:val="0"/>
          <w:iCs/>
          <w:lang w:val="en-US"/>
        </w:rPr>
        <w:t xml:space="preserve">TCP </w:t>
      </w:r>
      <w:r w:rsidRPr="00E5012C">
        <w:rPr>
          <w:b w:val="0"/>
          <w:bCs/>
          <w:i w:val="0"/>
          <w:iCs/>
          <w:lang w:val="x-none"/>
        </w:rPr>
        <w:t xml:space="preserve">Code is under review </w:t>
      </w:r>
      <w:r>
        <w:rPr>
          <w:b w:val="0"/>
          <w:bCs/>
          <w:i w:val="0"/>
          <w:iCs/>
        </w:rPr>
        <w:t xml:space="preserve">at the time of this assessment </w:t>
      </w:r>
      <w:r w:rsidRPr="00E5012C">
        <w:rPr>
          <w:b w:val="0"/>
          <w:bCs/>
          <w:i w:val="0"/>
          <w:iCs/>
          <w:lang w:val="x-none"/>
        </w:rPr>
        <w:t>(</w:t>
      </w:r>
      <w:r>
        <w:rPr>
          <w:b w:val="0"/>
          <w:bCs/>
          <w:i w:val="0"/>
          <w:iCs/>
        </w:rPr>
        <w:t xml:space="preserve">and is </w:t>
      </w:r>
      <w:r w:rsidRPr="00E5012C">
        <w:rPr>
          <w:b w:val="0"/>
          <w:bCs/>
          <w:i w:val="0"/>
          <w:iCs/>
          <w:lang w:val="x-none"/>
        </w:rPr>
        <w:t xml:space="preserve">due for completion in </w:t>
      </w:r>
      <w:r w:rsidRPr="00E5012C">
        <w:rPr>
          <w:b w:val="0"/>
          <w:bCs/>
          <w:i w:val="0"/>
          <w:iCs/>
          <w:lang w:val="en-US"/>
        </w:rPr>
        <w:t>mid-to-</w:t>
      </w:r>
      <w:r w:rsidRPr="00E5012C">
        <w:rPr>
          <w:b w:val="0"/>
          <w:bCs/>
          <w:i w:val="0"/>
          <w:iCs/>
          <w:lang w:val="x-none"/>
        </w:rPr>
        <w:t xml:space="preserve">late 2024). </w:t>
      </w:r>
    </w:p>
    <w:p w14:paraId="0FF6FB76" w14:textId="77777777" w:rsidR="00623569" w:rsidRPr="00AA2E32" w:rsidRDefault="00623569" w:rsidP="00623569">
      <w:pPr>
        <w:pStyle w:val="Heading2"/>
      </w:pPr>
      <w:bookmarkStart w:id="14" w:name="_Toc155685974"/>
      <w:r w:rsidRPr="00AA2E32">
        <w:t>Regu</w:t>
      </w:r>
      <w:r>
        <w:t>l</w:t>
      </w:r>
      <w:r w:rsidRPr="00AA2E32">
        <w:t>atory framework</w:t>
      </w:r>
      <w:bookmarkEnd w:id="14"/>
    </w:p>
    <w:p w14:paraId="11198548" w14:textId="77777777" w:rsidR="00623569" w:rsidRPr="00050FB2" w:rsidRDefault="00623569" w:rsidP="00623569">
      <w:pPr>
        <w:pStyle w:val="Paragraph"/>
        <w:keepNext/>
        <w:keepLines/>
        <w:rPr>
          <w:bCs/>
          <w:iCs/>
        </w:rPr>
      </w:pPr>
      <w:r w:rsidRPr="00050FB2">
        <w:rPr>
          <w:bCs/>
          <w:iCs/>
        </w:rPr>
        <w:t xml:space="preserve">Under Part 6 of the </w:t>
      </w:r>
      <w:r>
        <w:rPr>
          <w:bCs/>
          <w:iCs/>
        </w:rPr>
        <w:t>Telco</w:t>
      </w:r>
      <w:r w:rsidRPr="00050FB2">
        <w:rPr>
          <w:bCs/>
          <w:iCs/>
        </w:rPr>
        <w:t xml:space="preserve"> Act, the options available </w:t>
      </w:r>
      <w:r>
        <w:rPr>
          <w:bCs/>
          <w:iCs/>
        </w:rPr>
        <w:t xml:space="preserve">to the ACMA </w:t>
      </w:r>
      <w:r w:rsidRPr="00050FB2">
        <w:rPr>
          <w:bCs/>
          <w:iCs/>
        </w:rPr>
        <w:t xml:space="preserve">to make obligations enforceable are either </w:t>
      </w:r>
      <w:r>
        <w:rPr>
          <w:bCs/>
          <w:iCs/>
        </w:rPr>
        <w:t xml:space="preserve">via </w:t>
      </w:r>
      <w:r w:rsidRPr="00050FB2">
        <w:rPr>
          <w:bCs/>
          <w:iCs/>
        </w:rPr>
        <w:t>a</w:t>
      </w:r>
      <w:r>
        <w:rPr>
          <w:bCs/>
          <w:iCs/>
        </w:rPr>
        <w:t xml:space="preserve"> registered</w:t>
      </w:r>
      <w:r w:rsidRPr="00050FB2">
        <w:rPr>
          <w:bCs/>
          <w:iCs/>
        </w:rPr>
        <w:t xml:space="preserve"> industry code or an industry standard.</w:t>
      </w:r>
      <w:r w:rsidRPr="00050FB2">
        <w:rPr>
          <w:rStyle w:val="FootnoteReference"/>
          <w:bCs/>
          <w:iCs/>
        </w:rPr>
        <w:footnoteReference w:id="7"/>
      </w:r>
      <w:r>
        <w:rPr>
          <w:bCs/>
          <w:iCs/>
        </w:rPr>
        <w:t xml:space="preserve"> </w:t>
      </w:r>
    </w:p>
    <w:p w14:paraId="1B1AE377" w14:textId="77777777" w:rsidR="00623569" w:rsidRPr="00050FB2" w:rsidRDefault="00623569" w:rsidP="00623569">
      <w:pPr>
        <w:pStyle w:val="Paragraph"/>
        <w:rPr>
          <w:bCs/>
          <w:iCs/>
        </w:rPr>
      </w:pPr>
      <w:r>
        <w:rPr>
          <w:bCs/>
          <w:iCs/>
        </w:rPr>
        <w:t>The ACMA</w:t>
      </w:r>
      <w:r w:rsidRPr="00050FB2">
        <w:rPr>
          <w:bCs/>
          <w:iCs/>
        </w:rPr>
        <w:t xml:space="preserve"> may call for an industry code to be made providing certain threshold conditions are met or register an industry code if submitted by a body representing the industry (if certain matters are satisfied). </w:t>
      </w:r>
      <w:r>
        <w:rPr>
          <w:bCs/>
          <w:iCs/>
        </w:rPr>
        <w:t>The ACMA</w:t>
      </w:r>
      <w:r w:rsidRPr="00050FB2">
        <w:rPr>
          <w:bCs/>
          <w:iCs/>
        </w:rPr>
        <w:t xml:space="preserve"> may determine a standard where a code has been called for and not provided, where a code fails, or, where </w:t>
      </w:r>
      <w:r>
        <w:rPr>
          <w:bCs/>
          <w:iCs/>
        </w:rPr>
        <w:t>the ACMA is</w:t>
      </w:r>
      <w:r w:rsidRPr="00050FB2">
        <w:rPr>
          <w:bCs/>
          <w:iCs/>
        </w:rPr>
        <w:t xml:space="preserve"> directed to </w:t>
      </w:r>
      <w:r>
        <w:rPr>
          <w:bCs/>
          <w:iCs/>
        </w:rPr>
        <w:t>do so</w:t>
      </w:r>
      <w:r w:rsidRPr="00050FB2">
        <w:rPr>
          <w:bCs/>
          <w:iCs/>
        </w:rPr>
        <w:t xml:space="preserve"> by the minister administering the </w:t>
      </w:r>
      <w:r>
        <w:rPr>
          <w:bCs/>
          <w:iCs/>
        </w:rPr>
        <w:t>Telco</w:t>
      </w:r>
      <w:r w:rsidRPr="00050FB2">
        <w:rPr>
          <w:bCs/>
          <w:iCs/>
        </w:rPr>
        <w:t xml:space="preserve"> Act.</w:t>
      </w:r>
    </w:p>
    <w:p w14:paraId="71950A91" w14:textId="77777777" w:rsidR="00623569" w:rsidRPr="00050FB2" w:rsidRDefault="00623569" w:rsidP="00623569">
      <w:pPr>
        <w:pStyle w:val="Paragraph"/>
        <w:rPr>
          <w:bCs/>
          <w:iCs/>
        </w:rPr>
      </w:pPr>
      <w:r>
        <w:rPr>
          <w:bCs/>
          <w:iCs/>
        </w:rPr>
        <w:t>Ob</w:t>
      </w:r>
      <w:r w:rsidRPr="00050FB2">
        <w:rPr>
          <w:bCs/>
          <w:iCs/>
        </w:rPr>
        <w:t xml:space="preserve">ligations </w:t>
      </w:r>
      <w:r>
        <w:rPr>
          <w:bCs/>
          <w:iCs/>
        </w:rPr>
        <w:t>contained in</w:t>
      </w:r>
      <w:r w:rsidRPr="00050FB2">
        <w:rPr>
          <w:bCs/>
          <w:iCs/>
        </w:rPr>
        <w:t xml:space="preserve"> an industry code provide the ACMA with initial enforcement powers to give formal warnings or directions to comply with the code. Civil penalties can then be pursued through the Federal </w:t>
      </w:r>
      <w:proofErr w:type="gramStart"/>
      <w:r w:rsidRPr="00050FB2">
        <w:rPr>
          <w:bCs/>
          <w:iCs/>
        </w:rPr>
        <w:t>Court</w:t>
      </w:r>
      <w:proofErr w:type="gramEnd"/>
      <w:r w:rsidRPr="00050FB2">
        <w:rPr>
          <w:bCs/>
          <w:iCs/>
        </w:rPr>
        <w:t xml:space="preserve"> or an infringement notice issued if a direction to comply is then breached (under Part 31 of the </w:t>
      </w:r>
      <w:r>
        <w:rPr>
          <w:bCs/>
          <w:iCs/>
        </w:rPr>
        <w:t>Telco</w:t>
      </w:r>
      <w:r w:rsidRPr="00050FB2">
        <w:rPr>
          <w:bCs/>
          <w:iCs/>
        </w:rPr>
        <w:t xml:space="preserve"> Act). If an industry code proves deficient</w:t>
      </w:r>
      <w:r>
        <w:rPr>
          <w:bCs/>
          <w:iCs/>
        </w:rPr>
        <w:t xml:space="preserve"> or is not developed by industry</w:t>
      </w:r>
      <w:r w:rsidRPr="00050FB2">
        <w:rPr>
          <w:bCs/>
          <w:iCs/>
        </w:rPr>
        <w:t xml:space="preserve">, then an industry standard </w:t>
      </w:r>
      <w:r>
        <w:rPr>
          <w:bCs/>
          <w:iCs/>
        </w:rPr>
        <w:t>can</w:t>
      </w:r>
      <w:r w:rsidRPr="00050FB2">
        <w:rPr>
          <w:bCs/>
          <w:iCs/>
        </w:rPr>
        <w:t xml:space="preserve"> be considered (section 125)</w:t>
      </w:r>
      <w:r>
        <w:rPr>
          <w:bCs/>
          <w:iCs/>
        </w:rPr>
        <w:t>. If directed</w:t>
      </w:r>
      <w:r w:rsidRPr="00050FB2">
        <w:rPr>
          <w:bCs/>
          <w:iCs/>
        </w:rPr>
        <w:t xml:space="preserve"> </w:t>
      </w:r>
      <w:r>
        <w:rPr>
          <w:bCs/>
          <w:iCs/>
        </w:rPr>
        <w:t>by the minister, the ACMA must make a standard</w:t>
      </w:r>
      <w:r w:rsidRPr="00050FB2">
        <w:rPr>
          <w:bCs/>
          <w:iCs/>
        </w:rPr>
        <w:t xml:space="preserve"> (subsection 125AA (4) of the </w:t>
      </w:r>
      <w:r>
        <w:rPr>
          <w:bCs/>
          <w:iCs/>
        </w:rPr>
        <w:t>Telco</w:t>
      </w:r>
      <w:r w:rsidRPr="00050FB2">
        <w:rPr>
          <w:bCs/>
          <w:iCs/>
        </w:rPr>
        <w:t xml:space="preserve"> Act</w:t>
      </w:r>
      <w:r>
        <w:rPr>
          <w:bCs/>
          <w:iCs/>
        </w:rPr>
        <w:t>)</w:t>
      </w:r>
      <w:r w:rsidRPr="00050FB2">
        <w:rPr>
          <w:bCs/>
          <w:iCs/>
        </w:rPr>
        <w:t>.</w:t>
      </w:r>
    </w:p>
    <w:p w14:paraId="7DC361AC" w14:textId="77777777" w:rsidR="00623569" w:rsidRPr="00050FB2" w:rsidRDefault="00623569" w:rsidP="00623569">
      <w:r>
        <w:lastRenderedPageBreak/>
        <w:t xml:space="preserve">The ACMA and the minister </w:t>
      </w:r>
      <w:r w:rsidRPr="00050FB2">
        <w:t xml:space="preserve">also </w:t>
      </w:r>
      <w:r>
        <w:t>have</w:t>
      </w:r>
      <w:r w:rsidRPr="00050FB2">
        <w:t xml:space="preserve"> powers to make a service provider determination under section 99</w:t>
      </w:r>
      <w:r>
        <w:t xml:space="preserve"> and section 99(1A) </w:t>
      </w:r>
      <w:r w:rsidRPr="00050FB2">
        <w:t xml:space="preserve">of the </w:t>
      </w:r>
      <w:r>
        <w:t>Telco</w:t>
      </w:r>
      <w:r w:rsidRPr="00050FB2">
        <w:t xml:space="preserve"> Act</w:t>
      </w:r>
      <w:r>
        <w:t xml:space="preserve"> respectively</w:t>
      </w:r>
      <w:r w:rsidRPr="00050FB2">
        <w:t xml:space="preserve"> that applies to certain service providers in relation to the interests of customers.</w:t>
      </w:r>
    </w:p>
    <w:p w14:paraId="4B86ED35" w14:textId="77777777" w:rsidR="00623569" w:rsidRPr="00050FB2" w:rsidRDefault="00623569" w:rsidP="00623569">
      <w:pPr>
        <w:pStyle w:val="Paragraphbeforelist"/>
      </w:pPr>
      <w:r w:rsidRPr="00050FB2">
        <w:t>If a standard</w:t>
      </w:r>
      <w:r>
        <w:t xml:space="preserve"> or service provider determination</w:t>
      </w:r>
      <w:r w:rsidRPr="00050FB2">
        <w:t xml:space="preserve"> is contravened, the ACMA may:</w:t>
      </w:r>
    </w:p>
    <w:p w14:paraId="1246EF7C" w14:textId="77777777" w:rsidR="00623569" w:rsidRPr="00050FB2" w:rsidRDefault="00623569" w:rsidP="00623569">
      <w:pPr>
        <w:pStyle w:val="ListBullet"/>
      </w:pPr>
      <w:r w:rsidRPr="00050FB2">
        <w:t xml:space="preserve">issue a formal </w:t>
      </w:r>
      <w:proofErr w:type="gramStart"/>
      <w:r w:rsidRPr="00050FB2">
        <w:t>warning</w:t>
      </w:r>
      <w:proofErr w:type="gramEnd"/>
    </w:p>
    <w:p w14:paraId="465E2ABC" w14:textId="77777777" w:rsidR="00623569" w:rsidRPr="00050FB2" w:rsidRDefault="00623569" w:rsidP="00623569">
      <w:pPr>
        <w:pStyle w:val="ListBullet"/>
      </w:pPr>
      <w:r w:rsidRPr="00050FB2">
        <w:t xml:space="preserve">give a remedial </w:t>
      </w:r>
      <w:proofErr w:type="gramStart"/>
      <w:r w:rsidRPr="00050FB2">
        <w:t>direction</w:t>
      </w:r>
      <w:proofErr w:type="gramEnd"/>
    </w:p>
    <w:p w14:paraId="259A3B1A" w14:textId="77777777" w:rsidR="00623569" w:rsidRPr="00050FB2" w:rsidRDefault="00623569" w:rsidP="00623569">
      <w:pPr>
        <w:pStyle w:val="ListBullet"/>
      </w:pPr>
      <w:r w:rsidRPr="00050FB2">
        <w:t xml:space="preserve">accept an enforceable </w:t>
      </w:r>
      <w:proofErr w:type="gramStart"/>
      <w:r w:rsidRPr="00050FB2">
        <w:t>undertaking</w:t>
      </w:r>
      <w:proofErr w:type="gramEnd"/>
    </w:p>
    <w:p w14:paraId="28DA0EE4" w14:textId="77777777" w:rsidR="00623569" w:rsidRPr="00050FB2" w:rsidRDefault="00623569" w:rsidP="00623569">
      <w:pPr>
        <w:pStyle w:val="ListBullet"/>
      </w:pPr>
      <w:r w:rsidRPr="00050FB2">
        <w:t xml:space="preserve">give an infringement </w:t>
      </w:r>
      <w:proofErr w:type="gramStart"/>
      <w:r w:rsidRPr="00050FB2">
        <w:t>notice</w:t>
      </w:r>
      <w:proofErr w:type="gramEnd"/>
    </w:p>
    <w:p w14:paraId="507A0E61" w14:textId="77777777" w:rsidR="00623569" w:rsidRPr="00050FB2" w:rsidRDefault="00623569" w:rsidP="00623569">
      <w:pPr>
        <w:pStyle w:val="ListBullet"/>
      </w:pPr>
      <w:r w:rsidRPr="00050FB2">
        <w:t xml:space="preserve">seek an injunction in the Federal Court </w:t>
      </w:r>
      <w:r>
        <w:t>to</w:t>
      </w:r>
      <w:r w:rsidRPr="00050FB2">
        <w:t xml:space="preserve"> compel the person to act or refrain from acting in a particular </w:t>
      </w:r>
      <w:proofErr w:type="gramStart"/>
      <w:r w:rsidRPr="00050FB2">
        <w:t>way</w:t>
      </w:r>
      <w:proofErr w:type="gramEnd"/>
    </w:p>
    <w:p w14:paraId="75867900" w14:textId="77777777" w:rsidR="00623569" w:rsidRPr="00050FB2" w:rsidRDefault="00623569" w:rsidP="00AC69D1">
      <w:pPr>
        <w:pStyle w:val="ListBulletLast"/>
        <w:numPr>
          <w:ilvl w:val="0"/>
          <w:numId w:val="2"/>
        </w:numPr>
      </w:pPr>
      <w:r w:rsidRPr="00050FB2">
        <w:t>seek civil penalties via Federal Court proceedings (up to $50,000 for a person and $250,000 for a body corporate per contravention).</w:t>
      </w:r>
    </w:p>
    <w:p w14:paraId="42DCE611" w14:textId="77777777" w:rsidR="00623569" w:rsidRPr="00317FE4" w:rsidRDefault="00623569" w:rsidP="00623569">
      <w:pPr>
        <w:pStyle w:val="Heading2"/>
      </w:pPr>
      <w:bookmarkStart w:id="15" w:name="_Toc155685975"/>
      <w:r w:rsidRPr="00317FE4">
        <w:t>Reporting and compliance</w:t>
      </w:r>
      <w:bookmarkEnd w:id="15"/>
    </w:p>
    <w:p w14:paraId="2F72F7C3" w14:textId="77777777" w:rsidR="00623569" w:rsidRDefault="00623569" w:rsidP="00623569">
      <w:pPr>
        <w:pStyle w:val="Paragraphbeforelist"/>
      </w:pPr>
      <w:r>
        <w:t>The ACMA enforces compliance with telecommunications regulations. Protecting vulnerable customers, including those experiencing financial hardship is one of the ACMA’s 2023-24 compliance priorities</w:t>
      </w:r>
      <w:r>
        <w:rPr>
          <w:rStyle w:val="FootnoteReference"/>
        </w:rPr>
        <w:footnoteReference w:id="8"/>
      </w:r>
      <w:r>
        <w:t xml:space="preserve">. It was also an ACMA compliance priority in 2022–23. Under this priority, the ACMA focuses on protecting telecommunications customers experiencing financial hardship and making sure providers of telecommunications services comply with their obligations, especially those relating to the disconnection of services. It has involved the following activities: </w:t>
      </w:r>
    </w:p>
    <w:p w14:paraId="6897C8A8" w14:textId="77777777" w:rsidR="00623569" w:rsidRPr="00AF2010" w:rsidRDefault="00623569" w:rsidP="00623569">
      <w:pPr>
        <w:pStyle w:val="ListBullet"/>
      </w:pPr>
      <w:r w:rsidRPr="00AF2010">
        <w:t xml:space="preserve">research to better understand the consumer </w:t>
      </w:r>
      <w:proofErr w:type="gramStart"/>
      <w:r w:rsidRPr="00AF2010">
        <w:t>experience</w:t>
      </w:r>
      <w:proofErr w:type="gramEnd"/>
    </w:p>
    <w:p w14:paraId="21F9C68D" w14:textId="77777777" w:rsidR="00623569" w:rsidRPr="00AF2010" w:rsidRDefault="00623569" w:rsidP="00623569">
      <w:pPr>
        <w:pStyle w:val="ListBullet"/>
      </w:pPr>
      <w:r w:rsidRPr="00AF2010">
        <w:t xml:space="preserve">industry information to better understand </w:t>
      </w:r>
      <w:r>
        <w:t>CSP</w:t>
      </w:r>
      <w:r w:rsidRPr="00AF2010">
        <w:t xml:space="preserve"> practices when dealing with customers experiencing financial </w:t>
      </w:r>
      <w:proofErr w:type="gramStart"/>
      <w:r w:rsidRPr="00AF2010">
        <w:t>hardship</w:t>
      </w:r>
      <w:proofErr w:type="gramEnd"/>
      <w:r w:rsidRPr="00AF2010">
        <w:t xml:space="preserve"> </w:t>
      </w:r>
    </w:p>
    <w:p w14:paraId="0642C9D2" w14:textId="77777777" w:rsidR="00623569" w:rsidRPr="00AF2010" w:rsidRDefault="00623569" w:rsidP="00623569">
      <w:pPr>
        <w:pStyle w:val="ListBullet"/>
      </w:pPr>
      <w:r w:rsidRPr="00AF2010">
        <w:t>an audit of compliance with rules related to financial hardship and disconnection in the TCP Code</w:t>
      </w:r>
    </w:p>
    <w:p w14:paraId="4B45326A" w14:textId="77777777" w:rsidR="00623569" w:rsidRPr="00AF2010" w:rsidRDefault="00623569" w:rsidP="00623569">
      <w:pPr>
        <w:pStyle w:val="ListBullet"/>
      </w:pPr>
      <w:r>
        <w:t>investigating and t</w:t>
      </w:r>
      <w:r w:rsidRPr="00AF2010">
        <w:t>aking action against 8 CSPs</w:t>
      </w:r>
      <w:r w:rsidRPr="00BD5EAC">
        <w:rPr>
          <w:vertAlign w:val="superscript"/>
        </w:rPr>
        <w:footnoteReference w:id="9"/>
      </w:r>
      <w:r w:rsidRPr="00AF2010">
        <w:t xml:space="preserve"> after they failed to provide adequate safeguards that would help customers avoid service restrictions, suspensions or </w:t>
      </w:r>
      <w:proofErr w:type="gramStart"/>
      <w:r w:rsidRPr="00AF2010">
        <w:t>disconnections</w:t>
      </w:r>
      <w:proofErr w:type="gramEnd"/>
    </w:p>
    <w:p w14:paraId="38ABDE08" w14:textId="77777777" w:rsidR="00623569" w:rsidRPr="00D91A97" w:rsidRDefault="00623569" w:rsidP="00623569">
      <w:pPr>
        <w:pStyle w:val="ListBullet"/>
        <w:spacing w:after="240"/>
      </w:pPr>
      <w:r w:rsidRPr="00D91A97">
        <w:t>an education campaign aiming to raise consumer awareness of financial hardship programs and protections</w:t>
      </w:r>
      <w:r w:rsidRPr="00BD5EAC">
        <w:rPr>
          <w:vertAlign w:val="subscript"/>
        </w:rPr>
        <w:footnoteReference w:id="10"/>
      </w:r>
      <w:r w:rsidRPr="00D91A97">
        <w:t>.</w:t>
      </w:r>
    </w:p>
    <w:p w14:paraId="3471A45C" w14:textId="77777777" w:rsidR="00623569" w:rsidRPr="00364BAB" w:rsidRDefault="00623569" w:rsidP="00623569">
      <w:r w:rsidRPr="00364BAB">
        <w:t>Four years ago,</w:t>
      </w:r>
      <w:r>
        <w:t xml:space="preserve"> the ACMA initiated annual </w:t>
      </w:r>
      <w:r w:rsidRPr="00B32E74">
        <w:rPr>
          <w:i/>
          <w:iCs/>
        </w:rPr>
        <w:t>State of Play</w:t>
      </w:r>
      <w:r w:rsidRPr="00364BAB">
        <w:t xml:space="preserve"> re</w:t>
      </w:r>
      <w:r w:rsidRPr="00083B2C">
        <w:t>ports</w:t>
      </w:r>
      <w:r w:rsidRPr="00083B2C">
        <w:rPr>
          <w:rStyle w:val="FootnoteReference"/>
        </w:rPr>
        <w:footnoteReference w:id="11"/>
      </w:r>
      <w:r w:rsidRPr="00083B2C">
        <w:t>, hig</w:t>
      </w:r>
      <w:r>
        <w:t>hlighting</w:t>
      </w:r>
      <w:r w:rsidRPr="00364BAB">
        <w:t xml:space="preserve"> the importance of financial hardship in the telecommunications sector</w:t>
      </w:r>
      <w:r>
        <w:t xml:space="preserve">. </w:t>
      </w:r>
      <w:r w:rsidRPr="00364BAB">
        <w:t>Informed by research, compliance activities and industry reporting, the</w:t>
      </w:r>
      <w:r>
        <w:t xml:space="preserve"> Financial Hardship report </w:t>
      </w:r>
      <w:r w:rsidRPr="00364BAB">
        <w:t xml:space="preserve">built on this previous work to determine whether safeguards are providing appropriate support to consumers in vulnerable circumstances. </w:t>
      </w:r>
    </w:p>
    <w:p w14:paraId="06BB33E5" w14:textId="77777777" w:rsidR="00623569" w:rsidRPr="007514EA" w:rsidRDefault="00623569" w:rsidP="00623569">
      <w:pPr>
        <w:rPr>
          <w:rFonts w:cs="Arial"/>
          <w:szCs w:val="20"/>
        </w:rPr>
      </w:pPr>
      <w:r w:rsidRPr="00C2218E">
        <w:rPr>
          <w:szCs w:val="20"/>
        </w:rPr>
        <w:t xml:space="preserve">The Financial Hardship </w:t>
      </w:r>
      <w:r>
        <w:rPr>
          <w:szCs w:val="20"/>
        </w:rPr>
        <w:t>r</w:t>
      </w:r>
      <w:r w:rsidRPr="00C2218E">
        <w:rPr>
          <w:szCs w:val="20"/>
        </w:rPr>
        <w:t xml:space="preserve">eport complements the ACMA’s </w:t>
      </w:r>
      <w:hyperlink r:id="rId34" w:history="1">
        <w:r w:rsidRPr="00C2218E">
          <w:rPr>
            <w:rStyle w:val="Hyperlink"/>
            <w:szCs w:val="20"/>
          </w:rPr>
          <w:t xml:space="preserve">Consumer vulnerability: expectations for the telecommunications industry </w:t>
        </w:r>
      </w:hyperlink>
      <w:r w:rsidRPr="00B738B9">
        <w:rPr>
          <w:szCs w:val="20"/>
        </w:rPr>
        <w:t>(Statement of Expectations)</w:t>
      </w:r>
      <w:r>
        <w:rPr>
          <w:szCs w:val="20"/>
        </w:rPr>
        <w:t>, released in May 2022</w:t>
      </w:r>
      <w:r w:rsidRPr="00411D66">
        <w:rPr>
          <w:rFonts w:cs="Arial"/>
          <w:szCs w:val="20"/>
        </w:rPr>
        <w:t xml:space="preserve">, which sets </w:t>
      </w:r>
      <w:r>
        <w:rPr>
          <w:rFonts w:cs="Arial"/>
          <w:szCs w:val="20"/>
        </w:rPr>
        <w:t>out detailed expectations</w:t>
      </w:r>
      <w:r w:rsidRPr="00411D66">
        <w:rPr>
          <w:rFonts w:cs="Arial"/>
          <w:szCs w:val="20"/>
        </w:rPr>
        <w:t xml:space="preserve"> for CSPs dealing with consumers experiencing vulnerability, covering all </w:t>
      </w:r>
      <w:r w:rsidRPr="007514EA">
        <w:t>aspects</w:t>
      </w:r>
      <w:r w:rsidRPr="00411D66">
        <w:rPr>
          <w:rFonts w:cs="Arial"/>
          <w:szCs w:val="20"/>
        </w:rPr>
        <w:t xml:space="preserve"> of customer interaction, including financial hardship support.</w:t>
      </w:r>
    </w:p>
    <w:p w14:paraId="56C27CD5" w14:textId="77777777" w:rsidR="00623569" w:rsidRDefault="00623569" w:rsidP="00623569">
      <w:pPr>
        <w:pStyle w:val="Paragraph"/>
        <w:rPr>
          <w:szCs w:val="20"/>
        </w:rPr>
      </w:pPr>
      <w:r>
        <w:lastRenderedPageBreak/>
        <w:t xml:space="preserve">The ACMA also released a related position paper for the telecommunications sector in July 2023, </w:t>
      </w:r>
      <w:hyperlink r:id="rId35" w:history="1">
        <w:r w:rsidRPr="009C40BC">
          <w:rPr>
            <w:rStyle w:val="Hyperlink"/>
            <w:i/>
            <w:iCs/>
          </w:rPr>
          <w:t>What consumers want – Consumer expectations for telecommunications safeguards</w:t>
        </w:r>
      </w:hyperlink>
      <w:r w:rsidRPr="00602FCE">
        <w:t xml:space="preserve"> </w:t>
      </w:r>
      <w:r>
        <w:t>(What C</w:t>
      </w:r>
      <w:r w:rsidRPr="00E83EEF">
        <w:rPr>
          <w:szCs w:val="20"/>
        </w:rPr>
        <w:t>onsumers Want paper), evaluating the effectiveness of the TCP Code in providing consumer safeguards. The paper identified areas, including financial difficulty, where substantial improvements are needed to meet consumer expectations.</w:t>
      </w:r>
    </w:p>
    <w:p w14:paraId="7E3BCA65" w14:textId="77777777" w:rsidR="00623569" w:rsidRDefault="00623569" w:rsidP="00623569">
      <w:r>
        <w:t>T</w:t>
      </w:r>
      <w:r w:rsidRPr="00E21DBC">
        <w:t xml:space="preserve">he ACMA </w:t>
      </w:r>
      <w:r>
        <w:t xml:space="preserve">convenes the </w:t>
      </w:r>
      <w:hyperlink r:id="rId36" w:history="1">
        <w:r w:rsidRPr="000F2E41">
          <w:rPr>
            <w:rStyle w:val="Hyperlink"/>
          </w:rPr>
          <w:t>Consumer Consultative Forum</w:t>
        </w:r>
      </w:hyperlink>
      <w:r>
        <w:t xml:space="preserve"> (</w:t>
      </w:r>
      <w:r w:rsidRPr="00E21DBC">
        <w:t>CCF</w:t>
      </w:r>
      <w:r>
        <w:t>)</w:t>
      </w:r>
      <w:r w:rsidRPr="00E21DBC">
        <w:t xml:space="preserve"> under</w:t>
      </w:r>
      <w:r>
        <w:t xml:space="preserve"> </w:t>
      </w:r>
      <w:r w:rsidRPr="00E21DBC">
        <w:t xml:space="preserve">section 59 of the </w:t>
      </w:r>
      <w:r w:rsidRPr="00A8110E">
        <w:rPr>
          <w:i/>
          <w:iCs/>
        </w:rPr>
        <w:t>Australian Communications and Media Authority Act 2005</w:t>
      </w:r>
      <w:r>
        <w:t>. It is a key advisory group that brings together consumer organisations, the telecommunications industry and government to examine issues affecting telecommunications users. The views and feedback from representatives have informed the ACMA publications noted above, and the development of the Standard.</w:t>
      </w:r>
    </w:p>
    <w:p w14:paraId="56D08EC8" w14:textId="77777777" w:rsidR="00623569" w:rsidRDefault="00623569" w:rsidP="00623569">
      <w:r>
        <w:t>Other key agencies with relevant regulatory responsibilities includes the Australian Competition and Consumer Commission (the ACCC) as the Commonwealth competition and consumer regulator and the TIO.</w:t>
      </w:r>
    </w:p>
    <w:p w14:paraId="1A0285DF" w14:textId="77777777" w:rsidR="00623569" w:rsidRPr="00CC29CB" w:rsidRDefault="00623569" w:rsidP="00623569">
      <w:pPr>
        <w:rPr>
          <w:rFonts w:cs="Arial"/>
          <w:szCs w:val="20"/>
          <w:shd w:val="clear" w:color="auto" w:fill="FFFFFF"/>
        </w:rPr>
      </w:pPr>
      <w:r w:rsidRPr="003D02F3">
        <w:t>The TIO provides a free and independent resolution service for small business and individual consumers</w:t>
      </w:r>
      <w:r w:rsidRPr="003D02F3">
        <w:rPr>
          <w:szCs w:val="20"/>
        </w:rPr>
        <w:t xml:space="preserve"> </w:t>
      </w:r>
      <w:r w:rsidRPr="003D02F3">
        <w:rPr>
          <w:rFonts w:cs="Arial"/>
          <w:szCs w:val="20"/>
          <w:shd w:val="clear" w:color="auto" w:fill="FFFFFF"/>
        </w:rPr>
        <w:t xml:space="preserve">who have been unable to resolve their complaint with a phone or internet service provider. </w:t>
      </w:r>
      <w:r w:rsidRPr="003D02F3">
        <w:rPr>
          <w:szCs w:val="20"/>
          <w:shd w:val="clear" w:color="auto" w:fill="FFFFFF"/>
        </w:rPr>
        <w:t xml:space="preserve">The TIO </w:t>
      </w:r>
      <w:r>
        <w:rPr>
          <w:szCs w:val="20"/>
          <w:shd w:val="clear" w:color="auto" w:fill="FFFFFF"/>
        </w:rPr>
        <w:t xml:space="preserve">also </w:t>
      </w:r>
      <w:r w:rsidRPr="003D02F3">
        <w:rPr>
          <w:szCs w:val="20"/>
          <w:shd w:val="clear" w:color="auto" w:fill="FFFFFF"/>
        </w:rPr>
        <w:t>collects and rev</w:t>
      </w:r>
      <w:r w:rsidRPr="00E04794">
        <w:rPr>
          <w:rFonts w:cs="Arial"/>
          <w:szCs w:val="20"/>
          <w:shd w:val="clear" w:color="auto" w:fill="FFFFFF"/>
        </w:rPr>
        <w:t>iews complaint data,</w:t>
      </w:r>
      <w:r w:rsidRPr="00E04794">
        <w:rPr>
          <w:rFonts w:cs="Arial"/>
          <w:szCs w:val="20"/>
        </w:rPr>
        <w:t xml:space="preserve"> offering insights into industry trends and systemic issues</w:t>
      </w:r>
      <w:r w:rsidRPr="00E04794">
        <w:rPr>
          <w:rFonts w:cs="Arial"/>
          <w:szCs w:val="20"/>
          <w:shd w:val="clear" w:color="auto" w:fill="FFFFFF"/>
        </w:rPr>
        <w:t xml:space="preserve">. </w:t>
      </w:r>
    </w:p>
    <w:p w14:paraId="6DD66F1C" w14:textId="77777777" w:rsidR="00623569" w:rsidRDefault="00623569" w:rsidP="00623569">
      <w:r>
        <w:t xml:space="preserve">The ACCC is responsible for monitoring and enforcing compliance with the Australian Consumer Law (ACL). Businesses operating in the telecommunications industry are subject to the economy-wide provisions set out in the ACL. The ACCC has taken enforcement action against </w:t>
      </w:r>
      <w:proofErr w:type="gramStart"/>
      <w:r>
        <w:t>a number of</w:t>
      </w:r>
      <w:proofErr w:type="gramEnd"/>
      <w:r>
        <w:t xml:space="preserve"> telecommunications suppliers in response to misleading and deceptive conduct, as well as in response to unconscionable conduct. </w:t>
      </w:r>
    </w:p>
    <w:p w14:paraId="567180BA" w14:textId="77777777" w:rsidR="00623569" w:rsidRDefault="00623569" w:rsidP="00623569">
      <w:r>
        <w:t>Consumer groups and advocates actively participate in representing the interests of consumers and highlighting potential deficiencies in the current regulatory framework. One such example is research by the Australian Communications Consumer Action Network (ACCAN) and the Public Interest Advocacy Centre (PIAC).</w:t>
      </w:r>
      <w:r>
        <w:rPr>
          <w:rStyle w:val="FootnoteReference"/>
        </w:rPr>
        <w:footnoteReference w:id="12"/>
      </w:r>
    </w:p>
    <w:p w14:paraId="5B644DA3" w14:textId="77777777" w:rsidR="00623569" w:rsidRDefault="00623569" w:rsidP="00623569">
      <w:pPr>
        <w:pStyle w:val="Heading1"/>
      </w:pPr>
      <w:bookmarkStart w:id="16" w:name="_Toc32833680"/>
      <w:bookmarkStart w:id="17" w:name="_Toc32833737"/>
      <w:bookmarkStart w:id="18" w:name="_Toc32833810"/>
      <w:bookmarkStart w:id="19" w:name="_Toc155685976"/>
      <w:r>
        <w:lastRenderedPageBreak/>
        <w:t>What is the policy problem?</w:t>
      </w:r>
      <w:bookmarkEnd w:id="16"/>
      <w:bookmarkEnd w:id="17"/>
      <w:bookmarkEnd w:id="18"/>
      <w:bookmarkEnd w:id="19"/>
    </w:p>
    <w:p w14:paraId="32035FE6" w14:textId="77777777" w:rsidR="00623569" w:rsidRPr="00E827DF" w:rsidRDefault="00623569" w:rsidP="00623569">
      <w:pPr>
        <w:pStyle w:val="Heading2"/>
      </w:pPr>
      <w:bookmarkStart w:id="20" w:name="_Toc155685977"/>
      <w:r>
        <w:t>Changing environment</w:t>
      </w:r>
      <w:bookmarkEnd w:id="20"/>
      <w:r>
        <w:t xml:space="preserve"> </w:t>
      </w:r>
    </w:p>
    <w:p w14:paraId="4682D3CB" w14:textId="77777777" w:rsidR="00623569" w:rsidRDefault="00623569" w:rsidP="00623569">
      <w:pPr>
        <w:pStyle w:val="Paragraph"/>
      </w:pPr>
      <w:r>
        <w:t>In consideration of the Government’s commitment to ensuring Australians struggling with the cost-of-living have access to appropriate safeguards, the Minister for Communications decided to elevate financial hardship obligations to direct regulation so that appropriate support is provided to telecommunications customers to ensure they stay connected.</w:t>
      </w:r>
      <w:r>
        <w:rPr>
          <w:rStyle w:val="FootnoteReference"/>
        </w:rPr>
        <w:footnoteReference w:id="13"/>
      </w:r>
      <w:r>
        <w:t xml:space="preserve"> On 6 September 2023, the minister directed</w:t>
      </w:r>
      <w:r>
        <w:rPr>
          <w:rStyle w:val="FootnoteReference"/>
        </w:rPr>
        <w:footnoteReference w:id="14"/>
      </w:r>
      <w:r>
        <w:t xml:space="preserve"> the ACMA to make an industry standard which addresses requirements set out in the Telecommunications (Financial Hardship Industry Standard) Direction 2023.</w:t>
      </w:r>
    </w:p>
    <w:p w14:paraId="2403F966" w14:textId="77777777" w:rsidR="00623569" w:rsidRDefault="00623569" w:rsidP="00623569">
      <w:pPr>
        <w:pStyle w:val="Paragraph"/>
      </w:pPr>
      <w:r w:rsidRPr="00E827DF">
        <w:t>Telecommunications</w:t>
      </w:r>
      <w:r>
        <w:t xml:space="preserve"> services are</w:t>
      </w:r>
      <w:r w:rsidRPr="00E827DF">
        <w:t xml:space="preserve"> </w:t>
      </w:r>
      <w:r>
        <w:t xml:space="preserve">increasingly </w:t>
      </w:r>
      <w:r w:rsidRPr="00E827DF">
        <w:t xml:space="preserve">essential for work, education, health, and </w:t>
      </w:r>
      <w:r>
        <w:t xml:space="preserve">access to </w:t>
      </w:r>
      <w:r w:rsidRPr="00E827DF">
        <w:t>government services</w:t>
      </w:r>
      <w:r>
        <w:t>. They</w:t>
      </w:r>
      <w:r w:rsidRPr="00E827DF">
        <w:t xml:space="preserve"> ha</w:t>
      </w:r>
      <w:r>
        <w:t>ve</w:t>
      </w:r>
      <w:r w:rsidRPr="00E827DF">
        <w:t xml:space="preserve"> </w:t>
      </w:r>
      <w:r>
        <w:t>evolved</w:t>
      </w:r>
      <w:r w:rsidRPr="00E827DF">
        <w:t xml:space="preserve"> significant</w:t>
      </w:r>
      <w:r>
        <w:t xml:space="preserve">ly since </w:t>
      </w:r>
      <w:r w:rsidRPr="00E827DF">
        <w:t xml:space="preserve">the introduction of the </w:t>
      </w:r>
      <w:r>
        <w:t xml:space="preserve">Telco </w:t>
      </w:r>
      <w:r w:rsidRPr="00E827DF">
        <w:t>Act</w:t>
      </w:r>
      <w:r>
        <w:t xml:space="preserve"> </w:t>
      </w:r>
      <w:r w:rsidRPr="00E827DF">
        <w:t>in 1997</w:t>
      </w:r>
      <w:r>
        <w:t xml:space="preserve">. Their use has also accelerated significantly since the TCP Code was registered in 2019, supporting more Australians than ever to work from home and enjoy an enormous array of online entertainment services. </w:t>
      </w:r>
    </w:p>
    <w:p w14:paraId="4783920D" w14:textId="77777777" w:rsidR="00623569" w:rsidRPr="00036BD3" w:rsidRDefault="00623569" w:rsidP="00623569">
      <w:pPr>
        <w:pStyle w:val="Paragraphbeforelist"/>
        <w:rPr>
          <w:szCs w:val="20"/>
        </w:rPr>
      </w:pPr>
      <w:r>
        <w:t>The low entry barrier to the market has fostered a large and diverse sector for the supply of telecommunications services. As of 30 June 2023, there were 1,686 TIO members</w:t>
      </w:r>
      <w:r>
        <w:rPr>
          <w:rStyle w:val="FootnoteReference"/>
          <w:rFonts w:cstheme="minorHAnsi"/>
          <w:color w:val="000000"/>
        </w:rPr>
        <w:footnoteReference w:id="15"/>
      </w:r>
      <w:r>
        <w:t xml:space="preserve">, noting carriers and eligible CSPs must join the TIO Scheme. Based on data submitted to the ACMA </w:t>
      </w:r>
      <w:proofErr w:type="gramStart"/>
      <w:r>
        <w:t>at</w:t>
      </w:r>
      <w:proofErr w:type="gramEnd"/>
      <w:r>
        <w:t xml:space="preserve"> 30 June 2023 under the Telecommunications (Consumer Complaints) Record-Keeping Rules 2018, 33 CSPs had at least 30,000 services in operation. Of </w:t>
      </w:r>
      <w:r w:rsidRPr="00036BD3">
        <w:rPr>
          <w:szCs w:val="20"/>
        </w:rPr>
        <w:t>the</w:t>
      </w:r>
      <w:r>
        <w:rPr>
          <w:szCs w:val="20"/>
        </w:rPr>
        <w:t>se</w:t>
      </w:r>
      <w:r w:rsidRPr="00036BD3">
        <w:rPr>
          <w:szCs w:val="20"/>
        </w:rPr>
        <w:t xml:space="preserve"> 33 CSPs:</w:t>
      </w:r>
    </w:p>
    <w:p w14:paraId="1D86C7F4" w14:textId="77777777" w:rsidR="00623569" w:rsidRPr="00036BD3" w:rsidRDefault="00623569" w:rsidP="00623569">
      <w:pPr>
        <w:pStyle w:val="Bulletlevel1"/>
        <w:tabs>
          <w:tab w:val="clear" w:pos="295"/>
        </w:tabs>
        <w:ind w:left="357" w:hanging="357"/>
      </w:pPr>
      <w:r w:rsidRPr="00036BD3">
        <w:t xml:space="preserve">9 </w:t>
      </w:r>
      <w:r>
        <w:t>CSPs</w:t>
      </w:r>
      <w:r w:rsidRPr="00036BD3">
        <w:t xml:space="preserve"> make up over 90% of the market share, all of which have at least 700,000 services in operation.</w:t>
      </w:r>
    </w:p>
    <w:p w14:paraId="56B19D34" w14:textId="77777777" w:rsidR="00623569" w:rsidRPr="00036BD3" w:rsidRDefault="00623569" w:rsidP="00AC69D1">
      <w:pPr>
        <w:pStyle w:val="Bulletlevel1last"/>
        <w:numPr>
          <w:ilvl w:val="0"/>
          <w:numId w:val="2"/>
        </w:numPr>
        <w:tabs>
          <w:tab w:val="clear" w:pos="295"/>
        </w:tabs>
        <w:ind w:left="357" w:hanging="357"/>
      </w:pPr>
      <w:r w:rsidRPr="00036BD3">
        <w:t xml:space="preserve">14 </w:t>
      </w:r>
      <w:r>
        <w:t>p</w:t>
      </w:r>
      <w:r w:rsidRPr="00036BD3">
        <w:t>roviders make up over 95% of the market share</w:t>
      </w:r>
      <w:r>
        <w:t>,</w:t>
      </w:r>
      <w:r w:rsidRPr="00036BD3">
        <w:t xml:space="preserve"> all of which have at least 250,000 services in operation.</w:t>
      </w:r>
    </w:p>
    <w:p w14:paraId="76E8AB41" w14:textId="77777777" w:rsidR="00623569" w:rsidRDefault="00623569" w:rsidP="00623569">
      <w:pPr>
        <w:pStyle w:val="Paragraph"/>
      </w:pPr>
      <w:r>
        <w:t xml:space="preserve">Consumers are also currently facing a challenging economic environment as the cost-of-living has risen sharply over the past 18 months – inflation has increased, interest rates have </w:t>
      </w:r>
      <w:proofErr w:type="gramStart"/>
      <w:r>
        <w:t>risen</w:t>
      </w:r>
      <w:proofErr w:type="gramEnd"/>
      <w:r>
        <w:t xml:space="preserve"> and wages have not kept pace.</w:t>
      </w:r>
      <w:r>
        <w:rPr>
          <w:rStyle w:val="FootnoteReference"/>
        </w:rPr>
        <w:footnoteReference w:id="16"/>
      </w:r>
      <w:r>
        <w:t xml:space="preserve"> </w:t>
      </w:r>
    </w:p>
    <w:p w14:paraId="56FED4DF" w14:textId="77777777" w:rsidR="00623569" w:rsidRDefault="00623569" w:rsidP="00623569">
      <w:pPr>
        <w:pStyle w:val="Paragraph"/>
        <w:rPr>
          <w:lang w:val="en-US"/>
        </w:rPr>
      </w:pPr>
      <w:r>
        <w:rPr>
          <w:lang w:val="en-US"/>
        </w:rPr>
        <w:t>Current cost-of-living pressures have further highlighted the need to ensure appropriate support is available to consumers who are experiencing financial stress and hardship</w:t>
      </w:r>
      <w:r>
        <w:t xml:space="preserve">. While telecommunications may not be a main contributor to the increased cost of living, </w:t>
      </w:r>
      <w:r w:rsidRPr="00472652">
        <w:rPr>
          <w:lang w:val="en-US"/>
        </w:rPr>
        <w:t xml:space="preserve">it is </w:t>
      </w:r>
      <w:r>
        <w:rPr>
          <w:lang w:val="en-US"/>
        </w:rPr>
        <w:t>crucial</w:t>
      </w:r>
      <w:r w:rsidRPr="00472652">
        <w:rPr>
          <w:lang w:val="en-US"/>
        </w:rPr>
        <w:t xml:space="preserve"> that consumers </w:t>
      </w:r>
      <w:r>
        <w:rPr>
          <w:lang w:val="en-US"/>
        </w:rPr>
        <w:t>experiencing hardship</w:t>
      </w:r>
      <w:r w:rsidRPr="00472652">
        <w:rPr>
          <w:lang w:val="en-US"/>
        </w:rPr>
        <w:t xml:space="preserve"> stay connected </w:t>
      </w:r>
      <w:r>
        <w:rPr>
          <w:lang w:val="en-US"/>
        </w:rPr>
        <w:t>these</w:t>
      </w:r>
      <w:r w:rsidRPr="00472652">
        <w:rPr>
          <w:lang w:val="en-US"/>
        </w:rPr>
        <w:t xml:space="preserve"> services.</w:t>
      </w:r>
    </w:p>
    <w:p w14:paraId="09395D62" w14:textId="77777777" w:rsidR="00623569" w:rsidRDefault="00623569" w:rsidP="00623569">
      <w:pPr>
        <w:pStyle w:val="Heading2"/>
      </w:pPr>
      <w:bookmarkStart w:id="21" w:name="_Toc155685978"/>
      <w:r>
        <w:t>Financial hardship</w:t>
      </w:r>
      <w:bookmarkEnd w:id="21"/>
      <w:r>
        <w:t xml:space="preserve"> </w:t>
      </w:r>
    </w:p>
    <w:p w14:paraId="78C0416E" w14:textId="77777777" w:rsidR="00623569" w:rsidRDefault="00623569" w:rsidP="00623569">
      <w:pPr>
        <w:pStyle w:val="Paragraph"/>
      </w:pPr>
      <w:r>
        <w:t xml:space="preserve">Financial pressures can happen to anyone, at any time and for many reasons, including loss of income, illness, family or domestic violence, natural disasters, or more recently the COVID-19 pandemic and increased cost-of-living pressures. Some groups within the community are also more likely to be in financial hardship, including those who are victims of domestic violence, those living with a disability (either </w:t>
      </w:r>
      <w:r>
        <w:lastRenderedPageBreak/>
        <w:t>themselves or someone within their household), low-income households, those with low levels of financial literacy, or those that may have inadvertently signed up to a service or product without understanding the terms and conditions.</w:t>
      </w:r>
    </w:p>
    <w:p w14:paraId="029B0815" w14:textId="77777777" w:rsidR="00623569" w:rsidRDefault="00623569" w:rsidP="00623569">
      <w:pPr>
        <w:pStyle w:val="Paragraph"/>
      </w:pPr>
      <w:r>
        <w:t>Financial hardship in the telecommunications sector can range from temporary stress to a longer-term issue, and the extent of the hardship varies. It may be linked with financial hardship in other aspects of the consumer’s finances or just be related to one or more telco services.</w:t>
      </w:r>
    </w:p>
    <w:p w14:paraId="1091CF7E" w14:textId="77777777" w:rsidR="00623569" w:rsidRPr="004B30CA" w:rsidRDefault="00623569" w:rsidP="00623569">
      <w:pPr>
        <w:pStyle w:val="Heading3"/>
        <w:rPr>
          <w:lang w:val="en-US"/>
        </w:rPr>
      </w:pPr>
      <w:bookmarkStart w:id="22" w:name="_Toc155685979"/>
      <w:r w:rsidRPr="004B30CA">
        <w:rPr>
          <w:lang w:val="en-US"/>
        </w:rPr>
        <w:t xml:space="preserve">Insufficient </w:t>
      </w:r>
      <w:r>
        <w:rPr>
          <w:lang w:val="en-US"/>
        </w:rPr>
        <w:t xml:space="preserve">financial hardship </w:t>
      </w:r>
      <w:r w:rsidRPr="004B30CA">
        <w:rPr>
          <w:lang w:val="en-US"/>
        </w:rPr>
        <w:t>protections</w:t>
      </w:r>
      <w:bookmarkEnd w:id="22"/>
    </w:p>
    <w:p w14:paraId="44D1E1A7" w14:textId="77777777" w:rsidR="00623569" w:rsidRPr="003159CD" w:rsidRDefault="00623569" w:rsidP="00623569">
      <w:pPr>
        <w:pStyle w:val="Paragraphbeforelist"/>
        <w:rPr>
          <w:lang w:val="en-US"/>
        </w:rPr>
      </w:pPr>
      <w:r>
        <w:rPr>
          <w:lang w:val="en-US"/>
        </w:rPr>
        <w:t>Despite the essential nature of telecommunications, evidence indicates that current safeguards do not adequately protect consumers facing financial difficulties. T</w:t>
      </w:r>
      <w:r>
        <w:t xml:space="preserve">he ACMA’s </w:t>
      </w:r>
      <w:r w:rsidRPr="00665BE4">
        <w:t xml:space="preserve">Financial Hardship </w:t>
      </w:r>
      <w:r>
        <w:t>r</w:t>
      </w:r>
      <w:r w:rsidRPr="00665BE4">
        <w:t>eport</w:t>
      </w:r>
      <w:r>
        <w:t xml:space="preserve"> and associated research</w:t>
      </w:r>
      <w:r>
        <w:rPr>
          <w:rStyle w:val="FootnoteReference"/>
        </w:rPr>
        <w:footnoteReference w:id="17"/>
      </w:r>
      <w:r>
        <w:t xml:space="preserve"> found:</w:t>
      </w:r>
    </w:p>
    <w:p w14:paraId="42CA9C15" w14:textId="77777777" w:rsidR="00623569" w:rsidRPr="00C73B55" w:rsidRDefault="00623569" w:rsidP="00623569">
      <w:pPr>
        <w:pStyle w:val="Bulletlevel1"/>
        <w:tabs>
          <w:tab w:val="clear" w:pos="295"/>
        </w:tabs>
        <w:ind w:left="357" w:hanging="357"/>
      </w:pPr>
      <w:r w:rsidRPr="00F14481">
        <w:rPr>
          <w:lang w:val="en-US"/>
        </w:rPr>
        <w:t xml:space="preserve">The rates of </w:t>
      </w:r>
      <w:r>
        <w:rPr>
          <w:lang w:val="en-US"/>
        </w:rPr>
        <w:t xml:space="preserve">telco </w:t>
      </w:r>
      <w:r w:rsidRPr="00F14481">
        <w:rPr>
          <w:lang w:val="en-US"/>
        </w:rPr>
        <w:t xml:space="preserve">financial hardship are </w:t>
      </w:r>
      <w:r>
        <w:rPr>
          <w:lang w:val="en-US"/>
        </w:rPr>
        <w:t>significant,</w:t>
      </w:r>
      <w:r w:rsidRPr="00F14481">
        <w:rPr>
          <w:lang w:val="en-US"/>
        </w:rPr>
        <w:t xml:space="preserve"> </w:t>
      </w:r>
      <w:r>
        <w:rPr>
          <w:lang w:val="en-US"/>
        </w:rPr>
        <w:t>yet</w:t>
      </w:r>
      <w:r w:rsidRPr="00F14481">
        <w:rPr>
          <w:lang w:val="en-US"/>
        </w:rPr>
        <w:t xml:space="preserve"> only a small proportion of customers receive formal hardship support. </w:t>
      </w:r>
      <w:r w:rsidRPr="00F14481">
        <w:t>25% of Australians had experienced payment difficulty or concerns in the previous 12 months for at least one of their essential services</w:t>
      </w:r>
      <w:r>
        <w:t xml:space="preserve"> bills (telco, energy, water)</w:t>
      </w:r>
      <w:r w:rsidRPr="00F14481">
        <w:t xml:space="preserve"> and 48% of those had difficulty with their telco bills</w:t>
      </w:r>
      <w:r>
        <w:t>. This represents just under 2.4 million Australian adults in financial difficulty or concern for their telco bill in that period. In contrast,</w:t>
      </w:r>
      <w:r w:rsidRPr="00F14481">
        <w:t xml:space="preserve"> industry data from the main telcos reported only 4,388 residential financial hardship customers as </w:t>
      </w:r>
      <w:proofErr w:type="gramStart"/>
      <w:r w:rsidRPr="00F14481">
        <w:t>at</w:t>
      </w:r>
      <w:proofErr w:type="gramEnd"/>
      <w:r w:rsidRPr="00F14481">
        <w:t xml:space="preserve"> 30 June 2022. This represents 0.03% of all residential customers.</w:t>
      </w:r>
      <w:r>
        <w:rPr>
          <w:rStyle w:val="FootnoteReference"/>
          <w:szCs w:val="20"/>
        </w:rPr>
        <w:footnoteReference w:id="18"/>
      </w:r>
    </w:p>
    <w:p w14:paraId="71D2B85A" w14:textId="77777777" w:rsidR="00623569" w:rsidRDefault="00623569" w:rsidP="00623569">
      <w:pPr>
        <w:pStyle w:val="Bulletlevel1"/>
        <w:tabs>
          <w:tab w:val="clear" w:pos="295"/>
        </w:tabs>
        <w:ind w:left="357" w:hanging="357"/>
      </w:pPr>
      <w:r w:rsidRPr="00F14481">
        <w:rPr>
          <w:lang w:val="en-US"/>
        </w:rPr>
        <w:t xml:space="preserve">Industry </w:t>
      </w:r>
      <w:r>
        <w:rPr>
          <w:lang w:val="en-US"/>
        </w:rPr>
        <w:t>requirements</w:t>
      </w:r>
      <w:r w:rsidRPr="00F14481">
        <w:rPr>
          <w:lang w:val="en-US"/>
        </w:rPr>
        <w:t xml:space="preserve"> to inform customers about hardship arrangements </w:t>
      </w:r>
      <w:r>
        <w:rPr>
          <w:lang w:val="en-US"/>
        </w:rPr>
        <w:t xml:space="preserve">often go unnoticed, with </w:t>
      </w:r>
      <w:r>
        <w:t>o</w:t>
      </w:r>
      <w:r w:rsidRPr="00F14481">
        <w:t xml:space="preserve">nly 57% of the general adult population and 64% of those who experienced financial hardship </w:t>
      </w:r>
      <w:r>
        <w:t>aware</w:t>
      </w:r>
      <w:r w:rsidRPr="00F14481">
        <w:t xml:space="preserve"> they could contact their telco for help</w:t>
      </w:r>
      <w:r>
        <w:t xml:space="preserve"> managing the payment of bills due to financial difficulties. </w:t>
      </w:r>
      <w:r w:rsidRPr="0089424D">
        <w:t xml:space="preserve">Telcos are required to have financial hardship policies that are easy to find and access. While the 11 major telcos we sought information from confirmed that they publish financial hardship policies on their websites, extensive navigation on their websites to access financial hardship policies was required for 10 of these 11 </w:t>
      </w:r>
      <w:r>
        <w:t>CSPs</w:t>
      </w:r>
      <w:r w:rsidRPr="0089424D">
        <w:t>.</w:t>
      </w:r>
    </w:p>
    <w:p w14:paraId="3BF75606" w14:textId="77777777" w:rsidR="00623569" w:rsidRPr="003D56CF" w:rsidRDefault="00623569" w:rsidP="00623569">
      <w:pPr>
        <w:pStyle w:val="Bulletlevel1"/>
        <w:tabs>
          <w:tab w:val="clear" w:pos="295"/>
        </w:tabs>
        <w:ind w:left="357" w:hanging="357"/>
        <w:rPr>
          <w:lang w:val="en-US"/>
        </w:rPr>
      </w:pPr>
      <w:r w:rsidRPr="00F14481">
        <w:t>During 2021–22, a total of 237,166 residential customers had their services disconnected due to non-payment. Of those, only 834 were reported by the main telcos as financial hardship customers.</w:t>
      </w:r>
      <w:r>
        <w:t xml:space="preserve"> CSPs may also disconnect customers when they are not able to be contacted – during 2021–22, a total of 169,262 residential customers had their services disconnected due to being uncontactable. Of those, 1,293 were financial hardship customers.</w:t>
      </w:r>
    </w:p>
    <w:p w14:paraId="1AABEB70" w14:textId="77777777" w:rsidR="00623569" w:rsidRPr="003D56CF" w:rsidRDefault="00623569" w:rsidP="00623569">
      <w:pPr>
        <w:pStyle w:val="Bulletlevel1"/>
        <w:tabs>
          <w:tab w:val="clear" w:pos="295"/>
        </w:tabs>
        <w:ind w:left="357" w:hanging="357"/>
      </w:pPr>
      <w:r w:rsidRPr="00F14481">
        <w:t xml:space="preserve">Short disconnection timeframes </w:t>
      </w:r>
      <w:r>
        <w:t>offer little room for</w:t>
      </w:r>
      <w:r w:rsidRPr="00F14481">
        <w:t xml:space="preserve"> consumer</w:t>
      </w:r>
      <w:r>
        <w:t>s</w:t>
      </w:r>
      <w:r w:rsidRPr="00F14481">
        <w:t xml:space="preserve"> to resolve issue</w:t>
      </w:r>
      <w:r>
        <w:t>s</w:t>
      </w:r>
      <w:r w:rsidRPr="00F14481">
        <w:t xml:space="preserve"> before having their communications cut of</w:t>
      </w:r>
      <w:r>
        <w:t xml:space="preserve">f. </w:t>
      </w:r>
      <w:r w:rsidRPr="00375FC7">
        <w:t xml:space="preserve">Given that telecommunications </w:t>
      </w:r>
      <w:proofErr w:type="gramStart"/>
      <w:r w:rsidRPr="00375FC7">
        <w:t>is</w:t>
      </w:r>
      <w:proofErr w:type="gramEnd"/>
      <w:r w:rsidRPr="00375FC7">
        <w:t xml:space="preserve"> </w:t>
      </w:r>
      <w:r>
        <w:t xml:space="preserve">increasingly </w:t>
      </w:r>
      <w:r w:rsidRPr="00375FC7">
        <w:t xml:space="preserve">an essential service, </w:t>
      </w:r>
      <w:r>
        <w:t>CSPs</w:t>
      </w:r>
      <w:r w:rsidRPr="00375FC7">
        <w:t xml:space="preserve"> should contact customers well in advance of disconnection with messages that clearly state the consequences of disconnection and afford customers sufficient time between sending the disconnection notice and the actual disconnection to seek financial assistance or make alternative arrangements.</w:t>
      </w:r>
      <w:r>
        <w:t xml:space="preserve"> Research participants noted the effect of disconnection were significant on many aspects of everyday life.</w:t>
      </w:r>
    </w:p>
    <w:p w14:paraId="5073F78F" w14:textId="77777777" w:rsidR="00623569" w:rsidRPr="00F14481" w:rsidRDefault="00623569" w:rsidP="00623569">
      <w:pPr>
        <w:pStyle w:val="Bulletlevel1"/>
        <w:tabs>
          <w:tab w:val="clear" w:pos="295"/>
        </w:tabs>
        <w:ind w:left="357" w:hanging="357"/>
      </w:pPr>
      <w:r w:rsidRPr="00F14481">
        <w:t>Telcos are not sufficiently proactive in engaging with consumers struggling to pay their bills, with human contact even less likely</w:t>
      </w:r>
      <w:r>
        <w:t xml:space="preserve">. </w:t>
      </w:r>
      <w:r w:rsidRPr="00364890">
        <w:t>Ten of the 11 providers we sought information from reported to us that they proactively identify customers who may be experiencing financial difficulty. However, consumers who had financial difficulties or concerns with their telco bills reported it was rare for telcos to initiate contact, especially human contact, in relation to potential financial hardship.</w:t>
      </w:r>
    </w:p>
    <w:p w14:paraId="0BED1AEB" w14:textId="77777777" w:rsidR="00623569" w:rsidRPr="00F14481" w:rsidRDefault="00623569" w:rsidP="00623569">
      <w:pPr>
        <w:pStyle w:val="Bulletlevel1"/>
        <w:tabs>
          <w:tab w:val="clear" w:pos="295"/>
        </w:tabs>
        <w:ind w:left="357" w:hanging="357"/>
      </w:pPr>
      <w:r w:rsidRPr="00F14481">
        <w:lastRenderedPageBreak/>
        <w:t>Financial hardship arrangements are often inflexible and not personally tailored to individual circumstances</w:t>
      </w:r>
      <w:r>
        <w:t xml:space="preserve">. </w:t>
      </w:r>
      <w:r w:rsidRPr="008D0DB4">
        <w:t>Telco providers were also generally seen as being less well-equipped with fewer options available, and less flexible than other essential services, particularly electricity providers, when dealing with customers in financial hardship.</w:t>
      </w:r>
    </w:p>
    <w:p w14:paraId="222E676A" w14:textId="77777777" w:rsidR="00623569" w:rsidRPr="00E700AF" w:rsidRDefault="00623569" w:rsidP="00623569">
      <w:pPr>
        <w:pStyle w:val="Bulletlevel1"/>
        <w:tabs>
          <w:tab w:val="clear" w:pos="295"/>
        </w:tabs>
        <w:spacing w:after="240"/>
        <w:ind w:left="357" w:hanging="357"/>
      </w:pPr>
      <w:r w:rsidRPr="00F14481">
        <w:t>Inflexible payment option, with a focus on direct debit, compound</w:t>
      </w:r>
      <w:r>
        <w:t>s</w:t>
      </w:r>
      <w:r w:rsidRPr="00F14481">
        <w:t xml:space="preserve"> financial difficult</w:t>
      </w:r>
      <w:r>
        <w:t>ies</w:t>
      </w:r>
      <w:r w:rsidRPr="00F14481">
        <w:t xml:space="preserve"> faced by consumers</w:t>
      </w:r>
      <w:r>
        <w:t>. There was a general view from research participants that direct debit was a convenient method of payment in perfect and predictable circumstances, but was more problematic at times of financial difficulty, adding to stress and incurring extra fees. Research participants also reported feeling frustrated that the telco did not provide any forewarning that they would be referred to a debt collection service and that debt collection made them feel intimidated or stressed.</w:t>
      </w:r>
    </w:p>
    <w:p w14:paraId="69421044" w14:textId="77777777" w:rsidR="00623569" w:rsidRDefault="00623569" w:rsidP="00623569">
      <w:pPr>
        <w:pStyle w:val="Paragraphbeforelist"/>
      </w:pPr>
      <w:r>
        <w:t>These identified issues can have a profound impact on consumers facing financial hardship, including:</w:t>
      </w:r>
    </w:p>
    <w:p w14:paraId="2676FAD7" w14:textId="0CE0707F" w:rsidR="00623569" w:rsidRPr="006204A2" w:rsidRDefault="00623569" w:rsidP="00623569">
      <w:pPr>
        <w:pStyle w:val="Bulletlevel1"/>
        <w:tabs>
          <w:tab w:val="clear" w:pos="295"/>
        </w:tabs>
        <w:ind w:left="357" w:hanging="357"/>
      </w:pPr>
      <w:r w:rsidRPr="00A4584D">
        <w:t>service disconnection which affects communications, opportunities and digital inclusion</w:t>
      </w:r>
    </w:p>
    <w:p w14:paraId="3D81C06E" w14:textId="77777777" w:rsidR="00623569" w:rsidRPr="006204A2" w:rsidRDefault="00623569" w:rsidP="00623569">
      <w:pPr>
        <w:pStyle w:val="Bulletlevel1"/>
        <w:tabs>
          <w:tab w:val="clear" w:pos="295"/>
        </w:tabs>
        <w:ind w:left="357" w:hanging="357"/>
      </w:pPr>
      <w:r w:rsidRPr="00A4584D">
        <w:t>increased stress and anxiety due to financial difficulties and potential loss of essential services</w:t>
      </w:r>
    </w:p>
    <w:p w14:paraId="35C009E3" w14:textId="77777777" w:rsidR="00623569" w:rsidRPr="006204A2" w:rsidRDefault="00623569" w:rsidP="00623569">
      <w:pPr>
        <w:pStyle w:val="Bulletlevel1"/>
        <w:tabs>
          <w:tab w:val="clear" w:pos="295"/>
        </w:tabs>
        <w:ind w:left="357" w:hanging="357"/>
      </w:pPr>
      <w:r w:rsidRPr="00A4584D">
        <w:t xml:space="preserve">negative credit consequences impacting access to other essential services and financial </w:t>
      </w:r>
      <w:proofErr w:type="gramStart"/>
      <w:r w:rsidRPr="00A4584D">
        <w:t>products</w:t>
      </w:r>
      <w:proofErr w:type="gramEnd"/>
    </w:p>
    <w:p w14:paraId="23481FB6" w14:textId="77777777" w:rsidR="00623569" w:rsidRPr="006204A2" w:rsidRDefault="00623569" w:rsidP="00623569">
      <w:pPr>
        <w:pStyle w:val="Bulletlevel1"/>
        <w:tabs>
          <w:tab w:val="clear" w:pos="295"/>
        </w:tabs>
        <w:ind w:left="357" w:hanging="357"/>
      </w:pPr>
      <w:r w:rsidRPr="00A4584D">
        <w:t xml:space="preserve">social exclusion limiting participation in online </w:t>
      </w:r>
      <w:proofErr w:type="gramStart"/>
      <w:r w:rsidRPr="00A4584D">
        <w:t>activities</w:t>
      </w:r>
      <w:proofErr w:type="gramEnd"/>
    </w:p>
    <w:p w14:paraId="20F53F38" w14:textId="77777777" w:rsidR="00623569" w:rsidRPr="006204A2" w:rsidRDefault="00623569" w:rsidP="00AC69D1">
      <w:pPr>
        <w:pStyle w:val="Bulletlevel1last"/>
        <w:numPr>
          <w:ilvl w:val="0"/>
          <w:numId w:val="2"/>
        </w:numPr>
        <w:tabs>
          <w:tab w:val="clear" w:pos="295"/>
        </w:tabs>
        <w:ind w:left="357" w:hanging="357"/>
      </w:pPr>
      <w:r w:rsidRPr="00A4584D">
        <w:t xml:space="preserve">vulnerable groups such as low-income households, the elderly, those facing health challenges and victims of domestic violence may be more adversely impacted. </w:t>
      </w:r>
    </w:p>
    <w:p w14:paraId="7B87005C" w14:textId="77777777" w:rsidR="00623569" w:rsidRDefault="00623569" w:rsidP="00623569">
      <w:pPr>
        <w:pStyle w:val="Paragraph"/>
        <w:rPr>
          <w:szCs w:val="20"/>
        </w:rPr>
      </w:pPr>
      <w:r>
        <w:rPr>
          <w:szCs w:val="20"/>
        </w:rPr>
        <w:t xml:space="preserve">Conversely, providing appropriate financial support can yield far-reaching benefits for consumers in need. Recognising the essential nature of telecommunications services, it enables them to engage in a broad range of activities, including work and education. Moreover, it facilitates access to various services such as health and government support. </w:t>
      </w:r>
    </w:p>
    <w:p w14:paraId="0525D265" w14:textId="77777777" w:rsidR="00623569" w:rsidRDefault="00623569" w:rsidP="00623569">
      <w:pPr>
        <w:pStyle w:val="Paragraph"/>
        <w:rPr>
          <w:szCs w:val="20"/>
        </w:rPr>
      </w:pPr>
      <w:r>
        <w:rPr>
          <w:szCs w:val="20"/>
        </w:rPr>
        <w:t xml:space="preserve">On a fundamental level, access to telecommunications services serves as the gateway to participation in the digital realm. Digital exclusion arises when individuals lack the means to connect to these services and acquire the necessary devices for access. This exclusion, manifesting in various forms, directly correlates with adverse outcomes, such as compromised health, diminished life expectancy, increased loneliness, social </w:t>
      </w:r>
      <w:proofErr w:type="gramStart"/>
      <w:r>
        <w:rPr>
          <w:szCs w:val="20"/>
        </w:rPr>
        <w:t>isolation</w:t>
      </w:r>
      <w:proofErr w:type="gramEnd"/>
      <w:r>
        <w:rPr>
          <w:szCs w:val="20"/>
        </w:rPr>
        <w:t xml:space="preserve"> and limited access to crucial resources like employment and education.</w:t>
      </w:r>
      <w:r>
        <w:rPr>
          <w:rStyle w:val="FootnoteReference"/>
          <w:szCs w:val="20"/>
        </w:rPr>
        <w:footnoteReference w:id="19"/>
      </w:r>
      <w:r>
        <w:rPr>
          <w:szCs w:val="20"/>
        </w:rPr>
        <w:t xml:space="preserve"> Digital exclusion is connected with an inability to participate fully in economic, social and civic life, presenting and compounding barriers to education, work and vital services.</w:t>
      </w:r>
      <w:r>
        <w:rPr>
          <w:rStyle w:val="FootnoteReference"/>
          <w:szCs w:val="20"/>
        </w:rPr>
        <w:footnoteReference w:id="20"/>
      </w:r>
      <w:r>
        <w:rPr>
          <w:szCs w:val="20"/>
        </w:rPr>
        <w:t xml:space="preserve"> </w:t>
      </w:r>
    </w:p>
    <w:p w14:paraId="170521AB" w14:textId="77777777" w:rsidR="00623569" w:rsidRPr="001F4F09" w:rsidRDefault="00623569" w:rsidP="00623569">
      <w:pPr>
        <w:pStyle w:val="Paragraph"/>
        <w:rPr>
          <w:szCs w:val="20"/>
        </w:rPr>
      </w:pPr>
      <w:r>
        <w:rPr>
          <w:szCs w:val="20"/>
        </w:rPr>
        <w:t>In its submission to the ACMA’s consultation the Statement of Expectations, Relationships Australia details the importance of digital inclusion being a critical enabler of social inclusion and connection and preventative against loneliness and its adverse effects on physical and mental health.</w:t>
      </w:r>
      <w:r>
        <w:rPr>
          <w:rStyle w:val="FootnoteReference"/>
          <w:szCs w:val="20"/>
        </w:rPr>
        <w:footnoteReference w:id="21"/>
      </w:r>
    </w:p>
    <w:p w14:paraId="3AE960B5" w14:textId="77777777" w:rsidR="00623569" w:rsidRDefault="00623569" w:rsidP="00623569">
      <w:pPr>
        <w:pStyle w:val="Heading2"/>
        <w:keepLines/>
      </w:pPr>
      <w:bookmarkStart w:id="23" w:name="_Toc155685980"/>
      <w:r>
        <w:lastRenderedPageBreak/>
        <w:t>Addressing the gaps</w:t>
      </w:r>
      <w:bookmarkEnd w:id="23"/>
    </w:p>
    <w:p w14:paraId="262FD373" w14:textId="77777777" w:rsidR="00623569" w:rsidRDefault="00623569" w:rsidP="00623569">
      <w:pPr>
        <w:pStyle w:val="Paragraphbeforelist"/>
        <w:keepNext/>
        <w:keepLines/>
      </w:pPr>
      <w:r>
        <w:t>There are gaps in the financial hardship rules in the TCP Code in the way they operate and provide protections to consumers in need. These gaps and supporting evidence are detailed in the What Consumers Want paper and the Financial Hardship report and include:</w:t>
      </w:r>
    </w:p>
    <w:p w14:paraId="13CFB880" w14:textId="77777777" w:rsidR="00623569" w:rsidRPr="002D70AE" w:rsidRDefault="00623569" w:rsidP="00623569">
      <w:pPr>
        <w:pStyle w:val="Bulletlevel1"/>
        <w:keepNext/>
        <w:keepLines/>
        <w:tabs>
          <w:tab w:val="clear" w:pos="295"/>
        </w:tabs>
        <w:ind w:left="357" w:hanging="357"/>
        <w:rPr>
          <w:szCs w:val="20"/>
        </w:rPr>
      </w:pPr>
      <w:r w:rsidRPr="002D70AE">
        <w:rPr>
          <w:szCs w:val="20"/>
        </w:rPr>
        <w:t>Narrow definition of ‘financial hardship’.</w:t>
      </w:r>
      <w:r>
        <w:rPr>
          <w:szCs w:val="20"/>
        </w:rPr>
        <w:t xml:space="preserve"> </w:t>
      </w:r>
      <w:r>
        <w:t>The ACMA is aware that telcos offer some additional forms of ‘financial assistance’, but these sit outside of the TCP Code definition.</w:t>
      </w:r>
    </w:p>
    <w:p w14:paraId="22E5B22F" w14:textId="77777777" w:rsidR="00623569" w:rsidRPr="002D70AE" w:rsidRDefault="00623569" w:rsidP="00623569">
      <w:pPr>
        <w:pStyle w:val="Bulletlevel1"/>
        <w:tabs>
          <w:tab w:val="clear" w:pos="295"/>
        </w:tabs>
        <w:ind w:left="357" w:hanging="357"/>
      </w:pPr>
      <w:r w:rsidRPr="002D70AE">
        <w:t xml:space="preserve">Financial assistance, including payment plans and extensions to pay, are frequently </w:t>
      </w:r>
      <w:r>
        <w:t>outside of</w:t>
      </w:r>
      <w:r w:rsidRPr="002D70AE">
        <w:t xml:space="preserve"> formal financial hardship programs, negating TCP Code protections such as preventing credit management action against customer in financial hardship.</w:t>
      </w:r>
    </w:p>
    <w:p w14:paraId="60F18AF1" w14:textId="77777777" w:rsidR="00623569" w:rsidRPr="002D70AE" w:rsidRDefault="00623569" w:rsidP="00623569">
      <w:pPr>
        <w:pStyle w:val="Bulletlevel1"/>
        <w:tabs>
          <w:tab w:val="clear" w:pos="295"/>
        </w:tabs>
        <w:ind w:left="357" w:hanging="357"/>
      </w:pPr>
      <w:r w:rsidRPr="002D70AE">
        <w:t>Timeframes for CSPs to notify customers of impending disconnection, suspension or restriction of services are too short and, in some cases, are not being complied with.</w:t>
      </w:r>
    </w:p>
    <w:p w14:paraId="2D6C1F89" w14:textId="77777777" w:rsidR="00623569" w:rsidRPr="002D70AE" w:rsidRDefault="00623569" w:rsidP="00623569">
      <w:pPr>
        <w:pStyle w:val="Bulletlevel1"/>
        <w:tabs>
          <w:tab w:val="clear" w:pos="295"/>
        </w:tabs>
        <w:ind w:left="357" w:hanging="357"/>
      </w:pPr>
      <w:r w:rsidRPr="002D70AE">
        <w:t xml:space="preserve">Low levels of consumer awareness about telecommunications financial assistance. </w:t>
      </w:r>
    </w:p>
    <w:p w14:paraId="28029866" w14:textId="77777777" w:rsidR="00623569" w:rsidRPr="002D70AE" w:rsidRDefault="00623569" w:rsidP="00623569">
      <w:pPr>
        <w:pStyle w:val="Bulletlevel1"/>
        <w:tabs>
          <w:tab w:val="clear" w:pos="295"/>
        </w:tabs>
        <w:ind w:left="357" w:hanging="357"/>
      </w:pPr>
      <w:r w:rsidRPr="002D70AE">
        <w:t>A lack of consistency across industry in assessing eligibility for financial hardship assistance.</w:t>
      </w:r>
    </w:p>
    <w:p w14:paraId="069D3B6D" w14:textId="77777777" w:rsidR="00623569" w:rsidRDefault="00623569" w:rsidP="00623569">
      <w:pPr>
        <w:pStyle w:val="Bulletlevel1"/>
        <w:tabs>
          <w:tab w:val="clear" w:pos="295"/>
        </w:tabs>
        <w:ind w:left="357" w:hanging="357"/>
      </w:pPr>
      <w:r w:rsidRPr="002D70AE">
        <w:t>A lack of flexibility in some financial hardship arrangements that does not account for a consumer’s individual circumstances.</w:t>
      </w:r>
    </w:p>
    <w:p w14:paraId="58FD8B2E" w14:textId="77777777" w:rsidR="00623569" w:rsidRDefault="00623569" w:rsidP="00623569">
      <w:pPr>
        <w:pStyle w:val="Bulletlevel1"/>
        <w:tabs>
          <w:tab w:val="clear" w:pos="295"/>
        </w:tabs>
        <w:ind w:left="357" w:hanging="357"/>
      </w:pPr>
      <w:r>
        <w:t>Difficulties with enforcing some of the existing financial hardship provisions in the TCP Code due to poor drafting.</w:t>
      </w:r>
    </w:p>
    <w:p w14:paraId="11D14199" w14:textId="77777777" w:rsidR="00623569" w:rsidRPr="002D70AE" w:rsidRDefault="00623569" w:rsidP="00623569">
      <w:pPr>
        <w:pStyle w:val="Bulletlevel1"/>
        <w:tabs>
          <w:tab w:val="clear" w:pos="295"/>
        </w:tabs>
        <w:ind w:left="357" w:hanging="357"/>
        <w:rPr>
          <w:szCs w:val="20"/>
        </w:rPr>
      </w:pPr>
      <w:r>
        <w:t>The TCP Code does not prescribe what factors should be considered in assessing a customer’s eligibility for financial hardship assistance or what staff training would be appropriate in these circumstances.</w:t>
      </w:r>
    </w:p>
    <w:p w14:paraId="23CE54EA" w14:textId="77777777" w:rsidR="00623569" w:rsidRPr="002D70AE" w:rsidRDefault="00623569" w:rsidP="00AC69D1">
      <w:pPr>
        <w:pStyle w:val="Bulletlevel1last"/>
        <w:numPr>
          <w:ilvl w:val="0"/>
          <w:numId w:val="2"/>
        </w:numPr>
        <w:tabs>
          <w:tab w:val="clear" w:pos="295"/>
        </w:tabs>
        <w:ind w:left="357" w:hanging="357"/>
      </w:pPr>
      <w:r w:rsidRPr="002D70AE">
        <w:t>Limited enforcement options under the TCP Code – a formal warning or a direction to comply. More serious action can only be taken after a CSP breaches a direction to comply</w:t>
      </w:r>
      <w:r>
        <w:t xml:space="preserve"> (meaning a second or repeated contravention)</w:t>
      </w:r>
      <w:r w:rsidRPr="002D70AE">
        <w:t>.</w:t>
      </w:r>
    </w:p>
    <w:p w14:paraId="3D9C4FAD" w14:textId="77777777" w:rsidR="00623569" w:rsidRDefault="00623569" w:rsidP="00623569">
      <w:pPr>
        <w:pStyle w:val="Paragraphbeforelist"/>
      </w:pPr>
      <w:r w:rsidRPr="00237056">
        <w:t xml:space="preserve">The ACMA’s findings </w:t>
      </w:r>
      <w:r>
        <w:t>are further supported by:</w:t>
      </w:r>
    </w:p>
    <w:p w14:paraId="30A9824E" w14:textId="77777777" w:rsidR="00623569" w:rsidRPr="0024585D" w:rsidRDefault="00623569" w:rsidP="00623569">
      <w:pPr>
        <w:pStyle w:val="Bulletlevel1"/>
        <w:tabs>
          <w:tab w:val="clear" w:pos="295"/>
        </w:tabs>
        <w:ind w:left="357" w:hanging="357"/>
        <w:rPr>
          <w:i/>
        </w:rPr>
      </w:pPr>
      <w:r w:rsidRPr="00237056">
        <w:t xml:space="preserve">the TIO’s </w:t>
      </w:r>
      <w:r>
        <w:t xml:space="preserve">June 2023 </w:t>
      </w:r>
      <w:r w:rsidRPr="00237056">
        <w:rPr>
          <w:lang w:val="en-US"/>
        </w:rPr>
        <w:t xml:space="preserve">report </w:t>
      </w:r>
      <w:r w:rsidRPr="00237056">
        <w:rPr>
          <w:i/>
          <w:iCs/>
        </w:rPr>
        <w:t>A time for change – Three years of systemic investigations in review</w:t>
      </w:r>
      <w:r w:rsidRPr="00237056">
        <w:rPr>
          <w:rStyle w:val="FootnoteReference"/>
        </w:rPr>
        <w:t xml:space="preserve"> </w:t>
      </w:r>
      <w:r w:rsidRPr="00237056">
        <w:rPr>
          <w:rStyle w:val="FootnoteReference"/>
        </w:rPr>
        <w:footnoteReference w:id="22"/>
      </w:r>
      <w:r w:rsidRPr="00237056">
        <w:t xml:space="preserve">, </w:t>
      </w:r>
      <w:r w:rsidRPr="0024585D">
        <w:t xml:space="preserve">which </w:t>
      </w:r>
      <w:r w:rsidRPr="002401AD">
        <w:t>made</w:t>
      </w:r>
      <w:r w:rsidRPr="0024585D">
        <w:rPr>
          <w:i/>
          <w:iCs/>
        </w:rPr>
        <w:t xml:space="preserve"> </w:t>
      </w:r>
      <w:r w:rsidRPr="0024585D">
        <w:t>recommendations where the telecommunications regulatory framework and industry could evolve to provide better protection for consumers who are vulnerable, including:</w:t>
      </w:r>
    </w:p>
    <w:p w14:paraId="71F8B7BC" w14:textId="77777777" w:rsidR="00623569" w:rsidRPr="0024585D" w:rsidRDefault="00623569" w:rsidP="00623569">
      <w:pPr>
        <w:pStyle w:val="Bulletlevel2"/>
        <w:tabs>
          <w:tab w:val="clear" w:pos="845"/>
          <w:tab w:val="num" w:pos="1389"/>
        </w:tabs>
        <w:ind w:left="970"/>
      </w:pPr>
      <w:r>
        <w:t>t</w:t>
      </w:r>
      <w:r w:rsidRPr="0024585D">
        <w:t xml:space="preserve">elcos need to do more to reduce barriers for consumers seeking </w:t>
      </w:r>
      <w:proofErr w:type="gramStart"/>
      <w:r w:rsidRPr="0024585D">
        <w:t>help</w:t>
      </w:r>
      <w:proofErr w:type="gramEnd"/>
    </w:p>
    <w:p w14:paraId="6DAD997C" w14:textId="77777777" w:rsidR="00623569" w:rsidRPr="0024585D" w:rsidRDefault="00623569" w:rsidP="00623569">
      <w:pPr>
        <w:pStyle w:val="Bulletlevel2"/>
        <w:tabs>
          <w:tab w:val="clear" w:pos="845"/>
          <w:tab w:val="num" w:pos="1389"/>
        </w:tabs>
        <w:ind w:left="970"/>
      </w:pPr>
      <w:r>
        <w:t>i</w:t>
      </w:r>
      <w:r w:rsidRPr="0024585D">
        <w:t xml:space="preserve">mproved regulation would help reduce unexpected debt and financial </w:t>
      </w:r>
      <w:proofErr w:type="gramStart"/>
      <w:r w:rsidRPr="0024585D">
        <w:t>hardship</w:t>
      </w:r>
      <w:proofErr w:type="gramEnd"/>
    </w:p>
    <w:p w14:paraId="37E6235B" w14:textId="77777777" w:rsidR="00623569" w:rsidRPr="0024585D" w:rsidRDefault="00623569" w:rsidP="00623569">
      <w:pPr>
        <w:pStyle w:val="Bulletlevel2"/>
        <w:tabs>
          <w:tab w:val="clear" w:pos="845"/>
          <w:tab w:val="num" w:pos="1389"/>
        </w:tabs>
        <w:ind w:left="970"/>
      </w:pPr>
      <w:r>
        <w:t>d</w:t>
      </w:r>
      <w:r w:rsidRPr="0024585D">
        <w:t>irect regulation should play a primary role in protecting consumers that are vulnerable.</w:t>
      </w:r>
    </w:p>
    <w:p w14:paraId="12E736E6" w14:textId="19486732" w:rsidR="00623569" w:rsidRPr="005C3579" w:rsidRDefault="00623569" w:rsidP="00623569">
      <w:pPr>
        <w:pStyle w:val="Bulletlevel1"/>
        <w:tabs>
          <w:tab w:val="clear" w:pos="295"/>
        </w:tabs>
        <w:ind w:left="357" w:hanging="357"/>
        <w:rPr>
          <w:i/>
        </w:rPr>
      </w:pPr>
      <w:r>
        <w:t>the TIO’s April 2023 report Thematic Review: Our financial hardship complaints 2021 - 223</w:t>
      </w:r>
      <w:r>
        <w:rPr>
          <w:rStyle w:val="FootnoteReference"/>
          <w:iCs/>
        </w:rPr>
        <w:footnoteReference w:id="23"/>
      </w:r>
      <w:r w:rsidR="00710D50">
        <w:t>,</w:t>
      </w:r>
      <w:r>
        <w:t xml:space="preserve"> which provides an overview of complaints received about financial hardship between 1 April 2021 and 31 March 2023 and provided case studies illustrating some of the issues customers in financial hardship experienced. This included a situation where a customer who became seriously ill and was not able to work was not offered a reasonable payment arrangement, and another where a pensioner customer was unable to reach her telco to ask for financial assistance. </w:t>
      </w:r>
    </w:p>
    <w:p w14:paraId="4B31CB0E" w14:textId="77777777" w:rsidR="00623569" w:rsidRPr="00E85BE8" w:rsidRDefault="00623569" w:rsidP="00623569">
      <w:pPr>
        <w:pStyle w:val="Bulletlevel1"/>
        <w:tabs>
          <w:tab w:val="clear" w:pos="295"/>
        </w:tabs>
        <w:ind w:left="357" w:hanging="357"/>
        <w:rPr>
          <w:i/>
        </w:rPr>
      </w:pPr>
      <w:r>
        <w:lastRenderedPageBreak/>
        <w:t>recent ACMA action against 8 CSPs for failure to provide adequate notice for service restrictions, suspensions or disconnections and failure to provide information about financial hardship policies</w:t>
      </w:r>
      <w:r>
        <w:rPr>
          <w:rStyle w:val="FootnoteReference"/>
        </w:rPr>
        <w:footnoteReference w:id="24"/>
      </w:r>
      <w:r>
        <w:t xml:space="preserve"> and action against a CSP for breaching the requirement to suspend credit management activity for 70 financial hardship customers between August 2019 and April 2022.</w:t>
      </w:r>
      <w:r>
        <w:rPr>
          <w:rStyle w:val="FootnoteReference"/>
        </w:rPr>
        <w:footnoteReference w:id="25"/>
      </w:r>
    </w:p>
    <w:p w14:paraId="5047A616" w14:textId="77777777" w:rsidR="00623569" w:rsidRPr="00954448" w:rsidRDefault="00623569" w:rsidP="00623569">
      <w:pPr>
        <w:pStyle w:val="Bulletlevel1"/>
        <w:tabs>
          <w:tab w:val="clear" w:pos="295"/>
        </w:tabs>
        <w:ind w:left="357" w:hanging="357"/>
        <w:rPr>
          <w:i/>
          <w:iCs/>
        </w:rPr>
      </w:pPr>
      <w:r w:rsidRPr="00AD6CDE">
        <w:t xml:space="preserve">reports and research by other organisations including </w:t>
      </w:r>
      <w:r>
        <w:t>research by the ACCAN and the PIAC</w:t>
      </w:r>
      <w:r>
        <w:rPr>
          <w:rStyle w:val="FootnoteReference"/>
        </w:rPr>
        <w:footnoteReference w:id="26"/>
      </w:r>
      <w:r>
        <w:t xml:space="preserve"> into how consumers experience their billing arrangements, which found that some of the payment options offered by CSPs are not suitable for people in vulnerable circumstances.</w:t>
      </w:r>
    </w:p>
    <w:p w14:paraId="67BB7733" w14:textId="77777777" w:rsidR="00623569" w:rsidRPr="00954448" w:rsidRDefault="00623569" w:rsidP="00AC69D1">
      <w:pPr>
        <w:pStyle w:val="Bulletlevel1last"/>
        <w:numPr>
          <w:ilvl w:val="0"/>
          <w:numId w:val="2"/>
        </w:numPr>
        <w:tabs>
          <w:tab w:val="clear" w:pos="295"/>
        </w:tabs>
        <w:ind w:left="357" w:hanging="357"/>
        <w:rPr>
          <w:i/>
          <w:iCs/>
        </w:rPr>
      </w:pPr>
      <w:r w:rsidRPr="00AD6CDE">
        <w:t>submissions to the current review of the TCP Code</w:t>
      </w:r>
      <w:r>
        <w:rPr>
          <w:rStyle w:val="FootnoteReference"/>
        </w:rPr>
        <w:footnoteReference w:id="27"/>
      </w:r>
      <w:r w:rsidRPr="00AD6CDE">
        <w:t xml:space="preserve"> by the TIO</w:t>
      </w:r>
      <w:r w:rsidRPr="00237056">
        <w:rPr>
          <w:rStyle w:val="FootnoteReference"/>
        </w:rPr>
        <w:footnoteReference w:id="28"/>
      </w:r>
      <w:r w:rsidRPr="00AD6CDE">
        <w:t xml:space="preserve">, the </w:t>
      </w:r>
      <w:r w:rsidRPr="00AD6CDE">
        <w:rPr>
          <w:lang w:val="x-none"/>
        </w:rPr>
        <w:t>ACCC</w:t>
      </w:r>
      <w:r w:rsidRPr="00237056">
        <w:rPr>
          <w:rStyle w:val="FootnoteReference"/>
        </w:rPr>
        <w:footnoteReference w:id="29"/>
      </w:r>
      <w:r w:rsidRPr="00AD6CDE">
        <w:t xml:space="preserve"> and </w:t>
      </w:r>
      <w:r w:rsidRPr="00AD6CDE">
        <w:rPr>
          <w:lang w:val="x-none"/>
        </w:rPr>
        <w:t>ACCAN</w:t>
      </w:r>
      <w:r>
        <w:t>.</w:t>
      </w:r>
      <w:r w:rsidRPr="00237056">
        <w:rPr>
          <w:rStyle w:val="FootnoteReference"/>
          <w:lang w:val="x-none"/>
        </w:rPr>
        <w:footnoteReference w:id="30"/>
      </w:r>
    </w:p>
    <w:p w14:paraId="1DD8DE3C" w14:textId="77777777" w:rsidR="00623569" w:rsidRDefault="00623569" w:rsidP="00623569">
      <w:pPr>
        <w:pStyle w:val="Paragraph"/>
      </w:pPr>
      <w:r>
        <w:t>Feedback from current consumer representatives</w:t>
      </w:r>
      <w:r>
        <w:rPr>
          <w:rStyle w:val="FootnoteReference"/>
        </w:rPr>
        <w:footnoteReference w:id="31"/>
      </w:r>
      <w:r>
        <w:t xml:space="preserve"> of the ACMA’s CCF</w:t>
      </w:r>
      <w:r w:rsidRPr="00E21DBC">
        <w:t xml:space="preserve"> has </w:t>
      </w:r>
      <w:r>
        <w:t>also emphasised</w:t>
      </w:r>
      <w:r w:rsidRPr="00E21DBC">
        <w:t xml:space="preserve"> the need for more robust </w:t>
      </w:r>
      <w:r>
        <w:t>financial hardship</w:t>
      </w:r>
      <w:r w:rsidRPr="00E21DBC">
        <w:t xml:space="preserve"> protections</w:t>
      </w:r>
      <w:r>
        <w:t xml:space="preserve"> beyond those afforded by the TCP </w:t>
      </w:r>
      <w:proofErr w:type="gramStart"/>
      <w:r>
        <w:t>Code, and</w:t>
      </w:r>
      <w:proofErr w:type="gramEnd"/>
      <w:r>
        <w:t xml:space="preserve"> accords with feedback received during development of the ACMA’s Statement of Expectations.</w:t>
      </w:r>
    </w:p>
    <w:p w14:paraId="23D25D32" w14:textId="77777777" w:rsidR="00623569" w:rsidRDefault="00623569" w:rsidP="00623569">
      <w:pPr>
        <w:pStyle w:val="CommentText"/>
        <w:spacing w:line="240" w:lineRule="atLeast"/>
        <w:rPr>
          <w:rFonts w:cs="Arial"/>
          <w:color w:val="212529"/>
        </w:rPr>
      </w:pPr>
      <w:r w:rsidRPr="00237056">
        <w:rPr>
          <w:rFonts w:cs="Arial"/>
        </w:rPr>
        <w:t>This, together with feedback from consumer groups and advocates over an extended period</w:t>
      </w:r>
      <w:r>
        <w:rPr>
          <w:rFonts w:cs="Arial"/>
        </w:rPr>
        <w:t>, emphasises the inadequacy of current financial hardship rules</w:t>
      </w:r>
      <w:r>
        <w:rPr>
          <w:rFonts w:cs="Arial"/>
          <w:color w:val="212529"/>
        </w:rPr>
        <w:t>.</w:t>
      </w:r>
      <w:r>
        <w:rPr>
          <w:rStyle w:val="FootnoteReference"/>
          <w:rFonts w:cs="Arial"/>
          <w:color w:val="212529"/>
        </w:rPr>
        <w:footnoteReference w:id="32"/>
      </w:r>
      <w:r>
        <w:rPr>
          <w:rFonts w:cs="Arial"/>
          <w:color w:val="212529"/>
        </w:rPr>
        <w:t xml:space="preserve"> </w:t>
      </w:r>
    </w:p>
    <w:p w14:paraId="584DFFE2" w14:textId="77777777" w:rsidR="00623569" w:rsidRPr="002B7B46" w:rsidRDefault="00623569" w:rsidP="00623569">
      <w:pPr>
        <w:rPr>
          <w:rFonts w:cs="Arial"/>
          <w:szCs w:val="20"/>
        </w:rPr>
      </w:pPr>
      <w:r w:rsidRPr="002B7B46">
        <w:rPr>
          <w:rFonts w:cs="Arial"/>
          <w:szCs w:val="20"/>
        </w:rPr>
        <w:t xml:space="preserve">In </w:t>
      </w:r>
      <w:r>
        <w:rPr>
          <w:rFonts w:cs="Arial"/>
          <w:szCs w:val="20"/>
        </w:rPr>
        <w:t>examining</w:t>
      </w:r>
      <w:r w:rsidRPr="002B7B46">
        <w:rPr>
          <w:rFonts w:cs="Arial"/>
          <w:szCs w:val="20"/>
        </w:rPr>
        <w:t xml:space="preserve"> the </w:t>
      </w:r>
      <w:r>
        <w:rPr>
          <w:rFonts w:cs="Arial"/>
          <w:szCs w:val="20"/>
        </w:rPr>
        <w:t>regulatory</w:t>
      </w:r>
      <w:r w:rsidRPr="002B7B46">
        <w:rPr>
          <w:rFonts w:cs="Arial"/>
          <w:szCs w:val="20"/>
        </w:rPr>
        <w:t xml:space="preserve"> landscape surrounding financial hardship </w:t>
      </w:r>
      <w:r>
        <w:rPr>
          <w:rFonts w:cs="Arial"/>
          <w:szCs w:val="20"/>
        </w:rPr>
        <w:t>with</w:t>
      </w:r>
      <w:r w:rsidRPr="002B7B46">
        <w:rPr>
          <w:rFonts w:cs="Arial"/>
          <w:szCs w:val="20"/>
        </w:rPr>
        <w:t xml:space="preserve">in the telecommunications sector, the ACMA </w:t>
      </w:r>
      <w:r>
        <w:rPr>
          <w:rFonts w:cs="Arial"/>
          <w:szCs w:val="20"/>
        </w:rPr>
        <w:t>investigated</w:t>
      </w:r>
      <w:r w:rsidRPr="002B7B46">
        <w:rPr>
          <w:rFonts w:cs="Arial"/>
          <w:szCs w:val="20"/>
        </w:rPr>
        <w:t xml:space="preserve"> measures </w:t>
      </w:r>
      <w:r>
        <w:rPr>
          <w:rFonts w:cs="Arial"/>
          <w:szCs w:val="20"/>
        </w:rPr>
        <w:t>adopted</w:t>
      </w:r>
      <w:r w:rsidRPr="002B7B46">
        <w:rPr>
          <w:rFonts w:cs="Arial"/>
          <w:szCs w:val="20"/>
        </w:rPr>
        <w:t xml:space="preserve"> by other countries</w:t>
      </w:r>
      <w:r>
        <w:rPr>
          <w:rFonts w:cs="Arial"/>
          <w:szCs w:val="20"/>
        </w:rPr>
        <w:t xml:space="preserve"> and sectors</w:t>
      </w:r>
      <w:r w:rsidRPr="002B7B46">
        <w:rPr>
          <w:rFonts w:cs="Arial"/>
          <w:szCs w:val="20"/>
        </w:rPr>
        <w:t xml:space="preserve"> to </w:t>
      </w:r>
      <w:r>
        <w:rPr>
          <w:rFonts w:cs="Arial"/>
          <w:szCs w:val="20"/>
        </w:rPr>
        <w:t>address</w:t>
      </w:r>
      <w:r w:rsidRPr="002B7B46">
        <w:rPr>
          <w:rFonts w:cs="Arial"/>
          <w:szCs w:val="20"/>
        </w:rPr>
        <w:t xml:space="preserve"> similar challenges. </w:t>
      </w:r>
    </w:p>
    <w:p w14:paraId="435E6E33" w14:textId="77777777" w:rsidR="00623569" w:rsidRPr="002B7B46" w:rsidRDefault="00623569" w:rsidP="00623569">
      <w:pPr>
        <w:pStyle w:val="Paragraph"/>
      </w:pPr>
      <w:r>
        <w:t xml:space="preserve">This involved a comprehensive </w:t>
      </w:r>
      <w:r w:rsidRPr="00057B3F">
        <w:t xml:space="preserve">comparative study </w:t>
      </w:r>
      <w:r>
        <w:t xml:space="preserve">conducted in early 2023, </w:t>
      </w:r>
      <w:r>
        <w:rPr>
          <w:szCs w:val="20"/>
        </w:rPr>
        <w:t>focusing on</w:t>
      </w:r>
      <w:r w:rsidRPr="00167215">
        <w:rPr>
          <w:szCs w:val="20"/>
        </w:rPr>
        <w:t xml:space="preserve"> telecommunications consumer protection frameworks in Canada, the United Kingdom (UK)</w:t>
      </w:r>
      <w:r>
        <w:rPr>
          <w:szCs w:val="20"/>
        </w:rPr>
        <w:t xml:space="preserve"> and </w:t>
      </w:r>
      <w:r w:rsidRPr="00167215">
        <w:rPr>
          <w:szCs w:val="20"/>
        </w:rPr>
        <w:t>New Zealand (NZ)</w:t>
      </w:r>
      <w:r>
        <w:rPr>
          <w:szCs w:val="20"/>
        </w:rPr>
        <w:t>. The study</w:t>
      </w:r>
      <w:r w:rsidRPr="00167215">
        <w:rPr>
          <w:szCs w:val="20"/>
        </w:rPr>
        <w:t xml:space="preserve"> </w:t>
      </w:r>
      <w:r>
        <w:rPr>
          <w:szCs w:val="20"/>
        </w:rPr>
        <w:t xml:space="preserve">examined the </w:t>
      </w:r>
      <w:r w:rsidRPr="00167215">
        <w:rPr>
          <w:szCs w:val="20"/>
        </w:rPr>
        <w:t xml:space="preserve">regulatory measures in place </w:t>
      </w:r>
      <w:r>
        <w:rPr>
          <w:szCs w:val="20"/>
        </w:rPr>
        <w:t xml:space="preserve">to help </w:t>
      </w:r>
      <w:r w:rsidRPr="00167215">
        <w:rPr>
          <w:szCs w:val="20"/>
        </w:rPr>
        <w:t xml:space="preserve">consumers facing financial stress and assist </w:t>
      </w:r>
      <w:r>
        <w:rPr>
          <w:szCs w:val="20"/>
        </w:rPr>
        <w:t>them in staying</w:t>
      </w:r>
      <w:r w:rsidRPr="00167215">
        <w:rPr>
          <w:szCs w:val="20"/>
        </w:rPr>
        <w:t xml:space="preserve"> connected</w:t>
      </w:r>
      <w:r>
        <w:rPr>
          <w:szCs w:val="20"/>
        </w:rPr>
        <w:t xml:space="preserve">. </w:t>
      </w:r>
      <w:r w:rsidRPr="00167215">
        <w:rPr>
          <w:szCs w:val="20"/>
        </w:rPr>
        <w:t xml:space="preserve">Building on </w:t>
      </w:r>
      <w:r>
        <w:rPr>
          <w:szCs w:val="20"/>
        </w:rPr>
        <w:t>previous</w:t>
      </w:r>
      <w:r w:rsidRPr="00167215">
        <w:rPr>
          <w:szCs w:val="20"/>
        </w:rPr>
        <w:t xml:space="preserve"> research</w:t>
      </w:r>
      <w:r>
        <w:rPr>
          <w:rStyle w:val="FootnoteReference"/>
          <w:szCs w:val="20"/>
        </w:rPr>
        <w:footnoteReference w:id="33"/>
      </w:r>
      <w:r w:rsidRPr="00167215">
        <w:rPr>
          <w:szCs w:val="20"/>
        </w:rPr>
        <w:t>, the ACMA</w:t>
      </w:r>
      <w:r>
        <w:rPr>
          <w:szCs w:val="20"/>
        </w:rPr>
        <w:t xml:space="preserve"> concentrated on </w:t>
      </w:r>
      <w:r w:rsidRPr="00167215">
        <w:rPr>
          <w:szCs w:val="20"/>
        </w:rPr>
        <w:t xml:space="preserve">practical measures </w:t>
      </w:r>
      <w:r>
        <w:rPr>
          <w:szCs w:val="20"/>
        </w:rPr>
        <w:t xml:space="preserve">in place </w:t>
      </w:r>
      <w:r w:rsidRPr="00167215">
        <w:rPr>
          <w:szCs w:val="20"/>
        </w:rPr>
        <w:t>in other sectors and jurisdictions</w:t>
      </w:r>
      <w:r>
        <w:rPr>
          <w:szCs w:val="20"/>
        </w:rPr>
        <w:t>.</w:t>
      </w:r>
    </w:p>
    <w:p w14:paraId="18B65FFD" w14:textId="77777777" w:rsidR="00623569" w:rsidRPr="00237056" w:rsidRDefault="00623569" w:rsidP="00623569">
      <w:pPr>
        <w:pStyle w:val="CommentText"/>
        <w:spacing w:line="240" w:lineRule="atLeast"/>
        <w:rPr>
          <w:rFonts w:cs="Arial"/>
        </w:rPr>
      </w:pPr>
      <w:r w:rsidRPr="003B7929">
        <w:rPr>
          <w:rFonts w:cs="Arial"/>
        </w:rPr>
        <w:t xml:space="preserve">The comparative study highlighted that the UK's regulatory framework, overseen by </w:t>
      </w:r>
      <w:r>
        <w:rPr>
          <w:rFonts w:cs="Arial"/>
        </w:rPr>
        <w:t xml:space="preserve">the UK regulator </w:t>
      </w:r>
      <w:r w:rsidRPr="003B7929">
        <w:rPr>
          <w:rFonts w:cs="Arial"/>
        </w:rPr>
        <w:t xml:space="preserve">Ofcom, surpasses that of the TCP Code. The UK's measures, enshrined in law and regulation rather than an industry code, include clear guidelines on financial assistance. Notably, the UK framework boasts a streamlined process for assessing financial hardship customers, with the regulator expecting individuals experiencing payment difficulties to be treated as vulnerable customers, triggering a range of additional supportive measures. The TCP Code is also surpassed by the NZ and Canada consumer protections for managing customers facing disconnection due </w:t>
      </w:r>
      <w:r w:rsidRPr="003B7929">
        <w:rPr>
          <w:rFonts w:cs="Arial"/>
        </w:rPr>
        <w:lastRenderedPageBreak/>
        <w:t xml:space="preserve">to non-payment and the associated timeframes. </w:t>
      </w:r>
      <w:r>
        <w:rPr>
          <w:rFonts w:cs="Arial"/>
        </w:rPr>
        <w:t xml:space="preserve">Both countries require longer timeframes before disconnection can occur and NZ steps out </w:t>
      </w:r>
      <w:r>
        <w:t>a process diagram within their telco disconnection code.</w:t>
      </w:r>
      <w:r>
        <w:rPr>
          <w:rStyle w:val="FootnoteReference"/>
        </w:rPr>
        <w:footnoteReference w:id="34"/>
      </w:r>
      <w:r>
        <w:t xml:space="preserve"> </w:t>
      </w:r>
      <w:r w:rsidRPr="008F076C">
        <w:rPr>
          <w:rFonts w:cs="Arial"/>
        </w:rPr>
        <w:t xml:space="preserve">Comparison with other </w:t>
      </w:r>
      <w:r>
        <w:rPr>
          <w:rFonts w:cs="Arial"/>
        </w:rPr>
        <w:t xml:space="preserve">sectors offering </w:t>
      </w:r>
      <w:r w:rsidRPr="008F076C">
        <w:rPr>
          <w:rFonts w:cs="Arial"/>
        </w:rPr>
        <w:t>essential service</w:t>
      </w:r>
      <w:r>
        <w:rPr>
          <w:rFonts w:cs="Arial"/>
        </w:rPr>
        <w:t>s</w:t>
      </w:r>
      <w:r w:rsidRPr="008F076C">
        <w:rPr>
          <w:rFonts w:cs="Arial"/>
        </w:rPr>
        <w:t xml:space="preserve">, such as electricity and gas, </w:t>
      </w:r>
      <w:r>
        <w:rPr>
          <w:rFonts w:cs="Arial"/>
        </w:rPr>
        <w:t xml:space="preserve">further </w:t>
      </w:r>
      <w:r w:rsidRPr="008F076C">
        <w:rPr>
          <w:rFonts w:cs="Arial"/>
        </w:rPr>
        <w:t xml:space="preserve">highlights the need for a more </w:t>
      </w:r>
      <w:r>
        <w:rPr>
          <w:rFonts w:cs="Arial"/>
        </w:rPr>
        <w:t>clearly</w:t>
      </w:r>
      <w:r w:rsidRPr="008F076C">
        <w:rPr>
          <w:rFonts w:cs="Arial"/>
        </w:rPr>
        <w:t xml:space="preserve"> enforceable framework in the telecommunications sector. In the sale and supply of electricity and gas, the National Energy Customer Framework (NECF) establishes a robust regulatory structure, including the National Energy</w:t>
      </w:r>
      <w:r w:rsidRPr="0043725F">
        <w:rPr>
          <w:rFonts w:cs="Arial"/>
        </w:rPr>
        <w:t xml:space="preserve"> Retail Law, Rules, and Regulations. The Australian Energy Regulator (AER) enforces compliance, backed by strong regulatory penalties applicable from the first breach.</w:t>
      </w:r>
    </w:p>
    <w:p w14:paraId="278D2F00" w14:textId="77777777" w:rsidR="00623569" w:rsidRDefault="00623569" w:rsidP="00623569">
      <w:pPr>
        <w:pStyle w:val="Paragraph"/>
        <w:rPr>
          <w:szCs w:val="20"/>
        </w:rPr>
      </w:pPr>
      <w:r>
        <w:t xml:space="preserve">Considering the identified gaps in existing rules, cost-of-living pressures and the essential nature of telecommunications </w:t>
      </w:r>
      <w:r w:rsidRPr="00215BF1">
        <w:rPr>
          <w:szCs w:val="20"/>
        </w:rPr>
        <w:t>services</w:t>
      </w:r>
      <w:r>
        <w:rPr>
          <w:szCs w:val="20"/>
        </w:rPr>
        <w:t xml:space="preserve">, </w:t>
      </w:r>
      <w:r w:rsidRPr="00215BF1">
        <w:rPr>
          <w:szCs w:val="20"/>
        </w:rPr>
        <w:t xml:space="preserve">the </w:t>
      </w:r>
      <w:r>
        <w:rPr>
          <w:szCs w:val="20"/>
        </w:rPr>
        <w:t>m</w:t>
      </w:r>
      <w:r w:rsidRPr="00215BF1">
        <w:rPr>
          <w:szCs w:val="20"/>
        </w:rPr>
        <w:t xml:space="preserve">inister directed the ACMA </w:t>
      </w:r>
      <w:r>
        <w:rPr>
          <w:szCs w:val="20"/>
        </w:rPr>
        <w:t xml:space="preserve">on 6 September 2023 </w:t>
      </w:r>
      <w:r w:rsidRPr="00215BF1">
        <w:rPr>
          <w:szCs w:val="20"/>
        </w:rPr>
        <w:t xml:space="preserve">to make an industry standard requiring CSPs to provide appropriate information and support to telecommunications customers experiencing financial hardship. </w:t>
      </w:r>
    </w:p>
    <w:p w14:paraId="6E50CE6A" w14:textId="77777777" w:rsidR="00623569" w:rsidRDefault="00623569" w:rsidP="00623569">
      <w:pPr>
        <w:pStyle w:val="Paragraph"/>
      </w:pPr>
      <w:r w:rsidRPr="00215BF1">
        <w:rPr>
          <w:szCs w:val="20"/>
        </w:rPr>
        <w:t xml:space="preserve">The </w:t>
      </w:r>
      <w:r>
        <w:rPr>
          <w:szCs w:val="20"/>
        </w:rPr>
        <w:t>aim</w:t>
      </w:r>
      <w:r w:rsidRPr="00215BF1">
        <w:rPr>
          <w:szCs w:val="20"/>
        </w:rPr>
        <w:t xml:space="preserve"> is to </w:t>
      </w:r>
      <w:r>
        <w:rPr>
          <w:szCs w:val="20"/>
        </w:rPr>
        <w:t>strengthen</w:t>
      </w:r>
      <w:r w:rsidRPr="00215BF1">
        <w:rPr>
          <w:szCs w:val="20"/>
        </w:rPr>
        <w:t xml:space="preserve"> safeguards for consumers in vulnerable circumstances, </w:t>
      </w:r>
      <w:r>
        <w:rPr>
          <w:szCs w:val="20"/>
        </w:rPr>
        <w:t xml:space="preserve">including </w:t>
      </w:r>
      <w:r w:rsidRPr="00215BF1">
        <w:rPr>
          <w:szCs w:val="20"/>
        </w:rPr>
        <w:t xml:space="preserve">Australians struggling with the increased cost of living, </w:t>
      </w:r>
      <w:r>
        <w:rPr>
          <w:szCs w:val="20"/>
        </w:rPr>
        <w:t>so</w:t>
      </w:r>
      <w:r w:rsidRPr="00215BF1">
        <w:rPr>
          <w:szCs w:val="20"/>
        </w:rPr>
        <w:t xml:space="preserve"> they stay connected and receive the </w:t>
      </w:r>
      <w:r>
        <w:rPr>
          <w:szCs w:val="20"/>
        </w:rPr>
        <w:t xml:space="preserve">necessary </w:t>
      </w:r>
      <w:r w:rsidRPr="00215BF1">
        <w:rPr>
          <w:szCs w:val="20"/>
        </w:rPr>
        <w:t>assistance</w:t>
      </w:r>
      <w:r>
        <w:t>. Direct regulation will also facilitate more effective enforcement of rules governing CSPs assistance to consumers experiencing financial hardship.</w:t>
      </w:r>
    </w:p>
    <w:p w14:paraId="2D0BBA49" w14:textId="77777777" w:rsidR="00623569" w:rsidRDefault="00623569" w:rsidP="00623569">
      <w:pPr>
        <w:pStyle w:val="Heading1"/>
      </w:pPr>
      <w:bookmarkStart w:id="24" w:name="_Toc32833686"/>
      <w:bookmarkStart w:id="25" w:name="_Toc32833741"/>
      <w:bookmarkStart w:id="26" w:name="_Toc32833814"/>
      <w:bookmarkStart w:id="27" w:name="_Toc155685981"/>
      <w:r>
        <w:lastRenderedPageBreak/>
        <w:t>Why is government action needed?</w:t>
      </w:r>
      <w:bookmarkEnd w:id="24"/>
      <w:bookmarkEnd w:id="25"/>
      <w:bookmarkEnd w:id="26"/>
      <w:bookmarkEnd w:id="27"/>
    </w:p>
    <w:p w14:paraId="35F64D13" w14:textId="77777777" w:rsidR="00623569" w:rsidRDefault="00623569" w:rsidP="00623569">
      <w:pPr>
        <w:pStyle w:val="Paragraph"/>
        <w:rPr>
          <w:lang w:val="en-US"/>
        </w:rPr>
      </w:pPr>
      <w:r>
        <w:rPr>
          <w:lang w:val="en-US"/>
        </w:rPr>
        <w:t>Research and evidence confirm there is a problem with customers experiencing financial hardship being provided with adequate and appropriate support and staying connected to a service which is essential to everyday life, including for social and economic participation.</w:t>
      </w:r>
    </w:p>
    <w:p w14:paraId="44F7A17A" w14:textId="77777777" w:rsidR="00623569" w:rsidRPr="00E3240A" w:rsidRDefault="00623569" w:rsidP="00623569">
      <w:pPr>
        <w:pStyle w:val="Paragraph"/>
      </w:pPr>
      <w:r>
        <w:t>It is essential to have contemporary telecommunications industry obligations and consumer protections that are appropriate for the current environment. These regulations should enable and support all Australians, regardless of their individual circumstances, to access and use telecommunications services. The type of regulation and the tools to enforce compliance, if necessary, should also match the importance that telecommunications services play in Australians’ lives.</w:t>
      </w:r>
    </w:p>
    <w:p w14:paraId="6AFA9B69" w14:textId="77777777" w:rsidR="00623569" w:rsidRDefault="00623569" w:rsidP="00623569">
      <w:pPr>
        <w:pStyle w:val="Paragraph"/>
        <w:rPr>
          <w:lang w:val="en-US"/>
        </w:rPr>
      </w:pPr>
      <w:r>
        <w:rPr>
          <w:lang w:val="en-US"/>
        </w:rPr>
        <w:t xml:space="preserve">Industry has been made aware for some time that protecting vulnerable consumers, including those experiencing financial hardship, is a priority and that the TCP Code is not operating to adequately protect consumers. ACMA research and reports over the past 4 years, and from a range of other key stakeholders, including submissions to the TCP Code review, confirm financial hardship is a significant problem and indicates that stronger measures are required to meet reasonable consumer expectations. </w:t>
      </w:r>
    </w:p>
    <w:p w14:paraId="2B290009" w14:textId="77777777" w:rsidR="00623569" w:rsidRDefault="00623569" w:rsidP="00623569">
      <w:pPr>
        <w:pStyle w:val="Paragraph"/>
        <w:rPr>
          <w:szCs w:val="20"/>
        </w:rPr>
      </w:pPr>
      <w:r>
        <w:rPr>
          <w:lang w:val="en-US"/>
        </w:rPr>
        <w:t xml:space="preserve">The </w:t>
      </w:r>
      <w:r w:rsidRPr="007541F2">
        <w:rPr>
          <w:szCs w:val="20"/>
          <w:lang w:val="en-US"/>
        </w:rPr>
        <w:t>ACMA has actively pursu</w:t>
      </w:r>
      <w:r>
        <w:rPr>
          <w:szCs w:val="20"/>
          <w:lang w:val="en-US"/>
        </w:rPr>
        <w:t>ed</w:t>
      </w:r>
      <w:r w:rsidRPr="007541F2">
        <w:rPr>
          <w:szCs w:val="20"/>
          <w:lang w:val="en-US"/>
        </w:rPr>
        <w:t xml:space="preserve"> </w:t>
      </w:r>
      <w:r>
        <w:rPr>
          <w:szCs w:val="20"/>
          <w:lang w:val="en-US"/>
        </w:rPr>
        <w:t xml:space="preserve">sector </w:t>
      </w:r>
      <w:r w:rsidRPr="007541F2">
        <w:rPr>
          <w:szCs w:val="20"/>
        </w:rPr>
        <w:t xml:space="preserve">improvements for </w:t>
      </w:r>
      <w:r>
        <w:rPr>
          <w:szCs w:val="20"/>
        </w:rPr>
        <w:t xml:space="preserve">over </w:t>
      </w:r>
      <w:r w:rsidRPr="007541F2">
        <w:rPr>
          <w:szCs w:val="20"/>
        </w:rPr>
        <w:t xml:space="preserve">a year, setting out </w:t>
      </w:r>
      <w:r>
        <w:rPr>
          <w:szCs w:val="20"/>
        </w:rPr>
        <w:t>a</w:t>
      </w:r>
      <w:r w:rsidRPr="007541F2">
        <w:rPr>
          <w:szCs w:val="20"/>
        </w:rPr>
        <w:t xml:space="preserve"> </w:t>
      </w:r>
      <w:r>
        <w:rPr>
          <w:szCs w:val="20"/>
        </w:rPr>
        <w:t>S</w:t>
      </w:r>
      <w:r w:rsidRPr="007541F2">
        <w:rPr>
          <w:szCs w:val="20"/>
        </w:rPr>
        <w:t xml:space="preserve">tatement of </w:t>
      </w:r>
      <w:r>
        <w:rPr>
          <w:szCs w:val="20"/>
        </w:rPr>
        <w:t>E</w:t>
      </w:r>
      <w:r w:rsidRPr="007541F2">
        <w:rPr>
          <w:szCs w:val="20"/>
        </w:rPr>
        <w:t>xpectations in May 2022</w:t>
      </w:r>
      <w:r>
        <w:rPr>
          <w:szCs w:val="20"/>
        </w:rPr>
        <w:t xml:space="preserve"> and the What Consumers Want position paper in July 2023</w:t>
      </w:r>
      <w:r w:rsidRPr="007541F2">
        <w:rPr>
          <w:szCs w:val="20"/>
        </w:rPr>
        <w:t>.</w:t>
      </w:r>
      <w:r>
        <w:rPr>
          <w:szCs w:val="20"/>
        </w:rPr>
        <w:t xml:space="preserve"> </w:t>
      </w:r>
      <w:r w:rsidRPr="005817CE">
        <w:rPr>
          <w:szCs w:val="20"/>
        </w:rPr>
        <w:t>The TIO, ACCC and consumer groups</w:t>
      </w:r>
      <w:r>
        <w:rPr>
          <w:szCs w:val="20"/>
        </w:rPr>
        <w:t xml:space="preserve"> such as ACCAN</w:t>
      </w:r>
      <w:r w:rsidRPr="005817CE">
        <w:rPr>
          <w:szCs w:val="20"/>
        </w:rPr>
        <w:t xml:space="preserve"> have </w:t>
      </w:r>
      <w:r>
        <w:rPr>
          <w:szCs w:val="20"/>
        </w:rPr>
        <w:t>also called</w:t>
      </w:r>
      <w:r w:rsidRPr="005817CE">
        <w:rPr>
          <w:szCs w:val="20"/>
        </w:rPr>
        <w:t xml:space="preserve"> for action for some time</w:t>
      </w:r>
      <w:r>
        <w:rPr>
          <w:szCs w:val="20"/>
        </w:rPr>
        <w:t xml:space="preserve">. </w:t>
      </w:r>
    </w:p>
    <w:p w14:paraId="5EF31A88" w14:textId="77777777" w:rsidR="00623569" w:rsidRPr="00D162C7" w:rsidRDefault="00623569" w:rsidP="00623569">
      <w:pPr>
        <w:pStyle w:val="Paragraph"/>
      </w:pPr>
      <w:r w:rsidRPr="00575DAE">
        <w:t xml:space="preserve">The co-regulatory framework </w:t>
      </w:r>
      <w:r>
        <w:t>offers</w:t>
      </w:r>
      <w:r w:rsidRPr="00575DAE">
        <w:t xml:space="preserve"> industry the </w:t>
      </w:r>
      <w:r>
        <w:t>opportunity</w:t>
      </w:r>
      <w:r w:rsidRPr="00575DAE">
        <w:t xml:space="preserve"> to address consumer </w:t>
      </w:r>
      <w:proofErr w:type="gramStart"/>
      <w:r w:rsidRPr="00575DAE">
        <w:t>concerns</w:t>
      </w:r>
      <w:proofErr w:type="gramEnd"/>
      <w:r w:rsidRPr="00575DAE">
        <w:t xml:space="preserve"> but </w:t>
      </w:r>
      <w:r>
        <w:t xml:space="preserve">it has not adequately done so. </w:t>
      </w:r>
      <w:r w:rsidRPr="00EC3F5F">
        <w:rPr>
          <w:iCs/>
        </w:rPr>
        <w:t xml:space="preserve">The </w:t>
      </w:r>
      <w:r>
        <w:rPr>
          <w:iCs/>
        </w:rPr>
        <w:t xml:space="preserve">current review of the </w:t>
      </w:r>
      <w:r w:rsidRPr="00EC3F5F">
        <w:rPr>
          <w:iCs/>
          <w:lang w:val="en-US"/>
        </w:rPr>
        <w:t xml:space="preserve">TCP </w:t>
      </w:r>
      <w:r w:rsidRPr="00EC3F5F">
        <w:rPr>
          <w:iCs/>
        </w:rPr>
        <w:t>Code</w:t>
      </w:r>
      <w:r>
        <w:rPr>
          <w:iCs/>
        </w:rPr>
        <w:t xml:space="preserve">, </w:t>
      </w:r>
      <w:r w:rsidRPr="00EC3F5F">
        <w:rPr>
          <w:iCs/>
        </w:rPr>
        <w:t xml:space="preserve">due for completion in </w:t>
      </w:r>
      <w:r w:rsidRPr="00EC3F5F">
        <w:rPr>
          <w:iCs/>
          <w:lang w:val="en-US"/>
        </w:rPr>
        <w:t>mid</w:t>
      </w:r>
      <w:r>
        <w:rPr>
          <w:iCs/>
          <w:lang w:val="en-US"/>
        </w:rPr>
        <w:t xml:space="preserve"> </w:t>
      </w:r>
      <w:r w:rsidRPr="00EC3F5F">
        <w:rPr>
          <w:iCs/>
          <w:lang w:val="en-US"/>
        </w:rPr>
        <w:t>to</w:t>
      </w:r>
      <w:r>
        <w:rPr>
          <w:iCs/>
          <w:lang w:val="en-US"/>
        </w:rPr>
        <w:t xml:space="preserve"> </w:t>
      </w:r>
      <w:r w:rsidRPr="00EC3F5F">
        <w:rPr>
          <w:iCs/>
        </w:rPr>
        <w:t>late 2024</w:t>
      </w:r>
      <w:r>
        <w:rPr>
          <w:iCs/>
        </w:rPr>
        <w:t>, has again prompted calls for direct regulation from non-industry stakeholders</w:t>
      </w:r>
      <w:r w:rsidRPr="00EC3F5F">
        <w:rPr>
          <w:iCs/>
        </w:rPr>
        <w:t>.</w:t>
      </w:r>
      <w:r>
        <w:rPr>
          <w:iCs/>
        </w:rPr>
        <w:t xml:space="preserve"> </w:t>
      </w:r>
      <w:r>
        <w:rPr>
          <w:rFonts w:eastAsiaTheme="minorHAnsi"/>
          <w:color w:val="000000" w:themeColor="text1"/>
        </w:rPr>
        <w:t>This view has been expressed consistently over some time and has been reiterated in several submissions to the Communications Alliance discussion paper on the review of the TCP Code,</w:t>
      </w:r>
      <w:r>
        <w:rPr>
          <w:rStyle w:val="FootnoteReference"/>
          <w:rFonts w:eastAsiaTheme="minorHAnsi"/>
          <w:color w:val="000000" w:themeColor="text1"/>
        </w:rPr>
        <w:footnoteReference w:id="35"/>
      </w:r>
      <w:r>
        <w:rPr>
          <w:rFonts w:eastAsiaTheme="minorHAnsi"/>
          <w:color w:val="000000" w:themeColor="text1"/>
        </w:rPr>
        <w:t xml:space="preserve"> including from the </w:t>
      </w:r>
      <w:r w:rsidRPr="00C13E64">
        <w:rPr>
          <w:color w:val="212529"/>
        </w:rPr>
        <w:t>TIO</w:t>
      </w:r>
      <w:r w:rsidRPr="00C13E64">
        <w:rPr>
          <w:rStyle w:val="FootnoteReference"/>
          <w:color w:val="212529"/>
        </w:rPr>
        <w:footnoteReference w:id="36"/>
      </w:r>
      <w:r w:rsidRPr="00C13E64">
        <w:rPr>
          <w:color w:val="212529"/>
        </w:rPr>
        <w:t xml:space="preserve">, the </w:t>
      </w:r>
      <w:r w:rsidRPr="00C13E64">
        <w:rPr>
          <w:rFonts w:eastAsiaTheme="minorHAnsi"/>
          <w:color w:val="000000" w:themeColor="text1"/>
        </w:rPr>
        <w:t>ACCC</w:t>
      </w:r>
      <w:r w:rsidRPr="00C13E64">
        <w:rPr>
          <w:rStyle w:val="FootnoteReference"/>
          <w:color w:val="212529"/>
        </w:rPr>
        <w:footnoteReference w:id="37"/>
      </w:r>
      <w:r w:rsidRPr="00C13E64">
        <w:rPr>
          <w:color w:val="212529"/>
        </w:rPr>
        <w:t xml:space="preserve"> and </w:t>
      </w:r>
      <w:r w:rsidRPr="00C13E64">
        <w:rPr>
          <w:rFonts w:eastAsiaTheme="minorHAnsi"/>
          <w:color w:val="000000" w:themeColor="text1"/>
        </w:rPr>
        <w:t>ACCAN</w:t>
      </w:r>
      <w:r w:rsidRPr="00C13E64">
        <w:rPr>
          <w:rStyle w:val="FootnoteReference"/>
          <w:rFonts w:eastAsiaTheme="minorHAnsi"/>
          <w:color w:val="000000" w:themeColor="text1"/>
          <w:lang w:val="x-none"/>
        </w:rPr>
        <w:footnoteReference w:id="38"/>
      </w:r>
      <w:r w:rsidRPr="00C13E64">
        <w:rPr>
          <w:rFonts w:eastAsiaTheme="minorHAnsi"/>
          <w:color w:val="000000" w:themeColor="text1"/>
        </w:rPr>
        <w:t>.</w:t>
      </w:r>
    </w:p>
    <w:p w14:paraId="2F4DB544" w14:textId="77777777" w:rsidR="00623569" w:rsidRDefault="00623569" w:rsidP="00623569">
      <w:pPr>
        <w:pStyle w:val="Paragraph"/>
        <w:rPr>
          <w:shd w:val="clear" w:color="auto" w:fill="FFFFFF"/>
        </w:rPr>
      </w:pPr>
      <w:r w:rsidRPr="00E65316">
        <w:t>ACCAN</w:t>
      </w:r>
      <w:r>
        <w:t xml:space="preserve">’s </w:t>
      </w:r>
      <w:r w:rsidRPr="00E65316">
        <w:rPr>
          <w:shd w:val="clear" w:color="auto" w:fill="FFFFFF"/>
        </w:rPr>
        <w:t>engagement with consumers, consumer representatives, peak bodies, and consumer groups has elicited a common view that the TCP Code provides inadequate consumer protections</w:t>
      </w:r>
      <w:r>
        <w:rPr>
          <w:shd w:val="clear" w:color="auto" w:fill="FFFFFF"/>
        </w:rPr>
        <w:t xml:space="preserve">. Further, that direct regulation drafted by government is necessary. </w:t>
      </w:r>
    </w:p>
    <w:p w14:paraId="532FADB8" w14:textId="77777777" w:rsidR="00623569" w:rsidRPr="004E2588" w:rsidRDefault="00623569" w:rsidP="00623569">
      <w:pPr>
        <w:pStyle w:val="Paragraph"/>
        <w:rPr>
          <w:szCs w:val="20"/>
          <w:shd w:val="clear" w:color="auto" w:fill="FFFFFF"/>
        </w:rPr>
      </w:pPr>
      <w:r w:rsidRPr="003C3A36">
        <w:t xml:space="preserve">The ACCC flagged the limitations of the regulatory framework that hinder the ACMA’s ability to enforce or improve the TCP Code, and that it is not confident the code review process will result in beneficial outcomes for consumers. </w:t>
      </w:r>
      <w:r>
        <w:t>It</w:t>
      </w:r>
      <w:r w:rsidRPr="003C3A36">
        <w:t xml:space="preserve"> supports exploring other regulatory solutions, including setting out telecommunications consumer protections in a </w:t>
      </w:r>
      <w:r>
        <w:t>s</w:t>
      </w:r>
      <w:r w:rsidRPr="003C3A36">
        <w:t>tandard.</w:t>
      </w:r>
    </w:p>
    <w:p w14:paraId="672858A3" w14:textId="77777777" w:rsidR="00623569" w:rsidRPr="00C13E64" w:rsidRDefault="00623569" w:rsidP="00623569">
      <w:pPr>
        <w:pStyle w:val="Paragraph"/>
      </w:pPr>
      <w:r>
        <w:lastRenderedPageBreak/>
        <w:t>The TIO’s submission to the TCP Code review e</w:t>
      </w:r>
      <w:r w:rsidRPr="00C13E64">
        <w:t>cho</w:t>
      </w:r>
      <w:r>
        <w:t>ed</w:t>
      </w:r>
      <w:r w:rsidRPr="00C13E64">
        <w:t xml:space="preserve"> </w:t>
      </w:r>
      <w:r>
        <w:t>its</w:t>
      </w:r>
      <w:r w:rsidRPr="00C13E64">
        <w:t xml:space="preserve"> submission to Part C of the Consumer Safeguards Review</w:t>
      </w:r>
      <w:r>
        <w:rPr>
          <w:rStyle w:val="FootnoteReference"/>
          <w:szCs w:val="20"/>
        </w:rPr>
        <w:footnoteReference w:id="39"/>
      </w:r>
      <w:r w:rsidRPr="00C13E64">
        <w:t xml:space="preserve">, </w:t>
      </w:r>
      <w:r>
        <w:t>again</w:t>
      </w:r>
      <w:r w:rsidRPr="00C13E64">
        <w:t xml:space="preserve"> call</w:t>
      </w:r>
      <w:r>
        <w:t>ing</w:t>
      </w:r>
      <w:r w:rsidRPr="00C13E64">
        <w:t xml:space="preserve"> for essential consumer protections to be included in </w:t>
      </w:r>
      <w:r>
        <w:t xml:space="preserve">directly enforceable </w:t>
      </w:r>
      <w:r w:rsidRPr="00C13E64">
        <w:t xml:space="preserve">rules made by government and regulators rather than </w:t>
      </w:r>
      <w:r>
        <w:t xml:space="preserve">made </w:t>
      </w:r>
      <w:r w:rsidRPr="00C13E64">
        <w:t>by an industry representative body</w:t>
      </w:r>
      <w:r>
        <w:t xml:space="preserve"> to </w:t>
      </w:r>
      <w:r w:rsidRPr="00C13E64">
        <w:t>create better outcomes for both consumers and the industr</w:t>
      </w:r>
      <w:r>
        <w:t>y.</w:t>
      </w:r>
    </w:p>
    <w:p w14:paraId="11DD5B88" w14:textId="77777777" w:rsidR="00623569" w:rsidRPr="00D815D0" w:rsidRDefault="00623569" w:rsidP="00623569">
      <w:pPr>
        <w:pStyle w:val="Paragraphbeforelist"/>
      </w:pPr>
      <w:r w:rsidRPr="00C13E64">
        <w:t xml:space="preserve">Direct regulation is considered necessary </w:t>
      </w:r>
      <w:r>
        <w:t>for several</w:t>
      </w:r>
      <w:r w:rsidRPr="00C13E64">
        <w:t xml:space="preserve"> reasons</w:t>
      </w:r>
      <w:r>
        <w:t>, including that it</w:t>
      </w:r>
      <w:r w:rsidRPr="00C13E64">
        <w:t>:</w:t>
      </w:r>
    </w:p>
    <w:p w14:paraId="740D1C9C" w14:textId="77777777" w:rsidR="00623569" w:rsidRPr="00140E65" w:rsidRDefault="00623569" w:rsidP="00623569">
      <w:pPr>
        <w:pStyle w:val="Bulletlevel1"/>
        <w:tabs>
          <w:tab w:val="clear" w:pos="295"/>
        </w:tabs>
        <w:ind w:left="357" w:hanging="357"/>
      </w:pPr>
      <w:r w:rsidRPr="00D349B7">
        <w:t>addresses the serious nature of the harms involved by supporting</w:t>
      </w:r>
      <w:r>
        <w:t xml:space="preserve"> </w:t>
      </w:r>
      <w:r w:rsidRPr="00140E65">
        <w:t>direct regulatory intervention</w:t>
      </w:r>
      <w:r>
        <w:t xml:space="preserve"> and serving </w:t>
      </w:r>
      <w:r w:rsidRPr="00140E65">
        <w:t xml:space="preserve">specific and general deterrence </w:t>
      </w:r>
      <w:r>
        <w:t xml:space="preserve">through </w:t>
      </w:r>
      <w:r w:rsidRPr="00140E65">
        <w:t>strong</w:t>
      </w:r>
      <w:r>
        <w:t>, immediately available</w:t>
      </w:r>
      <w:r w:rsidRPr="00140E65">
        <w:t xml:space="preserve"> enforcement </w:t>
      </w:r>
      <w:proofErr w:type="gramStart"/>
      <w:r w:rsidRPr="00140E65">
        <w:t>action</w:t>
      </w:r>
      <w:proofErr w:type="gramEnd"/>
      <w:r w:rsidRPr="00140E65">
        <w:t xml:space="preserve"> </w:t>
      </w:r>
    </w:p>
    <w:p w14:paraId="360F9352" w14:textId="77777777" w:rsidR="00623569" w:rsidRPr="00D815D0" w:rsidRDefault="00623569" w:rsidP="00623569">
      <w:pPr>
        <w:pStyle w:val="Bulletlevel1"/>
        <w:tabs>
          <w:tab w:val="clear" w:pos="295"/>
        </w:tabs>
        <w:ind w:left="357" w:hanging="357"/>
      </w:pPr>
      <w:r>
        <w:t>enables the</w:t>
      </w:r>
      <w:r w:rsidRPr="00D815D0">
        <w:t xml:space="preserve"> ACMA to directly design robust </w:t>
      </w:r>
      <w:r>
        <w:t xml:space="preserve">and clear </w:t>
      </w:r>
      <w:r w:rsidRPr="00D815D0">
        <w:t xml:space="preserve">enforceable </w:t>
      </w:r>
      <w:proofErr w:type="gramStart"/>
      <w:r w:rsidRPr="00D815D0">
        <w:t>obligations</w:t>
      </w:r>
      <w:proofErr w:type="gramEnd"/>
      <w:r w:rsidRPr="00D815D0">
        <w:t xml:space="preserve"> </w:t>
      </w:r>
    </w:p>
    <w:p w14:paraId="0E937401" w14:textId="77777777" w:rsidR="00623569" w:rsidRDefault="00623569" w:rsidP="00623569">
      <w:pPr>
        <w:pStyle w:val="Bulletlevel1"/>
        <w:tabs>
          <w:tab w:val="clear" w:pos="295"/>
        </w:tabs>
        <w:ind w:left="357" w:hanging="357"/>
      </w:pPr>
      <w:r>
        <w:t>a</w:t>
      </w:r>
      <w:r w:rsidRPr="00D815D0">
        <w:t>llow</w:t>
      </w:r>
      <w:r>
        <w:t>s</w:t>
      </w:r>
      <w:r w:rsidRPr="00D815D0">
        <w:t xml:space="preserve"> adequate </w:t>
      </w:r>
      <w:r>
        <w:t xml:space="preserve">and effective </w:t>
      </w:r>
      <w:r w:rsidRPr="00D815D0">
        <w:t>consumer protections to be</w:t>
      </w:r>
      <w:r>
        <w:t xml:space="preserve"> put</w:t>
      </w:r>
      <w:r w:rsidRPr="00D815D0">
        <w:t xml:space="preserve"> in place more quickly</w:t>
      </w:r>
      <w:r>
        <w:t>, considering industry’s</w:t>
      </w:r>
      <w:r w:rsidRPr="00402CDC">
        <w:t xml:space="preserve"> significant </w:t>
      </w:r>
      <w:r>
        <w:t>time</w:t>
      </w:r>
      <w:r w:rsidRPr="00402CDC">
        <w:t xml:space="preserve"> to address the </w:t>
      </w:r>
      <w:proofErr w:type="gramStart"/>
      <w:r w:rsidRPr="00402CDC">
        <w:t>issue</w:t>
      </w:r>
      <w:proofErr w:type="gramEnd"/>
      <w:r w:rsidRPr="00402CDC">
        <w:t xml:space="preserve"> </w:t>
      </w:r>
    </w:p>
    <w:p w14:paraId="49D5FB37" w14:textId="77777777" w:rsidR="00623569" w:rsidRDefault="00623569" w:rsidP="00623569">
      <w:pPr>
        <w:pStyle w:val="Bulletlevel1"/>
        <w:tabs>
          <w:tab w:val="clear" w:pos="295"/>
        </w:tabs>
        <w:ind w:left="357" w:hanging="357"/>
      </w:pPr>
      <w:r w:rsidRPr="00D655E4">
        <w:t>provides the strongest incentive to achiev</w:t>
      </w:r>
      <w:r>
        <w:t>e</w:t>
      </w:r>
      <w:r w:rsidRPr="00D655E4">
        <w:t xml:space="preserve"> the best outcome for the Australian </w:t>
      </w:r>
      <w:proofErr w:type="gramStart"/>
      <w:r w:rsidRPr="00D655E4">
        <w:t>community</w:t>
      </w:r>
      <w:proofErr w:type="gramEnd"/>
    </w:p>
    <w:p w14:paraId="3113574E" w14:textId="77777777" w:rsidR="00623569" w:rsidRPr="00CB7CA3" w:rsidRDefault="00623569" w:rsidP="00AC69D1">
      <w:pPr>
        <w:pStyle w:val="Bulletlevel1last"/>
        <w:numPr>
          <w:ilvl w:val="0"/>
          <w:numId w:val="2"/>
        </w:numPr>
        <w:tabs>
          <w:tab w:val="clear" w:pos="295"/>
        </w:tabs>
        <w:ind w:left="357" w:hanging="357"/>
      </w:pPr>
      <w:r w:rsidRPr="00CB7CA3">
        <w:t>recognise</w:t>
      </w:r>
      <w:r>
        <w:t>s</w:t>
      </w:r>
      <w:r w:rsidRPr="00CB7CA3">
        <w:t xml:space="preserve"> the essential</w:t>
      </w:r>
      <w:r>
        <w:t xml:space="preserve"> nature </w:t>
      </w:r>
      <w:r w:rsidRPr="00CB7CA3">
        <w:t>of phone and internet services for Australian consumers.</w:t>
      </w:r>
    </w:p>
    <w:p w14:paraId="4E091B82" w14:textId="77777777" w:rsidR="00623569" w:rsidRDefault="00623569" w:rsidP="00623569">
      <w:r>
        <w:t xml:space="preserve">The minister’s decision to direct the ACMA to make an industry standard on financial hardship was considered necessary to address the identified policy problems and to ensure appropriate support is available through directly enforceable rules made as soon as possible. If government did not intervene and deferred to the TCP Code review process, new rules would not be in place until later in 2024 at the earliest. </w:t>
      </w:r>
    </w:p>
    <w:p w14:paraId="4E7131B4" w14:textId="77777777" w:rsidR="00623569" w:rsidRDefault="00623569" w:rsidP="00623569">
      <w:pPr>
        <w:pStyle w:val="Paragraph"/>
      </w:pPr>
      <w:r w:rsidRPr="00215BF1">
        <w:rPr>
          <w:szCs w:val="20"/>
        </w:rPr>
        <w:t xml:space="preserve">The </w:t>
      </w:r>
      <w:r>
        <w:rPr>
          <w:szCs w:val="20"/>
        </w:rPr>
        <w:t>objective of government action</w:t>
      </w:r>
      <w:r w:rsidRPr="00215BF1">
        <w:rPr>
          <w:szCs w:val="20"/>
        </w:rPr>
        <w:t xml:space="preserve"> is to </w:t>
      </w:r>
      <w:r>
        <w:rPr>
          <w:szCs w:val="20"/>
        </w:rPr>
        <w:t>strengthen</w:t>
      </w:r>
      <w:r w:rsidRPr="00215BF1">
        <w:rPr>
          <w:szCs w:val="20"/>
        </w:rPr>
        <w:t xml:space="preserve"> safeguards for consumers in vulnerable circumstances and Australians struggling with the increased cost of living, </w:t>
      </w:r>
      <w:r>
        <w:rPr>
          <w:szCs w:val="20"/>
        </w:rPr>
        <w:t>so</w:t>
      </w:r>
      <w:r w:rsidRPr="00215BF1">
        <w:rPr>
          <w:szCs w:val="20"/>
        </w:rPr>
        <w:t xml:space="preserve"> they </w:t>
      </w:r>
      <w:proofErr w:type="gramStart"/>
      <w:r w:rsidRPr="00215BF1">
        <w:rPr>
          <w:szCs w:val="20"/>
        </w:rPr>
        <w:t>are</w:t>
      </w:r>
      <w:r>
        <w:rPr>
          <w:szCs w:val="20"/>
        </w:rPr>
        <w:t xml:space="preserve"> </w:t>
      </w:r>
      <w:r w:rsidRPr="00215BF1">
        <w:rPr>
          <w:szCs w:val="20"/>
        </w:rPr>
        <w:t>able to</w:t>
      </w:r>
      <w:proofErr w:type="gramEnd"/>
      <w:r w:rsidRPr="00215BF1">
        <w:rPr>
          <w:szCs w:val="20"/>
        </w:rPr>
        <w:t xml:space="preserve"> receive the assistance</w:t>
      </w:r>
      <w:r>
        <w:t xml:space="preserve"> they need</w:t>
      </w:r>
      <w:r w:rsidRPr="0097761E">
        <w:rPr>
          <w:szCs w:val="20"/>
        </w:rPr>
        <w:t xml:space="preserve"> </w:t>
      </w:r>
      <w:r>
        <w:rPr>
          <w:szCs w:val="20"/>
        </w:rPr>
        <w:t xml:space="preserve">to </w:t>
      </w:r>
      <w:r w:rsidRPr="00215BF1">
        <w:rPr>
          <w:szCs w:val="20"/>
        </w:rPr>
        <w:t>stay connected</w:t>
      </w:r>
      <w:r>
        <w:t xml:space="preserve">. </w:t>
      </w:r>
    </w:p>
    <w:p w14:paraId="678C9A4F" w14:textId="77777777" w:rsidR="00623569" w:rsidRPr="00062B3C" w:rsidRDefault="00623569" w:rsidP="00623569">
      <w:pPr>
        <w:pStyle w:val="Paragraphbeforelist"/>
        <w:rPr>
          <w:lang w:val="en-US"/>
        </w:rPr>
      </w:pPr>
      <w:r w:rsidRPr="00062B3C">
        <w:rPr>
          <w:lang w:val="en-US"/>
        </w:rPr>
        <w:t xml:space="preserve">The objectives of </w:t>
      </w:r>
      <w:r>
        <w:rPr>
          <w:lang w:val="en-US"/>
        </w:rPr>
        <w:t xml:space="preserve">the Direction, </w:t>
      </w:r>
      <w:r w:rsidRPr="00062B3C">
        <w:rPr>
          <w:lang w:val="en-US"/>
        </w:rPr>
        <w:t>as set out in clause 7, are:</w:t>
      </w:r>
    </w:p>
    <w:p w14:paraId="1808B353" w14:textId="77777777" w:rsidR="00623569" w:rsidRPr="00062B3C" w:rsidRDefault="00623569" w:rsidP="00623569">
      <w:pPr>
        <w:pStyle w:val="Bulletlevel1"/>
        <w:tabs>
          <w:tab w:val="clear" w:pos="295"/>
        </w:tabs>
        <w:ind w:left="357" w:hanging="357"/>
      </w:pPr>
      <w:r>
        <w:t xml:space="preserve">Promotion of financial hardship policies – ensure </w:t>
      </w:r>
      <w:r w:rsidRPr="00062B3C">
        <w:t xml:space="preserve">CSPs promote their financial hardship policies and information about assistance for customers who are, or may be, experiencing financial hardship, and that the policies and information can be easily found and accessed by customers and potential </w:t>
      </w:r>
      <w:proofErr w:type="gramStart"/>
      <w:r w:rsidRPr="00062B3C">
        <w:t>customers</w:t>
      </w:r>
      <w:proofErr w:type="gramEnd"/>
      <w:r w:rsidRPr="00062B3C">
        <w:t xml:space="preserve"> </w:t>
      </w:r>
    </w:p>
    <w:p w14:paraId="20D43CD6" w14:textId="77777777" w:rsidR="00623569" w:rsidRPr="00062B3C" w:rsidRDefault="00623569" w:rsidP="00623569">
      <w:pPr>
        <w:pStyle w:val="Bulletlevel1"/>
        <w:tabs>
          <w:tab w:val="clear" w:pos="295"/>
        </w:tabs>
        <w:ind w:left="357" w:hanging="357"/>
      </w:pPr>
      <w:r>
        <w:t>Early identification and assistance - require</w:t>
      </w:r>
      <w:r w:rsidRPr="00062B3C">
        <w:t xml:space="preserve"> CSPs</w:t>
      </w:r>
      <w:r>
        <w:t xml:space="preserve"> to</w:t>
      </w:r>
      <w:r w:rsidRPr="00062B3C">
        <w:t xml:space="preserve"> identify customers who may be experiencing financial hardship early and </w:t>
      </w:r>
      <w:r>
        <w:t xml:space="preserve">provide </w:t>
      </w:r>
      <w:r w:rsidRPr="00062B3C">
        <w:t>assist</w:t>
      </w:r>
      <w:r>
        <w:t>ance to</w:t>
      </w:r>
      <w:r w:rsidRPr="00062B3C">
        <w:t xml:space="preserve"> those </w:t>
      </w:r>
      <w:proofErr w:type="gramStart"/>
      <w:r w:rsidRPr="00062B3C">
        <w:t>customers</w:t>
      </w:r>
      <w:proofErr w:type="gramEnd"/>
    </w:p>
    <w:p w14:paraId="092EB4BD" w14:textId="77777777" w:rsidR="00623569" w:rsidRPr="00062B3C" w:rsidRDefault="00623569" w:rsidP="00623569">
      <w:pPr>
        <w:pStyle w:val="Bulletlevel1"/>
        <w:tabs>
          <w:tab w:val="clear" w:pos="295"/>
        </w:tabs>
        <w:ind w:left="357" w:hanging="357"/>
      </w:pPr>
      <w:r>
        <w:t>Appropriate eligibility criteria - ensure</w:t>
      </w:r>
      <w:r w:rsidRPr="00062B3C">
        <w:t xml:space="preserve"> CSPs’ eligibility criteria and assessment processes related to financial hardship assistance have appropriate regard to the essential nature of carriage </w:t>
      </w:r>
      <w:proofErr w:type="gramStart"/>
      <w:r w:rsidRPr="00062B3C">
        <w:t>services</w:t>
      </w:r>
      <w:proofErr w:type="gramEnd"/>
    </w:p>
    <w:p w14:paraId="5FD865B7" w14:textId="77777777" w:rsidR="00623569" w:rsidRPr="00062B3C" w:rsidRDefault="00623569" w:rsidP="00623569">
      <w:pPr>
        <w:pStyle w:val="Bulletlevel1"/>
        <w:tabs>
          <w:tab w:val="clear" w:pos="295"/>
        </w:tabs>
        <w:ind w:left="357" w:hanging="357"/>
      </w:pPr>
      <w:r>
        <w:t>Tailored assistance – ensure</w:t>
      </w:r>
      <w:r w:rsidRPr="00062B3C">
        <w:t xml:space="preserve"> customers who are experiencing financial hardship receive adequate, appropriate and tailored assistance to manage their payment obligations and associated </w:t>
      </w:r>
      <w:proofErr w:type="gramStart"/>
      <w:r w:rsidRPr="00062B3C">
        <w:t>debts</w:t>
      </w:r>
      <w:proofErr w:type="gramEnd"/>
    </w:p>
    <w:p w14:paraId="0BC2FA05" w14:textId="77777777" w:rsidR="00623569" w:rsidRPr="009836BD" w:rsidRDefault="00623569" w:rsidP="00AC69D1">
      <w:pPr>
        <w:pStyle w:val="Bulletlevel1last"/>
        <w:numPr>
          <w:ilvl w:val="0"/>
          <w:numId w:val="2"/>
        </w:numPr>
        <w:tabs>
          <w:tab w:val="clear" w:pos="295"/>
        </w:tabs>
        <w:ind w:left="357" w:hanging="357"/>
      </w:pPr>
      <w:r>
        <w:t>Prioritising connection - ensure</w:t>
      </w:r>
      <w:r w:rsidRPr="00062B3C">
        <w:t xml:space="preserve"> any credit management action taken by CSPs in relation to customers who are experiencing financial hardship prioritise</w:t>
      </w:r>
      <w:r>
        <w:t>s</w:t>
      </w:r>
      <w:r w:rsidRPr="00062B3C">
        <w:t xml:space="preserve"> keeping customers connected to appropriate services and only use disconnection as a measure of last resort. </w:t>
      </w:r>
    </w:p>
    <w:p w14:paraId="51FE51CE" w14:textId="77777777" w:rsidR="00623569" w:rsidRDefault="00623569" w:rsidP="00623569">
      <w:pPr>
        <w:pStyle w:val="Paragraph"/>
      </w:pPr>
      <w:r>
        <w:t>Implementation of an industry standard will also facilitate more effective enforcement of rules governing CSPs assistance to consumers experiencing financial hardship.</w:t>
      </w:r>
    </w:p>
    <w:p w14:paraId="24952A53" w14:textId="77777777" w:rsidR="00623569" w:rsidRDefault="00623569" w:rsidP="00623569">
      <w:pPr>
        <w:rPr>
          <w:rFonts w:cs="Arial"/>
          <w:szCs w:val="20"/>
        </w:rPr>
      </w:pPr>
      <w:r w:rsidRPr="008B641B">
        <w:rPr>
          <w:rFonts w:cs="Arial"/>
          <w:szCs w:val="20"/>
        </w:rPr>
        <w:lastRenderedPageBreak/>
        <w:t>Potential barriers and risks associated with government intervention</w:t>
      </w:r>
      <w:r>
        <w:rPr>
          <w:rFonts w:cs="Arial"/>
          <w:szCs w:val="20"/>
        </w:rPr>
        <w:t xml:space="preserve"> could hinder the successful achievement of stated objectives.</w:t>
      </w:r>
      <w:r w:rsidRPr="008B641B">
        <w:rPr>
          <w:rFonts w:cs="Arial"/>
          <w:szCs w:val="20"/>
        </w:rPr>
        <w:t xml:space="preserve"> </w:t>
      </w:r>
      <w:r>
        <w:rPr>
          <w:rFonts w:cs="Arial"/>
          <w:szCs w:val="20"/>
        </w:rPr>
        <w:t xml:space="preserve">One challenge lies in potential </w:t>
      </w:r>
      <w:r w:rsidRPr="008B641B">
        <w:rPr>
          <w:rFonts w:cs="Arial"/>
          <w:szCs w:val="20"/>
        </w:rPr>
        <w:t xml:space="preserve">industry </w:t>
      </w:r>
      <w:r>
        <w:rPr>
          <w:rFonts w:cs="Arial"/>
          <w:szCs w:val="20"/>
        </w:rPr>
        <w:t xml:space="preserve">opposition to the proposed regulatory changes. The telecommunications sector, as a dynamic and competitive industry, may express concern about an additional regulatory burden and its impact on operational flexibility. The </w:t>
      </w:r>
      <w:r w:rsidRPr="008B641B">
        <w:rPr>
          <w:rFonts w:cs="Arial"/>
          <w:szCs w:val="20"/>
        </w:rPr>
        <w:t>complexity</w:t>
      </w:r>
      <w:r>
        <w:rPr>
          <w:rFonts w:cs="Arial"/>
          <w:szCs w:val="20"/>
        </w:rPr>
        <w:t xml:space="preserve"> involved</w:t>
      </w:r>
      <w:r w:rsidRPr="008B641B">
        <w:rPr>
          <w:rFonts w:cs="Arial"/>
          <w:szCs w:val="20"/>
        </w:rPr>
        <w:t xml:space="preserve"> in designing and implementing effective regulation</w:t>
      </w:r>
      <w:r>
        <w:rPr>
          <w:rFonts w:cs="Arial"/>
          <w:szCs w:val="20"/>
        </w:rPr>
        <w:t xml:space="preserve">s within a rapidly evolving technological landscape poses a risk. </w:t>
      </w:r>
    </w:p>
    <w:p w14:paraId="09856781" w14:textId="77777777" w:rsidR="00623569" w:rsidRPr="005B5303" w:rsidRDefault="00623569" w:rsidP="00623569">
      <w:pPr>
        <w:rPr>
          <w:rFonts w:cs="Arial"/>
          <w:szCs w:val="20"/>
        </w:rPr>
      </w:pPr>
      <w:r>
        <w:rPr>
          <w:rFonts w:cs="Arial"/>
          <w:szCs w:val="20"/>
        </w:rPr>
        <w:t xml:space="preserve">To address these challenges, the ACMA has consulted widely in developing this Standard. </w:t>
      </w:r>
      <w:r w:rsidRPr="005B5303">
        <w:rPr>
          <w:rFonts w:cs="Arial"/>
          <w:szCs w:val="20"/>
        </w:rPr>
        <w:t xml:space="preserve">Consultation and engagement with industry stakeholders has been integral in understanding and addressing concerns, fostering a collaborative approach to these regulatory changes. Industry was well informed and contributed constructively. The ACMA's extensive research and experience also served as valuable resources in navigating the complexities of regulatory design and implementation. </w:t>
      </w:r>
    </w:p>
    <w:p w14:paraId="5DE07FED" w14:textId="77777777" w:rsidR="00623569" w:rsidRPr="00857708" w:rsidRDefault="00623569" w:rsidP="00623569">
      <w:pPr>
        <w:rPr>
          <w:rFonts w:cs="Arial"/>
          <w:szCs w:val="20"/>
          <w:lang w:val="en-US"/>
        </w:rPr>
      </w:pPr>
      <w:r>
        <w:rPr>
          <w:rFonts w:cs="Arial"/>
          <w:szCs w:val="20"/>
        </w:rPr>
        <w:t xml:space="preserve">By proactively identifying potential barriers and implementing targeted strategies to mitigate risks, </w:t>
      </w:r>
      <w:r w:rsidRPr="00857708">
        <w:rPr>
          <w:rFonts w:cs="Arial"/>
          <w:szCs w:val="20"/>
        </w:rPr>
        <w:t>the government</w:t>
      </w:r>
      <w:r>
        <w:rPr>
          <w:rFonts w:cs="Arial"/>
          <w:szCs w:val="20"/>
        </w:rPr>
        <w:t xml:space="preserve"> aims to enhance the likelihood of successful intervention in addressing financial hardship in the telecommunications sector. </w:t>
      </w:r>
    </w:p>
    <w:p w14:paraId="08988C8E" w14:textId="77777777" w:rsidR="00623569" w:rsidRPr="00C65D07" w:rsidRDefault="00623569" w:rsidP="00623569">
      <w:pPr>
        <w:pStyle w:val="Paragraphbeforelist"/>
      </w:pPr>
      <w:r w:rsidRPr="00C65D07">
        <w:t>Success will be measured by the following:</w:t>
      </w:r>
    </w:p>
    <w:p w14:paraId="5F54D4D0" w14:textId="77777777" w:rsidR="00623569" w:rsidRDefault="00623569" w:rsidP="00623569">
      <w:pPr>
        <w:pStyle w:val="Bulletlevel1"/>
        <w:tabs>
          <w:tab w:val="clear" w:pos="295"/>
        </w:tabs>
        <w:ind w:left="357" w:hanging="357"/>
      </w:pPr>
      <w:r>
        <w:t>I</w:t>
      </w:r>
      <w:r w:rsidRPr="00C65D07">
        <w:t>ncreased rates of financial hardship arrangements across the industry (compared to the number of customers experiencing hardship)</w:t>
      </w:r>
      <w:r>
        <w:t xml:space="preserve">. Industry data from the main telcos (representing more than 80% of the market) reported 4,388 residential financial hardship customers as of 30 June 2022, representing only 0.03% of all residential customers. </w:t>
      </w:r>
    </w:p>
    <w:p w14:paraId="5475165D" w14:textId="77777777" w:rsidR="00623569" w:rsidRDefault="00623569" w:rsidP="00623569">
      <w:pPr>
        <w:pStyle w:val="Bulletlevel1"/>
        <w:tabs>
          <w:tab w:val="clear" w:pos="295"/>
        </w:tabs>
        <w:ind w:left="357" w:hanging="357"/>
      </w:pPr>
      <w:r>
        <w:t>I</w:t>
      </w:r>
      <w:r w:rsidRPr="00C65D07">
        <w:t xml:space="preserve">ncreased consumer awareness that financial hardship support is available from </w:t>
      </w:r>
      <w:r>
        <w:t>CSPs. Our May 2023 consumer research found that only 57% of the general Australian adult population, and 64% of those who experienced a financial hardship situation in the past 12 months reported they were aware they could contact their telco provider for financial hardship assistance.</w:t>
      </w:r>
    </w:p>
    <w:p w14:paraId="2AE7CFB8" w14:textId="77777777" w:rsidR="00623569" w:rsidRDefault="00623569" w:rsidP="00623569">
      <w:pPr>
        <w:pStyle w:val="Bulletlevel1"/>
        <w:tabs>
          <w:tab w:val="clear" w:pos="295"/>
        </w:tabs>
        <w:ind w:left="357" w:hanging="357"/>
      </w:pPr>
      <w:r>
        <w:t>C</w:t>
      </w:r>
      <w:r w:rsidRPr="00C65D07">
        <w:t>lear access to information about available financial hardship support from providers</w:t>
      </w:r>
      <w:r>
        <w:t xml:space="preserve">. As of June 2022, all but one of the main telcos required extensive navigation on their websites to access financial hardship policies as of 30 June 2022. </w:t>
      </w:r>
    </w:p>
    <w:p w14:paraId="1A1888D5" w14:textId="77777777" w:rsidR="00623569" w:rsidRPr="00662404" w:rsidRDefault="00623569" w:rsidP="00623569">
      <w:pPr>
        <w:pStyle w:val="Bulletlevel1"/>
        <w:tabs>
          <w:tab w:val="clear" w:pos="295"/>
        </w:tabs>
        <w:ind w:left="357" w:hanging="357"/>
      </w:pPr>
      <w:r>
        <w:t>D</w:t>
      </w:r>
      <w:r w:rsidRPr="00C65D07">
        <w:t xml:space="preserve">ecrease in the number </w:t>
      </w:r>
      <w:r>
        <w:t xml:space="preserve">of </w:t>
      </w:r>
      <w:r w:rsidRPr="00C65D07">
        <w:t>customers disconnected while in financial hardship</w:t>
      </w:r>
      <w:r>
        <w:t>.</w:t>
      </w:r>
      <w:r w:rsidRPr="00BA011F">
        <w:t xml:space="preserve"> </w:t>
      </w:r>
      <w:r w:rsidRPr="00F14481">
        <w:t>During 2021–22, a total of 237,166 residential customers had their services disconnected due to non-payment. Of those, only 834 were reported by the main telcos as financial hardship customers</w:t>
      </w:r>
      <w:r>
        <w:t>.</w:t>
      </w:r>
    </w:p>
    <w:p w14:paraId="3A4615B1" w14:textId="77777777" w:rsidR="00623569" w:rsidRDefault="00623569" w:rsidP="00623569">
      <w:pPr>
        <w:pStyle w:val="Bulletlevel1"/>
        <w:tabs>
          <w:tab w:val="clear" w:pos="295"/>
        </w:tabs>
        <w:ind w:left="357" w:hanging="357"/>
      </w:pPr>
      <w:r>
        <w:t xml:space="preserve">Reduced complaints received by the TIO from consumers experiencing financial hardship and their provider did not give appropriate help. </w:t>
      </w:r>
      <w:r w:rsidRPr="00D02799">
        <w:t xml:space="preserve">Between 1 April 2021 and 31 March 2023, the TIO received over 3,000 </w:t>
      </w:r>
      <w:r>
        <w:t xml:space="preserve">such </w:t>
      </w:r>
      <w:r w:rsidRPr="00D02799">
        <w:t>complaints</w:t>
      </w:r>
      <w:r>
        <w:t>.</w:t>
      </w:r>
    </w:p>
    <w:p w14:paraId="2DBAF7A0" w14:textId="77777777" w:rsidR="00623569" w:rsidRPr="007514EA" w:rsidRDefault="00623569" w:rsidP="00AC69D1">
      <w:pPr>
        <w:pStyle w:val="Bulletlevel1last"/>
        <w:numPr>
          <w:ilvl w:val="0"/>
          <w:numId w:val="2"/>
        </w:numPr>
        <w:tabs>
          <w:tab w:val="clear" w:pos="295"/>
        </w:tabs>
        <w:ind w:left="357" w:hanging="357"/>
      </w:pPr>
      <w:r>
        <w:t>F</w:t>
      </w:r>
      <w:r w:rsidRPr="00C65D07">
        <w:t>eedback from consumer groups and community organisations that consumers have been able to access appropriate financial hardship assistance</w:t>
      </w:r>
      <w:r>
        <w:t xml:space="preserve">. </w:t>
      </w:r>
    </w:p>
    <w:p w14:paraId="78BA842C" w14:textId="77777777" w:rsidR="00623569" w:rsidRDefault="00623569" w:rsidP="00623569">
      <w:pPr>
        <w:pStyle w:val="Heading1"/>
      </w:pPr>
      <w:bookmarkStart w:id="28" w:name="_Toc32833688"/>
      <w:bookmarkStart w:id="29" w:name="_Toc32833743"/>
      <w:bookmarkStart w:id="30" w:name="_Toc32833816"/>
      <w:bookmarkStart w:id="31" w:name="_Toc155685982"/>
      <w:bookmarkStart w:id="32" w:name="_Hlk29987546"/>
      <w:r>
        <w:lastRenderedPageBreak/>
        <w:t>What policy options have been considered?</w:t>
      </w:r>
      <w:bookmarkEnd w:id="28"/>
      <w:bookmarkEnd w:id="29"/>
      <w:bookmarkEnd w:id="30"/>
      <w:bookmarkEnd w:id="31"/>
    </w:p>
    <w:p w14:paraId="266D7E07" w14:textId="77777777" w:rsidR="00623569" w:rsidRDefault="00623569" w:rsidP="00623569">
      <w:pPr>
        <w:pStyle w:val="Heading2"/>
      </w:pPr>
      <w:bookmarkStart w:id="33" w:name="_Toc32833689"/>
      <w:bookmarkStart w:id="34" w:name="_Toc32833744"/>
      <w:bookmarkStart w:id="35" w:name="_Toc32833817"/>
      <w:bookmarkStart w:id="36" w:name="_Toc155685983"/>
      <w:r>
        <w:t>Option 1 – Status quo</w:t>
      </w:r>
      <w:bookmarkEnd w:id="33"/>
      <w:bookmarkEnd w:id="34"/>
      <w:bookmarkEnd w:id="35"/>
      <w:bookmarkEnd w:id="36"/>
      <w:r>
        <w:t xml:space="preserve"> </w:t>
      </w:r>
    </w:p>
    <w:p w14:paraId="518897B3" w14:textId="77777777" w:rsidR="00623569" w:rsidRDefault="00623569" w:rsidP="00623569">
      <w:r>
        <w:t xml:space="preserve">The government retains the status quo, refraining from introducing new regulation, relying on the current TCP Code review by Communications Alliance to address financial hardship issues. </w:t>
      </w:r>
    </w:p>
    <w:p w14:paraId="0030A0F9" w14:textId="77777777" w:rsidR="00623569" w:rsidRPr="008C1933" w:rsidRDefault="00623569" w:rsidP="00623569">
      <w:pPr>
        <w:rPr>
          <w:lang w:val="en-US"/>
        </w:rPr>
      </w:pPr>
      <w:r>
        <w:rPr>
          <w:lang w:val="en-US"/>
        </w:rPr>
        <w:t>T</w:t>
      </w:r>
      <w:r w:rsidRPr="00DB1EA0">
        <w:rPr>
          <w:lang w:val="en-US"/>
        </w:rPr>
        <w:t>he ACMA</w:t>
      </w:r>
      <w:r>
        <w:rPr>
          <w:lang w:val="en-US"/>
        </w:rPr>
        <w:t>’</w:t>
      </w:r>
      <w:r w:rsidRPr="00083B2C">
        <w:rPr>
          <w:lang w:val="en-US"/>
        </w:rPr>
        <w:t>s</w:t>
      </w:r>
      <w:r w:rsidRPr="00083B2C">
        <w:rPr>
          <w:i/>
          <w:lang w:val="en-US"/>
        </w:rPr>
        <w:t xml:space="preserve"> </w:t>
      </w:r>
      <w:r w:rsidRPr="00083B2C">
        <w:rPr>
          <w:iCs/>
          <w:lang w:val="en-US"/>
        </w:rPr>
        <w:t>What Consumers Want pap</w:t>
      </w:r>
      <w:r w:rsidRPr="004F62E2">
        <w:rPr>
          <w:iCs/>
          <w:lang w:val="en-US"/>
        </w:rPr>
        <w:t>e</w:t>
      </w:r>
      <w:r>
        <w:rPr>
          <w:iCs/>
          <w:lang w:val="en-US"/>
        </w:rPr>
        <w:t>r</w:t>
      </w:r>
      <w:r>
        <w:rPr>
          <w:lang w:val="en-US"/>
        </w:rPr>
        <w:t xml:space="preserve"> identifies deficiencies in the TCP Code needing urgent improvement, including financial hardship. </w:t>
      </w:r>
      <w:r w:rsidRPr="006C69A7">
        <w:rPr>
          <w:lang w:val="en-US"/>
        </w:rPr>
        <w:t>T</w:t>
      </w:r>
      <w:r w:rsidRPr="006C69A7">
        <w:t xml:space="preserve">he ACMA has sought a definitive indication from the telecommunications industry by the end of 2023 on the detailed amendments it will make to the TCP Code </w:t>
      </w:r>
      <w:r>
        <w:t xml:space="preserve">to </w:t>
      </w:r>
      <w:r w:rsidRPr="006C69A7">
        <w:t xml:space="preserve">address the issues raised. </w:t>
      </w:r>
      <w:r>
        <w:t>If unsatisfied with industry response,</w:t>
      </w:r>
      <w:r w:rsidRPr="00355DBD">
        <w:rPr>
          <w:lang w:val="en-US"/>
        </w:rPr>
        <w:t xml:space="preserve"> </w:t>
      </w:r>
      <w:r>
        <w:rPr>
          <w:lang w:val="en-US"/>
        </w:rPr>
        <w:t xml:space="preserve">the ACMA has the authority to enact </w:t>
      </w:r>
      <w:r w:rsidRPr="00355DBD">
        <w:rPr>
          <w:lang w:val="en-US"/>
        </w:rPr>
        <w:t>direct regulation</w:t>
      </w:r>
      <w:r>
        <w:rPr>
          <w:lang w:val="en-US"/>
        </w:rPr>
        <w:t xml:space="preserve"> on relevant issues</w:t>
      </w:r>
      <w:r w:rsidRPr="00355DBD">
        <w:rPr>
          <w:lang w:val="en-US"/>
        </w:rPr>
        <w:t>.</w:t>
      </w:r>
      <w:r>
        <w:rPr>
          <w:rStyle w:val="FootnoteReference"/>
        </w:rPr>
        <w:footnoteReference w:id="40"/>
      </w:r>
    </w:p>
    <w:p w14:paraId="649C15FF" w14:textId="77777777" w:rsidR="00623569" w:rsidRDefault="00623569" w:rsidP="00623569">
      <w:pPr>
        <w:pStyle w:val="Paragraph"/>
      </w:pPr>
      <w:r>
        <w:rPr>
          <w:rFonts w:cs="Times New Roman"/>
        </w:rPr>
        <w:t xml:space="preserve">Compliance and enforcement powers for code breaches are limited and </w:t>
      </w:r>
      <w:r>
        <w:t>Australians experiencing financial hardship will continue to experience significant harms until the identified gaps in the TCP Code are addressed and uplifted to direct regulation where strong enforcement is available. Industry has had a material opportunity to address the issues prior to this latest review and has not done so.</w:t>
      </w:r>
    </w:p>
    <w:p w14:paraId="5304B18D" w14:textId="77777777" w:rsidR="00623569" w:rsidRDefault="00623569" w:rsidP="00623569">
      <w:pPr>
        <w:pStyle w:val="Paragraphbeforelist"/>
      </w:pPr>
      <w:r>
        <w:t>N</w:t>
      </w:r>
      <w:r w:rsidRPr="00200DA6">
        <w:t>on-regulatory measures, including a consumer education campaign launched in March 2023</w:t>
      </w:r>
      <w:r w:rsidRPr="00200DA6">
        <w:rPr>
          <w:rStyle w:val="FootnoteReference"/>
          <w:szCs w:val="20"/>
        </w:rPr>
        <w:footnoteReference w:id="41"/>
      </w:r>
      <w:r w:rsidRPr="00200DA6">
        <w:t xml:space="preserve">, </w:t>
      </w:r>
      <w:r>
        <w:t>has</w:t>
      </w:r>
      <w:r w:rsidRPr="00200DA6">
        <w:t xml:space="preserve"> been undertaken to raise consumer awareness of the financial hardship assistance available when they are experiencing difficulties paying their telco bills</w:t>
      </w:r>
      <w:r>
        <w:t>.</w:t>
      </w:r>
      <w:r w:rsidRPr="00200DA6">
        <w:t xml:space="preserve"> </w:t>
      </w:r>
      <w:r>
        <w:t xml:space="preserve">The campaign, aimed at encouraging consumers to engage with their telco when they experience financial hardship, comprised: </w:t>
      </w:r>
    </w:p>
    <w:p w14:paraId="761C553F" w14:textId="77777777" w:rsidR="00623569" w:rsidRDefault="00623569" w:rsidP="00623569">
      <w:pPr>
        <w:pStyle w:val="Bulletlevel1"/>
        <w:tabs>
          <w:tab w:val="clear" w:pos="295"/>
        </w:tabs>
        <w:ind w:left="357" w:hanging="357"/>
      </w:pPr>
      <w:r>
        <w:t xml:space="preserve">consumer-focused materials with relevant information, advice and links – such as website content, graphics and videos </w:t>
      </w:r>
    </w:p>
    <w:p w14:paraId="37FF48B9" w14:textId="77777777" w:rsidR="00623569" w:rsidRPr="007514EA" w:rsidRDefault="00623569" w:rsidP="00AC69D1">
      <w:pPr>
        <w:pStyle w:val="Bulletlevel1last"/>
        <w:numPr>
          <w:ilvl w:val="0"/>
          <w:numId w:val="2"/>
        </w:numPr>
        <w:tabs>
          <w:tab w:val="clear" w:pos="295"/>
        </w:tabs>
        <w:ind w:left="357" w:hanging="357"/>
      </w:pPr>
      <w:r>
        <w:t>use of targeted communication channels to effectively reach consumer audiences – such as social media, e-newsletters, consumer advocates and paid advertising.</w:t>
      </w:r>
    </w:p>
    <w:p w14:paraId="5795BE57" w14:textId="77777777" w:rsidR="00623569" w:rsidRPr="00200DA6" w:rsidRDefault="00623569" w:rsidP="00623569">
      <w:pPr>
        <w:pStyle w:val="Paragraph"/>
        <w:rPr>
          <w:szCs w:val="20"/>
        </w:rPr>
      </w:pPr>
      <w:r w:rsidRPr="00200DA6">
        <w:rPr>
          <w:szCs w:val="20"/>
        </w:rPr>
        <w:t xml:space="preserve">The ACMA also </w:t>
      </w:r>
      <w:r>
        <w:rPr>
          <w:szCs w:val="20"/>
        </w:rPr>
        <w:t>enhanced the information for</w:t>
      </w:r>
      <w:r w:rsidRPr="00200DA6">
        <w:rPr>
          <w:szCs w:val="20"/>
        </w:rPr>
        <w:t xml:space="preserve"> industry on its website to explicitly set out key TCP Code financial hardship rules</w:t>
      </w:r>
      <w:r w:rsidRPr="00200DA6">
        <w:rPr>
          <w:rStyle w:val="FootnoteReference"/>
          <w:szCs w:val="20"/>
        </w:rPr>
        <w:footnoteReference w:id="42"/>
      </w:r>
      <w:r w:rsidRPr="00200DA6">
        <w:rPr>
          <w:szCs w:val="20"/>
        </w:rPr>
        <w:t xml:space="preserve"> to further support </w:t>
      </w:r>
      <w:r>
        <w:rPr>
          <w:szCs w:val="20"/>
        </w:rPr>
        <w:t xml:space="preserve">industry </w:t>
      </w:r>
      <w:r w:rsidRPr="00200DA6">
        <w:rPr>
          <w:szCs w:val="20"/>
        </w:rPr>
        <w:t xml:space="preserve">understanding of the current requirements </w:t>
      </w:r>
      <w:proofErr w:type="gramStart"/>
      <w:r w:rsidRPr="00200DA6">
        <w:rPr>
          <w:szCs w:val="20"/>
        </w:rPr>
        <w:t>in an effort to</w:t>
      </w:r>
      <w:proofErr w:type="gramEnd"/>
      <w:r w:rsidRPr="00200DA6">
        <w:rPr>
          <w:szCs w:val="20"/>
        </w:rPr>
        <w:t xml:space="preserve"> minimise the need for regulatory intervention.</w:t>
      </w:r>
    </w:p>
    <w:p w14:paraId="26B40758" w14:textId="77777777" w:rsidR="00623569" w:rsidRDefault="00623569" w:rsidP="00623569">
      <w:pPr>
        <w:pStyle w:val="Paragraph"/>
        <w:rPr>
          <w:szCs w:val="20"/>
        </w:rPr>
      </w:pPr>
      <w:r>
        <w:rPr>
          <w:szCs w:val="20"/>
        </w:rPr>
        <w:t xml:space="preserve">However, </w:t>
      </w:r>
      <w:r w:rsidRPr="00200DA6">
        <w:rPr>
          <w:szCs w:val="20"/>
        </w:rPr>
        <w:t xml:space="preserve">these efforts fall short of addressing the </w:t>
      </w:r>
      <w:r>
        <w:rPr>
          <w:szCs w:val="20"/>
        </w:rPr>
        <w:t>problem</w:t>
      </w:r>
      <w:r w:rsidRPr="00200DA6">
        <w:rPr>
          <w:szCs w:val="20"/>
        </w:rPr>
        <w:t xml:space="preserve">. </w:t>
      </w:r>
      <w:r>
        <w:rPr>
          <w:szCs w:val="20"/>
        </w:rPr>
        <w:t>To date, industry has not shown any inclination to voluntarily improve their financial hardship policies to address consumer concerns.</w:t>
      </w:r>
    </w:p>
    <w:p w14:paraId="638A787C" w14:textId="77777777" w:rsidR="00623569" w:rsidRPr="009E3CF9" w:rsidRDefault="00623569" w:rsidP="00623569">
      <w:pPr>
        <w:pStyle w:val="Paragraphbeforelist"/>
      </w:pPr>
      <w:r>
        <w:rPr>
          <w:szCs w:val="20"/>
        </w:rPr>
        <w:t xml:space="preserve">It was open to the minister to </w:t>
      </w:r>
      <w:r>
        <w:t xml:space="preserve">take </w:t>
      </w:r>
      <w:r w:rsidRPr="005C55F6">
        <w:t xml:space="preserve">no action and allow financial hardship issues to be addressed through the current </w:t>
      </w:r>
      <w:r>
        <w:t>TCP Code</w:t>
      </w:r>
      <w:r w:rsidRPr="005C55F6">
        <w:t xml:space="preserve"> review</w:t>
      </w:r>
      <w:r>
        <w:t xml:space="preserve"> or by </w:t>
      </w:r>
      <w:r w:rsidRPr="005C55F6">
        <w:t xml:space="preserve">later direct regulation </w:t>
      </w:r>
      <w:r>
        <w:t xml:space="preserve">imposed </w:t>
      </w:r>
      <w:r w:rsidRPr="005C55F6">
        <w:t>by the ACM</w:t>
      </w:r>
      <w:r>
        <w:t>A. However, the minister directed the ACMA to make a standard in response to the serious and immediate issues being faced by vulnerable consumers in accessing financial support when they need it, as demonstrated in the findings from the AC</w:t>
      </w:r>
      <w:r w:rsidRPr="00083B2C">
        <w:t xml:space="preserve">MA’s </w:t>
      </w:r>
      <w:r w:rsidRPr="00A05A0C">
        <w:t xml:space="preserve">Financial Hardship </w:t>
      </w:r>
      <w:r>
        <w:t>r</w:t>
      </w:r>
      <w:r w:rsidRPr="00241B05">
        <w:t>eport.</w:t>
      </w:r>
      <w:r>
        <w:t xml:space="preserve"> </w:t>
      </w:r>
    </w:p>
    <w:p w14:paraId="523D0BC1" w14:textId="77777777" w:rsidR="00623569" w:rsidRDefault="00623569" w:rsidP="00623569">
      <w:pPr>
        <w:pStyle w:val="Heading2"/>
      </w:pPr>
      <w:bookmarkStart w:id="37" w:name="_Toc155685984"/>
      <w:r>
        <w:lastRenderedPageBreak/>
        <w:t>Option 2 – Direct regulation</w:t>
      </w:r>
      <w:bookmarkEnd w:id="37"/>
      <w:r>
        <w:t xml:space="preserve"> </w:t>
      </w:r>
    </w:p>
    <w:p w14:paraId="0AF8DBBC" w14:textId="77777777" w:rsidR="00623569" w:rsidRDefault="00623569" w:rsidP="00623569">
      <w:pPr>
        <w:pStyle w:val="Paragraph"/>
      </w:pPr>
      <w:r>
        <w:t xml:space="preserve">The minister directed the ACMA to make an industry standard on financial hardship under section 125AA of </w:t>
      </w:r>
      <w:r w:rsidRPr="00083B2C">
        <w:t>the Telco Act to</w:t>
      </w:r>
      <w:r>
        <w:t xml:space="preserve"> address the identified gaps in the existing TCP Code on 6 September 2023. </w:t>
      </w:r>
    </w:p>
    <w:p w14:paraId="08126F00" w14:textId="77777777" w:rsidR="00623569" w:rsidRDefault="00623569" w:rsidP="00623569">
      <w:pPr>
        <w:pStyle w:val="Paragraph"/>
      </w:pPr>
      <w:r>
        <w:t>T</w:t>
      </w:r>
      <w:r w:rsidRPr="001C6174">
        <w:t xml:space="preserve">he ACMA </w:t>
      </w:r>
      <w:r w:rsidRPr="007046C0">
        <w:rPr>
          <w:i/>
        </w:rPr>
        <w:t xml:space="preserve">must </w:t>
      </w:r>
      <w:r w:rsidRPr="001C6174">
        <w:t>determine an industry standard if directed by the</w:t>
      </w:r>
      <w:r>
        <w:t xml:space="preserve"> minister. Retaining the status quo is therefore not a live option. </w:t>
      </w:r>
    </w:p>
    <w:p w14:paraId="46391337" w14:textId="77777777" w:rsidR="00623569" w:rsidRDefault="00623569" w:rsidP="00623569">
      <w:pPr>
        <w:suppressAutoHyphens/>
        <w:rPr>
          <w:rFonts w:cs="Arial"/>
          <w:szCs w:val="20"/>
          <w:lang w:val="en-US"/>
        </w:rPr>
      </w:pPr>
      <w:bookmarkStart w:id="38" w:name="_Hlk153116217"/>
      <w:r w:rsidRPr="00D44F9C">
        <w:rPr>
          <w:rFonts w:cs="Arial"/>
          <w:szCs w:val="20"/>
        </w:rPr>
        <w:t>Under the Tel</w:t>
      </w:r>
      <w:r>
        <w:rPr>
          <w:rFonts w:cs="Arial"/>
          <w:szCs w:val="20"/>
        </w:rPr>
        <w:t>co</w:t>
      </w:r>
      <w:r w:rsidRPr="00D44F9C">
        <w:rPr>
          <w:rFonts w:cs="Arial"/>
          <w:szCs w:val="20"/>
        </w:rPr>
        <w:t xml:space="preserve"> Act</w:t>
      </w:r>
      <w:r w:rsidRPr="00D44F9C">
        <w:rPr>
          <w:rFonts w:cs="Arial"/>
          <w:szCs w:val="20"/>
          <w:lang w:val="en-US"/>
        </w:rPr>
        <w:t xml:space="preserve">, it is not possible for the ACMA to take direct action for initial breaches of an industry code no matter how significant. If a breach of a code is identified, the ACMA can direct a </w:t>
      </w:r>
      <w:r>
        <w:rPr>
          <w:rFonts w:cs="Arial"/>
          <w:szCs w:val="20"/>
          <w:lang w:val="en-US"/>
        </w:rPr>
        <w:t>CSP</w:t>
      </w:r>
      <w:r w:rsidRPr="00D44F9C">
        <w:rPr>
          <w:rFonts w:cs="Arial"/>
          <w:szCs w:val="20"/>
          <w:lang w:val="en-US"/>
        </w:rPr>
        <w:t xml:space="preserve"> to comply with the code or issue a </w:t>
      </w:r>
      <w:r>
        <w:rPr>
          <w:rFonts w:cs="Arial"/>
          <w:szCs w:val="20"/>
          <w:lang w:val="en-US"/>
        </w:rPr>
        <w:t xml:space="preserve">formal </w:t>
      </w:r>
      <w:r w:rsidRPr="00D44F9C">
        <w:rPr>
          <w:rFonts w:cs="Arial"/>
          <w:szCs w:val="20"/>
          <w:lang w:val="en-US"/>
        </w:rPr>
        <w:t xml:space="preserve">warning. </w:t>
      </w:r>
      <w:r>
        <w:rPr>
          <w:rFonts w:cs="Arial"/>
          <w:szCs w:val="20"/>
          <w:lang w:val="en-US"/>
        </w:rPr>
        <w:t xml:space="preserve">The </w:t>
      </w:r>
      <w:r w:rsidRPr="00D44F9C">
        <w:rPr>
          <w:rFonts w:cs="Arial"/>
          <w:szCs w:val="20"/>
          <w:lang w:val="en-US"/>
        </w:rPr>
        <w:t xml:space="preserve">ACMA can only take broader enforcement action (for example, seeking penalties) if a </w:t>
      </w:r>
      <w:r>
        <w:rPr>
          <w:rFonts w:cs="Arial"/>
          <w:szCs w:val="20"/>
          <w:lang w:val="en-US"/>
        </w:rPr>
        <w:t>CSP</w:t>
      </w:r>
      <w:r w:rsidRPr="00D44F9C">
        <w:rPr>
          <w:rFonts w:cs="Arial"/>
          <w:szCs w:val="20"/>
          <w:lang w:val="en-US"/>
        </w:rPr>
        <w:t xml:space="preserve"> continues </w:t>
      </w:r>
      <w:r>
        <w:rPr>
          <w:rFonts w:cs="Arial"/>
          <w:szCs w:val="20"/>
          <w:lang w:val="en-US"/>
        </w:rPr>
        <w:t>to contravene</w:t>
      </w:r>
      <w:r w:rsidRPr="00D44F9C">
        <w:rPr>
          <w:rFonts w:cs="Arial"/>
          <w:szCs w:val="20"/>
          <w:lang w:val="en-US"/>
        </w:rPr>
        <w:t xml:space="preserve"> – that is, it is a </w:t>
      </w:r>
      <w:r>
        <w:rPr>
          <w:rFonts w:cs="Arial"/>
          <w:szCs w:val="20"/>
          <w:lang w:val="en-US"/>
        </w:rPr>
        <w:t>2</w:t>
      </w:r>
      <w:r w:rsidRPr="00D44F9C">
        <w:rPr>
          <w:rFonts w:cs="Arial"/>
          <w:szCs w:val="20"/>
          <w:lang w:val="en-US"/>
        </w:rPr>
        <w:t>-step enforcement process.</w:t>
      </w:r>
    </w:p>
    <w:p w14:paraId="16A2F202" w14:textId="77777777" w:rsidR="00623569" w:rsidRPr="00D926B0" w:rsidRDefault="00623569" w:rsidP="00623569">
      <w:pPr>
        <w:suppressAutoHyphens/>
        <w:rPr>
          <w:rFonts w:cs="Arial"/>
          <w:szCs w:val="20"/>
        </w:rPr>
      </w:pPr>
      <w:r w:rsidRPr="00D926B0">
        <w:rPr>
          <w:rFonts w:cs="Arial"/>
          <w:szCs w:val="20"/>
        </w:rPr>
        <w:t xml:space="preserve">The Minister’s decision considered substantial evidence pointing to the problem, as revealed in the </w:t>
      </w:r>
      <w:r w:rsidRPr="00083B2C">
        <w:rPr>
          <w:rFonts w:cs="Arial"/>
          <w:szCs w:val="20"/>
        </w:rPr>
        <w:t>ACMA's Financial Hardship repo</w:t>
      </w:r>
      <w:r w:rsidRPr="00D926B0">
        <w:rPr>
          <w:rFonts w:cs="Arial"/>
          <w:szCs w:val="20"/>
        </w:rPr>
        <w:t>rt. Despite 2.4 million Australians facing payment difficulties, only 4,388 benefited from formal financial hardship programs by June 2022. This data underscores the urgency for intervention.</w:t>
      </w:r>
    </w:p>
    <w:bookmarkEnd w:id="38"/>
    <w:p w14:paraId="042B0614" w14:textId="77777777" w:rsidR="00623569" w:rsidRPr="000A1E11" w:rsidRDefault="00623569" w:rsidP="00623569">
      <w:pPr>
        <w:pStyle w:val="Paragraph"/>
      </w:pPr>
      <w:r w:rsidRPr="000A1E11">
        <w:t>The Direction was developed in consultation with stakeholders, with constructive feedback received</w:t>
      </w:r>
      <w:r>
        <w:t xml:space="preserve"> and considered.</w:t>
      </w:r>
    </w:p>
    <w:p w14:paraId="0194EE75" w14:textId="77777777" w:rsidR="00623569" w:rsidRDefault="00623569" w:rsidP="00623569">
      <w:pPr>
        <w:pStyle w:val="Heading2"/>
      </w:pPr>
      <w:bookmarkStart w:id="39" w:name="_Toc155685985"/>
      <w:bookmarkStart w:id="40" w:name="_Hlk153290323"/>
      <w:r>
        <w:t>Implementing the Direction</w:t>
      </w:r>
      <w:bookmarkEnd w:id="39"/>
      <w:r>
        <w:t xml:space="preserve"> </w:t>
      </w:r>
    </w:p>
    <w:p w14:paraId="498CB307" w14:textId="77777777" w:rsidR="00623569" w:rsidRDefault="00623569" w:rsidP="00623569">
      <w:pPr>
        <w:pStyle w:val="Paragraph"/>
        <w:rPr>
          <w:i/>
          <w:iCs/>
        </w:rPr>
      </w:pPr>
      <w:r>
        <w:t xml:space="preserve">The </w:t>
      </w:r>
      <w:r w:rsidRPr="00E70C57">
        <w:rPr>
          <w:u w:color="0000FF"/>
        </w:rPr>
        <w:t>Direction</w:t>
      </w:r>
      <w:r w:rsidRPr="004E3056">
        <w:rPr>
          <w:i/>
          <w:iCs/>
          <w:u w:color="0000FF"/>
        </w:rPr>
        <w:t xml:space="preserve"> </w:t>
      </w:r>
      <w:r>
        <w:t xml:space="preserve">provides the legal authority to make a new industry standard under section 125AA of the </w:t>
      </w:r>
      <w:r w:rsidRPr="005D0C5D">
        <w:t>Telco Act.</w:t>
      </w:r>
      <w:r>
        <w:rPr>
          <w:i/>
          <w:iCs/>
        </w:rPr>
        <w:t xml:space="preserve"> </w:t>
      </w:r>
    </w:p>
    <w:p w14:paraId="35BCFA0C" w14:textId="77777777" w:rsidR="00623569" w:rsidRDefault="00623569" w:rsidP="00623569">
      <w:pPr>
        <w:pStyle w:val="Paragraph"/>
      </w:pPr>
      <w:r>
        <w:t xml:space="preserve">An industry standard applies to </w:t>
      </w:r>
      <w:r w:rsidRPr="00F768CB">
        <w:t>participants in a particular section of the telecommunications industry; and</w:t>
      </w:r>
      <w:r>
        <w:t xml:space="preserve"> </w:t>
      </w:r>
      <w:r w:rsidRPr="00F768CB">
        <w:t>deals with one or more matters relating to the telecommunications activities of those participants.</w:t>
      </w:r>
      <w:r>
        <w:t xml:space="preserve"> The Direction specifies that the Standard is to apply to CSPs in their interactions with residential, small business and not-for-profit customers.</w:t>
      </w:r>
    </w:p>
    <w:p w14:paraId="2DD16FE2" w14:textId="77777777" w:rsidR="00623569" w:rsidRPr="00A80A8B" w:rsidRDefault="00623569" w:rsidP="00623569">
      <w:pPr>
        <w:pStyle w:val="Paragraph"/>
        <w:rPr>
          <w:szCs w:val="20"/>
        </w:rPr>
      </w:pPr>
      <w:r w:rsidRPr="00DD54EE">
        <w:rPr>
          <w:szCs w:val="20"/>
        </w:rPr>
        <w:t xml:space="preserve">The </w:t>
      </w:r>
      <w:r>
        <w:rPr>
          <w:szCs w:val="20"/>
        </w:rPr>
        <w:t>S</w:t>
      </w:r>
      <w:r w:rsidRPr="00DD54EE">
        <w:rPr>
          <w:szCs w:val="20"/>
        </w:rPr>
        <w:t xml:space="preserve">tandard must require CSPs to support customers </w:t>
      </w:r>
      <w:r>
        <w:rPr>
          <w:szCs w:val="20"/>
        </w:rPr>
        <w:t>facing or likely to face</w:t>
      </w:r>
      <w:r w:rsidRPr="00DD54EE">
        <w:rPr>
          <w:szCs w:val="20"/>
        </w:rPr>
        <w:t xml:space="preserve"> financial hardship through early identification and appropriate assistance. The </w:t>
      </w:r>
      <w:r>
        <w:rPr>
          <w:szCs w:val="20"/>
        </w:rPr>
        <w:t>S</w:t>
      </w:r>
      <w:r w:rsidRPr="00DD54EE">
        <w:rPr>
          <w:szCs w:val="20"/>
        </w:rPr>
        <w:t xml:space="preserve">tandard must also </w:t>
      </w:r>
      <w:r>
        <w:rPr>
          <w:szCs w:val="20"/>
        </w:rPr>
        <w:t xml:space="preserve">address the promotion and dissemination of information to customers </w:t>
      </w:r>
      <w:r w:rsidRPr="00DD54EE">
        <w:rPr>
          <w:szCs w:val="20"/>
        </w:rPr>
        <w:t>about financial hardship,</w:t>
      </w:r>
      <w:r>
        <w:rPr>
          <w:szCs w:val="20"/>
        </w:rPr>
        <w:t xml:space="preserve"> emphasising the importance of</w:t>
      </w:r>
      <w:r w:rsidRPr="00DD54EE">
        <w:rPr>
          <w:szCs w:val="20"/>
        </w:rPr>
        <w:t xml:space="preserve"> keeping customers connected to appropriate services for their needs.</w:t>
      </w:r>
      <w:r>
        <w:rPr>
          <w:szCs w:val="20"/>
        </w:rPr>
        <w:t xml:space="preserve"> </w:t>
      </w:r>
      <w:r w:rsidRPr="00DD54EE">
        <w:rPr>
          <w:szCs w:val="20"/>
        </w:rPr>
        <w:t xml:space="preserve">The </w:t>
      </w:r>
      <w:r>
        <w:rPr>
          <w:szCs w:val="20"/>
        </w:rPr>
        <w:t>e</w:t>
      </w:r>
      <w:r w:rsidRPr="00A80A8B">
        <w:rPr>
          <w:szCs w:val="20"/>
        </w:rPr>
        <w:t xml:space="preserve">xplanatory </w:t>
      </w:r>
      <w:r>
        <w:rPr>
          <w:szCs w:val="20"/>
        </w:rPr>
        <w:t>s</w:t>
      </w:r>
      <w:r w:rsidRPr="00A80A8B">
        <w:rPr>
          <w:szCs w:val="20"/>
        </w:rPr>
        <w:t>tatement</w:t>
      </w:r>
      <w:r>
        <w:rPr>
          <w:rStyle w:val="FootnoteReference"/>
          <w:szCs w:val="20"/>
        </w:rPr>
        <w:footnoteReference w:id="43"/>
      </w:r>
      <w:r w:rsidRPr="00A80A8B">
        <w:rPr>
          <w:szCs w:val="20"/>
        </w:rPr>
        <w:t xml:space="preserve"> to the Direction </w:t>
      </w:r>
      <w:r>
        <w:rPr>
          <w:szCs w:val="20"/>
        </w:rPr>
        <w:t xml:space="preserve">underscores the need to maintain </w:t>
      </w:r>
      <w:r w:rsidRPr="00DD54EE">
        <w:rPr>
          <w:szCs w:val="20"/>
        </w:rPr>
        <w:t>access to devices that enable connection to appropriate services</w:t>
      </w:r>
      <w:r>
        <w:rPr>
          <w:szCs w:val="20"/>
        </w:rPr>
        <w:t>.</w:t>
      </w:r>
    </w:p>
    <w:p w14:paraId="56BDFC8E" w14:textId="77777777" w:rsidR="00623569" w:rsidRPr="0057716C" w:rsidRDefault="00623569" w:rsidP="00623569">
      <w:pPr>
        <w:pStyle w:val="Paragraphbeforelist"/>
      </w:pPr>
      <w:r>
        <w:t>Outlined within the</w:t>
      </w:r>
      <w:r w:rsidRPr="00DD54EE">
        <w:t xml:space="preserve"> Direction </w:t>
      </w:r>
      <w:r>
        <w:t>are</w:t>
      </w:r>
      <w:r w:rsidRPr="00DD54EE">
        <w:t xml:space="preserve"> objectives the </w:t>
      </w:r>
      <w:r>
        <w:t>S</w:t>
      </w:r>
      <w:r w:rsidRPr="00DD54EE">
        <w:t>tandard</w:t>
      </w:r>
      <w:r>
        <w:t xml:space="preserve"> must </w:t>
      </w:r>
      <w:r w:rsidRPr="00DD54EE">
        <w:t>give effect to (</w:t>
      </w:r>
      <w:r>
        <w:t>clause</w:t>
      </w:r>
      <w:r w:rsidRPr="00DD54EE">
        <w:t xml:space="preserve"> 7(1)</w:t>
      </w:r>
      <w:r>
        <w:t>)</w:t>
      </w:r>
      <w:r w:rsidRPr="00DD54EE">
        <w:t xml:space="preserve"> and a range of matters that the </w:t>
      </w:r>
      <w:r>
        <w:t>S</w:t>
      </w:r>
      <w:r w:rsidRPr="00DD54EE">
        <w:t xml:space="preserve">tandard </w:t>
      </w:r>
      <w:r w:rsidRPr="00A3373C">
        <w:t>may</w:t>
      </w:r>
      <w:r w:rsidRPr="00DD54EE">
        <w:t xml:space="preserve"> </w:t>
      </w:r>
      <w:r>
        <w:t>include</w:t>
      </w:r>
      <w:r w:rsidRPr="00DD54EE">
        <w:t xml:space="preserve"> (clause 7(2)</w:t>
      </w:r>
      <w:r>
        <w:t xml:space="preserve">). To fulfil these objectives, rules addressing the matters in clause 7(2) are necessary. </w:t>
      </w:r>
      <w:r w:rsidRPr="0057716C">
        <w:t xml:space="preserve">While the Direction's content in clause 7(2) is </w:t>
      </w:r>
      <w:r>
        <w:t>detailed</w:t>
      </w:r>
      <w:r w:rsidRPr="0057716C">
        <w:t xml:space="preserve">, indicating an intention for rules, the ACMA retains </w:t>
      </w:r>
      <w:r>
        <w:t xml:space="preserve">some </w:t>
      </w:r>
      <w:r w:rsidRPr="0057716C">
        <w:t>flexibility in drafting rules on various aspects, such</w:t>
      </w:r>
      <w:r>
        <w:t xml:space="preserve"> as</w:t>
      </w:r>
    </w:p>
    <w:p w14:paraId="518EAA0D" w14:textId="77777777" w:rsidR="00623569" w:rsidRDefault="00623569" w:rsidP="00623569">
      <w:pPr>
        <w:pStyle w:val="Bulletlevel1"/>
        <w:tabs>
          <w:tab w:val="clear" w:pos="295"/>
        </w:tabs>
        <w:ind w:left="357" w:hanging="357"/>
      </w:pPr>
      <w:r>
        <w:t xml:space="preserve">establishing written financial hardship policies, including processes for assisting customers who are or may be experiencing financial hardship and other requirements relating to financial hardship policies considered appropriate by the </w:t>
      </w:r>
      <w:proofErr w:type="gramStart"/>
      <w:r>
        <w:t>ACMA</w:t>
      </w:r>
      <w:proofErr w:type="gramEnd"/>
    </w:p>
    <w:p w14:paraId="691EA616" w14:textId="77777777" w:rsidR="00623569" w:rsidRDefault="00623569" w:rsidP="00623569">
      <w:pPr>
        <w:pStyle w:val="Bulletlevel1"/>
        <w:tabs>
          <w:tab w:val="clear" w:pos="295"/>
        </w:tabs>
        <w:ind w:left="357" w:hanging="357"/>
      </w:pPr>
      <w:r>
        <w:t xml:space="preserve">promoting financial hardship policies and providing information and advice to customers and potential customers about these policies and assistance </w:t>
      </w:r>
    </w:p>
    <w:p w14:paraId="57D69360" w14:textId="77777777" w:rsidR="00623569" w:rsidRDefault="00623569" w:rsidP="00623569">
      <w:pPr>
        <w:pStyle w:val="Bulletlevel1"/>
        <w:tabs>
          <w:tab w:val="clear" w:pos="295"/>
        </w:tabs>
        <w:ind w:left="357" w:hanging="357"/>
      </w:pPr>
      <w:r>
        <w:lastRenderedPageBreak/>
        <w:t xml:space="preserve">early identification of customers who may be experiencing financial hardship and ongoing evaluation of their </w:t>
      </w:r>
      <w:proofErr w:type="gramStart"/>
      <w:r>
        <w:t>circumstances</w:t>
      </w:r>
      <w:proofErr w:type="gramEnd"/>
    </w:p>
    <w:p w14:paraId="5DE0AD9A" w14:textId="77777777" w:rsidR="00623569" w:rsidRDefault="00623569" w:rsidP="00623569">
      <w:pPr>
        <w:pStyle w:val="Bulletlevel1"/>
        <w:tabs>
          <w:tab w:val="clear" w:pos="295"/>
        </w:tabs>
        <w:ind w:left="357" w:hanging="357"/>
      </w:pPr>
      <w:r>
        <w:t xml:space="preserve">providing appropriate customer service for customers who are or may be experiencing financial </w:t>
      </w:r>
      <w:proofErr w:type="gramStart"/>
      <w:r>
        <w:t>hardship</w:t>
      </w:r>
      <w:proofErr w:type="gramEnd"/>
    </w:p>
    <w:p w14:paraId="0F70E416" w14:textId="77777777" w:rsidR="00623569" w:rsidRDefault="00623569" w:rsidP="00623569">
      <w:pPr>
        <w:pStyle w:val="Bulletlevel1"/>
        <w:tabs>
          <w:tab w:val="clear" w:pos="295"/>
        </w:tabs>
        <w:ind w:left="357" w:hanging="357"/>
      </w:pPr>
      <w:r>
        <w:t>defining processes for assessment and provision of financial hardship assistance to customers</w:t>
      </w:r>
    </w:p>
    <w:p w14:paraId="78EACC1F" w14:textId="77777777" w:rsidR="00623569" w:rsidRDefault="00623569" w:rsidP="00623569">
      <w:pPr>
        <w:pStyle w:val="Bulletlevel1"/>
        <w:tabs>
          <w:tab w:val="clear" w:pos="295"/>
        </w:tabs>
        <w:ind w:left="357" w:hanging="357"/>
      </w:pPr>
      <w:r>
        <w:t xml:space="preserve">ensuring staff training and conduct in identifying and supporting customers who are or may be experiencing financial </w:t>
      </w:r>
      <w:proofErr w:type="gramStart"/>
      <w:r>
        <w:t>hardship</w:t>
      </w:r>
      <w:proofErr w:type="gramEnd"/>
    </w:p>
    <w:p w14:paraId="62A5C0F0" w14:textId="77777777" w:rsidR="00623569" w:rsidRDefault="00623569" w:rsidP="00AC69D1">
      <w:pPr>
        <w:pStyle w:val="Bulletlevel1last"/>
        <w:numPr>
          <w:ilvl w:val="0"/>
          <w:numId w:val="2"/>
        </w:numPr>
        <w:tabs>
          <w:tab w:val="clear" w:pos="295"/>
        </w:tabs>
        <w:ind w:left="357" w:hanging="357"/>
      </w:pPr>
      <w:r>
        <w:t>credit management action undertaken by or on behalf of CSPs in relation to customers experiencing financial hardship, including requirements for appropriate protections in service restriction, suspension or disconnection.</w:t>
      </w:r>
    </w:p>
    <w:p w14:paraId="0BE7A4D0" w14:textId="77777777" w:rsidR="00623569" w:rsidRDefault="00623569" w:rsidP="00623569">
      <w:pPr>
        <w:pStyle w:val="Paragraph"/>
      </w:pPr>
      <w:r>
        <w:t>While being appropriately limited by the stated objectives in clause 7(1), t</w:t>
      </w:r>
      <w:r w:rsidRPr="00DD54EE">
        <w:t xml:space="preserve">he Direction </w:t>
      </w:r>
      <w:r>
        <w:t>gives</w:t>
      </w:r>
      <w:r w:rsidRPr="00DD54EE">
        <w:t xml:space="preserve"> the ACMA</w:t>
      </w:r>
      <w:r>
        <w:t xml:space="preserve"> broad </w:t>
      </w:r>
      <w:r w:rsidRPr="00E82D4C">
        <w:t>discretion to include additional matters deemed necessary to meet these objectives. Discretionary matters encompass transitional arrangements and record-keeping requirements and defining terms as appropriate or necessary.</w:t>
      </w:r>
    </w:p>
    <w:p w14:paraId="50AA6912" w14:textId="77777777" w:rsidR="00623569" w:rsidRPr="00803327" w:rsidRDefault="00623569" w:rsidP="00623569">
      <w:pPr>
        <w:pStyle w:val="Paragraph"/>
      </w:pPr>
      <w:r w:rsidRPr="00803327">
        <w:t xml:space="preserve">Supported by evidence from the Financial Hardship </w:t>
      </w:r>
      <w:r>
        <w:t>r</w:t>
      </w:r>
      <w:r w:rsidRPr="00803327">
        <w:t xml:space="preserve">eport and What Consumers Want paper, there is a compelling case for addressing gaps and deficiencies in the TCP Code rules related to how CSPs engage with customers experiencing financial difficulties. These issues include a narrow definition of 'financial hardship,' inadequate financial </w:t>
      </w:r>
      <w:r>
        <w:t>hardship programs</w:t>
      </w:r>
      <w:r w:rsidRPr="00803327">
        <w:t>, short notification timeframes for service actions, low consumer awareness, inconsistent eligibility assessments, inflexible arrangements, and difficulties in enforcing existing provisions.</w:t>
      </w:r>
    </w:p>
    <w:p w14:paraId="348DC982" w14:textId="77777777" w:rsidR="00623569" w:rsidRPr="002D70AE" w:rsidRDefault="00623569" w:rsidP="00623569">
      <w:pPr>
        <w:pStyle w:val="Paragraph"/>
        <w:rPr>
          <w:szCs w:val="20"/>
        </w:rPr>
      </w:pPr>
      <w:r w:rsidRPr="002D70AE">
        <w:rPr>
          <w:szCs w:val="20"/>
        </w:rPr>
        <w:t xml:space="preserve">The ACMA has </w:t>
      </w:r>
      <w:r>
        <w:rPr>
          <w:szCs w:val="20"/>
        </w:rPr>
        <w:t>adopted</w:t>
      </w:r>
      <w:r w:rsidRPr="002D70AE">
        <w:rPr>
          <w:szCs w:val="20"/>
        </w:rPr>
        <w:t xml:space="preserve"> an evidence-based approach to draft the </w:t>
      </w:r>
      <w:r>
        <w:rPr>
          <w:szCs w:val="20"/>
        </w:rPr>
        <w:t>S</w:t>
      </w:r>
      <w:r w:rsidRPr="002D70AE">
        <w:rPr>
          <w:szCs w:val="20"/>
        </w:rPr>
        <w:t>tandard</w:t>
      </w:r>
      <w:r>
        <w:rPr>
          <w:szCs w:val="20"/>
        </w:rPr>
        <w:t xml:space="preserve">, considering enhancements to existing </w:t>
      </w:r>
      <w:r w:rsidRPr="002D70AE">
        <w:rPr>
          <w:szCs w:val="20"/>
        </w:rPr>
        <w:t>TCP Code provisions</w:t>
      </w:r>
      <w:r>
        <w:rPr>
          <w:szCs w:val="20"/>
        </w:rPr>
        <w:t xml:space="preserve"> and introducing new elements to address identified gaps or deficiencies. </w:t>
      </w:r>
    </w:p>
    <w:bookmarkEnd w:id="32"/>
    <w:p w14:paraId="3E783E45" w14:textId="77777777" w:rsidR="00623569" w:rsidRDefault="00623569" w:rsidP="00623569">
      <w:pPr>
        <w:pStyle w:val="Paragraph"/>
      </w:pPr>
      <w:r>
        <w:t>The Standard is designed to improve the experience of telecommunications consumers facing bill payment difficulties, recognising the essential nature of telecommunications services and making it clear that disconnection is a measure of last resort.</w:t>
      </w:r>
    </w:p>
    <w:p w14:paraId="25F99FD4" w14:textId="77777777" w:rsidR="00623569" w:rsidRDefault="00623569" w:rsidP="00623569">
      <w:pPr>
        <w:pStyle w:val="Paragraph"/>
      </w:pPr>
      <w:bookmarkStart w:id="41" w:name="_Hlk153557076"/>
      <w:r>
        <w:t xml:space="preserve">Outcomes-based regulation is highly favoured by the ACMA, recognising the flexibility it provides for implementation across a diverse sector. There are various ways in which outcomes-based rules can be applied, as set out below. </w:t>
      </w:r>
    </w:p>
    <w:p w14:paraId="74755BC8" w14:textId="77777777" w:rsidR="00623569" w:rsidRPr="003549A1" w:rsidRDefault="00623569" w:rsidP="00623569">
      <w:pPr>
        <w:pStyle w:val="Heading2"/>
      </w:pPr>
      <w:bookmarkStart w:id="42" w:name="_Toc155685986"/>
      <w:r w:rsidRPr="003549A1">
        <w:t xml:space="preserve">Option 2A – </w:t>
      </w:r>
      <w:r>
        <w:t>Outcomes-based (discretionary)</w:t>
      </w:r>
      <w:bookmarkEnd w:id="42"/>
      <w:r>
        <w:t xml:space="preserve"> </w:t>
      </w:r>
    </w:p>
    <w:p w14:paraId="554F0AB4" w14:textId="77777777" w:rsidR="00623569" w:rsidRPr="005B5303" w:rsidRDefault="00623569" w:rsidP="00623569">
      <w:pPr>
        <w:pStyle w:val="Paragraph"/>
        <w:rPr>
          <w:szCs w:val="20"/>
        </w:rPr>
      </w:pPr>
      <w:r w:rsidRPr="00D15A4E">
        <w:t xml:space="preserve">As </w:t>
      </w:r>
      <w:r>
        <w:t xml:space="preserve">previously </w:t>
      </w:r>
      <w:r w:rsidRPr="00D15A4E">
        <w:t xml:space="preserve">mentioned, while the Direction </w:t>
      </w:r>
      <w:r>
        <w:t xml:space="preserve">sets the rules for the Standard with </w:t>
      </w:r>
      <w:r w:rsidRPr="00D15A4E">
        <w:t xml:space="preserve">limited discretion, there </w:t>
      </w:r>
      <w:r w:rsidRPr="005B5303">
        <w:t xml:space="preserve">is room for flexibility in constructing the Standard, allowing providers discretion in how they meet obligations within an established framework. The key distinction between the status quo </w:t>
      </w:r>
      <w:r w:rsidRPr="005B5303">
        <w:rPr>
          <w:szCs w:val="20"/>
        </w:rPr>
        <w:t xml:space="preserve">and Option 2A lies in </w:t>
      </w:r>
      <w:r>
        <w:rPr>
          <w:szCs w:val="20"/>
        </w:rPr>
        <w:t xml:space="preserve">the </w:t>
      </w:r>
      <w:r w:rsidRPr="005B5303">
        <w:rPr>
          <w:szCs w:val="20"/>
        </w:rPr>
        <w:t xml:space="preserve">mechanism of achieving outcomes-based regulation. Option 2A involves direct regulation, providing a more targeted and expedited response to financial issues with greater incentives for providers to comply. Industry prefers outcomes-based rules. While Option 1 would also likely consider outcomes-based regulation through industry-led initiatives, Option 2A takes a more assertive stance by providing a specific framework under the Direction, offering associated benefits of direct regulation, such as a standardised approach and more immediate action in addressing identified gaps. While the status quo relies on the existing TCP Code review, Option 2A provides room for flexibility within the framework set by the Direction. </w:t>
      </w:r>
    </w:p>
    <w:p w14:paraId="545A8FC1" w14:textId="77777777" w:rsidR="00623569" w:rsidRPr="009112E6" w:rsidRDefault="00623569" w:rsidP="00623569">
      <w:pPr>
        <w:pStyle w:val="Paragraph"/>
        <w:rPr>
          <w:szCs w:val="20"/>
        </w:rPr>
      </w:pPr>
      <w:r w:rsidRPr="005B5303">
        <w:rPr>
          <w:szCs w:val="20"/>
        </w:rPr>
        <w:t>Under Option 2A, providers have the discretion to design and implement</w:t>
      </w:r>
      <w:r w:rsidRPr="005B5303" w:rsidDel="00BE2F69">
        <w:t xml:space="preserve"> </w:t>
      </w:r>
      <w:r w:rsidRPr="005B5303">
        <w:t xml:space="preserve">strategies for early identification and assistance that align with their operational </w:t>
      </w:r>
      <w:r w:rsidRPr="005B5303">
        <w:lastRenderedPageBreak/>
        <w:t xml:space="preserve">models and customer base. This approach has the potential to encourage </w:t>
      </w:r>
      <w:r w:rsidRPr="00F27ED1">
        <w:t xml:space="preserve">diverse solutions tailored to </w:t>
      </w:r>
      <w:r>
        <w:t>various</w:t>
      </w:r>
      <w:r w:rsidRPr="00F27ED1">
        <w:t xml:space="preserve"> customer needs</w:t>
      </w:r>
      <w:r>
        <w:t xml:space="preserve">, fostering adaptability </w:t>
      </w:r>
      <w:r w:rsidRPr="00F27ED1">
        <w:t>in addressing financial hardship challenges.</w:t>
      </w:r>
    </w:p>
    <w:p w14:paraId="3149BC53" w14:textId="77777777" w:rsidR="00623569" w:rsidRDefault="00623569" w:rsidP="00623569">
      <w:pPr>
        <w:pStyle w:val="Paragraph"/>
      </w:pPr>
      <w:r w:rsidRPr="00F27ED1">
        <w:t xml:space="preserve">However, </w:t>
      </w:r>
      <w:r>
        <w:t>the</w:t>
      </w:r>
      <w:r w:rsidRPr="00F27ED1">
        <w:t xml:space="preserve"> </w:t>
      </w:r>
      <w:r>
        <w:t xml:space="preserve">absence </w:t>
      </w:r>
      <w:r w:rsidRPr="00F27ED1">
        <w:t xml:space="preserve">of </w:t>
      </w:r>
      <w:r>
        <w:t xml:space="preserve">more </w:t>
      </w:r>
      <w:r w:rsidRPr="00F27ED1">
        <w:t xml:space="preserve">specific guidelines </w:t>
      </w:r>
      <w:r>
        <w:t>may introduce</w:t>
      </w:r>
      <w:r w:rsidRPr="00F27ED1">
        <w:t xml:space="preserve"> ambiguity, </w:t>
      </w:r>
      <w:r>
        <w:t>posing</w:t>
      </w:r>
      <w:r w:rsidRPr="00F27ED1">
        <w:t xml:space="preserve"> challeng</w:t>
      </w:r>
      <w:r>
        <w:t>es</w:t>
      </w:r>
      <w:r w:rsidRPr="00F27ED1">
        <w:t xml:space="preserve"> </w:t>
      </w:r>
      <w:r>
        <w:t xml:space="preserve">for </w:t>
      </w:r>
      <w:r w:rsidRPr="00F27ED1">
        <w:t>consistent enforce</w:t>
      </w:r>
      <w:r>
        <w:t>ment</w:t>
      </w:r>
      <w:r w:rsidRPr="00F27ED1">
        <w:t xml:space="preserve"> </w:t>
      </w:r>
      <w:r>
        <w:t xml:space="preserve">across the </w:t>
      </w:r>
      <w:r w:rsidRPr="00F27ED1">
        <w:t>industry</w:t>
      </w:r>
      <w:r>
        <w:t xml:space="preserve"> </w:t>
      </w:r>
      <w:r w:rsidRPr="00F27ED1">
        <w:t xml:space="preserve">and </w:t>
      </w:r>
      <w:r>
        <w:t>potentially resulting in</w:t>
      </w:r>
      <w:r w:rsidRPr="00F27ED1">
        <w:t xml:space="preserve"> varying levels of consumer protection.</w:t>
      </w:r>
      <w:r>
        <w:t xml:space="preserve"> There is a significant risk that without clearly enforceable rules in key areas of concern that have informed the Direction, this approach may not adequately address the identified gaps in current protections and therefore fail to meet the objectives of the Direction.</w:t>
      </w:r>
    </w:p>
    <w:p w14:paraId="74CA947D" w14:textId="77777777" w:rsidR="00623569" w:rsidRPr="00D15A4E" w:rsidRDefault="00623569" w:rsidP="00623569">
      <w:pPr>
        <w:pStyle w:val="Heading2"/>
      </w:pPr>
      <w:bookmarkStart w:id="43" w:name="_Toc155685987"/>
      <w:r w:rsidRPr="00D15A4E">
        <w:t xml:space="preserve">Option 2B – </w:t>
      </w:r>
      <w:r>
        <w:t>Outcomes-based (enforceable)</w:t>
      </w:r>
      <w:bookmarkEnd w:id="43"/>
    </w:p>
    <w:p w14:paraId="1AAF8589" w14:textId="77777777" w:rsidR="00623569" w:rsidRDefault="00623569" w:rsidP="00623569">
      <w:pPr>
        <w:pStyle w:val="Paragraph"/>
        <w:rPr>
          <w:szCs w:val="20"/>
        </w:rPr>
      </w:pPr>
      <w:r>
        <w:rPr>
          <w:szCs w:val="20"/>
        </w:rPr>
        <w:t>Option 2B maintains an outcomes-based focus but adopts a more detailed and enforceable approach aligning with explicit requirements of the Direction in keys areas where enhanced protection is required. While still providing CSPs with a large amount of discretion, this option responds to the direction with structured and detailed regulatory obligation where a specific outcome is required due to evidence of current failures.</w:t>
      </w:r>
    </w:p>
    <w:p w14:paraId="5AA291A4" w14:textId="77777777" w:rsidR="00623569" w:rsidRPr="00FE6B8B" w:rsidRDefault="00623569" w:rsidP="00623569">
      <w:pPr>
        <w:pStyle w:val="Paragraph"/>
        <w:rPr>
          <w:szCs w:val="20"/>
        </w:rPr>
      </w:pPr>
      <w:r>
        <w:rPr>
          <w:szCs w:val="20"/>
        </w:rPr>
        <w:t xml:space="preserve">This approach empowers the ACMA to set clear obligations, establishing a standardised foundation for industry participants. The </w:t>
      </w:r>
      <w:r w:rsidRPr="00FE6B8B">
        <w:rPr>
          <w:szCs w:val="20"/>
        </w:rPr>
        <w:t xml:space="preserve">approach </w:t>
      </w:r>
      <w:r w:rsidRPr="00FE6B8B">
        <w:rPr>
          <w:color w:val="000000"/>
          <w:szCs w:val="20"/>
        </w:rPr>
        <w:t xml:space="preserve">ensures </w:t>
      </w:r>
      <w:r>
        <w:rPr>
          <w:color w:val="000000"/>
          <w:szCs w:val="20"/>
        </w:rPr>
        <w:t xml:space="preserve">explicit </w:t>
      </w:r>
      <w:r w:rsidRPr="00FE6B8B">
        <w:rPr>
          <w:color w:val="000000"/>
          <w:szCs w:val="20"/>
        </w:rPr>
        <w:t xml:space="preserve">rules </w:t>
      </w:r>
      <w:r>
        <w:rPr>
          <w:color w:val="000000"/>
          <w:szCs w:val="20"/>
        </w:rPr>
        <w:t xml:space="preserve">where necessary, reducing </w:t>
      </w:r>
      <w:r w:rsidRPr="00FE6B8B">
        <w:rPr>
          <w:color w:val="000000"/>
          <w:szCs w:val="20"/>
        </w:rPr>
        <w:t>ambiguity and allowing for a consistent understanding of compliance requirements</w:t>
      </w:r>
      <w:r>
        <w:rPr>
          <w:color w:val="000000"/>
          <w:szCs w:val="20"/>
        </w:rPr>
        <w:t>, and enforceability</w:t>
      </w:r>
      <w:r w:rsidRPr="00FE6B8B">
        <w:rPr>
          <w:color w:val="000000"/>
          <w:szCs w:val="20"/>
        </w:rPr>
        <w:t xml:space="preserve">. This </w:t>
      </w:r>
      <w:r>
        <w:rPr>
          <w:color w:val="000000"/>
          <w:szCs w:val="20"/>
        </w:rPr>
        <w:t>approach</w:t>
      </w:r>
      <w:r w:rsidRPr="00FE6B8B">
        <w:rPr>
          <w:color w:val="000000"/>
          <w:szCs w:val="20"/>
        </w:rPr>
        <w:t xml:space="preserve"> provides clarity for industry stakeholders and consumers, setting expectations for robust and standardised consumer protections</w:t>
      </w:r>
      <w:r>
        <w:rPr>
          <w:color w:val="000000"/>
          <w:szCs w:val="20"/>
        </w:rPr>
        <w:t>, while still retaining an outcomes focus</w:t>
      </w:r>
      <w:r w:rsidRPr="00FE6B8B">
        <w:rPr>
          <w:color w:val="000000"/>
          <w:szCs w:val="20"/>
        </w:rPr>
        <w:t>.</w:t>
      </w:r>
    </w:p>
    <w:p w14:paraId="29BA1540" w14:textId="77777777" w:rsidR="00623569" w:rsidRDefault="00623569" w:rsidP="00623569">
      <w:pPr>
        <w:pStyle w:val="Paragraph"/>
        <w:rPr>
          <w:szCs w:val="20"/>
        </w:rPr>
      </w:pPr>
      <w:r>
        <w:rPr>
          <w:szCs w:val="20"/>
        </w:rPr>
        <w:t xml:space="preserve">Mitigating challenges in enforcing compliance </w:t>
      </w:r>
      <w:r w:rsidRPr="004077C2">
        <w:rPr>
          <w:szCs w:val="20"/>
        </w:rPr>
        <w:t xml:space="preserve">with </w:t>
      </w:r>
      <w:r>
        <w:rPr>
          <w:szCs w:val="20"/>
        </w:rPr>
        <w:t xml:space="preserve">the TCP Code, </w:t>
      </w:r>
      <w:r w:rsidRPr="004077C2">
        <w:rPr>
          <w:szCs w:val="20"/>
        </w:rPr>
        <w:t>well</w:t>
      </w:r>
      <w:r>
        <w:rPr>
          <w:szCs w:val="20"/>
        </w:rPr>
        <w:t>-</w:t>
      </w:r>
      <w:r w:rsidRPr="004077C2">
        <w:rPr>
          <w:szCs w:val="20"/>
        </w:rPr>
        <w:t xml:space="preserve">drafted clear and specific </w:t>
      </w:r>
      <w:r>
        <w:rPr>
          <w:szCs w:val="20"/>
        </w:rPr>
        <w:t xml:space="preserve">key </w:t>
      </w:r>
      <w:r w:rsidRPr="004077C2">
        <w:rPr>
          <w:szCs w:val="20"/>
        </w:rPr>
        <w:t>rules</w:t>
      </w:r>
      <w:r>
        <w:rPr>
          <w:szCs w:val="20"/>
        </w:rPr>
        <w:t xml:space="preserve"> offer a clearer understanding of obligations for industry and the regulator. They provide</w:t>
      </w:r>
      <w:r w:rsidRPr="004077C2">
        <w:rPr>
          <w:szCs w:val="20"/>
        </w:rPr>
        <w:t xml:space="preserve"> specific criteria </w:t>
      </w:r>
      <w:r>
        <w:rPr>
          <w:szCs w:val="20"/>
        </w:rPr>
        <w:t xml:space="preserve">for </w:t>
      </w:r>
      <w:r w:rsidRPr="004077C2">
        <w:rPr>
          <w:szCs w:val="20"/>
        </w:rPr>
        <w:t>measur</w:t>
      </w:r>
      <w:r>
        <w:rPr>
          <w:szCs w:val="20"/>
        </w:rPr>
        <w:t>ing</w:t>
      </w:r>
      <w:r w:rsidRPr="004077C2">
        <w:rPr>
          <w:szCs w:val="20"/>
        </w:rPr>
        <w:t xml:space="preserve"> compliance</w:t>
      </w:r>
      <w:r>
        <w:rPr>
          <w:szCs w:val="20"/>
        </w:rPr>
        <w:t xml:space="preserve"> and enhance </w:t>
      </w:r>
      <w:r w:rsidRPr="004077C2">
        <w:rPr>
          <w:szCs w:val="20"/>
        </w:rPr>
        <w:t>oversigh</w:t>
      </w:r>
      <w:r>
        <w:rPr>
          <w:szCs w:val="20"/>
        </w:rPr>
        <w:t xml:space="preserve">t, promoting </w:t>
      </w:r>
      <w:r w:rsidRPr="004077C2">
        <w:rPr>
          <w:szCs w:val="20"/>
        </w:rPr>
        <w:t>consistency in industry practices</w:t>
      </w:r>
      <w:r>
        <w:rPr>
          <w:szCs w:val="20"/>
        </w:rPr>
        <w:t>. This approach establishes</w:t>
      </w:r>
      <w:r w:rsidRPr="004077C2">
        <w:rPr>
          <w:szCs w:val="20"/>
        </w:rPr>
        <w:t xml:space="preserve"> a level playing field</w:t>
      </w:r>
      <w:r>
        <w:rPr>
          <w:szCs w:val="20"/>
        </w:rPr>
        <w:t xml:space="preserve">, </w:t>
      </w:r>
      <w:r w:rsidRPr="004077C2">
        <w:rPr>
          <w:szCs w:val="20"/>
        </w:rPr>
        <w:t>minimising the risk of inadequate support for customers facing financial hardship.</w:t>
      </w:r>
      <w:r>
        <w:t xml:space="preserve"> This facilitates effective and timely consumer protections, meeting the primary objective </w:t>
      </w:r>
      <w:r w:rsidRPr="00825554">
        <w:rPr>
          <w:szCs w:val="20"/>
        </w:rPr>
        <w:t>of supporting customers in financial difficulty</w:t>
      </w:r>
      <w:r>
        <w:rPr>
          <w:szCs w:val="20"/>
        </w:rPr>
        <w:t xml:space="preserve"> as required by the direction.</w:t>
      </w:r>
    </w:p>
    <w:p w14:paraId="62CDF577" w14:textId="77777777" w:rsidR="00623569" w:rsidRDefault="00623569" w:rsidP="00623569">
      <w:pPr>
        <w:pStyle w:val="Paragraph"/>
      </w:pPr>
      <w:r>
        <w:t>Consultation on the draft Standard will address potential implementation issues, ensuring rules do not inadvertently hinder innovation or adaptability for telcos.</w:t>
      </w:r>
      <w:bookmarkEnd w:id="0"/>
      <w:bookmarkEnd w:id="6"/>
      <w:bookmarkEnd w:id="7"/>
      <w:bookmarkEnd w:id="8"/>
      <w:bookmarkEnd w:id="40"/>
    </w:p>
    <w:p w14:paraId="124EBF6F" w14:textId="77777777" w:rsidR="00623569" w:rsidRPr="00CF3D1E" w:rsidRDefault="00623569" w:rsidP="00623569">
      <w:pPr>
        <w:pStyle w:val="Heading1"/>
      </w:pPr>
      <w:bookmarkStart w:id="44" w:name="_Toc155685988"/>
      <w:bookmarkEnd w:id="41"/>
      <w:r>
        <w:lastRenderedPageBreak/>
        <w:t>What is the likely net benefit of each option?</w:t>
      </w:r>
      <w:bookmarkEnd w:id="44"/>
    </w:p>
    <w:p w14:paraId="7212B9B2" w14:textId="77777777" w:rsidR="00623569" w:rsidRDefault="00623569" w:rsidP="00623569">
      <w:pPr>
        <w:pStyle w:val="Heading2"/>
      </w:pPr>
      <w:bookmarkStart w:id="45" w:name="_Toc153270568"/>
      <w:bookmarkStart w:id="46" w:name="_Toc155685989"/>
      <w:r>
        <w:t>Overview of options</w:t>
      </w:r>
      <w:bookmarkEnd w:id="45"/>
      <w:bookmarkEnd w:id="46"/>
    </w:p>
    <w:p w14:paraId="536AE097" w14:textId="77777777" w:rsidR="00623569" w:rsidRPr="007514EA" w:rsidRDefault="00623569" w:rsidP="00623569">
      <w:pPr>
        <w:pStyle w:val="Paragraphbeforelist"/>
      </w:pPr>
      <w:r>
        <w:t xml:space="preserve">The reform options that are set out in the previous section are </w:t>
      </w:r>
      <w:r w:rsidRPr="00951AAD">
        <w:t xml:space="preserve">summarised </w:t>
      </w:r>
      <w:r>
        <w:t>below with the key differences in the regulatory framework highlighted</w:t>
      </w:r>
      <w:r w:rsidRPr="009E41EB">
        <w:t>. The</w:t>
      </w:r>
      <w:r>
        <w:t xml:space="preserve"> impact of these differences </w:t>
      </w:r>
      <w:proofErr w:type="gramStart"/>
      <w:r>
        <w:t>have</w:t>
      </w:r>
      <w:proofErr w:type="gramEnd"/>
      <w:r>
        <w:t xml:space="preserve"> been examined to gauge the relative benefits and costs of each option.</w:t>
      </w:r>
    </w:p>
    <w:p w14:paraId="4636F5AB" w14:textId="77777777" w:rsidR="00623569" w:rsidRDefault="00623569" w:rsidP="00623569">
      <w:pPr>
        <w:pStyle w:val="Bulletlevel1"/>
        <w:tabs>
          <w:tab w:val="clear" w:pos="295"/>
        </w:tabs>
        <w:ind w:left="357" w:hanging="357"/>
      </w:pPr>
      <w:r>
        <w:t>S</w:t>
      </w:r>
      <w:r w:rsidRPr="003D3A73">
        <w:t>tatus quo</w:t>
      </w:r>
      <w:r>
        <w:t xml:space="preserve"> (Option 1) – </w:t>
      </w:r>
      <w:r w:rsidRPr="003D3A73">
        <w:t>the TCP Code continues with</w:t>
      </w:r>
      <w:r>
        <w:t>out</w:t>
      </w:r>
      <w:r w:rsidRPr="003D3A73">
        <w:t xml:space="preserve"> introduction of a new industry standard. The TCP Code could evolve in the future</w:t>
      </w:r>
      <w:r>
        <w:t>,</w:t>
      </w:r>
      <w:r w:rsidRPr="003D3A73">
        <w:t xml:space="preserve"> but changes </w:t>
      </w:r>
      <w:r>
        <w:t>would</w:t>
      </w:r>
      <w:r w:rsidRPr="003D3A73">
        <w:t xml:space="preserve"> not </w:t>
      </w:r>
      <w:r>
        <w:t xml:space="preserve">be </w:t>
      </w:r>
      <w:r w:rsidRPr="003D3A73">
        <w:t>expected to alleviate the current issues that apply to financial hardship.</w:t>
      </w:r>
      <w:r>
        <w:t xml:space="preserve"> The status quo imposes costs on consumers, CSPs, the TIO</w:t>
      </w:r>
      <w:r>
        <w:rPr>
          <w:rStyle w:val="FootnoteReference"/>
          <w:szCs w:val="20"/>
        </w:rPr>
        <w:footnoteReference w:id="44"/>
      </w:r>
      <w:r>
        <w:t xml:space="preserve"> and the ACMA.</w:t>
      </w:r>
    </w:p>
    <w:p w14:paraId="457B81C7" w14:textId="77777777" w:rsidR="00623569" w:rsidRDefault="00623569" w:rsidP="00AC69D1">
      <w:pPr>
        <w:pStyle w:val="Bulletlevel1last"/>
        <w:numPr>
          <w:ilvl w:val="0"/>
          <w:numId w:val="2"/>
        </w:numPr>
        <w:tabs>
          <w:tab w:val="clear" w:pos="295"/>
        </w:tabs>
        <w:ind w:left="357" w:hanging="357"/>
      </w:pPr>
      <w:r>
        <w:t>Direct Regulation Models (Options 2A and 2B) – both involve replacing the TCP Code with a standard. Option 2A employs outcomes-based regulation with discretionary application while Option 2B also adopts an outcomes-based approach but with clearly enforceable rules in key areas.</w:t>
      </w:r>
    </w:p>
    <w:p w14:paraId="2E2E9546" w14:textId="77777777" w:rsidR="00623569" w:rsidRPr="0013186C" w:rsidRDefault="00623569" w:rsidP="00623569">
      <w:pPr>
        <w:rPr>
          <w:rFonts w:cs="Arial"/>
          <w:szCs w:val="20"/>
        </w:rPr>
      </w:pPr>
      <w:r w:rsidRPr="0013186C">
        <w:rPr>
          <w:rFonts w:cs="Arial"/>
          <w:szCs w:val="20"/>
        </w:rPr>
        <w:t xml:space="preserve">The focus of this section shifts towards the net benefits of Options 2A and 2B relative to the </w:t>
      </w:r>
      <w:r>
        <w:rPr>
          <w:rFonts w:cs="Arial"/>
          <w:szCs w:val="20"/>
        </w:rPr>
        <w:t>s</w:t>
      </w:r>
      <w:r w:rsidRPr="0013186C">
        <w:rPr>
          <w:rFonts w:cs="Arial"/>
          <w:szCs w:val="20"/>
        </w:rPr>
        <w:t xml:space="preserve">tatus </w:t>
      </w:r>
      <w:r>
        <w:rPr>
          <w:rFonts w:cs="Arial"/>
          <w:szCs w:val="20"/>
        </w:rPr>
        <w:t>q</w:t>
      </w:r>
      <w:r w:rsidRPr="0013186C">
        <w:rPr>
          <w:rFonts w:cs="Arial"/>
          <w:szCs w:val="20"/>
        </w:rPr>
        <w:t>uo (Option 1). While some costs of Option 1 are estimated here, the primary emphasis is on the net benefits of Options 2A and 2B.</w:t>
      </w:r>
    </w:p>
    <w:p w14:paraId="4C215A12" w14:textId="77777777" w:rsidR="00623569" w:rsidRDefault="00623569" w:rsidP="00623569">
      <w:pPr>
        <w:rPr>
          <w:rFonts w:cs="Arial"/>
          <w:szCs w:val="20"/>
        </w:rPr>
      </w:pPr>
      <w:r>
        <w:rPr>
          <w:rFonts w:cs="Arial"/>
          <w:szCs w:val="20"/>
        </w:rPr>
        <w:t xml:space="preserve">By assessing the readily quantifiable costs and benefits of reform Options 2A and 2B over a ten-year period, Option 2B is expected to be net beneficial whereas Option 2A is not. Option 2B is preferable, as it delivers a net benefit even before the full range of benefits to consumers are considered. Table 1 summarises the expected costs for these options relative to the status quo. </w:t>
      </w:r>
    </w:p>
    <w:p w14:paraId="368954DC" w14:textId="77777777" w:rsidR="00623569" w:rsidRDefault="00623569" w:rsidP="00623569">
      <w:pPr>
        <w:rPr>
          <w:rFonts w:cs="Arial"/>
          <w:szCs w:val="20"/>
        </w:rPr>
      </w:pPr>
      <w:r>
        <w:rPr>
          <w:rFonts w:cs="Arial"/>
          <w:szCs w:val="20"/>
        </w:rPr>
        <w:t>The</w:t>
      </w:r>
      <w:r w:rsidRPr="00081F97">
        <w:t xml:space="preserve"> </w:t>
      </w:r>
      <w:r w:rsidRPr="00081F97">
        <w:rPr>
          <w:rFonts w:cs="Arial"/>
          <w:szCs w:val="20"/>
        </w:rPr>
        <w:t>main driver</w:t>
      </w:r>
      <w:r>
        <w:rPr>
          <w:rFonts w:cs="Arial"/>
          <w:szCs w:val="20"/>
        </w:rPr>
        <w:t>s</w:t>
      </w:r>
      <w:r w:rsidRPr="00081F97">
        <w:rPr>
          <w:rFonts w:cs="Arial"/>
          <w:szCs w:val="20"/>
        </w:rPr>
        <w:t xml:space="preserve"> of the benefit</w:t>
      </w:r>
      <w:r>
        <w:rPr>
          <w:rFonts w:cs="Arial"/>
          <w:szCs w:val="20"/>
        </w:rPr>
        <w:t>s fo</w:t>
      </w:r>
      <w:r w:rsidRPr="00A05A0C">
        <w:rPr>
          <w:rFonts w:cs="Arial"/>
          <w:szCs w:val="20"/>
        </w:rPr>
        <w:t xml:space="preserve">r </w:t>
      </w:r>
      <w:r>
        <w:rPr>
          <w:rFonts w:cs="Arial"/>
          <w:szCs w:val="20"/>
        </w:rPr>
        <w:t>O</w:t>
      </w:r>
      <w:r w:rsidRPr="00A05A0C">
        <w:rPr>
          <w:rFonts w:cs="Arial"/>
          <w:szCs w:val="20"/>
        </w:rPr>
        <w:t xml:space="preserve">ption 2B </w:t>
      </w:r>
      <w:proofErr w:type="gramStart"/>
      <w:r w:rsidRPr="00A05A0C">
        <w:rPr>
          <w:rFonts w:cs="Arial"/>
          <w:szCs w:val="20"/>
        </w:rPr>
        <w:t>is</w:t>
      </w:r>
      <w:proofErr w:type="gramEnd"/>
      <w:r w:rsidRPr="00A05A0C">
        <w:rPr>
          <w:rFonts w:cs="Arial"/>
          <w:szCs w:val="20"/>
        </w:rPr>
        <w:t xml:space="preserve"> from</w:t>
      </w:r>
      <w:r w:rsidRPr="00081F97">
        <w:rPr>
          <w:rFonts w:cs="Arial"/>
          <w:szCs w:val="20"/>
        </w:rPr>
        <w:t xml:space="preserve"> avoided reconnection costs</w:t>
      </w:r>
      <w:r>
        <w:rPr>
          <w:rFonts w:cs="Arial"/>
          <w:szCs w:val="20"/>
        </w:rPr>
        <w:t xml:space="preserve">, and reduced enforcement costs relative to the status quo. </w:t>
      </w:r>
    </w:p>
    <w:p w14:paraId="4D893A1D" w14:textId="77777777" w:rsidR="00623569" w:rsidRDefault="00623569" w:rsidP="00623569">
      <w:pPr>
        <w:pStyle w:val="Tableheading"/>
      </w:pPr>
      <w:r>
        <w:t>Summary of expected costs relative to the status quo</w:t>
      </w:r>
      <w:r>
        <w:rPr>
          <w:rStyle w:val="FootnoteReference"/>
        </w:rPr>
        <w:footnoteReference w:id="45"/>
      </w:r>
    </w:p>
    <w:tbl>
      <w:tblPr>
        <w:tblStyle w:val="ACMAtablestyle"/>
        <w:tblW w:w="7604" w:type="dxa"/>
        <w:tblLook w:val="04A0" w:firstRow="1" w:lastRow="0" w:firstColumn="1" w:lastColumn="0" w:noHBand="0" w:noVBand="1"/>
      </w:tblPr>
      <w:tblGrid>
        <w:gridCol w:w="4692"/>
        <w:gridCol w:w="1456"/>
        <w:gridCol w:w="1456"/>
      </w:tblGrid>
      <w:tr w:rsidR="00623569" w:rsidRPr="00F96615" w14:paraId="02FE58D1" w14:textId="77777777" w:rsidTr="001517F2">
        <w:trPr>
          <w:cnfStyle w:val="100000000000" w:firstRow="1" w:lastRow="0" w:firstColumn="0" w:lastColumn="0" w:oddVBand="0" w:evenVBand="0" w:oddHBand="0" w:evenHBand="0" w:firstRowFirstColumn="0" w:firstRowLastColumn="0" w:lastRowFirstColumn="0" w:lastRowLastColumn="0"/>
          <w:trHeight w:val="300"/>
        </w:trPr>
        <w:tc>
          <w:tcPr>
            <w:tcW w:w="4692" w:type="dxa"/>
            <w:noWrap/>
          </w:tcPr>
          <w:p w14:paraId="24873B3C" w14:textId="77777777" w:rsidR="00623569" w:rsidRPr="00CD108E" w:rsidRDefault="00623569" w:rsidP="001517F2">
            <w:pPr>
              <w:spacing w:after="0" w:line="240" w:lineRule="auto"/>
              <w:rPr>
                <w:rFonts w:cs="Arial"/>
                <w:b/>
                <w:bCs/>
                <w:sz w:val="22"/>
                <w:szCs w:val="22"/>
              </w:rPr>
            </w:pPr>
          </w:p>
        </w:tc>
        <w:tc>
          <w:tcPr>
            <w:tcW w:w="1456" w:type="dxa"/>
            <w:noWrap/>
          </w:tcPr>
          <w:p w14:paraId="72F83852" w14:textId="77777777" w:rsidR="00623569" w:rsidRPr="00832BE0" w:rsidRDefault="00623569" w:rsidP="001517F2">
            <w:pPr>
              <w:spacing w:after="0" w:line="240" w:lineRule="auto"/>
              <w:jc w:val="right"/>
              <w:rPr>
                <w:rFonts w:cs="Arial"/>
                <w:b/>
                <w:bCs/>
                <w:color w:val="000000"/>
                <w:sz w:val="22"/>
                <w:szCs w:val="22"/>
              </w:rPr>
            </w:pPr>
            <w:r w:rsidRPr="00832BE0">
              <w:rPr>
                <w:rFonts w:cs="Arial"/>
                <w:b/>
                <w:bCs/>
                <w:szCs w:val="20"/>
              </w:rPr>
              <w:t>Option 2A</w:t>
            </w:r>
          </w:p>
        </w:tc>
        <w:tc>
          <w:tcPr>
            <w:tcW w:w="1456" w:type="dxa"/>
          </w:tcPr>
          <w:p w14:paraId="3795A597" w14:textId="77777777" w:rsidR="00623569" w:rsidRPr="00832BE0" w:rsidRDefault="00623569" w:rsidP="001517F2">
            <w:pPr>
              <w:spacing w:after="0" w:line="240" w:lineRule="auto"/>
              <w:jc w:val="right"/>
              <w:rPr>
                <w:rFonts w:cs="Arial"/>
                <w:b/>
                <w:bCs/>
                <w:color w:val="000000"/>
                <w:sz w:val="22"/>
                <w:szCs w:val="22"/>
              </w:rPr>
            </w:pPr>
            <w:r w:rsidRPr="00832BE0">
              <w:rPr>
                <w:rFonts w:cs="Arial"/>
                <w:b/>
                <w:bCs/>
                <w:szCs w:val="20"/>
              </w:rPr>
              <w:t>Option 2B</w:t>
            </w:r>
          </w:p>
        </w:tc>
      </w:tr>
      <w:tr w:rsidR="00623569" w:rsidRPr="00F96615" w14:paraId="6BBD5053" w14:textId="77777777" w:rsidTr="00710D50">
        <w:trPr>
          <w:cnfStyle w:val="000000100000" w:firstRow="0" w:lastRow="0" w:firstColumn="0" w:lastColumn="0" w:oddVBand="0" w:evenVBand="0" w:oddHBand="1" w:evenHBand="0" w:firstRowFirstColumn="0" w:firstRowLastColumn="0" w:lastRowFirstColumn="0" w:lastRowLastColumn="0"/>
          <w:trHeight w:val="300"/>
        </w:trPr>
        <w:tc>
          <w:tcPr>
            <w:tcW w:w="4692" w:type="dxa"/>
            <w:shd w:val="clear" w:color="auto" w:fill="F2F2F2" w:themeFill="background1" w:themeFillShade="F2"/>
            <w:noWrap/>
            <w:hideMark/>
          </w:tcPr>
          <w:p w14:paraId="72A1FDEC" w14:textId="77777777" w:rsidR="00623569" w:rsidRPr="00912247" w:rsidRDefault="00623569" w:rsidP="001517F2">
            <w:pPr>
              <w:pStyle w:val="TableBody"/>
              <w:rPr>
                <w:szCs w:val="20"/>
              </w:rPr>
            </w:pPr>
            <w:r w:rsidRPr="00912247">
              <w:rPr>
                <w:szCs w:val="20"/>
              </w:rPr>
              <w:t xml:space="preserve">Total </w:t>
            </w:r>
            <w:r>
              <w:rPr>
                <w:szCs w:val="20"/>
              </w:rPr>
              <w:t>benefits</w:t>
            </w:r>
            <w:r w:rsidRPr="00912247">
              <w:rPr>
                <w:szCs w:val="20"/>
              </w:rPr>
              <w:t xml:space="preserve"> (NPV)</w:t>
            </w:r>
          </w:p>
        </w:tc>
        <w:tc>
          <w:tcPr>
            <w:tcW w:w="1456" w:type="dxa"/>
            <w:shd w:val="clear" w:color="auto" w:fill="F2F2F2" w:themeFill="background1" w:themeFillShade="F2"/>
            <w:noWrap/>
            <w:hideMark/>
          </w:tcPr>
          <w:p w14:paraId="4B974930" w14:textId="77777777" w:rsidR="00623569" w:rsidRPr="00912247" w:rsidRDefault="00623569" w:rsidP="001517F2">
            <w:pPr>
              <w:spacing w:after="0" w:line="240" w:lineRule="auto"/>
              <w:jc w:val="right"/>
              <w:rPr>
                <w:rFonts w:cs="Arial"/>
                <w:color w:val="000000"/>
                <w:szCs w:val="20"/>
              </w:rPr>
            </w:pPr>
            <w:r>
              <w:rPr>
                <w:rFonts w:cs="Arial"/>
                <w:color w:val="000000"/>
                <w:szCs w:val="20"/>
              </w:rPr>
              <w:t>-</w:t>
            </w:r>
            <w:r w:rsidRPr="00795368">
              <w:rPr>
                <w:rFonts w:cs="Arial"/>
                <w:color w:val="000000"/>
                <w:szCs w:val="20"/>
              </w:rPr>
              <w:t>$5,082,753</w:t>
            </w:r>
          </w:p>
        </w:tc>
        <w:tc>
          <w:tcPr>
            <w:tcW w:w="1456" w:type="dxa"/>
            <w:shd w:val="clear" w:color="auto" w:fill="F2F2F2" w:themeFill="background1" w:themeFillShade="F2"/>
          </w:tcPr>
          <w:p w14:paraId="05DF89FD" w14:textId="77777777" w:rsidR="00623569" w:rsidRPr="00912247" w:rsidRDefault="00623569" w:rsidP="001517F2">
            <w:pPr>
              <w:spacing w:after="0" w:line="240" w:lineRule="auto"/>
              <w:jc w:val="right"/>
              <w:rPr>
                <w:rFonts w:cs="Arial"/>
                <w:b/>
                <w:bCs/>
                <w:color w:val="000000"/>
                <w:szCs w:val="20"/>
              </w:rPr>
            </w:pPr>
            <w:r w:rsidRPr="00F8068F">
              <w:rPr>
                <w:rFonts w:cs="Arial"/>
              </w:rPr>
              <w:t>$9,386,678</w:t>
            </w:r>
          </w:p>
        </w:tc>
      </w:tr>
      <w:tr w:rsidR="00623569" w:rsidRPr="00F96615" w14:paraId="3F43207C" w14:textId="77777777" w:rsidTr="00710D50">
        <w:trPr>
          <w:cnfStyle w:val="000000010000" w:firstRow="0" w:lastRow="0" w:firstColumn="0" w:lastColumn="0" w:oddVBand="0" w:evenVBand="0" w:oddHBand="0" w:evenHBand="1" w:firstRowFirstColumn="0" w:firstRowLastColumn="0" w:lastRowFirstColumn="0" w:lastRowLastColumn="0"/>
          <w:trHeight w:val="300"/>
        </w:trPr>
        <w:tc>
          <w:tcPr>
            <w:tcW w:w="4692" w:type="dxa"/>
            <w:shd w:val="clear" w:color="auto" w:fill="auto"/>
            <w:noWrap/>
            <w:hideMark/>
          </w:tcPr>
          <w:p w14:paraId="58BF80CE" w14:textId="77777777" w:rsidR="00623569" w:rsidRPr="00912247" w:rsidRDefault="00623569" w:rsidP="001517F2">
            <w:pPr>
              <w:spacing w:after="0" w:line="240" w:lineRule="auto"/>
              <w:rPr>
                <w:rFonts w:cs="Arial"/>
                <w:color w:val="000000"/>
                <w:szCs w:val="20"/>
              </w:rPr>
            </w:pPr>
            <w:r>
              <w:rPr>
                <w:rFonts w:cs="Arial"/>
                <w:color w:val="000000"/>
                <w:szCs w:val="20"/>
              </w:rPr>
              <w:t>Benefit cost ratio</w:t>
            </w:r>
          </w:p>
        </w:tc>
        <w:tc>
          <w:tcPr>
            <w:tcW w:w="1456" w:type="dxa"/>
            <w:shd w:val="clear" w:color="auto" w:fill="auto"/>
            <w:noWrap/>
            <w:hideMark/>
          </w:tcPr>
          <w:p w14:paraId="45BD3408" w14:textId="77777777" w:rsidR="00623569" w:rsidRPr="00912247" w:rsidRDefault="00623569" w:rsidP="001517F2">
            <w:pPr>
              <w:spacing w:after="0" w:line="240" w:lineRule="auto"/>
              <w:jc w:val="right"/>
              <w:rPr>
                <w:rFonts w:cs="Arial"/>
                <w:color w:val="000000"/>
                <w:szCs w:val="20"/>
              </w:rPr>
            </w:pPr>
            <w:r w:rsidRPr="00A25B0B">
              <w:rPr>
                <w:rFonts w:cs="Arial"/>
                <w:color w:val="000000"/>
                <w:szCs w:val="20"/>
              </w:rPr>
              <w:t>0.43</w:t>
            </w:r>
          </w:p>
        </w:tc>
        <w:tc>
          <w:tcPr>
            <w:tcW w:w="1456" w:type="dxa"/>
            <w:shd w:val="clear" w:color="auto" w:fill="auto"/>
          </w:tcPr>
          <w:p w14:paraId="0681DE8B" w14:textId="77777777" w:rsidR="00623569" w:rsidRPr="00912247" w:rsidRDefault="00623569" w:rsidP="001517F2">
            <w:pPr>
              <w:spacing w:after="0" w:line="240" w:lineRule="auto"/>
              <w:jc w:val="right"/>
              <w:rPr>
                <w:rFonts w:cs="Arial"/>
                <w:color w:val="000000"/>
                <w:szCs w:val="20"/>
              </w:rPr>
            </w:pPr>
            <w:r w:rsidRPr="00A00794">
              <w:rPr>
                <w:rFonts w:cs="Arial"/>
              </w:rPr>
              <w:t>1.63</w:t>
            </w:r>
          </w:p>
        </w:tc>
      </w:tr>
    </w:tbl>
    <w:p w14:paraId="0D421269" w14:textId="77777777" w:rsidR="00623569" w:rsidRDefault="00623569" w:rsidP="00623569">
      <w:pPr>
        <w:pStyle w:val="Tableorfigurenote"/>
      </w:pPr>
      <w:r>
        <w:t>Based on 10-year analysis using a 7% discount and providing the results in 2023 values.</w:t>
      </w:r>
    </w:p>
    <w:p w14:paraId="3AC9060F" w14:textId="77777777" w:rsidR="00623569" w:rsidRDefault="00623569" w:rsidP="00623569">
      <w:pPr>
        <w:spacing w:before="240"/>
      </w:pPr>
      <w:r>
        <w:rPr>
          <w:rFonts w:cs="Arial"/>
          <w:szCs w:val="20"/>
        </w:rPr>
        <w:t>Details of these costs and benefits for each option are presented in the next sections.</w:t>
      </w:r>
    </w:p>
    <w:p w14:paraId="4CFA44F7" w14:textId="77777777" w:rsidR="00623569" w:rsidRDefault="00623569" w:rsidP="00623569">
      <w:pPr>
        <w:pStyle w:val="Heading2"/>
        <w:keepLines/>
      </w:pPr>
      <w:bookmarkStart w:id="47" w:name="_Toc153270569"/>
      <w:bookmarkStart w:id="48" w:name="_Toc155685990"/>
      <w:r>
        <w:lastRenderedPageBreak/>
        <w:t>Option 1 – Status quo</w:t>
      </w:r>
      <w:bookmarkEnd w:id="47"/>
      <w:bookmarkEnd w:id="48"/>
      <w:r>
        <w:t xml:space="preserve"> </w:t>
      </w:r>
    </w:p>
    <w:p w14:paraId="38349791" w14:textId="77777777" w:rsidR="00623569" w:rsidRDefault="00623569" w:rsidP="00623569">
      <w:pPr>
        <w:keepNext/>
        <w:keepLines/>
      </w:pPr>
      <w:r>
        <w:t>As highlighted in preceding sections, the ACMA considers that the current TCP code lacks adequate support for telecommunications customers facing financial difficulties.</w:t>
      </w:r>
    </w:p>
    <w:p w14:paraId="54A7555D" w14:textId="77777777" w:rsidR="00623569" w:rsidRDefault="00623569" w:rsidP="00623569">
      <w:pPr>
        <w:pStyle w:val="Paragraph"/>
        <w:keepNext/>
        <w:keepLines/>
      </w:pPr>
      <w:r>
        <w:t>A comparison of data on the proportion of telecommunication customers on formal financial hardship arrangements with other utilities (such as energy companies) indicates that the telecommunication industry in Australia is behind other industries.</w:t>
      </w:r>
      <w:r>
        <w:rPr>
          <w:rStyle w:val="FootnoteReference"/>
        </w:rPr>
        <w:footnoteReference w:id="46"/>
      </w:r>
    </w:p>
    <w:p w14:paraId="3282B9C3" w14:textId="77777777" w:rsidR="00623569" w:rsidRDefault="00623569" w:rsidP="00623569">
      <w:pPr>
        <w:pStyle w:val="Paragraph"/>
        <w:rPr>
          <w:szCs w:val="20"/>
        </w:rPr>
      </w:pPr>
      <w:r>
        <w:t>Although the TCP code is being reviewed, the ACMA does not anticipate the review would effectively address the issues identified in this impact assessment.</w:t>
      </w:r>
    </w:p>
    <w:p w14:paraId="5C1D33AC" w14:textId="77777777" w:rsidR="00623569" w:rsidRPr="00321CE0" w:rsidRDefault="00623569" w:rsidP="00623569">
      <w:pPr>
        <w:pStyle w:val="Heading3"/>
      </w:pPr>
      <w:bookmarkStart w:id="49" w:name="_Toc155685991"/>
      <w:r w:rsidRPr="00321CE0">
        <w:t>Benefits</w:t>
      </w:r>
      <w:bookmarkEnd w:id="49"/>
      <w:r w:rsidRPr="00321CE0">
        <w:t xml:space="preserve"> </w:t>
      </w:r>
    </w:p>
    <w:p w14:paraId="67543269" w14:textId="77777777" w:rsidR="00623569" w:rsidRDefault="00623569" w:rsidP="00623569">
      <w:pPr>
        <w:pStyle w:val="Paragraph"/>
      </w:pPr>
      <w:r>
        <w:t xml:space="preserve">One of the key benefits of the status quo is that </w:t>
      </w:r>
      <w:r w:rsidRPr="00CA34FE">
        <w:t xml:space="preserve">CSPs </w:t>
      </w:r>
      <w:r>
        <w:t>can</w:t>
      </w:r>
      <w:r w:rsidRPr="00CA34FE">
        <w:t xml:space="preserve"> avoid </w:t>
      </w:r>
      <w:r>
        <w:t xml:space="preserve">costs </w:t>
      </w:r>
      <w:r w:rsidRPr="00CA34FE">
        <w:t xml:space="preserve">associated with implementing </w:t>
      </w:r>
      <w:r>
        <w:t xml:space="preserve">systems and processes to comply with </w:t>
      </w:r>
      <w:r w:rsidRPr="00CA34FE">
        <w:t>new regulat</w:t>
      </w:r>
      <w:r>
        <w:t>ory requirements.</w:t>
      </w:r>
    </w:p>
    <w:p w14:paraId="241ED9B0" w14:textId="77777777" w:rsidR="00623569" w:rsidRPr="007774DD" w:rsidRDefault="00623569" w:rsidP="00623569">
      <w:pPr>
        <w:pStyle w:val="Paragraph"/>
      </w:pPr>
      <w:r>
        <w:t xml:space="preserve">The current regulatory model allows potential </w:t>
      </w:r>
      <w:r w:rsidRPr="008A4DD7">
        <w:t xml:space="preserve">flexibility in addressing financial hardship issues </w:t>
      </w:r>
      <w:r>
        <w:t>through</w:t>
      </w:r>
      <w:r w:rsidRPr="008A4DD7">
        <w:t xml:space="preserve"> industry-led initiatives</w:t>
      </w:r>
      <w:r>
        <w:t>, although, this benefit is not considered significant given the lack of substantial industry action.</w:t>
      </w:r>
    </w:p>
    <w:p w14:paraId="4E91EBDC" w14:textId="77777777" w:rsidR="00623569" w:rsidRPr="00321CE0" w:rsidRDefault="00623569" w:rsidP="00623569">
      <w:pPr>
        <w:pStyle w:val="Heading3"/>
      </w:pPr>
      <w:bookmarkStart w:id="50" w:name="_Toc155685992"/>
      <w:r w:rsidRPr="00321CE0">
        <w:t>Costs</w:t>
      </w:r>
      <w:bookmarkEnd w:id="50"/>
      <w:r w:rsidRPr="00321CE0">
        <w:t xml:space="preserve"> </w:t>
      </w:r>
    </w:p>
    <w:p w14:paraId="4F12363B" w14:textId="77777777" w:rsidR="00623569" w:rsidRDefault="00623569" w:rsidP="00623569">
      <w:pPr>
        <w:pStyle w:val="Paragraph"/>
      </w:pPr>
      <w:r>
        <w:t xml:space="preserve">Various costs are associated with the status quo. These costs largely occur from disconnections of customers from telecommunications services due to non-payment. Further costs arise from the management of complaints by customers to CSPs, the TIO and the ACMA. These costs may have been averted if a different approach had been taken by the CSP to address financial hardship. </w:t>
      </w:r>
    </w:p>
    <w:p w14:paraId="08B75113" w14:textId="77777777" w:rsidR="00623569" w:rsidRDefault="00623569" w:rsidP="00623569">
      <w:pPr>
        <w:pStyle w:val="Paragraph"/>
      </w:pPr>
      <w:r>
        <w:t xml:space="preserve">For example, a different approach may have alleviated the need for disconnection because it could have provided time for a consumer to arrange for a delayed payment of monies owed to the CSP or time for them to re-arrange their finances – allowing CSPs to recover monies owed. In some situations, the disconnection may still occur but </w:t>
      </w:r>
      <w:proofErr w:type="gramStart"/>
      <w:r>
        <w:t>at a later date</w:t>
      </w:r>
      <w:proofErr w:type="gramEnd"/>
      <w:r>
        <w:t xml:space="preserve">. </w:t>
      </w:r>
    </w:p>
    <w:p w14:paraId="7BADFEFF" w14:textId="77777777" w:rsidR="00623569" w:rsidRDefault="00623569" w:rsidP="00623569">
      <w:pPr>
        <w:pStyle w:val="Paragraphbeforelist"/>
      </w:pPr>
      <w:r>
        <w:t>Disconnections due to non-payment lead to several costs, including:</w:t>
      </w:r>
    </w:p>
    <w:p w14:paraId="5D1C6636" w14:textId="77777777" w:rsidR="00623569" w:rsidRPr="001F4F09" w:rsidRDefault="00623569" w:rsidP="00623569">
      <w:pPr>
        <w:pStyle w:val="Bulletlevel1"/>
        <w:tabs>
          <w:tab w:val="clear" w:pos="295"/>
        </w:tabs>
        <w:ind w:left="357" w:hanging="357"/>
      </w:pPr>
      <w:r w:rsidRPr="005229B1">
        <w:rPr>
          <w:i/>
          <w:iCs/>
        </w:rPr>
        <w:t>Consumers</w:t>
      </w:r>
      <w:r w:rsidRPr="00976B99">
        <w:rPr>
          <w:b/>
          <w:bCs/>
        </w:rPr>
        <w:t>:</w:t>
      </w:r>
      <w:r>
        <w:t xml:space="preserve"> In addition to incurring CSP fees to reconnect their service, disconnection can impact access to services, reduce opportunities, potentially affecting vulnerable groups, cause stress and anxiety, have negative credit consequences create social exclusion, and sacrifices in other areas of life. Further costs to consumers could arise from them making a complaint about their disconnection to their CSP, the TIO or ACMA.</w:t>
      </w:r>
    </w:p>
    <w:p w14:paraId="2589FCE9" w14:textId="77777777" w:rsidR="00623569" w:rsidRPr="004769C3" w:rsidRDefault="00623569" w:rsidP="00623569">
      <w:pPr>
        <w:pStyle w:val="Bulletlevel1"/>
        <w:tabs>
          <w:tab w:val="clear" w:pos="295"/>
        </w:tabs>
        <w:ind w:left="357" w:hanging="357"/>
        <w:rPr>
          <w:b/>
          <w:bCs/>
        </w:rPr>
      </w:pPr>
      <w:r w:rsidRPr="005229B1">
        <w:rPr>
          <w:i/>
          <w:iCs/>
        </w:rPr>
        <w:t>CSPs</w:t>
      </w:r>
      <w:r w:rsidRPr="00976B99">
        <w:rPr>
          <w:b/>
          <w:bCs/>
        </w:rPr>
        <w:t>:</w:t>
      </w:r>
      <w:r>
        <w:rPr>
          <w:b/>
          <w:bCs/>
        </w:rPr>
        <w:t xml:space="preserve"> </w:t>
      </w:r>
      <w:r>
        <w:t>incur costs related to disconnecting and reconnecting consumers, along with dealing with customer complaints on financial hardship.</w:t>
      </w:r>
    </w:p>
    <w:p w14:paraId="39B84193" w14:textId="77777777" w:rsidR="00623569" w:rsidRPr="008D2FC2" w:rsidRDefault="00623569" w:rsidP="00623569">
      <w:pPr>
        <w:pStyle w:val="Bulletlevel1"/>
        <w:tabs>
          <w:tab w:val="clear" w:pos="295"/>
        </w:tabs>
        <w:ind w:left="357" w:hanging="357"/>
        <w:rPr>
          <w:b/>
          <w:bCs/>
        </w:rPr>
      </w:pPr>
      <w:r w:rsidRPr="005229B1">
        <w:rPr>
          <w:i/>
          <w:iCs/>
        </w:rPr>
        <w:t>TIO</w:t>
      </w:r>
      <w:r>
        <w:rPr>
          <w:b/>
          <w:bCs/>
        </w:rPr>
        <w:t xml:space="preserve">: </w:t>
      </w:r>
      <w:r>
        <w:t xml:space="preserve">incur costs engaging with consumers on complaints relating to financial hardship, recovered </w:t>
      </w:r>
      <w:r w:rsidRPr="008D2FC2">
        <w:t>through membership fees that are charged to the CSPs.</w:t>
      </w:r>
    </w:p>
    <w:p w14:paraId="6CB87074" w14:textId="77777777" w:rsidR="00623569" w:rsidRPr="009979C0" w:rsidRDefault="00623569" w:rsidP="00AC69D1">
      <w:pPr>
        <w:pStyle w:val="Bulletlevel1last"/>
        <w:numPr>
          <w:ilvl w:val="0"/>
          <w:numId w:val="2"/>
        </w:numPr>
        <w:tabs>
          <w:tab w:val="clear" w:pos="295"/>
        </w:tabs>
        <w:ind w:left="357" w:hanging="357"/>
        <w:rPr>
          <w:b/>
          <w:bCs/>
        </w:rPr>
      </w:pPr>
      <w:r w:rsidRPr="005229B1">
        <w:rPr>
          <w:i/>
          <w:iCs/>
        </w:rPr>
        <w:t>ACMA</w:t>
      </w:r>
      <w:r w:rsidRPr="009979C0">
        <w:rPr>
          <w:b/>
          <w:bCs/>
        </w:rPr>
        <w:t xml:space="preserve">: </w:t>
      </w:r>
      <w:r>
        <w:t>incurs costs through engaging with consumers on complaints relating to financial hardship, educating consumers and industry, and compliance monitoring and enforcement of TCP Code rules.</w:t>
      </w:r>
    </w:p>
    <w:p w14:paraId="7ABEF9FD" w14:textId="77777777" w:rsidR="00623569" w:rsidRDefault="00623569" w:rsidP="00623569">
      <w:pPr>
        <w:pStyle w:val="Paragraph"/>
      </w:pPr>
      <w:r>
        <w:t>These costs are considered higher than they would be under Options 2A and 2B, as the status quo does not robustly address financial hardship issues, providing a rationale for considering Option 2A and 2B.</w:t>
      </w:r>
    </w:p>
    <w:p w14:paraId="0B8955D3" w14:textId="77777777" w:rsidR="00623569" w:rsidRPr="009E5022" w:rsidRDefault="00623569" w:rsidP="00623569">
      <w:pPr>
        <w:pStyle w:val="Heading3"/>
      </w:pPr>
      <w:bookmarkStart w:id="51" w:name="_Toc155685993"/>
      <w:r w:rsidRPr="009E5022">
        <w:lastRenderedPageBreak/>
        <w:t xml:space="preserve">Current disconnections that could have benefited from financial hardship </w:t>
      </w:r>
      <w:proofErr w:type="gramStart"/>
      <w:r w:rsidRPr="009E5022">
        <w:t>arrangements</w:t>
      </w:r>
      <w:bookmarkEnd w:id="51"/>
      <w:proofErr w:type="gramEnd"/>
    </w:p>
    <w:p w14:paraId="2EAE3D52" w14:textId="77777777" w:rsidR="00623569" w:rsidRDefault="00623569" w:rsidP="00623569">
      <w:pPr>
        <w:pStyle w:val="Paragraph"/>
      </w:pPr>
      <w:r>
        <w:t xml:space="preserve">The primary driver of costs is the number of disconnections due to financial hardship issues. Based on industry data, the total number of consumers disconnected during 2021–22 because they could not pay their </w:t>
      </w:r>
      <w:proofErr w:type="gramStart"/>
      <w:r>
        <w:t>telecommunications bill, and</w:t>
      </w:r>
      <w:proofErr w:type="gramEnd"/>
      <w:r>
        <w:t xml:space="preserve"> could have benefited from financial hardship arrangements with their CSP, was estimated at 236,332.</w:t>
      </w:r>
      <w:r>
        <w:rPr>
          <w:rStyle w:val="FootnoteReference"/>
          <w:szCs w:val="20"/>
        </w:rPr>
        <w:footnoteReference w:id="47"/>
      </w:r>
      <w:r>
        <w:t xml:space="preserve"> This is in addition to the </w:t>
      </w:r>
      <w:r w:rsidRPr="00E85499">
        <w:t>4,388</w:t>
      </w:r>
      <w:r>
        <w:t xml:space="preserve"> customers who are currently on formal financial hardship arrangements.</w:t>
      </w:r>
      <w:r>
        <w:rPr>
          <w:rStyle w:val="FootnoteReference"/>
          <w:szCs w:val="20"/>
        </w:rPr>
        <w:footnoteReference w:id="48"/>
      </w:r>
      <w:r>
        <w:t xml:space="preserve">  </w:t>
      </w:r>
    </w:p>
    <w:p w14:paraId="6D733912" w14:textId="77777777" w:rsidR="00623569" w:rsidRDefault="00623569" w:rsidP="00623569">
      <w:pPr>
        <w:pStyle w:val="Paragraph"/>
        <w:rPr>
          <w:szCs w:val="20"/>
        </w:rPr>
      </w:pPr>
      <w:proofErr w:type="gramStart"/>
      <w:r>
        <w:rPr>
          <w:szCs w:val="20"/>
        </w:rPr>
        <w:t>This 236,332 estimate</w:t>
      </w:r>
      <w:proofErr w:type="gramEnd"/>
      <w:r>
        <w:rPr>
          <w:rStyle w:val="FootnoteReference"/>
          <w:szCs w:val="20"/>
        </w:rPr>
        <w:footnoteReference w:id="49"/>
      </w:r>
      <w:r>
        <w:rPr>
          <w:szCs w:val="20"/>
        </w:rPr>
        <w:t xml:space="preserve"> appears to be a low estimate or underestimate of the total population who should be eligible for financial hardship provisions, noting this is significantly less than the estimated </w:t>
      </w:r>
      <w:r w:rsidRPr="00A467DB">
        <w:rPr>
          <w:szCs w:val="20"/>
        </w:rPr>
        <w:t>2.4 million Australian adults facing financial difficulty or concerned about their telec</w:t>
      </w:r>
      <w:r>
        <w:rPr>
          <w:szCs w:val="20"/>
        </w:rPr>
        <w:t>ommunications</w:t>
      </w:r>
      <w:r w:rsidRPr="00A467DB">
        <w:rPr>
          <w:szCs w:val="20"/>
        </w:rPr>
        <w:t xml:space="preserve"> bill</w:t>
      </w:r>
      <w:r>
        <w:rPr>
          <w:szCs w:val="20"/>
        </w:rPr>
        <w:t xml:space="preserve">. We do note that some of these 236,332 customers may not have benefited from financial hardship status. On balance, 236,332 is considered a reasonable – but conservative – estimate of the population that should be eligible for formal hardship provisions for use in this impact assessment.  </w:t>
      </w:r>
    </w:p>
    <w:p w14:paraId="78614FE9" w14:textId="77777777" w:rsidR="00623569" w:rsidRPr="002016BC" w:rsidRDefault="00623569" w:rsidP="00623569">
      <w:pPr>
        <w:pStyle w:val="Heading3"/>
      </w:pPr>
      <w:bookmarkStart w:id="52" w:name="_Toc155685994"/>
      <w:r w:rsidRPr="002016BC">
        <w:t>Current complaints due to financial hardship issues</w:t>
      </w:r>
      <w:bookmarkEnd w:id="52"/>
    </w:p>
    <w:p w14:paraId="48439EE5" w14:textId="77777777" w:rsidR="00623569" w:rsidRDefault="00623569" w:rsidP="00623569">
      <w:pPr>
        <w:pStyle w:val="Paragraph"/>
        <w:rPr>
          <w:szCs w:val="20"/>
        </w:rPr>
      </w:pPr>
      <w:r>
        <w:rPr>
          <w:szCs w:val="20"/>
        </w:rPr>
        <w:t>The total number of complaints due to financial hardship issues across CSPs, the TIO and the ACMA in 2022–23 is around 27,000 This represents approximately 2.5 per cent of all telco complaints. See Table 2.</w:t>
      </w:r>
    </w:p>
    <w:p w14:paraId="65339DC4" w14:textId="77777777" w:rsidR="00623569" w:rsidRDefault="00623569" w:rsidP="00623569">
      <w:pPr>
        <w:pStyle w:val="Tableheading"/>
        <w:rPr>
          <w:rFonts w:eastAsia="Calibri"/>
          <w:lang w:eastAsia="en-US"/>
        </w:rPr>
      </w:pPr>
      <w:r w:rsidRPr="00D2585A">
        <w:t xml:space="preserve">Complaints relating to financial hardship </w:t>
      </w:r>
      <w:proofErr w:type="gramStart"/>
      <w:r w:rsidRPr="00D2585A">
        <w:t>issues</w:t>
      </w:r>
      <w:proofErr w:type="gramEnd"/>
    </w:p>
    <w:tbl>
      <w:tblPr>
        <w:tblStyle w:val="TableGrid"/>
        <w:tblW w:w="5733" w:type="pct"/>
        <w:tblCellMar>
          <w:top w:w="85" w:type="dxa"/>
          <w:left w:w="85" w:type="dxa"/>
          <w:bottom w:w="85" w:type="dxa"/>
          <w:right w:w="85" w:type="dxa"/>
        </w:tblCellMar>
        <w:tblLook w:val="04A0" w:firstRow="1" w:lastRow="0" w:firstColumn="1" w:lastColumn="0" w:noHBand="0" w:noVBand="1"/>
      </w:tblPr>
      <w:tblGrid>
        <w:gridCol w:w="2196"/>
        <w:gridCol w:w="2196"/>
        <w:gridCol w:w="2196"/>
        <w:gridCol w:w="2196"/>
      </w:tblGrid>
      <w:tr w:rsidR="00623569" w:rsidRPr="006C1066" w14:paraId="1BF94740" w14:textId="77777777" w:rsidTr="001517F2">
        <w:trPr>
          <w:cantSplit/>
          <w:tblHeader/>
        </w:trPr>
        <w:tc>
          <w:tcPr>
            <w:tcW w:w="1250" w:type="pct"/>
            <w:shd w:val="clear" w:color="auto" w:fill="404040" w:themeFill="text1" w:themeFillTint="BF"/>
          </w:tcPr>
          <w:p w14:paraId="08385B99" w14:textId="77777777" w:rsidR="00623569" w:rsidRPr="00CC1140" w:rsidRDefault="00623569" w:rsidP="001517F2">
            <w:pPr>
              <w:pStyle w:val="Paragraph"/>
              <w:keepNext/>
              <w:keepLines/>
              <w:spacing w:after="0"/>
              <w:rPr>
                <w:rFonts w:eastAsia="Calibri"/>
                <w:b/>
                <w:bCs/>
                <w:color w:val="FFFFFF" w:themeColor="background1"/>
                <w:szCs w:val="20"/>
                <w:lang w:eastAsia="en-US"/>
              </w:rPr>
            </w:pPr>
            <w:r w:rsidRPr="00CC1140">
              <w:rPr>
                <w:b/>
                <w:bCs/>
                <w:color w:val="FFFFFF" w:themeColor="background1"/>
              </w:rPr>
              <w:t>Category of customer</w:t>
            </w:r>
          </w:p>
        </w:tc>
        <w:tc>
          <w:tcPr>
            <w:tcW w:w="1250" w:type="pct"/>
            <w:shd w:val="clear" w:color="auto" w:fill="404040" w:themeFill="text1" w:themeFillTint="BF"/>
          </w:tcPr>
          <w:p w14:paraId="751EA591" w14:textId="77777777" w:rsidR="00623569" w:rsidRPr="00CC1140" w:rsidRDefault="00623569" w:rsidP="001517F2">
            <w:pPr>
              <w:pStyle w:val="Paragraph"/>
              <w:keepNext/>
              <w:keepLines/>
              <w:spacing w:after="0"/>
              <w:jc w:val="right"/>
              <w:rPr>
                <w:rFonts w:eastAsia="Calibri"/>
                <w:b/>
                <w:bCs/>
                <w:color w:val="FFFFFF" w:themeColor="background1"/>
                <w:szCs w:val="20"/>
                <w:lang w:eastAsia="en-US"/>
              </w:rPr>
            </w:pPr>
            <w:r w:rsidRPr="00CC1140">
              <w:rPr>
                <w:b/>
                <w:bCs/>
                <w:color w:val="FFFFFF" w:themeColor="background1"/>
              </w:rPr>
              <w:t>Total number of complaints</w:t>
            </w:r>
          </w:p>
        </w:tc>
        <w:tc>
          <w:tcPr>
            <w:tcW w:w="1250" w:type="pct"/>
            <w:shd w:val="clear" w:color="auto" w:fill="404040" w:themeFill="text1" w:themeFillTint="BF"/>
          </w:tcPr>
          <w:p w14:paraId="33C2933A" w14:textId="77777777" w:rsidR="00623569" w:rsidRPr="00CC1140" w:rsidRDefault="00623569" w:rsidP="001517F2">
            <w:pPr>
              <w:pStyle w:val="Paragraph"/>
              <w:keepNext/>
              <w:keepLines/>
              <w:spacing w:after="0"/>
              <w:jc w:val="right"/>
              <w:rPr>
                <w:rFonts w:eastAsia="Calibri"/>
                <w:b/>
                <w:bCs/>
                <w:color w:val="FFFFFF" w:themeColor="background1"/>
                <w:szCs w:val="20"/>
                <w:lang w:eastAsia="en-US"/>
              </w:rPr>
            </w:pPr>
            <w:r w:rsidRPr="00CC1140">
              <w:rPr>
                <w:b/>
                <w:bCs/>
                <w:color w:val="FFFFFF" w:themeColor="background1"/>
              </w:rPr>
              <w:t>Total number of complaints relating to financial hardship</w:t>
            </w:r>
          </w:p>
        </w:tc>
        <w:tc>
          <w:tcPr>
            <w:tcW w:w="1250" w:type="pct"/>
            <w:shd w:val="clear" w:color="auto" w:fill="404040" w:themeFill="text1" w:themeFillTint="BF"/>
          </w:tcPr>
          <w:p w14:paraId="4A96F31C" w14:textId="77777777" w:rsidR="00623569" w:rsidRPr="00CC1140" w:rsidRDefault="00623569" w:rsidP="001517F2">
            <w:pPr>
              <w:pStyle w:val="Paragraph"/>
              <w:keepNext/>
              <w:keepLines/>
              <w:spacing w:after="0"/>
              <w:jc w:val="right"/>
              <w:rPr>
                <w:rFonts w:eastAsia="Calibri"/>
                <w:b/>
                <w:bCs/>
                <w:color w:val="FFFFFF" w:themeColor="background1"/>
                <w:szCs w:val="20"/>
                <w:lang w:eastAsia="en-US"/>
              </w:rPr>
            </w:pPr>
            <w:r w:rsidRPr="00CC1140">
              <w:rPr>
                <w:b/>
                <w:bCs/>
                <w:color w:val="FFFFFF" w:themeColor="background1"/>
              </w:rPr>
              <w:t>% of complaints relating to financial hardship</w:t>
            </w:r>
          </w:p>
        </w:tc>
      </w:tr>
      <w:tr w:rsidR="00623569" w:rsidRPr="003308A1" w14:paraId="2476FA79" w14:textId="77777777" w:rsidTr="001517F2">
        <w:trPr>
          <w:cantSplit/>
        </w:trPr>
        <w:tc>
          <w:tcPr>
            <w:tcW w:w="1250" w:type="pct"/>
          </w:tcPr>
          <w:p w14:paraId="452F2011" w14:textId="77777777" w:rsidR="00623569" w:rsidRPr="002A54B2" w:rsidRDefault="00623569" w:rsidP="001517F2">
            <w:pPr>
              <w:pStyle w:val="Paragraph"/>
              <w:keepNext/>
              <w:keepLines/>
              <w:spacing w:after="0"/>
              <w:rPr>
                <w:rFonts w:eastAsia="Calibri"/>
                <w:bCs/>
                <w:szCs w:val="20"/>
                <w:lang w:eastAsia="en-US"/>
              </w:rPr>
            </w:pPr>
            <w:r w:rsidRPr="000C1B82">
              <w:t>Complaints to CSPs</w:t>
            </w:r>
          </w:p>
        </w:tc>
        <w:tc>
          <w:tcPr>
            <w:tcW w:w="1250" w:type="pct"/>
          </w:tcPr>
          <w:p w14:paraId="3BEE0065" w14:textId="77777777" w:rsidR="00623569" w:rsidRPr="003308A1" w:rsidRDefault="00623569" w:rsidP="001517F2">
            <w:pPr>
              <w:pStyle w:val="Paragraph"/>
              <w:keepNext/>
              <w:keepLines/>
              <w:spacing w:after="0"/>
              <w:jc w:val="right"/>
              <w:rPr>
                <w:rFonts w:eastAsia="Calibri"/>
                <w:szCs w:val="20"/>
                <w:lang w:eastAsia="en-US"/>
              </w:rPr>
            </w:pPr>
            <w:r w:rsidRPr="000C1B82">
              <w:t>1,037,823</w:t>
            </w:r>
          </w:p>
        </w:tc>
        <w:tc>
          <w:tcPr>
            <w:tcW w:w="1250" w:type="pct"/>
          </w:tcPr>
          <w:p w14:paraId="349202D3" w14:textId="77777777" w:rsidR="00623569" w:rsidRDefault="00623569" w:rsidP="001517F2">
            <w:pPr>
              <w:pStyle w:val="Paragraph"/>
              <w:keepNext/>
              <w:keepLines/>
              <w:spacing w:after="0"/>
              <w:jc w:val="right"/>
            </w:pPr>
            <w:r w:rsidRPr="000C1B82">
              <w:t>25,544</w:t>
            </w:r>
          </w:p>
        </w:tc>
        <w:tc>
          <w:tcPr>
            <w:tcW w:w="1250" w:type="pct"/>
          </w:tcPr>
          <w:p w14:paraId="60833437" w14:textId="77777777" w:rsidR="00623569" w:rsidRDefault="00623569" w:rsidP="001517F2">
            <w:pPr>
              <w:pStyle w:val="Paragraph"/>
              <w:keepNext/>
              <w:keepLines/>
              <w:spacing w:after="0"/>
              <w:jc w:val="right"/>
            </w:pPr>
            <w:r w:rsidRPr="000C1B82">
              <w:t>2.5%</w:t>
            </w:r>
          </w:p>
        </w:tc>
      </w:tr>
      <w:tr w:rsidR="00623569" w:rsidRPr="003308A1" w14:paraId="63FC9A1A" w14:textId="77777777" w:rsidTr="001517F2">
        <w:trPr>
          <w:cantSplit/>
        </w:trPr>
        <w:tc>
          <w:tcPr>
            <w:tcW w:w="1250" w:type="pct"/>
          </w:tcPr>
          <w:p w14:paraId="0373BB4B" w14:textId="77777777" w:rsidR="00623569" w:rsidRPr="002A54B2" w:rsidRDefault="00623569" w:rsidP="001517F2">
            <w:pPr>
              <w:pStyle w:val="Paragraph"/>
              <w:keepNext/>
              <w:keepLines/>
              <w:spacing w:after="0"/>
              <w:rPr>
                <w:rFonts w:eastAsia="Calibri"/>
                <w:bCs/>
                <w:szCs w:val="20"/>
                <w:lang w:eastAsia="en-US"/>
              </w:rPr>
            </w:pPr>
            <w:r w:rsidRPr="000C1B82">
              <w:t>Complaints to TIO</w:t>
            </w:r>
          </w:p>
        </w:tc>
        <w:tc>
          <w:tcPr>
            <w:tcW w:w="1250" w:type="pct"/>
          </w:tcPr>
          <w:p w14:paraId="09E4DCBA" w14:textId="77777777" w:rsidR="00623569" w:rsidRPr="003308A1" w:rsidRDefault="00623569" w:rsidP="001517F2">
            <w:pPr>
              <w:pStyle w:val="Paragraph"/>
              <w:keepNext/>
              <w:keepLines/>
              <w:spacing w:after="0"/>
              <w:jc w:val="right"/>
              <w:rPr>
                <w:rFonts w:eastAsia="Calibri"/>
                <w:szCs w:val="20"/>
                <w:lang w:eastAsia="en-US"/>
              </w:rPr>
            </w:pPr>
            <w:r w:rsidRPr="000C1B82">
              <w:t>66,388</w:t>
            </w:r>
          </w:p>
        </w:tc>
        <w:tc>
          <w:tcPr>
            <w:tcW w:w="1250" w:type="pct"/>
          </w:tcPr>
          <w:p w14:paraId="2BF4930E" w14:textId="77777777" w:rsidR="00623569" w:rsidRDefault="00623569" w:rsidP="001517F2">
            <w:pPr>
              <w:pStyle w:val="Paragraph"/>
              <w:keepNext/>
              <w:keepLines/>
              <w:spacing w:after="0"/>
              <w:jc w:val="right"/>
            </w:pPr>
            <w:r w:rsidRPr="000C1B82">
              <w:t>1,634</w:t>
            </w:r>
          </w:p>
        </w:tc>
        <w:tc>
          <w:tcPr>
            <w:tcW w:w="1250" w:type="pct"/>
          </w:tcPr>
          <w:p w14:paraId="60BA3E80" w14:textId="77777777" w:rsidR="00623569" w:rsidRDefault="00623569" w:rsidP="001517F2">
            <w:pPr>
              <w:pStyle w:val="Paragraph"/>
              <w:keepNext/>
              <w:keepLines/>
              <w:spacing w:after="0"/>
              <w:jc w:val="right"/>
            </w:pPr>
            <w:r w:rsidRPr="000C1B82">
              <w:t>2.5%</w:t>
            </w:r>
          </w:p>
        </w:tc>
      </w:tr>
      <w:tr w:rsidR="00623569" w:rsidRPr="003308A1" w14:paraId="00197BA5" w14:textId="77777777" w:rsidTr="001517F2">
        <w:trPr>
          <w:cantSplit/>
        </w:trPr>
        <w:tc>
          <w:tcPr>
            <w:tcW w:w="1250" w:type="pct"/>
          </w:tcPr>
          <w:p w14:paraId="6CB0BCF9" w14:textId="77777777" w:rsidR="00623569" w:rsidRPr="002A54B2" w:rsidRDefault="00623569" w:rsidP="001517F2">
            <w:pPr>
              <w:pStyle w:val="Paragraph"/>
              <w:keepNext/>
              <w:keepLines/>
              <w:spacing w:after="0"/>
              <w:rPr>
                <w:rFonts w:eastAsia="Calibri"/>
                <w:bCs/>
                <w:szCs w:val="20"/>
                <w:lang w:eastAsia="en-US"/>
              </w:rPr>
            </w:pPr>
            <w:r w:rsidRPr="000C1B82">
              <w:t>Complaints to ACMA</w:t>
            </w:r>
          </w:p>
        </w:tc>
        <w:tc>
          <w:tcPr>
            <w:tcW w:w="1250" w:type="pct"/>
          </w:tcPr>
          <w:p w14:paraId="534E7B04" w14:textId="77777777" w:rsidR="00623569" w:rsidRPr="003308A1" w:rsidRDefault="00623569" w:rsidP="001517F2">
            <w:pPr>
              <w:pStyle w:val="Paragraph"/>
              <w:keepNext/>
              <w:keepLines/>
              <w:spacing w:after="0"/>
              <w:jc w:val="right"/>
              <w:rPr>
                <w:rFonts w:eastAsia="Calibri"/>
                <w:szCs w:val="20"/>
                <w:lang w:eastAsia="en-US"/>
              </w:rPr>
            </w:pPr>
            <w:r>
              <w:t>500</w:t>
            </w:r>
          </w:p>
        </w:tc>
        <w:tc>
          <w:tcPr>
            <w:tcW w:w="1250" w:type="pct"/>
          </w:tcPr>
          <w:p w14:paraId="04D22B4A" w14:textId="77777777" w:rsidR="00623569" w:rsidRPr="00637629" w:rsidRDefault="00623569" w:rsidP="001517F2">
            <w:pPr>
              <w:pStyle w:val="Paragraph"/>
              <w:keepNext/>
              <w:keepLines/>
              <w:spacing w:after="0"/>
              <w:jc w:val="right"/>
            </w:pPr>
            <w:r>
              <w:t>95</w:t>
            </w:r>
          </w:p>
        </w:tc>
        <w:tc>
          <w:tcPr>
            <w:tcW w:w="1250" w:type="pct"/>
          </w:tcPr>
          <w:p w14:paraId="0DD35967" w14:textId="77777777" w:rsidR="00623569" w:rsidRPr="00637629" w:rsidRDefault="00623569" w:rsidP="001517F2">
            <w:pPr>
              <w:pStyle w:val="Paragraph"/>
              <w:keepNext/>
              <w:keepLines/>
              <w:spacing w:after="0"/>
              <w:jc w:val="right"/>
            </w:pPr>
            <w:r>
              <w:t>19%</w:t>
            </w:r>
            <w:r w:rsidRPr="000C1B82">
              <w:t>.</w:t>
            </w:r>
          </w:p>
        </w:tc>
      </w:tr>
      <w:tr w:rsidR="00623569" w:rsidRPr="003308A1" w14:paraId="43F0E352" w14:textId="77777777" w:rsidTr="001517F2">
        <w:trPr>
          <w:cantSplit/>
        </w:trPr>
        <w:tc>
          <w:tcPr>
            <w:tcW w:w="1250" w:type="pct"/>
          </w:tcPr>
          <w:p w14:paraId="6CA91765" w14:textId="77777777" w:rsidR="00623569" w:rsidRPr="00E06E5E" w:rsidRDefault="00623569" w:rsidP="001517F2">
            <w:pPr>
              <w:pStyle w:val="Paragraph"/>
              <w:keepNext/>
              <w:keepLines/>
              <w:spacing w:after="0"/>
              <w:rPr>
                <w:rFonts w:eastAsia="Calibri"/>
                <w:b/>
                <w:bCs/>
                <w:szCs w:val="20"/>
                <w:lang w:eastAsia="en-US"/>
              </w:rPr>
            </w:pPr>
            <w:r w:rsidRPr="000C1B82">
              <w:t>Total number of complaints</w:t>
            </w:r>
          </w:p>
        </w:tc>
        <w:tc>
          <w:tcPr>
            <w:tcW w:w="1250" w:type="pct"/>
          </w:tcPr>
          <w:p w14:paraId="2DF36F36" w14:textId="77777777" w:rsidR="00623569" w:rsidRPr="00E06E5E" w:rsidRDefault="00623569" w:rsidP="001517F2">
            <w:pPr>
              <w:pStyle w:val="Paragraph"/>
              <w:keepNext/>
              <w:keepLines/>
              <w:spacing w:after="0"/>
              <w:jc w:val="right"/>
              <w:rPr>
                <w:rFonts w:eastAsia="Calibri"/>
                <w:b/>
                <w:bCs/>
                <w:szCs w:val="20"/>
                <w:lang w:eastAsia="en-US"/>
              </w:rPr>
            </w:pPr>
            <w:r w:rsidRPr="000C1B82">
              <w:t>1,104,211</w:t>
            </w:r>
          </w:p>
        </w:tc>
        <w:tc>
          <w:tcPr>
            <w:tcW w:w="1250" w:type="pct"/>
          </w:tcPr>
          <w:p w14:paraId="6EFE32EC" w14:textId="77777777" w:rsidR="00623569" w:rsidRPr="00E06E5E" w:rsidRDefault="00623569" w:rsidP="001517F2">
            <w:pPr>
              <w:pStyle w:val="Paragraph"/>
              <w:keepNext/>
              <w:keepLines/>
              <w:spacing w:after="0"/>
              <w:jc w:val="right"/>
              <w:rPr>
                <w:b/>
                <w:bCs/>
              </w:rPr>
            </w:pPr>
            <w:r w:rsidRPr="000C1B82">
              <w:t>27,258</w:t>
            </w:r>
          </w:p>
        </w:tc>
        <w:tc>
          <w:tcPr>
            <w:tcW w:w="1250" w:type="pct"/>
          </w:tcPr>
          <w:p w14:paraId="28F46C71" w14:textId="77777777" w:rsidR="00623569" w:rsidRPr="00E06E5E" w:rsidRDefault="00623569" w:rsidP="001517F2">
            <w:pPr>
              <w:pStyle w:val="Paragraph"/>
              <w:keepNext/>
              <w:keepLines/>
              <w:spacing w:after="0"/>
              <w:jc w:val="right"/>
              <w:rPr>
                <w:b/>
                <w:bCs/>
              </w:rPr>
            </w:pPr>
            <w:r w:rsidRPr="000C1B82">
              <w:t>2.5%</w:t>
            </w:r>
          </w:p>
        </w:tc>
      </w:tr>
    </w:tbl>
    <w:p w14:paraId="0B4DAA71" w14:textId="77777777" w:rsidR="00623569" w:rsidRPr="00306EE8" w:rsidRDefault="00623569" w:rsidP="00623569">
      <w:pPr>
        <w:pStyle w:val="Tableorfigurenote"/>
      </w:pPr>
      <w:r w:rsidRPr="007A4F35">
        <w:t xml:space="preserve">Source: </w:t>
      </w:r>
      <w:r w:rsidRPr="00306EE8">
        <w:t xml:space="preserve">Total complaints relating to financial hardship </w:t>
      </w:r>
      <w:r>
        <w:t>to</w:t>
      </w:r>
      <w:r w:rsidRPr="00306EE8">
        <w:t xml:space="preserve"> TIO sourced from TIO </w:t>
      </w:r>
      <w:r>
        <w:t>2022–23</w:t>
      </w:r>
      <w:r w:rsidRPr="00306EE8">
        <w:t xml:space="preserve"> Annual report, pages 79 and 86. The total number of complaints relating to financial hardship for CSPs is based on the total number of complaints </w:t>
      </w:r>
      <w:r>
        <w:t>as reported to the ACMA (by CSPs with more than 30,000 services in operation)</w:t>
      </w:r>
      <w:r w:rsidRPr="00306EE8">
        <w:t xml:space="preserve"> multiplied by 2.5%, which is the proportion of complaints relating to financial hardship for the TIO.</w:t>
      </w:r>
    </w:p>
    <w:p w14:paraId="3D9068DF" w14:textId="77777777" w:rsidR="00623569" w:rsidRPr="00306EE8" w:rsidRDefault="00623569" w:rsidP="00623569">
      <w:pPr>
        <w:pStyle w:val="Heading3"/>
      </w:pPr>
      <w:bookmarkStart w:id="53" w:name="_Toc155685995"/>
      <w:r w:rsidRPr="00306EE8">
        <w:t>Current cost of compliance, complaints and reconnections</w:t>
      </w:r>
      <w:bookmarkEnd w:id="53"/>
    </w:p>
    <w:p w14:paraId="68141936" w14:textId="77777777" w:rsidR="00623569" w:rsidRDefault="00623569" w:rsidP="00623569">
      <w:pPr>
        <w:pStyle w:val="Paragraph"/>
      </w:pPr>
      <w:r>
        <w:t xml:space="preserve">Our </w:t>
      </w:r>
      <w:r w:rsidRPr="00FD04A6">
        <w:t xml:space="preserve">estimate </w:t>
      </w:r>
      <w:r>
        <w:t xml:space="preserve">of </w:t>
      </w:r>
      <w:r w:rsidRPr="00FD04A6">
        <w:t xml:space="preserve">the current costs of compliance </w:t>
      </w:r>
      <w:r>
        <w:t>is shown in Table 3.</w:t>
      </w:r>
    </w:p>
    <w:p w14:paraId="66182387" w14:textId="77777777" w:rsidR="00623569" w:rsidRDefault="00623569" w:rsidP="00623569">
      <w:pPr>
        <w:pStyle w:val="Tableheading"/>
      </w:pPr>
      <w:r>
        <w:lastRenderedPageBreak/>
        <w:t>Status quo costs</w:t>
      </w:r>
    </w:p>
    <w:tbl>
      <w:tblPr>
        <w:tblStyle w:val="ACMAtablestyle"/>
        <w:tblW w:w="8642" w:type="dxa"/>
        <w:tblLook w:val="04A0" w:firstRow="1" w:lastRow="0" w:firstColumn="1" w:lastColumn="0" w:noHBand="0" w:noVBand="1"/>
      </w:tblPr>
      <w:tblGrid>
        <w:gridCol w:w="2119"/>
        <w:gridCol w:w="1334"/>
        <w:gridCol w:w="5189"/>
      </w:tblGrid>
      <w:tr w:rsidR="00623569" w:rsidRPr="00B83C77" w14:paraId="31711264" w14:textId="77777777" w:rsidTr="001517F2">
        <w:trPr>
          <w:cnfStyle w:val="100000000000" w:firstRow="1" w:lastRow="0" w:firstColumn="0" w:lastColumn="0" w:oddVBand="0" w:evenVBand="0" w:oddHBand="0" w:evenHBand="0" w:firstRowFirstColumn="0" w:firstRowLastColumn="0" w:lastRowFirstColumn="0" w:lastRowLastColumn="0"/>
        </w:trPr>
        <w:tc>
          <w:tcPr>
            <w:tcW w:w="2119" w:type="dxa"/>
          </w:tcPr>
          <w:p w14:paraId="4717D5FF" w14:textId="77777777" w:rsidR="00623569" w:rsidRPr="009A62D2" w:rsidRDefault="00623569" w:rsidP="001517F2">
            <w:pPr>
              <w:pStyle w:val="Paragraph"/>
              <w:spacing w:after="0"/>
              <w:rPr>
                <w:b/>
                <w:bCs/>
              </w:rPr>
            </w:pPr>
            <w:r w:rsidRPr="009A62D2">
              <w:rPr>
                <w:b/>
                <w:bCs/>
              </w:rPr>
              <w:t xml:space="preserve">Input </w:t>
            </w:r>
          </w:p>
        </w:tc>
        <w:tc>
          <w:tcPr>
            <w:tcW w:w="1334" w:type="dxa"/>
          </w:tcPr>
          <w:p w14:paraId="78797D50" w14:textId="77777777" w:rsidR="00623569" w:rsidRPr="009A62D2" w:rsidRDefault="00623569" w:rsidP="001517F2">
            <w:pPr>
              <w:pStyle w:val="Paragraph"/>
              <w:spacing w:after="0"/>
              <w:rPr>
                <w:b/>
                <w:bCs/>
              </w:rPr>
            </w:pPr>
            <w:r w:rsidRPr="009A62D2">
              <w:rPr>
                <w:b/>
                <w:bCs/>
              </w:rPr>
              <w:t>Value</w:t>
            </w:r>
          </w:p>
        </w:tc>
        <w:tc>
          <w:tcPr>
            <w:tcW w:w="5189" w:type="dxa"/>
          </w:tcPr>
          <w:p w14:paraId="67C9528E" w14:textId="77777777" w:rsidR="00623569" w:rsidRPr="009A62D2" w:rsidRDefault="00623569" w:rsidP="001517F2">
            <w:pPr>
              <w:pStyle w:val="Paragraph"/>
              <w:spacing w:after="0"/>
              <w:rPr>
                <w:b/>
                <w:bCs/>
              </w:rPr>
            </w:pPr>
            <w:r w:rsidRPr="009A62D2">
              <w:rPr>
                <w:b/>
                <w:bCs/>
              </w:rPr>
              <w:t>Calculation and source</w:t>
            </w:r>
          </w:p>
        </w:tc>
      </w:tr>
      <w:tr w:rsidR="00623569" w:rsidRPr="00B83C77" w14:paraId="6CE9E635" w14:textId="77777777" w:rsidTr="00710D50">
        <w:trPr>
          <w:cnfStyle w:val="000000100000" w:firstRow="0" w:lastRow="0" w:firstColumn="0" w:lastColumn="0" w:oddVBand="0" w:evenVBand="0" w:oddHBand="1" w:evenHBand="0" w:firstRowFirstColumn="0" w:firstRowLastColumn="0" w:lastRowFirstColumn="0" w:lastRowLastColumn="0"/>
        </w:trPr>
        <w:tc>
          <w:tcPr>
            <w:tcW w:w="2119" w:type="dxa"/>
            <w:shd w:val="clear" w:color="auto" w:fill="F2F2F2" w:themeFill="background1" w:themeFillShade="F2"/>
          </w:tcPr>
          <w:p w14:paraId="59DB4305" w14:textId="77777777" w:rsidR="00623569" w:rsidRPr="00B83C77" w:rsidRDefault="00623569" w:rsidP="001517F2">
            <w:pPr>
              <w:pStyle w:val="Paragraph"/>
              <w:spacing w:after="0"/>
            </w:pPr>
            <w:r>
              <w:t>Current cost of financial hardship complaints to the TIO</w:t>
            </w:r>
          </w:p>
        </w:tc>
        <w:tc>
          <w:tcPr>
            <w:tcW w:w="1334" w:type="dxa"/>
            <w:shd w:val="clear" w:color="auto" w:fill="F2F2F2" w:themeFill="background1" w:themeFillShade="F2"/>
          </w:tcPr>
          <w:p w14:paraId="4BA6F59A" w14:textId="77777777" w:rsidR="00623569" w:rsidRPr="00B83C77" w:rsidRDefault="00623569" w:rsidP="001517F2">
            <w:pPr>
              <w:pStyle w:val="Paragraph"/>
              <w:spacing w:after="0"/>
            </w:pPr>
            <w:r w:rsidRPr="000C285F">
              <w:t>$760,419</w:t>
            </w:r>
          </w:p>
        </w:tc>
        <w:tc>
          <w:tcPr>
            <w:tcW w:w="5189" w:type="dxa"/>
            <w:shd w:val="clear" w:color="auto" w:fill="F2F2F2" w:themeFill="background1" w:themeFillShade="F2"/>
          </w:tcPr>
          <w:p w14:paraId="5F28E62A" w14:textId="77777777" w:rsidR="00623569" w:rsidRDefault="00623569" w:rsidP="001517F2">
            <w:pPr>
              <w:pStyle w:val="Paragraph"/>
              <w:spacing w:after="80"/>
            </w:pPr>
            <w:r w:rsidRPr="00EE153A">
              <w:t xml:space="preserve">TIO </w:t>
            </w:r>
            <w:r>
              <w:t>t</w:t>
            </w:r>
            <w:r w:rsidRPr="00EE153A">
              <w:t>otal expenditure (2023)</w:t>
            </w:r>
            <w:r>
              <w:t xml:space="preserve"> </w:t>
            </w:r>
            <w:r w:rsidRPr="00EE153A">
              <w:t>$30</w:t>
            </w:r>
            <w:r>
              <w:t>.</w:t>
            </w:r>
            <w:r w:rsidRPr="00EE153A">
              <w:t>91</w:t>
            </w:r>
            <w:r>
              <w:t> million.</w:t>
            </w:r>
            <w:r>
              <w:br/>
            </w:r>
            <w:r w:rsidRPr="00B50654">
              <w:t>F</w:t>
            </w:r>
            <w:r>
              <w:t>inancial hardship</w:t>
            </w:r>
            <w:r w:rsidRPr="00B50654">
              <w:t xml:space="preserve"> </w:t>
            </w:r>
            <w:r>
              <w:t xml:space="preserve">make up </w:t>
            </w:r>
            <w:r w:rsidRPr="00B50654">
              <w:t>2.46% of all complaints</w:t>
            </w:r>
            <w:r>
              <w:t xml:space="preserve"> Note: this assumes the distribution of financial hardship complaints is similar to all </w:t>
            </w:r>
            <w:proofErr w:type="gramStart"/>
            <w:r>
              <w:t>complaints</w:t>
            </w:r>
            <w:proofErr w:type="gramEnd"/>
          </w:p>
          <w:p w14:paraId="3F12D590" w14:textId="77777777" w:rsidR="00623569" w:rsidRDefault="00623569" w:rsidP="001517F2">
            <w:pPr>
              <w:pStyle w:val="Paragraph"/>
              <w:spacing w:after="80"/>
            </w:pPr>
            <w:r>
              <w:t xml:space="preserve">Average cost of complaint to the TIO was estimated to be around </w:t>
            </w:r>
            <w:proofErr w:type="gramStart"/>
            <w:r>
              <w:t>$465</w:t>
            </w:r>
            <w:proofErr w:type="gramEnd"/>
          </w:p>
          <w:p w14:paraId="5097DC43" w14:textId="77777777" w:rsidR="00623569" w:rsidRPr="00B83C77" w:rsidRDefault="00623569" w:rsidP="001517F2">
            <w:pPr>
              <w:pStyle w:val="Paragraph"/>
              <w:spacing w:after="0"/>
            </w:pPr>
            <w:r>
              <w:t xml:space="preserve">Source: </w:t>
            </w:r>
            <w:hyperlink r:id="rId37" w:history="1">
              <w:r>
                <w:rPr>
                  <w:rStyle w:val="Hyperlink"/>
                </w:rPr>
                <w:t>www.tio.com.au/sites/default/files/2023-09/TIO%20Financial%20Report%202023.pdf</w:t>
              </w:r>
            </w:hyperlink>
            <w:r>
              <w:t xml:space="preserve"> </w:t>
            </w:r>
          </w:p>
        </w:tc>
      </w:tr>
      <w:tr w:rsidR="00623569" w:rsidRPr="00B83C77" w14:paraId="39684E16" w14:textId="77777777" w:rsidTr="00710D50">
        <w:trPr>
          <w:cnfStyle w:val="000000010000" w:firstRow="0" w:lastRow="0" w:firstColumn="0" w:lastColumn="0" w:oddVBand="0" w:evenVBand="0" w:oddHBand="0" w:evenHBand="1" w:firstRowFirstColumn="0" w:firstRowLastColumn="0" w:lastRowFirstColumn="0" w:lastRowLastColumn="0"/>
        </w:trPr>
        <w:tc>
          <w:tcPr>
            <w:tcW w:w="2119" w:type="dxa"/>
            <w:shd w:val="clear" w:color="auto" w:fill="FFFFFF" w:themeFill="background1"/>
          </w:tcPr>
          <w:p w14:paraId="6431605C" w14:textId="77777777" w:rsidR="00623569" w:rsidRDefault="00623569" w:rsidP="001517F2">
            <w:pPr>
              <w:pStyle w:val="Paragraph"/>
              <w:spacing w:after="0"/>
            </w:pPr>
            <w:r>
              <w:t>Current reconnection cost</w:t>
            </w:r>
          </w:p>
        </w:tc>
        <w:tc>
          <w:tcPr>
            <w:tcW w:w="1334" w:type="dxa"/>
            <w:shd w:val="clear" w:color="auto" w:fill="FFFFFF" w:themeFill="background1"/>
          </w:tcPr>
          <w:p w14:paraId="554A92D8" w14:textId="77777777" w:rsidR="00623569" w:rsidRPr="000136DC" w:rsidRDefault="00623569" w:rsidP="001517F2">
            <w:pPr>
              <w:pStyle w:val="Paragraph"/>
              <w:spacing w:after="0"/>
            </w:pPr>
            <w:r w:rsidRPr="00ED5EDE">
              <w:t>$12,677,000</w:t>
            </w:r>
          </w:p>
        </w:tc>
        <w:tc>
          <w:tcPr>
            <w:tcW w:w="5189" w:type="dxa"/>
            <w:shd w:val="clear" w:color="auto" w:fill="FFFFFF" w:themeFill="background1"/>
          </w:tcPr>
          <w:p w14:paraId="28F0581D" w14:textId="77777777" w:rsidR="00623569" w:rsidRDefault="00623569" w:rsidP="001517F2">
            <w:pPr>
              <w:pStyle w:val="Paragraph"/>
              <w:spacing w:after="80"/>
            </w:pPr>
            <w:r>
              <w:t xml:space="preserve">Reconnection cost per customer of $54 per customer (sourced from </w:t>
            </w:r>
            <w:hyperlink r:id="rId38" w:history="1">
              <w:r w:rsidRPr="00FE2230">
                <w:rPr>
                  <w:rStyle w:val="Hyperlink"/>
                </w:rPr>
                <w:t>www.telstra.com.au/content/dam/tcom/our-customer-terms/business-government/pdf/mobilegeneral.pdf</w:t>
              </w:r>
            </w:hyperlink>
            <w:r>
              <w:rPr>
                <w:rStyle w:val="Hyperlink"/>
              </w:rPr>
              <w:t>)</w:t>
            </w:r>
            <w:r>
              <w:t xml:space="preserve"> </w:t>
            </w:r>
            <w:r w:rsidRPr="00D72523">
              <w:t>x</w:t>
            </w:r>
            <w:r>
              <w:t xml:space="preserve"> </w:t>
            </w:r>
            <w:r w:rsidRPr="00637629">
              <w:t>236,332</w:t>
            </w:r>
            <w:r>
              <w:t xml:space="preserve"> disconnection customers</w:t>
            </w:r>
          </w:p>
          <w:p w14:paraId="27711CBD" w14:textId="77777777" w:rsidR="00623569" w:rsidRDefault="00623569" w:rsidP="001517F2">
            <w:pPr>
              <w:pStyle w:val="Paragraph"/>
              <w:spacing w:after="0"/>
            </w:pPr>
            <w:r>
              <w:t>Note: this assumes all disconnected customers are reconnected</w:t>
            </w:r>
          </w:p>
        </w:tc>
      </w:tr>
      <w:tr w:rsidR="00623569" w:rsidRPr="00B83C77" w14:paraId="30D0DEA6" w14:textId="77777777" w:rsidTr="00710D50">
        <w:trPr>
          <w:cnfStyle w:val="000000100000" w:firstRow="0" w:lastRow="0" w:firstColumn="0" w:lastColumn="0" w:oddVBand="0" w:evenVBand="0" w:oddHBand="1" w:evenHBand="0" w:firstRowFirstColumn="0" w:firstRowLastColumn="0" w:lastRowFirstColumn="0" w:lastRowLastColumn="0"/>
        </w:trPr>
        <w:tc>
          <w:tcPr>
            <w:tcW w:w="2119" w:type="dxa"/>
            <w:shd w:val="clear" w:color="auto" w:fill="F2F2F2" w:themeFill="background1" w:themeFillShade="F2"/>
          </w:tcPr>
          <w:p w14:paraId="71886A25" w14:textId="77777777" w:rsidR="00623569" w:rsidRPr="00B83C77" w:rsidRDefault="00623569" w:rsidP="001517F2">
            <w:pPr>
              <w:pStyle w:val="Paragraph"/>
              <w:spacing w:after="0"/>
            </w:pPr>
            <w:r>
              <w:t xml:space="preserve">Current ACMA </w:t>
            </w:r>
            <w:r w:rsidRPr="00E00534">
              <w:t>compliance and enforcement</w:t>
            </w:r>
            <w:r>
              <w:t xml:space="preserve"> cost</w:t>
            </w:r>
          </w:p>
        </w:tc>
        <w:tc>
          <w:tcPr>
            <w:tcW w:w="1334" w:type="dxa"/>
            <w:shd w:val="clear" w:color="auto" w:fill="F2F2F2" w:themeFill="background1" w:themeFillShade="F2"/>
          </w:tcPr>
          <w:p w14:paraId="195D0A93" w14:textId="77777777" w:rsidR="00623569" w:rsidRPr="00B83C77" w:rsidRDefault="00623569" w:rsidP="001517F2">
            <w:pPr>
              <w:pStyle w:val="Paragraph"/>
              <w:spacing w:after="0"/>
            </w:pPr>
            <w:r w:rsidRPr="00E00534">
              <w:t>$984,045</w:t>
            </w:r>
          </w:p>
        </w:tc>
        <w:tc>
          <w:tcPr>
            <w:tcW w:w="5189" w:type="dxa"/>
            <w:shd w:val="clear" w:color="auto" w:fill="F2F2F2" w:themeFill="background1" w:themeFillShade="F2"/>
          </w:tcPr>
          <w:p w14:paraId="216B6A11" w14:textId="77777777" w:rsidR="00623569" w:rsidRPr="00B83C77" w:rsidRDefault="00623569" w:rsidP="001517F2">
            <w:pPr>
              <w:pStyle w:val="Paragraph"/>
              <w:spacing w:after="0"/>
            </w:pPr>
            <w:r>
              <w:t>Based on estimated ACMA staff time spent on financial hardship</w:t>
            </w:r>
            <w:r w:rsidRPr="00E00534">
              <w:t xml:space="preserve"> compliance</w:t>
            </w:r>
            <w:r>
              <w:t xml:space="preserve"> monitoring and enforcement</w:t>
            </w:r>
          </w:p>
        </w:tc>
      </w:tr>
      <w:tr w:rsidR="00623569" w:rsidRPr="00B83C77" w14:paraId="2E322CD7" w14:textId="77777777" w:rsidTr="00710D50">
        <w:trPr>
          <w:cnfStyle w:val="000000010000" w:firstRow="0" w:lastRow="0" w:firstColumn="0" w:lastColumn="0" w:oddVBand="0" w:evenVBand="0" w:oddHBand="0" w:evenHBand="1" w:firstRowFirstColumn="0" w:firstRowLastColumn="0" w:lastRowFirstColumn="0" w:lastRowLastColumn="0"/>
        </w:trPr>
        <w:tc>
          <w:tcPr>
            <w:tcW w:w="2119" w:type="dxa"/>
            <w:shd w:val="clear" w:color="auto" w:fill="FFFFFF" w:themeFill="background1"/>
          </w:tcPr>
          <w:p w14:paraId="57FA634A" w14:textId="77777777" w:rsidR="00623569" w:rsidRDefault="00623569" w:rsidP="001517F2">
            <w:pPr>
              <w:pStyle w:val="Paragraph"/>
              <w:spacing w:after="0"/>
            </w:pPr>
            <w:r>
              <w:t>Current ACMA cost</w:t>
            </w:r>
            <w:r w:rsidRPr="00B107E3">
              <w:t xml:space="preserve"> </w:t>
            </w:r>
            <w:r>
              <w:t>on c</w:t>
            </w:r>
            <w:r w:rsidRPr="00B107E3">
              <w:t xml:space="preserve">ommunicating and educating the TCP </w:t>
            </w:r>
          </w:p>
        </w:tc>
        <w:tc>
          <w:tcPr>
            <w:tcW w:w="1334" w:type="dxa"/>
            <w:shd w:val="clear" w:color="auto" w:fill="FFFFFF" w:themeFill="background1"/>
          </w:tcPr>
          <w:p w14:paraId="3BBFF7AF" w14:textId="77777777" w:rsidR="00623569" w:rsidRPr="009A62D2" w:rsidRDefault="00623569" w:rsidP="001517F2">
            <w:pPr>
              <w:spacing w:after="0" w:line="240" w:lineRule="auto"/>
              <w:rPr>
                <w:rFonts w:cs="Arial"/>
                <w:color w:val="000000"/>
                <w:szCs w:val="20"/>
              </w:rPr>
            </w:pPr>
            <w:r w:rsidRPr="0045102F">
              <w:rPr>
                <w:rFonts w:cs="Arial"/>
                <w:color w:val="000000"/>
                <w:szCs w:val="20"/>
              </w:rPr>
              <w:t>$35,144</w:t>
            </w:r>
          </w:p>
        </w:tc>
        <w:tc>
          <w:tcPr>
            <w:tcW w:w="5189" w:type="dxa"/>
            <w:shd w:val="clear" w:color="auto" w:fill="FFFFFF" w:themeFill="background1"/>
          </w:tcPr>
          <w:p w14:paraId="4E8DBA55" w14:textId="77777777" w:rsidR="00623569" w:rsidRDefault="00623569" w:rsidP="001517F2">
            <w:pPr>
              <w:pStyle w:val="Paragraph"/>
              <w:spacing w:after="0"/>
            </w:pPr>
            <w:r>
              <w:t>Based on estimated ACMA staff time spent on financial hardship</w:t>
            </w:r>
            <w:r w:rsidRPr="00F925CC">
              <w:t xml:space="preserve"> </w:t>
            </w:r>
            <w:r>
              <w:t>education and communications</w:t>
            </w:r>
          </w:p>
        </w:tc>
      </w:tr>
      <w:tr w:rsidR="00623569" w:rsidRPr="00B83C77" w14:paraId="2537DA37" w14:textId="77777777" w:rsidTr="00710D50">
        <w:trPr>
          <w:cnfStyle w:val="000000100000" w:firstRow="0" w:lastRow="0" w:firstColumn="0" w:lastColumn="0" w:oddVBand="0" w:evenVBand="0" w:oddHBand="1" w:evenHBand="0" w:firstRowFirstColumn="0" w:firstRowLastColumn="0" w:lastRowFirstColumn="0" w:lastRowLastColumn="0"/>
        </w:trPr>
        <w:tc>
          <w:tcPr>
            <w:tcW w:w="2119" w:type="dxa"/>
            <w:shd w:val="clear" w:color="auto" w:fill="F2F2F2" w:themeFill="background1" w:themeFillShade="F2"/>
          </w:tcPr>
          <w:p w14:paraId="55EF0567" w14:textId="77777777" w:rsidR="00623569" w:rsidRDefault="00623569" w:rsidP="001517F2">
            <w:pPr>
              <w:pStyle w:val="Paragraph"/>
              <w:spacing w:after="0"/>
            </w:pPr>
            <w:r>
              <w:t>ACMA cost on revised code</w:t>
            </w:r>
          </w:p>
        </w:tc>
        <w:tc>
          <w:tcPr>
            <w:tcW w:w="1334" w:type="dxa"/>
            <w:shd w:val="clear" w:color="auto" w:fill="F2F2F2" w:themeFill="background1" w:themeFillShade="F2"/>
          </w:tcPr>
          <w:p w14:paraId="4DAF1D54" w14:textId="77777777" w:rsidR="00623569" w:rsidRPr="0045102F" w:rsidRDefault="00623569" w:rsidP="001517F2">
            <w:pPr>
              <w:spacing w:after="0" w:line="240" w:lineRule="auto"/>
              <w:rPr>
                <w:rFonts w:cs="Arial"/>
                <w:color w:val="000000"/>
                <w:szCs w:val="20"/>
              </w:rPr>
            </w:pPr>
            <w:r w:rsidRPr="0045102F">
              <w:rPr>
                <w:rFonts w:cs="Arial"/>
                <w:color w:val="000000"/>
                <w:szCs w:val="20"/>
              </w:rPr>
              <w:t>$312,395</w:t>
            </w:r>
          </w:p>
        </w:tc>
        <w:tc>
          <w:tcPr>
            <w:tcW w:w="5189" w:type="dxa"/>
            <w:shd w:val="clear" w:color="auto" w:fill="F2F2F2" w:themeFill="background1" w:themeFillShade="F2"/>
          </w:tcPr>
          <w:p w14:paraId="52050258" w14:textId="77777777" w:rsidR="00623569" w:rsidRDefault="00623569" w:rsidP="001517F2">
            <w:pPr>
              <w:pStyle w:val="Paragraph"/>
              <w:spacing w:after="0"/>
            </w:pPr>
            <w:r>
              <w:t>Based on estimated ACMA staff time spent on activities associated with the TCP Code review</w:t>
            </w:r>
          </w:p>
        </w:tc>
      </w:tr>
    </w:tbl>
    <w:p w14:paraId="6ABB2733" w14:textId="77777777" w:rsidR="00623569" w:rsidRPr="000C6331" w:rsidRDefault="00623569" w:rsidP="00623569">
      <w:pPr>
        <w:pStyle w:val="Tableorfigurenote"/>
      </w:pPr>
      <w:r w:rsidRPr="000C6331">
        <w:t xml:space="preserve">Note: the cost of complaints to CSPs was not included in the quantitative analysis. Changes to these costs for CSPs were assumed to be cost neutral when balanced against an increase in time and costs that CSPs would spend on implementing additional financial hardship arrangements in place instead of dealing with complaints. </w:t>
      </w:r>
    </w:p>
    <w:p w14:paraId="28DBCAB6" w14:textId="77777777" w:rsidR="00623569" w:rsidRPr="004C7DF0" w:rsidRDefault="00623569" w:rsidP="00623569">
      <w:pPr>
        <w:pStyle w:val="Heading2"/>
      </w:pPr>
      <w:bookmarkStart w:id="54" w:name="_Toc153270570"/>
      <w:bookmarkStart w:id="55" w:name="_Toc155685996"/>
      <w:r w:rsidRPr="003549A1">
        <w:t xml:space="preserve">Option 2A – </w:t>
      </w:r>
      <w:bookmarkEnd w:id="54"/>
      <w:r>
        <w:t>Outcomes-based (discretionary)</w:t>
      </w:r>
      <w:bookmarkEnd w:id="55"/>
    </w:p>
    <w:p w14:paraId="12FC7346" w14:textId="77777777" w:rsidR="00623569" w:rsidRDefault="00623569" w:rsidP="00623569">
      <w:pPr>
        <w:pStyle w:val="Paragraph"/>
      </w:pPr>
      <w:r>
        <w:t>The ACMA considers that direct regulation as proposed in Option 2A would create more compliance incentives for CSPs than the existing code, leveraging a broader range of enforcement options. However, it is anticipated that despite the potential advantages, outcomes-focussed regulation with significant discretionary application  might be challenging for CSPs to implement and the ACMA to enforce, possibly resulting in a marginal increase in the number of customers on formal financial hardship arrangements.</w:t>
      </w:r>
    </w:p>
    <w:p w14:paraId="79DEFF05" w14:textId="77777777" w:rsidR="00623569" w:rsidRDefault="00623569" w:rsidP="00623569">
      <w:pPr>
        <w:pStyle w:val="Paragraph"/>
      </w:pPr>
      <w:r>
        <w:t xml:space="preserve">The ACMA’s estimated impact of the change are set out </w:t>
      </w:r>
      <w:r w:rsidRPr="000378A7">
        <w:t xml:space="preserve">in Table </w:t>
      </w:r>
      <w:r>
        <w:t>4</w:t>
      </w:r>
      <w:r w:rsidRPr="000378A7">
        <w:t>.</w:t>
      </w:r>
    </w:p>
    <w:p w14:paraId="7AEA64AA" w14:textId="77777777" w:rsidR="00623569" w:rsidRDefault="00623569" w:rsidP="00623569">
      <w:pPr>
        <w:pStyle w:val="Tableheading"/>
        <w:keepLines/>
      </w:pPr>
      <w:r w:rsidRPr="006071D2">
        <w:lastRenderedPageBreak/>
        <w:t>Modelled change in outcomes</w:t>
      </w:r>
      <w:r>
        <w:t xml:space="preserve"> Option 2A</w:t>
      </w:r>
    </w:p>
    <w:tbl>
      <w:tblPr>
        <w:tblW w:w="8779" w:type="dxa"/>
        <w:tblCellMar>
          <w:top w:w="85" w:type="dxa"/>
          <w:left w:w="57" w:type="dxa"/>
          <w:bottom w:w="85" w:type="dxa"/>
          <w:right w:w="57" w:type="dxa"/>
        </w:tblCellMar>
        <w:tblLook w:val="04A0" w:firstRow="1" w:lastRow="0" w:firstColumn="1" w:lastColumn="0" w:noHBand="0" w:noVBand="1"/>
      </w:tblPr>
      <w:tblGrid>
        <w:gridCol w:w="4810"/>
        <w:gridCol w:w="2097"/>
        <w:gridCol w:w="1872"/>
      </w:tblGrid>
      <w:tr w:rsidR="00623569" w:rsidRPr="00615BF4" w14:paraId="260B64FE" w14:textId="77777777" w:rsidTr="001517F2">
        <w:trPr>
          <w:trHeight w:val="26"/>
        </w:trPr>
        <w:tc>
          <w:tcPr>
            <w:tcW w:w="4810" w:type="dxa"/>
            <w:tcBorders>
              <w:top w:val="single" w:sz="8" w:space="0" w:color="A3A3A3"/>
              <w:left w:val="single" w:sz="8" w:space="0" w:color="A3A3A3"/>
              <w:bottom w:val="single" w:sz="4" w:space="0" w:color="auto"/>
              <w:right w:val="single" w:sz="8" w:space="0" w:color="A3A3A3"/>
            </w:tcBorders>
            <w:shd w:val="clear" w:color="auto" w:fill="404040" w:themeFill="text1" w:themeFillTint="BF"/>
            <w:vAlign w:val="center"/>
            <w:hideMark/>
          </w:tcPr>
          <w:p w14:paraId="0D24C5B9" w14:textId="77777777" w:rsidR="00623569" w:rsidRPr="00615BF4" w:rsidRDefault="00623569" w:rsidP="001517F2">
            <w:pPr>
              <w:keepNext/>
              <w:keepLines/>
              <w:spacing w:after="0" w:line="240" w:lineRule="auto"/>
              <w:rPr>
                <w:rFonts w:cs="Arial"/>
                <w:b/>
                <w:bCs/>
                <w:color w:val="FFFFFF"/>
                <w:szCs w:val="20"/>
              </w:rPr>
            </w:pPr>
            <w:r w:rsidRPr="00615BF4">
              <w:rPr>
                <w:rFonts w:cs="Arial"/>
                <w:b/>
                <w:bCs/>
                <w:color w:val="FFFFFF"/>
                <w:szCs w:val="20"/>
              </w:rPr>
              <w:t>Option</w:t>
            </w:r>
          </w:p>
        </w:tc>
        <w:tc>
          <w:tcPr>
            <w:tcW w:w="2097" w:type="dxa"/>
            <w:tcBorders>
              <w:top w:val="single" w:sz="8" w:space="0" w:color="A3A3A3"/>
              <w:left w:val="nil"/>
              <w:bottom w:val="single" w:sz="4" w:space="0" w:color="auto"/>
              <w:right w:val="single" w:sz="8" w:space="0" w:color="A3A3A3"/>
            </w:tcBorders>
            <w:shd w:val="clear" w:color="auto" w:fill="404040" w:themeFill="text1" w:themeFillTint="BF"/>
            <w:vAlign w:val="center"/>
            <w:hideMark/>
          </w:tcPr>
          <w:p w14:paraId="56C1F657" w14:textId="77777777" w:rsidR="00623569" w:rsidRPr="00615BF4" w:rsidRDefault="00623569" w:rsidP="001517F2">
            <w:pPr>
              <w:keepNext/>
              <w:keepLines/>
              <w:spacing w:after="0" w:line="240" w:lineRule="auto"/>
              <w:jc w:val="right"/>
              <w:rPr>
                <w:rFonts w:cs="Arial"/>
                <w:b/>
                <w:bCs/>
                <w:color w:val="FFFFFF"/>
                <w:szCs w:val="20"/>
              </w:rPr>
            </w:pPr>
            <w:r w:rsidRPr="00615BF4">
              <w:rPr>
                <w:rFonts w:cs="Arial"/>
                <w:b/>
                <w:bCs/>
                <w:color w:val="FFFFFF"/>
                <w:szCs w:val="20"/>
              </w:rPr>
              <w:t>Option 1</w:t>
            </w:r>
          </w:p>
        </w:tc>
        <w:tc>
          <w:tcPr>
            <w:tcW w:w="1872" w:type="dxa"/>
            <w:tcBorders>
              <w:top w:val="single" w:sz="8" w:space="0" w:color="A3A3A3"/>
              <w:left w:val="nil"/>
              <w:bottom w:val="single" w:sz="4" w:space="0" w:color="auto"/>
              <w:right w:val="single" w:sz="8" w:space="0" w:color="A3A3A3"/>
            </w:tcBorders>
            <w:shd w:val="clear" w:color="auto" w:fill="404040" w:themeFill="text1" w:themeFillTint="BF"/>
            <w:vAlign w:val="center"/>
            <w:hideMark/>
          </w:tcPr>
          <w:p w14:paraId="6A1440EB" w14:textId="77777777" w:rsidR="00623569" w:rsidRPr="00615BF4" w:rsidRDefault="00623569" w:rsidP="001517F2">
            <w:pPr>
              <w:keepNext/>
              <w:keepLines/>
              <w:spacing w:after="0" w:line="240" w:lineRule="auto"/>
              <w:jc w:val="right"/>
              <w:rPr>
                <w:rFonts w:cs="Arial"/>
                <w:b/>
                <w:bCs/>
                <w:color w:val="FFFFFF"/>
                <w:szCs w:val="20"/>
              </w:rPr>
            </w:pPr>
            <w:r w:rsidRPr="00615BF4">
              <w:rPr>
                <w:rFonts w:cs="Arial"/>
                <w:b/>
                <w:bCs/>
                <w:color w:val="FFFFFF"/>
                <w:szCs w:val="20"/>
              </w:rPr>
              <w:t xml:space="preserve">Option 2A </w:t>
            </w:r>
          </w:p>
        </w:tc>
      </w:tr>
      <w:tr w:rsidR="00623569" w:rsidRPr="00615BF4" w14:paraId="64DC6F32" w14:textId="77777777" w:rsidTr="001517F2">
        <w:trPr>
          <w:trHeight w:val="64"/>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E3426" w14:textId="77777777" w:rsidR="00623569" w:rsidRPr="00615BF4" w:rsidRDefault="00623569" w:rsidP="001517F2">
            <w:pPr>
              <w:keepNext/>
              <w:keepLines/>
              <w:spacing w:after="0" w:line="240" w:lineRule="auto"/>
              <w:rPr>
                <w:rFonts w:cs="Arial"/>
                <w:color w:val="000000"/>
                <w:szCs w:val="20"/>
              </w:rPr>
            </w:pPr>
            <w:r w:rsidRPr="00615BF4">
              <w:rPr>
                <w:rFonts w:cs="Arial"/>
                <w:color w:val="000000"/>
                <w:szCs w:val="20"/>
              </w:rPr>
              <w:t xml:space="preserve">% of potential disconnection customers on formal </w:t>
            </w:r>
            <w:r>
              <w:rPr>
                <w:rFonts w:cs="Arial"/>
                <w:color w:val="000000"/>
                <w:szCs w:val="20"/>
              </w:rPr>
              <w:t>financial hardship</w:t>
            </w:r>
            <w:r w:rsidRPr="00615BF4">
              <w:rPr>
                <w:rFonts w:cs="Arial"/>
                <w:color w:val="000000"/>
                <w:szCs w:val="20"/>
              </w:rPr>
              <w:t xml:space="preserve"> arrangement and successful completion</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6168" w14:textId="77777777" w:rsidR="00623569" w:rsidRPr="00615BF4" w:rsidRDefault="00623569" w:rsidP="001517F2">
            <w:pPr>
              <w:keepNext/>
              <w:keepLines/>
              <w:spacing w:after="0" w:line="240" w:lineRule="auto"/>
              <w:jc w:val="right"/>
              <w:rPr>
                <w:rFonts w:cs="Arial"/>
                <w:color w:val="000000"/>
                <w:szCs w:val="20"/>
              </w:rPr>
            </w:pPr>
            <w:r w:rsidRPr="00615BF4">
              <w:rPr>
                <w:rFonts w:cs="Arial"/>
                <w:color w:val="000000"/>
                <w:szCs w:val="20"/>
              </w:rPr>
              <w:t>1.857%</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CB72F" w14:textId="77777777" w:rsidR="00623569" w:rsidRPr="00615BF4" w:rsidRDefault="00623569" w:rsidP="001517F2">
            <w:pPr>
              <w:keepNext/>
              <w:keepLines/>
              <w:spacing w:after="0" w:line="240" w:lineRule="auto"/>
              <w:jc w:val="right"/>
              <w:rPr>
                <w:rFonts w:cs="Arial"/>
                <w:color w:val="000000"/>
                <w:szCs w:val="20"/>
              </w:rPr>
            </w:pPr>
            <w:r w:rsidRPr="00615BF4">
              <w:rPr>
                <w:rFonts w:cs="Arial"/>
                <w:color w:val="000000"/>
                <w:szCs w:val="20"/>
              </w:rPr>
              <w:t>7%</w:t>
            </w:r>
          </w:p>
        </w:tc>
      </w:tr>
      <w:tr w:rsidR="00623569" w:rsidRPr="00615BF4" w14:paraId="4D4441E2" w14:textId="77777777" w:rsidTr="001517F2">
        <w:trPr>
          <w:trHeight w:val="64"/>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2CB4B" w14:textId="77777777" w:rsidR="00623569" w:rsidRPr="00615BF4" w:rsidRDefault="00623569" w:rsidP="001517F2">
            <w:pPr>
              <w:keepNext/>
              <w:keepLines/>
              <w:spacing w:after="0" w:line="240" w:lineRule="auto"/>
              <w:rPr>
                <w:rFonts w:cs="Arial"/>
                <w:color w:val="000000"/>
                <w:szCs w:val="20"/>
              </w:rPr>
            </w:pPr>
            <w:r w:rsidRPr="00615BF4">
              <w:rPr>
                <w:rFonts w:cs="Arial"/>
                <w:color w:val="000000"/>
                <w:szCs w:val="20"/>
              </w:rPr>
              <w:t>N</w:t>
            </w:r>
            <w:r>
              <w:rPr>
                <w:rFonts w:cs="Arial"/>
                <w:color w:val="000000"/>
                <w:szCs w:val="20"/>
              </w:rPr>
              <w:t>umber</w:t>
            </w:r>
            <w:r w:rsidRPr="00615BF4">
              <w:rPr>
                <w:rFonts w:cs="Arial"/>
                <w:color w:val="000000"/>
                <w:szCs w:val="20"/>
              </w:rPr>
              <w:t xml:space="preserve"> of potential disconnection customers on formal </w:t>
            </w:r>
            <w:r>
              <w:t xml:space="preserve">financial hardship </w:t>
            </w:r>
            <w:r w:rsidRPr="00615BF4">
              <w:rPr>
                <w:rFonts w:cs="Arial"/>
                <w:color w:val="000000"/>
                <w:szCs w:val="20"/>
              </w:rPr>
              <w:t xml:space="preserve">arrangement and successful completion </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DFF4C" w14:textId="77777777" w:rsidR="00623569" w:rsidRPr="00615BF4" w:rsidRDefault="00623569" w:rsidP="001517F2">
            <w:pPr>
              <w:keepNext/>
              <w:keepLines/>
              <w:spacing w:after="0" w:line="240" w:lineRule="auto"/>
              <w:jc w:val="right"/>
              <w:rPr>
                <w:rFonts w:cs="Arial"/>
                <w:color w:val="000000"/>
                <w:szCs w:val="20"/>
              </w:rPr>
            </w:pPr>
            <w:r w:rsidRPr="00615BF4">
              <w:rPr>
                <w:rFonts w:cs="Arial"/>
                <w:color w:val="000000"/>
                <w:szCs w:val="20"/>
              </w:rPr>
              <w:t>4,388</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7D49D" w14:textId="77777777" w:rsidR="00623569" w:rsidRPr="00615BF4" w:rsidRDefault="00623569" w:rsidP="001517F2">
            <w:pPr>
              <w:keepNext/>
              <w:keepLines/>
              <w:spacing w:after="0" w:line="240" w:lineRule="auto"/>
              <w:jc w:val="right"/>
              <w:rPr>
                <w:rFonts w:cs="Arial"/>
                <w:color w:val="000000"/>
                <w:szCs w:val="20"/>
              </w:rPr>
            </w:pPr>
            <w:r w:rsidRPr="00615BF4">
              <w:rPr>
                <w:rFonts w:cs="Arial"/>
                <w:color w:val="000000"/>
                <w:szCs w:val="20"/>
              </w:rPr>
              <w:t>16,850</w:t>
            </w:r>
          </w:p>
        </w:tc>
      </w:tr>
      <w:tr w:rsidR="00623569" w:rsidRPr="00615BF4" w14:paraId="2E57E854" w14:textId="77777777" w:rsidTr="001517F2">
        <w:trPr>
          <w:trHeight w:val="64"/>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05371" w14:textId="77777777" w:rsidR="00623569" w:rsidRPr="00615BF4" w:rsidRDefault="00623569" w:rsidP="001517F2">
            <w:pPr>
              <w:keepNext/>
              <w:keepLines/>
              <w:spacing w:after="0" w:line="240" w:lineRule="auto"/>
              <w:rPr>
                <w:rFonts w:cs="Arial"/>
                <w:color w:val="000000"/>
                <w:szCs w:val="20"/>
              </w:rPr>
            </w:pPr>
            <w:r w:rsidRPr="00615BF4">
              <w:rPr>
                <w:rFonts w:cs="Arial"/>
                <w:color w:val="000000"/>
                <w:szCs w:val="20"/>
              </w:rPr>
              <w:t xml:space="preserve">Disconnections due to non-payment </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DF5CE" w14:textId="77777777" w:rsidR="00623569" w:rsidRPr="00615BF4" w:rsidRDefault="00623569" w:rsidP="001517F2">
            <w:pPr>
              <w:keepNext/>
              <w:keepLines/>
              <w:spacing w:after="0" w:line="240" w:lineRule="auto"/>
              <w:jc w:val="right"/>
              <w:rPr>
                <w:rFonts w:cs="Arial"/>
                <w:color w:val="000000"/>
                <w:szCs w:val="20"/>
              </w:rPr>
            </w:pPr>
            <w:r w:rsidRPr="00615BF4">
              <w:rPr>
                <w:rFonts w:cs="Arial"/>
                <w:color w:val="000000"/>
                <w:szCs w:val="20"/>
              </w:rPr>
              <w:t>236,332</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BE548" w14:textId="77777777" w:rsidR="00623569" w:rsidRPr="00615BF4" w:rsidRDefault="00623569" w:rsidP="001517F2">
            <w:pPr>
              <w:keepNext/>
              <w:keepLines/>
              <w:spacing w:after="0" w:line="240" w:lineRule="auto"/>
              <w:jc w:val="right"/>
              <w:rPr>
                <w:rFonts w:cs="Arial"/>
                <w:color w:val="000000"/>
                <w:szCs w:val="20"/>
              </w:rPr>
            </w:pPr>
            <w:r w:rsidRPr="00615BF4">
              <w:rPr>
                <w:rFonts w:cs="Arial"/>
                <w:color w:val="000000"/>
                <w:szCs w:val="20"/>
              </w:rPr>
              <w:t>223,870</w:t>
            </w:r>
          </w:p>
        </w:tc>
      </w:tr>
      <w:tr w:rsidR="00623569" w:rsidRPr="00615BF4" w14:paraId="0237B8F5" w14:textId="77777777" w:rsidTr="001517F2">
        <w:trPr>
          <w:trHeight w:val="525"/>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8AAF0" w14:textId="77777777" w:rsidR="00623569" w:rsidRPr="00615BF4" w:rsidRDefault="00623569" w:rsidP="001517F2">
            <w:pPr>
              <w:keepNext/>
              <w:keepLines/>
              <w:spacing w:after="0" w:line="240" w:lineRule="auto"/>
              <w:rPr>
                <w:rFonts w:cs="Arial"/>
                <w:color w:val="000000"/>
                <w:szCs w:val="20"/>
              </w:rPr>
            </w:pPr>
            <w:r w:rsidRPr="00615BF4">
              <w:rPr>
                <w:rFonts w:cs="Arial"/>
                <w:color w:val="000000"/>
                <w:szCs w:val="20"/>
              </w:rPr>
              <w:t>Number of complaints to TIO about financial hardship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2C3E2" w14:textId="77777777" w:rsidR="00623569" w:rsidRPr="00615BF4" w:rsidRDefault="00623569" w:rsidP="001517F2">
            <w:pPr>
              <w:keepNext/>
              <w:keepLines/>
              <w:spacing w:after="0" w:line="240" w:lineRule="auto"/>
              <w:jc w:val="right"/>
              <w:rPr>
                <w:rFonts w:cs="Arial"/>
                <w:color w:val="000000"/>
                <w:szCs w:val="20"/>
              </w:rPr>
            </w:pPr>
            <w:r w:rsidRPr="00615BF4">
              <w:rPr>
                <w:rFonts w:cs="Arial"/>
                <w:color w:val="000000"/>
                <w:szCs w:val="20"/>
              </w:rPr>
              <w:t>1,634</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170F8" w14:textId="77777777" w:rsidR="00623569" w:rsidRPr="00615BF4" w:rsidRDefault="00623569" w:rsidP="001517F2">
            <w:pPr>
              <w:keepNext/>
              <w:keepLines/>
              <w:spacing w:after="0" w:line="240" w:lineRule="auto"/>
              <w:jc w:val="right"/>
              <w:rPr>
                <w:rFonts w:cs="Arial"/>
                <w:color w:val="000000"/>
                <w:szCs w:val="20"/>
              </w:rPr>
            </w:pPr>
            <w:r w:rsidRPr="00615BF4">
              <w:rPr>
                <w:rFonts w:cs="Arial"/>
                <w:color w:val="000000"/>
                <w:szCs w:val="20"/>
              </w:rPr>
              <w:t>1,520</w:t>
            </w:r>
          </w:p>
        </w:tc>
      </w:tr>
      <w:tr w:rsidR="00623569" w:rsidRPr="00615BF4" w14:paraId="761E33FC" w14:textId="77777777" w:rsidTr="001517F2">
        <w:trPr>
          <w:trHeight w:val="525"/>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F40D5" w14:textId="77777777" w:rsidR="00623569" w:rsidRPr="00615BF4" w:rsidRDefault="00623569" w:rsidP="001517F2">
            <w:pPr>
              <w:keepNext/>
              <w:keepLines/>
              <w:spacing w:after="0" w:line="240" w:lineRule="auto"/>
              <w:rPr>
                <w:rFonts w:cs="Arial"/>
                <w:color w:val="000000"/>
                <w:szCs w:val="20"/>
              </w:rPr>
            </w:pPr>
            <w:r w:rsidRPr="00615BF4">
              <w:rPr>
                <w:rFonts w:cs="Arial"/>
                <w:color w:val="000000"/>
                <w:szCs w:val="20"/>
              </w:rPr>
              <w:t>Number of complaints to CSPs about financial hardship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6FD33" w14:textId="77777777" w:rsidR="00623569" w:rsidRPr="00615BF4" w:rsidRDefault="00623569" w:rsidP="001517F2">
            <w:pPr>
              <w:keepNext/>
              <w:keepLines/>
              <w:spacing w:after="0" w:line="240" w:lineRule="auto"/>
              <w:jc w:val="right"/>
              <w:rPr>
                <w:rFonts w:cs="Arial"/>
                <w:color w:val="000000"/>
                <w:szCs w:val="20"/>
              </w:rPr>
            </w:pPr>
            <w:r w:rsidRPr="00615BF4">
              <w:rPr>
                <w:rFonts w:cs="Arial"/>
                <w:color w:val="000000"/>
                <w:szCs w:val="20"/>
              </w:rPr>
              <w:t>25,500</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C8BDB" w14:textId="77777777" w:rsidR="00623569" w:rsidRPr="00615BF4" w:rsidRDefault="00623569" w:rsidP="001517F2">
            <w:pPr>
              <w:keepNext/>
              <w:keepLines/>
              <w:spacing w:after="0" w:line="240" w:lineRule="auto"/>
              <w:jc w:val="right"/>
              <w:rPr>
                <w:rFonts w:cs="Arial"/>
                <w:color w:val="000000"/>
                <w:szCs w:val="20"/>
              </w:rPr>
            </w:pPr>
            <w:r w:rsidRPr="00615BF4">
              <w:rPr>
                <w:rFonts w:cs="Arial"/>
                <w:color w:val="000000"/>
                <w:szCs w:val="20"/>
              </w:rPr>
              <w:t>23,715</w:t>
            </w:r>
          </w:p>
        </w:tc>
      </w:tr>
      <w:tr w:rsidR="00623569" w:rsidRPr="00615BF4" w14:paraId="6EBF58DA" w14:textId="77777777" w:rsidTr="001517F2">
        <w:trPr>
          <w:trHeight w:val="300"/>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D4C2B" w14:textId="77777777" w:rsidR="00623569" w:rsidRPr="00615BF4" w:rsidRDefault="00623569" w:rsidP="001517F2">
            <w:pPr>
              <w:keepNext/>
              <w:keepLines/>
              <w:spacing w:after="0" w:line="240" w:lineRule="auto"/>
              <w:rPr>
                <w:rFonts w:cs="Arial"/>
                <w:color w:val="000000"/>
                <w:szCs w:val="20"/>
              </w:rPr>
            </w:pPr>
            <w:r w:rsidRPr="00615BF4">
              <w:rPr>
                <w:rFonts w:cs="Arial"/>
                <w:color w:val="000000"/>
                <w:szCs w:val="20"/>
              </w:rPr>
              <w:t xml:space="preserve">Total potentially applicable for </w:t>
            </w:r>
            <w:r>
              <w:rPr>
                <w:rFonts w:cs="Arial"/>
                <w:color w:val="000000"/>
                <w:szCs w:val="20"/>
              </w:rPr>
              <w:t>financial hardship</w:t>
            </w:r>
          </w:p>
        </w:tc>
        <w:tc>
          <w:tcPr>
            <w:tcW w:w="2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0171E" w14:textId="77777777" w:rsidR="00623569" w:rsidRPr="00DF7B13" w:rsidRDefault="00623569" w:rsidP="001517F2">
            <w:pPr>
              <w:keepNext/>
              <w:keepLines/>
              <w:spacing w:after="0" w:line="240" w:lineRule="auto"/>
              <w:jc w:val="right"/>
              <w:rPr>
                <w:rFonts w:cs="Arial"/>
                <w:color w:val="000000"/>
                <w:szCs w:val="20"/>
              </w:rPr>
            </w:pPr>
            <w:r w:rsidRPr="00DF7B13">
              <w:rPr>
                <w:rFonts w:cs="Arial"/>
                <w:color w:val="000000"/>
                <w:szCs w:val="20"/>
              </w:rPr>
              <w:t>240,720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3995E" w14:textId="77777777" w:rsidR="00623569" w:rsidRPr="00DF7B13" w:rsidRDefault="00623569" w:rsidP="001517F2">
            <w:pPr>
              <w:keepNext/>
              <w:keepLines/>
              <w:spacing w:after="0" w:line="240" w:lineRule="auto"/>
              <w:jc w:val="right"/>
              <w:rPr>
                <w:rFonts w:cs="Arial"/>
                <w:color w:val="000000"/>
                <w:szCs w:val="20"/>
              </w:rPr>
            </w:pPr>
            <w:r w:rsidRPr="00DF7B13">
              <w:rPr>
                <w:rFonts w:cs="Arial"/>
                <w:color w:val="000000"/>
                <w:szCs w:val="20"/>
              </w:rPr>
              <w:t>240,720</w:t>
            </w:r>
          </w:p>
        </w:tc>
      </w:tr>
      <w:tr w:rsidR="00623569" w:rsidRPr="00615BF4" w14:paraId="1D8891CE" w14:textId="77777777" w:rsidTr="001517F2">
        <w:trPr>
          <w:trHeight w:val="300"/>
        </w:trPr>
        <w:tc>
          <w:tcPr>
            <w:tcW w:w="4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09BC1" w14:textId="77777777" w:rsidR="00623569" w:rsidRPr="00615BF4" w:rsidRDefault="00623569" w:rsidP="001517F2">
            <w:pPr>
              <w:keepNext/>
              <w:keepLines/>
              <w:spacing w:after="0" w:line="240" w:lineRule="auto"/>
              <w:rPr>
                <w:rFonts w:cs="Arial"/>
                <w:color w:val="000000"/>
                <w:szCs w:val="20"/>
              </w:rPr>
            </w:pPr>
            <w:r w:rsidRPr="00615BF4">
              <w:rPr>
                <w:rFonts w:cs="Arial"/>
                <w:color w:val="000000"/>
                <w:szCs w:val="20"/>
              </w:rPr>
              <w:t xml:space="preserve">% of customers on </w:t>
            </w:r>
            <w:r>
              <w:t>formal financial hardship arrangements</w:t>
            </w:r>
          </w:p>
        </w:tc>
        <w:tc>
          <w:tcPr>
            <w:tcW w:w="2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41EFF" w14:textId="77777777" w:rsidR="00623569" w:rsidRPr="00615BF4" w:rsidRDefault="00623569" w:rsidP="001517F2">
            <w:pPr>
              <w:pStyle w:val="TableBody"/>
              <w:keepNext/>
              <w:keepLines/>
              <w:jc w:val="right"/>
            </w:pPr>
            <w:r w:rsidRPr="00615BF4">
              <w:t>0.03%</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5D4FD" w14:textId="77777777" w:rsidR="00623569" w:rsidRPr="00615BF4" w:rsidRDefault="00623569" w:rsidP="001517F2">
            <w:pPr>
              <w:pStyle w:val="TableBody"/>
              <w:keepNext/>
              <w:keepLines/>
              <w:jc w:val="right"/>
            </w:pPr>
            <w:r w:rsidRPr="00615BF4">
              <w:t>0.10%</w:t>
            </w:r>
          </w:p>
        </w:tc>
      </w:tr>
    </w:tbl>
    <w:p w14:paraId="1B4E3F8B" w14:textId="77777777" w:rsidR="00623569" w:rsidRDefault="00623569" w:rsidP="00623569">
      <w:pPr>
        <w:spacing w:after="120"/>
        <w:rPr>
          <w:rFonts w:cs="Arial"/>
          <w:szCs w:val="20"/>
        </w:rPr>
      </w:pPr>
    </w:p>
    <w:p w14:paraId="23E8685A" w14:textId="77777777" w:rsidR="00623569" w:rsidRDefault="00623569" w:rsidP="00623569">
      <w:pPr>
        <w:pStyle w:val="Paragraph"/>
      </w:pPr>
      <w:r w:rsidRPr="00BF11DE">
        <w:t xml:space="preserve">The anticipated increase in customers on </w:t>
      </w:r>
      <w:r>
        <w:t xml:space="preserve">financial hardship </w:t>
      </w:r>
      <w:r w:rsidRPr="00BF11DE">
        <w:t xml:space="preserve">arrangements </w:t>
      </w:r>
      <w:r>
        <w:t xml:space="preserve">are based on comparisons with similar financial hardship arrangements in the electricity industry in Australia. </w:t>
      </w:r>
      <w:r w:rsidRPr="00BF11DE">
        <w:t>We expect a modest increase given the stronger incentive to comply</w:t>
      </w:r>
      <w:r>
        <w:t xml:space="preserve"> but consider the more clearly enforceable rules in key areas contained within Option 2B (</w:t>
      </w:r>
      <w:proofErr w:type="gramStart"/>
      <w:r>
        <w:t>similar to</w:t>
      </w:r>
      <w:proofErr w:type="gramEnd"/>
      <w:r>
        <w:t xml:space="preserve"> those that apply to the electricity sector) would provide a significantly greater increase of around 30% - which aligns with results reported for the electricity industry.</w:t>
      </w:r>
      <w:r>
        <w:rPr>
          <w:rStyle w:val="FootnoteReference"/>
        </w:rPr>
        <w:footnoteReference w:id="50"/>
      </w:r>
    </w:p>
    <w:p w14:paraId="25F808A8" w14:textId="77777777" w:rsidR="00623569" w:rsidRPr="00321CE0" w:rsidRDefault="00623569" w:rsidP="00623569">
      <w:pPr>
        <w:pStyle w:val="Heading3"/>
      </w:pPr>
      <w:bookmarkStart w:id="56" w:name="_Toc155685997"/>
      <w:r w:rsidRPr="00321CE0">
        <w:t>Benefits</w:t>
      </w:r>
      <w:bookmarkEnd w:id="56"/>
      <w:r w:rsidRPr="00321CE0">
        <w:t xml:space="preserve"> </w:t>
      </w:r>
    </w:p>
    <w:p w14:paraId="3770E535" w14:textId="77777777" w:rsidR="00623569" w:rsidRDefault="00623569" w:rsidP="00623569">
      <w:pPr>
        <w:rPr>
          <w:rFonts w:cs="Arial"/>
          <w:szCs w:val="20"/>
        </w:rPr>
      </w:pPr>
      <w:r w:rsidRPr="007F65BC">
        <w:t>Industry would have f</w:t>
      </w:r>
      <w:r w:rsidRPr="007F65BC">
        <w:rPr>
          <w:rFonts w:cs="Arial"/>
          <w:szCs w:val="20"/>
        </w:rPr>
        <w:t>lexibility in designing strategies tailored to operational models</w:t>
      </w:r>
      <w:r w:rsidRPr="00126969">
        <w:rPr>
          <w:rFonts w:cs="Arial"/>
          <w:szCs w:val="20"/>
        </w:rPr>
        <w:t xml:space="preserve"> and customer base</w:t>
      </w:r>
      <w:r>
        <w:rPr>
          <w:rFonts w:cs="Arial"/>
          <w:szCs w:val="20"/>
        </w:rPr>
        <w:t>. This option could also e</w:t>
      </w:r>
      <w:r w:rsidRPr="00126969">
        <w:rPr>
          <w:rFonts w:cs="Arial"/>
          <w:szCs w:val="20"/>
        </w:rPr>
        <w:t>ncourage innovation in developing approaches to support customers facing financial hardship</w:t>
      </w:r>
      <w:r>
        <w:rPr>
          <w:rFonts w:cs="Arial"/>
          <w:szCs w:val="20"/>
        </w:rPr>
        <w:t>, with potential for consumers to benefit from more</w:t>
      </w:r>
      <w:r w:rsidRPr="00126969">
        <w:rPr>
          <w:rFonts w:cs="Arial"/>
          <w:szCs w:val="20"/>
        </w:rPr>
        <w:t xml:space="preserve"> diverse and creative solutions tailored to different customer needs</w:t>
      </w:r>
      <w:r>
        <w:rPr>
          <w:rFonts w:cs="Arial"/>
          <w:szCs w:val="20"/>
        </w:rPr>
        <w:t>.</w:t>
      </w:r>
    </w:p>
    <w:p w14:paraId="0115E35F" w14:textId="77777777" w:rsidR="00623569" w:rsidRDefault="00623569" w:rsidP="00623569">
      <w:pPr>
        <w:rPr>
          <w:rFonts w:cs="Arial"/>
          <w:szCs w:val="20"/>
        </w:rPr>
      </w:pPr>
      <w:r>
        <w:rPr>
          <w:rFonts w:cs="Arial"/>
          <w:szCs w:val="20"/>
        </w:rPr>
        <w:t>The benefits that could be estimated are set out in Table 5.</w:t>
      </w:r>
    </w:p>
    <w:p w14:paraId="3FC06112" w14:textId="77777777" w:rsidR="00623569" w:rsidRDefault="00623569" w:rsidP="00623569">
      <w:pPr>
        <w:pStyle w:val="Tableheading"/>
      </w:pPr>
      <w:r>
        <w:t>Annual benefits under the Option 2A</w:t>
      </w:r>
    </w:p>
    <w:tbl>
      <w:tblPr>
        <w:tblStyle w:val="ACMAtablestyle"/>
        <w:tblW w:w="8784" w:type="dxa"/>
        <w:tblLook w:val="04A0" w:firstRow="1" w:lastRow="0" w:firstColumn="1" w:lastColumn="0" w:noHBand="0" w:noVBand="1"/>
      </w:tblPr>
      <w:tblGrid>
        <w:gridCol w:w="2119"/>
        <w:gridCol w:w="1334"/>
        <w:gridCol w:w="5331"/>
      </w:tblGrid>
      <w:tr w:rsidR="00623569" w:rsidRPr="00B83C77" w14:paraId="086B0160" w14:textId="77777777" w:rsidTr="004C0FD8">
        <w:trPr>
          <w:cnfStyle w:val="100000000000" w:firstRow="1" w:lastRow="0" w:firstColumn="0" w:lastColumn="0" w:oddVBand="0" w:evenVBand="0" w:oddHBand="0" w:evenHBand="0" w:firstRowFirstColumn="0" w:firstRowLastColumn="0" w:lastRowFirstColumn="0" w:lastRowLastColumn="0"/>
        </w:trPr>
        <w:tc>
          <w:tcPr>
            <w:tcW w:w="2119" w:type="dxa"/>
            <w:tcBorders>
              <w:top w:val="none" w:sz="0" w:space="0" w:color="auto"/>
              <w:left w:val="none" w:sz="0" w:space="0" w:color="auto"/>
              <w:bottom w:val="none" w:sz="0" w:space="0" w:color="auto"/>
              <w:right w:val="none" w:sz="0" w:space="0" w:color="auto"/>
            </w:tcBorders>
          </w:tcPr>
          <w:p w14:paraId="5258B3CD" w14:textId="77777777" w:rsidR="00623569" w:rsidRPr="009A62D2" w:rsidRDefault="00623569" w:rsidP="001517F2">
            <w:pPr>
              <w:pStyle w:val="Paragraph"/>
              <w:spacing w:after="0"/>
              <w:rPr>
                <w:b/>
                <w:bCs/>
              </w:rPr>
            </w:pPr>
            <w:r w:rsidRPr="009A62D2">
              <w:rPr>
                <w:b/>
                <w:bCs/>
              </w:rPr>
              <w:t xml:space="preserve">Input </w:t>
            </w:r>
          </w:p>
        </w:tc>
        <w:tc>
          <w:tcPr>
            <w:tcW w:w="1334" w:type="dxa"/>
            <w:tcBorders>
              <w:top w:val="none" w:sz="0" w:space="0" w:color="auto"/>
              <w:left w:val="none" w:sz="0" w:space="0" w:color="auto"/>
              <w:bottom w:val="none" w:sz="0" w:space="0" w:color="auto"/>
              <w:right w:val="none" w:sz="0" w:space="0" w:color="auto"/>
            </w:tcBorders>
          </w:tcPr>
          <w:p w14:paraId="2FF6909F" w14:textId="77777777" w:rsidR="00623569" w:rsidRPr="009A62D2" w:rsidRDefault="00623569" w:rsidP="001517F2">
            <w:pPr>
              <w:pStyle w:val="Paragraph"/>
              <w:spacing w:after="0"/>
              <w:rPr>
                <w:b/>
                <w:bCs/>
              </w:rPr>
            </w:pPr>
            <w:r w:rsidRPr="009A62D2">
              <w:rPr>
                <w:b/>
                <w:bCs/>
              </w:rPr>
              <w:t>Value</w:t>
            </w:r>
          </w:p>
        </w:tc>
        <w:tc>
          <w:tcPr>
            <w:tcW w:w="5331" w:type="dxa"/>
            <w:tcBorders>
              <w:top w:val="none" w:sz="0" w:space="0" w:color="auto"/>
              <w:left w:val="none" w:sz="0" w:space="0" w:color="auto"/>
              <w:bottom w:val="none" w:sz="0" w:space="0" w:color="auto"/>
              <w:right w:val="none" w:sz="0" w:space="0" w:color="auto"/>
            </w:tcBorders>
          </w:tcPr>
          <w:p w14:paraId="2116F2BD" w14:textId="77777777" w:rsidR="00623569" w:rsidRPr="009A62D2" w:rsidRDefault="00623569" w:rsidP="001517F2">
            <w:pPr>
              <w:pStyle w:val="Paragraph"/>
              <w:spacing w:after="0"/>
              <w:rPr>
                <w:b/>
                <w:bCs/>
              </w:rPr>
            </w:pPr>
            <w:r w:rsidRPr="009A62D2">
              <w:rPr>
                <w:b/>
                <w:bCs/>
              </w:rPr>
              <w:t>Calculation and source</w:t>
            </w:r>
          </w:p>
        </w:tc>
      </w:tr>
      <w:tr w:rsidR="00623569" w:rsidRPr="00B83C77" w14:paraId="1C348F31" w14:textId="77777777" w:rsidTr="00710D50">
        <w:trPr>
          <w:cnfStyle w:val="000000100000" w:firstRow="0" w:lastRow="0" w:firstColumn="0" w:lastColumn="0" w:oddVBand="0" w:evenVBand="0" w:oddHBand="1" w:evenHBand="0" w:firstRowFirstColumn="0" w:firstRowLastColumn="0" w:lastRowFirstColumn="0" w:lastRowLastColumn="0"/>
        </w:trPr>
        <w:tc>
          <w:tcPr>
            <w:tcW w:w="2119" w:type="dxa"/>
            <w:shd w:val="clear" w:color="auto" w:fill="F2F2F2" w:themeFill="background1" w:themeFillShade="F2"/>
          </w:tcPr>
          <w:p w14:paraId="0C2062A5" w14:textId="77777777" w:rsidR="00623569" w:rsidRPr="00B83C77" w:rsidRDefault="00623569" w:rsidP="001517F2">
            <w:pPr>
              <w:pStyle w:val="Paragraph"/>
              <w:spacing w:after="0"/>
            </w:pPr>
            <w:r>
              <w:t>Reduction in financial hardship complaints to the TIO</w:t>
            </w:r>
          </w:p>
        </w:tc>
        <w:tc>
          <w:tcPr>
            <w:tcW w:w="1334" w:type="dxa"/>
            <w:shd w:val="clear" w:color="auto" w:fill="F2F2F2" w:themeFill="background1" w:themeFillShade="F2"/>
          </w:tcPr>
          <w:p w14:paraId="51751235" w14:textId="77777777" w:rsidR="00623569" w:rsidRPr="00B83C77" w:rsidRDefault="00623569" w:rsidP="001517F2">
            <w:pPr>
              <w:pStyle w:val="Paragraph"/>
              <w:spacing w:after="0"/>
            </w:pPr>
            <w:r w:rsidRPr="0059485E">
              <w:t>$53,229</w:t>
            </w:r>
          </w:p>
        </w:tc>
        <w:tc>
          <w:tcPr>
            <w:tcW w:w="5331" w:type="dxa"/>
            <w:shd w:val="clear" w:color="auto" w:fill="F2F2F2" w:themeFill="background1" w:themeFillShade="F2"/>
          </w:tcPr>
          <w:p w14:paraId="134852EC" w14:textId="77777777" w:rsidR="00623569" w:rsidRDefault="00623569" w:rsidP="001517F2">
            <w:pPr>
              <w:pStyle w:val="Paragraph"/>
              <w:keepNext/>
              <w:keepLines/>
              <w:spacing w:after="80"/>
            </w:pPr>
            <w:r>
              <w:t xml:space="preserve">Cost per complaint = </w:t>
            </w:r>
            <w:r w:rsidRPr="00B83C77">
              <w:t>$465</w:t>
            </w:r>
          </w:p>
          <w:p w14:paraId="58A1EF24" w14:textId="77777777" w:rsidR="00623569" w:rsidRDefault="00623569" w:rsidP="001517F2">
            <w:pPr>
              <w:pStyle w:val="Paragraph"/>
              <w:keepNext/>
              <w:keepLines/>
              <w:spacing w:after="80"/>
            </w:pPr>
            <w:r>
              <w:t>Reduction in complaints = 114</w:t>
            </w:r>
          </w:p>
          <w:p w14:paraId="576015E3" w14:textId="77777777" w:rsidR="00623569" w:rsidRPr="00B83C77" w:rsidRDefault="00623569" w:rsidP="001517F2">
            <w:pPr>
              <w:pStyle w:val="Paragraph"/>
              <w:spacing w:after="0"/>
            </w:pPr>
            <w:r>
              <w:t xml:space="preserve">Source: </w:t>
            </w:r>
            <w:hyperlink r:id="rId39" w:history="1">
              <w:r w:rsidRPr="00FE2230">
                <w:rPr>
                  <w:rStyle w:val="Hyperlink"/>
                </w:rPr>
                <w:t>www.tio.com.au/sites/default/files/2023-09/TIO%20Financial%20Report%202023.pdf</w:t>
              </w:r>
            </w:hyperlink>
          </w:p>
        </w:tc>
      </w:tr>
      <w:tr w:rsidR="00623569" w:rsidRPr="00B83C77" w14:paraId="4D17F79B" w14:textId="77777777" w:rsidTr="00710D50">
        <w:trPr>
          <w:cnfStyle w:val="000000010000" w:firstRow="0" w:lastRow="0" w:firstColumn="0" w:lastColumn="0" w:oddVBand="0" w:evenVBand="0" w:oddHBand="0" w:evenHBand="1" w:firstRowFirstColumn="0" w:firstRowLastColumn="0" w:lastRowFirstColumn="0" w:lastRowLastColumn="0"/>
        </w:trPr>
        <w:tc>
          <w:tcPr>
            <w:tcW w:w="2119" w:type="dxa"/>
            <w:shd w:val="clear" w:color="auto" w:fill="auto"/>
          </w:tcPr>
          <w:p w14:paraId="27660998" w14:textId="77777777" w:rsidR="00623569" w:rsidRDefault="00623569" w:rsidP="001517F2">
            <w:pPr>
              <w:pStyle w:val="Paragraph"/>
              <w:spacing w:after="0"/>
            </w:pPr>
            <w:r>
              <w:t>Reduction in reconnection cost</w:t>
            </w:r>
          </w:p>
        </w:tc>
        <w:tc>
          <w:tcPr>
            <w:tcW w:w="1334" w:type="dxa"/>
            <w:shd w:val="clear" w:color="auto" w:fill="auto"/>
          </w:tcPr>
          <w:p w14:paraId="108AC7F1" w14:textId="77777777" w:rsidR="00623569" w:rsidRPr="000136DC" w:rsidRDefault="00623569" w:rsidP="001517F2">
            <w:pPr>
              <w:pStyle w:val="Paragraph"/>
              <w:spacing w:after="0"/>
            </w:pPr>
            <w:r w:rsidRPr="00050A36">
              <w:t>$</w:t>
            </w:r>
            <w:r>
              <w:t>573,270</w:t>
            </w:r>
          </w:p>
        </w:tc>
        <w:tc>
          <w:tcPr>
            <w:tcW w:w="5331" w:type="dxa"/>
            <w:shd w:val="clear" w:color="auto" w:fill="auto"/>
          </w:tcPr>
          <w:p w14:paraId="3725131C" w14:textId="77777777" w:rsidR="00623569" w:rsidRDefault="00623569" w:rsidP="001517F2">
            <w:pPr>
              <w:pStyle w:val="Paragraph"/>
              <w:spacing w:after="80"/>
            </w:pPr>
            <w:r>
              <w:t>Average reconnection cost per customer = $46</w:t>
            </w:r>
          </w:p>
          <w:p w14:paraId="245AF99B" w14:textId="77777777" w:rsidR="00623569" w:rsidRDefault="00623569" w:rsidP="001517F2">
            <w:pPr>
              <w:pStyle w:val="Paragraph"/>
              <w:spacing w:after="80"/>
            </w:pPr>
            <w:r>
              <w:lastRenderedPageBreak/>
              <w:t xml:space="preserve">Reduction in disconnections = </w:t>
            </w:r>
            <w:r w:rsidRPr="009D60DA">
              <w:t>12,462</w:t>
            </w:r>
          </w:p>
          <w:p w14:paraId="51268061" w14:textId="77777777" w:rsidR="00623569" w:rsidRDefault="00623569" w:rsidP="001517F2">
            <w:pPr>
              <w:pStyle w:val="Paragraph"/>
              <w:spacing w:after="0"/>
            </w:pPr>
            <w:r>
              <w:t xml:space="preserve">Source: </w:t>
            </w:r>
            <w:hyperlink r:id="rId40" w:history="1">
              <w:r w:rsidRPr="00FE2230">
                <w:rPr>
                  <w:rStyle w:val="Hyperlink"/>
                </w:rPr>
                <w:t>www.telstra.com.au/content/dam/tcom/our-customer-terms/business-government/pdf/mobilegeneral.pdf</w:t>
              </w:r>
            </w:hyperlink>
          </w:p>
        </w:tc>
      </w:tr>
    </w:tbl>
    <w:p w14:paraId="2B82E481" w14:textId="77777777" w:rsidR="00623569" w:rsidRDefault="00623569" w:rsidP="00623569">
      <w:pPr>
        <w:pStyle w:val="Paragraph"/>
        <w:spacing w:after="120"/>
      </w:pPr>
    </w:p>
    <w:p w14:paraId="5784F19E" w14:textId="77777777" w:rsidR="00623569" w:rsidRDefault="00623569" w:rsidP="00623569">
      <w:pPr>
        <w:pStyle w:val="Paragraph"/>
      </w:pPr>
      <w:r>
        <w:t>In addition to the items valued above, Option 2A is expected to impose various other benefits and costs on CSPs. Consultation on financial hardship reforms in the electricity sector suggest that these impacts are likely to offset each other.</w:t>
      </w:r>
      <w:r>
        <w:rPr>
          <w:rStyle w:val="FootnoteReference"/>
          <w:szCs w:val="20"/>
        </w:rPr>
        <w:footnoteReference w:id="51"/>
      </w:r>
      <w:r>
        <w:t xml:space="preserve"> For example, as mentioned above, the cost to CSPs of dealing with complaints relating to financial hardship are likely to be cost neutral when balanced against the time CSPs would instead spend on putting financial hardship arrangements in place for those customers.</w:t>
      </w:r>
    </w:p>
    <w:p w14:paraId="2236228D" w14:textId="77777777" w:rsidR="00623569" w:rsidRPr="0026069F" w:rsidRDefault="00623569" w:rsidP="00623569">
      <w:pPr>
        <w:pStyle w:val="Paragraph"/>
      </w:pPr>
      <w:r>
        <w:t>Beyond the estimated benefits above, Option 2A is also expected to deliver a range of advantages to customers who are transitioned to formal financial hardship provisions, thereby avoiding disconnection. These benefits encompass mitigating factors such as l</w:t>
      </w:r>
      <w:r w:rsidRPr="0026069F">
        <w:t>oss of services</w:t>
      </w:r>
      <w:r>
        <w:t xml:space="preserve">, which can be particularly </w:t>
      </w:r>
      <w:r w:rsidRPr="0026069F">
        <w:t>disadvantage</w:t>
      </w:r>
      <w:r>
        <w:t>ous</w:t>
      </w:r>
      <w:r w:rsidRPr="0026069F">
        <w:t xml:space="preserve"> for </w:t>
      </w:r>
      <w:r>
        <w:t>individuals</w:t>
      </w:r>
      <w:r w:rsidRPr="0026069F">
        <w:t xml:space="preserve"> </w:t>
      </w:r>
      <w:r>
        <w:t>facing</w:t>
      </w:r>
      <w:r w:rsidRPr="0026069F">
        <w:t xml:space="preserve"> disconnect</w:t>
      </w:r>
      <w:r>
        <w:t xml:space="preserve">ion.  </w:t>
      </w:r>
    </w:p>
    <w:p w14:paraId="11D84122" w14:textId="77777777" w:rsidR="00623569" w:rsidRDefault="00623569" w:rsidP="00623569">
      <w:pPr>
        <w:pStyle w:val="Heading3"/>
      </w:pPr>
      <w:bookmarkStart w:id="57" w:name="_Toc155685998"/>
      <w:r w:rsidRPr="00321CE0">
        <w:t>Costs</w:t>
      </w:r>
      <w:bookmarkEnd w:id="57"/>
      <w:r w:rsidRPr="00321CE0">
        <w:t xml:space="preserve"> </w:t>
      </w:r>
    </w:p>
    <w:p w14:paraId="30477AE3" w14:textId="77777777" w:rsidR="00623569" w:rsidRDefault="00623569" w:rsidP="00623569">
      <w:pPr>
        <w:pStyle w:val="Paragraph"/>
      </w:pPr>
      <w:r>
        <w:t>A range of costs have been identified for the ACMA and are set out in Table 6, below. Under Option 2A, it is anticipated that the Standard will result in an increase in compliance and enforcement effort from the ACMA immediately following implementation. Assuming that under Option 2A, there is some increase in support provided to customers facing financial hardship by the CSPs, compliance and enforcement effort is expected to reduce in the subsequent years. The reduction in costs is lower than status quo but still higher than Option 2B as there is some difficulty in enforcing and ensuring compliance with an outcomes-based standard. The same argument applies to communication and education of the Standard by ACMA.</w:t>
      </w:r>
    </w:p>
    <w:p w14:paraId="41421F85" w14:textId="77777777" w:rsidR="00623569" w:rsidRDefault="00623569" w:rsidP="00623569">
      <w:pPr>
        <w:pStyle w:val="Tableheading"/>
      </w:pPr>
      <w:r>
        <w:t xml:space="preserve">Estimated ACMA costs under the Option 2A over 10 years </w:t>
      </w:r>
    </w:p>
    <w:tbl>
      <w:tblPr>
        <w:tblStyle w:val="ACMAtablestyle"/>
        <w:tblW w:w="8784" w:type="dxa"/>
        <w:tblLook w:val="04A0" w:firstRow="1" w:lastRow="0" w:firstColumn="1" w:lastColumn="0" w:noHBand="0" w:noVBand="1"/>
      </w:tblPr>
      <w:tblGrid>
        <w:gridCol w:w="2119"/>
        <w:gridCol w:w="1704"/>
        <w:gridCol w:w="4961"/>
      </w:tblGrid>
      <w:tr w:rsidR="00623569" w:rsidRPr="00B83C77" w14:paraId="3CD0ADBA" w14:textId="77777777" w:rsidTr="001517F2">
        <w:trPr>
          <w:cnfStyle w:val="100000000000" w:firstRow="1" w:lastRow="0" w:firstColumn="0" w:lastColumn="0" w:oddVBand="0" w:evenVBand="0" w:oddHBand="0" w:evenHBand="0" w:firstRowFirstColumn="0" w:firstRowLastColumn="0" w:lastRowFirstColumn="0" w:lastRowLastColumn="0"/>
        </w:trPr>
        <w:tc>
          <w:tcPr>
            <w:tcW w:w="2119" w:type="dxa"/>
          </w:tcPr>
          <w:p w14:paraId="20C00EFB" w14:textId="77777777" w:rsidR="00623569" w:rsidRPr="009A62D2" w:rsidRDefault="00623569" w:rsidP="001517F2">
            <w:pPr>
              <w:pStyle w:val="Paragraph"/>
              <w:spacing w:after="0"/>
              <w:rPr>
                <w:b/>
                <w:bCs/>
              </w:rPr>
            </w:pPr>
            <w:r w:rsidRPr="009A62D2">
              <w:rPr>
                <w:b/>
                <w:bCs/>
              </w:rPr>
              <w:t xml:space="preserve">Input </w:t>
            </w:r>
          </w:p>
        </w:tc>
        <w:tc>
          <w:tcPr>
            <w:tcW w:w="1704" w:type="dxa"/>
          </w:tcPr>
          <w:p w14:paraId="030B689D" w14:textId="77777777" w:rsidR="00623569" w:rsidRPr="009A62D2" w:rsidRDefault="00623569" w:rsidP="001517F2">
            <w:pPr>
              <w:pStyle w:val="Paragraph"/>
              <w:spacing w:after="0"/>
              <w:rPr>
                <w:b/>
                <w:bCs/>
              </w:rPr>
            </w:pPr>
            <w:r w:rsidRPr="009A62D2">
              <w:rPr>
                <w:b/>
                <w:bCs/>
              </w:rPr>
              <w:t>Value</w:t>
            </w:r>
          </w:p>
        </w:tc>
        <w:tc>
          <w:tcPr>
            <w:tcW w:w="4961" w:type="dxa"/>
          </w:tcPr>
          <w:p w14:paraId="67B8EFB4" w14:textId="77777777" w:rsidR="00623569" w:rsidRPr="009A62D2" w:rsidRDefault="00623569" w:rsidP="001517F2">
            <w:pPr>
              <w:pStyle w:val="Paragraph"/>
              <w:spacing w:after="0"/>
              <w:rPr>
                <w:b/>
                <w:bCs/>
              </w:rPr>
            </w:pPr>
            <w:r w:rsidRPr="009A62D2">
              <w:rPr>
                <w:b/>
                <w:bCs/>
              </w:rPr>
              <w:t>Calculation and source</w:t>
            </w:r>
          </w:p>
        </w:tc>
      </w:tr>
      <w:tr w:rsidR="00623569" w:rsidRPr="00B83C77" w14:paraId="36DC00FA" w14:textId="77777777" w:rsidTr="004C0FD8">
        <w:trPr>
          <w:cnfStyle w:val="000000100000" w:firstRow="0" w:lastRow="0" w:firstColumn="0" w:lastColumn="0" w:oddVBand="0" w:evenVBand="0" w:oddHBand="1" w:evenHBand="0" w:firstRowFirstColumn="0" w:firstRowLastColumn="0" w:lastRowFirstColumn="0" w:lastRowLastColumn="0"/>
        </w:trPr>
        <w:tc>
          <w:tcPr>
            <w:tcW w:w="2119" w:type="dxa"/>
            <w:shd w:val="clear" w:color="auto" w:fill="F2F2F2" w:themeFill="background1" w:themeFillShade="F2"/>
          </w:tcPr>
          <w:p w14:paraId="2CA5812D" w14:textId="77777777" w:rsidR="00623569" w:rsidRPr="00B83C77" w:rsidRDefault="00623569" w:rsidP="001517F2">
            <w:pPr>
              <w:pStyle w:val="Paragraph"/>
            </w:pPr>
            <w:r>
              <w:t>C</w:t>
            </w:r>
            <w:r w:rsidRPr="00E00534">
              <w:t>ompliance and enforcement</w:t>
            </w:r>
            <w:r>
              <w:t xml:space="preserve"> cost</w:t>
            </w:r>
          </w:p>
        </w:tc>
        <w:tc>
          <w:tcPr>
            <w:tcW w:w="1704" w:type="dxa"/>
            <w:shd w:val="clear" w:color="auto" w:fill="F2F2F2" w:themeFill="background1" w:themeFillShade="F2"/>
          </w:tcPr>
          <w:p w14:paraId="6459758F" w14:textId="77777777" w:rsidR="00623569" w:rsidRDefault="00623569" w:rsidP="001517F2">
            <w:pPr>
              <w:pStyle w:val="Paragraph"/>
              <w:spacing w:after="80"/>
            </w:pPr>
            <w:r>
              <w:t xml:space="preserve">Yr. 1 </w:t>
            </w:r>
            <w:r w:rsidRPr="00BD1F3E">
              <w:t>$1,124,623</w:t>
            </w:r>
          </w:p>
          <w:p w14:paraId="56FFE376" w14:textId="77777777" w:rsidR="00623569" w:rsidRDefault="00623569" w:rsidP="001517F2">
            <w:pPr>
              <w:pStyle w:val="Paragraph"/>
              <w:spacing w:after="80"/>
            </w:pPr>
            <w:r>
              <w:t xml:space="preserve">Yr. 2 onwards </w:t>
            </w:r>
            <w:r w:rsidRPr="00BD1F3E">
              <w:t>$843,467</w:t>
            </w:r>
          </w:p>
          <w:p w14:paraId="31C61104" w14:textId="77777777" w:rsidR="00623569" w:rsidRPr="00B83C77" w:rsidRDefault="00623569" w:rsidP="001517F2">
            <w:pPr>
              <w:pStyle w:val="Paragraph"/>
              <w:spacing w:after="80"/>
            </w:pPr>
            <w:r>
              <w:t>(Status quo: $984,045)</w:t>
            </w:r>
          </w:p>
        </w:tc>
        <w:tc>
          <w:tcPr>
            <w:tcW w:w="4961" w:type="dxa"/>
            <w:shd w:val="clear" w:color="auto" w:fill="F2F2F2" w:themeFill="background1" w:themeFillShade="F2"/>
          </w:tcPr>
          <w:p w14:paraId="1687968E" w14:textId="77777777" w:rsidR="00623569" w:rsidRDefault="00623569" w:rsidP="001517F2">
            <w:pPr>
              <w:pStyle w:val="Paragraph"/>
              <w:spacing w:after="80"/>
            </w:pPr>
            <w:r>
              <w:t>Based on estimated ACMA staff time spent on financial hardship</w:t>
            </w:r>
            <w:r w:rsidRPr="00E00534">
              <w:t xml:space="preserve"> compliance</w:t>
            </w:r>
            <w:r>
              <w:t xml:space="preserve"> monitoring and enforcement.</w:t>
            </w:r>
          </w:p>
          <w:p w14:paraId="6AA77FBA" w14:textId="77777777" w:rsidR="00623569" w:rsidRPr="00B83C77" w:rsidRDefault="00623569" w:rsidP="001517F2">
            <w:pPr>
              <w:pStyle w:val="Paragraph"/>
              <w:spacing w:after="0"/>
            </w:pPr>
            <w:r>
              <w:t>It is expected the time spent on compliance and enforcement activities would be greater in Year 1 than the status quo ($984,045) but would be slightly less than the status quo in subsequent years.</w:t>
            </w:r>
          </w:p>
        </w:tc>
      </w:tr>
      <w:tr w:rsidR="00623569" w:rsidRPr="00B83C77" w14:paraId="787C29DF" w14:textId="77777777" w:rsidTr="004C0FD8">
        <w:trPr>
          <w:cnfStyle w:val="000000010000" w:firstRow="0" w:lastRow="0" w:firstColumn="0" w:lastColumn="0" w:oddVBand="0" w:evenVBand="0" w:oddHBand="0" w:evenHBand="1" w:firstRowFirstColumn="0" w:firstRowLastColumn="0" w:lastRowFirstColumn="0" w:lastRowLastColumn="0"/>
        </w:trPr>
        <w:tc>
          <w:tcPr>
            <w:tcW w:w="2119" w:type="dxa"/>
            <w:shd w:val="clear" w:color="auto" w:fill="auto"/>
          </w:tcPr>
          <w:p w14:paraId="311E3AB5" w14:textId="77777777" w:rsidR="00623569" w:rsidRDefault="00623569" w:rsidP="001517F2">
            <w:pPr>
              <w:pStyle w:val="Paragraph"/>
            </w:pPr>
            <w:r>
              <w:t>C</w:t>
            </w:r>
            <w:r w:rsidRPr="00B107E3">
              <w:t>ommunicating and educating the Standard</w:t>
            </w:r>
          </w:p>
        </w:tc>
        <w:tc>
          <w:tcPr>
            <w:tcW w:w="1704" w:type="dxa"/>
            <w:shd w:val="clear" w:color="auto" w:fill="auto"/>
          </w:tcPr>
          <w:p w14:paraId="6FBEFAF5" w14:textId="77777777" w:rsidR="00623569" w:rsidRDefault="00623569" w:rsidP="001517F2">
            <w:pPr>
              <w:pStyle w:val="Paragraph"/>
              <w:spacing w:after="80"/>
            </w:pPr>
            <w:r>
              <w:t xml:space="preserve">Yr. 1 </w:t>
            </w:r>
            <w:r w:rsidRPr="00362FE0">
              <w:t>$70,289</w:t>
            </w:r>
          </w:p>
          <w:p w14:paraId="0CAE749B" w14:textId="77777777" w:rsidR="00623569" w:rsidRDefault="00623569" w:rsidP="001517F2">
            <w:pPr>
              <w:pStyle w:val="Paragraph"/>
              <w:spacing w:after="80"/>
            </w:pPr>
            <w:r>
              <w:t xml:space="preserve">Yr. 2 onwards </w:t>
            </w:r>
            <w:r w:rsidRPr="00362FE0">
              <w:t>$35,144</w:t>
            </w:r>
          </w:p>
          <w:p w14:paraId="1BBC0B7E" w14:textId="77777777" w:rsidR="00623569" w:rsidRPr="00E00534" w:rsidRDefault="00623569" w:rsidP="001517F2">
            <w:pPr>
              <w:pStyle w:val="Paragraph"/>
              <w:spacing w:after="0"/>
            </w:pPr>
            <w:r>
              <w:t>(Status quo: $35,144)</w:t>
            </w:r>
          </w:p>
        </w:tc>
        <w:tc>
          <w:tcPr>
            <w:tcW w:w="4961" w:type="dxa"/>
            <w:shd w:val="clear" w:color="auto" w:fill="auto"/>
          </w:tcPr>
          <w:p w14:paraId="1811A88F" w14:textId="77777777" w:rsidR="00623569" w:rsidRDefault="00623569" w:rsidP="001517F2">
            <w:pPr>
              <w:pStyle w:val="Paragraph"/>
              <w:spacing w:after="0"/>
            </w:pPr>
            <w:r>
              <w:t>Based on estimated ACMA staff time spent on financial hardship</w:t>
            </w:r>
            <w:r w:rsidRPr="00F925CC">
              <w:t xml:space="preserve"> </w:t>
            </w:r>
            <w:r>
              <w:t>education and communications – expected greater cost</w:t>
            </w:r>
            <w:r w:rsidDel="00E81409">
              <w:t xml:space="preserve"> </w:t>
            </w:r>
            <w:r>
              <w:t>than status quo in first year the Standard is implemented.</w:t>
            </w:r>
          </w:p>
        </w:tc>
      </w:tr>
      <w:tr w:rsidR="00623569" w:rsidRPr="00B83C77" w14:paraId="364207E7" w14:textId="77777777" w:rsidTr="004C0FD8">
        <w:trPr>
          <w:cnfStyle w:val="000000100000" w:firstRow="0" w:lastRow="0" w:firstColumn="0" w:lastColumn="0" w:oddVBand="0" w:evenVBand="0" w:oddHBand="1" w:evenHBand="0" w:firstRowFirstColumn="0" w:firstRowLastColumn="0" w:lastRowFirstColumn="0" w:lastRowLastColumn="0"/>
        </w:trPr>
        <w:tc>
          <w:tcPr>
            <w:tcW w:w="2119" w:type="dxa"/>
            <w:shd w:val="clear" w:color="auto" w:fill="F2F2F2" w:themeFill="background1" w:themeFillShade="F2"/>
          </w:tcPr>
          <w:p w14:paraId="4E5F4B7E" w14:textId="77777777" w:rsidR="00623569" w:rsidRDefault="00623569" w:rsidP="001517F2">
            <w:pPr>
              <w:pStyle w:val="Paragraph"/>
            </w:pPr>
            <w:r>
              <w:lastRenderedPageBreak/>
              <w:t>Developing new standard</w:t>
            </w:r>
          </w:p>
        </w:tc>
        <w:tc>
          <w:tcPr>
            <w:tcW w:w="1704" w:type="dxa"/>
            <w:shd w:val="clear" w:color="auto" w:fill="F2F2F2" w:themeFill="background1" w:themeFillShade="F2"/>
          </w:tcPr>
          <w:p w14:paraId="38E007CD" w14:textId="77777777" w:rsidR="00623569" w:rsidRPr="000371BF" w:rsidRDefault="00623569" w:rsidP="001517F2">
            <w:pPr>
              <w:spacing w:after="80" w:line="240" w:lineRule="auto"/>
              <w:rPr>
                <w:rFonts w:cs="Arial"/>
                <w:color w:val="000000"/>
                <w:szCs w:val="20"/>
              </w:rPr>
            </w:pPr>
            <w:r w:rsidRPr="000371BF">
              <w:rPr>
                <w:rFonts w:cs="Arial"/>
                <w:color w:val="000000"/>
                <w:szCs w:val="20"/>
              </w:rPr>
              <w:t>$312,395</w:t>
            </w:r>
          </w:p>
        </w:tc>
        <w:tc>
          <w:tcPr>
            <w:tcW w:w="4961" w:type="dxa"/>
            <w:shd w:val="clear" w:color="auto" w:fill="F2F2F2" w:themeFill="background1" w:themeFillShade="F2"/>
          </w:tcPr>
          <w:p w14:paraId="059813F3" w14:textId="77777777" w:rsidR="00623569" w:rsidRDefault="00623569" w:rsidP="001517F2">
            <w:pPr>
              <w:pStyle w:val="Paragraph"/>
              <w:spacing w:after="0"/>
            </w:pPr>
            <w:r>
              <w:t>Based on estimated ACMA staff time to make the Standard - assumed to be equivalent to TCP Code review. While developing a standard is more limited in scope and time than a TCP Code review, that must be balanced against the requirements for the ACMA to draft instruments and consult.</w:t>
            </w:r>
          </w:p>
        </w:tc>
      </w:tr>
    </w:tbl>
    <w:p w14:paraId="1E35EC5B" w14:textId="77777777" w:rsidR="00623569" w:rsidRDefault="00623569" w:rsidP="00623569">
      <w:pPr>
        <w:pStyle w:val="Paragraph"/>
        <w:spacing w:after="0"/>
      </w:pPr>
    </w:p>
    <w:p w14:paraId="15B924D2" w14:textId="77777777" w:rsidR="00623569" w:rsidRPr="007514EA" w:rsidRDefault="00623569" w:rsidP="00623569">
      <w:pPr>
        <w:pStyle w:val="Heading4"/>
        <w:spacing w:before="120"/>
      </w:pPr>
      <w:r w:rsidRPr="007514EA">
        <w:t xml:space="preserve">CSP costs </w:t>
      </w:r>
    </w:p>
    <w:p w14:paraId="7AC643E2" w14:textId="77777777" w:rsidR="00623569" w:rsidRPr="00DD73CC" w:rsidRDefault="00623569" w:rsidP="00623569">
      <w:pPr>
        <w:pStyle w:val="Paragraph"/>
        <w:rPr>
          <w:i/>
          <w:iCs/>
        </w:rPr>
      </w:pPr>
      <w:r w:rsidRPr="00DD73CC">
        <w:t>CSPs would face potential costs associated with developing and implementing</w:t>
      </w:r>
      <w:r w:rsidRPr="001F15CF">
        <w:t xml:space="preserve"> strategies for early identification and assistance</w:t>
      </w:r>
      <w:r>
        <w:t xml:space="preserve"> if these were not already in place. There may also be costs </w:t>
      </w:r>
      <w:r w:rsidRPr="001F15CF">
        <w:t xml:space="preserve">related to adapting operational models to comply with </w:t>
      </w:r>
      <w:r>
        <w:t>any</w:t>
      </w:r>
      <w:r w:rsidRPr="001F15CF">
        <w:t xml:space="preserve"> </w:t>
      </w:r>
      <w:r>
        <w:t xml:space="preserve">new requirements that are additional to those that CSPs must already comply with in the TCP Code. </w:t>
      </w:r>
    </w:p>
    <w:p w14:paraId="23272CC4" w14:textId="77777777" w:rsidR="00623569" w:rsidRDefault="00623569" w:rsidP="00623569">
      <w:pPr>
        <w:rPr>
          <w:szCs w:val="20"/>
        </w:rPr>
      </w:pPr>
      <w:r>
        <w:rPr>
          <w:szCs w:val="20"/>
        </w:rPr>
        <w:t xml:space="preserve">The number of CSPs covered by the Standard has been estimated to be </w:t>
      </w:r>
      <w:r w:rsidRPr="007514EA">
        <w:rPr>
          <w:rFonts w:cs="Arial"/>
          <w:i/>
          <w:iCs/>
          <w:szCs w:val="20"/>
        </w:rPr>
        <w:t>approximately</w:t>
      </w:r>
      <w:r>
        <w:rPr>
          <w:szCs w:val="20"/>
        </w:rPr>
        <w:t xml:space="preserve"> 350. </w:t>
      </w:r>
    </w:p>
    <w:p w14:paraId="30ED11D4" w14:textId="77777777" w:rsidR="00623569" w:rsidRPr="00095568" w:rsidRDefault="00623569" w:rsidP="00623569">
      <w:pPr>
        <w:pStyle w:val="Paragraphbeforelist"/>
        <w:rPr>
          <w:rFonts w:eastAsia="Calibri"/>
          <w:lang w:eastAsia="en-US"/>
        </w:rPr>
      </w:pPr>
      <w:r w:rsidRPr="00095568">
        <w:rPr>
          <w:rFonts w:eastAsia="Calibri"/>
          <w:lang w:eastAsia="en-US"/>
        </w:rPr>
        <w:t xml:space="preserve">For the purposes of this </w:t>
      </w:r>
      <w:r>
        <w:rPr>
          <w:rFonts w:eastAsia="Calibri"/>
          <w:lang w:eastAsia="en-US"/>
        </w:rPr>
        <w:t>impact analysis</w:t>
      </w:r>
      <w:r w:rsidRPr="00095568">
        <w:rPr>
          <w:rFonts w:eastAsia="Calibri"/>
          <w:lang w:eastAsia="en-US"/>
        </w:rPr>
        <w:t xml:space="preserve">, </w:t>
      </w:r>
      <w:r>
        <w:rPr>
          <w:rFonts w:eastAsia="Calibri"/>
          <w:lang w:eastAsia="en-US"/>
        </w:rPr>
        <w:t>CSP</w:t>
      </w:r>
      <w:r w:rsidRPr="00095568">
        <w:rPr>
          <w:rFonts w:eastAsia="Calibri"/>
          <w:lang w:eastAsia="en-US"/>
        </w:rPr>
        <w:t xml:space="preserve">s have been characterised as follows (based on the volume of </w:t>
      </w:r>
      <w:r>
        <w:rPr>
          <w:rFonts w:eastAsia="Calibri"/>
          <w:lang w:eastAsia="en-US"/>
        </w:rPr>
        <w:t>services in operation</w:t>
      </w:r>
      <w:r w:rsidRPr="00095568">
        <w:rPr>
          <w:rFonts w:eastAsia="Calibri"/>
          <w:lang w:eastAsia="en-US"/>
        </w:rPr>
        <w:t>):</w:t>
      </w:r>
    </w:p>
    <w:p w14:paraId="11D1B574" w14:textId="77777777" w:rsidR="00623569" w:rsidRPr="00793F20" w:rsidRDefault="00623569" w:rsidP="00AC69D1">
      <w:pPr>
        <w:pStyle w:val="Bulletlevel1"/>
        <w:numPr>
          <w:ilvl w:val="0"/>
          <w:numId w:val="16"/>
        </w:numPr>
        <w:ind w:left="425" w:hanging="425"/>
        <w:rPr>
          <w:lang w:eastAsia="en-US"/>
        </w:rPr>
      </w:pPr>
      <w:r w:rsidRPr="00793F20">
        <w:rPr>
          <w:lang w:eastAsia="en-US"/>
        </w:rPr>
        <w:t>2</w:t>
      </w:r>
      <w:r>
        <w:rPr>
          <w:lang w:eastAsia="en-US"/>
        </w:rPr>
        <w:t xml:space="preserve"> </w:t>
      </w:r>
      <w:r w:rsidRPr="00793F20">
        <w:rPr>
          <w:lang w:eastAsia="en-US"/>
        </w:rPr>
        <w:t>large CSPs</w:t>
      </w:r>
      <w:r>
        <w:rPr>
          <w:lang w:eastAsia="en-US"/>
        </w:rPr>
        <w:t xml:space="preserve"> (</w:t>
      </w:r>
      <w:r w:rsidRPr="00793F20">
        <w:rPr>
          <w:lang w:eastAsia="en-US"/>
        </w:rPr>
        <w:t>over 10 million services</w:t>
      </w:r>
      <w:r>
        <w:rPr>
          <w:lang w:eastAsia="en-US"/>
        </w:rPr>
        <w:t>)</w:t>
      </w:r>
    </w:p>
    <w:p w14:paraId="352AE8E6" w14:textId="77777777" w:rsidR="00623569" w:rsidRPr="00793F20" w:rsidRDefault="00623569" w:rsidP="00AC69D1">
      <w:pPr>
        <w:pStyle w:val="Bulletlevel1"/>
        <w:numPr>
          <w:ilvl w:val="0"/>
          <w:numId w:val="16"/>
        </w:numPr>
        <w:ind w:left="425" w:hanging="425"/>
        <w:rPr>
          <w:lang w:eastAsia="en-US"/>
        </w:rPr>
      </w:pPr>
      <w:r w:rsidRPr="00793F20">
        <w:rPr>
          <w:lang w:eastAsia="en-US"/>
        </w:rPr>
        <w:t>4</w:t>
      </w:r>
      <w:r>
        <w:rPr>
          <w:lang w:eastAsia="en-US"/>
        </w:rPr>
        <w:t xml:space="preserve"> </w:t>
      </w:r>
      <w:r w:rsidRPr="00793F20">
        <w:rPr>
          <w:lang w:eastAsia="en-US"/>
        </w:rPr>
        <w:t xml:space="preserve">medium CSPs </w:t>
      </w:r>
      <w:r>
        <w:rPr>
          <w:lang w:eastAsia="en-US"/>
        </w:rPr>
        <w:t>(</w:t>
      </w:r>
      <w:r w:rsidRPr="00793F20">
        <w:rPr>
          <w:lang w:eastAsia="en-US"/>
        </w:rPr>
        <w:t>1 million to 10 million services</w:t>
      </w:r>
      <w:r>
        <w:rPr>
          <w:lang w:eastAsia="en-US"/>
        </w:rPr>
        <w:t>)</w:t>
      </w:r>
    </w:p>
    <w:p w14:paraId="4A359D84" w14:textId="77777777" w:rsidR="00623569" w:rsidRPr="00793F20" w:rsidRDefault="00623569" w:rsidP="00AC69D1">
      <w:pPr>
        <w:pStyle w:val="Bulletlevel1"/>
        <w:numPr>
          <w:ilvl w:val="0"/>
          <w:numId w:val="16"/>
        </w:numPr>
        <w:ind w:left="425" w:hanging="425"/>
        <w:rPr>
          <w:lang w:eastAsia="en-US"/>
        </w:rPr>
      </w:pPr>
      <w:r w:rsidRPr="00793F20">
        <w:rPr>
          <w:lang w:eastAsia="en-US"/>
        </w:rPr>
        <w:t>27</w:t>
      </w:r>
      <w:r>
        <w:rPr>
          <w:lang w:eastAsia="en-US"/>
        </w:rPr>
        <w:t xml:space="preserve"> </w:t>
      </w:r>
      <w:r w:rsidRPr="00793F20">
        <w:rPr>
          <w:lang w:eastAsia="en-US"/>
        </w:rPr>
        <w:t>small CSPs</w:t>
      </w:r>
      <w:r>
        <w:rPr>
          <w:lang w:eastAsia="en-US"/>
        </w:rPr>
        <w:t xml:space="preserve"> (</w:t>
      </w:r>
      <w:r w:rsidRPr="00793F20">
        <w:rPr>
          <w:lang w:eastAsia="en-US"/>
        </w:rPr>
        <w:t>30,000 to 1 million services</w:t>
      </w:r>
      <w:r>
        <w:rPr>
          <w:lang w:eastAsia="en-US"/>
        </w:rPr>
        <w:t>)</w:t>
      </w:r>
    </w:p>
    <w:p w14:paraId="05E8A241" w14:textId="77777777" w:rsidR="00623569" w:rsidRPr="00793F20" w:rsidRDefault="00623569" w:rsidP="00AC69D1">
      <w:pPr>
        <w:pStyle w:val="Bulletlevel1last"/>
        <w:numPr>
          <w:ilvl w:val="0"/>
          <w:numId w:val="2"/>
        </w:numPr>
        <w:tabs>
          <w:tab w:val="clear" w:pos="295"/>
        </w:tabs>
        <w:ind w:left="357" w:hanging="357"/>
        <w:rPr>
          <w:lang w:eastAsia="en-US"/>
        </w:rPr>
      </w:pPr>
      <w:r w:rsidRPr="00793F20">
        <w:rPr>
          <w:lang w:eastAsia="en-US"/>
        </w:rPr>
        <w:t>317</w:t>
      </w:r>
      <w:r>
        <w:rPr>
          <w:lang w:eastAsia="en-US"/>
        </w:rPr>
        <w:t xml:space="preserve"> </w:t>
      </w:r>
      <w:r w:rsidRPr="00793F20">
        <w:rPr>
          <w:lang w:eastAsia="en-US"/>
        </w:rPr>
        <w:t xml:space="preserve">very small </w:t>
      </w:r>
      <w:r>
        <w:rPr>
          <w:lang w:eastAsia="en-US"/>
        </w:rPr>
        <w:t>CSPs (</w:t>
      </w:r>
      <w:r w:rsidRPr="00793F20">
        <w:rPr>
          <w:lang w:eastAsia="en-US"/>
        </w:rPr>
        <w:t>1 to 30,000 services</w:t>
      </w:r>
      <w:r>
        <w:rPr>
          <w:lang w:eastAsia="en-US"/>
        </w:rPr>
        <w:t>)</w:t>
      </w:r>
    </w:p>
    <w:p w14:paraId="48A54E29" w14:textId="77777777" w:rsidR="00623569" w:rsidRDefault="00623569" w:rsidP="00623569">
      <w:pPr>
        <w:pStyle w:val="Paragraph"/>
      </w:pPr>
      <w:r>
        <w:t>The total allocation of costs is set out in Table 7 below.</w:t>
      </w:r>
    </w:p>
    <w:p w14:paraId="08B45DBB" w14:textId="19FBC940" w:rsidR="00623569" w:rsidRDefault="00623569" w:rsidP="00623569">
      <w:pPr>
        <w:pStyle w:val="Tableheading"/>
      </w:pPr>
      <w:bookmarkStart w:id="58" w:name="_Ref153304568"/>
      <w:r w:rsidRPr="008216AA">
        <w:t>Costs to all CSPs to comply with enforceable obligations under Option 2</w:t>
      </w:r>
      <w:r>
        <w:t>A</w:t>
      </w:r>
      <w:bookmarkEnd w:id="58"/>
      <w:r>
        <w:t xml:space="preserve"> over 10 years</w:t>
      </w:r>
      <w:r>
        <w:rPr>
          <w:rStyle w:val="FootnoteReference"/>
        </w:rPr>
        <w:footnoteReference w:id="52"/>
      </w:r>
    </w:p>
    <w:tbl>
      <w:tblPr>
        <w:tblW w:w="8779" w:type="dxa"/>
        <w:tblCellMar>
          <w:top w:w="85" w:type="dxa"/>
          <w:left w:w="57" w:type="dxa"/>
          <w:bottom w:w="85" w:type="dxa"/>
          <w:right w:w="57" w:type="dxa"/>
        </w:tblCellMar>
        <w:tblLook w:val="04A0" w:firstRow="1" w:lastRow="0" w:firstColumn="1" w:lastColumn="0" w:noHBand="0" w:noVBand="1"/>
      </w:tblPr>
      <w:tblGrid>
        <w:gridCol w:w="2088"/>
        <w:gridCol w:w="2089"/>
        <w:gridCol w:w="2088"/>
        <w:gridCol w:w="2514"/>
      </w:tblGrid>
      <w:tr w:rsidR="00623569" w:rsidRPr="00A54C18" w14:paraId="1E3FD3D4" w14:textId="77777777" w:rsidTr="001517F2">
        <w:trPr>
          <w:trHeight w:val="525"/>
        </w:trPr>
        <w:tc>
          <w:tcPr>
            <w:tcW w:w="2088" w:type="dxa"/>
            <w:tcBorders>
              <w:top w:val="single" w:sz="8" w:space="0" w:color="auto"/>
              <w:left w:val="single" w:sz="8" w:space="0" w:color="auto"/>
              <w:bottom w:val="single" w:sz="8" w:space="0" w:color="auto"/>
              <w:right w:val="single" w:sz="8" w:space="0" w:color="auto"/>
            </w:tcBorders>
            <w:shd w:val="clear" w:color="000000" w:fill="404040"/>
            <w:hideMark/>
          </w:tcPr>
          <w:p w14:paraId="0A7C7274" w14:textId="77777777" w:rsidR="00623569" w:rsidRPr="00A54C18" w:rsidRDefault="00623569" w:rsidP="001517F2">
            <w:pPr>
              <w:spacing w:after="0" w:line="240" w:lineRule="auto"/>
              <w:rPr>
                <w:rFonts w:cs="Arial"/>
                <w:b/>
                <w:bCs/>
                <w:color w:val="FFFFFF"/>
                <w:szCs w:val="20"/>
              </w:rPr>
            </w:pPr>
            <w:r w:rsidRPr="00A54C18">
              <w:rPr>
                <w:rFonts w:cs="Arial"/>
                <w:b/>
                <w:bCs/>
                <w:color w:val="FFFFFF"/>
                <w:szCs w:val="20"/>
              </w:rPr>
              <w:t>Category</w:t>
            </w:r>
          </w:p>
        </w:tc>
        <w:tc>
          <w:tcPr>
            <w:tcW w:w="2089" w:type="dxa"/>
            <w:tcBorders>
              <w:top w:val="single" w:sz="8" w:space="0" w:color="auto"/>
              <w:left w:val="nil"/>
              <w:bottom w:val="single" w:sz="8" w:space="0" w:color="auto"/>
              <w:right w:val="single" w:sz="8" w:space="0" w:color="auto"/>
            </w:tcBorders>
            <w:shd w:val="clear" w:color="000000" w:fill="404040"/>
            <w:hideMark/>
          </w:tcPr>
          <w:p w14:paraId="633F835C" w14:textId="77777777" w:rsidR="00623569" w:rsidRPr="00A54C18" w:rsidRDefault="00623569" w:rsidP="001517F2">
            <w:pPr>
              <w:spacing w:after="0" w:line="240" w:lineRule="auto"/>
              <w:jc w:val="right"/>
              <w:rPr>
                <w:rFonts w:cs="Arial"/>
                <w:b/>
                <w:bCs/>
                <w:color w:val="FFFFFF"/>
                <w:szCs w:val="20"/>
              </w:rPr>
            </w:pPr>
            <w:r w:rsidRPr="00A54C18">
              <w:rPr>
                <w:rFonts w:cs="Arial"/>
                <w:b/>
                <w:bCs/>
                <w:color w:val="FFFFFF"/>
                <w:szCs w:val="20"/>
              </w:rPr>
              <w:t>Number of businesses</w:t>
            </w:r>
          </w:p>
        </w:tc>
        <w:tc>
          <w:tcPr>
            <w:tcW w:w="2088" w:type="dxa"/>
            <w:tcBorders>
              <w:top w:val="single" w:sz="8" w:space="0" w:color="auto"/>
              <w:left w:val="nil"/>
              <w:bottom w:val="single" w:sz="8" w:space="0" w:color="auto"/>
              <w:right w:val="single" w:sz="8" w:space="0" w:color="auto"/>
            </w:tcBorders>
            <w:shd w:val="clear" w:color="000000" w:fill="404040"/>
            <w:hideMark/>
          </w:tcPr>
          <w:p w14:paraId="169F5B9B" w14:textId="77777777" w:rsidR="00623569" w:rsidRPr="00A54C18" w:rsidRDefault="00623569" w:rsidP="001517F2">
            <w:pPr>
              <w:spacing w:after="0" w:line="240" w:lineRule="auto"/>
              <w:jc w:val="right"/>
              <w:rPr>
                <w:rFonts w:cs="Arial"/>
                <w:b/>
                <w:bCs/>
                <w:color w:val="FFFFFF"/>
                <w:szCs w:val="20"/>
              </w:rPr>
            </w:pPr>
            <w:r w:rsidRPr="00A54C18">
              <w:rPr>
                <w:rFonts w:cs="Arial"/>
                <w:b/>
                <w:bCs/>
                <w:color w:val="FFFFFF"/>
                <w:szCs w:val="20"/>
              </w:rPr>
              <w:t xml:space="preserve">Total costs: </w:t>
            </w:r>
            <w:r>
              <w:rPr>
                <w:rFonts w:cs="Arial"/>
                <w:b/>
                <w:bCs/>
                <w:color w:val="FFFFFF"/>
                <w:szCs w:val="20"/>
              </w:rPr>
              <w:br/>
            </w:r>
            <w:r w:rsidRPr="00A54C18">
              <w:rPr>
                <w:rFonts w:cs="Arial"/>
                <w:b/>
                <w:bCs/>
                <w:color w:val="FFFFFF"/>
                <w:szCs w:val="20"/>
              </w:rPr>
              <w:t xml:space="preserve">Year 1 </w:t>
            </w:r>
          </w:p>
        </w:tc>
        <w:tc>
          <w:tcPr>
            <w:tcW w:w="2514" w:type="dxa"/>
            <w:tcBorders>
              <w:top w:val="single" w:sz="8" w:space="0" w:color="auto"/>
              <w:left w:val="nil"/>
              <w:bottom w:val="single" w:sz="8" w:space="0" w:color="auto"/>
              <w:right w:val="single" w:sz="8" w:space="0" w:color="auto"/>
            </w:tcBorders>
            <w:shd w:val="clear" w:color="000000" w:fill="404040"/>
            <w:hideMark/>
          </w:tcPr>
          <w:p w14:paraId="7A8A1475" w14:textId="77777777" w:rsidR="00623569" w:rsidRPr="00A54C18" w:rsidRDefault="00623569" w:rsidP="001517F2">
            <w:pPr>
              <w:spacing w:after="0" w:line="240" w:lineRule="auto"/>
              <w:jc w:val="right"/>
              <w:rPr>
                <w:rFonts w:cs="Arial"/>
                <w:b/>
                <w:bCs/>
                <w:color w:val="FFFFFF"/>
                <w:szCs w:val="20"/>
              </w:rPr>
            </w:pPr>
            <w:r w:rsidRPr="00A54C18">
              <w:rPr>
                <w:rFonts w:cs="Arial"/>
                <w:b/>
                <w:bCs/>
                <w:color w:val="FFFFFF"/>
                <w:szCs w:val="20"/>
              </w:rPr>
              <w:t xml:space="preserve">Total costs: </w:t>
            </w:r>
            <w:r>
              <w:rPr>
                <w:rFonts w:cs="Arial"/>
                <w:b/>
                <w:bCs/>
                <w:color w:val="FFFFFF"/>
                <w:szCs w:val="20"/>
              </w:rPr>
              <w:br/>
            </w:r>
            <w:r w:rsidRPr="00A54C18">
              <w:rPr>
                <w:rFonts w:cs="Arial"/>
                <w:b/>
                <w:bCs/>
                <w:color w:val="FFFFFF"/>
                <w:szCs w:val="20"/>
              </w:rPr>
              <w:t>Year 2 onwards</w:t>
            </w:r>
          </w:p>
        </w:tc>
      </w:tr>
      <w:tr w:rsidR="00623569" w:rsidRPr="00A54C18" w14:paraId="3BFBE76C" w14:textId="77777777" w:rsidTr="001517F2">
        <w:trPr>
          <w:trHeight w:val="285"/>
        </w:trPr>
        <w:tc>
          <w:tcPr>
            <w:tcW w:w="2088" w:type="dxa"/>
            <w:tcBorders>
              <w:top w:val="nil"/>
              <w:left w:val="single" w:sz="8" w:space="0" w:color="auto"/>
              <w:bottom w:val="single" w:sz="8" w:space="0" w:color="auto"/>
              <w:right w:val="single" w:sz="8" w:space="0" w:color="auto"/>
            </w:tcBorders>
            <w:shd w:val="clear" w:color="auto" w:fill="auto"/>
            <w:vAlign w:val="center"/>
            <w:hideMark/>
          </w:tcPr>
          <w:p w14:paraId="11AE214B" w14:textId="77777777" w:rsidR="00623569" w:rsidRPr="00A54C18" w:rsidRDefault="00623569" w:rsidP="001517F2">
            <w:pPr>
              <w:spacing w:after="0" w:line="240" w:lineRule="auto"/>
              <w:rPr>
                <w:rFonts w:cs="Arial"/>
                <w:color w:val="000000"/>
                <w:szCs w:val="20"/>
              </w:rPr>
            </w:pPr>
            <w:r w:rsidRPr="00A54C18">
              <w:rPr>
                <w:rFonts w:cs="Arial"/>
                <w:color w:val="000000"/>
                <w:szCs w:val="20"/>
              </w:rPr>
              <w:t>Large</w:t>
            </w:r>
          </w:p>
        </w:tc>
        <w:tc>
          <w:tcPr>
            <w:tcW w:w="2089" w:type="dxa"/>
            <w:tcBorders>
              <w:top w:val="nil"/>
              <w:left w:val="nil"/>
              <w:bottom w:val="single" w:sz="8" w:space="0" w:color="auto"/>
              <w:right w:val="single" w:sz="8" w:space="0" w:color="auto"/>
            </w:tcBorders>
            <w:shd w:val="clear" w:color="auto" w:fill="auto"/>
            <w:vAlign w:val="center"/>
            <w:hideMark/>
          </w:tcPr>
          <w:p w14:paraId="603FF357" w14:textId="77777777" w:rsidR="00623569" w:rsidRPr="00A54C18" w:rsidRDefault="00623569" w:rsidP="001517F2">
            <w:pPr>
              <w:spacing w:after="0" w:line="240" w:lineRule="auto"/>
              <w:jc w:val="right"/>
              <w:rPr>
                <w:rFonts w:cs="Arial"/>
                <w:color w:val="000000"/>
                <w:szCs w:val="20"/>
              </w:rPr>
            </w:pPr>
            <w:r w:rsidRPr="00A54C18">
              <w:rPr>
                <w:rFonts w:cs="Arial"/>
                <w:color w:val="000000"/>
                <w:szCs w:val="20"/>
              </w:rPr>
              <w:t>2</w:t>
            </w:r>
          </w:p>
        </w:tc>
        <w:tc>
          <w:tcPr>
            <w:tcW w:w="2088" w:type="dxa"/>
            <w:tcBorders>
              <w:top w:val="nil"/>
              <w:left w:val="nil"/>
              <w:bottom w:val="single" w:sz="8" w:space="0" w:color="auto"/>
              <w:right w:val="single" w:sz="8" w:space="0" w:color="auto"/>
            </w:tcBorders>
            <w:shd w:val="clear" w:color="auto" w:fill="auto"/>
            <w:vAlign w:val="center"/>
            <w:hideMark/>
          </w:tcPr>
          <w:p w14:paraId="10673A2F" w14:textId="77777777" w:rsidR="00623569" w:rsidRPr="00A54C18" w:rsidRDefault="00623569" w:rsidP="001517F2">
            <w:pPr>
              <w:spacing w:after="0" w:line="240" w:lineRule="auto"/>
              <w:jc w:val="right"/>
              <w:rPr>
                <w:rFonts w:cs="Arial"/>
                <w:color w:val="000000"/>
                <w:szCs w:val="20"/>
              </w:rPr>
            </w:pPr>
            <w:r w:rsidRPr="00A54C18">
              <w:rPr>
                <w:rFonts w:eastAsia="Calibri" w:cs="Arial"/>
                <w:color w:val="000000"/>
                <w:szCs w:val="20"/>
                <w:lang w:eastAsia="en-US"/>
              </w:rPr>
              <w:t>$123,360</w:t>
            </w:r>
          </w:p>
        </w:tc>
        <w:tc>
          <w:tcPr>
            <w:tcW w:w="2514" w:type="dxa"/>
            <w:tcBorders>
              <w:top w:val="nil"/>
              <w:left w:val="nil"/>
              <w:bottom w:val="single" w:sz="8" w:space="0" w:color="auto"/>
              <w:right w:val="single" w:sz="8" w:space="0" w:color="auto"/>
            </w:tcBorders>
            <w:shd w:val="clear" w:color="auto" w:fill="auto"/>
            <w:vAlign w:val="center"/>
            <w:hideMark/>
          </w:tcPr>
          <w:p w14:paraId="632FCDED" w14:textId="77777777" w:rsidR="00623569" w:rsidRPr="00A54C18" w:rsidRDefault="00623569" w:rsidP="001517F2">
            <w:pPr>
              <w:spacing w:after="0" w:line="240" w:lineRule="auto"/>
              <w:jc w:val="right"/>
              <w:rPr>
                <w:rFonts w:cs="Arial"/>
                <w:color w:val="000000"/>
                <w:szCs w:val="20"/>
              </w:rPr>
            </w:pPr>
            <w:r w:rsidRPr="00A54C18">
              <w:rPr>
                <w:rFonts w:eastAsia="Calibri" w:cs="Arial"/>
                <w:color w:val="000000"/>
                <w:szCs w:val="20"/>
                <w:lang w:eastAsia="en-US"/>
              </w:rPr>
              <w:t>$59,467</w:t>
            </w:r>
          </w:p>
        </w:tc>
      </w:tr>
      <w:tr w:rsidR="00623569" w:rsidRPr="00A54C18" w14:paraId="165BB0B0" w14:textId="77777777" w:rsidTr="001517F2">
        <w:trPr>
          <w:trHeight w:val="285"/>
        </w:trPr>
        <w:tc>
          <w:tcPr>
            <w:tcW w:w="2088" w:type="dxa"/>
            <w:tcBorders>
              <w:top w:val="nil"/>
              <w:left w:val="single" w:sz="8" w:space="0" w:color="auto"/>
              <w:bottom w:val="single" w:sz="8" w:space="0" w:color="auto"/>
              <w:right w:val="single" w:sz="8" w:space="0" w:color="auto"/>
            </w:tcBorders>
            <w:shd w:val="clear" w:color="auto" w:fill="auto"/>
            <w:vAlign w:val="center"/>
            <w:hideMark/>
          </w:tcPr>
          <w:p w14:paraId="49E9EA68" w14:textId="77777777" w:rsidR="00623569" w:rsidRPr="00A54C18" w:rsidRDefault="00623569" w:rsidP="001517F2">
            <w:pPr>
              <w:spacing w:after="0" w:line="240" w:lineRule="auto"/>
              <w:rPr>
                <w:rFonts w:cs="Arial"/>
                <w:color w:val="000000"/>
                <w:szCs w:val="20"/>
              </w:rPr>
            </w:pPr>
            <w:r w:rsidRPr="00A54C18">
              <w:rPr>
                <w:rFonts w:cs="Arial"/>
                <w:color w:val="000000"/>
                <w:szCs w:val="20"/>
              </w:rPr>
              <w:t>Medium</w:t>
            </w:r>
          </w:p>
        </w:tc>
        <w:tc>
          <w:tcPr>
            <w:tcW w:w="2089" w:type="dxa"/>
            <w:tcBorders>
              <w:top w:val="nil"/>
              <w:left w:val="nil"/>
              <w:bottom w:val="single" w:sz="8" w:space="0" w:color="auto"/>
              <w:right w:val="single" w:sz="8" w:space="0" w:color="auto"/>
            </w:tcBorders>
            <w:shd w:val="clear" w:color="auto" w:fill="auto"/>
            <w:vAlign w:val="center"/>
            <w:hideMark/>
          </w:tcPr>
          <w:p w14:paraId="2DD27F42" w14:textId="77777777" w:rsidR="00623569" w:rsidRPr="00A54C18" w:rsidRDefault="00623569" w:rsidP="001517F2">
            <w:pPr>
              <w:spacing w:after="0" w:line="240" w:lineRule="auto"/>
              <w:jc w:val="right"/>
              <w:rPr>
                <w:rFonts w:cs="Arial"/>
                <w:color w:val="000000"/>
                <w:szCs w:val="20"/>
              </w:rPr>
            </w:pPr>
            <w:r w:rsidRPr="00A54C18">
              <w:rPr>
                <w:rFonts w:cs="Arial"/>
                <w:color w:val="000000"/>
                <w:szCs w:val="20"/>
              </w:rPr>
              <w:t>4</w:t>
            </w:r>
          </w:p>
        </w:tc>
        <w:tc>
          <w:tcPr>
            <w:tcW w:w="2088" w:type="dxa"/>
            <w:tcBorders>
              <w:top w:val="nil"/>
              <w:left w:val="nil"/>
              <w:bottom w:val="single" w:sz="8" w:space="0" w:color="auto"/>
              <w:right w:val="single" w:sz="8" w:space="0" w:color="auto"/>
            </w:tcBorders>
            <w:shd w:val="clear" w:color="auto" w:fill="auto"/>
            <w:vAlign w:val="center"/>
            <w:hideMark/>
          </w:tcPr>
          <w:p w14:paraId="7F68DAE5" w14:textId="77777777" w:rsidR="00623569" w:rsidRPr="00A54C18" w:rsidRDefault="00623569" w:rsidP="001517F2">
            <w:pPr>
              <w:spacing w:after="0" w:line="240" w:lineRule="auto"/>
              <w:jc w:val="right"/>
              <w:rPr>
                <w:rFonts w:cs="Arial"/>
                <w:color w:val="000000"/>
                <w:szCs w:val="20"/>
              </w:rPr>
            </w:pPr>
            <w:r w:rsidRPr="00A54C18">
              <w:rPr>
                <w:rFonts w:eastAsia="Calibri" w:cs="Arial"/>
                <w:color w:val="000000"/>
                <w:szCs w:val="20"/>
                <w:lang w:eastAsia="en-US"/>
              </w:rPr>
              <w:t>$97,960</w:t>
            </w:r>
          </w:p>
        </w:tc>
        <w:tc>
          <w:tcPr>
            <w:tcW w:w="2514" w:type="dxa"/>
            <w:tcBorders>
              <w:top w:val="nil"/>
              <w:left w:val="nil"/>
              <w:bottom w:val="single" w:sz="8" w:space="0" w:color="auto"/>
              <w:right w:val="single" w:sz="8" w:space="0" w:color="auto"/>
            </w:tcBorders>
            <w:shd w:val="clear" w:color="auto" w:fill="auto"/>
            <w:vAlign w:val="center"/>
            <w:hideMark/>
          </w:tcPr>
          <w:p w14:paraId="74A26DD0" w14:textId="77777777" w:rsidR="00623569" w:rsidRPr="00A54C18" w:rsidRDefault="00623569" w:rsidP="001517F2">
            <w:pPr>
              <w:spacing w:after="0" w:line="240" w:lineRule="auto"/>
              <w:jc w:val="right"/>
              <w:rPr>
                <w:rFonts w:cs="Arial"/>
                <w:color w:val="000000"/>
                <w:szCs w:val="20"/>
              </w:rPr>
            </w:pPr>
            <w:r w:rsidRPr="00A54C18">
              <w:rPr>
                <w:rFonts w:eastAsia="Calibri" w:cs="Arial"/>
                <w:color w:val="000000"/>
                <w:szCs w:val="20"/>
                <w:lang w:eastAsia="en-US"/>
              </w:rPr>
              <w:t>$40,800</w:t>
            </w:r>
          </w:p>
        </w:tc>
      </w:tr>
      <w:tr w:rsidR="00623569" w:rsidRPr="00A54C18" w14:paraId="319BDAE7" w14:textId="77777777" w:rsidTr="001517F2">
        <w:trPr>
          <w:trHeight w:val="285"/>
        </w:trPr>
        <w:tc>
          <w:tcPr>
            <w:tcW w:w="2088" w:type="dxa"/>
            <w:tcBorders>
              <w:top w:val="nil"/>
              <w:left w:val="single" w:sz="8" w:space="0" w:color="auto"/>
              <w:bottom w:val="single" w:sz="8" w:space="0" w:color="auto"/>
              <w:right w:val="single" w:sz="8" w:space="0" w:color="auto"/>
            </w:tcBorders>
            <w:shd w:val="clear" w:color="auto" w:fill="auto"/>
            <w:vAlign w:val="center"/>
            <w:hideMark/>
          </w:tcPr>
          <w:p w14:paraId="5696079C" w14:textId="77777777" w:rsidR="00623569" w:rsidRPr="00A54C18" w:rsidRDefault="00623569" w:rsidP="001517F2">
            <w:pPr>
              <w:spacing w:after="0" w:line="240" w:lineRule="auto"/>
              <w:rPr>
                <w:rFonts w:cs="Arial"/>
                <w:color w:val="000000"/>
                <w:szCs w:val="20"/>
              </w:rPr>
            </w:pPr>
            <w:r w:rsidRPr="00A54C18">
              <w:rPr>
                <w:rFonts w:cs="Arial"/>
                <w:color w:val="000000"/>
                <w:szCs w:val="20"/>
              </w:rPr>
              <w:t>Small</w:t>
            </w:r>
          </w:p>
        </w:tc>
        <w:tc>
          <w:tcPr>
            <w:tcW w:w="2089" w:type="dxa"/>
            <w:tcBorders>
              <w:top w:val="nil"/>
              <w:left w:val="nil"/>
              <w:bottom w:val="single" w:sz="8" w:space="0" w:color="auto"/>
              <w:right w:val="single" w:sz="8" w:space="0" w:color="auto"/>
            </w:tcBorders>
            <w:shd w:val="clear" w:color="auto" w:fill="auto"/>
            <w:vAlign w:val="center"/>
            <w:hideMark/>
          </w:tcPr>
          <w:p w14:paraId="54AEC3F0" w14:textId="77777777" w:rsidR="00623569" w:rsidRPr="00A54C18" w:rsidRDefault="00623569" w:rsidP="001517F2">
            <w:pPr>
              <w:spacing w:after="0" w:line="240" w:lineRule="auto"/>
              <w:jc w:val="right"/>
              <w:rPr>
                <w:rFonts w:cs="Arial"/>
                <w:color w:val="000000"/>
                <w:szCs w:val="20"/>
              </w:rPr>
            </w:pPr>
            <w:r w:rsidRPr="00A54C18">
              <w:rPr>
                <w:rFonts w:cs="Arial"/>
                <w:color w:val="000000"/>
                <w:szCs w:val="20"/>
              </w:rPr>
              <w:t>27</w:t>
            </w:r>
          </w:p>
        </w:tc>
        <w:tc>
          <w:tcPr>
            <w:tcW w:w="2088" w:type="dxa"/>
            <w:tcBorders>
              <w:top w:val="nil"/>
              <w:left w:val="nil"/>
              <w:bottom w:val="single" w:sz="8" w:space="0" w:color="auto"/>
              <w:right w:val="single" w:sz="8" w:space="0" w:color="auto"/>
            </w:tcBorders>
            <w:shd w:val="clear" w:color="auto" w:fill="auto"/>
            <w:vAlign w:val="center"/>
            <w:hideMark/>
          </w:tcPr>
          <w:p w14:paraId="4F9FA6FA" w14:textId="77777777" w:rsidR="00623569" w:rsidRPr="00A54C18" w:rsidRDefault="00623569" w:rsidP="001517F2">
            <w:pPr>
              <w:spacing w:after="0" w:line="240" w:lineRule="auto"/>
              <w:jc w:val="right"/>
              <w:rPr>
                <w:rFonts w:cs="Arial"/>
                <w:color w:val="000000"/>
                <w:szCs w:val="20"/>
              </w:rPr>
            </w:pPr>
            <w:r w:rsidRPr="00A54C18">
              <w:rPr>
                <w:rFonts w:eastAsia="Calibri" w:cs="Arial"/>
                <w:color w:val="000000"/>
                <w:szCs w:val="20"/>
                <w:lang w:eastAsia="en-US"/>
              </w:rPr>
              <w:t>$270,810</w:t>
            </w:r>
          </w:p>
        </w:tc>
        <w:tc>
          <w:tcPr>
            <w:tcW w:w="2514" w:type="dxa"/>
            <w:tcBorders>
              <w:top w:val="nil"/>
              <w:left w:val="nil"/>
              <w:bottom w:val="single" w:sz="8" w:space="0" w:color="auto"/>
              <w:right w:val="single" w:sz="8" w:space="0" w:color="auto"/>
            </w:tcBorders>
            <w:shd w:val="clear" w:color="auto" w:fill="auto"/>
            <w:vAlign w:val="center"/>
            <w:hideMark/>
          </w:tcPr>
          <w:p w14:paraId="3AD5A807" w14:textId="77777777" w:rsidR="00623569" w:rsidRPr="00A54C18" w:rsidRDefault="00623569" w:rsidP="001517F2">
            <w:pPr>
              <w:spacing w:after="0" w:line="240" w:lineRule="auto"/>
              <w:jc w:val="right"/>
              <w:rPr>
                <w:rFonts w:cs="Arial"/>
                <w:color w:val="000000"/>
                <w:szCs w:val="20"/>
              </w:rPr>
            </w:pPr>
            <w:r w:rsidRPr="00A54C18">
              <w:rPr>
                <w:rFonts w:eastAsia="Calibri" w:cs="Arial"/>
                <w:color w:val="000000"/>
                <w:szCs w:val="20"/>
                <w:lang w:eastAsia="en-US"/>
              </w:rPr>
              <w:t>$92,700</w:t>
            </w:r>
          </w:p>
        </w:tc>
      </w:tr>
      <w:tr w:rsidR="00623569" w:rsidRPr="00A54C18" w14:paraId="2E87AA0F" w14:textId="77777777" w:rsidTr="001517F2">
        <w:trPr>
          <w:trHeight w:val="285"/>
        </w:trPr>
        <w:tc>
          <w:tcPr>
            <w:tcW w:w="2088" w:type="dxa"/>
            <w:tcBorders>
              <w:top w:val="nil"/>
              <w:left w:val="single" w:sz="8" w:space="0" w:color="auto"/>
              <w:bottom w:val="single" w:sz="8" w:space="0" w:color="auto"/>
              <w:right w:val="single" w:sz="8" w:space="0" w:color="auto"/>
            </w:tcBorders>
            <w:shd w:val="clear" w:color="auto" w:fill="auto"/>
            <w:vAlign w:val="center"/>
            <w:hideMark/>
          </w:tcPr>
          <w:p w14:paraId="432998E6" w14:textId="77777777" w:rsidR="00623569" w:rsidRPr="00A54C18" w:rsidRDefault="00623569" w:rsidP="001517F2">
            <w:pPr>
              <w:spacing w:after="0" w:line="240" w:lineRule="auto"/>
              <w:rPr>
                <w:rFonts w:cs="Arial"/>
                <w:color w:val="000000"/>
                <w:szCs w:val="20"/>
              </w:rPr>
            </w:pPr>
            <w:r w:rsidRPr="00A54C18">
              <w:rPr>
                <w:rFonts w:cs="Arial"/>
                <w:color w:val="000000"/>
                <w:szCs w:val="20"/>
              </w:rPr>
              <w:t>Very small</w:t>
            </w:r>
          </w:p>
        </w:tc>
        <w:tc>
          <w:tcPr>
            <w:tcW w:w="2089" w:type="dxa"/>
            <w:tcBorders>
              <w:top w:val="nil"/>
              <w:left w:val="nil"/>
              <w:bottom w:val="single" w:sz="8" w:space="0" w:color="auto"/>
              <w:right w:val="single" w:sz="8" w:space="0" w:color="auto"/>
            </w:tcBorders>
            <w:shd w:val="clear" w:color="auto" w:fill="auto"/>
            <w:vAlign w:val="center"/>
            <w:hideMark/>
          </w:tcPr>
          <w:p w14:paraId="2DDB8640" w14:textId="77777777" w:rsidR="00623569" w:rsidRPr="00A54C18" w:rsidRDefault="00623569" w:rsidP="001517F2">
            <w:pPr>
              <w:spacing w:after="0" w:line="240" w:lineRule="auto"/>
              <w:jc w:val="right"/>
              <w:rPr>
                <w:rFonts w:cs="Arial"/>
                <w:color w:val="000000"/>
                <w:szCs w:val="20"/>
              </w:rPr>
            </w:pPr>
            <w:r w:rsidRPr="00A54C18">
              <w:rPr>
                <w:rFonts w:cs="Arial"/>
                <w:color w:val="000000"/>
                <w:szCs w:val="20"/>
              </w:rPr>
              <w:t>317</w:t>
            </w:r>
          </w:p>
        </w:tc>
        <w:tc>
          <w:tcPr>
            <w:tcW w:w="2088" w:type="dxa"/>
            <w:tcBorders>
              <w:top w:val="nil"/>
              <w:left w:val="nil"/>
              <w:bottom w:val="single" w:sz="8" w:space="0" w:color="auto"/>
              <w:right w:val="single" w:sz="8" w:space="0" w:color="auto"/>
            </w:tcBorders>
            <w:shd w:val="clear" w:color="auto" w:fill="auto"/>
            <w:vAlign w:val="center"/>
            <w:hideMark/>
          </w:tcPr>
          <w:p w14:paraId="59B9FECB" w14:textId="77777777" w:rsidR="00623569" w:rsidRPr="00A54C18" w:rsidRDefault="00623569" w:rsidP="001517F2">
            <w:pPr>
              <w:spacing w:after="0" w:line="240" w:lineRule="auto"/>
              <w:jc w:val="right"/>
              <w:rPr>
                <w:rFonts w:cs="Arial"/>
                <w:color w:val="000000"/>
                <w:szCs w:val="20"/>
              </w:rPr>
            </w:pPr>
            <w:r w:rsidRPr="00A54C18">
              <w:rPr>
                <w:rFonts w:eastAsia="Calibri" w:cs="Arial"/>
                <w:color w:val="000000"/>
                <w:szCs w:val="20"/>
                <w:lang w:eastAsia="en-US"/>
              </w:rPr>
              <w:t>$2,399,690</w:t>
            </w:r>
          </w:p>
        </w:tc>
        <w:tc>
          <w:tcPr>
            <w:tcW w:w="2514" w:type="dxa"/>
            <w:tcBorders>
              <w:top w:val="nil"/>
              <w:left w:val="nil"/>
              <w:bottom w:val="single" w:sz="8" w:space="0" w:color="auto"/>
              <w:right w:val="single" w:sz="8" w:space="0" w:color="auto"/>
            </w:tcBorders>
            <w:shd w:val="clear" w:color="auto" w:fill="auto"/>
            <w:vAlign w:val="center"/>
            <w:hideMark/>
          </w:tcPr>
          <w:p w14:paraId="4F709EC4" w14:textId="77777777" w:rsidR="00623569" w:rsidRPr="00A54C18" w:rsidRDefault="00623569" w:rsidP="001517F2">
            <w:pPr>
              <w:spacing w:after="0" w:line="240" w:lineRule="auto"/>
              <w:jc w:val="right"/>
              <w:rPr>
                <w:rFonts w:cs="Arial"/>
                <w:color w:val="000000"/>
                <w:szCs w:val="20"/>
              </w:rPr>
            </w:pPr>
            <w:r w:rsidRPr="00A54C18">
              <w:rPr>
                <w:rFonts w:eastAsia="Calibri" w:cs="Arial"/>
                <w:color w:val="000000"/>
                <w:szCs w:val="20"/>
                <w:lang w:eastAsia="en-US"/>
              </w:rPr>
              <w:t>$726,987</w:t>
            </w:r>
          </w:p>
        </w:tc>
      </w:tr>
      <w:tr w:rsidR="00623569" w:rsidRPr="00A54C18" w14:paraId="00E8B170" w14:textId="77777777" w:rsidTr="001517F2">
        <w:trPr>
          <w:trHeight w:val="285"/>
        </w:trPr>
        <w:tc>
          <w:tcPr>
            <w:tcW w:w="2088" w:type="dxa"/>
            <w:tcBorders>
              <w:top w:val="nil"/>
              <w:left w:val="single" w:sz="8" w:space="0" w:color="auto"/>
              <w:bottom w:val="single" w:sz="8" w:space="0" w:color="auto"/>
              <w:right w:val="single" w:sz="8" w:space="0" w:color="auto"/>
            </w:tcBorders>
            <w:shd w:val="clear" w:color="000000" w:fill="F2F2F2"/>
            <w:vAlign w:val="center"/>
            <w:hideMark/>
          </w:tcPr>
          <w:p w14:paraId="2593C7A9" w14:textId="77777777" w:rsidR="00623569" w:rsidRPr="00A54C18" w:rsidRDefault="00623569" w:rsidP="001517F2">
            <w:pPr>
              <w:spacing w:after="0" w:line="240" w:lineRule="auto"/>
              <w:rPr>
                <w:rFonts w:cs="Arial"/>
                <w:b/>
                <w:bCs/>
                <w:color w:val="000000"/>
                <w:szCs w:val="20"/>
              </w:rPr>
            </w:pPr>
            <w:r w:rsidRPr="00A54C18">
              <w:rPr>
                <w:rFonts w:cs="Arial"/>
                <w:b/>
                <w:bCs/>
                <w:color w:val="000000"/>
                <w:szCs w:val="20"/>
              </w:rPr>
              <w:t>Total</w:t>
            </w:r>
          </w:p>
        </w:tc>
        <w:tc>
          <w:tcPr>
            <w:tcW w:w="2089" w:type="dxa"/>
            <w:tcBorders>
              <w:top w:val="nil"/>
              <w:left w:val="nil"/>
              <w:bottom w:val="single" w:sz="8" w:space="0" w:color="auto"/>
              <w:right w:val="single" w:sz="8" w:space="0" w:color="auto"/>
            </w:tcBorders>
            <w:shd w:val="clear" w:color="000000" w:fill="F2F2F2"/>
            <w:vAlign w:val="center"/>
            <w:hideMark/>
          </w:tcPr>
          <w:p w14:paraId="315F5970" w14:textId="77777777" w:rsidR="00623569" w:rsidRPr="00A54C18" w:rsidRDefault="00623569" w:rsidP="001517F2">
            <w:pPr>
              <w:spacing w:after="0" w:line="240" w:lineRule="auto"/>
              <w:jc w:val="right"/>
              <w:rPr>
                <w:rFonts w:cs="Arial"/>
                <w:b/>
                <w:bCs/>
                <w:color w:val="000000"/>
                <w:szCs w:val="20"/>
              </w:rPr>
            </w:pPr>
            <w:r w:rsidRPr="00A54C18">
              <w:rPr>
                <w:rFonts w:cs="Arial"/>
                <w:b/>
                <w:bCs/>
                <w:color w:val="000000"/>
                <w:szCs w:val="20"/>
              </w:rPr>
              <w:t>350</w:t>
            </w:r>
          </w:p>
        </w:tc>
        <w:tc>
          <w:tcPr>
            <w:tcW w:w="2088" w:type="dxa"/>
            <w:tcBorders>
              <w:top w:val="nil"/>
              <w:left w:val="nil"/>
              <w:bottom w:val="single" w:sz="8" w:space="0" w:color="auto"/>
              <w:right w:val="single" w:sz="8" w:space="0" w:color="auto"/>
            </w:tcBorders>
            <w:shd w:val="clear" w:color="000000" w:fill="F2F2F2"/>
            <w:vAlign w:val="center"/>
            <w:hideMark/>
          </w:tcPr>
          <w:p w14:paraId="31F6FC9F" w14:textId="77777777" w:rsidR="00623569" w:rsidRPr="00A54C18" w:rsidRDefault="00623569" w:rsidP="001517F2">
            <w:pPr>
              <w:spacing w:after="0" w:line="240" w:lineRule="auto"/>
              <w:jc w:val="right"/>
              <w:rPr>
                <w:rFonts w:cs="Arial"/>
                <w:b/>
                <w:bCs/>
                <w:color w:val="000000"/>
                <w:szCs w:val="20"/>
              </w:rPr>
            </w:pPr>
            <w:r w:rsidRPr="00A54C18">
              <w:rPr>
                <w:rFonts w:cs="Arial"/>
                <w:b/>
                <w:bCs/>
                <w:color w:val="000000"/>
                <w:szCs w:val="20"/>
              </w:rPr>
              <w:t>$2,891,820</w:t>
            </w:r>
          </w:p>
        </w:tc>
        <w:tc>
          <w:tcPr>
            <w:tcW w:w="2514" w:type="dxa"/>
            <w:tcBorders>
              <w:top w:val="nil"/>
              <w:left w:val="nil"/>
              <w:bottom w:val="single" w:sz="8" w:space="0" w:color="auto"/>
              <w:right w:val="single" w:sz="8" w:space="0" w:color="auto"/>
            </w:tcBorders>
            <w:shd w:val="clear" w:color="000000" w:fill="F2F2F2"/>
            <w:vAlign w:val="center"/>
            <w:hideMark/>
          </w:tcPr>
          <w:p w14:paraId="6B463EEB" w14:textId="77777777" w:rsidR="00623569" w:rsidRPr="00A54C18" w:rsidRDefault="00623569" w:rsidP="001517F2">
            <w:pPr>
              <w:spacing w:after="0" w:line="240" w:lineRule="auto"/>
              <w:jc w:val="right"/>
              <w:rPr>
                <w:rFonts w:cs="Arial"/>
                <w:b/>
                <w:bCs/>
                <w:color w:val="000000"/>
                <w:szCs w:val="20"/>
              </w:rPr>
            </w:pPr>
            <w:r w:rsidRPr="00A54C18">
              <w:rPr>
                <w:rFonts w:cs="Arial"/>
                <w:b/>
                <w:bCs/>
                <w:color w:val="000000"/>
                <w:szCs w:val="20"/>
              </w:rPr>
              <w:t>$919,953</w:t>
            </w:r>
          </w:p>
        </w:tc>
      </w:tr>
    </w:tbl>
    <w:p w14:paraId="79EBD719" w14:textId="77777777" w:rsidR="00623569" w:rsidRDefault="00623569" w:rsidP="00623569">
      <w:pPr>
        <w:spacing w:after="120"/>
        <w:rPr>
          <w:rFonts w:cs="Arial"/>
          <w:szCs w:val="20"/>
        </w:rPr>
      </w:pPr>
    </w:p>
    <w:p w14:paraId="67A7C9E0" w14:textId="77777777" w:rsidR="00623569" w:rsidRDefault="00623569" w:rsidP="00623569">
      <w:pPr>
        <w:rPr>
          <w:rFonts w:cs="Arial"/>
          <w:szCs w:val="20"/>
        </w:rPr>
      </w:pPr>
      <w:r>
        <w:rPr>
          <w:rFonts w:cs="Arial"/>
          <w:szCs w:val="20"/>
        </w:rPr>
        <w:t>Where costs accrue in complying with Option 2A, the costs are predominantly one-off system development costs, including potential new systems or procedures and staff training.</w:t>
      </w:r>
    </w:p>
    <w:p w14:paraId="2AF87C0E" w14:textId="77777777" w:rsidR="00623569" w:rsidRDefault="00623569" w:rsidP="00623569">
      <w:pPr>
        <w:pStyle w:val="Heading2"/>
      </w:pPr>
      <w:bookmarkStart w:id="59" w:name="_Toc155685999"/>
      <w:bookmarkStart w:id="60" w:name="_Toc153270571"/>
      <w:r w:rsidRPr="00D15A4E">
        <w:lastRenderedPageBreak/>
        <w:t xml:space="preserve">Option 2B – </w:t>
      </w:r>
      <w:r>
        <w:t>Outcomes-based (enforceable)</w:t>
      </w:r>
      <w:bookmarkEnd w:id="59"/>
      <w:r>
        <w:t xml:space="preserve"> </w:t>
      </w:r>
      <w:bookmarkEnd w:id="60"/>
    </w:p>
    <w:p w14:paraId="19BBEB39" w14:textId="77777777" w:rsidR="00623569" w:rsidRDefault="00623569" w:rsidP="00623569">
      <w:pPr>
        <w:pStyle w:val="Paragraph"/>
      </w:pPr>
      <w:r>
        <w:t>The ACMA considers a more enforceable standard in relation to key provisions would create a robust compliance incentive for CSPs, substantially increasing the number of customers on formal financial hardship arrangements.</w:t>
      </w:r>
    </w:p>
    <w:p w14:paraId="593B9DC8" w14:textId="77777777" w:rsidR="00623569" w:rsidRDefault="00623569" w:rsidP="00623569">
      <w:pPr>
        <w:pStyle w:val="Tableheading"/>
        <w:keepLines/>
      </w:pPr>
      <w:r>
        <w:t>Modelled change in outcomes Option 2B</w:t>
      </w:r>
    </w:p>
    <w:tbl>
      <w:tblPr>
        <w:tblW w:w="8383" w:type="dxa"/>
        <w:tblLayout w:type="fixed"/>
        <w:tblCellMar>
          <w:top w:w="85" w:type="dxa"/>
          <w:left w:w="57" w:type="dxa"/>
          <w:bottom w:w="85" w:type="dxa"/>
          <w:right w:w="57" w:type="dxa"/>
        </w:tblCellMar>
        <w:tblLook w:val="04A0" w:firstRow="1" w:lastRow="0" w:firstColumn="1" w:lastColumn="0" w:noHBand="0" w:noVBand="1"/>
      </w:tblPr>
      <w:tblGrid>
        <w:gridCol w:w="5519"/>
        <w:gridCol w:w="1432"/>
        <w:gridCol w:w="1432"/>
      </w:tblGrid>
      <w:tr w:rsidR="00623569" w:rsidRPr="00615BF4" w14:paraId="50A44605" w14:textId="77777777" w:rsidTr="001517F2">
        <w:trPr>
          <w:trHeight w:val="70"/>
        </w:trPr>
        <w:tc>
          <w:tcPr>
            <w:tcW w:w="5519" w:type="dxa"/>
            <w:tcBorders>
              <w:top w:val="single" w:sz="8" w:space="0" w:color="A3A3A3"/>
              <w:left w:val="single" w:sz="8" w:space="0" w:color="A3A3A3"/>
              <w:bottom w:val="single" w:sz="4" w:space="0" w:color="auto"/>
              <w:right w:val="single" w:sz="8" w:space="0" w:color="A3A3A3"/>
            </w:tcBorders>
            <w:shd w:val="clear" w:color="000000" w:fill="404040"/>
            <w:hideMark/>
          </w:tcPr>
          <w:p w14:paraId="5F20E4B6" w14:textId="77777777" w:rsidR="00623569" w:rsidRPr="00615BF4" w:rsidRDefault="00623569" w:rsidP="001517F2">
            <w:pPr>
              <w:keepNext/>
              <w:keepLines/>
              <w:spacing w:after="0" w:line="240" w:lineRule="auto"/>
              <w:rPr>
                <w:rFonts w:cs="Arial"/>
                <w:b/>
                <w:bCs/>
                <w:color w:val="FFFFFF"/>
                <w:szCs w:val="20"/>
              </w:rPr>
            </w:pPr>
            <w:r w:rsidRPr="00615BF4">
              <w:rPr>
                <w:rFonts w:cs="Arial"/>
                <w:b/>
                <w:bCs/>
                <w:color w:val="FFFFFF"/>
                <w:szCs w:val="20"/>
              </w:rPr>
              <w:t>Option</w:t>
            </w:r>
          </w:p>
        </w:tc>
        <w:tc>
          <w:tcPr>
            <w:tcW w:w="1432" w:type="dxa"/>
            <w:tcBorders>
              <w:top w:val="single" w:sz="8" w:space="0" w:color="A3A3A3"/>
              <w:left w:val="nil"/>
              <w:bottom w:val="single" w:sz="4" w:space="0" w:color="auto"/>
              <w:right w:val="single" w:sz="8" w:space="0" w:color="A3A3A3"/>
            </w:tcBorders>
            <w:shd w:val="clear" w:color="000000" w:fill="404040"/>
            <w:hideMark/>
          </w:tcPr>
          <w:p w14:paraId="0BF2F8E8" w14:textId="77777777" w:rsidR="00623569" w:rsidRPr="00615BF4" w:rsidRDefault="00623569" w:rsidP="001517F2">
            <w:pPr>
              <w:keepNext/>
              <w:keepLines/>
              <w:spacing w:after="0" w:line="240" w:lineRule="auto"/>
              <w:jc w:val="right"/>
              <w:rPr>
                <w:rFonts w:cs="Arial"/>
                <w:b/>
                <w:bCs/>
                <w:color w:val="FFFFFF"/>
                <w:szCs w:val="20"/>
              </w:rPr>
            </w:pPr>
            <w:r w:rsidRPr="00615BF4">
              <w:rPr>
                <w:rFonts w:cs="Arial"/>
                <w:b/>
                <w:bCs/>
                <w:color w:val="FFFFFF"/>
                <w:szCs w:val="20"/>
              </w:rPr>
              <w:t>Option 1</w:t>
            </w:r>
          </w:p>
        </w:tc>
        <w:tc>
          <w:tcPr>
            <w:tcW w:w="1432" w:type="dxa"/>
            <w:tcBorders>
              <w:top w:val="single" w:sz="8" w:space="0" w:color="A3A3A3"/>
              <w:left w:val="nil"/>
              <w:bottom w:val="single" w:sz="4" w:space="0" w:color="auto"/>
              <w:right w:val="single" w:sz="8" w:space="0" w:color="A3A3A3"/>
            </w:tcBorders>
            <w:shd w:val="clear" w:color="000000" w:fill="404040"/>
            <w:hideMark/>
          </w:tcPr>
          <w:p w14:paraId="03438725" w14:textId="77777777" w:rsidR="00623569" w:rsidRPr="00615BF4" w:rsidRDefault="00623569" w:rsidP="001517F2">
            <w:pPr>
              <w:keepNext/>
              <w:keepLines/>
              <w:spacing w:after="0" w:line="240" w:lineRule="auto"/>
              <w:jc w:val="right"/>
              <w:rPr>
                <w:rFonts w:cs="Arial"/>
                <w:b/>
                <w:bCs/>
                <w:color w:val="FFFFFF"/>
                <w:szCs w:val="20"/>
              </w:rPr>
            </w:pPr>
            <w:r w:rsidRPr="00615BF4">
              <w:rPr>
                <w:rFonts w:cs="Arial"/>
                <w:b/>
                <w:bCs/>
                <w:color w:val="FFFFFF"/>
                <w:szCs w:val="20"/>
              </w:rPr>
              <w:t xml:space="preserve">Options 2B </w:t>
            </w:r>
          </w:p>
        </w:tc>
      </w:tr>
      <w:tr w:rsidR="00623569" w:rsidRPr="00615BF4" w14:paraId="30D771CD" w14:textId="77777777" w:rsidTr="001517F2">
        <w:trPr>
          <w:trHeight w:val="64"/>
        </w:trPr>
        <w:tc>
          <w:tcPr>
            <w:tcW w:w="5519" w:type="dxa"/>
            <w:tcBorders>
              <w:top w:val="single" w:sz="4" w:space="0" w:color="auto"/>
              <w:left w:val="single" w:sz="4" w:space="0" w:color="auto"/>
              <w:bottom w:val="single" w:sz="4" w:space="0" w:color="auto"/>
              <w:right w:val="single" w:sz="4" w:space="0" w:color="auto"/>
            </w:tcBorders>
            <w:shd w:val="clear" w:color="auto" w:fill="auto"/>
            <w:hideMark/>
          </w:tcPr>
          <w:p w14:paraId="491F14C5" w14:textId="77777777" w:rsidR="00623569" w:rsidRPr="00615BF4" w:rsidRDefault="00623569" w:rsidP="001517F2">
            <w:pPr>
              <w:keepNext/>
              <w:keepLines/>
              <w:spacing w:after="0" w:line="240" w:lineRule="auto"/>
              <w:rPr>
                <w:rFonts w:cs="Arial"/>
                <w:color w:val="000000"/>
                <w:szCs w:val="20"/>
              </w:rPr>
            </w:pPr>
            <w:r w:rsidRPr="00615BF4">
              <w:rPr>
                <w:rFonts w:cs="Arial"/>
                <w:color w:val="000000"/>
                <w:szCs w:val="20"/>
              </w:rPr>
              <w:t xml:space="preserve">% of potential disconnection customers on formal </w:t>
            </w:r>
            <w:r>
              <w:t xml:space="preserve">financial hardship </w:t>
            </w:r>
            <w:r w:rsidRPr="00615BF4">
              <w:rPr>
                <w:rFonts w:cs="Arial"/>
                <w:color w:val="000000"/>
                <w:szCs w:val="20"/>
              </w:rPr>
              <w:t xml:space="preserve">arrangement and successful completion </w:t>
            </w:r>
          </w:p>
        </w:tc>
        <w:tc>
          <w:tcPr>
            <w:tcW w:w="1432" w:type="dxa"/>
            <w:tcBorders>
              <w:top w:val="single" w:sz="4" w:space="0" w:color="auto"/>
              <w:left w:val="single" w:sz="4" w:space="0" w:color="auto"/>
              <w:bottom w:val="single" w:sz="4" w:space="0" w:color="auto"/>
              <w:right w:val="single" w:sz="4" w:space="0" w:color="auto"/>
            </w:tcBorders>
            <w:shd w:val="clear" w:color="auto" w:fill="auto"/>
            <w:hideMark/>
          </w:tcPr>
          <w:p w14:paraId="486CAA13" w14:textId="77777777" w:rsidR="00623569" w:rsidRPr="00615BF4" w:rsidRDefault="00623569" w:rsidP="001517F2">
            <w:pPr>
              <w:keepNext/>
              <w:keepLines/>
              <w:spacing w:after="0" w:line="240" w:lineRule="auto"/>
              <w:jc w:val="right"/>
              <w:rPr>
                <w:rFonts w:cs="Arial"/>
                <w:color w:val="000000"/>
                <w:szCs w:val="20"/>
              </w:rPr>
            </w:pPr>
            <w:r w:rsidRPr="00615BF4">
              <w:rPr>
                <w:rFonts w:cs="Arial"/>
                <w:color w:val="000000"/>
                <w:szCs w:val="20"/>
              </w:rPr>
              <w:t>1.857%</w:t>
            </w:r>
          </w:p>
        </w:tc>
        <w:tc>
          <w:tcPr>
            <w:tcW w:w="1432" w:type="dxa"/>
            <w:tcBorders>
              <w:top w:val="single" w:sz="4" w:space="0" w:color="auto"/>
              <w:left w:val="single" w:sz="4" w:space="0" w:color="auto"/>
              <w:bottom w:val="single" w:sz="4" w:space="0" w:color="auto"/>
              <w:right w:val="single" w:sz="4" w:space="0" w:color="auto"/>
            </w:tcBorders>
            <w:shd w:val="clear" w:color="auto" w:fill="auto"/>
            <w:hideMark/>
          </w:tcPr>
          <w:p w14:paraId="0BC572F2" w14:textId="77777777" w:rsidR="00623569" w:rsidRPr="00615BF4" w:rsidRDefault="00623569" w:rsidP="001517F2">
            <w:pPr>
              <w:keepNext/>
              <w:keepLines/>
              <w:spacing w:after="0" w:line="240" w:lineRule="auto"/>
              <w:jc w:val="right"/>
              <w:rPr>
                <w:rFonts w:cs="Arial"/>
                <w:color w:val="000000"/>
                <w:szCs w:val="20"/>
              </w:rPr>
            </w:pPr>
            <w:r w:rsidRPr="00615BF4">
              <w:rPr>
                <w:rFonts w:cs="Arial"/>
                <w:color w:val="000000"/>
                <w:szCs w:val="20"/>
              </w:rPr>
              <w:t>30%</w:t>
            </w:r>
          </w:p>
        </w:tc>
      </w:tr>
      <w:tr w:rsidR="00623569" w:rsidRPr="00615BF4" w14:paraId="12724B27" w14:textId="77777777" w:rsidTr="001517F2">
        <w:trPr>
          <w:trHeight w:val="64"/>
        </w:trPr>
        <w:tc>
          <w:tcPr>
            <w:tcW w:w="5519" w:type="dxa"/>
            <w:tcBorders>
              <w:top w:val="single" w:sz="4" w:space="0" w:color="auto"/>
              <w:left w:val="single" w:sz="4" w:space="0" w:color="auto"/>
              <w:bottom w:val="single" w:sz="4" w:space="0" w:color="auto"/>
              <w:right w:val="single" w:sz="4" w:space="0" w:color="auto"/>
            </w:tcBorders>
            <w:shd w:val="clear" w:color="auto" w:fill="auto"/>
            <w:hideMark/>
          </w:tcPr>
          <w:p w14:paraId="54358EAD" w14:textId="77777777" w:rsidR="00623569" w:rsidRPr="00615BF4" w:rsidRDefault="00623569" w:rsidP="001517F2">
            <w:pPr>
              <w:keepNext/>
              <w:keepLines/>
              <w:spacing w:after="0" w:line="240" w:lineRule="auto"/>
              <w:rPr>
                <w:rFonts w:cs="Arial"/>
                <w:color w:val="000000"/>
                <w:szCs w:val="20"/>
              </w:rPr>
            </w:pPr>
            <w:r w:rsidRPr="00615BF4">
              <w:rPr>
                <w:rFonts w:cs="Arial"/>
                <w:color w:val="000000"/>
                <w:szCs w:val="20"/>
              </w:rPr>
              <w:t xml:space="preserve">No. of potential disconnection customers on formal </w:t>
            </w:r>
            <w:r>
              <w:rPr>
                <w:rFonts w:cs="Arial"/>
                <w:color w:val="000000"/>
                <w:szCs w:val="20"/>
              </w:rPr>
              <w:t>financial hardship</w:t>
            </w:r>
            <w:r w:rsidRPr="00615BF4">
              <w:rPr>
                <w:rFonts w:cs="Arial"/>
                <w:color w:val="000000"/>
                <w:szCs w:val="20"/>
              </w:rPr>
              <w:t xml:space="preserve"> arrangement and successful completion</w:t>
            </w:r>
          </w:p>
        </w:tc>
        <w:tc>
          <w:tcPr>
            <w:tcW w:w="1432" w:type="dxa"/>
            <w:tcBorders>
              <w:top w:val="single" w:sz="4" w:space="0" w:color="auto"/>
              <w:left w:val="single" w:sz="4" w:space="0" w:color="auto"/>
              <w:bottom w:val="single" w:sz="4" w:space="0" w:color="auto"/>
              <w:right w:val="single" w:sz="4" w:space="0" w:color="auto"/>
            </w:tcBorders>
            <w:shd w:val="clear" w:color="auto" w:fill="auto"/>
            <w:hideMark/>
          </w:tcPr>
          <w:p w14:paraId="25AF6E72" w14:textId="77777777" w:rsidR="00623569" w:rsidRPr="00615BF4" w:rsidRDefault="00623569" w:rsidP="001517F2">
            <w:pPr>
              <w:keepNext/>
              <w:keepLines/>
              <w:spacing w:after="0" w:line="240" w:lineRule="auto"/>
              <w:jc w:val="right"/>
              <w:rPr>
                <w:rFonts w:cs="Arial"/>
                <w:color w:val="000000"/>
                <w:szCs w:val="20"/>
              </w:rPr>
            </w:pPr>
            <w:r w:rsidRPr="00615BF4">
              <w:rPr>
                <w:rFonts w:cs="Arial"/>
                <w:color w:val="000000"/>
                <w:szCs w:val="20"/>
              </w:rPr>
              <w:t>4,388</w:t>
            </w:r>
          </w:p>
        </w:tc>
        <w:tc>
          <w:tcPr>
            <w:tcW w:w="1432" w:type="dxa"/>
            <w:tcBorders>
              <w:top w:val="single" w:sz="4" w:space="0" w:color="auto"/>
              <w:left w:val="single" w:sz="4" w:space="0" w:color="auto"/>
              <w:bottom w:val="single" w:sz="4" w:space="0" w:color="auto"/>
              <w:right w:val="single" w:sz="4" w:space="0" w:color="auto"/>
            </w:tcBorders>
            <w:shd w:val="clear" w:color="auto" w:fill="auto"/>
            <w:hideMark/>
          </w:tcPr>
          <w:p w14:paraId="562CDEF5" w14:textId="77777777" w:rsidR="00623569" w:rsidRPr="00615BF4" w:rsidRDefault="00623569" w:rsidP="001517F2">
            <w:pPr>
              <w:keepNext/>
              <w:keepLines/>
              <w:spacing w:after="0" w:line="240" w:lineRule="auto"/>
              <w:jc w:val="right"/>
              <w:rPr>
                <w:rFonts w:cs="Arial"/>
                <w:color w:val="000000"/>
                <w:szCs w:val="20"/>
              </w:rPr>
            </w:pPr>
            <w:r w:rsidRPr="00615BF4">
              <w:rPr>
                <w:rFonts w:cs="Arial"/>
                <w:color w:val="000000"/>
                <w:szCs w:val="20"/>
              </w:rPr>
              <w:t>72,216</w:t>
            </w:r>
          </w:p>
        </w:tc>
      </w:tr>
      <w:tr w:rsidR="00623569" w:rsidRPr="00615BF4" w14:paraId="2EE7FA0A" w14:textId="77777777" w:rsidTr="001517F2">
        <w:trPr>
          <w:trHeight w:val="64"/>
        </w:trPr>
        <w:tc>
          <w:tcPr>
            <w:tcW w:w="5519" w:type="dxa"/>
            <w:tcBorders>
              <w:top w:val="single" w:sz="4" w:space="0" w:color="auto"/>
              <w:left w:val="single" w:sz="4" w:space="0" w:color="auto"/>
              <w:bottom w:val="single" w:sz="4" w:space="0" w:color="auto"/>
              <w:right w:val="single" w:sz="4" w:space="0" w:color="auto"/>
            </w:tcBorders>
            <w:shd w:val="clear" w:color="auto" w:fill="auto"/>
            <w:hideMark/>
          </w:tcPr>
          <w:p w14:paraId="45B9CB18" w14:textId="77777777" w:rsidR="00623569" w:rsidRPr="00615BF4" w:rsidRDefault="00623569" w:rsidP="001517F2">
            <w:pPr>
              <w:keepNext/>
              <w:keepLines/>
              <w:spacing w:after="0" w:line="240" w:lineRule="auto"/>
              <w:rPr>
                <w:rFonts w:cs="Arial"/>
                <w:color w:val="000000"/>
                <w:szCs w:val="20"/>
              </w:rPr>
            </w:pPr>
            <w:r w:rsidRPr="00615BF4">
              <w:rPr>
                <w:rFonts w:cs="Arial"/>
                <w:color w:val="000000"/>
                <w:szCs w:val="20"/>
              </w:rPr>
              <w:t>Disconnections due to non</w:t>
            </w:r>
            <w:r>
              <w:rPr>
                <w:rFonts w:cs="Arial"/>
                <w:color w:val="000000"/>
                <w:szCs w:val="20"/>
              </w:rPr>
              <w:t>-</w:t>
            </w:r>
            <w:r w:rsidRPr="00615BF4">
              <w:rPr>
                <w:rFonts w:cs="Arial"/>
                <w:color w:val="000000"/>
                <w:szCs w:val="20"/>
              </w:rPr>
              <w:t xml:space="preserve">payment </w:t>
            </w:r>
          </w:p>
        </w:tc>
        <w:tc>
          <w:tcPr>
            <w:tcW w:w="1432" w:type="dxa"/>
            <w:tcBorders>
              <w:top w:val="single" w:sz="4" w:space="0" w:color="auto"/>
              <w:left w:val="single" w:sz="4" w:space="0" w:color="auto"/>
              <w:bottom w:val="single" w:sz="4" w:space="0" w:color="auto"/>
              <w:right w:val="single" w:sz="4" w:space="0" w:color="auto"/>
            </w:tcBorders>
            <w:shd w:val="clear" w:color="auto" w:fill="auto"/>
            <w:hideMark/>
          </w:tcPr>
          <w:p w14:paraId="03B12CD7" w14:textId="77777777" w:rsidR="00623569" w:rsidRPr="00615BF4" w:rsidRDefault="00623569" w:rsidP="001517F2">
            <w:pPr>
              <w:keepNext/>
              <w:keepLines/>
              <w:spacing w:after="0" w:line="240" w:lineRule="auto"/>
              <w:jc w:val="right"/>
              <w:rPr>
                <w:rFonts w:cs="Arial"/>
                <w:color w:val="000000"/>
                <w:szCs w:val="20"/>
              </w:rPr>
            </w:pPr>
            <w:r w:rsidRPr="00615BF4">
              <w:rPr>
                <w:rFonts w:cs="Arial"/>
                <w:color w:val="000000"/>
                <w:szCs w:val="20"/>
              </w:rPr>
              <w:t>236,332</w:t>
            </w:r>
          </w:p>
        </w:tc>
        <w:tc>
          <w:tcPr>
            <w:tcW w:w="1432" w:type="dxa"/>
            <w:tcBorders>
              <w:top w:val="single" w:sz="4" w:space="0" w:color="auto"/>
              <w:left w:val="single" w:sz="4" w:space="0" w:color="auto"/>
              <w:bottom w:val="single" w:sz="4" w:space="0" w:color="auto"/>
              <w:right w:val="single" w:sz="4" w:space="0" w:color="auto"/>
            </w:tcBorders>
            <w:shd w:val="clear" w:color="auto" w:fill="auto"/>
            <w:hideMark/>
          </w:tcPr>
          <w:p w14:paraId="3F11F4C5" w14:textId="77777777" w:rsidR="00623569" w:rsidRPr="00615BF4" w:rsidRDefault="00623569" w:rsidP="001517F2">
            <w:pPr>
              <w:keepNext/>
              <w:keepLines/>
              <w:spacing w:after="0" w:line="240" w:lineRule="auto"/>
              <w:jc w:val="right"/>
              <w:rPr>
                <w:rFonts w:cs="Arial"/>
                <w:color w:val="000000"/>
                <w:szCs w:val="20"/>
              </w:rPr>
            </w:pPr>
            <w:r w:rsidRPr="00615BF4">
              <w:rPr>
                <w:rFonts w:cs="Arial"/>
                <w:color w:val="000000"/>
                <w:szCs w:val="20"/>
              </w:rPr>
              <w:t>168,504</w:t>
            </w:r>
          </w:p>
        </w:tc>
      </w:tr>
      <w:tr w:rsidR="00623569" w:rsidRPr="00615BF4" w14:paraId="6994C57A" w14:textId="77777777" w:rsidTr="001517F2">
        <w:trPr>
          <w:trHeight w:val="525"/>
        </w:trPr>
        <w:tc>
          <w:tcPr>
            <w:tcW w:w="5519" w:type="dxa"/>
            <w:tcBorders>
              <w:top w:val="single" w:sz="4" w:space="0" w:color="auto"/>
              <w:left w:val="single" w:sz="4" w:space="0" w:color="auto"/>
              <w:bottom w:val="single" w:sz="4" w:space="0" w:color="auto"/>
              <w:right w:val="single" w:sz="4" w:space="0" w:color="auto"/>
            </w:tcBorders>
            <w:shd w:val="clear" w:color="auto" w:fill="auto"/>
            <w:hideMark/>
          </w:tcPr>
          <w:p w14:paraId="14702E9F" w14:textId="77777777" w:rsidR="00623569" w:rsidRPr="00615BF4" w:rsidRDefault="00623569" w:rsidP="001517F2">
            <w:pPr>
              <w:keepNext/>
              <w:keepLines/>
              <w:spacing w:after="0" w:line="240" w:lineRule="auto"/>
              <w:rPr>
                <w:rFonts w:cs="Arial"/>
                <w:color w:val="000000"/>
                <w:szCs w:val="20"/>
              </w:rPr>
            </w:pPr>
            <w:r w:rsidRPr="00615BF4">
              <w:rPr>
                <w:rFonts w:cs="Arial"/>
                <w:color w:val="000000"/>
                <w:szCs w:val="20"/>
              </w:rPr>
              <w:t>Number of complaints to TIO about financial hardship</w:t>
            </w:r>
          </w:p>
        </w:tc>
        <w:tc>
          <w:tcPr>
            <w:tcW w:w="1432" w:type="dxa"/>
            <w:tcBorders>
              <w:top w:val="single" w:sz="4" w:space="0" w:color="auto"/>
              <w:left w:val="single" w:sz="4" w:space="0" w:color="auto"/>
              <w:bottom w:val="single" w:sz="4" w:space="0" w:color="auto"/>
              <w:right w:val="single" w:sz="4" w:space="0" w:color="auto"/>
            </w:tcBorders>
            <w:shd w:val="clear" w:color="auto" w:fill="auto"/>
            <w:hideMark/>
          </w:tcPr>
          <w:p w14:paraId="2EB94D33" w14:textId="77777777" w:rsidR="00623569" w:rsidRPr="00615BF4" w:rsidRDefault="00623569" w:rsidP="001517F2">
            <w:pPr>
              <w:keepNext/>
              <w:keepLines/>
              <w:spacing w:after="0" w:line="240" w:lineRule="auto"/>
              <w:jc w:val="right"/>
              <w:rPr>
                <w:rFonts w:cs="Arial"/>
                <w:color w:val="000000"/>
                <w:szCs w:val="20"/>
              </w:rPr>
            </w:pPr>
            <w:r w:rsidRPr="00615BF4">
              <w:rPr>
                <w:rFonts w:cs="Arial"/>
                <w:color w:val="000000"/>
                <w:szCs w:val="20"/>
              </w:rPr>
              <w:t>1,634</w:t>
            </w:r>
          </w:p>
        </w:tc>
        <w:tc>
          <w:tcPr>
            <w:tcW w:w="1432" w:type="dxa"/>
            <w:tcBorders>
              <w:top w:val="single" w:sz="4" w:space="0" w:color="auto"/>
              <w:left w:val="single" w:sz="4" w:space="0" w:color="auto"/>
              <w:bottom w:val="single" w:sz="4" w:space="0" w:color="auto"/>
              <w:right w:val="single" w:sz="4" w:space="0" w:color="auto"/>
            </w:tcBorders>
            <w:shd w:val="clear" w:color="auto" w:fill="auto"/>
            <w:hideMark/>
          </w:tcPr>
          <w:p w14:paraId="15D3634A" w14:textId="77777777" w:rsidR="00623569" w:rsidRPr="00615BF4" w:rsidRDefault="00623569" w:rsidP="001517F2">
            <w:pPr>
              <w:keepNext/>
              <w:keepLines/>
              <w:spacing w:after="0" w:line="240" w:lineRule="auto"/>
              <w:jc w:val="right"/>
              <w:rPr>
                <w:rFonts w:cs="Arial"/>
                <w:color w:val="000000"/>
                <w:szCs w:val="20"/>
              </w:rPr>
            </w:pPr>
            <w:r w:rsidRPr="00615BF4">
              <w:rPr>
                <w:rFonts w:cs="Arial"/>
                <w:color w:val="000000"/>
                <w:szCs w:val="20"/>
              </w:rPr>
              <w:t>1,144</w:t>
            </w:r>
          </w:p>
        </w:tc>
      </w:tr>
      <w:tr w:rsidR="00623569" w:rsidRPr="00615BF4" w14:paraId="12A0741B" w14:textId="77777777" w:rsidTr="001517F2">
        <w:trPr>
          <w:trHeight w:val="525"/>
        </w:trPr>
        <w:tc>
          <w:tcPr>
            <w:tcW w:w="5519" w:type="dxa"/>
            <w:tcBorders>
              <w:top w:val="single" w:sz="4" w:space="0" w:color="auto"/>
              <w:left w:val="single" w:sz="4" w:space="0" w:color="auto"/>
              <w:bottom w:val="single" w:sz="4" w:space="0" w:color="auto"/>
              <w:right w:val="single" w:sz="4" w:space="0" w:color="auto"/>
            </w:tcBorders>
            <w:shd w:val="clear" w:color="auto" w:fill="auto"/>
            <w:hideMark/>
          </w:tcPr>
          <w:p w14:paraId="0B68D0FC" w14:textId="77777777" w:rsidR="00623569" w:rsidRPr="00615BF4" w:rsidRDefault="00623569" w:rsidP="001517F2">
            <w:pPr>
              <w:keepNext/>
              <w:keepLines/>
              <w:spacing w:after="0" w:line="240" w:lineRule="auto"/>
              <w:rPr>
                <w:rFonts w:cs="Arial"/>
                <w:color w:val="000000"/>
                <w:szCs w:val="20"/>
              </w:rPr>
            </w:pPr>
            <w:r w:rsidRPr="00615BF4">
              <w:rPr>
                <w:rFonts w:cs="Arial"/>
                <w:color w:val="000000"/>
                <w:szCs w:val="20"/>
              </w:rPr>
              <w:t>Number of complaints to CSPs about financial hardship</w:t>
            </w:r>
          </w:p>
        </w:tc>
        <w:tc>
          <w:tcPr>
            <w:tcW w:w="1432" w:type="dxa"/>
            <w:tcBorders>
              <w:top w:val="single" w:sz="4" w:space="0" w:color="auto"/>
              <w:left w:val="single" w:sz="4" w:space="0" w:color="auto"/>
              <w:bottom w:val="single" w:sz="4" w:space="0" w:color="auto"/>
              <w:right w:val="single" w:sz="4" w:space="0" w:color="auto"/>
            </w:tcBorders>
            <w:shd w:val="clear" w:color="auto" w:fill="auto"/>
            <w:hideMark/>
          </w:tcPr>
          <w:p w14:paraId="4F260A18" w14:textId="77777777" w:rsidR="00623569" w:rsidRPr="00615BF4" w:rsidRDefault="00623569" w:rsidP="001517F2">
            <w:pPr>
              <w:keepNext/>
              <w:keepLines/>
              <w:spacing w:after="0" w:line="240" w:lineRule="auto"/>
              <w:jc w:val="right"/>
              <w:rPr>
                <w:rFonts w:cs="Arial"/>
                <w:color w:val="000000"/>
                <w:szCs w:val="20"/>
              </w:rPr>
            </w:pPr>
            <w:r w:rsidRPr="00615BF4">
              <w:rPr>
                <w:rFonts w:cs="Arial"/>
                <w:color w:val="000000"/>
                <w:szCs w:val="20"/>
              </w:rPr>
              <w:t>25,500</w:t>
            </w:r>
          </w:p>
        </w:tc>
        <w:tc>
          <w:tcPr>
            <w:tcW w:w="1432" w:type="dxa"/>
            <w:tcBorders>
              <w:top w:val="single" w:sz="4" w:space="0" w:color="auto"/>
              <w:left w:val="single" w:sz="4" w:space="0" w:color="auto"/>
              <w:bottom w:val="single" w:sz="4" w:space="0" w:color="auto"/>
              <w:right w:val="single" w:sz="4" w:space="0" w:color="auto"/>
            </w:tcBorders>
            <w:shd w:val="clear" w:color="auto" w:fill="auto"/>
            <w:hideMark/>
          </w:tcPr>
          <w:p w14:paraId="015E1D8E" w14:textId="77777777" w:rsidR="00623569" w:rsidRPr="00615BF4" w:rsidRDefault="00623569" w:rsidP="001517F2">
            <w:pPr>
              <w:keepNext/>
              <w:keepLines/>
              <w:spacing w:after="0" w:line="240" w:lineRule="auto"/>
              <w:jc w:val="right"/>
              <w:rPr>
                <w:rFonts w:cs="Arial"/>
                <w:color w:val="000000"/>
                <w:szCs w:val="20"/>
              </w:rPr>
            </w:pPr>
            <w:r w:rsidRPr="00615BF4">
              <w:rPr>
                <w:rFonts w:cs="Arial"/>
                <w:color w:val="000000"/>
                <w:szCs w:val="20"/>
              </w:rPr>
              <w:t>17,850</w:t>
            </w:r>
          </w:p>
        </w:tc>
      </w:tr>
      <w:tr w:rsidR="00623569" w:rsidRPr="00615BF4" w14:paraId="0FE7DC62" w14:textId="77777777" w:rsidTr="001517F2">
        <w:trPr>
          <w:trHeight w:val="300"/>
        </w:trPr>
        <w:tc>
          <w:tcPr>
            <w:tcW w:w="5519" w:type="dxa"/>
            <w:tcBorders>
              <w:top w:val="single" w:sz="4" w:space="0" w:color="auto"/>
              <w:left w:val="single" w:sz="4" w:space="0" w:color="auto"/>
              <w:bottom w:val="single" w:sz="4" w:space="0" w:color="auto"/>
              <w:right w:val="single" w:sz="4" w:space="0" w:color="auto"/>
            </w:tcBorders>
            <w:shd w:val="clear" w:color="auto" w:fill="auto"/>
            <w:hideMark/>
          </w:tcPr>
          <w:p w14:paraId="3092E708" w14:textId="77777777" w:rsidR="00623569" w:rsidRPr="00615BF4" w:rsidRDefault="00623569" w:rsidP="001517F2">
            <w:pPr>
              <w:keepNext/>
              <w:keepLines/>
              <w:spacing w:after="0" w:line="240" w:lineRule="auto"/>
              <w:rPr>
                <w:rFonts w:cs="Arial"/>
                <w:color w:val="000000"/>
                <w:szCs w:val="20"/>
              </w:rPr>
            </w:pPr>
            <w:r w:rsidRPr="00615BF4">
              <w:rPr>
                <w:rFonts w:cs="Arial"/>
                <w:color w:val="000000"/>
                <w:szCs w:val="20"/>
              </w:rPr>
              <w:t xml:space="preserve">Total potentially applicable for </w:t>
            </w:r>
            <w:r>
              <w:t>financial hardship</w:t>
            </w:r>
          </w:p>
        </w:tc>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14:paraId="0EB5FE3B" w14:textId="77777777" w:rsidR="00623569" w:rsidRPr="00615BF4" w:rsidRDefault="00623569" w:rsidP="001517F2">
            <w:pPr>
              <w:keepNext/>
              <w:keepLines/>
              <w:spacing w:after="0" w:line="240" w:lineRule="auto"/>
              <w:jc w:val="right"/>
              <w:rPr>
                <w:rFonts w:ascii="Calibri" w:hAnsi="Calibri" w:cs="Calibri"/>
                <w:color w:val="000000"/>
                <w:sz w:val="22"/>
                <w:szCs w:val="22"/>
              </w:rPr>
            </w:pPr>
            <w:r w:rsidRPr="00615BF4">
              <w:rPr>
                <w:rFonts w:ascii="Calibri" w:hAnsi="Calibri" w:cs="Calibri"/>
                <w:color w:val="000000"/>
                <w:sz w:val="22"/>
                <w:szCs w:val="22"/>
              </w:rPr>
              <w:t>240,720</w:t>
            </w:r>
          </w:p>
        </w:tc>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14:paraId="76E6D0DE" w14:textId="77777777" w:rsidR="00623569" w:rsidRPr="00615BF4" w:rsidRDefault="00623569" w:rsidP="001517F2">
            <w:pPr>
              <w:keepNext/>
              <w:keepLines/>
              <w:spacing w:after="0" w:line="240" w:lineRule="auto"/>
              <w:jc w:val="right"/>
              <w:rPr>
                <w:rFonts w:ascii="Calibri" w:hAnsi="Calibri" w:cs="Calibri"/>
                <w:color w:val="000000"/>
                <w:sz w:val="22"/>
                <w:szCs w:val="22"/>
              </w:rPr>
            </w:pPr>
            <w:r w:rsidRPr="00615BF4">
              <w:rPr>
                <w:rFonts w:ascii="Calibri" w:hAnsi="Calibri" w:cs="Calibri"/>
                <w:color w:val="000000"/>
                <w:sz w:val="22"/>
                <w:szCs w:val="22"/>
              </w:rPr>
              <w:t>240,720</w:t>
            </w:r>
          </w:p>
        </w:tc>
      </w:tr>
      <w:tr w:rsidR="00623569" w:rsidRPr="00615BF4" w14:paraId="37477F5C" w14:textId="77777777" w:rsidTr="001517F2">
        <w:trPr>
          <w:trHeight w:val="300"/>
        </w:trPr>
        <w:tc>
          <w:tcPr>
            <w:tcW w:w="5519" w:type="dxa"/>
            <w:tcBorders>
              <w:top w:val="single" w:sz="4" w:space="0" w:color="auto"/>
              <w:left w:val="single" w:sz="4" w:space="0" w:color="auto"/>
              <w:bottom w:val="single" w:sz="4" w:space="0" w:color="auto"/>
              <w:right w:val="single" w:sz="4" w:space="0" w:color="auto"/>
            </w:tcBorders>
            <w:shd w:val="clear" w:color="auto" w:fill="auto"/>
            <w:noWrap/>
            <w:hideMark/>
          </w:tcPr>
          <w:p w14:paraId="4CFE63E8" w14:textId="77777777" w:rsidR="00623569" w:rsidRPr="00615BF4" w:rsidRDefault="00623569" w:rsidP="001517F2">
            <w:pPr>
              <w:keepNext/>
              <w:keepLines/>
              <w:spacing w:after="0" w:line="240" w:lineRule="auto"/>
              <w:rPr>
                <w:rFonts w:cs="Arial"/>
                <w:color w:val="000000"/>
                <w:szCs w:val="20"/>
              </w:rPr>
            </w:pPr>
            <w:r w:rsidRPr="00615BF4">
              <w:rPr>
                <w:rFonts w:cs="Arial"/>
                <w:color w:val="000000"/>
                <w:szCs w:val="20"/>
              </w:rPr>
              <w:t xml:space="preserve">% of </w:t>
            </w:r>
            <w:r>
              <w:rPr>
                <w:rFonts w:cs="Arial"/>
                <w:color w:val="000000"/>
                <w:szCs w:val="20"/>
              </w:rPr>
              <w:t xml:space="preserve">all </w:t>
            </w:r>
            <w:r w:rsidRPr="00615BF4">
              <w:rPr>
                <w:rFonts w:cs="Arial"/>
                <w:color w:val="000000"/>
                <w:szCs w:val="20"/>
              </w:rPr>
              <w:t xml:space="preserve">customers on </w:t>
            </w:r>
            <w:r>
              <w:t xml:space="preserve">financial hardship </w:t>
            </w:r>
            <w:r>
              <w:rPr>
                <w:rFonts w:cs="Arial"/>
                <w:color w:val="000000"/>
                <w:szCs w:val="20"/>
              </w:rPr>
              <w:t>arrangements</w:t>
            </w:r>
          </w:p>
        </w:tc>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14:paraId="564B9FFC" w14:textId="77777777" w:rsidR="00623569" w:rsidRPr="00615BF4" w:rsidRDefault="00623569" w:rsidP="001517F2">
            <w:pPr>
              <w:pStyle w:val="TableBody"/>
              <w:keepNext/>
              <w:keepLines/>
              <w:jc w:val="right"/>
            </w:pPr>
            <w:r w:rsidRPr="00615BF4">
              <w:t>0.03%</w:t>
            </w:r>
          </w:p>
        </w:tc>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14:paraId="2E45652F" w14:textId="77777777" w:rsidR="00623569" w:rsidRPr="00615BF4" w:rsidRDefault="00623569" w:rsidP="001517F2">
            <w:pPr>
              <w:pStyle w:val="TableBody"/>
              <w:keepNext/>
              <w:keepLines/>
              <w:jc w:val="right"/>
            </w:pPr>
            <w:r w:rsidRPr="00615BF4">
              <w:t>0.44%</w:t>
            </w:r>
          </w:p>
        </w:tc>
      </w:tr>
    </w:tbl>
    <w:p w14:paraId="4CEDCA9B" w14:textId="77777777" w:rsidR="00623569" w:rsidRDefault="00623569" w:rsidP="00623569">
      <w:pPr>
        <w:spacing w:after="120"/>
        <w:rPr>
          <w:rFonts w:cs="Arial"/>
          <w:szCs w:val="20"/>
        </w:rPr>
      </w:pPr>
    </w:p>
    <w:p w14:paraId="59828282" w14:textId="77777777" w:rsidR="00623569" w:rsidRDefault="00623569" w:rsidP="00623569">
      <w:pPr>
        <w:pStyle w:val="Paragraph"/>
      </w:pPr>
      <w:r>
        <w:t>The estimation of input values (such as 30% of potential disconnection customers on formal financial hardship provisions) is based on comparisons with similar financial hardship arrangements</w:t>
      </w:r>
      <w:r w:rsidRPr="00F3038F">
        <w:t xml:space="preserve"> </w:t>
      </w:r>
      <w:r>
        <w:t>in the Australian electricity industry.</w:t>
      </w:r>
      <w:r w:rsidRPr="00BC3DC1">
        <w:rPr>
          <w:rStyle w:val="FootnoteReference"/>
        </w:rPr>
        <w:t xml:space="preserve"> </w:t>
      </w:r>
      <w:r>
        <w:rPr>
          <w:rStyle w:val="FootnoteReference"/>
        </w:rPr>
        <w:footnoteReference w:id="53"/>
      </w:r>
    </w:p>
    <w:p w14:paraId="7ED5AC22" w14:textId="77777777" w:rsidR="00623569" w:rsidRPr="00321CE0" w:rsidRDefault="00623569" w:rsidP="00623569">
      <w:pPr>
        <w:pStyle w:val="Heading3"/>
      </w:pPr>
      <w:bookmarkStart w:id="61" w:name="_Toc155686000"/>
      <w:r w:rsidRPr="00321CE0">
        <w:t>Benefits</w:t>
      </w:r>
      <w:bookmarkEnd w:id="61"/>
      <w:r w:rsidRPr="00321CE0">
        <w:t xml:space="preserve"> </w:t>
      </w:r>
    </w:p>
    <w:p w14:paraId="66399EAB" w14:textId="77777777" w:rsidR="00623569" w:rsidRDefault="00623569" w:rsidP="00623569">
      <w:pPr>
        <w:pStyle w:val="Paragraph"/>
      </w:pPr>
      <w:r>
        <w:t>Option 2B will establish c</w:t>
      </w:r>
      <w:r w:rsidRPr="00992404">
        <w:t>lear rules and obligations</w:t>
      </w:r>
      <w:r>
        <w:t xml:space="preserve"> in key areas, providing </w:t>
      </w:r>
      <w:r w:rsidRPr="00992404">
        <w:t>a consistent</w:t>
      </w:r>
      <w:r>
        <w:t xml:space="preserve">, community-wide approach for CSPs and their customers, while still maintaining an outcomes-based focus. </w:t>
      </w:r>
    </w:p>
    <w:p w14:paraId="4B88EBF3" w14:textId="77777777" w:rsidR="00623569" w:rsidRDefault="00623569" w:rsidP="00623569">
      <w:pPr>
        <w:pStyle w:val="Paragraph"/>
      </w:pPr>
      <w:r w:rsidRPr="00992404">
        <w:t>Increased awareness</w:t>
      </w:r>
      <w:r>
        <w:t xml:space="preserve"> of financial hardship arrangements</w:t>
      </w:r>
      <w:r w:rsidRPr="00992404">
        <w:t xml:space="preserve"> </w:t>
      </w:r>
      <w:r>
        <w:t>empowers</w:t>
      </w:r>
      <w:r w:rsidRPr="00992404">
        <w:t xml:space="preserve"> consumers, </w:t>
      </w:r>
      <w:r>
        <w:t xml:space="preserve">potentially </w:t>
      </w:r>
      <w:r w:rsidRPr="00992404">
        <w:t>improv</w:t>
      </w:r>
      <w:r>
        <w:t>ing</w:t>
      </w:r>
      <w:r w:rsidRPr="00992404">
        <w:t xml:space="preserve"> customer relations</w:t>
      </w:r>
      <w:r>
        <w:t xml:space="preserve"> and CSPs reputation.</w:t>
      </w:r>
    </w:p>
    <w:p w14:paraId="5ED09D58" w14:textId="77777777" w:rsidR="00623569" w:rsidRPr="00E97751" w:rsidRDefault="00623569" w:rsidP="00623569">
      <w:pPr>
        <w:pStyle w:val="Paragraph"/>
      </w:pPr>
      <w:r>
        <w:t>Option 2B can more effectively address identified gaps in existing protections, establishing a b</w:t>
      </w:r>
      <w:r w:rsidRPr="00E97751">
        <w:t>aseline level of support for all customers experiencing financial hardship</w:t>
      </w:r>
      <w:r>
        <w:t xml:space="preserve">. </w:t>
      </w:r>
      <w:r w:rsidRPr="00E97751">
        <w:t xml:space="preserve">Consistency and clarity in financial hardship policies, </w:t>
      </w:r>
      <w:r>
        <w:t>will make</w:t>
      </w:r>
      <w:r w:rsidRPr="00E97751">
        <w:t xml:space="preserve"> it easier for customers to navigate</w:t>
      </w:r>
      <w:r>
        <w:t xml:space="preserve">, </w:t>
      </w:r>
      <w:r w:rsidRPr="00650BF8">
        <w:t>saving time and preventing unnecessary stress</w:t>
      </w:r>
      <w:r>
        <w:t>.</w:t>
      </w:r>
    </w:p>
    <w:p w14:paraId="04313188" w14:textId="77777777" w:rsidR="00623569" w:rsidRDefault="00623569" w:rsidP="00623569">
      <w:pPr>
        <w:pStyle w:val="Paragraph"/>
      </w:pPr>
      <w:r>
        <w:t>The most significant benefit would be an i</w:t>
      </w:r>
      <w:r w:rsidRPr="00E97751">
        <w:t xml:space="preserve">ncrease </w:t>
      </w:r>
      <w:r>
        <w:t xml:space="preserve">in </w:t>
      </w:r>
      <w:r w:rsidRPr="00E97751">
        <w:t>consumer</w:t>
      </w:r>
      <w:r>
        <w:t>s</w:t>
      </w:r>
      <w:r w:rsidRPr="00E97751">
        <w:t xml:space="preserve"> access</w:t>
      </w:r>
      <w:r>
        <w:t>ing</w:t>
      </w:r>
      <w:r w:rsidRPr="00E97751">
        <w:t xml:space="preserve"> financial hardship arrangements and </w:t>
      </w:r>
      <w:r>
        <w:t xml:space="preserve">a </w:t>
      </w:r>
      <w:r w:rsidRPr="00E97751">
        <w:t>reduc</w:t>
      </w:r>
      <w:r>
        <w:t>tion</w:t>
      </w:r>
      <w:r w:rsidRPr="00E97751">
        <w:t xml:space="preserve"> </w:t>
      </w:r>
      <w:r>
        <w:t>in</w:t>
      </w:r>
      <w:r w:rsidRPr="00E97751">
        <w:t xml:space="preserve"> disconnection</w:t>
      </w:r>
      <w:r>
        <w:t>s and the subsequent impacts that lack of access to telecommunications services can have.</w:t>
      </w:r>
      <w:r w:rsidRPr="00E97751">
        <w:t xml:space="preserve"> </w:t>
      </w:r>
    </w:p>
    <w:p w14:paraId="6E45EBD8" w14:textId="77777777" w:rsidR="00623569" w:rsidRDefault="00623569" w:rsidP="00623569">
      <w:pPr>
        <w:pStyle w:val="Paragraph"/>
      </w:pPr>
      <w:r>
        <w:t>The benefits that could be readily estimated are set out in Table 9.</w:t>
      </w:r>
    </w:p>
    <w:p w14:paraId="0B75BB94" w14:textId="77777777" w:rsidR="00623569" w:rsidRDefault="00623569" w:rsidP="00623569">
      <w:pPr>
        <w:pStyle w:val="Tableheading"/>
      </w:pPr>
      <w:r>
        <w:lastRenderedPageBreak/>
        <w:t>Benefits under the Option 2B</w:t>
      </w:r>
    </w:p>
    <w:tbl>
      <w:tblPr>
        <w:tblStyle w:val="ACMAtablestyle"/>
        <w:tblW w:w="8784" w:type="dxa"/>
        <w:tblLook w:val="04A0" w:firstRow="1" w:lastRow="0" w:firstColumn="1" w:lastColumn="0" w:noHBand="0" w:noVBand="1"/>
      </w:tblPr>
      <w:tblGrid>
        <w:gridCol w:w="2119"/>
        <w:gridCol w:w="1334"/>
        <w:gridCol w:w="5331"/>
      </w:tblGrid>
      <w:tr w:rsidR="00623569" w:rsidRPr="00B83C77" w14:paraId="4FF91DFD" w14:textId="77777777" w:rsidTr="001517F2">
        <w:trPr>
          <w:cnfStyle w:val="100000000000" w:firstRow="1" w:lastRow="0" w:firstColumn="0" w:lastColumn="0" w:oddVBand="0" w:evenVBand="0" w:oddHBand="0" w:evenHBand="0" w:firstRowFirstColumn="0" w:firstRowLastColumn="0" w:lastRowFirstColumn="0" w:lastRowLastColumn="0"/>
        </w:trPr>
        <w:tc>
          <w:tcPr>
            <w:tcW w:w="2119" w:type="dxa"/>
          </w:tcPr>
          <w:p w14:paraId="3EA9C4DA" w14:textId="77777777" w:rsidR="00623569" w:rsidRPr="002B5B6C" w:rsidRDefault="00623569" w:rsidP="001517F2">
            <w:pPr>
              <w:pStyle w:val="Paragraph"/>
              <w:keepNext/>
              <w:keepLines/>
              <w:spacing w:after="0"/>
              <w:rPr>
                <w:b/>
                <w:bCs/>
              </w:rPr>
            </w:pPr>
            <w:r w:rsidRPr="002B5B6C">
              <w:rPr>
                <w:b/>
                <w:bCs/>
              </w:rPr>
              <w:t xml:space="preserve">Input </w:t>
            </w:r>
          </w:p>
        </w:tc>
        <w:tc>
          <w:tcPr>
            <w:tcW w:w="1334" w:type="dxa"/>
          </w:tcPr>
          <w:p w14:paraId="11F1BFDB" w14:textId="77777777" w:rsidR="00623569" w:rsidRPr="002B5B6C" w:rsidRDefault="00623569" w:rsidP="001517F2">
            <w:pPr>
              <w:pStyle w:val="Paragraph"/>
              <w:keepNext/>
              <w:keepLines/>
              <w:spacing w:after="0"/>
              <w:rPr>
                <w:b/>
                <w:bCs/>
              </w:rPr>
            </w:pPr>
            <w:r w:rsidRPr="002B5B6C">
              <w:rPr>
                <w:b/>
                <w:bCs/>
              </w:rPr>
              <w:t>Value</w:t>
            </w:r>
          </w:p>
        </w:tc>
        <w:tc>
          <w:tcPr>
            <w:tcW w:w="5331" w:type="dxa"/>
          </w:tcPr>
          <w:p w14:paraId="0259F42D" w14:textId="77777777" w:rsidR="00623569" w:rsidRPr="002B5B6C" w:rsidRDefault="00623569" w:rsidP="001517F2">
            <w:pPr>
              <w:pStyle w:val="Paragraph"/>
              <w:keepNext/>
              <w:keepLines/>
              <w:spacing w:after="0"/>
              <w:rPr>
                <w:b/>
                <w:bCs/>
              </w:rPr>
            </w:pPr>
            <w:r w:rsidRPr="002B5B6C">
              <w:rPr>
                <w:b/>
                <w:bCs/>
              </w:rPr>
              <w:t>Calculation and source</w:t>
            </w:r>
          </w:p>
        </w:tc>
      </w:tr>
      <w:tr w:rsidR="00623569" w:rsidRPr="00B83C77" w14:paraId="3238B0F8" w14:textId="77777777" w:rsidTr="004C0FD8">
        <w:trPr>
          <w:cnfStyle w:val="000000100000" w:firstRow="0" w:lastRow="0" w:firstColumn="0" w:lastColumn="0" w:oddVBand="0" w:evenVBand="0" w:oddHBand="1" w:evenHBand="0" w:firstRowFirstColumn="0" w:firstRowLastColumn="0" w:lastRowFirstColumn="0" w:lastRowLastColumn="0"/>
        </w:trPr>
        <w:tc>
          <w:tcPr>
            <w:tcW w:w="2119" w:type="dxa"/>
            <w:shd w:val="clear" w:color="auto" w:fill="F2F2F2" w:themeFill="background1" w:themeFillShade="F2"/>
          </w:tcPr>
          <w:p w14:paraId="2300633B" w14:textId="77777777" w:rsidR="00623569" w:rsidRPr="00B83C77" w:rsidRDefault="00623569" w:rsidP="001517F2">
            <w:pPr>
              <w:pStyle w:val="Paragraph"/>
              <w:spacing w:after="0"/>
            </w:pPr>
            <w:r>
              <w:t>Reduction in financial hardship complaints to the TIO</w:t>
            </w:r>
          </w:p>
        </w:tc>
        <w:tc>
          <w:tcPr>
            <w:tcW w:w="1334" w:type="dxa"/>
            <w:shd w:val="clear" w:color="auto" w:fill="F2F2F2" w:themeFill="background1" w:themeFillShade="F2"/>
          </w:tcPr>
          <w:p w14:paraId="60EBA3A0" w14:textId="77777777" w:rsidR="00623569" w:rsidRPr="00B83C77" w:rsidRDefault="00623569" w:rsidP="001517F2">
            <w:pPr>
              <w:pStyle w:val="Paragraph"/>
              <w:spacing w:after="0"/>
            </w:pPr>
            <w:r w:rsidRPr="00C52A03">
              <w:t>$228,126</w:t>
            </w:r>
          </w:p>
        </w:tc>
        <w:tc>
          <w:tcPr>
            <w:tcW w:w="5331" w:type="dxa"/>
            <w:shd w:val="clear" w:color="auto" w:fill="F2F2F2" w:themeFill="background1" w:themeFillShade="F2"/>
          </w:tcPr>
          <w:p w14:paraId="4AF11F1F" w14:textId="77777777" w:rsidR="00623569" w:rsidRDefault="00623569" w:rsidP="001517F2">
            <w:pPr>
              <w:pStyle w:val="Paragraph"/>
              <w:spacing w:after="80"/>
            </w:pPr>
            <w:r>
              <w:t xml:space="preserve">Average cost per complaint = </w:t>
            </w:r>
            <w:r w:rsidRPr="00B83C77">
              <w:t>$465</w:t>
            </w:r>
          </w:p>
          <w:p w14:paraId="1F43B49E" w14:textId="77777777" w:rsidR="00623569" w:rsidRDefault="00623569" w:rsidP="001517F2">
            <w:pPr>
              <w:pStyle w:val="Paragraph"/>
              <w:spacing w:after="80"/>
            </w:pPr>
            <w:r>
              <w:t xml:space="preserve">Reduction in number of complaints = </w:t>
            </w:r>
            <w:r w:rsidRPr="009240F3">
              <w:t>1,785</w:t>
            </w:r>
          </w:p>
          <w:p w14:paraId="0374C866" w14:textId="77777777" w:rsidR="00623569" w:rsidRPr="00B83C77" w:rsidRDefault="00623569" w:rsidP="001517F2">
            <w:pPr>
              <w:pStyle w:val="Paragraph"/>
              <w:spacing w:after="0"/>
            </w:pPr>
            <w:r>
              <w:t xml:space="preserve">Source: </w:t>
            </w:r>
            <w:hyperlink r:id="rId41" w:history="1">
              <w:r w:rsidRPr="00FE2230">
                <w:rPr>
                  <w:rStyle w:val="Hyperlink"/>
                </w:rPr>
                <w:t>www.tio.com.au/sites/default/files/2023-09/TIO%20Financial%20Report%202023.pdf</w:t>
              </w:r>
            </w:hyperlink>
          </w:p>
        </w:tc>
      </w:tr>
      <w:tr w:rsidR="00623569" w:rsidRPr="00B83C77" w14:paraId="44DF6F47" w14:textId="77777777" w:rsidTr="004C0FD8">
        <w:trPr>
          <w:cnfStyle w:val="000000010000" w:firstRow="0" w:lastRow="0" w:firstColumn="0" w:lastColumn="0" w:oddVBand="0" w:evenVBand="0" w:oddHBand="0" w:evenHBand="1" w:firstRowFirstColumn="0" w:firstRowLastColumn="0" w:lastRowFirstColumn="0" w:lastRowLastColumn="0"/>
        </w:trPr>
        <w:tc>
          <w:tcPr>
            <w:tcW w:w="2119" w:type="dxa"/>
            <w:shd w:val="clear" w:color="auto" w:fill="auto"/>
          </w:tcPr>
          <w:p w14:paraId="43E9F19C" w14:textId="77777777" w:rsidR="00623569" w:rsidRDefault="00623569" w:rsidP="001517F2">
            <w:pPr>
              <w:pStyle w:val="Paragraph"/>
              <w:spacing w:after="0"/>
            </w:pPr>
            <w:r>
              <w:t>Reduction in reconnection cost</w:t>
            </w:r>
          </w:p>
        </w:tc>
        <w:tc>
          <w:tcPr>
            <w:tcW w:w="1334" w:type="dxa"/>
            <w:shd w:val="clear" w:color="auto" w:fill="auto"/>
          </w:tcPr>
          <w:p w14:paraId="00E6CD82" w14:textId="77777777" w:rsidR="00623569" w:rsidRPr="000136DC" w:rsidRDefault="00623569" w:rsidP="001517F2">
            <w:pPr>
              <w:pStyle w:val="Paragraph"/>
              <w:spacing w:after="0"/>
            </w:pPr>
            <w:r w:rsidRPr="00F13A5A">
              <w:t>$3,</w:t>
            </w:r>
            <w:r>
              <w:t>120,088</w:t>
            </w:r>
          </w:p>
        </w:tc>
        <w:tc>
          <w:tcPr>
            <w:tcW w:w="5331" w:type="dxa"/>
            <w:shd w:val="clear" w:color="auto" w:fill="auto"/>
          </w:tcPr>
          <w:p w14:paraId="3166B3EB" w14:textId="77777777" w:rsidR="00623569" w:rsidRDefault="00623569" w:rsidP="001517F2">
            <w:pPr>
              <w:pStyle w:val="Paragraph"/>
              <w:spacing w:after="80"/>
            </w:pPr>
            <w:r>
              <w:t>Reconnection cost per customer = $46</w:t>
            </w:r>
          </w:p>
          <w:p w14:paraId="4C1100FC" w14:textId="77777777" w:rsidR="00623569" w:rsidRDefault="00623569" w:rsidP="001517F2">
            <w:pPr>
              <w:pStyle w:val="Paragraph"/>
              <w:spacing w:after="80"/>
            </w:pPr>
            <w:r>
              <w:t xml:space="preserve">Reduction in number of disconnections = </w:t>
            </w:r>
            <w:r w:rsidRPr="007745B5">
              <w:t>67,828</w:t>
            </w:r>
          </w:p>
          <w:p w14:paraId="435F94E2" w14:textId="77777777" w:rsidR="00623569" w:rsidRDefault="00623569" w:rsidP="001517F2">
            <w:pPr>
              <w:pStyle w:val="Paragraph"/>
              <w:spacing w:after="0"/>
            </w:pPr>
            <w:r>
              <w:t xml:space="preserve">Source: </w:t>
            </w:r>
            <w:hyperlink r:id="rId42" w:history="1">
              <w:r w:rsidRPr="00FE2230">
                <w:rPr>
                  <w:rStyle w:val="Hyperlink"/>
                </w:rPr>
                <w:t>www.telstra.com.au/content/dam/tcom/our-customer-terms/business-government/pdf/mobilegeneral.pdf</w:t>
              </w:r>
            </w:hyperlink>
          </w:p>
        </w:tc>
      </w:tr>
    </w:tbl>
    <w:p w14:paraId="4ABCD414" w14:textId="77777777" w:rsidR="00623569" w:rsidRDefault="00623569" w:rsidP="00623569">
      <w:pPr>
        <w:spacing w:after="120"/>
        <w:rPr>
          <w:rFonts w:cs="Arial"/>
          <w:szCs w:val="20"/>
        </w:rPr>
      </w:pPr>
    </w:p>
    <w:p w14:paraId="4920E293" w14:textId="77777777" w:rsidR="00623569" w:rsidRPr="00405417" w:rsidRDefault="00623569" w:rsidP="00623569">
      <w:pPr>
        <w:pStyle w:val="Paragraph"/>
      </w:pPr>
      <w:r>
        <w:t xml:space="preserve">As with Option 2A, Option 2B is expected to impose various other benefits and costs on CSPs. </w:t>
      </w:r>
      <w:r w:rsidRPr="00405417">
        <w:t>Consultation on financial hardships</w:t>
      </w:r>
      <w:r>
        <w:t xml:space="preserve"> reforms</w:t>
      </w:r>
      <w:r w:rsidRPr="00405417">
        <w:t xml:space="preserve"> in the electricity sector suggest these impacts </w:t>
      </w:r>
      <w:r>
        <w:t>are likely to offset each other</w:t>
      </w:r>
      <w:r w:rsidRPr="00405417">
        <w:t xml:space="preserve">. </w:t>
      </w:r>
    </w:p>
    <w:p w14:paraId="0DA0FD0B" w14:textId="77777777" w:rsidR="00623569" w:rsidRDefault="00623569" w:rsidP="00623569">
      <w:pPr>
        <w:pStyle w:val="Heading3"/>
      </w:pPr>
      <w:bookmarkStart w:id="62" w:name="_Toc155686001"/>
      <w:r w:rsidRPr="00321CE0">
        <w:t>Costs</w:t>
      </w:r>
      <w:bookmarkEnd w:id="62"/>
      <w:r w:rsidRPr="00321CE0">
        <w:t xml:space="preserve"> </w:t>
      </w:r>
    </w:p>
    <w:p w14:paraId="74184817" w14:textId="77777777" w:rsidR="00623569" w:rsidRDefault="00623569" w:rsidP="00623569">
      <w:pPr>
        <w:pStyle w:val="Paragraph"/>
      </w:pPr>
      <w:r>
        <w:t xml:space="preserve">ACMA costs of developing and implementing reforms are expected to be higher initially but then drop lower than the base case in subsequent years. </w:t>
      </w:r>
      <w:r w:rsidRPr="00FF75AA">
        <w:t xml:space="preserve">The reduction in costs is greater in </w:t>
      </w:r>
      <w:r>
        <w:t>O</w:t>
      </w:r>
      <w:r w:rsidRPr="00FF75AA">
        <w:t xml:space="preserve">ption 2B compared to </w:t>
      </w:r>
      <w:r>
        <w:t xml:space="preserve">Option </w:t>
      </w:r>
      <w:r w:rsidRPr="00FF75AA">
        <w:t xml:space="preserve">2A </w:t>
      </w:r>
      <w:r>
        <w:t>because</w:t>
      </w:r>
      <w:r w:rsidRPr="00FF75AA">
        <w:t xml:space="preserve"> a </w:t>
      </w:r>
      <w:r>
        <w:t>more detailed</w:t>
      </w:r>
      <w:r w:rsidRPr="00FF75AA">
        <w:t xml:space="preserve"> standard </w:t>
      </w:r>
      <w:r>
        <w:t xml:space="preserve">in key areas </w:t>
      </w:r>
      <w:r w:rsidRPr="00FF75AA">
        <w:t xml:space="preserve">would be </w:t>
      </w:r>
      <w:r>
        <w:t xml:space="preserve">less complex </w:t>
      </w:r>
      <w:r w:rsidRPr="00FF75AA">
        <w:t xml:space="preserve">to </w:t>
      </w:r>
      <w:r>
        <w:t xml:space="preserve">implement and </w:t>
      </w:r>
      <w:r w:rsidRPr="00FF75AA">
        <w:t xml:space="preserve">enforce than </w:t>
      </w:r>
      <w:r>
        <w:t>a</w:t>
      </w:r>
      <w:r w:rsidRPr="00FF75AA">
        <w:t xml:space="preserve"> standard</w:t>
      </w:r>
      <w:r>
        <w:t xml:space="preserve"> with more discretion</w:t>
      </w:r>
      <w:r w:rsidRPr="00FF75AA">
        <w:t xml:space="preserve">. </w:t>
      </w:r>
    </w:p>
    <w:p w14:paraId="629283ED" w14:textId="77777777" w:rsidR="00623569" w:rsidRDefault="00623569" w:rsidP="00623569">
      <w:pPr>
        <w:pStyle w:val="Tableheading"/>
      </w:pPr>
      <w:r>
        <w:t>ACMA costs under the Option 2B</w:t>
      </w:r>
    </w:p>
    <w:tbl>
      <w:tblPr>
        <w:tblStyle w:val="ACMAtablestyle"/>
        <w:tblW w:w="8784" w:type="dxa"/>
        <w:tblLook w:val="04A0" w:firstRow="1" w:lastRow="0" w:firstColumn="1" w:lastColumn="0" w:noHBand="0" w:noVBand="1"/>
      </w:tblPr>
      <w:tblGrid>
        <w:gridCol w:w="2119"/>
        <w:gridCol w:w="1704"/>
        <w:gridCol w:w="4961"/>
      </w:tblGrid>
      <w:tr w:rsidR="00623569" w:rsidRPr="00B83C77" w14:paraId="49224549" w14:textId="77777777" w:rsidTr="001517F2">
        <w:trPr>
          <w:cnfStyle w:val="100000000000" w:firstRow="1" w:lastRow="0" w:firstColumn="0" w:lastColumn="0" w:oddVBand="0" w:evenVBand="0" w:oddHBand="0" w:evenHBand="0" w:firstRowFirstColumn="0" w:firstRowLastColumn="0" w:lastRowFirstColumn="0" w:lastRowLastColumn="0"/>
        </w:trPr>
        <w:tc>
          <w:tcPr>
            <w:tcW w:w="2119" w:type="dxa"/>
          </w:tcPr>
          <w:p w14:paraId="29DC18C1" w14:textId="77777777" w:rsidR="00623569" w:rsidRPr="002B5B6C" w:rsidRDefault="00623569" w:rsidP="001517F2">
            <w:pPr>
              <w:pStyle w:val="Paragraph"/>
              <w:keepNext/>
              <w:keepLines/>
              <w:spacing w:after="0"/>
              <w:rPr>
                <w:b/>
                <w:bCs/>
              </w:rPr>
            </w:pPr>
            <w:r w:rsidRPr="002B5B6C">
              <w:rPr>
                <w:b/>
                <w:bCs/>
              </w:rPr>
              <w:t xml:space="preserve">Input </w:t>
            </w:r>
          </w:p>
        </w:tc>
        <w:tc>
          <w:tcPr>
            <w:tcW w:w="1704" w:type="dxa"/>
          </w:tcPr>
          <w:p w14:paraId="7BAE6F0A" w14:textId="77777777" w:rsidR="00623569" w:rsidRPr="002B5B6C" w:rsidRDefault="00623569" w:rsidP="001517F2">
            <w:pPr>
              <w:pStyle w:val="Paragraph"/>
              <w:keepNext/>
              <w:keepLines/>
              <w:spacing w:after="0"/>
              <w:rPr>
                <w:b/>
                <w:bCs/>
              </w:rPr>
            </w:pPr>
            <w:r w:rsidRPr="002B5B6C">
              <w:rPr>
                <w:b/>
                <w:bCs/>
              </w:rPr>
              <w:t>Value</w:t>
            </w:r>
          </w:p>
        </w:tc>
        <w:tc>
          <w:tcPr>
            <w:tcW w:w="4961" w:type="dxa"/>
          </w:tcPr>
          <w:p w14:paraId="6DE6C50C" w14:textId="77777777" w:rsidR="00623569" w:rsidRPr="002B5B6C" w:rsidRDefault="00623569" w:rsidP="001517F2">
            <w:pPr>
              <w:pStyle w:val="Paragraph"/>
              <w:keepNext/>
              <w:keepLines/>
              <w:spacing w:after="0"/>
              <w:rPr>
                <w:b/>
                <w:bCs/>
              </w:rPr>
            </w:pPr>
            <w:r w:rsidRPr="002B5B6C">
              <w:rPr>
                <w:b/>
                <w:bCs/>
              </w:rPr>
              <w:t>Calculation and source</w:t>
            </w:r>
          </w:p>
        </w:tc>
      </w:tr>
      <w:tr w:rsidR="00623569" w:rsidRPr="00B83C77" w14:paraId="5825F26A" w14:textId="77777777" w:rsidTr="004C0FD8">
        <w:trPr>
          <w:cnfStyle w:val="000000100000" w:firstRow="0" w:lastRow="0" w:firstColumn="0" w:lastColumn="0" w:oddVBand="0" w:evenVBand="0" w:oddHBand="1" w:evenHBand="0" w:firstRowFirstColumn="0" w:firstRowLastColumn="0" w:lastRowFirstColumn="0" w:lastRowLastColumn="0"/>
        </w:trPr>
        <w:tc>
          <w:tcPr>
            <w:tcW w:w="2119" w:type="dxa"/>
            <w:shd w:val="clear" w:color="auto" w:fill="F2F2F2" w:themeFill="background1" w:themeFillShade="F2"/>
          </w:tcPr>
          <w:p w14:paraId="42C8D8F6" w14:textId="77777777" w:rsidR="00623569" w:rsidRPr="00B83C77" w:rsidRDefault="00623569" w:rsidP="001517F2">
            <w:pPr>
              <w:pStyle w:val="Paragraph"/>
              <w:keepNext/>
              <w:keepLines/>
              <w:spacing w:after="0"/>
            </w:pPr>
            <w:r>
              <w:t xml:space="preserve">Estimated ACMA </w:t>
            </w:r>
            <w:r w:rsidRPr="00E00534">
              <w:t>compliance and enforcement</w:t>
            </w:r>
            <w:r>
              <w:t xml:space="preserve"> cost</w:t>
            </w:r>
          </w:p>
        </w:tc>
        <w:tc>
          <w:tcPr>
            <w:tcW w:w="1704" w:type="dxa"/>
            <w:shd w:val="clear" w:color="auto" w:fill="F2F2F2" w:themeFill="background1" w:themeFillShade="F2"/>
          </w:tcPr>
          <w:p w14:paraId="2E382E3C" w14:textId="77777777" w:rsidR="00623569" w:rsidRDefault="00623569" w:rsidP="001517F2">
            <w:pPr>
              <w:pStyle w:val="Paragraph"/>
              <w:keepNext/>
              <w:keepLines/>
              <w:spacing w:after="80"/>
            </w:pPr>
            <w:r>
              <w:t xml:space="preserve">Yr. 1 </w:t>
            </w:r>
            <w:r w:rsidRPr="00CC4035">
              <w:t>$984,045</w:t>
            </w:r>
          </w:p>
          <w:p w14:paraId="3C52779C" w14:textId="77777777" w:rsidR="00623569" w:rsidRDefault="00623569" w:rsidP="001517F2">
            <w:pPr>
              <w:pStyle w:val="Paragraph"/>
              <w:keepNext/>
              <w:keepLines/>
              <w:spacing w:after="80"/>
            </w:pPr>
            <w:r>
              <w:t xml:space="preserve">Yr. 2 </w:t>
            </w:r>
            <w:r w:rsidRPr="00CC4035">
              <w:t>$702,889</w:t>
            </w:r>
          </w:p>
          <w:p w14:paraId="42C35DE9" w14:textId="77777777" w:rsidR="00623569" w:rsidRDefault="00623569" w:rsidP="001517F2">
            <w:pPr>
              <w:pStyle w:val="Paragraph"/>
              <w:keepNext/>
              <w:keepLines/>
              <w:spacing w:after="80"/>
            </w:pPr>
            <w:r>
              <w:t xml:space="preserve">Yr. 3 onwards </w:t>
            </w:r>
            <w:r w:rsidRPr="00CC4035">
              <w:t>$421,734</w:t>
            </w:r>
          </w:p>
          <w:p w14:paraId="5BF67CFF" w14:textId="77777777" w:rsidR="00623569" w:rsidRPr="00B83C77" w:rsidRDefault="00623569" w:rsidP="001517F2">
            <w:pPr>
              <w:pStyle w:val="Paragraph"/>
              <w:keepNext/>
              <w:keepLines/>
              <w:spacing w:after="0"/>
            </w:pPr>
            <w:r>
              <w:t>Status quo: $984,045)</w:t>
            </w:r>
          </w:p>
        </w:tc>
        <w:tc>
          <w:tcPr>
            <w:tcW w:w="4961" w:type="dxa"/>
            <w:shd w:val="clear" w:color="auto" w:fill="F2F2F2" w:themeFill="background1" w:themeFillShade="F2"/>
          </w:tcPr>
          <w:p w14:paraId="1A263C2C" w14:textId="77777777" w:rsidR="00623569" w:rsidRDefault="00623569" w:rsidP="001517F2">
            <w:pPr>
              <w:pStyle w:val="Paragraph"/>
              <w:spacing w:after="80"/>
            </w:pPr>
            <w:r>
              <w:t>Based on estimated ACMA staff time spent on financial hardship</w:t>
            </w:r>
            <w:r w:rsidRPr="00E00534">
              <w:t xml:space="preserve"> compliance</w:t>
            </w:r>
            <w:r>
              <w:t xml:space="preserve"> monitoring and enforcement.</w:t>
            </w:r>
          </w:p>
          <w:p w14:paraId="47DF2F4A" w14:textId="77777777" w:rsidR="00623569" w:rsidRPr="00B83C77" w:rsidRDefault="00623569" w:rsidP="001517F2">
            <w:pPr>
              <w:pStyle w:val="Paragraph"/>
              <w:spacing w:after="0"/>
            </w:pPr>
            <w:r>
              <w:t>It is expected the time spent on compliance and enforcement activities would be equivalent to the status quo in Year 1 but significantly less than the status quo in subsequent years.</w:t>
            </w:r>
          </w:p>
        </w:tc>
      </w:tr>
      <w:tr w:rsidR="00623569" w:rsidRPr="00B83C77" w14:paraId="6439BB85" w14:textId="77777777" w:rsidTr="004C0FD8">
        <w:trPr>
          <w:cnfStyle w:val="000000010000" w:firstRow="0" w:lastRow="0" w:firstColumn="0" w:lastColumn="0" w:oddVBand="0" w:evenVBand="0" w:oddHBand="0" w:evenHBand="1" w:firstRowFirstColumn="0" w:firstRowLastColumn="0" w:lastRowFirstColumn="0" w:lastRowLastColumn="0"/>
        </w:trPr>
        <w:tc>
          <w:tcPr>
            <w:tcW w:w="2119" w:type="dxa"/>
            <w:shd w:val="clear" w:color="auto" w:fill="auto"/>
          </w:tcPr>
          <w:p w14:paraId="42D19FC1" w14:textId="77777777" w:rsidR="00623569" w:rsidRDefault="00623569" w:rsidP="001517F2">
            <w:pPr>
              <w:pStyle w:val="Paragraph"/>
              <w:spacing w:after="0"/>
            </w:pPr>
            <w:r>
              <w:t>Estimated ACMA cost</w:t>
            </w:r>
            <w:r w:rsidRPr="00B107E3">
              <w:t xml:space="preserve"> </w:t>
            </w:r>
            <w:r>
              <w:t>on c</w:t>
            </w:r>
            <w:r w:rsidRPr="00B107E3">
              <w:t>ommunicating and educating the Standard</w:t>
            </w:r>
          </w:p>
        </w:tc>
        <w:tc>
          <w:tcPr>
            <w:tcW w:w="1704" w:type="dxa"/>
            <w:shd w:val="clear" w:color="auto" w:fill="auto"/>
          </w:tcPr>
          <w:p w14:paraId="7EEA8162" w14:textId="77777777" w:rsidR="00623569" w:rsidRDefault="00623569" w:rsidP="001517F2">
            <w:pPr>
              <w:pStyle w:val="Paragraph"/>
              <w:spacing w:after="80"/>
            </w:pPr>
            <w:r>
              <w:t xml:space="preserve">Yr. 1 </w:t>
            </w:r>
            <w:r w:rsidRPr="00362FE0">
              <w:t>$70,289</w:t>
            </w:r>
          </w:p>
          <w:p w14:paraId="05727761" w14:textId="77777777" w:rsidR="00623569" w:rsidRDefault="00623569" w:rsidP="001517F2">
            <w:pPr>
              <w:pStyle w:val="Paragraph"/>
              <w:spacing w:after="80"/>
            </w:pPr>
            <w:r>
              <w:t xml:space="preserve">Yr. 2 onwards </w:t>
            </w:r>
            <w:r w:rsidRPr="00362FE0">
              <w:t>$35,144</w:t>
            </w:r>
          </w:p>
          <w:p w14:paraId="135A7193" w14:textId="77777777" w:rsidR="00623569" w:rsidRPr="00E00534" w:rsidRDefault="00623569" w:rsidP="001517F2">
            <w:pPr>
              <w:pStyle w:val="Paragraph"/>
              <w:spacing w:after="0"/>
            </w:pPr>
            <w:r>
              <w:t>(Status quo: $35,144)</w:t>
            </w:r>
          </w:p>
        </w:tc>
        <w:tc>
          <w:tcPr>
            <w:tcW w:w="4961" w:type="dxa"/>
            <w:shd w:val="clear" w:color="auto" w:fill="auto"/>
          </w:tcPr>
          <w:p w14:paraId="0FC3C3C3" w14:textId="77777777" w:rsidR="00623569" w:rsidRDefault="00623569" w:rsidP="001517F2">
            <w:pPr>
              <w:pStyle w:val="Paragraph"/>
              <w:spacing w:after="0"/>
            </w:pPr>
            <w:r>
              <w:t>Based on estimated ACMA staff time spent on financial hardship</w:t>
            </w:r>
            <w:r w:rsidRPr="00F925CC">
              <w:t xml:space="preserve"> </w:t>
            </w:r>
            <w:r>
              <w:t>education and communications – expected greater cost</w:t>
            </w:r>
            <w:r w:rsidDel="00E81409">
              <w:t xml:space="preserve"> </w:t>
            </w:r>
            <w:r>
              <w:t>than status quo in the first year the Standard is implemented.</w:t>
            </w:r>
          </w:p>
        </w:tc>
      </w:tr>
      <w:tr w:rsidR="00623569" w:rsidRPr="00B83C77" w14:paraId="2A5ADC74" w14:textId="77777777" w:rsidTr="004C0FD8">
        <w:trPr>
          <w:cnfStyle w:val="000000100000" w:firstRow="0" w:lastRow="0" w:firstColumn="0" w:lastColumn="0" w:oddVBand="0" w:evenVBand="0" w:oddHBand="1" w:evenHBand="0" w:firstRowFirstColumn="0" w:firstRowLastColumn="0" w:lastRowFirstColumn="0" w:lastRowLastColumn="0"/>
        </w:trPr>
        <w:tc>
          <w:tcPr>
            <w:tcW w:w="2119" w:type="dxa"/>
            <w:shd w:val="clear" w:color="auto" w:fill="F2F2F2" w:themeFill="background1" w:themeFillShade="F2"/>
          </w:tcPr>
          <w:p w14:paraId="15DBD98D" w14:textId="77777777" w:rsidR="00623569" w:rsidRDefault="00623569" w:rsidP="001517F2">
            <w:pPr>
              <w:pStyle w:val="Paragraph"/>
              <w:spacing w:after="0"/>
            </w:pPr>
            <w:r>
              <w:t>ACMA cost on developing the new Standard</w:t>
            </w:r>
          </w:p>
        </w:tc>
        <w:tc>
          <w:tcPr>
            <w:tcW w:w="1704" w:type="dxa"/>
            <w:shd w:val="clear" w:color="auto" w:fill="F2F2F2" w:themeFill="background1" w:themeFillShade="F2"/>
          </w:tcPr>
          <w:p w14:paraId="2E35AFD8" w14:textId="77777777" w:rsidR="00623569" w:rsidRDefault="00623569" w:rsidP="001517F2">
            <w:pPr>
              <w:pStyle w:val="Paragraph"/>
              <w:spacing w:after="0"/>
              <w:rPr>
                <w:rFonts w:ascii="Calibri" w:hAnsi="Calibri" w:cs="Calibri"/>
                <w:color w:val="000000"/>
                <w:sz w:val="22"/>
                <w:szCs w:val="22"/>
              </w:rPr>
            </w:pPr>
            <w:r w:rsidRPr="00EB7715">
              <w:t>$312,395</w:t>
            </w:r>
          </w:p>
        </w:tc>
        <w:tc>
          <w:tcPr>
            <w:tcW w:w="4961" w:type="dxa"/>
            <w:shd w:val="clear" w:color="auto" w:fill="F2F2F2" w:themeFill="background1" w:themeFillShade="F2"/>
          </w:tcPr>
          <w:p w14:paraId="5CA7BF18" w14:textId="77777777" w:rsidR="00623569" w:rsidRDefault="00623569" w:rsidP="001517F2">
            <w:pPr>
              <w:pStyle w:val="Paragraph"/>
              <w:spacing w:after="0"/>
            </w:pPr>
            <w:r>
              <w:t>Based on estimated ACMA staff time to make the Standard – assumed to be equivalent to the TCP Code review. While developing a standard is more limited in scope and time than a TCP Code review, that must be balanced against the requirements for the ACMA to draft instruments and consult.</w:t>
            </w:r>
          </w:p>
        </w:tc>
      </w:tr>
    </w:tbl>
    <w:p w14:paraId="7AC814B8" w14:textId="77777777" w:rsidR="00623569" w:rsidRDefault="00623569" w:rsidP="00623569">
      <w:pPr>
        <w:pStyle w:val="Paragraph"/>
        <w:spacing w:after="0"/>
      </w:pPr>
    </w:p>
    <w:p w14:paraId="68CFDB17" w14:textId="77777777" w:rsidR="00623569" w:rsidRDefault="00623569" w:rsidP="00623569">
      <w:pPr>
        <w:pStyle w:val="Heading4"/>
        <w:spacing w:before="120"/>
      </w:pPr>
      <w:r>
        <w:t>CSP costs</w:t>
      </w:r>
    </w:p>
    <w:p w14:paraId="0914F220" w14:textId="77777777" w:rsidR="00623569" w:rsidRDefault="00623569" w:rsidP="00623569">
      <w:pPr>
        <w:pStyle w:val="Paragraph"/>
      </w:pPr>
      <w:r>
        <w:t>CSP costs are estimated to drop significantly once new systems and procedures have been implemented.</w:t>
      </w:r>
    </w:p>
    <w:p w14:paraId="03997744" w14:textId="77777777" w:rsidR="00623569" w:rsidRPr="00A65EF8" w:rsidRDefault="00623569" w:rsidP="00623569">
      <w:pPr>
        <w:pStyle w:val="Tableheading"/>
        <w:rPr>
          <w:rFonts w:eastAsia="Calibri"/>
        </w:rPr>
      </w:pPr>
      <w:r w:rsidRPr="00A65EF8">
        <w:rPr>
          <w:rFonts w:eastAsia="Calibri"/>
        </w:rPr>
        <w:lastRenderedPageBreak/>
        <w:t>Costs to all CSPs to comply with enforceable obligations under Option 2B</w:t>
      </w:r>
      <w:r>
        <w:rPr>
          <w:rStyle w:val="FootnoteReference"/>
        </w:rPr>
        <w:footnoteReference w:id="54"/>
      </w:r>
    </w:p>
    <w:tbl>
      <w:tblPr>
        <w:tblW w:w="9062" w:type="dxa"/>
        <w:tblCellMar>
          <w:top w:w="85" w:type="dxa"/>
          <w:left w:w="57" w:type="dxa"/>
          <w:bottom w:w="85" w:type="dxa"/>
          <w:right w:w="57" w:type="dxa"/>
        </w:tblCellMar>
        <w:tblLook w:val="04A0" w:firstRow="1" w:lastRow="0" w:firstColumn="1" w:lastColumn="0" w:noHBand="0" w:noVBand="1"/>
      </w:tblPr>
      <w:tblGrid>
        <w:gridCol w:w="2265"/>
        <w:gridCol w:w="2266"/>
        <w:gridCol w:w="2265"/>
        <w:gridCol w:w="2266"/>
      </w:tblGrid>
      <w:tr w:rsidR="00623569" w:rsidRPr="00A5712D" w14:paraId="58BCBF64" w14:textId="77777777" w:rsidTr="001517F2">
        <w:trPr>
          <w:cantSplit/>
          <w:trHeight w:val="525"/>
        </w:trPr>
        <w:tc>
          <w:tcPr>
            <w:tcW w:w="2265" w:type="dxa"/>
            <w:tcBorders>
              <w:top w:val="single" w:sz="8" w:space="0" w:color="auto"/>
              <w:left w:val="single" w:sz="8" w:space="0" w:color="auto"/>
              <w:bottom w:val="single" w:sz="8" w:space="0" w:color="auto"/>
              <w:right w:val="single" w:sz="8" w:space="0" w:color="auto"/>
            </w:tcBorders>
            <w:shd w:val="clear" w:color="000000" w:fill="404040"/>
            <w:hideMark/>
          </w:tcPr>
          <w:p w14:paraId="318123AD" w14:textId="77777777" w:rsidR="00623569" w:rsidRPr="00A5712D" w:rsidRDefault="00623569" w:rsidP="001517F2">
            <w:pPr>
              <w:spacing w:after="0" w:line="240" w:lineRule="auto"/>
              <w:rPr>
                <w:rFonts w:cs="Arial"/>
                <w:b/>
                <w:bCs/>
                <w:color w:val="FFFFFF"/>
                <w:szCs w:val="20"/>
              </w:rPr>
            </w:pPr>
            <w:r w:rsidRPr="00A5712D">
              <w:rPr>
                <w:rFonts w:cs="Arial"/>
                <w:b/>
                <w:bCs/>
                <w:color w:val="FFFFFF"/>
                <w:szCs w:val="20"/>
              </w:rPr>
              <w:t>Category</w:t>
            </w:r>
          </w:p>
        </w:tc>
        <w:tc>
          <w:tcPr>
            <w:tcW w:w="2266" w:type="dxa"/>
            <w:tcBorders>
              <w:top w:val="single" w:sz="8" w:space="0" w:color="auto"/>
              <w:left w:val="nil"/>
              <w:bottom w:val="single" w:sz="8" w:space="0" w:color="auto"/>
              <w:right w:val="single" w:sz="8" w:space="0" w:color="auto"/>
            </w:tcBorders>
            <w:shd w:val="clear" w:color="000000" w:fill="404040"/>
            <w:hideMark/>
          </w:tcPr>
          <w:p w14:paraId="424271A0" w14:textId="77777777" w:rsidR="00623569" w:rsidRPr="00A5712D" w:rsidRDefault="00623569" w:rsidP="001517F2">
            <w:pPr>
              <w:spacing w:after="0" w:line="240" w:lineRule="auto"/>
              <w:jc w:val="right"/>
              <w:rPr>
                <w:rFonts w:cs="Arial"/>
                <w:b/>
                <w:bCs/>
                <w:color w:val="FFFFFF"/>
                <w:szCs w:val="20"/>
              </w:rPr>
            </w:pPr>
            <w:r w:rsidRPr="00A5712D">
              <w:rPr>
                <w:rFonts w:cs="Arial"/>
                <w:b/>
                <w:bCs/>
                <w:color w:val="FFFFFF"/>
                <w:szCs w:val="20"/>
              </w:rPr>
              <w:t>Number of businesses</w:t>
            </w:r>
          </w:p>
        </w:tc>
        <w:tc>
          <w:tcPr>
            <w:tcW w:w="2265" w:type="dxa"/>
            <w:tcBorders>
              <w:top w:val="single" w:sz="8" w:space="0" w:color="auto"/>
              <w:left w:val="nil"/>
              <w:bottom w:val="single" w:sz="8" w:space="0" w:color="auto"/>
              <w:right w:val="single" w:sz="8" w:space="0" w:color="auto"/>
            </w:tcBorders>
            <w:shd w:val="clear" w:color="000000" w:fill="404040"/>
            <w:hideMark/>
          </w:tcPr>
          <w:p w14:paraId="0A0DCF6F" w14:textId="77777777" w:rsidR="00623569" w:rsidRPr="00A5712D" w:rsidRDefault="00623569" w:rsidP="001517F2">
            <w:pPr>
              <w:spacing w:after="0" w:line="240" w:lineRule="auto"/>
              <w:jc w:val="right"/>
              <w:rPr>
                <w:rFonts w:cs="Arial"/>
                <w:b/>
                <w:bCs/>
                <w:color w:val="FFFFFF"/>
                <w:szCs w:val="20"/>
              </w:rPr>
            </w:pPr>
            <w:r w:rsidRPr="00A5712D">
              <w:rPr>
                <w:rFonts w:cs="Arial"/>
                <w:b/>
                <w:bCs/>
                <w:color w:val="FFFFFF"/>
                <w:szCs w:val="20"/>
              </w:rPr>
              <w:t xml:space="preserve">Total costs: </w:t>
            </w:r>
            <w:r>
              <w:rPr>
                <w:rFonts w:cs="Arial"/>
                <w:b/>
                <w:bCs/>
                <w:color w:val="FFFFFF"/>
                <w:szCs w:val="20"/>
              </w:rPr>
              <w:br/>
            </w:r>
            <w:r w:rsidRPr="00A5712D">
              <w:rPr>
                <w:rFonts w:cs="Arial"/>
                <w:b/>
                <w:bCs/>
                <w:color w:val="FFFFFF"/>
                <w:szCs w:val="20"/>
              </w:rPr>
              <w:t xml:space="preserve">Year 1 </w:t>
            </w:r>
          </w:p>
        </w:tc>
        <w:tc>
          <w:tcPr>
            <w:tcW w:w="2266" w:type="dxa"/>
            <w:tcBorders>
              <w:top w:val="single" w:sz="8" w:space="0" w:color="auto"/>
              <w:left w:val="nil"/>
              <w:bottom w:val="single" w:sz="8" w:space="0" w:color="auto"/>
              <w:right w:val="single" w:sz="8" w:space="0" w:color="auto"/>
            </w:tcBorders>
            <w:shd w:val="clear" w:color="000000" w:fill="404040"/>
            <w:hideMark/>
          </w:tcPr>
          <w:p w14:paraId="4EDB93AA" w14:textId="77777777" w:rsidR="00623569" w:rsidRPr="00A5712D" w:rsidRDefault="00623569" w:rsidP="001517F2">
            <w:pPr>
              <w:spacing w:after="0" w:line="240" w:lineRule="auto"/>
              <w:jc w:val="right"/>
              <w:rPr>
                <w:rFonts w:cs="Arial"/>
                <w:b/>
                <w:bCs/>
                <w:color w:val="FFFFFF"/>
                <w:szCs w:val="20"/>
              </w:rPr>
            </w:pPr>
            <w:r w:rsidRPr="00A5712D">
              <w:rPr>
                <w:rFonts w:cs="Arial"/>
                <w:b/>
                <w:bCs/>
                <w:color w:val="FFFFFF"/>
                <w:szCs w:val="20"/>
              </w:rPr>
              <w:t xml:space="preserve">Total costs: </w:t>
            </w:r>
            <w:r>
              <w:rPr>
                <w:rFonts w:cs="Arial"/>
                <w:b/>
                <w:bCs/>
                <w:color w:val="FFFFFF"/>
                <w:szCs w:val="20"/>
              </w:rPr>
              <w:br/>
            </w:r>
            <w:r w:rsidRPr="00A5712D">
              <w:rPr>
                <w:rFonts w:cs="Arial"/>
                <w:b/>
                <w:bCs/>
                <w:color w:val="FFFFFF"/>
                <w:szCs w:val="20"/>
              </w:rPr>
              <w:t>Year 2 onwards</w:t>
            </w:r>
          </w:p>
        </w:tc>
      </w:tr>
      <w:tr w:rsidR="00623569" w:rsidRPr="00A5712D" w14:paraId="63ABCAA9" w14:textId="77777777" w:rsidTr="001517F2">
        <w:trPr>
          <w:cantSplit/>
          <w:trHeight w:val="285"/>
        </w:trPr>
        <w:tc>
          <w:tcPr>
            <w:tcW w:w="2265" w:type="dxa"/>
            <w:tcBorders>
              <w:top w:val="nil"/>
              <w:left w:val="single" w:sz="8" w:space="0" w:color="auto"/>
              <w:bottom w:val="single" w:sz="8" w:space="0" w:color="auto"/>
              <w:right w:val="single" w:sz="8" w:space="0" w:color="auto"/>
            </w:tcBorders>
            <w:shd w:val="clear" w:color="auto" w:fill="auto"/>
            <w:vAlign w:val="center"/>
            <w:hideMark/>
          </w:tcPr>
          <w:p w14:paraId="5C0748FA" w14:textId="77777777" w:rsidR="00623569" w:rsidRPr="00A5712D" w:rsidRDefault="00623569" w:rsidP="001517F2">
            <w:pPr>
              <w:spacing w:after="0" w:line="240" w:lineRule="auto"/>
              <w:rPr>
                <w:rFonts w:cs="Arial"/>
                <w:color w:val="000000"/>
                <w:szCs w:val="20"/>
              </w:rPr>
            </w:pPr>
            <w:r w:rsidRPr="00A5712D">
              <w:rPr>
                <w:rFonts w:cs="Arial"/>
                <w:color w:val="000000"/>
                <w:szCs w:val="20"/>
              </w:rPr>
              <w:t>Large</w:t>
            </w:r>
          </w:p>
        </w:tc>
        <w:tc>
          <w:tcPr>
            <w:tcW w:w="2266" w:type="dxa"/>
            <w:tcBorders>
              <w:top w:val="nil"/>
              <w:left w:val="nil"/>
              <w:bottom w:val="single" w:sz="8" w:space="0" w:color="auto"/>
              <w:right w:val="single" w:sz="8" w:space="0" w:color="auto"/>
            </w:tcBorders>
            <w:shd w:val="clear" w:color="auto" w:fill="auto"/>
            <w:hideMark/>
          </w:tcPr>
          <w:p w14:paraId="1E877D02" w14:textId="77777777" w:rsidR="00623569" w:rsidRPr="00A5712D" w:rsidRDefault="00623569" w:rsidP="001517F2">
            <w:pPr>
              <w:spacing w:after="0" w:line="240" w:lineRule="auto"/>
              <w:jc w:val="right"/>
              <w:rPr>
                <w:rFonts w:cs="Arial"/>
                <w:color w:val="000000"/>
                <w:szCs w:val="20"/>
              </w:rPr>
            </w:pPr>
            <w:r w:rsidRPr="00A5712D">
              <w:rPr>
                <w:rFonts w:cs="Arial"/>
                <w:color w:val="000000"/>
                <w:szCs w:val="20"/>
              </w:rPr>
              <w:t>2</w:t>
            </w:r>
          </w:p>
        </w:tc>
        <w:tc>
          <w:tcPr>
            <w:tcW w:w="2265" w:type="dxa"/>
            <w:tcBorders>
              <w:top w:val="nil"/>
              <w:left w:val="nil"/>
              <w:bottom w:val="single" w:sz="8" w:space="0" w:color="auto"/>
              <w:right w:val="single" w:sz="8" w:space="0" w:color="auto"/>
            </w:tcBorders>
            <w:shd w:val="clear" w:color="auto" w:fill="auto"/>
            <w:hideMark/>
          </w:tcPr>
          <w:p w14:paraId="4ED37591" w14:textId="77777777" w:rsidR="00623569" w:rsidRPr="00A5712D" w:rsidRDefault="00623569" w:rsidP="001517F2">
            <w:pPr>
              <w:spacing w:after="0" w:line="240" w:lineRule="auto"/>
              <w:jc w:val="right"/>
              <w:rPr>
                <w:rFonts w:cs="Arial"/>
                <w:color w:val="000000"/>
                <w:szCs w:val="20"/>
              </w:rPr>
            </w:pPr>
            <w:r w:rsidRPr="00A5712D">
              <w:rPr>
                <w:rFonts w:eastAsia="Calibri" w:cs="Arial"/>
                <w:color w:val="000000"/>
                <w:szCs w:val="20"/>
                <w:lang w:eastAsia="en-US"/>
              </w:rPr>
              <w:t>$246,720</w:t>
            </w:r>
          </w:p>
        </w:tc>
        <w:tc>
          <w:tcPr>
            <w:tcW w:w="2266" w:type="dxa"/>
            <w:tcBorders>
              <w:top w:val="nil"/>
              <w:left w:val="nil"/>
              <w:bottom w:val="single" w:sz="8" w:space="0" w:color="auto"/>
              <w:right w:val="single" w:sz="8" w:space="0" w:color="auto"/>
            </w:tcBorders>
            <w:shd w:val="clear" w:color="auto" w:fill="auto"/>
            <w:hideMark/>
          </w:tcPr>
          <w:p w14:paraId="21520C3A" w14:textId="77777777" w:rsidR="00623569" w:rsidRPr="00A5712D" w:rsidRDefault="00623569" w:rsidP="001517F2">
            <w:pPr>
              <w:spacing w:after="0" w:line="240" w:lineRule="auto"/>
              <w:jc w:val="right"/>
              <w:rPr>
                <w:rFonts w:cs="Arial"/>
                <w:color w:val="000000"/>
                <w:szCs w:val="20"/>
              </w:rPr>
            </w:pPr>
            <w:r w:rsidRPr="00A5712D">
              <w:rPr>
                <w:rFonts w:eastAsia="Calibri" w:cs="Arial"/>
                <w:color w:val="000000"/>
                <w:szCs w:val="20"/>
                <w:lang w:eastAsia="en-US"/>
              </w:rPr>
              <w:t>$89,200</w:t>
            </w:r>
          </w:p>
        </w:tc>
      </w:tr>
      <w:tr w:rsidR="00623569" w:rsidRPr="00A5712D" w14:paraId="5DDC2EED" w14:textId="77777777" w:rsidTr="001517F2">
        <w:trPr>
          <w:cantSplit/>
          <w:trHeight w:val="285"/>
        </w:trPr>
        <w:tc>
          <w:tcPr>
            <w:tcW w:w="2265" w:type="dxa"/>
            <w:tcBorders>
              <w:top w:val="nil"/>
              <w:left w:val="single" w:sz="8" w:space="0" w:color="auto"/>
              <w:bottom w:val="single" w:sz="8" w:space="0" w:color="auto"/>
              <w:right w:val="single" w:sz="8" w:space="0" w:color="auto"/>
            </w:tcBorders>
            <w:shd w:val="clear" w:color="auto" w:fill="auto"/>
            <w:vAlign w:val="center"/>
            <w:hideMark/>
          </w:tcPr>
          <w:p w14:paraId="508A9B12" w14:textId="77777777" w:rsidR="00623569" w:rsidRPr="00A5712D" w:rsidRDefault="00623569" w:rsidP="001517F2">
            <w:pPr>
              <w:spacing w:after="0" w:line="240" w:lineRule="auto"/>
              <w:rPr>
                <w:rFonts w:cs="Arial"/>
                <w:color w:val="000000"/>
                <w:szCs w:val="20"/>
              </w:rPr>
            </w:pPr>
            <w:r w:rsidRPr="00A5712D">
              <w:rPr>
                <w:rFonts w:cs="Arial"/>
                <w:color w:val="000000"/>
                <w:szCs w:val="20"/>
              </w:rPr>
              <w:t>Medium</w:t>
            </w:r>
          </w:p>
        </w:tc>
        <w:tc>
          <w:tcPr>
            <w:tcW w:w="2266" w:type="dxa"/>
            <w:tcBorders>
              <w:top w:val="nil"/>
              <w:left w:val="nil"/>
              <w:bottom w:val="single" w:sz="8" w:space="0" w:color="auto"/>
              <w:right w:val="single" w:sz="8" w:space="0" w:color="auto"/>
            </w:tcBorders>
            <w:shd w:val="clear" w:color="auto" w:fill="auto"/>
            <w:hideMark/>
          </w:tcPr>
          <w:p w14:paraId="706BEE08" w14:textId="77777777" w:rsidR="00623569" w:rsidRPr="00A5712D" w:rsidRDefault="00623569" w:rsidP="001517F2">
            <w:pPr>
              <w:spacing w:after="0" w:line="240" w:lineRule="auto"/>
              <w:jc w:val="right"/>
              <w:rPr>
                <w:rFonts w:cs="Arial"/>
                <w:color w:val="000000"/>
                <w:szCs w:val="20"/>
              </w:rPr>
            </w:pPr>
            <w:r w:rsidRPr="00A5712D">
              <w:rPr>
                <w:rFonts w:cs="Arial"/>
                <w:color w:val="000000"/>
                <w:szCs w:val="20"/>
              </w:rPr>
              <w:t>4</w:t>
            </w:r>
          </w:p>
        </w:tc>
        <w:tc>
          <w:tcPr>
            <w:tcW w:w="2265" w:type="dxa"/>
            <w:tcBorders>
              <w:top w:val="nil"/>
              <w:left w:val="nil"/>
              <w:bottom w:val="single" w:sz="8" w:space="0" w:color="auto"/>
              <w:right w:val="single" w:sz="8" w:space="0" w:color="auto"/>
            </w:tcBorders>
            <w:shd w:val="clear" w:color="auto" w:fill="auto"/>
            <w:hideMark/>
          </w:tcPr>
          <w:p w14:paraId="7797A9B4" w14:textId="77777777" w:rsidR="00623569" w:rsidRPr="00A5712D" w:rsidRDefault="00623569" w:rsidP="001517F2">
            <w:pPr>
              <w:spacing w:after="0" w:line="240" w:lineRule="auto"/>
              <w:jc w:val="right"/>
              <w:rPr>
                <w:rFonts w:cs="Arial"/>
                <w:color w:val="000000"/>
                <w:szCs w:val="20"/>
              </w:rPr>
            </w:pPr>
            <w:r w:rsidRPr="00A5712D">
              <w:rPr>
                <w:rFonts w:eastAsia="Calibri" w:cs="Arial"/>
                <w:color w:val="000000"/>
                <w:szCs w:val="20"/>
                <w:lang w:eastAsia="en-US"/>
              </w:rPr>
              <w:t>$195,920</w:t>
            </w:r>
          </w:p>
        </w:tc>
        <w:tc>
          <w:tcPr>
            <w:tcW w:w="2266" w:type="dxa"/>
            <w:tcBorders>
              <w:top w:val="nil"/>
              <w:left w:val="nil"/>
              <w:bottom w:val="single" w:sz="8" w:space="0" w:color="auto"/>
              <w:right w:val="single" w:sz="8" w:space="0" w:color="auto"/>
            </w:tcBorders>
            <w:shd w:val="clear" w:color="auto" w:fill="auto"/>
            <w:hideMark/>
          </w:tcPr>
          <w:p w14:paraId="105667E3" w14:textId="77777777" w:rsidR="00623569" w:rsidRPr="00A5712D" w:rsidRDefault="00623569" w:rsidP="001517F2">
            <w:pPr>
              <w:spacing w:after="0" w:line="240" w:lineRule="auto"/>
              <w:jc w:val="right"/>
              <w:rPr>
                <w:rFonts w:cs="Arial"/>
                <w:color w:val="000000"/>
                <w:szCs w:val="20"/>
              </w:rPr>
            </w:pPr>
            <w:r w:rsidRPr="00A5712D">
              <w:rPr>
                <w:rFonts w:eastAsia="Calibri" w:cs="Arial"/>
                <w:color w:val="000000"/>
                <w:szCs w:val="20"/>
                <w:lang w:eastAsia="en-US"/>
              </w:rPr>
              <w:t>$61,200</w:t>
            </w:r>
          </w:p>
        </w:tc>
      </w:tr>
      <w:tr w:rsidR="00623569" w:rsidRPr="00A5712D" w14:paraId="1C891B27" w14:textId="77777777" w:rsidTr="001517F2">
        <w:trPr>
          <w:cantSplit/>
          <w:trHeight w:val="285"/>
        </w:trPr>
        <w:tc>
          <w:tcPr>
            <w:tcW w:w="2265" w:type="dxa"/>
            <w:tcBorders>
              <w:top w:val="nil"/>
              <w:left w:val="single" w:sz="8" w:space="0" w:color="auto"/>
              <w:bottom w:val="single" w:sz="8" w:space="0" w:color="auto"/>
              <w:right w:val="single" w:sz="8" w:space="0" w:color="auto"/>
            </w:tcBorders>
            <w:shd w:val="clear" w:color="auto" w:fill="auto"/>
            <w:vAlign w:val="center"/>
            <w:hideMark/>
          </w:tcPr>
          <w:p w14:paraId="63013487" w14:textId="77777777" w:rsidR="00623569" w:rsidRPr="00A5712D" w:rsidRDefault="00623569" w:rsidP="001517F2">
            <w:pPr>
              <w:spacing w:after="0" w:line="240" w:lineRule="auto"/>
              <w:rPr>
                <w:rFonts w:cs="Arial"/>
                <w:color w:val="000000"/>
                <w:szCs w:val="20"/>
              </w:rPr>
            </w:pPr>
            <w:r w:rsidRPr="00A5712D">
              <w:rPr>
                <w:rFonts w:cs="Arial"/>
                <w:color w:val="000000"/>
                <w:szCs w:val="20"/>
              </w:rPr>
              <w:t>Small</w:t>
            </w:r>
          </w:p>
        </w:tc>
        <w:tc>
          <w:tcPr>
            <w:tcW w:w="2266" w:type="dxa"/>
            <w:tcBorders>
              <w:top w:val="nil"/>
              <w:left w:val="nil"/>
              <w:bottom w:val="single" w:sz="8" w:space="0" w:color="auto"/>
              <w:right w:val="single" w:sz="8" w:space="0" w:color="auto"/>
            </w:tcBorders>
            <w:shd w:val="clear" w:color="auto" w:fill="auto"/>
            <w:hideMark/>
          </w:tcPr>
          <w:p w14:paraId="4049179A" w14:textId="77777777" w:rsidR="00623569" w:rsidRPr="00A5712D" w:rsidRDefault="00623569" w:rsidP="001517F2">
            <w:pPr>
              <w:spacing w:after="0" w:line="240" w:lineRule="auto"/>
              <w:jc w:val="right"/>
              <w:rPr>
                <w:rFonts w:cs="Arial"/>
                <w:color w:val="000000"/>
                <w:szCs w:val="20"/>
              </w:rPr>
            </w:pPr>
            <w:r w:rsidRPr="00A5712D">
              <w:rPr>
                <w:rFonts w:cs="Arial"/>
                <w:color w:val="000000"/>
                <w:szCs w:val="20"/>
              </w:rPr>
              <w:t>27</w:t>
            </w:r>
          </w:p>
        </w:tc>
        <w:tc>
          <w:tcPr>
            <w:tcW w:w="2265" w:type="dxa"/>
            <w:tcBorders>
              <w:top w:val="nil"/>
              <w:left w:val="nil"/>
              <w:bottom w:val="single" w:sz="8" w:space="0" w:color="auto"/>
              <w:right w:val="single" w:sz="8" w:space="0" w:color="auto"/>
            </w:tcBorders>
            <w:shd w:val="clear" w:color="auto" w:fill="auto"/>
            <w:hideMark/>
          </w:tcPr>
          <w:p w14:paraId="4F1B52C0" w14:textId="77777777" w:rsidR="00623569" w:rsidRPr="00A5712D" w:rsidRDefault="00623569" w:rsidP="001517F2">
            <w:pPr>
              <w:spacing w:after="0" w:line="240" w:lineRule="auto"/>
              <w:jc w:val="right"/>
              <w:rPr>
                <w:rFonts w:cs="Arial"/>
                <w:color w:val="000000"/>
                <w:szCs w:val="20"/>
              </w:rPr>
            </w:pPr>
            <w:r w:rsidRPr="00A5712D">
              <w:rPr>
                <w:rFonts w:eastAsia="Calibri" w:cs="Arial"/>
                <w:color w:val="000000"/>
                <w:szCs w:val="20"/>
                <w:lang w:eastAsia="en-US"/>
              </w:rPr>
              <w:t>$541,620</w:t>
            </w:r>
          </w:p>
        </w:tc>
        <w:tc>
          <w:tcPr>
            <w:tcW w:w="2266" w:type="dxa"/>
            <w:tcBorders>
              <w:top w:val="nil"/>
              <w:left w:val="nil"/>
              <w:bottom w:val="single" w:sz="8" w:space="0" w:color="auto"/>
              <w:right w:val="single" w:sz="8" w:space="0" w:color="auto"/>
            </w:tcBorders>
            <w:shd w:val="clear" w:color="auto" w:fill="auto"/>
            <w:hideMark/>
          </w:tcPr>
          <w:p w14:paraId="6642677D" w14:textId="77777777" w:rsidR="00623569" w:rsidRPr="00A5712D" w:rsidRDefault="00623569" w:rsidP="001517F2">
            <w:pPr>
              <w:spacing w:after="0" w:line="240" w:lineRule="auto"/>
              <w:jc w:val="right"/>
              <w:rPr>
                <w:rFonts w:cs="Arial"/>
                <w:color w:val="000000"/>
                <w:szCs w:val="20"/>
              </w:rPr>
            </w:pPr>
            <w:r w:rsidRPr="00A5712D">
              <w:rPr>
                <w:rFonts w:eastAsia="Calibri" w:cs="Arial"/>
                <w:color w:val="000000"/>
                <w:szCs w:val="20"/>
                <w:lang w:eastAsia="en-US"/>
              </w:rPr>
              <w:t>$139,050</w:t>
            </w:r>
          </w:p>
        </w:tc>
      </w:tr>
      <w:tr w:rsidR="00623569" w:rsidRPr="00A5712D" w14:paraId="574AE389" w14:textId="77777777" w:rsidTr="001517F2">
        <w:trPr>
          <w:cantSplit/>
          <w:trHeight w:val="285"/>
        </w:trPr>
        <w:tc>
          <w:tcPr>
            <w:tcW w:w="2265" w:type="dxa"/>
            <w:tcBorders>
              <w:top w:val="nil"/>
              <w:left w:val="single" w:sz="8" w:space="0" w:color="auto"/>
              <w:bottom w:val="single" w:sz="8" w:space="0" w:color="auto"/>
              <w:right w:val="single" w:sz="8" w:space="0" w:color="auto"/>
            </w:tcBorders>
            <w:shd w:val="clear" w:color="auto" w:fill="auto"/>
            <w:vAlign w:val="center"/>
            <w:hideMark/>
          </w:tcPr>
          <w:p w14:paraId="52E35A7E" w14:textId="77777777" w:rsidR="00623569" w:rsidRPr="00A5712D" w:rsidRDefault="00623569" w:rsidP="001517F2">
            <w:pPr>
              <w:spacing w:after="0" w:line="240" w:lineRule="auto"/>
              <w:rPr>
                <w:rFonts w:cs="Arial"/>
                <w:color w:val="000000"/>
                <w:szCs w:val="20"/>
              </w:rPr>
            </w:pPr>
            <w:r w:rsidRPr="00A5712D">
              <w:rPr>
                <w:rFonts w:cs="Arial"/>
                <w:color w:val="000000"/>
                <w:szCs w:val="20"/>
              </w:rPr>
              <w:t>Very small</w:t>
            </w:r>
          </w:p>
        </w:tc>
        <w:tc>
          <w:tcPr>
            <w:tcW w:w="2266" w:type="dxa"/>
            <w:tcBorders>
              <w:top w:val="nil"/>
              <w:left w:val="nil"/>
              <w:bottom w:val="single" w:sz="8" w:space="0" w:color="auto"/>
              <w:right w:val="single" w:sz="8" w:space="0" w:color="auto"/>
            </w:tcBorders>
            <w:shd w:val="clear" w:color="auto" w:fill="auto"/>
            <w:hideMark/>
          </w:tcPr>
          <w:p w14:paraId="77137DDE" w14:textId="77777777" w:rsidR="00623569" w:rsidRPr="00A5712D" w:rsidRDefault="00623569" w:rsidP="001517F2">
            <w:pPr>
              <w:spacing w:after="0" w:line="240" w:lineRule="auto"/>
              <w:jc w:val="right"/>
              <w:rPr>
                <w:rFonts w:cs="Arial"/>
                <w:color w:val="000000"/>
                <w:szCs w:val="20"/>
              </w:rPr>
            </w:pPr>
            <w:r w:rsidRPr="00A5712D">
              <w:rPr>
                <w:rFonts w:cs="Arial"/>
                <w:color w:val="000000"/>
                <w:szCs w:val="20"/>
              </w:rPr>
              <w:t>317</w:t>
            </w:r>
          </w:p>
        </w:tc>
        <w:tc>
          <w:tcPr>
            <w:tcW w:w="2265" w:type="dxa"/>
            <w:tcBorders>
              <w:top w:val="nil"/>
              <w:left w:val="nil"/>
              <w:bottom w:val="single" w:sz="8" w:space="0" w:color="auto"/>
              <w:right w:val="single" w:sz="8" w:space="0" w:color="auto"/>
            </w:tcBorders>
            <w:shd w:val="clear" w:color="auto" w:fill="auto"/>
            <w:hideMark/>
          </w:tcPr>
          <w:p w14:paraId="41D0B5A5" w14:textId="77777777" w:rsidR="00623569" w:rsidRPr="00A5712D" w:rsidRDefault="00623569" w:rsidP="001517F2">
            <w:pPr>
              <w:spacing w:after="0" w:line="240" w:lineRule="auto"/>
              <w:jc w:val="right"/>
              <w:rPr>
                <w:rFonts w:cs="Arial"/>
                <w:color w:val="000000"/>
                <w:szCs w:val="20"/>
              </w:rPr>
            </w:pPr>
            <w:r w:rsidRPr="00A5712D">
              <w:rPr>
                <w:rFonts w:eastAsia="Calibri" w:cs="Arial"/>
                <w:color w:val="000000"/>
                <w:szCs w:val="20"/>
                <w:lang w:eastAsia="en-US"/>
              </w:rPr>
              <w:t>$4,799,380</w:t>
            </w:r>
          </w:p>
        </w:tc>
        <w:tc>
          <w:tcPr>
            <w:tcW w:w="2266" w:type="dxa"/>
            <w:tcBorders>
              <w:top w:val="nil"/>
              <w:left w:val="nil"/>
              <w:bottom w:val="single" w:sz="8" w:space="0" w:color="auto"/>
              <w:right w:val="single" w:sz="8" w:space="0" w:color="auto"/>
            </w:tcBorders>
            <w:shd w:val="clear" w:color="auto" w:fill="auto"/>
            <w:hideMark/>
          </w:tcPr>
          <w:p w14:paraId="7ED5487D" w14:textId="77777777" w:rsidR="00623569" w:rsidRPr="00A5712D" w:rsidRDefault="00623569" w:rsidP="001517F2">
            <w:pPr>
              <w:spacing w:after="0" w:line="240" w:lineRule="auto"/>
              <w:jc w:val="right"/>
              <w:rPr>
                <w:rFonts w:cs="Arial"/>
                <w:color w:val="000000"/>
                <w:szCs w:val="20"/>
              </w:rPr>
            </w:pPr>
            <w:r w:rsidRPr="00A5712D">
              <w:rPr>
                <w:rFonts w:eastAsia="Calibri" w:cs="Arial"/>
                <w:color w:val="000000"/>
                <w:szCs w:val="20"/>
                <w:lang w:eastAsia="en-US"/>
              </w:rPr>
              <w:t>$1,090,480</w:t>
            </w:r>
          </w:p>
        </w:tc>
      </w:tr>
      <w:tr w:rsidR="00623569" w:rsidRPr="00A5712D" w14:paraId="5FF638F7" w14:textId="77777777" w:rsidTr="001517F2">
        <w:trPr>
          <w:cantSplit/>
          <w:trHeight w:val="285"/>
        </w:trPr>
        <w:tc>
          <w:tcPr>
            <w:tcW w:w="2265" w:type="dxa"/>
            <w:tcBorders>
              <w:top w:val="nil"/>
              <w:left w:val="single" w:sz="8" w:space="0" w:color="auto"/>
              <w:bottom w:val="single" w:sz="8" w:space="0" w:color="auto"/>
              <w:right w:val="single" w:sz="8" w:space="0" w:color="auto"/>
            </w:tcBorders>
            <w:shd w:val="clear" w:color="000000" w:fill="F2F2F2"/>
            <w:vAlign w:val="center"/>
            <w:hideMark/>
          </w:tcPr>
          <w:p w14:paraId="6F07EFFC" w14:textId="77777777" w:rsidR="00623569" w:rsidRPr="00A5712D" w:rsidRDefault="00623569" w:rsidP="001517F2">
            <w:pPr>
              <w:spacing w:after="0" w:line="240" w:lineRule="auto"/>
              <w:rPr>
                <w:rFonts w:cs="Arial"/>
                <w:b/>
                <w:bCs/>
                <w:color w:val="000000"/>
                <w:szCs w:val="20"/>
              </w:rPr>
            </w:pPr>
            <w:r w:rsidRPr="00A5712D">
              <w:rPr>
                <w:rFonts w:cs="Arial"/>
                <w:b/>
                <w:bCs/>
                <w:color w:val="000000"/>
                <w:szCs w:val="20"/>
              </w:rPr>
              <w:t>Total</w:t>
            </w:r>
          </w:p>
        </w:tc>
        <w:tc>
          <w:tcPr>
            <w:tcW w:w="2266" w:type="dxa"/>
            <w:tcBorders>
              <w:top w:val="nil"/>
              <w:left w:val="nil"/>
              <w:bottom w:val="single" w:sz="8" w:space="0" w:color="auto"/>
              <w:right w:val="single" w:sz="8" w:space="0" w:color="auto"/>
            </w:tcBorders>
            <w:shd w:val="clear" w:color="000000" w:fill="F2F2F2"/>
            <w:hideMark/>
          </w:tcPr>
          <w:p w14:paraId="1E8E81FF" w14:textId="77777777" w:rsidR="00623569" w:rsidRPr="00A5712D" w:rsidRDefault="00623569" w:rsidP="001517F2">
            <w:pPr>
              <w:spacing w:after="0" w:line="240" w:lineRule="auto"/>
              <w:jc w:val="right"/>
              <w:rPr>
                <w:rFonts w:cs="Arial"/>
                <w:b/>
                <w:bCs/>
                <w:color w:val="000000"/>
                <w:szCs w:val="20"/>
              </w:rPr>
            </w:pPr>
            <w:r w:rsidRPr="00A5712D">
              <w:rPr>
                <w:rFonts w:cs="Arial"/>
                <w:b/>
                <w:bCs/>
                <w:color w:val="000000"/>
                <w:szCs w:val="20"/>
              </w:rPr>
              <w:t>350</w:t>
            </w:r>
          </w:p>
        </w:tc>
        <w:tc>
          <w:tcPr>
            <w:tcW w:w="2265" w:type="dxa"/>
            <w:tcBorders>
              <w:top w:val="nil"/>
              <w:left w:val="nil"/>
              <w:bottom w:val="single" w:sz="8" w:space="0" w:color="auto"/>
              <w:right w:val="single" w:sz="8" w:space="0" w:color="auto"/>
            </w:tcBorders>
            <w:shd w:val="clear" w:color="000000" w:fill="F2F2F2"/>
            <w:hideMark/>
          </w:tcPr>
          <w:p w14:paraId="5C1DD965" w14:textId="77777777" w:rsidR="00623569" w:rsidRPr="00A5712D" w:rsidRDefault="00623569" w:rsidP="001517F2">
            <w:pPr>
              <w:spacing w:after="0" w:line="240" w:lineRule="auto"/>
              <w:jc w:val="right"/>
              <w:rPr>
                <w:rFonts w:cs="Arial"/>
                <w:b/>
                <w:bCs/>
                <w:color w:val="000000"/>
                <w:szCs w:val="20"/>
              </w:rPr>
            </w:pPr>
            <w:r w:rsidRPr="00A5712D">
              <w:rPr>
                <w:rFonts w:cs="Arial"/>
                <w:b/>
                <w:bCs/>
                <w:color w:val="000000"/>
                <w:szCs w:val="20"/>
              </w:rPr>
              <w:t>$5,783,640</w:t>
            </w:r>
          </w:p>
        </w:tc>
        <w:tc>
          <w:tcPr>
            <w:tcW w:w="2266" w:type="dxa"/>
            <w:tcBorders>
              <w:top w:val="nil"/>
              <w:left w:val="nil"/>
              <w:bottom w:val="single" w:sz="8" w:space="0" w:color="auto"/>
              <w:right w:val="single" w:sz="8" w:space="0" w:color="auto"/>
            </w:tcBorders>
            <w:shd w:val="clear" w:color="000000" w:fill="F2F2F2"/>
            <w:hideMark/>
          </w:tcPr>
          <w:p w14:paraId="0029D5A8" w14:textId="77777777" w:rsidR="00623569" w:rsidRPr="00A5712D" w:rsidRDefault="00623569" w:rsidP="001517F2">
            <w:pPr>
              <w:spacing w:after="0" w:line="240" w:lineRule="auto"/>
              <w:jc w:val="right"/>
              <w:rPr>
                <w:rFonts w:cs="Arial"/>
                <w:b/>
                <w:bCs/>
                <w:color w:val="000000"/>
                <w:szCs w:val="20"/>
              </w:rPr>
            </w:pPr>
            <w:r w:rsidRPr="00A5712D">
              <w:rPr>
                <w:rFonts w:cs="Arial"/>
                <w:b/>
                <w:bCs/>
                <w:color w:val="000000"/>
                <w:szCs w:val="20"/>
              </w:rPr>
              <w:t>$1,379,930</w:t>
            </w:r>
          </w:p>
        </w:tc>
      </w:tr>
    </w:tbl>
    <w:p w14:paraId="03F438A6" w14:textId="77777777" w:rsidR="00623569" w:rsidRDefault="00623569" w:rsidP="00623569">
      <w:pPr>
        <w:spacing w:after="120"/>
        <w:rPr>
          <w:rFonts w:cs="Arial"/>
          <w:szCs w:val="20"/>
        </w:rPr>
      </w:pPr>
    </w:p>
    <w:p w14:paraId="4B2DDCCB" w14:textId="77777777" w:rsidR="00623569" w:rsidRDefault="00623569" w:rsidP="00623569">
      <w:pPr>
        <w:pStyle w:val="Paragraphbeforelist"/>
      </w:pPr>
      <w:r w:rsidRPr="007903C2">
        <w:t xml:space="preserve">For the purpose of this </w:t>
      </w:r>
      <w:r>
        <w:t xml:space="preserve">impact analysis, </w:t>
      </w:r>
      <w:r w:rsidRPr="007903C2">
        <w:t xml:space="preserve">we </w:t>
      </w:r>
      <w:r>
        <w:t xml:space="preserve">have </w:t>
      </w:r>
      <w:r w:rsidRPr="007903C2">
        <w:t xml:space="preserve">considered how the incidence of </w:t>
      </w:r>
      <w:r>
        <w:t xml:space="preserve">these </w:t>
      </w:r>
      <w:r w:rsidRPr="007903C2">
        <w:t xml:space="preserve">compliance costs might </w:t>
      </w:r>
      <w:r>
        <w:t xml:space="preserve">potentially </w:t>
      </w:r>
      <w:r w:rsidRPr="007903C2">
        <w:t>be distributed</w:t>
      </w:r>
      <w:r>
        <w:t xml:space="preserve"> across CSPs. This is based on the following assumptions:</w:t>
      </w:r>
    </w:p>
    <w:p w14:paraId="397C4332" w14:textId="77777777" w:rsidR="00623569" w:rsidRDefault="00623569" w:rsidP="00623569">
      <w:pPr>
        <w:pStyle w:val="Bulletlevel1"/>
        <w:tabs>
          <w:tab w:val="clear" w:pos="295"/>
        </w:tabs>
        <w:ind w:left="357" w:hanging="357"/>
      </w:pPr>
      <w:r>
        <w:t xml:space="preserve">CSPs are currently complying with existing TCP Code </w:t>
      </w:r>
      <w:proofErr w:type="gramStart"/>
      <w:r>
        <w:t>obligations</w:t>
      </w:r>
      <w:proofErr w:type="gramEnd"/>
    </w:p>
    <w:p w14:paraId="6F2A9AC5" w14:textId="77777777" w:rsidR="00623569" w:rsidRPr="00CF530F" w:rsidRDefault="00623569" w:rsidP="00623569">
      <w:pPr>
        <w:pStyle w:val="Bulletlevel1"/>
        <w:tabs>
          <w:tab w:val="clear" w:pos="295"/>
        </w:tabs>
        <w:ind w:left="357" w:hanging="357"/>
      </w:pPr>
      <w:r w:rsidRPr="00CF530F">
        <w:t>one hour of labour costed at $</w:t>
      </w:r>
      <w:r>
        <w:t>73</w:t>
      </w:r>
      <w:r w:rsidRPr="00CF530F">
        <w:t xml:space="preserve"> per </w:t>
      </w:r>
      <w:proofErr w:type="gramStart"/>
      <w:r w:rsidRPr="00CF530F">
        <w:t>hour</w:t>
      </w:r>
      <w:proofErr w:type="gramEnd"/>
    </w:p>
    <w:p w14:paraId="50806DF4" w14:textId="77777777" w:rsidR="00623569" w:rsidRDefault="00623569" w:rsidP="00AC69D1">
      <w:pPr>
        <w:pStyle w:val="Bulletlevel1last"/>
        <w:numPr>
          <w:ilvl w:val="0"/>
          <w:numId w:val="2"/>
        </w:numPr>
        <w:tabs>
          <w:tab w:val="clear" w:pos="295"/>
        </w:tabs>
        <w:ind w:left="357" w:hanging="357"/>
      </w:pPr>
      <w:r w:rsidRPr="00CF530F">
        <w:t xml:space="preserve">the time required for staff to </w:t>
      </w:r>
      <w:r>
        <w:t>administer the new mandatory requirements in subsequent years is expected to diminish with the decreasing number of services a CSP has in operation.</w:t>
      </w:r>
    </w:p>
    <w:p w14:paraId="6A07032D" w14:textId="77777777" w:rsidR="00623569" w:rsidRDefault="00623569" w:rsidP="00623569">
      <w:pPr>
        <w:rPr>
          <w:rFonts w:eastAsiaTheme="minorHAnsi" w:cs="Arial"/>
          <w:szCs w:val="20"/>
          <w:lang w:eastAsia="en-US"/>
        </w:rPr>
      </w:pPr>
      <w:r>
        <w:rPr>
          <w:rFonts w:eastAsiaTheme="minorHAnsi" w:cs="Arial"/>
          <w:szCs w:val="20"/>
          <w:lang w:eastAsia="en-US"/>
        </w:rPr>
        <w:t xml:space="preserve">It is likely to expect that some of the industry costs identified above will be offset by the benefits gained as consequence of the Standard. </w:t>
      </w:r>
    </w:p>
    <w:p w14:paraId="2A11D7E0" w14:textId="77777777" w:rsidR="00623569" w:rsidRPr="007C63B4" w:rsidRDefault="00623569" w:rsidP="00623569">
      <w:pPr>
        <w:pStyle w:val="Heading2"/>
        <w:spacing w:after="120"/>
      </w:pPr>
      <w:bookmarkStart w:id="63" w:name="_Toc155686002"/>
      <w:r>
        <w:t>Aggregation of costs and s</w:t>
      </w:r>
      <w:r w:rsidRPr="007C63B4">
        <w:t>ensitivity analysis</w:t>
      </w:r>
      <w:bookmarkEnd w:id="63"/>
    </w:p>
    <w:p w14:paraId="09936FE4" w14:textId="77777777" w:rsidR="00623569" w:rsidRPr="002B5B6C" w:rsidRDefault="00623569" w:rsidP="00623569">
      <w:pPr>
        <w:pStyle w:val="Paragraph"/>
      </w:pPr>
      <w:r w:rsidRPr="00967520">
        <w:t>Tab</w:t>
      </w:r>
      <w:r w:rsidRPr="002B5B6C">
        <w:t>le 12 below shows the aggregation of expected costs and benefits for each option relative to the status quo over a 10-year period.</w:t>
      </w:r>
    </w:p>
    <w:p w14:paraId="78382430" w14:textId="77777777" w:rsidR="00623569" w:rsidRPr="002B5B6C" w:rsidRDefault="00623569" w:rsidP="00623569">
      <w:pPr>
        <w:pStyle w:val="Paragraph"/>
      </w:pPr>
      <w:r w:rsidRPr="002B5B6C">
        <w:t>Based on the quantified costs and benefits</w:t>
      </w:r>
      <w:r>
        <w:t>,</w:t>
      </w:r>
      <w:r w:rsidRPr="002B5B6C">
        <w:t xml:space="preserve"> Option 2B is expected to </w:t>
      </w:r>
      <w:r>
        <w:t>yield</w:t>
      </w:r>
      <w:r w:rsidRPr="002B5B6C">
        <w:t xml:space="preserve"> a net benefit while </w:t>
      </w:r>
      <w:r>
        <w:t xml:space="preserve">Option </w:t>
      </w:r>
      <w:r w:rsidRPr="002B5B6C">
        <w:t>2A is not.</w:t>
      </w:r>
    </w:p>
    <w:p w14:paraId="1CD145A4" w14:textId="77777777" w:rsidR="00623569" w:rsidRDefault="00623569" w:rsidP="00623569">
      <w:pPr>
        <w:pStyle w:val="Paragraph"/>
        <w:rPr>
          <w:color w:val="000000"/>
          <w:szCs w:val="20"/>
        </w:rPr>
      </w:pPr>
      <w:bookmarkStart w:id="64" w:name="_Hlk155190940"/>
      <w:r w:rsidRPr="002B5B6C">
        <w:t xml:space="preserve">It is likely that the benefits </w:t>
      </w:r>
      <w:r>
        <w:t>extend beyond</w:t>
      </w:r>
      <w:r w:rsidRPr="002B5B6C">
        <w:t xml:space="preserve"> the values presented here, as there are a range of consumer benefits that are not readily quantifiable.</w:t>
      </w:r>
      <w:r>
        <w:t xml:space="preserve"> </w:t>
      </w:r>
      <w:r w:rsidRPr="00DD16B2">
        <w:rPr>
          <w:szCs w:val="20"/>
        </w:rPr>
        <w:t>The</w:t>
      </w:r>
      <w:r>
        <w:rPr>
          <w:szCs w:val="20"/>
        </w:rPr>
        <w:t>se</w:t>
      </w:r>
      <w:r w:rsidRPr="00DD16B2">
        <w:rPr>
          <w:szCs w:val="20"/>
        </w:rPr>
        <w:t xml:space="preserve"> </w:t>
      </w:r>
      <w:r w:rsidRPr="00DD16B2">
        <w:rPr>
          <w:color w:val="000000"/>
          <w:szCs w:val="20"/>
        </w:rPr>
        <w:t xml:space="preserve">unquantifiable benefits are </w:t>
      </w:r>
      <w:r>
        <w:rPr>
          <w:color w:val="000000"/>
          <w:szCs w:val="20"/>
        </w:rPr>
        <w:t xml:space="preserve">diverse and </w:t>
      </w:r>
      <w:r w:rsidRPr="00DD16B2">
        <w:rPr>
          <w:color w:val="000000"/>
          <w:szCs w:val="20"/>
        </w:rPr>
        <w:t xml:space="preserve">include significant social advantages for Australians, extending beyond estimated values. By providing appropriate financial support and </w:t>
      </w:r>
      <w:r>
        <w:rPr>
          <w:color w:val="000000"/>
          <w:szCs w:val="20"/>
        </w:rPr>
        <w:t>preventing</w:t>
      </w:r>
      <w:r w:rsidRPr="00DD16B2">
        <w:rPr>
          <w:color w:val="000000"/>
          <w:szCs w:val="20"/>
        </w:rPr>
        <w:t xml:space="preserve"> disconnections, the potential benefits encompass </w:t>
      </w:r>
      <w:r>
        <w:rPr>
          <w:color w:val="000000"/>
          <w:szCs w:val="20"/>
        </w:rPr>
        <w:t>averting</w:t>
      </w:r>
      <w:r w:rsidRPr="00DD16B2">
        <w:rPr>
          <w:color w:val="000000"/>
          <w:szCs w:val="20"/>
        </w:rPr>
        <w:t xml:space="preserve"> the loss of essential services and </w:t>
      </w:r>
      <w:r>
        <w:rPr>
          <w:color w:val="000000"/>
          <w:szCs w:val="20"/>
        </w:rPr>
        <w:t xml:space="preserve">mitigating </w:t>
      </w:r>
      <w:r w:rsidRPr="00DD16B2">
        <w:rPr>
          <w:color w:val="000000"/>
          <w:szCs w:val="20"/>
        </w:rPr>
        <w:t>the subsequent impacts of restricted access to telecommunications.</w:t>
      </w:r>
      <w:r>
        <w:rPr>
          <w:color w:val="000000"/>
          <w:szCs w:val="20"/>
        </w:rPr>
        <w:t xml:space="preserve"> This goes beyond just a ‘feel good’ benefit for customers facing financial hardship receiving appropriate assistance, extending to a broader community satisfaction in knowing that those in vulnerable circumstances have enhanced protections.</w:t>
      </w:r>
    </w:p>
    <w:p w14:paraId="23697654" w14:textId="77777777" w:rsidR="00623569" w:rsidRDefault="00623569" w:rsidP="00623569">
      <w:pPr>
        <w:rPr>
          <w:rFonts w:cs="Arial"/>
          <w:szCs w:val="20"/>
        </w:rPr>
      </w:pPr>
      <w:r w:rsidRPr="00E85586">
        <w:rPr>
          <w:rFonts w:cs="Arial"/>
          <w:szCs w:val="20"/>
        </w:rPr>
        <w:t xml:space="preserve">The </w:t>
      </w:r>
      <w:r>
        <w:rPr>
          <w:rFonts w:cs="Arial"/>
          <w:szCs w:val="20"/>
        </w:rPr>
        <w:t>expected</w:t>
      </w:r>
      <w:r w:rsidRPr="00E85586">
        <w:rPr>
          <w:rFonts w:cs="Arial"/>
          <w:szCs w:val="20"/>
        </w:rPr>
        <w:t xml:space="preserve"> </w:t>
      </w:r>
      <w:r>
        <w:rPr>
          <w:rFonts w:cs="Arial"/>
          <w:szCs w:val="20"/>
        </w:rPr>
        <w:t>decrease</w:t>
      </w:r>
      <w:r w:rsidRPr="00E85586">
        <w:rPr>
          <w:rFonts w:cs="Arial"/>
          <w:szCs w:val="20"/>
        </w:rPr>
        <w:t xml:space="preserve"> in disconnections not only </w:t>
      </w:r>
      <w:r>
        <w:rPr>
          <w:rFonts w:cs="Arial"/>
          <w:szCs w:val="20"/>
        </w:rPr>
        <w:t>promotes</w:t>
      </w:r>
      <w:r w:rsidRPr="00E85586">
        <w:rPr>
          <w:rFonts w:cs="Arial"/>
          <w:szCs w:val="20"/>
        </w:rPr>
        <w:t xml:space="preserve"> digital inclusion but also </w:t>
      </w:r>
      <w:r>
        <w:rPr>
          <w:rFonts w:cs="Arial"/>
          <w:szCs w:val="20"/>
        </w:rPr>
        <w:t>serves</w:t>
      </w:r>
      <w:r w:rsidRPr="00E85586">
        <w:rPr>
          <w:rFonts w:cs="Arial"/>
          <w:szCs w:val="20"/>
        </w:rPr>
        <w:t xml:space="preserve"> as a</w:t>
      </w:r>
      <w:r>
        <w:rPr>
          <w:rFonts w:cs="Arial"/>
          <w:szCs w:val="20"/>
        </w:rPr>
        <w:t>n</w:t>
      </w:r>
      <w:r w:rsidRPr="00E85586">
        <w:rPr>
          <w:rFonts w:cs="Arial"/>
          <w:szCs w:val="20"/>
        </w:rPr>
        <w:t xml:space="preserve"> </w:t>
      </w:r>
      <w:r>
        <w:rPr>
          <w:rFonts w:cs="Arial"/>
          <w:szCs w:val="20"/>
        </w:rPr>
        <w:t>important</w:t>
      </w:r>
      <w:r w:rsidRPr="00E85586">
        <w:rPr>
          <w:rFonts w:cs="Arial"/>
          <w:szCs w:val="20"/>
        </w:rPr>
        <w:t xml:space="preserve"> factor </w:t>
      </w:r>
      <w:r>
        <w:rPr>
          <w:rFonts w:cs="Arial"/>
          <w:szCs w:val="20"/>
        </w:rPr>
        <w:t>in countering</w:t>
      </w:r>
      <w:r w:rsidRPr="00E85586">
        <w:rPr>
          <w:rFonts w:cs="Arial"/>
          <w:szCs w:val="20"/>
        </w:rPr>
        <w:t xml:space="preserve"> compromised health, increased loneliness</w:t>
      </w:r>
      <w:r>
        <w:rPr>
          <w:rFonts w:cs="Arial"/>
          <w:szCs w:val="20"/>
        </w:rPr>
        <w:t xml:space="preserve"> and</w:t>
      </w:r>
      <w:r w:rsidRPr="00E85586">
        <w:rPr>
          <w:rFonts w:cs="Arial"/>
          <w:szCs w:val="20"/>
        </w:rPr>
        <w:t xml:space="preserve"> social isolation. Challenges such as </w:t>
      </w:r>
      <w:r>
        <w:rPr>
          <w:rFonts w:cs="Arial"/>
          <w:szCs w:val="20"/>
        </w:rPr>
        <w:t>heightened</w:t>
      </w:r>
      <w:r w:rsidRPr="00E85586">
        <w:rPr>
          <w:rFonts w:cs="Arial"/>
          <w:szCs w:val="20"/>
        </w:rPr>
        <w:t xml:space="preserve"> stress and anxiety, potential credit consequences, and vulnerability for specific groups are </w:t>
      </w:r>
      <w:r>
        <w:rPr>
          <w:rFonts w:cs="Arial"/>
          <w:szCs w:val="20"/>
        </w:rPr>
        <w:t>alleviated</w:t>
      </w:r>
      <w:r w:rsidRPr="00E85586">
        <w:rPr>
          <w:rFonts w:cs="Arial"/>
          <w:szCs w:val="20"/>
        </w:rPr>
        <w:t xml:space="preserve">. </w:t>
      </w:r>
      <w:r>
        <w:rPr>
          <w:rFonts w:cs="Arial"/>
          <w:szCs w:val="20"/>
        </w:rPr>
        <w:t>P</w:t>
      </w:r>
      <w:r w:rsidRPr="00E85586">
        <w:rPr>
          <w:rFonts w:cs="Arial"/>
          <w:szCs w:val="20"/>
        </w:rPr>
        <w:t xml:space="preserve">roviding appropriate financial support yields far-reaching benefits, </w:t>
      </w:r>
      <w:r>
        <w:rPr>
          <w:rFonts w:cs="Arial"/>
          <w:szCs w:val="20"/>
        </w:rPr>
        <w:t>acknowledging</w:t>
      </w:r>
      <w:r w:rsidRPr="00E85586">
        <w:rPr>
          <w:rFonts w:cs="Arial"/>
          <w:szCs w:val="20"/>
        </w:rPr>
        <w:t xml:space="preserve"> the essential </w:t>
      </w:r>
      <w:r w:rsidRPr="00E85586">
        <w:rPr>
          <w:rFonts w:cs="Arial"/>
          <w:szCs w:val="20"/>
        </w:rPr>
        <w:lastRenderedPageBreak/>
        <w:t>role of telecommunications in various activities, including work, education, health, and government support.</w:t>
      </w:r>
    </w:p>
    <w:bookmarkEnd w:id="64"/>
    <w:p w14:paraId="1FED2E83" w14:textId="77777777" w:rsidR="00623569" w:rsidRPr="00332841" w:rsidRDefault="00623569" w:rsidP="00623569">
      <w:pPr>
        <w:rPr>
          <w:rFonts w:cs="Arial"/>
          <w:szCs w:val="20"/>
        </w:rPr>
      </w:pPr>
      <w:r w:rsidRPr="002B5B6C">
        <w:t>Option 2B produces a benefit cost</w:t>
      </w:r>
      <w:r>
        <w:t xml:space="preserve"> ratio of 1.63, which indicates that the reform will provide a return of $1.63 for every $1 invested. </w:t>
      </w:r>
      <w:r w:rsidRPr="00DA3177">
        <w:rPr>
          <w:szCs w:val="20"/>
        </w:rPr>
        <w:t xml:space="preserve">Further detail of cost inputs into the CBA are included in Appendix </w:t>
      </w:r>
      <w:r>
        <w:rPr>
          <w:szCs w:val="20"/>
        </w:rPr>
        <w:t>A</w:t>
      </w:r>
      <w:r w:rsidRPr="00DA3177">
        <w:rPr>
          <w:szCs w:val="20"/>
        </w:rPr>
        <w:t>.</w:t>
      </w:r>
    </w:p>
    <w:p w14:paraId="691E21B1" w14:textId="77777777" w:rsidR="00623569" w:rsidRDefault="00623569" w:rsidP="00623569">
      <w:pPr>
        <w:pStyle w:val="Tableheading"/>
      </w:pPr>
      <w:r>
        <w:t>Collated costs and benefits</w:t>
      </w:r>
    </w:p>
    <w:tbl>
      <w:tblPr>
        <w:tblStyle w:val="ACMAtablestyle"/>
        <w:tblW w:w="8926" w:type="dxa"/>
        <w:tblLook w:val="04A0" w:firstRow="1" w:lastRow="0" w:firstColumn="1" w:lastColumn="0" w:noHBand="0" w:noVBand="1"/>
      </w:tblPr>
      <w:tblGrid>
        <w:gridCol w:w="1413"/>
        <w:gridCol w:w="3297"/>
        <w:gridCol w:w="1585"/>
        <w:gridCol w:w="2631"/>
      </w:tblGrid>
      <w:tr w:rsidR="00623569" w:rsidRPr="001E5600" w14:paraId="7D7D9D7C" w14:textId="77777777" w:rsidTr="001517F2">
        <w:trPr>
          <w:cnfStyle w:val="100000000000" w:firstRow="1" w:lastRow="0" w:firstColumn="0" w:lastColumn="0" w:oddVBand="0" w:evenVBand="0" w:oddHBand="0" w:evenHBand="0" w:firstRowFirstColumn="0" w:firstRowLastColumn="0" w:lastRowFirstColumn="0" w:lastRowLastColumn="0"/>
          <w:trHeight w:val="300"/>
        </w:trPr>
        <w:tc>
          <w:tcPr>
            <w:tcW w:w="1413" w:type="dxa"/>
            <w:shd w:val="clear" w:color="auto" w:fill="404040"/>
          </w:tcPr>
          <w:p w14:paraId="43FF75CB" w14:textId="77777777" w:rsidR="00623569" w:rsidRPr="001E5600" w:rsidRDefault="00623569" w:rsidP="001517F2">
            <w:pPr>
              <w:pStyle w:val="Tableheaderrow"/>
            </w:pPr>
            <w:r>
              <w:t>Stakeholder group</w:t>
            </w:r>
          </w:p>
        </w:tc>
        <w:tc>
          <w:tcPr>
            <w:tcW w:w="3297" w:type="dxa"/>
            <w:shd w:val="clear" w:color="auto" w:fill="404040"/>
            <w:noWrap/>
            <w:hideMark/>
          </w:tcPr>
          <w:p w14:paraId="3A56B534" w14:textId="77777777" w:rsidR="00623569" w:rsidRPr="001E5600" w:rsidRDefault="00623569" w:rsidP="001517F2">
            <w:pPr>
              <w:pStyle w:val="Tableheaderrow"/>
            </w:pPr>
            <w:r>
              <w:t>Quantified cost or benefit</w:t>
            </w:r>
          </w:p>
        </w:tc>
        <w:tc>
          <w:tcPr>
            <w:tcW w:w="1585" w:type="dxa"/>
            <w:shd w:val="clear" w:color="auto" w:fill="404040"/>
            <w:noWrap/>
            <w:hideMark/>
          </w:tcPr>
          <w:p w14:paraId="2B72582B" w14:textId="77777777" w:rsidR="00623569" w:rsidRPr="001E5600" w:rsidRDefault="00623569" w:rsidP="001517F2">
            <w:pPr>
              <w:pStyle w:val="Tableheaderrow"/>
              <w:jc w:val="right"/>
              <w:rPr>
                <w:rFonts w:ascii="Calibri" w:hAnsi="Calibri" w:cs="Calibri"/>
                <w:sz w:val="22"/>
                <w:szCs w:val="22"/>
              </w:rPr>
            </w:pPr>
            <w:r w:rsidRPr="001E5600">
              <w:rPr>
                <w:rFonts w:ascii="Calibri" w:hAnsi="Calibri" w:cs="Calibri"/>
                <w:sz w:val="22"/>
                <w:szCs w:val="22"/>
              </w:rPr>
              <w:t>Option 2A</w:t>
            </w:r>
          </w:p>
        </w:tc>
        <w:tc>
          <w:tcPr>
            <w:tcW w:w="2631" w:type="dxa"/>
            <w:shd w:val="clear" w:color="auto" w:fill="404040"/>
          </w:tcPr>
          <w:p w14:paraId="5CAD4003" w14:textId="77777777" w:rsidR="00623569" w:rsidRPr="001E5600" w:rsidRDefault="00623569" w:rsidP="001517F2">
            <w:pPr>
              <w:pStyle w:val="Tableheaderrow"/>
              <w:jc w:val="right"/>
              <w:rPr>
                <w:rFonts w:ascii="Calibri" w:hAnsi="Calibri" w:cs="Calibri"/>
                <w:sz w:val="22"/>
                <w:szCs w:val="22"/>
              </w:rPr>
            </w:pPr>
            <w:r w:rsidRPr="001E5600">
              <w:rPr>
                <w:rFonts w:ascii="Calibri" w:hAnsi="Calibri" w:cs="Calibri"/>
                <w:sz w:val="22"/>
                <w:szCs w:val="22"/>
              </w:rPr>
              <w:t>Option 2B</w:t>
            </w:r>
          </w:p>
        </w:tc>
      </w:tr>
      <w:tr w:rsidR="00623569" w:rsidRPr="00B839CD" w14:paraId="796E47DD" w14:textId="77777777" w:rsidTr="004C0FD8">
        <w:trPr>
          <w:cnfStyle w:val="000000100000" w:firstRow="0" w:lastRow="0" w:firstColumn="0" w:lastColumn="0" w:oddVBand="0" w:evenVBand="0" w:oddHBand="1" w:evenHBand="0" w:firstRowFirstColumn="0" w:firstRowLastColumn="0" w:lastRowFirstColumn="0" w:lastRowLastColumn="0"/>
          <w:trHeight w:val="300"/>
        </w:trPr>
        <w:tc>
          <w:tcPr>
            <w:tcW w:w="1413" w:type="dxa"/>
            <w:vMerge w:val="restart"/>
            <w:shd w:val="clear" w:color="auto" w:fill="F2F2F2" w:themeFill="background1" w:themeFillShade="F2"/>
          </w:tcPr>
          <w:p w14:paraId="570F9B8D" w14:textId="77777777" w:rsidR="00623569" w:rsidRPr="00B839CD" w:rsidRDefault="00623569" w:rsidP="001517F2">
            <w:pPr>
              <w:pStyle w:val="TableBody"/>
              <w:rPr>
                <w:rFonts w:cs="Arial"/>
                <w:szCs w:val="20"/>
              </w:rPr>
            </w:pPr>
            <w:r w:rsidRPr="00B839CD">
              <w:rPr>
                <w:rFonts w:cs="Arial"/>
                <w:szCs w:val="20"/>
              </w:rPr>
              <w:t>ACMA</w:t>
            </w:r>
          </w:p>
        </w:tc>
        <w:tc>
          <w:tcPr>
            <w:tcW w:w="3297" w:type="dxa"/>
            <w:shd w:val="clear" w:color="auto" w:fill="F2F2F2" w:themeFill="background1" w:themeFillShade="F2"/>
            <w:noWrap/>
            <w:hideMark/>
          </w:tcPr>
          <w:p w14:paraId="0CCF53A8" w14:textId="77777777" w:rsidR="00623569" w:rsidRPr="00B839CD" w:rsidRDefault="00623569" w:rsidP="001517F2">
            <w:pPr>
              <w:pStyle w:val="TableBody"/>
              <w:rPr>
                <w:rFonts w:cs="Arial"/>
                <w:szCs w:val="20"/>
              </w:rPr>
            </w:pPr>
            <w:r w:rsidRPr="00B839CD">
              <w:rPr>
                <w:rFonts w:cs="Arial"/>
                <w:szCs w:val="20"/>
              </w:rPr>
              <w:t xml:space="preserve">Establishment of new </w:t>
            </w:r>
            <w:r>
              <w:rPr>
                <w:rFonts w:cs="Arial"/>
                <w:szCs w:val="20"/>
              </w:rPr>
              <w:t>S</w:t>
            </w:r>
            <w:r w:rsidRPr="00B839CD">
              <w:rPr>
                <w:rFonts w:cs="Arial"/>
                <w:szCs w:val="20"/>
              </w:rPr>
              <w:t>tandard</w:t>
            </w:r>
          </w:p>
        </w:tc>
        <w:tc>
          <w:tcPr>
            <w:tcW w:w="1585" w:type="dxa"/>
            <w:shd w:val="clear" w:color="auto" w:fill="F2F2F2" w:themeFill="background1" w:themeFillShade="F2"/>
            <w:noWrap/>
            <w:hideMark/>
          </w:tcPr>
          <w:p w14:paraId="08C908EF" w14:textId="77777777" w:rsidR="00623569" w:rsidRPr="00B839CD" w:rsidRDefault="00623569" w:rsidP="001517F2">
            <w:pPr>
              <w:pStyle w:val="TableBody"/>
              <w:jc w:val="right"/>
              <w:rPr>
                <w:rFonts w:cs="Arial"/>
                <w:szCs w:val="20"/>
              </w:rPr>
            </w:pPr>
            <w:r w:rsidRPr="00B839CD">
              <w:rPr>
                <w:rFonts w:cs="Arial"/>
                <w:color w:val="000000"/>
                <w:szCs w:val="20"/>
              </w:rPr>
              <w:t>$0</w:t>
            </w:r>
          </w:p>
        </w:tc>
        <w:tc>
          <w:tcPr>
            <w:tcW w:w="2631" w:type="dxa"/>
            <w:shd w:val="clear" w:color="auto" w:fill="F2F2F2" w:themeFill="background1" w:themeFillShade="F2"/>
          </w:tcPr>
          <w:p w14:paraId="23687571" w14:textId="77777777" w:rsidR="00623569" w:rsidRPr="00B839CD" w:rsidRDefault="00623569" w:rsidP="001517F2">
            <w:pPr>
              <w:pStyle w:val="TableBody"/>
              <w:jc w:val="right"/>
              <w:rPr>
                <w:rFonts w:cs="Arial"/>
                <w:szCs w:val="20"/>
              </w:rPr>
            </w:pPr>
            <w:r w:rsidRPr="00B839CD">
              <w:rPr>
                <w:rFonts w:cs="Arial"/>
                <w:szCs w:val="20"/>
              </w:rPr>
              <w:t>$0</w:t>
            </w:r>
          </w:p>
        </w:tc>
      </w:tr>
      <w:tr w:rsidR="00623569" w:rsidRPr="00B839CD" w14:paraId="44350ED0" w14:textId="77777777" w:rsidTr="004C0FD8">
        <w:trPr>
          <w:cnfStyle w:val="000000010000" w:firstRow="0" w:lastRow="0" w:firstColumn="0" w:lastColumn="0" w:oddVBand="0" w:evenVBand="0" w:oddHBand="0" w:evenHBand="1" w:firstRowFirstColumn="0" w:firstRowLastColumn="0" w:lastRowFirstColumn="0" w:lastRowLastColumn="0"/>
          <w:trHeight w:val="300"/>
        </w:trPr>
        <w:tc>
          <w:tcPr>
            <w:tcW w:w="1413" w:type="dxa"/>
            <w:vMerge/>
          </w:tcPr>
          <w:p w14:paraId="16C7E4FF" w14:textId="77777777" w:rsidR="00623569" w:rsidRPr="00B839CD" w:rsidRDefault="00623569" w:rsidP="001517F2">
            <w:pPr>
              <w:pStyle w:val="TableBody"/>
              <w:rPr>
                <w:rFonts w:cs="Arial"/>
                <w:szCs w:val="20"/>
              </w:rPr>
            </w:pPr>
          </w:p>
        </w:tc>
        <w:tc>
          <w:tcPr>
            <w:tcW w:w="3297" w:type="dxa"/>
            <w:shd w:val="clear" w:color="auto" w:fill="auto"/>
            <w:noWrap/>
            <w:hideMark/>
          </w:tcPr>
          <w:p w14:paraId="0DA8B9EB" w14:textId="77777777" w:rsidR="00623569" w:rsidRPr="00B839CD" w:rsidRDefault="00623569" w:rsidP="001517F2">
            <w:pPr>
              <w:pStyle w:val="TableBody"/>
              <w:rPr>
                <w:rFonts w:cs="Arial"/>
                <w:szCs w:val="20"/>
              </w:rPr>
            </w:pPr>
            <w:r w:rsidRPr="00B839CD">
              <w:rPr>
                <w:rFonts w:cs="Arial"/>
                <w:szCs w:val="20"/>
              </w:rPr>
              <w:t xml:space="preserve">Enforcement of new </w:t>
            </w:r>
            <w:r>
              <w:rPr>
                <w:rFonts w:cs="Arial"/>
                <w:szCs w:val="20"/>
              </w:rPr>
              <w:t>S</w:t>
            </w:r>
            <w:r w:rsidRPr="00B839CD">
              <w:rPr>
                <w:rFonts w:cs="Arial"/>
                <w:szCs w:val="20"/>
              </w:rPr>
              <w:t>tandard</w:t>
            </w:r>
          </w:p>
        </w:tc>
        <w:tc>
          <w:tcPr>
            <w:tcW w:w="1585" w:type="dxa"/>
            <w:shd w:val="clear" w:color="auto" w:fill="auto"/>
            <w:noWrap/>
            <w:hideMark/>
          </w:tcPr>
          <w:p w14:paraId="1CF13774" w14:textId="77777777" w:rsidR="00623569" w:rsidRPr="00B839CD" w:rsidRDefault="00623569" w:rsidP="001517F2">
            <w:pPr>
              <w:pStyle w:val="TableBody"/>
              <w:jc w:val="right"/>
              <w:rPr>
                <w:rFonts w:cs="Arial"/>
                <w:szCs w:val="20"/>
              </w:rPr>
            </w:pPr>
            <w:r w:rsidRPr="00B839CD">
              <w:rPr>
                <w:rFonts w:cs="Arial"/>
                <w:color w:val="FF0000"/>
                <w:szCs w:val="20"/>
              </w:rPr>
              <w:t>-$208,725</w:t>
            </w:r>
          </w:p>
        </w:tc>
        <w:tc>
          <w:tcPr>
            <w:tcW w:w="2631" w:type="dxa"/>
            <w:shd w:val="clear" w:color="auto" w:fill="auto"/>
          </w:tcPr>
          <w:p w14:paraId="6CE910C4" w14:textId="77777777" w:rsidR="00623569" w:rsidRPr="00B839CD" w:rsidRDefault="00623569" w:rsidP="001517F2">
            <w:pPr>
              <w:pStyle w:val="TableBody"/>
              <w:jc w:val="right"/>
              <w:rPr>
                <w:rFonts w:cs="Arial"/>
                <w:szCs w:val="20"/>
              </w:rPr>
            </w:pPr>
            <w:r w:rsidRPr="00B839CD">
              <w:rPr>
                <w:rFonts w:cs="Arial"/>
                <w:color w:val="000000"/>
                <w:szCs w:val="20"/>
              </w:rPr>
              <w:t>$2,416,782</w:t>
            </w:r>
          </w:p>
        </w:tc>
      </w:tr>
      <w:tr w:rsidR="00623569" w:rsidRPr="00B839CD" w14:paraId="2C5587FC" w14:textId="77777777" w:rsidTr="004C0FD8">
        <w:trPr>
          <w:cnfStyle w:val="000000100000" w:firstRow="0" w:lastRow="0" w:firstColumn="0" w:lastColumn="0" w:oddVBand="0" w:evenVBand="0" w:oddHBand="1" w:evenHBand="0" w:firstRowFirstColumn="0" w:firstRowLastColumn="0" w:lastRowFirstColumn="0" w:lastRowLastColumn="0"/>
          <w:trHeight w:val="300"/>
        </w:trPr>
        <w:tc>
          <w:tcPr>
            <w:tcW w:w="1413" w:type="dxa"/>
            <w:vMerge/>
            <w:shd w:val="clear" w:color="auto" w:fill="F2F2F2" w:themeFill="background1" w:themeFillShade="F2"/>
          </w:tcPr>
          <w:p w14:paraId="428612B6" w14:textId="77777777" w:rsidR="00623569" w:rsidRPr="00B839CD" w:rsidRDefault="00623569" w:rsidP="001517F2">
            <w:pPr>
              <w:pStyle w:val="TableBody"/>
              <w:rPr>
                <w:rFonts w:cs="Arial"/>
                <w:szCs w:val="20"/>
              </w:rPr>
            </w:pPr>
          </w:p>
        </w:tc>
        <w:tc>
          <w:tcPr>
            <w:tcW w:w="3297" w:type="dxa"/>
            <w:shd w:val="clear" w:color="auto" w:fill="F2F2F2" w:themeFill="background1" w:themeFillShade="F2"/>
            <w:noWrap/>
            <w:hideMark/>
          </w:tcPr>
          <w:p w14:paraId="2C889F18" w14:textId="77777777" w:rsidR="00623569" w:rsidRPr="00B839CD" w:rsidRDefault="00623569" w:rsidP="001517F2">
            <w:pPr>
              <w:pStyle w:val="TableBody"/>
              <w:rPr>
                <w:rFonts w:cs="Arial"/>
                <w:szCs w:val="20"/>
              </w:rPr>
            </w:pPr>
            <w:r w:rsidRPr="00B839CD">
              <w:rPr>
                <w:rFonts w:cs="Arial"/>
                <w:szCs w:val="20"/>
              </w:rPr>
              <w:t xml:space="preserve">Education of new </w:t>
            </w:r>
            <w:r>
              <w:rPr>
                <w:rFonts w:cs="Arial"/>
                <w:szCs w:val="20"/>
              </w:rPr>
              <w:t>S</w:t>
            </w:r>
            <w:r w:rsidRPr="00B839CD">
              <w:rPr>
                <w:rFonts w:cs="Arial"/>
                <w:szCs w:val="20"/>
              </w:rPr>
              <w:t>tandard</w:t>
            </w:r>
          </w:p>
        </w:tc>
        <w:tc>
          <w:tcPr>
            <w:tcW w:w="1585" w:type="dxa"/>
            <w:shd w:val="clear" w:color="auto" w:fill="F2F2F2" w:themeFill="background1" w:themeFillShade="F2"/>
            <w:noWrap/>
            <w:hideMark/>
          </w:tcPr>
          <w:p w14:paraId="104C206E" w14:textId="77777777" w:rsidR="00623569" w:rsidRPr="00B839CD" w:rsidRDefault="00623569" w:rsidP="001517F2">
            <w:pPr>
              <w:pStyle w:val="TableBody"/>
              <w:jc w:val="right"/>
              <w:rPr>
                <w:rFonts w:cs="Arial"/>
                <w:szCs w:val="20"/>
              </w:rPr>
            </w:pPr>
            <w:r w:rsidRPr="00B839CD">
              <w:rPr>
                <w:rFonts w:cs="Arial"/>
                <w:color w:val="FF0000"/>
                <w:szCs w:val="20"/>
              </w:rPr>
              <w:t>-$70,289</w:t>
            </w:r>
          </w:p>
        </w:tc>
        <w:tc>
          <w:tcPr>
            <w:tcW w:w="2631" w:type="dxa"/>
            <w:shd w:val="clear" w:color="auto" w:fill="F2F2F2" w:themeFill="background1" w:themeFillShade="F2"/>
          </w:tcPr>
          <w:p w14:paraId="5384E517" w14:textId="77777777" w:rsidR="00623569" w:rsidRPr="00B839CD" w:rsidRDefault="00623569" w:rsidP="001517F2">
            <w:pPr>
              <w:pStyle w:val="TableBody"/>
              <w:jc w:val="right"/>
              <w:rPr>
                <w:rFonts w:cs="Arial"/>
                <w:szCs w:val="20"/>
              </w:rPr>
            </w:pPr>
            <w:r w:rsidRPr="00B839CD">
              <w:rPr>
                <w:rFonts w:cs="Arial"/>
                <w:color w:val="FF0000"/>
                <w:szCs w:val="20"/>
              </w:rPr>
              <w:t>-$70,289</w:t>
            </w:r>
          </w:p>
        </w:tc>
      </w:tr>
      <w:tr w:rsidR="00623569" w:rsidRPr="00B839CD" w14:paraId="33F336D2" w14:textId="77777777" w:rsidTr="004C0FD8">
        <w:trPr>
          <w:cnfStyle w:val="000000010000" w:firstRow="0" w:lastRow="0" w:firstColumn="0" w:lastColumn="0" w:oddVBand="0" w:evenVBand="0" w:oddHBand="0" w:evenHBand="1" w:firstRowFirstColumn="0" w:firstRowLastColumn="0" w:lastRowFirstColumn="0" w:lastRowLastColumn="0"/>
          <w:trHeight w:val="300"/>
        </w:trPr>
        <w:tc>
          <w:tcPr>
            <w:tcW w:w="1413" w:type="dxa"/>
            <w:vMerge w:val="restart"/>
            <w:shd w:val="clear" w:color="auto" w:fill="auto"/>
          </w:tcPr>
          <w:p w14:paraId="684EA636" w14:textId="77777777" w:rsidR="00623569" w:rsidRPr="00B839CD" w:rsidRDefault="00623569" w:rsidP="001517F2">
            <w:pPr>
              <w:pStyle w:val="TableBody"/>
              <w:rPr>
                <w:rFonts w:cs="Arial"/>
                <w:szCs w:val="20"/>
              </w:rPr>
            </w:pPr>
            <w:r w:rsidRPr="00B839CD">
              <w:rPr>
                <w:rFonts w:cs="Arial"/>
                <w:szCs w:val="20"/>
              </w:rPr>
              <w:t>CSPs</w:t>
            </w:r>
          </w:p>
        </w:tc>
        <w:tc>
          <w:tcPr>
            <w:tcW w:w="3297" w:type="dxa"/>
            <w:shd w:val="clear" w:color="auto" w:fill="auto"/>
            <w:noWrap/>
            <w:hideMark/>
          </w:tcPr>
          <w:p w14:paraId="2C4B5363" w14:textId="77777777" w:rsidR="00623569" w:rsidRPr="00B839CD" w:rsidRDefault="00623569" w:rsidP="001517F2">
            <w:pPr>
              <w:pStyle w:val="TableBody"/>
              <w:rPr>
                <w:rFonts w:cs="Arial"/>
                <w:szCs w:val="20"/>
              </w:rPr>
            </w:pPr>
            <w:r w:rsidRPr="00B839CD">
              <w:rPr>
                <w:rFonts w:cs="Arial"/>
                <w:szCs w:val="20"/>
              </w:rPr>
              <w:t>Implementation of systems + staff training on systems</w:t>
            </w:r>
          </w:p>
        </w:tc>
        <w:tc>
          <w:tcPr>
            <w:tcW w:w="1585" w:type="dxa"/>
            <w:shd w:val="clear" w:color="auto" w:fill="auto"/>
            <w:noWrap/>
            <w:hideMark/>
          </w:tcPr>
          <w:p w14:paraId="60CADAC6" w14:textId="77777777" w:rsidR="00623569" w:rsidRPr="00B839CD" w:rsidRDefault="00623569" w:rsidP="001517F2">
            <w:pPr>
              <w:pStyle w:val="TableBody"/>
              <w:jc w:val="right"/>
              <w:rPr>
                <w:rFonts w:cs="Arial"/>
                <w:szCs w:val="20"/>
              </w:rPr>
            </w:pPr>
            <w:r w:rsidRPr="00B839CD">
              <w:rPr>
                <w:rFonts w:cs="Arial"/>
                <w:color w:val="FF0000"/>
                <w:szCs w:val="20"/>
              </w:rPr>
              <w:t>-$2,891,820</w:t>
            </w:r>
          </w:p>
        </w:tc>
        <w:tc>
          <w:tcPr>
            <w:tcW w:w="2631" w:type="dxa"/>
            <w:shd w:val="clear" w:color="auto" w:fill="auto"/>
          </w:tcPr>
          <w:p w14:paraId="6137C7A7" w14:textId="77777777" w:rsidR="00623569" w:rsidRPr="00B839CD" w:rsidRDefault="00623569" w:rsidP="001517F2">
            <w:pPr>
              <w:pStyle w:val="TableBody"/>
              <w:jc w:val="right"/>
              <w:rPr>
                <w:rFonts w:cs="Arial"/>
                <w:szCs w:val="20"/>
              </w:rPr>
            </w:pPr>
            <w:r w:rsidRPr="00B839CD">
              <w:rPr>
                <w:rFonts w:cs="Arial"/>
                <w:color w:val="FF0000"/>
                <w:szCs w:val="20"/>
              </w:rPr>
              <w:t>-$5,783,640</w:t>
            </w:r>
          </w:p>
        </w:tc>
      </w:tr>
      <w:tr w:rsidR="00623569" w:rsidRPr="00B839CD" w14:paraId="521C2B3A" w14:textId="77777777" w:rsidTr="004C0FD8">
        <w:trPr>
          <w:cnfStyle w:val="000000100000" w:firstRow="0" w:lastRow="0" w:firstColumn="0" w:lastColumn="0" w:oddVBand="0" w:evenVBand="0" w:oddHBand="1" w:evenHBand="0" w:firstRowFirstColumn="0" w:firstRowLastColumn="0" w:lastRowFirstColumn="0" w:lastRowLastColumn="0"/>
          <w:trHeight w:val="300"/>
        </w:trPr>
        <w:tc>
          <w:tcPr>
            <w:tcW w:w="1413" w:type="dxa"/>
            <w:vMerge/>
            <w:shd w:val="clear" w:color="auto" w:fill="auto"/>
          </w:tcPr>
          <w:p w14:paraId="148AF860" w14:textId="77777777" w:rsidR="00623569" w:rsidRPr="00B839CD" w:rsidRDefault="00623569" w:rsidP="001517F2">
            <w:pPr>
              <w:pStyle w:val="TableBody"/>
              <w:rPr>
                <w:rFonts w:cs="Arial"/>
                <w:szCs w:val="20"/>
              </w:rPr>
            </w:pPr>
          </w:p>
        </w:tc>
        <w:tc>
          <w:tcPr>
            <w:tcW w:w="3297" w:type="dxa"/>
            <w:shd w:val="clear" w:color="auto" w:fill="F2F2F2" w:themeFill="background1" w:themeFillShade="F2"/>
            <w:noWrap/>
            <w:hideMark/>
          </w:tcPr>
          <w:p w14:paraId="3267256F" w14:textId="77777777" w:rsidR="00623569" w:rsidRPr="00B839CD" w:rsidRDefault="00623569" w:rsidP="001517F2">
            <w:pPr>
              <w:pStyle w:val="TableBody"/>
              <w:rPr>
                <w:rFonts w:cs="Arial"/>
                <w:szCs w:val="20"/>
              </w:rPr>
            </w:pPr>
            <w:r w:rsidRPr="00B839CD">
              <w:rPr>
                <w:rFonts w:cs="Arial"/>
                <w:szCs w:val="20"/>
              </w:rPr>
              <w:t>Ongoing systems costs + staff training costs</w:t>
            </w:r>
          </w:p>
        </w:tc>
        <w:tc>
          <w:tcPr>
            <w:tcW w:w="1585" w:type="dxa"/>
            <w:shd w:val="clear" w:color="auto" w:fill="F2F2F2" w:themeFill="background1" w:themeFillShade="F2"/>
            <w:noWrap/>
            <w:hideMark/>
          </w:tcPr>
          <w:p w14:paraId="3A13F3C2" w14:textId="77777777" w:rsidR="00623569" w:rsidRPr="00B839CD" w:rsidRDefault="00623569" w:rsidP="001517F2">
            <w:pPr>
              <w:pStyle w:val="TableBody"/>
              <w:jc w:val="right"/>
              <w:rPr>
                <w:rFonts w:cs="Arial"/>
                <w:szCs w:val="20"/>
              </w:rPr>
            </w:pPr>
            <w:r w:rsidRPr="00B839CD">
              <w:rPr>
                <w:rFonts w:cs="Arial"/>
                <w:color w:val="FF0000"/>
                <w:szCs w:val="20"/>
              </w:rPr>
              <w:t>-$5,993,710</w:t>
            </w:r>
          </w:p>
        </w:tc>
        <w:tc>
          <w:tcPr>
            <w:tcW w:w="2631" w:type="dxa"/>
            <w:shd w:val="clear" w:color="auto" w:fill="F2F2F2" w:themeFill="background1" w:themeFillShade="F2"/>
          </w:tcPr>
          <w:p w14:paraId="2A7B2A8D" w14:textId="77777777" w:rsidR="00623569" w:rsidRPr="00B839CD" w:rsidRDefault="00623569" w:rsidP="001517F2">
            <w:pPr>
              <w:pStyle w:val="TableBody"/>
              <w:jc w:val="right"/>
              <w:rPr>
                <w:rFonts w:cs="Arial"/>
                <w:szCs w:val="20"/>
              </w:rPr>
            </w:pPr>
            <w:r w:rsidRPr="00B839CD">
              <w:rPr>
                <w:rFonts w:cs="Arial"/>
                <w:color w:val="FF0000"/>
                <w:szCs w:val="20"/>
              </w:rPr>
              <w:t>-$8,990,564</w:t>
            </w:r>
          </w:p>
        </w:tc>
      </w:tr>
      <w:tr w:rsidR="00623569" w:rsidRPr="00B839CD" w14:paraId="60261494" w14:textId="77777777" w:rsidTr="004C0FD8">
        <w:trPr>
          <w:cnfStyle w:val="000000010000" w:firstRow="0" w:lastRow="0" w:firstColumn="0" w:lastColumn="0" w:oddVBand="0" w:evenVBand="0" w:oddHBand="0" w:evenHBand="1" w:firstRowFirstColumn="0" w:firstRowLastColumn="0" w:lastRowFirstColumn="0" w:lastRowLastColumn="0"/>
          <w:trHeight w:val="300"/>
        </w:trPr>
        <w:tc>
          <w:tcPr>
            <w:tcW w:w="1413" w:type="dxa"/>
            <w:vMerge/>
            <w:shd w:val="clear" w:color="auto" w:fill="auto"/>
          </w:tcPr>
          <w:p w14:paraId="1DB33F44" w14:textId="77777777" w:rsidR="00623569" w:rsidRPr="00B839CD" w:rsidRDefault="00623569" w:rsidP="001517F2">
            <w:pPr>
              <w:pStyle w:val="TableBody"/>
              <w:rPr>
                <w:rFonts w:cs="Arial"/>
                <w:szCs w:val="20"/>
              </w:rPr>
            </w:pPr>
          </w:p>
        </w:tc>
        <w:tc>
          <w:tcPr>
            <w:tcW w:w="3297" w:type="dxa"/>
            <w:shd w:val="clear" w:color="auto" w:fill="auto"/>
            <w:noWrap/>
            <w:hideMark/>
          </w:tcPr>
          <w:p w14:paraId="008EDC76" w14:textId="77777777" w:rsidR="00623569" w:rsidRPr="00B839CD" w:rsidRDefault="00623569" w:rsidP="001517F2">
            <w:pPr>
              <w:pStyle w:val="TableBody"/>
              <w:rPr>
                <w:rFonts w:cs="Arial"/>
                <w:szCs w:val="20"/>
              </w:rPr>
            </w:pPr>
            <w:r w:rsidRPr="00B839CD">
              <w:rPr>
                <w:rFonts w:cs="Arial"/>
                <w:szCs w:val="20"/>
              </w:rPr>
              <w:t>We assume other costs impacts for CSPs are neutral</w:t>
            </w:r>
          </w:p>
        </w:tc>
        <w:tc>
          <w:tcPr>
            <w:tcW w:w="1585" w:type="dxa"/>
            <w:shd w:val="clear" w:color="auto" w:fill="auto"/>
            <w:noWrap/>
            <w:hideMark/>
          </w:tcPr>
          <w:p w14:paraId="03AC5CA9" w14:textId="77777777" w:rsidR="00623569" w:rsidRPr="00B839CD" w:rsidRDefault="00623569" w:rsidP="001517F2">
            <w:pPr>
              <w:pStyle w:val="TableBody"/>
              <w:jc w:val="right"/>
              <w:rPr>
                <w:rFonts w:cs="Arial"/>
                <w:szCs w:val="20"/>
              </w:rPr>
            </w:pPr>
            <w:r w:rsidRPr="00B839CD">
              <w:rPr>
                <w:rFonts w:cs="Arial"/>
                <w:color w:val="000000"/>
                <w:szCs w:val="20"/>
              </w:rPr>
              <w:t>$0</w:t>
            </w:r>
          </w:p>
        </w:tc>
        <w:tc>
          <w:tcPr>
            <w:tcW w:w="2631" w:type="dxa"/>
            <w:shd w:val="clear" w:color="auto" w:fill="auto"/>
          </w:tcPr>
          <w:p w14:paraId="066B5EF2" w14:textId="77777777" w:rsidR="00623569" w:rsidRPr="00B839CD" w:rsidRDefault="00623569" w:rsidP="001517F2">
            <w:pPr>
              <w:pStyle w:val="TableBody"/>
              <w:jc w:val="right"/>
              <w:rPr>
                <w:rFonts w:cs="Arial"/>
                <w:szCs w:val="20"/>
              </w:rPr>
            </w:pPr>
            <w:r w:rsidRPr="00B839CD">
              <w:rPr>
                <w:rFonts w:cs="Arial"/>
                <w:color w:val="000000"/>
                <w:szCs w:val="20"/>
              </w:rPr>
              <w:t>$0</w:t>
            </w:r>
          </w:p>
        </w:tc>
      </w:tr>
      <w:tr w:rsidR="00623569" w:rsidRPr="00B839CD" w14:paraId="14F145E9" w14:textId="77777777" w:rsidTr="004C0FD8">
        <w:trPr>
          <w:cnfStyle w:val="000000100000" w:firstRow="0" w:lastRow="0" w:firstColumn="0" w:lastColumn="0" w:oddVBand="0" w:evenVBand="0" w:oddHBand="1" w:evenHBand="0" w:firstRowFirstColumn="0" w:firstRowLastColumn="0" w:lastRowFirstColumn="0" w:lastRowLastColumn="0"/>
          <w:trHeight w:val="300"/>
        </w:trPr>
        <w:tc>
          <w:tcPr>
            <w:tcW w:w="1413" w:type="dxa"/>
            <w:shd w:val="clear" w:color="auto" w:fill="F2F2F2" w:themeFill="background1" w:themeFillShade="F2"/>
          </w:tcPr>
          <w:p w14:paraId="2FF06835" w14:textId="77777777" w:rsidR="00623569" w:rsidRPr="00B839CD" w:rsidRDefault="00623569" w:rsidP="001517F2">
            <w:pPr>
              <w:pStyle w:val="TableBody"/>
              <w:rPr>
                <w:rFonts w:cs="Arial"/>
                <w:szCs w:val="20"/>
              </w:rPr>
            </w:pPr>
            <w:r w:rsidRPr="00B839CD">
              <w:rPr>
                <w:rFonts w:cs="Arial"/>
                <w:szCs w:val="20"/>
              </w:rPr>
              <w:t>TIO</w:t>
            </w:r>
          </w:p>
        </w:tc>
        <w:tc>
          <w:tcPr>
            <w:tcW w:w="3297" w:type="dxa"/>
            <w:shd w:val="clear" w:color="auto" w:fill="F2F2F2" w:themeFill="background1" w:themeFillShade="F2"/>
            <w:noWrap/>
            <w:hideMark/>
          </w:tcPr>
          <w:p w14:paraId="34DA73A0" w14:textId="77777777" w:rsidR="00623569" w:rsidRPr="00B839CD" w:rsidRDefault="00623569" w:rsidP="001517F2">
            <w:pPr>
              <w:pStyle w:val="TableBody"/>
              <w:rPr>
                <w:rFonts w:cs="Arial"/>
                <w:szCs w:val="20"/>
              </w:rPr>
            </w:pPr>
            <w:r w:rsidRPr="00B839CD">
              <w:rPr>
                <w:rFonts w:cs="Arial"/>
                <w:szCs w:val="20"/>
              </w:rPr>
              <w:t xml:space="preserve">Reduction in complaints compared to </w:t>
            </w:r>
            <w:r>
              <w:rPr>
                <w:rFonts w:cs="Arial"/>
                <w:szCs w:val="20"/>
              </w:rPr>
              <w:t>s</w:t>
            </w:r>
            <w:r w:rsidRPr="00B839CD">
              <w:rPr>
                <w:rFonts w:cs="Arial"/>
                <w:szCs w:val="20"/>
              </w:rPr>
              <w:t>tatus quo</w:t>
            </w:r>
          </w:p>
        </w:tc>
        <w:tc>
          <w:tcPr>
            <w:tcW w:w="1585" w:type="dxa"/>
            <w:shd w:val="clear" w:color="auto" w:fill="F2F2F2" w:themeFill="background1" w:themeFillShade="F2"/>
            <w:noWrap/>
            <w:hideMark/>
          </w:tcPr>
          <w:p w14:paraId="3B9287B5" w14:textId="77777777" w:rsidR="00623569" w:rsidRPr="00B839CD" w:rsidRDefault="00623569" w:rsidP="001517F2">
            <w:pPr>
              <w:pStyle w:val="TableBody"/>
              <w:jc w:val="right"/>
              <w:rPr>
                <w:rFonts w:cs="Arial"/>
                <w:szCs w:val="20"/>
              </w:rPr>
            </w:pPr>
            <w:r w:rsidRPr="00B839CD">
              <w:rPr>
                <w:rFonts w:cs="Arial"/>
                <w:color w:val="000000"/>
                <w:szCs w:val="20"/>
              </w:rPr>
              <w:t>$346,801</w:t>
            </w:r>
          </w:p>
        </w:tc>
        <w:tc>
          <w:tcPr>
            <w:tcW w:w="2631" w:type="dxa"/>
            <w:shd w:val="clear" w:color="auto" w:fill="F2F2F2" w:themeFill="background1" w:themeFillShade="F2"/>
          </w:tcPr>
          <w:p w14:paraId="7F6D08A3" w14:textId="77777777" w:rsidR="00623569" w:rsidRPr="00B839CD" w:rsidRDefault="00623569" w:rsidP="001517F2">
            <w:pPr>
              <w:pStyle w:val="TableBody"/>
              <w:jc w:val="right"/>
              <w:rPr>
                <w:rFonts w:cs="Arial"/>
                <w:color w:val="FF0000"/>
                <w:szCs w:val="20"/>
              </w:rPr>
            </w:pPr>
            <w:r w:rsidRPr="00B839CD">
              <w:rPr>
                <w:rFonts w:cs="Arial"/>
                <w:color w:val="000000"/>
                <w:szCs w:val="20"/>
              </w:rPr>
              <w:t>$1,486,292</w:t>
            </w:r>
          </w:p>
        </w:tc>
      </w:tr>
      <w:tr w:rsidR="00623569" w:rsidRPr="00B839CD" w14:paraId="2A8C836E" w14:textId="77777777" w:rsidTr="004C0FD8">
        <w:trPr>
          <w:cnfStyle w:val="000000010000" w:firstRow="0" w:lastRow="0" w:firstColumn="0" w:lastColumn="0" w:oddVBand="0" w:evenVBand="0" w:oddHBand="0" w:evenHBand="1" w:firstRowFirstColumn="0" w:firstRowLastColumn="0" w:lastRowFirstColumn="0" w:lastRowLastColumn="0"/>
          <w:trHeight w:val="300"/>
        </w:trPr>
        <w:tc>
          <w:tcPr>
            <w:tcW w:w="1413" w:type="dxa"/>
            <w:shd w:val="clear" w:color="auto" w:fill="auto"/>
          </w:tcPr>
          <w:p w14:paraId="0713B651" w14:textId="77777777" w:rsidR="00623569" w:rsidRPr="00B839CD" w:rsidRDefault="00623569" w:rsidP="001517F2">
            <w:pPr>
              <w:pStyle w:val="TableBody"/>
              <w:rPr>
                <w:rFonts w:cs="Arial"/>
                <w:szCs w:val="20"/>
              </w:rPr>
            </w:pPr>
            <w:r w:rsidRPr="00B839CD">
              <w:rPr>
                <w:rFonts w:cs="Arial"/>
                <w:szCs w:val="20"/>
              </w:rPr>
              <w:t>Customers</w:t>
            </w:r>
          </w:p>
        </w:tc>
        <w:tc>
          <w:tcPr>
            <w:tcW w:w="3297" w:type="dxa"/>
            <w:shd w:val="clear" w:color="auto" w:fill="auto"/>
            <w:noWrap/>
            <w:hideMark/>
          </w:tcPr>
          <w:p w14:paraId="1A45FD85" w14:textId="77777777" w:rsidR="00623569" w:rsidRPr="00B839CD" w:rsidRDefault="00623569" w:rsidP="001517F2">
            <w:pPr>
              <w:pStyle w:val="TableBody"/>
              <w:rPr>
                <w:rFonts w:cs="Arial"/>
                <w:szCs w:val="20"/>
              </w:rPr>
            </w:pPr>
            <w:r w:rsidRPr="00B839CD">
              <w:rPr>
                <w:rFonts w:cs="Arial"/>
                <w:szCs w:val="20"/>
              </w:rPr>
              <w:t>Avoided reconnection costs</w:t>
            </w:r>
          </w:p>
        </w:tc>
        <w:tc>
          <w:tcPr>
            <w:tcW w:w="1585" w:type="dxa"/>
            <w:shd w:val="clear" w:color="auto" w:fill="auto"/>
            <w:noWrap/>
            <w:hideMark/>
          </w:tcPr>
          <w:p w14:paraId="0A1BA4B9" w14:textId="77777777" w:rsidR="00623569" w:rsidRPr="00B839CD" w:rsidRDefault="00623569" w:rsidP="001517F2">
            <w:pPr>
              <w:pStyle w:val="TableBody"/>
              <w:jc w:val="right"/>
              <w:rPr>
                <w:rFonts w:cs="Arial"/>
                <w:szCs w:val="20"/>
              </w:rPr>
            </w:pPr>
            <w:r w:rsidRPr="00B839CD">
              <w:rPr>
                <w:rFonts w:cs="Arial"/>
                <w:color w:val="000000"/>
                <w:szCs w:val="20"/>
              </w:rPr>
              <w:t>$3,734,990</w:t>
            </w:r>
          </w:p>
        </w:tc>
        <w:tc>
          <w:tcPr>
            <w:tcW w:w="2631" w:type="dxa"/>
            <w:shd w:val="clear" w:color="auto" w:fill="auto"/>
          </w:tcPr>
          <w:p w14:paraId="618AF2AB" w14:textId="77777777" w:rsidR="00623569" w:rsidRPr="00B839CD" w:rsidRDefault="00623569" w:rsidP="001517F2">
            <w:pPr>
              <w:pStyle w:val="TableBody"/>
              <w:jc w:val="right"/>
              <w:rPr>
                <w:rFonts w:cs="Arial"/>
                <w:color w:val="FF0000"/>
                <w:szCs w:val="20"/>
              </w:rPr>
            </w:pPr>
            <w:r w:rsidRPr="00B839CD">
              <w:rPr>
                <w:rFonts w:cs="Arial"/>
                <w:color w:val="000000"/>
                <w:szCs w:val="20"/>
              </w:rPr>
              <w:t>$20,328,098</w:t>
            </w:r>
          </w:p>
        </w:tc>
      </w:tr>
      <w:tr w:rsidR="00623569" w:rsidRPr="00B839CD" w14:paraId="77FD5657" w14:textId="77777777" w:rsidTr="004C0FD8">
        <w:trPr>
          <w:cnfStyle w:val="000000100000" w:firstRow="0" w:lastRow="0" w:firstColumn="0" w:lastColumn="0" w:oddVBand="0" w:evenVBand="0" w:oddHBand="1" w:evenHBand="0" w:firstRowFirstColumn="0" w:firstRowLastColumn="0" w:lastRowFirstColumn="0" w:lastRowLastColumn="0"/>
          <w:trHeight w:val="95"/>
        </w:trPr>
        <w:tc>
          <w:tcPr>
            <w:tcW w:w="1413" w:type="dxa"/>
            <w:shd w:val="clear" w:color="auto" w:fill="F2F2F2" w:themeFill="background1" w:themeFillShade="F2"/>
          </w:tcPr>
          <w:p w14:paraId="6B9AEFB8" w14:textId="77777777" w:rsidR="00623569" w:rsidRPr="00B839CD" w:rsidRDefault="00623569" w:rsidP="001517F2">
            <w:pPr>
              <w:pStyle w:val="TableBody"/>
              <w:rPr>
                <w:rFonts w:cs="Arial"/>
                <w:szCs w:val="20"/>
              </w:rPr>
            </w:pPr>
          </w:p>
        </w:tc>
        <w:tc>
          <w:tcPr>
            <w:tcW w:w="3297" w:type="dxa"/>
            <w:shd w:val="clear" w:color="auto" w:fill="F2F2F2" w:themeFill="background1" w:themeFillShade="F2"/>
            <w:noWrap/>
          </w:tcPr>
          <w:p w14:paraId="31EB611A" w14:textId="77777777" w:rsidR="00623569" w:rsidRPr="00B839CD" w:rsidRDefault="00623569" w:rsidP="001517F2">
            <w:pPr>
              <w:pStyle w:val="TableBody"/>
              <w:rPr>
                <w:rFonts w:cs="Arial"/>
                <w:b/>
                <w:szCs w:val="20"/>
              </w:rPr>
            </w:pPr>
            <w:r w:rsidRPr="00B839CD">
              <w:rPr>
                <w:rFonts w:cs="Arial"/>
                <w:szCs w:val="20"/>
              </w:rPr>
              <w:t>Total costs</w:t>
            </w:r>
          </w:p>
        </w:tc>
        <w:tc>
          <w:tcPr>
            <w:tcW w:w="1585" w:type="dxa"/>
            <w:shd w:val="clear" w:color="auto" w:fill="F2F2F2" w:themeFill="background1" w:themeFillShade="F2"/>
            <w:noWrap/>
          </w:tcPr>
          <w:p w14:paraId="2DF8F4A5" w14:textId="77777777" w:rsidR="00623569" w:rsidRPr="00B839CD" w:rsidRDefault="00623569" w:rsidP="001517F2">
            <w:pPr>
              <w:pStyle w:val="TableBody"/>
              <w:jc w:val="right"/>
              <w:rPr>
                <w:rFonts w:cs="Arial"/>
                <w:b/>
                <w:szCs w:val="20"/>
              </w:rPr>
            </w:pPr>
            <w:r w:rsidRPr="00B839CD">
              <w:rPr>
                <w:rFonts w:cs="Arial"/>
                <w:color w:val="FF0000"/>
                <w:szCs w:val="20"/>
              </w:rPr>
              <w:t>-$8,955,819</w:t>
            </w:r>
          </w:p>
        </w:tc>
        <w:tc>
          <w:tcPr>
            <w:tcW w:w="2631" w:type="dxa"/>
            <w:shd w:val="clear" w:color="auto" w:fill="F2F2F2" w:themeFill="background1" w:themeFillShade="F2"/>
          </w:tcPr>
          <w:p w14:paraId="42CE1B62" w14:textId="77777777" w:rsidR="00623569" w:rsidRPr="00B839CD" w:rsidRDefault="00623569" w:rsidP="001517F2">
            <w:pPr>
              <w:pStyle w:val="TableBody"/>
              <w:jc w:val="right"/>
              <w:rPr>
                <w:rFonts w:cs="Arial"/>
                <w:b/>
                <w:szCs w:val="20"/>
              </w:rPr>
            </w:pPr>
            <w:r w:rsidRPr="00B839CD">
              <w:rPr>
                <w:rFonts w:cs="Arial"/>
                <w:color w:val="FF0000"/>
                <w:szCs w:val="20"/>
              </w:rPr>
              <w:t>-$14,844,493</w:t>
            </w:r>
          </w:p>
        </w:tc>
      </w:tr>
      <w:tr w:rsidR="00623569" w:rsidRPr="00B839CD" w14:paraId="691120B7" w14:textId="77777777" w:rsidTr="004C0FD8">
        <w:trPr>
          <w:cnfStyle w:val="000000010000" w:firstRow="0" w:lastRow="0" w:firstColumn="0" w:lastColumn="0" w:oddVBand="0" w:evenVBand="0" w:oddHBand="0" w:evenHBand="1" w:firstRowFirstColumn="0" w:firstRowLastColumn="0" w:lastRowFirstColumn="0" w:lastRowLastColumn="0"/>
          <w:trHeight w:val="300"/>
        </w:trPr>
        <w:tc>
          <w:tcPr>
            <w:tcW w:w="1413" w:type="dxa"/>
            <w:shd w:val="clear" w:color="auto" w:fill="auto"/>
          </w:tcPr>
          <w:p w14:paraId="4CE63C58" w14:textId="77777777" w:rsidR="00623569" w:rsidRPr="00B839CD" w:rsidRDefault="00623569" w:rsidP="001517F2">
            <w:pPr>
              <w:pStyle w:val="TableBody"/>
              <w:rPr>
                <w:rFonts w:cs="Arial"/>
                <w:szCs w:val="20"/>
              </w:rPr>
            </w:pPr>
          </w:p>
        </w:tc>
        <w:tc>
          <w:tcPr>
            <w:tcW w:w="3297" w:type="dxa"/>
            <w:shd w:val="clear" w:color="auto" w:fill="auto"/>
            <w:noWrap/>
          </w:tcPr>
          <w:p w14:paraId="37A5D5CF" w14:textId="77777777" w:rsidR="00623569" w:rsidRPr="00B839CD" w:rsidRDefault="00623569" w:rsidP="001517F2">
            <w:pPr>
              <w:pStyle w:val="TableBody"/>
              <w:rPr>
                <w:rFonts w:cs="Arial"/>
                <w:b/>
                <w:szCs w:val="20"/>
              </w:rPr>
            </w:pPr>
            <w:r w:rsidRPr="00B839CD">
              <w:rPr>
                <w:rFonts w:cs="Arial"/>
                <w:szCs w:val="20"/>
              </w:rPr>
              <w:t>Total benefits</w:t>
            </w:r>
          </w:p>
        </w:tc>
        <w:tc>
          <w:tcPr>
            <w:tcW w:w="1585" w:type="dxa"/>
            <w:shd w:val="clear" w:color="auto" w:fill="auto"/>
            <w:noWrap/>
          </w:tcPr>
          <w:p w14:paraId="700837DE" w14:textId="77777777" w:rsidR="00623569" w:rsidRPr="00B839CD" w:rsidRDefault="00623569" w:rsidP="001517F2">
            <w:pPr>
              <w:pStyle w:val="TableBody"/>
              <w:jc w:val="right"/>
              <w:rPr>
                <w:rFonts w:cs="Arial"/>
                <w:b/>
                <w:szCs w:val="20"/>
              </w:rPr>
            </w:pPr>
            <w:r w:rsidRPr="00B839CD">
              <w:rPr>
                <w:rFonts w:cs="Arial"/>
                <w:color w:val="000000"/>
                <w:szCs w:val="20"/>
              </w:rPr>
              <w:t>$3,873,066</w:t>
            </w:r>
          </w:p>
        </w:tc>
        <w:tc>
          <w:tcPr>
            <w:tcW w:w="2631" w:type="dxa"/>
            <w:shd w:val="clear" w:color="auto" w:fill="auto"/>
          </w:tcPr>
          <w:p w14:paraId="06543F68" w14:textId="77777777" w:rsidR="00623569" w:rsidRPr="00B839CD" w:rsidRDefault="00623569" w:rsidP="001517F2">
            <w:pPr>
              <w:pStyle w:val="TableBody"/>
              <w:jc w:val="right"/>
              <w:rPr>
                <w:rFonts w:cs="Arial"/>
                <w:b/>
                <w:szCs w:val="20"/>
              </w:rPr>
            </w:pPr>
            <w:r w:rsidRPr="00B839CD">
              <w:rPr>
                <w:rFonts w:cs="Arial"/>
                <w:color w:val="000000"/>
                <w:szCs w:val="20"/>
              </w:rPr>
              <w:t>$24,231,171</w:t>
            </w:r>
          </w:p>
        </w:tc>
      </w:tr>
      <w:tr w:rsidR="00623569" w:rsidRPr="00B839CD" w14:paraId="081FE642" w14:textId="77777777" w:rsidTr="004C0FD8">
        <w:trPr>
          <w:cnfStyle w:val="000000100000" w:firstRow="0" w:lastRow="0" w:firstColumn="0" w:lastColumn="0" w:oddVBand="0" w:evenVBand="0" w:oddHBand="1" w:evenHBand="0" w:firstRowFirstColumn="0" w:firstRowLastColumn="0" w:lastRowFirstColumn="0" w:lastRowLastColumn="0"/>
          <w:trHeight w:val="300"/>
        </w:trPr>
        <w:tc>
          <w:tcPr>
            <w:tcW w:w="1413" w:type="dxa"/>
            <w:shd w:val="clear" w:color="auto" w:fill="F2F2F2" w:themeFill="background1" w:themeFillShade="F2"/>
          </w:tcPr>
          <w:p w14:paraId="51210590" w14:textId="77777777" w:rsidR="00623569" w:rsidRPr="00B839CD" w:rsidRDefault="00623569" w:rsidP="001517F2">
            <w:pPr>
              <w:pStyle w:val="TableBody"/>
              <w:rPr>
                <w:rFonts w:cs="Arial"/>
                <w:b/>
                <w:bCs/>
                <w:szCs w:val="20"/>
              </w:rPr>
            </w:pPr>
          </w:p>
        </w:tc>
        <w:tc>
          <w:tcPr>
            <w:tcW w:w="3297" w:type="dxa"/>
            <w:shd w:val="clear" w:color="auto" w:fill="F2F2F2" w:themeFill="background1" w:themeFillShade="F2"/>
            <w:noWrap/>
          </w:tcPr>
          <w:p w14:paraId="7ADF5387" w14:textId="77777777" w:rsidR="00623569" w:rsidRPr="00B839CD" w:rsidRDefault="00623569" w:rsidP="001517F2">
            <w:pPr>
              <w:pStyle w:val="TableBody"/>
              <w:rPr>
                <w:rFonts w:cs="Arial"/>
                <w:b/>
                <w:bCs/>
                <w:szCs w:val="20"/>
              </w:rPr>
            </w:pPr>
            <w:r w:rsidRPr="00B839CD">
              <w:rPr>
                <w:rFonts w:cs="Arial"/>
                <w:b/>
                <w:bCs/>
                <w:szCs w:val="20"/>
              </w:rPr>
              <w:t>Net Present Value</w:t>
            </w:r>
          </w:p>
        </w:tc>
        <w:tc>
          <w:tcPr>
            <w:tcW w:w="1585" w:type="dxa"/>
            <w:shd w:val="clear" w:color="auto" w:fill="F2F2F2" w:themeFill="background1" w:themeFillShade="F2"/>
            <w:noWrap/>
          </w:tcPr>
          <w:p w14:paraId="649469A9" w14:textId="77777777" w:rsidR="00623569" w:rsidRPr="00B839CD" w:rsidRDefault="00623569" w:rsidP="001517F2">
            <w:pPr>
              <w:pStyle w:val="TableBody"/>
              <w:jc w:val="right"/>
              <w:rPr>
                <w:rFonts w:cs="Arial"/>
                <w:b/>
                <w:bCs/>
                <w:szCs w:val="20"/>
              </w:rPr>
            </w:pPr>
            <w:r w:rsidRPr="00B839CD">
              <w:rPr>
                <w:rFonts w:cs="Arial"/>
                <w:b/>
                <w:bCs/>
                <w:color w:val="000000"/>
                <w:szCs w:val="20"/>
              </w:rPr>
              <w:t>-$5,082,753</w:t>
            </w:r>
          </w:p>
        </w:tc>
        <w:tc>
          <w:tcPr>
            <w:tcW w:w="2631" w:type="dxa"/>
            <w:shd w:val="clear" w:color="auto" w:fill="F2F2F2" w:themeFill="background1" w:themeFillShade="F2"/>
          </w:tcPr>
          <w:p w14:paraId="2CA66FE8" w14:textId="77777777" w:rsidR="00623569" w:rsidRPr="00B839CD" w:rsidRDefault="00623569" w:rsidP="001517F2">
            <w:pPr>
              <w:pStyle w:val="TableBody"/>
              <w:jc w:val="right"/>
              <w:rPr>
                <w:rFonts w:cs="Arial"/>
                <w:b/>
                <w:bCs/>
                <w:szCs w:val="20"/>
              </w:rPr>
            </w:pPr>
            <w:r w:rsidRPr="00B839CD">
              <w:rPr>
                <w:rFonts w:cs="Arial"/>
                <w:b/>
                <w:bCs/>
                <w:color w:val="000000"/>
                <w:szCs w:val="20"/>
              </w:rPr>
              <w:t>$9,386,678</w:t>
            </w:r>
          </w:p>
        </w:tc>
      </w:tr>
      <w:tr w:rsidR="00623569" w:rsidRPr="00B839CD" w14:paraId="18270D46" w14:textId="77777777" w:rsidTr="004C0FD8">
        <w:trPr>
          <w:cnfStyle w:val="000000010000" w:firstRow="0" w:lastRow="0" w:firstColumn="0" w:lastColumn="0" w:oddVBand="0" w:evenVBand="0" w:oddHBand="0" w:evenHBand="1" w:firstRowFirstColumn="0" w:firstRowLastColumn="0" w:lastRowFirstColumn="0" w:lastRowLastColumn="0"/>
          <w:trHeight w:val="300"/>
        </w:trPr>
        <w:tc>
          <w:tcPr>
            <w:tcW w:w="1413" w:type="dxa"/>
            <w:shd w:val="clear" w:color="auto" w:fill="auto"/>
          </w:tcPr>
          <w:p w14:paraId="4AD136AF" w14:textId="77777777" w:rsidR="00623569" w:rsidRPr="00B839CD" w:rsidRDefault="00623569" w:rsidP="001517F2">
            <w:pPr>
              <w:pStyle w:val="TableBody"/>
              <w:rPr>
                <w:rFonts w:cs="Arial"/>
                <w:szCs w:val="20"/>
              </w:rPr>
            </w:pPr>
          </w:p>
        </w:tc>
        <w:tc>
          <w:tcPr>
            <w:tcW w:w="3297" w:type="dxa"/>
            <w:shd w:val="clear" w:color="auto" w:fill="auto"/>
            <w:noWrap/>
          </w:tcPr>
          <w:p w14:paraId="572BC711" w14:textId="77777777" w:rsidR="00623569" w:rsidRPr="00B839CD" w:rsidRDefault="00623569" w:rsidP="001517F2">
            <w:pPr>
              <w:pStyle w:val="TableBody"/>
              <w:rPr>
                <w:rFonts w:cs="Arial"/>
                <w:szCs w:val="20"/>
              </w:rPr>
            </w:pPr>
            <w:r w:rsidRPr="00B839CD">
              <w:rPr>
                <w:rFonts w:cs="Arial"/>
                <w:szCs w:val="20"/>
              </w:rPr>
              <w:t>Benefit Cost Ratio</w:t>
            </w:r>
          </w:p>
        </w:tc>
        <w:tc>
          <w:tcPr>
            <w:tcW w:w="1585" w:type="dxa"/>
            <w:shd w:val="clear" w:color="auto" w:fill="auto"/>
            <w:noWrap/>
          </w:tcPr>
          <w:p w14:paraId="4580BBCE" w14:textId="77777777" w:rsidR="00623569" w:rsidRPr="00B839CD" w:rsidRDefault="00623569" w:rsidP="001517F2">
            <w:pPr>
              <w:pStyle w:val="TableBody"/>
              <w:jc w:val="right"/>
              <w:rPr>
                <w:rFonts w:cs="Arial"/>
                <w:szCs w:val="20"/>
              </w:rPr>
            </w:pPr>
            <w:r w:rsidRPr="00B839CD">
              <w:rPr>
                <w:rFonts w:cs="Arial"/>
                <w:color w:val="000000"/>
                <w:szCs w:val="20"/>
              </w:rPr>
              <w:t>0.43</w:t>
            </w:r>
          </w:p>
        </w:tc>
        <w:tc>
          <w:tcPr>
            <w:tcW w:w="2631" w:type="dxa"/>
            <w:shd w:val="clear" w:color="auto" w:fill="auto"/>
          </w:tcPr>
          <w:p w14:paraId="76B1A580" w14:textId="77777777" w:rsidR="00623569" w:rsidRPr="00B839CD" w:rsidRDefault="00623569" w:rsidP="001517F2">
            <w:pPr>
              <w:pStyle w:val="TableBody"/>
              <w:jc w:val="right"/>
              <w:rPr>
                <w:rFonts w:cs="Arial"/>
                <w:szCs w:val="20"/>
              </w:rPr>
            </w:pPr>
            <w:r w:rsidRPr="00B839CD">
              <w:rPr>
                <w:rFonts w:cs="Arial"/>
                <w:color w:val="000000"/>
                <w:szCs w:val="20"/>
              </w:rPr>
              <w:t>1.63</w:t>
            </w:r>
          </w:p>
        </w:tc>
      </w:tr>
    </w:tbl>
    <w:p w14:paraId="2D34EDF4" w14:textId="77777777" w:rsidR="00623569" w:rsidRDefault="00623569" w:rsidP="00623569">
      <w:pPr>
        <w:spacing w:after="120"/>
      </w:pPr>
    </w:p>
    <w:p w14:paraId="629973F8" w14:textId="77777777" w:rsidR="00623569" w:rsidRPr="007C63B4" w:rsidRDefault="00623569" w:rsidP="00623569">
      <w:pPr>
        <w:pStyle w:val="Heading3"/>
      </w:pPr>
      <w:bookmarkStart w:id="65" w:name="_Toc153270573"/>
      <w:bookmarkStart w:id="66" w:name="_Toc155686003"/>
      <w:r>
        <w:t>S</w:t>
      </w:r>
      <w:r w:rsidRPr="007C63B4">
        <w:t>ensitivity analysis</w:t>
      </w:r>
      <w:bookmarkEnd w:id="65"/>
      <w:bookmarkEnd w:id="66"/>
    </w:p>
    <w:p w14:paraId="3402D220" w14:textId="77777777" w:rsidR="00623569" w:rsidRPr="00967520" w:rsidRDefault="00623569" w:rsidP="00623569">
      <w:pPr>
        <w:pStyle w:val="Paragraph"/>
      </w:pPr>
      <w:r w:rsidRPr="00967520">
        <w:t>Table 1</w:t>
      </w:r>
      <w:r>
        <w:t>3</w:t>
      </w:r>
      <w:r w:rsidRPr="00967520">
        <w:t xml:space="preserve"> below </w:t>
      </w:r>
      <w:r>
        <w:t>models the impact of</w:t>
      </w:r>
      <w:r w:rsidRPr="00967520">
        <w:t xml:space="preserve"> different discount rates impact the</w:t>
      </w:r>
      <w:r>
        <w:t xml:space="preserve"> results. While the values alter under the different discount rates</w:t>
      </w:r>
      <w:r w:rsidRPr="00967520">
        <w:t xml:space="preserve">, </w:t>
      </w:r>
      <w:r>
        <w:t xml:space="preserve">the discount rates </w:t>
      </w:r>
      <w:r w:rsidRPr="00967520">
        <w:t xml:space="preserve">do not impact the conclusion that </w:t>
      </w:r>
      <w:r>
        <w:t>O</w:t>
      </w:r>
      <w:r w:rsidRPr="00967520">
        <w:t xml:space="preserve">ption 2B is preferable as it </w:t>
      </w:r>
      <w:proofErr w:type="gramStart"/>
      <w:r w:rsidRPr="00967520">
        <w:t>is considered to be</w:t>
      </w:r>
      <w:proofErr w:type="gramEnd"/>
      <w:r w:rsidRPr="00967520">
        <w:t xml:space="preserve"> both more effective at resolving the identified issues, it also is anticipated to deliver a net benefit – even when benefits to consumers are excluded due to difficulties in quantifying these benefits.</w:t>
      </w:r>
    </w:p>
    <w:p w14:paraId="6B43F814" w14:textId="77777777" w:rsidR="00623569" w:rsidRDefault="00623569" w:rsidP="00623569">
      <w:pPr>
        <w:pStyle w:val="Tableheading"/>
        <w:keepLines/>
      </w:pPr>
      <w:r>
        <w:lastRenderedPageBreak/>
        <w:t xml:space="preserve">Sensitivity analysis </w:t>
      </w:r>
    </w:p>
    <w:tbl>
      <w:tblPr>
        <w:tblStyle w:val="ACMAtablestyle"/>
        <w:tblW w:w="10343" w:type="dxa"/>
        <w:tblLook w:val="04A0" w:firstRow="1" w:lastRow="0" w:firstColumn="1" w:lastColumn="0" w:noHBand="0" w:noVBand="1"/>
      </w:tblPr>
      <w:tblGrid>
        <w:gridCol w:w="1980"/>
        <w:gridCol w:w="1276"/>
        <w:gridCol w:w="1417"/>
        <w:gridCol w:w="1418"/>
        <w:gridCol w:w="1417"/>
        <w:gridCol w:w="1418"/>
        <w:gridCol w:w="1417"/>
      </w:tblGrid>
      <w:tr w:rsidR="00623569" w:rsidRPr="002B5B6C" w14:paraId="430AD92D" w14:textId="77777777" w:rsidTr="001517F2">
        <w:trPr>
          <w:cnfStyle w:val="100000000000" w:firstRow="1" w:lastRow="0" w:firstColumn="0" w:lastColumn="0" w:oddVBand="0" w:evenVBand="0" w:oddHBand="0" w:evenHBand="0" w:firstRowFirstColumn="0" w:firstRowLastColumn="0" w:lastRowFirstColumn="0" w:lastRowLastColumn="0"/>
          <w:trHeight w:val="300"/>
        </w:trPr>
        <w:tc>
          <w:tcPr>
            <w:tcW w:w="1980" w:type="dxa"/>
            <w:noWrap/>
            <w:hideMark/>
          </w:tcPr>
          <w:p w14:paraId="29910B08" w14:textId="77777777" w:rsidR="00623569" w:rsidRPr="002B5B6C" w:rsidRDefault="00623569" w:rsidP="001517F2">
            <w:pPr>
              <w:pStyle w:val="Tableheaderrow"/>
              <w:keepNext/>
              <w:keepLines/>
              <w:jc w:val="right"/>
              <w:rPr>
                <w:rFonts w:cs="Arial"/>
                <w:szCs w:val="20"/>
              </w:rPr>
            </w:pPr>
          </w:p>
        </w:tc>
        <w:tc>
          <w:tcPr>
            <w:tcW w:w="4111" w:type="dxa"/>
            <w:gridSpan w:val="3"/>
            <w:tcBorders>
              <w:right w:val="single" w:sz="4" w:space="0" w:color="FFFFFF" w:themeColor="background1"/>
            </w:tcBorders>
            <w:noWrap/>
            <w:hideMark/>
          </w:tcPr>
          <w:p w14:paraId="3C60FDCF" w14:textId="77777777" w:rsidR="00623569" w:rsidRPr="002B5B6C" w:rsidRDefault="00623569" w:rsidP="001517F2">
            <w:pPr>
              <w:pStyle w:val="Tableheaderrow"/>
              <w:keepNext/>
              <w:keepLines/>
              <w:jc w:val="center"/>
              <w:rPr>
                <w:rFonts w:cs="Arial"/>
                <w:szCs w:val="20"/>
              </w:rPr>
            </w:pPr>
            <w:r w:rsidRPr="002B5B6C">
              <w:rPr>
                <w:rFonts w:cs="Arial"/>
                <w:szCs w:val="20"/>
              </w:rPr>
              <w:t>Option 2A</w:t>
            </w:r>
          </w:p>
        </w:tc>
        <w:tc>
          <w:tcPr>
            <w:tcW w:w="4252" w:type="dxa"/>
            <w:gridSpan w:val="3"/>
            <w:tcBorders>
              <w:left w:val="single" w:sz="4" w:space="0" w:color="FFFFFF" w:themeColor="background1"/>
            </w:tcBorders>
          </w:tcPr>
          <w:p w14:paraId="6FF5C81C" w14:textId="77777777" w:rsidR="00623569" w:rsidRPr="002B5B6C" w:rsidRDefault="00623569" w:rsidP="001517F2">
            <w:pPr>
              <w:pStyle w:val="Tableheaderrow"/>
              <w:keepNext/>
              <w:keepLines/>
              <w:jc w:val="center"/>
              <w:rPr>
                <w:rFonts w:cs="Arial"/>
                <w:szCs w:val="20"/>
              </w:rPr>
            </w:pPr>
            <w:r w:rsidRPr="002B5B6C">
              <w:rPr>
                <w:rFonts w:cs="Arial"/>
                <w:szCs w:val="20"/>
              </w:rPr>
              <w:t>Option 2B</w:t>
            </w:r>
          </w:p>
        </w:tc>
      </w:tr>
      <w:tr w:rsidR="00623569" w:rsidRPr="002B5B6C" w14:paraId="10C06AF6" w14:textId="77777777" w:rsidTr="001517F2">
        <w:trPr>
          <w:cnfStyle w:val="000000100000" w:firstRow="0" w:lastRow="0" w:firstColumn="0" w:lastColumn="0" w:oddVBand="0" w:evenVBand="0" w:oddHBand="1" w:evenHBand="0" w:firstRowFirstColumn="0" w:firstRowLastColumn="0" w:lastRowFirstColumn="0" w:lastRowLastColumn="0"/>
          <w:trHeight w:val="300"/>
        </w:trPr>
        <w:tc>
          <w:tcPr>
            <w:tcW w:w="1980" w:type="dxa"/>
            <w:shd w:val="clear" w:color="auto" w:fill="404040"/>
            <w:noWrap/>
            <w:hideMark/>
          </w:tcPr>
          <w:p w14:paraId="123A68B2" w14:textId="77777777" w:rsidR="00623569" w:rsidRPr="002B5B6C" w:rsidRDefault="00623569" w:rsidP="001517F2">
            <w:pPr>
              <w:pStyle w:val="Tableheaderrow"/>
              <w:keepNext/>
              <w:keepLines/>
              <w:rPr>
                <w:rFonts w:cs="Arial"/>
                <w:color w:val="FFFFFF" w:themeColor="background1"/>
                <w:szCs w:val="20"/>
              </w:rPr>
            </w:pPr>
            <w:r w:rsidRPr="002B5B6C">
              <w:rPr>
                <w:rFonts w:cs="Arial"/>
                <w:color w:val="FFFFFF" w:themeColor="background1"/>
                <w:szCs w:val="20"/>
              </w:rPr>
              <w:t>Discount rate</w:t>
            </w:r>
          </w:p>
        </w:tc>
        <w:tc>
          <w:tcPr>
            <w:tcW w:w="1276" w:type="dxa"/>
            <w:shd w:val="clear" w:color="auto" w:fill="404040"/>
            <w:noWrap/>
            <w:hideMark/>
          </w:tcPr>
          <w:p w14:paraId="65CF23DE" w14:textId="77777777" w:rsidR="00623569" w:rsidRPr="002B5B6C" w:rsidRDefault="00623569" w:rsidP="001517F2">
            <w:pPr>
              <w:pStyle w:val="Tableheaderrow"/>
              <w:keepNext/>
              <w:keepLines/>
              <w:jc w:val="right"/>
              <w:rPr>
                <w:rFonts w:cs="Arial"/>
                <w:color w:val="FFFFFF" w:themeColor="background1"/>
                <w:szCs w:val="20"/>
              </w:rPr>
            </w:pPr>
            <w:r w:rsidRPr="002B5B6C">
              <w:rPr>
                <w:rFonts w:cs="Arial"/>
                <w:color w:val="FFFFFF" w:themeColor="background1"/>
                <w:szCs w:val="20"/>
              </w:rPr>
              <w:t>4%</w:t>
            </w:r>
          </w:p>
        </w:tc>
        <w:tc>
          <w:tcPr>
            <w:tcW w:w="1417" w:type="dxa"/>
            <w:shd w:val="clear" w:color="auto" w:fill="404040"/>
            <w:noWrap/>
            <w:hideMark/>
          </w:tcPr>
          <w:p w14:paraId="569FE61F" w14:textId="77777777" w:rsidR="00623569" w:rsidRPr="002B5B6C" w:rsidRDefault="00623569" w:rsidP="001517F2">
            <w:pPr>
              <w:pStyle w:val="Tableheaderrow"/>
              <w:keepNext/>
              <w:keepLines/>
              <w:jc w:val="right"/>
              <w:rPr>
                <w:rFonts w:cs="Arial"/>
                <w:color w:val="FFFFFF" w:themeColor="background1"/>
                <w:szCs w:val="20"/>
              </w:rPr>
            </w:pPr>
            <w:r w:rsidRPr="002B5B6C">
              <w:rPr>
                <w:rFonts w:cs="Arial"/>
                <w:color w:val="FFFFFF" w:themeColor="background1"/>
                <w:szCs w:val="20"/>
              </w:rPr>
              <w:t>7%</w:t>
            </w:r>
          </w:p>
        </w:tc>
        <w:tc>
          <w:tcPr>
            <w:tcW w:w="1418" w:type="dxa"/>
            <w:tcBorders>
              <w:right w:val="single" w:sz="4" w:space="0" w:color="FFFFFF" w:themeColor="background1"/>
            </w:tcBorders>
            <w:shd w:val="clear" w:color="auto" w:fill="404040"/>
            <w:noWrap/>
            <w:hideMark/>
          </w:tcPr>
          <w:p w14:paraId="4F4C115F" w14:textId="77777777" w:rsidR="00623569" w:rsidRPr="002B5B6C" w:rsidRDefault="00623569" w:rsidP="001517F2">
            <w:pPr>
              <w:pStyle w:val="Tableheaderrow"/>
              <w:keepNext/>
              <w:keepLines/>
              <w:jc w:val="right"/>
              <w:rPr>
                <w:rFonts w:cs="Arial"/>
                <w:color w:val="FFFFFF" w:themeColor="background1"/>
                <w:szCs w:val="20"/>
              </w:rPr>
            </w:pPr>
            <w:r w:rsidRPr="002B5B6C">
              <w:rPr>
                <w:rFonts w:cs="Arial"/>
                <w:color w:val="FFFFFF" w:themeColor="background1"/>
                <w:szCs w:val="20"/>
              </w:rPr>
              <w:t>10%</w:t>
            </w:r>
          </w:p>
        </w:tc>
        <w:tc>
          <w:tcPr>
            <w:tcW w:w="1417" w:type="dxa"/>
            <w:tcBorders>
              <w:left w:val="single" w:sz="4" w:space="0" w:color="FFFFFF" w:themeColor="background1"/>
            </w:tcBorders>
            <w:shd w:val="clear" w:color="auto" w:fill="404040"/>
          </w:tcPr>
          <w:p w14:paraId="344348BF" w14:textId="77777777" w:rsidR="00623569" w:rsidRPr="002B5B6C" w:rsidRDefault="00623569" w:rsidP="001517F2">
            <w:pPr>
              <w:pStyle w:val="Tableheaderrow"/>
              <w:keepNext/>
              <w:keepLines/>
              <w:jc w:val="right"/>
              <w:rPr>
                <w:rFonts w:cs="Arial"/>
                <w:color w:val="FFFFFF" w:themeColor="background1"/>
                <w:szCs w:val="20"/>
              </w:rPr>
            </w:pPr>
            <w:r w:rsidRPr="002B5B6C">
              <w:rPr>
                <w:rFonts w:cs="Arial"/>
                <w:color w:val="FFFFFF" w:themeColor="background1"/>
                <w:szCs w:val="20"/>
              </w:rPr>
              <w:t>4%</w:t>
            </w:r>
          </w:p>
        </w:tc>
        <w:tc>
          <w:tcPr>
            <w:tcW w:w="1418" w:type="dxa"/>
            <w:shd w:val="clear" w:color="auto" w:fill="404040"/>
          </w:tcPr>
          <w:p w14:paraId="144A9C0F" w14:textId="77777777" w:rsidR="00623569" w:rsidRPr="002B5B6C" w:rsidRDefault="00623569" w:rsidP="001517F2">
            <w:pPr>
              <w:pStyle w:val="Tableheaderrow"/>
              <w:keepNext/>
              <w:keepLines/>
              <w:jc w:val="right"/>
              <w:rPr>
                <w:rFonts w:cs="Arial"/>
                <w:color w:val="FFFFFF" w:themeColor="background1"/>
                <w:szCs w:val="20"/>
              </w:rPr>
            </w:pPr>
            <w:r w:rsidRPr="002B5B6C">
              <w:rPr>
                <w:rFonts w:cs="Arial"/>
                <w:color w:val="FFFFFF" w:themeColor="background1"/>
                <w:szCs w:val="20"/>
              </w:rPr>
              <w:t>7%</w:t>
            </w:r>
          </w:p>
        </w:tc>
        <w:tc>
          <w:tcPr>
            <w:tcW w:w="1417" w:type="dxa"/>
            <w:shd w:val="clear" w:color="auto" w:fill="404040"/>
          </w:tcPr>
          <w:p w14:paraId="0D51A8AB" w14:textId="77777777" w:rsidR="00623569" w:rsidRPr="002B5B6C" w:rsidRDefault="00623569" w:rsidP="001517F2">
            <w:pPr>
              <w:pStyle w:val="Tableheaderrow"/>
              <w:keepNext/>
              <w:keepLines/>
              <w:jc w:val="right"/>
              <w:rPr>
                <w:rFonts w:cs="Arial"/>
                <w:color w:val="FFFFFF" w:themeColor="background1"/>
                <w:szCs w:val="20"/>
              </w:rPr>
            </w:pPr>
            <w:r w:rsidRPr="002B5B6C">
              <w:rPr>
                <w:rFonts w:cs="Arial"/>
                <w:color w:val="FFFFFF" w:themeColor="background1"/>
                <w:szCs w:val="20"/>
              </w:rPr>
              <w:t>10%</w:t>
            </w:r>
          </w:p>
        </w:tc>
      </w:tr>
      <w:tr w:rsidR="00375D95" w:rsidRPr="002B5B6C" w14:paraId="25E27C34" w14:textId="77777777" w:rsidTr="00375D95">
        <w:trPr>
          <w:cnfStyle w:val="000000010000" w:firstRow="0" w:lastRow="0" w:firstColumn="0" w:lastColumn="0" w:oddVBand="0" w:evenVBand="0" w:oddHBand="0" w:evenHBand="1" w:firstRowFirstColumn="0" w:firstRowLastColumn="0" w:lastRowFirstColumn="0" w:lastRowLastColumn="0"/>
          <w:trHeight w:val="300"/>
        </w:trPr>
        <w:tc>
          <w:tcPr>
            <w:tcW w:w="1980" w:type="dxa"/>
            <w:tcBorders>
              <w:top w:val="single" w:sz="18" w:space="0" w:color="auto"/>
              <w:bottom w:val="single" w:sz="4" w:space="0" w:color="auto"/>
            </w:tcBorders>
            <w:shd w:val="clear" w:color="auto" w:fill="auto"/>
            <w:noWrap/>
          </w:tcPr>
          <w:p w14:paraId="40D413BE" w14:textId="77777777" w:rsidR="00623569" w:rsidRPr="002B5B6C" w:rsidRDefault="00623569" w:rsidP="001517F2">
            <w:pPr>
              <w:pStyle w:val="TableBody"/>
              <w:keepNext/>
              <w:keepLines/>
              <w:rPr>
                <w:rFonts w:cs="Arial"/>
                <w:b/>
                <w:szCs w:val="20"/>
              </w:rPr>
            </w:pPr>
            <w:r w:rsidRPr="002B5B6C">
              <w:rPr>
                <w:rFonts w:cs="Arial"/>
                <w:szCs w:val="20"/>
              </w:rPr>
              <w:t>Total costs</w:t>
            </w:r>
          </w:p>
        </w:tc>
        <w:tc>
          <w:tcPr>
            <w:tcW w:w="1276" w:type="dxa"/>
            <w:tcBorders>
              <w:top w:val="single" w:sz="18" w:space="0" w:color="auto"/>
              <w:bottom w:val="single" w:sz="4" w:space="0" w:color="auto"/>
            </w:tcBorders>
            <w:shd w:val="clear" w:color="auto" w:fill="auto"/>
            <w:noWrap/>
          </w:tcPr>
          <w:p w14:paraId="23063897" w14:textId="77777777" w:rsidR="00623569" w:rsidRPr="002B5B6C" w:rsidRDefault="00623569" w:rsidP="001517F2">
            <w:pPr>
              <w:pStyle w:val="TableBody"/>
              <w:keepNext/>
              <w:keepLines/>
              <w:jc w:val="right"/>
              <w:rPr>
                <w:rFonts w:cs="Arial"/>
                <w:b/>
                <w:szCs w:val="20"/>
              </w:rPr>
            </w:pPr>
            <w:r w:rsidRPr="002B5B6C">
              <w:rPr>
                <w:rFonts w:cs="Arial"/>
                <w:color w:val="FF0000"/>
                <w:szCs w:val="20"/>
              </w:rPr>
              <w:t>-$9,802,267</w:t>
            </w:r>
          </w:p>
        </w:tc>
        <w:tc>
          <w:tcPr>
            <w:tcW w:w="1417" w:type="dxa"/>
            <w:tcBorders>
              <w:top w:val="single" w:sz="18" w:space="0" w:color="auto"/>
              <w:bottom w:val="single" w:sz="4" w:space="0" w:color="auto"/>
            </w:tcBorders>
            <w:shd w:val="clear" w:color="auto" w:fill="auto"/>
            <w:noWrap/>
          </w:tcPr>
          <w:p w14:paraId="40B5C728" w14:textId="77777777" w:rsidR="00623569" w:rsidRPr="002B5B6C" w:rsidRDefault="00623569" w:rsidP="001517F2">
            <w:pPr>
              <w:pStyle w:val="TableBody"/>
              <w:keepNext/>
              <w:keepLines/>
              <w:jc w:val="right"/>
              <w:rPr>
                <w:rFonts w:cs="Arial"/>
                <w:b/>
                <w:szCs w:val="20"/>
              </w:rPr>
            </w:pPr>
            <w:r w:rsidRPr="002B5B6C">
              <w:rPr>
                <w:rFonts w:cs="Arial"/>
                <w:color w:val="FF0000"/>
                <w:szCs w:val="20"/>
              </w:rPr>
              <w:t>-$8,955,819</w:t>
            </w:r>
          </w:p>
        </w:tc>
        <w:tc>
          <w:tcPr>
            <w:tcW w:w="1418" w:type="dxa"/>
            <w:tcBorders>
              <w:top w:val="single" w:sz="18" w:space="0" w:color="auto"/>
              <w:bottom w:val="single" w:sz="4" w:space="0" w:color="auto"/>
            </w:tcBorders>
            <w:shd w:val="clear" w:color="auto" w:fill="auto"/>
            <w:noWrap/>
          </w:tcPr>
          <w:p w14:paraId="18A61C41" w14:textId="77777777" w:rsidR="00623569" w:rsidRPr="002B5B6C" w:rsidRDefault="00623569" w:rsidP="001517F2">
            <w:pPr>
              <w:pStyle w:val="TableBody"/>
              <w:keepNext/>
              <w:keepLines/>
              <w:jc w:val="right"/>
              <w:rPr>
                <w:rFonts w:cs="Arial"/>
                <w:b/>
                <w:szCs w:val="20"/>
              </w:rPr>
            </w:pPr>
            <w:r w:rsidRPr="002B5B6C">
              <w:rPr>
                <w:rFonts w:cs="Arial"/>
                <w:color w:val="FF0000"/>
                <w:szCs w:val="20"/>
              </w:rPr>
              <w:t>-$8,260,142</w:t>
            </w:r>
          </w:p>
        </w:tc>
        <w:tc>
          <w:tcPr>
            <w:tcW w:w="1417" w:type="dxa"/>
            <w:tcBorders>
              <w:top w:val="single" w:sz="18" w:space="0" w:color="auto"/>
              <w:bottom w:val="single" w:sz="4" w:space="0" w:color="auto"/>
            </w:tcBorders>
            <w:shd w:val="clear" w:color="auto" w:fill="auto"/>
          </w:tcPr>
          <w:p w14:paraId="3796B178" w14:textId="77777777" w:rsidR="00623569" w:rsidRPr="002B5B6C" w:rsidRDefault="00623569" w:rsidP="001517F2">
            <w:pPr>
              <w:pStyle w:val="TableBody"/>
              <w:keepNext/>
              <w:keepLines/>
              <w:jc w:val="right"/>
              <w:rPr>
                <w:rFonts w:cs="Arial"/>
                <w:b/>
                <w:szCs w:val="20"/>
              </w:rPr>
            </w:pPr>
            <w:r w:rsidRPr="002B5B6C">
              <w:rPr>
                <w:rFonts w:cs="Arial"/>
                <w:color w:val="FF0000"/>
                <w:szCs w:val="20"/>
              </w:rPr>
              <w:t>-$16,114,166</w:t>
            </w:r>
          </w:p>
        </w:tc>
        <w:tc>
          <w:tcPr>
            <w:tcW w:w="1418" w:type="dxa"/>
            <w:tcBorders>
              <w:top w:val="single" w:sz="18" w:space="0" w:color="auto"/>
              <w:bottom w:val="single" w:sz="4" w:space="0" w:color="auto"/>
            </w:tcBorders>
            <w:shd w:val="clear" w:color="auto" w:fill="auto"/>
          </w:tcPr>
          <w:p w14:paraId="2B2329DA" w14:textId="77777777" w:rsidR="00623569" w:rsidRPr="002B5B6C" w:rsidRDefault="00623569" w:rsidP="001517F2">
            <w:pPr>
              <w:pStyle w:val="TableBody"/>
              <w:keepNext/>
              <w:keepLines/>
              <w:jc w:val="right"/>
              <w:rPr>
                <w:rFonts w:cs="Arial"/>
                <w:b/>
                <w:szCs w:val="20"/>
              </w:rPr>
            </w:pPr>
            <w:r w:rsidRPr="002B5B6C">
              <w:rPr>
                <w:rFonts w:cs="Arial"/>
                <w:color w:val="FF0000"/>
                <w:szCs w:val="20"/>
              </w:rPr>
              <w:t>-$14,844,493</w:t>
            </w:r>
          </w:p>
        </w:tc>
        <w:tc>
          <w:tcPr>
            <w:tcW w:w="1417" w:type="dxa"/>
            <w:tcBorders>
              <w:top w:val="single" w:sz="18" w:space="0" w:color="auto"/>
              <w:bottom w:val="single" w:sz="4" w:space="0" w:color="auto"/>
            </w:tcBorders>
            <w:shd w:val="clear" w:color="auto" w:fill="auto"/>
          </w:tcPr>
          <w:p w14:paraId="7F096130" w14:textId="77777777" w:rsidR="00623569" w:rsidRPr="002B5B6C" w:rsidRDefault="00623569" w:rsidP="001517F2">
            <w:pPr>
              <w:pStyle w:val="TableBody"/>
              <w:keepNext/>
              <w:keepLines/>
              <w:jc w:val="right"/>
              <w:rPr>
                <w:rFonts w:cs="Arial"/>
                <w:b/>
                <w:szCs w:val="20"/>
              </w:rPr>
            </w:pPr>
            <w:r w:rsidRPr="002B5B6C">
              <w:rPr>
                <w:rFonts w:cs="Arial"/>
                <w:color w:val="FF0000"/>
                <w:szCs w:val="20"/>
              </w:rPr>
              <w:t>-$13,800,979</w:t>
            </w:r>
          </w:p>
        </w:tc>
      </w:tr>
      <w:tr w:rsidR="00375D95" w:rsidRPr="002B5B6C" w14:paraId="72EC9027" w14:textId="77777777" w:rsidTr="00375D95">
        <w:trPr>
          <w:cnfStyle w:val="000000100000" w:firstRow="0" w:lastRow="0" w:firstColumn="0" w:lastColumn="0" w:oddVBand="0" w:evenVBand="0" w:oddHBand="1" w:evenHBand="0" w:firstRowFirstColumn="0" w:firstRowLastColumn="0" w:lastRowFirstColumn="0" w:lastRowLastColumn="0"/>
          <w:trHeight w:val="300"/>
        </w:trPr>
        <w:tc>
          <w:tcPr>
            <w:tcW w:w="1980" w:type="dxa"/>
            <w:tcBorders>
              <w:bottom w:val="single" w:sz="18" w:space="0" w:color="auto"/>
            </w:tcBorders>
            <w:shd w:val="clear" w:color="auto" w:fill="F2F2F2" w:themeFill="background1" w:themeFillShade="F2"/>
            <w:noWrap/>
          </w:tcPr>
          <w:p w14:paraId="7CC3A3D7" w14:textId="77777777" w:rsidR="00623569" w:rsidRPr="002B5B6C" w:rsidRDefault="00623569" w:rsidP="001517F2">
            <w:pPr>
              <w:pStyle w:val="TableBody"/>
              <w:keepNext/>
              <w:keepLines/>
              <w:rPr>
                <w:rFonts w:cs="Arial"/>
                <w:b/>
                <w:szCs w:val="20"/>
              </w:rPr>
            </w:pPr>
            <w:r w:rsidRPr="002B5B6C">
              <w:rPr>
                <w:rFonts w:cs="Arial"/>
                <w:szCs w:val="20"/>
              </w:rPr>
              <w:t>Total benefits</w:t>
            </w:r>
          </w:p>
        </w:tc>
        <w:tc>
          <w:tcPr>
            <w:tcW w:w="1276" w:type="dxa"/>
            <w:tcBorders>
              <w:bottom w:val="single" w:sz="18" w:space="0" w:color="auto"/>
            </w:tcBorders>
            <w:shd w:val="clear" w:color="auto" w:fill="F2F2F2" w:themeFill="background1" w:themeFillShade="F2"/>
            <w:noWrap/>
          </w:tcPr>
          <w:p w14:paraId="78715DD9" w14:textId="77777777" w:rsidR="00623569" w:rsidRPr="002B5B6C" w:rsidRDefault="00623569" w:rsidP="001517F2">
            <w:pPr>
              <w:pStyle w:val="TableBody"/>
              <w:keepNext/>
              <w:keepLines/>
              <w:jc w:val="right"/>
              <w:rPr>
                <w:rFonts w:cs="Arial"/>
                <w:b/>
                <w:szCs w:val="20"/>
              </w:rPr>
            </w:pPr>
            <w:r w:rsidRPr="002B5B6C">
              <w:rPr>
                <w:rFonts w:cs="Arial"/>
                <w:color w:val="000000"/>
                <w:szCs w:val="20"/>
              </w:rPr>
              <w:t>$4,578,853</w:t>
            </w:r>
          </w:p>
        </w:tc>
        <w:tc>
          <w:tcPr>
            <w:tcW w:w="1417" w:type="dxa"/>
            <w:tcBorders>
              <w:bottom w:val="single" w:sz="18" w:space="0" w:color="auto"/>
            </w:tcBorders>
            <w:shd w:val="clear" w:color="auto" w:fill="F2F2F2" w:themeFill="background1" w:themeFillShade="F2"/>
            <w:noWrap/>
          </w:tcPr>
          <w:p w14:paraId="302A39A8" w14:textId="77777777" w:rsidR="00623569" w:rsidRPr="002B5B6C" w:rsidRDefault="00623569" w:rsidP="001517F2">
            <w:pPr>
              <w:pStyle w:val="TableBody"/>
              <w:keepNext/>
              <w:keepLines/>
              <w:jc w:val="right"/>
              <w:rPr>
                <w:rFonts w:cs="Arial"/>
                <w:b/>
                <w:szCs w:val="20"/>
              </w:rPr>
            </w:pPr>
            <w:r w:rsidRPr="002B5B6C">
              <w:rPr>
                <w:rFonts w:cs="Arial"/>
                <w:color w:val="000000"/>
                <w:szCs w:val="20"/>
              </w:rPr>
              <w:t>$3,873,066</w:t>
            </w:r>
          </w:p>
        </w:tc>
        <w:tc>
          <w:tcPr>
            <w:tcW w:w="1418" w:type="dxa"/>
            <w:tcBorders>
              <w:bottom w:val="single" w:sz="18" w:space="0" w:color="auto"/>
            </w:tcBorders>
            <w:shd w:val="clear" w:color="auto" w:fill="F2F2F2" w:themeFill="background1" w:themeFillShade="F2"/>
            <w:noWrap/>
          </w:tcPr>
          <w:p w14:paraId="5EF2A431" w14:textId="77777777" w:rsidR="00623569" w:rsidRPr="002B5B6C" w:rsidRDefault="00623569" w:rsidP="001517F2">
            <w:pPr>
              <w:pStyle w:val="TableBody"/>
              <w:keepNext/>
              <w:keepLines/>
              <w:jc w:val="right"/>
              <w:rPr>
                <w:rFonts w:cs="Arial"/>
                <w:b/>
                <w:szCs w:val="20"/>
              </w:rPr>
            </w:pPr>
            <w:r w:rsidRPr="002B5B6C">
              <w:rPr>
                <w:rFonts w:cs="Arial"/>
                <w:color w:val="000000"/>
                <w:szCs w:val="20"/>
              </w:rPr>
              <w:t>$3,292,995</w:t>
            </w:r>
          </w:p>
        </w:tc>
        <w:tc>
          <w:tcPr>
            <w:tcW w:w="1417" w:type="dxa"/>
            <w:tcBorders>
              <w:bottom w:val="single" w:sz="18" w:space="0" w:color="auto"/>
            </w:tcBorders>
            <w:shd w:val="clear" w:color="auto" w:fill="F2F2F2" w:themeFill="background1" w:themeFillShade="F2"/>
          </w:tcPr>
          <w:p w14:paraId="1D91D48E" w14:textId="77777777" w:rsidR="00623569" w:rsidRPr="002B5B6C" w:rsidRDefault="00623569" w:rsidP="001517F2">
            <w:pPr>
              <w:pStyle w:val="TableBody"/>
              <w:keepNext/>
              <w:keepLines/>
              <w:jc w:val="right"/>
              <w:rPr>
                <w:rFonts w:cs="Arial"/>
                <w:b/>
                <w:szCs w:val="20"/>
              </w:rPr>
            </w:pPr>
            <w:r w:rsidRPr="002B5B6C">
              <w:rPr>
                <w:rFonts w:cs="Arial"/>
                <w:color w:val="000000"/>
                <w:szCs w:val="20"/>
              </w:rPr>
              <w:t>$27,821,663</w:t>
            </w:r>
          </w:p>
        </w:tc>
        <w:tc>
          <w:tcPr>
            <w:tcW w:w="1418" w:type="dxa"/>
            <w:tcBorders>
              <w:bottom w:val="single" w:sz="18" w:space="0" w:color="auto"/>
            </w:tcBorders>
            <w:shd w:val="clear" w:color="auto" w:fill="F2F2F2" w:themeFill="background1" w:themeFillShade="F2"/>
          </w:tcPr>
          <w:p w14:paraId="7E93FC83" w14:textId="77777777" w:rsidR="00623569" w:rsidRPr="002B5B6C" w:rsidRDefault="00623569" w:rsidP="001517F2">
            <w:pPr>
              <w:pStyle w:val="TableBody"/>
              <w:keepNext/>
              <w:keepLines/>
              <w:jc w:val="right"/>
              <w:rPr>
                <w:rFonts w:cs="Arial"/>
                <w:b/>
                <w:szCs w:val="20"/>
              </w:rPr>
            </w:pPr>
            <w:r w:rsidRPr="002B5B6C">
              <w:rPr>
                <w:rFonts w:cs="Arial"/>
                <w:color w:val="000000"/>
                <w:szCs w:val="20"/>
              </w:rPr>
              <w:t>$24,231,171</w:t>
            </w:r>
          </w:p>
        </w:tc>
        <w:tc>
          <w:tcPr>
            <w:tcW w:w="1417" w:type="dxa"/>
            <w:tcBorders>
              <w:bottom w:val="single" w:sz="18" w:space="0" w:color="auto"/>
            </w:tcBorders>
            <w:shd w:val="clear" w:color="auto" w:fill="F2F2F2" w:themeFill="background1" w:themeFillShade="F2"/>
          </w:tcPr>
          <w:p w14:paraId="0E4B1EE3" w14:textId="77777777" w:rsidR="00623569" w:rsidRPr="002B5B6C" w:rsidRDefault="00623569" w:rsidP="001517F2">
            <w:pPr>
              <w:pStyle w:val="TableBody"/>
              <w:keepNext/>
              <w:keepLines/>
              <w:jc w:val="right"/>
              <w:rPr>
                <w:rFonts w:cs="Arial"/>
                <w:b/>
                <w:szCs w:val="20"/>
              </w:rPr>
            </w:pPr>
            <w:r w:rsidRPr="002B5B6C">
              <w:rPr>
                <w:rFonts w:cs="Arial"/>
                <w:color w:val="000000"/>
                <w:szCs w:val="20"/>
              </w:rPr>
              <w:t>$21,281,166</w:t>
            </w:r>
          </w:p>
        </w:tc>
      </w:tr>
      <w:tr w:rsidR="00623569" w:rsidRPr="002B5B6C" w14:paraId="2DB10968" w14:textId="77777777" w:rsidTr="00375D95">
        <w:trPr>
          <w:cnfStyle w:val="000000010000" w:firstRow="0" w:lastRow="0" w:firstColumn="0" w:lastColumn="0" w:oddVBand="0" w:evenVBand="0" w:oddHBand="0" w:evenHBand="1" w:firstRowFirstColumn="0" w:firstRowLastColumn="0" w:lastRowFirstColumn="0" w:lastRowLastColumn="0"/>
          <w:trHeight w:val="300"/>
        </w:trPr>
        <w:tc>
          <w:tcPr>
            <w:tcW w:w="1980" w:type="dxa"/>
            <w:tcBorders>
              <w:top w:val="single" w:sz="18" w:space="0" w:color="auto"/>
              <w:bottom w:val="single" w:sz="18" w:space="0" w:color="auto"/>
            </w:tcBorders>
            <w:shd w:val="clear" w:color="auto" w:fill="auto"/>
            <w:noWrap/>
          </w:tcPr>
          <w:p w14:paraId="78631004" w14:textId="77777777" w:rsidR="00623569" w:rsidRPr="002B5B6C" w:rsidRDefault="00623569" w:rsidP="001517F2">
            <w:pPr>
              <w:pStyle w:val="TableBody"/>
              <w:keepNext/>
              <w:keepLines/>
              <w:rPr>
                <w:rFonts w:cs="Arial"/>
                <w:szCs w:val="20"/>
              </w:rPr>
            </w:pPr>
            <w:r w:rsidRPr="002B5B6C">
              <w:rPr>
                <w:rFonts w:cs="Arial"/>
                <w:szCs w:val="20"/>
              </w:rPr>
              <w:t>Net Present Value</w:t>
            </w:r>
          </w:p>
        </w:tc>
        <w:tc>
          <w:tcPr>
            <w:tcW w:w="1276" w:type="dxa"/>
            <w:tcBorders>
              <w:top w:val="single" w:sz="18" w:space="0" w:color="auto"/>
              <w:bottom w:val="single" w:sz="18" w:space="0" w:color="auto"/>
            </w:tcBorders>
            <w:shd w:val="clear" w:color="auto" w:fill="auto"/>
            <w:noWrap/>
          </w:tcPr>
          <w:p w14:paraId="0B6A605E" w14:textId="77777777" w:rsidR="00623569" w:rsidRPr="002B5B6C" w:rsidRDefault="00623569" w:rsidP="001517F2">
            <w:pPr>
              <w:pStyle w:val="TableBody"/>
              <w:keepNext/>
              <w:keepLines/>
              <w:jc w:val="right"/>
              <w:rPr>
                <w:rFonts w:cs="Arial"/>
                <w:szCs w:val="20"/>
              </w:rPr>
            </w:pPr>
            <w:r w:rsidRPr="002B5B6C">
              <w:rPr>
                <w:rFonts w:cs="Arial"/>
                <w:color w:val="000000"/>
                <w:szCs w:val="20"/>
              </w:rPr>
              <w:t>-$5,223,414</w:t>
            </w:r>
          </w:p>
        </w:tc>
        <w:tc>
          <w:tcPr>
            <w:tcW w:w="1417" w:type="dxa"/>
            <w:tcBorders>
              <w:top w:val="single" w:sz="18" w:space="0" w:color="auto"/>
              <w:bottom w:val="single" w:sz="18" w:space="0" w:color="auto"/>
            </w:tcBorders>
            <w:shd w:val="clear" w:color="auto" w:fill="auto"/>
            <w:noWrap/>
          </w:tcPr>
          <w:p w14:paraId="0AFFB3D1" w14:textId="77777777" w:rsidR="00623569" w:rsidRPr="002B5B6C" w:rsidRDefault="00623569" w:rsidP="001517F2">
            <w:pPr>
              <w:pStyle w:val="TableBody"/>
              <w:keepNext/>
              <w:keepLines/>
              <w:jc w:val="right"/>
              <w:rPr>
                <w:rFonts w:cs="Arial"/>
                <w:szCs w:val="20"/>
              </w:rPr>
            </w:pPr>
            <w:r w:rsidRPr="002B5B6C">
              <w:rPr>
                <w:rFonts w:cs="Arial"/>
                <w:color w:val="000000"/>
                <w:szCs w:val="20"/>
              </w:rPr>
              <w:t>-$5,082,753</w:t>
            </w:r>
          </w:p>
        </w:tc>
        <w:tc>
          <w:tcPr>
            <w:tcW w:w="1418" w:type="dxa"/>
            <w:tcBorders>
              <w:top w:val="single" w:sz="18" w:space="0" w:color="auto"/>
              <w:bottom w:val="single" w:sz="18" w:space="0" w:color="auto"/>
            </w:tcBorders>
            <w:shd w:val="clear" w:color="auto" w:fill="auto"/>
            <w:noWrap/>
          </w:tcPr>
          <w:p w14:paraId="0EA21F36" w14:textId="77777777" w:rsidR="00623569" w:rsidRPr="002B5B6C" w:rsidRDefault="00623569" w:rsidP="001517F2">
            <w:pPr>
              <w:pStyle w:val="TableBody"/>
              <w:keepNext/>
              <w:keepLines/>
              <w:jc w:val="right"/>
              <w:rPr>
                <w:rFonts w:cs="Arial"/>
                <w:szCs w:val="20"/>
              </w:rPr>
            </w:pPr>
            <w:r w:rsidRPr="002B5B6C">
              <w:rPr>
                <w:rFonts w:cs="Arial"/>
                <w:color w:val="000000"/>
                <w:szCs w:val="20"/>
              </w:rPr>
              <w:t>-$4,967,147</w:t>
            </w:r>
          </w:p>
        </w:tc>
        <w:tc>
          <w:tcPr>
            <w:tcW w:w="1417" w:type="dxa"/>
            <w:tcBorders>
              <w:top w:val="single" w:sz="18" w:space="0" w:color="auto"/>
              <w:bottom w:val="single" w:sz="18" w:space="0" w:color="auto"/>
            </w:tcBorders>
            <w:shd w:val="clear" w:color="auto" w:fill="auto"/>
          </w:tcPr>
          <w:p w14:paraId="7C941CA0" w14:textId="77777777" w:rsidR="00623569" w:rsidRPr="002B5B6C" w:rsidRDefault="00623569" w:rsidP="001517F2">
            <w:pPr>
              <w:pStyle w:val="TableBody"/>
              <w:keepNext/>
              <w:keepLines/>
              <w:jc w:val="right"/>
              <w:rPr>
                <w:rFonts w:cs="Arial"/>
                <w:szCs w:val="20"/>
              </w:rPr>
            </w:pPr>
            <w:r w:rsidRPr="002B5B6C">
              <w:rPr>
                <w:rFonts w:cs="Arial"/>
                <w:color w:val="000000"/>
                <w:szCs w:val="20"/>
              </w:rPr>
              <w:t>$11,707,497</w:t>
            </w:r>
          </w:p>
        </w:tc>
        <w:tc>
          <w:tcPr>
            <w:tcW w:w="1418" w:type="dxa"/>
            <w:tcBorders>
              <w:top w:val="single" w:sz="18" w:space="0" w:color="auto"/>
              <w:bottom w:val="single" w:sz="18" w:space="0" w:color="auto"/>
            </w:tcBorders>
            <w:shd w:val="clear" w:color="auto" w:fill="auto"/>
          </w:tcPr>
          <w:p w14:paraId="591B274D" w14:textId="77777777" w:rsidR="00623569" w:rsidRPr="002B5B6C" w:rsidRDefault="00623569" w:rsidP="001517F2">
            <w:pPr>
              <w:pStyle w:val="TableBody"/>
              <w:keepNext/>
              <w:keepLines/>
              <w:jc w:val="right"/>
              <w:rPr>
                <w:rFonts w:cs="Arial"/>
                <w:szCs w:val="20"/>
              </w:rPr>
            </w:pPr>
            <w:r w:rsidRPr="002B5B6C">
              <w:rPr>
                <w:rFonts w:cs="Arial"/>
                <w:color w:val="000000"/>
                <w:szCs w:val="20"/>
              </w:rPr>
              <w:t>$9,386,678</w:t>
            </w:r>
          </w:p>
        </w:tc>
        <w:tc>
          <w:tcPr>
            <w:tcW w:w="1417" w:type="dxa"/>
            <w:tcBorders>
              <w:top w:val="single" w:sz="18" w:space="0" w:color="auto"/>
              <w:bottom w:val="single" w:sz="18" w:space="0" w:color="auto"/>
            </w:tcBorders>
            <w:shd w:val="clear" w:color="auto" w:fill="auto"/>
          </w:tcPr>
          <w:p w14:paraId="01BF9483" w14:textId="77777777" w:rsidR="00623569" w:rsidRPr="002B5B6C" w:rsidRDefault="00623569" w:rsidP="001517F2">
            <w:pPr>
              <w:pStyle w:val="TableBody"/>
              <w:keepNext/>
              <w:keepLines/>
              <w:jc w:val="right"/>
              <w:rPr>
                <w:rFonts w:cs="Arial"/>
                <w:szCs w:val="20"/>
              </w:rPr>
            </w:pPr>
            <w:r w:rsidRPr="002B5B6C">
              <w:rPr>
                <w:rFonts w:cs="Arial"/>
                <w:color w:val="000000"/>
                <w:szCs w:val="20"/>
              </w:rPr>
              <w:t>$7,480,187</w:t>
            </w:r>
          </w:p>
        </w:tc>
      </w:tr>
      <w:tr w:rsidR="00375D95" w:rsidRPr="002B5B6C" w14:paraId="628CCE10" w14:textId="77777777" w:rsidTr="00375D95">
        <w:trPr>
          <w:cnfStyle w:val="000000100000" w:firstRow="0" w:lastRow="0" w:firstColumn="0" w:lastColumn="0" w:oddVBand="0" w:evenVBand="0" w:oddHBand="1" w:evenHBand="0" w:firstRowFirstColumn="0" w:firstRowLastColumn="0" w:lastRowFirstColumn="0" w:lastRowLastColumn="0"/>
          <w:trHeight w:val="300"/>
        </w:trPr>
        <w:tc>
          <w:tcPr>
            <w:tcW w:w="1980" w:type="dxa"/>
            <w:tcBorders>
              <w:top w:val="single" w:sz="18" w:space="0" w:color="auto"/>
            </w:tcBorders>
            <w:shd w:val="clear" w:color="auto" w:fill="F2F2F2" w:themeFill="background1" w:themeFillShade="F2"/>
            <w:noWrap/>
          </w:tcPr>
          <w:p w14:paraId="7BC2ADE0" w14:textId="77777777" w:rsidR="00623569" w:rsidRPr="002B5B6C" w:rsidRDefault="00623569" w:rsidP="001517F2">
            <w:pPr>
              <w:pStyle w:val="TableBody"/>
              <w:keepNext/>
              <w:keepLines/>
              <w:rPr>
                <w:rFonts w:cs="Arial"/>
                <w:szCs w:val="20"/>
              </w:rPr>
            </w:pPr>
            <w:r w:rsidRPr="002B5B6C">
              <w:rPr>
                <w:rFonts w:cs="Arial"/>
                <w:szCs w:val="20"/>
              </w:rPr>
              <w:t>Benefit Cost Ratio</w:t>
            </w:r>
          </w:p>
        </w:tc>
        <w:tc>
          <w:tcPr>
            <w:tcW w:w="1276" w:type="dxa"/>
            <w:tcBorders>
              <w:top w:val="single" w:sz="18" w:space="0" w:color="auto"/>
            </w:tcBorders>
            <w:shd w:val="clear" w:color="auto" w:fill="F2F2F2" w:themeFill="background1" w:themeFillShade="F2"/>
            <w:noWrap/>
          </w:tcPr>
          <w:p w14:paraId="76956C13" w14:textId="77777777" w:rsidR="00623569" w:rsidRPr="002B5B6C" w:rsidRDefault="00623569" w:rsidP="001517F2">
            <w:pPr>
              <w:pStyle w:val="TableBody"/>
              <w:keepNext/>
              <w:keepLines/>
              <w:jc w:val="right"/>
              <w:rPr>
                <w:rFonts w:cs="Arial"/>
                <w:szCs w:val="20"/>
              </w:rPr>
            </w:pPr>
            <w:r w:rsidRPr="002B5B6C">
              <w:rPr>
                <w:rFonts w:cs="Arial"/>
                <w:color w:val="000000"/>
                <w:szCs w:val="20"/>
              </w:rPr>
              <w:t>0.47</w:t>
            </w:r>
          </w:p>
        </w:tc>
        <w:tc>
          <w:tcPr>
            <w:tcW w:w="1417" w:type="dxa"/>
            <w:tcBorders>
              <w:top w:val="single" w:sz="18" w:space="0" w:color="auto"/>
            </w:tcBorders>
            <w:shd w:val="clear" w:color="auto" w:fill="F2F2F2" w:themeFill="background1" w:themeFillShade="F2"/>
            <w:noWrap/>
          </w:tcPr>
          <w:p w14:paraId="5D5FFEED" w14:textId="77777777" w:rsidR="00623569" w:rsidRPr="002B5B6C" w:rsidRDefault="00623569" w:rsidP="001517F2">
            <w:pPr>
              <w:pStyle w:val="TableBody"/>
              <w:keepNext/>
              <w:keepLines/>
              <w:jc w:val="right"/>
              <w:rPr>
                <w:rFonts w:cs="Arial"/>
                <w:szCs w:val="20"/>
              </w:rPr>
            </w:pPr>
            <w:r w:rsidRPr="002B5B6C">
              <w:rPr>
                <w:rFonts w:cs="Arial"/>
                <w:color w:val="000000"/>
                <w:szCs w:val="20"/>
              </w:rPr>
              <w:t>0.43</w:t>
            </w:r>
          </w:p>
        </w:tc>
        <w:tc>
          <w:tcPr>
            <w:tcW w:w="1418" w:type="dxa"/>
            <w:tcBorders>
              <w:top w:val="single" w:sz="18" w:space="0" w:color="auto"/>
            </w:tcBorders>
            <w:shd w:val="clear" w:color="auto" w:fill="F2F2F2" w:themeFill="background1" w:themeFillShade="F2"/>
            <w:noWrap/>
          </w:tcPr>
          <w:p w14:paraId="46C3A4D6" w14:textId="77777777" w:rsidR="00623569" w:rsidRPr="002B5B6C" w:rsidRDefault="00623569" w:rsidP="001517F2">
            <w:pPr>
              <w:pStyle w:val="TableBody"/>
              <w:keepNext/>
              <w:keepLines/>
              <w:jc w:val="right"/>
              <w:rPr>
                <w:rFonts w:cs="Arial"/>
                <w:szCs w:val="20"/>
              </w:rPr>
            </w:pPr>
            <w:r w:rsidRPr="002B5B6C">
              <w:rPr>
                <w:rFonts w:cs="Arial"/>
                <w:color w:val="000000"/>
                <w:szCs w:val="20"/>
              </w:rPr>
              <w:t>0.40</w:t>
            </w:r>
          </w:p>
        </w:tc>
        <w:tc>
          <w:tcPr>
            <w:tcW w:w="1417" w:type="dxa"/>
            <w:tcBorders>
              <w:top w:val="single" w:sz="18" w:space="0" w:color="auto"/>
            </w:tcBorders>
            <w:shd w:val="clear" w:color="auto" w:fill="F2F2F2" w:themeFill="background1" w:themeFillShade="F2"/>
          </w:tcPr>
          <w:p w14:paraId="5A977E4E" w14:textId="77777777" w:rsidR="00623569" w:rsidRPr="002B5B6C" w:rsidRDefault="00623569" w:rsidP="001517F2">
            <w:pPr>
              <w:pStyle w:val="TableBody"/>
              <w:keepNext/>
              <w:keepLines/>
              <w:jc w:val="right"/>
              <w:rPr>
                <w:rFonts w:cs="Arial"/>
                <w:szCs w:val="20"/>
              </w:rPr>
            </w:pPr>
            <w:r w:rsidRPr="002B5B6C">
              <w:rPr>
                <w:rFonts w:cs="Arial"/>
                <w:color w:val="000000"/>
                <w:szCs w:val="20"/>
              </w:rPr>
              <w:t>1.73</w:t>
            </w:r>
          </w:p>
        </w:tc>
        <w:tc>
          <w:tcPr>
            <w:tcW w:w="1418" w:type="dxa"/>
            <w:tcBorders>
              <w:top w:val="single" w:sz="18" w:space="0" w:color="auto"/>
            </w:tcBorders>
            <w:shd w:val="clear" w:color="auto" w:fill="F2F2F2" w:themeFill="background1" w:themeFillShade="F2"/>
          </w:tcPr>
          <w:p w14:paraId="00D56B01" w14:textId="77777777" w:rsidR="00623569" w:rsidRPr="002B5B6C" w:rsidRDefault="00623569" w:rsidP="001517F2">
            <w:pPr>
              <w:pStyle w:val="TableBody"/>
              <w:keepNext/>
              <w:keepLines/>
              <w:jc w:val="right"/>
              <w:rPr>
                <w:rFonts w:cs="Arial"/>
                <w:szCs w:val="20"/>
              </w:rPr>
            </w:pPr>
            <w:r w:rsidRPr="002B5B6C">
              <w:rPr>
                <w:rFonts w:cs="Arial"/>
                <w:color w:val="000000"/>
                <w:szCs w:val="20"/>
              </w:rPr>
              <w:t>1.63</w:t>
            </w:r>
          </w:p>
        </w:tc>
        <w:tc>
          <w:tcPr>
            <w:tcW w:w="1417" w:type="dxa"/>
            <w:tcBorders>
              <w:top w:val="single" w:sz="18" w:space="0" w:color="auto"/>
            </w:tcBorders>
            <w:shd w:val="clear" w:color="auto" w:fill="F2F2F2" w:themeFill="background1" w:themeFillShade="F2"/>
          </w:tcPr>
          <w:p w14:paraId="1676B1B9" w14:textId="77777777" w:rsidR="00623569" w:rsidRPr="002B5B6C" w:rsidRDefault="00623569" w:rsidP="001517F2">
            <w:pPr>
              <w:pStyle w:val="TableBody"/>
              <w:keepNext/>
              <w:keepLines/>
              <w:jc w:val="right"/>
              <w:rPr>
                <w:rFonts w:cs="Arial"/>
                <w:szCs w:val="20"/>
              </w:rPr>
            </w:pPr>
            <w:r w:rsidRPr="002B5B6C">
              <w:rPr>
                <w:rFonts w:cs="Arial"/>
                <w:color w:val="000000"/>
                <w:szCs w:val="20"/>
              </w:rPr>
              <w:t>1.54</w:t>
            </w:r>
          </w:p>
        </w:tc>
      </w:tr>
    </w:tbl>
    <w:p w14:paraId="4ECA2892" w14:textId="77777777" w:rsidR="00623569" w:rsidRDefault="00623569" w:rsidP="00623569">
      <w:pPr>
        <w:spacing w:after="0"/>
        <w:rPr>
          <w:rFonts w:cs="Arial"/>
          <w:szCs w:val="20"/>
        </w:rPr>
      </w:pPr>
    </w:p>
    <w:p w14:paraId="3C8348A6" w14:textId="77777777" w:rsidR="00623569" w:rsidRDefault="00623569" w:rsidP="00623569">
      <w:pPr>
        <w:pStyle w:val="Heading2"/>
        <w:spacing w:before="240" w:after="120"/>
      </w:pPr>
      <w:bookmarkStart w:id="67" w:name="_Toc153270574"/>
      <w:bookmarkStart w:id="68" w:name="_Toc155686004"/>
      <w:r w:rsidRPr="001C7B5E">
        <w:t>Regulatory burden measurement</w:t>
      </w:r>
      <w:bookmarkEnd w:id="67"/>
      <w:bookmarkEnd w:id="68"/>
      <w:r w:rsidRPr="001C7B5E">
        <w:t xml:space="preserve"> </w:t>
      </w:r>
    </w:p>
    <w:p w14:paraId="1386D974" w14:textId="77777777" w:rsidR="00623569" w:rsidRPr="00324231" w:rsidRDefault="00623569" w:rsidP="00623569">
      <w:pPr>
        <w:pStyle w:val="Paragraph"/>
      </w:pPr>
      <w:r w:rsidRPr="00826160">
        <w:t xml:space="preserve">Regulatory Burden Measurement </w:t>
      </w:r>
      <w:r>
        <w:t xml:space="preserve">utilises the same information as the cost benefit analysis but focusses only on the </w:t>
      </w:r>
      <w:r w:rsidRPr="00826160">
        <w:t>costs that fall to businesses (including government-owned corporations), community organisations and individuals.</w:t>
      </w:r>
    </w:p>
    <w:p w14:paraId="3751061E" w14:textId="77777777" w:rsidR="00623569" w:rsidRPr="00826160" w:rsidRDefault="00623569" w:rsidP="00623569">
      <w:pPr>
        <w:pStyle w:val="Paragraph"/>
      </w:pPr>
      <w:r w:rsidRPr="00826160">
        <w:t>Regulatory Burden Measurement was undertaken in line with Australian Government guidance</w:t>
      </w:r>
      <w:r>
        <w:rPr>
          <w:rStyle w:val="FootnoteReference"/>
        </w:rPr>
        <w:footnoteReference w:id="55"/>
      </w:r>
      <w:r w:rsidRPr="00826160">
        <w:t xml:space="preserve"> </w:t>
      </w:r>
      <w:r>
        <w:t xml:space="preserve">identifies the </w:t>
      </w:r>
      <w:r w:rsidRPr="00210F5E">
        <w:t>average annual change in regulatory costs is measured against ‘business as usual’ costs</w:t>
      </w:r>
      <w:r>
        <w:t xml:space="preserve">. The framework includes consideration of regulatory compliance costs (both administrative costs and substantive compliance costs) as well as delay costs. For this reform no delay costs were identified and so the analysis focussed on the likely compliance </w:t>
      </w:r>
      <w:r w:rsidRPr="00210F5E">
        <w:t>costs.</w:t>
      </w:r>
    </w:p>
    <w:p w14:paraId="3A64719C" w14:textId="77777777" w:rsidR="00623569" w:rsidRDefault="00623569" w:rsidP="00623569">
      <w:pPr>
        <w:pStyle w:val="Tableheading"/>
      </w:pPr>
      <w:r w:rsidRPr="003D5136">
        <w:t>Average annual regulatory costs (from business as usual)</w:t>
      </w:r>
    </w:p>
    <w:tbl>
      <w:tblPr>
        <w:tblStyle w:val="ABAREStableleftalign"/>
        <w:tblW w:w="10343" w:type="dxa"/>
        <w:tblBorders>
          <w:left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4A0" w:firstRow="1" w:lastRow="0" w:firstColumn="1" w:lastColumn="0" w:noHBand="0" w:noVBand="1"/>
      </w:tblPr>
      <w:tblGrid>
        <w:gridCol w:w="1555"/>
        <w:gridCol w:w="1802"/>
        <w:gridCol w:w="1679"/>
        <w:gridCol w:w="2614"/>
        <w:gridCol w:w="2693"/>
      </w:tblGrid>
      <w:tr w:rsidR="00623569" w:rsidRPr="00FF2211" w14:paraId="4B1E2C1C" w14:textId="77777777" w:rsidTr="001517F2">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55" w:type="dxa"/>
            <w:shd w:val="clear" w:color="auto" w:fill="404040" w:themeFill="text1" w:themeFillTint="BF"/>
            <w:noWrap/>
          </w:tcPr>
          <w:p w14:paraId="3A6736CD" w14:textId="77777777" w:rsidR="00623569" w:rsidRPr="002B5B6C" w:rsidRDefault="00623569" w:rsidP="001517F2">
            <w:pPr>
              <w:pStyle w:val="TableBody"/>
              <w:spacing w:before="0"/>
              <w:rPr>
                <w:b/>
                <w:bCs/>
                <w:color w:val="FFFFFF" w:themeColor="background1"/>
              </w:rPr>
            </w:pPr>
          </w:p>
        </w:tc>
        <w:tc>
          <w:tcPr>
            <w:tcW w:w="8788" w:type="dxa"/>
            <w:gridSpan w:val="4"/>
            <w:shd w:val="clear" w:color="auto" w:fill="404040" w:themeFill="text1" w:themeFillTint="BF"/>
            <w:noWrap/>
          </w:tcPr>
          <w:p w14:paraId="24AE3B1A" w14:textId="77777777" w:rsidR="00623569" w:rsidRPr="002B5B6C" w:rsidRDefault="00623569" w:rsidP="001517F2">
            <w:pPr>
              <w:pStyle w:val="TableBody"/>
              <w:spacing w:before="0"/>
              <w:jc w:val="center"/>
              <w:cnfStyle w:val="100000000000" w:firstRow="1" w:lastRow="0" w:firstColumn="0" w:lastColumn="0" w:oddVBand="0" w:evenVBand="0" w:oddHBand="0" w:evenHBand="0" w:firstRowFirstColumn="0" w:firstRowLastColumn="0" w:lastRowFirstColumn="0" w:lastRowLastColumn="0"/>
              <w:rPr>
                <w:b/>
                <w:bCs/>
                <w:color w:val="FFFFFF" w:themeColor="background1"/>
                <w:szCs w:val="20"/>
              </w:rPr>
            </w:pPr>
            <w:r w:rsidRPr="002B5B6C">
              <w:rPr>
                <w:b/>
                <w:bCs/>
                <w:color w:val="FFFFFF" w:themeColor="background1"/>
              </w:rPr>
              <w:t>Change in costs ($ million)</w:t>
            </w:r>
          </w:p>
        </w:tc>
      </w:tr>
      <w:tr w:rsidR="00623569" w:rsidRPr="00FF2211" w14:paraId="4DF418E5" w14:textId="77777777" w:rsidTr="001517F2">
        <w:trPr>
          <w:trHeight w:val="279"/>
        </w:trPr>
        <w:tc>
          <w:tcPr>
            <w:cnfStyle w:val="001000000000" w:firstRow="0" w:lastRow="0" w:firstColumn="1" w:lastColumn="0" w:oddVBand="0" w:evenVBand="0" w:oddHBand="0" w:evenHBand="0" w:firstRowFirstColumn="0" w:firstRowLastColumn="0" w:lastRowFirstColumn="0" w:lastRowLastColumn="0"/>
            <w:tcW w:w="1555" w:type="dxa"/>
            <w:shd w:val="clear" w:color="auto" w:fill="7F7F7F" w:themeFill="text1" w:themeFillTint="80"/>
            <w:noWrap/>
            <w:hideMark/>
          </w:tcPr>
          <w:p w14:paraId="5F8F1BF1" w14:textId="77777777" w:rsidR="00623569" w:rsidRPr="002B5B6C" w:rsidRDefault="00623569" w:rsidP="001517F2">
            <w:pPr>
              <w:pStyle w:val="TableBody"/>
              <w:spacing w:before="0"/>
              <w:rPr>
                <w:b/>
                <w:bCs/>
                <w:color w:val="FFFFFF" w:themeColor="background1"/>
              </w:rPr>
            </w:pPr>
          </w:p>
        </w:tc>
        <w:tc>
          <w:tcPr>
            <w:tcW w:w="1802" w:type="dxa"/>
            <w:shd w:val="clear" w:color="auto" w:fill="7F7F7F" w:themeFill="text1" w:themeFillTint="80"/>
            <w:noWrap/>
            <w:hideMark/>
          </w:tcPr>
          <w:p w14:paraId="102FCA5D" w14:textId="77777777" w:rsidR="00623569" w:rsidRPr="002B5B6C" w:rsidRDefault="00623569" w:rsidP="001517F2">
            <w:pPr>
              <w:pStyle w:val="TableBody"/>
              <w:spacing w:before="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2B5B6C">
              <w:rPr>
                <w:b/>
                <w:bCs/>
                <w:color w:val="FFFFFF" w:themeColor="background1"/>
              </w:rPr>
              <w:t>Business</w:t>
            </w:r>
          </w:p>
        </w:tc>
        <w:tc>
          <w:tcPr>
            <w:tcW w:w="1679" w:type="dxa"/>
            <w:shd w:val="clear" w:color="auto" w:fill="7F7F7F" w:themeFill="text1" w:themeFillTint="80"/>
            <w:noWrap/>
            <w:hideMark/>
          </w:tcPr>
          <w:p w14:paraId="14731526" w14:textId="77777777" w:rsidR="00623569" w:rsidRPr="002B5B6C" w:rsidRDefault="00623569" w:rsidP="001517F2">
            <w:pPr>
              <w:pStyle w:val="TableBody"/>
              <w:spacing w:before="0"/>
              <w:jc w:val="right"/>
              <w:cnfStyle w:val="000000000000" w:firstRow="0" w:lastRow="0" w:firstColumn="0" w:lastColumn="0" w:oddVBand="0" w:evenVBand="0" w:oddHBand="0" w:evenHBand="0" w:firstRowFirstColumn="0" w:firstRowLastColumn="0" w:lastRowFirstColumn="0" w:lastRowLastColumn="0"/>
              <w:rPr>
                <w:b/>
                <w:bCs/>
                <w:color w:val="FFFFFF" w:themeColor="background1"/>
                <w:szCs w:val="20"/>
              </w:rPr>
            </w:pPr>
            <w:r w:rsidRPr="002B5B6C">
              <w:rPr>
                <w:b/>
                <w:bCs/>
                <w:color w:val="FFFFFF" w:themeColor="background1"/>
                <w:szCs w:val="20"/>
              </w:rPr>
              <w:t>Community organisations</w:t>
            </w:r>
          </w:p>
        </w:tc>
        <w:tc>
          <w:tcPr>
            <w:tcW w:w="2614" w:type="dxa"/>
            <w:shd w:val="clear" w:color="auto" w:fill="7F7F7F" w:themeFill="text1" w:themeFillTint="80"/>
            <w:noWrap/>
            <w:hideMark/>
          </w:tcPr>
          <w:p w14:paraId="1DFF1199" w14:textId="77777777" w:rsidR="00623569" w:rsidRPr="002B5B6C" w:rsidRDefault="00623569" w:rsidP="001517F2">
            <w:pPr>
              <w:pStyle w:val="TableBody"/>
              <w:spacing w:before="0"/>
              <w:jc w:val="right"/>
              <w:cnfStyle w:val="000000000000" w:firstRow="0" w:lastRow="0" w:firstColumn="0" w:lastColumn="0" w:oddVBand="0" w:evenVBand="0" w:oddHBand="0" w:evenHBand="0" w:firstRowFirstColumn="0" w:firstRowLastColumn="0" w:lastRowFirstColumn="0" w:lastRowLastColumn="0"/>
              <w:rPr>
                <w:b/>
                <w:bCs/>
                <w:color w:val="FFFFFF" w:themeColor="background1"/>
                <w:szCs w:val="20"/>
              </w:rPr>
            </w:pPr>
            <w:r w:rsidRPr="002B5B6C">
              <w:rPr>
                <w:b/>
                <w:bCs/>
                <w:color w:val="FFFFFF" w:themeColor="background1"/>
                <w:szCs w:val="20"/>
              </w:rPr>
              <w:t>Individuals</w:t>
            </w:r>
          </w:p>
        </w:tc>
        <w:tc>
          <w:tcPr>
            <w:tcW w:w="2693" w:type="dxa"/>
            <w:shd w:val="clear" w:color="auto" w:fill="7F7F7F" w:themeFill="text1" w:themeFillTint="80"/>
            <w:noWrap/>
            <w:hideMark/>
          </w:tcPr>
          <w:p w14:paraId="5D52D64C" w14:textId="77777777" w:rsidR="00623569" w:rsidRPr="002B5B6C" w:rsidRDefault="00623569" w:rsidP="001517F2">
            <w:pPr>
              <w:pStyle w:val="TableBody"/>
              <w:spacing w:before="0"/>
              <w:jc w:val="right"/>
              <w:cnfStyle w:val="000000000000" w:firstRow="0" w:lastRow="0" w:firstColumn="0" w:lastColumn="0" w:oddVBand="0" w:evenVBand="0" w:oddHBand="0" w:evenHBand="0" w:firstRowFirstColumn="0" w:firstRowLastColumn="0" w:lastRowFirstColumn="0" w:lastRowLastColumn="0"/>
              <w:rPr>
                <w:b/>
                <w:bCs/>
                <w:color w:val="FFFFFF" w:themeColor="background1"/>
                <w:szCs w:val="20"/>
              </w:rPr>
            </w:pPr>
            <w:r w:rsidRPr="002B5B6C">
              <w:rPr>
                <w:b/>
                <w:bCs/>
                <w:color w:val="FFFFFF" w:themeColor="background1"/>
                <w:szCs w:val="20"/>
              </w:rPr>
              <w:t>Total change in costs</w:t>
            </w:r>
          </w:p>
        </w:tc>
      </w:tr>
      <w:tr w:rsidR="00623569" w:rsidRPr="00FF2211" w14:paraId="3E8E032E" w14:textId="77777777" w:rsidTr="001517F2">
        <w:trPr>
          <w:trHeight w:val="279"/>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86BE9A0" w14:textId="77777777" w:rsidR="00623569" w:rsidRPr="00FF2211" w:rsidRDefault="00623569" w:rsidP="001517F2">
            <w:pPr>
              <w:pStyle w:val="TableBody"/>
              <w:spacing w:before="0"/>
              <w:rPr>
                <w:rFonts w:cstheme="minorHAnsi"/>
                <w:b/>
                <w:szCs w:val="20"/>
              </w:rPr>
            </w:pPr>
            <w:r>
              <w:rPr>
                <w:rFonts w:cstheme="minorHAnsi"/>
                <w:szCs w:val="20"/>
              </w:rPr>
              <w:t xml:space="preserve">Option 2A </w:t>
            </w:r>
          </w:p>
        </w:tc>
        <w:tc>
          <w:tcPr>
            <w:tcW w:w="1802" w:type="dxa"/>
            <w:noWrap/>
          </w:tcPr>
          <w:p w14:paraId="4EEE7032" w14:textId="77777777" w:rsidR="00623569" w:rsidRPr="00FF2211" w:rsidRDefault="00623569" w:rsidP="001517F2">
            <w:pPr>
              <w:pStyle w:val="TableBody"/>
              <w:spacing w:before="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E87FEF">
              <w:t>$1.12</w:t>
            </w:r>
          </w:p>
        </w:tc>
        <w:tc>
          <w:tcPr>
            <w:tcW w:w="1679" w:type="dxa"/>
            <w:noWrap/>
          </w:tcPr>
          <w:p w14:paraId="2C531C89" w14:textId="77777777" w:rsidR="00623569" w:rsidRPr="00FF2211" w:rsidRDefault="00623569" w:rsidP="001517F2">
            <w:pPr>
              <w:pStyle w:val="TableBody"/>
              <w:spacing w:before="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E87FEF">
              <w:t>$0.00</w:t>
            </w:r>
          </w:p>
        </w:tc>
        <w:tc>
          <w:tcPr>
            <w:tcW w:w="2614" w:type="dxa"/>
            <w:noWrap/>
          </w:tcPr>
          <w:p w14:paraId="0B7A7C9A" w14:textId="77777777" w:rsidR="00623569" w:rsidRPr="00FF2211" w:rsidRDefault="00623569" w:rsidP="001517F2">
            <w:pPr>
              <w:pStyle w:val="TableBody"/>
              <w:spacing w:before="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E87FEF">
              <w:t>-</w:t>
            </w:r>
            <w:r>
              <w:t>$</w:t>
            </w:r>
            <w:r w:rsidRPr="00E87FEF">
              <w:t>0.52  +</w:t>
            </w:r>
            <w:r>
              <w:t xml:space="preserve"> </w:t>
            </w:r>
            <w:r w:rsidRPr="00E87FEF">
              <w:t>unquantified reduction in costs</w:t>
            </w:r>
          </w:p>
        </w:tc>
        <w:tc>
          <w:tcPr>
            <w:tcW w:w="2693" w:type="dxa"/>
            <w:noWrap/>
          </w:tcPr>
          <w:p w14:paraId="750AE8B3" w14:textId="77777777" w:rsidR="00623569" w:rsidRPr="00FF2211" w:rsidRDefault="00623569" w:rsidP="001517F2">
            <w:pPr>
              <w:pStyle w:val="TableBody"/>
              <w:spacing w:before="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t>$</w:t>
            </w:r>
            <w:r w:rsidRPr="00E87FEF">
              <w:t>0.6  +</w:t>
            </w:r>
            <w:r>
              <w:t xml:space="preserve"> </w:t>
            </w:r>
            <w:r w:rsidRPr="00E87FEF">
              <w:t>unquantified reduction in costs</w:t>
            </w:r>
          </w:p>
        </w:tc>
      </w:tr>
      <w:tr w:rsidR="00623569" w:rsidRPr="00FF2211" w14:paraId="2342353E" w14:textId="77777777" w:rsidTr="001517F2">
        <w:trPr>
          <w:trHeight w:val="279"/>
        </w:trPr>
        <w:tc>
          <w:tcPr>
            <w:cnfStyle w:val="001000000000" w:firstRow="0" w:lastRow="0" w:firstColumn="1" w:lastColumn="0" w:oddVBand="0" w:evenVBand="0" w:oddHBand="0" w:evenHBand="0" w:firstRowFirstColumn="0" w:firstRowLastColumn="0" w:lastRowFirstColumn="0" w:lastRowLastColumn="0"/>
            <w:tcW w:w="1555" w:type="dxa"/>
            <w:noWrap/>
          </w:tcPr>
          <w:p w14:paraId="691CC1C4" w14:textId="77777777" w:rsidR="00623569" w:rsidRDefault="00623569" w:rsidP="001517F2">
            <w:pPr>
              <w:pStyle w:val="TableBody"/>
              <w:spacing w:before="0"/>
              <w:rPr>
                <w:rFonts w:cstheme="minorHAnsi"/>
                <w:szCs w:val="20"/>
              </w:rPr>
            </w:pPr>
            <w:r>
              <w:rPr>
                <w:rFonts w:cstheme="minorHAnsi"/>
                <w:szCs w:val="20"/>
              </w:rPr>
              <w:t>Option 2B</w:t>
            </w:r>
          </w:p>
        </w:tc>
        <w:tc>
          <w:tcPr>
            <w:tcW w:w="1802" w:type="dxa"/>
            <w:noWrap/>
          </w:tcPr>
          <w:p w14:paraId="0F42760A" w14:textId="77777777" w:rsidR="00623569" w:rsidRPr="00FF2211" w:rsidRDefault="00623569" w:rsidP="001517F2">
            <w:pPr>
              <w:pStyle w:val="TableBody"/>
              <w:spacing w:before="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424CA3">
              <w:t>$1.82</w:t>
            </w:r>
          </w:p>
        </w:tc>
        <w:tc>
          <w:tcPr>
            <w:tcW w:w="1679" w:type="dxa"/>
            <w:noWrap/>
          </w:tcPr>
          <w:p w14:paraId="03B71E73" w14:textId="77777777" w:rsidR="00623569" w:rsidRPr="00FF2211" w:rsidRDefault="00623569" w:rsidP="001517F2">
            <w:pPr>
              <w:pStyle w:val="TableBody"/>
              <w:spacing w:before="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424CA3">
              <w:t>$0.00</w:t>
            </w:r>
          </w:p>
        </w:tc>
        <w:tc>
          <w:tcPr>
            <w:tcW w:w="2614" w:type="dxa"/>
            <w:noWrap/>
          </w:tcPr>
          <w:p w14:paraId="2317D9D3" w14:textId="77777777" w:rsidR="00623569" w:rsidRPr="00FF2211" w:rsidRDefault="00623569" w:rsidP="001517F2">
            <w:pPr>
              <w:pStyle w:val="TableBody"/>
              <w:spacing w:before="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424CA3">
              <w:t>-</w:t>
            </w:r>
            <w:r>
              <w:t>$</w:t>
            </w:r>
            <w:r w:rsidRPr="00424CA3">
              <w:t>2.81  +</w:t>
            </w:r>
            <w:r>
              <w:t xml:space="preserve"> </w:t>
            </w:r>
            <w:r w:rsidRPr="00424CA3">
              <w:t>unquantified reduction in costs</w:t>
            </w:r>
          </w:p>
        </w:tc>
        <w:tc>
          <w:tcPr>
            <w:tcW w:w="2693" w:type="dxa"/>
            <w:noWrap/>
          </w:tcPr>
          <w:p w14:paraId="650C4865" w14:textId="77777777" w:rsidR="00623569" w:rsidRPr="00FF2211" w:rsidRDefault="00623569" w:rsidP="001517F2">
            <w:pPr>
              <w:pStyle w:val="TableBody"/>
              <w:spacing w:before="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424CA3">
              <w:t>-</w:t>
            </w:r>
            <w:r>
              <w:t>$</w:t>
            </w:r>
            <w:r w:rsidRPr="00424CA3">
              <w:t>0.99 +</w:t>
            </w:r>
            <w:r>
              <w:t xml:space="preserve"> </w:t>
            </w:r>
            <w:r w:rsidRPr="00424CA3">
              <w:t>unquantified reduction in costs</w:t>
            </w:r>
          </w:p>
        </w:tc>
      </w:tr>
    </w:tbl>
    <w:p w14:paraId="3E014A3D" w14:textId="77777777" w:rsidR="00623569" w:rsidRDefault="00623569" w:rsidP="00623569">
      <w:pPr>
        <w:pStyle w:val="Bulletlevel1last"/>
        <w:numPr>
          <w:ilvl w:val="0"/>
          <w:numId w:val="0"/>
        </w:numPr>
        <w:spacing w:after="120"/>
      </w:pPr>
    </w:p>
    <w:p w14:paraId="5289E146" w14:textId="77777777" w:rsidR="00623569" w:rsidRDefault="00623569" w:rsidP="00623569">
      <w:pPr>
        <w:pStyle w:val="Bulletlevel1last"/>
        <w:numPr>
          <w:ilvl w:val="0"/>
          <w:numId w:val="0"/>
        </w:numPr>
      </w:pPr>
      <w:r>
        <w:t xml:space="preserve">The analysis determined that Option 2A would have a small increase in costs for industry, but this is predicted to be offset by a reduction in costs for individuals – although this is unquantified. The unquantified reduction in costs correlates to the </w:t>
      </w:r>
      <w:r w:rsidRPr="002B5B6C">
        <w:t>range of consumer benefits</w:t>
      </w:r>
      <w:r>
        <w:t xml:space="preserve"> described above</w:t>
      </w:r>
      <w:r w:rsidRPr="002B5B6C">
        <w:t xml:space="preserve"> that are not readily</w:t>
      </w:r>
      <w:r>
        <w:t xml:space="preserve"> quantifiable.  </w:t>
      </w:r>
    </w:p>
    <w:p w14:paraId="0E940F7A" w14:textId="77777777" w:rsidR="00623569" w:rsidRPr="007514EA" w:rsidRDefault="00623569" w:rsidP="00623569">
      <w:pPr>
        <w:pStyle w:val="Bulletlevel1last"/>
        <w:numPr>
          <w:ilvl w:val="0"/>
          <w:numId w:val="0"/>
        </w:numPr>
      </w:pPr>
      <w:r>
        <w:t>Option 2B is expected to result in a decrease in costs for industry as well as the predicted reduction in costs for individuals.</w:t>
      </w:r>
    </w:p>
    <w:p w14:paraId="61227503" w14:textId="77777777" w:rsidR="00623569" w:rsidRPr="00BF41CE" w:rsidRDefault="00623569" w:rsidP="00623569">
      <w:pPr>
        <w:pStyle w:val="Heading1"/>
      </w:pPr>
      <w:bookmarkStart w:id="69" w:name="_Toc32833706"/>
      <w:bookmarkStart w:id="70" w:name="_Toc32833752"/>
      <w:bookmarkStart w:id="71" w:name="_Toc32833825"/>
      <w:bookmarkStart w:id="72" w:name="_Toc55546925"/>
      <w:bookmarkStart w:id="73" w:name="_Toc56092957"/>
      <w:bookmarkStart w:id="74" w:name="_Toc155686005"/>
      <w:r w:rsidRPr="00BF41CE">
        <w:lastRenderedPageBreak/>
        <w:t>Who was consulted and what did they say?</w:t>
      </w:r>
      <w:bookmarkEnd w:id="69"/>
      <w:bookmarkEnd w:id="70"/>
      <w:bookmarkEnd w:id="71"/>
      <w:bookmarkEnd w:id="72"/>
      <w:bookmarkEnd w:id="73"/>
      <w:bookmarkEnd w:id="74"/>
    </w:p>
    <w:p w14:paraId="01EFEF0D" w14:textId="77777777" w:rsidR="00623569" w:rsidRPr="00BF41CE" w:rsidRDefault="00623569" w:rsidP="00623569">
      <w:pPr>
        <w:pStyle w:val="Heading2"/>
      </w:pPr>
      <w:bookmarkStart w:id="75" w:name="_Toc155686006"/>
      <w:r w:rsidRPr="00BF41CE">
        <w:t>Consultation</w:t>
      </w:r>
      <w:bookmarkEnd w:id="75"/>
    </w:p>
    <w:p w14:paraId="6CB27BF8" w14:textId="77777777" w:rsidR="00623569" w:rsidRPr="00A820BD" w:rsidRDefault="00623569" w:rsidP="00623569">
      <w:pPr>
        <w:pStyle w:val="Paragraphbeforelist"/>
      </w:pPr>
      <w:r w:rsidRPr="00A820BD">
        <w:t xml:space="preserve">Extensive consultation has been </w:t>
      </w:r>
      <w:r>
        <w:t xml:space="preserve">undertaken </w:t>
      </w:r>
      <w:r w:rsidRPr="00A820BD">
        <w:t>leading up to the Minister's directi</w:t>
      </w:r>
      <w:r>
        <w:t>on</w:t>
      </w:r>
      <w:r w:rsidRPr="00A820BD">
        <w:t xml:space="preserve"> for the ACMA to establish a standard. </w:t>
      </w:r>
      <w:r>
        <w:t>T</w:t>
      </w:r>
      <w:r w:rsidRPr="00A820BD">
        <w:t xml:space="preserve">his </w:t>
      </w:r>
      <w:r>
        <w:t>extensive engagement, spanning several years,</w:t>
      </w:r>
      <w:r w:rsidRPr="00A820BD">
        <w:t xml:space="preserve"> involved key stakeholders and </w:t>
      </w:r>
      <w:r>
        <w:t>diverse</w:t>
      </w:r>
      <w:r w:rsidRPr="00A820BD">
        <w:t xml:space="preserve"> sources, shaping our understanding of crucial consumer protections, </w:t>
      </w:r>
      <w:r>
        <w:t>with a focus on</w:t>
      </w:r>
      <w:r w:rsidRPr="00A820BD">
        <w:t xml:space="preserve"> addressing financial hardship. The consultation landscape </w:t>
      </w:r>
      <w:r>
        <w:t>includes</w:t>
      </w:r>
      <w:r w:rsidRPr="00A820BD">
        <w:t>:</w:t>
      </w:r>
    </w:p>
    <w:p w14:paraId="164AC66B" w14:textId="77777777" w:rsidR="00623569" w:rsidRPr="009C2263" w:rsidRDefault="00623569" w:rsidP="00623569">
      <w:pPr>
        <w:pStyle w:val="Bulletlevel1"/>
        <w:tabs>
          <w:tab w:val="clear" w:pos="295"/>
        </w:tabs>
        <w:ind w:left="357" w:hanging="357"/>
      </w:pPr>
      <w:r w:rsidRPr="009C2263">
        <w:t xml:space="preserve">ACMA research and reports </w:t>
      </w:r>
      <w:r>
        <w:t>over</w:t>
      </w:r>
      <w:r w:rsidRPr="009C2263">
        <w:t xml:space="preserve"> the past </w:t>
      </w:r>
      <w:r>
        <w:t>4</w:t>
      </w:r>
      <w:r w:rsidRPr="009C2263">
        <w:t xml:space="preserve"> years</w:t>
      </w:r>
      <w:r>
        <w:t xml:space="preserve"> have been instrumental</w:t>
      </w:r>
      <w:r w:rsidRPr="009C2263">
        <w:t xml:space="preserve">, complemented by insights from diverse stakeholders, culminating in submissions to the TCP Code review. This collective input consistently </w:t>
      </w:r>
      <w:r>
        <w:t>highlights</w:t>
      </w:r>
      <w:r w:rsidRPr="009C2263">
        <w:t xml:space="preserve"> the significance of financial hardship as a prevalent issue, </w:t>
      </w:r>
      <w:r>
        <w:t>prompting</w:t>
      </w:r>
      <w:r w:rsidRPr="009C2263">
        <w:t xml:space="preserve"> the need for more robust measures aligned with reasonable consumer expectations.</w:t>
      </w:r>
    </w:p>
    <w:p w14:paraId="4DAAC1E0" w14:textId="77777777" w:rsidR="00623569" w:rsidRPr="009C2263" w:rsidRDefault="00623569" w:rsidP="00623569">
      <w:pPr>
        <w:pStyle w:val="Bulletlevel1"/>
        <w:tabs>
          <w:tab w:val="clear" w:pos="295"/>
        </w:tabs>
        <w:ind w:left="357" w:hanging="357"/>
      </w:pPr>
      <w:r>
        <w:t xml:space="preserve">The </w:t>
      </w:r>
      <w:r w:rsidRPr="009C2263">
        <w:t>ACMA</w:t>
      </w:r>
      <w:r>
        <w:t xml:space="preserve"> has consistently worked towards enhancing </w:t>
      </w:r>
      <w:r w:rsidRPr="009C2263">
        <w:t>financial hardship arrangements</w:t>
      </w:r>
      <w:r>
        <w:t xml:space="preserve"> </w:t>
      </w:r>
      <w:r w:rsidRPr="009C2263">
        <w:t xml:space="preserve">through research, reports, </w:t>
      </w:r>
      <w:r>
        <w:t>consultation on consumer vulnerability in July 2021</w:t>
      </w:r>
      <w:r>
        <w:rPr>
          <w:rStyle w:val="FootnoteReference"/>
          <w:color w:val="000000"/>
          <w:szCs w:val="20"/>
        </w:rPr>
        <w:footnoteReference w:id="56"/>
      </w:r>
      <w:r>
        <w:t xml:space="preserve">, </w:t>
      </w:r>
      <w:r w:rsidRPr="009C2263">
        <w:t xml:space="preserve">the issuance of the Statement of Expectations in May 2022, and the What Consumers Want position paper in July 2023. </w:t>
      </w:r>
      <w:r>
        <w:t xml:space="preserve">This commitment has been echoed by the </w:t>
      </w:r>
      <w:r w:rsidRPr="009C2263">
        <w:t xml:space="preserve">TIO, </w:t>
      </w:r>
      <w:r>
        <w:t xml:space="preserve">the </w:t>
      </w:r>
      <w:r w:rsidRPr="009C2263">
        <w:t>ACCC, and consumer groups</w:t>
      </w:r>
      <w:r>
        <w:t xml:space="preserve"> such as </w:t>
      </w:r>
      <w:r w:rsidRPr="009C2263">
        <w:t xml:space="preserve">ACCAN, </w:t>
      </w:r>
      <w:r>
        <w:t>all</w:t>
      </w:r>
      <w:r w:rsidRPr="009C2263">
        <w:t xml:space="preserve"> advocat</w:t>
      </w:r>
      <w:r>
        <w:t>ing</w:t>
      </w:r>
      <w:r w:rsidRPr="009C2263">
        <w:t xml:space="preserve"> for decisive action.</w:t>
      </w:r>
    </w:p>
    <w:p w14:paraId="2ADC8166" w14:textId="77777777" w:rsidR="00623569" w:rsidRPr="009C2263" w:rsidRDefault="00623569" w:rsidP="00623569">
      <w:pPr>
        <w:pStyle w:val="Bulletlevel1"/>
        <w:tabs>
          <w:tab w:val="clear" w:pos="295"/>
        </w:tabs>
        <w:ind w:left="357" w:hanging="357"/>
      </w:pPr>
      <w:r w:rsidRPr="009C2263">
        <w:t>Input from current consumer representatives</w:t>
      </w:r>
      <w:r w:rsidRPr="009C2263">
        <w:rPr>
          <w:rStyle w:val="FootnoteReference"/>
          <w:szCs w:val="20"/>
        </w:rPr>
        <w:footnoteReference w:id="57"/>
      </w:r>
      <w:r w:rsidRPr="009C2263">
        <w:t xml:space="preserve"> at the ACMA’s CCF over an extended period</w:t>
      </w:r>
      <w:r>
        <w:t xml:space="preserve"> has </w:t>
      </w:r>
      <w:r w:rsidRPr="009C2263">
        <w:t>reinforce</w:t>
      </w:r>
      <w:r>
        <w:t>d</w:t>
      </w:r>
      <w:r w:rsidRPr="009C2263">
        <w:t xml:space="preserve"> the </w:t>
      </w:r>
      <w:r>
        <w:t>need</w:t>
      </w:r>
      <w:r w:rsidRPr="009C2263">
        <w:t xml:space="preserve"> for more comprehensive financial hardship protections. This sentiment aligns with feedback obtained through public consultations on the Statement of Expectations and one-on-one stakeholder meetings with ACCAN, the Consumer Action Law Centre, Isolated Children's Parent Association, and </w:t>
      </w:r>
      <w:proofErr w:type="spellStart"/>
      <w:r w:rsidRPr="009C2263">
        <w:t>Westjustice</w:t>
      </w:r>
      <w:proofErr w:type="spellEnd"/>
      <w:r w:rsidRPr="009C2263">
        <w:t xml:space="preserve"> in August and September 2022.</w:t>
      </w:r>
    </w:p>
    <w:p w14:paraId="685CE36B" w14:textId="77777777" w:rsidR="00623569" w:rsidRPr="009C2263" w:rsidRDefault="00623569" w:rsidP="00AC69D1">
      <w:pPr>
        <w:pStyle w:val="Bulletlevel1last"/>
        <w:numPr>
          <w:ilvl w:val="0"/>
          <w:numId w:val="2"/>
        </w:numPr>
        <w:tabs>
          <w:tab w:val="clear" w:pos="295"/>
        </w:tabs>
        <w:ind w:left="357" w:hanging="357"/>
      </w:pPr>
      <w:r w:rsidRPr="009C2263">
        <w:t xml:space="preserve">A consumer round table convened by the </w:t>
      </w:r>
      <w:r>
        <w:t>m</w:t>
      </w:r>
      <w:r w:rsidRPr="009C2263">
        <w:t>inister in March 2023 facilitated a broader dialogue involving industry and consumer groups, the First Nations Digital Inclusion Advisory Group, the ACMA, and the TIO. Non-industry stakeholders consistently called for direct regulation of consumer protections and tailored information to enhance consumer understanding.</w:t>
      </w:r>
    </w:p>
    <w:p w14:paraId="4E8D7702" w14:textId="77777777" w:rsidR="00623569" w:rsidRPr="006C13A3" w:rsidRDefault="00623569" w:rsidP="00623569">
      <w:pPr>
        <w:pStyle w:val="Paragraph"/>
      </w:pPr>
      <w:r w:rsidRPr="006C13A3">
        <w:t xml:space="preserve">This perspective, voiced consistently over time and reflected in submissions to the </w:t>
      </w:r>
      <w:r w:rsidRPr="006C13A3">
        <w:rPr>
          <w:rFonts w:eastAsiaTheme="minorHAnsi"/>
          <w:color w:val="000000" w:themeColor="text1"/>
        </w:rPr>
        <w:t>Part C of the Consumer Safeguards Review,</w:t>
      </w:r>
      <w:r w:rsidRPr="006C13A3">
        <w:rPr>
          <w:rStyle w:val="FootnoteReference"/>
          <w:rFonts w:eastAsiaTheme="minorHAnsi"/>
          <w:color w:val="000000" w:themeColor="text1"/>
          <w:szCs w:val="20"/>
        </w:rPr>
        <w:footnoteReference w:id="58"/>
      </w:r>
      <w:r w:rsidRPr="006C13A3">
        <w:rPr>
          <w:rFonts w:eastAsiaTheme="minorHAnsi"/>
          <w:color w:val="000000" w:themeColor="text1"/>
        </w:rPr>
        <w:t xml:space="preserve"> </w:t>
      </w:r>
      <w:r w:rsidRPr="006C13A3">
        <w:t>and the Communications Alliance TCP Code review discussion paper, emphasises financial hardship as a substantial concern. Stakeholders, including the TIO, ACCC, and ACCAN, contend that direct regulation is necessary to address existing inadequacies and yield better outcomes for consumers by recognising the fundamental importance of telecommunications services, leveraging government and regulator expertise, and empowering the ACMA to respond promptly and effectively to non-compliance.</w:t>
      </w:r>
    </w:p>
    <w:p w14:paraId="241B5A3A" w14:textId="77777777" w:rsidR="00623569" w:rsidRDefault="00623569" w:rsidP="00623569">
      <w:pPr>
        <w:pStyle w:val="Paragraph"/>
      </w:pPr>
      <w:r w:rsidRPr="00464A18">
        <w:t xml:space="preserve">The </w:t>
      </w:r>
      <w:r>
        <w:t>m</w:t>
      </w:r>
      <w:r w:rsidRPr="00DF5F6D">
        <w:t>inister</w:t>
      </w:r>
      <w:r>
        <w:t xml:space="preserve"> </w:t>
      </w:r>
      <w:r w:rsidRPr="00DF5F6D">
        <w:t xml:space="preserve">sought input from key stakeholders while developing the Direction, with consumer representatives reiterating strong support for </w:t>
      </w:r>
      <w:r>
        <w:t>clearly enforceable and specific</w:t>
      </w:r>
      <w:r w:rsidRPr="00DF5F6D">
        <w:t xml:space="preserve"> regulation.</w:t>
      </w:r>
      <w:r w:rsidRPr="00464A18">
        <w:t xml:space="preserve"> Industry stakeholders, while generally supportive of improving consumer outcomes, did not expressly oppose direct regulation, emphasi</w:t>
      </w:r>
      <w:r>
        <w:t>s</w:t>
      </w:r>
      <w:r w:rsidRPr="00464A18">
        <w:t xml:space="preserve">ing the </w:t>
      </w:r>
      <w:r w:rsidRPr="00464A18">
        <w:lastRenderedPageBreak/>
        <w:t>need for practical and effective rules that align with desired consumer outcomes without restricting current flexible relief mechanisms offered by CSPs.</w:t>
      </w:r>
      <w:r>
        <w:t xml:space="preserve"> </w:t>
      </w:r>
    </w:p>
    <w:p w14:paraId="48611605" w14:textId="77777777" w:rsidR="00623569" w:rsidRPr="005C7F24" w:rsidRDefault="00623569" w:rsidP="00623569">
      <w:pPr>
        <w:rPr>
          <w:rFonts w:cs="Arial"/>
          <w:szCs w:val="20"/>
        </w:rPr>
      </w:pPr>
      <w:r w:rsidRPr="005C7F24">
        <w:rPr>
          <w:rFonts w:cs="Arial"/>
          <w:color w:val="000000"/>
          <w:szCs w:val="20"/>
        </w:rPr>
        <w:t xml:space="preserve">The Minister's evidence-based approach in developing the Direction relied on the ACMA's extensive research, reports, bolstered by TIO reports and input from consumer representatives. This comprehensive foundation paved the way for subsequent consultation on </w:t>
      </w:r>
      <w:r>
        <w:rPr>
          <w:rFonts w:cs="Arial"/>
          <w:color w:val="000000"/>
          <w:szCs w:val="20"/>
        </w:rPr>
        <w:t xml:space="preserve">a draft industry standard. </w:t>
      </w:r>
      <w:r w:rsidRPr="005C7F24">
        <w:rPr>
          <w:rFonts w:cs="Arial"/>
          <w:color w:val="000000"/>
          <w:szCs w:val="20"/>
        </w:rPr>
        <w:t xml:space="preserve"> </w:t>
      </w:r>
    </w:p>
    <w:p w14:paraId="4F96AB70" w14:textId="77777777" w:rsidR="00623569" w:rsidRPr="009444D9" w:rsidRDefault="00623569" w:rsidP="00623569">
      <w:pPr>
        <w:pStyle w:val="Heading3"/>
      </w:pPr>
      <w:bookmarkStart w:id="76" w:name="_Toc155686007"/>
      <w:r w:rsidRPr="009444D9">
        <w:t xml:space="preserve">Consultation on </w:t>
      </w:r>
      <w:r>
        <w:t>d</w:t>
      </w:r>
      <w:r w:rsidRPr="00A05A0C">
        <w:t>raft Sta</w:t>
      </w:r>
      <w:r w:rsidRPr="009444D9">
        <w:t>ndard</w:t>
      </w:r>
      <w:bookmarkEnd w:id="76"/>
    </w:p>
    <w:p w14:paraId="623BB78F" w14:textId="77777777" w:rsidR="00623569" w:rsidRDefault="00623569" w:rsidP="00623569">
      <w:pPr>
        <w:pStyle w:val="Paragraph"/>
      </w:pPr>
      <w:r>
        <w:t>Full public consultation on a draft industry Standard</w:t>
      </w:r>
      <w:r>
        <w:rPr>
          <w:rStyle w:val="FootnoteReference"/>
        </w:rPr>
        <w:footnoteReference w:id="59"/>
      </w:r>
      <w:r>
        <w:t xml:space="preserve"> was conducted from 24 October 2023 to 24 November 2023. </w:t>
      </w:r>
    </w:p>
    <w:p w14:paraId="27FDDAEB" w14:textId="77777777" w:rsidR="00623569" w:rsidRDefault="00623569" w:rsidP="00623569">
      <w:pPr>
        <w:pStyle w:val="Paragraph"/>
      </w:pPr>
      <w:r>
        <w:t xml:space="preserve">This process included </w:t>
      </w:r>
      <w:r w:rsidRPr="001D5C79">
        <w:t>targeted consultation with key members of industry, government and consumer groups</w:t>
      </w:r>
      <w:r>
        <w:t>, ensuring a wide</w:t>
      </w:r>
      <w:r w:rsidRPr="001D492D">
        <w:t xml:space="preserve"> opportunity for affected stakeholders to give input</w:t>
      </w:r>
      <w:r w:rsidRPr="001D5C79">
        <w:t>.</w:t>
      </w:r>
      <w:r>
        <w:t xml:space="preserve"> We</w:t>
      </w:r>
      <w:r w:rsidRPr="00AB273E">
        <w:t xml:space="preserve"> informed key stakeholders of the publication of the documents and invited comment on the draft </w:t>
      </w:r>
      <w:r>
        <w:t>S</w:t>
      </w:r>
      <w:r w:rsidRPr="00AB273E">
        <w:t>tandard and on the issues set out in the consultation paper.</w:t>
      </w:r>
    </w:p>
    <w:p w14:paraId="50C42769" w14:textId="77777777" w:rsidR="00623569" w:rsidRDefault="00623569" w:rsidP="00623569">
      <w:pPr>
        <w:pStyle w:val="Paragraphbeforelist"/>
      </w:pPr>
      <w:r>
        <w:t>The ACMA complied with statutory</w:t>
      </w:r>
      <w:r>
        <w:rPr>
          <w:i/>
          <w:iCs/>
        </w:rPr>
        <w:t xml:space="preserve"> </w:t>
      </w:r>
      <w:r w:rsidRPr="00B05EBA">
        <w:t xml:space="preserve">consultation obligations </w:t>
      </w:r>
      <w:r>
        <w:t>outlined</w:t>
      </w:r>
      <w:r w:rsidRPr="00EA291D">
        <w:t xml:space="preserve"> in subsection 125AA(3) and sections 132, 133, 134, and 135 of the Act </w:t>
      </w:r>
      <w:r>
        <w:t>through:</w:t>
      </w:r>
    </w:p>
    <w:p w14:paraId="1028D046" w14:textId="77777777" w:rsidR="00623569" w:rsidRPr="006B39C0" w:rsidRDefault="00623569" w:rsidP="00AC69D1">
      <w:pPr>
        <w:pStyle w:val="Bulletlevel1"/>
        <w:numPr>
          <w:ilvl w:val="0"/>
          <w:numId w:val="17"/>
        </w:numPr>
      </w:pPr>
      <w:r w:rsidRPr="006B39C0">
        <w:t>a public notice</w:t>
      </w:r>
      <w:r>
        <w:t xml:space="preserve"> published</w:t>
      </w:r>
      <w:r w:rsidRPr="006B39C0">
        <w:t xml:space="preserve"> in </w:t>
      </w:r>
      <w:r w:rsidRPr="00687963">
        <w:t>the Australian newspaper</w:t>
      </w:r>
      <w:r>
        <w:rPr>
          <w:i/>
          <w:iCs/>
        </w:rPr>
        <w:t xml:space="preserve"> </w:t>
      </w:r>
      <w:r>
        <w:t>on 7 October 2023 (</w:t>
      </w:r>
      <w:r w:rsidRPr="006B39C0">
        <w:t>a newspaper</w:t>
      </w:r>
      <w:r>
        <w:t xml:space="preserve"> that</w:t>
      </w:r>
      <w:r w:rsidRPr="006B39C0">
        <w:t xml:space="preserve"> </w:t>
      </w:r>
      <w:r>
        <w:t>circulates</w:t>
      </w:r>
      <w:r w:rsidRPr="006B39C0">
        <w:t xml:space="preserve"> in each </w:t>
      </w:r>
      <w:r>
        <w:t>s</w:t>
      </w:r>
      <w:r w:rsidRPr="006B39C0">
        <w:t xml:space="preserve">tate and </w:t>
      </w:r>
      <w:r>
        <w:t>t</w:t>
      </w:r>
      <w:r w:rsidRPr="006B39C0">
        <w:t>erritory</w:t>
      </w:r>
      <w:r>
        <w:t>)</w:t>
      </w:r>
    </w:p>
    <w:p w14:paraId="08CABAD7" w14:textId="77777777" w:rsidR="00623569" w:rsidRPr="006B39C0" w:rsidRDefault="00623569" w:rsidP="00AC69D1">
      <w:pPr>
        <w:pStyle w:val="Bulletlevel1"/>
        <w:numPr>
          <w:ilvl w:val="0"/>
          <w:numId w:val="17"/>
        </w:numPr>
      </w:pPr>
      <w:r>
        <w:t>public consultation</w:t>
      </w:r>
      <w:r w:rsidRPr="006B39C0">
        <w:t xml:space="preserve"> for a </w:t>
      </w:r>
      <w:r>
        <w:t>period of 30 days</w:t>
      </w:r>
      <w:r>
        <w:rPr>
          <w:rStyle w:val="FootnoteReference"/>
        </w:rPr>
        <w:footnoteReference w:id="60"/>
      </w:r>
    </w:p>
    <w:p w14:paraId="646E806D" w14:textId="77777777" w:rsidR="00623569" w:rsidRPr="00362059" w:rsidRDefault="00623569" w:rsidP="00AC69D1">
      <w:pPr>
        <w:pStyle w:val="Bulletlevel1last"/>
        <w:numPr>
          <w:ilvl w:val="0"/>
          <w:numId w:val="2"/>
        </w:numPr>
        <w:tabs>
          <w:tab w:val="clear" w:pos="295"/>
        </w:tabs>
        <w:ind w:left="357" w:hanging="357"/>
      </w:pPr>
      <w:r>
        <w:t>consultation</w:t>
      </w:r>
      <w:r w:rsidRPr="006B39C0">
        <w:t xml:space="preserve"> with the </w:t>
      </w:r>
      <w:r>
        <w:t>ACCC</w:t>
      </w:r>
      <w:r w:rsidRPr="006B39C0">
        <w:t xml:space="preserve">, the TIO, the </w:t>
      </w:r>
      <w:r>
        <w:t>Office of the Australian</w:t>
      </w:r>
      <w:r w:rsidRPr="006B39C0">
        <w:t xml:space="preserve"> Information Commissioner</w:t>
      </w:r>
      <w:r>
        <w:t xml:space="preserve"> (OAIC)</w:t>
      </w:r>
      <w:r w:rsidRPr="006B39C0">
        <w:t xml:space="preserve">, </w:t>
      </w:r>
      <w:r>
        <w:t>telecommunications industry bodies, Communications Alliance and consumer bodies including ACCAN.</w:t>
      </w:r>
    </w:p>
    <w:p w14:paraId="7E41C9E2" w14:textId="77777777" w:rsidR="00623569" w:rsidRPr="009444D9" w:rsidRDefault="00623569" w:rsidP="00623569">
      <w:pPr>
        <w:pStyle w:val="Heading3"/>
      </w:pPr>
      <w:bookmarkStart w:id="77" w:name="_Toc155686008"/>
      <w:r w:rsidRPr="009444D9">
        <w:t>Summary of stakeholder feedback</w:t>
      </w:r>
      <w:bookmarkEnd w:id="77"/>
    </w:p>
    <w:p w14:paraId="3CEADFB5" w14:textId="77777777" w:rsidR="00623569" w:rsidRDefault="00623569" w:rsidP="00623569">
      <w:pPr>
        <w:pStyle w:val="Paragraphbeforelist"/>
      </w:pPr>
      <w:r>
        <w:t xml:space="preserve">The consultation invited comments on several key issues and general feedback. The ACMA </w:t>
      </w:r>
      <w:r w:rsidRPr="00FB6027">
        <w:t>received 14 submissions</w:t>
      </w:r>
      <w:r>
        <w:t xml:space="preserve"> from consumer and industry representatives, government organisations and 2 individuals. Stakeholders included:</w:t>
      </w:r>
    </w:p>
    <w:p w14:paraId="1994FF4B" w14:textId="77777777" w:rsidR="00623569" w:rsidRDefault="00623569" w:rsidP="00623569">
      <w:pPr>
        <w:pStyle w:val="Bulletlevel1"/>
        <w:tabs>
          <w:tab w:val="clear" w:pos="295"/>
        </w:tabs>
        <w:ind w:left="357" w:hanging="357"/>
      </w:pPr>
      <w:r>
        <w:t>consumer groups:</w:t>
      </w:r>
    </w:p>
    <w:p w14:paraId="0412A03D" w14:textId="77777777" w:rsidR="00623569" w:rsidRDefault="00623569" w:rsidP="00623569">
      <w:pPr>
        <w:pStyle w:val="Bulletlevel2"/>
        <w:rPr>
          <w:rFonts w:eastAsiaTheme="minorHAnsi"/>
        </w:rPr>
      </w:pPr>
      <w:r>
        <w:rPr>
          <w:rFonts w:eastAsiaTheme="minorHAnsi"/>
        </w:rPr>
        <w:t>ACCAN</w:t>
      </w:r>
    </w:p>
    <w:p w14:paraId="5999FC48" w14:textId="77777777" w:rsidR="00623569" w:rsidRDefault="00623569" w:rsidP="00623569">
      <w:pPr>
        <w:pStyle w:val="Bulletlevel2"/>
        <w:rPr>
          <w:rFonts w:eastAsiaTheme="minorHAnsi"/>
        </w:rPr>
      </w:pPr>
      <w:r>
        <w:rPr>
          <w:rFonts w:eastAsiaTheme="minorHAnsi"/>
        </w:rPr>
        <w:t>Uniting (Vic/Tas)</w:t>
      </w:r>
    </w:p>
    <w:p w14:paraId="037031DF" w14:textId="77777777" w:rsidR="00623569" w:rsidRDefault="00623569" w:rsidP="00623569">
      <w:pPr>
        <w:pStyle w:val="Bulletlevel2"/>
        <w:rPr>
          <w:rFonts w:eastAsiaTheme="minorHAnsi"/>
        </w:rPr>
      </w:pPr>
      <w:r>
        <w:rPr>
          <w:rFonts w:eastAsiaTheme="minorHAnsi"/>
        </w:rPr>
        <w:t>South Australian Council of Social Service (SACOSS)</w:t>
      </w:r>
    </w:p>
    <w:p w14:paraId="0235F814" w14:textId="77777777" w:rsidR="00623569" w:rsidRDefault="00623569" w:rsidP="00623569">
      <w:pPr>
        <w:pStyle w:val="Bulletlevel1"/>
        <w:tabs>
          <w:tab w:val="clear" w:pos="295"/>
        </w:tabs>
        <w:ind w:left="357" w:hanging="357"/>
      </w:pPr>
      <w:r>
        <w:t>industry:</w:t>
      </w:r>
    </w:p>
    <w:p w14:paraId="6B7AD65A" w14:textId="77777777" w:rsidR="00623569" w:rsidRDefault="00623569" w:rsidP="00623569">
      <w:pPr>
        <w:pStyle w:val="Bulletlevel2"/>
        <w:rPr>
          <w:rFonts w:eastAsiaTheme="minorHAnsi"/>
        </w:rPr>
      </w:pPr>
      <w:r>
        <w:rPr>
          <w:rFonts w:eastAsiaTheme="minorHAnsi"/>
        </w:rPr>
        <w:t xml:space="preserve">TPG </w:t>
      </w:r>
    </w:p>
    <w:p w14:paraId="627E38A6" w14:textId="77777777" w:rsidR="00623569" w:rsidRDefault="00623569" w:rsidP="00623569">
      <w:pPr>
        <w:pStyle w:val="Bulletlevel2"/>
        <w:rPr>
          <w:rFonts w:eastAsiaTheme="minorHAnsi"/>
        </w:rPr>
      </w:pPr>
      <w:r>
        <w:rPr>
          <w:rFonts w:eastAsiaTheme="minorHAnsi"/>
        </w:rPr>
        <w:t xml:space="preserve">Telstra </w:t>
      </w:r>
    </w:p>
    <w:p w14:paraId="1F50361D" w14:textId="77777777" w:rsidR="00623569" w:rsidRDefault="00623569" w:rsidP="00623569">
      <w:pPr>
        <w:pStyle w:val="Bulletlevel2"/>
        <w:rPr>
          <w:rFonts w:eastAsiaTheme="minorHAnsi"/>
        </w:rPr>
      </w:pPr>
      <w:r>
        <w:rPr>
          <w:rFonts w:eastAsiaTheme="minorHAnsi"/>
        </w:rPr>
        <w:t>Optus</w:t>
      </w:r>
    </w:p>
    <w:p w14:paraId="6338A909" w14:textId="77777777" w:rsidR="00623569" w:rsidRDefault="00623569" w:rsidP="00623569">
      <w:pPr>
        <w:pStyle w:val="Bulletlevel2"/>
        <w:rPr>
          <w:rFonts w:eastAsiaTheme="minorHAnsi"/>
        </w:rPr>
      </w:pPr>
      <w:r>
        <w:rPr>
          <w:rFonts w:eastAsiaTheme="minorHAnsi"/>
        </w:rPr>
        <w:t>Communications Alliance</w:t>
      </w:r>
    </w:p>
    <w:p w14:paraId="0FB9A872" w14:textId="77777777" w:rsidR="00623569" w:rsidRDefault="00623569" w:rsidP="00623569">
      <w:pPr>
        <w:pStyle w:val="Bulletlevel2"/>
        <w:rPr>
          <w:rFonts w:eastAsiaTheme="minorHAnsi"/>
        </w:rPr>
      </w:pPr>
      <w:proofErr w:type="spellStart"/>
      <w:r>
        <w:rPr>
          <w:rFonts w:eastAsiaTheme="minorHAnsi"/>
        </w:rPr>
        <w:t>Starlink</w:t>
      </w:r>
      <w:proofErr w:type="spellEnd"/>
    </w:p>
    <w:p w14:paraId="607FDFA6" w14:textId="77777777" w:rsidR="00623569" w:rsidRDefault="00623569" w:rsidP="00623569">
      <w:pPr>
        <w:pStyle w:val="Bulletlevel2"/>
        <w:rPr>
          <w:rFonts w:eastAsiaTheme="minorHAnsi"/>
        </w:rPr>
      </w:pPr>
      <w:r>
        <w:rPr>
          <w:rFonts w:eastAsiaTheme="minorHAnsi"/>
        </w:rPr>
        <w:t>Internet Association Australia (IAA)</w:t>
      </w:r>
    </w:p>
    <w:p w14:paraId="24B3D306" w14:textId="77777777" w:rsidR="00623569" w:rsidRDefault="00623569" w:rsidP="00623569">
      <w:pPr>
        <w:pStyle w:val="Bulletlevel1"/>
        <w:tabs>
          <w:tab w:val="clear" w:pos="295"/>
        </w:tabs>
        <w:ind w:left="357" w:hanging="357"/>
      </w:pPr>
      <w:r>
        <w:t>government:</w:t>
      </w:r>
    </w:p>
    <w:p w14:paraId="21B3605A" w14:textId="77777777" w:rsidR="00623569" w:rsidRDefault="00623569" w:rsidP="00623569">
      <w:pPr>
        <w:pStyle w:val="Bulletlevel2"/>
        <w:rPr>
          <w:rFonts w:eastAsiaTheme="minorHAnsi"/>
        </w:rPr>
      </w:pPr>
      <w:r>
        <w:rPr>
          <w:rFonts w:eastAsiaTheme="minorHAnsi"/>
        </w:rPr>
        <w:t>Office of the Australian Information Commissioner (OIAC)</w:t>
      </w:r>
    </w:p>
    <w:p w14:paraId="798427FF" w14:textId="77777777" w:rsidR="00623569" w:rsidRDefault="00623569" w:rsidP="00623569">
      <w:pPr>
        <w:pStyle w:val="Bulletlevel2"/>
        <w:rPr>
          <w:rFonts w:eastAsiaTheme="minorHAnsi"/>
        </w:rPr>
      </w:pPr>
      <w:r>
        <w:rPr>
          <w:rFonts w:eastAsiaTheme="minorHAnsi"/>
        </w:rPr>
        <w:t>ACCC</w:t>
      </w:r>
    </w:p>
    <w:p w14:paraId="26C144A7" w14:textId="58FF8F43" w:rsidR="00623569" w:rsidRDefault="00623569" w:rsidP="00623569">
      <w:pPr>
        <w:pStyle w:val="Bulletlevel2"/>
      </w:pPr>
      <w:r>
        <w:rPr>
          <w:rFonts w:eastAsiaTheme="minorHAnsi"/>
        </w:rPr>
        <w:t>TIO.</w:t>
      </w:r>
    </w:p>
    <w:p w14:paraId="6EF2BDF5" w14:textId="77777777" w:rsidR="00623569" w:rsidRDefault="00623569" w:rsidP="00623569">
      <w:pPr>
        <w:pStyle w:val="Paragraph"/>
      </w:pPr>
      <w:bookmarkStart w:id="78" w:name="_Hlk153878881"/>
      <w:r>
        <w:lastRenderedPageBreak/>
        <w:t>Generally, industry representatives consider the TCP Code to be adequate and working well. Some industry representatives have also expressed concern there is insufficient evidence of a need for direct regulation and that referring to telecommunications services as ‘essential’ is problematic given it is not deemed to be essential by law. In general, industry considered the draft Standard overly prescriptive.</w:t>
      </w:r>
      <w:bookmarkEnd w:id="78"/>
      <w:r>
        <w:t xml:space="preserve"> In contrast, the TIO, the ACCC and consumer groups were supportive of direct regulation viewing the Standard as a significant improvement over the vague and inadequate protections in the TCP Code, but also identified areas where the draft Standard should be strengthened.</w:t>
      </w:r>
    </w:p>
    <w:p w14:paraId="716E59FC" w14:textId="77777777" w:rsidR="00623569" w:rsidRDefault="00623569" w:rsidP="00623569">
      <w:pPr>
        <w:pStyle w:val="Paragraphbeforelist"/>
      </w:pPr>
      <w:r>
        <w:t>Key themes from the submissions include:</w:t>
      </w:r>
    </w:p>
    <w:p w14:paraId="317F0DA9" w14:textId="77777777" w:rsidR="00623569" w:rsidRDefault="00623569" w:rsidP="00AC69D1">
      <w:pPr>
        <w:pStyle w:val="Bulletlevel1"/>
        <w:numPr>
          <w:ilvl w:val="0"/>
          <w:numId w:val="17"/>
        </w:numPr>
      </w:pPr>
      <w:r>
        <w:t xml:space="preserve">Implementation timeframe – industry members acknowledged the Direction’s requirement for the Standard to take effect from 29 March 2024, but noted the challenges in meeting this deadline. They suggested an initial focus on education rather than strict compliance and enforcement.  </w:t>
      </w:r>
    </w:p>
    <w:p w14:paraId="723BE2A2" w14:textId="77777777" w:rsidR="00623569" w:rsidRDefault="00623569" w:rsidP="00AC69D1">
      <w:pPr>
        <w:pStyle w:val="Bulletlevel1"/>
        <w:numPr>
          <w:ilvl w:val="0"/>
          <w:numId w:val="17"/>
        </w:numPr>
      </w:pPr>
      <w:r>
        <w:t xml:space="preserve">Definition of Consumer – industry members argued that the annual spend threshold in the draft Standard would capture CSPs beyond residential and small business customers. They advocated for maintaining the </w:t>
      </w:r>
      <w:r w:rsidRPr="009F1A67">
        <w:t xml:space="preserve">spend limit </w:t>
      </w:r>
      <w:r>
        <w:t>of</w:t>
      </w:r>
      <w:r w:rsidRPr="009F1A67">
        <w:t xml:space="preserve"> $40K</w:t>
      </w:r>
      <w:r>
        <w:t xml:space="preserve"> as outlined in</w:t>
      </w:r>
      <w:r w:rsidRPr="009F1A67">
        <w:t xml:space="preserve"> </w:t>
      </w:r>
      <w:r>
        <w:t xml:space="preserve">the </w:t>
      </w:r>
      <w:r w:rsidRPr="009F1A67">
        <w:t>TCP Code</w:t>
      </w:r>
      <w:r>
        <w:t xml:space="preserve"> and relevant industry standards and service provider determinations. </w:t>
      </w:r>
    </w:p>
    <w:p w14:paraId="7E7263AC" w14:textId="77777777" w:rsidR="00623569" w:rsidRDefault="00623569" w:rsidP="00AC69D1">
      <w:pPr>
        <w:pStyle w:val="Bulletlevel1"/>
        <w:numPr>
          <w:ilvl w:val="0"/>
          <w:numId w:val="17"/>
        </w:numPr>
      </w:pPr>
      <w:r>
        <w:t xml:space="preserve">Definition of financial hardship – some stakeholders argued the need to clarify that the list of situations constituting financial difficulty is not exhaustive, while others sought a broader definition with fewer or no examples. Industry expressed concern about the phrase ‘customers </w:t>
      </w:r>
      <w:proofErr w:type="gramStart"/>
      <w:r>
        <w:t>believes</w:t>
      </w:r>
      <w:proofErr w:type="gramEnd"/>
      <w:r>
        <w:t xml:space="preserve"> they can pay’ as it is subjective and not measurable, while other stakeholders consider it could disincentivise CSPs from offering affordable plans.</w:t>
      </w:r>
    </w:p>
    <w:p w14:paraId="0566C363" w14:textId="77777777" w:rsidR="00623569" w:rsidRDefault="00623569" w:rsidP="00AC69D1">
      <w:pPr>
        <w:pStyle w:val="Bulletlevel1"/>
        <w:numPr>
          <w:ilvl w:val="0"/>
          <w:numId w:val="17"/>
        </w:numPr>
      </w:pPr>
      <w:r>
        <w:t>Use of terminology – many stakeholders expressed concern that t</w:t>
      </w:r>
      <w:r w:rsidRPr="00E3452D">
        <w:t xml:space="preserve">he term 'financial hardship' </w:t>
      </w:r>
      <w:r>
        <w:t>could be stigmatising, potentially deterring customers from seeking assistance, and suggested less alienating language</w:t>
      </w:r>
      <w:r w:rsidRPr="00E3452D">
        <w:t>.</w:t>
      </w:r>
      <w:r>
        <w:t xml:space="preserve"> Industry members expressed concern that financial hardship assistance should only be provided to cover essential elements of telecommunications services. Industry noted there was no common consistent legislative definition across state and commonwealth jurisdictions which includes telecommunications as an essential service.</w:t>
      </w:r>
    </w:p>
    <w:p w14:paraId="526250DB" w14:textId="77777777" w:rsidR="00623569" w:rsidRDefault="00623569" w:rsidP="00AC69D1">
      <w:pPr>
        <w:pStyle w:val="Bulletlevel1"/>
        <w:numPr>
          <w:ilvl w:val="0"/>
          <w:numId w:val="17"/>
        </w:numPr>
      </w:pPr>
      <w:r>
        <w:t>Use of applications forms – industry members raised concerns with mandating an application form, noting not all CSPs require a customer to fill out an application form and not all channels were suitable. They expressed that it could be a burden for consumers and added unnecessary financial and administrative burden on CSPs.</w:t>
      </w:r>
    </w:p>
    <w:p w14:paraId="20C4BBA0" w14:textId="77777777" w:rsidR="00623569" w:rsidRDefault="00623569" w:rsidP="00AC69D1">
      <w:pPr>
        <w:pStyle w:val="Bulletlevel1"/>
        <w:numPr>
          <w:ilvl w:val="0"/>
          <w:numId w:val="17"/>
        </w:numPr>
      </w:pPr>
      <w:r>
        <w:t>Options for payment/assistance – feedback from industry indicated that greater clarity was needed around the application of payment assistance including that the options listed were non-exclusive.</w:t>
      </w:r>
    </w:p>
    <w:p w14:paraId="365EA957" w14:textId="77777777" w:rsidR="00623569" w:rsidRDefault="00623569" w:rsidP="00AC69D1">
      <w:pPr>
        <w:pStyle w:val="Bulletlevel1last"/>
        <w:numPr>
          <w:ilvl w:val="0"/>
          <w:numId w:val="2"/>
        </w:numPr>
        <w:tabs>
          <w:tab w:val="clear" w:pos="295"/>
        </w:tabs>
        <w:ind w:left="357" w:hanging="357"/>
      </w:pPr>
      <w:r>
        <w:t>Transitional arrangements - industry had concerns the transitional arrangement provisions were overly burdensome.</w:t>
      </w:r>
    </w:p>
    <w:p w14:paraId="68933BA1" w14:textId="77777777" w:rsidR="00623569" w:rsidRDefault="00623569" w:rsidP="00623569">
      <w:pPr>
        <w:pStyle w:val="Paragraph"/>
      </w:pPr>
      <w:r w:rsidRPr="003E7C71">
        <w:t>These issues</w:t>
      </w:r>
      <w:r>
        <w:t xml:space="preserve">, along with editorial feedback from all submissions, have </w:t>
      </w:r>
      <w:r w:rsidRPr="003E7C71">
        <w:t>been considere</w:t>
      </w:r>
      <w:r>
        <w:t>d in shaping the approach to finalise the Standard.</w:t>
      </w:r>
    </w:p>
    <w:p w14:paraId="73638533" w14:textId="77777777" w:rsidR="00623569" w:rsidRPr="008501ED" w:rsidRDefault="00623569" w:rsidP="00623569">
      <w:pPr>
        <w:pStyle w:val="Heading1"/>
        <w:rPr>
          <w:color w:val="auto"/>
        </w:rPr>
      </w:pPr>
      <w:bookmarkStart w:id="79" w:name="_Toc155686009"/>
      <w:r w:rsidRPr="00BF41CE">
        <w:lastRenderedPageBreak/>
        <w:t xml:space="preserve">What is the best option from </w:t>
      </w:r>
      <w:r w:rsidRPr="008501ED">
        <w:rPr>
          <w:color w:val="auto"/>
        </w:rPr>
        <w:t>those considered</w:t>
      </w:r>
      <w:r>
        <w:rPr>
          <w:color w:val="auto"/>
        </w:rPr>
        <w:t xml:space="preserve"> and how will it be implemented</w:t>
      </w:r>
      <w:r w:rsidRPr="008501ED">
        <w:rPr>
          <w:color w:val="auto"/>
        </w:rPr>
        <w:t>?</w:t>
      </w:r>
      <w:bookmarkEnd w:id="79"/>
    </w:p>
    <w:p w14:paraId="4BF9DD14" w14:textId="77777777" w:rsidR="00623569" w:rsidRPr="00B67591" w:rsidRDefault="00623569" w:rsidP="00623569">
      <w:pPr>
        <w:pStyle w:val="Paragraph"/>
        <w:rPr>
          <w:szCs w:val="20"/>
        </w:rPr>
      </w:pPr>
      <w:r>
        <w:t xml:space="preserve">Option 2B – outcomes-based (enforceable) </w:t>
      </w:r>
      <w:r w:rsidRPr="00FB6027">
        <w:t>- is the best option with the highest net benefit of the options considered and more closely aligns with the Direction. This option most effectively and efficiently addresses identified deficiencies in the TCP Code related to financial hardship</w:t>
      </w:r>
      <w:r>
        <w:t xml:space="preserve">. It ensures customers experiencing financial hardship receive adequate and appropriate support while staying connected to essential telecommunication services. </w:t>
      </w:r>
      <w:r w:rsidRPr="00B67591">
        <w:rPr>
          <w:szCs w:val="20"/>
        </w:rPr>
        <w:t>The costs associated with implementing</w:t>
      </w:r>
      <w:r>
        <w:rPr>
          <w:szCs w:val="20"/>
        </w:rPr>
        <w:t xml:space="preserve"> clearly</w:t>
      </w:r>
      <w:r w:rsidRPr="00B67591">
        <w:rPr>
          <w:szCs w:val="20"/>
        </w:rPr>
        <w:t xml:space="preserve"> </w:t>
      </w:r>
      <w:r>
        <w:rPr>
          <w:szCs w:val="20"/>
        </w:rPr>
        <w:t>enforceable</w:t>
      </w:r>
      <w:r w:rsidRPr="00B67591">
        <w:rPr>
          <w:szCs w:val="20"/>
        </w:rPr>
        <w:t xml:space="preserve"> obligations </w:t>
      </w:r>
      <w:r>
        <w:rPr>
          <w:szCs w:val="20"/>
        </w:rPr>
        <w:t xml:space="preserve">in key areas </w:t>
      </w:r>
      <w:r w:rsidRPr="00B67591">
        <w:rPr>
          <w:szCs w:val="20"/>
        </w:rPr>
        <w:t xml:space="preserve">are mitigated as </w:t>
      </w:r>
      <w:r>
        <w:rPr>
          <w:szCs w:val="20"/>
        </w:rPr>
        <w:t>some</w:t>
      </w:r>
      <w:r w:rsidRPr="00B67591">
        <w:rPr>
          <w:szCs w:val="20"/>
        </w:rPr>
        <w:t xml:space="preserve"> align with existing TCP Code provisions.</w:t>
      </w:r>
    </w:p>
    <w:p w14:paraId="4BA3234E" w14:textId="77777777" w:rsidR="00623569" w:rsidRPr="00CC0FD0" w:rsidRDefault="00623569" w:rsidP="00623569">
      <w:pPr>
        <w:pStyle w:val="Paragraph"/>
      </w:pPr>
      <w:r>
        <w:t>Directly enforceable and clear obligations have the potential for significant positive impacts, including proper support for customers in financial hardship and minimising the risk of disconnection, thus enhancing consumer confidence in the telecommunications industry.</w:t>
      </w:r>
      <w:r w:rsidRPr="00AE1EF6">
        <w:rPr>
          <w:rStyle w:val="FootnoteReference"/>
        </w:rPr>
        <w:t xml:space="preserve"> </w:t>
      </w:r>
      <w:r>
        <w:rPr>
          <w:szCs w:val="20"/>
        </w:rPr>
        <w:t>C</w:t>
      </w:r>
      <w:r w:rsidRPr="00AC77DF">
        <w:rPr>
          <w:szCs w:val="20"/>
        </w:rPr>
        <w:t xml:space="preserve">lear and specific obligations </w:t>
      </w:r>
      <w:r>
        <w:rPr>
          <w:szCs w:val="20"/>
        </w:rPr>
        <w:t>establish</w:t>
      </w:r>
      <w:r w:rsidRPr="00AC77DF">
        <w:rPr>
          <w:szCs w:val="20"/>
        </w:rPr>
        <w:t xml:space="preserve"> a baseline level of support, </w:t>
      </w:r>
      <w:r>
        <w:rPr>
          <w:szCs w:val="20"/>
        </w:rPr>
        <w:t>promoting</w:t>
      </w:r>
      <w:r w:rsidRPr="00AC77DF">
        <w:rPr>
          <w:szCs w:val="20"/>
        </w:rPr>
        <w:t xml:space="preserve"> consistency and clarity in financial hardship policies.</w:t>
      </w:r>
    </w:p>
    <w:p w14:paraId="4C8E3569" w14:textId="77777777" w:rsidR="00623569" w:rsidRPr="00C11D30" w:rsidRDefault="00623569" w:rsidP="00623569">
      <w:pPr>
        <w:pStyle w:val="Paragraph"/>
      </w:pPr>
      <w:r w:rsidRPr="00C11D30">
        <w:t>Increased awareness of financial hardship arrangements empowers consumers by ensuring they</w:t>
      </w:r>
      <w:r w:rsidRPr="00AC77DF">
        <w:t xml:space="preserve"> are adequately informed about the availability of financial hardship</w:t>
      </w:r>
      <w:r>
        <w:t xml:space="preserve"> support and how to access it</w:t>
      </w:r>
      <w:r w:rsidRPr="00DA5BFA">
        <w:t xml:space="preserve">. </w:t>
      </w:r>
      <w:r w:rsidRPr="00C11D30">
        <w:t>This increased awareness can also improve customer relations for CSPs, potentially yielding reputational benefits.</w:t>
      </w:r>
    </w:p>
    <w:p w14:paraId="06A3E154" w14:textId="77777777" w:rsidR="00623569" w:rsidRDefault="00623569" w:rsidP="00623569">
      <w:pPr>
        <w:pStyle w:val="Paragraph"/>
      </w:pPr>
      <w:r>
        <w:t xml:space="preserve">Cost impacts on industry should only arise where the new rules differ from those already in the TCP Code, and these costs are likely to be mitigated by existing arrangements some CSPs already have in place for assisting customer in financial difficulty. </w:t>
      </w:r>
    </w:p>
    <w:p w14:paraId="5808015F" w14:textId="77777777" w:rsidR="00623569" w:rsidRDefault="00623569" w:rsidP="00623569">
      <w:pPr>
        <w:pStyle w:val="Paragraph"/>
      </w:pPr>
      <w:r>
        <w:t xml:space="preserve">Clear and directly enforceable obligations incentivise compliance, potentially reducing complaints to the TIO, the ACMA and CSPs related to financial hardship and associated costs. They ensure consistent practices, enabling the ACMA to monitor and enforce compliance more efficiently. </w:t>
      </w:r>
    </w:p>
    <w:p w14:paraId="462979A5" w14:textId="77777777" w:rsidR="00623569" w:rsidRDefault="00623569" w:rsidP="00623569">
      <w:pPr>
        <w:pStyle w:val="Paragraph"/>
      </w:pPr>
      <w:r>
        <w:t xml:space="preserve">Consultation and engagement indicate strong support for clear and directly enforceable obligations from government and consumer groups. The TCP Code’s financial hardship provisions demonstrate the industry’s general support of enforceable obligations to assist customers experiencing financial hardship. </w:t>
      </w:r>
    </w:p>
    <w:p w14:paraId="402C8A81" w14:textId="77777777" w:rsidR="00623569" w:rsidRDefault="00623569" w:rsidP="00623569">
      <w:pPr>
        <w:pStyle w:val="Paragraph"/>
      </w:pPr>
      <w:r>
        <w:t>Op</w:t>
      </w:r>
      <w:r w:rsidRPr="00A05A0C">
        <w:t>tion 2A – Implemen</w:t>
      </w:r>
      <w:r>
        <w:t xml:space="preserve">ting the Direction in an outcomes-focussed manner with significant discretion in all areas is unlikely to adequately address identified consumer protection gaps in the TCP Code, nor would it align with the requirements of the direction. While an industry standard enhances enforcement options, outcomes focussed regulation may be challenging to enforce and would unlikely offer any substantial improvement in consumer outcomes compared to the TCP Code. </w:t>
      </w:r>
    </w:p>
    <w:p w14:paraId="07CA4F5B" w14:textId="77777777" w:rsidR="00623569" w:rsidRPr="00615965" w:rsidRDefault="00623569" w:rsidP="00623569">
      <w:pPr>
        <w:pStyle w:val="Heading2"/>
      </w:pPr>
      <w:bookmarkStart w:id="80" w:name="_Toc155686010"/>
      <w:r w:rsidRPr="00615965">
        <w:t>Status quo</w:t>
      </w:r>
      <w:bookmarkEnd w:id="80"/>
    </w:p>
    <w:p w14:paraId="77531D63" w14:textId="77777777" w:rsidR="00623569" w:rsidRPr="003C59EB" w:rsidRDefault="00623569" w:rsidP="00623569">
      <w:pPr>
        <w:pStyle w:val="Paragraph"/>
      </w:pPr>
      <w:r w:rsidRPr="003C59EB">
        <w:t xml:space="preserve">Deferring to the TCP Code review process would result in significant longer time before improvements are in place, not addressing the urgency of the problem. </w:t>
      </w:r>
      <w:proofErr w:type="gramStart"/>
      <w:r w:rsidRPr="003C59EB">
        <w:t>Past experience</w:t>
      </w:r>
      <w:proofErr w:type="gramEnd"/>
      <w:r w:rsidRPr="003C59EB">
        <w:t xml:space="preserve"> indicates a significant risk </w:t>
      </w:r>
      <w:r>
        <w:t>of</w:t>
      </w:r>
      <w:r w:rsidRPr="003C59EB">
        <w:t xml:space="preserve"> protracted negotiations for a final updated code, potentially prompting the ACMA to make a standard if the revised code lacks adequate consumer safeguards.</w:t>
      </w:r>
    </w:p>
    <w:p w14:paraId="4A9B5C2B" w14:textId="77777777" w:rsidR="00623569" w:rsidRPr="003C59EB" w:rsidRDefault="00623569" w:rsidP="00623569">
      <w:pPr>
        <w:pStyle w:val="Paragraph"/>
        <w:rPr>
          <w:szCs w:val="20"/>
        </w:rPr>
      </w:pPr>
      <w:r w:rsidRPr="003C59EB">
        <w:lastRenderedPageBreak/>
        <w:t xml:space="preserve">This option is unlikely to sufficiently protect </w:t>
      </w:r>
      <w:r w:rsidRPr="003C59EB">
        <w:rPr>
          <w:szCs w:val="20"/>
        </w:rPr>
        <w:t>consumers, posing an unacceptable level of harm due to the lack of clear rules for obtaining help during financial difficulties and potential disconnection from essential</w:t>
      </w:r>
      <w:r w:rsidRPr="003C59EB">
        <w:rPr>
          <w:rFonts w:ascii="Segoe UI" w:hAnsi="Segoe UI" w:cs="Segoe UI"/>
          <w:sz w:val="24"/>
        </w:rPr>
        <w:t xml:space="preserve"> </w:t>
      </w:r>
      <w:r w:rsidRPr="003C59EB">
        <w:rPr>
          <w:szCs w:val="20"/>
        </w:rPr>
        <w:t>telecommunications services.</w:t>
      </w:r>
    </w:p>
    <w:p w14:paraId="452BCB8A" w14:textId="77777777" w:rsidR="00623569" w:rsidRDefault="00623569" w:rsidP="00623569">
      <w:pPr>
        <w:pStyle w:val="Heading2"/>
      </w:pPr>
      <w:bookmarkStart w:id="81" w:name="_Toc155686011"/>
      <w:r>
        <w:t>Implementation</w:t>
      </w:r>
      <w:bookmarkEnd w:id="81"/>
      <w:r>
        <w:t xml:space="preserve"> </w:t>
      </w:r>
    </w:p>
    <w:p w14:paraId="3C2C58E1" w14:textId="77777777" w:rsidR="00623569" w:rsidRPr="005B5303" w:rsidRDefault="00623569" w:rsidP="00623569">
      <w:pPr>
        <w:pStyle w:val="Paragraph"/>
        <w:rPr>
          <w:szCs w:val="20"/>
        </w:rPr>
      </w:pPr>
      <w:bookmarkStart w:id="82" w:name="_Hlk155333536"/>
      <w:r w:rsidRPr="005B5303">
        <w:rPr>
          <w:szCs w:val="20"/>
        </w:rPr>
        <w:t>The potential risks associated with implementation include industry opposition and the complexity of implementing effective regulations in a rapidly evolving technological landscape. The possibility of industry opposition exists, given concerns about additional regulatory burdens and operational flexibility. The consequences could involve resistance to compliance, affecting the success of the Standard.</w:t>
      </w:r>
    </w:p>
    <w:p w14:paraId="0C5A9139" w14:textId="77777777" w:rsidR="00623569" w:rsidRPr="005B5303" w:rsidRDefault="00623569" w:rsidP="00623569">
      <w:pPr>
        <w:pStyle w:val="Paragraph"/>
        <w:rPr>
          <w:szCs w:val="20"/>
        </w:rPr>
      </w:pPr>
      <w:r w:rsidRPr="005B5303">
        <w:rPr>
          <w:szCs w:val="20"/>
        </w:rPr>
        <w:t>To mitigate industry opposition, the ACMA has, and will, employ a collaborative approach, engaging in regular and transparent communication to address concerns constructively. The outcomes-based design of the Standard accommodates industry changes, and continuous monitoring will allow for the Standard to be varied based on evaluations of effectiveness. Stakeholder engagement will remain pivotal, together with effective post-implementation enforcement and compliance monitoring.</w:t>
      </w:r>
    </w:p>
    <w:bookmarkEnd w:id="82"/>
    <w:p w14:paraId="0981F740" w14:textId="77777777" w:rsidR="00623569" w:rsidRPr="003C59EB" w:rsidRDefault="00623569" w:rsidP="00623569">
      <w:pPr>
        <w:pStyle w:val="Paragraph"/>
        <w:rPr>
          <w:szCs w:val="20"/>
        </w:rPr>
      </w:pPr>
      <w:r>
        <w:rPr>
          <w:szCs w:val="20"/>
        </w:rPr>
        <w:t>It is relevant to note that m</w:t>
      </w:r>
      <w:r w:rsidRPr="003C59EB">
        <w:rPr>
          <w:szCs w:val="20"/>
        </w:rPr>
        <w:t xml:space="preserve">ost CSPs should already have systems and processes in place for dealing with customers experiencing financial hardship by complying with existing TCP Code rules. New policies, systems, and processes will only be necessary where the Standard goes beyond the requirements of the TCP Code </w:t>
      </w:r>
      <w:r>
        <w:rPr>
          <w:szCs w:val="20"/>
        </w:rPr>
        <w:t>or where telcos are not currently compliant with TCP Code requirements</w:t>
      </w:r>
      <w:r w:rsidRPr="003C59EB">
        <w:rPr>
          <w:szCs w:val="20"/>
        </w:rPr>
        <w:t xml:space="preserve">. </w:t>
      </w:r>
    </w:p>
    <w:p w14:paraId="59F706EC" w14:textId="77777777" w:rsidR="00623569" w:rsidRPr="003C59EB" w:rsidRDefault="00623569" w:rsidP="00623569">
      <w:pPr>
        <w:pStyle w:val="Paragraph"/>
        <w:rPr>
          <w:szCs w:val="20"/>
        </w:rPr>
      </w:pPr>
      <w:r w:rsidRPr="003C59EB">
        <w:rPr>
          <w:szCs w:val="20"/>
        </w:rPr>
        <w:t xml:space="preserve">The industry </w:t>
      </w:r>
      <w:r>
        <w:rPr>
          <w:szCs w:val="20"/>
        </w:rPr>
        <w:t>S</w:t>
      </w:r>
      <w:r w:rsidRPr="003C59EB">
        <w:rPr>
          <w:szCs w:val="20"/>
        </w:rPr>
        <w:t xml:space="preserve">tandard will be implemented as outlined in Option 2B and in accordance with the Direction. The Standard must be determined by 15 February 2024 and commence by 29 Match 2024. </w:t>
      </w:r>
    </w:p>
    <w:p w14:paraId="74D1802C" w14:textId="77777777" w:rsidR="00623569" w:rsidRPr="00AC155E" w:rsidRDefault="00623569" w:rsidP="00623569">
      <w:pPr>
        <w:pStyle w:val="Heading3"/>
      </w:pPr>
      <w:bookmarkStart w:id="83" w:name="_Toc98323771"/>
      <w:bookmarkStart w:id="84" w:name="_Toc155686012"/>
      <w:r w:rsidRPr="00AC155E">
        <w:t>Engagement to support implementation</w:t>
      </w:r>
      <w:bookmarkEnd w:id="83"/>
      <w:bookmarkEnd w:id="84"/>
    </w:p>
    <w:p w14:paraId="242EFC2A" w14:textId="77777777" w:rsidR="00623569" w:rsidRDefault="00623569" w:rsidP="00623569">
      <w:pPr>
        <w:pStyle w:val="Paragraph"/>
      </w:pPr>
      <w:r>
        <w:t xml:space="preserve">The ACMA </w:t>
      </w:r>
      <w:r w:rsidRPr="005B7072">
        <w:t>intend</w:t>
      </w:r>
      <w:r>
        <w:t>s</w:t>
      </w:r>
      <w:r w:rsidRPr="005B7072">
        <w:t xml:space="preserve"> to </w:t>
      </w:r>
      <w:r>
        <w:t>engage with</w:t>
      </w:r>
      <w:r w:rsidRPr="005B7072">
        <w:t xml:space="preserve"> </w:t>
      </w:r>
      <w:r>
        <w:t xml:space="preserve">Communications Alliance to </w:t>
      </w:r>
      <w:r w:rsidRPr="00B05CF9">
        <w:t xml:space="preserve">ensure </w:t>
      </w:r>
      <w:r>
        <w:t>CSP</w:t>
      </w:r>
      <w:r w:rsidRPr="00B05CF9">
        <w:t xml:space="preserve">s are aware </w:t>
      </w:r>
      <w:r>
        <w:t xml:space="preserve">and understand where the Standard goes beyond the TCP Code requirements. This may include </w:t>
      </w:r>
      <w:r w:rsidRPr="005B7072">
        <w:t>provid</w:t>
      </w:r>
      <w:r>
        <w:t>ing</w:t>
      </w:r>
      <w:r w:rsidRPr="005B7072">
        <w:t xml:space="preserve"> additional guidance</w:t>
      </w:r>
      <w:r>
        <w:t xml:space="preserve"> leading up to and</w:t>
      </w:r>
      <w:r w:rsidRPr="005B7072">
        <w:t xml:space="preserve"> following </w:t>
      </w:r>
      <w:r>
        <w:t xml:space="preserve">their introduction. </w:t>
      </w:r>
    </w:p>
    <w:p w14:paraId="398CAB8E" w14:textId="77777777" w:rsidR="00623569" w:rsidRPr="00BF41CE" w:rsidDel="00343DBF" w:rsidRDefault="00623569" w:rsidP="00623569">
      <w:pPr>
        <w:pStyle w:val="Paragraph"/>
      </w:pPr>
      <w:bookmarkStart w:id="85" w:name="_Toc32833713"/>
      <w:bookmarkStart w:id="86" w:name="_Toc55546932"/>
      <w:bookmarkStart w:id="87" w:name="_Toc83629968"/>
      <w:r>
        <w:t xml:space="preserve">Engagement can also occur through a range of forums including the Communications Alliance TCP Code review working committee and the CCF. Discussion in these forums will enable the ACMA to stay informed of and address any implementation concerns that industry may have, </w:t>
      </w:r>
      <w:r w:rsidRPr="002F1374">
        <w:t>encourag</w:t>
      </w:r>
      <w:r>
        <w:t>ing</w:t>
      </w:r>
      <w:r w:rsidRPr="002F1374">
        <w:t xml:space="preserve"> ongoing best</w:t>
      </w:r>
      <w:r>
        <w:t xml:space="preserve"> </w:t>
      </w:r>
      <w:r w:rsidRPr="002F1374">
        <w:t>practice</w:t>
      </w:r>
      <w:r>
        <w:t>.</w:t>
      </w:r>
      <w:bookmarkEnd w:id="85"/>
      <w:bookmarkEnd w:id="86"/>
      <w:bookmarkEnd w:id="87"/>
      <w:r>
        <w:t xml:space="preserve"> The ACMA will work with CSPs if implementation issues are identified.</w:t>
      </w:r>
    </w:p>
    <w:p w14:paraId="649E2752" w14:textId="77777777" w:rsidR="00623569" w:rsidRDefault="00623569" w:rsidP="00623569">
      <w:pPr>
        <w:pStyle w:val="Bulletlevel1last"/>
        <w:numPr>
          <w:ilvl w:val="0"/>
          <w:numId w:val="0"/>
        </w:numPr>
      </w:pPr>
      <w:r>
        <w:t>Financial hardship is a compliance priority</w:t>
      </w:r>
      <w:r>
        <w:rPr>
          <w:rStyle w:val="FootnoteReference"/>
        </w:rPr>
        <w:footnoteReference w:id="61"/>
      </w:r>
      <w:r>
        <w:t xml:space="preserve"> for the ACMA in 2023-24 with</w:t>
      </w:r>
      <w:r w:rsidRPr="005B7072">
        <w:t xml:space="preserve"> activities includ</w:t>
      </w:r>
      <w:r>
        <w:t>ing</w:t>
      </w:r>
      <w:r w:rsidRPr="005B7072">
        <w:t xml:space="preserve"> targeted compliance against the new </w:t>
      </w:r>
      <w:r>
        <w:t>obligation</w:t>
      </w:r>
      <w:r w:rsidRPr="005B7072">
        <w:t>s and potential investigations.</w:t>
      </w:r>
      <w:r>
        <w:t xml:space="preserve"> Monitoring complaints received by the </w:t>
      </w:r>
      <w:proofErr w:type="gramStart"/>
      <w:r>
        <w:t>TIO</w:t>
      </w:r>
      <w:proofErr w:type="gramEnd"/>
      <w:r>
        <w:t xml:space="preserve"> and risk-based escalation interventions will be undertaken where appropriate.</w:t>
      </w:r>
    </w:p>
    <w:p w14:paraId="22577299" w14:textId="77777777" w:rsidR="00623569" w:rsidRPr="002D0C4C" w:rsidRDefault="00623569" w:rsidP="00623569">
      <w:pPr>
        <w:pStyle w:val="Heading3"/>
      </w:pPr>
      <w:bookmarkStart w:id="88" w:name="_Toc155686013"/>
      <w:r>
        <w:rPr>
          <w:szCs w:val="20"/>
        </w:rPr>
        <w:t>Education campaign</w:t>
      </w:r>
      <w:bookmarkEnd w:id="88"/>
    </w:p>
    <w:p w14:paraId="0FD40A16" w14:textId="77777777" w:rsidR="00623569" w:rsidRDefault="00623569" w:rsidP="00623569">
      <w:pPr>
        <w:pStyle w:val="Paragraph"/>
      </w:pPr>
      <w:r w:rsidRPr="00492686">
        <w:t xml:space="preserve">The ACMA </w:t>
      </w:r>
      <w:r>
        <w:t>possesses various</w:t>
      </w:r>
      <w:r w:rsidRPr="00492686">
        <w:t xml:space="preserve"> regulatory tools to encourage compliance</w:t>
      </w:r>
      <w:r>
        <w:t>,</w:t>
      </w:r>
      <w:r w:rsidRPr="00492686">
        <w:t xml:space="preserve"> </w:t>
      </w:r>
      <w:r>
        <w:t>including</w:t>
      </w:r>
      <w:r w:rsidRPr="00492686">
        <w:t xml:space="preserve"> education of industry and </w:t>
      </w:r>
      <w:r>
        <w:t>customers</w:t>
      </w:r>
      <w:r w:rsidRPr="00492686">
        <w:t xml:space="preserve">. </w:t>
      </w:r>
      <w:r>
        <w:t>Stakeholder networks will be leveraged to further engage with consumers experiencing financial hardship.  A modest</w:t>
      </w:r>
      <w:r w:rsidRPr="00492686">
        <w:t xml:space="preserve"> education program may be used to help customers and industry</w:t>
      </w:r>
      <w:r>
        <w:t xml:space="preserve"> </w:t>
      </w:r>
      <w:r w:rsidRPr="00492686">
        <w:t>transition</w:t>
      </w:r>
      <w:r>
        <w:t>.</w:t>
      </w:r>
    </w:p>
    <w:p w14:paraId="4118EE13" w14:textId="386E4BFD" w:rsidR="00623569" w:rsidRDefault="00623569" w:rsidP="00375D95">
      <w:pPr>
        <w:pStyle w:val="Bulletlevel1last"/>
        <w:numPr>
          <w:ilvl w:val="0"/>
          <w:numId w:val="0"/>
        </w:numPr>
      </w:pPr>
      <w:r>
        <w:t xml:space="preserve">Transitional arrangements are outlined in the Standard. Feedback from industry members has been considered to ensure these arrangements are not overly </w:t>
      </w:r>
      <w:r>
        <w:lastRenderedPageBreak/>
        <w:t>burdensome. A variation to the TCP Code will be required to remove financial hardship obligations once the Standard is made.</w:t>
      </w:r>
    </w:p>
    <w:p w14:paraId="74721841" w14:textId="77777777" w:rsidR="00623569" w:rsidRPr="00BF41CE" w:rsidRDefault="00623569" w:rsidP="00623569">
      <w:pPr>
        <w:pStyle w:val="Heading1"/>
      </w:pPr>
      <w:bookmarkStart w:id="89" w:name="_Toc155686014"/>
      <w:r w:rsidRPr="00BF41CE">
        <w:lastRenderedPageBreak/>
        <w:t>How will you evaluate your chosen option</w:t>
      </w:r>
      <w:r>
        <w:t xml:space="preserve"> against the success metrics</w:t>
      </w:r>
      <w:r w:rsidRPr="00BF41CE">
        <w:t>?</w:t>
      </w:r>
      <w:bookmarkEnd w:id="89"/>
    </w:p>
    <w:p w14:paraId="58196F25" w14:textId="77777777" w:rsidR="00623569" w:rsidRDefault="00623569" w:rsidP="00623569">
      <w:pPr>
        <w:pStyle w:val="Paragraph"/>
      </w:pPr>
      <w:r>
        <w:t xml:space="preserve">The ACMA will monitor and evaluate the implementation of the Standard to ensure it aligns with the objectives and success metrics outlined in Question 2 and gauge its effectiveness. This evaluation will be an integral part of the ACMA’s ongoing regulatory reform, monitoring and compliance activities. </w:t>
      </w:r>
    </w:p>
    <w:p w14:paraId="62C9D041" w14:textId="77777777" w:rsidR="00623569" w:rsidRDefault="00623569" w:rsidP="00623569">
      <w:pPr>
        <w:pStyle w:val="Paragraph"/>
        <w:rPr>
          <w:color w:val="374151"/>
          <w:szCs w:val="20"/>
        </w:rPr>
      </w:pPr>
      <w:r>
        <w:rPr>
          <w:color w:val="374151"/>
          <w:szCs w:val="20"/>
        </w:rPr>
        <w:t xml:space="preserve">The post-implementation phase </w:t>
      </w:r>
      <w:r w:rsidRPr="00201315">
        <w:rPr>
          <w:color w:val="374151"/>
          <w:szCs w:val="20"/>
        </w:rPr>
        <w:t>will involve ongoing collaboration between the ACMA and relevant stakeholders. The ACMA will be responsible for an active compliance work program tailored for the Standard</w:t>
      </w:r>
      <w:r>
        <w:rPr>
          <w:color w:val="374151"/>
          <w:szCs w:val="20"/>
        </w:rPr>
        <w:t xml:space="preserve"> and for </w:t>
      </w:r>
      <w:r w:rsidRPr="00201315">
        <w:rPr>
          <w:color w:val="374151"/>
          <w:szCs w:val="20"/>
        </w:rPr>
        <w:t>evaluating the success metrics</w:t>
      </w:r>
      <w:r>
        <w:rPr>
          <w:color w:val="374151"/>
          <w:szCs w:val="20"/>
        </w:rPr>
        <w:t>, as set out below</w:t>
      </w:r>
      <w:r w:rsidRPr="00201315">
        <w:rPr>
          <w:color w:val="374151"/>
          <w:szCs w:val="20"/>
        </w:rPr>
        <w:t xml:space="preserve">. </w:t>
      </w:r>
    </w:p>
    <w:p w14:paraId="73474A71" w14:textId="77777777" w:rsidR="00623569" w:rsidRDefault="00623569" w:rsidP="00623569">
      <w:pPr>
        <w:pStyle w:val="Paragraph"/>
      </w:pPr>
      <w:r>
        <w:t>Financial hardship is a compliance priority for the ACMA in 2023-24, and in announcing that it would direct the ACMA to make a Financial Hardship Standard, the Government highlighted the importance of keeping customers connected in a media release of 5 September 2023.</w:t>
      </w:r>
      <w:r>
        <w:rPr>
          <w:rStyle w:val="FootnoteReference"/>
        </w:rPr>
        <w:footnoteReference w:id="62"/>
      </w:r>
      <w:r>
        <w:t xml:space="preserve"> The ACMA anticipates that financial hardship will remain a focal point for the foreseeable future. </w:t>
      </w:r>
    </w:p>
    <w:p w14:paraId="10FFC26C" w14:textId="77777777" w:rsidR="00623569" w:rsidRDefault="00623569" w:rsidP="00623569">
      <w:pPr>
        <w:pStyle w:val="Paragraphbeforelist"/>
      </w:pPr>
      <w:r>
        <w:t>The ACMA will implement an active compliance work program specifically tailored for the Standard, commencing shortly after the Standard comes into effect on 29 March 2024. This program will inform post-implementation decisions and will encompass:</w:t>
      </w:r>
    </w:p>
    <w:p w14:paraId="3ED255F8" w14:textId="77777777" w:rsidR="00623569" w:rsidRDefault="00623569" w:rsidP="00623569">
      <w:pPr>
        <w:pStyle w:val="Bulletlevel1"/>
        <w:tabs>
          <w:tab w:val="clear" w:pos="295"/>
        </w:tabs>
        <w:ind w:left="357" w:hanging="357"/>
      </w:pPr>
      <w:r>
        <w:t xml:space="preserve">monitoring complaints relating to financial hardship received by the </w:t>
      </w:r>
      <w:proofErr w:type="gramStart"/>
      <w:r>
        <w:t>TIO</w:t>
      </w:r>
      <w:proofErr w:type="gramEnd"/>
    </w:p>
    <w:p w14:paraId="2638CF6E" w14:textId="77777777" w:rsidR="00623569" w:rsidRDefault="00623569" w:rsidP="00623569">
      <w:pPr>
        <w:pStyle w:val="Bulletlevel1"/>
        <w:tabs>
          <w:tab w:val="clear" w:pos="295"/>
        </w:tabs>
        <w:ind w:left="357" w:hanging="357"/>
      </w:pPr>
      <w:r>
        <w:t xml:space="preserve">scrutiny of industry data to assess compliance and identify potential areas of </w:t>
      </w:r>
      <w:proofErr w:type="gramStart"/>
      <w:r>
        <w:t>concern</w:t>
      </w:r>
      <w:proofErr w:type="gramEnd"/>
      <w:r>
        <w:t xml:space="preserve"> </w:t>
      </w:r>
    </w:p>
    <w:p w14:paraId="6C7A7B9C" w14:textId="77777777" w:rsidR="00623569" w:rsidRDefault="00623569" w:rsidP="00623569">
      <w:pPr>
        <w:pStyle w:val="Bulletlevel1"/>
        <w:tabs>
          <w:tab w:val="clear" w:pos="295"/>
        </w:tabs>
        <w:ind w:left="357" w:hanging="357"/>
      </w:pPr>
      <w:r>
        <w:t xml:space="preserve">escalation processes where appropriate, including potential investigations and enforcement activities where </w:t>
      </w:r>
      <w:proofErr w:type="gramStart"/>
      <w:r>
        <w:t>necessary</w:t>
      </w:r>
      <w:proofErr w:type="gramEnd"/>
    </w:p>
    <w:p w14:paraId="31E508E8" w14:textId="77777777" w:rsidR="00623569" w:rsidRDefault="00623569" w:rsidP="00623569">
      <w:pPr>
        <w:pStyle w:val="Bulletlevel1"/>
        <w:tabs>
          <w:tab w:val="clear" w:pos="295"/>
        </w:tabs>
        <w:ind w:left="357" w:hanging="357"/>
      </w:pPr>
      <w:r>
        <w:t xml:space="preserve">using the CCF as a regular forum for monitoring and evaluating the effectiveness of the measures set out in the </w:t>
      </w:r>
      <w:proofErr w:type="gramStart"/>
      <w:r>
        <w:t>Standard</w:t>
      </w:r>
      <w:proofErr w:type="gramEnd"/>
    </w:p>
    <w:p w14:paraId="3A93823A" w14:textId="77777777" w:rsidR="00623569" w:rsidRDefault="00623569" w:rsidP="00AC69D1">
      <w:pPr>
        <w:pStyle w:val="Bulletlevel1last"/>
        <w:numPr>
          <w:ilvl w:val="0"/>
          <w:numId w:val="2"/>
        </w:numPr>
        <w:tabs>
          <w:tab w:val="clear" w:pos="295"/>
        </w:tabs>
        <w:ind w:left="357" w:hanging="357"/>
      </w:pPr>
      <w:r>
        <w:t xml:space="preserve">conducting regular consumer experience research to gain insights into the Standard’s impact on consumers. Substantive consumer experience research would commence 18 months after the Standard comes into effect to facilitate closer scrutiny. </w:t>
      </w:r>
    </w:p>
    <w:p w14:paraId="47F7ABA9" w14:textId="77777777" w:rsidR="00623569" w:rsidRDefault="00623569" w:rsidP="00623569">
      <w:pPr>
        <w:pStyle w:val="Paragraphbeforelist"/>
      </w:pPr>
      <w:r>
        <w:t xml:space="preserve">Success in achieving the objectives of the Standard will be measured and evaluated by the ACMA through the following key metrics: </w:t>
      </w:r>
    </w:p>
    <w:p w14:paraId="03813BE7" w14:textId="77777777" w:rsidR="00623569" w:rsidRDefault="00623569" w:rsidP="00623569">
      <w:pPr>
        <w:pStyle w:val="Bulletlevel1"/>
        <w:tabs>
          <w:tab w:val="clear" w:pos="295"/>
        </w:tabs>
        <w:ind w:left="357" w:hanging="357"/>
      </w:pPr>
      <w:r>
        <w:t>comparison of industry’s increased</w:t>
      </w:r>
      <w:r w:rsidRPr="00C65D07">
        <w:t xml:space="preserve"> </w:t>
      </w:r>
      <w:r>
        <w:t>adoption</w:t>
      </w:r>
      <w:r w:rsidRPr="00C65D07">
        <w:t xml:space="preserve"> of financial hardship arrangements compared to the number of customers experiencing </w:t>
      </w:r>
      <w:proofErr w:type="gramStart"/>
      <w:r w:rsidRPr="00C65D07">
        <w:t>hardship</w:t>
      </w:r>
      <w:proofErr w:type="gramEnd"/>
      <w:r>
        <w:t xml:space="preserve"> </w:t>
      </w:r>
    </w:p>
    <w:p w14:paraId="0FE3C7AA" w14:textId="77777777" w:rsidR="00623569" w:rsidRDefault="00623569" w:rsidP="00623569">
      <w:pPr>
        <w:pStyle w:val="Bulletlevel1"/>
        <w:tabs>
          <w:tab w:val="clear" w:pos="295"/>
        </w:tabs>
        <w:ind w:left="357" w:hanging="357"/>
      </w:pPr>
      <w:r>
        <w:t xml:space="preserve">measurement of enhanced </w:t>
      </w:r>
      <w:r w:rsidRPr="00C65D07">
        <w:t xml:space="preserve">consumer awareness </w:t>
      </w:r>
      <w:r>
        <w:t xml:space="preserve">regarding the availability of </w:t>
      </w:r>
      <w:r w:rsidRPr="00C65D07">
        <w:t xml:space="preserve">financial hardship support </w:t>
      </w:r>
    </w:p>
    <w:p w14:paraId="306F87D2" w14:textId="77777777" w:rsidR="00623569" w:rsidRDefault="00623569" w:rsidP="00623569">
      <w:pPr>
        <w:pStyle w:val="Bulletlevel1"/>
        <w:tabs>
          <w:tab w:val="clear" w:pos="295"/>
        </w:tabs>
        <w:ind w:left="357" w:hanging="357"/>
      </w:pPr>
      <w:r>
        <w:t>assessment of the accessibility of</w:t>
      </w:r>
      <w:r w:rsidRPr="00C65D07">
        <w:t xml:space="preserve"> information about available financial hardship support from </w:t>
      </w:r>
      <w:r>
        <w:t xml:space="preserve">CSPs </w:t>
      </w:r>
    </w:p>
    <w:p w14:paraId="41BA4C92" w14:textId="77777777" w:rsidR="00623569" w:rsidRPr="00662404" w:rsidRDefault="00623569" w:rsidP="00623569">
      <w:pPr>
        <w:pStyle w:val="Bulletlevel1"/>
        <w:tabs>
          <w:tab w:val="clear" w:pos="295"/>
        </w:tabs>
        <w:ind w:left="357" w:hanging="357"/>
      </w:pPr>
      <w:r>
        <w:t xml:space="preserve">monitoring and analysis of the decrease </w:t>
      </w:r>
      <w:r w:rsidRPr="00C65D07">
        <w:t xml:space="preserve">in the number customers disconnected while in financial </w:t>
      </w:r>
      <w:proofErr w:type="gramStart"/>
      <w:r w:rsidRPr="00C65D07">
        <w:t>hardship</w:t>
      </w:r>
      <w:proofErr w:type="gramEnd"/>
    </w:p>
    <w:p w14:paraId="2318493E" w14:textId="77777777" w:rsidR="00623569" w:rsidRDefault="00623569" w:rsidP="00623569">
      <w:pPr>
        <w:pStyle w:val="Bulletlevel1"/>
        <w:tabs>
          <w:tab w:val="clear" w:pos="295"/>
        </w:tabs>
        <w:ind w:left="357" w:hanging="357"/>
      </w:pPr>
      <w:r>
        <w:lastRenderedPageBreak/>
        <w:t xml:space="preserve">analysis of the reduction in complaints received by the TIO from consumers experiencing financial </w:t>
      </w:r>
      <w:proofErr w:type="gramStart"/>
      <w:r>
        <w:t>hardship</w:t>
      </w:r>
      <w:proofErr w:type="gramEnd"/>
      <w:r>
        <w:t xml:space="preserve"> </w:t>
      </w:r>
    </w:p>
    <w:p w14:paraId="75BE9EF2" w14:textId="77777777" w:rsidR="00623569" w:rsidRDefault="00623569" w:rsidP="00AC69D1">
      <w:pPr>
        <w:pStyle w:val="Bulletlevel1last"/>
        <w:numPr>
          <w:ilvl w:val="0"/>
          <w:numId w:val="2"/>
        </w:numPr>
        <w:tabs>
          <w:tab w:val="clear" w:pos="295"/>
        </w:tabs>
        <w:ind w:left="357" w:hanging="357"/>
      </w:pPr>
      <w:r>
        <w:t>collection of positive f</w:t>
      </w:r>
      <w:r w:rsidRPr="00C65D07">
        <w:t>eedback from consumer groups and community organisations</w:t>
      </w:r>
      <w:r>
        <w:t xml:space="preserve"> confirming successful </w:t>
      </w:r>
      <w:r w:rsidRPr="00C65D07">
        <w:t xml:space="preserve">consumer </w:t>
      </w:r>
      <w:r>
        <w:t>access to</w:t>
      </w:r>
      <w:r w:rsidRPr="00C65D07">
        <w:t xml:space="preserve"> appropriate financial hardship assistance</w:t>
      </w:r>
      <w:r>
        <w:t xml:space="preserve">. </w:t>
      </w:r>
    </w:p>
    <w:p w14:paraId="2CE4986F" w14:textId="77777777" w:rsidR="00623569" w:rsidRPr="00C15EFD" w:rsidRDefault="00623569" w:rsidP="00623569">
      <w:pPr>
        <w:suppressAutoHyphens/>
        <w:rPr>
          <w:rFonts w:cs="Arial"/>
          <w:szCs w:val="20"/>
        </w:rPr>
      </w:pPr>
      <w:r w:rsidRPr="00B73A72">
        <w:rPr>
          <w:rFonts w:cs="Arial"/>
          <w:szCs w:val="20"/>
        </w:rPr>
        <w:t xml:space="preserve">These success </w:t>
      </w:r>
      <w:r>
        <w:rPr>
          <w:rFonts w:cs="Arial"/>
          <w:szCs w:val="20"/>
        </w:rPr>
        <w:t xml:space="preserve">metrics </w:t>
      </w:r>
      <w:r w:rsidRPr="00B73A72">
        <w:rPr>
          <w:rFonts w:cs="Arial"/>
          <w:szCs w:val="20"/>
        </w:rPr>
        <w:t xml:space="preserve">will serve as robust indicators of the effectiveness and impact of the Standard, ensuring that it fulfills its objectives in supporting consumers facing </w:t>
      </w:r>
      <w:r w:rsidRPr="00C15EFD">
        <w:rPr>
          <w:rFonts w:cs="Arial"/>
          <w:szCs w:val="20"/>
        </w:rPr>
        <w:t>financial challenges.</w:t>
      </w:r>
    </w:p>
    <w:p w14:paraId="58B8B12A" w14:textId="77777777" w:rsidR="00623569" w:rsidRPr="00C15EFD" w:rsidRDefault="00623569" w:rsidP="00623569">
      <w:pPr>
        <w:pStyle w:val="Paragraph"/>
        <w:rPr>
          <w:szCs w:val="20"/>
        </w:rPr>
      </w:pPr>
      <w:r w:rsidRPr="00C15EFD">
        <w:rPr>
          <w:szCs w:val="20"/>
        </w:rPr>
        <w:t>Public reporting by the ACMA on the Standard’s outcomes will be an essential aspect of the post-implementation phase. Reporting will detail key metrics, compliance levels, and any identified areas of concern. Actively seeking input from industry stakeholders, consumer groups and the general public will ensure diverse perspectives on the Standard's impact. This iterative process of reporting and consultation will contribute to the ongoing refinement and improvement of the Standard, ensuring that it remains effective and responsive to evolving challenges.</w:t>
      </w:r>
    </w:p>
    <w:p w14:paraId="733B23A1" w14:textId="77777777" w:rsidR="00623569" w:rsidRDefault="00623569" w:rsidP="00623569">
      <w:pPr>
        <w:suppressAutoHyphens/>
        <w:rPr>
          <w:rFonts w:cs="Arial"/>
          <w:szCs w:val="20"/>
        </w:rPr>
      </w:pPr>
    </w:p>
    <w:p w14:paraId="3ED2BA2B" w14:textId="77777777" w:rsidR="00623569" w:rsidRDefault="00623569" w:rsidP="00623569">
      <w:pPr>
        <w:suppressAutoHyphens/>
        <w:rPr>
          <w:rFonts w:cs="Arial"/>
          <w:szCs w:val="20"/>
        </w:rPr>
        <w:sectPr w:rsidR="00623569" w:rsidSect="00083B2C">
          <w:headerReference w:type="even" r:id="rId43"/>
          <w:headerReference w:type="default" r:id="rId44"/>
          <w:footerReference w:type="even" r:id="rId45"/>
          <w:footerReference w:type="default" r:id="rId46"/>
          <w:pgSz w:w="11906" w:h="16838" w:code="9"/>
          <w:pgMar w:top="1945" w:right="3101" w:bottom="1134" w:left="1134" w:header="709" w:footer="119" w:gutter="0"/>
          <w:pgNumType w:start="1"/>
          <w:cols w:space="708"/>
          <w:docGrid w:linePitch="360"/>
        </w:sectPr>
      </w:pPr>
    </w:p>
    <w:p w14:paraId="353CE601" w14:textId="77777777" w:rsidR="00623569" w:rsidRDefault="00623569" w:rsidP="00623569">
      <w:pPr>
        <w:pStyle w:val="Heading1"/>
      </w:pPr>
      <w:bookmarkStart w:id="90" w:name="_Toc155686015"/>
      <w:bookmarkStart w:id="91" w:name="_Hlk153446091"/>
      <w:r>
        <w:lastRenderedPageBreak/>
        <w:t>Appendix A: Costs and benefits inputs and data</w:t>
      </w:r>
      <w:bookmarkEnd w:id="90"/>
    </w:p>
    <w:p w14:paraId="7C507ACB" w14:textId="77777777" w:rsidR="00623569" w:rsidRDefault="00623569" w:rsidP="00623569">
      <w:pPr>
        <w:pStyle w:val="Heading2"/>
        <w:spacing w:after="120"/>
      </w:pPr>
      <w:bookmarkStart w:id="92" w:name="_Toc153270572"/>
      <w:bookmarkStart w:id="93" w:name="_Toc155686016"/>
      <w:bookmarkStart w:id="94" w:name="_Hlk153445634"/>
      <w:r>
        <w:t>Summary list of i</w:t>
      </w:r>
      <w:r w:rsidRPr="00160AB4">
        <w:t>dentified costs and benefits</w:t>
      </w:r>
      <w:bookmarkEnd w:id="92"/>
      <w:bookmarkEnd w:id="93"/>
    </w:p>
    <w:p w14:paraId="3683B40F" w14:textId="77777777" w:rsidR="00623569" w:rsidRPr="00E66F44" w:rsidRDefault="00623569" w:rsidP="00623569">
      <w:pPr>
        <w:pStyle w:val="Paragraph"/>
      </w:pPr>
      <w:r>
        <w:t>The costs and benefits identified in the previous sections are collated in Table 15.</w:t>
      </w:r>
    </w:p>
    <w:p w14:paraId="759F7618" w14:textId="77777777" w:rsidR="00623569" w:rsidRDefault="00623569" w:rsidP="00623569">
      <w:pPr>
        <w:pStyle w:val="Tableheading"/>
      </w:pPr>
      <w:r>
        <w:t xml:space="preserve">Summary of costs and benefits identified for each stakeholder </w:t>
      </w:r>
      <w:proofErr w:type="gramStart"/>
      <w:r>
        <w:t>group</w:t>
      </w:r>
      <w:proofErr w:type="gramEnd"/>
    </w:p>
    <w:tbl>
      <w:tblPr>
        <w:tblStyle w:val="ACMAtablestyle"/>
        <w:tblW w:w="14940" w:type="dxa"/>
        <w:tblLook w:val="04A0" w:firstRow="1" w:lastRow="0" w:firstColumn="1" w:lastColumn="0" w:noHBand="0" w:noVBand="1"/>
      </w:tblPr>
      <w:tblGrid>
        <w:gridCol w:w="2400"/>
        <w:gridCol w:w="3120"/>
        <w:gridCol w:w="3120"/>
        <w:gridCol w:w="2554"/>
        <w:gridCol w:w="3746"/>
      </w:tblGrid>
      <w:tr w:rsidR="00623569" w:rsidRPr="004120D1" w14:paraId="716E79F7" w14:textId="77777777" w:rsidTr="001517F2">
        <w:trPr>
          <w:cnfStyle w:val="100000000000" w:firstRow="1" w:lastRow="0" w:firstColumn="0" w:lastColumn="0" w:oddVBand="0" w:evenVBand="0" w:oddHBand="0" w:evenHBand="0" w:firstRowFirstColumn="0" w:firstRowLastColumn="0" w:lastRowFirstColumn="0" w:lastRowLastColumn="0"/>
          <w:trHeight w:val="76"/>
        </w:trPr>
        <w:tc>
          <w:tcPr>
            <w:tcW w:w="2400" w:type="dxa"/>
            <w:vMerge w:val="restart"/>
            <w:tcBorders>
              <w:right w:val="single" w:sz="4" w:space="0" w:color="auto"/>
            </w:tcBorders>
            <w:hideMark/>
          </w:tcPr>
          <w:p w14:paraId="01825DF9" w14:textId="77777777" w:rsidR="00623569" w:rsidRPr="004120D1" w:rsidRDefault="00623569" w:rsidP="001517F2">
            <w:pPr>
              <w:spacing w:after="0" w:line="240" w:lineRule="auto"/>
              <w:rPr>
                <w:rFonts w:cs="Arial"/>
                <w:b/>
                <w:bCs/>
                <w:szCs w:val="20"/>
              </w:rPr>
            </w:pPr>
            <w:r w:rsidRPr="004120D1">
              <w:rPr>
                <w:rFonts w:cs="Arial"/>
                <w:b/>
                <w:bCs/>
                <w:szCs w:val="20"/>
              </w:rPr>
              <w:t> Stakeholder group</w:t>
            </w:r>
          </w:p>
        </w:tc>
        <w:tc>
          <w:tcPr>
            <w:tcW w:w="6240" w:type="dxa"/>
            <w:gridSpan w:val="2"/>
            <w:tcBorders>
              <w:left w:val="single" w:sz="4" w:space="0" w:color="auto"/>
              <w:right w:val="single" w:sz="4" w:space="0" w:color="auto"/>
            </w:tcBorders>
            <w:hideMark/>
          </w:tcPr>
          <w:p w14:paraId="015BD8A0" w14:textId="77777777" w:rsidR="00623569" w:rsidRPr="004120D1" w:rsidRDefault="00623569" w:rsidP="001517F2">
            <w:pPr>
              <w:spacing w:after="0" w:line="240" w:lineRule="auto"/>
              <w:jc w:val="center"/>
              <w:rPr>
                <w:rFonts w:cs="Arial"/>
                <w:b/>
                <w:bCs/>
                <w:szCs w:val="20"/>
              </w:rPr>
            </w:pPr>
            <w:r w:rsidRPr="004120D1">
              <w:rPr>
                <w:rFonts w:cs="Arial"/>
                <w:b/>
                <w:bCs/>
                <w:szCs w:val="20"/>
              </w:rPr>
              <w:t>Option 2A relative to the base case</w:t>
            </w:r>
          </w:p>
        </w:tc>
        <w:tc>
          <w:tcPr>
            <w:tcW w:w="6300" w:type="dxa"/>
            <w:gridSpan w:val="2"/>
            <w:tcBorders>
              <w:left w:val="single" w:sz="4" w:space="0" w:color="auto"/>
            </w:tcBorders>
            <w:hideMark/>
          </w:tcPr>
          <w:p w14:paraId="3B922A53" w14:textId="77777777" w:rsidR="00623569" w:rsidRPr="004120D1" w:rsidRDefault="00623569" w:rsidP="001517F2">
            <w:pPr>
              <w:spacing w:after="0" w:line="240" w:lineRule="auto"/>
              <w:jc w:val="center"/>
              <w:rPr>
                <w:rFonts w:cs="Arial"/>
                <w:b/>
                <w:bCs/>
                <w:szCs w:val="20"/>
              </w:rPr>
            </w:pPr>
            <w:r w:rsidRPr="004120D1">
              <w:rPr>
                <w:rFonts w:cs="Arial"/>
                <w:b/>
                <w:bCs/>
                <w:szCs w:val="20"/>
              </w:rPr>
              <w:t>Option 2B relative to the base case</w:t>
            </w:r>
          </w:p>
        </w:tc>
      </w:tr>
      <w:tr w:rsidR="00623569" w:rsidRPr="004120D1" w14:paraId="6B864B72" w14:textId="77777777" w:rsidTr="001517F2">
        <w:trPr>
          <w:cnfStyle w:val="000000100000" w:firstRow="0" w:lastRow="0" w:firstColumn="0" w:lastColumn="0" w:oddVBand="0" w:evenVBand="0" w:oddHBand="1" w:evenHBand="0" w:firstRowFirstColumn="0" w:firstRowLastColumn="0" w:lastRowFirstColumn="0" w:lastRowLastColumn="0"/>
          <w:trHeight w:val="154"/>
        </w:trPr>
        <w:tc>
          <w:tcPr>
            <w:tcW w:w="2400" w:type="dxa"/>
            <w:vMerge/>
            <w:hideMark/>
          </w:tcPr>
          <w:p w14:paraId="3649F915" w14:textId="77777777" w:rsidR="00623569" w:rsidRPr="004120D1" w:rsidRDefault="00623569" w:rsidP="001517F2">
            <w:pPr>
              <w:spacing w:after="0" w:line="240" w:lineRule="auto"/>
              <w:rPr>
                <w:rFonts w:cs="Arial"/>
                <w:b/>
                <w:bCs/>
                <w:color w:val="FFFFFF" w:themeColor="background1"/>
                <w:szCs w:val="20"/>
              </w:rPr>
            </w:pPr>
          </w:p>
        </w:tc>
        <w:tc>
          <w:tcPr>
            <w:tcW w:w="3120" w:type="dxa"/>
            <w:shd w:val="clear" w:color="auto" w:fill="404040"/>
            <w:hideMark/>
          </w:tcPr>
          <w:p w14:paraId="4EE57A50" w14:textId="77777777" w:rsidR="00623569" w:rsidRPr="004120D1" w:rsidRDefault="00623569" w:rsidP="001517F2">
            <w:pPr>
              <w:spacing w:after="0" w:line="240" w:lineRule="auto"/>
              <w:rPr>
                <w:rFonts w:cs="Arial"/>
                <w:b/>
                <w:bCs/>
                <w:color w:val="FFFFFF" w:themeColor="background1"/>
                <w:szCs w:val="20"/>
              </w:rPr>
            </w:pPr>
            <w:r w:rsidRPr="004120D1">
              <w:rPr>
                <w:rFonts w:cs="Arial"/>
                <w:b/>
                <w:bCs/>
                <w:color w:val="FFFFFF" w:themeColor="background1"/>
                <w:szCs w:val="20"/>
              </w:rPr>
              <w:t xml:space="preserve">Cost </w:t>
            </w:r>
          </w:p>
        </w:tc>
        <w:tc>
          <w:tcPr>
            <w:tcW w:w="3120" w:type="dxa"/>
            <w:shd w:val="clear" w:color="auto" w:fill="404040"/>
            <w:hideMark/>
          </w:tcPr>
          <w:p w14:paraId="5492272D" w14:textId="77777777" w:rsidR="00623569" w:rsidRPr="004120D1" w:rsidRDefault="00623569" w:rsidP="001517F2">
            <w:pPr>
              <w:spacing w:after="0" w:line="240" w:lineRule="auto"/>
              <w:rPr>
                <w:rFonts w:cs="Arial"/>
                <w:b/>
                <w:bCs/>
                <w:color w:val="FFFFFF" w:themeColor="background1"/>
                <w:szCs w:val="20"/>
              </w:rPr>
            </w:pPr>
            <w:r w:rsidRPr="004120D1">
              <w:rPr>
                <w:rFonts w:cs="Arial"/>
                <w:b/>
                <w:bCs/>
                <w:color w:val="FFFFFF" w:themeColor="background1"/>
                <w:szCs w:val="20"/>
              </w:rPr>
              <w:t>Benefit</w:t>
            </w:r>
          </w:p>
        </w:tc>
        <w:tc>
          <w:tcPr>
            <w:tcW w:w="2554" w:type="dxa"/>
            <w:shd w:val="clear" w:color="auto" w:fill="404040"/>
            <w:hideMark/>
          </w:tcPr>
          <w:p w14:paraId="05F5DA91" w14:textId="77777777" w:rsidR="00623569" w:rsidRPr="004120D1" w:rsidRDefault="00623569" w:rsidP="001517F2">
            <w:pPr>
              <w:spacing w:after="0" w:line="240" w:lineRule="auto"/>
              <w:rPr>
                <w:rFonts w:cs="Arial"/>
                <w:b/>
                <w:bCs/>
                <w:color w:val="FFFFFF" w:themeColor="background1"/>
                <w:szCs w:val="20"/>
              </w:rPr>
            </w:pPr>
            <w:r w:rsidRPr="004120D1">
              <w:rPr>
                <w:rFonts w:cs="Arial"/>
                <w:b/>
                <w:bCs/>
                <w:color w:val="FFFFFF" w:themeColor="background1"/>
                <w:szCs w:val="20"/>
              </w:rPr>
              <w:t xml:space="preserve">Cost </w:t>
            </w:r>
          </w:p>
        </w:tc>
        <w:tc>
          <w:tcPr>
            <w:tcW w:w="3746" w:type="dxa"/>
            <w:shd w:val="clear" w:color="auto" w:fill="404040"/>
            <w:hideMark/>
          </w:tcPr>
          <w:p w14:paraId="43CEB1C2" w14:textId="77777777" w:rsidR="00623569" w:rsidRPr="004120D1" w:rsidRDefault="00623569" w:rsidP="001517F2">
            <w:pPr>
              <w:spacing w:after="0" w:line="240" w:lineRule="auto"/>
              <w:rPr>
                <w:rFonts w:cs="Arial"/>
                <w:b/>
                <w:bCs/>
                <w:color w:val="FFFFFF" w:themeColor="background1"/>
                <w:szCs w:val="20"/>
              </w:rPr>
            </w:pPr>
            <w:r w:rsidRPr="004120D1">
              <w:rPr>
                <w:rFonts w:cs="Arial"/>
                <w:b/>
                <w:bCs/>
                <w:color w:val="FFFFFF" w:themeColor="background1"/>
                <w:szCs w:val="20"/>
              </w:rPr>
              <w:t>Benefit</w:t>
            </w:r>
          </w:p>
        </w:tc>
      </w:tr>
      <w:tr w:rsidR="00623569" w:rsidRPr="00FD4065" w14:paraId="21E3372B" w14:textId="77777777" w:rsidTr="00375D95">
        <w:trPr>
          <w:cnfStyle w:val="000000010000" w:firstRow="0" w:lastRow="0" w:firstColumn="0" w:lastColumn="0" w:oddVBand="0" w:evenVBand="0" w:oddHBand="0" w:evenHBand="1" w:firstRowFirstColumn="0" w:firstRowLastColumn="0" w:lastRowFirstColumn="0" w:lastRowLastColumn="0"/>
          <w:trHeight w:val="1095"/>
        </w:trPr>
        <w:tc>
          <w:tcPr>
            <w:tcW w:w="2400" w:type="dxa"/>
            <w:shd w:val="clear" w:color="auto" w:fill="auto"/>
            <w:hideMark/>
          </w:tcPr>
          <w:p w14:paraId="1A094ACE" w14:textId="77777777" w:rsidR="00623569" w:rsidRPr="00FD4065" w:rsidRDefault="00623569" w:rsidP="001517F2">
            <w:pPr>
              <w:spacing w:after="0" w:line="240" w:lineRule="auto"/>
              <w:rPr>
                <w:rFonts w:cs="Arial"/>
                <w:b/>
                <w:bCs/>
                <w:color w:val="000000"/>
                <w:szCs w:val="20"/>
              </w:rPr>
            </w:pPr>
            <w:r w:rsidRPr="00FD4065">
              <w:rPr>
                <w:rFonts w:cs="Arial"/>
                <w:b/>
                <w:bCs/>
                <w:color w:val="000000"/>
                <w:szCs w:val="20"/>
              </w:rPr>
              <w:t>Government (ACMA)</w:t>
            </w:r>
          </w:p>
        </w:tc>
        <w:tc>
          <w:tcPr>
            <w:tcW w:w="3120" w:type="dxa"/>
            <w:shd w:val="clear" w:color="auto" w:fill="auto"/>
          </w:tcPr>
          <w:p w14:paraId="71877402" w14:textId="77777777" w:rsidR="00623569" w:rsidRPr="0091213A" w:rsidRDefault="00623569" w:rsidP="001517F2">
            <w:pPr>
              <w:spacing w:after="80" w:line="240" w:lineRule="auto"/>
              <w:rPr>
                <w:rFonts w:cs="Arial"/>
                <w:color w:val="000000"/>
                <w:szCs w:val="20"/>
              </w:rPr>
            </w:pPr>
            <w:r w:rsidRPr="0091213A">
              <w:rPr>
                <w:rFonts w:cs="Arial"/>
                <w:color w:val="000000"/>
                <w:szCs w:val="20"/>
              </w:rPr>
              <w:t xml:space="preserve">Establishment of new </w:t>
            </w:r>
            <w:r>
              <w:rPr>
                <w:rFonts w:cs="Arial"/>
                <w:color w:val="000000"/>
                <w:szCs w:val="20"/>
              </w:rPr>
              <w:t>S</w:t>
            </w:r>
            <w:r w:rsidRPr="0091213A">
              <w:rPr>
                <w:rFonts w:cs="Arial"/>
                <w:color w:val="000000"/>
                <w:szCs w:val="20"/>
              </w:rPr>
              <w:t>tandard</w:t>
            </w:r>
          </w:p>
          <w:p w14:paraId="747A7340" w14:textId="77777777" w:rsidR="00623569" w:rsidRPr="0091213A" w:rsidRDefault="00623569" w:rsidP="001517F2">
            <w:pPr>
              <w:spacing w:after="80" w:line="240" w:lineRule="auto"/>
              <w:rPr>
                <w:rFonts w:cs="Arial"/>
                <w:color w:val="000000"/>
                <w:szCs w:val="20"/>
              </w:rPr>
            </w:pPr>
            <w:r w:rsidRPr="0091213A">
              <w:rPr>
                <w:rFonts w:cs="Arial"/>
                <w:color w:val="000000"/>
                <w:szCs w:val="20"/>
              </w:rPr>
              <w:t xml:space="preserve">Enforcement of new </w:t>
            </w:r>
            <w:r>
              <w:rPr>
                <w:rFonts w:cs="Arial"/>
                <w:color w:val="000000"/>
                <w:szCs w:val="20"/>
              </w:rPr>
              <w:t>S</w:t>
            </w:r>
            <w:r w:rsidRPr="0091213A">
              <w:rPr>
                <w:rFonts w:cs="Arial"/>
                <w:color w:val="000000"/>
                <w:szCs w:val="20"/>
              </w:rPr>
              <w:t>tandard</w:t>
            </w:r>
          </w:p>
          <w:p w14:paraId="18A44847" w14:textId="77777777" w:rsidR="00623569" w:rsidRPr="00FD4065" w:rsidRDefault="00623569" w:rsidP="001517F2">
            <w:pPr>
              <w:spacing w:after="0" w:line="240" w:lineRule="auto"/>
              <w:rPr>
                <w:rFonts w:cs="Arial"/>
                <w:color w:val="000000"/>
                <w:szCs w:val="20"/>
              </w:rPr>
            </w:pPr>
            <w:r w:rsidRPr="0091213A">
              <w:rPr>
                <w:rFonts w:cs="Arial"/>
                <w:color w:val="000000"/>
                <w:szCs w:val="20"/>
              </w:rPr>
              <w:t>More education for both industry and consumers</w:t>
            </w:r>
          </w:p>
        </w:tc>
        <w:tc>
          <w:tcPr>
            <w:tcW w:w="3120" w:type="dxa"/>
            <w:shd w:val="clear" w:color="auto" w:fill="auto"/>
            <w:hideMark/>
          </w:tcPr>
          <w:p w14:paraId="7175802A" w14:textId="77777777" w:rsidR="00623569" w:rsidRPr="00FD4065" w:rsidRDefault="00623569" w:rsidP="001517F2">
            <w:pPr>
              <w:spacing w:after="0" w:line="240" w:lineRule="auto"/>
              <w:rPr>
                <w:rFonts w:cs="Arial"/>
                <w:color w:val="000000"/>
                <w:szCs w:val="20"/>
              </w:rPr>
            </w:pPr>
            <w:r w:rsidRPr="00FD4065">
              <w:rPr>
                <w:rFonts w:cs="Arial"/>
                <w:color w:val="000000"/>
                <w:szCs w:val="20"/>
              </w:rPr>
              <w:t>Reduced numbers of complaints to regulator</w:t>
            </w:r>
          </w:p>
        </w:tc>
        <w:tc>
          <w:tcPr>
            <w:tcW w:w="2554" w:type="dxa"/>
            <w:shd w:val="clear" w:color="auto" w:fill="auto"/>
            <w:hideMark/>
          </w:tcPr>
          <w:p w14:paraId="43C2CA30" w14:textId="77777777" w:rsidR="00623569" w:rsidRPr="00FD4065" w:rsidRDefault="00623569" w:rsidP="001517F2">
            <w:pPr>
              <w:spacing w:after="80" w:line="240" w:lineRule="auto"/>
              <w:rPr>
                <w:rFonts w:cs="Arial"/>
                <w:color w:val="000000"/>
                <w:szCs w:val="20"/>
              </w:rPr>
            </w:pPr>
            <w:r w:rsidRPr="00FD4065">
              <w:rPr>
                <w:rFonts w:cs="Arial"/>
                <w:color w:val="000000"/>
                <w:szCs w:val="20"/>
              </w:rPr>
              <w:t xml:space="preserve">Establishment of new </w:t>
            </w:r>
            <w:r>
              <w:rPr>
                <w:rFonts w:cs="Arial"/>
                <w:color w:val="000000"/>
                <w:szCs w:val="20"/>
              </w:rPr>
              <w:t>S</w:t>
            </w:r>
            <w:r w:rsidRPr="00FD4065">
              <w:rPr>
                <w:rFonts w:cs="Arial"/>
                <w:color w:val="000000"/>
                <w:szCs w:val="20"/>
              </w:rPr>
              <w:t>tandard</w:t>
            </w:r>
          </w:p>
          <w:p w14:paraId="22D361E4" w14:textId="77777777" w:rsidR="00623569" w:rsidRPr="00FD4065" w:rsidRDefault="00623569" w:rsidP="001517F2">
            <w:pPr>
              <w:spacing w:after="0" w:line="240" w:lineRule="auto"/>
              <w:rPr>
                <w:rFonts w:cs="Arial"/>
                <w:color w:val="000000"/>
                <w:szCs w:val="20"/>
              </w:rPr>
            </w:pPr>
            <w:r w:rsidRPr="00FD4065">
              <w:rPr>
                <w:rFonts w:cs="Arial"/>
                <w:color w:val="000000"/>
                <w:szCs w:val="20"/>
              </w:rPr>
              <w:t xml:space="preserve">Enforcement of new </w:t>
            </w:r>
            <w:r>
              <w:rPr>
                <w:rFonts w:cs="Arial"/>
                <w:color w:val="000000"/>
                <w:szCs w:val="20"/>
              </w:rPr>
              <w:t>S</w:t>
            </w:r>
            <w:r w:rsidRPr="00FD4065">
              <w:rPr>
                <w:rFonts w:cs="Arial"/>
                <w:color w:val="000000"/>
                <w:szCs w:val="20"/>
              </w:rPr>
              <w:t>tandard</w:t>
            </w:r>
            <w:r w:rsidRPr="00FD4065">
              <w:rPr>
                <w:rFonts w:ascii="Calibri" w:hAnsi="Calibri" w:cs="Calibri"/>
                <w:color w:val="000000"/>
                <w:sz w:val="22"/>
                <w:szCs w:val="22"/>
              </w:rPr>
              <w:t> </w:t>
            </w:r>
          </w:p>
        </w:tc>
        <w:tc>
          <w:tcPr>
            <w:tcW w:w="3746" w:type="dxa"/>
            <w:shd w:val="clear" w:color="auto" w:fill="auto"/>
            <w:hideMark/>
          </w:tcPr>
          <w:p w14:paraId="225F2220" w14:textId="77777777" w:rsidR="00623569" w:rsidRPr="00FD4065" w:rsidRDefault="00623569" w:rsidP="001517F2">
            <w:pPr>
              <w:spacing w:after="80" w:line="240" w:lineRule="auto"/>
              <w:rPr>
                <w:rFonts w:cs="Arial"/>
                <w:color w:val="000000"/>
                <w:szCs w:val="20"/>
              </w:rPr>
            </w:pPr>
            <w:r w:rsidRPr="00FD4065">
              <w:rPr>
                <w:rFonts w:cs="Arial"/>
                <w:color w:val="000000"/>
                <w:szCs w:val="20"/>
              </w:rPr>
              <w:t>Reduced numbers of complaints to regulator</w:t>
            </w:r>
          </w:p>
          <w:p w14:paraId="36ACE53D" w14:textId="77777777" w:rsidR="00623569" w:rsidRPr="00FD4065" w:rsidRDefault="00623569" w:rsidP="001517F2">
            <w:pPr>
              <w:spacing w:after="0" w:line="240" w:lineRule="auto"/>
              <w:rPr>
                <w:rFonts w:cs="Arial"/>
                <w:color w:val="000000"/>
                <w:szCs w:val="20"/>
              </w:rPr>
            </w:pPr>
            <w:r w:rsidRPr="00FD4065">
              <w:rPr>
                <w:rFonts w:cs="Arial"/>
                <w:color w:val="000000"/>
                <w:szCs w:val="20"/>
              </w:rPr>
              <w:t>(</w:t>
            </w:r>
            <w:r>
              <w:rPr>
                <w:rFonts w:cs="Arial"/>
                <w:color w:val="000000"/>
                <w:szCs w:val="20"/>
              </w:rPr>
              <w:t>O</w:t>
            </w:r>
            <w:r w:rsidRPr="00FD4065">
              <w:rPr>
                <w:rFonts w:cs="Arial"/>
                <w:color w:val="000000"/>
                <w:szCs w:val="20"/>
              </w:rPr>
              <w:t>ption 2</w:t>
            </w:r>
            <w:r>
              <w:rPr>
                <w:rFonts w:cs="Arial"/>
                <w:color w:val="000000"/>
                <w:szCs w:val="20"/>
              </w:rPr>
              <w:t>B</w:t>
            </w:r>
            <w:r w:rsidRPr="00FD4065">
              <w:rPr>
                <w:rFonts w:cs="Arial"/>
                <w:color w:val="000000"/>
                <w:szCs w:val="20"/>
              </w:rPr>
              <w:t xml:space="preserve"> – dealt with quickly)  as its easier to enforce than 2A </w:t>
            </w:r>
            <w:r w:rsidRPr="00FD4065">
              <w:rPr>
                <w:rFonts w:cs="Arial"/>
                <w:color w:val="FF0000"/>
                <w:szCs w:val="20"/>
              </w:rPr>
              <w:t> </w:t>
            </w:r>
          </w:p>
        </w:tc>
      </w:tr>
      <w:tr w:rsidR="00623569" w:rsidRPr="00FD4065" w14:paraId="64087014" w14:textId="77777777" w:rsidTr="00375D95">
        <w:trPr>
          <w:cnfStyle w:val="000000100000" w:firstRow="0" w:lastRow="0" w:firstColumn="0" w:lastColumn="0" w:oddVBand="0" w:evenVBand="0" w:oddHBand="1" w:evenHBand="0" w:firstRowFirstColumn="0" w:firstRowLastColumn="0" w:lastRowFirstColumn="0" w:lastRowLastColumn="0"/>
          <w:trHeight w:val="364"/>
        </w:trPr>
        <w:tc>
          <w:tcPr>
            <w:tcW w:w="2400" w:type="dxa"/>
            <w:shd w:val="clear" w:color="auto" w:fill="F2F2F2" w:themeFill="background1" w:themeFillShade="F2"/>
            <w:hideMark/>
          </w:tcPr>
          <w:p w14:paraId="24C83694" w14:textId="77777777" w:rsidR="00623569" w:rsidRPr="00FD4065" w:rsidRDefault="00623569" w:rsidP="001517F2">
            <w:pPr>
              <w:spacing w:after="0" w:line="240" w:lineRule="auto"/>
              <w:rPr>
                <w:rFonts w:cs="Arial"/>
                <w:b/>
                <w:bCs/>
                <w:color w:val="000000"/>
                <w:szCs w:val="20"/>
              </w:rPr>
            </w:pPr>
            <w:r w:rsidRPr="00FD4065">
              <w:rPr>
                <w:rFonts w:cs="Arial"/>
                <w:b/>
                <w:bCs/>
                <w:color w:val="000000"/>
                <w:szCs w:val="20"/>
              </w:rPr>
              <w:t>Telecommunications Industry Ombudsman</w:t>
            </w:r>
          </w:p>
        </w:tc>
        <w:tc>
          <w:tcPr>
            <w:tcW w:w="3120" w:type="dxa"/>
            <w:shd w:val="clear" w:color="auto" w:fill="F2F2F2" w:themeFill="background1" w:themeFillShade="F2"/>
            <w:hideMark/>
          </w:tcPr>
          <w:p w14:paraId="2FE289F5" w14:textId="77777777" w:rsidR="00623569" w:rsidRPr="00FD4065" w:rsidRDefault="00623569" w:rsidP="001517F2">
            <w:pPr>
              <w:spacing w:after="0" w:line="240" w:lineRule="auto"/>
              <w:rPr>
                <w:rFonts w:cs="Arial"/>
                <w:color w:val="000000"/>
                <w:szCs w:val="20"/>
              </w:rPr>
            </w:pPr>
            <w:r w:rsidRPr="00FD4065">
              <w:rPr>
                <w:rFonts w:cs="Arial"/>
                <w:color w:val="000000"/>
                <w:szCs w:val="20"/>
              </w:rPr>
              <w:t> </w:t>
            </w:r>
          </w:p>
        </w:tc>
        <w:tc>
          <w:tcPr>
            <w:tcW w:w="3120" w:type="dxa"/>
            <w:shd w:val="clear" w:color="auto" w:fill="F2F2F2" w:themeFill="background1" w:themeFillShade="F2"/>
            <w:hideMark/>
          </w:tcPr>
          <w:p w14:paraId="20D34CB4" w14:textId="77777777" w:rsidR="00623569" w:rsidRPr="00FD4065" w:rsidRDefault="00623569" w:rsidP="001517F2">
            <w:pPr>
              <w:spacing w:after="0" w:line="240" w:lineRule="auto"/>
              <w:rPr>
                <w:rFonts w:cs="Arial"/>
                <w:color w:val="000000"/>
                <w:szCs w:val="20"/>
              </w:rPr>
            </w:pPr>
            <w:r w:rsidRPr="00FD4065">
              <w:rPr>
                <w:rFonts w:cs="Arial"/>
                <w:color w:val="000000"/>
                <w:szCs w:val="20"/>
              </w:rPr>
              <w:t>Reduced numbers of complaints to TIO</w:t>
            </w:r>
          </w:p>
        </w:tc>
        <w:tc>
          <w:tcPr>
            <w:tcW w:w="2554" w:type="dxa"/>
            <w:shd w:val="clear" w:color="auto" w:fill="F2F2F2" w:themeFill="background1" w:themeFillShade="F2"/>
            <w:hideMark/>
          </w:tcPr>
          <w:p w14:paraId="653260EB" w14:textId="77777777" w:rsidR="00623569" w:rsidRPr="00FD4065" w:rsidRDefault="00623569" w:rsidP="001517F2">
            <w:pPr>
              <w:spacing w:after="0" w:line="240" w:lineRule="auto"/>
              <w:rPr>
                <w:rFonts w:cs="Arial"/>
                <w:color w:val="000000"/>
                <w:szCs w:val="20"/>
              </w:rPr>
            </w:pPr>
            <w:r w:rsidRPr="00FD4065">
              <w:rPr>
                <w:rFonts w:cs="Arial"/>
                <w:color w:val="000000"/>
                <w:szCs w:val="20"/>
              </w:rPr>
              <w:t> </w:t>
            </w:r>
          </w:p>
        </w:tc>
        <w:tc>
          <w:tcPr>
            <w:tcW w:w="3746" w:type="dxa"/>
            <w:shd w:val="clear" w:color="auto" w:fill="F2F2F2" w:themeFill="background1" w:themeFillShade="F2"/>
            <w:hideMark/>
          </w:tcPr>
          <w:p w14:paraId="58BCF4CE" w14:textId="77777777" w:rsidR="00623569" w:rsidRPr="00FD4065" w:rsidRDefault="00623569" w:rsidP="001517F2">
            <w:pPr>
              <w:spacing w:after="0" w:line="240" w:lineRule="auto"/>
              <w:rPr>
                <w:rFonts w:cs="Arial"/>
                <w:color w:val="000000"/>
                <w:szCs w:val="20"/>
              </w:rPr>
            </w:pPr>
            <w:r w:rsidRPr="00FD4065">
              <w:rPr>
                <w:rFonts w:cs="Arial"/>
                <w:color w:val="000000"/>
                <w:szCs w:val="20"/>
              </w:rPr>
              <w:t>Reduced numbers of complaints to TIO</w:t>
            </w:r>
          </w:p>
        </w:tc>
      </w:tr>
      <w:tr w:rsidR="00623569" w:rsidRPr="00FD4065" w14:paraId="7B81C317" w14:textId="77777777" w:rsidTr="00375D95">
        <w:trPr>
          <w:cnfStyle w:val="000000010000" w:firstRow="0" w:lastRow="0" w:firstColumn="0" w:lastColumn="0" w:oddVBand="0" w:evenVBand="0" w:oddHBand="0" w:evenHBand="1" w:firstRowFirstColumn="0" w:firstRowLastColumn="0" w:lastRowFirstColumn="0" w:lastRowLastColumn="0"/>
          <w:trHeight w:val="1117"/>
        </w:trPr>
        <w:tc>
          <w:tcPr>
            <w:tcW w:w="2400" w:type="dxa"/>
            <w:shd w:val="clear" w:color="auto" w:fill="auto"/>
            <w:hideMark/>
          </w:tcPr>
          <w:p w14:paraId="32C0A906" w14:textId="77777777" w:rsidR="00623569" w:rsidRPr="00FD4065" w:rsidRDefault="00623569" w:rsidP="001517F2">
            <w:pPr>
              <w:spacing w:after="0" w:line="240" w:lineRule="auto"/>
              <w:rPr>
                <w:rFonts w:cs="Arial"/>
                <w:b/>
                <w:bCs/>
                <w:color w:val="000000"/>
                <w:szCs w:val="20"/>
              </w:rPr>
            </w:pPr>
            <w:r w:rsidRPr="00FD4065">
              <w:rPr>
                <w:rFonts w:cs="Arial"/>
                <w:b/>
                <w:bCs/>
                <w:color w:val="000000"/>
                <w:szCs w:val="20"/>
              </w:rPr>
              <w:t xml:space="preserve">CSPs </w:t>
            </w:r>
            <w:r w:rsidRPr="00FD4065">
              <w:rPr>
                <w:rFonts w:cs="Arial"/>
                <w:b/>
                <w:bCs/>
                <w:color w:val="000000"/>
                <w:szCs w:val="20"/>
              </w:rPr>
              <w:br/>
              <w:t>~350</w:t>
            </w:r>
          </w:p>
        </w:tc>
        <w:tc>
          <w:tcPr>
            <w:tcW w:w="3120" w:type="dxa"/>
            <w:shd w:val="clear" w:color="auto" w:fill="auto"/>
            <w:hideMark/>
          </w:tcPr>
          <w:p w14:paraId="24212B64" w14:textId="77777777" w:rsidR="00623569" w:rsidRPr="00FD4065" w:rsidRDefault="00623569" w:rsidP="001517F2">
            <w:pPr>
              <w:spacing w:after="80" w:line="240" w:lineRule="auto"/>
              <w:rPr>
                <w:rFonts w:cs="Arial"/>
                <w:color w:val="000000"/>
                <w:szCs w:val="20"/>
              </w:rPr>
            </w:pPr>
            <w:r w:rsidRPr="00FD4065">
              <w:rPr>
                <w:rFonts w:cs="Arial"/>
                <w:color w:val="000000"/>
                <w:szCs w:val="20"/>
              </w:rPr>
              <w:t xml:space="preserve">Change over costs to meet new </w:t>
            </w:r>
            <w:proofErr w:type="gramStart"/>
            <w:r>
              <w:rPr>
                <w:rFonts w:cs="Arial"/>
                <w:color w:val="000000"/>
                <w:szCs w:val="20"/>
              </w:rPr>
              <w:t>S</w:t>
            </w:r>
            <w:r w:rsidRPr="00FD4065">
              <w:rPr>
                <w:rFonts w:cs="Arial"/>
                <w:color w:val="000000"/>
                <w:szCs w:val="20"/>
              </w:rPr>
              <w:t>tandard</w:t>
            </w:r>
            <w:proofErr w:type="gramEnd"/>
          </w:p>
          <w:p w14:paraId="278A577F" w14:textId="77777777" w:rsidR="00623569" w:rsidRPr="00FD4065" w:rsidRDefault="00623569" w:rsidP="001517F2">
            <w:pPr>
              <w:spacing w:after="0" w:line="240" w:lineRule="auto"/>
              <w:rPr>
                <w:rFonts w:cs="Arial"/>
                <w:color w:val="000000"/>
                <w:szCs w:val="20"/>
              </w:rPr>
            </w:pPr>
            <w:r w:rsidRPr="00FD4065">
              <w:rPr>
                <w:rFonts w:cs="Arial"/>
                <w:color w:val="000000"/>
                <w:szCs w:val="20"/>
              </w:rPr>
              <w:t xml:space="preserve">Ongoing costs to meet new </w:t>
            </w:r>
            <w:r>
              <w:rPr>
                <w:rFonts w:cs="Arial"/>
                <w:color w:val="000000"/>
                <w:szCs w:val="20"/>
              </w:rPr>
              <w:t>S</w:t>
            </w:r>
            <w:r w:rsidRPr="00FD4065">
              <w:rPr>
                <w:rFonts w:cs="Arial"/>
                <w:color w:val="000000"/>
                <w:szCs w:val="20"/>
              </w:rPr>
              <w:t>tandard (engage with FH customers)</w:t>
            </w:r>
            <w:r w:rsidRPr="00FD4065">
              <w:rPr>
                <w:rFonts w:ascii="Calibri" w:hAnsi="Calibri" w:cs="Calibri"/>
                <w:color w:val="000000"/>
                <w:sz w:val="22"/>
                <w:szCs w:val="22"/>
              </w:rPr>
              <w:t> </w:t>
            </w:r>
          </w:p>
        </w:tc>
        <w:tc>
          <w:tcPr>
            <w:tcW w:w="3120" w:type="dxa"/>
            <w:shd w:val="clear" w:color="auto" w:fill="auto"/>
            <w:hideMark/>
          </w:tcPr>
          <w:p w14:paraId="014B7783" w14:textId="77777777" w:rsidR="00623569" w:rsidRPr="00FD4065" w:rsidRDefault="00623569" w:rsidP="001517F2">
            <w:pPr>
              <w:spacing w:after="80" w:line="240" w:lineRule="auto"/>
              <w:rPr>
                <w:rFonts w:cs="Arial"/>
                <w:color w:val="000000"/>
                <w:szCs w:val="20"/>
              </w:rPr>
            </w:pPr>
            <w:r w:rsidRPr="00FD4065">
              <w:rPr>
                <w:rFonts w:cs="Arial"/>
                <w:color w:val="000000"/>
                <w:szCs w:val="20"/>
              </w:rPr>
              <w:t>Reduced complaints to CSP</w:t>
            </w:r>
          </w:p>
          <w:p w14:paraId="47347DEF" w14:textId="77777777" w:rsidR="00623569" w:rsidRPr="00FD4065" w:rsidRDefault="00623569" w:rsidP="001517F2">
            <w:pPr>
              <w:spacing w:after="80" w:line="240" w:lineRule="auto"/>
              <w:rPr>
                <w:rFonts w:cs="Arial"/>
                <w:color w:val="000000"/>
                <w:szCs w:val="20"/>
              </w:rPr>
            </w:pPr>
            <w:r w:rsidRPr="00FD4065">
              <w:rPr>
                <w:rFonts w:cs="Arial"/>
                <w:color w:val="000000"/>
                <w:szCs w:val="20"/>
              </w:rPr>
              <w:t>Reduced debt collection costs</w:t>
            </w:r>
          </w:p>
          <w:p w14:paraId="43D00D25" w14:textId="77777777" w:rsidR="00623569" w:rsidRPr="00FD4065" w:rsidRDefault="00623569" w:rsidP="001517F2">
            <w:pPr>
              <w:spacing w:after="80" w:line="240" w:lineRule="auto"/>
              <w:rPr>
                <w:rFonts w:cs="Arial"/>
                <w:color w:val="000000"/>
                <w:szCs w:val="20"/>
              </w:rPr>
            </w:pPr>
            <w:r w:rsidRPr="00FD4065">
              <w:rPr>
                <w:rFonts w:cs="Arial"/>
                <w:color w:val="000000"/>
                <w:szCs w:val="20"/>
              </w:rPr>
              <w:t>Reduced disconnection/ reconnection</w:t>
            </w:r>
          </w:p>
        </w:tc>
        <w:tc>
          <w:tcPr>
            <w:tcW w:w="2554" w:type="dxa"/>
            <w:shd w:val="clear" w:color="auto" w:fill="auto"/>
            <w:hideMark/>
          </w:tcPr>
          <w:p w14:paraId="1F952926" w14:textId="77777777" w:rsidR="00623569" w:rsidRPr="00FD4065" w:rsidRDefault="00623569" w:rsidP="001517F2">
            <w:pPr>
              <w:spacing w:after="80" w:line="240" w:lineRule="auto"/>
              <w:rPr>
                <w:rFonts w:cs="Arial"/>
                <w:color w:val="000000"/>
                <w:szCs w:val="20"/>
              </w:rPr>
            </w:pPr>
            <w:r w:rsidRPr="00FD4065">
              <w:rPr>
                <w:rFonts w:cs="Arial"/>
                <w:color w:val="000000"/>
                <w:szCs w:val="20"/>
              </w:rPr>
              <w:t xml:space="preserve">Change over costs to meet new </w:t>
            </w:r>
            <w:r>
              <w:rPr>
                <w:rFonts w:cs="Arial"/>
                <w:color w:val="000000"/>
                <w:szCs w:val="20"/>
              </w:rPr>
              <w:t>S</w:t>
            </w:r>
            <w:r w:rsidRPr="00FD4065">
              <w:rPr>
                <w:rFonts w:cs="Arial"/>
                <w:color w:val="000000"/>
                <w:szCs w:val="20"/>
              </w:rPr>
              <w:t>tandard (systems/ processes/Education)</w:t>
            </w:r>
          </w:p>
          <w:p w14:paraId="38584F14" w14:textId="77777777" w:rsidR="00623569" w:rsidRPr="00FD4065" w:rsidRDefault="00623569" w:rsidP="001517F2">
            <w:pPr>
              <w:spacing w:after="0" w:line="240" w:lineRule="auto"/>
              <w:rPr>
                <w:rFonts w:cs="Arial"/>
                <w:color w:val="000000"/>
                <w:szCs w:val="20"/>
              </w:rPr>
            </w:pPr>
            <w:r w:rsidRPr="00FD4065">
              <w:rPr>
                <w:rFonts w:cs="Arial"/>
                <w:color w:val="000000"/>
                <w:szCs w:val="20"/>
              </w:rPr>
              <w:t xml:space="preserve">Ongoing costs to meet new </w:t>
            </w:r>
            <w:r>
              <w:rPr>
                <w:rFonts w:cs="Arial"/>
                <w:color w:val="000000"/>
                <w:szCs w:val="20"/>
              </w:rPr>
              <w:t>S</w:t>
            </w:r>
            <w:r w:rsidRPr="00FD4065">
              <w:rPr>
                <w:rFonts w:cs="Arial"/>
                <w:color w:val="000000"/>
                <w:szCs w:val="20"/>
              </w:rPr>
              <w:t>tandard (engage with FH customers)</w:t>
            </w:r>
            <w:r w:rsidRPr="00FD4065">
              <w:rPr>
                <w:rFonts w:ascii="Calibri" w:hAnsi="Calibri" w:cs="Calibri"/>
                <w:color w:val="000000"/>
                <w:sz w:val="22"/>
                <w:szCs w:val="22"/>
              </w:rPr>
              <w:t> </w:t>
            </w:r>
          </w:p>
        </w:tc>
        <w:tc>
          <w:tcPr>
            <w:tcW w:w="3746" w:type="dxa"/>
            <w:shd w:val="clear" w:color="auto" w:fill="auto"/>
            <w:hideMark/>
          </w:tcPr>
          <w:p w14:paraId="2EDE758D" w14:textId="77777777" w:rsidR="00623569" w:rsidRPr="00FD4065" w:rsidRDefault="00623569" w:rsidP="001517F2">
            <w:pPr>
              <w:spacing w:after="80" w:line="240" w:lineRule="auto"/>
              <w:rPr>
                <w:rFonts w:cs="Arial"/>
                <w:color w:val="000000"/>
                <w:szCs w:val="20"/>
              </w:rPr>
            </w:pPr>
            <w:r w:rsidRPr="00FD4065">
              <w:rPr>
                <w:rFonts w:cs="Arial"/>
                <w:color w:val="000000"/>
                <w:szCs w:val="20"/>
              </w:rPr>
              <w:t>Reduced complaints to CSP</w:t>
            </w:r>
          </w:p>
          <w:p w14:paraId="27508069" w14:textId="77777777" w:rsidR="00623569" w:rsidRPr="00FD4065" w:rsidRDefault="00623569" w:rsidP="001517F2">
            <w:pPr>
              <w:spacing w:after="80" w:line="240" w:lineRule="auto"/>
              <w:rPr>
                <w:rFonts w:cs="Arial"/>
                <w:color w:val="000000"/>
                <w:szCs w:val="20"/>
              </w:rPr>
            </w:pPr>
            <w:r w:rsidRPr="00FD4065">
              <w:rPr>
                <w:rFonts w:cs="Arial"/>
                <w:color w:val="000000"/>
                <w:szCs w:val="20"/>
              </w:rPr>
              <w:t>Reduced debt collection costs</w:t>
            </w:r>
          </w:p>
          <w:p w14:paraId="565AFBFB" w14:textId="77777777" w:rsidR="00623569" w:rsidRPr="00FD4065" w:rsidRDefault="00623569" w:rsidP="001517F2">
            <w:pPr>
              <w:spacing w:after="0" w:line="240" w:lineRule="auto"/>
              <w:rPr>
                <w:rFonts w:cs="Arial"/>
                <w:color w:val="000000"/>
                <w:szCs w:val="20"/>
              </w:rPr>
            </w:pPr>
            <w:r w:rsidRPr="00FD4065">
              <w:rPr>
                <w:rFonts w:cs="Arial"/>
                <w:color w:val="000000"/>
                <w:szCs w:val="20"/>
              </w:rPr>
              <w:t>Reduced disconnection/ reconnection</w:t>
            </w:r>
          </w:p>
        </w:tc>
      </w:tr>
      <w:tr w:rsidR="00623569" w:rsidRPr="00FD4065" w14:paraId="34340980" w14:textId="77777777" w:rsidTr="00375D95">
        <w:trPr>
          <w:cnfStyle w:val="000000100000" w:firstRow="0" w:lastRow="0" w:firstColumn="0" w:lastColumn="0" w:oddVBand="0" w:evenVBand="0" w:oddHBand="1" w:evenHBand="0" w:firstRowFirstColumn="0" w:firstRowLastColumn="0" w:lastRowFirstColumn="0" w:lastRowLastColumn="0"/>
          <w:trHeight w:val="765"/>
        </w:trPr>
        <w:tc>
          <w:tcPr>
            <w:tcW w:w="2400" w:type="dxa"/>
            <w:vMerge w:val="restart"/>
            <w:shd w:val="clear" w:color="auto" w:fill="F2F2F2" w:themeFill="background1" w:themeFillShade="F2"/>
            <w:hideMark/>
          </w:tcPr>
          <w:p w14:paraId="3C2653AC" w14:textId="77777777" w:rsidR="00623569" w:rsidRPr="00FD4065" w:rsidRDefault="00623569" w:rsidP="001517F2">
            <w:pPr>
              <w:spacing w:after="0" w:line="240" w:lineRule="auto"/>
              <w:rPr>
                <w:rFonts w:cs="Arial"/>
                <w:b/>
                <w:bCs/>
                <w:color w:val="000000"/>
                <w:szCs w:val="20"/>
              </w:rPr>
            </w:pPr>
            <w:r w:rsidRPr="00FD4065">
              <w:rPr>
                <w:rFonts w:cs="Arial"/>
                <w:b/>
                <w:bCs/>
                <w:color w:val="000000"/>
                <w:szCs w:val="20"/>
              </w:rPr>
              <w:t>Customers in Financial Hardship</w:t>
            </w:r>
          </w:p>
        </w:tc>
        <w:tc>
          <w:tcPr>
            <w:tcW w:w="3120" w:type="dxa"/>
            <w:vMerge w:val="restart"/>
            <w:shd w:val="clear" w:color="auto" w:fill="F2F2F2" w:themeFill="background1" w:themeFillShade="F2"/>
            <w:hideMark/>
          </w:tcPr>
          <w:p w14:paraId="2564D350" w14:textId="77777777" w:rsidR="00623569" w:rsidRPr="00FD4065" w:rsidRDefault="00623569" w:rsidP="001517F2">
            <w:pPr>
              <w:spacing w:after="0" w:line="240" w:lineRule="auto"/>
              <w:rPr>
                <w:rFonts w:cs="Arial"/>
                <w:color w:val="000000"/>
                <w:szCs w:val="20"/>
              </w:rPr>
            </w:pPr>
            <w:proofErr w:type="gramStart"/>
            <w:r w:rsidRPr="00FD4065">
              <w:rPr>
                <w:rFonts w:cs="Arial"/>
                <w:color w:val="000000"/>
                <w:szCs w:val="20"/>
              </w:rPr>
              <w:t>Have to</w:t>
            </w:r>
            <w:proofErr w:type="gramEnd"/>
            <w:r w:rsidRPr="00FD4065">
              <w:rPr>
                <w:rFonts w:cs="Arial"/>
                <w:color w:val="000000"/>
                <w:szCs w:val="20"/>
              </w:rPr>
              <w:t xml:space="preserve"> engage with CSP in a financial hardship plan</w:t>
            </w:r>
          </w:p>
        </w:tc>
        <w:tc>
          <w:tcPr>
            <w:tcW w:w="3120" w:type="dxa"/>
            <w:shd w:val="clear" w:color="auto" w:fill="F2F2F2" w:themeFill="background1" w:themeFillShade="F2"/>
            <w:hideMark/>
          </w:tcPr>
          <w:p w14:paraId="280B7822" w14:textId="77777777" w:rsidR="00623569" w:rsidRPr="00FD4065" w:rsidRDefault="00623569" w:rsidP="001517F2">
            <w:pPr>
              <w:spacing w:after="0" w:line="240" w:lineRule="auto"/>
              <w:rPr>
                <w:rFonts w:cs="Arial"/>
                <w:color w:val="000000"/>
                <w:szCs w:val="20"/>
              </w:rPr>
            </w:pPr>
            <w:r w:rsidRPr="00FD4065">
              <w:rPr>
                <w:rFonts w:cs="Arial"/>
                <w:color w:val="000000"/>
                <w:szCs w:val="20"/>
              </w:rPr>
              <w:t>Reduced costs to customers of disconnection/reconnection – (Financial &amp; Time)</w:t>
            </w:r>
          </w:p>
        </w:tc>
        <w:tc>
          <w:tcPr>
            <w:tcW w:w="2554" w:type="dxa"/>
            <w:vMerge w:val="restart"/>
            <w:shd w:val="clear" w:color="auto" w:fill="F2F2F2" w:themeFill="background1" w:themeFillShade="F2"/>
            <w:hideMark/>
          </w:tcPr>
          <w:p w14:paraId="5B0C828C" w14:textId="77777777" w:rsidR="00623569" w:rsidRPr="00FD4065" w:rsidRDefault="00623569" w:rsidP="001517F2">
            <w:pPr>
              <w:spacing w:after="0" w:line="240" w:lineRule="auto"/>
              <w:rPr>
                <w:rFonts w:cs="Arial"/>
                <w:color w:val="000000"/>
                <w:szCs w:val="20"/>
              </w:rPr>
            </w:pPr>
            <w:proofErr w:type="gramStart"/>
            <w:r w:rsidRPr="00FD4065">
              <w:rPr>
                <w:rFonts w:cs="Arial"/>
                <w:color w:val="000000"/>
                <w:szCs w:val="20"/>
              </w:rPr>
              <w:t>Have to</w:t>
            </w:r>
            <w:proofErr w:type="gramEnd"/>
            <w:r w:rsidRPr="00FD4065">
              <w:rPr>
                <w:rFonts w:cs="Arial"/>
                <w:color w:val="000000"/>
                <w:szCs w:val="20"/>
              </w:rPr>
              <w:t xml:space="preserve"> engage with CSP in a financial hardship plan</w:t>
            </w:r>
          </w:p>
        </w:tc>
        <w:tc>
          <w:tcPr>
            <w:tcW w:w="3746" w:type="dxa"/>
            <w:shd w:val="clear" w:color="auto" w:fill="F2F2F2" w:themeFill="background1" w:themeFillShade="F2"/>
            <w:hideMark/>
          </w:tcPr>
          <w:p w14:paraId="09F918AB" w14:textId="77777777" w:rsidR="00623569" w:rsidRPr="00FD4065" w:rsidRDefault="00623569" w:rsidP="001517F2">
            <w:pPr>
              <w:spacing w:after="0" w:line="240" w:lineRule="auto"/>
              <w:rPr>
                <w:rFonts w:cs="Arial"/>
                <w:color w:val="000000"/>
                <w:szCs w:val="20"/>
              </w:rPr>
            </w:pPr>
            <w:r w:rsidRPr="00FD4065">
              <w:rPr>
                <w:rFonts w:cs="Arial"/>
                <w:color w:val="000000"/>
                <w:szCs w:val="20"/>
              </w:rPr>
              <w:t>Reduced costs to customers of disconnection/reconnection – (Financial &amp; Time)</w:t>
            </w:r>
          </w:p>
        </w:tc>
      </w:tr>
      <w:tr w:rsidR="00623569" w:rsidRPr="00FD4065" w14:paraId="0A8C75DE" w14:textId="77777777" w:rsidTr="00375D95">
        <w:trPr>
          <w:cnfStyle w:val="000000010000" w:firstRow="0" w:lastRow="0" w:firstColumn="0" w:lastColumn="0" w:oddVBand="0" w:evenVBand="0" w:oddHBand="0" w:evenHBand="1" w:firstRowFirstColumn="0" w:firstRowLastColumn="0" w:lastRowFirstColumn="0" w:lastRowLastColumn="0"/>
          <w:trHeight w:val="510"/>
        </w:trPr>
        <w:tc>
          <w:tcPr>
            <w:tcW w:w="2400" w:type="dxa"/>
            <w:vMerge/>
            <w:shd w:val="clear" w:color="auto" w:fill="auto"/>
            <w:hideMark/>
          </w:tcPr>
          <w:p w14:paraId="4B5D41E0" w14:textId="77777777" w:rsidR="00623569" w:rsidRPr="00FD4065" w:rsidRDefault="00623569" w:rsidP="001517F2">
            <w:pPr>
              <w:spacing w:after="0" w:line="240" w:lineRule="auto"/>
              <w:rPr>
                <w:rFonts w:cs="Arial"/>
                <w:b/>
                <w:bCs/>
                <w:color w:val="000000"/>
                <w:szCs w:val="20"/>
              </w:rPr>
            </w:pPr>
          </w:p>
        </w:tc>
        <w:tc>
          <w:tcPr>
            <w:tcW w:w="3120" w:type="dxa"/>
            <w:vMerge/>
            <w:shd w:val="clear" w:color="auto" w:fill="auto"/>
            <w:hideMark/>
          </w:tcPr>
          <w:p w14:paraId="53B50810" w14:textId="77777777" w:rsidR="00623569" w:rsidRPr="00FD4065" w:rsidRDefault="00623569" w:rsidP="001517F2">
            <w:pPr>
              <w:spacing w:after="0" w:line="240" w:lineRule="auto"/>
              <w:rPr>
                <w:rFonts w:cs="Arial"/>
                <w:color w:val="000000"/>
                <w:szCs w:val="20"/>
              </w:rPr>
            </w:pPr>
          </w:p>
        </w:tc>
        <w:tc>
          <w:tcPr>
            <w:tcW w:w="3120" w:type="dxa"/>
            <w:shd w:val="clear" w:color="auto" w:fill="auto"/>
            <w:hideMark/>
          </w:tcPr>
          <w:p w14:paraId="630337E9" w14:textId="77777777" w:rsidR="00623569" w:rsidRPr="00FD4065" w:rsidRDefault="00623569" w:rsidP="001517F2">
            <w:pPr>
              <w:spacing w:after="0" w:line="240" w:lineRule="auto"/>
              <w:rPr>
                <w:rFonts w:cs="Arial"/>
                <w:color w:val="000000"/>
                <w:szCs w:val="20"/>
              </w:rPr>
            </w:pPr>
            <w:r w:rsidRPr="00FD4065">
              <w:rPr>
                <w:rFonts w:cs="Arial"/>
                <w:color w:val="000000"/>
                <w:szCs w:val="20"/>
              </w:rPr>
              <w:t>Loss of services (disadvantage) for people who are disconnected</w:t>
            </w:r>
          </w:p>
        </w:tc>
        <w:tc>
          <w:tcPr>
            <w:tcW w:w="2554" w:type="dxa"/>
            <w:vMerge/>
            <w:shd w:val="clear" w:color="auto" w:fill="auto"/>
            <w:hideMark/>
          </w:tcPr>
          <w:p w14:paraId="0D84C748" w14:textId="77777777" w:rsidR="00623569" w:rsidRPr="00FD4065" w:rsidRDefault="00623569" w:rsidP="001517F2">
            <w:pPr>
              <w:spacing w:after="0" w:line="240" w:lineRule="auto"/>
              <w:rPr>
                <w:rFonts w:cs="Arial"/>
                <w:color w:val="000000"/>
                <w:szCs w:val="20"/>
              </w:rPr>
            </w:pPr>
          </w:p>
        </w:tc>
        <w:tc>
          <w:tcPr>
            <w:tcW w:w="3746" w:type="dxa"/>
            <w:shd w:val="clear" w:color="auto" w:fill="auto"/>
            <w:hideMark/>
          </w:tcPr>
          <w:p w14:paraId="39DDBC45" w14:textId="77777777" w:rsidR="00623569" w:rsidRPr="00FD4065" w:rsidRDefault="00623569" w:rsidP="001517F2">
            <w:pPr>
              <w:spacing w:after="0" w:line="240" w:lineRule="auto"/>
              <w:rPr>
                <w:rFonts w:cs="Arial"/>
                <w:color w:val="000000"/>
                <w:szCs w:val="20"/>
              </w:rPr>
            </w:pPr>
            <w:r w:rsidRPr="00FD4065">
              <w:rPr>
                <w:rFonts w:cs="Arial"/>
                <w:color w:val="000000"/>
                <w:szCs w:val="20"/>
              </w:rPr>
              <w:t>Loss of services (disadvantage) for people who are disconnected</w:t>
            </w:r>
          </w:p>
        </w:tc>
      </w:tr>
      <w:tr w:rsidR="00623569" w:rsidRPr="00FD4065" w14:paraId="6BF12C61" w14:textId="77777777" w:rsidTr="00375D95">
        <w:trPr>
          <w:cnfStyle w:val="000000100000" w:firstRow="0" w:lastRow="0" w:firstColumn="0" w:lastColumn="0" w:oddVBand="0" w:evenVBand="0" w:oddHBand="1" w:evenHBand="0" w:firstRowFirstColumn="0" w:firstRowLastColumn="0" w:lastRowFirstColumn="0" w:lastRowLastColumn="0"/>
          <w:trHeight w:val="525"/>
        </w:trPr>
        <w:tc>
          <w:tcPr>
            <w:tcW w:w="2400" w:type="dxa"/>
            <w:vMerge/>
            <w:shd w:val="clear" w:color="auto" w:fill="auto"/>
            <w:hideMark/>
          </w:tcPr>
          <w:p w14:paraId="49926E1C" w14:textId="77777777" w:rsidR="00623569" w:rsidRPr="00FD4065" w:rsidRDefault="00623569" w:rsidP="001517F2">
            <w:pPr>
              <w:spacing w:after="0" w:line="240" w:lineRule="auto"/>
              <w:rPr>
                <w:rFonts w:cs="Arial"/>
                <w:b/>
                <w:bCs/>
                <w:color w:val="000000"/>
                <w:szCs w:val="20"/>
              </w:rPr>
            </w:pPr>
          </w:p>
        </w:tc>
        <w:tc>
          <w:tcPr>
            <w:tcW w:w="3120" w:type="dxa"/>
            <w:vMerge/>
            <w:shd w:val="clear" w:color="auto" w:fill="auto"/>
            <w:hideMark/>
          </w:tcPr>
          <w:p w14:paraId="11970550" w14:textId="77777777" w:rsidR="00623569" w:rsidRPr="00FD4065" w:rsidRDefault="00623569" w:rsidP="001517F2">
            <w:pPr>
              <w:spacing w:after="0" w:line="240" w:lineRule="auto"/>
              <w:rPr>
                <w:rFonts w:cs="Arial"/>
                <w:color w:val="000000"/>
                <w:szCs w:val="20"/>
              </w:rPr>
            </w:pPr>
          </w:p>
        </w:tc>
        <w:tc>
          <w:tcPr>
            <w:tcW w:w="3120" w:type="dxa"/>
            <w:shd w:val="clear" w:color="auto" w:fill="F2F2F2" w:themeFill="background1" w:themeFillShade="F2"/>
            <w:hideMark/>
          </w:tcPr>
          <w:p w14:paraId="69B37912" w14:textId="77777777" w:rsidR="00623569" w:rsidRPr="00FD4065" w:rsidRDefault="00623569" w:rsidP="001517F2">
            <w:pPr>
              <w:spacing w:after="0" w:line="240" w:lineRule="auto"/>
              <w:rPr>
                <w:rFonts w:cs="Arial"/>
                <w:color w:val="000000"/>
                <w:szCs w:val="20"/>
              </w:rPr>
            </w:pPr>
            <w:r w:rsidRPr="00FD4065">
              <w:rPr>
                <w:rFonts w:cs="Arial"/>
                <w:color w:val="000000"/>
                <w:szCs w:val="20"/>
              </w:rPr>
              <w:t>Lower number seeking financial counselling</w:t>
            </w:r>
          </w:p>
        </w:tc>
        <w:tc>
          <w:tcPr>
            <w:tcW w:w="2554" w:type="dxa"/>
            <w:vMerge/>
            <w:shd w:val="clear" w:color="auto" w:fill="auto"/>
            <w:hideMark/>
          </w:tcPr>
          <w:p w14:paraId="25388B6C" w14:textId="77777777" w:rsidR="00623569" w:rsidRPr="00FD4065" w:rsidRDefault="00623569" w:rsidP="001517F2">
            <w:pPr>
              <w:spacing w:after="0" w:line="240" w:lineRule="auto"/>
              <w:rPr>
                <w:rFonts w:cs="Arial"/>
                <w:color w:val="000000"/>
                <w:szCs w:val="20"/>
              </w:rPr>
            </w:pPr>
          </w:p>
        </w:tc>
        <w:tc>
          <w:tcPr>
            <w:tcW w:w="3746" w:type="dxa"/>
            <w:shd w:val="clear" w:color="auto" w:fill="F2F2F2" w:themeFill="background1" w:themeFillShade="F2"/>
            <w:hideMark/>
          </w:tcPr>
          <w:p w14:paraId="05496696" w14:textId="77777777" w:rsidR="00623569" w:rsidRPr="00FD4065" w:rsidRDefault="00623569" w:rsidP="001517F2">
            <w:pPr>
              <w:spacing w:after="0" w:line="240" w:lineRule="auto"/>
              <w:rPr>
                <w:rFonts w:cs="Arial"/>
                <w:color w:val="000000"/>
                <w:szCs w:val="20"/>
              </w:rPr>
            </w:pPr>
            <w:r w:rsidRPr="00FD4065">
              <w:rPr>
                <w:rFonts w:cs="Arial"/>
                <w:color w:val="000000"/>
                <w:szCs w:val="20"/>
              </w:rPr>
              <w:t>Lower number seeking financial counselling</w:t>
            </w:r>
          </w:p>
        </w:tc>
      </w:tr>
      <w:tr w:rsidR="00623569" w:rsidRPr="00FD4065" w14:paraId="0B58F214" w14:textId="77777777" w:rsidTr="00375D95">
        <w:trPr>
          <w:cnfStyle w:val="000000010000" w:firstRow="0" w:lastRow="0" w:firstColumn="0" w:lastColumn="0" w:oddVBand="0" w:evenVBand="0" w:oddHBand="0" w:evenHBand="1" w:firstRowFirstColumn="0" w:firstRowLastColumn="0" w:lastRowFirstColumn="0" w:lastRowLastColumn="0"/>
          <w:trHeight w:val="510"/>
        </w:trPr>
        <w:tc>
          <w:tcPr>
            <w:tcW w:w="2400" w:type="dxa"/>
            <w:shd w:val="clear" w:color="auto" w:fill="auto"/>
            <w:hideMark/>
          </w:tcPr>
          <w:p w14:paraId="1E4085AB" w14:textId="77777777" w:rsidR="00623569" w:rsidRPr="00FD4065" w:rsidRDefault="00623569" w:rsidP="001517F2">
            <w:pPr>
              <w:spacing w:after="0" w:line="240" w:lineRule="auto"/>
              <w:rPr>
                <w:rFonts w:cs="Arial"/>
                <w:b/>
                <w:bCs/>
                <w:color w:val="000000"/>
                <w:szCs w:val="20"/>
              </w:rPr>
            </w:pPr>
            <w:r w:rsidRPr="00FD4065">
              <w:rPr>
                <w:rFonts w:cs="Arial"/>
                <w:b/>
                <w:bCs/>
                <w:color w:val="000000"/>
                <w:szCs w:val="20"/>
              </w:rPr>
              <w:lastRenderedPageBreak/>
              <w:t>Broader community</w:t>
            </w:r>
          </w:p>
        </w:tc>
        <w:tc>
          <w:tcPr>
            <w:tcW w:w="3120" w:type="dxa"/>
            <w:shd w:val="clear" w:color="auto" w:fill="auto"/>
            <w:hideMark/>
          </w:tcPr>
          <w:p w14:paraId="2C54B17C" w14:textId="77777777" w:rsidR="00623569" w:rsidRPr="00FD4065" w:rsidRDefault="00623569" w:rsidP="001517F2">
            <w:pPr>
              <w:spacing w:after="0" w:line="240" w:lineRule="auto"/>
              <w:rPr>
                <w:rFonts w:cs="Arial"/>
                <w:color w:val="000000"/>
                <w:szCs w:val="20"/>
              </w:rPr>
            </w:pPr>
            <w:r w:rsidRPr="00FD4065">
              <w:rPr>
                <w:rFonts w:cs="Arial"/>
                <w:color w:val="000000"/>
                <w:szCs w:val="20"/>
              </w:rPr>
              <w:t> </w:t>
            </w:r>
          </w:p>
        </w:tc>
        <w:tc>
          <w:tcPr>
            <w:tcW w:w="3120" w:type="dxa"/>
            <w:shd w:val="clear" w:color="auto" w:fill="auto"/>
            <w:hideMark/>
          </w:tcPr>
          <w:p w14:paraId="4829BD02" w14:textId="77777777" w:rsidR="00623569" w:rsidRPr="00FD4065" w:rsidRDefault="00623569" w:rsidP="001517F2">
            <w:pPr>
              <w:spacing w:after="0" w:line="240" w:lineRule="auto"/>
              <w:rPr>
                <w:rFonts w:cs="Arial"/>
                <w:color w:val="000000"/>
                <w:szCs w:val="20"/>
              </w:rPr>
            </w:pPr>
            <w:r>
              <w:rPr>
                <w:rFonts w:cs="Arial"/>
                <w:color w:val="000000"/>
                <w:szCs w:val="20"/>
              </w:rPr>
              <w:t xml:space="preserve">Not having people prevented from engaging with work, education and online services </w:t>
            </w:r>
            <w:r w:rsidRPr="00FD4065">
              <w:rPr>
                <w:rFonts w:cs="Arial"/>
                <w:color w:val="000000"/>
                <w:szCs w:val="20"/>
              </w:rPr>
              <w:t>(reduction in disconnections)</w:t>
            </w:r>
          </w:p>
        </w:tc>
        <w:tc>
          <w:tcPr>
            <w:tcW w:w="2554" w:type="dxa"/>
            <w:shd w:val="clear" w:color="auto" w:fill="auto"/>
            <w:hideMark/>
          </w:tcPr>
          <w:p w14:paraId="0444E333" w14:textId="77777777" w:rsidR="00623569" w:rsidRPr="00FD4065" w:rsidRDefault="00623569" w:rsidP="001517F2">
            <w:pPr>
              <w:spacing w:after="0" w:line="240" w:lineRule="auto"/>
              <w:rPr>
                <w:rFonts w:cs="Arial"/>
                <w:color w:val="000000"/>
                <w:szCs w:val="20"/>
              </w:rPr>
            </w:pPr>
            <w:r w:rsidRPr="00FD4065">
              <w:rPr>
                <w:rFonts w:cs="Arial"/>
                <w:color w:val="000000"/>
                <w:szCs w:val="20"/>
              </w:rPr>
              <w:t> </w:t>
            </w:r>
          </w:p>
        </w:tc>
        <w:tc>
          <w:tcPr>
            <w:tcW w:w="3746" w:type="dxa"/>
            <w:shd w:val="clear" w:color="auto" w:fill="auto"/>
            <w:hideMark/>
          </w:tcPr>
          <w:p w14:paraId="61CCDD76" w14:textId="77777777" w:rsidR="00623569" w:rsidRPr="00FD4065" w:rsidRDefault="00623569" w:rsidP="001517F2">
            <w:pPr>
              <w:spacing w:after="0" w:line="240" w:lineRule="auto"/>
              <w:rPr>
                <w:rFonts w:cs="Arial"/>
                <w:color w:val="000000"/>
                <w:szCs w:val="20"/>
              </w:rPr>
            </w:pPr>
            <w:r>
              <w:rPr>
                <w:rFonts w:cs="Arial"/>
                <w:color w:val="000000"/>
                <w:szCs w:val="20"/>
              </w:rPr>
              <w:t xml:space="preserve">Not having people prevented from engaging with work, education and online services </w:t>
            </w:r>
            <w:r w:rsidRPr="00FD4065">
              <w:rPr>
                <w:rFonts w:cs="Arial"/>
                <w:color w:val="000000"/>
                <w:szCs w:val="20"/>
              </w:rPr>
              <w:t>(reduction in disconnections)</w:t>
            </w:r>
          </w:p>
        </w:tc>
      </w:tr>
      <w:bookmarkEnd w:id="94"/>
    </w:tbl>
    <w:p w14:paraId="6E4BA68E" w14:textId="77777777" w:rsidR="00623569" w:rsidRDefault="00623569" w:rsidP="00623569">
      <w:pPr>
        <w:rPr>
          <w:bdr w:val="single" w:sz="4" w:space="0" w:color="auto"/>
        </w:rPr>
      </w:pPr>
    </w:p>
    <w:p w14:paraId="674185C0" w14:textId="77777777" w:rsidR="00623569" w:rsidRDefault="00623569" w:rsidP="00623569">
      <w:pPr>
        <w:rPr>
          <w:bdr w:val="single" w:sz="4" w:space="0" w:color="auto"/>
        </w:rPr>
      </w:pPr>
    </w:p>
    <w:p w14:paraId="57B513CE" w14:textId="77777777" w:rsidR="00623569" w:rsidRDefault="00623569" w:rsidP="00623569">
      <w:pPr>
        <w:rPr>
          <w:bdr w:val="single" w:sz="4" w:space="0" w:color="auto"/>
        </w:rPr>
        <w:sectPr w:rsidR="00623569" w:rsidSect="002F2BD6">
          <w:headerReference w:type="even" r:id="rId47"/>
          <w:headerReference w:type="default" r:id="rId48"/>
          <w:footerReference w:type="even" r:id="rId49"/>
          <w:footerReference w:type="default" r:id="rId50"/>
          <w:pgSz w:w="16838" w:h="11906" w:orient="landscape" w:code="9"/>
          <w:pgMar w:top="1134" w:right="1945" w:bottom="1276" w:left="1134" w:header="709" w:footer="119" w:gutter="0"/>
          <w:cols w:space="708"/>
          <w:docGrid w:linePitch="360"/>
        </w:sectPr>
      </w:pPr>
    </w:p>
    <w:p w14:paraId="58C5A5BE" w14:textId="77777777" w:rsidR="00623569" w:rsidRPr="005A2F97" w:rsidRDefault="00623569" w:rsidP="00623569">
      <w:pPr>
        <w:pStyle w:val="Paragraph"/>
      </w:pPr>
    </w:p>
    <w:p w14:paraId="3174570C" w14:textId="77777777" w:rsidR="00623569" w:rsidRPr="007D3BF1" w:rsidRDefault="00623569" w:rsidP="00623569">
      <w:pPr>
        <w:pStyle w:val="Heading2"/>
      </w:pPr>
      <w:bookmarkStart w:id="95" w:name="_Toc155686017"/>
      <w:r>
        <w:t>Summary of costs and benefits for cost model</w:t>
      </w:r>
      <w:bookmarkEnd w:id="95"/>
    </w:p>
    <w:p w14:paraId="573C25D9" w14:textId="77777777" w:rsidR="00623569" w:rsidRDefault="00623569" w:rsidP="00623569">
      <w:pPr>
        <w:pStyle w:val="Tableheading"/>
      </w:pPr>
      <w:r>
        <w:t>Summary of costs and benefits per cost model</w:t>
      </w:r>
    </w:p>
    <w:tbl>
      <w:tblPr>
        <w:tblStyle w:val="ACMAtablestyle"/>
        <w:tblW w:w="14452" w:type="dxa"/>
        <w:tblLayout w:type="fixed"/>
        <w:tblLook w:val="04A0" w:firstRow="1" w:lastRow="0" w:firstColumn="1" w:lastColumn="0" w:noHBand="0" w:noVBand="1"/>
      </w:tblPr>
      <w:tblGrid>
        <w:gridCol w:w="1413"/>
        <w:gridCol w:w="1984"/>
        <w:gridCol w:w="941"/>
        <w:gridCol w:w="2720"/>
        <w:gridCol w:w="949"/>
        <w:gridCol w:w="949"/>
        <w:gridCol w:w="1115"/>
        <w:gridCol w:w="949"/>
        <w:gridCol w:w="1184"/>
        <w:gridCol w:w="1008"/>
        <w:gridCol w:w="1240"/>
      </w:tblGrid>
      <w:tr w:rsidR="00623569" w:rsidRPr="009C0B71" w14:paraId="3D3A294B" w14:textId="77777777" w:rsidTr="001517F2">
        <w:trPr>
          <w:cnfStyle w:val="100000000000" w:firstRow="1" w:lastRow="0" w:firstColumn="0" w:lastColumn="0" w:oddVBand="0" w:evenVBand="0" w:oddHBand="0" w:evenHBand="0" w:firstRowFirstColumn="0" w:firstRowLastColumn="0" w:lastRowFirstColumn="0" w:lastRowLastColumn="0"/>
        </w:trPr>
        <w:tc>
          <w:tcPr>
            <w:tcW w:w="1413" w:type="dxa"/>
            <w:vMerge w:val="restart"/>
            <w:noWrap/>
            <w:hideMark/>
          </w:tcPr>
          <w:p w14:paraId="3984E267" w14:textId="77777777" w:rsidR="00623569" w:rsidRPr="003C4D21" w:rsidRDefault="00623569" w:rsidP="001517F2">
            <w:pPr>
              <w:spacing w:after="0" w:line="240" w:lineRule="auto"/>
              <w:contextualSpacing/>
              <w:rPr>
                <w:rFonts w:cs="Arial"/>
                <w:b/>
                <w:bCs/>
                <w:szCs w:val="20"/>
              </w:rPr>
            </w:pPr>
            <w:r w:rsidRPr="003C4D21">
              <w:rPr>
                <w:rFonts w:cs="Arial"/>
                <w:b/>
                <w:bCs/>
                <w:szCs w:val="20"/>
              </w:rPr>
              <w:t>Stakeholder</w:t>
            </w:r>
          </w:p>
        </w:tc>
        <w:tc>
          <w:tcPr>
            <w:tcW w:w="1984" w:type="dxa"/>
            <w:vMerge w:val="restart"/>
            <w:noWrap/>
            <w:hideMark/>
          </w:tcPr>
          <w:p w14:paraId="39EE6AD3" w14:textId="77777777" w:rsidR="00623569" w:rsidRPr="003C4D21" w:rsidRDefault="00623569" w:rsidP="001517F2">
            <w:pPr>
              <w:spacing w:after="0" w:line="240" w:lineRule="auto"/>
              <w:contextualSpacing/>
              <w:rPr>
                <w:rFonts w:cs="Arial"/>
                <w:b/>
                <w:bCs/>
                <w:szCs w:val="20"/>
              </w:rPr>
            </w:pPr>
            <w:r w:rsidRPr="003C4D21">
              <w:rPr>
                <w:rFonts w:cs="Arial"/>
                <w:b/>
                <w:bCs/>
                <w:szCs w:val="20"/>
              </w:rPr>
              <w:t>Impact</w:t>
            </w:r>
          </w:p>
        </w:tc>
        <w:tc>
          <w:tcPr>
            <w:tcW w:w="941" w:type="dxa"/>
            <w:vMerge w:val="restart"/>
            <w:noWrap/>
            <w:hideMark/>
          </w:tcPr>
          <w:p w14:paraId="0A84FF97" w14:textId="77777777" w:rsidR="00623569" w:rsidRPr="003C4D21" w:rsidRDefault="00623569" w:rsidP="001517F2">
            <w:pPr>
              <w:spacing w:after="0" w:line="240" w:lineRule="auto"/>
              <w:contextualSpacing/>
              <w:rPr>
                <w:rFonts w:cs="Arial"/>
                <w:b/>
                <w:bCs/>
                <w:szCs w:val="20"/>
              </w:rPr>
            </w:pPr>
            <w:r w:rsidRPr="003C4D21">
              <w:rPr>
                <w:rFonts w:cs="Arial"/>
                <w:b/>
                <w:bCs/>
                <w:szCs w:val="20"/>
              </w:rPr>
              <w:t>Type</w:t>
            </w:r>
          </w:p>
        </w:tc>
        <w:tc>
          <w:tcPr>
            <w:tcW w:w="2720" w:type="dxa"/>
            <w:vMerge w:val="restart"/>
            <w:noWrap/>
            <w:hideMark/>
          </w:tcPr>
          <w:p w14:paraId="2B4DFCA7" w14:textId="77777777" w:rsidR="00623569" w:rsidRPr="003C4D21" w:rsidRDefault="00623569" w:rsidP="001517F2">
            <w:pPr>
              <w:spacing w:after="0" w:line="240" w:lineRule="auto"/>
              <w:contextualSpacing/>
              <w:rPr>
                <w:rFonts w:cs="Arial"/>
                <w:b/>
                <w:bCs/>
                <w:szCs w:val="20"/>
              </w:rPr>
            </w:pPr>
            <w:r w:rsidRPr="003C4D21">
              <w:rPr>
                <w:rFonts w:cs="Arial"/>
                <w:b/>
                <w:bCs/>
                <w:szCs w:val="20"/>
              </w:rPr>
              <w:t>Comment</w:t>
            </w:r>
          </w:p>
        </w:tc>
        <w:tc>
          <w:tcPr>
            <w:tcW w:w="1898" w:type="dxa"/>
            <w:gridSpan w:val="2"/>
            <w:noWrap/>
            <w:hideMark/>
          </w:tcPr>
          <w:p w14:paraId="69E2605E" w14:textId="77777777" w:rsidR="00623569" w:rsidRPr="003C4D21" w:rsidRDefault="00623569" w:rsidP="001517F2">
            <w:pPr>
              <w:spacing w:after="0" w:line="240" w:lineRule="auto"/>
              <w:contextualSpacing/>
              <w:jc w:val="center"/>
              <w:rPr>
                <w:rFonts w:cs="Arial"/>
                <w:b/>
                <w:bCs/>
                <w:szCs w:val="20"/>
              </w:rPr>
            </w:pPr>
            <w:r w:rsidRPr="003C4D21">
              <w:rPr>
                <w:rFonts w:cs="Arial"/>
                <w:b/>
                <w:bCs/>
                <w:szCs w:val="20"/>
              </w:rPr>
              <w:t xml:space="preserve">Base </w:t>
            </w:r>
            <w:r>
              <w:rPr>
                <w:rFonts w:cs="Arial"/>
                <w:b/>
                <w:bCs/>
                <w:szCs w:val="20"/>
              </w:rPr>
              <w:t>c</w:t>
            </w:r>
            <w:r w:rsidRPr="003C4D21">
              <w:rPr>
                <w:rFonts w:cs="Arial"/>
                <w:b/>
                <w:bCs/>
                <w:szCs w:val="20"/>
              </w:rPr>
              <w:t>ase</w:t>
            </w:r>
          </w:p>
        </w:tc>
        <w:tc>
          <w:tcPr>
            <w:tcW w:w="2064" w:type="dxa"/>
            <w:gridSpan w:val="2"/>
            <w:noWrap/>
            <w:hideMark/>
          </w:tcPr>
          <w:p w14:paraId="2C97DDDA" w14:textId="77777777" w:rsidR="00623569" w:rsidRPr="003C4D21" w:rsidRDefault="00623569" w:rsidP="001517F2">
            <w:pPr>
              <w:spacing w:after="0" w:line="240" w:lineRule="auto"/>
              <w:contextualSpacing/>
              <w:jc w:val="center"/>
              <w:rPr>
                <w:rFonts w:cs="Arial"/>
                <w:b/>
                <w:bCs/>
                <w:szCs w:val="20"/>
              </w:rPr>
            </w:pPr>
            <w:r w:rsidRPr="003C4D21">
              <w:rPr>
                <w:rFonts w:cs="Arial"/>
                <w:b/>
                <w:bCs/>
                <w:szCs w:val="20"/>
              </w:rPr>
              <w:t>Option 2A</w:t>
            </w:r>
          </w:p>
        </w:tc>
        <w:tc>
          <w:tcPr>
            <w:tcW w:w="3432" w:type="dxa"/>
            <w:gridSpan w:val="3"/>
            <w:noWrap/>
            <w:hideMark/>
          </w:tcPr>
          <w:p w14:paraId="5926B6A8" w14:textId="77777777" w:rsidR="00623569" w:rsidRPr="003C4D21" w:rsidRDefault="00623569" w:rsidP="001517F2">
            <w:pPr>
              <w:spacing w:after="0" w:line="240" w:lineRule="auto"/>
              <w:contextualSpacing/>
              <w:jc w:val="center"/>
              <w:rPr>
                <w:rFonts w:cs="Arial"/>
                <w:b/>
                <w:bCs/>
                <w:szCs w:val="20"/>
              </w:rPr>
            </w:pPr>
            <w:r w:rsidRPr="003C4D21">
              <w:rPr>
                <w:rFonts w:cs="Arial"/>
                <w:b/>
                <w:bCs/>
                <w:szCs w:val="20"/>
              </w:rPr>
              <w:t>Option 2B</w:t>
            </w:r>
          </w:p>
        </w:tc>
      </w:tr>
      <w:tr w:rsidR="00623569" w:rsidRPr="00E10BAF" w14:paraId="2164161A" w14:textId="77777777" w:rsidTr="001517F2">
        <w:trPr>
          <w:cnfStyle w:val="000000100000" w:firstRow="0" w:lastRow="0" w:firstColumn="0" w:lastColumn="0" w:oddVBand="0" w:evenVBand="0" w:oddHBand="1" w:evenHBand="0" w:firstRowFirstColumn="0" w:firstRowLastColumn="0" w:lastRowFirstColumn="0" w:lastRowLastColumn="0"/>
        </w:trPr>
        <w:tc>
          <w:tcPr>
            <w:tcW w:w="1413" w:type="dxa"/>
            <w:vMerge/>
            <w:noWrap/>
            <w:hideMark/>
          </w:tcPr>
          <w:p w14:paraId="7B4EE90D" w14:textId="77777777" w:rsidR="00623569" w:rsidRPr="003C4D21" w:rsidRDefault="00623569" w:rsidP="001517F2">
            <w:pPr>
              <w:spacing w:after="0" w:line="240" w:lineRule="auto"/>
              <w:contextualSpacing/>
              <w:rPr>
                <w:rFonts w:cs="Arial"/>
                <w:b/>
                <w:bCs/>
                <w:color w:val="000000"/>
                <w:szCs w:val="20"/>
              </w:rPr>
            </w:pPr>
          </w:p>
        </w:tc>
        <w:tc>
          <w:tcPr>
            <w:tcW w:w="1984" w:type="dxa"/>
            <w:vMerge/>
            <w:noWrap/>
            <w:hideMark/>
          </w:tcPr>
          <w:p w14:paraId="1D4F8A84" w14:textId="77777777" w:rsidR="00623569" w:rsidRPr="003C4D21" w:rsidRDefault="00623569" w:rsidP="001517F2">
            <w:pPr>
              <w:spacing w:after="0" w:line="240" w:lineRule="auto"/>
              <w:contextualSpacing/>
              <w:rPr>
                <w:rFonts w:cs="Arial"/>
                <w:b/>
                <w:bCs/>
                <w:color w:val="000000"/>
                <w:szCs w:val="20"/>
              </w:rPr>
            </w:pPr>
          </w:p>
        </w:tc>
        <w:tc>
          <w:tcPr>
            <w:tcW w:w="941" w:type="dxa"/>
            <w:vMerge/>
            <w:noWrap/>
            <w:hideMark/>
          </w:tcPr>
          <w:p w14:paraId="0F81A7EC" w14:textId="77777777" w:rsidR="00623569" w:rsidRPr="003C4D21" w:rsidRDefault="00623569" w:rsidP="001517F2">
            <w:pPr>
              <w:spacing w:after="0" w:line="240" w:lineRule="auto"/>
              <w:contextualSpacing/>
              <w:rPr>
                <w:rFonts w:cs="Arial"/>
                <w:b/>
                <w:bCs/>
                <w:color w:val="000000"/>
                <w:szCs w:val="20"/>
              </w:rPr>
            </w:pPr>
          </w:p>
        </w:tc>
        <w:tc>
          <w:tcPr>
            <w:tcW w:w="0" w:type="dxa"/>
            <w:vMerge/>
            <w:noWrap/>
            <w:hideMark/>
          </w:tcPr>
          <w:p w14:paraId="7C13C486" w14:textId="77777777" w:rsidR="00623569" w:rsidRPr="003C4D21" w:rsidRDefault="00623569" w:rsidP="001517F2">
            <w:pPr>
              <w:spacing w:after="0" w:line="240" w:lineRule="auto"/>
              <w:contextualSpacing/>
              <w:rPr>
                <w:rFonts w:cs="Arial"/>
                <w:b/>
                <w:bCs/>
                <w:color w:val="000000"/>
                <w:szCs w:val="20"/>
              </w:rPr>
            </w:pPr>
          </w:p>
        </w:tc>
        <w:tc>
          <w:tcPr>
            <w:tcW w:w="949" w:type="dxa"/>
            <w:shd w:val="clear" w:color="auto" w:fill="404040"/>
            <w:noWrap/>
            <w:hideMark/>
          </w:tcPr>
          <w:p w14:paraId="1D6746F0" w14:textId="77777777" w:rsidR="00623569" w:rsidRPr="003C4D21" w:rsidRDefault="00623569" w:rsidP="001517F2">
            <w:pPr>
              <w:spacing w:after="0" w:line="240" w:lineRule="auto"/>
              <w:contextualSpacing/>
              <w:jc w:val="right"/>
              <w:rPr>
                <w:rFonts w:cs="Arial"/>
                <w:b/>
                <w:bCs/>
                <w:color w:val="FFFFFF" w:themeColor="background1"/>
                <w:szCs w:val="20"/>
              </w:rPr>
            </w:pPr>
            <w:r w:rsidRPr="003C4D21">
              <w:rPr>
                <w:rFonts w:cs="Arial"/>
                <w:b/>
                <w:bCs/>
                <w:color w:val="FFFFFF" w:themeColor="background1"/>
                <w:szCs w:val="20"/>
              </w:rPr>
              <w:t xml:space="preserve">First </w:t>
            </w:r>
            <w:r>
              <w:rPr>
                <w:rFonts w:cs="Arial"/>
                <w:b/>
                <w:bCs/>
                <w:color w:val="FFFFFF" w:themeColor="background1"/>
                <w:szCs w:val="20"/>
              </w:rPr>
              <w:br/>
            </w:r>
            <w:r w:rsidRPr="003C4D21">
              <w:rPr>
                <w:rFonts w:cs="Arial"/>
                <w:b/>
                <w:bCs/>
                <w:color w:val="FFFFFF" w:themeColor="background1"/>
                <w:szCs w:val="20"/>
              </w:rPr>
              <w:t>year</w:t>
            </w:r>
          </w:p>
        </w:tc>
        <w:tc>
          <w:tcPr>
            <w:tcW w:w="949" w:type="dxa"/>
            <w:shd w:val="clear" w:color="auto" w:fill="404040"/>
            <w:noWrap/>
            <w:hideMark/>
          </w:tcPr>
          <w:p w14:paraId="1E191B37" w14:textId="77777777" w:rsidR="00623569" w:rsidRPr="003C4D21" w:rsidRDefault="00623569" w:rsidP="001517F2">
            <w:pPr>
              <w:spacing w:after="0" w:line="240" w:lineRule="auto"/>
              <w:contextualSpacing/>
              <w:jc w:val="right"/>
              <w:rPr>
                <w:rFonts w:cs="Arial"/>
                <w:b/>
                <w:bCs/>
                <w:color w:val="FFFFFF" w:themeColor="background1"/>
                <w:szCs w:val="20"/>
              </w:rPr>
            </w:pPr>
            <w:r w:rsidRPr="003C4D21">
              <w:rPr>
                <w:rFonts w:cs="Arial"/>
                <w:b/>
                <w:bCs/>
                <w:color w:val="FFFFFF" w:themeColor="background1"/>
                <w:szCs w:val="20"/>
              </w:rPr>
              <w:t>Ongoing</w:t>
            </w:r>
          </w:p>
        </w:tc>
        <w:tc>
          <w:tcPr>
            <w:tcW w:w="1115" w:type="dxa"/>
            <w:shd w:val="clear" w:color="auto" w:fill="404040"/>
            <w:noWrap/>
            <w:hideMark/>
          </w:tcPr>
          <w:p w14:paraId="4435BF08" w14:textId="77777777" w:rsidR="00623569" w:rsidRPr="003C4D21" w:rsidRDefault="00623569" w:rsidP="001517F2">
            <w:pPr>
              <w:spacing w:after="0" w:line="240" w:lineRule="auto"/>
              <w:contextualSpacing/>
              <w:jc w:val="right"/>
              <w:rPr>
                <w:rFonts w:cs="Arial"/>
                <w:b/>
                <w:bCs/>
                <w:color w:val="FFFFFF" w:themeColor="background1"/>
                <w:szCs w:val="20"/>
              </w:rPr>
            </w:pPr>
            <w:r w:rsidRPr="003C4D21">
              <w:rPr>
                <w:rFonts w:cs="Arial"/>
                <w:b/>
                <w:bCs/>
                <w:color w:val="FFFFFF" w:themeColor="background1"/>
                <w:szCs w:val="20"/>
              </w:rPr>
              <w:t xml:space="preserve">First </w:t>
            </w:r>
            <w:r>
              <w:rPr>
                <w:rFonts w:cs="Arial"/>
                <w:b/>
                <w:bCs/>
                <w:color w:val="FFFFFF" w:themeColor="background1"/>
                <w:szCs w:val="20"/>
              </w:rPr>
              <w:br/>
            </w:r>
            <w:r w:rsidRPr="003C4D21">
              <w:rPr>
                <w:rFonts w:cs="Arial"/>
                <w:b/>
                <w:bCs/>
                <w:color w:val="FFFFFF" w:themeColor="background1"/>
                <w:szCs w:val="20"/>
              </w:rPr>
              <w:t>year</w:t>
            </w:r>
          </w:p>
        </w:tc>
        <w:tc>
          <w:tcPr>
            <w:tcW w:w="949" w:type="dxa"/>
            <w:shd w:val="clear" w:color="auto" w:fill="404040"/>
            <w:noWrap/>
            <w:hideMark/>
          </w:tcPr>
          <w:p w14:paraId="5CEE7CA2" w14:textId="77777777" w:rsidR="00623569" w:rsidRPr="003C4D21" w:rsidRDefault="00623569" w:rsidP="001517F2">
            <w:pPr>
              <w:spacing w:after="0" w:line="240" w:lineRule="auto"/>
              <w:contextualSpacing/>
              <w:jc w:val="right"/>
              <w:rPr>
                <w:rFonts w:cs="Arial"/>
                <w:b/>
                <w:bCs/>
                <w:color w:val="FFFFFF" w:themeColor="background1"/>
                <w:szCs w:val="20"/>
              </w:rPr>
            </w:pPr>
            <w:r w:rsidRPr="003C4D21">
              <w:rPr>
                <w:rFonts w:cs="Arial"/>
                <w:b/>
                <w:bCs/>
                <w:color w:val="FFFFFF" w:themeColor="background1"/>
                <w:szCs w:val="20"/>
              </w:rPr>
              <w:t>Ongoing</w:t>
            </w:r>
          </w:p>
        </w:tc>
        <w:tc>
          <w:tcPr>
            <w:tcW w:w="1184" w:type="dxa"/>
            <w:shd w:val="clear" w:color="auto" w:fill="404040"/>
            <w:noWrap/>
            <w:hideMark/>
          </w:tcPr>
          <w:p w14:paraId="44302DD1" w14:textId="77777777" w:rsidR="00623569" w:rsidRPr="003C4D21" w:rsidRDefault="00623569" w:rsidP="001517F2">
            <w:pPr>
              <w:spacing w:after="0" w:line="240" w:lineRule="auto"/>
              <w:contextualSpacing/>
              <w:jc w:val="right"/>
              <w:rPr>
                <w:rFonts w:cs="Arial"/>
                <w:b/>
                <w:bCs/>
                <w:color w:val="FFFFFF" w:themeColor="background1"/>
                <w:szCs w:val="20"/>
              </w:rPr>
            </w:pPr>
            <w:r w:rsidRPr="003C4D21">
              <w:rPr>
                <w:rFonts w:cs="Arial"/>
                <w:b/>
                <w:bCs/>
                <w:color w:val="FFFFFF" w:themeColor="background1"/>
                <w:szCs w:val="20"/>
              </w:rPr>
              <w:t xml:space="preserve">First </w:t>
            </w:r>
            <w:r>
              <w:rPr>
                <w:rFonts w:cs="Arial"/>
                <w:b/>
                <w:bCs/>
                <w:color w:val="FFFFFF" w:themeColor="background1"/>
                <w:szCs w:val="20"/>
              </w:rPr>
              <w:br/>
            </w:r>
            <w:r w:rsidRPr="003C4D21">
              <w:rPr>
                <w:rFonts w:cs="Arial"/>
                <w:b/>
                <w:bCs/>
                <w:color w:val="FFFFFF" w:themeColor="background1"/>
                <w:szCs w:val="20"/>
              </w:rPr>
              <w:t>year</w:t>
            </w:r>
          </w:p>
        </w:tc>
        <w:tc>
          <w:tcPr>
            <w:tcW w:w="1008" w:type="dxa"/>
            <w:shd w:val="clear" w:color="auto" w:fill="404040"/>
            <w:noWrap/>
            <w:hideMark/>
          </w:tcPr>
          <w:p w14:paraId="075A7209" w14:textId="77777777" w:rsidR="00623569" w:rsidRPr="003C4D21" w:rsidRDefault="00623569" w:rsidP="001517F2">
            <w:pPr>
              <w:spacing w:after="0" w:line="240" w:lineRule="auto"/>
              <w:contextualSpacing/>
              <w:jc w:val="right"/>
              <w:rPr>
                <w:rFonts w:cs="Arial"/>
                <w:b/>
                <w:bCs/>
                <w:color w:val="FFFFFF" w:themeColor="background1"/>
                <w:szCs w:val="20"/>
              </w:rPr>
            </w:pPr>
            <w:r w:rsidRPr="003C4D21">
              <w:rPr>
                <w:rFonts w:cs="Arial"/>
                <w:b/>
                <w:bCs/>
                <w:color w:val="FFFFFF" w:themeColor="background1"/>
                <w:szCs w:val="20"/>
              </w:rPr>
              <w:t xml:space="preserve">Second </w:t>
            </w:r>
            <w:r>
              <w:rPr>
                <w:rFonts w:cs="Arial"/>
                <w:b/>
                <w:bCs/>
                <w:color w:val="FFFFFF" w:themeColor="background1"/>
                <w:szCs w:val="20"/>
              </w:rPr>
              <w:br/>
            </w:r>
            <w:r w:rsidRPr="003C4D21">
              <w:rPr>
                <w:rFonts w:cs="Arial"/>
                <w:b/>
                <w:bCs/>
                <w:color w:val="FFFFFF" w:themeColor="background1"/>
                <w:szCs w:val="20"/>
              </w:rPr>
              <w:t>year</w:t>
            </w:r>
          </w:p>
        </w:tc>
        <w:tc>
          <w:tcPr>
            <w:tcW w:w="1240" w:type="dxa"/>
            <w:shd w:val="clear" w:color="auto" w:fill="404040"/>
            <w:noWrap/>
            <w:hideMark/>
          </w:tcPr>
          <w:p w14:paraId="33D58535" w14:textId="77777777" w:rsidR="00623569" w:rsidRPr="003C4D21" w:rsidRDefault="00623569" w:rsidP="001517F2">
            <w:pPr>
              <w:spacing w:after="0" w:line="240" w:lineRule="auto"/>
              <w:contextualSpacing/>
              <w:jc w:val="right"/>
              <w:rPr>
                <w:rFonts w:cs="Arial"/>
                <w:b/>
                <w:bCs/>
                <w:color w:val="FFFFFF" w:themeColor="background1"/>
                <w:szCs w:val="20"/>
              </w:rPr>
            </w:pPr>
            <w:r w:rsidRPr="003C4D21">
              <w:rPr>
                <w:rFonts w:cs="Arial"/>
                <w:b/>
                <w:bCs/>
                <w:color w:val="FFFFFF" w:themeColor="background1"/>
                <w:szCs w:val="20"/>
              </w:rPr>
              <w:t xml:space="preserve">Third </w:t>
            </w:r>
            <w:r>
              <w:rPr>
                <w:rFonts w:cs="Arial"/>
                <w:b/>
                <w:bCs/>
                <w:color w:val="FFFFFF" w:themeColor="background1"/>
                <w:szCs w:val="20"/>
              </w:rPr>
              <w:br/>
            </w:r>
            <w:r w:rsidRPr="003C4D21">
              <w:rPr>
                <w:rFonts w:cs="Arial"/>
                <w:b/>
                <w:bCs/>
                <w:color w:val="FFFFFF" w:themeColor="background1"/>
                <w:szCs w:val="20"/>
              </w:rPr>
              <w:t>year</w:t>
            </w:r>
          </w:p>
        </w:tc>
      </w:tr>
      <w:tr w:rsidR="00375D95" w:rsidRPr="00E10BAF" w14:paraId="3494DAFD" w14:textId="77777777" w:rsidTr="00375D95">
        <w:trPr>
          <w:cnfStyle w:val="000000010000" w:firstRow="0" w:lastRow="0" w:firstColumn="0" w:lastColumn="0" w:oddVBand="0" w:evenVBand="0" w:oddHBand="0" w:evenHBand="1" w:firstRowFirstColumn="0" w:firstRowLastColumn="0" w:lastRowFirstColumn="0" w:lastRowLastColumn="0"/>
        </w:trPr>
        <w:tc>
          <w:tcPr>
            <w:tcW w:w="1413" w:type="dxa"/>
            <w:vMerge w:val="restart"/>
            <w:shd w:val="clear" w:color="auto" w:fill="auto"/>
            <w:noWrap/>
            <w:hideMark/>
          </w:tcPr>
          <w:p w14:paraId="17B0A0BD" w14:textId="77777777" w:rsidR="00623569" w:rsidRPr="009F252C" w:rsidRDefault="00623569" w:rsidP="001517F2">
            <w:pPr>
              <w:spacing w:after="0" w:line="240" w:lineRule="auto"/>
              <w:contextualSpacing/>
              <w:rPr>
                <w:rFonts w:cs="Arial"/>
                <w:b/>
                <w:bCs/>
                <w:color w:val="000000"/>
                <w:szCs w:val="20"/>
              </w:rPr>
            </w:pPr>
            <w:r w:rsidRPr="009F252C">
              <w:rPr>
                <w:rFonts w:cs="Arial"/>
                <w:b/>
                <w:bCs/>
                <w:color w:val="000000"/>
                <w:szCs w:val="20"/>
              </w:rPr>
              <w:t>Government (ACMA)</w:t>
            </w:r>
          </w:p>
        </w:tc>
        <w:tc>
          <w:tcPr>
            <w:tcW w:w="1984" w:type="dxa"/>
            <w:shd w:val="clear" w:color="auto" w:fill="auto"/>
            <w:hideMark/>
          </w:tcPr>
          <w:p w14:paraId="6E133C76" w14:textId="77777777" w:rsidR="00623569" w:rsidRPr="009F252C" w:rsidRDefault="00623569" w:rsidP="001517F2">
            <w:pPr>
              <w:spacing w:after="0" w:line="240" w:lineRule="auto"/>
              <w:contextualSpacing/>
              <w:rPr>
                <w:rFonts w:cs="Arial"/>
                <w:color w:val="000000"/>
                <w:szCs w:val="20"/>
              </w:rPr>
            </w:pPr>
            <w:r w:rsidRPr="009F252C">
              <w:rPr>
                <w:rFonts w:cs="Arial"/>
                <w:color w:val="000000"/>
                <w:szCs w:val="20"/>
              </w:rPr>
              <w:t xml:space="preserve">Establishment/ review of </w:t>
            </w:r>
            <w:r>
              <w:rPr>
                <w:rFonts w:cs="Arial"/>
                <w:color w:val="000000"/>
                <w:szCs w:val="20"/>
              </w:rPr>
              <w:t>S</w:t>
            </w:r>
            <w:r w:rsidRPr="009F252C">
              <w:rPr>
                <w:rFonts w:cs="Arial"/>
                <w:color w:val="000000"/>
                <w:szCs w:val="20"/>
              </w:rPr>
              <w:t>tandard or code</w:t>
            </w:r>
          </w:p>
        </w:tc>
        <w:tc>
          <w:tcPr>
            <w:tcW w:w="941" w:type="dxa"/>
            <w:shd w:val="clear" w:color="auto" w:fill="auto"/>
            <w:noWrap/>
            <w:hideMark/>
          </w:tcPr>
          <w:p w14:paraId="730377D8" w14:textId="77777777" w:rsidR="00623569" w:rsidRPr="009F252C" w:rsidRDefault="00623569" w:rsidP="001517F2">
            <w:pPr>
              <w:spacing w:after="0" w:line="240" w:lineRule="auto"/>
              <w:contextualSpacing/>
              <w:rPr>
                <w:rFonts w:cs="Arial"/>
                <w:color w:val="000000"/>
                <w:szCs w:val="20"/>
              </w:rPr>
            </w:pPr>
            <w:r w:rsidRPr="009F252C">
              <w:rPr>
                <w:rFonts w:cs="Arial"/>
                <w:color w:val="000000"/>
                <w:szCs w:val="20"/>
              </w:rPr>
              <w:t>Cost</w:t>
            </w:r>
          </w:p>
        </w:tc>
        <w:tc>
          <w:tcPr>
            <w:tcW w:w="0" w:type="dxa"/>
            <w:shd w:val="clear" w:color="auto" w:fill="auto"/>
            <w:hideMark/>
          </w:tcPr>
          <w:p w14:paraId="671998C5" w14:textId="77777777" w:rsidR="00623569" w:rsidRPr="009F252C" w:rsidRDefault="00623569" w:rsidP="001517F2">
            <w:pPr>
              <w:spacing w:after="0" w:line="240" w:lineRule="auto"/>
              <w:contextualSpacing/>
              <w:rPr>
                <w:rFonts w:cs="Arial"/>
                <w:color w:val="000000"/>
                <w:szCs w:val="20"/>
              </w:rPr>
            </w:pPr>
            <w:r w:rsidRPr="009F252C">
              <w:rPr>
                <w:rFonts w:cs="Arial"/>
                <w:color w:val="000000"/>
                <w:szCs w:val="20"/>
              </w:rPr>
              <w:t xml:space="preserve">ACMA indicated that it would have reviewed TCP Code in any case. So, no additional incremental cost for Option 2A and 2B compared to Option 1. </w:t>
            </w:r>
          </w:p>
        </w:tc>
        <w:tc>
          <w:tcPr>
            <w:tcW w:w="949" w:type="dxa"/>
            <w:shd w:val="clear" w:color="auto" w:fill="auto"/>
            <w:noWrap/>
            <w:hideMark/>
          </w:tcPr>
          <w:p w14:paraId="5C06AEC8"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$312,395</w:t>
            </w:r>
          </w:p>
        </w:tc>
        <w:tc>
          <w:tcPr>
            <w:tcW w:w="949" w:type="dxa"/>
            <w:shd w:val="clear" w:color="auto" w:fill="auto"/>
            <w:noWrap/>
            <w:hideMark/>
          </w:tcPr>
          <w:p w14:paraId="076C1A1B"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 $0</w:t>
            </w:r>
          </w:p>
        </w:tc>
        <w:tc>
          <w:tcPr>
            <w:tcW w:w="1115" w:type="dxa"/>
            <w:shd w:val="clear" w:color="auto" w:fill="auto"/>
            <w:noWrap/>
            <w:hideMark/>
          </w:tcPr>
          <w:p w14:paraId="5932436A"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$312,395</w:t>
            </w:r>
          </w:p>
        </w:tc>
        <w:tc>
          <w:tcPr>
            <w:tcW w:w="949" w:type="dxa"/>
            <w:shd w:val="clear" w:color="auto" w:fill="auto"/>
            <w:noWrap/>
            <w:hideMark/>
          </w:tcPr>
          <w:p w14:paraId="78512FE4"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 $0</w:t>
            </w:r>
          </w:p>
        </w:tc>
        <w:tc>
          <w:tcPr>
            <w:tcW w:w="1184" w:type="dxa"/>
            <w:shd w:val="clear" w:color="auto" w:fill="auto"/>
            <w:noWrap/>
            <w:hideMark/>
          </w:tcPr>
          <w:p w14:paraId="5DA73DBB"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$312,395</w:t>
            </w:r>
          </w:p>
        </w:tc>
        <w:tc>
          <w:tcPr>
            <w:tcW w:w="1008" w:type="dxa"/>
            <w:shd w:val="clear" w:color="auto" w:fill="auto"/>
            <w:noWrap/>
            <w:hideMark/>
          </w:tcPr>
          <w:p w14:paraId="73F80B2B" w14:textId="77777777" w:rsidR="00623569" w:rsidRPr="009F252C" w:rsidRDefault="00623569" w:rsidP="001517F2">
            <w:pPr>
              <w:spacing w:after="0" w:line="240" w:lineRule="auto"/>
              <w:contextualSpacing/>
              <w:jc w:val="right"/>
              <w:rPr>
                <w:rFonts w:cs="Arial"/>
                <w:szCs w:val="20"/>
              </w:rPr>
            </w:pPr>
            <w:r w:rsidRPr="009F252C">
              <w:rPr>
                <w:rFonts w:cs="Arial"/>
                <w:color w:val="000000"/>
                <w:szCs w:val="20"/>
              </w:rPr>
              <w:t>$0</w:t>
            </w:r>
          </w:p>
        </w:tc>
        <w:tc>
          <w:tcPr>
            <w:tcW w:w="1240" w:type="dxa"/>
            <w:shd w:val="clear" w:color="auto" w:fill="auto"/>
            <w:noWrap/>
            <w:hideMark/>
          </w:tcPr>
          <w:p w14:paraId="0DD16177"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 $0</w:t>
            </w:r>
          </w:p>
        </w:tc>
      </w:tr>
      <w:tr w:rsidR="00375D95" w:rsidRPr="00E10BAF" w14:paraId="53DD63FB" w14:textId="77777777" w:rsidTr="00375D95">
        <w:trPr>
          <w:cnfStyle w:val="000000100000" w:firstRow="0" w:lastRow="0" w:firstColumn="0" w:lastColumn="0" w:oddVBand="0" w:evenVBand="0" w:oddHBand="1" w:evenHBand="0" w:firstRowFirstColumn="0" w:firstRowLastColumn="0" w:lastRowFirstColumn="0" w:lastRowLastColumn="0"/>
        </w:trPr>
        <w:tc>
          <w:tcPr>
            <w:tcW w:w="1413" w:type="dxa"/>
            <w:vMerge/>
            <w:shd w:val="clear" w:color="auto" w:fill="auto"/>
            <w:hideMark/>
          </w:tcPr>
          <w:p w14:paraId="4DA1DDB2" w14:textId="77777777" w:rsidR="00623569" w:rsidRPr="009F252C" w:rsidRDefault="00623569" w:rsidP="001517F2">
            <w:pPr>
              <w:spacing w:after="0" w:line="240" w:lineRule="auto"/>
              <w:contextualSpacing/>
              <w:rPr>
                <w:rFonts w:cs="Arial"/>
                <w:b/>
                <w:bCs/>
                <w:color w:val="000000"/>
                <w:szCs w:val="20"/>
              </w:rPr>
            </w:pPr>
          </w:p>
        </w:tc>
        <w:tc>
          <w:tcPr>
            <w:tcW w:w="1984" w:type="dxa"/>
            <w:shd w:val="clear" w:color="auto" w:fill="F2F2F2" w:themeFill="background1" w:themeFillShade="F2"/>
            <w:hideMark/>
          </w:tcPr>
          <w:p w14:paraId="55C2E1EF" w14:textId="77777777" w:rsidR="00623569" w:rsidRPr="009F252C" w:rsidRDefault="00623569" w:rsidP="001517F2">
            <w:pPr>
              <w:spacing w:after="0" w:line="240" w:lineRule="auto"/>
              <w:contextualSpacing/>
              <w:rPr>
                <w:rFonts w:cs="Arial"/>
                <w:color w:val="000000"/>
                <w:szCs w:val="20"/>
              </w:rPr>
            </w:pPr>
            <w:r w:rsidRPr="009F252C">
              <w:rPr>
                <w:rFonts w:cs="Arial"/>
                <w:color w:val="000000"/>
                <w:szCs w:val="20"/>
              </w:rPr>
              <w:t xml:space="preserve">Enforcement of new </w:t>
            </w:r>
            <w:r>
              <w:rPr>
                <w:rFonts w:cs="Arial"/>
                <w:color w:val="000000"/>
                <w:szCs w:val="20"/>
              </w:rPr>
              <w:t>S</w:t>
            </w:r>
            <w:r w:rsidRPr="009F252C">
              <w:rPr>
                <w:rFonts w:cs="Arial"/>
                <w:color w:val="000000"/>
                <w:szCs w:val="20"/>
              </w:rPr>
              <w:t>tandard</w:t>
            </w:r>
          </w:p>
        </w:tc>
        <w:tc>
          <w:tcPr>
            <w:tcW w:w="941" w:type="dxa"/>
            <w:shd w:val="clear" w:color="auto" w:fill="F2F2F2" w:themeFill="background1" w:themeFillShade="F2"/>
            <w:noWrap/>
            <w:hideMark/>
          </w:tcPr>
          <w:p w14:paraId="306279B9" w14:textId="77777777" w:rsidR="00623569" w:rsidRPr="009F252C" w:rsidRDefault="00623569" w:rsidP="001517F2">
            <w:pPr>
              <w:spacing w:after="0" w:line="240" w:lineRule="auto"/>
              <w:contextualSpacing/>
              <w:rPr>
                <w:rFonts w:cs="Arial"/>
                <w:color w:val="000000"/>
                <w:szCs w:val="20"/>
              </w:rPr>
            </w:pPr>
            <w:r>
              <w:rPr>
                <w:rFonts w:cs="Arial"/>
                <w:color w:val="000000"/>
                <w:szCs w:val="20"/>
              </w:rPr>
              <w:t>C</w:t>
            </w:r>
            <w:r w:rsidRPr="009F252C">
              <w:rPr>
                <w:rFonts w:cs="Arial"/>
                <w:color w:val="000000"/>
                <w:szCs w:val="20"/>
              </w:rPr>
              <w:t>ost</w:t>
            </w:r>
          </w:p>
        </w:tc>
        <w:tc>
          <w:tcPr>
            <w:tcW w:w="0" w:type="dxa"/>
            <w:shd w:val="clear" w:color="auto" w:fill="F2F2F2" w:themeFill="background1" w:themeFillShade="F2"/>
            <w:hideMark/>
          </w:tcPr>
          <w:p w14:paraId="4CE47743" w14:textId="77777777" w:rsidR="00623569" w:rsidRPr="009F252C" w:rsidRDefault="00623569" w:rsidP="001517F2">
            <w:pPr>
              <w:spacing w:after="0" w:line="240" w:lineRule="auto"/>
              <w:contextualSpacing/>
              <w:rPr>
                <w:rFonts w:cs="Arial"/>
                <w:color w:val="000000"/>
                <w:szCs w:val="20"/>
              </w:rPr>
            </w:pPr>
            <w:r w:rsidRPr="009F252C">
              <w:rPr>
                <w:rFonts w:cs="Arial"/>
                <w:color w:val="000000"/>
                <w:szCs w:val="20"/>
              </w:rPr>
              <w:t xml:space="preserve">ACMA staff time on enforcing new </w:t>
            </w:r>
            <w:r>
              <w:rPr>
                <w:rFonts w:cs="Arial"/>
                <w:color w:val="000000"/>
                <w:szCs w:val="20"/>
              </w:rPr>
              <w:t>S</w:t>
            </w:r>
            <w:r w:rsidRPr="009F252C">
              <w:rPr>
                <w:rFonts w:cs="Arial"/>
                <w:color w:val="000000"/>
                <w:szCs w:val="20"/>
              </w:rPr>
              <w:t xml:space="preserve">tandard Option 2A (outcomes based) requires increased staff time comparted to Option 2B </w:t>
            </w:r>
          </w:p>
        </w:tc>
        <w:tc>
          <w:tcPr>
            <w:tcW w:w="949" w:type="dxa"/>
            <w:shd w:val="clear" w:color="auto" w:fill="F2F2F2" w:themeFill="background1" w:themeFillShade="F2"/>
            <w:noWrap/>
            <w:hideMark/>
          </w:tcPr>
          <w:p w14:paraId="73C022FF"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$984,045</w:t>
            </w:r>
          </w:p>
        </w:tc>
        <w:tc>
          <w:tcPr>
            <w:tcW w:w="949" w:type="dxa"/>
            <w:shd w:val="clear" w:color="auto" w:fill="F2F2F2" w:themeFill="background1" w:themeFillShade="F2"/>
            <w:noWrap/>
            <w:hideMark/>
          </w:tcPr>
          <w:p w14:paraId="2D0B92CA"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$984,045</w:t>
            </w:r>
          </w:p>
        </w:tc>
        <w:tc>
          <w:tcPr>
            <w:tcW w:w="1115" w:type="dxa"/>
            <w:shd w:val="clear" w:color="auto" w:fill="F2F2F2" w:themeFill="background1" w:themeFillShade="F2"/>
            <w:noWrap/>
            <w:hideMark/>
          </w:tcPr>
          <w:p w14:paraId="300B167E"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$1,124,623</w:t>
            </w:r>
          </w:p>
        </w:tc>
        <w:tc>
          <w:tcPr>
            <w:tcW w:w="949" w:type="dxa"/>
            <w:shd w:val="clear" w:color="auto" w:fill="F2F2F2" w:themeFill="background1" w:themeFillShade="F2"/>
            <w:noWrap/>
            <w:hideMark/>
          </w:tcPr>
          <w:p w14:paraId="346AA1B6"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$843,467</w:t>
            </w:r>
          </w:p>
        </w:tc>
        <w:tc>
          <w:tcPr>
            <w:tcW w:w="1184" w:type="dxa"/>
            <w:shd w:val="clear" w:color="auto" w:fill="F2F2F2" w:themeFill="background1" w:themeFillShade="F2"/>
            <w:noWrap/>
            <w:hideMark/>
          </w:tcPr>
          <w:p w14:paraId="79CA96F5"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$984,045</w:t>
            </w:r>
          </w:p>
        </w:tc>
        <w:tc>
          <w:tcPr>
            <w:tcW w:w="1008" w:type="dxa"/>
            <w:shd w:val="clear" w:color="auto" w:fill="F2F2F2" w:themeFill="background1" w:themeFillShade="F2"/>
            <w:noWrap/>
            <w:hideMark/>
          </w:tcPr>
          <w:p w14:paraId="6C0E3F05"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$702,889</w:t>
            </w:r>
          </w:p>
        </w:tc>
        <w:tc>
          <w:tcPr>
            <w:tcW w:w="1240" w:type="dxa"/>
            <w:shd w:val="clear" w:color="auto" w:fill="F2F2F2" w:themeFill="background1" w:themeFillShade="F2"/>
            <w:noWrap/>
            <w:hideMark/>
          </w:tcPr>
          <w:p w14:paraId="79949321"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$421,734</w:t>
            </w:r>
          </w:p>
        </w:tc>
      </w:tr>
      <w:tr w:rsidR="00375D95" w:rsidRPr="00E10BAF" w14:paraId="129A23E5" w14:textId="77777777" w:rsidTr="00375D95">
        <w:trPr>
          <w:cnfStyle w:val="000000010000" w:firstRow="0" w:lastRow="0" w:firstColumn="0" w:lastColumn="0" w:oddVBand="0" w:evenVBand="0" w:oddHBand="0" w:evenHBand="1" w:firstRowFirstColumn="0" w:firstRowLastColumn="0" w:lastRowFirstColumn="0" w:lastRowLastColumn="0"/>
        </w:trPr>
        <w:tc>
          <w:tcPr>
            <w:tcW w:w="1413" w:type="dxa"/>
            <w:vMerge/>
            <w:shd w:val="clear" w:color="auto" w:fill="auto"/>
            <w:hideMark/>
          </w:tcPr>
          <w:p w14:paraId="6F516BEC" w14:textId="77777777" w:rsidR="00623569" w:rsidRPr="009F252C" w:rsidRDefault="00623569" w:rsidP="001517F2">
            <w:pPr>
              <w:spacing w:after="0" w:line="240" w:lineRule="auto"/>
              <w:contextualSpacing/>
              <w:rPr>
                <w:rFonts w:cs="Arial"/>
                <w:b/>
                <w:bCs/>
                <w:color w:val="000000"/>
                <w:szCs w:val="20"/>
              </w:rPr>
            </w:pPr>
          </w:p>
        </w:tc>
        <w:tc>
          <w:tcPr>
            <w:tcW w:w="1984" w:type="dxa"/>
            <w:shd w:val="clear" w:color="auto" w:fill="auto"/>
            <w:noWrap/>
            <w:hideMark/>
          </w:tcPr>
          <w:p w14:paraId="21A6317A" w14:textId="77777777" w:rsidR="00623569" w:rsidRPr="009F252C" w:rsidRDefault="00623569" w:rsidP="001517F2">
            <w:pPr>
              <w:spacing w:after="0" w:line="240" w:lineRule="auto"/>
              <w:contextualSpacing/>
              <w:rPr>
                <w:rFonts w:cs="Arial"/>
                <w:color w:val="000000"/>
                <w:szCs w:val="20"/>
              </w:rPr>
            </w:pPr>
            <w:r w:rsidRPr="009F252C">
              <w:rPr>
                <w:rFonts w:cs="Arial"/>
                <w:color w:val="000000"/>
                <w:szCs w:val="20"/>
              </w:rPr>
              <w:t>More education for both industry and consumers</w:t>
            </w:r>
          </w:p>
        </w:tc>
        <w:tc>
          <w:tcPr>
            <w:tcW w:w="941" w:type="dxa"/>
            <w:shd w:val="clear" w:color="auto" w:fill="auto"/>
            <w:noWrap/>
            <w:hideMark/>
          </w:tcPr>
          <w:p w14:paraId="7FC4C8CB" w14:textId="77777777" w:rsidR="00623569" w:rsidRPr="009F252C" w:rsidRDefault="00623569" w:rsidP="001517F2">
            <w:pPr>
              <w:spacing w:after="0" w:line="240" w:lineRule="auto"/>
              <w:contextualSpacing/>
              <w:rPr>
                <w:rFonts w:cs="Arial"/>
                <w:color w:val="000000"/>
                <w:szCs w:val="20"/>
              </w:rPr>
            </w:pPr>
            <w:r>
              <w:rPr>
                <w:rFonts w:cs="Arial"/>
                <w:color w:val="000000"/>
                <w:szCs w:val="20"/>
              </w:rPr>
              <w:t>C</w:t>
            </w:r>
            <w:r w:rsidRPr="009F252C">
              <w:rPr>
                <w:rFonts w:cs="Arial"/>
                <w:color w:val="000000"/>
                <w:szCs w:val="20"/>
              </w:rPr>
              <w:t>ost</w:t>
            </w:r>
          </w:p>
        </w:tc>
        <w:tc>
          <w:tcPr>
            <w:tcW w:w="0" w:type="dxa"/>
            <w:shd w:val="clear" w:color="auto" w:fill="auto"/>
            <w:noWrap/>
            <w:hideMark/>
          </w:tcPr>
          <w:p w14:paraId="3B580BC8" w14:textId="77777777" w:rsidR="00623569" w:rsidRPr="009F252C" w:rsidRDefault="00623569" w:rsidP="001517F2">
            <w:pPr>
              <w:spacing w:after="0" w:line="240" w:lineRule="auto"/>
              <w:contextualSpacing/>
              <w:rPr>
                <w:rFonts w:cs="Arial"/>
                <w:color w:val="000000"/>
                <w:szCs w:val="20"/>
              </w:rPr>
            </w:pPr>
            <w:r w:rsidRPr="009F252C">
              <w:rPr>
                <w:rFonts w:cs="Arial"/>
                <w:color w:val="000000"/>
                <w:szCs w:val="20"/>
              </w:rPr>
              <w:t xml:space="preserve">ACMA staff time on educating both industry &amp; customers on </w:t>
            </w:r>
            <w:r>
              <w:rPr>
                <w:rFonts w:cs="Arial"/>
                <w:color w:val="000000"/>
                <w:szCs w:val="20"/>
              </w:rPr>
              <w:t>S</w:t>
            </w:r>
            <w:r w:rsidRPr="009F252C">
              <w:rPr>
                <w:rFonts w:cs="Arial"/>
                <w:color w:val="000000"/>
                <w:szCs w:val="20"/>
              </w:rPr>
              <w:t xml:space="preserve">tandard </w:t>
            </w:r>
          </w:p>
        </w:tc>
        <w:tc>
          <w:tcPr>
            <w:tcW w:w="949" w:type="dxa"/>
            <w:shd w:val="clear" w:color="auto" w:fill="auto"/>
            <w:noWrap/>
            <w:hideMark/>
          </w:tcPr>
          <w:p w14:paraId="3BC8D132"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$35,144</w:t>
            </w:r>
          </w:p>
        </w:tc>
        <w:tc>
          <w:tcPr>
            <w:tcW w:w="949" w:type="dxa"/>
            <w:shd w:val="clear" w:color="auto" w:fill="auto"/>
            <w:noWrap/>
            <w:hideMark/>
          </w:tcPr>
          <w:p w14:paraId="220E4754"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$35,144</w:t>
            </w:r>
          </w:p>
        </w:tc>
        <w:tc>
          <w:tcPr>
            <w:tcW w:w="1115" w:type="dxa"/>
            <w:shd w:val="clear" w:color="auto" w:fill="auto"/>
            <w:noWrap/>
            <w:hideMark/>
          </w:tcPr>
          <w:p w14:paraId="18D32507"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$70,289</w:t>
            </w:r>
          </w:p>
        </w:tc>
        <w:tc>
          <w:tcPr>
            <w:tcW w:w="949" w:type="dxa"/>
            <w:shd w:val="clear" w:color="auto" w:fill="auto"/>
            <w:noWrap/>
            <w:hideMark/>
          </w:tcPr>
          <w:p w14:paraId="77404A44"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$35,144</w:t>
            </w:r>
          </w:p>
        </w:tc>
        <w:tc>
          <w:tcPr>
            <w:tcW w:w="1184" w:type="dxa"/>
            <w:shd w:val="clear" w:color="auto" w:fill="auto"/>
            <w:noWrap/>
            <w:hideMark/>
          </w:tcPr>
          <w:p w14:paraId="786E12E7"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$70,289</w:t>
            </w:r>
          </w:p>
        </w:tc>
        <w:tc>
          <w:tcPr>
            <w:tcW w:w="1008" w:type="dxa"/>
            <w:shd w:val="clear" w:color="auto" w:fill="auto"/>
            <w:noWrap/>
            <w:hideMark/>
          </w:tcPr>
          <w:p w14:paraId="31D82007"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$35,144</w:t>
            </w:r>
          </w:p>
        </w:tc>
        <w:tc>
          <w:tcPr>
            <w:tcW w:w="1240" w:type="dxa"/>
            <w:shd w:val="clear" w:color="auto" w:fill="auto"/>
            <w:noWrap/>
            <w:hideMark/>
          </w:tcPr>
          <w:p w14:paraId="4B518CFA"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$35,144</w:t>
            </w:r>
          </w:p>
        </w:tc>
      </w:tr>
      <w:tr w:rsidR="00375D95" w:rsidRPr="00E10BAF" w14:paraId="2C25B45F" w14:textId="77777777" w:rsidTr="00375D95">
        <w:trPr>
          <w:cnfStyle w:val="000000100000" w:firstRow="0" w:lastRow="0" w:firstColumn="0" w:lastColumn="0" w:oddVBand="0" w:evenVBand="0" w:oddHBand="1" w:evenHBand="0" w:firstRowFirstColumn="0" w:firstRowLastColumn="0" w:lastRowFirstColumn="0" w:lastRowLastColumn="0"/>
        </w:trPr>
        <w:tc>
          <w:tcPr>
            <w:tcW w:w="1413" w:type="dxa"/>
            <w:shd w:val="clear" w:color="auto" w:fill="F2F2F2" w:themeFill="background1" w:themeFillShade="F2"/>
            <w:hideMark/>
          </w:tcPr>
          <w:p w14:paraId="3E5FD033" w14:textId="77777777" w:rsidR="00623569" w:rsidRPr="009F252C" w:rsidRDefault="00623569" w:rsidP="001517F2">
            <w:pPr>
              <w:spacing w:after="0" w:line="240" w:lineRule="auto"/>
              <w:contextualSpacing/>
              <w:rPr>
                <w:rFonts w:cs="Arial"/>
                <w:b/>
                <w:bCs/>
                <w:color w:val="000000"/>
                <w:szCs w:val="20"/>
              </w:rPr>
            </w:pPr>
            <w:r>
              <w:rPr>
                <w:rFonts w:cs="Arial"/>
                <w:b/>
                <w:bCs/>
                <w:color w:val="000000"/>
                <w:szCs w:val="20"/>
              </w:rPr>
              <w:t>TIO</w:t>
            </w:r>
          </w:p>
        </w:tc>
        <w:tc>
          <w:tcPr>
            <w:tcW w:w="1984" w:type="dxa"/>
            <w:shd w:val="clear" w:color="auto" w:fill="F2F2F2" w:themeFill="background1" w:themeFillShade="F2"/>
            <w:hideMark/>
          </w:tcPr>
          <w:p w14:paraId="7CC2FD5B" w14:textId="77777777" w:rsidR="00623569" w:rsidRPr="009F252C" w:rsidRDefault="00623569" w:rsidP="001517F2">
            <w:pPr>
              <w:spacing w:after="0" w:line="240" w:lineRule="auto"/>
              <w:contextualSpacing/>
              <w:rPr>
                <w:rFonts w:cs="Arial"/>
                <w:color w:val="000000"/>
                <w:szCs w:val="20"/>
              </w:rPr>
            </w:pPr>
            <w:r w:rsidRPr="009F252C">
              <w:rPr>
                <w:rFonts w:cs="Arial"/>
                <w:color w:val="000000"/>
                <w:szCs w:val="20"/>
              </w:rPr>
              <w:t>Reduced numbers of complaints to TIO</w:t>
            </w:r>
          </w:p>
        </w:tc>
        <w:tc>
          <w:tcPr>
            <w:tcW w:w="941" w:type="dxa"/>
            <w:shd w:val="clear" w:color="auto" w:fill="F2F2F2" w:themeFill="background1" w:themeFillShade="F2"/>
            <w:noWrap/>
            <w:hideMark/>
          </w:tcPr>
          <w:p w14:paraId="5F7E7B2D" w14:textId="77777777" w:rsidR="00623569" w:rsidRPr="009F252C" w:rsidRDefault="00623569" w:rsidP="001517F2">
            <w:pPr>
              <w:spacing w:after="0" w:line="240" w:lineRule="auto"/>
              <w:contextualSpacing/>
              <w:rPr>
                <w:rFonts w:cs="Arial"/>
                <w:color w:val="000000"/>
                <w:szCs w:val="20"/>
              </w:rPr>
            </w:pPr>
            <w:r w:rsidRPr="009F252C">
              <w:rPr>
                <w:rFonts w:cs="Arial"/>
                <w:color w:val="000000"/>
                <w:szCs w:val="20"/>
              </w:rPr>
              <w:t>Benefit</w:t>
            </w:r>
          </w:p>
        </w:tc>
        <w:tc>
          <w:tcPr>
            <w:tcW w:w="2720" w:type="dxa"/>
            <w:shd w:val="clear" w:color="auto" w:fill="F2F2F2" w:themeFill="background1" w:themeFillShade="F2"/>
            <w:hideMark/>
          </w:tcPr>
          <w:p w14:paraId="12485593" w14:textId="77777777" w:rsidR="00623569" w:rsidRPr="009F252C" w:rsidRDefault="00623569" w:rsidP="001517F2">
            <w:pPr>
              <w:spacing w:after="0" w:line="240" w:lineRule="auto"/>
              <w:contextualSpacing/>
              <w:rPr>
                <w:rFonts w:cs="Arial"/>
                <w:color w:val="000000"/>
                <w:szCs w:val="20"/>
              </w:rPr>
            </w:pPr>
            <w:r w:rsidRPr="009F252C">
              <w:rPr>
                <w:rFonts w:cs="Arial"/>
                <w:color w:val="000000"/>
                <w:szCs w:val="20"/>
              </w:rPr>
              <w:t>Reduction in TIO staff time dealing with complaints (reduced numbers of complaints)</w:t>
            </w:r>
          </w:p>
        </w:tc>
        <w:tc>
          <w:tcPr>
            <w:tcW w:w="949" w:type="dxa"/>
            <w:shd w:val="clear" w:color="auto" w:fill="F2F2F2" w:themeFill="background1" w:themeFillShade="F2"/>
            <w:hideMark/>
          </w:tcPr>
          <w:p w14:paraId="7C07B547"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 </w:t>
            </w:r>
          </w:p>
        </w:tc>
        <w:tc>
          <w:tcPr>
            <w:tcW w:w="949" w:type="dxa"/>
            <w:shd w:val="clear" w:color="auto" w:fill="F2F2F2" w:themeFill="background1" w:themeFillShade="F2"/>
            <w:hideMark/>
          </w:tcPr>
          <w:p w14:paraId="4EC24C91"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 </w:t>
            </w:r>
          </w:p>
        </w:tc>
        <w:tc>
          <w:tcPr>
            <w:tcW w:w="2064" w:type="dxa"/>
            <w:gridSpan w:val="2"/>
            <w:shd w:val="clear" w:color="auto" w:fill="F2F2F2" w:themeFill="background1" w:themeFillShade="F2"/>
            <w:hideMark/>
          </w:tcPr>
          <w:p w14:paraId="0F00468C"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-$53,229 compared to base case per year</w:t>
            </w:r>
          </w:p>
        </w:tc>
        <w:tc>
          <w:tcPr>
            <w:tcW w:w="3432" w:type="dxa"/>
            <w:gridSpan w:val="3"/>
            <w:shd w:val="clear" w:color="auto" w:fill="F2F2F2" w:themeFill="background1" w:themeFillShade="F2"/>
            <w:hideMark/>
          </w:tcPr>
          <w:p w14:paraId="189F239B"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-$228,126 compared to base case per year</w:t>
            </w:r>
          </w:p>
        </w:tc>
      </w:tr>
      <w:tr w:rsidR="00375D95" w:rsidRPr="00E10BAF" w14:paraId="37821D3E" w14:textId="77777777" w:rsidTr="00375D95">
        <w:trPr>
          <w:cnfStyle w:val="000000010000" w:firstRow="0" w:lastRow="0" w:firstColumn="0" w:lastColumn="0" w:oddVBand="0" w:evenVBand="0" w:oddHBand="0" w:evenHBand="1" w:firstRowFirstColumn="0" w:firstRowLastColumn="0" w:lastRowFirstColumn="0" w:lastRowLastColumn="0"/>
        </w:trPr>
        <w:tc>
          <w:tcPr>
            <w:tcW w:w="1413" w:type="dxa"/>
            <w:vMerge w:val="restart"/>
            <w:shd w:val="clear" w:color="auto" w:fill="auto"/>
            <w:noWrap/>
            <w:hideMark/>
          </w:tcPr>
          <w:p w14:paraId="3D8569CB" w14:textId="77777777" w:rsidR="00623569" w:rsidRPr="009F252C" w:rsidRDefault="00623569" w:rsidP="001517F2">
            <w:pPr>
              <w:spacing w:after="0" w:line="240" w:lineRule="auto"/>
              <w:contextualSpacing/>
              <w:rPr>
                <w:rFonts w:cs="Arial"/>
                <w:b/>
                <w:bCs/>
                <w:color w:val="000000"/>
                <w:szCs w:val="20"/>
              </w:rPr>
            </w:pPr>
            <w:r w:rsidRPr="009F252C">
              <w:rPr>
                <w:rFonts w:cs="Arial"/>
                <w:b/>
                <w:bCs/>
                <w:color w:val="000000"/>
                <w:szCs w:val="20"/>
              </w:rPr>
              <w:lastRenderedPageBreak/>
              <w:t xml:space="preserve">CSPs </w:t>
            </w:r>
          </w:p>
        </w:tc>
        <w:tc>
          <w:tcPr>
            <w:tcW w:w="1984" w:type="dxa"/>
            <w:shd w:val="clear" w:color="auto" w:fill="auto"/>
            <w:hideMark/>
          </w:tcPr>
          <w:p w14:paraId="42385CF3" w14:textId="77777777" w:rsidR="00623569" w:rsidRPr="009F252C" w:rsidRDefault="00623569" w:rsidP="001517F2">
            <w:pPr>
              <w:spacing w:after="0" w:line="240" w:lineRule="auto"/>
              <w:contextualSpacing/>
              <w:rPr>
                <w:rFonts w:cs="Arial"/>
                <w:color w:val="000000"/>
                <w:szCs w:val="20"/>
              </w:rPr>
            </w:pPr>
            <w:r w:rsidRPr="009F252C">
              <w:rPr>
                <w:rFonts w:cs="Arial"/>
                <w:color w:val="000000"/>
                <w:szCs w:val="20"/>
              </w:rPr>
              <w:t xml:space="preserve">Change over costs to meet new </w:t>
            </w:r>
            <w:r>
              <w:rPr>
                <w:rFonts w:cs="Arial"/>
                <w:color w:val="000000"/>
                <w:szCs w:val="20"/>
              </w:rPr>
              <w:t>S</w:t>
            </w:r>
            <w:r w:rsidRPr="009F252C">
              <w:rPr>
                <w:rFonts w:cs="Arial"/>
                <w:color w:val="000000"/>
                <w:szCs w:val="20"/>
              </w:rPr>
              <w:t>tandard</w:t>
            </w:r>
          </w:p>
        </w:tc>
        <w:tc>
          <w:tcPr>
            <w:tcW w:w="941" w:type="dxa"/>
            <w:shd w:val="clear" w:color="auto" w:fill="auto"/>
            <w:noWrap/>
            <w:hideMark/>
          </w:tcPr>
          <w:p w14:paraId="0752A5B5" w14:textId="77777777" w:rsidR="00623569" w:rsidRPr="009F252C" w:rsidRDefault="00623569" w:rsidP="001517F2">
            <w:pPr>
              <w:spacing w:after="0" w:line="240" w:lineRule="auto"/>
              <w:contextualSpacing/>
              <w:rPr>
                <w:rFonts w:cs="Arial"/>
                <w:color w:val="000000"/>
                <w:szCs w:val="20"/>
              </w:rPr>
            </w:pPr>
            <w:r w:rsidRPr="009F252C">
              <w:rPr>
                <w:rFonts w:cs="Arial"/>
                <w:color w:val="000000"/>
                <w:szCs w:val="20"/>
              </w:rPr>
              <w:t>Cost</w:t>
            </w:r>
          </w:p>
        </w:tc>
        <w:tc>
          <w:tcPr>
            <w:tcW w:w="0" w:type="dxa"/>
            <w:shd w:val="clear" w:color="auto" w:fill="auto"/>
          </w:tcPr>
          <w:p w14:paraId="08ABB28D" w14:textId="77777777" w:rsidR="00623569" w:rsidRPr="009F252C" w:rsidRDefault="00623569" w:rsidP="001517F2">
            <w:pPr>
              <w:spacing w:after="0" w:line="240" w:lineRule="auto"/>
              <w:contextualSpacing/>
              <w:rPr>
                <w:rFonts w:cs="Arial"/>
                <w:color w:val="000000"/>
                <w:szCs w:val="20"/>
              </w:rPr>
            </w:pPr>
            <w:r w:rsidRPr="009F252C">
              <w:rPr>
                <w:rFonts w:cs="Arial"/>
                <w:color w:val="000000"/>
                <w:szCs w:val="20"/>
              </w:rPr>
              <w:t xml:space="preserve">Establishment costs to work with new </w:t>
            </w:r>
            <w:r>
              <w:rPr>
                <w:rFonts w:cs="Arial"/>
                <w:color w:val="000000"/>
                <w:szCs w:val="20"/>
              </w:rPr>
              <w:t>S</w:t>
            </w:r>
            <w:r w:rsidRPr="009F252C">
              <w:rPr>
                <w:rFonts w:cs="Arial"/>
                <w:color w:val="000000"/>
                <w:szCs w:val="20"/>
              </w:rPr>
              <w:t>tandard or new legal requirements - includes system and process costs</w:t>
            </w:r>
          </w:p>
        </w:tc>
        <w:tc>
          <w:tcPr>
            <w:tcW w:w="949" w:type="dxa"/>
            <w:shd w:val="clear" w:color="auto" w:fill="auto"/>
            <w:noWrap/>
            <w:hideMark/>
          </w:tcPr>
          <w:p w14:paraId="3DED7BA0"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 </w:t>
            </w:r>
          </w:p>
        </w:tc>
        <w:tc>
          <w:tcPr>
            <w:tcW w:w="949" w:type="dxa"/>
            <w:shd w:val="clear" w:color="auto" w:fill="auto"/>
            <w:noWrap/>
            <w:hideMark/>
          </w:tcPr>
          <w:p w14:paraId="5AAC9000"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 </w:t>
            </w:r>
          </w:p>
        </w:tc>
        <w:tc>
          <w:tcPr>
            <w:tcW w:w="1115" w:type="dxa"/>
            <w:shd w:val="clear" w:color="auto" w:fill="auto"/>
            <w:hideMark/>
          </w:tcPr>
          <w:p w14:paraId="291D38E7"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$2,891,820</w:t>
            </w:r>
          </w:p>
        </w:tc>
        <w:tc>
          <w:tcPr>
            <w:tcW w:w="949" w:type="dxa"/>
            <w:shd w:val="clear" w:color="auto" w:fill="auto"/>
          </w:tcPr>
          <w:p w14:paraId="611CB4C8" w14:textId="77777777" w:rsidR="00623569" w:rsidRPr="009F252C" w:rsidRDefault="00623569" w:rsidP="001517F2">
            <w:pPr>
              <w:spacing w:after="0" w:line="240" w:lineRule="auto"/>
              <w:contextualSpacing/>
              <w:jc w:val="right"/>
              <w:rPr>
                <w:rFonts w:cs="Arial"/>
                <w:color w:val="000000"/>
                <w:szCs w:val="20"/>
              </w:rPr>
            </w:pPr>
          </w:p>
        </w:tc>
        <w:tc>
          <w:tcPr>
            <w:tcW w:w="1184" w:type="dxa"/>
            <w:shd w:val="clear" w:color="auto" w:fill="auto"/>
            <w:hideMark/>
          </w:tcPr>
          <w:p w14:paraId="255045B5"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$5,783,640</w:t>
            </w:r>
          </w:p>
        </w:tc>
        <w:tc>
          <w:tcPr>
            <w:tcW w:w="1008" w:type="dxa"/>
            <w:shd w:val="clear" w:color="auto" w:fill="auto"/>
          </w:tcPr>
          <w:p w14:paraId="138EFD8F" w14:textId="77777777" w:rsidR="00623569" w:rsidRPr="009F252C" w:rsidRDefault="00623569" w:rsidP="001517F2">
            <w:pPr>
              <w:spacing w:after="0" w:line="240" w:lineRule="auto"/>
              <w:contextualSpacing/>
              <w:jc w:val="right"/>
              <w:rPr>
                <w:rFonts w:cs="Arial"/>
                <w:color w:val="000000"/>
                <w:szCs w:val="20"/>
              </w:rPr>
            </w:pPr>
          </w:p>
        </w:tc>
        <w:tc>
          <w:tcPr>
            <w:tcW w:w="1240" w:type="dxa"/>
            <w:shd w:val="clear" w:color="auto" w:fill="auto"/>
          </w:tcPr>
          <w:p w14:paraId="6FA21164" w14:textId="77777777" w:rsidR="00623569" w:rsidRPr="009F252C" w:rsidRDefault="00623569" w:rsidP="001517F2">
            <w:pPr>
              <w:spacing w:after="0" w:line="240" w:lineRule="auto"/>
              <w:contextualSpacing/>
              <w:jc w:val="right"/>
              <w:rPr>
                <w:rFonts w:cs="Arial"/>
                <w:color w:val="000000"/>
                <w:szCs w:val="20"/>
              </w:rPr>
            </w:pPr>
          </w:p>
        </w:tc>
      </w:tr>
      <w:tr w:rsidR="00375D95" w:rsidRPr="00E10BAF" w14:paraId="14F32B4B" w14:textId="77777777" w:rsidTr="00375D95">
        <w:trPr>
          <w:cnfStyle w:val="000000100000" w:firstRow="0" w:lastRow="0" w:firstColumn="0" w:lastColumn="0" w:oddVBand="0" w:evenVBand="0" w:oddHBand="1" w:evenHBand="0" w:firstRowFirstColumn="0" w:firstRowLastColumn="0" w:lastRowFirstColumn="0" w:lastRowLastColumn="0"/>
        </w:trPr>
        <w:tc>
          <w:tcPr>
            <w:tcW w:w="1413" w:type="dxa"/>
            <w:vMerge/>
            <w:shd w:val="clear" w:color="auto" w:fill="auto"/>
            <w:hideMark/>
          </w:tcPr>
          <w:p w14:paraId="15A8AD5E" w14:textId="77777777" w:rsidR="00623569" w:rsidRPr="009F252C" w:rsidRDefault="00623569" w:rsidP="001517F2">
            <w:pPr>
              <w:spacing w:after="0" w:line="240" w:lineRule="auto"/>
              <w:contextualSpacing/>
              <w:rPr>
                <w:rFonts w:cs="Arial"/>
                <w:color w:val="000000"/>
                <w:szCs w:val="20"/>
              </w:rPr>
            </w:pPr>
          </w:p>
        </w:tc>
        <w:tc>
          <w:tcPr>
            <w:tcW w:w="1984" w:type="dxa"/>
            <w:shd w:val="clear" w:color="auto" w:fill="F2F2F2" w:themeFill="background1" w:themeFillShade="F2"/>
            <w:hideMark/>
          </w:tcPr>
          <w:p w14:paraId="030F9A76" w14:textId="77777777" w:rsidR="00623569" w:rsidRPr="009F252C" w:rsidRDefault="00623569" w:rsidP="001517F2">
            <w:pPr>
              <w:spacing w:after="0" w:line="240" w:lineRule="auto"/>
              <w:contextualSpacing/>
              <w:rPr>
                <w:rFonts w:cs="Arial"/>
                <w:color w:val="000000"/>
                <w:szCs w:val="20"/>
              </w:rPr>
            </w:pPr>
            <w:r w:rsidRPr="009F252C">
              <w:rPr>
                <w:rFonts w:cs="Arial"/>
                <w:color w:val="000000"/>
                <w:szCs w:val="20"/>
              </w:rPr>
              <w:t xml:space="preserve">Ongoing costs to meet new </w:t>
            </w:r>
            <w:r>
              <w:rPr>
                <w:rFonts w:cs="Arial"/>
                <w:color w:val="000000"/>
                <w:szCs w:val="20"/>
              </w:rPr>
              <w:t>S</w:t>
            </w:r>
            <w:r w:rsidRPr="009F252C">
              <w:rPr>
                <w:rFonts w:cs="Arial"/>
                <w:color w:val="000000"/>
                <w:szCs w:val="20"/>
              </w:rPr>
              <w:t xml:space="preserve">tandard (engage with </w:t>
            </w:r>
            <w:r>
              <w:rPr>
                <w:rFonts w:cs="Arial"/>
                <w:color w:val="000000"/>
                <w:szCs w:val="20"/>
              </w:rPr>
              <w:t>financial hardship</w:t>
            </w:r>
            <w:r w:rsidRPr="009F252C">
              <w:rPr>
                <w:rFonts w:cs="Arial"/>
                <w:color w:val="000000"/>
                <w:szCs w:val="20"/>
              </w:rPr>
              <w:t xml:space="preserve"> customers)</w:t>
            </w:r>
          </w:p>
        </w:tc>
        <w:tc>
          <w:tcPr>
            <w:tcW w:w="941" w:type="dxa"/>
            <w:shd w:val="clear" w:color="auto" w:fill="F2F2F2" w:themeFill="background1" w:themeFillShade="F2"/>
            <w:noWrap/>
            <w:hideMark/>
          </w:tcPr>
          <w:p w14:paraId="08A553E6" w14:textId="77777777" w:rsidR="00623569" w:rsidRPr="009F252C" w:rsidRDefault="00623569" w:rsidP="001517F2">
            <w:pPr>
              <w:spacing w:after="0" w:line="240" w:lineRule="auto"/>
              <w:contextualSpacing/>
              <w:rPr>
                <w:rFonts w:cs="Arial"/>
                <w:color w:val="000000"/>
                <w:szCs w:val="20"/>
              </w:rPr>
            </w:pPr>
            <w:r>
              <w:rPr>
                <w:rFonts w:cs="Arial"/>
                <w:color w:val="000000"/>
                <w:szCs w:val="20"/>
              </w:rPr>
              <w:t>C</w:t>
            </w:r>
            <w:r w:rsidRPr="009F252C">
              <w:rPr>
                <w:rFonts w:cs="Arial"/>
                <w:color w:val="000000"/>
                <w:szCs w:val="20"/>
              </w:rPr>
              <w:t>ost</w:t>
            </w:r>
          </w:p>
        </w:tc>
        <w:tc>
          <w:tcPr>
            <w:tcW w:w="2720" w:type="dxa"/>
            <w:shd w:val="clear" w:color="auto" w:fill="F2F2F2" w:themeFill="background1" w:themeFillShade="F2"/>
            <w:noWrap/>
            <w:hideMark/>
          </w:tcPr>
          <w:p w14:paraId="4990466B" w14:textId="77777777" w:rsidR="00623569" w:rsidRPr="009F252C" w:rsidRDefault="00623569" w:rsidP="001517F2">
            <w:pPr>
              <w:spacing w:after="0" w:line="240" w:lineRule="auto"/>
              <w:contextualSpacing/>
              <w:rPr>
                <w:rFonts w:cs="Arial"/>
                <w:color w:val="000000"/>
                <w:szCs w:val="20"/>
              </w:rPr>
            </w:pPr>
            <w:r w:rsidRPr="009F252C">
              <w:rPr>
                <w:rFonts w:cs="Arial"/>
                <w:color w:val="000000"/>
                <w:szCs w:val="20"/>
              </w:rPr>
              <w:t xml:space="preserve"> On going costs of to align with new </w:t>
            </w:r>
            <w:r>
              <w:rPr>
                <w:rFonts w:cs="Arial"/>
                <w:color w:val="000000"/>
                <w:szCs w:val="20"/>
              </w:rPr>
              <w:t>S</w:t>
            </w:r>
            <w:r w:rsidRPr="009F252C">
              <w:rPr>
                <w:rFonts w:cs="Arial"/>
                <w:color w:val="000000"/>
                <w:szCs w:val="20"/>
              </w:rPr>
              <w:t>tandards/processes</w:t>
            </w:r>
          </w:p>
        </w:tc>
        <w:tc>
          <w:tcPr>
            <w:tcW w:w="949" w:type="dxa"/>
            <w:shd w:val="clear" w:color="auto" w:fill="F2F2F2" w:themeFill="background1" w:themeFillShade="F2"/>
            <w:noWrap/>
            <w:hideMark/>
          </w:tcPr>
          <w:p w14:paraId="3EEA599E"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 </w:t>
            </w:r>
          </w:p>
        </w:tc>
        <w:tc>
          <w:tcPr>
            <w:tcW w:w="949" w:type="dxa"/>
            <w:shd w:val="clear" w:color="auto" w:fill="F2F2F2" w:themeFill="background1" w:themeFillShade="F2"/>
            <w:noWrap/>
            <w:hideMark/>
          </w:tcPr>
          <w:p w14:paraId="3F7CDC63"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 </w:t>
            </w:r>
          </w:p>
        </w:tc>
        <w:tc>
          <w:tcPr>
            <w:tcW w:w="1115" w:type="dxa"/>
            <w:shd w:val="clear" w:color="auto" w:fill="F2F2F2" w:themeFill="background1" w:themeFillShade="F2"/>
            <w:noWrap/>
            <w:hideMark/>
          </w:tcPr>
          <w:p w14:paraId="341FA193" w14:textId="77777777" w:rsidR="00623569" w:rsidRPr="009F252C" w:rsidRDefault="00623569" w:rsidP="001517F2">
            <w:pPr>
              <w:spacing w:after="0" w:line="240" w:lineRule="auto"/>
              <w:contextualSpacing/>
              <w:jc w:val="right"/>
              <w:rPr>
                <w:rFonts w:cs="Arial"/>
                <w:color w:val="000000"/>
                <w:szCs w:val="20"/>
              </w:rPr>
            </w:pPr>
          </w:p>
        </w:tc>
        <w:tc>
          <w:tcPr>
            <w:tcW w:w="949" w:type="dxa"/>
            <w:shd w:val="clear" w:color="auto" w:fill="F2F2F2" w:themeFill="background1" w:themeFillShade="F2"/>
            <w:noWrap/>
            <w:hideMark/>
          </w:tcPr>
          <w:p w14:paraId="3C86558D"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$919,953</w:t>
            </w:r>
          </w:p>
        </w:tc>
        <w:tc>
          <w:tcPr>
            <w:tcW w:w="1184" w:type="dxa"/>
            <w:shd w:val="clear" w:color="auto" w:fill="F2F2F2" w:themeFill="background1" w:themeFillShade="F2"/>
            <w:hideMark/>
          </w:tcPr>
          <w:p w14:paraId="088CD133" w14:textId="77777777" w:rsidR="00623569" w:rsidRPr="009F252C" w:rsidRDefault="00623569" w:rsidP="001517F2">
            <w:pPr>
              <w:spacing w:after="0" w:line="240" w:lineRule="auto"/>
              <w:contextualSpacing/>
              <w:jc w:val="right"/>
              <w:rPr>
                <w:rFonts w:cs="Arial"/>
                <w:color w:val="000000"/>
                <w:szCs w:val="20"/>
              </w:rPr>
            </w:pPr>
          </w:p>
        </w:tc>
        <w:tc>
          <w:tcPr>
            <w:tcW w:w="2248" w:type="dxa"/>
            <w:gridSpan w:val="2"/>
            <w:shd w:val="clear" w:color="auto" w:fill="F2F2F2" w:themeFill="background1" w:themeFillShade="F2"/>
            <w:hideMark/>
          </w:tcPr>
          <w:p w14:paraId="1D42563D"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$1,379,930</w:t>
            </w:r>
          </w:p>
        </w:tc>
      </w:tr>
      <w:tr w:rsidR="00375D95" w:rsidRPr="00E10BAF" w14:paraId="2C0B82A9" w14:textId="77777777" w:rsidTr="00375D95">
        <w:trPr>
          <w:cnfStyle w:val="000000010000" w:firstRow="0" w:lastRow="0" w:firstColumn="0" w:lastColumn="0" w:oddVBand="0" w:evenVBand="0" w:oddHBand="0" w:evenHBand="1" w:firstRowFirstColumn="0" w:firstRowLastColumn="0" w:lastRowFirstColumn="0" w:lastRowLastColumn="0"/>
        </w:trPr>
        <w:tc>
          <w:tcPr>
            <w:tcW w:w="1413" w:type="dxa"/>
            <w:vMerge/>
            <w:shd w:val="clear" w:color="auto" w:fill="auto"/>
            <w:hideMark/>
          </w:tcPr>
          <w:p w14:paraId="4FD09A83" w14:textId="77777777" w:rsidR="00623569" w:rsidRPr="009F252C" w:rsidRDefault="00623569" w:rsidP="001517F2">
            <w:pPr>
              <w:spacing w:after="0" w:line="240" w:lineRule="auto"/>
              <w:contextualSpacing/>
              <w:rPr>
                <w:rFonts w:cs="Arial"/>
                <w:color w:val="000000"/>
                <w:szCs w:val="20"/>
              </w:rPr>
            </w:pPr>
          </w:p>
        </w:tc>
        <w:tc>
          <w:tcPr>
            <w:tcW w:w="1984" w:type="dxa"/>
            <w:shd w:val="clear" w:color="auto" w:fill="auto"/>
            <w:hideMark/>
          </w:tcPr>
          <w:p w14:paraId="10C46B42" w14:textId="77777777" w:rsidR="00623569" w:rsidRPr="009F252C" w:rsidRDefault="00623569" w:rsidP="001517F2">
            <w:pPr>
              <w:spacing w:after="0" w:line="240" w:lineRule="auto"/>
              <w:contextualSpacing/>
              <w:rPr>
                <w:rFonts w:cs="Arial"/>
                <w:color w:val="000000"/>
                <w:szCs w:val="20"/>
              </w:rPr>
            </w:pPr>
            <w:r w:rsidRPr="009F252C">
              <w:rPr>
                <w:rFonts w:cs="Arial"/>
                <w:color w:val="000000"/>
                <w:szCs w:val="20"/>
              </w:rPr>
              <w:t>Reduced reconnection costs</w:t>
            </w:r>
          </w:p>
        </w:tc>
        <w:tc>
          <w:tcPr>
            <w:tcW w:w="941" w:type="dxa"/>
            <w:shd w:val="clear" w:color="auto" w:fill="auto"/>
            <w:noWrap/>
            <w:hideMark/>
          </w:tcPr>
          <w:p w14:paraId="5A538A62" w14:textId="77777777" w:rsidR="00623569" w:rsidRPr="009F252C" w:rsidRDefault="00623569" w:rsidP="001517F2">
            <w:pPr>
              <w:spacing w:after="0" w:line="240" w:lineRule="auto"/>
              <w:contextualSpacing/>
              <w:rPr>
                <w:rFonts w:cs="Arial"/>
                <w:color w:val="000000"/>
                <w:szCs w:val="20"/>
              </w:rPr>
            </w:pPr>
            <w:r w:rsidRPr="009F252C">
              <w:rPr>
                <w:rFonts w:cs="Arial"/>
                <w:color w:val="000000"/>
                <w:szCs w:val="20"/>
              </w:rPr>
              <w:t>Benefit</w:t>
            </w:r>
          </w:p>
        </w:tc>
        <w:tc>
          <w:tcPr>
            <w:tcW w:w="2720" w:type="dxa"/>
            <w:shd w:val="clear" w:color="auto" w:fill="auto"/>
            <w:noWrap/>
            <w:hideMark/>
          </w:tcPr>
          <w:p w14:paraId="51F0AF69" w14:textId="77777777" w:rsidR="00623569" w:rsidRPr="009F252C" w:rsidRDefault="00623569" w:rsidP="001517F2">
            <w:pPr>
              <w:spacing w:after="0" w:line="240" w:lineRule="auto"/>
              <w:contextualSpacing/>
              <w:rPr>
                <w:rFonts w:cs="Arial"/>
                <w:color w:val="000000"/>
                <w:szCs w:val="20"/>
              </w:rPr>
            </w:pPr>
            <w:r w:rsidRPr="009F252C">
              <w:rPr>
                <w:rFonts w:cs="Arial"/>
                <w:color w:val="000000"/>
                <w:szCs w:val="20"/>
              </w:rPr>
              <w:t> Reduction in disconnection/reconnection costs for Telecom companies</w:t>
            </w:r>
          </w:p>
        </w:tc>
        <w:tc>
          <w:tcPr>
            <w:tcW w:w="949" w:type="dxa"/>
            <w:shd w:val="clear" w:color="auto" w:fill="auto"/>
            <w:hideMark/>
          </w:tcPr>
          <w:p w14:paraId="198638DF"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 </w:t>
            </w:r>
          </w:p>
        </w:tc>
        <w:tc>
          <w:tcPr>
            <w:tcW w:w="949" w:type="dxa"/>
            <w:shd w:val="clear" w:color="auto" w:fill="auto"/>
            <w:hideMark/>
          </w:tcPr>
          <w:p w14:paraId="4D4081CD"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 </w:t>
            </w:r>
          </w:p>
        </w:tc>
        <w:tc>
          <w:tcPr>
            <w:tcW w:w="2064" w:type="dxa"/>
            <w:gridSpan w:val="2"/>
            <w:shd w:val="clear" w:color="auto" w:fill="auto"/>
            <w:hideMark/>
          </w:tcPr>
          <w:p w14:paraId="3EC0778E"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-$668,483 compared to base case per year </w:t>
            </w:r>
          </w:p>
        </w:tc>
        <w:tc>
          <w:tcPr>
            <w:tcW w:w="3432" w:type="dxa"/>
            <w:gridSpan w:val="3"/>
            <w:shd w:val="clear" w:color="auto" w:fill="auto"/>
            <w:hideMark/>
          </w:tcPr>
          <w:p w14:paraId="78B75381" w14:textId="77777777" w:rsidR="00623569" w:rsidRPr="009F252C" w:rsidRDefault="00623569" w:rsidP="001517F2">
            <w:pPr>
              <w:spacing w:after="0" w:line="240" w:lineRule="auto"/>
              <w:contextualSpacing/>
              <w:jc w:val="right"/>
              <w:rPr>
                <w:rFonts w:cs="Arial"/>
                <w:color w:val="000000"/>
                <w:szCs w:val="20"/>
              </w:rPr>
            </w:pPr>
            <w:r w:rsidRPr="009F252C">
              <w:rPr>
                <w:rFonts w:cs="Arial"/>
                <w:color w:val="000000"/>
                <w:szCs w:val="20"/>
              </w:rPr>
              <w:t>-$3,638,294 compared to base case per year </w:t>
            </w:r>
          </w:p>
        </w:tc>
      </w:tr>
    </w:tbl>
    <w:p w14:paraId="50A05E8B" w14:textId="77777777" w:rsidR="00623569" w:rsidRDefault="00623569" w:rsidP="00623569">
      <w:pPr>
        <w:rPr>
          <w:rFonts w:cs="Arial"/>
          <w:szCs w:val="20"/>
        </w:rPr>
      </w:pPr>
    </w:p>
    <w:bookmarkEnd w:id="91"/>
    <w:p w14:paraId="3357C979" w14:textId="77777777" w:rsidR="00623569" w:rsidRDefault="00623569" w:rsidP="00623569">
      <w:pPr>
        <w:rPr>
          <w:rFonts w:cs="Arial"/>
          <w:szCs w:val="20"/>
        </w:rPr>
      </w:pPr>
    </w:p>
    <w:p w14:paraId="49D8EBAA" w14:textId="77777777" w:rsidR="00623569" w:rsidRDefault="00623569" w:rsidP="00623569">
      <w:pPr>
        <w:rPr>
          <w:rFonts w:cs="Arial"/>
          <w:szCs w:val="20"/>
        </w:rPr>
        <w:sectPr w:rsidR="00623569" w:rsidSect="003C4D21">
          <w:pgSz w:w="16840" w:h="11907" w:orient="landscape" w:code="9"/>
          <w:pgMar w:top="1134" w:right="1945" w:bottom="3101" w:left="1134" w:header="709" w:footer="119" w:gutter="0"/>
          <w:cols w:space="708"/>
          <w:docGrid w:linePitch="360"/>
        </w:sectPr>
      </w:pPr>
    </w:p>
    <w:p w14:paraId="21D5C841" w14:textId="39FA154F" w:rsidR="00623569" w:rsidRDefault="00623569" w:rsidP="00623569">
      <w:pPr>
        <w:pStyle w:val="Heading2"/>
      </w:pPr>
      <w:bookmarkStart w:id="96" w:name="_Ref153458587"/>
      <w:bookmarkStart w:id="97" w:name="_Toc155686018"/>
      <w:r>
        <w:lastRenderedPageBreak/>
        <w:t>CSP costs</w:t>
      </w:r>
      <w:bookmarkEnd w:id="96"/>
      <w:bookmarkEnd w:id="97"/>
    </w:p>
    <w:p w14:paraId="217023E2" w14:textId="77777777" w:rsidR="00623569" w:rsidRPr="00095568" w:rsidRDefault="00623569" w:rsidP="00623569">
      <w:pPr>
        <w:pStyle w:val="Paragraphbeforelist"/>
        <w:rPr>
          <w:rFonts w:eastAsia="Calibri"/>
          <w:lang w:eastAsia="en-US"/>
        </w:rPr>
      </w:pPr>
      <w:r w:rsidRPr="00095568">
        <w:rPr>
          <w:rFonts w:eastAsia="Calibri"/>
          <w:lang w:eastAsia="en-US"/>
        </w:rPr>
        <w:t xml:space="preserve">For the purposes of this </w:t>
      </w:r>
      <w:r>
        <w:rPr>
          <w:rFonts w:eastAsia="Calibri"/>
          <w:lang w:eastAsia="en-US"/>
        </w:rPr>
        <w:t>impact analysis</w:t>
      </w:r>
      <w:r w:rsidRPr="00095568">
        <w:rPr>
          <w:rFonts w:eastAsia="Calibri"/>
          <w:lang w:eastAsia="en-US"/>
        </w:rPr>
        <w:t xml:space="preserve">, </w:t>
      </w:r>
      <w:r>
        <w:rPr>
          <w:rFonts w:eastAsia="Calibri"/>
          <w:lang w:eastAsia="en-US"/>
        </w:rPr>
        <w:t>CSP</w:t>
      </w:r>
      <w:r w:rsidRPr="00095568">
        <w:rPr>
          <w:rFonts w:eastAsia="Calibri"/>
          <w:lang w:eastAsia="en-US"/>
        </w:rPr>
        <w:t xml:space="preserve">s have been characterised as follows (based on the volume of </w:t>
      </w:r>
      <w:r>
        <w:rPr>
          <w:rFonts w:eastAsia="Calibri"/>
          <w:lang w:eastAsia="en-US"/>
        </w:rPr>
        <w:t>services in operation</w:t>
      </w:r>
      <w:r w:rsidRPr="00095568">
        <w:rPr>
          <w:rFonts w:eastAsia="Calibri"/>
          <w:lang w:eastAsia="en-US"/>
        </w:rPr>
        <w:t>):</w:t>
      </w:r>
    </w:p>
    <w:p w14:paraId="661D4667" w14:textId="77777777" w:rsidR="00623569" w:rsidRPr="00AF4C0C" w:rsidRDefault="00623569" w:rsidP="00623569">
      <w:pPr>
        <w:pStyle w:val="Bulletlevel1"/>
        <w:tabs>
          <w:tab w:val="clear" w:pos="295"/>
        </w:tabs>
        <w:ind w:left="357" w:hanging="357"/>
      </w:pPr>
      <w:r w:rsidRPr="00793F20">
        <w:rPr>
          <w:lang w:eastAsia="en-US"/>
        </w:rPr>
        <w:t>2</w:t>
      </w:r>
      <w:r>
        <w:rPr>
          <w:lang w:eastAsia="en-US"/>
        </w:rPr>
        <w:t xml:space="preserve"> </w:t>
      </w:r>
      <w:r w:rsidRPr="00793F20">
        <w:rPr>
          <w:lang w:eastAsia="en-US"/>
        </w:rPr>
        <w:t>large C</w:t>
      </w:r>
      <w:r w:rsidRPr="00AF4C0C">
        <w:t>SPs (over 10 million services)</w:t>
      </w:r>
    </w:p>
    <w:p w14:paraId="0C22CB31" w14:textId="77777777" w:rsidR="00623569" w:rsidRPr="00AF4C0C" w:rsidRDefault="00623569" w:rsidP="00623569">
      <w:pPr>
        <w:pStyle w:val="Bulletlevel1"/>
        <w:tabs>
          <w:tab w:val="clear" w:pos="295"/>
        </w:tabs>
        <w:ind w:left="357" w:hanging="357"/>
      </w:pPr>
      <w:r w:rsidRPr="00AF4C0C">
        <w:t>4 medium CSPs (1 million to 10 million services)</w:t>
      </w:r>
    </w:p>
    <w:p w14:paraId="2DD9CE40" w14:textId="77777777" w:rsidR="00623569" w:rsidRPr="00793F20" w:rsidRDefault="00623569" w:rsidP="00623569">
      <w:pPr>
        <w:pStyle w:val="Bulletlevel1"/>
        <w:tabs>
          <w:tab w:val="clear" w:pos="295"/>
        </w:tabs>
        <w:ind w:left="357" w:hanging="357"/>
        <w:rPr>
          <w:lang w:eastAsia="en-US"/>
        </w:rPr>
      </w:pPr>
      <w:r w:rsidRPr="00AF4C0C">
        <w:t>27 small C</w:t>
      </w:r>
      <w:r w:rsidRPr="00793F20">
        <w:rPr>
          <w:lang w:eastAsia="en-US"/>
        </w:rPr>
        <w:t>SPs</w:t>
      </w:r>
      <w:r>
        <w:rPr>
          <w:lang w:eastAsia="en-US"/>
        </w:rPr>
        <w:t xml:space="preserve"> (</w:t>
      </w:r>
      <w:r w:rsidRPr="00793F20">
        <w:rPr>
          <w:lang w:eastAsia="en-US"/>
        </w:rPr>
        <w:t>30,000 to 1 million services</w:t>
      </w:r>
      <w:r>
        <w:rPr>
          <w:lang w:eastAsia="en-US"/>
        </w:rPr>
        <w:t>)</w:t>
      </w:r>
    </w:p>
    <w:p w14:paraId="17CA309D" w14:textId="77777777" w:rsidR="00623569" w:rsidRPr="00793F20" w:rsidRDefault="00623569" w:rsidP="00AC69D1">
      <w:pPr>
        <w:pStyle w:val="Bulletlevel1last"/>
        <w:numPr>
          <w:ilvl w:val="0"/>
          <w:numId w:val="2"/>
        </w:numPr>
        <w:tabs>
          <w:tab w:val="clear" w:pos="295"/>
        </w:tabs>
        <w:ind w:left="357" w:hanging="357"/>
        <w:rPr>
          <w:lang w:eastAsia="en-US"/>
        </w:rPr>
      </w:pPr>
      <w:r w:rsidRPr="00793F20">
        <w:rPr>
          <w:lang w:eastAsia="en-US"/>
        </w:rPr>
        <w:t>317</w:t>
      </w:r>
      <w:r>
        <w:rPr>
          <w:lang w:eastAsia="en-US"/>
        </w:rPr>
        <w:t xml:space="preserve"> </w:t>
      </w:r>
      <w:r w:rsidRPr="00793F20">
        <w:rPr>
          <w:lang w:eastAsia="en-US"/>
        </w:rPr>
        <w:t xml:space="preserve">very small </w:t>
      </w:r>
      <w:r>
        <w:rPr>
          <w:lang w:eastAsia="en-US"/>
        </w:rPr>
        <w:t>CSPs (</w:t>
      </w:r>
      <w:r w:rsidRPr="00793F20">
        <w:rPr>
          <w:lang w:eastAsia="en-US"/>
        </w:rPr>
        <w:t>1 to 30,000 services</w:t>
      </w:r>
      <w:r>
        <w:rPr>
          <w:lang w:eastAsia="en-US"/>
        </w:rPr>
        <w:t>).</w:t>
      </w:r>
    </w:p>
    <w:p w14:paraId="42B7B5D3" w14:textId="77777777" w:rsidR="00623569" w:rsidRPr="00D8056F" w:rsidRDefault="00623569" w:rsidP="00623569">
      <w:r>
        <w:t>The following tables outline the costs for CSPs used in the CBA.</w:t>
      </w:r>
    </w:p>
    <w:p w14:paraId="1CC741BC" w14:textId="7AD44F70" w:rsidR="00623569" w:rsidRDefault="00623569" w:rsidP="00623569">
      <w:pPr>
        <w:pStyle w:val="Tableheading"/>
      </w:pPr>
      <w:bookmarkStart w:id="98" w:name="_Ref153458476"/>
      <w:r>
        <w:t>Year 1 costs for CSPs under Option 2A</w:t>
      </w:r>
      <w:bookmarkEnd w:id="98"/>
    </w:p>
    <w:tbl>
      <w:tblPr>
        <w:tblStyle w:val="ACMAtablestyle"/>
        <w:tblW w:w="10289" w:type="dxa"/>
        <w:tblLook w:val="04A0" w:firstRow="1" w:lastRow="0" w:firstColumn="1" w:lastColumn="0" w:noHBand="0" w:noVBand="1"/>
      </w:tblPr>
      <w:tblGrid>
        <w:gridCol w:w="3397"/>
        <w:gridCol w:w="1418"/>
        <w:gridCol w:w="1559"/>
        <w:gridCol w:w="1276"/>
        <w:gridCol w:w="1134"/>
        <w:gridCol w:w="1505"/>
      </w:tblGrid>
      <w:tr w:rsidR="00623569" w:rsidRPr="003E230C" w14:paraId="5EC2145B" w14:textId="77777777" w:rsidTr="001517F2">
        <w:trPr>
          <w:cnfStyle w:val="100000000000" w:firstRow="1" w:lastRow="0" w:firstColumn="0" w:lastColumn="0" w:oddVBand="0" w:evenVBand="0" w:oddHBand="0" w:evenHBand="0" w:firstRowFirstColumn="0" w:firstRowLastColumn="0" w:lastRowFirstColumn="0" w:lastRowLastColumn="0"/>
          <w:trHeight w:val="540"/>
        </w:trPr>
        <w:tc>
          <w:tcPr>
            <w:tcW w:w="3397" w:type="dxa"/>
            <w:hideMark/>
          </w:tcPr>
          <w:p w14:paraId="23319A39" w14:textId="77777777" w:rsidR="00623569" w:rsidRPr="003E230C" w:rsidRDefault="00623569" w:rsidP="001517F2">
            <w:pPr>
              <w:pStyle w:val="Paragraph"/>
              <w:spacing w:after="0"/>
              <w:rPr>
                <w:b/>
                <w:bCs/>
              </w:rPr>
            </w:pPr>
          </w:p>
        </w:tc>
        <w:tc>
          <w:tcPr>
            <w:tcW w:w="1418" w:type="dxa"/>
            <w:hideMark/>
          </w:tcPr>
          <w:p w14:paraId="40F636C7" w14:textId="77777777" w:rsidR="00623569" w:rsidRPr="003E230C" w:rsidRDefault="00623569" w:rsidP="001517F2">
            <w:pPr>
              <w:pStyle w:val="Paragraph"/>
              <w:spacing w:after="0"/>
              <w:jc w:val="right"/>
              <w:rPr>
                <w:b/>
                <w:bCs/>
              </w:rPr>
            </w:pPr>
            <w:r w:rsidRPr="003E230C">
              <w:rPr>
                <w:b/>
                <w:bCs/>
              </w:rPr>
              <w:t>System build</w:t>
            </w:r>
          </w:p>
        </w:tc>
        <w:tc>
          <w:tcPr>
            <w:tcW w:w="1559" w:type="dxa"/>
            <w:noWrap/>
            <w:hideMark/>
          </w:tcPr>
          <w:p w14:paraId="40A0415E" w14:textId="77777777" w:rsidR="00623569" w:rsidRPr="003E230C" w:rsidRDefault="00623569" w:rsidP="001517F2">
            <w:pPr>
              <w:pStyle w:val="Paragraph"/>
              <w:spacing w:after="0"/>
              <w:jc w:val="right"/>
              <w:rPr>
                <w:b/>
                <w:bCs/>
              </w:rPr>
            </w:pPr>
            <w:r w:rsidRPr="003E230C">
              <w:rPr>
                <w:b/>
                <w:bCs/>
              </w:rPr>
              <w:t xml:space="preserve">Time </w:t>
            </w:r>
            <w:r>
              <w:rPr>
                <w:b/>
                <w:bCs/>
              </w:rPr>
              <w:br/>
            </w:r>
            <w:r w:rsidRPr="003E230C">
              <w:rPr>
                <w:b/>
                <w:bCs/>
              </w:rPr>
              <w:t>(hours)</w:t>
            </w:r>
          </w:p>
        </w:tc>
        <w:tc>
          <w:tcPr>
            <w:tcW w:w="1276" w:type="dxa"/>
            <w:noWrap/>
            <w:hideMark/>
          </w:tcPr>
          <w:p w14:paraId="5EF87B27" w14:textId="77777777" w:rsidR="00623569" w:rsidRPr="003E230C" w:rsidRDefault="00623569" w:rsidP="001517F2">
            <w:pPr>
              <w:pStyle w:val="Paragraph"/>
              <w:spacing w:after="0"/>
              <w:jc w:val="right"/>
              <w:rPr>
                <w:b/>
                <w:bCs/>
              </w:rPr>
            </w:pPr>
            <w:r w:rsidRPr="003E230C">
              <w:rPr>
                <w:b/>
                <w:bCs/>
              </w:rPr>
              <w:t>Businesses</w:t>
            </w:r>
          </w:p>
        </w:tc>
        <w:tc>
          <w:tcPr>
            <w:tcW w:w="1134" w:type="dxa"/>
            <w:hideMark/>
          </w:tcPr>
          <w:p w14:paraId="7D99765C" w14:textId="77777777" w:rsidR="00623569" w:rsidRPr="003E230C" w:rsidRDefault="00623569" w:rsidP="001517F2">
            <w:pPr>
              <w:pStyle w:val="Paragraph"/>
              <w:spacing w:after="0"/>
              <w:jc w:val="right"/>
              <w:rPr>
                <w:b/>
                <w:bCs/>
              </w:rPr>
            </w:pPr>
            <w:r w:rsidRPr="003E230C">
              <w:rPr>
                <w:b/>
                <w:bCs/>
              </w:rPr>
              <w:t>Rate/hour ($)</w:t>
            </w:r>
          </w:p>
        </w:tc>
        <w:tc>
          <w:tcPr>
            <w:tcW w:w="1505" w:type="dxa"/>
            <w:noWrap/>
            <w:hideMark/>
          </w:tcPr>
          <w:p w14:paraId="035E968B" w14:textId="77777777" w:rsidR="00623569" w:rsidRPr="003E230C" w:rsidRDefault="00623569" w:rsidP="001517F2">
            <w:pPr>
              <w:pStyle w:val="Paragraph"/>
              <w:spacing w:after="0"/>
              <w:jc w:val="right"/>
              <w:rPr>
                <w:b/>
                <w:bCs/>
              </w:rPr>
            </w:pPr>
            <w:r w:rsidRPr="003E230C">
              <w:rPr>
                <w:b/>
                <w:bCs/>
              </w:rPr>
              <w:t xml:space="preserve">Totals </w:t>
            </w:r>
            <w:r>
              <w:rPr>
                <w:b/>
                <w:bCs/>
              </w:rPr>
              <w:br/>
            </w:r>
            <w:r w:rsidRPr="003E230C">
              <w:rPr>
                <w:b/>
                <w:bCs/>
              </w:rPr>
              <w:t>($)</w:t>
            </w:r>
          </w:p>
        </w:tc>
      </w:tr>
      <w:tr w:rsidR="00623569" w:rsidRPr="003E230C" w14:paraId="012A7D64" w14:textId="77777777" w:rsidTr="00375D95">
        <w:trPr>
          <w:cnfStyle w:val="000000100000" w:firstRow="0" w:lastRow="0" w:firstColumn="0" w:lastColumn="0" w:oddVBand="0" w:evenVBand="0" w:oddHBand="1" w:evenHBand="0" w:firstRowFirstColumn="0" w:firstRowLastColumn="0" w:lastRowFirstColumn="0" w:lastRowLastColumn="0"/>
          <w:trHeight w:val="278"/>
        </w:trPr>
        <w:tc>
          <w:tcPr>
            <w:tcW w:w="10289" w:type="dxa"/>
            <w:gridSpan w:val="6"/>
            <w:shd w:val="clear" w:color="auto" w:fill="F2F2F2" w:themeFill="background1" w:themeFillShade="F2"/>
            <w:noWrap/>
            <w:hideMark/>
          </w:tcPr>
          <w:p w14:paraId="5693DA4C" w14:textId="77777777" w:rsidR="00623569" w:rsidRPr="003E230C" w:rsidRDefault="00623569" w:rsidP="001517F2">
            <w:pPr>
              <w:pStyle w:val="Paragraph"/>
              <w:spacing w:after="0"/>
            </w:pPr>
            <w:r w:rsidRPr="003E230C">
              <w:rPr>
                <w:b/>
                <w:bCs/>
              </w:rPr>
              <w:t>Large CSPs</w:t>
            </w:r>
          </w:p>
        </w:tc>
      </w:tr>
      <w:tr w:rsidR="00623569" w:rsidRPr="003E230C" w14:paraId="2ED429FF" w14:textId="77777777" w:rsidTr="00375D95">
        <w:trPr>
          <w:cnfStyle w:val="000000010000" w:firstRow="0" w:lastRow="0" w:firstColumn="0" w:lastColumn="0" w:oddVBand="0" w:evenVBand="0" w:oddHBand="0" w:evenHBand="1" w:firstRowFirstColumn="0" w:firstRowLastColumn="0" w:lastRowFirstColumn="0" w:lastRowLastColumn="0"/>
          <w:trHeight w:val="288"/>
        </w:trPr>
        <w:tc>
          <w:tcPr>
            <w:tcW w:w="3397" w:type="dxa"/>
            <w:shd w:val="clear" w:color="auto" w:fill="auto"/>
            <w:hideMark/>
          </w:tcPr>
          <w:p w14:paraId="56190865" w14:textId="77777777" w:rsidR="00623569" w:rsidRPr="003E230C" w:rsidRDefault="00623569" w:rsidP="001517F2">
            <w:pPr>
              <w:pStyle w:val="Paragraph"/>
              <w:spacing w:after="0"/>
            </w:pPr>
            <w:r w:rsidRPr="003E230C">
              <w:t>Automate manual systems to enhance processes</w:t>
            </w:r>
          </w:p>
        </w:tc>
        <w:tc>
          <w:tcPr>
            <w:tcW w:w="1418" w:type="dxa"/>
            <w:shd w:val="clear" w:color="auto" w:fill="auto"/>
            <w:hideMark/>
          </w:tcPr>
          <w:p w14:paraId="1963E4D6" w14:textId="77777777" w:rsidR="00623569" w:rsidRPr="003E230C" w:rsidRDefault="00623569" w:rsidP="001517F2">
            <w:pPr>
              <w:pStyle w:val="Paragraph"/>
              <w:spacing w:after="0"/>
              <w:jc w:val="right"/>
            </w:pPr>
            <w:r w:rsidRPr="003E230C">
              <w:t xml:space="preserve">$50,000 </w:t>
            </w:r>
          </w:p>
        </w:tc>
        <w:tc>
          <w:tcPr>
            <w:tcW w:w="1559" w:type="dxa"/>
            <w:shd w:val="clear" w:color="auto" w:fill="auto"/>
            <w:noWrap/>
            <w:hideMark/>
          </w:tcPr>
          <w:p w14:paraId="284E9207" w14:textId="77777777" w:rsidR="00623569" w:rsidRPr="003E230C" w:rsidRDefault="00623569" w:rsidP="001517F2">
            <w:pPr>
              <w:pStyle w:val="Paragraph"/>
              <w:spacing w:after="0"/>
              <w:jc w:val="right"/>
            </w:pPr>
          </w:p>
        </w:tc>
        <w:tc>
          <w:tcPr>
            <w:tcW w:w="1276" w:type="dxa"/>
            <w:shd w:val="clear" w:color="auto" w:fill="auto"/>
            <w:noWrap/>
            <w:hideMark/>
          </w:tcPr>
          <w:p w14:paraId="6944D76E" w14:textId="77777777" w:rsidR="00623569" w:rsidRPr="003E230C" w:rsidRDefault="00623569" w:rsidP="001517F2">
            <w:pPr>
              <w:pStyle w:val="Paragraph"/>
              <w:spacing w:after="0"/>
              <w:jc w:val="right"/>
            </w:pPr>
            <w:r w:rsidRPr="003E230C">
              <w:t>2</w:t>
            </w:r>
          </w:p>
        </w:tc>
        <w:tc>
          <w:tcPr>
            <w:tcW w:w="1134" w:type="dxa"/>
            <w:shd w:val="clear" w:color="auto" w:fill="auto"/>
            <w:hideMark/>
          </w:tcPr>
          <w:p w14:paraId="11097C58" w14:textId="77777777" w:rsidR="00623569" w:rsidRPr="003E230C" w:rsidRDefault="00623569" w:rsidP="001517F2">
            <w:pPr>
              <w:pStyle w:val="Paragraph"/>
              <w:spacing w:after="0"/>
              <w:jc w:val="right"/>
            </w:pPr>
          </w:p>
        </w:tc>
        <w:tc>
          <w:tcPr>
            <w:tcW w:w="1505" w:type="dxa"/>
            <w:shd w:val="clear" w:color="auto" w:fill="auto"/>
            <w:noWrap/>
            <w:hideMark/>
          </w:tcPr>
          <w:p w14:paraId="33F3E63B" w14:textId="77777777" w:rsidR="00623569" w:rsidRPr="003E230C" w:rsidRDefault="00623569" w:rsidP="001517F2">
            <w:pPr>
              <w:pStyle w:val="Paragraph"/>
              <w:spacing w:after="0"/>
              <w:jc w:val="right"/>
            </w:pPr>
            <w:r w:rsidRPr="003E230C">
              <w:t>$100,000</w:t>
            </w:r>
          </w:p>
        </w:tc>
      </w:tr>
      <w:tr w:rsidR="00375D95" w:rsidRPr="003E230C" w14:paraId="447C38FB" w14:textId="77777777" w:rsidTr="00375D95">
        <w:trPr>
          <w:cnfStyle w:val="000000100000" w:firstRow="0" w:lastRow="0" w:firstColumn="0" w:lastColumn="0" w:oddVBand="0" w:evenVBand="0" w:oddHBand="1" w:evenHBand="0" w:firstRowFirstColumn="0" w:firstRowLastColumn="0" w:lastRowFirstColumn="0" w:lastRowLastColumn="0"/>
          <w:trHeight w:val="221"/>
        </w:trPr>
        <w:tc>
          <w:tcPr>
            <w:tcW w:w="3397" w:type="dxa"/>
            <w:shd w:val="clear" w:color="auto" w:fill="F2F2F2" w:themeFill="background1" w:themeFillShade="F2"/>
            <w:hideMark/>
          </w:tcPr>
          <w:p w14:paraId="1C5BD6D5" w14:textId="77777777" w:rsidR="00623569" w:rsidRPr="003E230C" w:rsidRDefault="00623569" w:rsidP="001517F2">
            <w:pPr>
              <w:pStyle w:val="Paragraph"/>
              <w:spacing w:after="0"/>
            </w:pPr>
            <w:r w:rsidRPr="003E230C">
              <w:t>Staff training</w:t>
            </w:r>
          </w:p>
        </w:tc>
        <w:tc>
          <w:tcPr>
            <w:tcW w:w="1418" w:type="dxa"/>
            <w:shd w:val="clear" w:color="auto" w:fill="F2F2F2" w:themeFill="background1" w:themeFillShade="F2"/>
            <w:hideMark/>
          </w:tcPr>
          <w:p w14:paraId="0A4D6FE4" w14:textId="77777777" w:rsidR="00623569" w:rsidRPr="003E230C" w:rsidRDefault="00623569" w:rsidP="001517F2">
            <w:pPr>
              <w:pStyle w:val="Paragraph"/>
              <w:spacing w:after="0"/>
              <w:jc w:val="right"/>
            </w:pPr>
          </w:p>
        </w:tc>
        <w:tc>
          <w:tcPr>
            <w:tcW w:w="1559" w:type="dxa"/>
            <w:shd w:val="clear" w:color="auto" w:fill="F2F2F2" w:themeFill="background1" w:themeFillShade="F2"/>
            <w:hideMark/>
          </w:tcPr>
          <w:p w14:paraId="57CA2E61" w14:textId="77777777" w:rsidR="00623569" w:rsidRPr="003E230C" w:rsidRDefault="00623569" w:rsidP="001517F2">
            <w:pPr>
              <w:pStyle w:val="Paragraph"/>
              <w:spacing w:after="0"/>
              <w:jc w:val="right"/>
            </w:pPr>
            <w:r w:rsidRPr="003E230C">
              <w:t>160</w:t>
            </w:r>
          </w:p>
        </w:tc>
        <w:tc>
          <w:tcPr>
            <w:tcW w:w="1276" w:type="dxa"/>
            <w:shd w:val="clear" w:color="auto" w:fill="F2F2F2" w:themeFill="background1" w:themeFillShade="F2"/>
            <w:noWrap/>
            <w:hideMark/>
          </w:tcPr>
          <w:p w14:paraId="0262340E" w14:textId="77777777" w:rsidR="00623569" w:rsidRPr="003E230C" w:rsidRDefault="00623569" w:rsidP="001517F2">
            <w:pPr>
              <w:pStyle w:val="Paragraph"/>
              <w:spacing w:after="0"/>
              <w:jc w:val="right"/>
            </w:pPr>
            <w:r w:rsidRPr="003E230C">
              <w:t>2</w:t>
            </w:r>
          </w:p>
        </w:tc>
        <w:tc>
          <w:tcPr>
            <w:tcW w:w="1134" w:type="dxa"/>
            <w:shd w:val="clear" w:color="auto" w:fill="F2F2F2" w:themeFill="background1" w:themeFillShade="F2"/>
            <w:hideMark/>
          </w:tcPr>
          <w:p w14:paraId="0C73B762" w14:textId="77777777" w:rsidR="00623569" w:rsidRPr="003E230C" w:rsidRDefault="00623569" w:rsidP="001517F2">
            <w:pPr>
              <w:pStyle w:val="Paragraph"/>
              <w:spacing w:after="0"/>
              <w:jc w:val="right"/>
            </w:pPr>
            <w:r w:rsidRPr="003E230C">
              <w:t xml:space="preserve">$73 </w:t>
            </w:r>
          </w:p>
        </w:tc>
        <w:tc>
          <w:tcPr>
            <w:tcW w:w="1505" w:type="dxa"/>
            <w:shd w:val="clear" w:color="auto" w:fill="F2F2F2" w:themeFill="background1" w:themeFillShade="F2"/>
            <w:noWrap/>
            <w:hideMark/>
          </w:tcPr>
          <w:p w14:paraId="4E4EEA38" w14:textId="77777777" w:rsidR="00623569" w:rsidRPr="003E230C" w:rsidRDefault="00623569" w:rsidP="001517F2">
            <w:pPr>
              <w:pStyle w:val="Paragraph"/>
              <w:spacing w:after="0"/>
              <w:jc w:val="right"/>
            </w:pPr>
            <w:r w:rsidRPr="003E230C">
              <w:t>$23,360</w:t>
            </w:r>
          </w:p>
        </w:tc>
      </w:tr>
      <w:tr w:rsidR="00623569" w:rsidRPr="003E230C" w14:paraId="231A2F65" w14:textId="77777777" w:rsidTr="00375D95">
        <w:trPr>
          <w:cnfStyle w:val="000000010000" w:firstRow="0" w:lastRow="0" w:firstColumn="0" w:lastColumn="0" w:oddVBand="0" w:evenVBand="0" w:oddHBand="0" w:evenHBand="1" w:firstRowFirstColumn="0" w:firstRowLastColumn="0" w:lastRowFirstColumn="0" w:lastRowLastColumn="0"/>
          <w:trHeight w:val="278"/>
        </w:trPr>
        <w:tc>
          <w:tcPr>
            <w:tcW w:w="8784" w:type="dxa"/>
            <w:gridSpan w:val="5"/>
            <w:shd w:val="clear" w:color="auto" w:fill="auto"/>
            <w:hideMark/>
          </w:tcPr>
          <w:p w14:paraId="6CA2CD26" w14:textId="77777777" w:rsidR="00623569" w:rsidRPr="003E230C" w:rsidRDefault="00623569" w:rsidP="001517F2">
            <w:pPr>
              <w:pStyle w:val="Paragraph"/>
              <w:spacing w:after="0"/>
            </w:pPr>
            <w:r w:rsidRPr="003E230C">
              <w:rPr>
                <w:b/>
                <w:bCs/>
              </w:rPr>
              <w:t>TOTAL</w:t>
            </w:r>
          </w:p>
        </w:tc>
        <w:tc>
          <w:tcPr>
            <w:tcW w:w="1505" w:type="dxa"/>
            <w:shd w:val="clear" w:color="auto" w:fill="auto"/>
            <w:noWrap/>
            <w:hideMark/>
          </w:tcPr>
          <w:p w14:paraId="3CA50E16" w14:textId="77777777" w:rsidR="00623569" w:rsidRPr="003E230C" w:rsidRDefault="00623569" w:rsidP="001517F2">
            <w:pPr>
              <w:pStyle w:val="Paragraph"/>
              <w:spacing w:after="0"/>
              <w:jc w:val="right"/>
              <w:rPr>
                <w:b/>
                <w:bCs/>
              </w:rPr>
            </w:pPr>
            <w:r w:rsidRPr="003E230C">
              <w:rPr>
                <w:b/>
                <w:bCs/>
              </w:rPr>
              <w:t>$123,360</w:t>
            </w:r>
          </w:p>
        </w:tc>
      </w:tr>
      <w:tr w:rsidR="00623569" w:rsidRPr="003E230C" w14:paraId="0EDC1E44" w14:textId="77777777" w:rsidTr="00375D95">
        <w:trPr>
          <w:cnfStyle w:val="000000100000" w:firstRow="0" w:lastRow="0" w:firstColumn="0" w:lastColumn="0" w:oddVBand="0" w:evenVBand="0" w:oddHBand="1" w:evenHBand="0" w:firstRowFirstColumn="0" w:firstRowLastColumn="0" w:lastRowFirstColumn="0" w:lastRowLastColumn="0"/>
          <w:trHeight w:val="278"/>
        </w:trPr>
        <w:tc>
          <w:tcPr>
            <w:tcW w:w="10289" w:type="dxa"/>
            <w:gridSpan w:val="6"/>
            <w:shd w:val="clear" w:color="auto" w:fill="F2F2F2" w:themeFill="background1" w:themeFillShade="F2"/>
            <w:hideMark/>
          </w:tcPr>
          <w:p w14:paraId="3E990185" w14:textId="77777777" w:rsidR="00623569" w:rsidRPr="003E230C" w:rsidRDefault="00623569" w:rsidP="001517F2">
            <w:pPr>
              <w:pStyle w:val="Paragraph"/>
              <w:spacing w:after="0"/>
            </w:pPr>
            <w:r w:rsidRPr="003E230C">
              <w:rPr>
                <w:b/>
                <w:bCs/>
              </w:rPr>
              <w:t>Medium CSPs</w:t>
            </w:r>
          </w:p>
        </w:tc>
      </w:tr>
      <w:tr w:rsidR="00623569" w:rsidRPr="003E230C" w14:paraId="721DB685" w14:textId="77777777" w:rsidTr="00375D95">
        <w:trPr>
          <w:cnfStyle w:val="000000010000" w:firstRow="0" w:lastRow="0" w:firstColumn="0" w:lastColumn="0" w:oddVBand="0" w:evenVBand="0" w:oddHBand="0" w:evenHBand="1" w:firstRowFirstColumn="0" w:firstRowLastColumn="0" w:lastRowFirstColumn="0" w:lastRowLastColumn="0"/>
          <w:trHeight w:val="221"/>
        </w:trPr>
        <w:tc>
          <w:tcPr>
            <w:tcW w:w="3397" w:type="dxa"/>
            <w:shd w:val="clear" w:color="auto" w:fill="auto"/>
            <w:hideMark/>
          </w:tcPr>
          <w:p w14:paraId="2D81CD1A" w14:textId="77777777" w:rsidR="00623569" w:rsidRPr="003E230C" w:rsidRDefault="00623569" w:rsidP="001517F2">
            <w:pPr>
              <w:pStyle w:val="Paragraph"/>
              <w:spacing w:after="0"/>
            </w:pPr>
            <w:r w:rsidRPr="003E230C">
              <w:t>Automate manual systems to enhance processes</w:t>
            </w:r>
          </w:p>
        </w:tc>
        <w:tc>
          <w:tcPr>
            <w:tcW w:w="1418" w:type="dxa"/>
            <w:shd w:val="clear" w:color="auto" w:fill="auto"/>
            <w:hideMark/>
          </w:tcPr>
          <w:p w14:paraId="67A63356" w14:textId="77777777" w:rsidR="00623569" w:rsidRPr="003E230C" w:rsidRDefault="00623569" w:rsidP="001517F2">
            <w:pPr>
              <w:pStyle w:val="Paragraph"/>
              <w:spacing w:after="0"/>
              <w:jc w:val="right"/>
            </w:pPr>
            <w:r w:rsidRPr="003E230C">
              <w:t xml:space="preserve">$15,000 </w:t>
            </w:r>
          </w:p>
        </w:tc>
        <w:tc>
          <w:tcPr>
            <w:tcW w:w="1559" w:type="dxa"/>
            <w:shd w:val="clear" w:color="auto" w:fill="auto"/>
            <w:hideMark/>
          </w:tcPr>
          <w:p w14:paraId="6E0C62B9" w14:textId="77777777" w:rsidR="00623569" w:rsidRPr="003E230C" w:rsidRDefault="00623569" w:rsidP="001517F2">
            <w:pPr>
              <w:pStyle w:val="Paragraph"/>
              <w:spacing w:after="0"/>
              <w:jc w:val="right"/>
            </w:pPr>
          </w:p>
        </w:tc>
        <w:tc>
          <w:tcPr>
            <w:tcW w:w="1276" w:type="dxa"/>
            <w:shd w:val="clear" w:color="auto" w:fill="auto"/>
            <w:noWrap/>
            <w:hideMark/>
          </w:tcPr>
          <w:p w14:paraId="6C345667" w14:textId="77777777" w:rsidR="00623569" w:rsidRPr="003E230C" w:rsidRDefault="00623569" w:rsidP="001517F2">
            <w:pPr>
              <w:pStyle w:val="Paragraph"/>
              <w:spacing w:after="0"/>
              <w:jc w:val="right"/>
            </w:pPr>
            <w:r w:rsidRPr="003E230C">
              <w:t>4</w:t>
            </w:r>
          </w:p>
        </w:tc>
        <w:tc>
          <w:tcPr>
            <w:tcW w:w="1134" w:type="dxa"/>
            <w:shd w:val="clear" w:color="auto" w:fill="auto"/>
            <w:hideMark/>
          </w:tcPr>
          <w:p w14:paraId="2EE3AFB8" w14:textId="77777777" w:rsidR="00623569" w:rsidRPr="003E230C" w:rsidRDefault="00623569" w:rsidP="001517F2">
            <w:pPr>
              <w:pStyle w:val="Paragraph"/>
              <w:spacing w:after="0"/>
              <w:jc w:val="right"/>
            </w:pPr>
          </w:p>
        </w:tc>
        <w:tc>
          <w:tcPr>
            <w:tcW w:w="1505" w:type="dxa"/>
            <w:shd w:val="clear" w:color="auto" w:fill="auto"/>
            <w:noWrap/>
            <w:hideMark/>
          </w:tcPr>
          <w:p w14:paraId="6FD8FAE3" w14:textId="77777777" w:rsidR="00623569" w:rsidRPr="003E230C" w:rsidRDefault="00623569" w:rsidP="001517F2">
            <w:pPr>
              <w:pStyle w:val="Paragraph"/>
              <w:spacing w:after="0"/>
              <w:jc w:val="right"/>
            </w:pPr>
            <w:r w:rsidRPr="003E230C">
              <w:t>$60,000</w:t>
            </w:r>
          </w:p>
        </w:tc>
      </w:tr>
      <w:tr w:rsidR="00375D95" w:rsidRPr="003E230C" w14:paraId="200D6102" w14:textId="77777777" w:rsidTr="00375D95">
        <w:trPr>
          <w:cnfStyle w:val="000000100000" w:firstRow="0" w:lastRow="0" w:firstColumn="0" w:lastColumn="0" w:oddVBand="0" w:evenVBand="0" w:oddHBand="1" w:evenHBand="0" w:firstRowFirstColumn="0" w:firstRowLastColumn="0" w:lastRowFirstColumn="0" w:lastRowLastColumn="0"/>
          <w:trHeight w:val="198"/>
        </w:trPr>
        <w:tc>
          <w:tcPr>
            <w:tcW w:w="3397" w:type="dxa"/>
            <w:shd w:val="clear" w:color="auto" w:fill="F2F2F2" w:themeFill="background1" w:themeFillShade="F2"/>
            <w:hideMark/>
          </w:tcPr>
          <w:p w14:paraId="78F0076C" w14:textId="77777777" w:rsidR="00623569" w:rsidRPr="003E230C" w:rsidRDefault="00623569" w:rsidP="001517F2">
            <w:pPr>
              <w:pStyle w:val="Paragraph"/>
              <w:spacing w:after="0"/>
            </w:pPr>
            <w:r w:rsidRPr="003E230C">
              <w:t>Staff training</w:t>
            </w:r>
          </w:p>
        </w:tc>
        <w:tc>
          <w:tcPr>
            <w:tcW w:w="1418" w:type="dxa"/>
            <w:shd w:val="clear" w:color="auto" w:fill="F2F2F2" w:themeFill="background1" w:themeFillShade="F2"/>
            <w:hideMark/>
          </w:tcPr>
          <w:p w14:paraId="2B59A4DC" w14:textId="77777777" w:rsidR="00623569" w:rsidRPr="003E230C" w:rsidRDefault="00623569" w:rsidP="001517F2">
            <w:pPr>
              <w:pStyle w:val="Paragraph"/>
              <w:spacing w:after="0"/>
              <w:jc w:val="right"/>
            </w:pPr>
          </w:p>
        </w:tc>
        <w:tc>
          <w:tcPr>
            <w:tcW w:w="1559" w:type="dxa"/>
            <w:shd w:val="clear" w:color="auto" w:fill="F2F2F2" w:themeFill="background1" w:themeFillShade="F2"/>
            <w:hideMark/>
          </w:tcPr>
          <w:p w14:paraId="291651AF" w14:textId="77777777" w:rsidR="00623569" w:rsidRPr="003E230C" w:rsidRDefault="00623569" w:rsidP="001517F2">
            <w:pPr>
              <w:pStyle w:val="Paragraph"/>
              <w:spacing w:after="0"/>
              <w:jc w:val="right"/>
            </w:pPr>
            <w:r w:rsidRPr="003E230C">
              <w:t>130</w:t>
            </w:r>
          </w:p>
        </w:tc>
        <w:tc>
          <w:tcPr>
            <w:tcW w:w="1276" w:type="dxa"/>
            <w:shd w:val="clear" w:color="auto" w:fill="F2F2F2" w:themeFill="background1" w:themeFillShade="F2"/>
            <w:noWrap/>
            <w:hideMark/>
          </w:tcPr>
          <w:p w14:paraId="58485E2B" w14:textId="77777777" w:rsidR="00623569" w:rsidRPr="003E230C" w:rsidRDefault="00623569" w:rsidP="001517F2">
            <w:pPr>
              <w:pStyle w:val="Paragraph"/>
              <w:spacing w:after="0"/>
              <w:jc w:val="right"/>
            </w:pPr>
            <w:r w:rsidRPr="003E230C">
              <w:t>4</w:t>
            </w:r>
          </w:p>
        </w:tc>
        <w:tc>
          <w:tcPr>
            <w:tcW w:w="1134" w:type="dxa"/>
            <w:shd w:val="clear" w:color="auto" w:fill="F2F2F2" w:themeFill="background1" w:themeFillShade="F2"/>
            <w:hideMark/>
          </w:tcPr>
          <w:p w14:paraId="6B518F47" w14:textId="77777777" w:rsidR="00623569" w:rsidRPr="003E230C" w:rsidRDefault="00623569" w:rsidP="001517F2">
            <w:pPr>
              <w:pStyle w:val="Paragraph"/>
              <w:spacing w:after="0"/>
              <w:jc w:val="right"/>
            </w:pPr>
            <w:r w:rsidRPr="003E230C">
              <w:t xml:space="preserve">$73 </w:t>
            </w:r>
          </w:p>
        </w:tc>
        <w:tc>
          <w:tcPr>
            <w:tcW w:w="1505" w:type="dxa"/>
            <w:shd w:val="clear" w:color="auto" w:fill="F2F2F2" w:themeFill="background1" w:themeFillShade="F2"/>
            <w:noWrap/>
            <w:hideMark/>
          </w:tcPr>
          <w:p w14:paraId="32F29A12" w14:textId="77777777" w:rsidR="00623569" w:rsidRPr="003E230C" w:rsidRDefault="00623569" w:rsidP="001517F2">
            <w:pPr>
              <w:pStyle w:val="Paragraph"/>
              <w:spacing w:after="0"/>
              <w:jc w:val="right"/>
            </w:pPr>
            <w:r w:rsidRPr="003E230C">
              <w:t>$37,960</w:t>
            </w:r>
          </w:p>
        </w:tc>
      </w:tr>
      <w:tr w:rsidR="00623569" w:rsidRPr="003E230C" w14:paraId="2A44AC03" w14:textId="77777777" w:rsidTr="00375D95">
        <w:trPr>
          <w:cnfStyle w:val="000000010000" w:firstRow="0" w:lastRow="0" w:firstColumn="0" w:lastColumn="0" w:oddVBand="0" w:evenVBand="0" w:oddHBand="0" w:evenHBand="1" w:firstRowFirstColumn="0" w:firstRowLastColumn="0" w:lastRowFirstColumn="0" w:lastRowLastColumn="0"/>
          <w:trHeight w:val="270"/>
        </w:trPr>
        <w:tc>
          <w:tcPr>
            <w:tcW w:w="8784" w:type="dxa"/>
            <w:gridSpan w:val="5"/>
            <w:shd w:val="clear" w:color="auto" w:fill="auto"/>
            <w:hideMark/>
          </w:tcPr>
          <w:p w14:paraId="3C4F539B" w14:textId="77777777" w:rsidR="00623569" w:rsidRPr="003E230C" w:rsidRDefault="00623569" w:rsidP="001517F2">
            <w:pPr>
              <w:pStyle w:val="Paragraph"/>
              <w:spacing w:after="0"/>
            </w:pPr>
            <w:r w:rsidRPr="003E230C">
              <w:rPr>
                <w:b/>
                <w:bCs/>
              </w:rPr>
              <w:t>TOTAL</w:t>
            </w:r>
          </w:p>
        </w:tc>
        <w:tc>
          <w:tcPr>
            <w:tcW w:w="1505" w:type="dxa"/>
            <w:shd w:val="clear" w:color="auto" w:fill="auto"/>
            <w:noWrap/>
            <w:hideMark/>
          </w:tcPr>
          <w:p w14:paraId="4A473EE5" w14:textId="77777777" w:rsidR="00623569" w:rsidRPr="003E230C" w:rsidRDefault="00623569" w:rsidP="001517F2">
            <w:pPr>
              <w:pStyle w:val="Paragraph"/>
              <w:spacing w:after="0"/>
              <w:jc w:val="right"/>
              <w:rPr>
                <w:b/>
                <w:bCs/>
              </w:rPr>
            </w:pPr>
            <w:r w:rsidRPr="003E230C">
              <w:rPr>
                <w:b/>
                <w:bCs/>
              </w:rPr>
              <w:t>$97,960</w:t>
            </w:r>
          </w:p>
        </w:tc>
      </w:tr>
      <w:tr w:rsidR="00623569" w:rsidRPr="003E230C" w14:paraId="1D00BD7C" w14:textId="77777777" w:rsidTr="00375D95">
        <w:trPr>
          <w:cnfStyle w:val="000000100000" w:firstRow="0" w:lastRow="0" w:firstColumn="0" w:lastColumn="0" w:oddVBand="0" w:evenVBand="0" w:oddHBand="1" w:evenHBand="0" w:firstRowFirstColumn="0" w:firstRowLastColumn="0" w:lastRowFirstColumn="0" w:lastRowLastColumn="0"/>
          <w:trHeight w:val="270"/>
        </w:trPr>
        <w:tc>
          <w:tcPr>
            <w:tcW w:w="10289" w:type="dxa"/>
            <w:gridSpan w:val="6"/>
            <w:shd w:val="clear" w:color="auto" w:fill="F2F2F2" w:themeFill="background1" w:themeFillShade="F2"/>
            <w:hideMark/>
          </w:tcPr>
          <w:p w14:paraId="2787BA3F" w14:textId="77777777" w:rsidR="00623569" w:rsidRPr="003E230C" w:rsidRDefault="00623569" w:rsidP="001517F2">
            <w:pPr>
              <w:pStyle w:val="Paragraph"/>
              <w:spacing w:after="0"/>
            </w:pPr>
            <w:r w:rsidRPr="003E230C">
              <w:rPr>
                <w:b/>
                <w:bCs/>
              </w:rPr>
              <w:t>Small CSPs</w:t>
            </w:r>
          </w:p>
        </w:tc>
      </w:tr>
      <w:tr w:rsidR="00623569" w:rsidRPr="003E230C" w14:paraId="64E351EE" w14:textId="77777777" w:rsidTr="00375D95">
        <w:trPr>
          <w:cnfStyle w:val="000000010000" w:firstRow="0" w:lastRow="0" w:firstColumn="0" w:lastColumn="0" w:oddVBand="0" w:evenVBand="0" w:oddHBand="0" w:evenHBand="1" w:firstRowFirstColumn="0" w:firstRowLastColumn="0" w:lastRowFirstColumn="0" w:lastRowLastColumn="0"/>
          <w:trHeight w:val="211"/>
        </w:trPr>
        <w:tc>
          <w:tcPr>
            <w:tcW w:w="3397" w:type="dxa"/>
            <w:shd w:val="clear" w:color="auto" w:fill="auto"/>
            <w:hideMark/>
          </w:tcPr>
          <w:p w14:paraId="4071F32C" w14:textId="77777777" w:rsidR="00623569" w:rsidRPr="003E230C" w:rsidRDefault="00623569" w:rsidP="001517F2">
            <w:pPr>
              <w:pStyle w:val="Paragraph"/>
              <w:spacing w:after="0"/>
            </w:pPr>
            <w:r w:rsidRPr="003E230C">
              <w:t>Automate manual systems to enhance processes</w:t>
            </w:r>
          </w:p>
        </w:tc>
        <w:tc>
          <w:tcPr>
            <w:tcW w:w="1418" w:type="dxa"/>
            <w:shd w:val="clear" w:color="auto" w:fill="auto"/>
            <w:hideMark/>
          </w:tcPr>
          <w:p w14:paraId="6E8AB081" w14:textId="77777777" w:rsidR="00623569" w:rsidRPr="003E230C" w:rsidRDefault="00623569" w:rsidP="001517F2">
            <w:pPr>
              <w:pStyle w:val="Paragraph"/>
              <w:spacing w:after="0"/>
              <w:jc w:val="right"/>
            </w:pPr>
            <w:r w:rsidRPr="003E230C">
              <w:t xml:space="preserve">$2,000 </w:t>
            </w:r>
          </w:p>
        </w:tc>
        <w:tc>
          <w:tcPr>
            <w:tcW w:w="1559" w:type="dxa"/>
            <w:shd w:val="clear" w:color="auto" w:fill="auto"/>
            <w:hideMark/>
          </w:tcPr>
          <w:p w14:paraId="59A236AE" w14:textId="77777777" w:rsidR="00623569" w:rsidRPr="003E230C" w:rsidRDefault="00623569" w:rsidP="001517F2">
            <w:pPr>
              <w:pStyle w:val="Paragraph"/>
              <w:spacing w:after="0"/>
              <w:jc w:val="right"/>
            </w:pPr>
          </w:p>
        </w:tc>
        <w:tc>
          <w:tcPr>
            <w:tcW w:w="1276" w:type="dxa"/>
            <w:shd w:val="clear" w:color="auto" w:fill="auto"/>
            <w:noWrap/>
            <w:hideMark/>
          </w:tcPr>
          <w:p w14:paraId="3F1887C1" w14:textId="77777777" w:rsidR="00623569" w:rsidRPr="003E230C" w:rsidRDefault="00623569" w:rsidP="001517F2">
            <w:pPr>
              <w:pStyle w:val="Paragraph"/>
              <w:spacing w:after="0"/>
              <w:jc w:val="right"/>
            </w:pPr>
            <w:r w:rsidRPr="003E230C">
              <w:t>27</w:t>
            </w:r>
          </w:p>
        </w:tc>
        <w:tc>
          <w:tcPr>
            <w:tcW w:w="1134" w:type="dxa"/>
            <w:shd w:val="clear" w:color="auto" w:fill="auto"/>
            <w:hideMark/>
          </w:tcPr>
          <w:p w14:paraId="2B1CC916" w14:textId="77777777" w:rsidR="00623569" w:rsidRPr="003E230C" w:rsidRDefault="00623569" w:rsidP="001517F2">
            <w:pPr>
              <w:pStyle w:val="Paragraph"/>
              <w:spacing w:after="0"/>
              <w:jc w:val="right"/>
            </w:pPr>
          </w:p>
        </w:tc>
        <w:tc>
          <w:tcPr>
            <w:tcW w:w="1505" w:type="dxa"/>
            <w:shd w:val="clear" w:color="auto" w:fill="auto"/>
            <w:noWrap/>
            <w:hideMark/>
          </w:tcPr>
          <w:p w14:paraId="0A5B1FE5" w14:textId="77777777" w:rsidR="00623569" w:rsidRPr="003E230C" w:rsidRDefault="00623569" w:rsidP="001517F2">
            <w:pPr>
              <w:pStyle w:val="Paragraph"/>
              <w:spacing w:after="0"/>
              <w:jc w:val="right"/>
            </w:pPr>
            <w:r w:rsidRPr="003E230C">
              <w:t>$54,000</w:t>
            </w:r>
          </w:p>
        </w:tc>
      </w:tr>
      <w:tr w:rsidR="00375D95" w:rsidRPr="003E230C" w14:paraId="34D80CA3" w14:textId="77777777" w:rsidTr="00375D95">
        <w:trPr>
          <w:cnfStyle w:val="000000100000" w:firstRow="0" w:lastRow="0" w:firstColumn="0" w:lastColumn="0" w:oddVBand="0" w:evenVBand="0" w:oddHBand="1" w:evenHBand="0" w:firstRowFirstColumn="0" w:firstRowLastColumn="0" w:lastRowFirstColumn="0" w:lastRowLastColumn="0"/>
          <w:trHeight w:val="42"/>
        </w:trPr>
        <w:tc>
          <w:tcPr>
            <w:tcW w:w="3397" w:type="dxa"/>
            <w:shd w:val="clear" w:color="auto" w:fill="F2F2F2" w:themeFill="background1" w:themeFillShade="F2"/>
            <w:hideMark/>
          </w:tcPr>
          <w:p w14:paraId="7FCB0B12" w14:textId="77777777" w:rsidR="00623569" w:rsidRPr="003E230C" w:rsidRDefault="00623569" w:rsidP="001517F2">
            <w:pPr>
              <w:pStyle w:val="Paragraph"/>
              <w:spacing w:after="0"/>
            </w:pPr>
            <w:r w:rsidRPr="003E230C">
              <w:t>Staff training</w:t>
            </w:r>
          </w:p>
        </w:tc>
        <w:tc>
          <w:tcPr>
            <w:tcW w:w="1418" w:type="dxa"/>
            <w:shd w:val="clear" w:color="auto" w:fill="F2F2F2" w:themeFill="background1" w:themeFillShade="F2"/>
            <w:hideMark/>
          </w:tcPr>
          <w:p w14:paraId="2B74BC28" w14:textId="77777777" w:rsidR="00623569" w:rsidRPr="003E230C" w:rsidRDefault="00623569" w:rsidP="001517F2">
            <w:pPr>
              <w:pStyle w:val="Paragraph"/>
              <w:spacing w:after="0"/>
              <w:jc w:val="right"/>
            </w:pPr>
          </w:p>
        </w:tc>
        <w:tc>
          <w:tcPr>
            <w:tcW w:w="1559" w:type="dxa"/>
            <w:shd w:val="clear" w:color="auto" w:fill="F2F2F2" w:themeFill="background1" w:themeFillShade="F2"/>
            <w:hideMark/>
          </w:tcPr>
          <w:p w14:paraId="386325DF" w14:textId="77777777" w:rsidR="00623569" w:rsidRPr="003E230C" w:rsidRDefault="00623569" w:rsidP="001517F2">
            <w:pPr>
              <w:pStyle w:val="Paragraph"/>
              <w:spacing w:after="0"/>
              <w:jc w:val="right"/>
            </w:pPr>
            <w:r w:rsidRPr="003E230C">
              <w:t>110</w:t>
            </w:r>
          </w:p>
        </w:tc>
        <w:tc>
          <w:tcPr>
            <w:tcW w:w="1276" w:type="dxa"/>
            <w:shd w:val="clear" w:color="auto" w:fill="F2F2F2" w:themeFill="background1" w:themeFillShade="F2"/>
            <w:noWrap/>
            <w:hideMark/>
          </w:tcPr>
          <w:p w14:paraId="4EB09F99" w14:textId="77777777" w:rsidR="00623569" w:rsidRPr="003E230C" w:rsidRDefault="00623569" w:rsidP="001517F2">
            <w:pPr>
              <w:pStyle w:val="Paragraph"/>
              <w:spacing w:after="0"/>
              <w:jc w:val="right"/>
            </w:pPr>
            <w:r w:rsidRPr="003E230C">
              <w:t>27</w:t>
            </w:r>
          </w:p>
        </w:tc>
        <w:tc>
          <w:tcPr>
            <w:tcW w:w="1134" w:type="dxa"/>
            <w:shd w:val="clear" w:color="auto" w:fill="F2F2F2" w:themeFill="background1" w:themeFillShade="F2"/>
            <w:hideMark/>
          </w:tcPr>
          <w:p w14:paraId="68E78446" w14:textId="77777777" w:rsidR="00623569" w:rsidRPr="003E230C" w:rsidRDefault="00623569" w:rsidP="001517F2">
            <w:pPr>
              <w:pStyle w:val="Paragraph"/>
              <w:spacing w:after="0"/>
              <w:jc w:val="right"/>
            </w:pPr>
            <w:r w:rsidRPr="003E230C">
              <w:t xml:space="preserve">$73 </w:t>
            </w:r>
          </w:p>
        </w:tc>
        <w:tc>
          <w:tcPr>
            <w:tcW w:w="1505" w:type="dxa"/>
            <w:shd w:val="clear" w:color="auto" w:fill="F2F2F2" w:themeFill="background1" w:themeFillShade="F2"/>
            <w:noWrap/>
            <w:hideMark/>
          </w:tcPr>
          <w:p w14:paraId="14CA6D84" w14:textId="77777777" w:rsidR="00623569" w:rsidRPr="003E230C" w:rsidRDefault="00623569" w:rsidP="001517F2">
            <w:pPr>
              <w:pStyle w:val="Paragraph"/>
              <w:spacing w:after="0"/>
              <w:jc w:val="right"/>
            </w:pPr>
            <w:r w:rsidRPr="003E230C">
              <w:t>$216,810</w:t>
            </w:r>
          </w:p>
        </w:tc>
      </w:tr>
      <w:tr w:rsidR="00623569" w:rsidRPr="003E230C" w14:paraId="5604FCA9" w14:textId="77777777" w:rsidTr="00375D95">
        <w:trPr>
          <w:cnfStyle w:val="000000010000" w:firstRow="0" w:lastRow="0" w:firstColumn="0" w:lastColumn="0" w:oddVBand="0" w:evenVBand="0" w:oddHBand="0" w:evenHBand="1" w:firstRowFirstColumn="0" w:firstRowLastColumn="0" w:lastRowFirstColumn="0" w:lastRowLastColumn="0"/>
          <w:trHeight w:val="270"/>
        </w:trPr>
        <w:tc>
          <w:tcPr>
            <w:tcW w:w="8784" w:type="dxa"/>
            <w:gridSpan w:val="5"/>
            <w:shd w:val="clear" w:color="auto" w:fill="auto"/>
            <w:hideMark/>
          </w:tcPr>
          <w:p w14:paraId="5F699F15" w14:textId="77777777" w:rsidR="00623569" w:rsidRPr="003E230C" w:rsidRDefault="00623569" w:rsidP="001517F2">
            <w:pPr>
              <w:pStyle w:val="Paragraph"/>
              <w:spacing w:after="0"/>
            </w:pPr>
            <w:r w:rsidRPr="003E230C">
              <w:rPr>
                <w:b/>
                <w:bCs/>
              </w:rPr>
              <w:t>TOTAL</w:t>
            </w:r>
          </w:p>
        </w:tc>
        <w:tc>
          <w:tcPr>
            <w:tcW w:w="1505" w:type="dxa"/>
            <w:shd w:val="clear" w:color="auto" w:fill="auto"/>
            <w:noWrap/>
            <w:hideMark/>
          </w:tcPr>
          <w:p w14:paraId="7208C89C" w14:textId="77777777" w:rsidR="00623569" w:rsidRPr="003E230C" w:rsidRDefault="00623569" w:rsidP="001517F2">
            <w:pPr>
              <w:pStyle w:val="Paragraph"/>
              <w:spacing w:after="0"/>
              <w:jc w:val="right"/>
              <w:rPr>
                <w:b/>
                <w:bCs/>
              </w:rPr>
            </w:pPr>
            <w:r w:rsidRPr="003E230C">
              <w:rPr>
                <w:b/>
                <w:bCs/>
              </w:rPr>
              <w:t>$270,810</w:t>
            </w:r>
          </w:p>
        </w:tc>
      </w:tr>
      <w:tr w:rsidR="00623569" w:rsidRPr="003E230C" w14:paraId="5FA07892" w14:textId="77777777" w:rsidTr="00375D95">
        <w:trPr>
          <w:cnfStyle w:val="000000100000" w:firstRow="0" w:lastRow="0" w:firstColumn="0" w:lastColumn="0" w:oddVBand="0" w:evenVBand="0" w:oddHBand="1" w:evenHBand="0" w:firstRowFirstColumn="0" w:firstRowLastColumn="0" w:lastRowFirstColumn="0" w:lastRowLastColumn="0"/>
          <w:trHeight w:val="270"/>
        </w:trPr>
        <w:tc>
          <w:tcPr>
            <w:tcW w:w="10289" w:type="dxa"/>
            <w:gridSpan w:val="6"/>
            <w:shd w:val="clear" w:color="auto" w:fill="F2F2F2" w:themeFill="background1" w:themeFillShade="F2"/>
            <w:hideMark/>
          </w:tcPr>
          <w:p w14:paraId="185DC021" w14:textId="77777777" w:rsidR="00623569" w:rsidRPr="003E230C" w:rsidRDefault="00623569" w:rsidP="001517F2">
            <w:pPr>
              <w:pStyle w:val="Paragraph"/>
              <w:spacing w:after="0"/>
            </w:pPr>
            <w:r w:rsidRPr="003E230C">
              <w:rPr>
                <w:b/>
                <w:bCs/>
              </w:rPr>
              <w:t xml:space="preserve">Very </w:t>
            </w:r>
            <w:r>
              <w:rPr>
                <w:b/>
                <w:bCs/>
              </w:rPr>
              <w:t>s</w:t>
            </w:r>
            <w:r w:rsidRPr="003E230C">
              <w:rPr>
                <w:b/>
                <w:bCs/>
              </w:rPr>
              <w:t>mall CSPs</w:t>
            </w:r>
          </w:p>
        </w:tc>
      </w:tr>
      <w:tr w:rsidR="00623569" w:rsidRPr="003E230C" w14:paraId="43F7F0EE" w14:textId="77777777" w:rsidTr="00375D95">
        <w:trPr>
          <w:cnfStyle w:val="000000010000" w:firstRow="0" w:lastRow="0" w:firstColumn="0" w:lastColumn="0" w:oddVBand="0" w:evenVBand="0" w:oddHBand="0" w:evenHBand="1" w:firstRowFirstColumn="0" w:firstRowLastColumn="0" w:lastRowFirstColumn="0" w:lastRowLastColumn="0"/>
          <w:trHeight w:val="344"/>
        </w:trPr>
        <w:tc>
          <w:tcPr>
            <w:tcW w:w="3397" w:type="dxa"/>
            <w:shd w:val="clear" w:color="auto" w:fill="auto"/>
            <w:hideMark/>
          </w:tcPr>
          <w:p w14:paraId="2A3E56ED" w14:textId="77777777" w:rsidR="00623569" w:rsidRPr="003E230C" w:rsidRDefault="00623569" w:rsidP="001517F2">
            <w:pPr>
              <w:pStyle w:val="Paragraph"/>
              <w:spacing w:after="0"/>
            </w:pPr>
            <w:r w:rsidRPr="003E230C">
              <w:t>Automate manual systems to enhance processes</w:t>
            </w:r>
          </w:p>
        </w:tc>
        <w:tc>
          <w:tcPr>
            <w:tcW w:w="1418" w:type="dxa"/>
            <w:shd w:val="clear" w:color="auto" w:fill="auto"/>
            <w:hideMark/>
          </w:tcPr>
          <w:p w14:paraId="34998C6D" w14:textId="77777777" w:rsidR="00623569" w:rsidRPr="003E230C" w:rsidRDefault="00623569" w:rsidP="001517F2">
            <w:pPr>
              <w:pStyle w:val="Paragraph"/>
              <w:spacing w:after="0"/>
              <w:jc w:val="right"/>
            </w:pPr>
            <w:r w:rsidRPr="003E230C">
              <w:t xml:space="preserve">$1,000 </w:t>
            </w:r>
          </w:p>
        </w:tc>
        <w:tc>
          <w:tcPr>
            <w:tcW w:w="1559" w:type="dxa"/>
            <w:shd w:val="clear" w:color="auto" w:fill="auto"/>
            <w:hideMark/>
          </w:tcPr>
          <w:p w14:paraId="01AD12A2" w14:textId="77777777" w:rsidR="00623569" w:rsidRPr="003E230C" w:rsidRDefault="00623569" w:rsidP="001517F2">
            <w:pPr>
              <w:pStyle w:val="Paragraph"/>
              <w:spacing w:after="0"/>
              <w:jc w:val="right"/>
            </w:pPr>
          </w:p>
        </w:tc>
        <w:tc>
          <w:tcPr>
            <w:tcW w:w="1276" w:type="dxa"/>
            <w:shd w:val="clear" w:color="auto" w:fill="auto"/>
            <w:noWrap/>
            <w:hideMark/>
          </w:tcPr>
          <w:p w14:paraId="67B08CF1" w14:textId="77777777" w:rsidR="00623569" w:rsidRPr="003E230C" w:rsidRDefault="00623569" w:rsidP="001517F2">
            <w:pPr>
              <w:pStyle w:val="Paragraph"/>
              <w:spacing w:after="0"/>
              <w:jc w:val="right"/>
            </w:pPr>
            <w:r w:rsidRPr="003E230C">
              <w:t>317</w:t>
            </w:r>
          </w:p>
        </w:tc>
        <w:tc>
          <w:tcPr>
            <w:tcW w:w="1134" w:type="dxa"/>
            <w:shd w:val="clear" w:color="auto" w:fill="auto"/>
            <w:hideMark/>
          </w:tcPr>
          <w:p w14:paraId="7B1BED50" w14:textId="77777777" w:rsidR="00623569" w:rsidRPr="003E230C" w:rsidRDefault="00623569" w:rsidP="001517F2">
            <w:pPr>
              <w:pStyle w:val="Paragraph"/>
              <w:spacing w:after="0"/>
              <w:jc w:val="right"/>
            </w:pPr>
          </w:p>
        </w:tc>
        <w:tc>
          <w:tcPr>
            <w:tcW w:w="1505" w:type="dxa"/>
            <w:shd w:val="clear" w:color="auto" w:fill="auto"/>
            <w:noWrap/>
            <w:hideMark/>
          </w:tcPr>
          <w:p w14:paraId="796C1F41" w14:textId="77777777" w:rsidR="00623569" w:rsidRPr="003E230C" w:rsidRDefault="00623569" w:rsidP="001517F2">
            <w:pPr>
              <w:pStyle w:val="Paragraph"/>
              <w:spacing w:after="0"/>
              <w:jc w:val="right"/>
            </w:pPr>
            <w:r w:rsidRPr="003E230C">
              <w:t>$317,000</w:t>
            </w:r>
          </w:p>
        </w:tc>
      </w:tr>
      <w:tr w:rsidR="00375D95" w:rsidRPr="003E230C" w14:paraId="29224A02" w14:textId="77777777" w:rsidTr="00375D95">
        <w:trPr>
          <w:cnfStyle w:val="000000100000" w:firstRow="0" w:lastRow="0" w:firstColumn="0" w:lastColumn="0" w:oddVBand="0" w:evenVBand="0" w:oddHBand="1" w:evenHBand="0" w:firstRowFirstColumn="0" w:firstRowLastColumn="0" w:lastRowFirstColumn="0" w:lastRowLastColumn="0"/>
          <w:trHeight w:val="270"/>
        </w:trPr>
        <w:tc>
          <w:tcPr>
            <w:tcW w:w="3397" w:type="dxa"/>
            <w:shd w:val="clear" w:color="auto" w:fill="F2F2F2" w:themeFill="background1" w:themeFillShade="F2"/>
            <w:hideMark/>
          </w:tcPr>
          <w:p w14:paraId="19E2BF18" w14:textId="77777777" w:rsidR="00623569" w:rsidRPr="003E230C" w:rsidRDefault="00623569" w:rsidP="001517F2">
            <w:pPr>
              <w:pStyle w:val="Paragraph"/>
              <w:spacing w:after="0"/>
            </w:pPr>
            <w:r w:rsidRPr="003E230C">
              <w:t>Staff training</w:t>
            </w:r>
          </w:p>
        </w:tc>
        <w:tc>
          <w:tcPr>
            <w:tcW w:w="1418" w:type="dxa"/>
            <w:shd w:val="clear" w:color="auto" w:fill="F2F2F2" w:themeFill="background1" w:themeFillShade="F2"/>
            <w:hideMark/>
          </w:tcPr>
          <w:p w14:paraId="2AC9AD06" w14:textId="77777777" w:rsidR="00623569" w:rsidRPr="003E230C" w:rsidRDefault="00623569" w:rsidP="001517F2">
            <w:pPr>
              <w:pStyle w:val="Paragraph"/>
              <w:spacing w:after="0"/>
              <w:jc w:val="right"/>
            </w:pPr>
          </w:p>
        </w:tc>
        <w:tc>
          <w:tcPr>
            <w:tcW w:w="1559" w:type="dxa"/>
            <w:shd w:val="clear" w:color="auto" w:fill="F2F2F2" w:themeFill="background1" w:themeFillShade="F2"/>
            <w:hideMark/>
          </w:tcPr>
          <w:p w14:paraId="15FF8697" w14:textId="77777777" w:rsidR="00623569" w:rsidRPr="003E230C" w:rsidRDefault="00623569" w:rsidP="001517F2">
            <w:pPr>
              <w:pStyle w:val="Paragraph"/>
              <w:spacing w:after="0"/>
              <w:jc w:val="right"/>
            </w:pPr>
            <w:r w:rsidRPr="003E230C">
              <w:t>90</w:t>
            </w:r>
          </w:p>
        </w:tc>
        <w:tc>
          <w:tcPr>
            <w:tcW w:w="1276" w:type="dxa"/>
            <w:shd w:val="clear" w:color="auto" w:fill="F2F2F2" w:themeFill="background1" w:themeFillShade="F2"/>
            <w:noWrap/>
            <w:hideMark/>
          </w:tcPr>
          <w:p w14:paraId="06DB064E" w14:textId="77777777" w:rsidR="00623569" w:rsidRPr="003E230C" w:rsidRDefault="00623569" w:rsidP="001517F2">
            <w:pPr>
              <w:pStyle w:val="Paragraph"/>
              <w:spacing w:after="0"/>
              <w:jc w:val="right"/>
            </w:pPr>
            <w:r w:rsidRPr="003E230C">
              <w:t>317</w:t>
            </w:r>
          </w:p>
        </w:tc>
        <w:tc>
          <w:tcPr>
            <w:tcW w:w="1134" w:type="dxa"/>
            <w:shd w:val="clear" w:color="auto" w:fill="F2F2F2" w:themeFill="background1" w:themeFillShade="F2"/>
            <w:hideMark/>
          </w:tcPr>
          <w:p w14:paraId="1B8DA1B3" w14:textId="77777777" w:rsidR="00623569" w:rsidRPr="003E230C" w:rsidRDefault="00623569" w:rsidP="001517F2">
            <w:pPr>
              <w:pStyle w:val="Paragraph"/>
              <w:spacing w:after="0"/>
              <w:jc w:val="right"/>
            </w:pPr>
            <w:r w:rsidRPr="003E230C">
              <w:t xml:space="preserve">$73 </w:t>
            </w:r>
          </w:p>
        </w:tc>
        <w:tc>
          <w:tcPr>
            <w:tcW w:w="1505" w:type="dxa"/>
            <w:shd w:val="clear" w:color="auto" w:fill="F2F2F2" w:themeFill="background1" w:themeFillShade="F2"/>
            <w:noWrap/>
            <w:hideMark/>
          </w:tcPr>
          <w:p w14:paraId="23810ED2" w14:textId="77777777" w:rsidR="00623569" w:rsidRPr="003E230C" w:rsidRDefault="00623569" w:rsidP="001517F2">
            <w:pPr>
              <w:pStyle w:val="Paragraph"/>
              <w:spacing w:after="0"/>
              <w:jc w:val="right"/>
            </w:pPr>
            <w:r w:rsidRPr="003E230C">
              <w:t>$2,082,690</w:t>
            </w:r>
          </w:p>
        </w:tc>
      </w:tr>
      <w:tr w:rsidR="00623569" w:rsidRPr="003E230C" w14:paraId="36901ABC" w14:textId="77777777" w:rsidTr="00375D95">
        <w:trPr>
          <w:cnfStyle w:val="000000010000" w:firstRow="0" w:lastRow="0" w:firstColumn="0" w:lastColumn="0" w:oddVBand="0" w:evenVBand="0" w:oddHBand="0" w:evenHBand="1" w:firstRowFirstColumn="0" w:firstRowLastColumn="0" w:lastRowFirstColumn="0" w:lastRowLastColumn="0"/>
          <w:trHeight w:val="270"/>
        </w:trPr>
        <w:tc>
          <w:tcPr>
            <w:tcW w:w="8784" w:type="dxa"/>
            <w:gridSpan w:val="5"/>
            <w:shd w:val="clear" w:color="auto" w:fill="auto"/>
            <w:hideMark/>
          </w:tcPr>
          <w:p w14:paraId="237DFFA7" w14:textId="77777777" w:rsidR="00623569" w:rsidRPr="003E230C" w:rsidRDefault="00623569" w:rsidP="001517F2">
            <w:pPr>
              <w:pStyle w:val="Paragraph"/>
              <w:spacing w:after="0"/>
            </w:pPr>
            <w:r w:rsidRPr="003E230C">
              <w:rPr>
                <w:b/>
                <w:bCs/>
              </w:rPr>
              <w:t>TOTAL</w:t>
            </w:r>
          </w:p>
        </w:tc>
        <w:tc>
          <w:tcPr>
            <w:tcW w:w="1505" w:type="dxa"/>
            <w:shd w:val="clear" w:color="auto" w:fill="auto"/>
            <w:noWrap/>
            <w:hideMark/>
          </w:tcPr>
          <w:p w14:paraId="33C563BD" w14:textId="77777777" w:rsidR="00623569" w:rsidRPr="003E230C" w:rsidRDefault="00623569" w:rsidP="001517F2">
            <w:pPr>
              <w:pStyle w:val="Paragraph"/>
              <w:spacing w:after="0"/>
              <w:jc w:val="right"/>
              <w:rPr>
                <w:b/>
                <w:bCs/>
              </w:rPr>
            </w:pPr>
            <w:r w:rsidRPr="003E230C">
              <w:rPr>
                <w:b/>
                <w:bCs/>
              </w:rPr>
              <w:t>$2,399,690</w:t>
            </w:r>
          </w:p>
        </w:tc>
      </w:tr>
      <w:tr w:rsidR="00623569" w:rsidRPr="003E230C" w14:paraId="43594560" w14:textId="77777777" w:rsidTr="00375D95">
        <w:trPr>
          <w:cnfStyle w:val="000000100000" w:firstRow="0" w:lastRow="0" w:firstColumn="0" w:lastColumn="0" w:oddVBand="0" w:evenVBand="0" w:oddHBand="1" w:evenHBand="0" w:firstRowFirstColumn="0" w:firstRowLastColumn="0" w:lastRowFirstColumn="0" w:lastRowLastColumn="0"/>
          <w:trHeight w:val="270"/>
        </w:trPr>
        <w:tc>
          <w:tcPr>
            <w:tcW w:w="8784" w:type="dxa"/>
            <w:gridSpan w:val="5"/>
            <w:shd w:val="clear" w:color="auto" w:fill="F2F2F2" w:themeFill="background1" w:themeFillShade="F2"/>
          </w:tcPr>
          <w:p w14:paraId="515E664D" w14:textId="7E83FD9B" w:rsidR="00623569" w:rsidRPr="003E230C" w:rsidRDefault="00623569" w:rsidP="001517F2">
            <w:pPr>
              <w:pStyle w:val="Paragraph"/>
              <w:spacing w:after="0"/>
              <w:rPr>
                <w:b/>
                <w:bCs/>
              </w:rPr>
            </w:pPr>
            <w:r>
              <w:rPr>
                <w:b/>
                <w:bCs/>
              </w:rPr>
              <w:t xml:space="preserve">Total </w:t>
            </w:r>
            <w:r w:rsidR="00E94DB1">
              <w:rPr>
                <w:b/>
                <w:bCs/>
              </w:rPr>
              <w:t>Y</w:t>
            </w:r>
            <w:r>
              <w:rPr>
                <w:b/>
                <w:bCs/>
              </w:rPr>
              <w:t>ear 1 costs for CSPs under Option 2A</w:t>
            </w:r>
          </w:p>
        </w:tc>
        <w:tc>
          <w:tcPr>
            <w:tcW w:w="1505" w:type="dxa"/>
            <w:shd w:val="clear" w:color="auto" w:fill="F2F2F2" w:themeFill="background1" w:themeFillShade="F2"/>
            <w:noWrap/>
            <w:hideMark/>
          </w:tcPr>
          <w:p w14:paraId="2D87872B" w14:textId="77777777" w:rsidR="00623569" w:rsidRPr="003E230C" w:rsidRDefault="00623569" w:rsidP="001517F2">
            <w:pPr>
              <w:pStyle w:val="Paragraph"/>
              <w:spacing w:after="0"/>
              <w:jc w:val="right"/>
              <w:rPr>
                <w:b/>
                <w:bCs/>
              </w:rPr>
            </w:pPr>
            <w:r w:rsidRPr="003E230C">
              <w:rPr>
                <w:b/>
                <w:bCs/>
              </w:rPr>
              <w:t>$2,891,820</w:t>
            </w:r>
          </w:p>
        </w:tc>
      </w:tr>
    </w:tbl>
    <w:p w14:paraId="52C75C06" w14:textId="77777777" w:rsidR="00623569" w:rsidRDefault="00623569" w:rsidP="00623569">
      <w:pPr>
        <w:pStyle w:val="Tableorfigurenote"/>
        <w:rPr>
          <w:i w:val="0"/>
          <w:iCs/>
        </w:rPr>
      </w:pPr>
    </w:p>
    <w:p w14:paraId="45223E73" w14:textId="77777777" w:rsidR="00623569" w:rsidRDefault="00623569" w:rsidP="00623569">
      <w:pPr>
        <w:spacing w:after="160" w:line="259" w:lineRule="auto"/>
        <w:rPr>
          <w:rFonts w:cs="Arial"/>
          <w:iCs/>
          <w:sz w:val="16"/>
        </w:rPr>
      </w:pPr>
      <w:r>
        <w:rPr>
          <w:i/>
          <w:iCs/>
        </w:rPr>
        <w:br w:type="page"/>
      </w:r>
    </w:p>
    <w:p w14:paraId="4DC2ADAC" w14:textId="77777777" w:rsidR="00623569" w:rsidRDefault="00623569" w:rsidP="00623569">
      <w:pPr>
        <w:pStyle w:val="Tableheading"/>
      </w:pPr>
      <w:r>
        <w:lastRenderedPageBreak/>
        <w:t>Ongoing costs for CSPs under Option 2A</w:t>
      </w:r>
    </w:p>
    <w:tbl>
      <w:tblPr>
        <w:tblStyle w:val="ACMAtablestyle"/>
        <w:tblW w:w="10060" w:type="dxa"/>
        <w:tblLook w:val="04A0" w:firstRow="1" w:lastRow="0" w:firstColumn="1" w:lastColumn="0" w:noHBand="0" w:noVBand="1"/>
      </w:tblPr>
      <w:tblGrid>
        <w:gridCol w:w="3256"/>
        <w:gridCol w:w="1559"/>
        <w:gridCol w:w="1276"/>
        <w:gridCol w:w="1275"/>
        <w:gridCol w:w="1418"/>
        <w:gridCol w:w="1276"/>
      </w:tblGrid>
      <w:tr w:rsidR="00623569" w:rsidRPr="00DA2992" w14:paraId="0FAE7DD7" w14:textId="77777777" w:rsidTr="001517F2">
        <w:trPr>
          <w:cnfStyle w:val="100000000000" w:firstRow="1" w:lastRow="0" w:firstColumn="0" w:lastColumn="0" w:oddVBand="0" w:evenVBand="0" w:oddHBand="0" w:evenHBand="0" w:firstRowFirstColumn="0" w:firstRowLastColumn="0" w:lastRowFirstColumn="0" w:lastRowLastColumn="0"/>
          <w:trHeight w:val="548"/>
        </w:trPr>
        <w:tc>
          <w:tcPr>
            <w:tcW w:w="3256" w:type="dxa"/>
            <w:hideMark/>
          </w:tcPr>
          <w:p w14:paraId="408D8EE7" w14:textId="77777777" w:rsidR="00623569" w:rsidRPr="00DA2992" w:rsidRDefault="00623569" w:rsidP="001517F2">
            <w:pPr>
              <w:pStyle w:val="Paragraph"/>
              <w:spacing w:after="0" w:line="240" w:lineRule="auto"/>
              <w:contextualSpacing/>
              <w:rPr>
                <w:b/>
                <w:bCs/>
              </w:rPr>
            </w:pPr>
          </w:p>
        </w:tc>
        <w:tc>
          <w:tcPr>
            <w:tcW w:w="1559" w:type="dxa"/>
            <w:hideMark/>
          </w:tcPr>
          <w:p w14:paraId="11B01195" w14:textId="77777777" w:rsidR="00623569" w:rsidRPr="00DA2992" w:rsidRDefault="00623569" w:rsidP="001517F2">
            <w:pPr>
              <w:pStyle w:val="Paragraph"/>
              <w:spacing w:after="0" w:line="240" w:lineRule="auto"/>
              <w:contextualSpacing/>
              <w:jc w:val="right"/>
              <w:rPr>
                <w:b/>
                <w:bCs/>
              </w:rPr>
            </w:pPr>
            <w:r w:rsidRPr="00DA2992">
              <w:rPr>
                <w:b/>
                <w:bCs/>
              </w:rPr>
              <w:t>System upgrade</w:t>
            </w:r>
          </w:p>
        </w:tc>
        <w:tc>
          <w:tcPr>
            <w:tcW w:w="1276" w:type="dxa"/>
            <w:noWrap/>
            <w:hideMark/>
          </w:tcPr>
          <w:p w14:paraId="2A9F368E" w14:textId="77777777" w:rsidR="00623569" w:rsidRPr="00DA2992" w:rsidRDefault="00623569" w:rsidP="001517F2">
            <w:pPr>
              <w:pStyle w:val="Paragraph"/>
              <w:spacing w:after="0" w:line="240" w:lineRule="auto"/>
              <w:contextualSpacing/>
              <w:jc w:val="right"/>
              <w:rPr>
                <w:b/>
                <w:bCs/>
              </w:rPr>
            </w:pPr>
            <w:r w:rsidRPr="00DA2992">
              <w:rPr>
                <w:b/>
                <w:bCs/>
              </w:rPr>
              <w:t>Time (hours)</w:t>
            </w:r>
          </w:p>
        </w:tc>
        <w:tc>
          <w:tcPr>
            <w:tcW w:w="1275" w:type="dxa"/>
            <w:hideMark/>
          </w:tcPr>
          <w:p w14:paraId="38FCAC9E" w14:textId="77777777" w:rsidR="00623569" w:rsidRPr="00DA2992" w:rsidRDefault="00623569" w:rsidP="001517F2">
            <w:pPr>
              <w:pStyle w:val="Paragraph"/>
              <w:spacing w:after="0" w:line="240" w:lineRule="auto"/>
              <w:contextualSpacing/>
              <w:jc w:val="right"/>
              <w:rPr>
                <w:b/>
                <w:bCs/>
              </w:rPr>
            </w:pPr>
            <w:r w:rsidRPr="00DA2992">
              <w:rPr>
                <w:b/>
                <w:bCs/>
              </w:rPr>
              <w:t>Businesses</w:t>
            </w:r>
          </w:p>
        </w:tc>
        <w:tc>
          <w:tcPr>
            <w:tcW w:w="1418" w:type="dxa"/>
            <w:noWrap/>
            <w:hideMark/>
          </w:tcPr>
          <w:p w14:paraId="50770ABB" w14:textId="77777777" w:rsidR="00623569" w:rsidRPr="00DA2992" w:rsidRDefault="00623569" w:rsidP="001517F2">
            <w:pPr>
              <w:pStyle w:val="Paragraph"/>
              <w:spacing w:after="0" w:line="240" w:lineRule="auto"/>
              <w:contextualSpacing/>
              <w:jc w:val="right"/>
              <w:rPr>
                <w:b/>
                <w:bCs/>
              </w:rPr>
            </w:pPr>
            <w:r w:rsidRPr="00DA2992">
              <w:rPr>
                <w:b/>
                <w:bCs/>
              </w:rPr>
              <w:t xml:space="preserve">Rate/hour </w:t>
            </w:r>
            <w:r>
              <w:rPr>
                <w:b/>
                <w:bCs/>
              </w:rPr>
              <w:br/>
            </w:r>
            <w:r w:rsidRPr="00DA2992">
              <w:rPr>
                <w:b/>
                <w:bCs/>
              </w:rPr>
              <w:t>($)</w:t>
            </w:r>
          </w:p>
        </w:tc>
        <w:tc>
          <w:tcPr>
            <w:tcW w:w="1276" w:type="dxa"/>
            <w:noWrap/>
            <w:hideMark/>
          </w:tcPr>
          <w:p w14:paraId="01E37FE7" w14:textId="77777777" w:rsidR="00623569" w:rsidRPr="00DA2992" w:rsidRDefault="00623569" w:rsidP="001517F2">
            <w:pPr>
              <w:pStyle w:val="Paragraph"/>
              <w:spacing w:after="0" w:line="240" w:lineRule="auto"/>
              <w:contextualSpacing/>
              <w:jc w:val="right"/>
              <w:rPr>
                <w:b/>
                <w:bCs/>
              </w:rPr>
            </w:pPr>
            <w:r w:rsidRPr="00DA2992">
              <w:rPr>
                <w:b/>
                <w:bCs/>
              </w:rPr>
              <w:t xml:space="preserve">Totals </w:t>
            </w:r>
            <w:r>
              <w:rPr>
                <w:b/>
                <w:bCs/>
              </w:rPr>
              <w:br/>
            </w:r>
            <w:r w:rsidRPr="00DA2992">
              <w:rPr>
                <w:b/>
                <w:bCs/>
              </w:rPr>
              <w:t>($)</w:t>
            </w:r>
          </w:p>
        </w:tc>
      </w:tr>
      <w:tr w:rsidR="00623569" w:rsidRPr="00DA2992" w14:paraId="08BFB668" w14:textId="77777777" w:rsidTr="00375D95">
        <w:trPr>
          <w:cnfStyle w:val="000000100000" w:firstRow="0" w:lastRow="0" w:firstColumn="0" w:lastColumn="0" w:oddVBand="0" w:evenVBand="0" w:oddHBand="1" w:evenHBand="0" w:firstRowFirstColumn="0" w:firstRowLastColumn="0" w:lastRowFirstColumn="0" w:lastRowLastColumn="0"/>
          <w:trHeight w:val="332"/>
        </w:trPr>
        <w:tc>
          <w:tcPr>
            <w:tcW w:w="10060" w:type="dxa"/>
            <w:gridSpan w:val="6"/>
            <w:shd w:val="clear" w:color="auto" w:fill="F2F2F2" w:themeFill="background1" w:themeFillShade="F2"/>
            <w:noWrap/>
            <w:hideMark/>
          </w:tcPr>
          <w:p w14:paraId="341E4812" w14:textId="77777777" w:rsidR="00623569" w:rsidRPr="00DA2992" w:rsidRDefault="00623569" w:rsidP="001517F2">
            <w:pPr>
              <w:pStyle w:val="Paragraph"/>
              <w:spacing w:after="0" w:line="240" w:lineRule="auto"/>
              <w:contextualSpacing/>
            </w:pPr>
            <w:r w:rsidRPr="00DA2992">
              <w:rPr>
                <w:b/>
                <w:bCs/>
              </w:rPr>
              <w:t>Large CSPs</w:t>
            </w:r>
          </w:p>
        </w:tc>
      </w:tr>
      <w:tr w:rsidR="00623569" w:rsidRPr="00DA2992" w14:paraId="5E7E0528" w14:textId="77777777" w:rsidTr="00375D95">
        <w:trPr>
          <w:cnfStyle w:val="000000010000" w:firstRow="0" w:lastRow="0" w:firstColumn="0" w:lastColumn="0" w:oddVBand="0" w:evenVBand="0" w:oddHBand="0" w:evenHBand="1" w:firstRowFirstColumn="0" w:firstRowLastColumn="0" w:lastRowFirstColumn="0" w:lastRowLastColumn="0"/>
          <w:trHeight w:val="250"/>
        </w:trPr>
        <w:tc>
          <w:tcPr>
            <w:tcW w:w="3256" w:type="dxa"/>
            <w:shd w:val="clear" w:color="auto" w:fill="auto"/>
            <w:hideMark/>
          </w:tcPr>
          <w:p w14:paraId="3DC55B6B" w14:textId="77777777" w:rsidR="00623569" w:rsidRPr="00DA2992" w:rsidRDefault="00623569" w:rsidP="001517F2">
            <w:pPr>
              <w:pStyle w:val="Paragraph"/>
              <w:spacing w:after="0" w:line="240" w:lineRule="auto"/>
              <w:contextualSpacing/>
            </w:pPr>
            <w:r w:rsidRPr="00DA2992">
              <w:t xml:space="preserve">Monitor processes </w:t>
            </w:r>
          </w:p>
        </w:tc>
        <w:tc>
          <w:tcPr>
            <w:tcW w:w="1559" w:type="dxa"/>
            <w:shd w:val="clear" w:color="auto" w:fill="auto"/>
            <w:hideMark/>
          </w:tcPr>
          <w:p w14:paraId="5750F515" w14:textId="77777777" w:rsidR="00623569" w:rsidRPr="00DA2992" w:rsidRDefault="00623569" w:rsidP="001517F2">
            <w:pPr>
              <w:pStyle w:val="Paragraph"/>
              <w:spacing w:after="0" w:line="240" w:lineRule="auto"/>
              <w:contextualSpacing/>
              <w:jc w:val="right"/>
            </w:pPr>
            <w:r w:rsidRPr="00DA2992">
              <w:t xml:space="preserve">$20,000 </w:t>
            </w:r>
          </w:p>
        </w:tc>
        <w:tc>
          <w:tcPr>
            <w:tcW w:w="1276" w:type="dxa"/>
            <w:shd w:val="clear" w:color="auto" w:fill="auto"/>
            <w:noWrap/>
            <w:hideMark/>
          </w:tcPr>
          <w:p w14:paraId="57D6FEF8" w14:textId="77777777" w:rsidR="00623569" w:rsidRPr="00DA2992" w:rsidRDefault="00623569" w:rsidP="001517F2">
            <w:pPr>
              <w:pStyle w:val="Paragraph"/>
              <w:spacing w:after="0" w:line="240" w:lineRule="auto"/>
              <w:contextualSpacing/>
              <w:jc w:val="right"/>
            </w:pPr>
          </w:p>
        </w:tc>
        <w:tc>
          <w:tcPr>
            <w:tcW w:w="1275" w:type="dxa"/>
            <w:shd w:val="clear" w:color="auto" w:fill="auto"/>
            <w:noWrap/>
            <w:hideMark/>
          </w:tcPr>
          <w:p w14:paraId="6E004FDA" w14:textId="77777777" w:rsidR="00623569" w:rsidRPr="00DA2992" w:rsidRDefault="00623569" w:rsidP="001517F2">
            <w:pPr>
              <w:pStyle w:val="Paragraph"/>
              <w:spacing w:after="0" w:line="240" w:lineRule="auto"/>
              <w:contextualSpacing/>
              <w:jc w:val="right"/>
            </w:pPr>
            <w:r w:rsidRPr="00DA2992">
              <w:t>2</w:t>
            </w:r>
          </w:p>
        </w:tc>
        <w:tc>
          <w:tcPr>
            <w:tcW w:w="1418" w:type="dxa"/>
            <w:shd w:val="clear" w:color="auto" w:fill="auto"/>
            <w:noWrap/>
            <w:hideMark/>
          </w:tcPr>
          <w:p w14:paraId="1D043D48" w14:textId="77777777" w:rsidR="00623569" w:rsidRPr="00DA2992" w:rsidRDefault="00623569" w:rsidP="001517F2">
            <w:pPr>
              <w:pStyle w:val="Paragraph"/>
              <w:spacing w:after="0" w:line="240" w:lineRule="auto"/>
              <w:contextualSpacing/>
              <w:jc w:val="right"/>
            </w:pPr>
          </w:p>
        </w:tc>
        <w:tc>
          <w:tcPr>
            <w:tcW w:w="1276" w:type="dxa"/>
            <w:shd w:val="clear" w:color="auto" w:fill="auto"/>
            <w:noWrap/>
            <w:hideMark/>
          </w:tcPr>
          <w:p w14:paraId="46AFB9F7" w14:textId="77777777" w:rsidR="00623569" w:rsidRPr="00DA2992" w:rsidRDefault="00623569" w:rsidP="001517F2">
            <w:pPr>
              <w:pStyle w:val="Paragraph"/>
              <w:spacing w:after="0" w:line="240" w:lineRule="auto"/>
              <w:contextualSpacing/>
              <w:jc w:val="right"/>
            </w:pPr>
            <w:r w:rsidRPr="00DA2992">
              <w:t>$40,000</w:t>
            </w:r>
          </w:p>
        </w:tc>
      </w:tr>
      <w:tr w:rsidR="00375D95" w:rsidRPr="00DA2992" w14:paraId="310CD84C" w14:textId="77777777" w:rsidTr="00375D95">
        <w:trPr>
          <w:cnfStyle w:val="000000100000" w:firstRow="0" w:lastRow="0" w:firstColumn="0" w:lastColumn="0" w:oddVBand="0" w:evenVBand="0" w:oddHBand="1" w:evenHBand="0" w:firstRowFirstColumn="0" w:firstRowLastColumn="0" w:lastRowFirstColumn="0" w:lastRowLastColumn="0"/>
          <w:trHeight w:val="356"/>
        </w:trPr>
        <w:tc>
          <w:tcPr>
            <w:tcW w:w="3256" w:type="dxa"/>
            <w:shd w:val="clear" w:color="auto" w:fill="F2F2F2" w:themeFill="background1" w:themeFillShade="F2"/>
            <w:hideMark/>
          </w:tcPr>
          <w:p w14:paraId="2398B3DD" w14:textId="77777777" w:rsidR="00623569" w:rsidRPr="00DA2992" w:rsidRDefault="00623569" w:rsidP="001517F2">
            <w:pPr>
              <w:pStyle w:val="Paragraph"/>
              <w:spacing w:after="0" w:line="240" w:lineRule="auto"/>
              <w:contextualSpacing/>
            </w:pPr>
            <w:r w:rsidRPr="00DA2992">
              <w:t xml:space="preserve">Staff training </w:t>
            </w:r>
            <w:r>
              <w:t>–</w:t>
            </w:r>
            <w:r w:rsidRPr="00DA2992">
              <w:t xml:space="preserve"> ongoing</w:t>
            </w:r>
          </w:p>
        </w:tc>
        <w:tc>
          <w:tcPr>
            <w:tcW w:w="1559" w:type="dxa"/>
            <w:shd w:val="clear" w:color="auto" w:fill="F2F2F2" w:themeFill="background1" w:themeFillShade="F2"/>
            <w:hideMark/>
          </w:tcPr>
          <w:p w14:paraId="3438E114" w14:textId="77777777" w:rsidR="00623569" w:rsidRPr="00DA2992" w:rsidRDefault="00623569" w:rsidP="001517F2">
            <w:pPr>
              <w:pStyle w:val="Paragraph"/>
              <w:spacing w:after="0" w:line="240" w:lineRule="auto"/>
              <w:contextualSpacing/>
              <w:jc w:val="right"/>
            </w:pPr>
          </w:p>
        </w:tc>
        <w:tc>
          <w:tcPr>
            <w:tcW w:w="1276" w:type="dxa"/>
            <w:shd w:val="clear" w:color="auto" w:fill="F2F2F2" w:themeFill="background1" w:themeFillShade="F2"/>
            <w:hideMark/>
          </w:tcPr>
          <w:p w14:paraId="051F9429" w14:textId="77777777" w:rsidR="00623569" w:rsidRPr="00DA2992" w:rsidRDefault="00623569" w:rsidP="001517F2">
            <w:pPr>
              <w:pStyle w:val="Paragraph"/>
              <w:spacing w:after="0" w:line="240" w:lineRule="auto"/>
              <w:contextualSpacing/>
              <w:jc w:val="right"/>
            </w:pPr>
            <w:r w:rsidRPr="00DA2992">
              <w:t xml:space="preserve">133 </w:t>
            </w:r>
          </w:p>
        </w:tc>
        <w:tc>
          <w:tcPr>
            <w:tcW w:w="1275" w:type="dxa"/>
            <w:shd w:val="clear" w:color="auto" w:fill="F2F2F2" w:themeFill="background1" w:themeFillShade="F2"/>
            <w:noWrap/>
            <w:hideMark/>
          </w:tcPr>
          <w:p w14:paraId="27839ED8" w14:textId="77777777" w:rsidR="00623569" w:rsidRPr="00DA2992" w:rsidRDefault="00623569" w:rsidP="001517F2">
            <w:pPr>
              <w:pStyle w:val="Paragraph"/>
              <w:spacing w:after="0" w:line="240" w:lineRule="auto"/>
              <w:contextualSpacing/>
              <w:jc w:val="right"/>
            </w:pPr>
            <w:r w:rsidRPr="00DA2992">
              <w:t>2</w:t>
            </w:r>
          </w:p>
        </w:tc>
        <w:tc>
          <w:tcPr>
            <w:tcW w:w="1418" w:type="dxa"/>
            <w:shd w:val="clear" w:color="auto" w:fill="F2F2F2" w:themeFill="background1" w:themeFillShade="F2"/>
            <w:hideMark/>
          </w:tcPr>
          <w:p w14:paraId="7F7195EA" w14:textId="77777777" w:rsidR="00623569" w:rsidRPr="00DA2992" w:rsidRDefault="00623569" w:rsidP="001517F2">
            <w:pPr>
              <w:pStyle w:val="Paragraph"/>
              <w:spacing w:after="0" w:line="240" w:lineRule="auto"/>
              <w:contextualSpacing/>
              <w:jc w:val="right"/>
            </w:pPr>
            <w:r w:rsidRPr="00DA2992">
              <w:t xml:space="preserve">$73 </w:t>
            </w:r>
          </w:p>
        </w:tc>
        <w:tc>
          <w:tcPr>
            <w:tcW w:w="1276" w:type="dxa"/>
            <w:shd w:val="clear" w:color="auto" w:fill="F2F2F2" w:themeFill="background1" w:themeFillShade="F2"/>
            <w:noWrap/>
            <w:hideMark/>
          </w:tcPr>
          <w:p w14:paraId="43911CDB" w14:textId="77777777" w:rsidR="00623569" w:rsidRPr="00DA2992" w:rsidRDefault="00623569" w:rsidP="001517F2">
            <w:pPr>
              <w:pStyle w:val="Paragraph"/>
              <w:spacing w:after="0" w:line="240" w:lineRule="auto"/>
              <w:contextualSpacing/>
              <w:jc w:val="right"/>
            </w:pPr>
            <w:r w:rsidRPr="00DA2992">
              <w:t>$19,467</w:t>
            </w:r>
          </w:p>
        </w:tc>
      </w:tr>
      <w:tr w:rsidR="00623569" w:rsidRPr="00DA2992" w14:paraId="4C5AE306" w14:textId="77777777" w:rsidTr="00375D95">
        <w:trPr>
          <w:cnfStyle w:val="000000010000" w:firstRow="0" w:lastRow="0" w:firstColumn="0" w:lastColumn="0" w:oddVBand="0" w:evenVBand="0" w:oddHBand="0" w:evenHBand="1" w:firstRowFirstColumn="0" w:firstRowLastColumn="0" w:lastRowFirstColumn="0" w:lastRowLastColumn="0"/>
          <w:trHeight w:val="278"/>
        </w:trPr>
        <w:tc>
          <w:tcPr>
            <w:tcW w:w="8784" w:type="dxa"/>
            <w:gridSpan w:val="5"/>
            <w:shd w:val="clear" w:color="auto" w:fill="auto"/>
            <w:hideMark/>
          </w:tcPr>
          <w:p w14:paraId="54D2B42C" w14:textId="77777777" w:rsidR="00623569" w:rsidRPr="00DA2992" w:rsidRDefault="00623569" w:rsidP="001517F2">
            <w:pPr>
              <w:pStyle w:val="Paragraph"/>
              <w:spacing w:after="0" w:line="240" w:lineRule="auto"/>
              <w:contextualSpacing/>
            </w:pPr>
            <w:r w:rsidRPr="00DA2992">
              <w:rPr>
                <w:b/>
                <w:bCs/>
              </w:rPr>
              <w:t>TOTAL</w:t>
            </w:r>
          </w:p>
        </w:tc>
        <w:tc>
          <w:tcPr>
            <w:tcW w:w="1276" w:type="dxa"/>
            <w:shd w:val="clear" w:color="auto" w:fill="auto"/>
            <w:noWrap/>
            <w:hideMark/>
          </w:tcPr>
          <w:p w14:paraId="3256F0A6" w14:textId="77777777" w:rsidR="00623569" w:rsidRPr="00DA2992" w:rsidRDefault="00623569" w:rsidP="001517F2">
            <w:pPr>
              <w:pStyle w:val="Paragraph"/>
              <w:spacing w:after="0" w:line="240" w:lineRule="auto"/>
              <w:contextualSpacing/>
              <w:jc w:val="right"/>
              <w:rPr>
                <w:b/>
                <w:bCs/>
              </w:rPr>
            </w:pPr>
            <w:r w:rsidRPr="00DA2992">
              <w:rPr>
                <w:b/>
                <w:bCs/>
              </w:rPr>
              <w:t>$59,467</w:t>
            </w:r>
          </w:p>
        </w:tc>
      </w:tr>
      <w:tr w:rsidR="00623569" w:rsidRPr="00DA2992" w14:paraId="668D694F" w14:textId="77777777" w:rsidTr="00375D95">
        <w:trPr>
          <w:cnfStyle w:val="000000100000" w:firstRow="0" w:lastRow="0" w:firstColumn="0" w:lastColumn="0" w:oddVBand="0" w:evenVBand="0" w:oddHBand="1" w:evenHBand="0" w:firstRowFirstColumn="0" w:firstRowLastColumn="0" w:lastRowFirstColumn="0" w:lastRowLastColumn="0"/>
          <w:trHeight w:val="278"/>
        </w:trPr>
        <w:tc>
          <w:tcPr>
            <w:tcW w:w="10060" w:type="dxa"/>
            <w:gridSpan w:val="6"/>
            <w:shd w:val="clear" w:color="auto" w:fill="F2F2F2" w:themeFill="background1" w:themeFillShade="F2"/>
            <w:hideMark/>
          </w:tcPr>
          <w:p w14:paraId="55C44B66" w14:textId="77777777" w:rsidR="00623569" w:rsidRPr="00DA2992" w:rsidRDefault="00623569" w:rsidP="001517F2">
            <w:pPr>
              <w:pStyle w:val="Paragraph"/>
              <w:spacing w:after="0" w:line="240" w:lineRule="auto"/>
              <w:contextualSpacing/>
            </w:pPr>
            <w:r w:rsidRPr="00DA2992">
              <w:rPr>
                <w:b/>
                <w:bCs/>
              </w:rPr>
              <w:t>Medium CSPs</w:t>
            </w:r>
          </w:p>
        </w:tc>
      </w:tr>
      <w:tr w:rsidR="00623569" w:rsidRPr="00DA2992" w14:paraId="67DE733A" w14:textId="77777777" w:rsidTr="00375D95">
        <w:trPr>
          <w:cnfStyle w:val="000000010000" w:firstRow="0" w:lastRow="0" w:firstColumn="0" w:lastColumn="0" w:oddVBand="0" w:evenVBand="0" w:oddHBand="0" w:evenHBand="1" w:firstRowFirstColumn="0" w:firstRowLastColumn="0" w:lastRowFirstColumn="0" w:lastRowLastColumn="0"/>
          <w:trHeight w:val="243"/>
        </w:trPr>
        <w:tc>
          <w:tcPr>
            <w:tcW w:w="3256" w:type="dxa"/>
            <w:shd w:val="clear" w:color="auto" w:fill="auto"/>
            <w:hideMark/>
          </w:tcPr>
          <w:p w14:paraId="5A0DF30F" w14:textId="77777777" w:rsidR="00623569" w:rsidRPr="00DA2992" w:rsidRDefault="00623569" w:rsidP="001517F2">
            <w:pPr>
              <w:pStyle w:val="Paragraph"/>
              <w:spacing w:after="0" w:line="240" w:lineRule="auto"/>
              <w:contextualSpacing/>
            </w:pPr>
            <w:r w:rsidRPr="00DA2992">
              <w:t xml:space="preserve">Monitor processes </w:t>
            </w:r>
          </w:p>
        </w:tc>
        <w:tc>
          <w:tcPr>
            <w:tcW w:w="1559" w:type="dxa"/>
            <w:shd w:val="clear" w:color="auto" w:fill="auto"/>
            <w:hideMark/>
          </w:tcPr>
          <w:p w14:paraId="64326DD9" w14:textId="77777777" w:rsidR="00623569" w:rsidRPr="00DA2992" w:rsidRDefault="00623569" w:rsidP="001517F2">
            <w:pPr>
              <w:pStyle w:val="Paragraph"/>
              <w:spacing w:after="0" w:line="240" w:lineRule="auto"/>
              <w:contextualSpacing/>
              <w:jc w:val="right"/>
            </w:pPr>
            <w:r w:rsidRPr="00DA2992">
              <w:t xml:space="preserve">$5,333 </w:t>
            </w:r>
          </w:p>
        </w:tc>
        <w:tc>
          <w:tcPr>
            <w:tcW w:w="1276" w:type="dxa"/>
            <w:shd w:val="clear" w:color="auto" w:fill="auto"/>
            <w:hideMark/>
          </w:tcPr>
          <w:p w14:paraId="7DAD1125" w14:textId="77777777" w:rsidR="00623569" w:rsidRPr="00DA2992" w:rsidRDefault="00623569" w:rsidP="001517F2">
            <w:pPr>
              <w:pStyle w:val="Paragraph"/>
              <w:spacing w:after="0" w:line="240" w:lineRule="auto"/>
              <w:contextualSpacing/>
              <w:jc w:val="right"/>
            </w:pPr>
          </w:p>
        </w:tc>
        <w:tc>
          <w:tcPr>
            <w:tcW w:w="1275" w:type="dxa"/>
            <w:shd w:val="clear" w:color="auto" w:fill="auto"/>
            <w:noWrap/>
            <w:hideMark/>
          </w:tcPr>
          <w:p w14:paraId="7377A72F" w14:textId="77777777" w:rsidR="00623569" w:rsidRPr="00DA2992" w:rsidRDefault="00623569" w:rsidP="001517F2">
            <w:pPr>
              <w:pStyle w:val="Paragraph"/>
              <w:spacing w:after="0" w:line="240" w:lineRule="auto"/>
              <w:contextualSpacing/>
              <w:jc w:val="right"/>
            </w:pPr>
            <w:r w:rsidRPr="00DA2992">
              <w:t>4</w:t>
            </w:r>
          </w:p>
        </w:tc>
        <w:tc>
          <w:tcPr>
            <w:tcW w:w="1418" w:type="dxa"/>
            <w:shd w:val="clear" w:color="auto" w:fill="auto"/>
            <w:noWrap/>
            <w:hideMark/>
          </w:tcPr>
          <w:p w14:paraId="5055A1E5" w14:textId="77777777" w:rsidR="00623569" w:rsidRPr="00DA2992" w:rsidRDefault="00623569" w:rsidP="001517F2">
            <w:pPr>
              <w:pStyle w:val="Paragraph"/>
              <w:spacing w:after="0" w:line="240" w:lineRule="auto"/>
              <w:contextualSpacing/>
              <w:jc w:val="right"/>
            </w:pPr>
          </w:p>
        </w:tc>
        <w:tc>
          <w:tcPr>
            <w:tcW w:w="1276" w:type="dxa"/>
            <w:shd w:val="clear" w:color="auto" w:fill="auto"/>
            <w:noWrap/>
            <w:hideMark/>
          </w:tcPr>
          <w:p w14:paraId="0030B6B8" w14:textId="77777777" w:rsidR="00623569" w:rsidRPr="00DA2992" w:rsidRDefault="00623569" w:rsidP="001517F2">
            <w:pPr>
              <w:pStyle w:val="Paragraph"/>
              <w:spacing w:after="0" w:line="240" w:lineRule="auto"/>
              <w:contextualSpacing/>
              <w:jc w:val="right"/>
            </w:pPr>
            <w:r w:rsidRPr="00DA2992">
              <w:t>$21,333</w:t>
            </w:r>
          </w:p>
        </w:tc>
      </w:tr>
      <w:tr w:rsidR="00375D95" w:rsidRPr="00DA2992" w14:paraId="71054FDD" w14:textId="77777777" w:rsidTr="00375D95">
        <w:trPr>
          <w:cnfStyle w:val="000000100000" w:firstRow="0" w:lastRow="0" w:firstColumn="0" w:lastColumn="0" w:oddVBand="0" w:evenVBand="0" w:oddHBand="1" w:evenHBand="0" w:firstRowFirstColumn="0" w:firstRowLastColumn="0" w:lastRowFirstColumn="0" w:lastRowLastColumn="0"/>
          <w:trHeight w:val="278"/>
        </w:trPr>
        <w:tc>
          <w:tcPr>
            <w:tcW w:w="3256" w:type="dxa"/>
            <w:shd w:val="clear" w:color="auto" w:fill="F2F2F2" w:themeFill="background1" w:themeFillShade="F2"/>
            <w:hideMark/>
          </w:tcPr>
          <w:p w14:paraId="5BF775BA" w14:textId="77777777" w:rsidR="00623569" w:rsidRPr="00DA2992" w:rsidRDefault="00623569" w:rsidP="001517F2">
            <w:pPr>
              <w:pStyle w:val="Paragraph"/>
              <w:spacing w:after="0" w:line="240" w:lineRule="auto"/>
              <w:contextualSpacing/>
            </w:pPr>
            <w:r w:rsidRPr="00DA2992">
              <w:t>Staff training</w:t>
            </w:r>
          </w:p>
        </w:tc>
        <w:tc>
          <w:tcPr>
            <w:tcW w:w="1559" w:type="dxa"/>
            <w:shd w:val="clear" w:color="auto" w:fill="F2F2F2" w:themeFill="background1" w:themeFillShade="F2"/>
            <w:hideMark/>
          </w:tcPr>
          <w:p w14:paraId="3F6C39E3" w14:textId="77777777" w:rsidR="00623569" w:rsidRPr="00DA2992" w:rsidRDefault="00623569" w:rsidP="001517F2">
            <w:pPr>
              <w:pStyle w:val="Paragraph"/>
              <w:spacing w:after="0" w:line="240" w:lineRule="auto"/>
              <w:contextualSpacing/>
              <w:jc w:val="right"/>
            </w:pPr>
          </w:p>
        </w:tc>
        <w:tc>
          <w:tcPr>
            <w:tcW w:w="1276" w:type="dxa"/>
            <w:shd w:val="clear" w:color="auto" w:fill="F2F2F2" w:themeFill="background1" w:themeFillShade="F2"/>
            <w:hideMark/>
          </w:tcPr>
          <w:p w14:paraId="35F580B9" w14:textId="77777777" w:rsidR="00623569" w:rsidRPr="00DA2992" w:rsidRDefault="00623569" w:rsidP="001517F2">
            <w:pPr>
              <w:pStyle w:val="Paragraph"/>
              <w:spacing w:after="0" w:line="240" w:lineRule="auto"/>
              <w:contextualSpacing/>
              <w:jc w:val="right"/>
            </w:pPr>
            <w:r w:rsidRPr="00DA2992">
              <w:t xml:space="preserve">67 </w:t>
            </w:r>
          </w:p>
        </w:tc>
        <w:tc>
          <w:tcPr>
            <w:tcW w:w="1275" w:type="dxa"/>
            <w:shd w:val="clear" w:color="auto" w:fill="F2F2F2" w:themeFill="background1" w:themeFillShade="F2"/>
            <w:noWrap/>
            <w:hideMark/>
          </w:tcPr>
          <w:p w14:paraId="26580915" w14:textId="77777777" w:rsidR="00623569" w:rsidRPr="00DA2992" w:rsidRDefault="00623569" w:rsidP="001517F2">
            <w:pPr>
              <w:pStyle w:val="Paragraph"/>
              <w:spacing w:after="0" w:line="240" w:lineRule="auto"/>
              <w:contextualSpacing/>
              <w:jc w:val="right"/>
            </w:pPr>
            <w:r w:rsidRPr="00DA2992">
              <w:t>4</w:t>
            </w:r>
          </w:p>
        </w:tc>
        <w:tc>
          <w:tcPr>
            <w:tcW w:w="1418" w:type="dxa"/>
            <w:shd w:val="clear" w:color="auto" w:fill="F2F2F2" w:themeFill="background1" w:themeFillShade="F2"/>
            <w:hideMark/>
          </w:tcPr>
          <w:p w14:paraId="1A61363C" w14:textId="77777777" w:rsidR="00623569" w:rsidRPr="00DA2992" w:rsidRDefault="00623569" w:rsidP="001517F2">
            <w:pPr>
              <w:pStyle w:val="Paragraph"/>
              <w:spacing w:after="0" w:line="240" w:lineRule="auto"/>
              <w:contextualSpacing/>
              <w:jc w:val="right"/>
            </w:pPr>
            <w:r w:rsidRPr="00DA2992">
              <w:t xml:space="preserve">$73 </w:t>
            </w:r>
          </w:p>
        </w:tc>
        <w:tc>
          <w:tcPr>
            <w:tcW w:w="1276" w:type="dxa"/>
            <w:shd w:val="clear" w:color="auto" w:fill="F2F2F2" w:themeFill="background1" w:themeFillShade="F2"/>
            <w:noWrap/>
            <w:hideMark/>
          </w:tcPr>
          <w:p w14:paraId="1E6A59D7" w14:textId="77777777" w:rsidR="00623569" w:rsidRPr="00DA2992" w:rsidRDefault="00623569" w:rsidP="001517F2">
            <w:pPr>
              <w:pStyle w:val="Paragraph"/>
              <w:spacing w:after="0" w:line="240" w:lineRule="auto"/>
              <w:contextualSpacing/>
              <w:jc w:val="right"/>
            </w:pPr>
            <w:r w:rsidRPr="00DA2992">
              <w:t>$19,467</w:t>
            </w:r>
          </w:p>
        </w:tc>
      </w:tr>
      <w:tr w:rsidR="00623569" w:rsidRPr="00DA2992" w14:paraId="7D608FB0" w14:textId="77777777" w:rsidTr="00375D95">
        <w:trPr>
          <w:cnfStyle w:val="000000010000" w:firstRow="0" w:lastRow="0" w:firstColumn="0" w:lastColumn="0" w:oddVBand="0" w:evenVBand="0" w:oddHBand="0" w:evenHBand="1" w:firstRowFirstColumn="0" w:firstRowLastColumn="0" w:lastRowFirstColumn="0" w:lastRowLastColumn="0"/>
          <w:trHeight w:val="270"/>
        </w:trPr>
        <w:tc>
          <w:tcPr>
            <w:tcW w:w="8784" w:type="dxa"/>
            <w:gridSpan w:val="5"/>
            <w:shd w:val="clear" w:color="auto" w:fill="auto"/>
            <w:hideMark/>
          </w:tcPr>
          <w:p w14:paraId="73D5CB6A" w14:textId="77777777" w:rsidR="00623569" w:rsidRPr="00DA2992" w:rsidRDefault="00623569" w:rsidP="001517F2">
            <w:pPr>
              <w:pStyle w:val="Paragraph"/>
              <w:spacing w:after="0" w:line="240" w:lineRule="auto"/>
              <w:contextualSpacing/>
            </w:pPr>
            <w:r w:rsidRPr="00DA2992">
              <w:rPr>
                <w:b/>
                <w:bCs/>
              </w:rPr>
              <w:t>TOTAL</w:t>
            </w:r>
          </w:p>
        </w:tc>
        <w:tc>
          <w:tcPr>
            <w:tcW w:w="1276" w:type="dxa"/>
            <w:shd w:val="clear" w:color="auto" w:fill="auto"/>
            <w:noWrap/>
            <w:hideMark/>
          </w:tcPr>
          <w:p w14:paraId="6BE9A4B4" w14:textId="77777777" w:rsidR="00623569" w:rsidRPr="00DA2992" w:rsidRDefault="00623569" w:rsidP="001517F2">
            <w:pPr>
              <w:pStyle w:val="Paragraph"/>
              <w:spacing w:after="0" w:line="240" w:lineRule="auto"/>
              <w:contextualSpacing/>
              <w:jc w:val="right"/>
              <w:rPr>
                <w:b/>
                <w:bCs/>
              </w:rPr>
            </w:pPr>
            <w:r w:rsidRPr="00DA2992">
              <w:rPr>
                <w:b/>
                <w:bCs/>
              </w:rPr>
              <w:t>$40,800</w:t>
            </w:r>
          </w:p>
        </w:tc>
      </w:tr>
      <w:tr w:rsidR="00623569" w:rsidRPr="00DA2992" w14:paraId="3B4B661A" w14:textId="77777777" w:rsidTr="00375D95">
        <w:trPr>
          <w:cnfStyle w:val="000000100000" w:firstRow="0" w:lastRow="0" w:firstColumn="0" w:lastColumn="0" w:oddVBand="0" w:evenVBand="0" w:oddHBand="1" w:evenHBand="0" w:firstRowFirstColumn="0" w:firstRowLastColumn="0" w:lastRowFirstColumn="0" w:lastRowLastColumn="0"/>
          <w:trHeight w:val="270"/>
        </w:trPr>
        <w:tc>
          <w:tcPr>
            <w:tcW w:w="10060" w:type="dxa"/>
            <w:gridSpan w:val="6"/>
            <w:shd w:val="clear" w:color="auto" w:fill="F2F2F2" w:themeFill="background1" w:themeFillShade="F2"/>
            <w:hideMark/>
          </w:tcPr>
          <w:p w14:paraId="7C754E57" w14:textId="77777777" w:rsidR="00623569" w:rsidRPr="00DA2992" w:rsidRDefault="00623569" w:rsidP="001517F2">
            <w:pPr>
              <w:pStyle w:val="Paragraph"/>
              <w:spacing w:after="0" w:line="240" w:lineRule="auto"/>
              <w:contextualSpacing/>
            </w:pPr>
            <w:r w:rsidRPr="00DA2992">
              <w:rPr>
                <w:b/>
                <w:bCs/>
              </w:rPr>
              <w:t>Small CSPs</w:t>
            </w:r>
          </w:p>
        </w:tc>
      </w:tr>
      <w:tr w:rsidR="00623569" w:rsidRPr="00DA2992" w14:paraId="24696815" w14:textId="77777777" w:rsidTr="00375D95">
        <w:trPr>
          <w:cnfStyle w:val="000000010000" w:firstRow="0" w:lastRow="0" w:firstColumn="0" w:lastColumn="0" w:oddVBand="0" w:evenVBand="0" w:oddHBand="0" w:evenHBand="1" w:firstRowFirstColumn="0" w:firstRowLastColumn="0" w:lastRowFirstColumn="0" w:lastRowLastColumn="0"/>
          <w:trHeight w:val="191"/>
        </w:trPr>
        <w:tc>
          <w:tcPr>
            <w:tcW w:w="3256" w:type="dxa"/>
            <w:shd w:val="clear" w:color="auto" w:fill="auto"/>
            <w:hideMark/>
          </w:tcPr>
          <w:p w14:paraId="5698CF15" w14:textId="77777777" w:rsidR="00623569" w:rsidRPr="00DA2992" w:rsidRDefault="00623569" w:rsidP="001517F2">
            <w:pPr>
              <w:pStyle w:val="Paragraph"/>
              <w:spacing w:after="0" w:line="240" w:lineRule="auto"/>
              <w:contextualSpacing/>
            </w:pPr>
            <w:r w:rsidRPr="00DA2992">
              <w:t xml:space="preserve">Monitor processes </w:t>
            </w:r>
          </w:p>
        </w:tc>
        <w:tc>
          <w:tcPr>
            <w:tcW w:w="1559" w:type="dxa"/>
            <w:shd w:val="clear" w:color="auto" w:fill="auto"/>
            <w:hideMark/>
          </w:tcPr>
          <w:p w14:paraId="3F4D3817" w14:textId="77777777" w:rsidR="00623569" w:rsidRPr="00DA2992" w:rsidRDefault="00623569" w:rsidP="001517F2">
            <w:pPr>
              <w:pStyle w:val="Paragraph"/>
              <w:spacing w:after="0" w:line="240" w:lineRule="auto"/>
              <w:contextualSpacing/>
              <w:jc w:val="right"/>
            </w:pPr>
            <w:r w:rsidRPr="00DA2992">
              <w:t xml:space="preserve">$1,000 </w:t>
            </w:r>
          </w:p>
        </w:tc>
        <w:tc>
          <w:tcPr>
            <w:tcW w:w="1276" w:type="dxa"/>
            <w:shd w:val="clear" w:color="auto" w:fill="auto"/>
            <w:hideMark/>
          </w:tcPr>
          <w:p w14:paraId="106D8D92" w14:textId="77777777" w:rsidR="00623569" w:rsidRPr="00DA2992" w:rsidRDefault="00623569" w:rsidP="001517F2">
            <w:pPr>
              <w:pStyle w:val="Paragraph"/>
              <w:spacing w:after="0" w:line="240" w:lineRule="auto"/>
              <w:contextualSpacing/>
              <w:jc w:val="right"/>
            </w:pPr>
          </w:p>
        </w:tc>
        <w:tc>
          <w:tcPr>
            <w:tcW w:w="1275" w:type="dxa"/>
            <w:shd w:val="clear" w:color="auto" w:fill="auto"/>
            <w:noWrap/>
            <w:hideMark/>
          </w:tcPr>
          <w:p w14:paraId="55DCCAE4" w14:textId="77777777" w:rsidR="00623569" w:rsidRPr="00DA2992" w:rsidRDefault="00623569" w:rsidP="001517F2">
            <w:pPr>
              <w:pStyle w:val="Paragraph"/>
              <w:spacing w:after="0" w:line="240" w:lineRule="auto"/>
              <w:contextualSpacing/>
              <w:jc w:val="right"/>
            </w:pPr>
            <w:r w:rsidRPr="00DA2992">
              <w:t>27</w:t>
            </w:r>
          </w:p>
        </w:tc>
        <w:tc>
          <w:tcPr>
            <w:tcW w:w="1418" w:type="dxa"/>
            <w:shd w:val="clear" w:color="auto" w:fill="auto"/>
            <w:noWrap/>
            <w:hideMark/>
          </w:tcPr>
          <w:p w14:paraId="12607728" w14:textId="77777777" w:rsidR="00623569" w:rsidRPr="00DA2992" w:rsidRDefault="00623569" w:rsidP="001517F2">
            <w:pPr>
              <w:pStyle w:val="Paragraph"/>
              <w:spacing w:after="0" w:line="240" w:lineRule="auto"/>
              <w:contextualSpacing/>
              <w:jc w:val="right"/>
            </w:pPr>
          </w:p>
        </w:tc>
        <w:tc>
          <w:tcPr>
            <w:tcW w:w="1276" w:type="dxa"/>
            <w:shd w:val="clear" w:color="auto" w:fill="auto"/>
            <w:noWrap/>
            <w:hideMark/>
          </w:tcPr>
          <w:p w14:paraId="19C7E358" w14:textId="77777777" w:rsidR="00623569" w:rsidRPr="00DA2992" w:rsidRDefault="00623569" w:rsidP="001517F2">
            <w:pPr>
              <w:pStyle w:val="Paragraph"/>
              <w:spacing w:after="0" w:line="240" w:lineRule="auto"/>
              <w:contextualSpacing/>
              <w:jc w:val="right"/>
            </w:pPr>
            <w:r w:rsidRPr="00DA2992">
              <w:t>$27,000</w:t>
            </w:r>
          </w:p>
        </w:tc>
      </w:tr>
      <w:tr w:rsidR="00375D95" w:rsidRPr="00DA2992" w14:paraId="38438E22" w14:textId="77777777" w:rsidTr="00375D95">
        <w:trPr>
          <w:cnfStyle w:val="000000100000" w:firstRow="0" w:lastRow="0" w:firstColumn="0" w:lastColumn="0" w:oddVBand="0" w:evenVBand="0" w:oddHBand="1" w:evenHBand="0" w:firstRowFirstColumn="0" w:firstRowLastColumn="0" w:lastRowFirstColumn="0" w:lastRowLastColumn="0"/>
          <w:trHeight w:val="270"/>
        </w:trPr>
        <w:tc>
          <w:tcPr>
            <w:tcW w:w="3256" w:type="dxa"/>
            <w:shd w:val="clear" w:color="auto" w:fill="F2F2F2" w:themeFill="background1" w:themeFillShade="F2"/>
            <w:hideMark/>
          </w:tcPr>
          <w:p w14:paraId="7ACAC18C" w14:textId="77777777" w:rsidR="00623569" w:rsidRPr="00DA2992" w:rsidRDefault="00623569" w:rsidP="001517F2">
            <w:pPr>
              <w:pStyle w:val="Paragraph"/>
              <w:spacing w:after="0" w:line="240" w:lineRule="auto"/>
              <w:contextualSpacing/>
            </w:pPr>
            <w:r w:rsidRPr="00DA2992">
              <w:t>Staff training</w:t>
            </w:r>
          </w:p>
        </w:tc>
        <w:tc>
          <w:tcPr>
            <w:tcW w:w="1559" w:type="dxa"/>
            <w:shd w:val="clear" w:color="auto" w:fill="F2F2F2" w:themeFill="background1" w:themeFillShade="F2"/>
            <w:hideMark/>
          </w:tcPr>
          <w:p w14:paraId="4F70027B" w14:textId="77777777" w:rsidR="00623569" w:rsidRPr="00DA2992" w:rsidRDefault="00623569" w:rsidP="001517F2">
            <w:pPr>
              <w:pStyle w:val="Paragraph"/>
              <w:spacing w:after="0" w:line="240" w:lineRule="auto"/>
              <w:contextualSpacing/>
              <w:jc w:val="right"/>
            </w:pPr>
          </w:p>
        </w:tc>
        <w:tc>
          <w:tcPr>
            <w:tcW w:w="1276" w:type="dxa"/>
            <w:shd w:val="clear" w:color="auto" w:fill="F2F2F2" w:themeFill="background1" w:themeFillShade="F2"/>
            <w:hideMark/>
          </w:tcPr>
          <w:p w14:paraId="171C14CF" w14:textId="77777777" w:rsidR="00623569" w:rsidRPr="00DA2992" w:rsidRDefault="00623569" w:rsidP="001517F2">
            <w:pPr>
              <w:pStyle w:val="Paragraph"/>
              <w:spacing w:after="0" w:line="240" w:lineRule="auto"/>
              <w:contextualSpacing/>
              <w:jc w:val="right"/>
            </w:pPr>
            <w:r w:rsidRPr="00DA2992">
              <w:t xml:space="preserve">33 </w:t>
            </w:r>
          </w:p>
        </w:tc>
        <w:tc>
          <w:tcPr>
            <w:tcW w:w="1275" w:type="dxa"/>
            <w:shd w:val="clear" w:color="auto" w:fill="F2F2F2" w:themeFill="background1" w:themeFillShade="F2"/>
            <w:noWrap/>
            <w:hideMark/>
          </w:tcPr>
          <w:p w14:paraId="2B5700CC" w14:textId="77777777" w:rsidR="00623569" w:rsidRPr="00DA2992" w:rsidRDefault="00623569" w:rsidP="001517F2">
            <w:pPr>
              <w:pStyle w:val="Paragraph"/>
              <w:spacing w:after="0" w:line="240" w:lineRule="auto"/>
              <w:contextualSpacing/>
              <w:jc w:val="right"/>
            </w:pPr>
            <w:r w:rsidRPr="00DA2992">
              <w:t>27</w:t>
            </w:r>
          </w:p>
        </w:tc>
        <w:tc>
          <w:tcPr>
            <w:tcW w:w="1418" w:type="dxa"/>
            <w:shd w:val="clear" w:color="auto" w:fill="F2F2F2" w:themeFill="background1" w:themeFillShade="F2"/>
            <w:hideMark/>
          </w:tcPr>
          <w:p w14:paraId="43C66368" w14:textId="77777777" w:rsidR="00623569" w:rsidRPr="00DA2992" w:rsidRDefault="00623569" w:rsidP="001517F2">
            <w:pPr>
              <w:pStyle w:val="Paragraph"/>
              <w:spacing w:after="0" w:line="240" w:lineRule="auto"/>
              <w:contextualSpacing/>
              <w:jc w:val="right"/>
            </w:pPr>
            <w:r w:rsidRPr="00DA2992">
              <w:t xml:space="preserve">$73 </w:t>
            </w:r>
          </w:p>
        </w:tc>
        <w:tc>
          <w:tcPr>
            <w:tcW w:w="1276" w:type="dxa"/>
            <w:shd w:val="clear" w:color="auto" w:fill="F2F2F2" w:themeFill="background1" w:themeFillShade="F2"/>
            <w:noWrap/>
            <w:hideMark/>
          </w:tcPr>
          <w:p w14:paraId="2CE069B2" w14:textId="77777777" w:rsidR="00623569" w:rsidRPr="00DA2992" w:rsidRDefault="00623569" w:rsidP="001517F2">
            <w:pPr>
              <w:pStyle w:val="Paragraph"/>
              <w:spacing w:after="0" w:line="240" w:lineRule="auto"/>
              <w:contextualSpacing/>
              <w:jc w:val="right"/>
            </w:pPr>
            <w:r w:rsidRPr="00DA2992">
              <w:t>$65,700</w:t>
            </w:r>
          </w:p>
        </w:tc>
      </w:tr>
      <w:tr w:rsidR="00623569" w:rsidRPr="00DA2992" w14:paraId="27F48DA3" w14:textId="77777777" w:rsidTr="00375D95">
        <w:trPr>
          <w:cnfStyle w:val="000000010000" w:firstRow="0" w:lastRow="0" w:firstColumn="0" w:lastColumn="0" w:oddVBand="0" w:evenVBand="0" w:oddHBand="0" w:evenHBand="1" w:firstRowFirstColumn="0" w:firstRowLastColumn="0" w:lastRowFirstColumn="0" w:lastRowLastColumn="0"/>
          <w:trHeight w:val="270"/>
        </w:trPr>
        <w:tc>
          <w:tcPr>
            <w:tcW w:w="8784" w:type="dxa"/>
            <w:gridSpan w:val="5"/>
            <w:shd w:val="clear" w:color="auto" w:fill="auto"/>
            <w:hideMark/>
          </w:tcPr>
          <w:p w14:paraId="12B0783C" w14:textId="77777777" w:rsidR="00623569" w:rsidRPr="00DA2992" w:rsidRDefault="00623569" w:rsidP="001517F2">
            <w:pPr>
              <w:pStyle w:val="Paragraph"/>
              <w:spacing w:after="0" w:line="240" w:lineRule="auto"/>
              <w:contextualSpacing/>
            </w:pPr>
            <w:r w:rsidRPr="00DA2992">
              <w:rPr>
                <w:b/>
                <w:bCs/>
              </w:rPr>
              <w:t>TOTAL</w:t>
            </w:r>
          </w:p>
        </w:tc>
        <w:tc>
          <w:tcPr>
            <w:tcW w:w="1276" w:type="dxa"/>
            <w:shd w:val="clear" w:color="auto" w:fill="auto"/>
            <w:noWrap/>
            <w:hideMark/>
          </w:tcPr>
          <w:p w14:paraId="17014D06" w14:textId="77777777" w:rsidR="00623569" w:rsidRPr="00DA2992" w:rsidRDefault="00623569" w:rsidP="001517F2">
            <w:pPr>
              <w:pStyle w:val="Paragraph"/>
              <w:spacing w:after="0" w:line="240" w:lineRule="auto"/>
              <w:contextualSpacing/>
              <w:jc w:val="right"/>
              <w:rPr>
                <w:b/>
                <w:bCs/>
              </w:rPr>
            </w:pPr>
            <w:r w:rsidRPr="00DA2992">
              <w:rPr>
                <w:b/>
                <w:bCs/>
              </w:rPr>
              <w:t>$92,700</w:t>
            </w:r>
          </w:p>
        </w:tc>
      </w:tr>
      <w:tr w:rsidR="00623569" w:rsidRPr="00DA2992" w14:paraId="1C0C041C" w14:textId="77777777" w:rsidTr="00375D95">
        <w:trPr>
          <w:cnfStyle w:val="000000100000" w:firstRow="0" w:lastRow="0" w:firstColumn="0" w:lastColumn="0" w:oddVBand="0" w:evenVBand="0" w:oddHBand="1" w:evenHBand="0" w:firstRowFirstColumn="0" w:firstRowLastColumn="0" w:lastRowFirstColumn="0" w:lastRowLastColumn="0"/>
          <w:trHeight w:val="270"/>
        </w:trPr>
        <w:tc>
          <w:tcPr>
            <w:tcW w:w="10060" w:type="dxa"/>
            <w:gridSpan w:val="6"/>
            <w:shd w:val="clear" w:color="auto" w:fill="F2F2F2" w:themeFill="background1" w:themeFillShade="F2"/>
            <w:hideMark/>
          </w:tcPr>
          <w:p w14:paraId="6BEA715E" w14:textId="77777777" w:rsidR="00623569" w:rsidRPr="00DA2992" w:rsidRDefault="00623569" w:rsidP="001517F2">
            <w:pPr>
              <w:pStyle w:val="Paragraph"/>
              <w:spacing w:after="0" w:line="240" w:lineRule="auto"/>
              <w:contextualSpacing/>
            </w:pPr>
            <w:r w:rsidRPr="00DA2992">
              <w:rPr>
                <w:b/>
                <w:bCs/>
              </w:rPr>
              <w:t xml:space="preserve">Very </w:t>
            </w:r>
            <w:r>
              <w:rPr>
                <w:b/>
                <w:bCs/>
              </w:rPr>
              <w:t>s</w:t>
            </w:r>
            <w:r w:rsidRPr="00DA2992">
              <w:rPr>
                <w:b/>
                <w:bCs/>
              </w:rPr>
              <w:t>mall CSPs</w:t>
            </w:r>
          </w:p>
        </w:tc>
      </w:tr>
      <w:tr w:rsidR="00623569" w:rsidRPr="00DA2992" w14:paraId="2E78AD2A" w14:textId="77777777" w:rsidTr="00375D95">
        <w:trPr>
          <w:cnfStyle w:val="000000010000" w:firstRow="0" w:lastRow="0" w:firstColumn="0" w:lastColumn="0" w:oddVBand="0" w:evenVBand="0" w:oddHBand="0" w:evenHBand="1" w:firstRowFirstColumn="0" w:firstRowLastColumn="0" w:lastRowFirstColumn="0" w:lastRowLastColumn="0"/>
          <w:trHeight w:val="271"/>
        </w:trPr>
        <w:tc>
          <w:tcPr>
            <w:tcW w:w="3256" w:type="dxa"/>
            <w:shd w:val="clear" w:color="auto" w:fill="auto"/>
            <w:hideMark/>
          </w:tcPr>
          <w:p w14:paraId="14065B73" w14:textId="77777777" w:rsidR="00623569" w:rsidRPr="00DA2992" w:rsidRDefault="00623569" w:rsidP="001517F2">
            <w:pPr>
              <w:pStyle w:val="Paragraph"/>
              <w:spacing w:after="0" w:line="240" w:lineRule="auto"/>
              <w:contextualSpacing/>
            </w:pPr>
            <w:r w:rsidRPr="00DA2992">
              <w:t xml:space="preserve">Monitor processes </w:t>
            </w:r>
          </w:p>
        </w:tc>
        <w:tc>
          <w:tcPr>
            <w:tcW w:w="1559" w:type="dxa"/>
            <w:shd w:val="clear" w:color="auto" w:fill="auto"/>
            <w:hideMark/>
          </w:tcPr>
          <w:p w14:paraId="52EF03DF" w14:textId="77777777" w:rsidR="00623569" w:rsidRPr="00DA2992" w:rsidRDefault="00623569" w:rsidP="001517F2">
            <w:pPr>
              <w:pStyle w:val="Paragraph"/>
              <w:spacing w:after="0" w:line="240" w:lineRule="auto"/>
              <w:contextualSpacing/>
              <w:jc w:val="right"/>
            </w:pPr>
            <w:r w:rsidRPr="00DA2992">
              <w:t xml:space="preserve">$833 </w:t>
            </w:r>
          </w:p>
        </w:tc>
        <w:tc>
          <w:tcPr>
            <w:tcW w:w="1276" w:type="dxa"/>
            <w:shd w:val="clear" w:color="auto" w:fill="auto"/>
            <w:hideMark/>
          </w:tcPr>
          <w:p w14:paraId="36746B96" w14:textId="77777777" w:rsidR="00623569" w:rsidRPr="00DA2992" w:rsidRDefault="00623569" w:rsidP="001517F2">
            <w:pPr>
              <w:pStyle w:val="Paragraph"/>
              <w:spacing w:after="0" w:line="240" w:lineRule="auto"/>
              <w:contextualSpacing/>
              <w:jc w:val="right"/>
            </w:pPr>
          </w:p>
        </w:tc>
        <w:tc>
          <w:tcPr>
            <w:tcW w:w="1275" w:type="dxa"/>
            <w:shd w:val="clear" w:color="auto" w:fill="auto"/>
            <w:noWrap/>
            <w:hideMark/>
          </w:tcPr>
          <w:p w14:paraId="2B5030B6" w14:textId="77777777" w:rsidR="00623569" w:rsidRPr="00DA2992" w:rsidRDefault="00623569" w:rsidP="001517F2">
            <w:pPr>
              <w:pStyle w:val="Paragraph"/>
              <w:spacing w:after="0" w:line="240" w:lineRule="auto"/>
              <w:contextualSpacing/>
              <w:jc w:val="right"/>
            </w:pPr>
            <w:r w:rsidRPr="00DA2992">
              <w:t>317</w:t>
            </w:r>
          </w:p>
        </w:tc>
        <w:tc>
          <w:tcPr>
            <w:tcW w:w="1418" w:type="dxa"/>
            <w:shd w:val="clear" w:color="auto" w:fill="auto"/>
            <w:noWrap/>
            <w:hideMark/>
          </w:tcPr>
          <w:p w14:paraId="3E697A14" w14:textId="77777777" w:rsidR="00623569" w:rsidRPr="00DA2992" w:rsidRDefault="00623569" w:rsidP="001517F2">
            <w:pPr>
              <w:pStyle w:val="Paragraph"/>
              <w:spacing w:after="0" w:line="240" w:lineRule="auto"/>
              <w:contextualSpacing/>
              <w:jc w:val="right"/>
            </w:pPr>
          </w:p>
        </w:tc>
        <w:tc>
          <w:tcPr>
            <w:tcW w:w="1276" w:type="dxa"/>
            <w:shd w:val="clear" w:color="auto" w:fill="auto"/>
            <w:noWrap/>
            <w:hideMark/>
          </w:tcPr>
          <w:p w14:paraId="6F7D2170" w14:textId="77777777" w:rsidR="00623569" w:rsidRPr="00DA2992" w:rsidRDefault="00623569" w:rsidP="001517F2">
            <w:pPr>
              <w:pStyle w:val="Paragraph"/>
              <w:spacing w:after="0" w:line="240" w:lineRule="auto"/>
              <w:contextualSpacing/>
              <w:jc w:val="right"/>
            </w:pPr>
            <w:r w:rsidRPr="00DA2992">
              <w:t>$264,167</w:t>
            </w:r>
          </w:p>
        </w:tc>
      </w:tr>
      <w:tr w:rsidR="00375D95" w:rsidRPr="00DA2992" w14:paraId="2115ECD8" w14:textId="77777777" w:rsidTr="00375D95">
        <w:trPr>
          <w:cnfStyle w:val="000000100000" w:firstRow="0" w:lastRow="0" w:firstColumn="0" w:lastColumn="0" w:oddVBand="0" w:evenVBand="0" w:oddHBand="1" w:evenHBand="0" w:firstRowFirstColumn="0" w:firstRowLastColumn="0" w:lastRowFirstColumn="0" w:lastRowLastColumn="0"/>
          <w:trHeight w:val="270"/>
        </w:trPr>
        <w:tc>
          <w:tcPr>
            <w:tcW w:w="3256" w:type="dxa"/>
            <w:shd w:val="clear" w:color="auto" w:fill="F2F2F2" w:themeFill="background1" w:themeFillShade="F2"/>
            <w:hideMark/>
          </w:tcPr>
          <w:p w14:paraId="6697F840" w14:textId="77777777" w:rsidR="00623569" w:rsidRPr="00DA2992" w:rsidRDefault="00623569" w:rsidP="001517F2">
            <w:pPr>
              <w:pStyle w:val="Paragraph"/>
              <w:spacing w:after="0" w:line="240" w:lineRule="auto"/>
              <w:contextualSpacing/>
            </w:pPr>
            <w:r w:rsidRPr="00DA2992">
              <w:t>Staff training</w:t>
            </w:r>
          </w:p>
        </w:tc>
        <w:tc>
          <w:tcPr>
            <w:tcW w:w="1559" w:type="dxa"/>
            <w:shd w:val="clear" w:color="auto" w:fill="F2F2F2" w:themeFill="background1" w:themeFillShade="F2"/>
            <w:hideMark/>
          </w:tcPr>
          <w:p w14:paraId="6F1BA0D7" w14:textId="77777777" w:rsidR="00623569" w:rsidRPr="00DA2992" w:rsidRDefault="00623569" w:rsidP="001517F2">
            <w:pPr>
              <w:pStyle w:val="Paragraph"/>
              <w:spacing w:after="0" w:line="240" w:lineRule="auto"/>
              <w:contextualSpacing/>
              <w:jc w:val="right"/>
            </w:pPr>
          </w:p>
        </w:tc>
        <w:tc>
          <w:tcPr>
            <w:tcW w:w="1276" w:type="dxa"/>
            <w:shd w:val="clear" w:color="auto" w:fill="F2F2F2" w:themeFill="background1" w:themeFillShade="F2"/>
            <w:hideMark/>
          </w:tcPr>
          <w:p w14:paraId="11F64009" w14:textId="77777777" w:rsidR="00623569" w:rsidRPr="00DA2992" w:rsidRDefault="00623569" w:rsidP="001517F2">
            <w:pPr>
              <w:pStyle w:val="Paragraph"/>
              <w:spacing w:after="0" w:line="240" w:lineRule="auto"/>
              <w:contextualSpacing/>
              <w:jc w:val="right"/>
            </w:pPr>
            <w:r w:rsidRPr="00DA2992">
              <w:t xml:space="preserve">20 </w:t>
            </w:r>
          </w:p>
        </w:tc>
        <w:tc>
          <w:tcPr>
            <w:tcW w:w="1275" w:type="dxa"/>
            <w:shd w:val="clear" w:color="auto" w:fill="F2F2F2" w:themeFill="background1" w:themeFillShade="F2"/>
            <w:noWrap/>
            <w:hideMark/>
          </w:tcPr>
          <w:p w14:paraId="2F034A59" w14:textId="77777777" w:rsidR="00623569" w:rsidRPr="00DA2992" w:rsidRDefault="00623569" w:rsidP="001517F2">
            <w:pPr>
              <w:pStyle w:val="Paragraph"/>
              <w:spacing w:after="0" w:line="240" w:lineRule="auto"/>
              <w:contextualSpacing/>
              <w:jc w:val="right"/>
            </w:pPr>
            <w:r w:rsidRPr="00DA2992">
              <w:t>317</w:t>
            </w:r>
          </w:p>
        </w:tc>
        <w:tc>
          <w:tcPr>
            <w:tcW w:w="1418" w:type="dxa"/>
            <w:shd w:val="clear" w:color="auto" w:fill="F2F2F2" w:themeFill="background1" w:themeFillShade="F2"/>
            <w:hideMark/>
          </w:tcPr>
          <w:p w14:paraId="2C481133" w14:textId="77777777" w:rsidR="00623569" w:rsidRPr="00DA2992" w:rsidRDefault="00623569" w:rsidP="001517F2">
            <w:pPr>
              <w:pStyle w:val="Paragraph"/>
              <w:spacing w:after="0" w:line="240" w:lineRule="auto"/>
              <w:contextualSpacing/>
              <w:jc w:val="right"/>
            </w:pPr>
            <w:r w:rsidRPr="00DA2992">
              <w:t xml:space="preserve">$73 </w:t>
            </w:r>
          </w:p>
        </w:tc>
        <w:tc>
          <w:tcPr>
            <w:tcW w:w="1276" w:type="dxa"/>
            <w:shd w:val="clear" w:color="auto" w:fill="F2F2F2" w:themeFill="background1" w:themeFillShade="F2"/>
            <w:noWrap/>
            <w:hideMark/>
          </w:tcPr>
          <w:p w14:paraId="63C89556" w14:textId="77777777" w:rsidR="00623569" w:rsidRPr="00DA2992" w:rsidRDefault="00623569" w:rsidP="001517F2">
            <w:pPr>
              <w:pStyle w:val="Paragraph"/>
              <w:spacing w:after="0" w:line="240" w:lineRule="auto"/>
              <w:contextualSpacing/>
              <w:jc w:val="right"/>
            </w:pPr>
            <w:r w:rsidRPr="00DA2992">
              <w:t>$462,820</w:t>
            </w:r>
          </w:p>
        </w:tc>
      </w:tr>
      <w:tr w:rsidR="00623569" w:rsidRPr="00DA2992" w14:paraId="2223B1F5" w14:textId="77777777" w:rsidTr="00375D95">
        <w:trPr>
          <w:cnfStyle w:val="000000010000" w:firstRow="0" w:lastRow="0" w:firstColumn="0" w:lastColumn="0" w:oddVBand="0" w:evenVBand="0" w:oddHBand="0" w:evenHBand="1" w:firstRowFirstColumn="0" w:firstRowLastColumn="0" w:lastRowFirstColumn="0" w:lastRowLastColumn="0"/>
          <w:trHeight w:val="270"/>
        </w:trPr>
        <w:tc>
          <w:tcPr>
            <w:tcW w:w="8784" w:type="dxa"/>
            <w:gridSpan w:val="5"/>
            <w:shd w:val="clear" w:color="auto" w:fill="auto"/>
            <w:hideMark/>
          </w:tcPr>
          <w:p w14:paraId="612BE3D2" w14:textId="77777777" w:rsidR="00623569" w:rsidRPr="00DA2992" w:rsidRDefault="00623569" w:rsidP="001517F2">
            <w:pPr>
              <w:pStyle w:val="Paragraph"/>
              <w:spacing w:after="0" w:line="240" w:lineRule="auto"/>
              <w:contextualSpacing/>
            </w:pPr>
            <w:r w:rsidRPr="00DA2992">
              <w:rPr>
                <w:b/>
                <w:bCs/>
              </w:rPr>
              <w:t>TOTAL</w:t>
            </w:r>
          </w:p>
        </w:tc>
        <w:tc>
          <w:tcPr>
            <w:tcW w:w="1276" w:type="dxa"/>
            <w:shd w:val="clear" w:color="auto" w:fill="auto"/>
            <w:noWrap/>
            <w:hideMark/>
          </w:tcPr>
          <w:p w14:paraId="6BCFE8D2" w14:textId="77777777" w:rsidR="00623569" w:rsidRPr="00DA2992" w:rsidRDefault="00623569" w:rsidP="001517F2">
            <w:pPr>
              <w:pStyle w:val="Paragraph"/>
              <w:spacing w:after="0" w:line="240" w:lineRule="auto"/>
              <w:contextualSpacing/>
              <w:jc w:val="right"/>
              <w:rPr>
                <w:b/>
                <w:bCs/>
              </w:rPr>
            </w:pPr>
            <w:r w:rsidRPr="00DA2992">
              <w:rPr>
                <w:b/>
                <w:bCs/>
              </w:rPr>
              <w:t>$726,987</w:t>
            </w:r>
          </w:p>
        </w:tc>
      </w:tr>
      <w:tr w:rsidR="00623569" w:rsidRPr="00DA2992" w14:paraId="6D8E109D" w14:textId="77777777" w:rsidTr="00375D95">
        <w:trPr>
          <w:cnfStyle w:val="000000100000" w:firstRow="0" w:lastRow="0" w:firstColumn="0" w:lastColumn="0" w:oddVBand="0" w:evenVBand="0" w:oddHBand="1" w:evenHBand="0" w:firstRowFirstColumn="0" w:firstRowLastColumn="0" w:lastRowFirstColumn="0" w:lastRowLastColumn="0"/>
          <w:trHeight w:val="270"/>
        </w:trPr>
        <w:tc>
          <w:tcPr>
            <w:tcW w:w="8784" w:type="dxa"/>
            <w:gridSpan w:val="5"/>
            <w:shd w:val="clear" w:color="auto" w:fill="F2F2F2" w:themeFill="background1" w:themeFillShade="F2"/>
            <w:hideMark/>
          </w:tcPr>
          <w:p w14:paraId="4E6ECC9C" w14:textId="77777777" w:rsidR="00623569" w:rsidRPr="00DA2992" w:rsidRDefault="00623569" w:rsidP="001517F2">
            <w:pPr>
              <w:pStyle w:val="Paragraph"/>
              <w:spacing w:after="0" w:line="240" w:lineRule="auto"/>
              <w:contextualSpacing/>
              <w:rPr>
                <w:b/>
                <w:bCs/>
              </w:rPr>
            </w:pPr>
            <w:r>
              <w:rPr>
                <w:b/>
                <w:bCs/>
              </w:rPr>
              <w:t>Total ongoing costs for CSPs under Option 2A</w:t>
            </w:r>
          </w:p>
        </w:tc>
        <w:tc>
          <w:tcPr>
            <w:tcW w:w="1276" w:type="dxa"/>
            <w:shd w:val="clear" w:color="auto" w:fill="F2F2F2" w:themeFill="background1" w:themeFillShade="F2"/>
            <w:noWrap/>
            <w:hideMark/>
          </w:tcPr>
          <w:p w14:paraId="0BAC56E4" w14:textId="77777777" w:rsidR="00623569" w:rsidRPr="00DA2992" w:rsidRDefault="00623569" w:rsidP="001517F2">
            <w:pPr>
              <w:pStyle w:val="Paragraph"/>
              <w:spacing w:after="0" w:line="240" w:lineRule="auto"/>
              <w:contextualSpacing/>
              <w:jc w:val="right"/>
              <w:rPr>
                <w:b/>
                <w:bCs/>
              </w:rPr>
            </w:pPr>
            <w:r w:rsidRPr="00DA2992">
              <w:rPr>
                <w:b/>
                <w:bCs/>
              </w:rPr>
              <w:t>$919,953</w:t>
            </w:r>
          </w:p>
        </w:tc>
      </w:tr>
    </w:tbl>
    <w:p w14:paraId="7E20422E" w14:textId="77777777" w:rsidR="00623569" w:rsidRDefault="00623569" w:rsidP="00623569">
      <w:pPr>
        <w:pStyle w:val="Tableorfigurenote"/>
      </w:pPr>
    </w:p>
    <w:p w14:paraId="3697D553" w14:textId="77777777" w:rsidR="00623569" w:rsidRDefault="00623569" w:rsidP="00623569">
      <w:pPr>
        <w:spacing w:after="160" w:line="259" w:lineRule="auto"/>
        <w:rPr>
          <w:rFonts w:cs="Arial"/>
          <w:i/>
          <w:sz w:val="16"/>
        </w:rPr>
      </w:pPr>
      <w:r>
        <w:br w:type="page"/>
      </w:r>
    </w:p>
    <w:p w14:paraId="79DF994E" w14:textId="77777777" w:rsidR="00623569" w:rsidRDefault="00623569" w:rsidP="00623569">
      <w:pPr>
        <w:pStyle w:val="Tableheading"/>
      </w:pPr>
      <w:r>
        <w:lastRenderedPageBreak/>
        <w:t>Year 1 costs for CSPs under Option 2B</w:t>
      </w:r>
    </w:p>
    <w:tbl>
      <w:tblPr>
        <w:tblStyle w:val="ACMAtablestyle"/>
        <w:tblW w:w="10174" w:type="dxa"/>
        <w:tblLook w:val="04A0" w:firstRow="1" w:lastRow="0" w:firstColumn="1" w:lastColumn="0" w:noHBand="0" w:noVBand="1"/>
      </w:tblPr>
      <w:tblGrid>
        <w:gridCol w:w="3964"/>
        <w:gridCol w:w="1134"/>
        <w:gridCol w:w="1199"/>
        <w:gridCol w:w="1226"/>
        <w:gridCol w:w="1261"/>
        <w:gridCol w:w="1370"/>
        <w:gridCol w:w="20"/>
      </w:tblGrid>
      <w:tr w:rsidR="00623569" w:rsidRPr="00D61DA8" w14:paraId="6A66B246" w14:textId="77777777" w:rsidTr="001517F2">
        <w:trPr>
          <w:gridAfter w:val="1"/>
          <w:cnfStyle w:val="100000000000" w:firstRow="1" w:lastRow="0" w:firstColumn="0" w:lastColumn="0" w:oddVBand="0" w:evenVBand="0" w:oddHBand="0" w:evenHBand="0" w:firstRowFirstColumn="0" w:firstRowLastColumn="0" w:lastRowFirstColumn="0" w:lastRowLastColumn="0"/>
          <w:wAfter w:w="20" w:type="dxa"/>
          <w:trHeight w:val="540"/>
        </w:trPr>
        <w:tc>
          <w:tcPr>
            <w:tcW w:w="3964" w:type="dxa"/>
            <w:hideMark/>
          </w:tcPr>
          <w:p w14:paraId="12094278" w14:textId="77777777" w:rsidR="00623569" w:rsidRPr="00D61DA8" w:rsidRDefault="00623569" w:rsidP="001517F2">
            <w:pPr>
              <w:pStyle w:val="Paragraph"/>
              <w:spacing w:after="0" w:line="240" w:lineRule="auto"/>
              <w:rPr>
                <w:b/>
                <w:bCs/>
              </w:rPr>
            </w:pPr>
          </w:p>
        </w:tc>
        <w:tc>
          <w:tcPr>
            <w:tcW w:w="1134" w:type="dxa"/>
            <w:hideMark/>
          </w:tcPr>
          <w:p w14:paraId="0847B643" w14:textId="77777777" w:rsidR="00623569" w:rsidRPr="00D61DA8" w:rsidRDefault="00623569" w:rsidP="001517F2">
            <w:pPr>
              <w:pStyle w:val="Paragraph"/>
              <w:spacing w:after="0" w:line="240" w:lineRule="auto"/>
              <w:jc w:val="right"/>
              <w:rPr>
                <w:b/>
                <w:bCs/>
              </w:rPr>
            </w:pPr>
            <w:r w:rsidRPr="00D61DA8">
              <w:rPr>
                <w:b/>
                <w:bCs/>
              </w:rPr>
              <w:t>System build</w:t>
            </w:r>
          </w:p>
        </w:tc>
        <w:tc>
          <w:tcPr>
            <w:tcW w:w="1199" w:type="dxa"/>
            <w:noWrap/>
            <w:hideMark/>
          </w:tcPr>
          <w:p w14:paraId="4227D273" w14:textId="77777777" w:rsidR="00623569" w:rsidRPr="00D61DA8" w:rsidRDefault="00623569" w:rsidP="001517F2">
            <w:pPr>
              <w:pStyle w:val="Paragraph"/>
              <w:spacing w:after="0" w:line="240" w:lineRule="auto"/>
              <w:jc w:val="right"/>
              <w:rPr>
                <w:b/>
                <w:bCs/>
              </w:rPr>
            </w:pPr>
            <w:r w:rsidRPr="00D61DA8">
              <w:rPr>
                <w:b/>
                <w:bCs/>
              </w:rPr>
              <w:t xml:space="preserve">Time </w:t>
            </w:r>
            <w:r>
              <w:rPr>
                <w:b/>
                <w:bCs/>
              </w:rPr>
              <w:br/>
            </w:r>
            <w:r w:rsidRPr="00D61DA8">
              <w:rPr>
                <w:b/>
                <w:bCs/>
              </w:rPr>
              <w:t>(hours)</w:t>
            </w:r>
          </w:p>
        </w:tc>
        <w:tc>
          <w:tcPr>
            <w:tcW w:w="1226" w:type="dxa"/>
            <w:noWrap/>
            <w:hideMark/>
          </w:tcPr>
          <w:p w14:paraId="0CC162C4" w14:textId="77777777" w:rsidR="00623569" w:rsidRPr="00D61DA8" w:rsidRDefault="00623569" w:rsidP="001517F2">
            <w:pPr>
              <w:pStyle w:val="Paragraph"/>
              <w:spacing w:after="0" w:line="240" w:lineRule="auto"/>
              <w:jc w:val="right"/>
              <w:rPr>
                <w:b/>
                <w:bCs/>
              </w:rPr>
            </w:pPr>
            <w:r w:rsidRPr="00D61DA8">
              <w:rPr>
                <w:b/>
                <w:bCs/>
              </w:rPr>
              <w:t>Businesses</w:t>
            </w:r>
          </w:p>
        </w:tc>
        <w:tc>
          <w:tcPr>
            <w:tcW w:w="1261" w:type="dxa"/>
            <w:hideMark/>
          </w:tcPr>
          <w:p w14:paraId="71F6BCA3" w14:textId="77777777" w:rsidR="00623569" w:rsidRPr="00D61DA8" w:rsidRDefault="00623569" w:rsidP="001517F2">
            <w:pPr>
              <w:pStyle w:val="Paragraph"/>
              <w:spacing w:after="0" w:line="240" w:lineRule="auto"/>
              <w:jc w:val="right"/>
              <w:rPr>
                <w:b/>
                <w:bCs/>
              </w:rPr>
            </w:pPr>
            <w:r w:rsidRPr="00D61DA8">
              <w:rPr>
                <w:b/>
                <w:bCs/>
              </w:rPr>
              <w:t xml:space="preserve">Rate/hour </w:t>
            </w:r>
            <w:r>
              <w:rPr>
                <w:b/>
                <w:bCs/>
              </w:rPr>
              <w:br/>
            </w:r>
            <w:r w:rsidRPr="00D61DA8">
              <w:rPr>
                <w:b/>
                <w:bCs/>
              </w:rPr>
              <w:t>($)</w:t>
            </w:r>
          </w:p>
        </w:tc>
        <w:tc>
          <w:tcPr>
            <w:tcW w:w="1370" w:type="dxa"/>
            <w:noWrap/>
            <w:hideMark/>
          </w:tcPr>
          <w:p w14:paraId="21AFA557" w14:textId="77777777" w:rsidR="00623569" w:rsidRPr="00D61DA8" w:rsidRDefault="00623569" w:rsidP="001517F2">
            <w:pPr>
              <w:pStyle w:val="Paragraph"/>
              <w:spacing w:after="0" w:line="240" w:lineRule="auto"/>
              <w:jc w:val="right"/>
              <w:rPr>
                <w:b/>
                <w:bCs/>
              </w:rPr>
            </w:pPr>
            <w:r w:rsidRPr="00D61DA8">
              <w:rPr>
                <w:b/>
                <w:bCs/>
              </w:rPr>
              <w:t xml:space="preserve">Totals </w:t>
            </w:r>
            <w:r>
              <w:rPr>
                <w:b/>
                <w:bCs/>
              </w:rPr>
              <w:br/>
            </w:r>
            <w:r w:rsidRPr="00D61DA8">
              <w:rPr>
                <w:b/>
                <w:bCs/>
              </w:rPr>
              <w:t>($)</w:t>
            </w:r>
          </w:p>
        </w:tc>
      </w:tr>
      <w:tr w:rsidR="00623569" w:rsidRPr="00D61DA8" w14:paraId="190AE63E" w14:textId="77777777" w:rsidTr="00375D95">
        <w:trPr>
          <w:cnfStyle w:val="000000100000" w:firstRow="0" w:lastRow="0" w:firstColumn="0" w:lastColumn="0" w:oddVBand="0" w:evenVBand="0" w:oddHBand="1" w:evenHBand="0" w:firstRowFirstColumn="0" w:firstRowLastColumn="0" w:lastRowFirstColumn="0" w:lastRowLastColumn="0"/>
          <w:trHeight w:val="270"/>
        </w:trPr>
        <w:tc>
          <w:tcPr>
            <w:tcW w:w="10174" w:type="dxa"/>
            <w:gridSpan w:val="7"/>
            <w:shd w:val="clear" w:color="auto" w:fill="F2F2F2" w:themeFill="background1" w:themeFillShade="F2"/>
            <w:noWrap/>
            <w:hideMark/>
          </w:tcPr>
          <w:p w14:paraId="00D22610" w14:textId="77777777" w:rsidR="00623569" w:rsidRPr="00D61DA8" w:rsidRDefault="00623569" w:rsidP="001517F2">
            <w:pPr>
              <w:pStyle w:val="Paragraph"/>
              <w:spacing w:after="0" w:line="240" w:lineRule="auto"/>
            </w:pPr>
            <w:r w:rsidRPr="00D61DA8">
              <w:rPr>
                <w:b/>
                <w:bCs/>
              </w:rPr>
              <w:t>Large CSPs</w:t>
            </w:r>
          </w:p>
        </w:tc>
      </w:tr>
      <w:tr w:rsidR="00623569" w:rsidRPr="00D61DA8" w14:paraId="15FB1161" w14:textId="77777777" w:rsidTr="00375D95">
        <w:trPr>
          <w:gridAfter w:val="1"/>
          <w:cnfStyle w:val="000000010000" w:firstRow="0" w:lastRow="0" w:firstColumn="0" w:lastColumn="0" w:oddVBand="0" w:evenVBand="0" w:oddHBand="0" w:evenHBand="1" w:firstRowFirstColumn="0" w:firstRowLastColumn="0" w:lastRowFirstColumn="0" w:lastRowLastColumn="0"/>
          <w:wAfter w:w="20" w:type="dxa"/>
          <w:trHeight w:val="540"/>
        </w:trPr>
        <w:tc>
          <w:tcPr>
            <w:tcW w:w="3964" w:type="dxa"/>
            <w:shd w:val="clear" w:color="auto" w:fill="auto"/>
            <w:hideMark/>
          </w:tcPr>
          <w:p w14:paraId="522F955E" w14:textId="77777777" w:rsidR="00623569" w:rsidRPr="00D61DA8" w:rsidRDefault="00623569" w:rsidP="001517F2">
            <w:pPr>
              <w:pStyle w:val="Paragraph"/>
              <w:spacing w:after="0" w:line="240" w:lineRule="auto"/>
            </w:pPr>
            <w:r w:rsidRPr="00D61DA8">
              <w:t>Automate manual systems to enhance processes</w:t>
            </w:r>
          </w:p>
        </w:tc>
        <w:tc>
          <w:tcPr>
            <w:tcW w:w="1134" w:type="dxa"/>
            <w:shd w:val="clear" w:color="auto" w:fill="auto"/>
            <w:hideMark/>
          </w:tcPr>
          <w:p w14:paraId="06820903" w14:textId="77777777" w:rsidR="00623569" w:rsidRPr="00D61DA8" w:rsidRDefault="00623569" w:rsidP="001517F2">
            <w:pPr>
              <w:pStyle w:val="Paragraph"/>
              <w:spacing w:after="0" w:line="240" w:lineRule="auto"/>
              <w:jc w:val="right"/>
            </w:pPr>
            <w:r w:rsidRPr="00D61DA8">
              <w:t xml:space="preserve">$100,000 </w:t>
            </w:r>
          </w:p>
        </w:tc>
        <w:tc>
          <w:tcPr>
            <w:tcW w:w="1199" w:type="dxa"/>
            <w:shd w:val="clear" w:color="auto" w:fill="auto"/>
            <w:noWrap/>
            <w:hideMark/>
          </w:tcPr>
          <w:p w14:paraId="45A06965" w14:textId="77777777" w:rsidR="00623569" w:rsidRPr="00D61DA8" w:rsidRDefault="00623569" w:rsidP="001517F2">
            <w:pPr>
              <w:pStyle w:val="Paragraph"/>
              <w:spacing w:after="0" w:line="240" w:lineRule="auto"/>
              <w:jc w:val="right"/>
            </w:pPr>
          </w:p>
        </w:tc>
        <w:tc>
          <w:tcPr>
            <w:tcW w:w="1226" w:type="dxa"/>
            <w:shd w:val="clear" w:color="auto" w:fill="auto"/>
            <w:noWrap/>
            <w:hideMark/>
          </w:tcPr>
          <w:p w14:paraId="35F80F19" w14:textId="77777777" w:rsidR="00623569" w:rsidRPr="00D61DA8" w:rsidRDefault="00623569" w:rsidP="001517F2">
            <w:pPr>
              <w:pStyle w:val="Paragraph"/>
              <w:spacing w:after="0" w:line="240" w:lineRule="auto"/>
              <w:jc w:val="right"/>
            </w:pPr>
            <w:r w:rsidRPr="00D61DA8">
              <w:t>2</w:t>
            </w:r>
          </w:p>
        </w:tc>
        <w:tc>
          <w:tcPr>
            <w:tcW w:w="1261" w:type="dxa"/>
            <w:shd w:val="clear" w:color="auto" w:fill="auto"/>
            <w:hideMark/>
          </w:tcPr>
          <w:p w14:paraId="08680FE5" w14:textId="77777777" w:rsidR="00623569" w:rsidRPr="00D61DA8" w:rsidRDefault="00623569" w:rsidP="001517F2">
            <w:pPr>
              <w:pStyle w:val="Paragraph"/>
              <w:spacing w:after="0" w:line="240" w:lineRule="auto"/>
              <w:jc w:val="right"/>
            </w:pPr>
          </w:p>
        </w:tc>
        <w:tc>
          <w:tcPr>
            <w:tcW w:w="1370" w:type="dxa"/>
            <w:shd w:val="clear" w:color="auto" w:fill="auto"/>
            <w:noWrap/>
            <w:hideMark/>
          </w:tcPr>
          <w:p w14:paraId="1B36878E" w14:textId="77777777" w:rsidR="00623569" w:rsidRPr="00D61DA8" w:rsidRDefault="00623569" w:rsidP="001517F2">
            <w:pPr>
              <w:pStyle w:val="Paragraph"/>
              <w:spacing w:after="0" w:line="240" w:lineRule="auto"/>
              <w:jc w:val="right"/>
            </w:pPr>
            <w:r w:rsidRPr="00D61DA8">
              <w:t>$200,000</w:t>
            </w:r>
          </w:p>
        </w:tc>
      </w:tr>
      <w:tr w:rsidR="00E94DB1" w:rsidRPr="00D61DA8" w14:paraId="7CA59C1B" w14:textId="77777777" w:rsidTr="00E94DB1">
        <w:trPr>
          <w:gridAfter w:val="1"/>
          <w:cnfStyle w:val="000000100000" w:firstRow="0" w:lastRow="0" w:firstColumn="0" w:lastColumn="0" w:oddVBand="0" w:evenVBand="0" w:oddHBand="1" w:evenHBand="0" w:firstRowFirstColumn="0" w:firstRowLastColumn="0" w:lastRowFirstColumn="0" w:lastRowLastColumn="0"/>
          <w:wAfter w:w="20" w:type="dxa"/>
          <w:trHeight w:val="162"/>
        </w:trPr>
        <w:tc>
          <w:tcPr>
            <w:tcW w:w="3964" w:type="dxa"/>
            <w:shd w:val="clear" w:color="auto" w:fill="F2F2F2" w:themeFill="background1" w:themeFillShade="F2"/>
            <w:hideMark/>
          </w:tcPr>
          <w:p w14:paraId="5BD671F4" w14:textId="77777777" w:rsidR="00623569" w:rsidRPr="00D61DA8" w:rsidRDefault="00623569" w:rsidP="001517F2">
            <w:pPr>
              <w:pStyle w:val="Paragraph"/>
              <w:spacing w:after="0" w:line="240" w:lineRule="auto"/>
            </w:pPr>
            <w:r w:rsidRPr="00D61DA8">
              <w:t>Staff training</w:t>
            </w:r>
          </w:p>
        </w:tc>
        <w:tc>
          <w:tcPr>
            <w:tcW w:w="1134" w:type="dxa"/>
            <w:shd w:val="clear" w:color="auto" w:fill="F2F2F2" w:themeFill="background1" w:themeFillShade="F2"/>
            <w:hideMark/>
          </w:tcPr>
          <w:p w14:paraId="4CDE94ED" w14:textId="77777777" w:rsidR="00623569" w:rsidRPr="00D61DA8" w:rsidRDefault="00623569" w:rsidP="001517F2">
            <w:pPr>
              <w:pStyle w:val="Paragraph"/>
              <w:spacing w:after="0" w:line="240" w:lineRule="auto"/>
              <w:jc w:val="right"/>
            </w:pPr>
          </w:p>
        </w:tc>
        <w:tc>
          <w:tcPr>
            <w:tcW w:w="1199" w:type="dxa"/>
            <w:shd w:val="clear" w:color="auto" w:fill="F2F2F2" w:themeFill="background1" w:themeFillShade="F2"/>
            <w:noWrap/>
            <w:hideMark/>
          </w:tcPr>
          <w:p w14:paraId="12042889" w14:textId="77777777" w:rsidR="00623569" w:rsidRPr="00D61DA8" w:rsidRDefault="00623569" w:rsidP="001517F2">
            <w:pPr>
              <w:pStyle w:val="Paragraph"/>
              <w:spacing w:after="0" w:line="240" w:lineRule="auto"/>
              <w:jc w:val="right"/>
            </w:pPr>
            <w:r w:rsidRPr="00D61DA8">
              <w:t>320</w:t>
            </w:r>
          </w:p>
        </w:tc>
        <w:tc>
          <w:tcPr>
            <w:tcW w:w="1226" w:type="dxa"/>
            <w:shd w:val="clear" w:color="auto" w:fill="F2F2F2" w:themeFill="background1" w:themeFillShade="F2"/>
            <w:noWrap/>
            <w:hideMark/>
          </w:tcPr>
          <w:p w14:paraId="4493BA7B" w14:textId="77777777" w:rsidR="00623569" w:rsidRPr="00D61DA8" w:rsidRDefault="00623569" w:rsidP="001517F2">
            <w:pPr>
              <w:pStyle w:val="Paragraph"/>
              <w:spacing w:after="0" w:line="240" w:lineRule="auto"/>
              <w:jc w:val="right"/>
            </w:pPr>
            <w:r w:rsidRPr="00D61DA8">
              <w:t>2</w:t>
            </w:r>
          </w:p>
        </w:tc>
        <w:tc>
          <w:tcPr>
            <w:tcW w:w="1261" w:type="dxa"/>
            <w:shd w:val="clear" w:color="auto" w:fill="F2F2F2" w:themeFill="background1" w:themeFillShade="F2"/>
            <w:hideMark/>
          </w:tcPr>
          <w:p w14:paraId="7265C8B0" w14:textId="77777777" w:rsidR="00623569" w:rsidRPr="00D61DA8" w:rsidRDefault="00623569" w:rsidP="001517F2">
            <w:pPr>
              <w:pStyle w:val="Paragraph"/>
              <w:spacing w:after="0" w:line="240" w:lineRule="auto"/>
              <w:jc w:val="right"/>
            </w:pPr>
            <w:r w:rsidRPr="00D61DA8">
              <w:t xml:space="preserve">$73 </w:t>
            </w:r>
          </w:p>
        </w:tc>
        <w:tc>
          <w:tcPr>
            <w:tcW w:w="1370" w:type="dxa"/>
            <w:shd w:val="clear" w:color="auto" w:fill="F2F2F2" w:themeFill="background1" w:themeFillShade="F2"/>
            <w:noWrap/>
            <w:hideMark/>
          </w:tcPr>
          <w:p w14:paraId="45D0F722" w14:textId="77777777" w:rsidR="00623569" w:rsidRPr="00D61DA8" w:rsidRDefault="00623569" w:rsidP="001517F2">
            <w:pPr>
              <w:pStyle w:val="Paragraph"/>
              <w:spacing w:after="0" w:line="240" w:lineRule="auto"/>
              <w:jc w:val="right"/>
            </w:pPr>
            <w:r w:rsidRPr="00D61DA8">
              <w:t>$46,720</w:t>
            </w:r>
          </w:p>
        </w:tc>
      </w:tr>
      <w:tr w:rsidR="00623569" w:rsidRPr="00D61DA8" w14:paraId="50293724" w14:textId="77777777" w:rsidTr="00375D95">
        <w:trPr>
          <w:cnfStyle w:val="000000010000" w:firstRow="0" w:lastRow="0" w:firstColumn="0" w:lastColumn="0" w:oddVBand="0" w:evenVBand="0" w:oddHBand="0" w:evenHBand="1" w:firstRowFirstColumn="0" w:firstRowLastColumn="0" w:lastRowFirstColumn="0" w:lastRowLastColumn="0"/>
          <w:trHeight w:val="270"/>
        </w:trPr>
        <w:tc>
          <w:tcPr>
            <w:tcW w:w="8784" w:type="dxa"/>
            <w:gridSpan w:val="5"/>
            <w:shd w:val="clear" w:color="auto" w:fill="auto"/>
            <w:hideMark/>
          </w:tcPr>
          <w:p w14:paraId="78629FF5" w14:textId="77777777" w:rsidR="00623569" w:rsidRPr="00D61DA8" w:rsidRDefault="00623569" w:rsidP="001517F2">
            <w:pPr>
              <w:pStyle w:val="Paragraph"/>
              <w:spacing w:after="0" w:line="240" w:lineRule="auto"/>
            </w:pPr>
            <w:r w:rsidRPr="00D61DA8">
              <w:rPr>
                <w:b/>
                <w:bCs/>
              </w:rPr>
              <w:t>TOTAL</w:t>
            </w:r>
          </w:p>
        </w:tc>
        <w:tc>
          <w:tcPr>
            <w:tcW w:w="1390" w:type="dxa"/>
            <w:gridSpan w:val="2"/>
            <w:shd w:val="clear" w:color="auto" w:fill="auto"/>
            <w:noWrap/>
            <w:hideMark/>
          </w:tcPr>
          <w:p w14:paraId="7A9F666C" w14:textId="77777777" w:rsidR="00623569" w:rsidRPr="00D61DA8" w:rsidRDefault="00623569" w:rsidP="001517F2">
            <w:pPr>
              <w:pStyle w:val="Paragraph"/>
              <w:spacing w:after="0" w:line="240" w:lineRule="auto"/>
              <w:jc w:val="right"/>
              <w:rPr>
                <w:b/>
                <w:bCs/>
              </w:rPr>
            </w:pPr>
            <w:r w:rsidRPr="00D61DA8">
              <w:rPr>
                <w:b/>
                <w:bCs/>
              </w:rPr>
              <w:t>$246,720</w:t>
            </w:r>
          </w:p>
        </w:tc>
      </w:tr>
      <w:tr w:rsidR="00623569" w:rsidRPr="00D61DA8" w14:paraId="10099ADF" w14:textId="77777777" w:rsidTr="00E94DB1">
        <w:trPr>
          <w:cnfStyle w:val="000000100000" w:firstRow="0" w:lastRow="0" w:firstColumn="0" w:lastColumn="0" w:oddVBand="0" w:evenVBand="0" w:oddHBand="1" w:evenHBand="0" w:firstRowFirstColumn="0" w:firstRowLastColumn="0" w:lastRowFirstColumn="0" w:lastRowLastColumn="0"/>
          <w:trHeight w:val="300"/>
        </w:trPr>
        <w:tc>
          <w:tcPr>
            <w:tcW w:w="10174" w:type="dxa"/>
            <w:gridSpan w:val="7"/>
            <w:shd w:val="clear" w:color="auto" w:fill="F2F2F2" w:themeFill="background1" w:themeFillShade="F2"/>
            <w:hideMark/>
          </w:tcPr>
          <w:p w14:paraId="58354E4C" w14:textId="77777777" w:rsidR="00623569" w:rsidRPr="00D61DA8" w:rsidRDefault="00623569" w:rsidP="001517F2">
            <w:pPr>
              <w:pStyle w:val="Paragraph"/>
              <w:spacing w:after="0" w:line="240" w:lineRule="auto"/>
            </w:pPr>
            <w:r w:rsidRPr="00D61DA8">
              <w:rPr>
                <w:b/>
                <w:bCs/>
              </w:rPr>
              <w:t>Medium CSPs</w:t>
            </w:r>
          </w:p>
        </w:tc>
      </w:tr>
      <w:tr w:rsidR="00623569" w:rsidRPr="00D61DA8" w14:paraId="4AC9A23A" w14:textId="77777777" w:rsidTr="00375D95">
        <w:trPr>
          <w:gridAfter w:val="1"/>
          <w:cnfStyle w:val="000000010000" w:firstRow="0" w:lastRow="0" w:firstColumn="0" w:lastColumn="0" w:oddVBand="0" w:evenVBand="0" w:oddHBand="0" w:evenHBand="1" w:firstRowFirstColumn="0" w:firstRowLastColumn="0" w:lastRowFirstColumn="0" w:lastRowLastColumn="0"/>
          <w:wAfter w:w="20" w:type="dxa"/>
          <w:trHeight w:val="540"/>
        </w:trPr>
        <w:tc>
          <w:tcPr>
            <w:tcW w:w="3964" w:type="dxa"/>
            <w:shd w:val="clear" w:color="auto" w:fill="auto"/>
            <w:hideMark/>
          </w:tcPr>
          <w:p w14:paraId="5B8707A5" w14:textId="77777777" w:rsidR="00623569" w:rsidRPr="00D61DA8" w:rsidRDefault="00623569" w:rsidP="001517F2">
            <w:pPr>
              <w:pStyle w:val="Paragraph"/>
              <w:spacing w:after="0" w:line="240" w:lineRule="auto"/>
            </w:pPr>
            <w:r w:rsidRPr="00D61DA8">
              <w:t>Automate manual systems to enhance processes</w:t>
            </w:r>
          </w:p>
        </w:tc>
        <w:tc>
          <w:tcPr>
            <w:tcW w:w="1134" w:type="dxa"/>
            <w:shd w:val="clear" w:color="auto" w:fill="auto"/>
            <w:hideMark/>
          </w:tcPr>
          <w:p w14:paraId="663D2C57" w14:textId="77777777" w:rsidR="00623569" w:rsidRPr="00D61DA8" w:rsidRDefault="00623569" w:rsidP="001517F2">
            <w:pPr>
              <w:pStyle w:val="Paragraph"/>
              <w:spacing w:after="0" w:line="240" w:lineRule="auto"/>
              <w:jc w:val="right"/>
            </w:pPr>
            <w:r w:rsidRPr="00D61DA8">
              <w:t xml:space="preserve">$30,000 </w:t>
            </w:r>
          </w:p>
        </w:tc>
        <w:tc>
          <w:tcPr>
            <w:tcW w:w="1199" w:type="dxa"/>
            <w:shd w:val="clear" w:color="auto" w:fill="auto"/>
            <w:hideMark/>
          </w:tcPr>
          <w:p w14:paraId="53DAF8EB" w14:textId="77777777" w:rsidR="00623569" w:rsidRPr="00D61DA8" w:rsidRDefault="00623569" w:rsidP="001517F2">
            <w:pPr>
              <w:pStyle w:val="Paragraph"/>
              <w:spacing w:after="0" w:line="240" w:lineRule="auto"/>
              <w:jc w:val="right"/>
            </w:pPr>
          </w:p>
        </w:tc>
        <w:tc>
          <w:tcPr>
            <w:tcW w:w="1226" w:type="dxa"/>
            <w:shd w:val="clear" w:color="auto" w:fill="auto"/>
            <w:noWrap/>
            <w:hideMark/>
          </w:tcPr>
          <w:p w14:paraId="128C3E1E" w14:textId="77777777" w:rsidR="00623569" w:rsidRPr="00D61DA8" w:rsidRDefault="00623569" w:rsidP="001517F2">
            <w:pPr>
              <w:pStyle w:val="Paragraph"/>
              <w:spacing w:after="0" w:line="240" w:lineRule="auto"/>
              <w:jc w:val="right"/>
            </w:pPr>
            <w:r w:rsidRPr="00D61DA8">
              <w:t>4</w:t>
            </w:r>
          </w:p>
        </w:tc>
        <w:tc>
          <w:tcPr>
            <w:tcW w:w="1261" w:type="dxa"/>
            <w:shd w:val="clear" w:color="auto" w:fill="auto"/>
            <w:hideMark/>
          </w:tcPr>
          <w:p w14:paraId="2937CA35" w14:textId="77777777" w:rsidR="00623569" w:rsidRPr="00D61DA8" w:rsidRDefault="00623569" w:rsidP="001517F2">
            <w:pPr>
              <w:pStyle w:val="Paragraph"/>
              <w:spacing w:after="0" w:line="240" w:lineRule="auto"/>
              <w:jc w:val="right"/>
            </w:pPr>
          </w:p>
        </w:tc>
        <w:tc>
          <w:tcPr>
            <w:tcW w:w="1370" w:type="dxa"/>
            <w:shd w:val="clear" w:color="auto" w:fill="auto"/>
            <w:noWrap/>
            <w:hideMark/>
          </w:tcPr>
          <w:p w14:paraId="5C552DC4" w14:textId="77777777" w:rsidR="00623569" w:rsidRPr="00D61DA8" w:rsidRDefault="00623569" w:rsidP="001517F2">
            <w:pPr>
              <w:pStyle w:val="Paragraph"/>
              <w:spacing w:after="0" w:line="240" w:lineRule="auto"/>
              <w:jc w:val="right"/>
            </w:pPr>
            <w:r w:rsidRPr="00D61DA8">
              <w:t>$120,000</w:t>
            </w:r>
          </w:p>
        </w:tc>
      </w:tr>
      <w:tr w:rsidR="00E94DB1" w:rsidRPr="00D61DA8" w14:paraId="3C8ADE97" w14:textId="77777777" w:rsidTr="00E94DB1">
        <w:trPr>
          <w:gridAfter w:val="1"/>
          <w:cnfStyle w:val="000000100000" w:firstRow="0" w:lastRow="0" w:firstColumn="0" w:lastColumn="0" w:oddVBand="0" w:evenVBand="0" w:oddHBand="1" w:evenHBand="0" w:firstRowFirstColumn="0" w:firstRowLastColumn="0" w:lastRowFirstColumn="0" w:lastRowLastColumn="0"/>
          <w:wAfter w:w="20" w:type="dxa"/>
          <w:trHeight w:val="300"/>
        </w:trPr>
        <w:tc>
          <w:tcPr>
            <w:tcW w:w="3964" w:type="dxa"/>
            <w:shd w:val="clear" w:color="auto" w:fill="F2F2F2" w:themeFill="background1" w:themeFillShade="F2"/>
            <w:hideMark/>
          </w:tcPr>
          <w:p w14:paraId="346165BC" w14:textId="77777777" w:rsidR="00623569" w:rsidRPr="00D61DA8" w:rsidRDefault="00623569" w:rsidP="001517F2">
            <w:pPr>
              <w:pStyle w:val="Paragraph"/>
              <w:spacing w:after="0" w:line="240" w:lineRule="auto"/>
            </w:pPr>
            <w:r w:rsidRPr="00D61DA8">
              <w:t>Staff training</w:t>
            </w:r>
          </w:p>
        </w:tc>
        <w:tc>
          <w:tcPr>
            <w:tcW w:w="1134" w:type="dxa"/>
            <w:shd w:val="clear" w:color="auto" w:fill="F2F2F2" w:themeFill="background1" w:themeFillShade="F2"/>
            <w:hideMark/>
          </w:tcPr>
          <w:p w14:paraId="1788AEE6" w14:textId="77777777" w:rsidR="00623569" w:rsidRPr="00D61DA8" w:rsidRDefault="00623569" w:rsidP="001517F2">
            <w:pPr>
              <w:pStyle w:val="Paragraph"/>
              <w:spacing w:after="0" w:line="240" w:lineRule="auto"/>
              <w:jc w:val="right"/>
            </w:pPr>
          </w:p>
        </w:tc>
        <w:tc>
          <w:tcPr>
            <w:tcW w:w="1199" w:type="dxa"/>
            <w:shd w:val="clear" w:color="auto" w:fill="F2F2F2" w:themeFill="background1" w:themeFillShade="F2"/>
            <w:noWrap/>
            <w:hideMark/>
          </w:tcPr>
          <w:p w14:paraId="71AA599C" w14:textId="77777777" w:rsidR="00623569" w:rsidRPr="00D61DA8" w:rsidRDefault="00623569" w:rsidP="001517F2">
            <w:pPr>
              <w:pStyle w:val="Paragraph"/>
              <w:spacing w:after="0" w:line="240" w:lineRule="auto"/>
              <w:jc w:val="right"/>
            </w:pPr>
            <w:r w:rsidRPr="00D61DA8">
              <w:t>260</w:t>
            </w:r>
          </w:p>
        </w:tc>
        <w:tc>
          <w:tcPr>
            <w:tcW w:w="1226" w:type="dxa"/>
            <w:shd w:val="clear" w:color="auto" w:fill="F2F2F2" w:themeFill="background1" w:themeFillShade="F2"/>
            <w:noWrap/>
            <w:hideMark/>
          </w:tcPr>
          <w:p w14:paraId="2F3CAE62" w14:textId="77777777" w:rsidR="00623569" w:rsidRPr="00D61DA8" w:rsidRDefault="00623569" w:rsidP="001517F2">
            <w:pPr>
              <w:pStyle w:val="Paragraph"/>
              <w:spacing w:after="0" w:line="240" w:lineRule="auto"/>
              <w:jc w:val="right"/>
            </w:pPr>
            <w:r w:rsidRPr="00D61DA8">
              <w:t>4</w:t>
            </w:r>
          </w:p>
        </w:tc>
        <w:tc>
          <w:tcPr>
            <w:tcW w:w="1261" w:type="dxa"/>
            <w:shd w:val="clear" w:color="auto" w:fill="F2F2F2" w:themeFill="background1" w:themeFillShade="F2"/>
            <w:hideMark/>
          </w:tcPr>
          <w:p w14:paraId="45FAB10E" w14:textId="77777777" w:rsidR="00623569" w:rsidRPr="00D61DA8" w:rsidRDefault="00623569" w:rsidP="001517F2">
            <w:pPr>
              <w:pStyle w:val="Paragraph"/>
              <w:spacing w:after="0" w:line="240" w:lineRule="auto"/>
              <w:jc w:val="right"/>
            </w:pPr>
            <w:r w:rsidRPr="00D61DA8">
              <w:t xml:space="preserve">$73 </w:t>
            </w:r>
          </w:p>
        </w:tc>
        <w:tc>
          <w:tcPr>
            <w:tcW w:w="1370" w:type="dxa"/>
            <w:shd w:val="clear" w:color="auto" w:fill="F2F2F2" w:themeFill="background1" w:themeFillShade="F2"/>
            <w:noWrap/>
            <w:hideMark/>
          </w:tcPr>
          <w:p w14:paraId="3D673C8E" w14:textId="77777777" w:rsidR="00623569" w:rsidRPr="00D61DA8" w:rsidRDefault="00623569" w:rsidP="001517F2">
            <w:pPr>
              <w:pStyle w:val="Paragraph"/>
              <w:spacing w:after="0" w:line="240" w:lineRule="auto"/>
              <w:jc w:val="right"/>
            </w:pPr>
            <w:r w:rsidRPr="00D61DA8">
              <w:t>$75,920</w:t>
            </w:r>
          </w:p>
        </w:tc>
      </w:tr>
      <w:tr w:rsidR="00623569" w:rsidRPr="00D61DA8" w14:paraId="4E31FE95" w14:textId="77777777" w:rsidTr="00375D95">
        <w:trPr>
          <w:cnfStyle w:val="000000010000" w:firstRow="0" w:lastRow="0" w:firstColumn="0" w:lastColumn="0" w:oddVBand="0" w:evenVBand="0" w:oddHBand="0" w:evenHBand="1" w:firstRowFirstColumn="0" w:firstRowLastColumn="0" w:lastRowFirstColumn="0" w:lastRowLastColumn="0"/>
          <w:trHeight w:val="315"/>
        </w:trPr>
        <w:tc>
          <w:tcPr>
            <w:tcW w:w="8784" w:type="dxa"/>
            <w:gridSpan w:val="5"/>
            <w:shd w:val="clear" w:color="auto" w:fill="auto"/>
            <w:hideMark/>
          </w:tcPr>
          <w:p w14:paraId="368A19E0" w14:textId="77777777" w:rsidR="00623569" w:rsidRPr="00D61DA8" w:rsidRDefault="00623569" w:rsidP="001517F2">
            <w:pPr>
              <w:pStyle w:val="Paragraph"/>
              <w:spacing w:after="0" w:line="240" w:lineRule="auto"/>
            </w:pPr>
            <w:r w:rsidRPr="00D61DA8">
              <w:rPr>
                <w:b/>
                <w:bCs/>
              </w:rPr>
              <w:t>TOTAL</w:t>
            </w:r>
          </w:p>
        </w:tc>
        <w:tc>
          <w:tcPr>
            <w:tcW w:w="1390" w:type="dxa"/>
            <w:gridSpan w:val="2"/>
            <w:shd w:val="clear" w:color="auto" w:fill="auto"/>
            <w:noWrap/>
            <w:hideMark/>
          </w:tcPr>
          <w:p w14:paraId="6B0F8A1A" w14:textId="77777777" w:rsidR="00623569" w:rsidRPr="00D61DA8" w:rsidRDefault="00623569" w:rsidP="001517F2">
            <w:pPr>
              <w:pStyle w:val="Paragraph"/>
              <w:spacing w:after="0" w:line="240" w:lineRule="auto"/>
              <w:jc w:val="right"/>
              <w:rPr>
                <w:b/>
                <w:bCs/>
              </w:rPr>
            </w:pPr>
            <w:r w:rsidRPr="00D61DA8">
              <w:rPr>
                <w:b/>
                <w:bCs/>
              </w:rPr>
              <w:t>$195,920</w:t>
            </w:r>
          </w:p>
        </w:tc>
      </w:tr>
      <w:tr w:rsidR="00623569" w:rsidRPr="00D61DA8" w14:paraId="566DFD3D" w14:textId="77777777" w:rsidTr="00E94DB1">
        <w:trPr>
          <w:cnfStyle w:val="000000100000" w:firstRow="0" w:lastRow="0" w:firstColumn="0" w:lastColumn="0" w:oddVBand="0" w:evenVBand="0" w:oddHBand="1" w:evenHBand="0" w:firstRowFirstColumn="0" w:firstRowLastColumn="0" w:lastRowFirstColumn="0" w:lastRowLastColumn="0"/>
          <w:trHeight w:val="315"/>
        </w:trPr>
        <w:tc>
          <w:tcPr>
            <w:tcW w:w="8784" w:type="dxa"/>
            <w:gridSpan w:val="5"/>
            <w:shd w:val="clear" w:color="auto" w:fill="F2F2F2" w:themeFill="background1" w:themeFillShade="F2"/>
            <w:hideMark/>
          </w:tcPr>
          <w:p w14:paraId="6F006CC6" w14:textId="77777777" w:rsidR="00623569" w:rsidRPr="00D61DA8" w:rsidRDefault="00623569" w:rsidP="001517F2">
            <w:pPr>
              <w:pStyle w:val="Paragraph"/>
              <w:spacing w:after="0" w:line="240" w:lineRule="auto"/>
            </w:pPr>
            <w:r w:rsidRPr="00D61DA8">
              <w:rPr>
                <w:b/>
                <w:bCs/>
              </w:rPr>
              <w:t>Small CSPs</w:t>
            </w:r>
          </w:p>
        </w:tc>
        <w:tc>
          <w:tcPr>
            <w:tcW w:w="1390" w:type="dxa"/>
            <w:gridSpan w:val="2"/>
            <w:shd w:val="clear" w:color="auto" w:fill="F2F2F2" w:themeFill="background1" w:themeFillShade="F2"/>
            <w:noWrap/>
            <w:hideMark/>
          </w:tcPr>
          <w:p w14:paraId="7E59CF2D" w14:textId="77777777" w:rsidR="00623569" w:rsidRPr="00D61DA8" w:rsidRDefault="00623569" w:rsidP="001517F2">
            <w:pPr>
              <w:pStyle w:val="Paragraph"/>
              <w:spacing w:after="0" w:line="240" w:lineRule="auto"/>
            </w:pPr>
          </w:p>
        </w:tc>
      </w:tr>
      <w:tr w:rsidR="00623569" w:rsidRPr="00D61DA8" w14:paraId="72A1A121" w14:textId="77777777" w:rsidTr="00375D95">
        <w:trPr>
          <w:gridAfter w:val="1"/>
          <w:cnfStyle w:val="000000010000" w:firstRow="0" w:lastRow="0" w:firstColumn="0" w:lastColumn="0" w:oddVBand="0" w:evenVBand="0" w:oddHBand="0" w:evenHBand="1" w:firstRowFirstColumn="0" w:firstRowLastColumn="0" w:lastRowFirstColumn="0" w:lastRowLastColumn="0"/>
          <w:wAfter w:w="20" w:type="dxa"/>
          <w:trHeight w:val="540"/>
        </w:trPr>
        <w:tc>
          <w:tcPr>
            <w:tcW w:w="3964" w:type="dxa"/>
            <w:shd w:val="clear" w:color="auto" w:fill="auto"/>
            <w:hideMark/>
          </w:tcPr>
          <w:p w14:paraId="5498EBCB" w14:textId="77777777" w:rsidR="00623569" w:rsidRPr="00D61DA8" w:rsidRDefault="00623569" w:rsidP="001517F2">
            <w:pPr>
              <w:pStyle w:val="Paragraph"/>
              <w:spacing w:after="0" w:line="240" w:lineRule="auto"/>
            </w:pPr>
            <w:r w:rsidRPr="00D61DA8">
              <w:t>Automate manual systems to enhance processes</w:t>
            </w:r>
          </w:p>
        </w:tc>
        <w:tc>
          <w:tcPr>
            <w:tcW w:w="1134" w:type="dxa"/>
            <w:shd w:val="clear" w:color="auto" w:fill="auto"/>
            <w:hideMark/>
          </w:tcPr>
          <w:p w14:paraId="099AB466" w14:textId="77777777" w:rsidR="00623569" w:rsidRPr="00D61DA8" w:rsidRDefault="00623569" w:rsidP="001517F2">
            <w:pPr>
              <w:pStyle w:val="Paragraph"/>
              <w:spacing w:after="0" w:line="240" w:lineRule="auto"/>
              <w:jc w:val="right"/>
            </w:pPr>
            <w:r w:rsidRPr="00D61DA8">
              <w:t xml:space="preserve">$4,000 </w:t>
            </w:r>
          </w:p>
        </w:tc>
        <w:tc>
          <w:tcPr>
            <w:tcW w:w="1199" w:type="dxa"/>
            <w:shd w:val="clear" w:color="auto" w:fill="auto"/>
            <w:hideMark/>
          </w:tcPr>
          <w:p w14:paraId="0F0764E1" w14:textId="77777777" w:rsidR="00623569" w:rsidRPr="00D61DA8" w:rsidRDefault="00623569" w:rsidP="001517F2">
            <w:pPr>
              <w:pStyle w:val="Paragraph"/>
              <w:spacing w:after="0" w:line="240" w:lineRule="auto"/>
              <w:jc w:val="right"/>
            </w:pPr>
          </w:p>
        </w:tc>
        <w:tc>
          <w:tcPr>
            <w:tcW w:w="1226" w:type="dxa"/>
            <w:shd w:val="clear" w:color="auto" w:fill="auto"/>
            <w:noWrap/>
            <w:hideMark/>
          </w:tcPr>
          <w:p w14:paraId="29B5CB94" w14:textId="77777777" w:rsidR="00623569" w:rsidRPr="00D61DA8" w:rsidRDefault="00623569" w:rsidP="001517F2">
            <w:pPr>
              <w:pStyle w:val="Paragraph"/>
              <w:spacing w:after="0" w:line="240" w:lineRule="auto"/>
              <w:jc w:val="right"/>
            </w:pPr>
            <w:r w:rsidRPr="00D61DA8">
              <w:t>27</w:t>
            </w:r>
          </w:p>
        </w:tc>
        <w:tc>
          <w:tcPr>
            <w:tcW w:w="1261" w:type="dxa"/>
            <w:shd w:val="clear" w:color="auto" w:fill="auto"/>
            <w:hideMark/>
          </w:tcPr>
          <w:p w14:paraId="3E4FBD50" w14:textId="77777777" w:rsidR="00623569" w:rsidRPr="00D61DA8" w:rsidRDefault="00623569" w:rsidP="001517F2">
            <w:pPr>
              <w:pStyle w:val="Paragraph"/>
              <w:spacing w:after="0" w:line="240" w:lineRule="auto"/>
              <w:jc w:val="right"/>
            </w:pPr>
          </w:p>
        </w:tc>
        <w:tc>
          <w:tcPr>
            <w:tcW w:w="1370" w:type="dxa"/>
            <w:shd w:val="clear" w:color="auto" w:fill="auto"/>
            <w:noWrap/>
            <w:hideMark/>
          </w:tcPr>
          <w:p w14:paraId="141E8A05" w14:textId="77777777" w:rsidR="00623569" w:rsidRPr="00D61DA8" w:rsidRDefault="00623569" w:rsidP="001517F2">
            <w:pPr>
              <w:pStyle w:val="Paragraph"/>
              <w:spacing w:after="0" w:line="240" w:lineRule="auto"/>
              <w:jc w:val="right"/>
            </w:pPr>
            <w:r w:rsidRPr="00D61DA8">
              <w:t>$108,000</w:t>
            </w:r>
          </w:p>
        </w:tc>
      </w:tr>
      <w:tr w:rsidR="00E94DB1" w:rsidRPr="00D61DA8" w14:paraId="1A704B69" w14:textId="77777777" w:rsidTr="00E94DB1">
        <w:trPr>
          <w:gridAfter w:val="1"/>
          <w:cnfStyle w:val="000000100000" w:firstRow="0" w:lastRow="0" w:firstColumn="0" w:lastColumn="0" w:oddVBand="0" w:evenVBand="0" w:oddHBand="1" w:evenHBand="0" w:firstRowFirstColumn="0" w:firstRowLastColumn="0" w:lastRowFirstColumn="0" w:lastRowLastColumn="0"/>
          <w:wAfter w:w="20" w:type="dxa"/>
          <w:trHeight w:val="270"/>
        </w:trPr>
        <w:tc>
          <w:tcPr>
            <w:tcW w:w="3964" w:type="dxa"/>
            <w:shd w:val="clear" w:color="auto" w:fill="F2F2F2" w:themeFill="background1" w:themeFillShade="F2"/>
            <w:hideMark/>
          </w:tcPr>
          <w:p w14:paraId="3DAF5B7C" w14:textId="77777777" w:rsidR="00623569" w:rsidRPr="00D61DA8" w:rsidRDefault="00623569" w:rsidP="001517F2">
            <w:pPr>
              <w:pStyle w:val="Paragraph"/>
              <w:spacing w:after="0" w:line="240" w:lineRule="auto"/>
            </w:pPr>
            <w:r w:rsidRPr="00D61DA8">
              <w:t>Staff training</w:t>
            </w:r>
          </w:p>
        </w:tc>
        <w:tc>
          <w:tcPr>
            <w:tcW w:w="1134" w:type="dxa"/>
            <w:shd w:val="clear" w:color="auto" w:fill="F2F2F2" w:themeFill="background1" w:themeFillShade="F2"/>
            <w:hideMark/>
          </w:tcPr>
          <w:p w14:paraId="0B557E7D" w14:textId="77777777" w:rsidR="00623569" w:rsidRPr="00D61DA8" w:rsidRDefault="00623569" w:rsidP="001517F2">
            <w:pPr>
              <w:pStyle w:val="Paragraph"/>
              <w:spacing w:after="0" w:line="240" w:lineRule="auto"/>
              <w:jc w:val="right"/>
            </w:pPr>
          </w:p>
        </w:tc>
        <w:tc>
          <w:tcPr>
            <w:tcW w:w="1199" w:type="dxa"/>
            <w:shd w:val="clear" w:color="auto" w:fill="F2F2F2" w:themeFill="background1" w:themeFillShade="F2"/>
            <w:noWrap/>
            <w:hideMark/>
          </w:tcPr>
          <w:p w14:paraId="69E23E1A" w14:textId="77777777" w:rsidR="00623569" w:rsidRPr="00D61DA8" w:rsidRDefault="00623569" w:rsidP="001517F2">
            <w:pPr>
              <w:pStyle w:val="Paragraph"/>
              <w:spacing w:after="0" w:line="240" w:lineRule="auto"/>
              <w:jc w:val="right"/>
            </w:pPr>
            <w:r w:rsidRPr="00D61DA8">
              <w:t>220</w:t>
            </w:r>
          </w:p>
        </w:tc>
        <w:tc>
          <w:tcPr>
            <w:tcW w:w="1226" w:type="dxa"/>
            <w:shd w:val="clear" w:color="auto" w:fill="F2F2F2" w:themeFill="background1" w:themeFillShade="F2"/>
            <w:noWrap/>
            <w:hideMark/>
          </w:tcPr>
          <w:p w14:paraId="27754A3B" w14:textId="77777777" w:rsidR="00623569" w:rsidRPr="00D61DA8" w:rsidRDefault="00623569" w:rsidP="001517F2">
            <w:pPr>
              <w:pStyle w:val="Paragraph"/>
              <w:spacing w:after="0" w:line="240" w:lineRule="auto"/>
              <w:jc w:val="right"/>
            </w:pPr>
            <w:r w:rsidRPr="00D61DA8">
              <w:t>27</w:t>
            </w:r>
          </w:p>
        </w:tc>
        <w:tc>
          <w:tcPr>
            <w:tcW w:w="1261" w:type="dxa"/>
            <w:shd w:val="clear" w:color="auto" w:fill="F2F2F2" w:themeFill="background1" w:themeFillShade="F2"/>
            <w:hideMark/>
          </w:tcPr>
          <w:p w14:paraId="59AD8AA8" w14:textId="77777777" w:rsidR="00623569" w:rsidRPr="00D61DA8" w:rsidRDefault="00623569" w:rsidP="001517F2">
            <w:pPr>
              <w:pStyle w:val="Paragraph"/>
              <w:spacing w:after="0" w:line="240" w:lineRule="auto"/>
              <w:jc w:val="right"/>
            </w:pPr>
            <w:r w:rsidRPr="00D61DA8">
              <w:t xml:space="preserve">$73 </w:t>
            </w:r>
          </w:p>
        </w:tc>
        <w:tc>
          <w:tcPr>
            <w:tcW w:w="1370" w:type="dxa"/>
            <w:shd w:val="clear" w:color="auto" w:fill="F2F2F2" w:themeFill="background1" w:themeFillShade="F2"/>
            <w:noWrap/>
            <w:hideMark/>
          </w:tcPr>
          <w:p w14:paraId="71AD24F9" w14:textId="77777777" w:rsidR="00623569" w:rsidRPr="00D61DA8" w:rsidRDefault="00623569" w:rsidP="001517F2">
            <w:pPr>
              <w:pStyle w:val="Paragraph"/>
              <w:spacing w:after="0" w:line="240" w:lineRule="auto"/>
              <w:jc w:val="right"/>
            </w:pPr>
            <w:r w:rsidRPr="00D61DA8">
              <w:t>$433,620</w:t>
            </w:r>
          </w:p>
        </w:tc>
      </w:tr>
      <w:tr w:rsidR="00623569" w:rsidRPr="00D61DA8" w14:paraId="11657A5A" w14:textId="77777777" w:rsidTr="00375D95">
        <w:trPr>
          <w:cnfStyle w:val="000000010000" w:firstRow="0" w:lastRow="0" w:firstColumn="0" w:lastColumn="0" w:oddVBand="0" w:evenVBand="0" w:oddHBand="0" w:evenHBand="1" w:firstRowFirstColumn="0" w:firstRowLastColumn="0" w:lastRowFirstColumn="0" w:lastRowLastColumn="0"/>
          <w:trHeight w:val="270"/>
        </w:trPr>
        <w:tc>
          <w:tcPr>
            <w:tcW w:w="8784" w:type="dxa"/>
            <w:gridSpan w:val="5"/>
            <w:shd w:val="clear" w:color="auto" w:fill="auto"/>
            <w:hideMark/>
          </w:tcPr>
          <w:p w14:paraId="6109C4CC" w14:textId="77777777" w:rsidR="00623569" w:rsidRPr="00D61DA8" w:rsidRDefault="00623569" w:rsidP="001517F2">
            <w:pPr>
              <w:pStyle w:val="Paragraph"/>
              <w:spacing w:after="0" w:line="240" w:lineRule="auto"/>
            </w:pPr>
            <w:r w:rsidRPr="00D61DA8">
              <w:rPr>
                <w:b/>
                <w:bCs/>
              </w:rPr>
              <w:t>TOTAL</w:t>
            </w:r>
          </w:p>
        </w:tc>
        <w:tc>
          <w:tcPr>
            <w:tcW w:w="1390" w:type="dxa"/>
            <w:gridSpan w:val="2"/>
            <w:shd w:val="clear" w:color="auto" w:fill="auto"/>
            <w:noWrap/>
            <w:hideMark/>
          </w:tcPr>
          <w:p w14:paraId="4ECFB527" w14:textId="77777777" w:rsidR="00623569" w:rsidRPr="00D61DA8" w:rsidRDefault="00623569" w:rsidP="001517F2">
            <w:pPr>
              <w:pStyle w:val="Paragraph"/>
              <w:spacing w:after="0" w:line="240" w:lineRule="auto"/>
              <w:jc w:val="right"/>
              <w:rPr>
                <w:b/>
                <w:bCs/>
              </w:rPr>
            </w:pPr>
            <w:r w:rsidRPr="00D61DA8">
              <w:rPr>
                <w:b/>
                <w:bCs/>
              </w:rPr>
              <w:t>$541,620</w:t>
            </w:r>
          </w:p>
        </w:tc>
      </w:tr>
      <w:tr w:rsidR="00623569" w:rsidRPr="00D61DA8" w14:paraId="73D6DCBA" w14:textId="77777777" w:rsidTr="00E94DB1">
        <w:trPr>
          <w:cnfStyle w:val="000000100000" w:firstRow="0" w:lastRow="0" w:firstColumn="0" w:lastColumn="0" w:oddVBand="0" w:evenVBand="0" w:oddHBand="1" w:evenHBand="0" w:firstRowFirstColumn="0" w:firstRowLastColumn="0" w:lastRowFirstColumn="0" w:lastRowLastColumn="0"/>
          <w:trHeight w:val="270"/>
        </w:trPr>
        <w:tc>
          <w:tcPr>
            <w:tcW w:w="10174" w:type="dxa"/>
            <w:gridSpan w:val="7"/>
            <w:shd w:val="clear" w:color="auto" w:fill="F2F2F2" w:themeFill="background1" w:themeFillShade="F2"/>
            <w:hideMark/>
          </w:tcPr>
          <w:p w14:paraId="7D1398B9" w14:textId="77777777" w:rsidR="00623569" w:rsidRPr="00D61DA8" w:rsidRDefault="00623569" w:rsidP="001517F2">
            <w:pPr>
              <w:pStyle w:val="Paragraph"/>
              <w:spacing w:after="0" w:line="240" w:lineRule="auto"/>
            </w:pPr>
            <w:r w:rsidRPr="00D61DA8">
              <w:rPr>
                <w:b/>
                <w:bCs/>
              </w:rPr>
              <w:t xml:space="preserve">Very </w:t>
            </w:r>
            <w:r>
              <w:rPr>
                <w:b/>
                <w:bCs/>
              </w:rPr>
              <w:t>s</w:t>
            </w:r>
            <w:r w:rsidRPr="00D61DA8">
              <w:rPr>
                <w:b/>
                <w:bCs/>
              </w:rPr>
              <w:t>mall CSPs</w:t>
            </w:r>
          </w:p>
        </w:tc>
      </w:tr>
      <w:tr w:rsidR="00623569" w:rsidRPr="00D61DA8" w14:paraId="0B25F64F" w14:textId="77777777" w:rsidTr="00375D95">
        <w:trPr>
          <w:gridAfter w:val="1"/>
          <w:cnfStyle w:val="000000010000" w:firstRow="0" w:lastRow="0" w:firstColumn="0" w:lastColumn="0" w:oddVBand="0" w:evenVBand="0" w:oddHBand="0" w:evenHBand="1" w:firstRowFirstColumn="0" w:firstRowLastColumn="0" w:lastRowFirstColumn="0" w:lastRowLastColumn="0"/>
          <w:wAfter w:w="20" w:type="dxa"/>
          <w:trHeight w:val="540"/>
        </w:trPr>
        <w:tc>
          <w:tcPr>
            <w:tcW w:w="3964" w:type="dxa"/>
            <w:shd w:val="clear" w:color="auto" w:fill="auto"/>
            <w:hideMark/>
          </w:tcPr>
          <w:p w14:paraId="14DEBE97" w14:textId="77777777" w:rsidR="00623569" w:rsidRPr="00D61DA8" w:rsidRDefault="00623569" w:rsidP="001517F2">
            <w:pPr>
              <w:pStyle w:val="Paragraph"/>
              <w:spacing w:after="0" w:line="240" w:lineRule="auto"/>
            </w:pPr>
            <w:r w:rsidRPr="00D61DA8">
              <w:t>Automate manual systems to enhance processes</w:t>
            </w:r>
          </w:p>
        </w:tc>
        <w:tc>
          <w:tcPr>
            <w:tcW w:w="1134" w:type="dxa"/>
            <w:shd w:val="clear" w:color="auto" w:fill="auto"/>
            <w:hideMark/>
          </w:tcPr>
          <w:p w14:paraId="40425370" w14:textId="77777777" w:rsidR="00623569" w:rsidRPr="00D61DA8" w:rsidRDefault="00623569" w:rsidP="001517F2">
            <w:pPr>
              <w:pStyle w:val="Paragraph"/>
              <w:spacing w:after="0" w:line="240" w:lineRule="auto"/>
              <w:jc w:val="right"/>
            </w:pPr>
            <w:r w:rsidRPr="00D61DA8">
              <w:t xml:space="preserve">$2,000 </w:t>
            </w:r>
          </w:p>
        </w:tc>
        <w:tc>
          <w:tcPr>
            <w:tcW w:w="1199" w:type="dxa"/>
            <w:shd w:val="clear" w:color="auto" w:fill="auto"/>
            <w:hideMark/>
          </w:tcPr>
          <w:p w14:paraId="4B87CC73" w14:textId="77777777" w:rsidR="00623569" w:rsidRPr="00D61DA8" w:rsidRDefault="00623569" w:rsidP="001517F2">
            <w:pPr>
              <w:pStyle w:val="Paragraph"/>
              <w:spacing w:after="0" w:line="240" w:lineRule="auto"/>
              <w:jc w:val="right"/>
            </w:pPr>
          </w:p>
        </w:tc>
        <w:tc>
          <w:tcPr>
            <w:tcW w:w="1226" w:type="dxa"/>
            <w:shd w:val="clear" w:color="auto" w:fill="auto"/>
            <w:noWrap/>
            <w:hideMark/>
          </w:tcPr>
          <w:p w14:paraId="33BB2CAC" w14:textId="77777777" w:rsidR="00623569" w:rsidRPr="00D61DA8" w:rsidRDefault="00623569" w:rsidP="001517F2">
            <w:pPr>
              <w:pStyle w:val="Paragraph"/>
              <w:spacing w:after="0" w:line="240" w:lineRule="auto"/>
              <w:jc w:val="right"/>
            </w:pPr>
            <w:r w:rsidRPr="00D61DA8">
              <w:t>317</w:t>
            </w:r>
          </w:p>
        </w:tc>
        <w:tc>
          <w:tcPr>
            <w:tcW w:w="1261" w:type="dxa"/>
            <w:shd w:val="clear" w:color="auto" w:fill="auto"/>
            <w:hideMark/>
          </w:tcPr>
          <w:p w14:paraId="2EAD949B" w14:textId="77777777" w:rsidR="00623569" w:rsidRPr="00D61DA8" w:rsidRDefault="00623569" w:rsidP="001517F2">
            <w:pPr>
              <w:pStyle w:val="Paragraph"/>
              <w:spacing w:after="0" w:line="240" w:lineRule="auto"/>
              <w:jc w:val="right"/>
            </w:pPr>
          </w:p>
        </w:tc>
        <w:tc>
          <w:tcPr>
            <w:tcW w:w="1370" w:type="dxa"/>
            <w:shd w:val="clear" w:color="auto" w:fill="auto"/>
            <w:noWrap/>
            <w:hideMark/>
          </w:tcPr>
          <w:p w14:paraId="542ADB25" w14:textId="77777777" w:rsidR="00623569" w:rsidRPr="00D61DA8" w:rsidRDefault="00623569" w:rsidP="001517F2">
            <w:pPr>
              <w:pStyle w:val="Paragraph"/>
              <w:spacing w:after="0" w:line="240" w:lineRule="auto"/>
              <w:jc w:val="right"/>
            </w:pPr>
            <w:r w:rsidRPr="00D61DA8">
              <w:t>$634,000</w:t>
            </w:r>
          </w:p>
        </w:tc>
      </w:tr>
      <w:tr w:rsidR="00E94DB1" w:rsidRPr="00D61DA8" w14:paraId="1116AC3E" w14:textId="77777777" w:rsidTr="00E94DB1">
        <w:trPr>
          <w:gridAfter w:val="1"/>
          <w:cnfStyle w:val="000000100000" w:firstRow="0" w:lastRow="0" w:firstColumn="0" w:lastColumn="0" w:oddVBand="0" w:evenVBand="0" w:oddHBand="1" w:evenHBand="0" w:firstRowFirstColumn="0" w:firstRowLastColumn="0" w:lastRowFirstColumn="0" w:lastRowLastColumn="0"/>
          <w:wAfter w:w="20" w:type="dxa"/>
          <w:trHeight w:val="270"/>
        </w:trPr>
        <w:tc>
          <w:tcPr>
            <w:tcW w:w="3964" w:type="dxa"/>
            <w:shd w:val="clear" w:color="auto" w:fill="F2F2F2" w:themeFill="background1" w:themeFillShade="F2"/>
            <w:hideMark/>
          </w:tcPr>
          <w:p w14:paraId="4A66DC56" w14:textId="77777777" w:rsidR="00623569" w:rsidRPr="00D61DA8" w:rsidRDefault="00623569" w:rsidP="001517F2">
            <w:pPr>
              <w:pStyle w:val="Paragraph"/>
              <w:spacing w:after="0" w:line="240" w:lineRule="auto"/>
            </w:pPr>
            <w:r w:rsidRPr="00D61DA8">
              <w:t>Staff training</w:t>
            </w:r>
          </w:p>
        </w:tc>
        <w:tc>
          <w:tcPr>
            <w:tcW w:w="1134" w:type="dxa"/>
            <w:shd w:val="clear" w:color="auto" w:fill="F2F2F2" w:themeFill="background1" w:themeFillShade="F2"/>
            <w:hideMark/>
          </w:tcPr>
          <w:p w14:paraId="671FAC73" w14:textId="77777777" w:rsidR="00623569" w:rsidRPr="00D61DA8" w:rsidRDefault="00623569" w:rsidP="001517F2">
            <w:pPr>
              <w:pStyle w:val="Paragraph"/>
              <w:spacing w:after="0" w:line="240" w:lineRule="auto"/>
              <w:jc w:val="right"/>
            </w:pPr>
          </w:p>
        </w:tc>
        <w:tc>
          <w:tcPr>
            <w:tcW w:w="1199" w:type="dxa"/>
            <w:shd w:val="clear" w:color="auto" w:fill="F2F2F2" w:themeFill="background1" w:themeFillShade="F2"/>
            <w:noWrap/>
            <w:hideMark/>
          </w:tcPr>
          <w:p w14:paraId="4527B67B" w14:textId="77777777" w:rsidR="00623569" w:rsidRPr="00D61DA8" w:rsidRDefault="00623569" w:rsidP="001517F2">
            <w:pPr>
              <w:pStyle w:val="Paragraph"/>
              <w:spacing w:after="0" w:line="240" w:lineRule="auto"/>
              <w:jc w:val="right"/>
            </w:pPr>
            <w:r w:rsidRPr="00D61DA8">
              <w:t>180</w:t>
            </w:r>
          </w:p>
        </w:tc>
        <w:tc>
          <w:tcPr>
            <w:tcW w:w="1226" w:type="dxa"/>
            <w:shd w:val="clear" w:color="auto" w:fill="F2F2F2" w:themeFill="background1" w:themeFillShade="F2"/>
            <w:noWrap/>
            <w:hideMark/>
          </w:tcPr>
          <w:p w14:paraId="1F906C72" w14:textId="77777777" w:rsidR="00623569" w:rsidRPr="00D61DA8" w:rsidRDefault="00623569" w:rsidP="001517F2">
            <w:pPr>
              <w:pStyle w:val="Paragraph"/>
              <w:spacing w:after="0" w:line="240" w:lineRule="auto"/>
              <w:jc w:val="right"/>
            </w:pPr>
            <w:r w:rsidRPr="00D61DA8">
              <w:t>317</w:t>
            </w:r>
          </w:p>
        </w:tc>
        <w:tc>
          <w:tcPr>
            <w:tcW w:w="1261" w:type="dxa"/>
            <w:shd w:val="clear" w:color="auto" w:fill="F2F2F2" w:themeFill="background1" w:themeFillShade="F2"/>
            <w:hideMark/>
          </w:tcPr>
          <w:p w14:paraId="029D0A24" w14:textId="77777777" w:rsidR="00623569" w:rsidRPr="00D61DA8" w:rsidRDefault="00623569" w:rsidP="001517F2">
            <w:pPr>
              <w:pStyle w:val="Paragraph"/>
              <w:spacing w:after="0" w:line="240" w:lineRule="auto"/>
              <w:jc w:val="right"/>
            </w:pPr>
            <w:r w:rsidRPr="00D61DA8">
              <w:t xml:space="preserve">$73 </w:t>
            </w:r>
          </w:p>
        </w:tc>
        <w:tc>
          <w:tcPr>
            <w:tcW w:w="1370" w:type="dxa"/>
            <w:shd w:val="clear" w:color="auto" w:fill="F2F2F2" w:themeFill="background1" w:themeFillShade="F2"/>
            <w:noWrap/>
            <w:hideMark/>
          </w:tcPr>
          <w:p w14:paraId="5D9AA772" w14:textId="77777777" w:rsidR="00623569" w:rsidRPr="00D61DA8" w:rsidRDefault="00623569" w:rsidP="001517F2">
            <w:pPr>
              <w:pStyle w:val="Paragraph"/>
              <w:spacing w:after="0" w:line="240" w:lineRule="auto"/>
              <w:jc w:val="right"/>
            </w:pPr>
            <w:r w:rsidRPr="00D61DA8">
              <w:t>$4,165,380</w:t>
            </w:r>
          </w:p>
        </w:tc>
      </w:tr>
      <w:tr w:rsidR="00623569" w:rsidRPr="00D61DA8" w14:paraId="59B033F7" w14:textId="77777777" w:rsidTr="00375D95">
        <w:trPr>
          <w:cnfStyle w:val="000000010000" w:firstRow="0" w:lastRow="0" w:firstColumn="0" w:lastColumn="0" w:oddVBand="0" w:evenVBand="0" w:oddHBand="0" w:evenHBand="1" w:firstRowFirstColumn="0" w:firstRowLastColumn="0" w:lastRowFirstColumn="0" w:lastRowLastColumn="0"/>
          <w:trHeight w:val="270"/>
        </w:trPr>
        <w:tc>
          <w:tcPr>
            <w:tcW w:w="8784" w:type="dxa"/>
            <w:gridSpan w:val="5"/>
            <w:shd w:val="clear" w:color="auto" w:fill="auto"/>
            <w:hideMark/>
          </w:tcPr>
          <w:p w14:paraId="2DDA7940" w14:textId="77777777" w:rsidR="00623569" w:rsidRPr="00D61DA8" w:rsidRDefault="00623569" w:rsidP="001517F2">
            <w:pPr>
              <w:pStyle w:val="Paragraph"/>
              <w:spacing w:after="0" w:line="240" w:lineRule="auto"/>
            </w:pPr>
            <w:r w:rsidRPr="00D61DA8">
              <w:rPr>
                <w:b/>
                <w:bCs/>
              </w:rPr>
              <w:t>TOTAL</w:t>
            </w:r>
          </w:p>
        </w:tc>
        <w:tc>
          <w:tcPr>
            <w:tcW w:w="1390" w:type="dxa"/>
            <w:gridSpan w:val="2"/>
            <w:shd w:val="clear" w:color="auto" w:fill="auto"/>
            <w:noWrap/>
            <w:hideMark/>
          </w:tcPr>
          <w:p w14:paraId="316A64F7" w14:textId="77777777" w:rsidR="00623569" w:rsidRPr="00D61DA8" w:rsidRDefault="00623569" w:rsidP="001517F2">
            <w:pPr>
              <w:pStyle w:val="Paragraph"/>
              <w:spacing w:after="0" w:line="240" w:lineRule="auto"/>
              <w:jc w:val="right"/>
              <w:rPr>
                <w:b/>
                <w:bCs/>
              </w:rPr>
            </w:pPr>
            <w:r w:rsidRPr="00D61DA8">
              <w:rPr>
                <w:b/>
                <w:bCs/>
              </w:rPr>
              <w:t>$4,799,380</w:t>
            </w:r>
          </w:p>
        </w:tc>
      </w:tr>
      <w:tr w:rsidR="00623569" w:rsidRPr="00D61DA8" w14:paraId="5A3849F0" w14:textId="77777777" w:rsidTr="00E94DB1">
        <w:trPr>
          <w:cnfStyle w:val="000000100000" w:firstRow="0" w:lastRow="0" w:firstColumn="0" w:lastColumn="0" w:oddVBand="0" w:evenVBand="0" w:oddHBand="1" w:evenHBand="0" w:firstRowFirstColumn="0" w:firstRowLastColumn="0" w:lastRowFirstColumn="0" w:lastRowLastColumn="0"/>
          <w:trHeight w:val="270"/>
        </w:trPr>
        <w:tc>
          <w:tcPr>
            <w:tcW w:w="8784" w:type="dxa"/>
            <w:gridSpan w:val="5"/>
            <w:shd w:val="clear" w:color="auto" w:fill="F2F2F2" w:themeFill="background1" w:themeFillShade="F2"/>
            <w:hideMark/>
          </w:tcPr>
          <w:p w14:paraId="57C67B92" w14:textId="77777777" w:rsidR="00623569" w:rsidRPr="00D61DA8" w:rsidRDefault="00623569" w:rsidP="001517F2">
            <w:pPr>
              <w:pStyle w:val="Paragraph"/>
              <w:spacing w:after="0" w:line="240" w:lineRule="auto"/>
              <w:rPr>
                <w:b/>
                <w:bCs/>
              </w:rPr>
            </w:pPr>
            <w:r>
              <w:rPr>
                <w:b/>
                <w:bCs/>
              </w:rPr>
              <w:t>Total Year 1 costs for CSPs under Option 2B</w:t>
            </w:r>
          </w:p>
        </w:tc>
        <w:tc>
          <w:tcPr>
            <w:tcW w:w="1390" w:type="dxa"/>
            <w:gridSpan w:val="2"/>
            <w:shd w:val="clear" w:color="auto" w:fill="F2F2F2" w:themeFill="background1" w:themeFillShade="F2"/>
            <w:noWrap/>
            <w:hideMark/>
          </w:tcPr>
          <w:p w14:paraId="747F7F01" w14:textId="77777777" w:rsidR="00623569" w:rsidRPr="00D61DA8" w:rsidRDefault="00623569" w:rsidP="001517F2">
            <w:pPr>
              <w:pStyle w:val="Paragraph"/>
              <w:spacing w:after="0" w:line="240" w:lineRule="auto"/>
              <w:jc w:val="right"/>
              <w:rPr>
                <w:b/>
                <w:bCs/>
              </w:rPr>
            </w:pPr>
            <w:r w:rsidRPr="00D61DA8">
              <w:rPr>
                <w:b/>
                <w:bCs/>
              </w:rPr>
              <w:t>$5,783,640</w:t>
            </w:r>
          </w:p>
        </w:tc>
      </w:tr>
    </w:tbl>
    <w:p w14:paraId="3C7970B4" w14:textId="77777777" w:rsidR="00623569" w:rsidRDefault="00623569" w:rsidP="00623569">
      <w:pPr>
        <w:pStyle w:val="Tableorfigurenote"/>
        <w:rPr>
          <w:i w:val="0"/>
          <w:iCs/>
        </w:rPr>
      </w:pPr>
    </w:p>
    <w:p w14:paraId="19E56E2D" w14:textId="77777777" w:rsidR="00623569" w:rsidRDefault="00623569" w:rsidP="00623569">
      <w:pPr>
        <w:spacing w:after="160" w:line="259" w:lineRule="auto"/>
        <w:rPr>
          <w:rFonts w:cs="Arial"/>
          <w:iCs/>
          <w:sz w:val="16"/>
        </w:rPr>
      </w:pPr>
      <w:r>
        <w:rPr>
          <w:i/>
          <w:iCs/>
        </w:rPr>
        <w:br w:type="page"/>
      </w:r>
    </w:p>
    <w:p w14:paraId="11C08473" w14:textId="77777777" w:rsidR="00623569" w:rsidRDefault="00623569" w:rsidP="00623569">
      <w:pPr>
        <w:pStyle w:val="Tableheading"/>
      </w:pPr>
      <w:r>
        <w:lastRenderedPageBreak/>
        <w:t>Ongoing costs for CSPs under Option 2B</w:t>
      </w:r>
    </w:p>
    <w:tbl>
      <w:tblPr>
        <w:tblStyle w:val="ACMAtablestyle"/>
        <w:tblW w:w="8821" w:type="dxa"/>
        <w:tblLook w:val="04A0" w:firstRow="1" w:lastRow="0" w:firstColumn="1" w:lastColumn="0" w:noHBand="0" w:noVBand="1"/>
      </w:tblPr>
      <w:tblGrid>
        <w:gridCol w:w="2122"/>
        <w:gridCol w:w="1559"/>
        <w:gridCol w:w="1417"/>
        <w:gridCol w:w="1276"/>
        <w:gridCol w:w="1134"/>
        <w:gridCol w:w="1299"/>
        <w:gridCol w:w="14"/>
      </w:tblGrid>
      <w:tr w:rsidR="00623569" w:rsidRPr="001844EE" w14:paraId="6B3F77BE" w14:textId="77777777" w:rsidTr="001517F2">
        <w:trPr>
          <w:gridAfter w:val="1"/>
          <w:cnfStyle w:val="100000000000" w:firstRow="1" w:lastRow="0" w:firstColumn="0" w:lastColumn="0" w:oddVBand="0" w:evenVBand="0" w:oddHBand="0" w:evenHBand="0" w:firstRowFirstColumn="0" w:firstRowLastColumn="0" w:lastRowFirstColumn="0" w:lastRowLastColumn="0"/>
          <w:wAfter w:w="14" w:type="dxa"/>
          <w:trHeight w:val="284"/>
        </w:trPr>
        <w:tc>
          <w:tcPr>
            <w:tcW w:w="2122" w:type="dxa"/>
            <w:hideMark/>
          </w:tcPr>
          <w:p w14:paraId="21A5E9ED" w14:textId="77777777" w:rsidR="00623569" w:rsidRPr="001844EE" w:rsidRDefault="00623569" w:rsidP="001517F2">
            <w:pPr>
              <w:pStyle w:val="Paragraph"/>
              <w:keepNext/>
              <w:keepLines/>
              <w:spacing w:after="0" w:line="240" w:lineRule="auto"/>
              <w:contextualSpacing/>
              <w:rPr>
                <w:b/>
                <w:bCs/>
              </w:rPr>
            </w:pPr>
          </w:p>
        </w:tc>
        <w:tc>
          <w:tcPr>
            <w:tcW w:w="1559" w:type="dxa"/>
            <w:hideMark/>
          </w:tcPr>
          <w:p w14:paraId="750BDAC6" w14:textId="77777777" w:rsidR="00623569" w:rsidRPr="001844EE" w:rsidRDefault="00623569" w:rsidP="001517F2">
            <w:pPr>
              <w:pStyle w:val="Paragraph"/>
              <w:keepNext/>
              <w:keepLines/>
              <w:spacing w:after="0" w:line="240" w:lineRule="auto"/>
              <w:contextualSpacing/>
              <w:jc w:val="right"/>
              <w:rPr>
                <w:b/>
                <w:bCs/>
              </w:rPr>
            </w:pPr>
            <w:r w:rsidRPr="001844EE">
              <w:rPr>
                <w:b/>
                <w:bCs/>
              </w:rPr>
              <w:t>System upgrade</w:t>
            </w:r>
          </w:p>
        </w:tc>
        <w:tc>
          <w:tcPr>
            <w:tcW w:w="1417" w:type="dxa"/>
            <w:noWrap/>
            <w:hideMark/>
          </w:tcPr>
          <w:p w14:paraId="62D4C82D" w14:textId="77777777" w:rsidR="00623569" w:rsidRPr="001844EE" w:rsidRDefault="00623569" w:rsidP="001517F2">
            <w:pPr>
              <w:pStyle w:val="Paragraph"/>
              <w:keepNext/>
              <w:keepLines/>
              <w:spacing w:after="0" w:line="240" w:lineRule="auto"/>
              <w:contextualSpacing/>
              <w:jc w:val="right"/>
              <w:rPr>
                <w:b/>
                <w:bCs/>
              </w:rPr>
            </w:pPr>
            <w:r w:rsidRPr="001844EE">
              <w:rPr>
                <w:b/>
                <w:bCs/>
              </w:rPr>
              <w:t>Time (hours)</w:t>
            </w:r>
          </w:p>
        </w:tc>
        <w:tc>
          <w:tcPr>
            <w:tcW w:w="1276" w:type="dxa"/>
            <w:hideMark/>
          </w:tcPr>
          <w:p w14:paraId="18105612" w14:textId="77777777" w:rsidR="00623569" w:rsidRPr="001844EE" w:rsidRDefault="00623569" w:rsidP="001517F2">
            <w:pPr>
              <w:pStyle w:val="Paragraph"/>
              <w:keepNext/>
              <w:keepLines/>
              <w:spacing w:after="0" w:line="240" w:lineRule="auto"/>
              <w:contextualSpacing/>
              <w:jc w:val="right"/>
              <w:rPr>
                <w:b/>
                <w:bCs/>
              </w:rPr>
            </w:pPr>
            <w:r w:rsidRPr="001844EE">
              <w:rPr>
                <w:b/>
                <w:bCs/>
              </w:rPr>
              <w:t>Businesses</w:t>
            </w:r>
          </w:p>
        </w:tc>
        <w:tc>
          <w:tcPr>
            <w:tcW w:w="1134" w:type="dxa"/>
            <w:noWrap/>
            <w:hideMark/>
          </w:tcPr>
          <w:p w14:paraId="45C29D59" w14:textId="77777777" w:rsidR="00623569" w:rsidRPr="001844EE" w:rsidRDefault="00623569" w:rsidP="001517F2">
            <w:pPr>
              <w:pStyle w:val="Paragraph"/>
              <w:keepNext/>
              <w:keepLines/>
              <w:spacing w:after="0" w:line="240" w:lineRule="auto"/>
              <w:contextualSpacing/>
              <w:jc w:val="right"/>
              <w:rPr>
                <w:b/>
                <w:bCs/>
              </w:rPr>
            </w:pPr>
            <w:r w:rsidRPr="001844EE">
              <w:rPr>
                <w:b/>
                <w:bCs/>
              </w:rPr>
              <w:t>Rate/hour ($)</w:t>
            </w:r>
          </w:p>
        </w:tc>
        <w:tc>
          <w:tcPr>
            <w:tcW w:w="1299" w:type="dxa"/>
            <w:noWrap/>
            <w:hideMark/>
          </w:tcPr>
          <w:p w14:paraId="561B2AA2" w14:textId="77777777" w:rsidR="00623569" w:rsidRPr="001844EE" w:rsidRDefault="00623569" w:rsidP="001517F2">
            <w:pPr>
              <w:pStyle w:val="Paragraph"/>
              <w:keepNext/>
              <w:keepLines/>
              <w:spacing w:after="0" w:line="240" w:lineRule="auto"/>
              <w:contextualSpacing/>
              <w:jc w:val="right"/>
              <w:rPr>
                <w:b/>
                <w:bCs/>
              </w:rPr>
            </w:pPr>
            <w:r w:rsidRPr="001844EE">
              <w:rPr>
                <w:b/>
                <w:bCs/>
              </w:rPr>
              <w:t xml:space="preserve">Totals </w:t>
            </w:r>
            <w:r>
              <w:rPr>
                <w:b/>
                <w:bCs/>
              </w:rPr>
              <w:br/>
            </w:r>
            <w:r w:rsidRPr="001844EE">
              <w:rPr>
                <w:b/>
                <w:bCs/>
              </w:rPr>
              <w:t>($)</w:t>
            </w:r>
          </w:p>
        </w:tc>
      </w:tr>
      <w:tr w:rsidR="00623569" w:rsidRPr="001844EE" w14:paraId="78CEF232" w14:textId="77777777" w:rsidTr="00E94DB1">
        <w:trPr>
          <w:cnfStyle w:val="000000100000" w:firstRow="0" w:lastRow="0" w:firstColumn="0" w:lastColumn="0" w:oddVBand="0" w:evenVBand="0" w:oddHBand="1" w:evenHBand="0" w:firstRowFirstColumn="0" w:firstRowLastColumn="0" w:lastRowFirstColumn="0" w:lastRowLastColumn="0"/>
          <w:trHeight w:val="284"/>
        </w:trPr>
        <w:tc>
          <w:tcPr>
            <w:tcW w:w="8821" w:type="dxa"/>
            <w:gridSpan w:val="7"/>
            <w:shd w:val="clear" w:color="auto" w:fill="F2F2F2" w:themeFill="background1" w:themeFillShade="F2"/>
            <w:noWrap/>
            <w:hideMark/>
          </w:tcPr>
          <w:p w14:paraId="7CE1ADA1" w14:textId="77777777" w:rsidR="00623569" w:rsidRPr="001844EE" w:rsidRDefault="00623569" w:rsidP="001517F2">
            <w:pPr>
              <w:pStyle w:val="Paragraph"/>
              <w:keepNext/>
              <w:keepLines/>
              <w:spacing w:after="0" w:line="240" w:lineRule="auto"/>
              <w:contextualSpacing/>
            </w:pPr>
            <w:r w:rsidRPr="001844EE">
              <w:rPr>
                <w:b/>
                <w:bCs/>
              </w:rPr>
              <w:t>Large CSPs</w:t>
            </w:r>
          </w:p>
        </w:tc>
      </w:tr>
      <w:tr w:rsidR="00623569" w:rsidRPr="001844EE" w14:paraId="44D3BEAD" w14:textId="77777777" w:rsidTr="00E94DB1">
        <w:trPr>
          <w:gridAfter w:val="1"/>
          <w:cnfStyle w:val="000000010000" w:firstRow="0" w:lastRow="0" w:firstColumn="0" w:lastColumn="0" w:oddVBand="0" w:evenVBand="0" w:oddHBand="0" w:evenHBand="1" w:firstRowFirstColumn="0" w:firstRowLastColumn="0" w:lastRowFirstColumn="0" w:lastRowLastColumn="0"/>
          <w:wAfter w:w="14" w:type="dxa"/>
          <w:trHeight w:val="284"/>
        </w:trPr>
        <w:tc>
          <w:tcPr>
            <w:tcW w:w="2122" w:type="dxa"/>
            <w:shd w:val="clear" w:color="auto" w:fill="auto"/>
            <w:hideMark/>
          </w:tcPr>
          <w:p w14:paraId="362E59FB" w14:textId="77777777" w:rsidR="00623569" w:rsidRPr="001844EE" w:rsidRDefault="00623569" w:rsidP="001517F2">
            <w:pPr>
              <w:pStyle w:val="Paragraph"/>
              <w:spacing w:after="0" w:line="240" w:lineRule="auto"/>
              <w:contextualSpacing/>
            </w:pPr>
            <w:r w:rsidRPr="001844EE">
              <w:t xml:space="preserve">Monitor processes </w:t>
            </w:r>
          </w:p>
        </w:tc>
        <w:tc>
          <w:tcPr>
            <w:tcW w:w="1559" w:type="dxa"/>
            <w:shd w:val="clear" w:color="auto" w:fill="auto"/>
            <w:hideMark/>
          </w:tcPr>
          <w:p w14:paraId="2B3EC8BA" w14:textId="77777777" w:rsidR="00623569" w:rsidRPr="001844EE" w:rsidRDefault="00623569" w:rsidP="001517F2">
            <w:pPr>
              <w:pStyle w:val="Paragraph"/>
              <w:spacing w:after="0" w:line="240" w:lineRule="auto"/>
              <w:contextualSpacing/>
              <w:jc w:val="right"/>
            </w:pPr>
            <w:r w:rsidRPr="001844EE">
              <w:t xml:space="preserve">$30,000 </w:t>
            </w:r>
          </w:p>
        </w:tc>
        <w:tc>
          <w:tcPr>
            <w:tcW w:w="1417" w:type="dxa"/>
            <w:shd w:val="clear" w:color="auto" w:fill="auto"/>
            <w:hideMark/>
          </w:tcPr>
          <w:p w14:paraId="22A7598B" w14:textId="77777777" w:rsidR="00623569" w:rsidRPr="001844EE" w:rsidRDefault="00623569" w:rsidP="001517F2">
            <w:pPr>
              <w:pStyle w:val="Paragraph"/>
              <w:spacing w:after="0" w:line="240" w:lineRule="auto"/>
              <w:contextualSpacing/>
              <w:jc w:val="right"/>
            </w:pPr>
          </w:p>
        </w:tc>
        <w:tc>
          <w:tcPr>
            <w:tcW w:w="1276" w:type="dxa"/>
            <w:shd w:val="clear" w:color="auto" w:fill="auto"/>
            <w:noWrap/>
            <w:hideMark/>
          </w:tcPr>
          <w:p w14:paraId="0922F866" w14:textId="77777777" w:rsidR="00623569" w:rsidRPr="001844EE" w:rsidRDefault="00623569" w:rsidP="001517F2">
            <w:pPr>
              <w:pStyle w:val="Paragraph"/>
              <w:spacing w:after="0" w:line="240" w:lineRule="auto"/>
              <w:contextualSpacing/>
              <w:jc w:val="right"/>
            </w:pPr>
            <w:r w:rsidRPr="001844EE">
              <w:t>2</w:t>
            </w:r>
          </w:p>
        </w:tc>
        <w:tc>
          <w:tcPr>
            <w:tcW w:w="1134" w:type="dxa"/>
            <w:shd w:val="clear" w:color="auto" w:fill="auto"/>
            <w:noWrap/>
            <w:hideMark/>
          </w:tcPr>
          <w:p w14:paraId="1DA01ECC" w14:textId="77777777" w:rsidR="00623569" w:rsidRPr="001844EE" w:rsidRDefault="00623569" w:rsidP="001517F2">
            <w:pPr>
              <w:pStyle w:val="Paragraph"/>
              <w:spacing w:after="0" w:line="240" w:lineRule="auto"/>
              <w:contextualSpacing/>
              <w:jc w:val="right"/>
            </w:pPr>
          </w:p>
        </w:tc>
        <w:tc>
          <w:tcPr>
            <w:tcW w:w="1299" w:type="dxa"/>
            <w:shd w:val="clear" w:color="auto" w:fill="auto"/>
            <w:noWrap/>
            <w:hideMark/>
          </w:tcPr>
          <w:p w14:paraId="22CA455D" w14:textId="77777777" w:rsidR="00623569" w:rsidRPr="001844EE" w:rsidRDefault="00623569" w:rsidP="001517F2">
            <w:pPr>
              <w:pStyle w:val="Paragraph"/>
              <w:spacing w:after="0" w:line="240" w:lineRule="auto"/>
              <w:contextualSpacing/>
              <w:jc w:val="right"/>
            </w:pPr>
            <w:r w:rsidRPr="001844EE">
              <w:t>$60,000</w:t>
            </w:r>
          </w:p>
        </w:tc>
      </w:tr>
      <w:tr w:rsidR="00E94DB1" w:rsidRPr="001844EE" w14:paraId="71F18836" w14:textId="77777777" w:rsidTr="00E94DB1">
        <w:trPr>
          <w:gridAfter w:val="1"/>
          <w:cnfStyle w:val="000000100000" w:firstRow="0" w:lastRow="0" w:firstColumn="0" w:lastColumn="0" w:oddVBand="0" w:evenVBand="0" w:oddHBand="1" w:evenHBand="0" w:firstRowFirstColumn="0" w:firstRowLastColumn="0" w:lastRowFirstColumn="0" w:lastRowLastColumn="0"/>
          <w:wAfter w:w="14" w:type="dxa"/>
          <w:trHeight w:val="284"/>
        </w:trPr>
        <w:tc>
          <w:tcPr>
            <w:tcW w:w="2122" w:type="dxa"/>
            <w:shd w:val="clear" w:color="auto" w:fill="F2F2F2" w:themeFill="background1" w:themeFillShade="F2"/>
            <w:hideMark/>
          </w:tcPr>
          <w:p w14:paraId="0A46CE0A" w14:textId="77777777" w:rsidR="00623569" w:rsidRPr="001844EE" w:rsidRDefault="00623569" w:rsidP="001517F2">
            <w:pPr>
              <w:pStyle w:val="Paragraph"/>
              <w:spacing w:after="0" w:line="240" w:lineRule="auto"/>
              <w:contextualSpacing/>
            </w:pPr>
            <w:r w:rsidRPr="001844EE">
              <w:t>Staff training - ongoing</w:t>
            </w:r>
          </w:p>
        </w:tc>
        <w:tc>
          <w:tcPr>
            <w:tcW w:w="1559" w:type="dxa"/>
            <w:shd w:val="clear" w:color="auto" w:fill="F2F2F2" w:themeFill="background1" w:themeFillShade="F2"/>
            <w:hideMark/>
          </w:tcPr>
          <w:p w14:paraId="595B0B48" w14:textId="77777777" w:rsidR="00623569" w:rsidRPr="001844EE" w:rsidRDefault="00623569" w:rsidP="001517F2">
            <w:pPr>
              <w:pStyle w:val="Paragraph"/>
              <w:spacing w:after="0" w:line="240" w:lineRule="auto"/>
              <w:contextualSpacing/>
              <w:jc w:val="right"/>
            </w:pPr>
          </w:p>
        </w:tc>
        <w:tc>
          <w:tcPr>
            <w:tcW w:w="1417" w:type="dxa"/>
            <w:shd w:val="clear" w:color="auto" w:fill="F2F2F2" w:themeFill="background1" w:themeFillShade="F2"/>
            <w:noWrap/>
            <w:hideMark/>
          </w:tcPr>
          <w:p w14:paraId="14CCA519" w14:textId="77777777" w:rsidR="00623569" w:rsidRPr="001844EE" w:rsidRDefault="00623569" w:rsidP="001517F2">
            <w:pPr>
              <w:pStyle w:val="Paragraph"/>
              <w:spacing w:after="0" w:line="240" w:lineRule="auto"/>
              <w:contextualSpacing/>
              <w:jc w:val="right"/>
            </w:pPr>
            <w:r w:rsidRPr="001844EE">
              <w:t>200</w:t>
            </w:r>
          </w:p>
        </w:tc>
        <w:tc>
          <w:tcPr>
            <w:tcW w:w="1276" w:type="dxa"/>
            <w:shd w:val="clear" w:color="auto" w:fill="F2F2F2" w:themeFill="background1" w:themeFillShade="F2"/>
            <w:noWrap/>
            <w:hideMark/>
          </w:tcPr>
          <w:p w14:paraId="09E65EB1" w14:textId="77777777" w:rsidR="00623569" w:rsidRPr="001844EE" w:rsidRDefault="00623569" w:rsidP="001517F2">
            <w:pPr>
              <w:pStyle w:val="Paragraph"/>
              <w:spacing w:after="0" w:line="240" w:lineRule="auto"/>
              <w:contextualSpacing/>
              <w:jc w:val="right"/>
            </w:pPr>
            <w:r w:rsidRPr="001844EE">
              <w:t>2</w:t>
            </w:r>
          </w:p>
        </w:tc>
        <w:tc>
          <w:tcPr>
            <w:tcW w:w="1134" w:type="dxa"/>
            <w:shd w:val="clear" w:color="auto" w:fill="F2F2F2" w:themeFill="background1" w:themeFillShade="F2"/>
            <w:hideMark/>
          </w:tcPr>
          <w:p w14:paraId="65CB5F06" w14:textId="77777777" w:rsidR="00623569" w:rsidRPr="001844EE" w:rsidRDefault="00623569" w:rsidP="001517F2">
            <w:pPr>
              <w:pStyle w:val="Paragraph"/>
              <w:spacing w:after="0" w:line="240" w:lineRule="auto"/>
              <w:contextualSpacing/>
              <w:jc w:val="right"/>
            </w:pPr>
            <w:r w:rsidRPr="001844EE">
              <w:t xml:space="preserve">$73 </w:t>
            </w:r>
          </w:p>
        </w:tc>
        <w:tc>
          <w:tcPr>
            <w:tcW w:w="1299" w:type="dxa"/>
            <w:shd w:val="clear" w:color="auto" w:fill="F2F2F2" w:themeFill="background1" w:themeFillShade="F2"/>
            <w:noWrap/>
            <w:hideMark/>
          </w:tcPr>
          <w:p w14:paraId="46096842" w14:textId="77777777" w:rsidR="00623569" w:rsidRPr="001844EE" w:rsidRDefault="00623569" w:rsidP="001517F2">
            <w:pPr>
              <w:pStyle w:val="Paragraph"/>
              <w:spacing w:after="0" w:line="240" w:lineRule="auto"/>
              <w:contextualSpacing/>
              <w:jc w:val="right"/>
            </w:pPr>
            <w:r w:rsidRPr="001844EE">
              <w:t>$29,200</w:t>
            </w:r>
          </w:p>
        </w:tc>
      </w:tr>
      <w:tr w:rsidR="00623569" w:rsidRPr="001844EE" w14:paraId="4142E6EA" w14:textId="77777777" w:rsidTr="00E94DB1">
        <w:trPr>
          <w:cnfStyle w:val="000000010000" w:firstRow="0" w:lastRow="0" w:firstColumn="0" w:lastColumn="0" w:oddVBand="0" w:evenVBand="0" w:oddHBand="0" w:evenHBand="1" w:firstRowFirstColumn="0" w:firstRowLastColumn="0" w:lastRowFirstColumn="0" w:lastRowLastColumn="0"/>
          <w:trHeight w:val="284"/>
        </w:trPr>
        <w:tc>
          <w:tcPr>
            <w:tcW w:w="7508" w:type="dxa"/>
            <w:gridSpan w:val="5"/>
            <w:shd w:val="clear" w:color="auto" w:fill="auto"/>
            <w:hideMark/>
          </w:tcPr>
          <w:p w14:paraId="5A037075" w14:textId="77777777" w:rsidR="00623569" w:rsidRPr="001844EE" w:rsidRDefault="00623569" w:rsidP="001517F2">
            <w:pPr>
              <w:pStyle w:val="Paragraph"/>
              <w:spacing w:after="0" w:line="240" w:lineRule="auto"/>
              <w:contextualSpacing/>
            </w:pPr>
            <w:r w:rsidRPr="001844EE">
              <w:rPr>
                <w:b/>
                <w:bCs/>
              </w:rPr>
              <w:t>TOTAL</w:t>
            </w:r>
          </w:p>
        </w:tc>
        <w:tc>
          <w:tcPr>
            <w:tcW w:w="1313" w:type="dxa"/>
            <w:gridSpan w:val="2"/>
            <w:shd w:val="clear" w:color="auto" w:fill="auto"/>
            <w:noWrap/>
            <w:hideMark/>
          </w:tcPr>
          <w:p w14:paraId="50FE279F" w14:textId="77777777" w:rsidR="00623569" w:rsidRPr="001844EE" w:rsidRDefault="00623569" w:rsidP="001517F2">
            <w:pPr>
              <w:pStyle w:val="Paragraph"/>
              <w:spacing w:after="0" w:line="240" w:lineRule="auto"/>
              <w:contextualSpacing/>
              <w:jc w:val="right"/>
              <w:rPr>
                <w:b/>
                <w:bCs/>
              </w:rPr>
            </w:pPr>
            <w:r w:rsidRPr="001844EE">
              <w:rPr>
                <w:b/>
                <w:bCs/>
              </w:rPr>
              <w:t>$89,200</w:t>
            </w:r>
          </w:p>
        </w:tc>
      </w:tr>
      <w:tr w:rsidR="00623569" w:rsidRPr="001844EE" w14:paraId="50A950E7" w14:textId="77777777" w:rsidTr="00E94DB1">
        <w:trPr>
          <w:cnfStyle w:val="000000100000" w:firstRow="0" w:lastRow="0" w:firstColumn="0" w:lastColumn="0" w:oddVBand="0" w:evenVBand="0" w:oddHBand="1" w:evenHBand="0" w:firstRowFirstColumn="0" w:firstRowLastColumn="0" w:lastRowFirstColumn="0" w:lastRowLastColumn="0"/>
          <w:trHeight w:val="284"/>
        </w:trPr>
        <w:tc>
          <w:tcPr>
            <w:tcW w:w="8821" w:type="dxa"/>
            <w:gridSpan w:val="7"/>
            <w:shd w:val="clear" w:color="auto" w:fill="F2F2F2" w:themeFill="background1" w:themeFillShade="F2"/>
            <w:hideMark/>
          </w:tcPr>
          <w:p w14:paraId="3EA164EB" w14:textId="77777777" w:rsidR="00623569" w:rsidRPr="001844EE" w:rsidRDefault="00623569" w:rsidP="001517F2">
            <w:pPr>
              <w:pStyle w:val="Paragraph"/>
              <w:spacing w:after="0" w:line="240" w:lineRule="auto"/>
              <w:contextualSpacing/>
            </w:pPr>
            <w:r w:rsidRPr="001844EE">
              <w:rPr>
                <w:b/>
                <w:bCs/>
              </w:rPr>
              <w:t>Medium CSPs</w:t>
            </w:r>
          </w:p>
        </w:tc>
      </w:tr>
      <w:tr w:rsidR="00623569" w:rsidRPr="001844EE" w14:paraId="097BF68D" w14:textId="77777777" w:rsidTr="00E94DB1">
        <w:trPr>
          <w:gridAfter w:val="1"/>
          <w:cnfStyle w:val="000000010000" w:firstRow="0" w:lastRow="0" w:firstColumn="0" w:lastColumn="0" w:oddVBand="0" w:evenVBand="0" w:oddHBand="0" w:evenHBand="1" w:firstRowFirstColumn="0" w:firstRowLastColumn="0" w:lastRowFirstColumn="0" w:lastRowLastColumn="0"/>
          <w:wAfter w:w="14" w:type="dxa"/>
          <w:trHeight w:val="284"/>
        </w:trPr>
        <w:tc>
          <w:tcPr>
            <w:tcW w:w="2122" w:type="dxa"/>
            <w:shd w:val="clear" w:color="auto" w:fill="auto"/>
            <w:hideMark/>
          </w:tcPr>
          <w:p w14:paraId="0A919D57" w14:textId="77777777" w:rsidR="00623569" w:rsidRPr="001844EE" w:rsidRDefault="00623569" w:rsidP="001517F2">
            <w:pPr>
              <w:pStyle w:val="Paragraph"/>
              <w:spacing w:after="0" w:line="240" w:lineRule="auto"/>
              <w:contextualSpacing/>
            </w:pPr>
            <w:r w:rsidRPr="001844EE">
              <w:t xml:space="preserve">Monitor processes </w:t>
            </w:r>
          </w:p>
        </w:tc>
        <w:tc>
          <w:tcPr>
            <w:tcW w:w="1559" w:type="dxa"/>
            <w:shd w:val="clear" w:color="auto" w:fill="auto"/>
            <w:hideMark/>
          </w:tcPr>
          <w:p w14:paraId="0F4DC9E8" w14:textId="77777777" w:rsidR="00623569" w:rsidRPr="001844EE" w:rsidRDefault="00623569" w:rsidP="001517F2">
            <w:pPr>
              <w:pStyle w:val="Paragraph"/>
              <w:spacing w:after="0" w:line="240" w:lineRule="auto"/>
              <w:contextualSpacing/>
              <w:jc w:val="right"/>
            </w:pPr>
            <w:r w:rsidRPr="001844EE">
              <w:t xml:space="preserve">$8,000 </w:t>
            </w:r>
          </w:p>
        </w:tc>
        <w:tc>
          <w:tcPr>
            <w:tcW w:w="1417" w:type="dxa"/>
            <w:shd w:val="clear" w:color="auto" w:fill="auto"/>
            <w:noWrap/>
            <w:hideMark/>
          </w:tcPr>
          <w:p w14:paraId="36477EB5" w14:textId="77777777" w:rsidR="00623569" w:rsidRPr="001844EE" w:rsidRDefault="00623569" w:rsidP="001517F2">
            <w:pPr>
              <w:pStyle w:val="Paragraph"/>
              <w:spacing w:after="0" w:line="240" w:lineRule="auto"/>
              <w:contextualSpacing/>
              <w:jc w:val="right"/>
            </w:pPr>
          </w:p>
        </w:tc>
        <w:tc>
          <w:tcPr>
            <w:tcW w:w="1276" w:type="dxa"/>
            <w:shd w:val="clear" w:color="auto" w:fill="auto"/>
            <w:noWrap/>
            <w:hideMark/>
          </w:tcPr>
          <w:p w14:paraId="6FD4ACC9" w14:textId="77777777" w:rsidR="00623569" w:rsidRPr="001844EE" w:rsidRDefault="00623569" w:rsidP="001517F2">
            <w:pPr>
              <w:pStyle w:val="Paragraph"/>
              <w:spacing w:after="0" w:line="240" w:lineRule="auto"/>
              <w:contextualSpacing/>
              <w:jc w:val="right"/>
            </w:pPr>
            <w:r w:rsidRPr="001844EE">
              <w:t>4</w:t>
            </w:r>
          </w:p>
        </w:tc>
        <w:tc>
          <w:tcPr>
            <w:tcW w:w="1134" w:type="dxa"/>
            <w:shd w:val="clear" w:color="auto" w:fill="auto"/>
            <w:noWrap/>
            <w:hideMark/>
          </w:tcPr>
          <w:p w14:paraId="4CF57C5A" w14:textId="77777777" w:rsidR="00623569" w:rsidRPr="001844EE" w:rsidRDefault="00623569" w:rsidP="001517F2">
            <w:pPr>
              <w:pStyle w:val="Paragraph"/>
              <w:spacing w:after="0" w:line="240" w:lineRule="auto"/>
              <w:contextualSpacing/>
              <w:jc w:val="right"/>
            </w:pPr>
          </w:p>
        </w:tc>
        <w:tc>
          <w:tcPr>
            <w:tcW w:w="1299" w:type="dxa"/>
            <w:shd w:val="clear" w:color="auto" w:fill="auto"/>
            <w:noWrap/>
            <w:hideMark/>
          </w:tcPr>
          <w:p w14:paraId="00B060BE" w14:textId="77777777" w:rsidR="00623569" w:rsidRPr="001844EE" w:rsidRDefault="00623569" w:rsidP="001517F2">
            <w:pPr>
              <w:pStyle w:val="Paragraph"/>
              <w:spacing w:after="0" w:line="240" w:lineRule="auto"/>
              <w:contextualSpacing/>
              <w:jc w:val="right"/>
            </w:pPr>
            <w:r w:rsidRPr="001844EE">
              <w:t>$32,000</w:t>
            </w:r>
          </w:p>
        </w:tc>
      </w:tr>
      <w:tr w:rsidR="00E94DB1" w:rsidRPr="001844EE" w14:paraId="1E3C0D5B" w14:textId="77777777" w:rsidTr="00E94DB1">
        <w:trPr>
          <w:gridAfter w:val="1"/>
          <w:cnfStyle w:val="000000100000" w:firstRow="0" w:lastRow="0" w:firstColumn="0" w:lastColumn="0" w:oddVBand="0" w:evenVBand="0" w:oddHBand="1" w:evenHBand="0" w:firstRowFirstColumn="0" w:firstRowLastColumn="0" w:lastRowFirstColumn="0" w:lastRowLastColumn="0"/>
          <w:wAfter w:w="14" w:type="dxa"/>
          <w:trHeight w:val="284"/>
        </w:trPr>
        <w:tc>
          <w:tcPr>
            <w:tcW w:w="2122" w:type="dxa"/>
            <w:shd w:val="clear" w:color="auto" w:fill="F2F2F2" w:themeFill="background1" w:themeFillShade="F2"/>
            <w:hideMark/>
          </w:tcPr>
          <w:p w14:paraId="73AE2210" w14:textId="77777777" w:rsidR="00623569" w:rsidRPr="001844EE" w:rsidRDefault="00623569" w:rsidP="001517F2">
            <w:pPr>
              <w:pStyle w:val="Paragraph"/>
              <w:spacing w:after="0" w:line="240" w:lineRule="auto"/>
              <w:contextualSpacing/>
            </w:pPr>
            <w:r w:rsidRPr="001844EE">
              <w:t>Staff training</w:t>
            </w:r>
          </w:p>
        </w:tc>
        <w:tc>
          <w:tcPr>
            <w:tcW w:w="1559" w:type="dxa"/>
            <w:shd w:val="clear" w:color="auto" w:fill="F2F2F2" w:themeFill="background1" w:themeFillShade="F2"/>
            <w:hideMark/>
          </w:tcPr>
          <w:p w14:paraId="7A5DB6E8" w14:textId="77777777" w:rsidR="00623569" w:rsidRPr="001844EE" w:rsidRDefault="00623569" w:rsidP="001517F2">
            <w:pPr>
              <w:pStyle w:val="Paragraph"/>
              <w:spacing w:after="0" w:line="240" w:lineRule="auto"/>
              <w:contextualSpacing/>
              <w:jc w:val="right"/>
            </w:pPr>
          </w:p>
        </w:tc>
        <w:tc>
          <w:tcPr>
            <w:tcW w:w="1417" w:type="dxa"/>
            <w:shd w:val="clear" w:color="auto" w:fill="F2F2F2" w:themeFill="background1" w:themeFillShade="F2"/>
            <w:noWrap/>
            <w:hideMark/>
          </w:tcPr>
          <w:p w14:paraId="783EEADF" w14:textId="77777777" w:rsidR="00623569" w:rsidRPr="001844EE" w:rsidRDefault="00623569" w:rsidP="001517F2">
            <w:pPr>
              <w:pStyle w:val="Paragraph"/>
              <w:spacing w:after="0" w:line="240" w:lineRule="auto"/>
              <w:contextualSpacing/>
              <w:jc w:val="right"/>
            </w:pPr>
            <w:r w:rsidRPr="001844EE">
              <w:t>100</w:t>
            </w:r>
          </w:p>
        </w:tc>
        <w:tc>
          <w:tcPr>
            <w:tcW w:w="1276" w:type="dxa"/>
            <w:shd w:val="clear" w:color="auto" w:fill="F2F2F2" w:themeFill="background1" w:themeFillShade="F2"/>
            <w:noWrap/>
            <w:hideMark/>
          </w:tcPr>
          <w:p w14:paraId="20C57250" w14:textId="77777777" w:rsidR="00623569" w:rsidRPr="001844EE" w:rsidRDefault="00623569" w:rsidP="001517F2">
            <w:pPr>
              <w:pStyle w:val="Paragraph"/>
              <w:spacing w:after="0" w:line="240" w:lineRule="auto"/>
              <w:contextualSpacing/>
              <w:jc w:val="right"/>
            </w:pPr>
            <w:r w:rsidRPr="001844EE">
              <w:t>4</w:t>
            </w:r>
          </w:p>
        </w:tc>
        <w:tc>
          <w:tcPr>
            <w:tcW w:w="1134" w:type="dxa"/>
            <w:shd w:val="clear" w:color="auto" w:fill="F2F2F2" w:themeFill="background1" w:themeFillShade="F2"/>
            <w:hideMark/>
          </w:tcPr>
          <w:p w14:paraId="51BF1FEF" w14:textId="77777777" w:rsidR="00623569" w:rsidRPr="001844EE" w:rsidRDefault="00623569" w:rsidP="001517F2">
            <w:pPr>
              <w:pStyle w:val="Paragraph"/>
              <w:spacing w:after="0" w:line="240" w:lineRule="auto"/>
              <w:contextualSpacing/>
              <w:jc w:val="right"/>
            </w:pPr>
            <w:r w:rsidRPr="001844EE">
              <w:t xml:space="preserve">$73 </w:t>
            </w:r>
          </w:p>
        </w:tc>
        <w:tc>
          <w:tcPr>
            <w:tcW w:w="1299" w:type="dxa"/>
            <w:shd w:val="clear" w:color="auto" w:fill="F2F2F2" w:themeFill="background1" w:themeFillShade="F2"/>
            <w:noWrap/>
            <w:hideMark/>
          </w:tcPr>
          <w:p w14:paraId="2C38E87F" w14:textId="77777777" w:rsidR="00623569" w:rsidRPr="001844EE" w:rsidRDefault="00623569" w:rsidP="001517F2">
            <w:pPr>
              <w:pStyle w:val="Paragraph"/>
              <w:spacing w:after="0" w:line="240" w:lineRule="auto"/>
              <w:contextualSpacing/>
              <w:jc w:val="right"/>
            </w:pPr>
            <w:r w:rsidRPr="001844EE">
              <w:t>$29,200</w:t>
            </w:r>
          </w:p>
        </w:tc>
      </w:tr>
      <w:tr w:rsidR="00623569" w:rsidRPr="001844EE" w14:paraId="5353B007" w14:textId="77777777" w:rsidTr="00E94DB1">
        <w:trPr>
          <w:cnfStyle w:val="000000010000" w:firstRow="0" w:lastRow="0" w:firstColumn="0" w:lastColumn="0" w:oddVBand="0" w:evenVBand="0" w:oddHBand="0" w:evenHBand="1" w:firstRowFirstColumn="0" w:firstRowLastColumn="0" w:lastRowFirstColumn="0" w:lastRowLastColumn="0"/>
          <w:trHeight w:val="284"/>
        </w:trPr>
        <w:tc>
          <w:tcPr>
            <w:tcW w:w="7508" w:type="dxa"/>
            <w:gridSpan w:val="5"/>
            <w:shd w:val="clear" w:color="auto" w:fill="auto"/>
            <w:hideMark/>
          </w:tcPr>
          <w:p w14:paraId="00D91EE6" w14:textId="77777777" w:rsidR="00623569" w:rsidRPr="001844EE" w:rsidRDefault="00623569" w:rsidP="001517F2">
            <w:pPr>
              <w:pStyle w:val="Paragraph"/>
              <w:spacing w:after="0" w:line="240" w:lineRule="auto"/>
              <w:contextualSpacing/>
            </w:pPr>
            <w:r w:rsidRPr="001844EE">
              <w:rPr>
                <w:b/>
                <w:bCs/>
              </w:rPr>
              <w:t>TOTAL</w:t>
            </w:r>
          </w:p>
        </w:tc>
        <w:tc>
          <w:tcPr>
            <w:tcW w:w="1313" w:type="dxa"/>
            <w:gridSpan w:val="2"/>
            <w:shd w:val="clear" w:color="auto" w:fill="auto"/>
            <w:noWrap/>
            <w:hideMark/>
          </w:tcPr>
          <w:p w14:paraId="248311EE" w14:textId="77777777" w:rsidR="00623569" w:rsidRPr="001844EE" w:rsidRDefault="00623569" w:rsidP="001517F2">
            <w:pPr>
              <w:pStyle w:val="Paragraph"/>
              <w:spacing w:after="0" w:line="240" w:lineRule="auto"/>
              <w:contextualSpacing/>
              <w:jc w:val="right"/>
              <w:rPr>
                <w:b/>
                <w:bCs/>
              </w:rPr>
            </w:pPr>
            <w:r w:rsidRPr="001844EE">
              <w:rPr>
                <w:b/>
                <w:bCs/>
              </w:rPr>
              <w:t>$61,200</w:t>
            </w:r>
          </w:p>
        </w:tc>
      </w:tr>
      <w:tr w:rsidR="00623569" w:rsidRPr="001844EE" w14:paraId="04EFCF61" w14:textId="77777777" w:rsidTr="00E94DB1">
        <w:trPr>
          <w:cnfStyle w:val="000000100000" w:firstRow="0" w:lastRow="0" w:firstColumn="0" w:lastColumn="0" w:oddVBand="0" w:evenVBand="0" w:oddHBand="1" w:evenHBand="0" w:firstRowFirstColumn="0" w:firstRowLastColumn="0" w:lastRowFirstColumn="0" w:lastRowLastColumn="0"/>
          <w:trHeight w:val="284"/>
        </w:trPr>
        <w:tc>
          <w:tcPr>
            <w:tcW w:w="8821" w:type="dxa"/>
            <w:gridSpan w:val="7"/>
            <w:shd w:val="clear" w:color="auto" w:fill="F2F2F2" w:themeFill="background1" w:themeFillShade="F2"/>
            <w:hideMark/>
          </w:tcPr>
          <w:p w14:paraId="4C94D658" w14:textId="77777777" w:rsidR="00623569" w:rsidRPr="001844EE" w:rsidRDefault="00623569" w:rsidP="001517F2">
            <w:pPr>
              <w:pStyle w:val="Paragraph"/>
              <w:spacing w:after="0" w:line="240" w:lineRule="auto"/>
              <w:contextualSpacing/>
            </w:pPr>
            <w:r w:rsidRPr="001844EE">
              <w:rPr>
                <w:b/>
                <w:bCs/>
              </w:rPr>
              <w:t>Small CSPs</w:t>
            </w:r>
          </w:p>
        </w:tc>
      </w:tr>
      <w:tr w:rsidR="00623569" w:rsidRPr="001844EE" w14:paraId="55C22E23" w14:textId="77777777" w:rsidTr="00E94DB1">
        <w:trPr>
          <w:gridAfter w:val="1"/>
          <w:cnfStyle w:val="000000010000" w:firstRow="0" w:lastRow="0" w:firstColumn="0" w:lastColumn="0" w:oddVBand="0" w:evenVBand="0" w:oddHBand="0" w:evenHBand="1" w:firstRowFirstColumn="0" w:firstRowLastColumn="0" w:lastRowFirstColumn="0" w:lastRowLastColumn="0"/>
          <w:wAfter w:w="14" w:type="dxa"/>
          <w:trHeight w:val="284"/>
        </w:trPr>
        <w:tc>
          <w:tcPr>
            <w:tcW w:w="2122" w:type="dxa"/>
            <w:shd w:val="clear" w:color="auto" w:fill="auto"/>
            <w:hideMark/>
          </w:tcPr>
          <w:p w14:paraId="7EF374CE" w14:textId="77777777" w:rsidR="00623569" w:rsidRPr="001844EE" w:rsidRDefault="00623569" w:rsidP="001517F2">
            <w:pPr>
              <w:pStyle w:val="Paragraph"/>
              <w:spacing w:after="0" w:line="240" w:lineRule="auto"/>
              <w:contextualSpacing/>
            </w:pPr>
            <w:r w:rsidRPr="001844EE">
              <w:t xml:space="preserve">Monitor processes </w:t>
            </w:r>
          </w:p>
        </w:tc>
        <w:tc>
          <w:tcPr>
            <w:tcW w:w="1559" w:type="dxa"/>
            <w:shd w:val="clear" w:color="auto" w:fill="auto"/>
            <w:hideMark/>
          </w:tcPr>
          <w:p w14:paraId="5CD5085B" w14:textId="77777777" w:rsidR="00623569" w:rsidRPr="001844EE" w:rsidRDefault="00623569" w:rsidP="001517F2">
            <w:pPr>
              <w:pStyle w:val="Paragraph"/>
              <w:spacing w:after="0" w:line="240" w:lineRule="auto"/>
              <w:contextualSpacing/>
              <w:jc w:val="right"/>
            </w:pPr>
            <w:r w:rsidRPr="001844EE">
              <w:t xml:space="preserve">$1,500 </w:t>
            </w:r>
          </w:p>
        </w:tc>
        <w:tc>
          <w:tcPr>
            <w:tcW w:w="1417" w:type="dxa"/>
            <w:shd w:val="clear" w:color="auto" w:fill="auto"/>
            <w:noWrap/>
            <w:hideMark/>
          </w:tcPr>
          <w:p w14:paraId="73AE7F45" w14:textId="77777777" w:rsidR="00623569" w:rsidRPr="001844EE" w:rsidRDefault="00623569" w:rsidP="001517F2">
            <w:pPr>
              <w:pStyle w:val="Paragraph"/>
              <w:spacing w:after="0" w:line="240" w:lineRule="auto"/>
              <w:contextualSpacing/>
              <w:jc w:val="right"/>
            </w:pPr>
          </w:p>
        </w:tc>
        <w:tc>
          <w:tcPr>
            <w:tcW w:w="1276" w:type="dxa"/>
            <w:shd w:val="clear" w:color="auto" w:fill="auto"/>
            <w:noWrap/>
            <w:hideMark/>
          </w:tcPr>
          <w:p w14:paraId="08556FB5" w14:textId="77777777" w:rsidR="00623569" w:rsidRPr="001844EE" w:rsidRDefault="00623569" w:rsidP="001517F2">
            <w:pPr>
              <w:pStyle w:val="Paragraph"/>
              <w:spacing w:after="0" w:line="240" w:lineRule="auto"/>
              <w:contextualSpacing/>
              <w:jc w:val="right"/>
            </w:pPr>
            <w:r w:rsidRPr="001844EE">
              <w:t>27</w:t>
            </w:r>
          </w:p>
        </w:tc>
        <w:tc>
          <w:tcPr>
            <w:tcW w:w="1134" w:type="dxa"/>
            <w:shd w:val="clear" w:color="auto" w:fill="auto"/>
            <w:noWrap/>
            <w:hideMark/>
          </w:tcPr>
          <w:p w14:paraId="50AB2D1F" w14:textId="77777777" w:rsidR="00623569" w:rsidRPr="001844EE" w:rsidRDefault="00623569" w:rsidP="001517F2">
            <w:pPr>
              <w:pStyle w:val="Paragraph"/>
              <w:spacing w:after="0" w:line="240" w:lineRule="auto"/>
              <w:contextualSpacing/>
              <w:jc w:val="right"/>
            </w:pPr>
          </w:p>
        </w:tc>
        <w:tc>
          <w:tcPr>
            <w:tcW w:w="1299" w:type="dxa"/>
            <w:shd w:val="clear" w:color="auto" w:fill="auto"/>
            <w:noWrap/>
            <w:hideMark/>
          </w:tcPr>
          <w:p w14:paraId="51EEEB35" w14:textId="77777777" w:rsidR="00623569" w:rsidRPr="001844EE" w:rsidRDefault="00623569" w:rsidP="001517F2">
            <w:pPr>
              <w:pStyle w:val="Paragraph"/>
              <w:spacing w:after="0" w:line="240" w:lineRule="auto"/>
              <w:contextualSpacing/>
              <w:jc w:val="right"/>
            </w:pPr>
            <w:r w:rsidRPr="001844EE">
              <w:t>$40,500</w:t>
            </w:r>
          </w:p>
        </w:tc>
      </w:tr>
      <w:tr w:rsidR="00E94DB1" w:rsidRPr="001844EE" w14:paraId="0729833A" w14:textId="77777777" w:rsidTr="00E94DB1">
        <w:trPr>
          <w:gridAfter w:val="1"/>
          <w:cnfStyle w:val="000000100000" w:firstRow="0" w:lastRow="0" w:firstColumn="0" w:lastColumn="0" w:oddVBand="0" w:evenVBand="0" w:oddHBand="1" w:evenHBand="0" w:firstRowFirstColumn="0" w:firstRowLastColumn="0" w:lastRowFirstColumn="0" w:lastRowLastColumn="0"/>
          <w:wAfter w:w="14" w:type="dxa"/>
          <w:trHeight w:val="284"/>
        </w:trPr>
        <w:tc>
          <w:tcPr>
            <w:tcW w:w="2122" w:type="dxa"/>
            <w:shd w:val="clear" w:color="auto" w:fill="F2F2F2" w:themeFill="background1" w:themeFillShade="F2"/>
            <w:hideMark/>
          </w:tcPr>
          <w:p w14:paraId="1570E569" w14:textId="77777777" w:rsidR="00623569" w:rsidRPr="001844EE" w:rsidRDefault="00623569" w:rsidP="001517F2">
            <w:pPr>
              <w:pStyle w:val="Paragraph"/>
              <w:spacing w:after="0" w:line="240" w:lineRule="auto"/>
              <w:contextualSpacing/>
            </w:pPr>
            <w:r w:rsidRPr="001844EE">
              <w:t>Staff training</w:t>
            </w:r>
          </w:p>
        </w:tc>
        <w:tc>
          <w:tcPr>
            <w:tcW w:w="1559" w:type="dxa"/>
            <w:shd w:val="clear" w:color="auto" w:fill="F2F2F2" w:themeFill="background1" w:themeFillShade="F2"/>
            <w:hideMark/>
          </w:tcPr>
          <w:p w14:paraId="271DA7D1" w14:textId="77777777" w:rsidR="00623569" w:rsidRPr="001844EE" w:rsidRDefault="00623569" w:rsidP="001517F2">
            <w:pPr>
              <w:pStyle w:val="Paragraph"/>
              <w:spacing w:after="0" w:line="240" w:lineRule="auto"/>
              <w:contextualSpacing/>
              <w:jc w:val="right"/>
            </w:pPr>
          </w:p>
        </w:tc>
        <w:tc>
          <w:tcPr>
            <w:tcW w:w="1417" w:type="dxa"/>
            <w:shd w:val="clear" w:color="auto" w:fill="F2F2F2" w:themeFill="background1" w:themeFillShade="F2"/>
            <w:noWrap/>
            <w:hideMark/>
          </w:tcPr>
          <w:p w14:paraId="37BBB905" w14:textId="77777777" w:rsidR="00623569" w:rsidRPr="001844EE" w:rsidRDefault="00623569" w:rsidP="001517F2">
            <w:pPr>
              <w:pStyle w:val="Paragraph"/>
              <w:spacing w:after="0" w:line="240" w:lineRule="auto"/>
              <w:contextualSpacing/>
              <w:jc w:val="right"/>
            </w:pPr>
            <w:r w:rsidRPr="001844EE">
              <w:t>50</w:t>
            </w:r>
          </w:p>
        </w:tc>
        <w:tc>
          <w:tcPr>
            <w:tcW w:w="1276" w:type="dxa"/>
            <w:shd w:val="clear" w:color="auto" w:fill="F2F2F2" w:themeFill="background1" w:themeFillShade="F2"/>
            <w:noWrap/>
            <w:hideMark/>
          </w:tcPr>
          <w:p w14:paraId="37B5C238" w14:textId="77777777" w:rsidR="00623569" w:rsidRPr="001844EE" w:rsidRDefault="00623569" w:rsidP="001517F2">
            <w:pPr>
              <w:pStyle w:val="Paragraph"/>
              <w:spacing w:after="0" w:line="240" w:lineRule="auto"/>
              <w:contextualSpacing/>
              <w:jc w:val="right"/>
            </w:pPr>
            <w:r w:rsidRPr="001844EE">
              <w:t>27</w:t>
            </w:r>
          </w:p>
        </w:tc>
        <w:tc>
          <w:tcPr>
            <w:tcW w:w="1134" w:type="dxa"/>
            <w:shd w:val="clear" w:color="auto" w:fill="F2F2F2" w:themeFill="background1" w:themeFillShade="F2"/>
            <w:hideMark/>
          </w:tcPr>
          <w:p w14:paraId="52E8AA2C" w14:textId="77777777" w:rsidR="00623569" w:rsidRPr="001844EE" w:rsidRDefault="00623569" w:rsidP="001517F2">
            <w:pPr>
              <w:pStyle w:val="Paragraph"/>
              <w:spacing w:after="0" w:line="240" w:lineRule="auto"/>
              <w:contextualSpacing/>
              <w:jc w:val="right"/>
            </w:pPr>
            <w:r w:rsidRPr="001844EE">
              <w:t xml:space="preserve">$73 </w:t>
            </w:r>
          </w:p>
        </w:tc>
        <w:tc>
          <w:tcPr>
            <w:tcW w:w="1299" w:type="dxa"/>
            <w:shd w:val="clear" w:color="auto" w:fill="F2F2F2" w:themeFill="background1" w:themeFillShade="F2"/>
            <w:noWrap/>
            <w:hideMark/>
          </w:tcPr>
          <w:p w14:paraId="42D52CEE" w14:textId="77777777" w:rsidR="00623569" w:rsidRPr="001844EE" w:rsidRDefault="00623569" w:rsidP="001517F2">
            <w:pPr>
              <w:pStyle w:val="Paragraph"/>
              <w:spacing w:after="0" w:line="240" w:lineRule="auto"/>
              <w:contextualSpacing/>
              <w:jc w:val="right"/>
            </w:pPr>
            <w:r w:rsidRPr="001844EE">
              <w:t>$98,550</w:t>
            </w:r>
          </w:p>
        </w:tc>
      </w:tr>
      <w:tr w:rsidR="00623569" w:rsidRPr="001844EE" w14:paraId="42501D03" w14:textId="77777777" w:rsidTr="00E94DB1">
        <w:trPr>
          <w:cnfStyle w:val="000000010000" w:firstRow="0" w:lastRow="0" w:firstColumn="0" w:lastColumn="0" w:oddVBand="0" w:evenVBand="0" w:oddHBand="0" w:evenHBand="1" w:firstRowFirstColumn="0" w:firstRowLastColumn="0" w:lastRowFirstColumn="0" w:lastRowLastColumn="0"/>
          <w:trHeight w:val="284"/>
        </w:trPr>
        <w:tc>
          <w:tcPr>
            <w:tcW w:w="7508" w:type="dxa"/>
            <w:gridSpan w:val="5"/>
            <w:shd w:val="clear" w:color="auto" w:fill="auto"/>
            <w:hideMark/>
          </w:tcPr>
          <w:p w14:paraId="5E9BF699" w14:textId="77777777" w:rsidR="00623569" w:rsidRPr="001844EE" w:rsidRDefault="00623569" w:rsidP="001517F2">
            <w:pPr>
              <w:pStyle w:val="Paragraph"/>
              <w:spacing w:after="0" w:line="240" w:lineRule="auto"/>
              <w:contextualSpacing/>
            </w:pPr>
            <w:r w:rsidRPr="001844EE">
              <w:rPr>
                <w:b/>
                <w:bCs/>
              </w:rPr>
              <w:t>TOTAL</w:t>
            </w:r>
          </w:p>
        </w:tc>
        <w:tc>
          <w:tcPr>
            <w:tcW w:w="1313" w:type="dxa"/>
            <w:gridSpan w:val="2"/>
            <w:shd w:val="clear" w:color="auto" w:fill="auto"/>
            <w:noWrap/>
            <w:hideMark/>
          </w:tcPr>
          <w:p w14:paraId="20504412" w14:textId="77777777" w:rsidR="00623569" w:rsidRPr="001844EE" w:rsidRDefault="00623569" w:rsidP="001517F2">
            <w:pPr>
              <w:pStyle w:val="Paragraph"/>
              <w:spacing w:after="0" w:line="240" w:lineRule="auto"/>
              <w:contextualSpacing/>
              <w:jc w:val="right"/>
              <w:rPr>
                <w:b/>
                <w:bCs/>
              </w:rPr>
            </w:pPr>
            <w:r w:rsidRPr="001844EE">
              <w:rPr>
                <w:b/>
                <w:bCs/>
              </w:rPr>
              <w:t>$139,050</w:t>
            </w:r>
          </w:p>
        </w:tc>
      </w:tr>
      <w:tr w:rsidR="00623569" w:rsidRPr="001844EE" w14:paraId="41EA79A4" w14:textId="77777777" w:rsidTr="00E94DB1">
        <w:trPr>
          <w:cnfStyle w:val="000000100000" w:firstRow="0" w:lastRow="0" w:firstColumn="0" w:lastColumn="0" w:oddVBand="0" w:evenVBand="0" w:oddHBand="1" w:evenHBand="0" w:firstRowFirstColumn="0" w:firstRowLastColumn="0" w:lastRowFirstColumn="0" w:lastRowLastColumn="0"/>
          <w:trHeight w:val="284"/>
        </w:trPr>
        <w:tc>
          <w:tcPr>
            <w:tcW w:w="8821" w:type="dxa"/>
            <w:gridSpan w:val="7"/>
            <w:shd w:val="clear" w:color="auto" w:fill="F2F2F2" w:themeFill="background1" w:themeFillShade="F2"/>
            <w:hideMark/>
          </w:tcPr>
          <w:p w14:paraId="1675D7F4" w14:textId="77777777" w:rsidR="00623569" w:rsidRPr="001844EE" w:rsidRDefault="00623569" w:rsidP="001517F2">
            <w:pPr>
              <w:pStyle w:val="Paragraph"/>
              <w:spacing w:after="0" w:line="240" w:lineRule="auto"/>
              <w:contextualSpacing/>
            </w:pPr>
            <w:r w:rsidRPr="001844EE">
              <w:rPr>
                <w:b/>
                <w:bCs/>
              </w:rPr>
              <w:t xml:space="preserve">Very </w:t>
            </w:r>
            <w:r>
              <w:rPr>
                <w:b/>
                <w:bCs/>
              </w:rPr>
              <w:t>s</w:t>
            </w:r>
            <w:r w:rsidRPr="001844EE">
              <w:rPr>
                <w:b/>
                <w:bCs/>
              </w:rPr>
              <w:t>mall CSPs</w:t>
            </w:r>
          </w:p>
        </w:tc>
      </w:tr>
      <w:tr w:rsidR="00623569" w:rsidRPr="001844EE" w14:paraId="3E315BA5" w14:textId="77777777" w:rsidTr="00E94DB1">
        <w:trPr>
          <w:gridAfter w:val="1"/>
          <w:cnfStyle w:val="000000010000" w:firstRow="0" w:lastRow="0" w:firstColumn="0" w:lastColumn="0" w:oddVBand="0" w:evenVBand="0" w:oddHBand="0" w:evenHBand="1" w:firstRowFirstColumn="0" w:firstRowLastColumn="0" w:lastRowFirstColumn="0" w:lastRowLastColumn="0"/>
          <w:wAfter w:w="14" w:type="dxa"/>
          <w:trHeight w:val="284"/>
        </w:trPr>
        <w:tc>
          <w:tcPr>
            <w:tcW w:w="2122" w:type="dxa"/>
            <w:shd w:val="clear" w:color="auto" w:fill="auto"/>
            <w:hideMark/>
          </w:tcPr>
          <w:p w14:paraId="5B4965CA" w14:textId="77777777" w:rsidR="00623569" w:rsidRPr="001844EE" w:rsidRDefault="00623569" w:rsidP="001517F2">
            <w:pPr>
              <w:pStyle w:val="Paragraph"/>
              <w:spacing w:after="0" w:line="240" w:lineRule="auto"/>
              <w:contextualSpacing/>
            </w:pPr>
            <w:r w:rsidRPr="001844EE">
              <w:t xml:space="preserve">Monitor processes </w:t>
            </w:r>
          </w:p>
        </w:tc>
        <w:tc>
          <w:tcPr>
            <w:tcW w:w="1559" w:type="dxa"/>
            <w:shd w:val="clear" w:color="auto" w:fill="auto"/>
            <w:hideMark/>
          </w:tcPr>
          <w:p w14:paraId="29D2CEBA" w14:textId="77777777" w:rsidR="00623569" w:rsidRPr="001844EE" w:rsidRDefault="00623569" w:rsidP="001517F2">
            <w:pPr>
              <w:pStyle w:val="Paragraph"/>
              <w:spacing w:after="0" w:line="240" w:lineRule="auto"/>
              <w:contextualSpacing/>
              <w:jc w:val="right"/>
            </w:pPr>
            <w:r w:rsidRPr="001844EE">
              <w:t xml:space="preserve">$1,250 </w:t>
            </w:r>
          </w:p>
        </w:tc>
        <w:tc>
          <w:tcPr>
            <w:tcW w:w="1417" w:type="dxa"/>
            <w:shd w:val="clear" w:color="auto" w:fill="auto"/>
            <w:noWrap/>
            <w:hideMark/>
          </w:tcPr>
          <w:p w14:paraId="17516EF8" w14:textId="77777777" w:rsidR="00623569" w:rsidRPr="001844EE" w:rsidRDefault="00623569" w:rsidP="001517F2">
            <w:pPr>
              <w:pStyle w:val="Paragraph"/>
              <w:spacing w:after="0" w:line="240" w:lineRule="auto"/>
              <w:contextualSpacing/>
              <w:jc w:val="right"/>
            </w:pPr>
          </w:p>
        </w:tc>
        <w:tc>
          <w:tcPr>
            <w:tcW w:w="1276" w:type="dxa"/>
            <w:shd w:val="clear" w:color="auto" w:fill="auto"/>
            <w:noWrap/>
            <w:hideMark/>
          </w:tcPr>
          <w:p w14:paraId="2A1AD8D1" w14:textId="77777777" w:rsidR="00623569" w:rsidRPr="001844EE" w:rsidRDefault="00623569" w:rsidP="001517F2">
            <w:pPr>
              <w:pStyle w:val="Paragraph"/>
              <w:spacing w:after="0" w:line="240" w:lineRule="auto"/>
              <w:contextualSpacing/>
              <w:jc w:val="right"/>
            </w:pPr>
            <w:r w:rsidRPr="001844EE">
              <w:t>317</w:t>
            </w:r>
          </w:p>
        </w:tc>
        <w:tc>
          <w:tcPr>
            <w:tcW w:w="1134" w:type="dxa"/>
            <w:shd w:val="clear" w:color="auto" w:fill="auto"/>
            <w:noWrap/>
            <w:hideMark/>
          </w:tcPr>
          <w:p w14:paraId="62FC90A8" w14:textId="77777777" w:rsidR="00623569" w:rsidRPr="001844EE" w:rsidRDefault="00623569" w:rsidP="001517F2">
            <w:pPr>
              <w:pStyle w:val="Paragraph"/>
              <w:spacing w:after="0" w:line="240" w:lineRule="auto"/>
              <w:contextualSpacing/>
              <w:jc w:val="right"/>
            </w:pPr>
          </w:p>
        </w:tc>
        <w:tc>
          <w:tcPr>
            <w:tcW w:w="1299" w:type="dxa"/>
            <w:shd w:val="clear" w:color="auto" w:fill="auto"/>
            <w:noWrap/>
            <w:hideMark/>
          </w:tcPr>
          <w:p w14:paraId="0E4668DB" w14:textId="77777777" w:rsidR="00623569" w:rsidRPr="001844EE" w:rsidRDefault="00623569" w:rsidP="001517F2">
            <w:pPr>
              <w:pStyle w:val="Paragraph"/>
              <w:spacing w:after="0" w:line="240" w:lineRule="auto"/>
              <w:contextualSpacing/>
              <w:jc w:val="right"/>
            </w:pPr>
            <w:r w:rsidRPr="001844EE">
              <w:t>$396,250</w:t>
            </w:r>
          </w:p>
        </w:tc>
      </w:tr>
      <w:tr w:rsidR="00E94DB1" w:rsidRPr="001844EE" w14:paraId="29BED215" w14:textId="77777777" w:rsidTr="00E94DB1">
        <w:trPr>
          <w:gridAfter w:val="1"/>
          <w:cnfStyle w:val="000000100000" w:firstRow="0" w:lastRow="0" w:firstColumn="0" w:lastColumn="0" w:oddVBand="0" w:evenVBand="0" w:oddHBand="1" w:evenHBand="0" w:firstRowFirstColumn="0" w:firstRowLastColumn="0" w:lastRowFirstColumn="0" w:lastRowLastColumn="0"/>
          <w:wAfter w:w="14" w:type="dxa"/>
          <w:trHeight w:val="284"/>
        </w:trPr>
        <w:tc>
          <w:tcPr>
            <w:tcW w:w="2122" w:type="dxa"/>
            <w:shd w:val="clear" w:color="auto" w:fill="F2F2F2" w:themeFill="background1" w:themeFillShade="F2"/>
            <w:hideMark/>
          </w:tcPr>
          <w:p w14:paraId="0695AABA" w14:textId="77777777" w:rsidR="00623569" w:rsidRPr="001844EE" w:rsidRDefault="00623569" w:rsidP="001517F2">
            <w:pPr>
              <w:pStyle w:val="Paragraph"/>
              <w:spacing w:after="0" w:line="240" w:lineRule="auto"/>
              <w:contextualSpacing/>
            </w:pPr>
            <w:r w:rsidRPr="001844EE">
              <w:t>Staff training</w:t>
            </w:r>
          </w:p>
        </w:tc>
        <w:tc>
          <w:tcPr>
            <w:tcW w:w="1559" w:type="dxa"/>
            <w:shd w:val="clear" w:color="auto" w:fill="F2F2F2" w:themeFill="background1" w:themeFillShade="F2"/>
            <w:hideMark/>
          </w:tcPr>
          <w:p w14:paraId="36C3569F" w14:textId="77777777" w:rsidR="00623569" w:rsidRPr="001844EE" w:rsidRDefault="00623569" w:rsidP="001517F2">
            <w:pPr>
              <w:pStyle w:val="Paragraph"/>
              <w:spacing w:after="0" w:line="240" w:lineRule="auto"/>
              <w:contextualSpacing/>
              <w:jc w:val="right"/>
            </w:pPr>
          </w:p>
        </w:tc>
        <w:tc>
          <w:tcPr>
            <w:tcW w:w="1417" w:type="dxa"/>
            <w:shd w:val="clear" w:color="auto" w:fill="F2F2F2" w:themeFill="background1" w:themeFillShade="F2"/>
            <w:noWrap/>
            <w:hideMark/>
          </w:tcPr>
          <w:p w14:paraId="7EDEDC50" w14:textId="77777777" w:rsidR="00623569" w:rsidRPr="001844EE" w:rsidRDefault="00623569" w:rsidP="001517F2">
            <w:pPr>
              <w:pStyle w:val="Paragraph"/>
              <w:spacing w:after="0" w:line="240" w:lineRule="auto"/>
              <w:contextualSpacing/>
              <w:jc w:val="right"/>
            </w:pPr>
            <w:r w:rsidRPr="001844EE">
              <w:t>30</w:t>
            </w:r>
          </w:p>
        </w:tc>
        <w:tc>
          <w:tcPr>
            <w:tcW w:w="1276" w:type="dxa"/>
            <w:shd w:val="clear" w:color="auto" w:fill="F2F2F2" w:themeFill="background1" w:themeFillShade="F2"/>
            <w:noWrap/>
            <w:hideMark/>
          </w:tcPr>
          <w:p w14:paraId="46B6DF00" w14:textId="77777777" w:rsidR="00623569" w:rsidRPr="001844EE" w:rsidRDefault="00623569" w:rsidP="001517F2">
            <w:pPr>
              <w:pStyle w:val="Paragraph"/>
              <w:spacing w:after="0" w:line="240" w:lineRule="auto"/>
              <w:contextualSpacing/>
              <w:jc w:val="right"/>
            </w:pPr>
            <w:r w:rsidRPr="001844EE">
              <w:t>317</w:t>
            </w:r>
          </w:p>
        </w:tc>
        <w:tc>
          <w:tcPr>
            <w:tcW w:w="1134" w:type="dxa"/>
            <w:shd w:val="clear" w:color="auto" w:fill="F2F2F2" w:themeFill="background1" w:themeFillShade="F2"/>
            <w:hideMark/>
          </w:tcPr>
          <w:p w14:paraId="7095D93D" w14:textId="77777777" w:rsidR="00623569" w:rsidRPr="001844EE" w:rsidRDefault="00623569" w:rsidP="001517F2">
            <w:pPr>
              <w:pStyle w:val="Paragraph"/>
              <w:spacing w:after="0" w:line="240" w:lineRule="auto"/>
              <w:contextualSpacing/>
              <w:jc w:val="right"/>
            </w:pPr>
            <w:r w:rsidRPr="001844EE">
              <w:t xml:space="preserve">$73 </w:t>
            </w:r>
          </w:p>
        </w:tc>
        <w:tc>
          <w:tcPr>
            <w:tcW w:w="1299" w:type="dxa"/>
            <w:shd w:val="clear" w:color="auto" w:fill="F2F2F2" w:themeFill="background1" w:themeFillShade="F2"/>
            <w:noWrap/>
            <w:hideMark/>
          </w:tcPr>
          <w:p w14:paraId="3FBBFBFC" w14:textId="77777777" w:rsidR="00623569" w:rsidRPr="001844EE" w:rsidRDefault="00623569" w:rsidP="001517F2">
            <w:pPr>
              <w:pStyle w:val="Paragraph"/>
              <w:spacing w:after="0" w:line="240" w:lineRule="auto"/>
              <w:contextualSpacing/>
              <w:jc w:val="right"/>
            </w:pPr>
            <w:r w:rsidRPr="001844EE">
              <w:t>$694,230</w:t>
            </w:r>
          </w:p>
        </w:tc>
      </w:tr>
      <w:tr w:rsidR="00623569" w:rsidRPr="001844EE" w14:paraId="4AD560F2" w14:textId="77777777" w:rsidTr="00E94DB1">
        <w:trPr>
          <w:cnfStyle w:val="000000010000" w:firstRow="0" w:lastRow="0" w:firstColumn="0" w:lastColumn="0" w:oddVBand="0" w:evenVBand="0" w:oddHBand="0" w:evenHBand="1" w:firstRowFirstColumn="0" w:firstRowLastColumn="0" w:lastRowFirstColumn="0" w:lastRowLastColumn="0"/>
          <w:trHeight w:val="284"/>
        </w:trPr>
        <w:tc>
          <w:tcPr>
            <w:tcW w:w="7508" w:type="dxa"/>
            <w:gridSpan w:val="5"/>
            <w:shd w:val="clear" w:color="auto" w:fill="auto"/>
            <w:hideMark/>
          </w:tcPr>
          <w:p w14:paraId="188E39D0" w14:textId="77777777" w:rsidR="00623569" w:rsidRPr="001844EE" w:rsidRDefault="00623569" w:rsidP="001517F2">
            <w:pPr>
              <w:pStyle w:val="Paragraph"/>
              <w:spacing w:after="0" w:line="240" w:lineRule="auto"/>
              <w:contextualSpacing/>
            </w:pPr>
            <w:r w:rsidRPr="001844EE">
              <w:rPr>
                <w:b/>
                <w:bCs/>
              </w:rPr>
              <w:t>TOTAL</w:t>
            </w:r>
          </w:p>
        </w:tc>
        <w:tc>
          <w:tcPr>
            <w:tcW w:w="1313" w:type="dxa"/>
            <w:gridSpan w:val="2"/>
            <w:shd w:val="clear" w:color="auto" w:fill="auto"/>
            <w:noWrap/>
            <w:hideMark/>
          </w:tcPr>
          <w:p w14:paraId="234C8D4C" w14:textId="77777777" w:rsidR="00623569" w:rsidRPr="001844EE" w:rsidRDefault="00623569" w:rsidP="001517F2">
            <w:pPr>
              <w:pStyle w:val="Paragraph"/>
              <w:spacing w:after="0" w:line="240" w:lineRule="auto"/>
              <w:contextualSpacing/>
              <w:jc w:val="right"/>
              <w:rPr>
                <w:b/>
                <w:bCs/>
              </w:rPr>
            </w:pPr>
            <w:r w:rsidRPr="001844EE">
              <w:rPr>
                <w:b/>
                <w:bCs/>
              </w:rPr>
              <w:t>$1,090,480</w:t>
            </w:r>
          </w:p>
        </w:tc>
      </w:tr>
      <w:tr w:rsidR="00623569" w:rsidRPr="001844EE" w14:paraId="631D79CD" w14:textId="77777777" w:rsidTr="00E94DB1">
        <w:trPr>
          <w:cnfStyle w:val="000000100000" w:firstRow="0" w:lastRow="0" w:firstColumn="0" w:lastColumn="0" w:oddVBand="0" w:evenVBand="0" w:oddHBand="1" w:evenHBand="0" w:firstRowFirstColumn="0" w:firstRowLastColumn="0" w:lastRowFirstColumn="0" w:lastRowLastColumn="0"/>
          <w:trHeight w:val="284"/>
        </w:trPr>
        <w:tc>
          <w:tcPr>
            <w:tcW w:w="7508" w:type="dxa"/>
            <w:gridSpan w:val="5"/>
            <w:shd w:val="clear" w:color="auto" w:fill="F2F2F2" w:themeFill="background1" w:themeFillShade="F2"/>
            <w:hideMark/>
          </w:tcPr>
          <w:p w14:paraId="76F4F090" w14:textId="77777777" w:rsidR="00623569" w:rsidRPr="001844EE" w:rsidRDefault="00623569" w:rsidP="001517F2">
            <w:pPr>
              <w:pStyle w:val="Paragraph"/>
              <w:spacing w:after="0" w:line="240" w:lineRule="auto"/>
              <w:contextualSpacing/>
              <w:rPr>
                <w:b/>
                <w:bCs/>
              </w:rPr>
            </w:pPr>
            <w:r>
              <w:rPr>
                <w:b/>
                <w:bCs/>
              </w:rPr>
              <w:t>Total ongoing costs to CSPs under Option 2B</w:t>
            </w:r>
          </w:p>
        </w:tc>
        <w:tc>
          <w:tcPr>
            <w:tcW w:w="1313" w:type="dxa"/>
            <w:gridSpan w:val="2"/>
            <w:shd w:val="clear" w:color="auto" w:fill="F2F2F2" w:themeFill="background1" w:themeFillShade="F2"/>
            <w:noWrap/>
            <w:hideMark/>
          </w:tcPr>
          <w:p w14:paraId="2DBDBD8C" w14:textId="77777777" w:rsidR="00623569" w:rsidRPr="001844EE" w:rsidRDefault="00623569" w:rsidP="001517F2">
            <w:pPr>
              <w:pStyle w:val="Paragraph"/>
              <w:spacing w:after="0" w:line="240" w:lineRule="auto"/>
              <w:contextualSpacing/>
              <w:jc w:val="right"/>
              <w:rPr>
                <w:b/>
                <w:bCs/>
              </w:rPr>
            </w:pPr>
            <w:r w:rsidRPr="001844EE">
              <w:rPr>
                <w:b/>
                <w:bCs/>
              </w:rPr>
              <w:t>$1,379,930</w:t>
            </w:r>
          </w:p>
        </w:tc>
      </w:tr>
    </w:tbl>
    <w:p w14:paraId="47DB43FA" w14:textId="77777777" w:rsidR="00623569" w:rsidRPr="00E94DB1" w:rsidRDefault="00623569" w:rsidP="00134725">
      <w:pPr>
        <w:rPr>
          <w:rFonts w:ascii="Times New Roman" w:hAnsi="Times New Roman"/>
          <w:b/>
          <w:szCs w:val="20"/>
        </w:rPr>
      </w:pPr>
    </w:p>
    <w:sectPr w:rsidR="00623569" w:rsidRPr="00E94DB1" w:rsidSect="00FB53A1">
      <w:pgSz w:w="11906" w:h="16838" w:code="9"/>
      <w:pgMar w:top="1945" w:right="3101" w:bottom="1134"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CDAC2" w14:textId="77777777" w:rsidR="007074A1" w:rsidRDefault="007074A1" w:rsidP="00025ACE">
      <w:pPr>
        <w:spacing w:after="0" w:line="240" w:lineRule="auto"/>
      </w:pPr>
      <w:r>
        <w:separator/>
      </w:r>
    </w:p>
  </w:endnote>
  <w:endnote w:type="continuationSeparator" w:id="0">
    <w:p w14:paraId="0A8F5146" w14:textId="77777777" w:rsidR="007074A1" w:rsidRDefault="007074A1" w:rsidP="00025ACE">
      <w:pPr>
        <w:spacing w:after="0" w:line="240" w:lineRule="auto"/>
      </w:pPr>
      <w:r>
        <w:continuationSeparator/>
      </w:r>
    </w:p>
  </w:endnote>
  <w:endnote w:type="continuationNotice" w:id="1">
    <w:p w14:paraId="6B0CEA97" w14:textId="77777777" w:rsidR="007074A1" w:rsidRDefault="007074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sz w:val="20"/>
        <w:szCs w:val="20"/>
      </w:rPr>
    </w:sdtEndPr>
    <w:sdtContent>
      <w:p w14:paraId="1E27C0A2" w14:textId="77777777" w:rsidR="00AD3414" w:rsidRDefault="00AD3414" w:rsidP="00EA567C">
        <w:pPr>
          <w:pStyle w:val="Footer"/>
          <w:pBdr>
            <w:top w:val="single" w:sz="4" w:space="1" w:color="auto"/>
          </w:pBdr>
        </w:pPr>
      </w:p>
      <w:p w14:paraId="556B0C98" w14:textId="6FC1C7FA" w:rsidR="00AD3414" w:rsidRPr="00EA567C" w:rsidRDefault="00AD3414" w:rsidP="00EA567C">
        <w:pPr>
          <w:pStyle w:val="Footer"/>
          <w:jc w:val="center"/>
          <w:rPr>
            <w:rFonts w:ascii="Times New Roman" w:hAnsi="Times New Roman"/>
            <w:sz w:val="20"/>
            <w:szCs w:val="20"/>
          </w:rPr>
        </w:pPr>
        <w:r w:rsidRPr="00EA567C">
          <w:rPr>
            <w:rFonts w:ascii="Times New Roman" w:hAnsi="Times New Roman"/>
            <w:i/>
            <w:sz w:val="20"/>
            <w:szCs w:val="20"/>
          </w:rPr>
          <w:t>Explanatory Statement to the</w:t>
        </w:r>
        <w:r w:rsidRPr="00EA567C">
          <w:rPr>
            <w:rFonts w:ascii="Times New Roman" w:hAnsi="Times New Roman"/>
            <w:sz w:val="20"/>
            <w:szCs w:val="20"/>
          </w:rPr>
          <w:t xml:space="preserve"> </w:t>
        </w:r>
        <w:r w:rsidR="00A25412">
          <w:rPr>
            <w:rFonts w:ascii="Times New Roman" w:hAnsi="Times New Roman"/>
            <w:i/>
            <w:sz w:val="20"/>
            <w:szCs w:val="20"/>
          </w:rPr>
          <w:t>Telecommunication</w:t>
        </w:r>
        <w:r w:rsidR="009B3F52">
          <w:rPr>
            <w:rFonts w:ascii="Times New Roman" w:hAnsi="Times New Roman"/>
            <w:i/>
            <w:sz w:val="20"/>
            <w:szCs w:val="20"/>
          </w:rPr>
          <w:t>s</w:t>
        </w:r>
        <w:r w:rsidR="00A25412">
          <w:rPr>
            <w:rFonts w:ascii="Times New Roman" w:hAnsi="Times New Roman"/>
            <w:i/>
            <w:sz w:val="20"/>
            <w:szCs w:val="20"/>
          </w:rPr>
          <w:t xml:space="preserve"> (Financial Hardship) Industry Standard 2024</w:t>
        </w:r>
      </w:p>
      <w:p w14:paraId="180626A1" w14:textId="18A57F99" w:rsidR="00025ACE" w:rsidRPr="00EA567C" w:rsidRDefault="00025ACE" w:rsidP="00EA567C">
        <w:pPr>
          <w:pStyle w:val="Footer"/>
          <w:jc w:val="right"/>
          <w:rPr>
            <w:iCs/>
            <w:sz w:val="20"/>
            <w:szCs w:val="20"/>
          </w:rPr>
        </w:pPr>
        <w:r w:rsidRPr="00EA567C">
          <w:rPr>
            <w:rFonts w:ascii="Times New Roman" w:hAnsi="Times New Roman"/>
            <w:iCs/>
            <w:sz w:val="20"/>
            <w:szCs w:val="20"/>
          </w:rPr>
          <w:fldChar w:fldCharType="begin"/>
        </w:r>
        <w:r w:rsidRPr="00EA567C">
          <w:rPr>
            <w:rFonts w:ascii="Times New Roman" w:hAnsi="Times New Roman"/>
            <w:iCs/>
            <w:sz w:val="20"/>
            <w:szCs w:val="20"/>
          </w:rPr>
          <w:instrText xml:space="preserve"> PAGE   \* MERGEFORMAT </w:instrText>
        </w:r>
        <w:r w:rsidRPr="00EA567C">
          <w:rPr>
            <w:rFonts w:ascii="Times New Roman" w:hAnsi="Times New Roman"/>
            <w:iCs/>
            <w:sz w:val="20"/>
            <w:szCs w:val="20"/>
          </w:rPr>
          <w:fldChar w:fldCharType="separate"/>
        </w:r>
        <w:r w:rsidR="00D23BD5" w:rsidRPr="00EA567C">
          <w:rPr>
            <w:rFonts w:ascii="Times New Roman" w:hAnsi="Times New Roman"/>
            <w:iCs/>
            <w:noProof/>
            <w:sz w:val="20"/>
            <w:szCs w:val="20"/>
          </w:rPr>
          <w:t>6</w:t>
        </w:r>
        <w:r w:rsidRPr="00EA567C">
          <w:rPr>
            <w:rFonts w:ascii="Times New Roman" w:hAnsi="Times New Roman"/>
            <w:iCs/>
            <w:noProof/>
            <w:sz w:val="20"/>
            <w:szCs w:val="20"/>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51BE" w14:textId="77777777" w:rsidR="00623569" w:rsidRPr="00622A3B" w:rsidRDefault="00623569">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6C9EBC1D" w14:textId="77777777" w:rsidR="00623569" w:rsidRPr="00A5474E" w:rsidRDefault="0062356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ABDC" w14:textId="77777777" w:rsidR="00623569" w:rsidRPr="00622A3B" w:rsidRDefault="00623569">
    <w:pPr>
      <w:pStyle w:val="Footer"/>
      <w:framePr w:w="1756" w:h="357" w:hRule="exact" w:vSpace="425" w:wrap="around" w:vAnchor="page" w:hAnchor="page" w:x="7335" w:y="16097"/>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13</w:t>
    </w:r>
    <w:r w:rsidRPr="00575AC5">
      <w:rPr>
        <w:color w:val="505050"/>
      </w:rPr>
      <w:fldChar w:fldCharType="end"/>
    </w:r>
  </w:p>
  <w:p w14:paraId="556AF8C7" w14:textId="77777777" w:rsidR="00623569" w:rsidRPr="00A5474E" w:rsidRDefault="00623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7E0B" w14:textId="77777777" w:rsidR="00623569" w:rsidRDefault="00623569" w:rsidP="00C9240C">
    <w:pPr>
      <w:pStyle w:val="Footer"/>
      <w:jc w:val="right"/>
    </w:pPr>
    <w:r w:rsidRPr="005E250B">
      <w:rPr>
        <w:noProof/>
        <w:vertAlign w:val="subscript"/>
      </w:rPr>
      <w:drawing>
        <wp:inline distT="0" distB="0" distL="0" distR="0" wp14:anchorId="6A9B5761" wp14:editId="64740486">
          <wp:extent cx="1066800" cy="277368"/>
          <wp:effectExtent l="0" t="0" r="0" b="0"/>
          <wp:docPr id="4" name="Picture 4"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61F4" w14:textId="77777777" w:rsidR="00623569" w:rsidRDefault="006235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740A" w14:textId="77777777" w:rsidR="00623569" w:rsidRDefault="006235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45EA" w14:textId="77777777" w:rsidR="00623569" w:rsidRPr="00622A3B" w:rsidRDefault="00623569" w:rsidP="00083B2C">
    <w:pPr>
      <w:pStyle w:val="Footer"/>
      <w:framePr w:w="1586" w:h="357" w:hRule="exact" w:vSpace="425" w:wrap="around" w:vAnchor="page" w:hAnchor="page" w:x="1145" w:y="16150"/>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color w:val="505050"/>
      </w:rPr>
      <w:t>iv</w:t>
    </w:r>
    <w:r w:rsidRPr="002E4DDC">
      <w:rPr>
        <w:color w:val="505050"/>
      </w:rPr>
      <w:fldChar w:fldCharType="end"/>
    </w:r>
  </w:p>
  <w:p w14:paraId="4246EC56" w14:textId="77777777" w:rsidR="00623569" w:rsidRPr="00A5474E" w:rsidRDefault="00623569" w:rsidP="00C924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DFE3" w14:textId="6C27EC08" w:rsidR="00623569" w:rsidRPr="00622A3B" w:rsidRDefault="00623569" w:rsidP="003D0006">
    <w:pPr>
      <w:pStyle w:val="Footer"/>
      <w:framePr w:w="1949" w:h="545" w:hRule="exact" w:vSpace="425" w:wrap="around" w:vAnchor="page" w:hAnchor="page" w:x="6862"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2B77D4DE" w14:textId="77777777" w:rsidR="00623569" w:rsidRPr="00A5474E" w:rsidRDefault="00623569" w:rsidP="00C9240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5F45" w14:textId="77777777" w:rsidR="00623569" w:rsidRPr="00420D03" w:rsidRDefault="00623569" w:rsidP="00D772D2">
    <w:pPr>
      <w:framePr w:w="1697" w:h="357" w:hRule="exact" w:vSpace="425" w:wrap="around" w:vAnchor="page" w:hAnchor="page" w:x="7368" w:y="16166"/>
      <w:pBdr>
        <w:top w:val="single" w:sz="4" w:space="1" w:color="auto"/>
      </w:pBdr>
      <w:tabs>
        <w:tab w:val="left" w:pos="284"/>
      </w:tabs>
      <w:spacing w:line="240" w:lineRule="auto"/>
      <w:jc w:val="right"/>
      <w:rPr>
        <w:rFonts w:cs="Arial"/>
        <w:color w:val="323232"/>
        <w:sz w:val="16"/>
      </w:rPr>
    </w:pPr>
    <w:r w:rsidRPr="00420D03">
      <w:rPr>
        <w:rFonts w:cs="Arial"/>
        <w:b/>
        <w:noProof/>
        <w:color w:val="323232"/>
        <w:spacing w:val="-16"/>
        <w:szCs w:val="20"/>
      </w:rPr>
      <w:t>a</w:t>
    </w:r>
    <w:r w:rsidRPr="00420D03">
      <w:rPr>
        <w:rFonts w:cs="Arial"/>
        <w:b/>
        <w:noProof/>
        <w:color w:val="323232"/>
        <w:spacing w:val="-15"/>
        <w:szCs w:val="20"/>
      </w:rPr>
      <w:t>c</w:t>
    </w:r>
    <w:r w:rsidRPr="00420D03">
      <w:rPr>
        <w:rFonts w:cs="Arial"/>
        <w:b/>
        <w:noProof/>
        <w:color w:val="323232"/>
        <w:spacing w:val="-16"/>
        <w:szCs w:val="20"/>
      </w:rPr>
      <w:t>m</w:t>
    </w:r>
    <w:r w:rsidRPr="00420D03">
      <w:rPr>
        <w:rFonts w:cs="Arial"/>
        <w:b/>
        <w:noProof/>
        <w:color w:val="323232"/>
        <w:spacing w:val="-14"/>
        <w:szCs w:val="20"/>
      </w:rPr>
      <w:t>a</w:t>
    </w:r>
    <w:r w:rsidRPr="00420D03">
      <w:rPr>
        <w:rFonts w:cs="Arial"/>
        <w:color w:val="323232"/>
        <w:sz w:val="16"/>
      </w:rPr>
      <w:tab/>
      <w:t xml:space="preserve"> |</w:t>
    </w:r>
    <w:r w:rsidRPr="00420D03">
      <w:rPr>
        <w:color w:val="323232"/>
        <w:sz w:val="16"/>
      </w:rPr>
      <w:tab/>
    </w:r>
    <w:r w:rsidRPr="00420D03">
      <w:rPr>
        <w:color w:val="505050"/>
        <w:sz w:val="16"/>
      </w:rPr>
      <w:fldChar w:fldCharType="begin"/>
    </w:r>
    <w:r w:rsidRPr="00420D03">
      <w:rPr>
        <w:color w:val="505050"/>
        <w:sz w:val="16"/>
      </w:rPr>
      <w:instrText xml:space="preserve"> PAGE  \* roman  \* MERGEFORMAT </w:instrText>
    </w:r>
    <w:r w:rsidRPr="00420D03">
      <w:rPr>
        <w:color w:val="505050"/>
        <w:sz w:val="16"/>
      </w:rPr>
      <w:fldChar w:fldCharType="separate"/>
    </w:r>
    <w:r w:rsidRPr="00420D03">
      <w:rPr>
        <w:color w:val="505050"/>
        <w:sz w:val="16"/>
      </w:rPr>
      <w:t>iii</w:t>
    </w:r>
    <w:r w:rsidRPr="00420D03">
      <w:rPr>
        <w:color w:val="505050"/>
        <w:sz w:val="16"/>
      </w:rPr>
      <w:fldChar w:fldCharType="end"/>
    </w:r>
  </w:p>
  <w:p w14:paraId="0F579078" w14:textId="77777777" w:rsidR="00623569" w:rsidRPr="00A5474E" w:rsidRDefault="00623569" w:rsidP="00C9240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10D8" w14:textId="77777777" w:rsidR="00623569" w:rsidRPr="00622A3B" w:rsidRDefault="00623569" w:rsidP="00C9240C">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18B006D0" w14:textId="77777777" w:rsidR="00623569" w:rsidRPr="00A5474E" w:rsidRDefault="00623569" w:rsidP="00C9240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2016" w14:textId="77777777" w:rsidR="00623569" w:rsidRPr="00622A3B" w:rsidRDefault="00623569" w:rsidP="00D772D2">
    <w:pPr>
      <w:pStyle w:val="Footer"/>
      <w:framePr w:w="1756" w:h="357" w:hRule="exact" w:vSpace="425" w:wrap="around" w:vAnchor="page" w:hAnchor="page" w:x="7335" w:y="16097"/>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13</w:t>
    </w:r>
    <w:r w:rsidRPr="00575AC5">
      <w:rPr>
        <w:color w:val="505050"/>
      </w:rPr>
      <w:fldChar w:fldCharType="end"/>
    </w:r>
  </w:p>
  <w:p w14:paraId="2341D917" w14:textId="77777777" w:rsidR="00623569" w:rsidRPr="00A5474E" w:rsidRDefault="00623569" w:rsidP="00C92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A9E4D" w14:textId="77777777" w:rsidR="007074A1" w:rsidRDefault="007074A1" w:rsidP="00025ACE">
      <w:pPr>
        <w:spacing w:after="0" w:line="240" w:lineRule="auto"/>
      </w:pPr>
      <w:r>
        <w:separator/>
      </w:r>
    </w:p>
  </w:footnote>
  <w:footnote w:type="continuationSeparator" w:id="0">
    <w:p w14:paraId="0FA4BEC3" w14:textId="77777777" w:rsidR="007074A1" w:rsidRDefault="007074A1" w:rsidP="00025ACE">
      <w:pPr>
        <w:spacing w:after="0" w:line="240" w:lineRule="auto"/>
      </w:pPr>
      <w:r>
        <w:continuationSeparator/>
      </w:r>
    </w:p>
  </w:footnote>
  <w:footnote w:type="continuationNotice" w:id="1">
    <w:p w14:paraId="5E81CD82" w14:textId="77777777" w:rsidR="007074A1" w:rsidRDefault="007074A1">
      <w:pPr>
        <w:spacing w:after="0" w:line="240" w:lineRule="auto"/>
      </w:pPr>
    </w:p>
  </w:footnote>
  <w:footnote w:id="2">
    <w:p w14:paraId="68321384" w14:textId="77777777" w:rsidR="00623569" w:rsidRDefault="00623569" w:rsidP="00623569">
      <w:pPr>
        <w:pStyle w:val="FootnoteText"/>
      </w:pPr>
      <w:r>
        <w:rPr>
          <w:rStyle w:val="FootnoteReference"/>
        </w:rPr>
        <w:footnoteRef/>
      </w:r>
      <w:r>
        <w:t xml:space="preserve"> ACMA</w:t>
      </w:r>
      <w:r w:rsidRPr="008D08F6">
        <w:t xml:space="preserve">, </w:t>
      </w:r>
      <w:hyperlink r:id="rId1" w:history="1">
        <w:r w:rsidRPr="008D08F6">
          <w:rPr>
            <w:rStyle w:val="Hyperlink"/>
            <w:rFonts w:cs="Arial"/>
            <w:i/>
            <w:iCs/>
          </w:rPr>
          <w:t>Financial hardship in the telco sector: Keeping the customer connected</w:t>
        </w:r>
      </w:hyperlink>
      <w:r>
        <w:rPr>
          <w:rStyle w:val="Hyperlink"/>
          <w:rFonts w:cs="Arial"/>
          <w:i/>
          <w:iCs/>
          <w:sz w:val="20"/>
          <w:szCs w:val="20"/>
        </w:rPr>
        <w:t xml:space="preserve"> </w:t>
      </w:r>
      <w:r>
        <w:t>(May 2023), accessed 11 December 2023.</w:t>
      </w:r>
    </w:p>
  </w:footnote>
  <w:footnote w:id="3">
    <w:p w14:paraId="64239A79" w14:textId="77777777" w:rsidR="00623569" w:rsidRDefault="00623569" w:rsidP="00623569">
      <w:pPr>
        <w:pStyle w:val="FootnoteText"/>
      </w:pPr>
      <w:r>
        <w:rPr>
          <w:rStyle w:val="FootnoteReference"/>
        </w:rPr>
        <w:footnoteRef/>
      </w:r>
      <w:r>
        <w:t xml:space="preserve"> ACMA, </w:t>
      </w:r>
      <w:hyperlink r:id="rId2" w:history="1">
        <w:r w:rsidRPr="0068143B">
          <w:rPr>
            <w:rStyle w:val="Hyperlink"/>
            <w:i/>
            <w:iCs/>
          </w:rPr>
          <w:t>Financial hardship: telco and other essential sectors – Quantitative research</w:t>
        </w:r>
      </w:hyperlink>
      <w:r>
        <w:t xml:space="preserve"> (May 2023), accessed 11 December 2023.</w:t>
      </w:r>
    </w:p>
  </w:footnote>
  <w:footnote w:id="4">
    <w:p w14:paraId="44EA06E6" w14:textId="77777777" w:rsidR="00623569" w:rsidRDefault="00623569" w:rsidP="00623569">
      <w:pPr>
        <w:pStyle w:val="FootnoteText"/>
      </w:pPr>
      <w:r>
        <w:rPr>
          <w:rStyle w:val="FootnoteReference"/>
        </w:rPr>
        <w:footnoteRef/>
      </w:r>
      <w:r>
        <w:t xml:space="preserve"> ACMA</w:t>
      </w:r>
      <w:r w:rsidRPr="008D08F6">
        <w:t xml:space="preserve">, </w:t>
      </w:r>
      <w:hyperlink r:id="rId3" w:history="1">
        <w:r w:rsidRPr="008D08F6">
          <w:rPr>
            <w:rStyle w:val="Hyperlink"/>
            <w:rFonts w:cs="Arial"/>
            <w:i/>
            <w:iCs/>
          </w:rPr>
          <w:t>Financial hardship in the telco sector: Keeping the customer connected</w:t>
        </w:r>
      </w:hyperlink>
      <w:r>
        <w:rPr>
          <w:rStyle w:val="Hyperlink"/>
          <w:rFonts w:cs="Arial"/>
          <w:i/>
          <w:iCs/>
          <w:sz w:val="20"/>
          <w:szCs w:val="20"/>
        </w:rPr>
        <w:t xml:space="preserve"> </w:t>
      </w:r>
      <w:r>
        <w:t>(May 2023), accessed 11 December 2023.</w:t>
      </w:r>
    </w:p>
  </w:footnote>
  <w:footnote w:id="5">
    <w:p w14:paraId="61177175" w14:textId="77777777" w:rsidR="00623569" w:rsidRDefault="00623569" w:rsidP="00623569">
      <w:pPr>
        <w:pStyle w:val="FootnoteText"/>
      </w:pPr>
      <w:r>
        <w:rPr>
          <w:rStyle w:val="FootnoteReference"/>
        </w:rPr>
        <w:footnoteRef/>
      </w:r>
      <w:r>
        <w:t xml:space="preserve"> TIO (Telecommunications Industry Ombudsman),</w:t>
      </w:r>
      <w:hyperlink r:id="rId4" w:anchor=":~:text=The%20Telecommunications%20Industry%20Ombudsman%20(TIO,a%20registration%20scheme%20for%20telcos." w:history="1">
        <w:r w:rsidRPr="00EC0276">
          <w:rPr>
            <w:rStyle w:val="Hyperlink"/>
          </w:rPr>
          <w:t xml:space="preserve"> A time for change – Three years of systemic investigations in review</w:t>
        </w:r>
      </w:hyperlink>
      <w:r>
        <w:t xml:space="preserve"> (June 2023), accessed 11 October 2023.</w:t>
      </w:r>
    </w:p>
  </w:footnote>
  <w:footnote w:id="6">
    <w:p w14:paraId="5B686F6B" w14:textId="77777777" w:rsidR="00623569" w:rsidRPr="0073294D" w:rsidRDefault="00623569" w:rsidP="00623569">
      <w:pPr>
        <w:pStyle w:val="FootnoteText"/>
      </w:pPr>
      <w:r>
        <w:rPr>
          <w:rStyle w:val="FootnoteReference"/>
        </w:rPr>
        <w:footnoteRef/>
      </w:r>
      <w:r>
        <w:t xml:space="preserve"> </w:t>
      </w:r>
      <w:hyperlink r:id="rId5" w:history="1">
        <w:r w:rsidRPr="0073294D">
          <w:rPr>
            <w:rStyle w:val="Hyperlink"/>
          </w:rPr>
          <w:t>Telecommunications (Financial Hardship Industry Standard) Direction 2023</w:t>
        </w:r>
      </w:hyperlink>
      <w:r>
        <w:t>.</w:t>
      </w:r>
    </w:p>
  </w:footnote>
  <w:footnote w:id="7">
    <w:p w14:paraId="50873483" w14:textId="77777777" w:rsidR="00623569" w:rsidRDefault="00623569" w:rsidP="00623569">
      <w:pPr>
        <w:pStyle w:val="FootnoteText"/>
      </w:pPr>
      <w:r>
        <w:rPr>
          <w:rStyle w:val="FootnoteReference"/>
        </w:rPr>
        <w:footnoteRef/>
      </w:r>
      <w:r>
        <w:t xml:space="preserve"> </w:t>
      </w:r>
      <w:r w:rsidRPr="00C11092">
        <w:rPr>
          <w:bCs/>
          <w:iCs/>
        </w:rPr>
        <w:t>Part 6</w:t>
      </w:r>
      <w:r>
        <w:rPr>
          <w:bCs/>
          <w:iCs/>
        </w:rPr>
        <w:t>,</w:t>
      </w:r>
      <w:r w:rsidRPr="00C11092">
        <w:rPr>
          <w:bCs/>
          <w:iCs/>
        </w:rPr>
        <w:t xml:space="preserve"> </w:t>
      </w:r>
      <w:hyperlink r:id="rId6" w:history="1">
        <w:r w:rsidRPr="00D01B47">
          <w:rPr>
            <w:rStyle w:val="Hyperlink"/>
            <w:bCs/>
            <w:i/>
            <w:iCs/>
          </w:rPr>
          <w:t>Telecommunications Act 1997</w:t>
        </w:r>
      </w:hyperlink>
      <w:r w:rsidRPr="00D01B47">
        <w:rPr>
          <w:bCs/>
          <w:iCs/>
        </w:rPr>
        <w:t xml:space="preserve">, </w:t>
      </w:r>
      <w:r>
        <w:rPr>
          <w:bCs/>
          <w:iCs/>
        </w:rPr>
        <w:t>accessed</w:t>
      </w:r>
      <w:r w:rsidRPr="0013377E">
        <w:rPr>
          <w:bCs/>
          <w:iCs/>
        </w:rPr>
        <w:t xml:space="preserve"> 1</w:t>
      </w:r>
      <w:r>
        <w:rPr>
          <w:bCs/>
          <w:iCs/>
        </w:rPr>
        <w:t>1 October 2023</w:t>
      </w:r>
      <w:r w:rsidRPr="0013377E">
        <w:rPr>
          <w:bCs/>
          <w:iCs/>
        </w:rPr>
        <w:t>.</w:t>
      </w:r>
    </w:p>
  </w:footnote>
  <w:footnote w:id="8">
    <w:p w14:paraId="6DF65ADB" w14:textId="77777777" w:rsidR="00623569" w:rsidRDefault="00623569" w:rsidP="00623569">
      <w:pPr>
        <w:pStyle w:val="FootnoteText"/>
      </w:pPr>
      <w:r>
        <w:rPr>
          <w:rStyle w:val="FootnoteReference"/>
        </w:rPr>
        <w:footnoteRef/>
      </w:r>
      <w:r>
        <w:t xml:space="preserve"> </w:t>
      </w:r>
      <w:hyperlink r:id="rId7" w:history="1">
        <w:r>
          <w:rPr>
            <w:rStyle w:val="Hyperlink"/>
          </w:rPr>
          <w:t>Compliance priorities 2023–24 | ACMA</w:t>
        </w:r>
      </w:hyperlink>
      <w:r>
        <w:rPr>
          <w:rStyle w:val="Hyperlink"/>
        </w:rPr>
        <w:t>.</w:t>
      </w:r>
    </w:p>
  </w:footnote>
  <w:footnote w:id="9">
    <w:p w14:paraId="1F087886" w14:textId="77777777" w:rsidR="00623569" w:rsidRDefault="00623569" w:rsidP="00623569">
      <w:pPr>
        <w:pStyle w:val="FootnoteText"/>
      </w:pPr>
      <w:r>
        <w:rPr>
          <w:rStyle w:val="FootnoteReference"/>
        </w:rPr>
        <w:footnoteRef/>
      </w:r>
      <w:r>
        <w:t xml:space="preserve"> </w:t>
      </w:r>
      <w:hyperlink r:id="rId8" w:history="1">
        <w:r>
          <w:rPr>
            <w:rStyle w:val="Hyperlink"/>
          </w:rPr>
          <w:t>Eight telcos breach consumer protection rules | ACMA</w:t>
        </w:r>
      </w:hyperlink>
      <w:r>
        <w:rPr>
          <w:rStyle w:val="Hyperlink"/>
        </w:rPr>
        <w:t>.</w:t>
      </w:r>
    </w:p>
  </w:footnote>
  <w:footnote w:id="10">
    <w:p w14:paraId="230474FD" w14:textId="77777777" w:rsidR="00623569" w:rsidRDefault="00623569" w:rsidP="00623569">
      <w:pPr>
        <w:pStyle w:val="FootnoteText"/>
      </w:pPr>
      <w:r>
        <w:rPr>
          <w:rStyle w:val="FootnoteReference"/>
        </w:rPr>
        <w:footnoteRef/>
      </w:r>
      <w:r>
        <w:t xml:space="preserve"> </w:t>
      </w:r>
      <w:hyperlink r:id="rId9" w:history="1">
        <w:r>
          <w:rPr>
            <w:rStyle w:val="Hyperlink"/>
          </w:rPr>
          <w:t>Help if you can't pay your bill | ACMA</w:t>
        </w:r>
      </w:hyperlink>
      <w:r>
        <w:rPr>
          <w:rStyle w:val="Hyperlink"/>
        </w:rPr>
        <w:t>.</w:t>
      </w:r>
    </w:p>
  </w:footnote>
  <w:footnote w:id="11">
    <w:p w14:paraId="7D08CC3F" w14:textId="77777777" w:rsidR="00623569" w:rsidRDefault="00623569" w:rsidP="00623569">
      <w:pPr>
        <w:pStyle w:val="FootnoteText"/>
      </w:pPr>
      <w:r>
        <w:rPr>
          <w:rStyle w:val="FootnoteReference"/>
        </w:rPr>
        <w:footnoteRef/>
      </w:r>
      <w:r>
        <w:t xml:space="preserve"> ACMA, </w:t>
      </w:r>
      <w:hyperlink r:id="rId10" w:history="1">
        <w:r w:rsidRPr="003C3A36">
          <w:rPr>
            <w:rStyle w:val="Hyperlink"/>
            <w:i/>
            <w:iCs/>
          </w:rPr>
          <w:t>Customer financial hardship in the telco industry: State of play report 2018–19</w:t>
        </w:r>
      </w:hyperlink>
      <w:r>
        <w:t xml:space="preserve">; ACMA, </w:t>
      </w:r>
      <w:hyperlink r:id="rId11" w:history="1">
        <w:r w:rsidRPr="003C3A36">
          <w:rPr>
            <w:rStyle w:val="Hyperlink"/>
            <w:i/>
            <w:iCs/>
          </w:rPr>
          <w:t>Customer financial hardship in the telco industry: State of play report 2019–20</w:t>
        </w:r>
      </w:hyperlink>
      <w:r>
        <w:t xml:space="preserve">; ACMA, </w:t>
      </w:r>
      <w:hyperlink r:id="rId12" w:history="1">
        <w:r w:rsidRPr="003C3A36">
          <w:rPr>
            <w:rStyle w:val="Hyperlink"/>
            <w:i/>
            <w:iCs/>
          </w:rPr>
          <w:t>Customer financial hardship in the telco industry: State of play report 2020–21</w:t>
        </w:r>
      </w:hyperlink>
      <w:r>
        <w:t>, accessed 18 October 2023.</w:t>
      </w:r>
    </w:p>
  </w:footnote>
  <w:footnote w:id="12">
    <w:p w14:paraId="559091E2" w14:textId="77777777" w:rsidR="00623569" w:rsidRDefault="00623569" w:rsidP="00623569">
      <w:pPr>
        <w:pStyle w:val="FootnoteText"/>
      </w:pPr>
      <w:r>
        <w:rPr>
          <w:rStyle w:val="FootnoteReference"/>
        </w:rPr>
        <w:footnoteRef/>
      </w:r>
      <w:r>
        <w:t xml:space="preserve"> ACCAN and PIAC</w:t>
      </w:r>
      <w:r w:rsidRPr="009C40BC">
        <w:rPr>
          <w:i/>
        </w:rPr>
        <w:t xml:space="preserve">, </w:t>
      </w:r>
      <w:hyperlink r:id="rId13" w:history="1">
        <w:r w:rsidRPr="009C40BC">
          <w:rPr>
            <w:rStyle w:val="Hyperlink"/>
            <w:i/>
            <w:iCs/>
          </w:rPr>
          <w:t>Direct Debit in Telecommunications</w:t>
        </w:r>
      </w:hyperlink>
      <w:r>
        <w:t xml:space="preserve"> (April 2023), accessed 11 October 2023.</w:t>
      </w:r>
    </w:p>
  </w:footnote>
  <w:footnote w:id="13">
    <w:p w14:paraId="263974D4" w14:textId="77777777" w:rsidR="00623569" w:rsidRDefault="00623569" w:rsidP="00623569">
      <w:pPr>
        <w:pStyle w:val="FootnoteText"/>
      </w:pPr>
      <w:r>
        <w:rPr>
          <w:rStyle w:val="FootnoteReference"/>
        </w:rPr>
        <w:footnoteRef/>
      </w:r>
      <w:r>
        <w:t xml:space="preserve"> The Hon Michelle Rowland MP, Minister for Communications, </w:t>
      </w:r>
      <w:hyperlink r:id="rId14" w:history="1">
        <w:r w:rsidRPr="00746108">
          <w:rPr>
            <w:rStyle w:val="Hyperlink"/>
          </w:rPr>
          <w:t>Albanese Government to improve safeguards for telco consumers experiencing financial hardship</w:t>
        </w:r>
      </w:hyperlink>
      <w:r>
        <w:t>. (Media Release, 6 July 2023), accessed 15 December 2023.</w:t>
      </w:r>
    </w:p>
  </w:footnote>
  <w:footnote w:id="14">
    <w:p w14:paraId="0543A7CF" w14:textId="77777777" w:rsidR="00623569" w:rsidRDefault="00623569" w:rsidP="00623569">
      <w:pPr>
        <w:pStyle w:val="FootnoteText"/>
      </w:pPr>
      <w:r>
        <w:rPr>
          <w:rStyle w:val="FootnoteReference"/>
        </w:rPr>
        <w:footnoteRef/>
      </w:r>
      <w:r>
        <w:t xml:space="preserve"> The Hon Michelle Rowland MP, Minister for Communications, </w:t>
      </w:r>
      <w:hyperlink r:id="rId15" w:history="1">
        <w:r w:rsidRPr="00CC6CBB">
          <w:rPr>
            <w:rStyle w:val="Hyperlink"/>
          </w:rPr>
          <w:t>Better support for telco customers experiencing financial hardship</w:t>
        </w:r>
      </w:hyperlink>
      <w:r>
        <w:rPr>
          <w:rStyle w:val="Hyperlink"/>
        </w:rPr>
        <w:t>,</w:t>
      </w:r>
      <w:r>
        <w:t xml:space="preserve"> (Media Release, 5 September 2023), accessed 15 December 2023. </w:t>
      </w:r>
      <w:hyperlink r:id="rId16" w:history="1">
        <w:r w:rsidRPr="0073294D">
          <w:rPr>
            <w:rStyle w:val="Hyperlink"/>
          </w:rPr>
          <w:t>Telecommunications (Financial Hardship Industry Standard) Direction 2023</w:t>
        </w:r>
      </w:hyperlink>
      <w:r>
        <w:t>.</w:t>
      </w:r>
    </w:p>
  </w:footnote>
  <w:footnote w:id="15">
    <w:p w14:paraId="0F896BEC" w14:textId="77777777" w:rsidR="00623569" w:rsidRDefault="00623569" w:rsidP="00623569">
      <w:pPr>
        <w:pStyle w:val="FootnoteText"/>
      </w:pPr>
      <w:r>
        <w:rPr>
          <w:rStyle w:val="FootnoteReference"/>
        </w:rPr>
        <w:footnoteRef/>
      </w:r>
      <w:r>
        <w:t xml:space="preserve"> Telecommunications Industry Ombudsman 2022-23 Annual Report, p.46, accessed 13 November 2023.</w:t>
      </w:r>
    </w:p>
  </w:footnote>
  <w:footnote w:id="16">
    <w:p w14:paraId="25FDE74C" w14:textId="77777777" w:rsidR="00623569" w:rsidRDefault="00623569" w:rsidP="00623569">
      <w:pPr>
        <w:pStyle w:val="FootnoteText"/>
      </w:pPr>
      <w:r>
        <w:rPr>
          <w:rStyle w:val="FootnoteReference"/>
        </w:rPr>
        <w:footnoteRef/>
      </w:r>
      <w:r>
        <w:t xml:space="preserve"> ABS (Australian Bureau of Statistics), </w:t>
      </w:r>
      <w:hyperlink r:id="rId17" w:history="1">
        <w:r w:rsidRPr="00EC0276">
          <w:rPr>
            <w:rStyle w:val="Hyperlink"/>
          </w:rPr>
          <w:t>Consumer Price Index, Australia: June Quarter 2023</w:t>
        </w:r>
      </w:hyperlink>
      <w:r>
        <w:t xml:space="preserve"> (26 July 2023), accessed 4 October 2023.</w:t>
      </w:r>
    </w:p>
  </w:footnote>
  <w:footnote w:id="17">
    <w:p w14:paraId="189F08AE" w14:textId="77777777" w:rsidR="00623569" w:rsidRDefault="00623569" w:rsidP="00623569">
      <w:pPr>
        <w:pStyle w:val="FootnoteText"/>
      </w:pPr>
      <w:r>
        <w:rPr>
          <w:rStyle w:val="FootnoteReference"/>
        </w:rPr>
        <w:footnoteRef/>
      </w:r>
      <w:r>
        <w:t xml:space="preserve"> ACMA, </w:t>
      </w:r>
      <w:hyperlink r:id="rId18" w:history="1">
        <w:r w:rsidRPr="003C3A36">
          <w:rPr>
            <w:rStyle w:val="Hyperlink"/>
            <w:i/>
            <w:iCs/>
          </w:rPr>
          <w:t>Financial hardship: telco and other essential sectors – Quantitative research and Consumers’ experiences with telco financial hardship – Qualitative research</w:t>
        </w:r>
      </w:hyperlink>
      <w:r>
        <w:t xml:space="preserve"> (May 2023), accessed 6 October 2023.</w:t>
      </w:r>
    </w:p>
  </w:footnote>
  <w:footnote w:id="18">
    <w:p w14:paraId="281CCC49" w14:textId="77777777" w:rsidR="00623569" w:rsidRDefault="00623569" w:rsidP="00623569">
      <w:pPr>
        <w:pStyle w:val="FootnoteText"/>
      </w:pPr>
      <w:r>
        <w:rPr>
          <w:rStyle w:val="FootnoteReference"/>
        </w:rPr>
        <w:footnoteRef/>
      </w:r>
      <w:r>
        <w:t xml:space="preserve"> Telcos can offer payment plans and bill payment extensions outside of formal financial hardship programs. However, these do not attract the TCP Code protections, such as from credit management action, afforded the customer on a formal financial hardship program.</w:t>
      </w:r>
    </w:p>
  </w:footnote>
  <w:footnote w:id="19">
    <w:p w14:paraId="73D5D486" w14:textId="77777777" w:rsidR="00623569" w:rsidRDefault="00623569" w:rsidP="00623569">
      <w:pPr>
        <w:pStyle w:val="FootnoteText"/>
      </w:pPr>
      <w:r>
        <w:rPr>
          <w:rStyle w:val="FootnoteReference"/>
        </w:rPr>
        <w:footnoteRef/>
      </w:r>
      <w:r>
        <w:t xml:space="preserve"> Good Things Foundation, </w:t>
      </w:r>
      <w:hyperlink r:id="rId19" w:history="1">
        <w:r>
          <w:rPr>
            <w:rStyle w:val="Hyperlink"/>
          </w:rPr>
          <w:t>The digital divide</w:t>
        </w:r>
      </w:hyperlink>
      <w:r>
        <w:t>, accessed 8 December 2023.</w:t>
      </w:r>
    </w:p>
  </w:footnote>
  <w:footnote w:id="20">
    <w:p w14:paraId="6D4707DF" w14:textId="77777777" w:rsidR="00623569" w:rsidRDefault="00623569" w:rsidP="00623569">
      <w:pPr>
        <w:pStyle w:val="FootnoteText"/>
      </w:pPr>
      <w:r>
        <w:rPr>
          <w:rStyle w:val="FootnoteReference"/>
        </w:rPr>
        <w:footnoteRef/>
      </w:r>
      <w:r>
        <w:t xml:space="preserve"> </w:t>
      </w:r>
      <w:hyperlink r:id="rId20" w:history="1">
        <w:r>
          <w:rPr>
            <w:rStyle w:val="Hyperlink"/>
          </w:rPr>
          <w:t>Australian Digital Inclusion Index</w:t>
        </w:r>
      </w:hyperlink>
      <w:r>
        <w:t>, accessed 8 December 2023.</w:t>
      </w:r>
    </w:p>
  </w:footnote>
  <w:footnote w:id="21">
    <w:p w14:paraId="5905E521" w14:textId="77777777" w:rsidR="00623569" w:rsidRDefault="00623569" w:rsidP="00623569">
      <w:pPr>
        <w:pStyle w:val="FootnoteText"/>
      </w:pPr>
      <w:r>
        <w:rPr>
          <w:rStyle w:val="FootnoteReference"/>
        </w:rPr>
        <w:footnoteRef/>
      </w:r>
      <w:r>
        <w:t xml:space="preserve"> Relationships Australia, </w:t>
      </w:r>
      <w:hyperlink r:id="rId21" w:history="1">
        <w:r>
          <w:rPr>
            <w:rStyle w:val="Hyperlink"/>
          </w:rPr>
          <w:t>Submission to the ACMA's Consumer vulnerability: expectations for the telecommunications industry</w:t>
        </w:r>
      </w:hyperlink>
      <w:r>
        <w:t>, accessed 8 December 2023.</w:t>
      </w:r>
    </w:p>
  </w:footnote>
  <w:footnote w:id="22">
    <w:p w14:paraId="52340B36" w14:textId="77777777" w:rsidR="00623569" w:rsidRDefault="00623569" w:rsidP="00623569">
      <w:pPr>
        <w:pStyle w:val="FootnoteText"/>
      </w:pPr>
      <w:r>
        <w:rPr>
          <w:rStyle w:val="FootnoteReference"/>
        </w:rPr>
        <w:footnoteRef/>
      </w:r>
      <w:r>
        <w:t xml:space="preserve"> TIO, </w:t>
      </w:r>
      <w:hyperlink r:id="rId22" w:anchor=":~:text=The%20Telecommunications%20Industry%20Ombudsman%20(TIO,a%20registration%20scheme%20for%20telcos." w:history="1">
        <w:r w:rsidRPr="00EC0276">
          <w:rPr>
            <w:rStyle w:val="Hyperlink"/>
          </w:rPr>
          <w:t xml:space="preserve"> A time for change – Three years of systemic investigations in review</w:t>
        </w:r>
      </w:hyperlink>
      <w:r>
        <w:t xml:space="preserve"> (June 2023), accessed 11 October 2023.</w:t>
      </w:r>
    </w:p>
  </w:footnote>
  <w:footnote w:id="23">
    <w:p w14:paraId="319F09DC" w14:textId="77777777" w:rsidR="00623569" w:rsidRDefault="00623569" w:rsidP="00623569">
      <w:pPr>
        <w:pStyle w:val="FootnoteText"/>
      </w:pPr>
      <w:r>
        <w:rPr>
          <w:rStyle w:val="FootnoteReference"/>
        </w:rPr>
        <w:footnoteRef/>
      </w:r>
      <w:r>
        <w:t xml:space="preserve"> TIO, </w:t>
      </w:r>
      <w:hyperlink r:id="rId23" w:history="1">
        <w:r>
          <w:rPr>
            <w:rStyle w:val="Hyperlink"/>
          </w:rPr>
          <w:t>Thematic review: Our financial hardship complaints 2021 – 2023</w:t>
        </w:r>
      </w:hyperlink>
      <w:r>
        <w:t>, accessed 8 December 2023.</w:t>
      </w:r>
    </w:p>
  </w:footnote>
  <w:footnote w:id="24">
    <w:p w14:paraId="3D49FE56" w14:textId="77777777" w:rsidR="00623569" w:rsidRDefault="00623569" w:rsidP="00623569">
      <w:pPr>
        <w:pStyle w:val="FootnoteText"/>
      </w:pPr>
      <w:r>
        <w:rPr>
          <w:rStyle w:val="FootnoteReference"/>
        </w:rPr>
        <w:footnoteRef/>
      </w:r>
      <w:r>
        <w:t xml:space="preserve"> ACMA, </w:t>
      </w:r>
      <w:hyperlink r:id="rId24" w:history="1">
        <w:r>
          <w:rPr>
            <w:rStyle w:val="Hyperlink"/>
          </w:rPr>
          <w:t>Eight telcos breach consumer protection rules</w:t>
        </w:r>
      </w:hyperlink>
      <w:r>
        <w:t xml:space="preserve"> (July 2023), accessed 6 October 2023.</w:t>
      </w:r>
    </w:p>
  </w:footnote>
  <w:footnote w:id="25">
    <w:p w14:paraId="5AAEF2AC" w14:textId="09AB9F57" w:rsidR="00623569" w:rsidRDefault="00623569" w:rsidP="00623569">
      <w:pPr>
        <w:pStyle w:val="FootnoteText"/>
      </w:pPr>
      <w:r>
        <w:rPr>
          <w:rStyle w:val="FootnoteReference"/>
        </w:rPr>
        <w:footnoteRef/>
      </w:r>
      <w:r>
        <w:t xml:space="preserve"> ACMA, </w:t>
      </w:r>
      <w:hyperlink r:id="rId25" w:anchor=":~:text=The%20Australian%20Communications%20and%20Media,restricting%20or%20suspending%20their%20services." w:history="1">
        <w:r>
          <w:rPr>
            <w:rStyle w:val="Hyperlink"/>
          </w:rPr>
          <w:t>Telstra fails to warn customers about service restrictions</w:t>
        </w:r>
      </w:hyperlink>
      <w:r>
        <w:t>, 20 April 2023, accessed 8 December 2023</w:t>
      </w:r>
      <w:r w:rsidR="00710D50">
        <w:t>.</w:t>
      </w:r>
    </w:p>
  </w:footnote>
  <w:footnote w:id="26">
    <w:p w14:paraId="04A08AA1" w14:textId="77777777" w:rsidR="00623569" w:rsidRDefault="00623569" w:rsidP="00623569">
      <w:pPr>
        <w:pStyle w:val="FootnoteText"/>
      </w:pPr>
      <w:r>
        <w:rPr>
          <w:rStyle w:val="FootnoteReference"/>
        </w:rPr>
        <w:footnoteRef/>
      </w:r>
      <w:r>
        <w:t xml:space="preserve"> Australian Communications Consumer Action Network (ACCAN) and the Public Interest Advocacy Centre (PIAC</w:t>
      </w:r>
      <w:r w:rsidRPr="009C40BC">
        <w:rPr>
          <w:i/>
        </w:rPr>
        <w:t xml:space="preserve">), </w:t>
      </w:r>
      <w:hyperlink r:id="rId26" w:history="1">
        <w:r w:rsidRPr="009C40BC">
          <w:rPr>
            <w:rStyle w:val="Hyperlink"/>
            <w:i/>
            <w:iCs/>
          </w:rPr>
          <w:t>Direct Debit in Telecommunications</w:t>
        </w:r>
      </w:hyperlink>
      <w:r>
        <w:t xml:space="preserve"> (April 2023), accessed 6 October 2023.</w:t>
      </w:r>
    </w:p>
  </w:footnote>
  <w:footnote w:id="27">
    <w:p w14:paraId="1DF2E34F" w14:textId="77777777" w:rsidR="00623569" w:rsidRDefault="00623569" w:rsidP="00623569">
      <w:pPr>
        <w:pStyle w:val="FootnoteText"/>
      </w:pPr>
      <w:r>
        <w:rPr>
          <w:rStyle w:val="FootnoteReference"/>
        </w:rPr>
        <w:footnoteRef/>
      </w:r>
      <w:r>
        <w:t xml:space="preserve"> </w:t>
      </w:r>
      <w:hyperlink r:id="rId27" w:anchor=":~:text=The%20current%20Code%20was%20registered,preparatory%20work%20commencing%20in%202023.&amp;text=The%202024%20review%20and%20revision,more%20information%20about%20each%20stage." w:history="1">
        <w:r>
          <w:rPr>
            <w:rStyle w:val="Hyperlink"/>
          </w:rPr>
          <w:t>Communications Alliance - TCP Code Review 2024</w:t>
        </w:r>
      </w:hyperlink>
      <w:r>
        <w:rPr>
          <w:rStyle w:val="Hyperlink"/>
        </w:rPr>
        <w:t>.</w:t>
      </w:r>
    </w:p>
  </w:footnote>
  <w:footnote w:id="28">
    <w:p w14:paraId="0A07169C" w14:textId="77777777" w:rsidR="00623569" w:rsidRDefault="00623569" w:rsidP="00623569">
      <w:pPr>
        <w:pStyle w:val="FootnoteText"/>
      </w:pPr>
      <w:r>
        <w:rPr>
          <w:rStyle w:val="FootnoteReference"/>
        </w:rPr>
        <w:footnoteRef/>
      </w:r>
      <w:r>
        <w:t xml:space="preserve"> TIO submission to TCP Code review, </w:t>
      </w:r>
      <w:hyperlink r:id="rId28" w:history="1">
        <w:r>
          <w:rPr>
            <w:rStyle w:val="Hyperlink"/>
          </w:rPr>
          <w:t>Submission - Communications Alliance’s 2024 TCP Code review/TIO</w:t>
        </w:r>
      </w:hyperlink>
      <w:r>
        <w:t xml:space="preserve"> June 2023, accessed 17 October 2023.</w:t>
      </w:r>
    </w:p>
  </w:footnote>
  <w:footnote w:id="29">
    <w:p w14:paraId="4CFB0808" w14:textId="77777777" w:rsidR="00623569" w:rsidRDefault="00623569" w:rsidP="00623569">
      <w:pPr>
        <w:pStyle w:val="FootnoteText"/>
      </w:pPr>
      <w:r>
        <w:rPr>
          <w:rStyle w:val="FootnoteReference"/>
        </w:rPr>
        <w:footnoteRef/>
      </w:r>
      <w:r>
        <w:t xml:space="preserve"> ACCC, </w:t>
      </w:r>
      <w:hyperlink r:id="rId29" w:history="1">
        <w:r>
          <w:rPr>
            <w:rStyle w:val="Hyperlink"/>
            <w:rFonts w:eastAsiaTheme="majorEastAsia"/>
          </w:rPr>
          <w:t>ACCC submission to TCP Code review</w:t>
        </w:r>
      </w:hyperlink>
      <w:r>
        <w:rPr>
          <w:rStyle w:val="Hyperlink"/>
          <w:rFonts w:eastAsiaTheme="majorEastAsia"/>
        </w:rPr>
        <w:t xml:space="preserve"> </w:t>
      </w:r>
      <w:r>
        <w:t>June 2023, accessed 17 October 2023.</w:t>
      </w:r>
    </w:p>
  </w:footnote>
  <w:footnote w:id="30">
    <w:p w14:paraId="556FFEEF" w14:textId="77777777" w:rsidR="00623569" w:rsidRDefault="00623569" w:rsidP="00623569">
      <w:pPr>
        <w:pStyle w:val="FootnoteText"/>
      </w:pPr>
      <w:r>
        <w:rPr>
          <w:rStyle w:val="FootnoteReference"/>
        </w:rPr>
        <w:footnoteRef/>
      </w:r>
      <w:r>
        <w:t xml:space="preserve"> ACCAN, </w:t>
      </w:r>
      <w:hyperlink r:id="rId30" w:history="1">
        <w:r>
          <w:rPr>
            <w:rStyle w:val="Hyperlink"/>
          </w:rPr>
          <w:t>ACCAN submission to TCP Code review</w:t>
        </w:r>
      </w:hyperlink>
      <w:r>
        <w:t xml:space="preserve"> June 2023, accessed 17 October 2023.</w:t>
      </w:r>
    </w:p>
  </w:footnote>
  <w:footnote w:id="31">
    <w:p w14:paraId="44940378" w14:textId="77777777" w:rsidR="00623569" w:rsidRDefault="00623569" w:rsidP="00623569">
      <w:pPr>
        <w:pStyle w:val="FootnoteText"/>
      </w:pPr>
      <w:r>
        <w:rPr>
          <w:rStyle w:val="FootnoteReference"/>
        </w:rPr>
        <w:footnoteRef/>
      </w:r>
      <w:r>
        <w:t xml:space="preserve"> Australian Consumer Action Network (ACCAN), Consumer Policy Research Centre (CPRC), Consumer Action Law Centre (CALC), Western Community Legal Centre Limited (WEstjustice), South Australian Council of Social Services (SACOSS), Isolated Children’s Parents’ Association of Australian (ICPA); NSW Business Chamber (Business NSW).</w:t>
      </w:r>
    </w:p>
  </w:footnote>
  <w:footnote w:id="32">
    <w:p w14:paraId="7D55FAF7" w14:textId="77777777" w:rsidR="00623569" w:rsidRDefault="00623569" w:rsidP="00623569">
      <w:pPr>
        <w:pStyle w:val="FootnoteText"/>
      </w:pPr>
      <w:r>
        <w:rPr>
          <w:rStyle w:val="FootnoteReference"/>
        </w:rPr>
        <w:footnoteRef/>
      </w:r>
      <w:r>
        <w:t xml:space="preserve"> </w:t>
      </w:r>
      <w:r>
        <w:rPr>
          <w:rFonts w:cs="Arial"/>
          <w:color w:val="212529"/>
        </w:rPr>
        <w:t>Seventeen consumer organisations withdrawing from the TCP Code review process underscores the lack of confidence in the existing regulatory framework.</w:t>
      </w:r>
    </w:p>
  </w:footnote>
  <w:footnote w:id="33">
    <w:p w14:paraId="6689D6E8" w14:textId="77777777" w:rsidR="00623569" w:rsidRDefault="00623569" w:rsidP="00623569">
      <w:pPr>
        <w:pStyle w:val="FootnoteText"/>
      </w:pPr>
      <w:r>
        <w:rPr>
          <w:rStyle w:val="FootnoteReference"/>
        </w:rPr>
        <w:footnoteRef/>
      </w:r>
      <w:r>
        <w:t xml:space="preserve"> PricewaterhouseCoopers (PwC), </w:t>
      </w:r>
      <w:hyperlink r:id="rId31" w:history="1">
        <w:r w:rsidRPr="00614B09">
          <w:rPr>
            <w:rStyle w:val="Hyperlink"/>
            <w:i/>
            <w:iCs/>
          </w:rPr>
          <w:t>Telecommunications Consumer Safeguards: International and sectoral comparisons of consumer protections for choice and fairness in the retail relationship between customers and their providers</w:t>
        </w:r>
      </w:hyperlink>
      <w:r>
        <w:t>, accessed 2 January 2024.</w:t>
      </w:r>
    </w:p>
  </w:footnote>
  <w:footnote w:id="34">
    <w:p w14:paraId="510661D0" w14:textId="77777777" w:rsidR="00623569" w:rsidRDefault="00623569" w:rsidP="00623569">
      <w:pPr>
        <w:pStyle w:val="FootnoteText"/>
      </w:pPr>
      <w:r>
        <w:rPr>
          <w:rStyle w:val="FootnoteReference"/>
        </w:rPr>
        <w:footnoteRef/>
      </w:r>
      <w:r>
        <w:t xml:space="preserve"> </w:t>
      </w:r>
      <w:hyperlink r:id="rId32" w:history="1">
        <w:r w:rsidRPr="00060E60">
          <w:rPr>
            <w:rStyle w:val="Hyperlink"/>
          </w:rPr>
          <w:t>NZ Telecommunications Forum Disconnection Code</w:t>
        </w:r>
      </w:hyperlink>
      <w:r>
        <w:t xml:space="preserve"> </w:t>
      </w:r>
    </w:p>
  </w:footnote>
  <w:footnote w:id="35">
    <w:p w14:paraId="7CE3591A" w14:textId="77777777" w:rsidR="00623569" w:rsidRDefault="00623569" w:rsidP="00623569">
      <w:pPr>
        <w:pStyle w:val="FootnoteText"/>
      </w:pPr>
      <w:r>
        <w:rPr>
          <w:rStyle w:val="FootnoteReference"/>
        </w:rPr>
        <w:footnoteRef/>
      </w:r>
      <w:r>
        <w:t xml:space="preserve"> </w:t>
      </w:r>
      <w:r>
        <w:rPr>
          <w:rFonts w:eastAsiaTheme="minorHAnsi"/>
          <w:color w:val="000000" w:themeColor="text1"/>
        </w:rPr>
        <w:t xml:space="preserve">Communications Alliance, </w:t>
      </w:r>
      <w:hyperlink r:id="rId33" w:history="1">
        <w:r>
          <w:rPr>
            <w:rStyle w:val="Hyperlink"/>
          </w:rPr>
          <w:t>Communications Alliance TCP Code Discussion Paper</w:t>
        </w:r>
      </w:hyperlink>
      <w:r>
        <w:t xml:space="preserve"> May 2023, accessed 17 October 2023.</w:t>
      </w:r>
    </w:p>
  </w:footnote>
  <w:footnote w:id="36">
    <w:p w14:paraId="38DE33E8" w14:textId="77777777" w:rsidR="00623569" w:rsidRPr="008D4ABE" w:rsidRDefault="00623569" w:rsidP="00623569">
      <w:pPr>
        <w:pStyle w:val="FootnoteText"/>
      </w:pPr>
      <w:r>
        <w:rPr>
          <w:rStyle w:val="FootnoteReference"/>
        </w:rPr>
        <w:footnoteRef/>
      </w:r>
      <w:r>
        <w:t xml:space="preserve"> </w:t>
      </w:r>
      <w:r w:rsidRPr="008D4ABE">
        <w:t xml:space="preserve">TIO </w:t>
      </w:r>
      <w:hyperlink r:id="rId34" w:history="1">
        <w:r>
          <w:rPr>
            <w:rStyle w:val="Hyperlink"/>
          </w:rPr>
          <w:t xml:space="preserve"> Submission to 2024 TCP Code review</w:t>
        </w:r>
      </w:hyperlink>
      <w:r>
        <w:t xml:space="preserve"> June 2023, accessed 17 October 2023.</w:t>
      </w:r>
    </w:p>
  </w:footnote>
  <w:footnote w:id="37">
    <w:p w14:paraId="3F7A0FB1" w14:textId="77777777" w:rsidR="00623569" w:rsidRPr="008D4ABE" w:rsidRDefault="00623569" w:rsidP="00623569">
      <w:pPr>
        <w:pStyle w:val="FootnoteText"/>
      </w:pPr>
      <w:r w:rsidRPr="008D4ABE">
        <w:rPr>
          <w:rStyle w:val="FootnoteReference"/>
        </w:rPr>
        <w:footnoteRef/>
      </w:r>
      <w:r w:rsidRPr="008D4ABE">
        <w:t xml:space="preserve"> ACCC, </w:t>
      </w:r>
      <w:hyperlink r:id="rId35" w:history="1">
        <w:r>
          <w:rPr>
            <w:rStyle w:val="Hyperlink"/>
            <w:rFonts w:eastAsiaTheme="majorEastAsia"/>
          </w:rPr>
          <w:t>Submission to TCP Code review</w:t>
        </w:r>
      </w:hyperlink>
      <w:r w:rsidRPr="008D4ABE">
        <w:rPr>
          <w:rStyle w:val="Hyperlink"/>
          <w:rFonts w:eastAsiaTheme="majorEastAsia"/>
        </w:rPr>
        <w:t xml:space="preserve"> </w:t>
      </w:r>
      <w:r w:rsidRPr="008D4ABE">
        <w:t>June 2023, accessed 17 October 2023.</w:t>
      </w:r>
    </w:p>
  </w:footnote>
  <w:footnote w:id="38">
    <w:p w14:paraId="48B8CCEC" w14:textId="77777777" w:rsidR="00623569" w:rsidRPr="008D4ABE" w:rsidRDefault="00623569" w:rsidP="00623569">
      <w:pPr>
        <w:pStyle w:val="FootnoteText"/>
      </w:pPr>
      <w:r w:rsidRPr="008D4ABE">
        <w:rPr>
          <w:rStyle w:val="FootnoteReference"/>
        </w:rPr>
        <w:footnoteRef/>
      </w:r>
      <w:r w:rsidRPr="008D4ABE">
        <w:t xml:space="preserve"> ACCAN</w:t>
      </w:r>
      <w:r>
        <w:t xml:space="preserve">, </w:t>
      </w:r>
      <w:hyperlink r:id="rId36" w:history="1">
        <w:r>
          <w:rPr>
            <w:rStyle w:val="Hyperlink"/>
          </w:rPr>
          <w:t>Submission to TCP Code review</w:t>
        </w:r>
      </w:hyperlink>
      <w:r>
        <w:t xml:space="preserve"> June 2023, accessed 17 October 2023.</w:t>
      </w:r>
    </w:p>
  </w:footnote>
  <w:footnote w:id="39">
    <w:p w14:paraId="749A487B" w14:textId="77777777" w:rsidR="00623569" w:rsidRDefault="00623569" w:rsidP="00623569">
      <w:pPr>
        <w:pStyle w:val="FootnoteText"/>
      </w:pPr>
      <w:r w:rsidRPr="008D4ABE">
        <w:rPr>
          <w:rStyle w:val="FootnoteReference"/>
        </w:rPr>
        <w:footnoteRef/>
      </w:r>
      <w:r w:rsidRPr="008D4ABE">
        <w:t xml:space="preserve"> TIO </w:t>
      </w:r>
      <w:hyperlink r:id="rId37" w:history="1">
        <w:r>
          <w:rPr>
            <w:rStyle w:val="Hyperlink"/>
          </w:rPr>
          <w:t>Submission to Consumer Safeguards Review - Part C: Choice and fairness | The Telecommunications Industry Ombudsman</w:t>
        </w:r>
      </w:hyperlink>
      <w:r>
        <w:t xml:space="preserve"> October 2020, accessed 17 October 2023.</w:t>
      </w:r>
    </w:p>
  </w:footnote>
  <w:footnote w:id="40">
    <w:p w14:paraId="5DDB9337" w14:textId="77777777" w:rsidR="00623569" w:rsidRDefault="00623569" w:rsidP="00623569">
      <w:pPr>
        <w:pStyle w:val="FootnoteText"/>
      </w:pPr>
      <w:r>
        <w:rPr>
          <w:rStyle w:val="FootnoteReference"/>
        </w:rPr>
        <w:footnoteRef/>
      </w:r>
      <w:r>
        <w:t xml:space="preserve"> The ACMA </w:t>
      </w:r>
      <w:r w:rsidRPr="001C425A">
        <w:rPr>
          <w:iCs/>
        </w:rPr>
        <w:t>may</w:t>
      </w:r>
      <w:r>
        <w:t xml:space="preserve"> determine an industry standard under Part 6 of the Telco Act in limited circumstances. This includes where an industry code that has been made is deficient (section 125 of Telco Act).</w:t>
      </w:r>
    </w:p>
  </w:footnote>
  <w:footnote w:id="41">
    <w:p w14:paraId="4BAB7AA0" w14:textId="77777777" w:rsidR="00623569" w:rsidRDefault="00623569" w:rsidP="00623569">
      <w:pPr>
        <w:autoSpaceDE w:val="0"/>
        <w:autoSpaceDN w:val="0"/>
        <w:spacing w:before="40" w:after="40" w:line="200" w:lineRule="atLeast"/>
      </w:pPr>
      <w:r w:rsidRPr="009C6E0F">
        <w:rPr>
          <w:rStyle w:val="FootnoteReference"/>
          <w:sz w:val="16"/>
          <w:szCs w:val="16"/>
        </w:rPr>
        <w:footnoteRef/>
      </w:r>
      <w:r w:rsidRPr="009C6E0F">
        <w:rPr>
          <w:sz w:val="16"/>
          <w:szCs w:val="16"/>
        </w:rPr>
        <w:t xml:space="preserve"> </w:t>
      </w:r>
      <w:r w:rsidRPr="001027EA">
        <w:rPr>
          <w:rFonts w:cs="Arial"/>
          <w:sz w:val="16"/>
          <w:szCs w:val="16"/>
        </w:rPr>
        <w:t xml:space="preserve">ACMA, </w:t>
      </w:r>
      <w:hyperlink r:id="rId38" w:history="1">
        <w:r w:rsidRPr="00E84F94">
          <w:rPr>
            <w:rStyle w:val="Hyperlink"/>
            <w:rFonts w:cs="Arial"/>
            <w:sz w:val="16"/>
            <w:szCs w:val="16"/>
          </w:rPr>
          <w:t>Help if you can't pay your phone or internet bill</w:t>
        </w:r>
      </w:hyperlink>
      <w:r>
        <w:rPr>
          <w:rFonts w:cs="Arial"/>
          <w:sz w:val="16"/>
          <w:szCs w:val="16"/>
        </w:rPr>
        <w:t>, accessed 18 October 2023.</w:t>
      </w:r>
    </w:p>
  </w:footnote>
  <w:footnote w:id="42">
    <w:p w14:paraId="0C8C1735" w14:textId="77777777" w:rsidR="00623569" w:rsidRPr="00E770FC" w:rsidRDefault="00623569" w:rsidP="00623569">
      <w:pPr>
        <w:pStyle w:val="FootnoteText"/>
        <w:rPr>
          <w:rFonts w:cs="Arial"/>
        </w:rPr>
      </w:pPr>
      <w:r>
        <w:rPr>
          <w:rStyle w:val="FootnoteReference"/>
        </w:rPr>
        <w:footnoteRef/>
      </w:r>
      <w:r>
        <w:t xml:space="preserve"> </w:t>
      </w:r>
      <w:r w:rsidRPr="00E770FC">
        <w:rPr>
          <w:rFonts w:cs="Arial"/>
        </w:rPr>
        <w:t xml:space="preserve">ACMA, </w:t>
      </w:r>
      <w:hyperlink r:id="rId39" w:history="1">
        <w:r>
          <w:rPr>
            <w:rStyle w:val="Hyperlink"/>
            <w:rFonts w:cs="Arial"/>
          </w:rPr>
          <w:t>Rules to protect customers in financial hardship</w:t>
        </w:r>
      </w:hyperlink>
      <w:r w:rsidRPr="00E770FC">
        <w:rPr>
          <w:rFonts w:cs="Arial"/>
        </w:rPr>
        <w:t>, accessed 18 October 2023</w:t>
      </w:r>
      <w:r>
        <w:rPr>
          <w:rFonts w:cs="Arial"/>
        </w:rPr>
        <w:t>.</w:t>
      </w:r>
    </w:p>
  </w:footnote>
  <w:footnote w:id="43">
    <w:p w14:paraId="7562FFE0" w14:textId="77777777" w:rsidR="00623569" w:rsidRDefault="00623569" w:rsidP="00623569">
      <w:pPr>
        <w:pStyle w:val="FootnoteText"/>
      </w:pPr>
      <w:r>
        <w:rPr>
          <w:rStyle w:val="FootnoteReference"/>
        </w:rPr>
        <w:footnoteRef/>
      </w:r>
      <w:r>
        <w:t xml:space="preserve"> </w:t>
      </w:r>
      <w:hyperlink r:id="rId40" w:history="1">
        <w:r>
          <w:rPr>
            <w:rStyle w:val="Hyperlink"/>
          </w:rPr>
          <w:t xml:space="preserve">Explanatory Statement to Telecommunications (Financial Hardship Industry Standard) Direction 2023 </w:t>
        </w:r>
      </w:hyperlink>
      <w:r>
        <w:t>.</w:t>
      </w:r>
    </w:p>
  </w:footnote>
  <w:footnote w:id="44">
    <w:p w14:paraId="71FF3A58" w14:textId="77777777" w:rsidR="00623569" w:rsidRDefault="00623569" w:rsidP="00623569">
      <w:pPr>
        <w:pStyle w:val="FootnoteText"/>
      </w:pPr>
      <w:r>
        <w:rPr>
          <w:rStyle w:val="FootnoteReference"/>
        </w:rPr>
        <w:footnoteRef/>
      </w:r>
      <w:r>
        <w:t xml:space="preserve"> As noted below, the TIO is funded through </w:t>
      </w:r>
      <w:r w:rsidRPr="00A24C26">
        <w:t>membership fees that are charged to the CSPs</w:t>
      </w:r>
    </w:p>
  </w:footnote>
  <w:footnote w:id="45">
    <w:p w14:paraId="676E397A" w14:textId="77777777" w:rsidR="00623569" w:rsidRDefault="00623569" w:rsidP="00623569">
      <w:pPr>
        <w:pStyle w:val="FootnoteText"/>
      </w:pPr>
      <w:r>
        <w:rPr>
          <w:rStyle w:val="FootnoteReference"/>
        </w:rPr>
        <w:footnoteRef/>
      </w:r>
      <w:r>
        <w:t xml:space="preserve"> Positive </w:t>
      </w:r>
      <w:r w:rsidRPr="00727313">
        <w:t xml:space="preserve">values here are costs and </w:t>
      </w:r>
      <w:r>
        <w:t>negati</w:t>
      </w:r>
      <w:r w:rsidRPr="00727313">
        <w:t>ve values are benefits</w:t>
      </w:r>
      <w:r>
        <w:t>, relative to the status quo</w:t>
      </w:r>
      <w:r w:rsidRPr="00727313">
        <w:t>.</w:t>
      </w:r>
    </w:p>
  </w:footnote>
  <w:footnote w:id="46">
    <w:p w14:paraId="0A9FF2BD" w14:textId="77777777" w:rsidR="00623569" w:rsidRDefault="00623569" w:rsidP="00623569">
      <w:pPr>
        <w:pStyle w:val="FootnoteText"/>
      </w:pPr>
      <w:r>
        <w:rPr>
          <w:rStyle w:val="FootnoteReference"/>
        </w:rPr>
        <w:footnoteRef/>
      </w:r>
      <w:r>
        <w:t xml:space="preserve"> See for example electricity industry documents such as the AEMC (Australian Energy Market Commission) </w:t>
      </w:r>
      <w:hyperlink r:id="rId41" w:history="1">
        <w:r w:rsidRPr="009C6E0F">
          <w:rPr>
            <w:rStyle w:val="Hyperlink"/>
          </w:rPr>
          <w:t>Rule Determination: National Energy Retail Amendment (Strengthening Protections for Customers in Hardship) Rule 2018</w:t>
        </w:r>
      </w:hyperlink>
      <w:r>
        <w:t xml:space="preserve"> (15 November 2018), accessed 15 December 2023.</w:t>
      </w:r>
    </w:p>
  </w:footnote>
  <w:footnote w:id="47">
    <w:p w14:paraId="352FE1FA" w14:textId="77777777" w:rsidR="00623569" w:rsidRPr="007514EA" w:rsidRDefault="00623569" w:rsidP="00623569">
      <w:pPr>
        <w:spacing w:after="0" w:line="200" w:lineRule="atLeast"/>
        <w:rPr>
          <w:rFonts w:cs="Arial"/>
          <w:i/>
          <w:iCs/>
          <w:sz w:val="16"/>
          <w:szCs w:val="16"/>
        </w:rPr>
      </w:pPr>
      <w:r w:rsidRPr="001A0934">
        <w:rPr>
          <w:rStyle w:val="FootnoteReference"/>
          <w:sz w:val="16"/>
          <w:szCs w:val="16"/>
        </w:rPr>
        <w:footnoteRef/>
      </w:r>
      <w:r w:rsidRPr="001A0934">
        <w:rPr>
          <w:sz w:val="16"/>
          <w:szCs w:val="16"/>
        </w:rPr>
        <w:t xml:space="preserve"> </w:t>
      </w:r>
      <w:r w:rsidRPr="00A62585">
        <w:rPr>
          <w:rFonts w:cs="Arial"/>
          <w:i/>
          <w:iCs/>
          <w:sz w:val="16"/>
          <w:szCs w:val="16"/>
        </w:rPr>
        <w:t xml:space="preserve">Source: ACMA, Financial hardship in the telco sector, Keeping the customer connected, </w:t>
      </w:r>
      <w:r>
        <w:rPr>
          <w:rFonts w:cs="Arial"/>
          <w:i/>
          <w:iCs/>
          <w:sz w:val="16"/>
          <w:szCs w:val="16"/>
        </w:rPr>
        <w:t xml:space="preserve">p. 40, </w:t>
      </w:r>
      <w:r w:rsidRPr="00A62585">
        <w:rPr>
          <w:rFonts w:cs="Arial"/>
          <w:i/>
          <w:iCs/>
          <w:sz w:val="16"/>
          <w:szCs w:val="16"/>
        </w:rPr>
        <w:t>accessed 6 December 2023</w:t>
      </w:r>
    </w:p>
  </w:footnote>
  <w:footnote w:id="48">
    <w:p w14:paraId="08FCF8D5" w14:textId="77777777" w:rsidR="00623569" w:rsidRDefault="00623569" w:rsidP="00623569">
      <w:pPr>
        <w:pStyle w:val="FootnoteText"/>
      </w:pPr>
      <w:r>
        <w:rPr>
          <w:rStyle w:val="FootnoteReference"/>
        </w:rPr>
        <w:footnoteRef/>
      </w:r>
      <w:r>
        <w:t xml:space="preserve"> </w:t>
      </w:r>
      <w:r w:rsidRPr="00E85499">
        <w:t xml:space="preserve">ACMA, Financial hardship in the telco sector, Keeping the customer connected, </w:t>
      </w:r>
      <w:r>
        <w:t xml:space="preserve">Figure 6, </w:t>
      </w:r>
      <w:r w:rsidRPr="00E85499">
        <w:t xml:space="preserve">p. </w:t>
      </w:r>
      <w:r>
        <w:t>18</w:t>
      </w:r>
      <w:r w:rsidRPr="00E85499">
        <w:t xml:space="preserve">, accessed </w:t>
      </w:r>
      <w:r>
        <w:t>12</w:t>
      </w:r>
      <w:r w:rsidRPr="00E85499">
        <w:t xml:space="preserve"> December 2023</w:t>
      </w:r>
    </w:p>
  </w:footnote>
  <w:footnote w:id="49">
    <w:p w14:paraId="6BE2C204" w14:textId="77777777" w:rsidR="00623569" w:rsidRDefault="00623569" w:rsidP="00623569">
      <w:pPr>
        <w:pStyle w:val="FootnoteText"/>
      </w:pPr>
      <w:r>
        <w:rPr>
          <w:rStyle w:val="FootnoteReference"/>
        </w:rPr>
        <w:footnoteRef/>
      </w:r>
      <w:r>
        <w:t xml:space="preserve"> The 236,332 figure itself is also likely a low estimate because it is based on data from only 83% of the market.</w:t>
      </w:r>
    </w:p>
  </w:footnote>
  <w:footnote w:id="50">
    <w:p w14:paraId="753A0DF5" w14:textId="77777777" w:rsidR="00623569" w:rsidRDefault="00623569" w:rsidP="00623569">
      <w:pPr>
        <w:pStyle w:val="FootnoteText"/>
      </w:pPr>
      <w:r>
        <w:rPr>
          <w:rStyle w:val="FootnoteReference"/>
        </w:rPr>
        <w:footnoteRef/>
      </w:r>
      <w:r>
        <w:t>ESC (</w:t>
      </w:r>
      <w:r w:rsidRPr="007B4DC7">
        <w:t>Essential Services Commission</w:t>
      </w:r>
      <w:r>
        <w:t>)</w:t>
      </w:r>
      <w:r w:rsidRPr="007B4DC7">
        <w:t xml:space="preserve">, </w:t>
      </w:r>
      <w:hyperlink r:id="rId42" w:history="1">
        <w:r w:rsidRPr="00116CDB">
          <w:rPr>
            <w:rStyle w:val="Hyperlink"/>
          </w:rPr>
          <w:t>Payment difficulty framework implementation review 2022: Findings report</w:t>
        </w:r>
      </w:hyperlink>
      <w:r w:rsidRPr="007B4DC7">
        <w:t xml:space="preserve">, </w:t>
      </w:r>
      <w:r>
        <w:t>(</w:t>
      </w:r>
      <w:r w:rsidRPr="007B4DC7">
        <w:t xml:space="preserve">31 May </w:t>
      </w:r>
      <w:r>
        <w:t>2022), accessed 15 December 2023.</w:t>
      </w:r>
      <w:r w:rsidRPr="007B4DC7">
        <w:t xml:space="preserve"> </w:t>
      </w:r>
      <w:hyperlink r:id="rId43" w:history="1">
        <w:r w:rsidRPr="00025256">
          <w:rPr>
            <w:rStyle w:val="Hyperlink"/>
          </w:rPr>
          <w:t>www.esc.vic.gov.au/sites/default/files/documents/RPT%20-</w:t>
        </w:r>
      </w:hyperlink>
      <w:r>
        <w:t xml:space="preserve"> </w:t>
      </w:r>
    </w:p>
  </w:footnote>
  <w:footnote w:id="51">
    <w:p w14:paraId="4F366F9B" w14:textId="77777777" w:rsidR="00623569" w:rsidRDefault="00623569" w:rsidP="00623569">
      <w:pPr>
        <w:pStyle w:val="FootnoteText"/>
      </w:pPr>
      <w:r>
        <w:rPr>
          <w:rStyle w:val="FootnoteReference"/>
        </w:rPr>
        <w:footnoteRef/>
      </w:r>
      <w:r>
        <w:t xml:space="preserve"> AEMC (Australian Energy Market Commission) </w:t>
      </w:r>
      <w:hyperlink r:id="rId44" w:history="1">
        <w:r w:rsidRPr="009C6E0F">
          <w:rPr>
            <w:rStyle w:val="Hyperlink"/>
          </w:rPr>
          <w:t>Rule Determination: National Energy Retail Amendment (Strengthening Protections for Customers in Hardship) Rule 2018</w:t>
        </w:r>
      </w:hyperlink>
      <w:r>
        <w:t xml:space="preserve"> (15 November 2018), accessed 15 December 2023. </w:t>
      </w:r>
      <w:hyperlink w:history="1"/>
      <w:r>
        <w:t xml:space="preserve"> </w:t>
      </w:r>
    </w:p>
  </w:footnote>
  <w:footnote w:id="52">
    <w:p w14:paraId="76647408" w14:textId="77777777" w:rsidR="00623569" w:rsidRDefault="00623569" w:rsidP="00623569">
      <w:pPr>
        <w:pStyle w:val="FootnoteText"/>
      </w:pPr>
      <w:r>
        <w:rPr>
          <w:rStyle w:val="FootnoteReference"/>
        </w:rPr>
        <w:footnoteRef/>
      </w:r>
      <w:r>
        <w:t xml:space="preserve"> See Appendix A of this RIA for a breakdown of regulatory costs.</w:t>
      </w:r>
    </w:p>
  </w:footnote>
  <w:footnote w:id="53">
    <w:p w14:paraId="06C4583C" w14:textId="77777777" w:rsidR="00623569" w:rsidRDefault="00623569" w:rsidP="00623569">
      <w:pPr>
        <w:pStyle w:val="FootnoteText"/>
      </w:pPr>
      <w:r>
        <w:rPr>
          <w:rStyle w:val="FootnoteReference"/>
        </w:rPr>
        <w:footnoteRef/>
      </w:r>
      <w:r>
        <w:t xml:space="preserve"> ESC (</w:t>
      </w:r>
      <w:r w:rsidRPr="007B4DC7">
        <w:t>Essential Services Commission</w:t>
      </w:r>
      <w:r>
        <w:t>)</w:t>
      </w:r>
      <w:r w:rsidRPr="007B4DC7">
        <w:t xml:space="preserve">, </w:t>
      </w:r>
      <w:hyperlink r:id="rId45" w:history="1">
        <w:r w:rsidRPr="00116CDB">
          <w:rPr>
            <w:rStyle w:val="Hyperlink"/>
          </w:rPr>
          <w:t>Payment difficulty framework implementation review 2022: Findings report</w:t>
        </w:r>
      </w:hyperlink>
      <w:r w:rsidRPr="007B4DC7">
        <w:t xml:space="preserve">, </w:t>
      </w:r>
      <w:r>
        <w:t>(</w:t>
      </w:r>
      <w:r w:rsidRPr="007B4DC7">
        <w:t xml:space="preserve">31 May </w:t>
      </w:r>
      <w:r>
        <w:t>2022), accessed 15 December 2023.</w:t>
      </w:r>
    </w:p>
  </w:footnote>
  <w:footnote w:id="54">
    <w:p w14:paraId="3579BD0E" w14:textId="77777777" w:rsidR="00623569" w:rsidRDefault="00623569" w:rsidP="00623569">
      <w:pPr>
        <w:pStyle w:val="FootnoteText"/>
      </w:pPr>
      <w:r>
        <w:rPr>
          <w:rStyle w:val="FootnoteReference"/>
        </w:rPr>
        <w:footnoteRef/>
      </w:r>
      <w:r>
        <w:t xml:space="preserve"> See Appendix A of this RIA for a breakdown of regulatory costs.</w:t>
      </w:r>
    </w:p>
  </w:footnote>
  <w:footnote w:id="55">
    <w:p w14:paraId="1A5691F6" w14:textId="77777777" w:rsidR="00623569" w:rsidRDefault="00623569" w:rsidP="00623569">
      <w:pPr>
        <w:pStyle w:val="FootnoteText"/>
      </w:pPr>
      <w:r>
        <w:rPr>
          <w:rStyle w:val="FootnoteReference"/>
        </w:rPr>
        <w:footnoteRef/>
      </w:r>
      <w:r>
        <w:t xml:space="preserve"> OIA (The Office of Impact Analysis), </w:t>
      </w:r>
      <w:hyperlink r:id="rId46" w:history="1">
        <w:r w:rsidRPr="006573CD">
          <w:rPr>
            <w:rStyle w:val="Hyperlink"/>
          </w:rPr>
          <w:t>Regulatory Burden Measurement Framework</w:t>
        </w:r>
      </w:hyperlink>
      <w:r>
        <w:t xml:space="preserve"> (6 September 2023), accessed 11 December 2023. </w:t>
      </w:r>
      <w:hyperlink w:history="1"/>
      <w:r>
        <w:t xml:space="preserve"> </w:t>
      </w:r>
    </w:p>
  </w:footnote>
  <w:footnote w:id="56">
    <w:p w14:paraId="062A55F9" w14:textId="77777777" w:rsidR="00623569" w:rsidRDefault="00623569" w:rsidP="00623569">
      <w:pPr>
        <w:pStyle w:val="FootnoteText"/>
      </w:pPr>
      <w:r>
        <w:rPr>
          <w:rStyle w:val="FootnoteReference"/>
        </w:rPr>
        <w:footnoteRef/>
      </w:r>
      <w:r>
        <w:t xml:space="preserve"> ACMA, </w:t>
      </w:r>
      <w:hyperlink r:id="rId47" w:history="1">
        <w:r>
          <w:rPr>
            <w:rStyle w:val="Hyperlink"/>
          </w:rPr>
          <w:t>Consumer vulnerability: expectations for the telco industry</w:t>
        </w:r>
      </w:hyperlink>
      <w:r>
        <w:rPr>
          <w:rStyle w:val="Hyperlink"/>
        </w:rPr>
        <w:t xml:space="preserve">, </w:t>
      </w:r>
      <w:r>
        <w:t>accessed 12 December 2023.</w:t>
      </w:r>
    </w:p>
  </w:footnote>
  <w:footnote w:id="57">
    <w:p w14:paraId="2130EF80" w14:textId="77777777" w:rsidR="00623569" w:rsidRDefault="00623569" w:rsidP="00623569">
      <w:pPr>
        <w:pStyle w:val="FootnoteText"/>
      </w:pPr>
      <w:r>
        <w:rPr>
          <w:rStyle w:val="FootnoteReference"/>
        </w:rPr>
        <w:footnoteRef/>
      </w:r>
      <w:r>
        <w:t xml:space="preserve"> Australian Consumer Action Network (ACCAN), Consumer Policy Research Centre (CPRC), Consumer Action Law Centre (CALC), Western Community Legal Centre Limited (WEstjustice), South Australian Council of Social Services (SACOSS), Isolated Children’s Parents’ Association of Australian (ICPA); NSW Business Chamber (Business NSW).</w:t>
      </w:r>
    </w:p>
  </w:footnote>
  <w:footnote w:id="58">
    <w:p w14:paraId="6D60C442" w14:textId="77777777" w:rsidR="00623569" w:rsidRDefault="00623569" w:rsidP="00623569">
      <w:pPr>
        <w:pStyle w:val="FootnoteText"/>
      </w:pPr>
      <w:r>
        <w:rPr>
          <w:rStyle w:val="FootnoteReference"/>
        </w:rPr>
        <w:footnoteRef/>
      </w:r>
      <w:r>
        <w:t xml:space="preserve"> Department of Infrastructure, Transport, Regional Development, Communications and the Arts, </w:t>
      </w:r>
      <w:hyperlink r:id="rId48" w:history="1">
        <w:r>
          <w:rPr>
            <w:rStyle w:val="Hyperlink"/>
          </w:rPr>
          <w:t>Consumer Safeguards Review consultation—Part C: Choice and fairness</w:t>
        </w:r>
      </w:hyperlink>
      <w:r>
        <w:t>, accessed 8 December 2023.</w:t>
      </w:r>
    </w:p>
  </w:footnote>
  <w:footnote w:id="59">
    <w:p w14:paraId="3456121C" w14:textId="77777777" w:rsidR="00623569" w:rsidRDefault="00623569" w:rsidP="00623569">
      <w:pPr>
        <w:pStyle w:val="FootnoteText"/>
      </w:pPr>
      <w:r>
        <w:rPr>
          <w:rStyle w:val="FootnoteReference"/>
        </w:rPr>
        <w:footnoteRef/>
      </w:r>
      <w:r>
        <w:t xml:space="preserve"> ACMA, </w:t>
      </w:r>
      <w:hyperlink r:id="rId49" w:history="1">
        <w:r>
          <w:rPr>
            <w:rStyle w:val="Hyperlink"/>
          </w:rPr>
          <w:t>Proposed Telecommunications Financial Hardship Industry Standard</w:t>
        </w:r>
      </w:hyperlink>
      <w:r>
        <w:t>, accessed 5 December 2023.</w:t>
      </w:r>
    </w:p>
  </w:footnote>
  <w:footnote w:id="60">
    <w:p w14:paraId="65019902" w14:textId="77777777" w:rsidR="00623569" w:rsidRDefault="00623569" w:rsidP="00623569">
      <w:pPr>
        <w:pStyle w:val="FootnoteText"/>
      </w:pPr>
      <w:r>
        <w:rPr>
          <w:rStyle w:val="FootnoteReference"/>
        </w:rPr>
        <w:footnoteRef/>
      </w:r>
      <w:r>
        <w:t xml:space="preserve"> Legislative requirement is for minimum of 30 days.</w:t>
      </w:r>
    </w:p>
  </w:footnote>
  <w:footnote w:id="61">
    <w:p w14:paraId="0957BD98" w14:textId="77777777" w:rsidR="00623569" w:rsidRDefault="00623569" w:rsidP="00623569">
      <w:pPr>
        <w:pStyle w:val="FootnoteText"/>
      </w:pPr>
      <w:r>
        <w:rPr>
          <w:rStyle w:val="FootnoteReference"/>
        </w:rPr>
        <w:footnoteRef/>
      </w:r>
      <w:r>
        <w:t xml:space="preserve"> ACMA, 2021, </w:t>
      </w:r>
      <w:hyperlink r:id="rId50" w:history="1">
        <w:r>
          <w:rPr>
            <w:rStyle w:val="Hyperlink"/>
          </w:rPr>
          <w:t>ACMA Compliance priorities 2021–22</w:t>
        </w:r>
      </w:hyperlink>
      <w:r>
        <w:t>, viewed 11 October 2021.</w:t>
      </w:r>
    </w:p>
  </w:footnote>
  <w:footnote w:id="62">
    <w:p w14:paraId="061117DC" w14:textId="77777777" w:rsidR="00623569" w:rsidRDefault="00623569" w:rsidP="00623569">
      <w:pPr>
        <w:pStyle w:val="FootnoteText"/>
      </w:pPr>
      <w:r>
        <w:rPr>
          <w:rStyle w:val="FootnoteReference"/>
        </w:rPr>
        <w:footnoteRef/>
      </w:r>
      <w:r>
        <w:t xml:space="preserve"> The Hon Michelle Rowlands MP, Minister for Communications, </w:t>
      </w:r>
      <w:hyperlink r:id="rId51" w:history="1">
        <w:r>
          <w:rPr>
            <w:rStyle w:val="Hyperlink"/>
          </w:rPr>
          <w:t>Better support for telco customers experiencing financial hardship | Ministers for the Department of Infrastructure</w:t>
        </w:r>
      </w:hyperlink>
      <w:r>
        <w:t>, accessed 15 December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09C5" w14:textId="77777777" w:rsidR="00623569" w:rsidRPr="00A5474E" w:rsidRDefault="00623569" w:rsidP="00C9240C">
    <w:pPr>
      <w:pStyle w:val="Header"/>
    </w:pPr>
    <w:r>
      <w:rPr>
        <w:noProof/>
      </w:rPr>
      <w:drawing>
        <wp:inline distT="0" distB="0" distL="0" distR="0" wp14:anchorId="6276CF47" wp14:editId="02FACD1C">
          <wp:extent cx="6283434" cy="578076"/>
          <wp:effectExtent l="0" t="0" r="3175" b="0"/>
          <wp:docPr id="2" name="Picture 2"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83434" cy="578076"/>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BA6D" w14:textId="77777777" w:rsidR="00623569" w:rsidRDefault="00623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6D93" w14:textId="77777777" w:rsidR="00623569" w:rsidRPr="00A5474E" w:rsidRDefault="00623569" w:rsidP="00C9240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4F29" w14:textId="77777777" w:rsidR="00623569" w:rsidRDefault="006235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3F7A" w14:textId="77777777" w:rsidR="00623569" w:rsidRDefault="006235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623569" w14:paraId="744424BF" w14:textId="77777777" w:rsidTr="00C9240C">
      <w:trPr>
        <w:trHeight w:hRule="exact" w:val="988"/>
      </w:trPr>
      <w:tc>
        <w:tcPr>
          <w:tcW w:w="7678" w:type="dxa"/>
          <w:shd w:val="clear" w:color="auto" w:fill="auto"/>
        </w:tcPr>
        <w:p w14:paraId="1A4F6E38" w14:textId="77777777" w:rsidR="00623569" w:rsidRDefault="00623569" w:rsidP="00C9240C">
          <w:pPr>
            <w:pStyle w:val="Header"/>
          </w:pPr>
        </w:p>
      </w:tc>
    </w:tr>
    <w:tr w:rsidR="00623569" w14:paraId="1750034D" w14:textId="77777777" w:rsidTr="00C9240C">
      <w:tc>
        <w:tcPr>
          <w:tcW w:w="7678" w:type="dxa"/>
          <w:shd w:val="clear" w:color="auto" w:fill="auto"/>
        </w:tcPr>
        <w:p w14:paraId="75429B62" w14:textId="77777777" w:rsidR="00623569" w:rsidRDefault="00623569" w:rsidP="00C9240C">
          <w:pPr>
            <w:pStyle w:val="GridTable31"/>
          </w:pPr>
          <w:r>
            <w:t xml:space="preserve">Contents </w:t>
          </w:r>
          <w:r w:rsidRPr="00915B1C">
            <w:rPr>
              <w:b w:val="0"/>
              <w:spacing w:val="0"/>
              <w:sz w:val="28"/>
              <w:szCs w:val="28"/>
            </w:rPr>
            <w:t>(Continued)</w:t>
          </w:r>
        </w:p>
      </w:tc>
    </w:tr>
    <w:tr w:rsidR="00623569" w14:paraId="2CF763EE" w14:textId="77777777" w:rsidTr="00C9240C">
      <w:trPr>
        <w:trHeight w:val="1220"/>
      </w:trPr>
      <w:tc>
        <w:tcPr>
          <w:tcW w:w="7678" w:type="dxa"/>
          <w:shd w:val="clear" w:color="auto" w:fill="auto"/>
        </w:tcPr>
        <w:p w14:paraId="739B6ED2" w14:textId="77777777" w:rsidR="00623569" w:rsidRDefault="00623569" w:rsidP="00C9240C"/>
      </w:tc>
    </w:tr>
  </w:tbl>
  <w:p w14:paraId="29C15BD5" w14:textId="77777777" w:rsidR="00623569" w:rsidRDefault="00623569" w:rsidP="00C924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623569" w14:paraId="228C3705" w14:textId="77777777" w:rsidTr="00C9240C">
      <w:trPr>
        <w:trHeight w:hRule="exact" w:val="988"/>
      </w:trPr>
      <w:tc>
        <w:tcPr>
          <w:tcW w:w="7678" w:type="dxa"/>
          <w:shd w:val="clear" w:color="auto" w:fill="auto"/>
        </w:tcPr>
        <w:p w14:paraId="0AB37B42" w14:textId="77777777" w:rsidR="00623569" w:rsidRDefault="00623569" w:rsidP="00C9240C">
          <w:pPr>
            <w:pStyle w:val="Header"/>
          </w:pPr>
        </w:p>
      </w:tc>
    </w:tr>
    <w:tr w:rsidR="00623569" w14:paraId="1DDE4C7A" w14:textId="77777777" w:rsidTr="00C9240C">
      <w:tc>
        <w:tcPr>
          <w:tcW w:w="7678" w:type="dxa"/>
          <w:shd w:val="clear" w:color="auto" w:fill="auto"/>
        </w:tcPr>
        <w:p w14:paraId="78277C73" w14:textId="77777777" w:rsidR="00623569" w:rsidRDefault="00623569" w:rsidP="00C9240C">
          <w:pPr>
            <w:pStyle w:val="GridTable31"/>
          </w:pPr>
          <w:r>
            <w:t xml:space="preserve">Contents </w:t>
          </w:r>
          <w:r w:rsidRPr="00915B1C">
            <w:rPr>
              <w:b w:val="0"/>
              <w:spacing w:val="0"/>
              <w:sz w:val="28"/>
              <w:szCs w:val="28"/>
            </w:rPr>
            <w:t>(Continued)</w:t>
          </w:r>
        </w:p>
      </w:tc>
    </w:tr>
    <w:tr w:rsidR="00623569" w14:paraId="58481142" w14:textId="77777777" w:rsidTr="00C9240C">
      <w:trPr>
        <w:trHeight w:val="1220"/>
      </w:trPr>
      <w:tc>
        <w:tcPr>
          <w:tcW w:w="7678" w:type="dxa"/>
          <w:shd w:val="clear" w:color="auto" w:fill="auto"/>
        </w:tcPr>
        <w:p w14:paraId="7428B22B" w14:textId="77777777" w:rsidR="00623569" w:rsidRDefault="00623569" w:rsidP="00C9240C"/>
      </w:tc>
    </w:tr>
  </w:tbl>
  <w:p w14:paraId="5FCAF1B5" w14:textId="77777777" w:rsidR="00623569" w:rsidRPr="00A5474E" w:rsidRDefault="00623569" w:rsidP="00C924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6FC0" w14:textId="77777777" w:rsidR="00623569" w:rsidRDefault="0062356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9991" w14:textId="77777777" w:rsidR="00623569" w:rsidRDefault="0062356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7004" w14:textId="77777777" w:rsidR="00623569" w:rsidRDefault="00623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3836"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1443F8F"/>
    <w:multiLevelType w:val="hybridMultilevel"/>
    <w:tmpl w:val="F9980798"/>
    <w:lvl w:ilvl="0" w:tplc="7250E21A">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4CC3A57"/>
    <w:multiLevelType w:val="hybridMultilevel"/>
    <w:tmpl w:val="07E432D0"/>
    <w:lvl w:ilvl="0" w:tplc="FFFFFFFF">
      <w:start w:val="1"/>
      <w:numFmt w:val="bullet"/>
      <w:lvlText w:val="o"/>
      <w:lvlJc w:val="left"/>
      <w:pPr>
        <w:ind w:left="1440" w:hanging="360"/>
      </w:pPr>
      <w:rPr>
        <w:rFonts w:ascii="Courier New" w:hAnsi="Courier New" w:cs="Courier New" w:hint="default"/>
      </w:rPr>
    </w:lvl>
    <w:lvl w:ilvl="1" w:tplc="0C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9885FE5"/>
    <w:multiLevelType w:val="hybridMultilevel"/>
    <w:tmpl w:val="506C9954"/>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0BA1478D"/>
    <w:multiLevelType w:val="hybridMultilevel"/>
    <w:tmpl w:val="A7A8572A"/>
    <w:lvl w:ilvl="0" w:tplc="FFFFFFFF">
      <w:start w:val="1"/>
      <w:numFmt w:val="decimal"/>
      <w:lvlText w:val="%1."/>
      <w:lvlJc w:val="left"/>
      <w:pPr>
        <w:ind w:left="1095" w:hanging="375"/>
      </w:pPr>
      <w:rPr>
        <w:rFonts w:hint="default"/>
        <w:color w:val="000000"/>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DA34CC6"/>
    <w:multiLevelType w:val="hybridMultilevel"/>
    <w:tmpl w:val="CCBE121C"/>
    <w:lvl w:ilvl="0" w:tplc="7250E21A">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F2833CA"/>
    <w:multiLevelType w:val="hybridMultilevel"/>
    <w:tmpl w:val="1366A9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250414F"/>
    <w:multiLevelType w:val="hybridMultilevel"/>
    <w:tmpl w:val="83A82808"/>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CF1413"/>
    <w:multiLevelType w:val="hybridMultilevel"/>
    <w:tmpl w:val="DCE277D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945035"/>
    <w:multiLevelType w:val="hybridMultilevel"/>
    <w:tmpl w:val="A7A8572A"/>
    <w:lvl w:ilvl="0" w:tplc="49B8AE96">
      <w:start w:val="1"/>
      <w:numFmt w:val="decimal"/>
      <w:lvlText w:val="%1."/>
      <w:lvlJc w:val="left"/>
      <w:pPr>
        <w:ind w:left="1095" w:hanging="375"/>
      </w:pPr>
      <w:rPr>
        <w:rFonts w:hint="default"/>
        <w:color w:val="000000"/>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C557E51"/>
    <w:multiLevelType w:val="hybridMultilevel"/>
    <w:tmpl w:val="7A74133E"/>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D9734D4"/>
    <w:multiLevelType w:val="hybridMultilevel"/>
    <w:tmpl w:val="C9DEED16"/>
    <w:lvl w:ilvl="0" w:tplc="26CE0246">
      <w:start w:val="1"/>
      <w:numFmt w:val="decimal"/>
      <w:lvlText w:val="%1."/>
      <w:lvlJc w:val="left"/>
      <w:pPr>
        <w:ind w:left="720" w:hanging="360"/>
      </w:pPr>
    </w:lvl>
    <w:lvl w:ilvl="1" w:tplc="7E6E9F9A">
      <w:start w:val="1"/>
      <w:numFmt w:val="lowerLetter"/>
      <w:lvlText w:val="%2."/>
      <w:lvlJc w:val="left"/>
      <w:pPr>
        <w:ind w:left="1440" w:hanging="360"/>
      </w:pPr>
    </w:lvl>
    <w:lvl w:ilvl="2" w:tplc="6E82039C">
      <w:start w:val="1"/>
      <w:numFmt w:val="lowerRoman"/>
      <w:lvlText w:val="%3."/>
      <w:lvlJc w:val="right"/>
      <w:pPr>
        <w:ind w:left="2160" w:hanging="180"/>
      </w:pPr>
    </w:lvl>
    <w:lvl w:ilvl="3" w:tplc="C098FF1E">
      <w:start w:val="1"/>
      <w:numFmt w:val="decimal"/>
      <w:lvlText w:val="%4."/>
      <w:lvlJc w:val="left"/>
      <w:pPr>
        <w:ind w:left="2880" w:hanging="360"/>
      </w:pPr>
    </w:lvl>
    <w:lvl w:ilvl="4" w:tplc="C7FE15C6">
      <w:start w:val="1"/>
      <w:numFmt w:val="lowerLetter"/>
      <w:lvlText w:val="%5."/>
      <w:lvlJc w:val="left"/>
      <w:pPr>
        <w:ind w:left="3600" w:hanging="360"/>
      </w:pPr>
    </w:lvl>
    <w:lvl w:ilvl="5" w:tplc="8C041C2E">
      <w:start w:val="1"/>
      <w:numFmt w:val="lowerRoman"/>
      <w:lvlText w:val="%6."/>
      <w:lvlJc w:val="right"/>
      <w:pPr>
        <w:ind w:left="4320" w:hanging="180"/>
      </w:pPr>
    </w:lvl>
    <w:lvl w:ilvl="6" w:tplc="5E925A48">
      <w:start w:val="1"/>
      <w:numFmt w:val="decimal"/>
      <w:lvlText w:val="%7."/>
      <w:lvlJc w:val="left"/>
      <w:pPr>
        <w:ind w:left="5040" w:hanging="360"/>
      </w:pPr>
    </w:lvl>
    <w:lvl w:ilvl="7" w:tplc="0526F52C">
      <w:start w:val="1"/>
      <w:numFmt w:val="lowerLetter"/>
      <w:lvlText w:val="%8."/>
      <w:lvlJc w:val="left"/>
      <w:pPr>
        <w:ind w:left="5760" w:hanging="360"/>
      </w:pPr>
    </w:lvl>
    <w:lvl w:ilvl="8" w:tplc="21503E60">
      <w:start w:val="1"/>
      <w:numFmt w:val="lowerRoman"/>
      <w:lvlText w:val="%9."/>
      <w:lvlJc w:val="right"/>
      <w:pPr>
        <w:ind w:left="6480" w:hanging="180"/>
      </w:pPr>
    </w:lvl>
  </w:abstractNum>
  <w:abstractNum w:abstractNumId="1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2F5A5080"/>
    <w:multiLevelType w:val="hybridMultilevel"/>
    <w:tmpl w:val="BE2AF6CE"/>
    <w:lvl w:ilvl="0" w:tplc="D05E2434">
      <w:start w:val="1"/>
      <w:numFmt w:val="bullet"/>
      <w:pStyle w:val="ACMABulletLevel1"/>
      <w:lvlText w:val="●"/>
      <w:lvlJc w:val="left"/>
      <w:pPr>
        <w:tabs>
          <w:tab w:val="num" w:pos="-31680"/>
        </w:tabs>
        <w:ind w:left="357" w:hanging="357"/>
      </w:pPr>
      <w:rPr>
        <w:rFonts w:ascii="Arial" w:hAnsi="Arial" w:cs="Arial" w:hint="default"/>
        <w:sz w:val="20"/>
        <w:szCs w:val="20"/>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30CF3AF6"/>
    <w:multiLevelType w:val="hybridMultilevel"/>
    <w:tmpl w:val="3A423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967A05"/>
    <w:multiLevelType w:val="hybridMultilevel"/>
    <w:tmpl w:val="DF9AD164"/>
    <w:lvl w:ilvl="0" w:tplc="7250E21A">
      <w:start w:val="1"/>
      <w:numFmt w:val="lowerLetter"/>
      <w:lvlText w:val="(%1)"/>
      <w:lvlJc w:val="left"/>
      <w:pPr>
        <w:ind w:left="1211" w:hanging="360"/>
      </w:pPr>
      <w:rPr>
        <w:rFonts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2" w15:restartNumberingAfterBreak="0">
    <w:nsid w:val="34EF70EA"/>
    <w:multiLevelType w:val="hybridMultilevel"/>
    <w:tmpl w:val="895C2B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7CE2AAD"/>
    <w:multiLevelType w:val="hybridMultilevel"/>
    <w:tmpl w:val="DB88A682"/>
    <w:lvl w:ilvl="0" w:tplc="93525DB8">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9E58BB"/>
    <w:multiLevelType w:val="multilevel"/>
    <w:tmpl w:val="6C5EB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5C2B95"/>
    <w:multiLevelType w:val="hybridMultilevel"/>
    <w:tmpl w:val="D93C8268"/>
    <w:lvl w:ilvl="0" w:tplc="F4C81E22">
      <w:start w:val="1"/>
      <w:numFmt w:val="lowerLetter"/>
      <w:lvlText w:val="(%1)"/>
      <w:lvlJc w:val="left"/>
      <w:pPr>
        <w:ind w:left="5748"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5550C1E"/>
    <w:multiLevelType w:val="hybridMultilevel"/>
    <w:tmpl w:val="2430A816"/>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7" w15:restartNumberingAfterBreak="0">
    <w:nsid w:val="467C3A77"/>
    <w:multiLevelType w:val="hybridMultilevel"/>
    <w:tmpl w:val="5172FD54"/>
    <w:lvl w:ilvl="0" w:tplc="49B8AE96">
      <w:start w:val="1"/>
      <w:numFmt w:val="decimal"/>
      <w:lvlText w:val="%1."/>
      <w:lvlJc w:val="left"/>
      <w:pPr>
        <w:ind w:left="735" w:hanging="375"/>
      </w:pPr>
      <w:rPr>
        <w:rFonts w:hint="default"/>
        <w:color w:val="00000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D23C6F"/>
    <w:multiLevelType w:val="hybridMultilevel"/>
    <w:tmpl w:val="6D0E144C"/>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52C21BD7"/>
    <w:multiLevelType w:val="hybridMultilevel"/>
    <w:tmpl w:val="EF3C7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C275D1"/>
    <w:multiLevelType w:val="hybridMultilevel"/>
    <w:tmpl w:val="2A845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D84E90"/>
    <w:multiLevelType w:val="hybridMultilevel"/>
    <w:tmpl w:val="82EE8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797174"/>
    <w:multiLevelType w:val="hybridMultilevel"/>
    <w:tmpl w:val="3A0C2A42"/>
    <w:lvl w:ilvl="0" w:tplc="0C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4" w15:restartNumberingAfterBreak="0">
    <w:nsid w:val="61763FA3"/>
    <w:multiLevelType w:val="hybridMultilevel"/>
    <w:tmpl w:val="7F705274"/>
    <w:lvl w:ilvl="0" w:tplc="91AAB8A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62715683"/>
    <w:multiLevelType w:val="hybridMultilevel"/>
    <w:tmpl w:val="A690946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BE3480"/>
    <w:multiLevelType w:val="hybridMultilevel"/>
    <w:tmpl w:val="7E22643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6F7D606D"/>
    <w:multiLevelType w:val="hybridMultilevel"/>
    <w:tmpl w:val="FE22F0E2"/>
    <w:lvl w:ilvl="0" w:tplc="0C09000B">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41" w15:restartNumberingAfterBreak="0">
    <w:nsid w:val="72C705A1"/>
    <w:multiLevelType w:val="hybridMultilevel"/>
    <w:tmpl w:val="1CAC4298"/>
    <w:lvl w:ilvl="0" w:tplc="B49A0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74E4B0D"/>
    <w:multiLevelType w:val="hybridMultilevel"/>
    <w:tmpl w:val="264A3C3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B276464"/>
    <w:multiLevelType w:val="hybridMultilevel"/>
    <w:tmpl w:val="FB848244"/>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DA920DC"/>
    <w:multiLevelType w:val="hybridMultilevel"/>
    <w:tmpl w:val="B4CC9E00"/>
    <w:lvl w:ilvl="0" w:tplc="7250E21A">
      <w:start w:val="1"/>
      <w:numFmt w:val="lowerLetter"/>
      <w:lvlText w:val="(%1)"/>
      <w:lvlJc w:val="left"/>
      <w:pPr>
        <w:ind w:left="778" w:hanging="360"/>
      </w:pPr>
      <w:rPr>
        <w:rFonts w:hint="default"/>
      </w:rPr>
    </w:lvl>
    <w:lvl w:ilvl="1" w:tplc="292020DE">
      <w:start w:val="1"/>
      <w:numFmt w:val="lowerRoman"/>
      <w:lvlText w:val="(%2)"/>
      <w:lvlJc w:val="right"/>
      <w:pPr>
        <w:ind w:left="1498" w:hanging="360"/>
      </w:pPr>
      <w:rPr>
        <w:rFonts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16cid:durableId="1969847570">
    <w:abstractNumId w:val="13"/>
  </w:num>
  <w:num w:numId="2" w16cid:durableId="1726833345">
    <w:abstractNumId w:val="3"/>
  </w:num>
  <w:num w:numId="3" w16cid:durableId="940531035">
    <w:abstractNumId w:val="23"/>
  </w:num>
  <w:num w:numId="4" w16cid:durableId="1444497450">
    <w:abstractNumId w:val="27"/>
  </w:num>
  <w:num w:numId="5" w16cid:durableId="2097556569">
    <w:abstractNumId w:val="9"/>
  </w:num>
  <w:num w:numId="6" w16cid:durableId="459610183">
    <w:abstractNumId w:val="21"/>
  </w:num>
  <w:num w:numId="7" w16cid:durableId="600574362">
    <w:abstractNumId w:val="44"/>
  </w:num>
  <w:num w:numId="8" w16cid:durableId="545796">
    <w:abstractNumId w:val="30"/>
  </w:num>
  <w:num w:numId="9" w16cid:durableId="2147165912">
    <w:abstractNumId w:val="32"/>
  </w:num>
  <w:num w:numId="10" w16cid:durableId="1225143400">
    <w:abstractNumId w:val="20"/>
  </w:num>
  <w:num w:numId="11" w16cid:durableId="186405876">
    <w:abstractNumId w:val="39"/>
  </w:num>
  <w:num w:numId="12" w16cid:durableId="1691226598">
    <w:abstractNumId w:val="29"/>
  </w:num>
  <w:num w:numId="13" w16cid:durableId="240068673">
    <w:abstractNumId w:val="11"/>
  </w:num>
  <w:num w:numId="14" w16cid:durableId="91436115">
    <w:abstractNumId w:val="14"/>
  </w:num>
  <w:num w:numId="15" w16cid:durableId="1689675491">
    <w:abstractNumId w:val="19"/>
  </w:num>
  <w:num w:numId="16" w16cid:durableId="217863971">
    <w:abstractNumId w:val="34"/>
  </w:num>
  <w:num w:numId="17" w16cid:durableId="554198964">
    <w:abstractNumId w:val="41"/>
  </w:num>
  <w:num w:numId="18" w16cid:durableId="814952358">
    <w:abstractNumId w:val="3"/>
  </w:num>
  <w:num w:numId="19" w16cid:durableId="1966547520">
    <w:abstractNumId w:val="1"/>
  </w:num>
  <w:num w:numId="20" w16cid:durableId="508376393">
    <w:abstractNumId w:val="38"/>
  </w:num>
  <w:num w:numId="21" w16cid:durableId="2137288802">
    <w:abstractNumId w:val="36"/>
  </w:num>
  <w:num w:numId="22" w16cid:durableId="1026177508">
    <w:abstractNumId w:val="37"/>
  </w:num>
  <w:num w:numId="23" w16cid:durableId="1544901856">
    <w:abstractNumId w:val="18"/>
  </w:num>
  <w:num w:numId="24" w16cid:durableId="440800176">
    <w:abstractNumId w:val="2"/>
  </w:num>
  <w:num w:numId="25" w16cid:durableId="919368100">
    <w:abstractNumId w:val="0"/>
  </w:num>
  <w:num w:numId="26" w16cid:durableId="1810895904">
    <w:abstractNumId w:val="31"/>
  </w:num>
  <w:num w:numId="27" w16cid:durableId="32922300">
    <w:abstractNumId w:val="28"/>
  </w:num>
  <w:num w:numId="28" w16cid:durableId="793671069">
    <w:abstractNumId w:val="5"/>
  </w:num>
  <w:num w:numId="29" w16cid:durableId="336081796">
    <w:abstractNumId w:val="6"/>
  </w:num>
  <w:num w:numId="30" w16cid:durableId="808017676">
    <w:abstractNumId w:val="33"/>
  </w:num>
  <w:num w:numId="31" w16cid:durableId="1037003978">
    <w:abstractNumId w:val="26"/>
  </w:num>
  <w:num w:numId="32" w16cid:durableId="21364860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5143262">
    <w:abstractNumId w:val="43"/>
  </w:num>
  <w:num w:numId="34" w16cid:durableId="390689834">
    <w:abstractNumId w:val="35"/>
  </w:num>
  <w:num w:numId="35" w16cid:durableId="1250043023">
    <w:abstractNumId w:val="25"/>
  </w:num>
  <w:num w:numId="36" w16cid:durableId="1168443002">
    <w:abstractNumId w:val="15"/>
  </w:num>
  <w:num w:numId="37" w16cid:durableId="355547936">
    <w:abstractNumId w:val="4"/>
  </w:num>
  <w:num w:numId="38" w16cid:durableId="1947804339">
    <w:abstractNumId w:val="22"/>
  </w:num>
  <w:num w:numId="39" w16cid:durableId="1138036580">
    <w:abstractNumId w:val="16"/>
  </w:num>
  <w:num w:numId="40" w16cid:durableId="660230609">
    <w:abstractNumId w:val="10"/>
  </w:num>
  <w:num w:numId="41" w16cid:durableId="1246308910">
    <w:abstractNumId w:val="12"/>
  </w:num>
  <w:num w:numId="42" w16cid:durableId="262882314">
    <w:abstractNumId w:val="8"/>
  </w:num>
  <w:num w:numId="43" w16cid:durableId="2092311367">
    <w:abstractNumId w:val="42"/>
  </w:num>
  <w:num w:numId="44" w16cid:durableId="1825972953">
    <w:abstractNumId w:val="24"/>
  </w:num>
  <w:num w:numId="45" w16cid:durableId="296495533">
    <w:abstractNumId w:val="40"/>
  </w:num>
  <w:num w:numId="46" w16cid:durableId="680161499">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04455"/>
    <w:rsid w:val="0000505D"/>
    <w:rsid w:val="00005535"/>
    <w:rsid w:val="00006D41"/>
    <w:rsid w:val="00006EB1"/>
    <w:rsid w:val="0001109B"/>
    <w:rsid w:val="000124F9"/>
    <w:rsid w:val="00012545"/>
    <w:rsid w:val="00012DD4"/>
    <w:rsid w:val="00013079"/>
    <w:rsid w:val="00013697"/>
    <w:rsid w:val="000144AA"/>
    <w:rsid w:val="000144AE"/>
    <w:rsid w:val="00014547"/>
    <w:rsid w:val="0001487D"/>
    <w:rsid w:val="000164D1"/>
    <w:rsid w:val="00020695"/>
    <w:rsid w:val="00020833"/>
    <w:rsid w:val="000227B8"/>
    <w:rsid w:val="00022F58"/>
    <w:rsid w:val="00022FD6"/>
    <w:rsid w:val="000231BA"/>
    <w:rsid w:val="00025ACE"/>
    <w:rsid w:val="00025FE9"/>
    <w:rsid w:val="00027104"/>
    <w:rsid w:val="00027881"/>
    <w:rsid w:val="00030EAA"/>
    <w:rsid w:val="000323A7"/>
    <w:rsid w:val="00034E2A"/>
    <w:rsid w:val="00037C2B"/>
    <w:rsid w:val="00037F0E"/>
    <w:rsid w:val="00040C2D"/>
    <w:rsid w:val="00040F85"/>
    <w:rsid w:val="00044C8F"/>
    <w:rsid w:val="00044DE1"/>
    <w:rsid w:val="00047202"/>
    <w:rsid w:val="000473BE"/>
    <w:rsid w:val="000509EC"/>
    <w:rsid w:val="000544E2"/>
    <w:rsid w:val="00061472"/>
    <w:rsid w:val="00061EE0"/>
    <w:rsid w:val="00062CF6"/>
    <w:rsid w:val="0006386B"/>
    <w:rsid w:val="00063D85"/>
    <w:rsid w:val="0006427E"/>
    <w:rsid w:val="00065037"/>
    <w:rsid w:val="00065B29"/>
    <w:rsid w:val="00065D79"/>
    <w:rsid w:val="00066DAC"/>
    <w:rsid w:val="00066DDE"/>
    <w:rsid w:val="000678F0"/>
    <w:rsid w:val="00070B56"/>
    <w:rsid w:val="00070D91"/>
    <w:rsid w:val="0007144A"/>
    <w:rsid w:val="0007158E"/>
    <w:rsid w:val="00071628"/>
    <w:rsid w:val="000726C7"/>
    <w:rsid w:val="00074360"/>
    <w:rsid w:val="00074A8D"/>
    <w:rsid w:val="00074C86"/>
    <w:rsid w:val="00077171"/>
    <w:rsid w:val="00077194"/>
    <w:rsid w:val="00077F44"/>
    <w:rsid w:val="00082354"/>
    <w:rsid w:val="000824E9"/>
    <w:rsid w:val="00083BC3"/>
    <w:rsid w:val="0008651F"/>
    <w:rsid w:val="0008652F"/>
    <w:rsid w:val="00087F3D"/>
    <w:rsid w:val="000900D9"/>
    <w:rsid w:val="0009088A"/>
    <w:rsid w:val="000922BC"/>
    <w:rsid w:val="000932CD"/>
    <w:rsid w:val="00095005"/>
    <w:rsid w:val="00095AB3"/>
    <w:rsid w:val="00097DD1"/>
    <w:rsid w:val="000A0CA1"/>
    <w:rsid w:val="000A12B4"/>
    <w:rsid w:val="000A2E23"/>
    <w:rsid w:val="000A3A94"/>
    <w:rsid w:val="000A460D"/>
    <w:rsid w:val="000A4793"/>
    <w:rsid w:val="000A4F88"/>
    <w:rsid w:val="000A55D5"/>
    <w:rsid w:val="000A5F8E"/>
    <w:rsid w:val="000A6896"/>
    <w:rsid w:val="000A69C5"/>
    <w:rsid w:val="000A725B"/>
    <w:rsid w:val="000A7ADC"/>
    <w:rsid w:val="000B04B4"/>
    <w:rsid w:val="000B0BA7"/>
    <w:rsid w:val="000B0FA8"/>
    <w:rsid w:val="000B1DCF"/>
    <w:rsid w:val="000B2F9F"/>
    <w:rsid w:val="000B33B6"/>
    <w:rsid w:val="000B35BC"/>
    <w:rsid w:val="000B4B6C"/>
    <w:rsid w:val="000B7E66"/>
    <w:rsid w:val="000C02B4"/>
    <w:rsid w:val="000C0D1E"/>
    <w:rsid w:val="000C17D9"/>
    <w:rsid w:val="000C1D17"/>
    <w:rsid w:val="000C3FEE"/>
    <w:rsid w:val="000C538E"/>
    <w:rsid w:val="000C594A"/>
    <w:rsid w:val="000C6436"/>
    <w:rsid w:val="000C6CBB"/>
    <w:rsid w:val="000C6ED8"/>
    <w:rsid w:val="000C7491"/>
    <w:rsid w:val="000D1C9D"/>
    <w:rsid w:val="000D28A5"/>
    <w:rsid w:val="000D3261"/>
    <w:rsid w:val="000D3A30"/>
    <w:rsid w:val="000D483F"/>
    <w:rsid w:val="000D4ECE"/>
    <w:rsid w:val="000E11AE"/>
    <w:rsid w:val="000E20FF"/>
    <w:rsid w:val="000E2855"/>
    <w:rsid w:val="000E2A3E"/>
    <w:rsid w:val="000E2C66"/>
    <w:rsid w:val="000E2F2C"/>
    <w:rsid w:val="000E317C"/>
    <w:rsid w:val="000E35F4"/>
    <w:rsid w:val="000E38C9"/>
    <w:rsid w:val="000E3EEB"/>
    <w:rsid w:val="000E4C63"/>
    <w:rsid w:val="000E50F5"/>
    <w:rsid w:val="000E6335"/>
    <w:rsid w:val="000E658F"/>
    <w:rsid w:val="000E6D7E"/>
    <w:rsid w:val="000E6F58"/>
    <w:rsid w:val="000F1804"/>
    <w:rsid w:val="000F1C01"/>
    <w:rsid w:val="000F2300"/>
    <w:rsid w:val="000F5DB2"/>
    <w:rsid w:val="000F6255"/>
    <w:rsid w:val="001002F2"/>
    <w:rsid w:val="001014D3"/>
    <w:rsid w:val="0010174C"/>
    <w:rsid w:val="001022C3"/>
    <w:rsid w:val="0010233F"/>
    <w:rsid w:val="00104130"/>
    <w:rsid w:val="001053AD"/>
    <w:rsid w:val="00105C68"/>
    <w:rsid w:val="0010665F"/>
    <w:rsid w:val="0010693C"/>
    <w:rsid w:val="00107316"/>
    <w:rsid w:val="00112987"/>
    <w:rsid w:val="00115F97"/>
    <w:rsid w:val="00116EC2"/>
    <w:rsid w:val="00116EE4"/>
    <w:rsid w:val="00117351"/>
    <w:rsid w:val="00117655"/>
    <w:rsid w:val="0012048E"/>
    <w:rsid w:val="00121813"/>
    <w:rsid w:val="00121B9E"/>
    <w:rsid w:val="00122072"/>
    <w:rsid w:val="00122DDA"/>
    <w:rsid w:val="00123346"/>
    <w:rsid w:val="001241A6"/>
    <w:rsid w:val="00125751"/>
    <w:rsid w:val="001265FF"/>
    <w:rsid w:val="00127425"/>
    <w:rsid w:val="001279B9"/>
    <w:rsid w:val="0013145C"/>
    <w:rsid w:val="001317D4"/>
    <w:rsid w:val="00132AE5"/>
    <w:rsid w:val="0013336B"/>
    <w:rsid w:val="00133E79"/>
    <w:rsid w:val="00134705"/>
    <w:rsid w:val="00134725"/>
    <w:rsid w:val="00135C38"/>
    <w:rsid w:val="001367AA"/>
    <w:rsid w:val="001370A0"/>
    <w:rsid w:val="001401BC"/>
    <w:rsid w:val="00141CF6"/>
    <w:rsid w:val="00143FB6"/>
    <w:rsid w:val="00144C98"/>
    <w:rsid w:val="00146972"/>
    <w:rsid w:val="00146A0C"/>
    <w:rsid w:val="0014700C"/>
    <w:rsid w:val="00150A8F"/>
    <w:rsid w:val="00156433"/>
    <w:rsid w:val="00157C5C"/>
    <w:rsid w:val="00161598"/>
    <w:rsid w:val="00161C1F"/>
    <w:rsid w:val="00161C73"/>
    <w:rsid w:val="001639C3"/>
    <w:rsid w:val="001642E5"/>
    <w:rsid w:val="00165A35"/>
    <w:rsid w:val="00166B6A"/>
    <w:rsid w:val="001718CA"/>
    <w:rsid w:val="00171F18"/>
    <w:rsid w:val="00173805"/>
    <w:rsid w:val="00174079"/>
    <w:rsid w:val="00174744"/>
    <w:rsid w:val="001747ED"/>
    <w:rsid w:val="00175027"/>
    <w:rsid w:val="001761AF"/>
    <w:rsid w:val="0017621E"/>
    <w:rsid w:val="00176B7E"/>
    <w:rsid w:val="00180BB7"/>
    <w:rsid w:val="001815B5"/>
    <w:rsid w:val="00181AD5"/>
    <w:rsid w:val="0018207C"/>
    <w:rsid w:val="00182134"/>
    <w:rsid w:val="001845A2"/>
    <w:rsid w:val="0018562C"/>
    <w:rsid w:val="00185BDC"/>
    <w:rsid w:val="00190EDD"/>
    <w:rsid w:val="001922BA"/>
    <w:rsid w:val="00192672"/>
    <w:rsid w:val="001950D7"/>
    <w:rsid w:val="001A08F9"/>
    <w:rsid w:val="001A0936"/>
    <w:rsid w:val="001A0E12"/>
    <w:rsid w:val="001A145E"/>
    <w:rsid w:val="001A1D11"/>
    <w:rsid w:val="001A220C"/>
    <w:rsid w:val="001A3276"/>
    <w:rsid w:val="001B1A6C"/>
    <w:rsid w:val="001B2CC7"/>
    <w:rsid w:val="001B4835"/>
    <w:rsid w:val="001B5196"/>
    <w:rsid w:val="001B5706"/>
    <w:rsid w:val="001B65E3"/>
    <w:rsid w:val="001C0EF3"/>
    <w:rsid w:val="001C26CB"/>
    <w:rsid w:val="001C2DEC"/>
    <w:rsid w:val="001C36F4"/>
    <w:rsid w:val="001C46B2"/>
    <w:rsid w:val="001C4BF8"/>
    <w:rsid w:val="001C5421"/>
    <w:rsid w:val="001C74E0"/>
    <w:rsid w:val="001D0ECC"/>
    <w:rsid w:val="001D0EFD"/>
    <w:rsid w:val="001D124A"/>
    <w:rsid w:val="001D134A"/>
    <w:rsid w:val="001D13CE"/>
    <w:rsid w:val="001D1D5A"/>
    <w:rsid w:val="001D2004"/>
    <w:rsid w:val="001D31F7"/>
    <w:rsid w:val="001D32BE"/>
    <w:rsid w:val="001D3CAF"/>
    <w:rsid w:val="001D5C25"/>
    <w:rsid w:val="001D6C37"/>
    <w:rsid w:val="001D7311"/>
    <w:rsid w:val="001D7FDC"/>
    <w:rsid w:val="001E181E"/>
    <w:rsid w:val="001E187E"/>
    <w:rsid w:val="001E33E3"/>
    <w:rsid w:val="001E343E"/>
    <w:rsid w:val="001E3D63"/>
    <w:rsid w:val="001E54CE"/>
    <w:rsid w:val="001E64FF"/>
    <w:rsid w:val="001E66C0"/>
    <w:rsid w:val="001E72ED"/>
    <w:rsid w:val="001E73B5"/>
    <w:rsid w:val="001F0AF3"/>
    <w:rsid w:val="001F4095"/>
    <w:rsid w:val="001F4853"/>
    <w:rsid w:val="001F698B"/>
    <w:rsid w:val="00200970"/>
    <w:rsid w:val="00200C94"/>
    <w:rsid w:val="00201787"/>
    <w:rsid w:val="00201FAF"/>
    <w:rsid w:val="00203AD3"/>
    <w:rsid w:val="00203E41"/>
    <w:rsid w:val="00205E42"/>
    <w:rsid w:val="0020792D"/>
    <w:rsid w:val="0021118C"/>
    <w:rsid w:val="00212847"/>
    <w:rsid w:val="00213A28"/>
    <w:rsid w:val="00214F9D"/>
    <w:rsid w:val="002153B6"/>
    <w:rsid w:val="00215B3E"/>
    <w:rsid w:val="002179C8"/>
    <w:rsid w:val="0022014B"/>
    <w:rsid w:val="00222868"/>
    <w:rsid w:val="00223C8A"/>
    <w:rsid w:val="00226D26"/>
    <w:rsid w:val="002335DD"/>
    <w:rsid w:val="00233DDB"/>
    <w:rsid w:val="00235735"/>
    <w:rsid w:val="00242542"/>
    <w:rsid w:val="0024278C"/>
    <w:rsid w:val="002450E4"/>
    <w:rsid w:val="002457C7"/>
    <w:rsid w:val="00246356"/>
    <w:rsid w:val="002508F7"/>
    <w:rsid w:val="002513C9"/>
    <w:rsid w:val="002522B8"/>
    <w:rsid w:val="00253583"/>
    <w:rsid w:val="00253FE4"/>
    <w:rsid w:val="002549FE"/>
    <w:rsid w:val="002565C3"/>
    <w:rsid w:val="00256EA1"/>
    <w:rsid w:val="00257407"/>
    <w:rsid w:val="002576CB"/>
    <w:rsid w:val="002614D2"/>
    <w:rsid w:val="0026194E"/>
    <w:rsid w:val="00264DEE"/>
    <w:rsid w:val="002674E7"/>
    <w:rsid w:val="00270E02"/>
    <w:rsid w:val="002713FC"/>
    <w:rsid w:val="00271742"/>
    <w:rsid w:val="00277CF4"/>
    <w:rsid w:val="002823CE"/>
    <w:rsid w:val="0028322B"/>
    <w:rsid w:val="0028558A"/>
    <w:rsid w:val="00285A6A"/>
    <w:rsid w:val="002909B6"/>
    <w:rsid w:val="00293B06"/>
    <w:rsid w:val="00293E4F"/>
    <w:rsid w:val="0029415B"/>
    <w:rsid w:val="00294E33"/>
    <w:rsid w:val="0029574B"/>
    <w:rsid w:val="00296297"/>
    <w:rsid w:val="00297052"/>
    <w:rsid w:val="00297F1E"/>
    <w:rsid w:val="002A1322"/>
    <w:rsid w:val="002A1965"/>
    <w:rsid w:val="002A2566"/>
    <w:rsid w:val="002A2BDD"/>
    <w:rsid w:val="002A2ED1"/>
    <w:rsid w:val="002A34C4"/>
    <w:rsid w:val="002A5063"/>
    <w:rsid w:val="002A7625"/>
    <w:rsid w:val="002A76D8"/>
    <w:rsid w:val="002B0C3D"/>
    <w:rsid w:val="002B3E0C"/>
    <w:rsid w:val="002B6699"/>
    <w:rsid w:val="002B78B6"/>
    <w:rsid w:val="002B7EEA"/>
    <w:rsid w:val="002C1AB2"/>
    <w:rsid w:val="002C1EC3"/>
    <w:rsid w:val="002C2256"/>
    <w:rsid w:val="002C24FF"/>
    <w:rsid w:val="002C26A4"/>
    <w:rsid w:val="002C3CF5"/>
    <w:rsid w:val="002C48E5"/>
    <w:rsid w:val="002C48F5"/>
    <w:rsid w:val="002C6631"/>
    <w:rsid w:val="002C76E7"/>
    <w:rsid w:val="002D0405"/>
    <w:rsid w:val="002D28E5"/>
    <w:rsid w:val="002D3913"/>
    <w:rsid w:val="002D3E72"/>
    <w:rsid w:val="002D6EDE"/>
    <w:rsid w:val="002D76FD"/>
    <w:rsid w:val="002E00A2"/>
    <w:rsid w:val="002E09BA"/>
    <w:rsid w:val="002E2869"/>
    <w:rsid w:val="002E28B2"/>
    <w:rsid w:val="002E2E93"/>
    <w:rsid w:val="002E3821"/>
    <w:rsid w:val="002E3B2A"/>
    <w:rsid w:val="002E3CB0"/>
    <w:rsid w:val="002E3F80"/>
    <w:rsid w:val="002E5A7F"/>
    <w:rsid w:val="002F03AC"/>
    <w:rsid w:val="002F0F2D"/>
    <w:rsid w:val="002F143D"/>
    <w:rsid w:val="002F2036"/>
    <w:rsid w:val="002F25C8"/>
    <w:rsid w:val="002F2655"/>
    <w:rsid w:val="002F2FAF"/>
    <w:rsid w:val="002F3199"/>
    <w:rsid w:val="002F36E0"/>
    <w:rsid w:val="002F3E3A"/>
    <w:rsid w:val="002F409B"/>
    <w:rsid w:val="002F46E5"/>
    <w:rsid w:val="002F47E9"/>
    <w:rsid w:val="002F7BA5"/>
    <w:rsid w:val="003000D5"/>
    <w:rsid w:val="003004B0"/>
    <w:rsid w:val="00303A0F"/>
    <w:rsid w:val="0030416D"/>
    <w:rsid w:val="00304DB4"/>
    <w:rsid w:val="00304E1B"/>
    <w:rsid w:val="003053B3"/>
    <w:rsid w:val="003053FB"/>
    <w:rsid w:val="00305867"/>
    <w:rsid w:val="00306175"/>
    <w:rsid w:val="00312891"/>
    <w:rsid w:val="0031377B"/>
    <w:rsid w:val="00314F9C"/>
    <w:rsid w:val="003151B8"/>
    <w:rsid w:val="00315954"/>
    <w:rsid w:val="0031634C"/>
    <w:rsid w:val="0031674F"/>
    <w:rsid w:val="0031706D"/>
    <w:rsid w:val="00322F64"/>
    <w:rsid w:val="00324922"/>
    <w:rsid w:val="00325011"/>
    <w:rsid w:val="0032677D"/>
    <w:rsid w:val="00326DB8"/>
    <w:rsid w:val="003272ED"/>
    <w:rsid w:val="00330729"/>
    <w:rsid w:val="00333308"/>
    <w:rsid w:val="0033420D"/>
    <w:rsid w:val="00335C18"/>
    <w:rsid w:val="00336485"/>
    <w:rsid w:val="00336E3C"/>
    <w:rsid w:val="003375A5"/>
    <w:rsid w:val="00340590"/>
    <w:rsid w:val="003406C9"/>
    <w:rsid w:val="00342063"/>
    <w:rsid w:val="0034292D"/>
    <w:rsid w:val="003434D4"/>
    <w:rsid w:val="0034619E"/>
    <w:rsid w:val="00350F33"/>
    <w:rsid w:val="00351EFB"/>
    <w:rsid w:val="00353B0A"/>
    <w:rsid w:val="0035442E"/>
    <w:rsid w:val="00354981"/>
    <w:rsid w:val="00355473"/>
    <w:rsid w:val="00355F65"/>
    <w:rsid w:val="00357566"/>
    <w:rsid w:val="003577F6"/>
    <w:rsid w:val="003616C2"/>
    <w:rsid w:val="003626F4"/>
    <w:rsid w:val="003629EA"/>
    <w:rsid w:val="003638CD"/>
    <w:rsid w:val="003646C6"/>
    <w:rsid w:val="00364A1A"/>
    <w:rsid w:val="00364E46"/>
    <w:rsid w:val="003656D0"/>
    <w:rsid w:val="0036752E"/>
    <w:rsid w:val="00370620"/>
    <w:rsid w:val="003728F9"/>
    <w:rsid w:val="003758F4"/>
    <w:rsid w:val="00375D95"/>
    <w:rsid w:val="00375FA7"/>
    <w:rsid w:val="00381CC8"/>
    <w:rsid w:val="00381E1A"/>
    <w:rsid w:val="00382360"/>
    <w:rsid w:val="00382466"/>
    <w:rsid w:val="00382D7B"/>
    <w:rsid w:val="00383221"/>
    <w:rsid w:val="00384B8F"/>
    <w:rsid w:val="0038501A"/>
    <w:rsid w:val="00385EF1"/>
    <w:rsid w:val="00390022"/>
    <w:rsid w:val="003902FD"/>
    <w:rsid w:val="0039042C"/>
    <w:rsid w:val="00391575"/>
    <w:rsid w:val="0039247C"/>
    <w:rsid w:val="00392B0D"/>
    <w:rsid w:val="00393915"/>
    <w:rsid w:val="00394F22"/>
    <w:rsid w:val="003952EC"/>
    <w:rsid w:val="00395561"/>
    <w:rsid w:val="00395EC6"/>
    <w:rsid w:val="0039736F"/>
    <w:rsid w:val="00397B15"/>
    <w:rsid w:val="003A17F4"/>
    <w:rsid w:val="003A2F88"/>
    <w:rsid w:val="003A3635"/>
    <w:rsid w:val="003A3951"/>
    <w:rsid w:val="003A7407"/>
    <w:rsid w:val="003A75CE"/>
    <w:rsid w:val="003A7837"/>
    <w:rsid w:val="003B0F1E"/>
    <w:rsid w:val="003B1557"/>
    <w:rsid w:val="003B190C"/>
    <w:rsid w:val="003B29D0"/>
    <w:rsid w:val="003B2D82"/>
    <w:rsid w:val="003B3B04"/>
    <w:rsid w:val="003B3D92"/>
    <w:rsid w:val="003B5951"/>
    <w:rsid w:val="003B789C"/>
    <w:rsid w:val="003C1A36"/>
    <w:rsid w:val="003C1F93"/>
    <w:rsid w:val="003C2F82"/>
    <w:rsid w:val="003C36DE"/>
    <w:rsid w:val="003C44B4"/>
    <w:rsid w:val="003C4957"/>
    <w:rsid w:val="003C5AD4"/>
    <w:rsid w:val="003D0006"/>
    <w:rsid w:val="003D0FCA"/>
    <w:rsid w:val="003D114A"/>
    <w:rsid w:val="003D12F3"/>
    <w:rsid w:val="003D210B"/>
    <w:rsid w:val="003D38F0"/>
    <w:rsid w:val="003D3992"/>
    <w:rsid w:val="003D57D6"/>
    <w:rsid w:val="003D6FC6"/>
    <w:rsid w:val="003D74BE"/>
    <w:rsid w:val="003D76FA"/>
    <w:rsid w:val="003D770E"/>
    <w:rsid w:val="003E0E01"/>
    <w:rsid w:val="003E19C0"/>
    <w:rsid w:val="003E2C4A"/>
    <w:rsid w:val="003E2DFA"/>
    <w:rsid w:val="003E339E"/>
    <w:rsid w:val="003E3E9B"/>
    <w:rsid w:val="003E4EA4"/>
    <w:rsid w:val="003E5165"/>
    <w:rsid w:val="003E55A1"/>
    <w:rsid w:val="003E7113"/>
    <w:rsid w:val="003F0234"/>
    <w:rsid w:val="003F11C1"/>
    <w:rsid w:val="003F19BB"/>
    <w:rsid w:val="003F1CD5"/>
    <w:rsid w:val="003F2D14"/>
    <w:rsid w:val="003F3008"/>
    <w:rsid w:val="003F360E"/>
    <w:rsid w:val="003F58A1"/>
    <w:rsid w:val="003F5C58"/>
    <w:rsid w:val="003F67D8"/>
    <w:rsid w:val="00401200"/>
    <w:rsid w:val="0040160B"/>
    <w:rsid w:val="004016B8"/>
    <w:rsid w:val="004018D5"/>
    <w:rsid w:val="00402859"/>
    <w:rsid w:val="00402D38"/>
    <w:rsid w:val="00403CA2"/>
    <w:rsid w:val="00404C67"/>
    <w:rsid w:val="00404F16"/>
    <w:rsid w:val="00405973"/>
    <w:rsid w:val="0040717F"/>
    <w:rsid w:val="0041003E"/>
    <w:rsid w:val="0041033E"/>
    <w:rsid w:val="004112F1"/>
    <w:rsid w:val="00412D4C"/>
    <w:rsid w:val="004143DB"/>
    <w:rsid w:val="00414B00"/>
    <w:rsid w:val="004155F8"/>
    <w:rsid w:val="00420E63"/>
    <w:rsid w:val="00421D67"/>
    <w:rsid w:val="004243B3"/>
    <w:rsid w:val="00424DD4"/>
    <w:rsid w:val="00425B7E"/>
    <w:rsid w:val="00426338"/>
    <w:rsid w:val="00426EFC"/>
    <w:rsid w:val="004277E2"/>
    <w:rsid w:val="00427E56"/>
    <w:rsid w:val="00427E7A"/>
    <w:rsid w:val="004305C8"/>
    <w:rsid w:val="004305EC"/>
    <w:rsid w:val="004309D3"/>
    <w:rsid w:val="00430E3C"/>
    <w:rsid w:val="00431A5F"/>
    <w:rsid w:val="00432DA5"/>
    <w:rsid w:val="00434BBE"/>
    <w:rsid w:val="0043598D"/>
    <w:rsid w:val="004362E3"/>
    <w:rsid w:val="004409AF"/>
    <w:rsid w:val="004413E0"/>
    <w:rsid w:val="0044255C"/>
    <w:rsid w:val="004432A1"/>
    <w:rsid w:val="0044615E"/>
    <w:rsid w:val="0044733C"/>
    <w:rsid w:val="004478A2"/>
    <w:rsid w:val="00447C8A"/>
    <w:rsid w:val="00450F48"/>
    <w:rsid w:val="00452D48"/>
    <w:rsid w:val="00453A8F"/>
    <w:rsid w:val="0045481E"/>
    <w:rsid w:val="0045489F"/>
    <w:rsid w:val="00454A06"/>
    <w:rsid w:val="00456008"/>
    <w:rsid w:val="0045671C"/>
    <w:rsid w:val="00457D21"/>
    <w:rsid w:val="00457D2B"/>
    <w:rsid w:val="004604EE"/>
    <w:rsid w:val="00460C6C"/>
    <w:rsid w:val="00461EBD"/>
    <w:rsid w:val="00461FD2"/>
    <w:rsid w:val="0046203F"/>
    <w:rsid w:val="0046454C"/>
    <w:rsid w:val="00464CCF"/>
    <w:rsid w:val="0046537D"/>
    <w:rsid w:val="00466008"/>
    <w:rsid w:val="0047140A"/>
    <w:rsid w:val="0047188E"/>
    <w:rsid w:val="00472553"/>
    <w:rsid w:val="00473EF0"/>
    <w:rsid w:val="0047413C"/>
    <w:rsid w:val="00474889"/>
    <w:rsid w:val="00474D11"/>
    <w:rsid w:val="00475654"/>
    <w:rsid w:val="00475996"/>
    <w:rsid w:val="00476859"/>
    <w:rsid w:val="0048011B"/>
    <w:rsid w:val="0048046B"/>
    <w:rsid w:val="0048055C"/>
    <w:rsid w:val="0048206F"/>
    <w:rsid w:val="0048207C"/>
    <w:rsid w:val="004826DD"/>
    <w:rsid w:val="00484F34"/>
    <w:rsid w:val="004857B0"/>
    <w:rsid w:val="00485872"/>
    <w:rsid w:val="00486F76"/>
    <w:rsid w:val="004903CD"/>
    <w:rsid w:val="00490B57"/>
    <w:rsid w:val="00491274"/>
    <w:rsid w:val="00491C2A"/>
    <w:rsid w:val="00491E19"/>
    <w:rsid w:val="004933DF"/>
    <w:rsid w:val="0049539F"/>
    <w:rsid w:val="004954A1"/>
    <w:rsid w:val="004961DB"/>
    <w:rsid w:val="0049658C"/>
    <w:rsid w:val="004971D6"/>
    <w:rsid w:val="004A1064"/>
    <w:rsid w:val="004A2F8B"/>
    <w:rsid w:val="004A41F4"/>
    <w:rsid w:val="004A56AB"/>
    <w:rsid w:val="004A6752"/>
    <w:rsid w:val="004A7401"/>
    <w:rsid w:val="004A7CD1"/>
    <w:rsid w:val="004B0AB5"/>
    <w:rsid w:val="004B0D1E"/>
    <w:rsid w:val="004B1143"/>
    <w:rsid w:val="004B17DC"/>
    <w:rsid w:val="004B2121"/>
    <w:rsid w:val="004B2981"/>
    <w:rsid w:val="004B318D"/>
    <w:rsid w:val="004B32A7"/>
    <w:rsid w:val="004B3463"/>
    <w:rsid w:val="004B388A"/>
    <w:rsid w:val="004B5D72"/>
    <w:rsid w:val="004C0465"/>
    <w:rsid w:val="004C0FD8"/>
    <w:rsid w:val="004C12B7"/>
    <w:rsid w:val="004C2412"/>
    <w:rsid w:val="004C640A"/>
    <w:rsid w:val="004D0AAA"/>
    <w:rsid w:val="004D124F"/>
    <w:rsid w:val="004D17CE"/>
    <w:rsid w:val="004D1BD6"/>
    <w:rsid w:val="004D2721"/>
    <w:rsid w:val="004D2843"/>
    <w:rsid w:val="004D298C"/>
    <w:rsid w:val="004D3713"/>
    <w:rsid w:val="004D37CE"/>
    <w:rsid w:val="004D3A39"/>
    <w:rsid w:val="004D44D8"/>
    <w:rsid w:val="004D46AD"/>
    <w:rsid w:val="004E0871"/>
    <w:rsid w:val="004E3382"/>
    <w:rsid w:val="004E355B"/>
    <w:rsid w:val="004E5DEF"/>
    <w:rsid w:val="004E790E"/>
    <w:rsid w:val="004F05D8"/>
    <w:rsid w:val="004F0C30"/>
    <w:rsid w:val="004F181C"/>
    <w:rsid w:val="004F3C37"/>
    <w:rsid w:val="004F4524"/>
    <w:rsid w:val="004F7D75"/>
    <w:rsid w:val="00500735"/>
    <w:rsid w:val="00501E31"/>
    <w:rsid w:val="00502660"/>
    <w:rsid w:val="0050389F"/>
    <w:rsid w:val="005046E4"/>
    <w:rsid w:val="0050539A"/>
    <w:rsid w:val="00505A30"/>
    <w:rsid w:val="00506702"/>
    <w:rsid w:val="00507444"/>
    <w:rsid w:val="005104C0"/>
    <w:rsid w:val="005115E8"/>
    <w:rsid w:val="0051163B"/>
    <w:rsid w:val="00512112"/>
    <w:rsid w:val="0051281A"/>
    <w:rsid w:val="00512D60"/>
    <w:rsid w:val="00513114"/>
    <w:rsid w:val="0051342D"/>
    <w:rsid w:val="005136EA"/>
    <w:rsid w:val="0051377E"/>
    <w:rsid w:val="005142D4"/>
    <w:rsid w:val="00517DBF"/>
    <w:rsid w:val="00521BA5"/>
    <w:rsid w:val="00524923"/>
    <w:rsid w:val="00525F01"/>
    <w:rsid w:val="0052687A"/>
    <w:rsid w:val="0052738C"/>
    <w:rsid w:val="0052779B"/>
    <w:rsid w:val="0053003B"/>
    <w:rsid w:val="00530672"/>
    <w:rsid w:val="00530DAE"/>
    <w:rsid w:val="00531073"/>
    <w:rsid w:val="005344FA"/>
    <w:rsid w:val="0053636A"/>
    <w:rsid w:val="0053705F"/>
    <w:rsid w:val="00537C87"/>
    <w:rsid w:val="005406B5"/>
    <w:rsid w:val="00541557"/>
    <w:rsid w:val="00542B22"/>
    <w:rsid w:val="00542D5A"/>
    <w:rsid w:val="00543B67"/>
    <w:rsid w:val="00544FAF"/>
    <w:rsid w:val="005471E5"/>
    <w:rsid w:val="00551A3A"/>
    <w:rsid w:val="00551B73"/>
    <w:rsid w:val="005532A9"/>
    <w:rsid w:val="005535AE"/>
    <w:rsid w:val="005538A6"/>
    <w:rsid w:val="0055611A"/>
    <w:rsid w:val="00562AC6"/>
    <w:rsid w:val="00562D7C"/>
    <w:rsid w:val="00563CC0"/>
    <w:rsid w:val="0056456A"/>
    <w:rsid w:val="005674AD"/>
    <w:rsid w:val="00570974"/>
    <w:rsid w:val="00570990"/>
    <w:rsid w:val="00572308"/>
    <w:rsid w:val="005731BE"/>
    <w:rsid w:val="00576AD1"/>
    <w:rsid w:val="00583426"/>
    <w:rsid w:val="00584269"/>
    <w:rsid w:val="0058588A"/>
    <w:rsid w:val="00586EB3"/>
    <w:rsid w:val="00587C5C"/>
    <w:rsid w:val="0059017F"/>
    <w:rsid w:val="005919F1"/>
    <w:rsid w:val="00592642"/>
    <w:rsid w:val="005929C7"/>
    <w:rsid w:val="00593913"/>
    <w:rsid w:val="00594E4C"/>
    <w:rsid w:val="005950F3"/>
    <w:rsid w:val="005958D6"/>
    <w:rsid w:val="005961B3"/>
    <w:rsid w:val="005964CF"/>
    <w:rsid w:val="005967EA"/>
    <w:rsid w:val="00596F23"/>
    <w:rsid w:val="005A0605"/>
    <w:rsid w:val="005A2E80"/>
    <w:rsid w:val="005A37AA"/>
    <w:rsid w:val="005A3903"/>
    <w:rsid w:val="005A3E08"/>
    <w:rsid w:val="005A70A1"/>
    <w:rsid w:val="005A7233"/>
    <w:rsid w:val="005A7915"/>
    <w:rsid w:val="005A7B3F"/>
    <w:rsid w:val="005B0D02"/>
    <w:rsid w:val="005B0E2D"/>
    <w:rsid w:val="005B1D0A"/>
    <w:rsid w:val="005B1FAD"/>
    <w:rsid w:val="005B3042"/>
    <w:rsid w:val="005B4EC7"/>
    <w:rsid w:val="005B5138"/>
    <w:rsid w:val="005B5359"/>
    <w:rsid w:val="005B6D23"/>
    <w:rsid w:val="005B6E7C"/>
    <w:rsid w:val="005B7188"/>
    <w:rsid w:val="005C057D"/>
    <w:rsid w:val="005C06EE"/>
    <w:rsid w:val="005C094B"/>
    <w:rsid w:val="005C0F98"/>
    <w:rsid w:val="005C65EB"/>
    <w:rsid w:val="005D1C05"/>
    <w:rsid w:val="005D27B9"/>
    <w:rsid w:val="005D2CE7"/>
    <w:rsid w:val="005D323C"/>
    <w:rsid w:val="005D39FF"/>
    <w:rsid w:val="005D3E2D"/>
    <w:rsid w:val="005D3F67"/>
    <w:rsid w:val="005D546C"/>
    <w:rsid w:val="005D5ECE"/>
    <w:rsid w:val="005D65CC"/>
    <w:rsid w:val="005D6E87"/>
    <w:rsid w:val="005D751F"/>
    <w:rsid w:val="005D7683"/>
    <w:rsid w:val="005E187F"/>
    <w:rsid w:val="005E2FDB"/>
    <w:rsid w:val="005E378E"/>
    <w:rsid w:val="005E3F69"/>
    <w:rsid w:val="005E5AB0"/>
    <w:rsid w:val="005E5B1D"/>
    <w:rsid w:val="005F0329"/>
    <w:rsid w:val="005F05E9"/>
    <w:rsid w:val="005F3005"/>
    <w:rsid w:val="005F43F9"/>
    <w:rsid w:val="005F4DB8"/>
    <w:rsid w:val="005F5727"/>
    <w:rsid w:val="005F5BE6"/>
    <w:rsid w:val="005F6734"/>
    <w:rsid w:val="005F7799"/>
    <w:rsid w:val="005F7A64"/>
    <w:rsid w:val="005F7B6E"/>
    <w:rsid w:val="00603B3F"/>
    <w:rsid w:val="00603D3B"/>
    <w:rsid w:val="006043AC"/>
    <w:rsid w:val="00606EDE"/>
    <w:rsid w:val="006103C7"/>
    <w:rsid w:val="00611F59"/>
    <w:rsid w:val="00612111"/>
    <w:rsid w:val="00614440"/>
    <w:rsid w:val="00616236"/>
    <w:rsid w:val="00620A45"/>
    <w:rsid w:val="00622123"/>
    <w:rsid w:val="0062238D"/>
    <w:rsid w:val="00622A12"/>
    <w:rsid w:val="00622E6C"/>
    <w:rsid w:val="00623569"/>
    <w:rsid w:val="00624986"/>
    <w:rsid w:val="006256FD"/>
    <w:rsid w:val="00625D4F"/>
    <w:rsid w:val="006303AA"/>
    <w:rsid w:val="006304DD"/>
    <w:rsid w:val="006333CE"/>
    <w:rsid w:val="006351D4"/>
    <w:rsid w:val="006351DD"/>
    <w:rsid w:val="0064065F"/>
    <w:rsid w:val="00641906"/>
    <w:rsid w:val="006419AD"/>
    <w:rsid w:val="00642853"/>
    <w:rsid w:val="006437A1"/>
    <w:rsid w:val="00644BDA"/>
    <w:rsid w:val="00645BF5"/>
    <w:rsid w:val="00646B6A"/>
    <w:rsid w:val="00647195"/>
    <w:rsid w:val="006505DD"/>
    <w:rsid w:val="0065297F"/>
    <w:rsid w:val="0065528E"/>
    <w:rsid w:val="00657938"/>
    <w:rsid w:val="006579CF"/>
    <w:rsid w:val="0066013D"/>
    <w:rsid w:val="00660678"/>
    <w:rsid w:val="006609D8"/>
    <w:rsid w:val="00662AE8"/>
    <w:rsid w:val="00662DCA"/>
    <w:rsid w:val="00663AF2"/>
    <w:rsid w:val="006659C3"/>
    <w:rsid w:val="006674B7"/>
    <w:rsid w:val="00670716"/>
    <w:rsid w:val="00671216"/>
    <w:rsid w:val="00672321"/>
    <w:rsid w:val="00674849"/>
    <w:rsid w:val="00674ECE"/>
    <w:rsid w:val="006761A9"/>
    <w:rsid w:val="0067677D"/>
    <w:rsid w:val="006770CD"/>
    <w:rsid w:val="00681986"/>
    <w:rsid w:val="00682116"/>
    <w:rsid w:val="00682811"/>
    <w:rsid w:val="00682977"/>
    <w:rsid w:val="00682D8B"/>
    <w:rsid w:val="00684C4B"/>
    <w:rsid w:val="00685A85"/>
    <w:rsid w:val="00686F06"/>
    <w:rsid w:val="00687157"/>
    <w:rsid w:val="00687290"/>
    <w:rsid w:val="006878D0"/>
    <w:rsid w:val="006905FF"/>
    <w:rsid w:val="00691FA0"/>
    <w:rsid w:val="006921FA"/>
    <w:rsid w:val="00692673"/>
    <w:rsid w:val="00693A65"/>
    <w:rsid w:val="00693B8B"/>
    <w:rsid w:val="00693E1B"/>
    <w:rsid w:val="006940DB"/>
    <w:rsid w:val="00694C4A"/>
    <w:rsid w:val="006959B8"/>
    <w:rsid w:val="00695A7B"/>
    <w:rsid w:val="00696555"/>
    <w:rsid w:val="00696659"/>
    <w:rsid w:val="00696814"/>
    <w:rsid w:val="00696F62"/>
    <w:rsid w:val="0069794E"/>
    <w:rsid w:val="00697F72"/>
    <w:rsid w:val="006A03CC"/>
    <w:rsid w:val="006A0461"/>
    <w:rsid w:val="006A07E1"/>
    <w:rsid w:val="006A0BDF"/>
    <w:rsid w:val="006A2E4C"/>
    <w:rsid w:val="006A45F1"/>
    <w:rsid w:val="006A4D88"/>
    <w:rsid w:val="006A5334"/>
    <w:rsid w:val="006A53BB"/>
    <w:rsid w:val="006A595C"/>
    <w:rsid w:val="006A71E3"/>
    <w:rsid w:val="006A775D"/>
    <w:rsid w:val="006A7C29"/>
    <w:rsid w:val="006B082A"/>
    <w:rsid w:val="006B18E1"/>
    <w:rsid w:val="006B3B1B"/>
    <w:rsid w:val="006B4CDD"/>
    <w:rsid w:val="006B6663"/>
    <w:rsid w:val="006C0901"/>
    <w:rsid w:val="006C184F"/>
    <w:rsid w:val="006C1BA2"/>
    <w:rsid w:val="006C20BC"/>
    <w:rsid w:val="006C25C9"/>
    <w:rsid w:val="006C3FD6"/>
    <w:rsid w:val="006C59D5"/>
    <w:rsid w:val="006C632A"/>
    <w:rsid w:val="006C63A6"/>
    <w:rsid w:val="006C71BA"/>
    <w:rsid w:val="006D0780"/>
    <w:rsid w:val="006D3E16"/>
    <w:rsid w:val="006D4393"/>
    <w:rsid w:val="006D5120"/>
    <w:rsid w:val="006D7FF0"/>
    <w:rsid w:val="006E31D8"/>
    <w:rsid w:val="006E3774"/>
    <w:rsid w:val="006E476E"/>
    <w:rsid w:val="006E52B8"/>
    <w:rsid w:val="006E54F9"/>
    <w:rsid w:val="006E7CC0"/>
    <w:rsid w:val="006F0A42"/>
    <w:rsid w:val="006F0DA0"/>
    <w:rsid w:val="006F2C66"/>
    <w:rsid w:val="006F2DB1"/>
    <w:rsid w:val="006F32BF"/>
    <w:rsid w:val="006F43BC"/>
    <w:rsid w:val="007003DE"/>
    <w:rsid w:val="007008B1"/>
    <w:rsid w:val="00701CF2"/>
    <w:rsid w:val="007022CF"/>
    <w:rsid w:val="00703347"/>
    <w:rsid w:val="007037B7"/>
    <w:rsid w:val="00704AEF"/>
    <w:rsid w:val="00705751"/>
    <w:rsid w:val="00706077"/>
    <w:rsid w:val="00706BDB"/>
    <w:rsid w:val="00706F43"/>
    <w:rsid w:val="007074A1"/>
    <w:rsid w:val="00710D50"/>
    <w:rsid w:val="007122DB"/>
    <w:rsid w:val="00712783"/>
    <w:rsid w:val="007132B7"/>
    <w:rsid w:val="00714620"/>
    <w:rsid w:val="00714D79"/>
    <w:rsid w:val="00715315"/>
    <w:rsid w:val="007173EF"/>
    <w:rsid w:val="00723F41"/>
    <w:rsid w:val="00725382"/>
    <w:rsid w:val="00726C40"/>
    <w:rsid w:val="00733800"/>
    <w:rsid w:val="00733AAD"/>
    <w:rsid w:val="007344B1"/>
    <w:rsid w:val="007360C7"/>
    <w:rsid w:val="00740464"/>
    <w:rsid w:val="00740608"/>
    <w:rsid w:val="00740791"/>
    <w:rsid w:val="00740D0B"/>
    <w:rsid w:val="00742084"/>
    <w:rsid w:val="0074219B"/>
    <w:rsid w:val="00745CA8"/>
    <w:rsid w:val="0074661C"/>
    <w:rsid w:val="0074695E"/>
    <w:rsid w:val="0074702C"/>
    <w:rsid w:val="00750397"/>
    <w:rsid w:val="0075103E"/>
    <w:rsid w:val="00751445"/>
    <w:rsid w:val="007518F6"/>
    <w:rsid w:val="00753CBF"/>
    <w:rsid w:val="00754369"/>
    <w:rsid w:val="007564A7"/>
    <w:rsid w:val="00757519"/>
    <w:rsid w:val="00757826"/>
    <w:rsid w:val="00757CD2"/>
    <w:rsid w:val="007601E3"/>
    <w:rsid w:val="00760A46"/>
    <w:rsid w:val="00760BA0"/>
    <w:rsid w:val="00763376"/>
    <w:rsid w:val="00763BBD"/>
    <w:rsid w:val="00763F5D"/>
    <w:rsid w:val="00763F97"/>
    <w:rsid w:val="00764F35"/>
    <w:rsid w:val="00764FEC"/>
    <w:rsid w:val="00765C9F"/>
    <w:rsid w:val="00766475"/>
    <w:rsid w:val="00767DFE"/>
    <w:rsid w:val="00771A4A"/>
    <w:rsid w:val="00771DED"/>
    <w:rsid w:val="0077287D"/>
    <w:rsid w:val="0077334C"/>
    <w:rsid w:val="0077364D"/>
    <w:rsid w:val="00774538"/>
    <w:rsid w:val="00774A51"/>
    <w:rsid w:val="00776A50"/>
    <w:rsid w:val="00777033"/>
    <w:rsid w:val="0077730D"/>
    <w:rsid w:val="00777F44"/>
    <w:rsid w:val="00780AFB"/>
    <w:rsid w:val="00782A14"/>
    <w:rsid w:val="00783829"/>
    <w:rsid w:val="007840F6"/>
    <w:rsid w:val="00784843"/>
    <w:rsid w:val="007856B5"/>
    <w:rsid w:val="00786095"/>
    <w:rsid w:val="0078699A"/>
    <w:rsid w:val="00794100"/>
    <w:rsid w:val="007943A4"/>
    <w:rsid w:val="00794C5F"/>
    <w:rsid w:val="00796A31"/>
    <w:rsid w:val="007A0103"/>
    <w:rsid w:val="007A2277"/>
    <w:rsid w:val="007A29F5"/>
    <w:rsid w:val="007A36AD"/>
    <w:rsid w:val="007A5F17"/>
    <w:rsid w:val="007A5FDD"/>
    <w:rsid w:val="007A6F8F"/>
    <w:rsid w:val="007B01C0"/>
    <w:rsid w:val="007B068C"/>
    <w:rsid w:val="007B3068"/>
    <w:rsid w:val="007B365D"/>
    <w:rsid w:val="007B389C"/>
    <w:rsid w:val="007B5287"/>
    <w:rsid w:val="007B5B82"/>
    <w:rsid w:val="007B5CFF"/>
    <w:rsid w:val="007C082C"/>
    <w:rsid w:val="007C0EAC"/>
    <w:rsid w:val="007C136D"/>
    <w:rsid w:val="007C2BF0"/>
    <w:rsid w:val="007C2E9D"/>
    <w:rsid w:val="007C3382"/>
    <w:rsid w:val="007C34F7"/>
    <w:rsid w:val="007C3BE5"/>
    <w:rsid w:val="007C54D3"/>
    <w:rsid w:val="007C553D"/>
    <w:rsid w:val="007D003C"/>
    <w:rsid w:val="007D00BD"/>
    <w:rsid w:val="007D2A0F"/>
    <w:rsid w:val="007D3757"/>
    <w:rsid w:val="007D4362"/>
    <w:rsid w:val="007D445D"/>
    <w:rsid w:val="007D494B"/>
    <w:rsid w:val="007D5793"/>
    <w:rsid w:val="007D601D"/>
    <w:rsid w:val="007D6037"/>
    <w:rsid w:val="007D727F"/>
    <w:rsid w:val="007E0075"/>
    <w:rsid w:val="007E42DD"/>
    <w:rsid w:val="007E54F1"/>
    <w:rsid w:val="007E7065"/>
    <w:rsid w:val="007E7FB8"/>
    <w:rsid w:val="007F0F8F"/>
    <w:rsid w:val="007F16F8"/>
    <w:rsid w:val="007F668C"/>
    <w:rsid w:val="007F7FB2"/>
    <w:rsid w:val="008003F8"/>
    <w:rsid w:val="00800C78"/>
    <w:rsid w:val="0080122B"/>
    <w:rsid w:val="00801C2B"/>
    <w:rsid w:val="0080223C"/>
    <w:rsid w:val="00802372"/>
    <w:rsid w:val="00804994"/>
    <w:rsid w:val="00804D70"/>
    <w:rsid w:val="008052B0"/>
    <w:rsid w:val="00805358"/>
    <w:rsid w:val="0080550A"/>
    <w:rsid w:val="0080595B"/>
    <w:rsid w:val="008059F4"/>
    <w:rsid w:val="00805B5D"/>
    <w:rsid w:val="00805E7D"/>
    <w:rsid w:val="00806673"/>
    <w:rsid w:val="00807078"/>
    <w:rsid w:val="008070A8"/>
    <w:rsid w:val="00810499"/>
    <w:rsid w:val="0081166D"/>
    <w:rsid w:val="00811881"/>
    <w:rsid w:val="0081203C"/>
    <w:rsid w:val="008123B2"/>
    <w:rsid w:val="00812E01"/>
    <w:rsid w:val="00814A71"/>
    <w:rsid w:val="00817789"/>
    <w:rsid w:val="0082014E"/>
    <w:rsid w:val="008203AB"/>
    <w:rsid w:val="008210A7"/>
    <w:rsid w:val="00821F3F"/>
    <w:rsid w:val="008226F5"/>
    <w:rsid w:val="00822E94"/>
    <w:rsid w:val="00822F48"/>
    <w:rsid w:val="008247E7"/>
    <w:rsid w:val="0082708D"/>
    <w:rsid w:val="00832974"/>
    <w:rsid w:val="00832B8E"/>
    <w:rsid w:val="00833947"/>
    <w:rsid w:val="00834D01"/>
    <w:rsid w:val="008360BA"/>
    <w:rsid w:val="0084169E"/>
    <w:rsid w:val="008441CF"/>
    <w:rsid w:val="0084470A"/>
    <w:rsid w:val="0084485D"/>
    <w:rsid w:val="00845424"/>
    <w:rsid w:val="008458CA"/>
    <w:rsid w:val="0084677E"/>
    <w:rsid w:val="008507DC"/>
    <w:rsid w:val="00851EEA"/>
    <w:rsid w:val="00852050"/>
    <w:rsid w:val="0085297B"/>
    <w:rsid w:val="0085462F"/>
    <w:rsid w:val="00855448"/>
    <w:rsid w:val="008556E8"/>
    <w:rsid w:val="0085570E"/>
    <w:rsid w:val="008608D3"/>
    <w:rsid w:val="00860EB0"/>
    <w:rsid w:val="00862D16"/>
    <w:rsid w:val="00864B7E"/>
    <w:rsid w:val="00866707"/>
    <w:rsid w:val="00870012"/>
    <w:rsid w:val="008705B9"/>
    <w:rsid w:val="0087707C"/>
    <w:rsid w:val="00882ED9"/>
    <w:rsid w:val="00883C73"/>
    <w:rsid w:val="00884225"/>
    <w:rsid w:val="00884F81"/>
    <w:rsid w:val="0088697D"/>
    <w:rsid w:val="008873D3"/>
    <w:rsid w:val="00890F2A"/>
    <w:rsid w:val="00892D99"/>
    <w:rsid w:val="00893559"/>
    <w:rsid w:val="00896EF8"/>
    <w:rsid w:val="00897291"/>
    <w:rsid w:val="00897E3C"/>
    <w:rsid w:val="008A1FDF"/>
    <w:rsid w:val="008A2127"/>
    <w:rsid w:val="008A2340"/>
    <w:rsid w:val="008A35D1"/>
    <w:rsid w:val="008A39EF"/>
    <w:rsid w:val="008A4638"/>
    <w:rsid w:val="008A648D"/>
    <w:rsid w:val="008A7CDB"/>
    <w:rsid w:val="008B01F8"/>
    <w:rsid w:val="008B08C5"/>
    <w:rsid w:val="008B0CCB"/>
    <w:rsid w:val="008B1289"/>
    <w:rsid w:val="008B2B9F"/>
    <w:rsid w:val="008B384A"/>
    <w:rsid w:val="008B5145"/>
    <w:rsid w:val="008B53D7"/>
    <w:rsid w:val="008B54B9"/>
    <w:rsid w:val="008B5BCE"/>
    <w:rsid w:val="008B7906"/>
    <w:rsid w:val="008B7ED6"/>
    <w:rsid w:val="008C17F3"/>
    <w:rsid w:val="008C1E53"/>
    <w:rsid w:val="008C5367"/>
    <w:rsid w:val="008C584E"/>
    <w:rsid w:val="008C6801"/>
    <w:rsid w:val="008C6EBB"/>
    <w:rsid w:val="008C77C6"/>
    <w:rsid w:val="008D2C3B"/>
    <w:rsid w:val="008D5A27"/>
    <w:rsid w:val="008E068F"/>
    <w:rsid w:val="008E0D98"/>
    <w:rsid w:val="008E0E18"/>
    <w:rsid w:val="008E1D58"/>
    <w:rsid w:val="008E1DCF"/>
    <w:rsid w:val="008E294C"/>
    <w:rsid w:val="008E344D"/>
    <w:rsid w:val="008E3483"/>
    <w:rsid w:val="008E5449"/>
    <w:rsid w:val="008E70A2"/>
    <w:rsid w:val="008E7AB9"/>
    <w:rsid w:val="008F0544"/>
    <w:rsid w:val="008F2212"/>
    <w:rsid w:val="008F41F8"/>
    <w:rsid w:val="008F4909"/>
    <w:rsid w:val="008F4C58"/>
    <w:rsid w:val="0090037B"/>
    <w:rsid w:val="00901666"/>
    <w:rsid w:val="00902197"/>
    <w:rsid w:val="009044BC"/>
    <w:rsid w:val="0090572C"/>
    <w:rsid w:val="00906691"/>
    <w:rsid w:val="00906C79"/>
    <w:rsid w:val="009073F2"/>
    <w:rsid w:val="0091080B"/>
    <w:rsid w:val="00911D13"/>
    <w:rsid w:val="00911DEA"/>
    <w:rsid w:val="0091235F"/>
    <w:rsid w:val="009148E7"/>
    <w:rsid w:val="009148F6"/>
    <w:rsid w:val="00915239"/>
    <w:rsid w:val="009170AD"/>
    <w:rsid w:val="00920C8F"/>
    <w:rsid w:val="009239FE"/>
    <w:rsid w:val="00923E1B"/>
    <w:rsid w:val="00926243"/>
    <w:rsid w:val="00926833"/>
    <w:rsid w:val="00926AED"/>
    <w:rsid w:val="00930B0D"/>
    <w:rsid w:val="00932CDB"/>
    <w:rsid w:val="00932D8F"/>
    <w:rsid w:val="009331E8"/>
    <w:rsid w:val="00933F66"/>
    <w:rsid w:val="00935B23"/>
    <w:rsid w:val="00937933"/>
    <w:rsid w:val="00941ED6"/>
    <w:rsid w:val="00941F9E"/>
    <w:rsid w:val="0094279D"/>
    <w:rsid w:val="00942C9D"/>
    <w:rsid w:val="00943F25"/>
    <w:rsid w:val="00944333"/>
    <w:rsid w:val="00950939"/>
    <w:rsid w:val="00952181"/>
    <w:rsid w:val="00953B8D"/>
    <w:rsid w:val="00953BEC"/>
    <w:rsid w:val="00957102"/>
    <w:rsid w:val="00960080"/>
    <w:rsid w:val="009609AB"/>
    <w:rsid w:val="00960AB8"/>
    <w:rsid w:val="00960CAE"/>
    <w:rsid w:val="009614DD"/>
    <w:rsid w:val="00964937"/>
    <w:rsid w:val="00964BF0"/>
    <w:rsid w:val="00964E35"/>
    <w:rsid w:val="00966EFA"/>
    <w:rsid w:val="009670B7"/>
    <w:rsid w:val="009677CF"/>
    <w:rsid w:val="009723D1"/>
    <w:rsid w:val="00972803"/>
    <w:rsid w:val="00972832"/>
    <w:rsid w:val="00972A8A"/>
    <w:rsid w:val="009732C1"/>
    <w:rsid w:val="00974733"/>
    <w:rsid w:val="00974BEA"/>
    <w:rsid w:val="0097515D"/>
    <w:rsid w:val="00975543"/>
    <w:rsid w:val="00976C9C"/>
    <w:rsid w:val="00977705"/>
    <w:rsid w:val="00981405"/>
    <w:rsid w:val="00981699"/>
    <w:rsid w:val="00981EBF"/>
    <w:rsid w:val="00984171"/>
    <w:rsid w:val="009847F4"/>
    <w:rsid w:val="00987086"/>
    <w:rsid w:val="009922C2"/>
    <w:rsid w:val="0099282E"/>
    <w:rsid w:val="00994448"/>
    <w:rsid w:val="00996FE7"/>
    <w:rsid w:val="009A0D01"/>
    <w:rsid w:val="009A1DA0"/>
    <w:rsid w:val="009A2D28"/>
    <w:rsid w:val="009A311B"/>
    <w:rsid w:val="009A51BE"/>
    <w:rsid w:val="009B01B5"/>
    <w:rsid w:val="009B1832"/>
    <w:rsid w:val="009B39ED"/>
    <w:rsid w:val="009B3A9E"/>
    <w:rsid w:val="009B3E81"/>
    <w:rsid w:val="009B3F52"/>
    <w:rsid w:val="009B40D2"/>
    <w:rsid w:val="009B5BA8"/>
    <w:rsid w:val="009B784D"/>
    <w:rsid w:val="009B78D1"/>
    <w:rsid w:val="009C0852"/>
    <w:rsid w:val="009C0C2B"/>
    <w:rsid w:val="009C0CCB"/>
    <w:rsid w:val="009C1172"/>
    <w:rsid w:val="009C1BE6"/>
    <w:rsid w:val="009C3E2D"/>
    <w:rsid w:val="009C5434"/>
    <w:rsid w:val="009C73A2"/>
    <w:rsid w:val="009D21A3"/>
    <w:rsid w:val="009D40E0"/>
    <w:rsid w:val="009D4284"/>
    <w:rsid w:val="009D5062"/>
    <w:rsid w:val="009D5552"/>
    <w:rsid w:val="009D5783"/>
    <w:rsid w:val="009D5F8A"/>
    <w:rsid w:val="009D67A8"/>
    <w:rsid w:val="009D6902"/>
    <w:rsid w:val="009D7890"/>
    <w:rsid w:val="009E2463"/>
    <w:rsid w:val="009E2ECD"/>
    <w:rsid w:val="009E3ADC"/>
    <w:rsid w:val="009E4EA2"/>
    <w:rsid w:val="009E7EB3"/>
    <w:rsid w:val="009F124D"/>
    <w:rsid w:val="009F142C"/>
    <w:rsid w:val="009F1D48"/>
    <w:rsid w:val="009F275A"/>
    <w:rsid w:val="009F3224"/>
    <w:rsid w:val="009F3270"/>
    <w:rsid w:val="009F452C"/>
    <w:rsid w:val="009F553A"/>
    <w:rsid w:val="009F582C"/>
    <w:rsid w:val="009F7219"/>
    <w:rsid w:val="009F7615"/>
    <w:rsid w:val="009F7C13"/>
    <w:rsid w:val="00A0138A"/>
    <w:rsid w:val="00A01CD2"/>
    <w:rsid w:val="00A040DC"/>
    <w:rsid w:val="00A0419A"/>
    <w:rsid w:val="00A04536"/>
    <w:rsid w:val="00A0481F"/>
    <w:rsid w:val="00A06417"/>
    <w:rsid w:val="00A06880"/>
    <w:rsid w:val="00A07103"/>
    <w:rsid w:val="00A07412"/>
    <w:rsid w:val="00A078E1"/>
    <w:rsid w:val="00A07A2F"/>
    <w:rsid w:val="00A1034A"/>
    <w:rsid w:val="00A105F2"/>
    <w:rsid w:val="00A11286"/>
    <w:rsid w:val="00A11538"/>
    <w:rsid w:val="00A115CF"/>
    <w:rsid w:val="00A13356"/>
    <w:rsid w:val="00A13C48"/>
    <w:rsid w:val="00A151C2"/>
    <w:rsid w:val="00A17394"/>
    <w:rsid w:val="00A20A08"/>
    <w:rsid w:val="00A213A8"/>
    <w:rsid w:val="00A21F3E"/>
    <w:rsid w:val="00A23605"/>
    <w:rsid w:val="00A24988"/>
    <w:rsid w:val="00A24C7B"/>
    <w:rsid w:val="00A25412"/>
    <w:rsid w:val="00A25DE6"/>
    <w:rsid w:val="00A3039E"/>
    <w:rsid w:val="00A31ED3"/>
    <w:rsid w:val="00A33D86"/>
    <w:rsid w:val="00A36D64"/>
    <w:rsid w:val="00A36E77"/>
    <w:rsid w:val="00A3703A"/>
    <w:rsid w:val="00A40615"/>
    <w:rsid w:val="00A40BD3"/>
    <w:rsid w:val="00A412B6"/>
    <w:rsid w:val="00A41F59"/>
    <w:rsid w:val="00A4551D"/>
    <w:rsid w:val="00A45AE4"/>
    <w:rsid w:val="00A462F0"/>
    <w:rsid w:val="00A46F0C"/>
    <w:rsid w:val="00A476A8"/>
    <w:rsid w:val="00A52D55"/>
    <w:rsid w:val="00A5351E"/>
    <w:rsid w:val="00A55281"/>
    <w:rsid w:val="00A60336"/>
    <w:rsid w:val="00A6078C"/>
    <w:rsid w:val="00A61469"/>
    <w:rsid w:val="00A62CBF"/>
    <w:rsid w:val="00A62FD9"/>
    <w:rsid w:val="00A6459F"/>
    <w:rsid w:val="00A64EC4"/>
    <w:rsid w:val="00A64FFB"/>
    <w:rsid w:val="00A65C2C"/>
    <w:rsid w:val="00A6690B"/>
    <w:rsid w:val="00A7023B"/>
    <w:rsid w:val="00A7076C"/>
    <w:rsid w:val="00A70947"/>
    <w:rsid w:val="00A70D1B"/>
    <w:rsid w:val="00A7452B"/>
    <w:rsid w:val="00A75F13"/>
    <w:rsid w:val="00A7640E"/>
    <w:rsid w:val="00A808D8"/>
    <w:rsid w:val="00A81297"/>
    <w:rsid w:val="00A81D45"/>
    <w:rsid w:val="00A829B9"/>
    <w:rsid w:val="00A83103"/>
    <w:rsid w:val="00A84CE9"/>
    <w:rsid w:val="00A85B64"/>
    <w:rsid w:val="00A85C2C"/>
    <w:rsid w:val="00A85F9F"/>
    <w:rsid w:val="00A907E2"/>
    <w:rsid w:val="00A91FB6"/>
    <w:rsid w:val="00A91FEE"/>
    <w:rsid w:val="00A92A4C"/>
    <w:rsid w:val="00A93AE3"/>
    <w:rsid w:val="00A945FB"/>
    <w:rsid w:val="00A954BB"/>
    <w:rsid w:val="00AA4F02"/>
    <w:rsid w:val="00AA59E0"/>
    <w:rsid w:val="00AA6088"/>
    <w:rsid w:val="00AA60DD"/>
    <w:rsid w:val="00AA6FB2"/>
    <w:rsid w:val="00AB3FE7"/>
    <w:rsid w:val="00AB4152"/>
    <w:rsid w:val="00AB5036"/>
    <w:rsid w:val="00AB530D"/>
    <w:rsid w:val="00AB65E7"/>
    <w:rsid w:val="00AB778B"/>
    <w:rsid w:val="00AB7DA4"/>
    <w:rsid w:val="00AB7DB3"/>
    <w:rsid w:val="00AB7E3D"/>
    <w:rsid w:val="00AC26F2"/>
    <w:rsid w:val="00AC2E67"/>
    <w:rsid w:val="00AC2EB6"/>
    <w:rsid w:val="00AC3250"/>
    <w:rsid w:val="00AC3511"/>
    <w:rsid w:val="00AC49AD"/>
    <w:rsid w:val="00AC5ADD"/>
    <w:rsid w:val="00AC69D1"/>
    <w:rsid w:val="00AD10B0"/>
    <w:rsid w:val="00AD2A93"/>
    <w:rsid w:val="00AD330C"/>
    <w:rsid w:val="00AD3414"/>
    <w:rsid w:val="00AD34DA"/>
    <w:rsid w:val="00AD3BC7"/>
    <w:rsid w:val="00AD49B0"/>
    <w:rsid w:val="00AD4FC9"/>
    <w:rsid w:val="00AD500F"/>
    <w:rsid w:val="00AD5061"/>
    <w:rsid w:val="00AD6CDF"/>
    <w:rsid w:val="00AE0946"/>
    <w:rsid w:val="00AE2148"/>
    <w:rsid w:val="00AE260D"/>
    <w:rsid w:val="00AE2CB4"/>
    <w:rsid w:val="00AE2FAB"/>
    <w:rsid w:val="00AE3AA8"/>
    <w:rsid w:val="00AE4874"/>
    <w:rsid w:val="00AE5921"/>
    <w:rsid w:val="00AE598E"/>
    <w:rsid w:val="00AE6288"/>
    <w:rsid w:val="00AE630C"/>
    <w:rsid w:val="00AE6898"/>
    <w:rsid w:val="00AE76ED"/>
    <w:rsid w:val="00AF080D"/>
    <w:rsid w:val="00AF09E1"/>
    <w:rsid w:val="00AF0CE9"/>
    <w:rsid w:val="00AF28DF"/>
    <w:rsid w:val="00AF49D7"/>
    <w:rsid w:val="00AF4AFF"/>
    <w:rsid w:val="00AF4FFB"/>
    <w:rsid w:val="00AF5CE8"/>
    <w:rsid w:val="00AF6096"/>
    <w:rsid w:val="00AF6490"/>
    <w:rsid w:val="00AF6545"/>
    <w:rsid w:val="00AF66AD"/>
    <w:rsid w:val="00AF7C84"/>
    <w:rsid w:val="00B00FC3"/>
    <w:rsid w:val="00B03461"/>
    <w:rsid w:val="00B04376"/>
    <w:rsid w:val="00B108FB"/>
    <w:rsid w:val="00B119DA"/>
    <w:rsid w:val="00B119F6"/>
    <w:rsid w:val="00B11D7A"/>
    <w:rsid w:val="00B1304D"/>
    <w:rsid w:val="00B1567E"/>
    <w:rsid w:val="00B1568A"/>
    <w:rsid w:val="00B1792E"/>
    <w:rsid w:val="00B200AA"/>
    <w:rsid w:val="00B2020A"/>
    <w:rsid w:val="00B221CB"/>
    <w:rsid w:val="00B223D6"/>
    <w:rsid w:val="00B22808"/>
    <w:rsid w:val="00B22F26"/>
    <w:rsid w:val="00B234B3"/>
    <w:rsid w:val="00B243E3"/>
    <w:rsid w:val="00B25050"/>
    <w:rsid w:val="00B26949"/>
    <w:rsid w:val="00B269CB"/>
    <w:rsid w:val="00B30AD7"/>
    <w:rsid w:val="00B30ECE"/>
    <w:rsid w:val="00B311B5"/>
    <w:rsid w:val="00B3201D"/>
    <w:rsid w:val="00B33BED"/>
    <w:rsid w:val="00B33D3C"/>
    <w:rsid w:val="00B33F49"/>
    <w:rsid w:val="00B34213"/>
    <w:rsid w:val="00B34E1D"/>
    <w:rsid w:val="00B3754D"/>
    <w:rsid w:val="00B37BC4"/>
    <w:rsid w:val="00B37E6F"/>
    <w:rsid w:val="00B401FB"/>
    <w:rsid w:val="00B423E2"/>
    <w:rsid w:val="00B42A76"/>
    <w:rsid w:val="00B433E1"/>
    <w:rsid w:val="00B44324"/>
    <w:rsid w:val="00B45794"/>
    <w:rsid w:val="00B45CB4"/>
    <w:rsid w:val="00B45F39"/>
    <w:rsid w:val="00B46D56"/>
    <w:rsid w:val="00B4791A"/>
    <w:rsid w:val="00B47A66"/>
    <w:rsid w:val="00B47B4C"/>
    <w:rsid w:val="00B50B67"/>
    <w:rsid w:val="00B50D19"/>
    <w:rsid w:val="00B52584"/>
    <w:rsid w:val="00B52F5E"/>
    <w:rsid w:val="00B5343A"/>
    <w:rsid w:val="00B53A9B"/>
    <w:rsid w:val="00B54545"/>
    <w:rsid w:val="00B54C45"/>
    <w:rsid w:val="00B54C8B"/>
    <w:rsid w:val="00B55DB9"/>
    <w:rsid w:val="00B56CDE"/>
    <w:rsid w:val="00B571CA"/>
    <w:rsid w:val="00B57AE1"/>
    <w:rsid w:val="00B6013B"/>
    <w:rsid w:val="00B60FEC"/>
    <w:rsid w:val="00B6168A"/>
    <w:rsid w:val="00B62A57"/>
    <w:rsid w:val="00B6315B"/>
    <w:rsid w:val="00B65847"/>
    <w:rsid w:val="00B65B01"/>
    <w:rsid w:val="00B665E6"/>
    <w:rsid w:val="00B666C8"/>
    <w:rsid w:val="00B701D1"/>
    <w:rsid w:val="00B71B01"/>
    <w:rsid w:val="00B7224F"/>
    <w:rsid w:val="00B727F3"/>
    <w:rsid w:val="00B73A97"/>
    <w:rsid w:val="00B75197"/>
    <w:rsid w:val="00B755A1"/>
    <w:rsid w:val="00B76770"/>
    <w:rsid w:val="00B769AC"/>
    <w:rsid w:val="00B7754E"/>
    <w:rsid w:val="00B8212F"/>
    <w:rsid w:val="00B826FB"/>
    <w:rsid w:val="00B82C8F"/>
    <w:rsid w:val="00B832B7"/>
    <w:rsid w:val="00B8483F"/>
    <w:rsid w:val="00B84F20"/>
    <w:rsid w:val="00B85C68"/>
    <w:rsid w:val="00B9018D"/>
    <w:rsid w:val="00B90C2B"/>
    <w:rsid w:val="00B90F17"/>
    <w:rsid w:val="00B91193"/>
    <w:rsid w:val="00B92452"/>
    <w:rsid w:val="00B9374E"/>
    <w:rsid w:val="00B93D86"/>
    <w:rsid w:val="00B94B30"/>
    <w:rsid w:val="00B954E4"/>
    <w:rsid w:val="00B95FC3"/>
    <w:rsid w:val="00B975E7"/>
    <w:rsid w:val="00BA056C"/>
    <w:rsid w:val="00BA2107"/>
    <w:rsid w:val="00BA2DF5"/>
    <w:rsid w:val="00BA435B"/>
    <w:rsid w:val="00BA64CB"/>
    <w:rsid w:val="00BA6DF2"/>
    <w:rsid w:val="00BA71AD"/>
    <w:rsid w:val="00BA7D17"/>
    <w:rsid w:val="00BA7D5E"/>
    <w:rsid w:val="00BA7E36"/>
    <w:rsid w:val="00BB076E"/>
    <w:rsid w:val="00BB1526"/>
    <w:rsid w:val="00BB1A61"/>
    <w:rsid w:val="00BB1CF2"/>
    <w:rsid w:val="00BB1D87"/>
    <w:rsid w:val="00BB311F"/>
    <w:rsid w:val="00BB38C4"/>
    <w:rsid w:val="00BB39F5"/>
    <w:rsid w:val="00BB4CAC"/>
    <w:rsid w:val="00BB5D0C"/>
    <w:rsid w:val="00BB6186"/>
    <w:rsid w:val="00BB6275"/>
    <w:rsid w:val="00BB62EA"/>
    <w:rsid w:val="00BB656B"/>
    <w:rsid w:val="00BB7A25"/>
    <w:rsid w:val="00BB7B5A"/>
    <w:rsid w:val="00BC0A3C"/>
    <w:rsid w:val="00BC17EC"/>
    <w:rsid w:val="00BC31DB"/>
    <w:rsid w:val="00BC3B10"/>
    <w:rsid w:val="00BC5916"/>
    <w:rsid w:val="00BC621F"/>
    <w:rsid w:val="00BC77DA"/>
    <w:rsid w:val="00BD0478"/>
    <w:rsid w:val="00BD2938"/>
    <w:rsid w:val="00BD564F"/>
    <w:rsid w:val="00BD67E3"/>
    <w:rsid w:val="00BE1D52"/>
    <w:rsid w:val="00BE3175"/>
    <w:rsid w:val="00BE3548"/>
    <w:rsid w:val="00BE57BA"/>
    <w:rsid w:val="00BF4666"/>
    <w:rsid w:val="00BF5CDE"/>
    <w:rsid w:val="00BF6EC8"/>
    <w:rsid w:val="00BF7F90"/>
    <w:rsid w:val="00C01418"/>
    <w:rsid w:val="00C0158E"/>
    <w:rsid w:val="00C01DBC"/>
    <w:rsid w:val="00C02378"/>
    <w:rsid w:val="00C032F0"/>
    <w:rsid w:val="00C03503"/>
    <w:rsid w:val="00C05C4B"/>
    <w:rsid w:val="00C06107"/>
    <w:rsid w:val="00C07152"/>
    <w:rsid w:val="00C071FE"/>
    <w:rsid w:val="00C10E3A"/>
    <w:rsid w:val="00C11B6A"/>
    <w:rsid w:val="00C12237"/>
    <w:rsid w:val="00C12658"/>
    <w:rsid w:val="00C1270E"/>
    <w:rsid w:val="00C1400B"/>
    <w:rsid w:val="00C14388"/>
    <w:rsid w:val="00C166F0"/>
    <w:rsid w:val="00C16F24"/>
    <w:rsid w:val="00C205F0"/>
    <w:rsid w:val="00C20621"/>
    <w:rsid w:val="00C21933"/>
    <w:rsid w:val="00C21AE1"/>
    <w:rsid w:val="00C22054"/>
    <w:rsid w:val="00C23077"/>
    <w:rsid w:val="00C265F8"/>
    <w:rsid w:val="00C26F9A"/>
    <w:rsid w:val="00C271B4"/>
    <w:rsid w:val="00C27898"/>
    <w:rsid w:val="00C27928"/>
    <w:rsid w:val="00C32CAF"/>
    <w:rsid w:val="00C32F29"/>
    <w:rsid w:val="00C35536"/>
    <w:rsid w:val="00C368F8"/>
    <w:rsid w:val="00C42A5A"/>
    <w:rsid w:val="00C42A9E"/>
    <w:rsid w:val="00C42BCE"/>
    <w:rsid w:val="00C43D4C"/>
    <w:rsid w:val="00C46880"/>
    <w:rsid w:val="00C5216F"/>
    <w:rsid w:val="00C52681"/>
    <w:rsid w:val="00C5312F"/>
    <w:rsid w:val="00C5333A"/>
    <w:rsid w:val="00C534E8"/>
    <w:rsid w:val="00C5531C"/>
    <w:rsid w:val="00C56BA4"/>
    <w:rsid w:val="00C57C2F"/>
    <w:rsid w:val="00C57E29"/>
    <w:rsid w:val="00C60499"/>
    <w:rsid w:val="00C610D4"/>
    <w:rsid w:val="00C61909"/>
    <w:rsid w:val="00C62577"/>
    <w:rsid w:val="00C635EE"/>
    <w:rsid w:val="00C63E8C"/>
    <w:rsid w:val="00C63F2A"/>
    <w:rsid w:val="00C6506A"/>
    <w:rsid w:val="00C65337"/>
    <w:rsid w:val="00C65533"/>
    <w:rsid w:val="00C659A7"/>
    <w:rsid w:val="00C66BD3"/>
    <w:rsid w:val="00C67113"/>
    <w:rsid w:val="00C67DF1"/>
    <w:rsid w:val="00C70918"/>
    <w:rsid w:val="00C71693"/>
    <w:rsid w:val="00C73DA7"/>
    <w:rsid w:val="00C73E0C"/>
    <w:rsid w:val="00C7535D"/>
    <w:rsid w:val="00C7607A"/>
    <w:rsid w:val="00C76F65"/>
    <w:rsid w:val="00C76FFC"/>
    <w:rsid w:val="00C772B6"/>
    <w:rsid w:val="00C779B7"/>
    <w:rsid w:val="00C806B6"/>
    <w:rsid w:val="00C80FF7"/>
    <w:rsid w:val="00C81930"/>
    <w:rsid w:val="00C81D1C"/>
    <w:rsid w:val="00C828BD"/>
    <w:rsid w:val="00C83581"/>
    <w:rsid w:val="00C84EEF"/>
    <w:rsid w:val="00C84F4D"/>
    <w:rsid w:val="00C855E6"/>
    <w:rsid w:val="00C865AE"/>
    <w:rsid w:val="00C87C4D"/>
    <w:rsid w:val="00C90779"/>
    <w:rsid w:val="00C9259F"/>
    <w:rsid w:val="00C92B13"/>
    <w:rsid w:val="00C961CD"/>
    <w:rsid w:val="00C966F4"/>
    <w:rsid w:val="00C967E1"/>
    <w:rsid w:val="00C96ABF"/>
    <w:rsid w:val="00C97C21"/>
    <w:rsid w:val="00CA1E4A"/>
    <w:rsid w:val="00CA274C"/>
    <w:rsid w:val="00CA2C6F"/>
    <w:rsid w:val="00CA2F8E"/>
    <w:rsid w:val="00CA30A8"/>
    <w:rsid w:val="00CA3398"/>
    <w:rsid w:val="00CA3D9F"/>
    <w:rsid w:val="00CA40B5"/>
    <w:rsid w:val="00CA40FA"/>
    <w:rsid w:val="00CA421D"/>
    <w:rsid w:val="00CA56BE"/>
    <w:rsid w:val="00CA5999"/>
    <w:rsid w:val="00CA6926"/>
    <w:rsid w:val="00CA735C"/>
    <w:rsid w:val="00CB0E35"/>
    <w:rsid w:val="00CB0ED8"/>
    <w:rsid w:val="00CB1F96"/>
    <w:rsid w:val="00CB3AD5"/>
    <w:rsid w:val="00CB3E51"/>
    <w:rsid w:val="00CB4FA1"/>
    <w:rsid w:val="00CB699C"/>
    <w:rsid w:val="00CB72FA"/>
    <w:rsid w:val="00CB7C6E"/>
    <w:rsid w:val="00CC1197"/>
    <w:rsid w:val="00CC217D"/>
    <w:rsid w:val="00CC5CF3"/>
    <w:rsid w:val="00CC6D47"/>
    <w:rsid w:val="00CC7A9F"/>
    <w:rsid w:val="00CD02A1"/>
    <w:rsid w:val="00CD08E3"/>
    <w:rsid w:val="00CD0D86"/>
    <w:rsid w:val="00CD1F3A"/>
    <w:rsid w:val="00CD2349"/>
    <w:rsid w:val="00CD2A0D"/>
    <w:rsid w:val="00CD340C"/>
    <w:rsid w:val="00CD4231"/>
    <w:rsid w:val="00CD6E97"/>
    <w:rsid w:val="00CD71EB"/>
    <w:rsid w:val="00CE12DD"/>
    <w:rsid w:val="00CE18D8"/>
    <w:rsid w:val="00CE3630"/>
    <w:rsid w:val="00CE3CC8"/>
    <w:rsid w:val="00CE5861"/>
    <w:rsid w:val="00CE6B2A"/>
    <w:rsid w:val="00CE6D8C"/>
    <w:rsid w:val="00CF305C"/>
    <w:rsid w:val="00CF354D"/>
    <w:rsid w:val="00CF3EA7"/>
    <w:rsid w:val="00CF46D7"/>
    <w:rsid w:val="00CF59D6"/>
    <w:rsid w:val="00CF7B12"/>
    <w:rsid w:val="00D01E1C"/>
    <w:rsid w:val="00D034E6"/>
    <w:rsid w:val="00D11E1A"/>
    <w:rsid w:val="00D1317E"/>
    <w:rsid w:val="00D13A5C"/>
    <w:rsid w:val="00D13D39"/>
    <w:rsid w:val="00D155C5"/>
    <w:rsid w:val="00D16040"/>
    <w:rsid w:val="00D1643D"/>
    <w:rsid w:val="00D17D1B"/>
    <w:rsid w:val="00D20B41"/>
    <w:rsid w:val="00D20E6B"/>
    <w:rsid w:val="00D20F2B"/>
    <w:rsid w:val="00D23BD5"/>
    <w:rsid w:val="00D23D61"/>
    <w:rsid w:val="00D250A7"/>
    <w:rsid w:val="00D2518B"/>
    <w:rsid w:val="00D2695D"/>
    <w:rsid w:val="00D307CC"/>
    <w:rsid w:val="00D31857"/>
    <w:rsid w:val="00D32B87"/>
    <w:rsid w:val="00D32C2B"/>
    <w:rsid w:val="00D32E4E"/>
    <w:rsid w:val="00D35790"/>
    <w:rsid w:val="00D35E68"/>
    <w:rsid w:val="00D3607C"/>
    <w:rsid w:val="00D36286"/>
    <w:rsid w:val="00D370F8"/>
    <w:rsid w:val="00D377E2"/>
    <w:rsid w:val="00D40225"/>
    <w:rsid w:val="00D40E87"/>
    <w:rsid w:val="00D41791"/>
    <w:rsid w:val="00D419FB"/>
    <w:rsid w:val="00D43BE0"/>
    <w:rsid w:val="00D43E4E"/>
    <w:rsid w:val="00D44067"/>
    <w:rsid w:val="00D44309"/>
    <w:rsid w:val="00D4610F"/>
    <w:rsid w:val="00D46E93"/>
    <w:rsid w:val="00D51943"/>
    <w:rsid w:val="00D52F60"/>
    <w:rsid w:val="00D5385A"/>
    <w:rsid w:val="00D53DDE"/>
    <w:rsid w:val="00D54380"/>
    <w:rsid w:val="00D56E81"/>
    <w:rsid w:val="00D57387"/>
    <w:rsid w:val="00D60C5E"/>
    <w:rsid w:val="00D616AB"/>
    <w:rsid w:val="00D646FA"/>
    <w:rsid w:val="00D676C7"/>
    <w:rsid w:val="00D6779A"/>
    <w:rsid w:val="00D72114"/>
    <w:rsid w:val="00D7322D"/>
    <w:rsid w:val="00D73D32"/>
    <w:rsid w:val="00D75313"/>
    <w:rsid w:val="00D772D2"/>
    <w:rsid w:val="00D801BF"/>
    <w:rsid w:val="00D821CA"/>
    <w:rsid w:val="00D83D7A"/>
    <w:rsid w:val="00D84458"/>
    <w:rsid w:val="00D85199"/>
    <w:rsid w:val="00D85313"/>
    <w:rsid w:val="00D85741"/>
    <w:rsid w:val="00D85D54"/>
    <w:rsid w:val="00D909CB"/>
    <w:rsid w:val="00D90DCA"/>
    <w:rsid w:val="00D90EE0"/>
    <w:rsid w:val="00D91C45"/>
    <w:rsid w:val="00D94893"/>
    <w:rsid w:val="00D95F8A"/>
    <w:rsid w:val="00D9656C"/>
    <w:rsid w:val="00D96847"/>
    <w:rsid w:val="00D97352"/>
    <w:rsid w:val="00DA0D39"/>
    <w:rsid w:val="00DA1559"/>
    <w:rsid w:val="00DA1C53"/>
    <w:rsid w:val="00DA2423"/>
    <w:rsid w:val="00DA2B6B"/>
    <w:rsid w:val="00DA43F5"/>
    <w:rsid w:val="00DA6C21"/>
    <w:rsid w:val="00DA74C9"/>
    <w:rsid w:val="00DB1033"/>
    <w:rsid w:val="00DB143C"/>
    <w:rsid w:val="00DB1E6A"/>
    <w:rsid w:val="00DB4A50"/>
    <w:rsid w:val="00DB52B4"/>
    <w:rsid w:val="00DC1016"/>
    <w:rsid w:val="00DC4EBE"/>
    <w:rsid w:val="00DC6DB1"/>
    <w:rsid w:val="00DD13F8"/>
    <w:rsid w:val="00DD2854"/>
    <w:rsid w:val="00DD2A54"/>
    <w:rsid w:val="00DD5954"/>
    <w:rsid w:val="00DD761D"/>
    <w:rsid w:val="00DD7C8E"/>
    <w:rsid w:val="00DE0432"/>
    <w:rsid w:val="00DE2663"/>
    <w:rsid w:val="00DE4D5B"/>
    <w:rsid w:val="00DE561E"/>
    <w:rsid w:val="00DE644E"/>
    <w:rsid w:val="00DE6DD6"/>
    <w:rsid w:val="00DE7C9B"/>
    <w:rsid w:val="00DF128E"/>
    <w:rsid w:val="00DF2758"/>
    <w:rsid w:val="00DF422B"/>
    <w:rsid w:val="00DF65AE"/>
    <w:rsid w:val="00DF666D"/>
    <w:rsid w:val="00E007B9"/>
    <w:rsid w:val="00E0260D"/>
    <w:rsid w:val="00E05F1F"/>
    <w:rsid w:val="00E106C6"/>
    <w:rsid w:val="00E112BA"/>
    <w:rsid w:val="00E12F13"/>
    <w:rsid w:val="00E1557E"/>
    <w:rsid w:val="00E15D27"/>
    <w:rsid w:val="00E17AD2"/>
    <w:rsid w:val="00E208FC"/>
    <w:rsid w:val="00E2424E"/>
    <w:rsid w:val="00E2477B"/>
    <w:rsid w:val="00E25096"/>
    <w:rsid w:val="00E251CF"/>
    <w:rsid w:val="00E269AE"/>
    <w:rsid w:val="00E3054D"/>
    <w:rsid w:val="00E30861"/>
    <w:rsid w:val="00E30C6D"/>
    <w:rsid w:val="00E30E71"/>
    <w:rsid w:val="00E31310"/>
    <w:rsid w:val="00E32318"/>
    <w:rsid w:val="00E323EA"/>
    <w:rsid w:val="00E32AAE"/>
    <w:rsid w:val="00E32AFB"/>
    <w:rsid w:val="00E332A9"/>
    <w:rsid w:val="00E37DD8"/>
    <w:rsid w:val="00E4009D"/>
    <w:rsid w:val="00E40432"/>
    <w:rsid w:val="00E405FD"/>
    <w:rsid w:val="00E42C75"/>
    <w:rsid w:val="00E42E00"/>
    <w:rsid w:val="00E45F87"/>
    <w:rsid w:val="00E467F7"/>
    <w:rsid w:val="00E477AC"/>
    <w:rsid w:val="00E47A40"/>
    <w:rsid w:val="00E47C61"/>
    <w:rsid w:val="00E5021A"/>
    <w:rsid w:val="00E512CC"/>
    <w:rsid w:val="00E51F60"/>
    <w:rsid w:val="00E5380B"/>
    <w:rsid w:val="00E54521"/>
    <w:rsid w:val="00E5604F"/>
    <w:rsid w:val="00E565DC"/>
    <w:rsid w:val="00E57414"/>
    <w:rsid w:val="00E61D7E"/>
    <w:rsid w:val="00E62C30"/>
    <w:rsid w:val="00E62CC2"/>
    <w:rsid w:val="00E6340A"/>
    <w:rsid w:val="00E64294"/>
    <w:rsid w:val="00E64C91"/>
    <w:rsid w:val="00E65D4B"/>
    <w:rsid w:val="00E66419"/>
    <w:rsid w:val="00E67298"/>
    <w:rsid w:val="00E744C1"/>
    <w:rsid w:val="00E77355"/>
    <w:rsid w:val="00E77400"/>
    <w:rsid w:val="00E775A1"/>
    <w:rsid w:val="00E77D41"/>
    <w:rsid w:val="00E77DC6"/>
    <w:rsid w:val="00E80A58"/>
    <w:rsid w:val="00E81D8D"/>
    <w:rsid w:val="00E81D90"/>
    <w:rsid w:val="00E8305B"/>
    <w:rsid w:val="00E831AF"/>
    <w:rsid w:val="00E833DA"/>
    <w:rsid w:val="00E84277"/>
    <w:rsid w:val="00E84AD2"/>
    <w:rsid w:val="00E84E35"/>
    <w:rsid w:val="00E85A2B"/>
    <w:rsid w:val="00E85D52"/>
    <w:rsid w:val="00E85DDA"/>
    <w:rsid w:val="00E87438"/>
    <w:rsid w:val="00E879A7"/>
    <w:rsid w:val="00E90D09"/>
    <w:rsid w:val="00E92DEF"/>
    <w:rsid w:val="00E935CF"/>
    <w:rsid w:val="00E94DB1"/>
    <w:rsid w:val="00E95D54"/>
    <w:rsid w:val="00E96B97"/>
    <w:rsid w:val="00EA10B0"/>
    <w:rsid w:val="00EA142C"/>
    <w:rsid w:val="00EA49B2"/>
    <w:rsid w:val="00EA5409"/>
    <w:rsid w:val="00EA567C"/>
    <w:rsid w:val="00EA5A26"/>
    <w:rsid w:val="00EA75EB"/>
    <w:rsid w:val="00EB0C79"/>
    <w:rsid w:val="00EB10D2"/>
    <w:rsid w:val="00EB1BC9"/>
    <w:rsid w:val="00EB2C60"/>
    <w:rsid w:val="00EB2C63"/>
    <w:rsid w:val="00EB78E2"/>
    <w:rsid w:val="00EB7A3D"/>
    <w:rsid w:val="00EB7E50"/>
    <w:rsid w:val="00EC06F9"/>
    <w:rsid w:val="00EC14E7"/>
    <w:rsid w:val="00EC42D3"/>
    <w:rsid w:val="00EC46FB"/>
    <w:rsid w:val="00EC498B"/>
    <w:rsid w:val="00EC500C"/>
    <w:rsid w:val="00EC54C3"/>
    <w:rsid w:val="00EC6925"/>
    <w:rsid w:val="00EC76A0"/>
    <w:rsid w:val="00EC7D18"/>
    <w:rsid w:val="00EC7F5A"/>
    <w:rsid w:val="00ED1437"/>
    <w:rsid w:val="00ED4520"/>
    <w:rsid w:val="00ED55EA"/>
    <w:rsid w:val="00ED736B"/>
    <w:rsid w:val="00ED7E62"/>
    <w:rsid w:val="00EE13E8"/>
    <w:rsid w:val="00EE17DE"/>
    <w:rsid w:val="00EE5017"/>
    <w:rsid w:val="00EE5E7F"/>
    <w:rsid w:val="00EE6DDD"/>
    <w:rsid w:val="00EE7EB3"/>
    <w:rsid w:val="00EF02E3"/>
    <w:rsid w:val="00EF12F7"/>
    <w:rsid w:val="00EF2AEF"/>
    <w:rsid w:val="00EF2D30"/>
    <w:rsid w:val="00EF417E"/>
    <w:rsid w:val="00EF6439"/>
    <w:rsid w:val="00F01FE0"/>
    <w:rsid w:val="00F024FC"/>
    <w:rsid w:val="00F030D8"/>
    <w:rsid w:val="00F0385E"/>
    <w:rsid w:val="00F04E22"/>
    <w:rsid w:val="00F05D81"/>
    <w:rsid w:val="00F063E3"/>
    <w:rsid w:val="00F101C1"/>
    <w:rsid w:val="00F10C41"/>
    <w:rsid w:val="00F10D99"/>
    <w:rsid w:val="00F1208D"/>
    <w:rsid w:val="00F15B78"/>
    <w:rsid w:val="00F17043"/>
    <w:rsid w:val="00F2024F"/>
    <w:rsid w:val="00F22A03"/>
    <w:rsid w:val="00F2495B"/>
    <w:rsid w:val="00F24F1D"/>
    <w:rsid w:val="00F24FD1"/>
    <w:rsid w:val="00F251E3"/>
    <w:rsid w:val="00F26076"/>
    <w:rsid w:val="00F2700E"/>
    <w:rsid w:val="00F27CEA"/>
    <w:rsid w:val="00F30011"/>
    <w:rsid w:val="00F30289"/>
    <w:rsid w:val="00F33BD8"/>
    <w:rsid w:val="00F3435E"/>
    <w:rsid w:val="00F34801"/>
    <w:rsid w:val="00F34D3B"/>
    <w:rsid w:val="00F34D94"/>
    <w:rsid w:val="00F35560"/>
    <w:rsid w:val="00F3595C"/>
    <w:rsid w:val="00F360A3"/>
    <w:rsid w:val="00F3667B"/>
    <w:rsid w:val="00F369EB"/>
    <w:rsid w:val="00F372C2"/>
    <w:rsid w:val="00F4037B"/>
    <w:rsid w:val="00F406BB"/>
    <w:rsid w:val="00F424BB"/>
    <w:rsid w:val="00F429EC"/>
    <w:rsid w:val="00F4414D"/>
    <w:rsid w:val="00F44D6B"/>
    <w:rsid w:val="00F44F7D"/>
    <w:rsid w:val="00F4687E"/>
    <w:rsid w:val="00F47598"/>
    <w:rsid w:val="00F5075A"/>
    <w:rsid w:val="00F5127F"/>
    <w:rsid w:val="00F53B7B"/>
    <w:rsid w:val="00F54510"/>
    <w:rsid w:val="00F566E8"/>
    <w:rsid w:val="00F5789C"/>
    <w:rsid w:val="00F603B9"/>
    <w:rsid w:val="00F618A1"/>
    <w:rsid w:val="00F61EFB"/>
    <w:rsid w:val="00F6311B"/>
    <w:rsid w:val="00F63374"/>
    <w:rsid w:val="00F66E8A"/>
    <w:rsid w:val="00F67499"/>
    <w:rsid w:val="00F675AA"/>
    <w:rsid w:val="00F7087E"/>
    <w:rsid w:val="00F73505"/>
    <w:rsid w:val="00F74074"/>
    <w:rsid w:val="00F76815"/>
    <w:rsid w:val="00F76D6F"/>
    <w:rsid w:val="00F7700C"/>
    <w:rsid w:val="00F8167A"/>
    <w:rsid w:val="00F81C76"/>
    <w:rsid w:val="00F8245F"/>
    <w:rsid w:val="00F8272A"/>
    <w:rsid w:val="00F82F57"/>
    <w:rsid w:val="00F83416"/>
    <w:rsid w:val="00F834CA"/>
    <w:rsid w:val="00F83AFF"/>
    <w:rsid w:val="00F84B13"/>
    <w:rsid w:val="00F90924"/>
    <w:rsid w:val="00F938FD"/>
    <w:rsid w:val="00F950B8"/>
    <w:rsid w:val="00F95B7A"/>
    <w:rsid w:val="00F95D4E"/>
    <w:rsid w:val="00FA01DF"/>
    <w:rsid w:val="00FA1C2D"/>
    <w:rsid w:val="00FA31B7"/>
    <w:rsid w:val="00FA388D"/>
    <w:rsid w:val="00FA4A0E"/>
    <w:rsid w:val="00FA4B29"/>
    <w:rsid w:val="00FA5C16"/>
    <w:rsid w:val="00FA6087"/>
    <w:rsid w:val="00FB0FD9"/>
    <w:rsid w:val="00FB4437"/>
    <w:rsid w:val="00FB7494"/>
    <w:rsid w:val="00FC0BF3"/>
    <w:rsid w:val="00FC0E29"/>
    <w:rsid w:val="00FC0EBD"/>
    <w:rsid w:val="00FC1B06"/>
    <w:rsid w:val="00FC1C78"/>
    <w:rsid w:val="00FC5A23"/>
    <w:rsid w:val="00FC5CB7"/>
    <w:rsid w:val="00FC5FB7"/>
    <w:rsid w:val="00FC67DA"/>
    <w:rsid w:val="00FC68EA"/>
    <w:rsid w:val="00FC7F2E"/>
    <w:rsid w:val="00FD0A62"/>
    <w:rsid w:val="00FD25DF"/>
    <w:rsid w:val="00FD2A45"/>
    <w:rsid w:val="00FD4207"/>
    <w:rsid w:val="00FD6A58"/>
    <w:rsid w:val="00FD6A65"/>
    <w:rsid w:val="00FD6E15"/>
    <w:rsid w:val="00FD7094"/>
    <w:rsid w:val="00FD724A"/>
    <w:rsid w:val="00FD7CDA"/>
    <w:rsid w:val="00FE7BE3"/>
    <w:rsid w:val="00FF09CB"/>
    <w:rsid w:val="00FF10C3"/>
    <w:rsid w:val="00FF24D0"/>
    <w:rsid w:val="00FF2C21"/>
    <w:rsid w:val="00FF4D4F"/>
    <w:rsid w:val="00FF6F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3"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D50"/>
    <w:pPr>
      <w:spacing w:after="240" w:line="240" w:lineRule="atLeast"/>
    </w:pPr>
    <w:rPr>
      <w:rFonts w:ascii="Arial" w:eastAsia="Times New Roman" w:hAnsi="Arial" w:cs="Times New Roman"/>
      <w:sz w:val="20"/>
      <w:szCs w:val="24"/>
      <w:lang w:eastAsia="en-AU"/>
    </w:rPr>
  </w:style>
  <w:style w:type="paragraph" w:styleId="Heading1">
    <w:name w:val="heading 1"/>
    <w:basedOn w:val="Normal"/>
    <w:next w:val="Normal"/>
    <w:link w:val="Heading1Char"/>
    <w:uiPriority w:val="1"/>
    <w:qFormat/>
    <w:rsid w:val="00710D50"/>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710D50"/>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710D50"/>
    <w:pPr>
      <w:keepNext/>
      <w:spacing w:before="60" w:after="60"/>
      <w:outlineLvl w:val="2"/>
    </w:pPr>
    <w:rPr>
      <w:rFonts w:cs="Arial"/>
      <w:b/>
      <w:bCs/>
      <w:szCs w:val="26"/>
    </w:rPr>
  </w:style>
  <w:style w:type="paragraph" w:styleId="Heading4">
    <w:name w:val="heading 4"/>
    <w:basedOn w:val="BodySubHeader"/>
    <w:next w:val="Normal"/>
    <w:link w:val="Heading4Char"/>
    <w:uiPriority w:val="3"/>
    <w:qFormat/>
    <w:rsid w:val="00710D50"/>
    <w:pPr>
      <w:outlineLvl w:val="3"/>
    </w:pPr>
    <w:rPr>
      <w:rFonts w:cs="Arial"/>
    </w:rPr>
  </w:style>
  <w:style w:type="paragraph" w:styleId="Heading5">
    <w:name w:val="heading 5"/>
    <w:basedOn w:val="Normal"/>
    <w:next w:val="Normal"/>
    <w:link w:val="Heading5Char"/>
    <w:semiHidden/>
    <w:qFormat/>
    <w:rsid w:val="00710D50"/>
    <w:pPr>
      <w:numPr>
        <w:ilvl w:val="4"/>
        <w:numId w:val="23"/>
      </w:numPr>
      <w:spacing w:before="240" w:after="60"/>
      <w:outlineLvl w:val="4"/>
    </w:pPr>
    <w:rPr>
      <w:b/>
      <w:bCs/>
      <w:i/>
      <w:iCs/>
      <w:sz w:val="26"/>
      <w:szCs w:val="26"/>
    </w:rPr>
  </w:style>
  <w:style w:type="paragraph" w:styleId="Heading6">
    <w:name w:val="heading 6"/>
    <w:basedOn w:val="Normal"/>
    <w:next w:val="Normal"/>
    <w:link w:val="Heading6Char"/>
    <w:semiHidden/>
    <w:qFormat/>
    <w:rsid w:val="00710D50"/>
    <w:pPr>
      <w:numPr>
        <w:ilvl w:val="5"/>
        <w:numId w:val="23"/>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qFormat/>
    <w:rsid w:val="00710D50"/>
    <w:pPr>
      <w:numPr>
        <w:ilvl w:val="6"/>
        <w:numId w:val="23"/>
      </w:numPr>
      <w:spacing w:before="240" w:after="60"/>
      <w:outlineLvl w:val="6"/>
    </w:pPr>
    <w:rPr>
      <w:rFonts w:ascii="Times New Roman" w:hAnsi="Times New Roman"/>
      <w:sz w:val="24"/>
    </w:rPr>
  </w:style>
  <w:style w:type="paragraph" w:styleId="Heading8">
    <w:name w:val="heading 8"/>
    <w:basedOn w:val="Normal"/>
    <w:next w:val="Normal"/>
    <w:link w:val="Heading8Char"/>
    <w:semiHidden/>
    <w:qFormat/>
    <w:rsid w:val="00710D50"/>
    <w:pPr>
      <w:numPr>
        <w:ilvl w:val="7"/>
        <w:numId w:val="23"/>
      </w:numPr>
      <w:spacing w:before="240" w:after="60"/>
      <w:outlineLvl w:val="7"/>
    </w:pPr>
    <w:rPr>
      <w:rFonts w:ascii="Times New Roman" w:hAnsi="Times New Roman"/>
      <w:i/>
      <w:iCs/>
      <w:sz w:val="24"/>
    </w:rPr>
  </w:style>
  <w:style w:type="paragraph" w:styleId="Heading9">
    <w:name w:val="heading 9"/>
    <w:basedOn w:val="Normal"/>
    <w:next w:val="Normal"/>
    <w:link w:val="Heading9Char"/>
    <w:semiHidden/>
    <w:qFormat/>
    <w:rsid w:val="00710D50"/>
    <w:pPr>
      <w:numPr>
        <w:ilvl w:val="8"/>
        <w:numId w:val="2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710D50"/>
    <w:rPr>
      <w:sz w:val="16"/>
      <w:szCs w:val="16"/>
    </w:rPr>
  </w:style>
  <w:style w:type="paragraph" w:styleId="CommentText">
    <w:name w:val="annotation text"/>
    <w:basedOn w:val="Normal"/>
    <w:link w:val="CommentTextChar"/>
    <w:uiPriority w:val="99"/>
    <w:rsid w:val="00710D50"/>
    <w:pPr>
      <w:spacing w:line="240" w:lineRule="auto"/>
    </w:pPr>
    <w:rPr>
      <w:szCs w:val="20"/>
    </w:rPr>
  </w:style>
  <w:style w:type="character" w:customStyle="1" w:styleId="CommentTextChar">
    <w:name w:val="Comment Text Char"/>
    <w:basedOn w:val="DefaultParagraphFont"/>
    <w:link w:val="CommentText"/>
    <w:uiPriority w:val="99"/>
    <w:rsid w:val="00710D50"/>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semiHidden/>
    <w:rsid w:val="00710D50"/>
    <w:rPr>
      <w:b/>
      <w:bCs/>
    </w:rPr>
  </w:style>
  <w:style w:type="character" w:customStyle="1" w:styleId="CommentSubjectChar">
    <w:name w:val="Comment Subject Char"/>
    <w:basedOn w:val="CommentTextChar"/>
    <w:link w:val="CommentSubject"/>
    <w:semiHidden/>
    <w:rsid w:val="00710D50"/>
    <w:rPr>
      <w:rFonts w:ascii="Arial" w:eastAsia="Times New Roman" w:hAnsi="Arial" w:cs="Times New Roman"/>
      <w:b/>
      <w:bCs/>
      <w:sz w:val="20"/>
      <w:szCs w:val="20"/>
      <w:lang w:eastAsia="en-AU"/>
    </w:rPr>
  </w:style>
  <w:style w:type="paragraph" w:styleId="BalloonText">
    <w:name w:val="Balloon Text"/>
    <w:basedOn w:val="Normal"/>
    <w:link w:val="BalloonTextChar"/>
    <w:semiHidden/>
    <w:unhideWhenUsed/>
    <w:rsid w:val="00710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10D50"/>
    <w:rPr>
      <w:rFonts w:ascii="Segoe UI" w:eastAsia="Times New Roman" w:hAnsi="Segoe UI" w:cs="Segoe UI"/>
      <w:sz w:val="18"/>
      <w:szCs w:val="18"/>
      <w:lang w:eastAsia="en-AU"/>
    </w:rPr>
  </w:style>
  <w:style w:type="paragraph" w:styleId="Header">
    <w:name w:val="header"/>
    <w:basedOn w:val="Normal"/>
    <w:link w:val="HeaderChar"/>
    <w:rsid w:val="00710D50"/>
    <w:pPr>
      <w:tabs>
        <w:tab w:val="center" w:pos="4153"/>
        <w:tab w:val="right" w:pos="8306"/>
      </w:tabs>
      <w:spacing w:line="240" w:lineRule="auto"/>
    </w:pPr>
    <w:rPr>
      <w:sz w:val="16"/>
    </w:rPr>
  </w:style>
  <w:style w:type="character" w:customStyle="1" w:styleId="HeaderChar">
    <w:name w:val="Header Char"/>
    <w:link w:val="Header"/>
    <w:rsid w:val="00710D50"/>
    <w:rPr>
      <w:rFonts w:ascii="Arial" w:eastAsia="Times New Roman" w:hAnsi="Arial" w:cs="Times New Roman"/>
      <w:sz w:val="16"/>
      <w:szCs w:val="24"/>
      <w:lang w:eastAsia="en-AU"/>
    </w:rPr>
  </w:style>
  <w:style w:type="paragraph" w:styleId="Footer">
    <w:name w:val="footer"/>
    <w:basedOn w:val="Normal"/>
    <w:link w:val="FooterChar"/>
    <w:qFormat/>
    <w:rsid w:val="00710D50"/>
    <w:pPr>
      <w:tabs>
        <w:tab w:val="right" w:pos="113"/>
      </w:tabs>
      <w:spacing w:line="240" w:lineRule="auto"/>
    </w:pPr>
    <w:rPr>
      <w:color w:val="323232"/>
      <w:sz w:val="16"/>
    </w:rPr>
  </w:style>
  <w:style w:type="character" w:customStyle="1" w:styleId="FooterChar">
    <w:name w:val="Footer Char"/>
    <w:basedOn w:val="DefaultParagraphFont"/>
    <w:link w:val="Footer"/>
    <w:rsid w:val="00710D50"/>
    <w:rPr>
      <w:rFonts w:ascii="Arial" w:eastAsia="Times New Roman" w:hAnsi="Arial" w:cs="Times New Roman"/>
      <w:color w:val="323232"/>
      <w:sz w:val="16"/>
      <w:szCs w:val="24"/>
      <w:lang w:eastAsia="en-AU"/>
    </w:rPr>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Bullet li"/>
    <w:basedOn w:val="Normal"/>
    <w:link w:val="ListParagraphChar"/>
    <w:uiPriority w:val="34"/>
    <w:qFormat/>
    <w:rsid w:val="00185BDC"/>
    <w:pPr>
      <w:ind w:left="720"/>
      <w:contextualSpacing/>
    </w:pPr>
  </w:style>
  <w:style w:type="character" w:styleId="Hyperlink">
    <w:name w:val="Hyperlink"/>
    <w:basedOn w:val="DefaultParagraphFont"/>
    <w:uiPriority w:val="99"/>
    <w:qFormat/>
    <w:rsid w:val="00710D50"/>
    <w:rPr>
      <w:color w:val="0000FF"/>
      <w:u w:val="single" w:color="0000FF"/>
    </w:rPr>
  </w:style>
  <w:style w:type="paragraph" w:customStyle="1" w:styleId="ACMABodyText">
    <w:name w:val="ACMA Body Text"/>
    <w:link w:val="ACMABodyTextChar1"/>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710D50"/>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hAnsi="Times New Roman"/>
      <w:sz w:val="24"/>
    </w:rPr>
  </w:style>
  <w:style w:type="character" w:styleId="FollowedHyperlink">
    <w:name w:val="FollowedHyperlink"/>
    <w:basedOn w:val="DefaultParagraphFont"/>
    <w:semiHidden/>
    <w:rsid w:val="00710D50"/>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hAnsi="Times New Roman"/>
      <w:sz w:val="24"/>
    </w:rPr>
  </w:style>
  <w:style w:type="paragraph" w:styleId="ListBullet">
    <w:name w:val="List Bullet"/>
    <w:basedOn w:val="Normal"/>
    <w:qFormat/>
    <w:rsid w:val="00710D50"/>
    <w:pPr>
      <w:numPr>
        <w:numId w:val="18"/>
      </w:numPr>
      <w:spacing w:after="80"/>
    </w:pPr>
  </w:style>
  <w:style w:type="paragraph" w:customStyle="1" w:styleId="Paragraphbeforelist">
    <w:name w:val="Paragraph before list"/>
    <w:basedOn w:val="Paragraph"/>
    <w:uiPriority w:val="4"/>
    <w:qFormat/>
    <w:rsid w:val="00710D50"/>
    <w:pPr>
      <w:spacing w:after="80"/>
    </w:pPr>
  </w:style>
  <w:style w:type="character" w:styleId="FootnoteReference">
    <w:name w:val="footnote reference"/>
    <w:basedOn w:val="DefaultParagraphFont"/>
    <w:rsid w:val="00710D50"/>
    <w:rPr>
      <w:rFonts w:ascii="Arial" w:hAnsi="Arial"/>
      <w:vertAlign w:val="superscript"/>
    </w:rPr>
  </w:style>
  <w:style w:type="paragraph" w:styleId="FootnoteText">
    <w:name w:val="footnote text"/>
    <w:aliases w:val="Footnote text"/>
    <w:basedOn w:val="Normal"/>
    <w:link w:val="FootnoteTextChar"/>
    <w:uiPriority w:val="23"/>
    <w:rsid w:val="00710D50"/>
    <w:pPr>
      <w:spacing w:after="0" w:line="200" w:lineRule="atLeast"/>
    </w:pPr>
    <w:rPr>
      <w:sz w:val="16"/>
      <w:szCs w:val="16"/>
    </w:rPr>
  </w:style>
  <w:style w:type="character" w:customStyle="1" w:styleId="FootnoteTextChar">
    <w:name w:val="Footnote Text Char"/>
    <w:aliases w:val="Footnote text Char"/>
    <w:basedOn w:val="DefaultParagraphFont"/>
    <w:link w:val="FootnoteText"/>
    <w:uiPriority w:val="23"/>
    <w:rsid w:val="00150A8F"/>
    <w:rPr>
      <w:rFonts w:ascii="Arial" w:eastAsia="Times New Roman" w:hAnsi="Arial" w:cs="Times New Roman"/>
      <w:sz w:val="16"/>
      <w:szCs w:val="16"/>
      <w:lang w:eastAsia="en-AU"/>
    </w:rPr>
  </w:style>
  <w:style w:type="paragraph" w:customStyle="1" w:styleId="Bulletlevel1">
    <w:name w:val="Bullet level 1"/>
    <w:basedOn w:val="ListBullet"/>
    <w:uiPriority w:val="5"/>
    <w:qFormat/>
    <w:rsid w:val="00710D50"/>
    <w:rPr>
      <w:rFonts w:cs="Arial"/>
    </w:rPr>
  </w:style>
  <w:style w:type="paragraph" w:customStyle="1" w:styleId="Paragraph">
    <w:name w:val="Paragraph"/>
    <w:basedOn w:val="Normal"/>
    <w:qFormat/>
    <w:rsid w:val="00710D50"/>
    <w:rPr>
      <w:rFonts w:cs="Arial"/>
    </w:rPr>
  </w:style>
  <w:style w:type="paragraph" w:customStyle="1" w:styleId="Bulletlevel1last">
    <w:name w:val="Bullet level 1 last"/>
    <w:basedOn w:val="ListBulletLast"/>
    <w:uiPriority w:val="6"/>
    <w:qFormat/>
    <w:rsid w:val="00710D50"/>
  </w:style>
  <w:style w:type="paragraph" w:customStyle="1" w:styleId="ACMASpaceaftertable">
    <w:name w:val="ACMA_Space after table"/>
    <w:basedOn w:val="Normal"/>
    <w:qFormat/>
    <w:rsid w:val="00432DA5"/>
    <w:rPr>
      <w:rFonts w:cs="Arial"/>
    </w:rPr>
  </w:style>
  <w:style w:type="character" w:customStyle="1" w:styleId="Heading2Char">
    <w:name w:val="Heading 2 Char"/>
    <w:basedOn w:val="DefaultParagraphFont"/>
    <w:link w:val="Heading2"/>
    <w:uiPriority w:val="1"/>
    <w:rsid w:val="00710D50"/>
    <w:rPr>
      <w:rFonts w:ascii="Arial" w:eastAsia="Times New Roman" w:hAnsi="Arial" w:cs="Arial"/>
      <w:b/>
      <w:bCs/>
      <w:iCs/>
      <w:sz w:val="28"/>
      <w:szCs w:val="28"/>
      <w:lang w:eastAsia="en-AU"/>
    </w:rPr>
  </w:style>
  <w:style w:type="character" w:customStyle="1" w:styleId="CharSectno">
    <w:name w:val="CharSectno"/>
    <w:qFormat/>
    <w:rsid w:val="00F90924"/>
    <w:rPr>
      <w:rFonts w:ascii="Times New Roman" w:eastAsia="Times New Roman" w:hAnsi="Times New Roman" w:cs="Times New Roman"/>
      <w:b/>
      <w:kern w:val="28"/>
      <w:sz w:val="24"/>
      <w:szCs w:val="24"/>
      <w:lang w:eastAsia="en-AU"/>
    </w:rPr>
  </w:style>
  <w:style w:type="character" w:customStyle="1" w:styleId="CharPartText">
    <w:name w:val="CharPartText"/>
    <w:qFormat/>
    <w:rsid w:val="00F90924"/>
    <w:rPr>
      <w:sz w:val="32"/>
      <w:szCs w:val="32"/>
    </w:rPr>
  </w:style>
  <w:style w:type="paragraph" w:styleId="Revision">
    <w:name w:val="Revision"/>
    <w:hidden/>
    <w:uiPriority w:val="99"/>
    <w:semiHidden/>
    <w:rsid w:val="005B0D02"/>
    <w:pPr>
      <w:spacing w:after="0" w:line="240" w:lineRule="auto"/>
    </w:p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basedOn w:val="DefaultParagraphFont"/>
    <w:link w:val="ListParagraph"/>
    <w:uiPriority w:val="34"/>
    <w:qFormat/>
    <w:rsid w:val="006E7CC0"/>
  </w:style>
  <w:style w:type="paragraph" w:customStyle="1" w:styleId="subsection">
    <w:name w:val="subsection"/>
    <w:aliases w:val="ss"/>
    <w:basedOn w:val="Normal"/>
    <w:link w:val="subsectionChar"/>
    <w:rsid w:val="00C35536"/>
    <w:pPr>
      <w:tabs>
        <w:tab w:val="right" w:pos="1021"/>
      </w:tabs>
      <w:spacing w:before="180" w:after="0" w:line="240" w:lineRule="auto"/>
      <w:ind w:left="1134" w:hanging="1134"/>
    </w:pPr>
    <w:rPr>
      <w:rFonts w:ascii="Times New Roman" w:hAnsi="Times New Roman"/>
      <w:szCs w:val="20"/>
    </w:rPr>
  </w:style>
  <w:style w:type="character" w:customStyle="1" w:styleId="subsectionChar">
    <w:name w:val="subsection Char"/>
    <w:aliases w:val="ss Char"/>
    <w:basedOn w:val="DefaultParagraphFont"/>
    <w:link w:val="subsection"/>
    <w:locked/>
    <w:rsid w:val="00C35536"/>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uiPriority w:val="1"/>
    <w:rsid w:val="00710D50"/>
    <w:rPr>
      <w:rFonts w:ascii="Arial" w:eastAsia="Times New Roman" w:hAnsi="Arial" w:cs="Arial"/>
      <w:bCs/>
      <w:color w:val="323232"/>
      <w:kern w:val="32"/>
      <w:sz w:val="53"/>
      <w:szCs w:val="32"/>
      <w:lang w:eastAsia="en-AU"/>
    </w:rPr>
  </w:style>
  <w:style w:type="character" w:customStyle="1" w:styleId="Heading3Char">
    <w:name w:val="Heading 3 Char"/>
    <w:basedOn w:val="DefaultParagraphFont"/>
    <w:link w:val="Heading3"/>
    <w:uiPriority w:val="2"/>
    <w:rsid w:val="00710D50"/>
    <w:rPr>
      <w:rFonts w:ascii="Arial" w:eastAsia="Times New Roman" w:hAnsi="Arial" w:cs="Arial"/>
      <w:b/>
      <w:bCs/>
      <w:sz w:val="20"/>
      <w:szCs w:val="26"/>
      <w:lang w:eastAsia="en-AU"/>
    </w:rPr>
  </w:style>
  <w:style w:type="character" w:customStyle="1" w:styleId="Heading4Char">
    <w:name w:val="Heading 4 Char"/>
    <w:basedOn w:val="DefaultParagraphFont"/>
    <w:link w:val="Heading4"/>
    <w:uiPriority w:val="3"/>
    <w:rsid w:val="00623569"/>
    <w:rPr>
      <w:rFonts w:ascii="Arial" w:eastAsia="Times New Roman" w:hAnsi="Arial" w:cs="Arial"/>
      <w:b/>
      <w:i/>
      <w:sz w:val="20"/>
      <w:szCs w:val="24"/>
      <w:lang w:eastAsia="en-AU"/>
    </w:rPr>
  </w:style>
  <w:style w:type="character" w:customStyle="1" w:styleId="Heading5Char">
    <w:name w:val="Heading 5 Char"/>
    <w:basedOn w:val="DefaultParagraphFont"/>
    <w:link w:val="Heading5"/>
    <w:semiHidden/>
    <w:rsid w:val="00623569"/>
    <w:rPr>
      <w:rFonts w:ascii="Arial" w:eastAsia="Times New Roman" w:hAnsi="Arial" w:cs="Times New Roman"/>
      <w:b/>
      <w:bCs/>
      <w:i/>
      <w:iCs/>
      <w:sz w:val="26"/>
      <w:szCs w:val="26"/>
      <w:lang w:eastAsia="en-AU"/>
    </w:rPr>
  </w:style>
  <w:style w:type="character" w:customStyle="1" w:styleId="Heading6Char">
    <w:name w:val="Heading 6 Char"/>
    <w:basedOn w:val="DefaultParagraphFont"/>
    <w:link w:val="Heading6"/>
    <w:semiHidden/>
    <w:rsid w:val="00623569"/>
    <w:rPr>
      <w:rFonts w:ascii="Times New Roman" w:eastAsia="Times New Roman" w:hAnsi="Times New Roman" w:cs="Times New Roman"/>
      <w:b/>
      <w:bCs/>
      <w:lang w:eastAsia="en-AU"/>
    </w:rPr>
  </w:style>
  <w:style w:type="character" w:customStyle="1" w:styleId="Heading7Char">
    <w:name w:val="Heading 7 Char"/>
    <w:basedOn w:val="DefaultParagraphFont"/>
    <w:link w:val="Heading7"/>
    <w:semiHidden/>
    <w:rsid w:val="00623569"/>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semiHidden/>
    <w:rsid w:val="00623569"/>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semiHidden/>
    <w:rsid w:val="00623569"/>
    <w:rPr>
      <w:rFonts w:ascii="Arial" w:eastAsia="Times New Roman" w:hAnsi="Arial" w:cs="Arial"/>
      <w:lang w:eastAsia="en-AU"/>
    </w:rPr>
  </w:style>
  <w:style w:type="paragraph" w:customStyle="1" w:styleId="Reporttitle">
    <w:name w:val="Report title"/>
    <w:basedOn w:val="Normal"/>
    <w:uiPriority w:val="19"/>
    <w:qFormat/>
    <w:rsid w:val="00710D50"/>
    <w:pPr>
      <w:spacing w:after="0" w:line="560" w:lineRule="exact"/>
    </w:pPr>
    <w:rPr>
      <w:b/>
      <w:spacing w:val="-28"/>
      <w:sz w:val="53"/>
    </w:rPr>
  </w:style>
  <w:style w:type="paragraph" w:customStyle="1" w:styleId="Reportsubtitle">
    <w:name w:val="Report subtitle"/>
    <w:basedOn w:val="Normal"/>
    <w:uiPriority w:val="20"/>
    <w:qFormat/>
    <w:rsid w:val="00710D50"/>
    <w:pPr>
      <w:spacing w:after="200" w:line="560" w:lineRule="exact"/>
    </w:pPr>
    <w:rPr>
      <w:color w:val="323232"/>
      <w:spacing w:val="-28"/>
      <w:sz w:val="53"/>
    </w:rPr>
  </w:style>
  <w:style w:type="table" w:styleId="TableGrid">
    <w:name w:val="Table Grid"/>
    <w:basedOn w:val="TableNormal"/>
    <w:uiPriority w:val="59"/>
    <w:rsid w:val="00710D50"/>
    <w:pPr>
      <w:spacing w:after="0" w:line="240" w:lineRule="atLeast"/>
    </w:pPr>
    <w:rPr>
      <w:rFonts w:ascii="Times New Roman" w:eastAsia="Times New Roman" w:hAnsi="Times New Roman" w:cs="Times New Roman"/>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710D50"/>
    <w:pPr>
      <w:spacing w:after="1200" w:line="240" w:lineRule="auto"/>
    </w:pPr>
    <w:rPr>
      <w:caps/>
      <w:spacing w:val="-10"/>
      <w:sz w:val="20"/>
    </w:rPr>
  </w:style>
  <w:style w:type="paragraph" w:customStyle="1" w:styleId="Tableheaderrow">
    <w:name w:val="Table header row"/>
    <w:basedOn w:val="Normal"/>
    <w:uiPriority w:val="14"/>
    <w:qFormat/>
    <w:rsid w:val="00710D50"/>
    <w:pPr>
      <w:spacing w:after="0"/>
    </w:pPr>
    <w:rPr>
      <w:b/>
    </w:rPr>
  </w:style>
  <w:style w:type="paragraph" w:customStyle="1" w:styleId="PageNumber">
    <w:name w:val="PageNumber"/>
    <w:basedOn w:val="Normal"/>
    <w:semiHidden/>
    <w:rsid w:val="00710D50"/>
    <w:pPr>
      <w:spacing w:line="240" w:lineRule="auto"/>
    </w:pPr>
    <w:rPr>
      <w:sz w:val="16"/>
    </w:rPr>
  </w:style>
  <w:style w:type="paragraph" w:customStyle="1" w:styleId="Copyright">
    <w:name w:val="Copyright"/>
    <w:basedOn w:val="Normal"/>
    <w:semiHidden/>
    <w:rsid w:val="00710D50"/>
    <w:pPr>
      <w:spacing w:line="160" w:lineRule="exact"/>
    </w:pPr>
    <w:rPr>
      <w:color w:val="4D4D4F"/>
      <w:sz w:val="13"/>
    </w:rPr>
  </w:style>
  <w:style w:type="paragraph" w:styleId="TOCHeading">
    <w:name w:val="TOC Heading"/>
    <w:basedOn w:val="Normal"/>
    <w:semiHidden/>
    <w:qFormat/>
    <w:rsid w:val="00710D50"/>
    <w:pPr>
      <w:spacing w:before="1200" w:line="240" w:lineRule="auto"/>
    </w:pPr>
    <w:rPr>
      <w:b/>
      <w:color w:val="323232"/>
      <w:spacing w:val="-28"/>
      <w:sz w:val="53"/>
    </w:rPr>
  </w:style>
  <w:style w:type="paragraph" w:styleId="Caption">
    <w:name w:val="caption"/>
    <w:aliases w:val="Caption table"/>
    <w:basedOn w:val="Normal"/>
    <w:next w:val="Normal"/>
    <w:semiHidden/>
    <w:qFormat/>
    <w:rsid w:val="00710D50"/>
    <w:pPr>
      <w:numPr>
        <w:numId w:val="20"/>
      </w:numPr>
      <w:spacing w:after="0"/>
    </w:pPr>
    <w:rPr>
      <w:b/>
      <w:bCs/>
      <w:color w:val="323232"/>
      <w:szCs w:val="20"/>
    </w:rPr>
  </w:style>
  <w:style w:type="paragraph" w:customStyle="1" w:styleId="BodySubHeader">
    <w:name w:val="BodySubHeader"/>
    <w:basedOn w:val="Normal"/>
    <w:next w:val="Normal"/>
    <w:semiHidden/>
    <w:rsid w:val="00710D50"/>
    <w:pPr>
      <w:spacing w:before="240" w:after="0"/>
    </w:pPr>
    <w:rPr>
      <w:b/>
      <w:i/>
    </w:rPr>
  </w:style>
  <w:style w:type="paragraph" w:styleId="ListBullet2">
    <w:name w:val="List Bullet 2"/>
    <w:basedOn w:val="Normal"/>
    <w:semiHidden/>
    <w:qFormat/>
    <w:rsid w:val="00710D50"/>
    <w:pPr>
      <w:numPr>
        <w:numId w:val="19"/>
      </w:numPr>
      <w:spacing w:after="80"/>
    </w:pPr>
  </w:style>
  <w:style w:type="paragraph" w:styleId="ListNumber">
    <w:name w:val="List Number"/>
    <w:basedOn w:val="Normal"/>
    <w:semiHidden/>
    <w:qFormat/>
    <w:rsid w:val="00710D50"/>
    <w:pPr>
      <w:numPr>
        <w:numId w:val="24"/>
      </w:numPr>
      <w:spacing w:after="80"/>
    </w:pPr>
  </w:style>
  <w:style w:type="paragraph" w:styleId="ListNumber2">
    <w:name w:val="List Number 2"/>
    <w:basedOn w:val="Normal"/>
    <w:semiHidden/>
    <w:qFormat/>
    <w:rsid w:val="00710D50"/>
    <w:pPr>
      <w:numPr>
        <w:numId w:val="25"/>
      </w:numPr>
      <w:spacing w:after="80"/>
    </w:pPr>
  </w:style>
  <w:style w:type="paragraph" w:customStyle="1" w:styleId="URLEmail">
    <w:name w:val="URL/Email"/>
    <w:basedOn w:val="Normal"/>
    <w:semiHidden/>
    <w:rsid w:val="00710D50"/>
    <w:rPr>
      <w:color w:val="4D4D4F"/>
      <w:spacing w:val="4"/>
    </w:rPr>
  </w:style>
  <w:style w:type="paragraph" w:customStyle="1" w:styleId="Execsummaryheading">
    <w:name w:val="Exec summary heading"/>
    <w:basedOn w:val="Normal"/>
    <w:uiPriority w:val="22"/>
    <w:qFormat/>
    <w:rsid w:val="00710D50"/>
    <w:pPr>
      <w:pageBreakBefore/>
      <w:spacing w:after="1440" w:line="550" w:lineRule="exact"/>
    </w:pPr>
    <w:rPr>
      <w:b/>
      <w:color w:val="323232"/>
      <w:spacing w:val="-18"/>
      <w:sz w:val="53"/>
    </w:rPr>
  </w:style>
  <w:style w:type="character" w:styleId="PageNumber0">
    <w:name w:val="page number"/>
    <w:basedOn w:val="DefaultParagraphFont"/>
    <w:semiHidden/>
    <w:rsid w:val="00710D50"/>
  </w:style>
  <w:style w:type="paragraph" w:styleId="ListContinue5">
    <w:name w:val="List Continue 5"/>
    <w:basedOn w:val="Normal"/>
    <w:semiHidden/>
    <w:rsid w:val="00710D50"/>
    <w:pPr>
      <w:spacing w:after="120"/>
      <w:ind w:left="1415"/>
      <w:contextualSpacing/>
    </w:pPr>
  </w:style>
  <w:style w:type="paragraph" w:styleId="TOC1">
    <w:name w:val="toc 1"/>
    <w:basedOn w:val="Normal"/>
    <w:next w:val="Normal"/>
    <w:uiPriority w:val="39"/>
    <w:qFormat/>
    <w:rsid w:val="00710D5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10D5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710D50"/>
    <w:pPr>
      <w:tabs>
        <w:tab w:val="right" w:pos="7615"/>
      </w:tabs>
      <w:spacing w:line="320" w:lineRule="exact"/>
    </w:pPr>
    <w:rPr>
      <w:noProof/>
      <w:color w:val="808285"/>
      <w:sz w:val="28"/>
    </w:rPr>
  </w:style>
  <w:style w:type="paragraph" w:styleId="TOC3">
    <w:name w:val="toc 3"/>
    <w:basedOn w:val="Normal"/>
    <w:next w:val="Normal"/>
    <w:uiPriority w:val="39"/>
    <w:qFormat/>
    <w:rsid w:val="00710D50"/>
    <w:pPr>
      <w:tabs>
        <w:tab w:val="right" w:pos="7661"/>
      </w:tabs>
      <w:spacing w:after="80" w:line="240" w:lineRule="auto"/>
    </w:pPr>
    <w:rPr>
      <w:noProof/>
      <w:sz w:val="22"/>
      <w:szCs w:val="22"/>
    </w:rPr>
  </w:style>
  <w:style w:type="paragraph" w:customStyle="1" w:styleId="TableBody">
    <w:name w:val="Table Body"/>
    <w:basedOn w:val="Normal"/>
    <w:uiPriority w:val="15"/>
    <w:qFormat/>
    <w:rsid w:val="00710D50"/>
    <w:pPr>
      <w:spacing w:after="0" w:line="240" w:lineRule="auto"/>
    </w:pPr>
  </w:style>
  <w:style w:type="character" w:styleId="PlaceholderText">
    <w:name w:val="Placeholder Text"/>
    <w:basedOn w:val="DefaultParagraphFont"/>
    <w:uiPriority w:val="99"/>
    <w:semiHidden/>
    <w:rsid w:val="00710D50"/>
    <w:rPr>
      <w:color w:val="808080"/>
    </w:rPr>
  </w:style>
  <w:style w:type="paragraph" w:customStyle="1" w:styleId="ACMAInstructions">
    <w:name w:val="ACMA_Instructions"/>
    <w:basedOn w:val="Normal"/>
    <w:semiHidden/>
    <w:unhideWhenUsed/>
    <w:qFormat/>
    <w:rsid w:val="00710D50"/>
    <w:pPr>
      <w:spacing w:after="200"/>
    </w:pPr>
    <w:rPr>
      <w:rFonts w:cs="Arial"/>
      <w:b/>
      <w:vanish/>
      <w:sz w:val="24"/>
    </w:rPr>
  </w:style>
  <w:style w:type="paragraph" w:customStyle="1" w:styleId="CorporateAddresses">
    <w:name w:val="Corporate Addresses"/>
    <w:basedOn w:val="Normal"/>
    <w:semiHidden/>
    <w:rsid w:val="00710D50"/>
    <w:pPr>
      <w:spacing w:line="140" w:lineRule="exact"/>
    </w:pPr>
    <w:rPr>
      <w:color w:val="4D4D4F"/>
      <w:sz w:val="13"/>
    </w:rPr>
  </w:style>
  <w:style w:type="paragraph" w:customStyle="1" w:styleId="ACMACorporateAddressHeader">
    <w:name w:val="ACMA_CorporateAddressHeader"/>
    <w:basedOn w:val="Normal"/>
    <w:next w:val="ACMACorporateAddresses"/>
    <w:semiHidden/>
    <w:unhideWhenUsed/>
    <w:qFormat/>
    <w:rsid w:val="00710D50"/>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710D50"/>
    <w:pPr>
      <w:spacing w:before="0" w:after="120"/>
    </w:pPr>
    <w:rPr>
      <w:b w:val="0"/>
    </w:rPr>
  </w:style>
  <w:style w:type="paragraph" w:customStyle="1" w:styleId="ACMACopyrightHeader">
    <w:name w:val="ACMA_CopyrightHeader"/>
    <w:basedOn w:val="ACMACorporateAddressHeader"/>
    <w:semiHidden/>
    <w:unhideWhenUsed/>
    <w:qFormat/>
    <w:rsid w:val="00710D50"/>
    <w:pPr>
      <w:spacing w:before="3000"/>
    </w:pPr>
  </w:style>
  <w:style w:type="paragraph" w:customStyle="1" w:styleId="ACMACClogo">
    <w:name w:val="ACMA_CClogo"/>
    <w:semiHidden/>
    <w:unhideWhenUsed/>
    <w:qFormat/>
    <w:rsid w:val="00710D50"/>
    <w:pPr>
      <w:spacing w:before="160" w:after="120" w:line="240" w:lineRule="auto"/>
    </w:pPr>
    <w:rPr>
      <w:rFonts w:ascii="Arial" w:eastAsia="Times New Roman" w:hAnsi="Arial" w:cs="Times New Roman"/>
      <w:b/>
      <w:sz w:val="13"/>
      <w:szCs w:val="24"/>
      <w:lang w:eastAsia="en-AU"/>
    </w:rPr>
  </w:style>
  <w:style w:type="paragraph" w:customStyle="1" w:styleId="ListBulletLast">
    <w:name w:val="List Bullet Last"/>
    <w:basedOn w:val="ListBullet"/>
    <w:qFormat/>
    <w:rsid w:val="00710D50"/>
    <w:pPr>
      <w:spacing w:after="240"/>
    </w:pPr>
    <w:rPr>
      <w:rFonts w:cs="Arial"/>
    </w:rPr>
  </w:style>
  <w:style w:type="paragraph" w:customStyle="1" w:styleId="ListNumberLast">
    <w:name w:val="List Number Last"/>
    <w:basedOn w:val="ListNumber"/>
    <w:semiHidden/>
    <w:qFormat/>
    <w:rsid w:val="00710D50"/>
    <w:pPr>
      <w:spacing w:after="240"/>
      <w:ind w:left="357" w:hanging="357"/>
    </w:pPr>
    <w:rPr>
      <w:rFonts w:cs="Arial"/>
    </w:rPr>
  </w:style>
  <w:style w:type="paragraph" w:customStyle="1" w:styleId="ACMATableHeader">
    <w:name w:val="ACMA_TableHeader"/>
    <w:semiHidden/>
    <w:qFormat/>
    <w:rsid w:val="00710D50"/>
    <w:pPr>
      <w:numPr>
        <w:numId w:val="26"/>
      </w:numPr>
      <w:spacing w:line="240" w:lineRule="auto"/>
    </w:pPr>
    <w:rPr>
      <w:rFonts w:ascii="Arial" w:eastAsia="Times New Roman" w:hAnsi="Arial" w:cs="Times New Roman"/>
      <w:b/>
      <w:bCs/>
      <w:color w:val="323232"/>
      <w:sz w:val="20"/>
      <w:szCs w:val="20"/>
      <w:lang w:eastAsia="en-AU"/>
    </w:rPr>
  </w:style>
  <w:style w:type="paragraph" w:customStyle="1" w:styleId="ACMANotes">
    <w:name w:val="ACMA_Notes"/>
    <w:semiHidden/>
    <w:rsid w:val="00710D50"/>
    <w:pPr>
      <w:spacing w:before="80" w:after="0" w:line="240" w:lineRule="auto"/>
    </w:pPr>
    <w:rPr>
      <w:rFonts w:ascii="Arial" w:eastAsia="Times New Roman" w:hAnsi="Arial" w:cs="Arial"/>
      <w:i/>
      <w:sz w:val="16"/>
      <w:szCs w:val="24"/>
      <w:lang w:eastAsia="en-AU"/>
    </w:rPr>
  </w:style>
  <w:style w:type="paragraph" w:customStyle="1" w:styleId="Numberlistlevel1">
    <w:name w:val="Number list level 1"/>
    <w:basedOn w:val="ListNumber"/>
    <w:uiPriority w:val="9"/>
    <w:qFormat/>
    <w:rsid w:val="00710D50"/>
  </w:style>
  <w:style w:type="character" w:styleId="Emphasis">
    <w:name w:val="Emphasis"/>
    <w:basedOn w:val="DefaultParagraphFont"/>
    <w:qFormat/>
    <w:rsid w:val="00710D50"/>
    <w:rPr>
      <w:i/>
      <w:iCs/>
    </w:rPr>
  </w:style>
  <w:style w:type="paragraph" w:customStyle="1" w:styleId="ListNumber2Last">
    <w:name w:val="List Number 2 Last"/>
    <w:basedOn w:val="ListNumber2"/>
    <w:semiHidden/>
    <w:qFormat/>
    <w:rsid w:val="00710D50"/>
    <w:pPr>
      <w:spacing w:after="240"/>
      <w:ind w:left="907" w:hanging="357"/>
    </w:pPr>
    <w:rPr>
      <w:rFonts w:cs="Arial"/>
    </w:rPr>
  </w:style>
  <w:style w:type="paragraph" w:customStyle="1" w:styleId="Spaceaftertable">
    <w:name w:val="Space after table"/>
    <w:basedOn w:val="Normal"/>
    <w:uiPriority w:val="99"/>
    <w:qFormat/>
    <w:rsid w:val="00710D50"/>
    <w:rPr>
      <w:rFonts w:cs="Arial"/>
    </w:rPr>
  </w:style>
  <w:style w:type="paragraph" w:customStyle="1" w:styleId="FooterLeft">
    <w:name w:val="Footer Left"/>
    <w:basedOn w:val="Footer"/>
    <w:semiHidden/>
    <w:qFormat/>
    <w:rsid w:val="00710D50"/>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710D50"/>
    <w:pPr>
      <w:numPr>
        <w:numId w:val="22"/>
      </w:numPr>
      <w:spacing w:line="240" w:lineRule="auto"/>
    </w:pPr>
    <w:rPr>
      <w:rFonts w:ascii="Arial" w:eastAsia="Times New Roman" w:hAnsi="Arial" w:cs="Times New Roman"/>
      <w:b/>
      <w:bCs/>
      <w:color w:val="323232"/>
      <w:sz w:val="20"/>
      <w:szCs w:val="20"/>
      <w:lang w:eastAsia="en-AU"/>
    </w:rPr>
  </w:style>
  <w:style w:type="paragraph" w:customStyle="1" w:styleId="Captionfigure">
    <w:name w:val="Caption figure"/>
    <w:basedOn w:val="Caption"/>
    <w:semiHidden/>
    <w:qFormat/>
    <w:rsid w:val="00710D50"/>
    <w:pPr>
      <w:keepNext/>
      <w:numPr>
        <w:numId w:val="21"/>
      </w:numPr>
    </w:pPr>
    <w:rPr>
      <w:rFonts w:cs="Arial"/>
    </w:rPr>
  </w:style>
  <w:style w:type="paragraph" w:customStyle="1" w:styleId="GridTable31">
    <w:name w:val="Grid Table 31"/>
    <w:basedOn w:val="Normal"/>
    <w:semiHidden/>
    <w:qFormat/>
    <w:rsid w:val="00710D50"/>
    <w:pPr>
      <w:spacing w:after="0" w:line="240" w:lineRule="auto"/>
    </w:pPr>
    <w:rPr>
      <w:b/>
      <w:color w:val="4D4D4F"/>
      <w:spacing w:val="-28"/>
      <w:sz w:val="53"/>
    </w:rPr>
  </w:style>
  <w:style w:type="character" w:customStyle="1" w:styleId="UnresolvedMention1">
    <w:name w:val="Unresolved Mention1"/>
    <w:basedOn w:val="DefaultParagraphFont"/>
    <w:uiPriority w:val="99"/>
    <w:semiHidden/>
    <w:unhideWhenUsed/>
    <w:rsid w:val="00623569"/>
    <w:rPr>
      <w:color w:val="605E5C"/>
      <w:shd w:val="clear" w:color="auto" w:fill="E1DFDD"/>
    </w:rPr>
  </w:style>
  <w:style w:type="paragraph" w:customStyle="1" w:styleId="Bulletlevel2">
    <w:name w:val="Bullet level 2"/>
    <w:basedOn w:val="ListBullet2"/>
    <w:uiPriority w:val="7"/>
    <w:qFormat/>
    <w:rsid w:val="00710D50"/>
    <w:pPr>
      <w:ind w:left="590" w:hanging="295"/>
    </w:pPr>
    <w:rPr>
      <w:rFonts w:cs="Arial"/>
    </w:rPr>
  </w:style>
  <w:style w:type="paragraph" w:customStyle="1" w:styleId="Numberlistlevel2">
    <w:name w:val="Number list level 2"/>
    <w:basedOn w:val="ListNumber2"/>
    <w:uiPriority w:val="11"/>
    <w:qFormat/>
    <w:rsid w:val="00710D50"/>
    <w:pPr>
      <w:ind w:left="766" w:hanging="295"/>
    </w:pPr>
  </w:style>
  <w:style w:type="paragraph" w:customStyle="1" w:styleId="Numberlistlast">
    <w:name w:val="Number list last"/>
    <w:basedOn w:val="ListNumberLast"/>
    <w:uiPriority w:val="10"/>
    <w:qFormat/>
    <w:rsid w:val="00710D50"/>
  </w:style>
  <w:style w:type="paragraph" w:customStyle="1" w:styleId="Numberlistlevel2last">
    <w:name w:val="Number list level 2 last"/>
    <w:basedOn w:val="Numberlistlevel2"/>
    <w:uiPriority w:val="12"/>
    <w:qFormat/>
    <w:rsid w:val="00710D50"/>
    <w:pPr>
      <w:spacing w:after="240"/>
    </w:pPr>
  </w:style>
  <w:style w:type="paragraph" w:customStyle="1" w:styleId="Bulletlevel2last">
    <w:name w:val="Bullet level 2 last"/>
    <w:basedOn w:val="Bulletlevel2"/>
    <w:uiPriority w:val="8"/>
    <w:qFormat/>
    <w:rsid w:val="00710D50"/>
    <w:pPr>
      <w:spacing w:after="240"/>
    </w:pPr>
  </w:style>
  <w:style w:type="table" w:customStyle="1" w:styleId="ACMAtablestyle">
    <w:name w:val="ACMA table style"/>
    <w:basedOn w:val="TableNormal"/>
    <w:uiPriority w:val="99"/>
    <w:rsid w:val="00710D50"/>
    <w:pPr>
      <w:spacing w:after="0" w:line="240" w:lineRule="auto"/>
    </w:pPr>
    <w:rPr>
      <w:rFonts w:ascii="Arial" w:eastAsia="Times New Roman" w:hAnsi="Arial" w:cs="Times New Roman"/>
      <w:sz w:val="20"/>
      <w:szCs w:val="24"/>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710D50"/>
    <w:pPr>
      <w:keepNext/>
      <w:spacing w:line="240" w:lineRule="atLeast"/>
    </w:pPr>
  </w:style>
  <w:style w:type="paragraph" w:customStyle="1" w:styleId="Tableorfigurenote">
    <w:name w:val="Table or figure note"/>
    <w:basedOn w:val="ACMANotes"/>
    <w:uiPriority w:val="17"/>
    <w:qFormat/>
    <w:rsid w:val="00710D50"/>
    <w:pPr>
      <w:spacing w:after="240"/>
    </w:pPr>
  </w:style>
  <w:style w:type="paragraph" w:customStyle="1" w:styleId="Figureheading">
    <w:name w:val="Figure heading"/>
    <w:basedOn w:val="ACMAFigureHeader"/>
    <w:next w:val="Paragraph"/>
    <w:uiPriority w:val="16"/>
    <w:qFormat/>
    <w:rsid w:val="00710D50"/>
    <w:pPr>
      <w:keepNext/>
      <w:spacing w:line="240" w:lineRule="atLeast"/>
    </w:pPr>
  </w:style>
  <w:style w:type="paragraph" w:customStyle="1" w:styleId="Tableorfigurenotemultiple">
    <w:name w:val="Table or figure note multiple"/>
    <w:basedOn w:val="Tableorfigurenote"/>
    <w:uiPriority w:val="18"/>
    <w:qFormat/>
    <w:rsid w:val="00710D50"/>
    <w:pPr>
      <w:spacing w:after="80"/>
    </w:pPr>
  </w:style>
  <w:style w:type="paragraph" w:customStyle="1" w:styleId="ACMAletteredlist">
    <w:name w:val="ACMA lettered list"/>
    <w:rsid w:val="00623569"/>
    <w:pPr>
      <w:numPr>
        <w:numId w:val="13"/>
      </w:numPr>
      <w:tabs>
        <w:tab w:val="clear" w:pos="360"/>
      </w:tabs>
      <w:spacing w:before="20" w:after="2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623569"/>
    <w:rPr>
      <w:rFonts w:ascii="Times New Roman" w:hAnsi="Times New Roman"/>
      <w:sz w:val="24"/>
    </w:rPr>
  </w:style>
  <w:style w:type="paragraph" w:customStyle="1" w:styleId="TableText">
    <w:name w:val="TableText"/>
    <w:basedOn w:val="Normal"/>
    <w:qFormat/>
    <w:rsid w:val="00623569"/>
    <w:pPr>
      <w:spacing w:before="120" w:after="120" w:line="240" w:lineRule="auto"/>
    </w:pPr>
    <w:rPr>
      <w:rFonts w:ascii="Century Gothic" w:eastAsiaTheme="majorEastAsia" w:hAnsi="Century Gothic" w:cs="Arial"/>
      <w:bCs/>
      <w:szCs w:val="20"/>
    </w:rPr>
  </w:style>
  <w:style w:type="paragraph" w:styleId="BodyText">
    <w:name w:val="Body Text"/>
    <w:basedOn w:val="Normal"/>
    <w:link w:val="BodyTextChar"/>
    <w:uiPriority w:val="1"/>
    <w:qFormat/>
    <w:rsid w:val="00623569"/>
    <w:pPr>
      <w:widowControl w:val="0"/>
      <w:spacing w:before="113" w:after="0" w:line="240" w:lineRule="auto"/>
      <w:ind w:left="673"/>
    </w:pPr>
    <w:rPr>
      <w:rFonts w:ascii="Segoe UI Light" w:eastAsia="Segoe UI Light" w:hAnsi="Segoe UI Light"/>
      <w:sz w:val="21"/>
      <w:szCs w:val="21"/>
      <w:lang w:val="en-US"/>
    </w:rPr>
  </w:style>
  <w:style w:type="character" w:customStyle="1" w:styleId="BodyTextChar">
    <w:name w:val="Body Text Char"/>
    <w:basedOn w:val="DefaultParagraphFont"/>
    <w:link w:val="BodyText"/>
    <w:uiPriority w:val="1"/>
    <w:rsid w:val="00623569"/>
    <w:rPr>
      <w:rFonts w:ascii="Segoe UI Light" w:eastAsia="Segoe UI Light" w:hAnsi="Segoe UI Light"/>
      <w:sz w:val="21"/>
      <w:szCs w:val="21"/>
      <w:lang w:val="en-US"/>
    </w:rPr>
  </w:style>
  <w:style w:type="paragraph" w:customStyle="1" w:styleId="ACMANumberedList">
    <w:name w:val="ACMA Numbered List"/>
    <w:rsid w:val="00623569"/>
    <w:pPr>
      <w:numPr>
        <w:numId w:val="14"/>
      </w:numPr>
      <w:spacing w:before="20" w:after="20" w:line="240" w:lineRule="auto"/>
    </w:pPr>
    <w:rPr>
      <w:rFonts w:ascii="Times New Roman" w:eastAsia="Times New Roman" w:hAnsi="Times New Roman" w:cs="Times New Roman"/>
      <w:sz w:val="24"/>
      <w:szCs w:val="20"/>
    </w:rPr>
  </w:style>
  <w:style w:type="paragraph" w:customStyle="1" w:styleId="AreaHeading">
    <w:name w:val="Area Heading"/>
    <w:basedOn w:val="Normal"/>
    <w:qFormat/>
    <w:rsid w:val="00623569"/>
    <w:pPr>
      <w:suppressAutoHyphens/>
      <w:spacing w:after="80" w:line="240" w:lineRule="auto"/>
      <w:ind w:left="-1020" w:firstLine="1020"/>
    </w:pPr>
    <w:rPr>
      <w:rFonts w:cs="Times New Roman (Body CS)"/>
      <w:caps/>
      <w:color w:val="806000" w:themeColor="accent4" w:themeShade="80"/>
    </w:rPr>
  </w:style>
  <w:style w:type="paragraph" w:customStyle="1" w:styleId="ACMABulletLevel1">
    <w:name w:val="ACMA Bullet Level 1"/>
    <w:rsid w:val="00623569"/>
    <w:pPr>
      <w:numPr>
        <w:numId w:val="15"/>
      </w:numPr>
      <w:spacing w:after="120" w:line="240" w:lineRule="auto"/>
    </w:pPr>
    <w:rPr>
      <w:rFonts w:ascii="Times New Roman" w:eastAsia="Times New Roman" w:hAnsi="Times New Roman" w:cs="Times New Roman"/>
      <w:sz w:val="24"/>
      <w:szCs w:val="20"/>
    </w:rPr>
  </w:style>
  <w:style w:type="paragraph" w:customStyle="1" w:styleId="TableHeading0">
    <w:name w:val="Table Heading"/>
    <w:basedOn w:val="Normal"/>
    <w:uiPriority w:val="14"/>
    <w:qFormat/>
    <w:rsid w:val="00623569"/>
    <w:pPr>
      <w:keepNext/>
      <w:spacing w:before="60" w:after="60" w:line="240" w:lineRule="auto"/>
    </w:pPr>
    <w:rPr>
      <w:rFonts w:ascii="Cambria" w:hAnsi="Cambria"/>
      <w:b/>
      <w:sz w:val="18"/>
    </w:rPr>
  </w:style>
  <w:style w:type="table" w:customStyle="1" w:styleId="ABAREStableleftalign">
    <w:name w:val="ABARES table (left align)"/>
    <w:basedOn w:val="TableNormal"/>
    <w:uiPriority w:val="99"/>
    <w:rsid w:val="00623569"/>
    <w:pPr>
      <w:spacing w:before="60" w:after="60" w:line="240" w:lineRule="auto"/>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character" w:styleId="Mention">
    <w:name w:val="Mention"/>
    <w:basedOn w:val="DefaultParagraphFont"/>
    <w:uiPriority w:val="99"/>
    <w:unhideWhenUsed/>
    <w:rsid w:val="00623569"/>
    <w:rPr>
      <w:color w:val="2B579A"/>
      <w:shd w:val="clear" w:color="auto" w:fill="E1DFDD"/>
    </w:rPr>
  </w:style>
  <w:style w:type="character" w:customStyle="1" w:styleId="normaltextrun">
    <w:name w:val="normaltextrun"/>
    <w:basedOn w:val="DefaultParagraphFont"/>
    <w:rsid w:val="00623569"/>
  </w:style>
  <w:style w:type="paragraph" w:styleId="EndnoteText">
    <w:name w:val="endnote text"/>
    <w:basedOn w:val="Normal"/>
    <w:link w:val="EndnoteTextChar"/>
    <w:uiPriority w:val="99"/>
    <w:semiHidden/>
    <w:unhideWhenUsed/>
    <w:rsid w:val="00623569"/>
    <w:pPr>
      <w:spacing w:after="0" w:line="240" w:lineRule="auto"/>
    </w:pPr>
    <w:rPr>
      <w:szCs w:val="20"/>
    </w:rPr>
  </w:style>
  <w:style w:type="character" w:customStyle="1" w:styleId="EndnoteTextChar">
    <w:name w:val="Endnote Text Char"/>
    <w:basedOn w:val="DefaultParagraphFont"/>
    <w:link w:val="EndnoteText"/>
    <w:uiPriority w:val="99"/>
    <w:semiHidden/>
    <w:rsid w:val="00623569"/>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623569"/>
    <w:rPr>
      <w:vertAlign w:val="superscript"/>
    </w:rPr>
  </w:style>
  <w:style w:type="paragraph" w:customStyle="1" w:styleId="Note">
    <w:name w:val="Note"/>
    <w:basedOn w:val="ACMANotes"/>
    <w:uiPriority w:val="23"/>
    <w:semiHidden/>
    <w:qFormat/>
    <w:rsid w:val="00710D50"/>
  </w:style>
  <w:style w:type="paragraph" w:customStyle="1" w:styleId="Protectivemarking">
    <w:name w:val="Protective marking"/>
    <w:basedOn w:val="Normal"/>
    <w:uiPriority w:val="99"/>
    <w:qFormat/>
    <w:rsid w:val="00710D50"/>
    <w:pPr>
      <w:tabs>
        <w:tab w:val="left" w:pos="720"/>
      </w:tabs>
      <w:spacing w:after="0" w:line="240" w:lineRule="auto"/>
      <w:jc w:val="center"/>
    </w:pPr>
    <w:rPr>
      <w:rFonts w:cs="Arial"/>
      <w:b/>
      <w:bCs/>
      <w:color w:val="FF0000"/>
      <w:sz w:val="32"/>
      <w:lang w:eastAsia="en-US"/>
    </w:rPr>
  </w:style>
  <w:style w:type="paragraph" w:styleId="PlainText">
    <w:name w:val="Plain Text"/>
    <w:basedOn w:val="Normal"/>
    <w:link w:val="PlainTextChar"/>
    <w:uiPriority w:val="99"/>
    <w:semiHidden/>
    <w:unhideWhenUsed/>
    <w:rsid w:val="00ED4520"/>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ED4520"/>
    <w:rPr>
      <w:rFonts w:ascii="Calibri" w:hAnsi="Calibri"/>
      <w:szCs w:val="21"/>
    </w:rPr>
  </w:style>
  <w:style w:type="paragraph" w:customStyle="1" w:styleId="listparagraph0">
    <w:name w:val="listparagraph"/>
    <w:basedOn w:val="Normal"/>
    <w:rsid w:val="00AF6096"/>
    <w:pPr>
      <w:spacing w:before="100" w:beforeAutospacing="1" w:after="100" w:afterAutospacing="1" w:line="240" w:lineRule="auto"/>
    </w:pPr>
    <w:rPr>
      <w:rFonts w:ascii="Times New Roman" w:hAnsi="Times New Roman"/>
      <w:sz w:val="24"/>
    </w:rPr>
  </w:style>
  <w:style w:type="character" w:customStyle="1" w:styleId="Hyperlink1">
    <w:name w:val="Hyperlink1"/>
    <w:basedOn w:val="DefaultParagraphFont"/>
    <w:rsid w:val="006D0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521169621">
      <w:bodyDiv w:val="1"/>
      <w:marLeft w:val="0"/>
      <w:marRight w:val="0"/>
      <w:marTop w:val="0"/>
      <w:marBottom w:val="0"/>
      <w:divBdr>
        <w:top w:val="none" w:sz="0" w:space="0" w:color="auto"/>
        <w:left w:val="none" w:sz="0" w:space="0" w:color="auto"/>
        <w:bottom w:val="none" w:sz="0" w:space="0" w:color="auto"/>
        <w:right w:val="none" w:sz="0" w:space="0" w:color="auto"/>
      </w:divBdr>
    </w:div>
    <w:div w:id="607657806">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986055250">
      <w:bodyDiv w:val="1"/>
      <w:marLeft w:val="0"/>
      <w:marRight w:val="0"/>
      <w:marTop w:val="0"/>
      <w:marBottom w:val="0"/>
      <w:divBdr>
        <w:top w:val="none" w:sz="0" w:space="0" w:color="auto"/>
        <w:left w:val="none" w:sz="0" w:space="0" w:color="auto"/>
        <w:bottom w:val="none" w:sz="0" w:space="0" w:color="auto"/>
        <w:right w:val="none" w:sz="0" w:space="0" w:color="auto"/>
      </w:divBdr>
    </w:div>
    <w:div w:id="1019503509">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115757867">
      <w:bodyDiv w:val="1"/>
      <w:marLeft w:val="0"/>
      <w:marRight w:val="0"/>
      <w:marTop w:val="0"/>
      <w:marBottom w:val="0"/>
      <w:divBdr>
        <w:top w:val="none" w:sz="0" w:space="0" w:color="auto"/>
        <w:left w:val="none" w:sz="0" w:space="0" w:color="auto"/>
        <w:bottom w:val="none" w:sz="0" w:space="0" w:color="auto"/>
        <w:right w:val="none" w:sz="0" w:space="0" w:color="auto"/>
      </w:divBdr>
    </w:div>
    <w:div w:id="1149201592">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37762478">
      <w:bodyDiv w:val="1"/>
      <w:marLeft w:val="0"/>
      <w:marRight w:val="0"/>
      <w:marTop w:val="0"/>
      <w:marBottom w:val="0"/>
      <w:divBdr>
        <w:top w:val="none" w:sz="0" w:space="0" w:color="auto"/>
        <w:left w:val="none" w:sz="0" w:space="0" w:color="auto"/>
        <w:bottom w:val="none" w:sz="0" w:space="0" w:color="auto"/>
        <w:right w:val="none" w:sz="0" w:space="0" w:color="auto"/>
      </w:divBdr>
    </w:div>
    <w:div w:id="1688215092">
      <w:bodyDiv w:val="1"/>
      <w:marLeft w:val="0"/>
      <w:marRight w:val="0"/>
      <w:marTop w:val="0"/>
      <w:marBottom w:val="0"/>
      <w:divBdr>
        <w:top w:val="none" w:sz="0" w:space="0" w:color="auto"/>
        <w:left w:val="none" w:sz="0" w:space="0" w:color="auto"/>
        <w:bottom w:val="none" w:sz="0" w:space="0" w:color="auto"/>
        <w:right w:val="none" w:sz="0" w:space="0" w:color="auto"/>
      </w:divBdr>
    </w:div>
    <w:div w:id="1781492885">
      <w:bodyDiv w:val="1"/>
      <w:marLeft w:val="0"/>
      <w:marRight w:val="0"/>
      <w:marTop w:val="0"/>
      <w:marBottom w:val="0"/>
      <w:divBdr>
        <w:top w:val="none" w:sz="0" w:space="0" w:color="auto"/>
        <w:left w:val="none" w:sz="0" w:space="0" w:color="auto"/>
        <w:bottom w:val="none" w:sz="0" w:space="0" w:color="auto"/>
        <w:right w:val="none" w:sz="0" w:space="0" w:color="auto"/>
      </w:divBdr>
    </w:div>
    <w:div w:id="1804345113">
      <w:bodyDiv w:val="1"/>
      <w:marLeft w:val="0"/>
      <w:marRight w:val="0"/>
      <w:marTop w:val="0"/>
      <w:marBottom w:val="0"/>
      <w:divBdr>
        <w:top w:val="none" w:sz="0" w:space="0" w:color="auto"/>
        <w:left w:val="none" w:sz="0" w:space="0" w:color="auto"/>
        <w:bottom w:val="none" w:sz="0" w:space="0" w:color="auto"/>
        <w:right w:val="none" w:sz="0" w:space="0" w:color="auto"/>
      </w:divBdr>
    </w:div>
    <w:div w:id="1854689804">
      <w:bodyDiv w:val="1"/>
      <w:marLeft w:val="0"/>
      <w:marRight w:val="0"/>
      <w:marTop w:val="0"/>
      <w:marBottom w:val="0"/>
      <w:divBdr>
        <w:top w:val="none" w:sz="0" w:space="0" w:color="auto"/>
        <w:left w:val="none" w:sz="0" w:space="0" w:color="auto"/>
        <w:bottom w:val="none" w:sz="0" w:space="0" w:color="auto"/>
        <w:right w:val="none" w:sz="0" w:space="0" w:color="auto"/>
      </w:divBdr>
    </w:div>
    <w:div w:id="1935892102">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 w:id="2024046228">
      <w:bodyDiv w:val="1"/>
      <w:marLeft w:val="0"/>
      <w:marRight w:val="0"/>
      <w:marTop w:val="0"/>
      <w:marBottom w:val="0"/>
      <w:divBdr>
        <w:top w:val="none" w:sz="0" w:space="0" w:color="auto"/>
        <w:left w:val="none" w:sz="0" w:space="0" w:color="auto"/>
        <w:bottom w:val="none" w:sz="0" w:space="0" w:color="auto"/>
        <w:right w:val="none" w:sz="0" w:space="0" w:color="auto"/>
      </w:divBdr>
    </w:div>
    <w:div w:id="2097046879">
      <w:bodyDiv w:val="1"/>
      <w:marLeft w:val="0"/>
      <w:marRight w:val="0"/>
      <w:marTop w:val="0"/>
      <w:marBottom w:val="0"/>
      <w:divBdr>
        <w:top w:val="none" w:sz="0" w:space="0" w:color="auto"/>
        <w:left w:val="none" w:sz="0" w:space="0" w:color="auto"/>
        <w:bottom w:val="none" w:sz="0" w:space="0" w:color="auto"/>
        <w:right w:val="none" w:sz="0" w:space="0" w:color="auto"/>
      </w:divBdr>
    </w:div>
    <w:div w:id="211728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dh.org.au/" TargetMode="External"/><Relationship Id="rId18" Type="http://schemas.openxmlformats.org/officeDocument/2006/relationships/header" Target="header2.xml"/><Relationship Id="rId26" Type="http://schemas.openxmlformats.org/officeDocument/2006/relationships/header" Target="header5.xml"/><Relationship Id="rId39" Type="http://schemas.openxmlformats.org/officeDocument/2006/relationships/hyperlink" Target="http://www.tio.com.au/sites/default/files/2023-09/TIO%20Financial%20Report%202023.pdf" TargetMode="External"/><Relationship Id="rId21" Type="http://schemas.openxmlformats.org/officeDocument/2006/relationships/hyperlink" Target="https://creativecommons.org/licenses/by/4.0/" TargetMode="External"/><Relationship Id="rId34" Type="http://schemas.openxmlformats.org/officeDocument/2006/relationships/hyperlink" Target="https://www.acma.gov.au/publications/2022-05/report/consumer-vulnerability-expectations-telecommunications-industry" TargetMode="External"/><Relationship Id="rId42" Type="http://schemas.openxmlformats.org/officeDocument/2006/relationships/hyperlink" Target="http://www.telstra.com.au/content/dam/tcom/our-customer-terms/business-government/pdf/mobilegeneral.pdf" TargetMode="External"/><Relationship Id="rId47" Type="http://schemas.openxmlformats.org/officeDocument/2006/relationships/header" Target="header9.xml"/><Relationship Id="rId50" Type="http://schemas.openxmlformats.org/officeDocument/2006/relationships/footer" Target="footer1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footer" Target="footer6.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yperlink" Target="https://www.acma.gov.au/financial-hardship-telco-sector-keeping-customer-connected" TargetMode="External"/><Relationship Id="rId37" Type="http://schemas.openxmlformats.org/officeDocument/2006/relationships/hyperlink" Target="https://www.tio.com.au/sites/default/files/2023-09/TIO%20Financial%20Report%202023.pdf" TargetMode="External"/><Relationship Id="rId40" Type="http://schemas.openxmlformats.org/officeDocument/2006/relationships/hyperlink" Target="http://www.telstra.com.au/content/dam/tcom/our-customer-terms/business-government/pdf/mobilegeneral.pdf" TargetMode="External"/><Relationship Id="rId45"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5.xml"/><Relationship Id="rId36" Type="http://schemas.openxmlformats.org/officeDocument/2006/relationships/hyperlink" Target="https://www.acma.gov.au/consumer-consultative-forum" TargetMode="External"/><Relationship Id="rId49"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hyperlink" Target="http://i.creativecommons.org/l/by/3.0/88x31.png" TargetMode="External"/><Relationship Id="rId31" Type="http://schemas.openxmlformats.org/officeDocument/2006/relationships/hyperlink" Target="https://www.commsalliance.com.au/__data/assets/pdf_file/0011/64784/TCP-C628_2019-incorporating-variation-no.1-2022.pdf" TargetMode="External"/><Relationship Id="rId44" Type="http://schemas.openxmlformats.org/officeDocument/2006/relationships/header" Target="header8.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01.safelinks.protection.outlook.com/?url=http%3A%2F%2Fwww.oaic.gov.au%2F&amp;data=05%7C02%7CDannielle.Princep%40acma.gov.au%7C5d9a63545b874a40405308dc21ff8676%7C0dac7f39d20c4e718af371ee7e268a2b%7C0%7C0%7C638422628557841745%7CUnknown%7CTWFpbGZsb3d8eyJWIjoiMC4wLjAwMDAiLCJQIjoiV2luMzIiLCJBTiI6Ik1haWwiLCJXVCI6Mn0%3D%7C0%7C%7C%7C&amp;sdata=Nzx%2BEXgBtlhJPOyb7ru63FzjTmKeTi3DkK0ePWxAfcA%3D&amp;reserved=0" TargetMode="Externa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footer" Target="footer7.xml"/><Relationship Id="rId35" Type="http://schemas.openxmlformats.org/officeDocument/2006/relationships/hyperlink" Target="https://www.acma.gov.au/what-consumers-want-consumer-expectations-telecommunications-safeguards" TargetMode="External"/><Relationship Id="rId43" Type="http://schemas.openxmlformats.org/officeDocument/2006/relationships/header" Target="header7.xml"/><Relationship Id="rId48" Type="http://schemas.openxmlformats.org/officeDocument/2006/relationships/header" Target="header10.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legislation.gov.au" TargetMode="Externa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yperlink" Target="https://www.legislation.gov.au/Details/C2023C00268" TargetMode="External"/><Relationship Id="rId38" Type="http://schemas.openxmlformats.org/officeDocument/2006/relationships/hyperlink" Target="http://www.telstra.com.au/content/dam/tcom/our-customer-terms/business-government/pdf/mobilegeneral.pdf" TargetMode="External"/><Relationship Id="rId46" Type="http://schemas.openxmlformats.org/officeDocument/2006/relationships/footer" Target="footer9.xml"/><Relationship Id="rId20" Type="http://schemas.openxmlformats.org/officeDocument/2006/relationships/image" Target="media/image3.png"/><Relationship Id="rId41" Type="http://schemas.openxmlformats.org/officeDocument/2006/relationships/hyperlink" Target="http://www.tio.com.au/sites/default/files/2023-09/TIO%20Financial%20Report%202023.pdf"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accan.org.au/accans-work/research/2121-direct-debit-in-telecommunications" TargetMode="External"/><Relationship Id="rId18" Type="http://schemas.openxmlformats.org/officeDocument/2006/relationships/hyperlink" Target="https://www.acma.gov.au/publications/2023-05/report/telco-financial-hardship-quantitative-and-qualitative-research" TargetMode="External"/><Relationship Id="rId26" Type="http://schemas.openxmlformats.org/officeDocument/2006/relationships/hyperlink" Target="https://accan.org.au/accans-work/research/2121-direct-debit-in-telecommunications" TargetMode="External"/><Relationship Id="rId39" Type="http://schemas.openxmlformats.org/officeDocument/2006/relationships/hyperlink" Target="https://www.acma.gov.au/rules-protect-customers-financial-hardship" TargetMode="External"/><Relationship Id="rId21" Type="http://schemas.openxmlformats.org/officeDocument/2006/relationships/hyperlink" Target="https://www.relationships.org.au/wp-content/uploads/Telcovulncnr.070921FINAL.pdf" TargetMode="External"/><Relationship Id="rId34" Type="http://schemas.openxmlformats.org/officeDocument/2006/relationships/hyperlink" Target="https://www.tio.com.au/reports/submission-communications-alliances-2024-tcp-code-review" TargetMode="External"/><Relationship Id="rId42" Type="http://schemas.openxmlformats.org/officeDocument/2006/relationships/hyperlink" Target="https://www.esc.vic.gov.au/sites/default/files/documents/RPT%20-%20Payment%20Difficulty%20Framework%20implementation%20review%20-%20Findings%20report%20-%20FINAL%20-%2020220531.pdf" TargetMode="External"/><Relationship Id="rId47" Type="http://schemas.openxmlformats.org/officeDocument/2006/relationships/hyperlink" Target="https://www.acma.gov.au/consultations/2021-07/consumer-vulnerability-expectations-telco-industry-consultation-272021" TargetMode="External"/><Relationship Id="rId50" Type="http://schemas.openxmlformats.org/officeDocument/2006/relationships/hyperlink" Target="https://www.acma.gov.au/compliance-priorities" TargetMode="External"/><Relationship Id="rId7" Type="http://schemas.openxmlformats.org/officeDocument/2006/relationships/hyperlink" Target="https://www.acma.gov.au/compliance-priorities" TargetMode="External"/><Relationship Id="rId2" Type="http://schemas.openxmlformats.org/officeDocument/2006/relationships/hyperlink" Target="https://www.acma.gov.au/publications/2023-05/report/telco-financial-hardship-quantitative-and-qualitative-research" TargetMode="External"/><Relationship Id="rId16" Type="http://schemas.openxmlformats.org/officeDocument/2006/relationships/hyperlink" Target="https://www.legislation.gov.au/Details/F2023L01188" TargetMode="External"/><Relationship Id="rId29" Type="http://schemas.openxmlformats.org/officeDocument/2006/relationships/hyperlink" Target="https://commsalliance.com.au/__data/assets/pdf_file/0004/94738/20-June-2023-ACCC-submission-to-2023-Telecommunications-Consumer-Protection-Code-Review-Final.pdf" TargetMode="External"/><Relationship Id="rId11" Type="http://schemas.openxmlformats.org/officeDocument/2006/relationships/hyperlink" Target="https://www.acma.gov.au/publications/2021-02/report/customer-financial-hardship-telco-industry-state-play-report-2019-20" TargetMode="External"/><Relationship Id="rId24" Type="http://schemas.openxmlformats.org/officeDocument/2006/relationships/hyperlink" Target="https://www.acma.gov.au/articles/2023-07/eight-telcos-breach-consumer-protection-rules" TargetMode="External"/><Relationship Id="rId32" Type="http://schemas.openxmlformats.org/officeDocument/2006/relationships/hyperlink" Target="https://www.tcf.org.nz/industry/standards-compliance/customer-experience/disconnection-code/" TargetMode="External"/><Relationship Id="rId37" Type="http://schemas.openxmlformats.org/officeDocument/2006/relationships/hyperlink" Target="https://www.tio.com.au/news/submission-consumer-safeguards-review-part-c-choice-and-fairness" TargetMode="External"/><Relationship Id="rId40" Type="http://schemas.openxmlformats.org/officeDocument/2006/relationships/hyperlink" Target="https://www.legislation.gov.au/Details/F2023L01188/Explanatory%20Statement/Text" TargetMode="External"/><Relationship Id="rId45" Type="http://schemas.openxmlformats.org/officeDocument/2006/relationships/hyperlink" Target="https://www.esc.vic.gov.au/sites/default/files/documents/RPT%20-%20Payment%20Difficulty%20Framework%20implementation%20review%20-%20Findings%20report%20-%20FINAL%20-%2020220531.pdf" TargetMode="External"/><Relationship Id="rId5" Type="http://schemas.openxmlformats.org/officeDocument/2006/relationships/hyperlink" Target="https://www.legislation.gov.au/Details/F2023L01188" TargetMode="External"/><Relationship Id="rId15" Type="http://schemas.openxmlformats.org/officeDocument/2006/relationships/hyperlink" Target="https://minister.infrastructure.gov.au/rowland/media-release/better-support-telco-customers-experiencing-financial-hardship" TargetMode="External"/><Relationship Id="rId23" Type="http://schemas.openxmlformats.org/officeDocument/2006/relationships/hyperlink" Target="https://www.tio.com.au/sites/default/files/2023-04/TIO%20Financial%20Hardship%20Complaints%202021%20%E2%80%93%202023.pdf" TargetMode="External"/><Relationship Id="rId28" Type="http://schemas.openxmlformats.org/officeDocument/2006/relationships/hyperlink" Target="https://www.tio.com.au/reports/submission-communications-alliances-2024-tcp-code-review" TargetMode="External"/><Relationship Id="rId36" Type="http://schemas.openxmlformats.org/officeDocument/2006/relationships/hyperlink" Target="https://commsalliance.com.au/__data/assets/pdf_file/0008/94652/ACCAN-TCP-Code-Discussion-Paper-Response.Final.pdf" TargetMode="External"/><Relationship Id="rId49" Type="http://schemas.openxmlformats.org/officeDocument/2006/relationships/hyperlink" Target="https://www.acma.gov.au/consultations/2023-10/proposed-telecommunications-financial-hardship-industry-standard" TargetMode="External"/><Relationship Id="rId10" Type="http://schemas.openxmlformats.org/officeDocument/2006/relationships/hyperlink" Target="https://www.acma.gov.au/publications/2020-03/report/financial-hardship-telco-industry" TargetMode="External"/><Relationship Id="rId19" Type="http://schemas.openxmlformats.org/officeDocument/2006/relationships/hyperlink" Target="https://www.goodthingsfoundation.org.au/the-digital-divide/" TargetMode="External"/><Relationship Id="rId31" Type="http://schemas.openxmlformats.org/officeDocument/2006/relationships/hyperlink" Target="https://www.infrastructure.gov.au/sites/default/files/documents/pwc-telecommunications-consumer-safeguards-consumer-protections-for-choice-and-fairness_1.pdf" TargetMode="External"/><Relationship Id="rId44" Type="http://schemas.openxmlformats.org/officeDocument/2006/relationships/hyperlink" Target="https://www.aemc.gov.au/sites/default/files/2018-11/Final%20determination.pdf" TargetMode="External"/><Relationship Id="rId4" Type="http://schemas.openxmlformats.org/officeDocument/2006/relationships/hyperlink" Target="https://www.tio.com.au/reports/time-change-three-years-systemic-investigations-review" TargetMode="External"/><Relationship Id="rId9" Type="http://schemas.openxmlformats.org/officeDocument/2006/relationships/hyperlink" Target="https://www.acma.gov.au/help-if-you-cant-pay-your-phone-or-internet-bill" TargetMode="External"/><Relationship Id="rId14" Type="http://schemas.openxmlformats.org/officeDocument/2006/relationships/hyperlink" Target="https://minister.infrastructure.gov.au/rowland/media-release/albanese-government-improve-safeguards-telco-consumers-experiencing-financial-hardship" TargetMode="External"/><Relationship Id="rId22" Type="http://schemas.openxmlformats.org/officeDocument/2006/relationships/hyperlink" Target="https://www.tio.com.au/reports/time-change-three-years-systemic-investigations-review" TargetMode="External"/><Relationship Id="rId27" Type="http://schemas.openxmlformats.org/officeDocument/2006/relationships/hyperlink" Target="https://www.commsalliance.com.au/hot-topics/TCP-Code-Review-2024" TargetMode="External"/><Relationship Id="rId30" Type="http://schemas.openxmlformats.org/officeDocument/2006/relationships/hyperlink" Target="https://commsalliance.com.au/__data/assets/pdf_file/0008/94652/ACCAN-TCP-Code-Discussion-Paper-Response.Final.pdf" TargetMode="External"/><Relationship Id="rId35" Type="http://schemas.openxmlformats.org/officeDocument/2006/relationships/hyperlink" Target="https://commsalliance.com.au/__data/assets/pdf_file/0004/94738/20-June-2023-ACCC-submission-to-2023-Telecommunications-Consumer-Protection-Code-Review-Final.pdf" TargetMode="External"/><Relationship Id="rId43" Type="http://schemas.openxmlformats.org/officeDocument/2006/relationships/hyperlink" Target="http://www.esc.vic.gov.au/sites/default/files/documents/RPT%20-" TargetMode="External"/><Relationship Id="rId48" Type="http://schemas.openxmlformats.org/officeDocument/2006/relationships/hyperlink" Target="https://www.infrastructure.gov.au/have-your-say/consumer-safeguards-review-consultation-part-c-choice-and-fairness" TargetMode="External"/><Relationship Id="rId8" Type="http://schemas.openxmlformats.org/officeDocument/2006/relationships/hyperlink" Target="https://www.acma.gov.au/articles/2023-07/eight-telcos-breach-consumer-protection-rules" TargetMode="External"/><Relationship Id="rId51" Type="http://schemas.openxmlformats.org/officeDocument/2006/relationships/hyperlink" Target="https://minister.infrastructure.gov.au/rowland/media-release/better-support-telco-customers-experiencing-financial-hardship" TargetMode="External"/><Relationship Id="rId3" Type="http://schemas.openxmlformats.org/officeDocument/2006/relationships/hyperlink" Target="https://www.acma.gov.au/financial-hardship-telco-sector-keeping-customer-connected" TargetMode="External"/><Relationship Id="rId12" Type="http://schemas.openxmlformats.org/officeDocument/2006/relationships/hyperlink" Target="https://www.acma.gov.au/publications/2022-02/report/customer-financial-hardship-telco-industry-state-play-report-2020-21" TargetMode="External"/><Relationship Id="rId17" Type="http://schemas.openxmlformats.org/officeDocument/2006/relationships/hyperlink" Target="https://www.abs.gov.au/statistics/economy/price-indexes-and-inflation/consumer-price-index-australia/jun-quarter-2023" TargetMode="External"/><Relationship Id="rId25" Type="http://schemas.openxmlformats.org/officeDocument/2006/relationships/hyperlink" Target="https://www.acma.gov.au/articles/2023-04/telstra-fails-warn-customers-about-service-restrictions" TargetMode="External"/><Relationship Id="rId33" Type="http://schemas.openxmlformats.org/officeDocument/2006/relationships/hyperlink" Target="https://commsalliance.com.au/__data/assets/pdf_file/0006/94308/TCP-Code-Discussion-Paper,-5-May-2023.pdf" TargetMode="External"/><Relationship Id="rId38" Type="http://schemas.openxmlformats.org/officeDocument/2006/relationships/hyperlink" Target="https://www.acma.gov.au/articles/2023-03/acma-campaign-help-telco-customers-having-difficulty-paying-their-telco-bills" TargetMode="External"/><Relationship Id="rId46" Type="http://schemas.openxmlformats.org/officeDocument/2006/relationships/hyperlink" Target="https://oia.pmc.gov.au/resources/guidance-assessing-impacts/regulatory-burden-measurement-framework" TargetMode="External"/><Relationship Id="rId20" Type="http://schemas.openxmlformats.org/officeDocument/2006/relationships/hyperlink" Target="https://www.digitalinclusionindex.org.au/key-findings-and-next-steps/" TargetMode="External"/><Relationship Id="rId41" Type="http://schemas.openxmlformats.org/officeDocument/2006/relationships/hyperlink" Target="https://www.aemc.gov.au/sites/default/files/2018-11/Final%20determination.pdf" TargetMode="External"/><Relationship Id="rId1" Type="http://schemas.openxmlformats.org/officeDocument/2006/relationships/hyperlink" Target="https://www.acma.gov.au/financial-hardship-telco-sector-keeping-customer-connected" TargetMode="External"/><Relationship Id="rId6" Type="http://schemas.openxmlformats.org/officeDocument/2006/relationships/hyperlink" Target="https://www.legislation.gov.au/Details/C2022C001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9D5B8325FEC3A41BCE3391CF68ED059" ma:contentTypeVersion="2" ma:contentTypeDescription="Create a new document." ma:contentTypeScope="" ma:versionID="0b04071b8d509342ec9c4eb43cdd5809">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UQVA7MFFXVNW-352334864-67</_dlc_DocId>
    <_dlc_DocIdUrl xmlns="04b8ec43-391f-4ce4-8841-d6a482add564">
      <Url>http://collaboration/organisation/auth/Chair/Auth/_layouts/15/DocIdRedir.aspx?ID=UQVA7MFFXVNW-352334864-67</Url>
      <Description>UQVA7MFFXVNW-352334864-67</Description>
    </_dlc_DocIdUrl>
    <Category xmlns="026d8262-4725-4a9c-834e-3f991ab17ffd">(none)</Categor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53A51-F3DE-4B6D-8E30-23A5ED4EFC86}">
  <ds:schemaRefs>
    <ds:schemaRef ds:uri="http://schemas.microsoft.com/sharepoint/events"/>
  </ds:schemaRefs>
</ds:datastoreItem>
</file>

<file path=customXml/itemProps2.xml><?xml version="1.0" encoding="utf-8"?>
<ds:datastoreItem xmlns:ds="http://schemas.openxmlformats.org/officeDocument/2006/customXml" ds:itemID="{12DEFE07-09F8-4651-A8B0-2B496403D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78DBB0-3C70-4FF2-B584-51EBF0163EF8}">
  <ds:schemaRefs>
    <ds:schemaRef ds:uri="http://schemas.microsoft.com/sharepoint/v3/contenttype/forms"/>
  </ds:schemaRefs>
</ds:datastoreItem>
</file>

<file path=customXml/itemProps4.xml><?xml version="1.0" encoding="utf-8"?>
<ds:datastoreItem xmlns:ds="http://schemas.openxmlformats.org/officeDocument/2006/customXml" ds:itemID="{299B420C-CA3A-48E2-9E6D-1885215ADF14}">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5.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73</Pages>
  <Words>26082</Words>
  <Characters>148674</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174408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Morgan Vaudrey</cp:lastModifiedBy>
  <cp:revision>10</cp:revision>
  <cp:lastPrinted>2024-01-16T07:20:00Z</cp:lastPrinted>
  <dcterms:created xsi:type="dcterms:W3CDTF">2024-02-01T02:04:00Z</dcterms:created>
  <dcterms:modified xsi:type="dcterms:W3CDTF">2024-02-01T02:27:00Z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0x01010089D5B8325FEC3A41BCE3391CF68ED059</vt:lpwstr>
  </property>
  <property fmtid="{D5CDD505-2E9C-101B-9397-08002B2CF9AE}" pid="3" name="_dlc_DocIdItemGuid">
    <vt:lpwstr>0c2766ad-25de-485a-8c79-8b8079e061d5</vt:lpwstr>
  </property>
</Properties>
</file>